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240" w:beforeLines="100" w:after="240" w:afterLines="100"/>
        <w:ind w:firstLine="0" w:firstLineChars="0"/>
        <w:jc w:val="center"/>
        <w:rPr>
          <w:rFonts w:hint="default" w:ascii="Times New Roman" w:hAnsi="Times New Roman" w:cs="Times New Roman"/>
          <w:b/>
          <w:color w:val="auto"/>
          <w:kern w:val="0"/>
          <w:sz w:val="44"/>
          <w:szCs w:val="44"/>
        </w:rPr>
      </w:pPr>
    </w:p>
    <w:p>
      <w:pPr>
        <w:widowControl/>
        <w:spacing w:before="240" w:beforeLines="100" w:after="240" w:afterLines="100"/>
        <w:ind w:firstLine="0" w:firstLineChars="0"/>
        <w:jc w:val="center"/>
        <w:rPr>
          <w:rFonts w:hint="default" w:ascii="Times New Roman" w:hAnsi="Times New Roman" w:cs="Times New Roman"/>
          <w:b/>
          <w:color w:val="auto"/>
          <w:kern w:val="0"/>
          <w:sz w:val="44"/>
          <w:szCs w:val="44"/>
        </w:rPr>
      </w:pPr>
    </w:p>
    <w:p>
      <w:pPr>
        <w:widowControl/>
        <w:spacing w:before="240" w:beforeLines="100" w:after="240" w:afterLines="100" w:line="240" w:lineRule="auto"/>
        <w:ind w:firstLine="0" w:firstLineChars="0"/>
        <w:jc w:val="center"/>
        <w:rPr>
          <w:rFonts w:hint="default" w:ascii="Times New Roman" w:hAnsi="Times New Roman" w:eastAsia="黑体" w:cs="Times New Roman"/>
          <w:b/>
          <w:color w:val="auto"/>
          <w:kern w:val="0"/>
          <w:sz w:val="44"/>
          <w:szCs w:val="44"/>
        </w:rPr>
      </w:pPr>
      <w:r>
        <w:rPr>
          <w:rFonts w:hint="default" w:ascii="Times New Roman" w:hAnsi="Times New Roman" w:eastAsia="黑体" w:cs="Times New Roman"/>
          <w:b/>
          <w:color w:val="auto"/>
          <w:kern w:val="0"/>
          <w:sz w:val="44"/>
          <w:szCs w:val="44"/>
        </w:rPr>
        <w:t>红原县2016年薄弱学校改造和学前教育（邛溪镇易地育人寄宿制学校）建设项目</w:t>
      </w:r>
    </w:p>
    <w:p>
      <w:pPr>
        <w:widowControl/>
        <w:spacing w:before="240" w:beforeLines="100" w:after="240" w:afterLines="100" w:line="480" w:lineRule="auto"/>
        <w:ind w:firstLine="0" w:firstLineChars="0"/>
        <w:jc w:val="center"/>
        <w:rPr>
          <w:rFonts w:hint="default" w:ascii="Times New Roman" w:hAnsi="Times New Roman" w:eastAsia="黑体" w:cs="Times New Roman"/>
          <w:b/>
          <w:color w:val="auto"/>
          <w:w w:val="110"/>
          <w:kern w:val="0"/>
          <w:sz w:val="72"/>
          <w:szCs w:val="72"/>
        </w:rPr>
      </w:pPr>
      <w:r>
        <w:rPr>
          <w:rFonts w:hint="default" w:ascii="Times New Roman" w:hAnsi="Times New Roman" w:eastAsia="黑体" w:cs="Times New Roman"/>
          <w:b/>
          <w:color w:val="auto"/>
          <w:w w:val="110"/>
          <w:kern w:val="0"/>
          <w:sz w:val="72"/>
          <w:szCs w:val="72"/>
        </w:rPr>
        <w:t>水土保持方案报表</w:t>
      </w:r>
    </w:p>
    <w:p>
      <w:pPr>
        <w:ind w:firstLine="883"/>
        <w:jc w:val="center"/>
        <w:rPr>
          <w:rFonts w:hint="default" w:ascii="Times New Roman" w:hAnsi="Times New Roman" w:cs="Times New Roman"/>
          <w:b/>
          <w:color w:val="auto"/>
          <w:sz w:val="44"/>
          <w:szCs w:val="44"/>
        </w:rPr>
      </w:pPr>
    </w:p>
    <w:p>
      <w:pPr>
        <w:ind w:firstLine="0" w:firstLineChars="0"/>
        <w:jc w:val="center"/>
        <w:rPr>
          <w:rFonts w:hint="default" w:ascii="Times New Roman" w:hAnsi="Times New Roman" w:cs="Times New Roman"/>
          <w:b/>
          <w:color w:val="auto"/>
          <w:sz w:val="44"/>
          <w:szCs w:val="44"/>
        </w:rPr>
      </w:pPr>
      <w:r>
        <w:rPr>
          <w:rFonts w:hint="default" w:ascii="Times New Roman" w:hAnsi="Times New Roman" w:cs="Times New Roman"/>
          <w:b/>
          <w:color w:val="auto"/>
          <w:sz w:val="44"/>
          <w:szCs w:val="44"/>
        </w:rPr>
        <w:t>（</w:t>
      </w:r>
      <w:r>
        <w:rPr>
          <w:rFonts w:hint="default" w:ascii="Times New Roman" w:hAnsi="Times New Roman" w:cs="Times New Roman"/>
          <w:b/>
          <w:color w:val="auto"/>
          <w:sz w:val="44"/>
          <w:szCs w:val="44"/>
          <w:lang w:val="en-US" w:eastAsia="zh-CN"/>
        </w:rPr>
        <w:t>报批</w:t>
      </w:r>
      <w:r>
        <w:rPr>
          <w:rFonts w:hint="default" w:ascii="Times New Roman" w:hAnsi="Times New Roman" w:cs="Times New Roman"/>
          <w:b/>
          <w:color w:val="auto"/>
          <w:sz w:val="44"/>
          <w:szCs w:val="44"/>
        </w:rPr>
        <w:t>稿）</w:t>
      </w:r>
    </w:p>
    <w:p>
      <w:pPr>
        <w:ind w:firstLine="883"/>
        <w:jc w:val="center"/>
        <w:rPr>
          <w:rFonts w:hint="default" w:ascii="Times New Roman" w:hAnsi="Times New Roman" w:cs="Times New Roman"/>
          <w:b/>
          <w:color w:val="auto"/>
          <w:sz w:val="44"/>
          <w:szCs w:val="44"/>
        </w:rPr>
      </w:pPr>
    </w:p>
    <w:p>
      <w:pPr>
        <w:ind w:firstLine="883"/>
        <w:jc w:val="center"/>
        <w:rPr>
          <w:rFonts w:hint="default" w:ascii="Times New Roman" w:hAnsi="Times New Roman" w:cs="Times New Roman"/>
          <w:b/>
          <w:color w:val="auto"/>
          <w:sz w:val="44"/>
          <w:szCs w:val="44"/>
        </w:rPr>
      </w:pPr>
    </w:p>
    <w:p>
      <w:pPr>
        <w:ind w:firstLine="883"/>
        <w:jc w:val="center"/>
        <w:rPr>
          <w:rFonts w:hint="default" w:ascii="Times New Roman" w:hAnsi="Times New Roman" w:cs="Times New Roman"/>
          <w:b/>
          <w:color w:val="auto"/>
          <w:sz w:val="44"/>
          <w:szCs w:val="44"/>
        </w:rPr>
      </w:pPr>
    </w:p>
    <w:p>
      <w:pPr>
        <w:ind w:firstLine="883"/>
        <w:jc w:val="center"/>
        <w:rPr>
          <w:rFonts w:hint="default" w:ascii="Times New Roman" w:hAnsi="Times New Roman" w:cs="Times New Roman"/>
          <w:b/>
          <w:color w:val="auto"/>
          <w:sz w:val="44"/>
          <w:szCs w:val="44"/>
        </w:rPr>
      </w:pPr>
    </w:p>
    <w:p>
      <w:pPr>
        <w:ind w:firstLine="883"/>
        <w:jc w:val="center"/>
        <w:rPr>
          <w:rFonts w:hint="default" w:ascii="Times New Roman" w:hAnsi="Times New Roman" w:cs="Times New Roman"/>
          <w:b/>
          <w:color w:val="auto"/>
          <w:sz w:val="44"/>
          <w:szCs w:val="44"/>
        </w:rPr>
      </w:pPr>
    </w:p>
    <w:p>
      <w:pPr>
        <w:ind w:firstLine="883"/>
        <w:jc w:val="center"/>
        <w:rPr>
          <w:rFonts w:hint="default" w:ascii="Times New Roman" w:hAnsi="Times New Roman" w:cs="Times New Roman"/>
          <w:b/>
          <w:color w:val="auto"/>
          <w:sz w:val="44"/>
          <w:szCs w:val="44"/>
        </w:rPr>
      </w:pPr>
    </w:p>
    <w:tbl>
      <w:tblPr>
        <w:tblStyle w:val="61"/>
        <w:tblW w:w="3473" w:type="pct"/>
        <w:jc w:val="center"/>
        <w:tblLayout w:type="autofit"/>
        <w:tblCellMar>
          <w:top w:w="0" w:type="dxa"/>
          <w:left w:w="28" w:type="dxa"/>
          <w:bottom w:w="0" w:type="dxa"/>
          <w:right w:w="28" w:type="dxa"/>
        </w:tblCellMar>
      </w:tblPr>
      <w:tblGrid>
        <w:gridCol w:w="1557"/>
        <w:gridCol w:w="4503"/>
      </w:tblGrid>
      <w:tr>
        <w:tblPrEx>
          <w:tblCellMar>
            <w:top w:w="0" w:type="dxa"/>
            <w:left w:w="28" w:type="dxa"/>
            <w:bottom w:w="0" w:type="dxa"/>
            <w:right w:w="28" w:type="dxa"/>
          </w:tblCellMar>
        </w:tblPrEx>
        <w:trPr>
          <w:trHeight w:val="756" w:hRule="atLeast"/>
          <w:jc w:val="center"/>
        </w:trPr>
        <w:tc>
          <w:tcPr>
            <w:tcW w:w="1285" w:type="pct"/>
            <w:vAlign w:val="center"/>
          </w:tcPr>
          <w:p>
            <w:pPr>
              <w:pStyle w:val="31"/>
              <w:rPr>
                <w:rFonts w:hint="default" w:ascii="Times New Roman" w:hAnsi="Times New Roman" w:cs="Times New Roman"/>
                <w:b/>
                <w:bCs/>
                <w:color w:val="auto"/>
                <w:w w:val="90"/>
                <w:sz w:val="32"/>
                <w:szCs w:val="32"/>
              </w:rPr>
            </w:pPr>
            <w:r>
              <w:rPr>
                <w:rFonts w:hint="default" w:ascii="Times New Roman" w:hAnsi="Times New Roman" w:cs="Times New Roman"/>
                <w:b/>
                <w:bCs/>
                <w:color w:val="auto"/>
                <w:w w:val="90"/>
                <w:sz w:val="32"/>
                <w:szCs w:val="32"/>
              </w:rPr>
              <w:t>建设单位：</w:t>
            </w:r>
          </w:p>
        </w:tc>
        <w:tc>
          <w:tcPr>
            <w:tcW w:w="3715" w:type="pct"/>
            <w:vAlign w:val="center"/>
          </w:tcPr>
          <w:p>
            <w:pPr>
              <w:pStyle w:val="31"/>
              <w:rPr>
                <w:rFonts w:hint="default" w:ascii="Times New Roman" w:hAnsi="Times New Roman" w:cs="Times New Roman"/>
                <w:b/>
                <w:bCs/>
                <w:color w:val="auto"/>
                <w:w w:val="90"/>
                <w:sz w:val="32"/>
                <w:szCs w:val="32"/>
              </w:rPr>
            </w:pPr>
            <w:r>
              <w:rPr>
                <w:rFonts w:hint="default" w:ascii="Times New Roman" w:hAnsi="Times New Roman" w:cs="Times New Roman"/>
                <w:b/>
                <w:bCs/>
                <w:color w:val="auto"/>
                <w:w w:val="90"/>
                <w:sz w:val="32"/>
                <w:szCs w:val="32"/>
              </w:rPr>
              <w:t>红原县教育局</w:t>
            </w:r>
          </w:p>
        </w:tc>
      </w:tr>
      <w:tr>
        <w:tblPrEx>
          <w:tblCellMar>
            <w:top w:w="0" w:type="dxa"/>
            <w:left w:w="28" w:type="dxa"/>
            <w:bottom w:w="0" w:type="dxa"/>
            <w:right w:w="28" w:type="dxa"/>
          </w:tblCellMar>
        </w:tblPrEx>
        <w:trPr>
          <w:trHeight w:val="757" w:hRule="atLeast"/>
          <w:jc w:val="center"/>
        </w:trPr>
        <w:tc>
          <w:tcPr>
            <w:tcW w:w="1285" w:type="pct"/>
            <w:vAlign w:val="center"/>
          </w:tcPr>
          <w:p>
            <w:pPr>
              <w:pStyle w:val="31"/>
              <w:rPr>
                <w:rFonts w:hint="default" w:ascii="Times New Roman" w:hAnsi="Times New Roman" w:cs="Times New Roman"/>
                <w:b/>
                <w:bCs/>
                <w:color w:val="auto"/>
                <w:w w:val="90"/>
                <w:sz w:val="32"/>
                <w:szCs w:val="32"/>
              </w:rPr>
            </w:pPr>
            <w:r>
              <w:rPr>
                <w:rFonts w:hint="default" w:ascii="Times New Roman" w:hAnsi="Times New Roman" w:cs="Times New Roman"/>
                <w:b/>
                <w:bCs/>
                <w:color w:val="auto"/>
                <w:w w:val="90"/>
                <w:sz w:val="32"/>
                <w:szCs w:val="32"/>
              </w:rPr>
              <w:t>编制单位：</w:t>
            </w:r>
          </w:p>
        </w:tc>
        <w:tc>
          <w:tcPr>
            <w:tcW w:w="3715" w:type="pct"/>
            <w:vAlign w:val="center"/>
          </w:tcPr>
          <w:p>
            <w:pPr>
              <w:pStyle w:val="31"/>
              <w:rPr>
                <w:rFonts w:hint="default" w:ascii="Times New Roman" w:hAnsi="Times New Roman" w:cs="Times New Roman"/>
                <w:b/>
                <w:bCs/>
                <w:color w:val="auto"/>
                <w:w w:val="90"/>
                <w:sz w:val="32"/>
                <w:szCs w:val="32"/>
              </w:rPr>
            </w:pPr>
            <w:r>
              <w:rPr>
                <w:rFonts w:hint="default" w:ascii="Times New Roman" w:hAnsi="Times New Roman" w:cs="Times New Roman"/>
                <w:b/>
                <w:bCs/>
                <w:color w:val="auto"/>
                <w:w w:val="90"/>
                <w:sz w:val="32"/>
                <w:szCs w:val="32"/>
              </w:rPr>
              <w:t>四川星原环保科技有限责任公司</w:t>
            </w:r>
          </w:p>
        </w:tc>
      </w:tr>
    </w:tbl>
    <w:p>
      <w:pPr>
        <w:ind w:firstLine="0" w:firstLineChars="0"/>
        <w:jc w:val="center"/>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二〇二〇年</w:t>
      </w:r>
      <w:r>
        <w:rPr>
          <w:rFonts w:hint="default" w:ascii="Times New Roman" w:hAnsi="Times New Roman" w:cs="Times New Roman"/>
          <w:b/>
          <w:bCs/>
          <w:color w:val="auto"/>
          <w:sz w:val="32"/>
          <w:szCs w:val="32"/>
          <w:lang w:val="en-US" w:eastAsia="zh-CN"/>
        </w:rPr>
        <w:t>九</w:t>
      </w:r>
      <w:r>
        <w:rPr>
          <w:rFonts w:hint="default" w:ascii="Times New Roman" w:hAnsi="Times New Roman" w:cs="Times New Roman"/>
          <w:b/>
          <w:bCs/>
          <w:color w:val="auto"/>
          <w:sz w:val="32"/>
          <w:szCs w:val="32"/>
        </w:rPr>
        <w:t>月</w:t>
      </w:r>
    </w:p>
    <w:p>
      <w:pPr>
        <w:ind w:firstLine="720"/>
        <w:jc w:val="center"/>
        <w:rPr>
          <w:rFonts w:hint="default" w:ascii="Times New Roman" w:hAnsi="Times New Roman" w:cs="Times New Roman"/>
          <w:color w:val="auto"/>
          <w:sz w:val="36"/>
          <w:szCs w:val="36"/>
        </w:rPr>
        <w:sectPr>
          <w:headerReference r:id="rId5" w:type="first"/>
          <w:footerReference r:id="rId8" w:type="first"/>
          <w:headerReference r:id="rId3" w:type="default"/>
          <w:footerReference r:id="rId6" w:type="default"/>
          <w:headerReference r:id="rId4" w:type="even"/>
          <w:footerReference r:id="rId7" w:type="even"/>
          <w:pgSz w:w="11906" w:h="16838"/>
          <w:pgMar w:top="1418" w:right="1440" w:bottom="1418" w:left="1797" w:header="851" w:footer="992" w:gutter="0"/>
          <w:pgBorders>
            <w:top w:val="none" w:sz="0" w:space="0"/>
            <w:left w:val="none" w:sz="0" w:space="0"/>
            <w:bottom w:val="none" w:sz="0" w:space="0"/>
            <w:right w:val="none" w:sz="0" w:space="0"/>
          </w:pgBorders>
          <w:cols w:space="720" w:num="1"/>
          <w:docGrid w:linePitch="312" w:charSpace="0"/>
        </w:sectPr>
      </w:pPr>
    </w:p>
    <w:p>
      <w:pPr>
        <w:pStyle w:val="23"/>
        <w:bidi w:val="0"/>
        <w:ind w:left="0" w:leftChars="0" w:firstLine="0" w:firstLineChars="0"/>
        <w:jc w:val="center"/>
        <w:rPr>
          <w:rFonts w:hint="eastAsia" w:eastAsia="宋体"/>
          <w:lang w:eastAsia="zh-CN"/>
        </w:rPr>
        <w:sectPr>
          <w:pgSz w:w="16838" w:h="11906" w:orient="landscape"/>
          <w:pgMar w:top="1797" w:right="1418" w:bottom="1440" w:left="1418" w:header="851" w:footer="992" w:gutter="0"/>
          <w:pgBorders>
            <w:top w:val="none" w:sz="0" w:space="0"/>
            <w:left w:val="none" w:sz="0" w:space="0"/>
            <w:bottom w:val="none" w:sz="0" w:space="0"/>
            <w:right w:val="none" w:sz="0" w:space="0"/>
          </w:pgBorders>
          <w:cols w:space="720" w:num="1"/>
          <w:docGrid w:linePitch="312" w:charSpace="0"/>
        </w:sectPr>
      </w:pPr>
      <w:r>
        <w:rPr>
          <w:rFonts w:hint="eastAsia" w:eastAsia="宋体"/>
          <w:lang w:eastAsia="zh-CN"/>
        </w:rPr>
        <w:drawing>
          <wp:inline distT="0" distB="0" distL="114300" distR="114300">
            <wp:extent cx="7716520" cy="5605145"/>
            <wp:effectExtent l="0" t="0" r="5080" b="8255"/>
            <wp:docPr id="16" name="图片 16"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营业执照"/>
                    <pic:cNvPicPr>
                      <a:picLocks noChangeAspect="1"/>
                    </pic:cNvPicPr>
                  </pic:nvPicPr>
                  <pic:blipFill>
                    <a:blip r:embed="rId20"/>
                    <a:stretch>
                      <a:fillRect/>
                    </a:stretch>
                  </pic:blipFill>
                  <pic:spPr>
                    <a:xfrm>
                      <a:off x="0" y="0"/>
                      <a:ext cx="7716520" cy="5605145"/>
                    </a:xfrm>
                    <a:prstGeom prst="rect">
                      <a:avLst/>
                    </a:prstGeom>
                  </pic:spPr>
                </pic:pic>
              </a:graphicData>
            </a:graphic>
          </wp:inline>
        </w:drawing>
      </w:r>
    </w:p>
    <w:p>
      <w:pPr>
        <w:ind w:left="31680" w:firstLine="480"/>
        <w:rPr>
          <w:rFonts w:hint="default" w:ascii="Times New Roman" w:hAnsi="Times New Roman" w:eastAsia="黑体" w:cs="Times New Roman"/>
          <w:color w:val="auto"/>
          <w:szCs w:val="24"/>
        </w:rPr>
      </w:pPr>
      <w:r>
        <w:rPr>
          <w:rFonts w:hint="default" w:ascii="Times New Roman" w:hAnsi="Times New Roman" w:cs="Times New Roman"/>
          <w:color w:val="auto"/>
        </w:rPr>
        <mc:AlternateContent>
          <mc:Choice Requires="wps">
            <w:drawing>
              <wp:anchor distT="0" distB="0" distL="114300" distR="114300" simplePos="0" relativeHeight="251649024" behindDoc="0" locked="0" layoutInCell="1" hidden="1" allowOverlap="1">
                <wp:simplePos x="0" y="0"/>
                <wp:positionH relativeFrom="column">
                  <wp:posOffset>0</wp:posOffset>
                </wp:positionH>
                <wp:positionV relativeFrom="paragraph">
                  <wp:posOffset>0</wp:posOffset>
                </wp:positionV>
                <wp:extent cx="635000" cy="635000"/>
                <wp:effectExtent l="9525" t="9525" r="12700" b="12700"/>
                <wp:wrapNone/>
                <wp:docPr id="9" name="文本框 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ln>
                      </wps:spPr>
                      <wps:txbx>
                        <w:txbxContent>
                          <w:p>
                            <w:pPr>
                              <w:ind w:firstLine="480"/>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0pt;margin-top:0pt;height:50pt;width:50pt;visibility:hidden;z-index:251649024;mso-width-relative:page;mso-height-relative:page;" fillcolor="#FFFFFF" filled="t" stroked="t" coordsize="21600,21600" o:gfxdata="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MQ/qy&#10;0AAAAAUBAAAPAAAAAAAAAAEAIAAAACIAAABkcnMvZG93bnJldi54bWxQSwECFAAUAAAACACHTuJA&#10;4I6LVSkCAABDBAAADgAAAAAAAAABACAAAAAfAQAAZHJzL2Uyb0RvYy54bWxQSwUGAAAAAAYABgBZ&#10;AQAAugUAAAAA&#10;">
                <v:fill on="t" focussize="0,0"/>
                <v:stroke color="#000000" joinstyle="round"/>
                <v:imagedata o:title=""/>
                <o:lock v:ext="edit" selection="t" aspectratio="f"/>
                <v:textbox>
                  <w:txbxContent>
                    <w:p>
                      <w:pPr>
                        <w:ind w:firstLine="480"/>
                      </w:pPr>
                    </w:p>
                  </w:txbxContent>
                </v:textbox>
              </v:shape>
            </w:pict>
          </mc:Fallback>
        </mc:AlternateContent>
      </w:r>
    </w:p>
    <w:p>
      <w:pPr>
        <w:widowControl/>
        <w:spacing w:before="312" w:beforeLines="100" w:after="312" w:afterLines="100"/>
        <w:ind w:firstLine="0" w:firstLineChars="0"/>
        <w:jc w:val="center"/>
        <w:rPr>
          <w:rFonts w:hint="default" w:ascii="Times New Roman" w:hAnsi="Times New Roman" w:cs="Times New Roman"/>
          <w:color w:val="auto"/>
          <w:w w:val="90"/>
          <w:sz w:val="48"/>
        </w:rPr>
      </w:pPr>
      <w:r>
        <w:rPr>
          <w:rFonts w:hint="default" w:ascii="Times New Roman" w:hAnsi="Times New Roman" w:cs="Times New Roman"/>
          <w:color w:val="auto"/>
          <w:w w:val="90"/>
          <w:sz w:val="48"/>
        </w:rPr>
        <w:t>红原县2016年薄弱学校改造和学前教育（邛溪镇易地育人寄宿制学校）建设项目</w:t>
      </w:r>
    </w:p>
    <w:p>
      <w:pPr>
        <w:widowControl/>
        <w:spacing w:before="312" w:beforeLines="100" w:after="312" w:afterLines="100"/>
        <w:ind w:firstLine="723"/>
        <w:jc w:val="center"/>
        <w:rPr>
          <w:rFonts w:hint="default" w:ascii="Times New Roman" w:hAnsi="Times New Roman" w:cs="Times New Roman"/>
          <w:b/>
          <w:color w:val="auto"/>
          <w:kern w:val="0"/>
          <w:sz w:val="36"/>
          <w:szCs w:val="36"/>
        </w:rPr>
      </w:pPr>
      <w:r>
        <w:rPr>
          <w:rFonts w:hint="default" w:ascii="Times New Roman" w:hAnsi="Times New Roman" w:cs="Times New Roman"/>
          <w:b/>
          <w:color w:val="auto"/>
          <w:kern w:val="0"/>
          <w:sz w:val="36"/>
          <w:szCs w:val="36"/>
        </w:rPr>
        <w:t>责任页</w:t>
      </w:r>
    </w:p>
    <w:p>
      <w:pPr>
        <w:widowControl/>
        <w:spacing w:before="312" w:beforeLines="100" w:after="312" w:afterLines="100"/>
        <w:ind w:firstLine="723"/>
        <w:jc w:val="center"/>
        <w:rPr>
          <w:rFonts w:hint="default" w:ascii="Times New Roman" w:hAnsi="Times New Roman" w:cs="Times New Roman"/>
          <w:b/>
          <w:color w:val="auto"/>
          <w:kern w:val="0"/>
          <w:sz w:val="36"/>
          <w:szCs w:val="36"/>
        </w:rPr>
      </w:pPr>
      <w:r>
        <w:rPr>
          <w:rFonts w:hint="default" w:ascii="Times New Roman" w:hAnsi="Times New Roman" w:cs="Times New Roman"/>
          <w:b/>
          <w:color w:val="auto"/>
          <w:kern w:val="0"/>
          <w:sz w:val="36"/>
          <w:szCs w:val="36"/>
        </w:rPr>
        <w:t>（四川星原环保科技有限责任公司）</w:t>
      </w:r>
    </w:p>
    <w:p>
      <w:pPr>
        <w:ind w:firstLine="562"/>
        <w:rPr>
          <w:rFonts w:hint="default" w:ascii="Times New Roman" w:hAnsi="Times New Roman" w:eastAsia="黑体" w:cs="Times New Roman"/>
          <w:b/>
          <w:color w:val="auto"/>
          <w:sz w:val="28"/>
          <w:szCs w:val="28"/>
        </w:rPr>
      </w:pPr>
      <w:r>
        <w:rPr>
          <w:rFonts w:hint="default" w:ascii="Times New Roman" w:hAnsi="Times New Roman" w:eastAsia="黑体" w:cs="Times New Roman"/>
          <w:b/>
          <w:color w:val="auto"/>
          <w:sz w:val="28"/>
          <w:szCs w:val="28"/>
        </w:rPr>
        <w:t>批  准：</w:t>
      </w:r>
      <w:r>
        <w:rPr>
          <w:rFonts w:hint="default" w:ascii="Times New Roman" w:hAnsi="Times New Roman" w:eastAsia="黑体" w:cs="Times New Roman"/>
          <w:color w:val="auto"/>
          <w:sz w:val="28"/>
          <w:szCs w:val="28"/>
        </w:rPr>
        <w:t>沙万勤（总经理）</w:t>
      </w:r>
    </w:p>
    <w:p>
      <w:pPr>
        <w:ind w:firstLine="562"/>
        <w:rPr>
          <w:rFonts w:hint="default" w:ascii="Times New Roman" w:hAnsi="Times New Roman" w:eastAsia="黑体" w:cs="Times New Roman"/>
          <w:b/>
          <w:color w:val="auto"/>
          <w:sz w:val="28"/>
          <w:szCs w:val="28"/>
        </w:rPr>
      </w:pPr>
    </w:p>
    <w:p>
      <w:pPr>
        <w:ind w:firstLine="562"/>
        <w:rPr>
          <w:rFonts w:hint="default" w:ascii="Times New Roman" w:hAnsi="Times New Roman" w:eastAsia="黑体" w:cs="Times New Roman"/>
          <w:b/>
          <w:color w:val="auto"/>
          <w:sz w:val="28"/>
          <w:szCs w:val="28"/>
        </w:rPr>
      </w:pPr>
      <w:r>
        <w:rPr>
          <w:rFonts w:hint="default" w:ascii="Times New Roman" w:hAnsi="Times New Roman" w:eastAsia="黑体" w:cs="Times New Roman"/>
          <w:b/>
          <w:color w:val="auto"/>
          <w:sz w:val="28"/>
          <w:szCs w:val="28"/>
        </w:rPr>
        <w:t>核  定：</w:t>
      </w:r>
      <w:r>
        <w:rPr>
          <w:rFonts w:hint="default" w:ascii="Times New Roman" w:hAnsi="Times New Roman" w:eastAsia="黑体" w:cs="Times New Roman"/>
          <w:color w:val="auto"/>
          <w:sz w:val="28"/>
          <w:szCs w:val="28"/>
        </w:rPr>
        <w:t>杨  周（工程师）</w:t>
      </w:r>
    </w:p>
    <w:p>
      <w:pPr>
        <w:ind w:firstLine="562"/>
        <w:rPr>
          <w:rFonts w:hint="default" w:ascii="Times New Roman" w:hAnsi="Times New Roman" w:eastAsia="黑体" w:cs="Times New Roman"/>
          <w:b/>
          <w:color w:val="auto"/>
          <w:sz w:val="28"/>
          <w:szCs w:val="28"/>
        </w:rPr>
      </w:pPr>
    </w:p>
    <w:p>
      <w:pPr>
        <w:ind w:firstLine="562"/>
        <w:rPr>
          <w:rFonts w:hint="default" w:ascii="Times New Roman" w:hAnsi="Times New Roman" w:eastAsia="黑体" w:cs="Times New Roman"/>
          <w:b/>
          <w:color w:val="auto"/>
          <w:sz w:val="28"/>
          <w:szCs w:val="28"/>
        </w:rPr>
      </w:pPr>
      <w:r>
        <w:rPr>
          <w:rFonts w:hint="default" w:ascii="Times New Roman" w:hAnsi="Times New Roman" w:eastAsia="黑体" w:cs="Times New Roman"/>
          <w:b/>
          <w:color w:val="auto"/>
          <w:sz w:val="28"/>
          <w:szCs w:val="28"/>
        </w:rPr>
        <w:t>审  查：</w:t>
      </w:r>
      <w:r>
        <w:rPr>
          <w:rFonts w:hint="default" w:ascii="Times New Roman" w:hAnsi="Times New Roman" w:eastAsia="黑体" w:cs="Times New Roman"/>
          <w:color w:val="auto"/>
          <w:sz w:val="28"/>
          <w:szCs w:val="28"/>
        </w:rPr>
        <w:t>彭乔丹（工程师）</w:t>
      </w:r>
    </w:p>
    <w:p>
      <w:pPr>
        <w:ind w:firstLine="562"/>
        <w:rPr>
          <w:rFonts w:hint="default" w:ascii="Times New Roman" w:hAnsi="Times New Roman" w:eastAsia="黑体" w:cs="Times New Roman"/>
          <w:b/>
          <w:color w:val="auto"/>
          <w:sz w:val="28"/>
          <w:szCs w:val="28"/>
        </w:rPr>
      </w:pPr>
    </w:p>
    <w:p>
      <w:pPr>
        <w:ind w:firstLine="562"/>
        <w:rPr>
          <w:rFonts w:hint="default" w:ascii="Times New Roman" w:hAnsi="Times New Roman" w:eastAsia="黑体" w:cs="Times New Roman"/>
          <w:b/>
          <w:color w:val="auto"/>
          <w:sz w:val="28"/>
          <w:szCs w:val="28"/>
        </w:rPr>
      </w:pPr>
      <w:r>
        <w:rPr>
          <w:rFonts w:hint="default" w:ascii="Times New Roman" w:hAnsi="Times New Roman" w:eastAsia="黑体" w:cs="Times New Roman"/>
          <w:b/>
          <w:color w:val="auto"/>
          <w:sz w:val="28"/>
          <w:szCs w:val="28"/>
        </w:rPr>
        <w:t>校  核：</w:t>
      </w:r>
      <w:r>
        <w:rPr>
          <w:rFonts w:hint="default" w:ascii="Times New Roman" w:hAnsi="Times New Roman" w:eastAsia="黑体" w:cs="Times New Roman"/>
          <w:color w:val="auto"/>
          <w:sz w:val="28"/>
          <w:szCs w:val="28"/>
        </w:rPr>
        <w:t>宁  萌（工程师）</w:t>
      </w:r>
    </w:p>
    <w:p>
      <w:pPr>
        <w:ind w:firstLine="981" w:firstLineChars="349"/>
        <w:rPr>
          <w:rFonts w:hint="default" w:ascii="Times New Roman" w:hAnsi="Times New Roman" w:eastAsia="黑体" w:cs="Times New Roman"/>
          <w:b/>
          <w:color w:val="auto"/>
          <w:sz w:val="28"/>
          <w:szCs w:val="28"/>
        </w:rPr>
      </w:pPr>
    </w:p>
    <w:p>
      <w:pPr>
        <w:ind w:firstLine="512" w:firstLineChars="182"/>
        <w:rPr>
          <w:rFonts w:hint="default" w:ascii="Times New Roman" w:hAnsi="Times New Roman" w:eastAsia="黑体" w:cs="Times New Roman"/>
          <w:color w:val="auto"/>
          <w:sz w:val="28"/>
          <w:szCs w:val="28"/>
        </w:rPr>
      </w:pPr>
      <w:r>
        <w:rPr>
          <w:rFonts w:hint="default" w:ascii="Times New Roman" w:hAnsi="Times New Roman" w:eastAsia="黑体" w:cs="Times New Roman"/>
          <w:b/>
          <w:color w:val="auto"/>
          <w:sz w:val="28"/>
          <w:szCs w:val="28"/>
        </w:rPr>
        <w:t>项目负责人：</w:t>
      </w:r>
      <w:r>
        <w:rPr>
          <w:rFonts w:hint="default" w:ascii="Times New Roman" w:hAnsi="Times New Roman" w:eastAsia="黑体" w:cs="Times New Roman"/>
          <w:color w:val="auto"/>
          <w:sz w:val="28"/>
          <w:szCs w:val="28"/>
        </w:rPr>
        <w:t>郑  伟（工程师）</w:t>
      </w:r>
    </w:p>
    <w:p>
      <w:pPr>
        <w:ind w:firstLine="512" w:firstLineChars="182"/>
        <w:rPr>
          <w:rFonts w:hint="default" w:ascii="Times New Roman" w:hAnsi="Times New Roman" w:eastAsia="黑体" w:cs="Times New Roman"/>
          <w:b/>
          <w:color w:val="auto"/>
          <w:sz w:val="28"/>
          <w:szCs w:val="28"/>
        </w:rPr>
      </w:pPr>
    </w:p>
    <w:p>
      <w:pPr>
        <w:ind w:firstLine="512" w:firstLineChars="182"/>
        <w:rPr>
          <w:rFonts w:hint="default" w:ascii="Times New Roman" w:hAnsi="Times New Roman" w:eastAsia="黑体" w:cs="Times New Roman"/>
          <w:b/>
          <w:color w:val="auto"/>
          <w:sz w:val="28"/>
          <w:szCs w:val="28"/>
        </w:rPr>
      </w:pPr>
      <w:r>
        <w:rPr>
          <w:rFonts w:hint="default" w:ascii="Times New Roman" w:hAnsi="Times New Roman" w:eastAsia="黑体" w:cs="Times New Roman"/>
          <w:b/>
          <w:color w:val="auto"/>
          <w:sz w:val="28"/>
          <w:szCs w:val="28"/>
        </w:rPr>
        <w:t>参加人员：</w:t>
      </w:r>
    </w:p>
    <w:p>
      <w:pPr>
        <w:ind w:firstLine="512" w:firstLineChars="182"/>
        <w:rPr>
          <w:rFonts w:hint="default" w:ascii="Times New Roman" w:hAnsi="Times New Roman" w:eastAsia="黑体" w:cs="Times New Roman"/>
          <w:b/>
          <w:color w:val="auto"/>
          <w:sz w:val="28"/>
          <w:szCs w:val="28"/>
        </w:rPr>
      </w:pPr>
    </w:p>
    <w:p>
      <w:pPr>
        <w:ind w:firstLine="1960" w:firstLineChars="700"/>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rPr>
        <w:t>梁丽萍（工程师）</w:t>
      </w:r>
    </w:p>
    <w:p>
      <w:pPr>
        <w:ind w:firstLine="280" w:firstLineChars="100"/>
        <w:rPr>
          <w:rFonts w:hint="default" w:ascii="Times New Roman" w:hAnsi="Times New Roman" w:eastAsia="黑体" w:cs="Times New Roman"/>
          <w:color w:val="auto"/>
          <w:sz w:val="28"/>
          <w:szCs w:val="28"/>
        </w:rPr>
      </w:pPr>
    </w:p>
    <w:p>
      <w:pPr>
        <w:pStyle w:val="23"/>
        <w:bidi w:val="0"/>
        <w:rPr>
          <w:rFonts w:hint="default"/>
        </w:rPr>
      </w:pPr>
    </w:p>
    <w:p>
      <w:pPr>
        <w:pStyle w:val="23"/>
        <w:bidi w:val="0"/>
        <w:rPr>
          <w:rFonts w:hint="default"/>
        </w:rPr>
      </w:pPr>
    </w:p>
    <w:p>
      <w:pPr>
        <w:adjustRightInd w:val="0"/>
        <w:snapToGrid w:val="0"/>
        <w:spacing w:line="240" w:lineRule="auto"/>
        <w:ind w:firstLine="466"/>
        <w:jc w:val="center"/>
        <w:rPr>
          <w:rFonts w:eastAsia="仿宋_GB2312"/>
          <w:b/>
          <w:bCs/>
          <w:spacing w:val="-4"/>
        </w:rPr>
      </w:pPr>
      <w:r>
        <w:rPr>
          <w:rFonts w:eastAsia="仿宋_GB2312"/>
          <w:b/>
          <w:bCs/>
          <w:spacing w:val="-4"/>
        </w:rPr>
        <w:t>依据《</w:t>
      </w:r>
      <w:r>
        <w:rPr>
          <w:rFonts w:hint="eastAsia" w:eastAsia="仿宋_GB2312"/>
          <w:b/>
          <w:bCs/>
          <w:spacing w:val="-4"/>
        </w:rPr>
        <w:t>红原县2016年薄弱学校改造和学前教育（邛溪镇易地育人寄宿制学校）建设项目</w:t>
      </w:r>
      <w:r>
        <w:rPr>
          <w:rFonts w:eastAsia="仿宋_GB2312"/>
          <w:b/>
          <w:bCs/>
          <w:spacing w:val="-4"/>
        </w:rPr>
        <w:t>水土保持方案报告表技术评审意见》所做的修改</w:t>
      </w:r>
    </w:p>
    <w:tbl>
      <w:tblPr>
        <w:tblStyle w:val="6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150"/>
        <w:gridCol w:w="2863"/>
        <w:gridCol w:w="1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8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eastAsia="仿宋_GB2312" w:cs="Times New Roman"/>
                <w:b/>
                <w:bCs/>
                <w:color w:val="auto"/>
                <w:spacing w:val="-4"/>
                <w:sz w:val="24"/>
                <w:szCs w:val="24"/>
              </w:rPr>
            </w:pPr>
            <w:r>
              <w:rPr>
                <w:rFonts w:hint="default" w:ascii="Times New Roman" w:hAnsi="Times New Roman" w:eastAsia="仿宋_GB2312" w:cs="Times New Roman"/>
                <w:b/>
                <w:bCs/>
                <w:color w:val="auto"/>
                <w:spacing w:val="-4"/>
                <w:sz w:val="24"/>
                <w:szCs w:val="24"/>
              </w:rPr>
              <w:t>序号</w:t>
            </w:r>
          </w:p>
        </w:tc>
        <w:tc>
          <w:tcPr>
            <w:tcW w:w="3150" w:type="dxa"/>
            <w:tcBorders>
              <w:top w:val="single" w:color="auto" w:sz="4" w:space="0"/>
              <w:left w:val="single" w:color="auto" w:sz="4" w:space="0"/>
              <w:bottom w:val="single" w:color="auto" w:sz="4" w:space="0"/>
              <w:right w:val="single" w:color="auto" w:sz="4" w:space="0"/>
            </w:tcBorders>
            <w:vAlign w:val="center"/>
          </w:tcPr>
          <w:p>
            <w:pPr>
              <w:ind w:firstLine="466"/>
              <w:rPr>
                <w:rFonts w:hint="default" w:ascii="Times New Roman" w:hAnsi="Times New Roman" w:eastAsia="仿宋_GB2312" w:cs="Times New Roman"/>
                <w:b/>
                <w:bCs/>
                <w:color w:val="auto"/>
                <w:spacing w:val="-4"/>
                <w:sz w:val="24"/>
                <w:szCs w:val="24"/>
              </w:rPr>
            </w:pPr>
            <w:r>
              <w:rPr>
                <w:rFonts w:hint="default" w:ascii="Times New Roman" w:hAnsi="Times New Roman" w:eastAsia="仿宋_GB2312" w:cs="Times New Roman"/>
                <w:b/>
                <w:bCs/>
                <w:color w:val="auto"/>
                <w:spacing w:val="-4"/>
                <w:sz w:val="24"/>
                <w:szCs w:val="24"/>
              </w:rPr>
              <w:t>专家意见</w:t>
            </w:r>
          </w:p>
        </w:tc>
        <w:tc>
          <w:tcPr>
            <w:tcW w:w="286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eastAsia="仿宋_GB2312" w:cs="Times New Roman"/>
                <w:b/>
                <w:bCs/>
                <w:color w:val="auto"/>
                <w:spacing w:val="-4"/>
                <w:sz w:val="24"/>
                <w:szCs w:val="24"/>
              </w:rPr>
            </w:pPr>
            <w:r>
              <w:rPr>
                <w:rFonts w:hint="default" w:ascii="Times New Roman" w:hAnsi="Times New Roman" w:eastAsia="仿宋_GB2312" w:cs="Times New Roman"/>
                <w:b/>
                <w:bCs/>
                <w:color w:val="auto"/>
                <w:spacing w:val="-4"/>
                <w:sz w:val="24"/>
                <w:szCs w:val="24"/>
              </w:rPr>
              <w:t>修改说明</w:t>
            </w:r>
          </w:p>
        </w:tc>
        <w:tc>
          <w:tcPr>
            <w:tcW w:w="1692" w:type="dxa"/>
            <w:tcBorders>
              <w:top w:val="single" w:color="auto" w:sz="4" w:space="0"/>
              <w:left w:val="single" w:color="auto" w:sz="4" w:space="0"/>
              <w:bottom w:val="single" w:color="auto" w:sz="4" w:space="0"/>
              <w:right w:val="single" w:color="auto" w:sz="4" w:space="0"/>
            </w:tcBorders>
            <w:vAlign w:val="center"/>
          </w:tcPr>
          <w:p>
            <w:pPr>
              <w:ind w:firstLine="0" w:firstLineChars="0"/>
              <w:rPr>
                <w:rFonts w:hint="default" w:ascii="Times New Roman" w:hAnsi="Times New Roman" w:eastAsia="仿宋_GB2312" w:cs="Times New Roman"/>
                <w:b/>
                <w:bCs/>
                <w:color w:val="auto"/>
                <w:spacing w:val="-4"/>
                <w:sz w:val="24"/>
                <w:szCs w:val="24"/>
              </w:rPr>
            </w:pPr>
            <w:r>
              <w:rPr>
                <w:rFonts w:hint="default" w:ascii="Times New Roman" w:hAnsi="Times New Roman" w:eastAsia="仿宋_GB2312" w:cs="Times New Roman"/>
                <w:b/>
                <w:bCs/>
                <w:color w:val="auto"/>
                <w:spacing w:val="-4"/>
                <w:sz w:val="24"/>
                <w:szCs w:val="24"/>
              </w:rPr>
              <w:t>修改后页码或章节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eastAsia="仿宋_GB2312" w:cs="Times New Roman"/>
                <w:bCs/>
                <w:color w:val="auto"/>
                <w:spacing w:val="-4"/>
                <w:sz w:val="24"/>
                <w:szCs w:val="24"/>
              </w:rPr>
            </w:pPr>
            <w:r>
              <w:rPr>
                <w:rFonts w:hint="default" w:ascii="Times New Roman" w:hAnsi="Times New Roman" w:eastAsia="仿宋_GB2312" w:cs="Times New Roman"/>
                <w:bCs/>
                <w:color w:val="auto"/>
                <w:spacing w:val="-4"/>
                <w:sz w:val="24"/>
                <w:szCs w:val="24"/>
              </w:rPr>
              <w:t>1</w:t>
            </w:r>
          </w:p>
        </w:tc>
        <w:tc>
          <w:tcPr>
            <w:tcW w:w="3150"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完善本项目与既有项目的依托利用关系（重点为给水工程、排水工程、供电工程等方面的依托）</w:t>
            </w:r>
          </w:p>
        </w:tc>
        <w:tc>
          <w:tcPr>
            <w:tcW w:w="2863"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_GB2312" w:cs="Times New Roman"/>
                <w:color w:val="auto"/>
                <w:sz w:val="24"/>
                <w:szCs w:val="24"/>
                <w:lang w:eastAsia="zh-CN"/>
              </w:rPr>
            </w:pPr>
            <w:r>
              <w:rPr>
                <w:rFonts w:hint="eastAsia" w:eastAsia="仿宋_GB2312" w:cs="Times New Roman"/>
                <w:color w:val="auto"/>
                <w:sz w:val="24"/>
                <w:szCs w:val="24"/>
                <w:lang w:eastAsia="zh-CN"/>
              </w:rPr>
              <w:t>已完善本项目于既有项目的依托关系</w:t>
            </w:r>
          </w:p>
        </w:tc>
        <w:tc>
          <w:tcPr>
            <w:tcW w:w="1692"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0" w:firstLineChars="0"/>
              <w:rPr>
                <w:rFonts w:hint="default" w:ascii="Times New Roman" w:hAnsi="Times New Roman" w:eastAsia="仿宋_GB2312" w:cs="Times New Roman"/>
                <w:bCs/>
                <w:color w:val="auto"/>
                <w:spacing w:val="-4"/>
                <w:sz w:val="24"/>
                <w:szCs w:val="24"/>
                <w:lang w:val="en-US" w:eastAsia="zh-CN"/>
              </w:rPr>
            </w:pPr>
            <w:r>
              <w:rPr>
                <w:rFonts w:hint="default" w:ascii="Times New Roman" w:hAnsi="Times New Roman" w:eastAsia="仿宋_GB2312" w:cs="Times New Roman"/>
                <w:bCs/>
                <w:color w:val="auto"/>
                <w:spacing w:val="-4"/>
                <w:sz w:val="24"/>
                <w:szCs w:val="24"/>
              </w:rPr>
              <w:t>第2章，P</w:t>
            </w:r>
            <w:r>
              <w:rPr>
                <w:rFonts w:hint="default" w:ascii="Times New Roman" w:hAnsi="Times New Roman" w:eastAsia="仿宋_GB2312" w:cs="Times New Roman"/>
                <w:bCs/>
                <w:color w:val="auto"/>
                <w:spacing w:val="-4"/>
                <w:sz w:val="24"/>
                <w:szCs w:val="24"/>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eastAsia="仿宋_GB2312" w:cs="Times New Roman"/>
                <w:bCs/>
                <w:color w:val="auto"/>
                <w:spacing w:val="-4"/>
                <w:sz w:val="24"/>
                <w:szCs w:val="24"/>
              </w:rPr>
            </w:pPr>
            <w:r>
              <w:rPr>
                <w:rFonts w:hint="default" w:ascii="Times New Roman" w:hAnsi="Times New Roman" w:eastAsia="仿宋_GB2312" w:cs="Times New Roman"/>
                <w:bCs/>
                <w:color w:val="auto"/>
                <w:spacing w:val="-4"/>
                <w:sz w:val="24"/>
                <w:szCs w:val="24"/>
              </w:rPr>
              <w:t>2</w:t>
            </w:r>
          </w:p>
        </w:tc>
        <w:tc>
          <w:tcPr>
            <w:tcW w:w="3150"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进一步完善项目竖向布置，施工期、建成运行期的排水方案等（场地排水组织、排水标准、布置及与周边水系衔接介绍）</w:t>
            </w:r>
          </w:p>
        </w:tc>
        <w:tc>
          <w:tcPr>
            <w:tcW w:w="2863"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_GB2312" w:cs="Times New Roman"/>
                <w:color w:val="auto"/>
                <w:sz w:val="24"/>
                <w:szCs w:val="24"/>
                <w:lang w:val="en-US" w:eastAsia="zh-CN"/>
              </w:rPr>
            </w:pPr>
            <w:r>
              <w:rPr>
                <w:rFonts w:hint="eastAsia" w:eastAsia="仿宋_GB2312" w:cs="Times New Roman"/>
                <w:color w:val="auto"/>
                <w:sz w:val="24"/>
                <w:szCs w:val="24"/>
                <w:lang w:val="en-US" w:eastAsia="zh-CN"/>
              </w:rPr>
              <w:t>已从教学综合楼与周围地坪竖向关系、场地排水接入等方面完善了项目竖向布置介绍；已补充完善建成运行期排水组织情况介绍</w:t>
            </w:r>
          </w:p>
        </w:tc>
        <w:tc>
          <w:tcPr>
            <w:tcW w:w="1692"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0" w:firstLineChars="0"/>
              <w:rPr>
                <w:rFonts w:hint="default" w:ascii="Times New Roman" w:hAnsi="Times New Roman" w:eastAsia="仿宋_GB2312" w:cs="Times New Roman"/>
                <w:bCs/>
                <w:color w:val="auto"/>
                <w:spacing w:val="-4"/>
                <w:sz w:val="24"/>
                <w:szCs w:val="24"/>
                <w:lang w:val="en-US" w:eastAsia="zh-CN"/>
              </w:rPr>
            </w:pPr>
            <w:r>
              <w:rPr>
                <w:rFonts w:hint="default" w:ascii="Times New Roman" w:hAnsi="Times New Roman" w:eastAsia="仿宋_GB2312" w:cs="Times New Roman"/>
                <w:bCs/>
                <w:color w:val="auto"/>
                <w:spacing w:val="-4"/>
                <w:sz w:val="24"/>
                <w:szCs w:val="24"/>
              </w:rPr>
              <w:t>第2章，P</w:t>
            </w:r>
            <w:r>
              <w:rPr>
                <w:rFonts w:hint="default" w:ascii="Times New Roman" w:hAnsi="Times New Roman" w:eastAsia="仿宋_GB2312" w:cs="Times New Roman"/>
                <w:bCs/>
                <w:color w:val="auto"/>
                <w:spacing w:val="-4"/>
                <w:sz w:val="24"/>
                <w:szCs w:val="24"/>
                <w:lang w:val="en-US" w:eastAsia="zh-CN"/>
              </w:rPr>
              <w:t>1</w:t>
            </w:r>
            <w:r>
              <w:rPr>
                <w:rFonts w:hint="eastAsia" w:eastAsia="仿宋_GB2312" w:cs="Times New Roman"/>
                <w:bCs/>
                <w:color w:val="auto"/>
                <w:spacing w:val="-4"/>
                <w:sz w:val="24"/>
                <w:szCs w:val="24"/>
                <w:lang w:val="en-US" w:eastAsia="zh-CN"/>
              </w:rPr>
              <w:t>6、P18-P19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eastAsia="仿宋_GB2312" w:cs="Times New Roman"/>
                <w:bCs/>
                <w:color w:val="auto"/>
                <w:spacing w:val="-4"/>
                <w:sz w:val="24"/>
                <w:szCs w:val="24"/>
              </w:rPr>
            </w:pPr>
            <w:r>
              <w:rPr>
                <w:rFonts w:hint="default" w:ascii="Times New Roman" w:hAnsi="Times New Roman" w:eastAsia="仿宋_GB2312" w:cs="Times New Roman"/>
                <w:bCs/>
                <w:color w:val="auto"/>
                <w:spacing w:val="-4"/>
                <w:sz w:val="24"/>
                <w:szCs w:val="24"/>
              </w:rPr>
              <w:t>3</w:t>
            </w:r>
          </w:p>
        </w:tc>
        <w:tc>
          <w:tcPr>
            <w:tcW w:w="3150"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完善完工补报方案的思路完善工程建设现状、运行情况及存在的水土流失遗留问题等（照片显示植物措施的盖度、保留率及存活率不满足要求，需要采取相应措施）</w:t>
            </w:r>
          </w:p>
        </w:tc>
        <w:tc>
          <w:tcPr>
            <w:tcW w:w="2863"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_GB2312" w:cs="Times New Roman"/>
                <w:color w:val="auto"/>
                <w:sz w:val="24"/>
                <w:szCs w:val="24"/>
                <w:lang w:val="en-US" w:eastAsia="zh-CN"/>
              </w:rPr>
            </w:pPr>
            <w:r>
              <w:rPr>
                <w:rFonts w:hint="eastAsia" w:eastAsia="仿宋_GB2312" w:cs="Times New Roman"/>
                <w:color w:val="auto"/>
                <w:sz w:val="24"/>
                <w:szCs w:val="24"/>
                <w:lang w:val="en-US" w:eastAsia="zh-CN"/>
              </w:rPr>
              <w:t>已完善补报方案的思路、工程建设现状、运行情况及水土流失现状等；针对现状植物措施盖度、保留率及存活率不满足要求的情况，方案新增了土地整治、撒播草籽、抚育管理措施</w:t>
            </w:r>
          </w:p>
        </w:tc>
        <w:tc>
          <w:tcPr>
            <w:tcW w:w="1692" w:type="dxa"/>
            <w:tcBorders>
              <w:top w:val="single" w:color="auto" w:sz="4" w:space="0"/>
              <w:left w:val="single" w:color="auto" w:sz="4" w:space="0"/>
              <w:bottom w:val="single" w:color="auto" w:sz="4" w:space="0"/>
              <w:right w:val="single" w:color="auto" w:sz="4" w:space="0"/>
            </w:tcBorders>
            <w:vAlign w:val="center"/>
          </w:tcPr>
          <w:p>
            <w:pPr>
              <w:tabs>
                <w:tab w:val="left" w:pos="6510"/>
              </w:tabs>
              <w:ind w:left="0" w:leftChars="0" w:firstLine="0" w:firstLineChars="0"/>
              <w:rPr>
                <w:rFonts w:hint="default" w:eastAsia="仿宋_GB2312" w:cs="Times New Roman"/>
                <w:color w:val="auto"/>
                <w:sz w:val="24"/>
                <w:szCs w:val="24"/>
                <w:lang w:val="en-US" w:eastAsia="zh-CN"/>
              </w:rPr>
            </w:pPr>
            <w:r>
              <w:rPr>
                <w:rFonts w:hint="eastAsia" w:eastAsia="仿宋_GB2312" w:cs="Times New Roman"/>
                <w:color w:val="auto"/>
                <w:sz w:val="24"/>
                <w:szCs w:val="24"/>
                <w:lang w:val="en-US" w:eastAsia="zh-CN"/>
              </w:rPr>
              <w:t>第2章，</w:t>
            </w:r>
            <w:r>
              <w:rPr>
                <w:rFonts w:hint="default" w:eastAsia="仿宋_GB2312" w:cs="Times New Roman"/>
                <w:color w:val="auto"/>
                <w:sz w:val="24"/>
                <w:szCs w:val="24"/>
                <w:lang w:val="en-US" w:eastAsia="zh-CN"/>
              </w:rPr>
              <w:t>P12</w:t>
            </w:r>
          </w:p>
          <w:p>
            <w:pPr>
              <w:tabs>
                <w:tab w:val="left" w:pos="6510"/>
              </w:tabs>
              <w:ind w:left="0" w:leftChars="0" w:firstLine="0" w:firstLineChars="0"/>
              <w:rPr>
                <w:rFonts w:hint="default" w:eastAsia="仿宋_GB2312" w:cs="Times New Roman"/>
                <w:color w:val="auto"/>
                <w:sz w:val="24"/>
                <w:szCs w:val="24"/>
                <w:lang w:val="en-US" w:eastAsia="zh-CN"/>
              </w:rPr>
            </w:pPr>
            <w:r>
              <w:rPr>
                <w:rFonts w:hint="eastAsia" w:eastAsia="仿宋_GB2312" w:cs="Times New Roman"/>
                <w:color w:val="auto"/>
                <w:sz w:val="24"/>
                <w:szCs w:val="24"/>
                <w:lang w:val="en-US" w:eastAsia="zh-CN"/>
              </w:rPr>
              <w:t>第3章，P33</w:t>
            </w:r>
          </w:p>
          <w:p>
            <w:pPr>
              <w:tabs>
                <w:tab w:val="left" w:pos="6510"/>
              </w:tabs>
              <w:ind w:left="0" w:leftChars="0" w:firstLine="0" w:firstLineChars="0"/>
              <w:rPr>
                <w:rFonts w:hint="default" w:eastAsia="仿宋_GB2312" w:cs="Times New Roman"/>
                <w:color w:val="auto"/>
                <w:sz w:val="24"/>
                <w:szCs w:val="24"/>
                <w:lang w:val="en-US" w:eastAsia="zh-CN"/>
              </w:rPr>
            </w:pPr>
            <w:r>
              <w:rPr>
                <w:rFonts w:hint="eastAsia" w:eastAsia="仿宋_GB2312" w:cs="Times New Roman"/>
                <w:color w:val="auto"/>
                <w:sz w:val="24"/>
                <w:szCs w:val="24"/>
                <w:lang w:val="en-US" w:eastAsia="zh-CN"/>
              </w:rPr>
              <w:t>第5章，P39-P42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7" w:hRule="atLeast"/>
        </w:trPr>
        <w:tc>
          <w:tcPr>
            <w:tcW w:w="8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eastAsia="仿宋_GB2312" w:cs="Times New Roman"/>
                <w:bCs/>
                <w:color w:val="auto"/>
                <w:spacing w:val="-4"/>
                <w:sz w:val="24"/>
                <w:szCs w:val="24"/>
              </w:rPr>
            </w:pPr>
            <w:r>
              <w:rPr>
                <w:rFonts w:hint="default" w:ascii="Times New Roman" w:hAnsi="Times New Roman" w:eastAsia="仿宋_GB2312" w:cs="Times New Roman"/>
                <w:bCs/>
                <w:color w:val="auto"/>
                <w:spacing w:val="-4"/>
                <w:sz w:val="24"/>
                <w:szCs w:val="24"/>
              </w:rPr>
              <w:t>4</w:t>
            </w:r>
          </w:p>
        </w:tc>
        <w:tc>
          <w:tcPr>
            <w:tcW w:w="3150"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项目没有表土剥离、复核表土的来源，相应有外借表土，土石方应当有外借方，核实土石方量</w:t>
            </w:r>
          </w:p>
        </w:tc>
        <w:tc>
          <w:tcPr>
            <w:tcW w:w="2863"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_GB2312" w:cs="Times New Roman"/>
                <w:color w:val="auto"/>
                <w:sz w:val="24"/>
                <w:szCs w:val="24"/>
                <w:lang w:eastAsia="zh-CN"/>
              </w:rPr>
            </w:pPr>
            <w:r>
              <w:rPr>
                <w:rFonts w:hint="eastAsia" w:eastAsia="仿宋_GB2312" w:cs="Times New Roman"/>
                <w:color w:val="auto"/>
                <w:sz w:val="24"/>
                <w:szCs w:val="24"/>
                <w:lang w:eastAsia="zh-CN"/>
              </w:rPr>
              <w:t>从现状场地看既有土壤质地满足植被生长，方案不再新增客土回填</w:t>
            </w:r>
          </w:p>
        </w:tc>
        <w:tc>
          <w:tcPr>
            <w:tcW w:w="1692"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0" w:firstLineChars="0"/>
              <w:rPr>
                <w:rFonts w:hint="default" w:ascii="Times New Roman" w:hAnsi="Times New Roman" w:eastAsia="仿宋_GB2312" w:cs="Times New Roman"/>
                <w:bCs/>
                <w:color w:val="auto"/>
                <w:spacing w:val="-4"/>
                <w:sz w:val="24"/>
                <w:szCs w:val="24"/>
                <w:lang w:val="en-US" w:eastAsia="zh-CN"/>
              </w:rPr>
            </w:pPr>
            <w:r>
              <w:rPr>
                <w:rFonts w:hint="default" w:ascii="Times New Roman" w:hAnsi="Times New Roman" w:eastAsia="仿宋_GB2312" w:cs="Times New Roman"/>
                <w:bCs/>
                <w:color w:val="auto"/>
                <w:spacing w:val="-4"/>
                <w:sz w:val="24"/>
                <w:szCs w:val="24"/>
              </w:rPr>
              <w:t>第2章，P</w:t>
            </w:r>
            <w:r>
              <w:rPr>
                <w:rFonts w:hint="eastAsia" w:eastAsia="仿宋_GB2312" w:cs="Times New Roman"/>
                <w:bCs/>
                <w:color w:val="auto"/>
                <w:spacing w:val="-4"/>
                <w:sz w:val="24"/>
                <w:szCs w:val="24"/>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eastAsia="仿宋_GB2312" w:cs="Times New Roman"/>
                <w:bCs/>
                <w:color w:val="auto"/>
                <w:spacing w:val="-4"/>
                <w:sz w:val="24"/>
                <w:szCs w:val="24"/>
              </w:rPr>
            </w:pPr>
            <w:r>
              <w:rPr>
                <w:rFonts w:hint="default" w:ascii="Times New Roman" w:hAnsi="Times New Roman" w:eastAsia="仿宋_GB2312" w:cs="Times New Roman"/>
                <w:bCs/>
                <w:color w:val="auto"/>
                <w:spacing w:val="-4"/>
                <w:sz w:val="24"/>
                <w:szCs w:val="24"/>
              </w:rPr>
              <w:t>5</w:t>
            </w:r>
          </w:p>
        </w:tc>
        <w:tc>
          <w:tcPr>
            <w:tcW w:w="3150"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rPr>
              <w:t>补充项目区3年、5年、10年一遇1小时，1/6小时降雨量</w:t>
            </w:r>
          </w:p>
        </w:tc>
        <w:tc>
          <w:tcPr>
            <w:tcW w:w="2863"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_GB2312" w:cs="Times New Roman"/>
                <w:color w:val="auto"/>
                <w:sz w:val="24"/>
                <w:szCs w:val="24"/>
                <w:lang w:val="en-US" w:eastAsia="zh-CN"/>
              </w:rPr>
            </w:pPr>
            <w:r>
              <w:rPr>
                <w:rFonts w:hint="eastAsia" w:eastAsia="仿宋_GB2312" w:cs="Times New Roman"/>
                <w:color w:val="auto"/>
                <w:sz w:val="24"/>
                <w:szCs w:val="24"/>
                <w:lang w:val="en-US" w:eastAsia="zh-CN"/>
              </w:rPr>
              <w:t>已补充项目区</w:t>
            </w:r>
            <w:r>
              <w:rPr>
                <w:rFonts w:hint="default" w:ascii="Times New Roman" w:hAnsi="Times New Roman" w:eastAsia="仿宋_GB2312" w:cs="Times New Roman"/>
                <w:color w:val="auto"/>
                <w:sz w:val="24"/>
                <w:szCs w:val="24"/>
              </w:rPr>
              <w:t>3年、5年、10年一遇1小时，1/6小时降雨量</w:t>
            </w:r>
          </w:p>
        </w:tc>
        <w:tc>
          <w:tcPr>
            <w:tcW w:w="1692"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0" w:firstLineChars="0"/>
              <w:rPr>
                <w:rFonts w:hint="default" w:ascii="Times New Roman" w:hAnsi="Times New Roman" w:eastAsia="仿宋_GB2312" w:cs="Times New Roman"/>
                <w:bCs/>
                <w:color w:val="auto"/>
                <w:spacing w:val="-4"/>
                <w:sz w:val="24"/>
                <w:szCs w:val="24"/>
              </w:rPr>
            </w:pPr>
            <w:r>
              <w:rPr>
                <w:rFonts w:hint="default" w:ascii="Times New Roman" w:hAnsi="Times New Roman" w:eastAsia="仿宋_GB2312" w:cs="Times New Roman"/>
                <w:bCs/>
                <w:color w:val="auto"/>
                <w:spacing w:val="-4"/>
                <w:sz w:val="24"/>
                <w:szCs w:val="24"/>
              </w:rPr>
              <w:t>第</w:t>
            </w:r>
            <w:r>
              <w:rPr>
                <w:rFonts w:hint="eastAsia" w:eastAsia="仿宋_GB2312" w:cs="Times New Roman"/>
                <w:bCs/>
                <w:color w:val="auto"/>
                <w:spacing w:val="-4"/>
                <w:sz w:val="24"/>
                <w:szCs w:val="24"/>
                <w:lang w:val="en-US" w:eastAsia="zh-CN"/>
              </w:rPr>
              <w:t>1</w:t>
            </w:r>
            <w:r>
              <w:rPr>
                <w:rFonts w:hint="default" w:ascii="Times New Roman" w:hAnsi="Times New Roman" w:eastAsia="仿宋_GB2312" w:cs="Times New Roman"/>
                <w:bCs/>
                <w:color w:val="auto"/>
                <w:spacing w:val="-4"/>
                <w:sz w:val="24"/>
                <w:szCs w:val="24"/>
              </w:rPr>
              <w:t>章，P</w:t>
            </w:r>
            <w:r>
              <w:rPr>
                <w:rFonts w:hint="eastAsia" w:eastAsia="仿宋_GB2312" w:cs="Times New Roman"/>
                <w:bCs/>
                <w:color w:val="auto"/>
                <w:spacing w:val="-4"/>
                <w:sz w:val="24"/>
                <w:szCs w:val="24"/>
                <w:lang w:val="en-US" w:eastAsia="zh-CN"/>
              </w:rPr>
              <w:t>3</w:t>
            </w:r>
          </w:p>
          <w:p>
            <w:pPr>
              <w:tabs>
                <w:tab w:val="left" w:pos="6510"/>
              </w:tabs>
              <w:ind w:firstLine="0" w:firstLineChars="0"/>
              <w:rPr>
                <w:rFonts w:hint="default" w:ascii="Times New Roman" w:hAnsi="Times New Roman" w:eastAsia="仿宋_GB2312" w:cs="Times New Roman"/>
                <w:bCs/>
                <w:color w:val="auto"/>
                <w:spacing w:val="-4"/>
                <w:sz w:val="24"/>
                <w:szCs w:val="24"/>
                <w:lang w:val="en-US" w:eastAsia="zh-CN"/>
              </w:rPr>
            </w:pPr>
            <w:r>
              <w:rPr>
                <w:rFonts w:hint="default" w:ascii="Times New Roman" w:hAnsi="Times New Roman" w:eastAsia="仿宋_GB2312" w:cs="Times New Roman"/>
                <w:bCs/>
                <w:color w:val="auto"/>
                <w:spacing w:val="-4"/>
                <w:sz w:val="24"/>
                <w:szCs w:val="24"/>
              </w:rPr>
              <w:t>第2章，P</w:t>
            </w:r>
            <w:r>
              <w:rPr>
                <w:rFonts w:hint="eastAsia" w:eastAsia="仿宋_GB2312" w:cs="Times New Roman"/>
                <w:bCs/>
                <w:color w:val="auto"/>
                <w:spacing w:val="-4"/>
                <w:sz w:val="24"/>
                <w:szCs w:val="24"/>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trPr>
        <w:tc>
          <w:tcPr>
            <w:tcW w:w="8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eastAsia="仿宋_GB2312" w:cs="Times New Roman"/>
                <w:bCs/>
                <w:color w:val="auto"/>
                <w:spacing w:val="-4"/>
                <w:sz w:val="24"/>
                <w:szCs w:val="24"/>
              </w:rPr>
            </w:pPr>
            <w:r>
              <w:rPr>
                <w:rFonts w:hint="default" w:ascii="Times New Roman" w:hAnsi="Times New Roman" w:eastAsia="仿宋_GB2312" w:cs="Times New Roman"/>
                <w:bCs/>
                <w:color w:val="auto"/>
                <w:spacing w:val="-4"/>
                <w:sz w:val="24"/>
                <w:szCs w:val="24"/>
              </w:rPr>
              <w:t>6</w:t>
            </w:r>
          </w:p>
        </w:tc>
        <w:tc>
          <w:tcPr>
            <w:tcW w:w="315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520" w:lineRule="exact"/>
              <w:ind w:firstLine="480" w:firstLineChars="20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rPr>
              <w:t>防治责任范围图补充控制点经纬度坐标</w:t>
            </w:r>
          </w:p>
        </w:tc>
        <w:tc>
          <w:tcPr>
            <w:tcW w:w="2863"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_GB2312" w:cs="Times New Roman"/>
                <w:color w:val="auto"/>
                <w:sz w:val="24"/>
                <w:szCs w:val="24"/>
                <w:lang w:val="en-US" w:eastAsia="zh-CN"/>
              </w:rPr>
            </w:pPr>
            <w:r>
              <w:rPr>
                <w:rFonts w:hint="eastAsia" w:eastAsia="仿宋_GB2312" w:cs="Times New Roman"/>
                <w:color w:val="auto"/>
                <w:sz w:val="24"/>
                <w:szCs w:val="24"/>
                <w:lang w:val="en-US" w:eastAsia="zh-CN"/>
              </w:rPr>
              <w:t>防治责任范围图已补充项目控制点坐标</w:t>
            </w:r>
          </w:p>
        </w:tc>
        <w:tc>
          <w:tcPr>
            <w:tcW w:w="1692"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0" w:firstLineChars="0"/>
              <w:rPr>
                <w:rFonts w:hint="default" w:ascii="Times New Roman" w:hAnsi="Times New Roman" w:eastAsia="仿宋_GB2312" w:cs="Times New Roman"/>
                <w:bCs/>
                <w:color w:val="auto"/>
                <w:spacing w:val="-4"/>
                <w:sz w:val="24"/>
                <w:szCs w:val="24"/>
                <w:lang w:val="en-US" w:eastAsia="zh-CN"/>
              </w:rPr>
            </w:pPr>
            <w:r>
              <w:rPr>
                <w:rFonts w:hint="eastAsia" w:eastAsia="仿宋_GB2312" w:cs="Times New Roman"/>
                <w:bCs/>
                <w:color w:val="auto"/>
                <w:spacing w:val="-4"/>
                <w:sz w:val="24"/>
                <w:szCs w:val="24"/>
                <w:lang w:eastAsia="zh-CN"/>
              </w:rPr>
              <w:t>附图</w:t>
            </w:r>
            <w:r>
              <w:rPr>
                <w:rFonts w:hint="eastAsia" w:eastAsia="仿宋_GB2312" w:cs="Times New Roman"/>
                <w:bCs/>
                <w:color w:val="auto"/>
                <w:spacing w:val="-4"/>
                <w:sz w:val="24"/>
                <w:szCs w:val="24"/>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3" w:hRule="atLeast"/>
        </w:trPr>
        <w:tc>
          <w:tcPr>
            <w:tcW w:w="8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eastAsia="仿宋_GB2312" w:cs="Times New Roman"/>
                <w:bCs/>
                <w:color w:val="auto"/>
                <w:spacing w:val="-4"/>
                <w:sz w:val="24"/>
                <w:szCs w:val="24"/>
              </w:rPr>
            </w:pPr>
            <w:r>
              <w:rPr>
                <w:rFonts w:hint="default" w:ascii="Times New Roman" w:hAnsi="Times New Roman" w:eastAsia="仿宋_GB2312" w:cs="Times New Roman"/>
                <w:bCs/>
                <w:color w:val="auto"/>
                <w:spacing w:val="-4"/>
                <w:sz w:val="24"/>
                <w:szCs w:val="24"/>
              </w:rPr>
              <w:t>7</w:t>
            </w:r>
          </w:p>
        </w:tc>
        <w:tc>
          <w:tcPr>
            <w:tcW w:w="31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520" w:lineRule="exact"/>
              <w:ind w:firstLine="480" w:firstLineChars="20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rPr>
              <w:t>复核水土流失侵蚀模数取值，核实水土流失量。（P35报告中与调查时段和预测时段，核实究竟是否有预测时段？）</w:t>
            </w:r>
          </w:p>
        </w:tc>
        <w:tc>
          <w:tcPr>
            <w:tcW w:w="2863"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_GB2312" w:cs="Times New Roman"/>
                <w:color w:val="auto"/>
                <w:sz w:val="24"/>
                <w:szCs w:val="24"/>
                <w:lang w:val="en-US" w:eastAsia="zh-CN"/>
              </w:rPr>
            </w:pPr>
            <w:r>
              <w:rPr>
                <w:rFonts w:hint="eastAsia" w:eastAsia="仿宋_GB2312" w:cs="Times New Roman"/>
                <w:color w:val="auto"/>
                <w:sz w:val="24"/>
                <w:szCs w:val="24"/>
                <w:lang w:val="en-US" w:eastAsia="zh-CN"/>
              </w:rPr>
              <w:t>已复核，由于项目已于2017年完工，因此项目现阶段不存在水土流失预测，已修改</w:t>
            </w:r>
          </w:p>
        </w:tc>
        <w:tc>
          <w:tcPr>
            <w:tcW w:w="1692"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0" w:firstLineChars="0"/>
              <w:jc w:val="center"/>
              <w:rPr>
                <w:rFonts w:hint="default" w:ascii="Times New Roman" w:hAnsi="Times New Roman" w:eastAsia="仿宋_GB2312" w:cs="Times New Roman"/>
                <w:bCs/>
                <w:color w:val="auto"/>
                <w:spacing w:val="-4"/>
                <w:sz w:val="24"/>
                <w:szCs w:val="24"/>
                <w:lang w:val="en-US" w:eastAsia="zh-CN"/>
              </w:rPr>
            </w:pPr>
            <w:r>
              <w:rPr>
                <w:rFonts w:hint="default" w:ascii="Times New Roman" w:hAnsi="Times New Roman" w:eastAsia="仿宋_GB2312" w:cs="Times New Roman"/>
                <w:bCs/>
                <w:color w:val="auto"/>
                <w:spacing w:val="-4"/>
                <w:sz w:val="24"/>
                <w:szCs w:val="24"/>
              </w:rPr>
              <w:t>第</w:t>
            </w:r>
            <w:r>
              <w:rPr>
                <w:rFonts w:hint="eastAsia" w:eastAsia="仿宋_GB2312" w:cs="Times New Roman"/>
                <w:bCs/>
                <w:color w:val="auto"/>
                <w:spacing w:val="-4"/>
                <w:sz w:val="24"/>
                <w:szCs w:val="24"/>
                <w:lang w:val="en-US" w:eastAsia="zh-CN"/>
              </w:rPr>
              <w:t>4</w:t>
            </w:r>
            <w:r>
              <w:rPr>
                <w:rFonts w:hint="default" w:ascii="Times New Roman" w:hAnsi="Times New Roman" w:eastAsia="仿宋_GB2312" w:cs="Times New Roman"/>
                <w:bCs/>
                <w:color w:val="auto"/>
                <w:spacing w:val="-4"/>
                <w:sz w:val="24"/>
                <w:szCs w:val="24"/>
              </w:rPr>
              <w:t>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3" w:hRule="atLeast"/>
        </w:trPr>
        <w:tc>
          <w:tcPr>
            <w:tcW w:w="8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eastAsia="仿宋_GB2312" w:cs="Times New Roman"/>
                <w:bCs/>
                <w:color w:val="auto"/>
                <w:spacing w:val="-4"/>
                <w:sz w:val="24"/>
                <w:szCs w:val="24"/>
              </w:rPr>
            </w:pPr>
            <w:r>
              <w:rPr>
                <w:rFonts w:hint="default" w:ascii="Times New Roman" w:hAnsi="Times New Roman" w:eastAsia="仿宋_GB2312" w:cs="Times New Roman"/>
                <w:bCs/>
                <w:color w:val="auto"/>
                <w:spacing w:val="-4"/>
                <w:sz w:val="24"/>
                <w:szCs w:val="24"/>
              </w:rPr>
              <w:t>8</w:t>
            </w:r>
          </w:p>
        </w:tc>
        <w:tc>
          <w:tcPr>
            <w:tcW w:w="3150"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rPr>
              <w:t>结合现状存在的水土流失遗留问题，有针对性的补充相关水土保持措施</w:t>
            </w:r>
          </w:p>
        </w:tc>
        <w:tc>
          <w:tcPr>
            <w:tcW w:w="2863"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_GB2312" w:cs="Times New Roman"/>
                <w:color w:val="auto"/>
                <w:sz w:val="24"/>
                <w:szCs w:val="24"/>
                <w:lang w:val="en-US" w:eastAsia="zh-CN"/>
              </w:rPr>
            </w:pPr>
            <w:r>
              <w:rPr>
                <w:rFonts w:hint="eastAsia" w:eastAsia="仿宋_GB2312" w:cs="Times New Roman"/>
                <w:color w:val="auto"/>
                <w:sz w:val="24"/>
                <w:szCs w:val="24"/>
                <w:lang w:val="en-US" w:eastAsia="zh-CN"/>
              </w:rPr>
              <w:t>方案已提出加强抚育管理要求、新增土地整治、撒播草籽措施</w:t>
            </w:r>
          </w:p>
        </w:tc>
        <w:tc>
          <w:tcPr>
            <w:tcW w:w="1692"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0" w:firstLineChars="0"/>
              <w:rPr>
                <w:rFonts w:hint="default" w:ascii="Times New Roman" w:hAnsi="Times New Roman" w:eastAsia="仿宋_GB2312" w:cs="Times New Roman"/>
                <w:bCs/>
                <w:color w:val="auto"/>
                <w:spacing w:val="-4"/>
                <w:sz w:val="24"/>
                <w:szCs w:val="24"/>
                <w:lang w:val="en-US" w:eastAsia="zh-CN"/>
              </w:rPr>
            </w:pPr>
            <w:r>
              <w:rPr>
                <w:rFonts w:hint="default" w:ascii="Times New Roman" w:hAnsi="Times New Roman" w:eastAsia="仿宋_GB2312" w:cs="Times New Roman"/>
                <w:bCs/>
                <w:color w:val="auto"/>
                <w:spacing w:val="-4"/>
                <w:sz w:val="24"/>
                <w:szCs w:val="24"/>
              </w:rPr>
              <w:t>第</w:t>
            </w:r>
            <w:r>
              <w:rPr>
                <w:rFonts w:hint="eastAsia" w:eastAsia="仿宋_GB2312" w:cs="Times New Roman"/>
                <w:bCs/>
                <w:color w:val="auto"/>
                <w:spacing w:val="-4"/>
                <w:sz w:val="24"/>
                <w:szCs w:val="24"/>
                <w:lang w:val="en-US" w:eastAsia="zh-CN"/>
              </w:rPr>
              <w:t>5</w:t>
            </w:r>
            <w:r>
              <w:rPr>
                <w:rFonts w:hint="default" w:ascii="Times New Roman" w:hAnsi="Times New Roman" w:eastAsia="仿宋_GB2312" w:cs="Times New Roman"/>
                <w:bCs/>
                <w:color w:val="auto"/>
                <w:spacing w:val="-4"/>
                <w:sz w:val="24"/>
                <w:szCs w:val="24"/>
              </w:rPr>
              <w:t>章，P</w:t>
            </w:r>
            <w:r>
              <w:rPr>
                <w:rFonts w:hint="eastAsia" w:eastAsia="仿宋_GB2312" w:cs="Times New Roman"/>
                <w:bCs/>
                <w:color w:val="auto"/>
                <w:spacing w:val="-4"/>
                <w:sz w:val="24"/>
                <w:szCs w:val="24"/>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eastAsia="仿宋_GB2312" w:cs="Times New Roman"/>
                <w:bCs/>
                <w:color w:val="auto"/>
                <w:spacing w:val="-4"/>
                <w:sz w:val="24"/>
                <w:szCs w:val="24"/>
              </w:rPr>
            </w:pPr>
            <w:r>
              <w:rPr>
                <w:rFonts w:hint="default" w:ascii="Times New Roman" w:hAnsi="Times New Roman" w:eastAsia="仿宋_GB2312" w:cs="Times New Roman"/>
                <w:bCs/>
                <w:color w:val="auto"/>
                <w:spacing w:val="-4"/>
                <w:sz w:val="24"/>
                <w:szCs w:val="24"/>
              </w:rPr>
              <w:t>9</w:t>
            </w:r>
          </w:p>
        </w:tc>
        <w:tc>
          <w:tcPr>
            <w:tcW w:w="3150"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rPr>
              <w:t>复核水土保持措施单价、结合水土保持措施的调整复核水土保持投资</w:t>
            </w:r>
          </w:p>
        </w:tc>
        <w:tc>
          <w:tcPr>
            <w:tcW w:w="2863"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_GB2312" w:cs="Times New Roman"/>
                <w:color w:val="auto"/>
                <w:sz w:val="24"/>
                <w:szCs w:val="24"/>
                <w:lang w:val="en-US" w:eastAsia="zh-CN"/>
              </w:rPr>
            </w:pPr>
            <w:r>
              <w:rPr>
                <w:rFonts w:hint="eastAsia" w:eastAsia="仿宋_GB2312" w:cs="Times New Roman"/>
                <w:color w:val="auto"/>
                <w:sz w:val="24"/>
                <w:szCs w:val="24"/>
                <w:lang w:val="en-US" w:eastAsia="zh-CN"/>
              </w:rPr>
              <w:t>复核并修改</w:t>
            </w:r>
          </w:p>
        </w:tc>
        <w:tc>
          <w:tcPr>
            <w:tcW w:w="1692"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0" w:firstLineChars="0"/>
              <w:rPr>
                <w:rFonts w:hint="default" w:ascii="Times New Roman" w:hAnsi="Times New Roman" w:eastAsia="仿宋_GB2312" w:cs="Times New Roman"/>
                <w:bCs/>
                <w:color w:val="auto"/>
                <w:spacing w:val="-4"/>
                <w:sz w:val="24"/>
                <w:szCs w:val="24"/>
                <w:lang w:val="en-US" w:eastAsia="zh-CN"/>
              </w:rPr>
            </w:pPr>
            <w:r>
              <w:rPr>
                <w:rFonts w:hint="default" w:ascii="Times New Roman" w:hAnsi="Times New Roman" w:eastAsia="仿宋_GB2312" w:cs="Times New Roman"/>
                <w:bCs/>
                <w:color w:val="auto"/>
                <w:spacing w:val="-4"/>
                <w:sz w:val="24"/>
                <w:szCs w:val="24"/>
              </w:rPr>
              <w:t>第</w:t>
            </w:r>
            <w:r>
              <w:rPr>
                <w:rFonts w:hint="eastAsia" w:eastAsia="仿宋_GB2312" w:cs="Times New Roman"/>
                <w:bCs/>
                <w:color w:val="auto"/>
                <w:spacing w:val="-4"/>
                <w:sz w:val="24"/>
                <w:szCs w:val="24"/>
                <w:lang w:val="en-US" w:eastAsia="zh-CN"/>
              </w:rPr>
              <w:t>7</w:t>
            </w:r>
            <w:r>
              <w:rPr>
                <w:rFonts w:hint="default" w:ascii="Times New Roman" w:hAnsi="Times New Roman" w:eastAsia="仿宋_GB2312" w:cs="Times New Roman"/>
                <w:bCs/>
                <w:color w:val="auto"/>
                <w:spacing w:val="-4"/>
                <w:sz w:val="24"/>
                <w:szCs w:val="24"/>
              </w:rPr>
              <w:t>章，P</w:t>
            </w:r>
            <w:r>
              <w:rPr>
                <w:rFonts w:hint="eastAsia" w:eastAsia="仿宋_GB2312" w:cs="Times New Roman"/>
                <w:bCs/>
                <w:color w:val="auto"/>
                <w:spacing w:val="-4"/>
                <w:sz w:val="24"/>
                <w:szCs w:val="24"/>
                <w:lang w:val="en-US" w:eastAsia="zh-CN"/>
              </w:rPr>
              <w:t>46-52</w:t>
            </w:r>
          </w:p>
        </w:tc>
      </w:tr>
    </w:tbl>
    <w:p>
      <w:pPr>
        <w:ind w:firstLine="0" w:firstLineChars="0"/>
        <w:rPr>
          <w:rFonts w:eastAsia="仿宋_GB2312"/>
        </w:rPr>
      </w:pPr>
    </w:p>
    <w:p>
      <w:pPr>
        <w:ind w:firstLine="1680" w:firstLineChars="600"/>
        <w:rPr>
          <w:rFonts w:hint="default" w:ascii="Times New Roman" w:hAnsi="Times New Roman" w:eastAsia="黑体" w:cs="Times New Roman"/>
          <w:color w:val="auto"/>
          <w:sz w:val="28"/>
          <w:szCs w:val="28"/>
        </w:rPr>
      </w:pPr>
    </w:p>
    <w:p>
      <w:pPr>
        <w:rPr>
          <w:rFonts w:hint="default"/>
        </w:rPr>
      </w:pPr>
    </w:p>
    <w:p>
      <w:pPr>
        <w:pStyle w:val="23"/>
        <w:bidi w:val="0"/>
        <w:rPr>
          <w:rFonts w:hint="default"/>
        </w:rPr>
      </w:pPr>
    </w:p>
    <w:p>
      <w:pPr>
        <w:pStyle w:val="23"/>
        <w:bidi w:val="0"/>
        <w:rPr>
          <w:rFonts w:hint="default"/>
        </w:rPr>
      </w:pPr>
    </w:p>
    <w:p>
      <w:pPr>
        <w:pStyle w:val="23"/>
        <w:bidi w:val="0"/>
        <w:rPr>
          <w:rFonts w:hint="default"/>
        </w:rPr>
      </w:pPr>
    </w:p>
    <w:p>
      <w:pPr>
        <w:pStyle w:val="23"/>
        <w:bidi w:val="0"/>
        <w:rPr>
          <w:rFonts w:hint="default"/>
        </w:rPr>
      </w:pPr>
    </w:p>
    <w:p>
      <w:pPr>
        <w:pStyle w:val="23"/>
        <w:bidi w:val="0"/>
        <w:rPr>
          <w:rFonts w:hint="default"/>
        </w:rPr>
      </w:pPr>
    </w:p>
    <w:p>
      <w:pPr>
        <w:widowControl/>
        <w:spacing w:line="240" w:lineRule="auto"/>
        <w:ind w:firstLine="0" w:firstLineChars="0"/>
        <w:jc w:val="center"/>
        <w:rPr>
          <w:rFonts w:hint="default" w:ascii="Times New Roman" w:hAnsi="Times New Roman" w:cs="Times New Roman"/>
          <w:b/>
          <w:color w:val="auto"/>
          <w:w w:val="90"/>
          <w:sz w:val="20"/>
        </w:rPr>
      </w:pPr>
      <w:r>
        <w:rPr>
          <w:rFonts w:hint="default" w:ascii="Times New Roman" w:hAnsi="Times New Roman" w:cs="Times New Roman"/>
          <w:b/>
          <w:color w:val="auto"/>
          <w:w w:val="90"/>
          <w:sz w:val="20"/>
        </w:rPr>
        <w:t>红原县2016年薄弱学校改造和学前教育（邛溪镇易地育人寄宿制学校）建设项目水土保持方案特性表</w:t>
      </w:r>
    </w:p>
    <w:tbl>
      <w:tblPr>
        <w:tblStyle w:val="6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34"/>
        <w:gridCol w:w="993"/>
        <w:gridCol w:w="1134"/>
        <w:gridCol w:w="1562"/>
        <w:gridCol w:w="139"/>
        <w:gridCol w:w="856"/>
        <w:gridCol w:w="994"/>
        <w:gridCol w:w="21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项目概况</w:t>
            </w:r>
          </w:p>
        </w:tc>
        <w:tc>
          <w:tcPr>
            <w:tcW w:w="21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位置</w:t>
            </w:r>
          </w:p>
        </w:tc>
        <w:tc>
          <w:tcPr>
            <w:tcW w:w="5694" w:type="dxa"/>
            <w:gridSpan w:val="5"/>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四川省阿坝藏族羌族自治州红原县邛溪镇易地育人寄宿制学校内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建设内容</w:t>
            </w:r>
          </w:p>
        </w:tc>
        <w:tc>
          <w:tcPr>
            <w:tcW w:w="5694" w:type="dxa"/>
            <w:gridSpan w:val="5"/>
            <w:tcBorders>
              <w:top w:val="single" w:color="auto" w:sz="4" w:space="0"/>
              <w:left w:val="single" w:color="auto" w:sz="4" w:space="0"/>
              <w:bottom w:val="single" w:color="auto" w:sz="4" w:space="0"/>
              <w:right w:val="single" w:color="auto" w:sz="4" w:space="0"/>
            </w:tcBorders>
            <w:vAlign w:val="center"/>
          </w:tcPr>
          <w:p>
            <w:pPr>
              <w:pStyle w:val="1102"/>
              <w:spacing w:line="240" w:lineRule="auto"/>
              <w:ind w:firstLine="36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项目净用地面积1200m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，总建筑面积</w:t>
            </w:r>
            <w:r>
              <w:rPr>
                <w:rFonts w:hint="default" w:ascii="Times New Roman" w:hAnsi="Times New Roman" w:cs="Times New Roman"/>
                <w:bCs/>
                <w:color w:val="auto"/>
                <w:sz w:val="18"/>
                <w:szCs w:val="18"/>
              </w:rPr>
              <w:t>2352.68</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；建筑基底面积593.88m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，容积率1.96，建筑密度49.49%；</w:t>
            </w:r>
          </w:p>
          <w:p>
            <w:pPr>
              <w:pStyle w:val="1102"/>
              <w:spacing w:line="240" w:lineRule="auto"/>
              <w:ind w:firstLine="36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建设内容：建筑工程（教学综合楼）；道路硬化工程；草坪绿化；附属工程（给水系统、排水系统、供配电系统）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建设性质</w:t>
            </w:r>
          </w:p>
        </w:tc>
        <w:tc>
          <w:tcPr>
            <w:tcW w:w="156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新建、建设类</w:t>
            </w:r>
          </w:p>
        </w:tc>
        <w:tc>
          <w:tcPr>
            <w:tcW w:w="1989"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总投资（万元）</w:t>
            </w:r>
          </w:p>
        </w:tc>
        <w:tc>
          <w:tcPr>
            <w:tcW w:w="21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693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27"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土建投资（万元）</w:t>
            </w:r>
          </w:p>
        </w:tc>
        <w:tc>
          <w:tcPr>
            <w:tcW w:w="156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485</w:t>
            </w:r>
          </w:p>
        </w:tc>
        <w:tc>
          <w:tcPr>
            <w:tcW w:w="1989" w:type="dxa"/>
            <w:gridSpan w:val="3"/>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占地面积（hm</w:t>
            </w:r>
            <w:r>
              <w:rPr>
                <w:rFonts w:hint="default" w:ascii="Times New Roman" w:hAnsi="Times New Roman" w:eastAsia="仿宋_GB2312" w:cs="Times New Roman"/>
                <w:color w:val="auto"/>
                <w:sz w:val="18"/>
                <w:szCs w:val="18"/>
                <w:vertAlign w:val="superscript"/>
              </w:rPr>
              <w:t>2</w:t>
            </w:r>
            <w:r>
              <w:rPr>
                <w:rFonts w:hint="default" w:ascii="Times New Roman" w:hAnsi="Times New Roman" w:eastAsia="仿宋_GB2312" w:cs="Times New Roman"/>
                <w:color w:val="auto"/>
                <w:sz w:val="18"/>
                <w:szCs w:val="18"/>
              </w:rPr>
              <w:t>）</w:t>
            </w:r>
          </w:p>
        </w:tc>
        <w:tc>
          <w:tcPr>
            <w:tcW w:w="21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永久：0.12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27"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1562"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1989" w:type="dxa"/>
            <w:gridSpan w:val="3"/>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临时：0.00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动工时间</w:t>
            </w:r>
          </w:p>
        </w:tc>
        <w:tc>
          <w:tcPr>
            <w:tcW w:w="2557"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2016年11月</w:t>
            </w:r>
          </w:p>
        </w:tc>
        <w:tc>
          <w:tcPr>
            <w:tcW w:w="99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完工时间</w:t>
            </w:r>
          </w:p>
        </w:tc>
        <w:tc>
          <w:tcPr>
            <w:tcW w:w="21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2017年11月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27"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土石方（万m</w:t>
            </w:r>
            <w:r>
              <w:rPr>
                <w:rFonts w:hint="default" w:ascii="Times New Roman" w:hAnsi="Times New Roman" w:eastAsia="仿宋_GB2312" w:cs="Times New Roman"/>
                <w:color w:val="auto"/>
                <w:sz w:val="18"/>
                <w:szCs w:val="18"/>
                <w:vertAlign w:val="superscript"/>
              </w:rPr>
              <w:t>3</w:t>
            </w:r>
            <w:r>
              <w:rPr>
                <w:rFonts w:hint="default" w:ascii="Times New Roman" w:hAnsi="Times New Roman" w:eastAsia="仿宋_GB2312" w:cs="Times New Roman"/>
                <w:color w:val="auto"/>
                <w:sz w:val="18"/>
                <w:szCs w:val="18"/>
              </w:rPr>
              <w:t>）</w:t>
            </w:r>
          </w:p>
        </w:tc>
        <w:tc>
          <w:tcPr>
            <w:tcW w:w="156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挖方</w:t>
            </w:r>
          </w:p>
        </w:tc>
        <w:tc>
          <w:tcPr>
            <w:tcW w:w="995"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填方</w:t>
            </w:r>
          </w:p>
        </w:tc>
        <w:tc>
          <w:tcPr>
            <w:tcW w:w="99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借方</w:t>
            </w:r>
          </w:p>
        </w:tc>
        <w:tc>
          <w:tcPr>
            <w:tcW w:w="21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余（弃）方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27"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156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0.11</w:t>
            </w:r>
          </w:p>
        </w:tc>
        <w:tc>
          <w:tcPr>
            <w:tcW w:w="995"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0.11</w:t>
            </w:r>
          </w:p>
        </w:tc>
        <w:tc>
          <w:tcPr>
            <w:tcW w:w="99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0.00</w:t>
            </w:r>
          </w:p>
        </w:tc>
        <w:tc>
          <w:tcPr>
            <w:tcW w:w="21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取土（石、砂）场</w:t>
            </w:r>
          </w:p>
        </w:tc>
        <w:tc>
          <w:tcPr>
            <w:tcW w:w="5694" w:type="dxa"/>
            <w:gridSpan w:val="5"/>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left="480" w:firstLine="360"/>
              <w:jc w:val="both"/>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不设置取土（石、砂）场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弃土（石、渣）场</w:t>
            </w:r>
          </w:p>
        </w:tc>
        <w:tc>
          <w:tcPr>
            <w:tcW w:w="5694" w:type="dxa"/>
            <w:gridSpan w:val="5"/>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left="480" w:firstLine="360"/>
              <w:jc w:val="left"/>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不设置弃土（石、渣）场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项目区</w:t>
            </w:r>
          </w:p>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概况</w:t>
            </w:r>
          </w:p>
        </w:tc>
        <w:tc>
          <w:tcPr>
            <w:tcW w:w="21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涉及重点防治区情况</w:t>
            </w:r>
          </w:p>
        </w:tc>
        <w:tc>
          <w:tcPr>
            <w:tcW w:w="2557"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金沙江岷江上游及三江并流国家级水土流失重点预防区</w:t>
            </w:r>
          </w:p>
        </w:tc>
        <w:tc>
          <w:tcPr>
            <w:tcW w:w="99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地貌类型</w:t>
            </w:r>
          </w:p>
        </w:tc>
        <w:tc>
          <w:tcPr>
            <w:tcW w:w="21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高山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27" w:type="dxa"/>
            <w:gridSpan w:val="2"/>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firstLine="0" w:firstLineChars="0"/>
              <w:jc w:val="both"/>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原地貌土壤侵蚀模数[t/(km</w:t>
            </w:r>
            <w:r>
              <w:rPr>
                <w:rFonts w:hint="default" w:ascii="Times New Roman" w:hAnsi="Times New Roman" w:eastAsia="仿宋_GB2312" w:cs="Times New Roman"/>
                <w:color w:val="auto"/>
                <w:sz w:val="18"/>
                <w:szCs w:val="18"/>
                <w:vertAlign w:val="superscript"/>
              </w:rPr>
              <w:t>2</w:t>
            </w:r>
            <w:r>
              <w:rPr>
                <w:rFonts w:hint="default" w:ascii="Times New Roman" w:hAnsi="Times New Roman" w:eastAsia="仿宋_GB2312" w:cs="Times New Roman"/>
                <w:color w:val="auto"/>
                <w:sz w:val="18"/>
                <w:szCs w:val="18"/>
              </w:rPr>
              <w:t>.a)]</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300</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容许土壤流失量[t/(km</w:t>
            </w:r>
            <w:r>
              <w:rPr>
                <w:rFonts w:hint="default" w:ascii="Times New Roman" w:hAnsi="Times New Roman" w:eastAsia="仿宋_GB2312" w:cs="Times New Roman"/>
                <w:color w:val="auto"/>
                <w:sz w:val="18"/>
                <w:szCs w:val="18"/>
                <w:vertAlign w:val="superscript"/>
              </w:rPr>
              <w:t>2</w:t>
            </w:r>
            <w:r>
              <w:rPr>
                <w:rFonts w:hint="default" w:ascii="Times New Roman" w:hAnsi="Times New Roman" w:eastAsia="仿宋_GB2312" w:cs="Times New Roman"/>
                <w:color w:val="auto"/>
                <w:sz w:val="18"/>
                <w:szCs w:val="18"/>
              </w:rPr>
              <w:t>.a)]</w:t>
            </w:r>
          </w:p>
        </w:tc>
        <w:tc>
          <w:tcPr>
            <w:tcW w:w="2143" w:type="dxa"/>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2761" w:type="dxa"/>
            <w:gridSpan w:val="3"/>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firstLine="0" w:firstLineChars="0"/>
              <w:jc w:val="both"/>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项目选址（线）水土保持评价</w:t>
            </w:r>
          </w:p>
        </w:tc>
        <w:tc>
          <w:tcPr>
            <w:tcW w:w="5694" w:type="dxa"/>
            <w:gridSpan w:val="5"/>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firstLine="0" w:firstLineChars="0"/>
              <w:jc w:val="both"/>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主体工程选址除没无法避开金沙江岷江上游及三江并流国家级水土流失重点预防区，方案将提高防治目标，提高设计标准，加强水土保持；工程不涉及其他水土保持制约因素。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761" w:type="dxa"/>
            <w:gridSpan w:val="3"/>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eastAsia="zh-CN"/>
              </w:rPr>
              <w:t>调查</w:t>
            </w:r>
            <w:r>
              <w:rPr>
                <w:rFonts w:hint="default" w:ascii="Times New Roman" w:hAnsi="Times New Roman" w:eastAsia="仿宋_GB2312" w:cs="Times New Roman"/>
                <w:color w:val="auto"/>
                <w:sz w:val="18"/>
                <w:szCs w:val="18"/>
              </w:rPr>
              <w:t>水土流失总量(t)</w:t>
            </w:r>
          </w:p>
        </w:tc>
        <w:tc>
          <w:tcPr>
            <w:tcW w:w="5694" w:type="dxa"/>
            <w:gridSpan w:val="5"/>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left="480" w:firstLine="36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2.07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2761" w:type="dxa"/>
            <w:gridSpan w:val="3"/>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防治责任范围（hm</w:t>
            </w:r>
            <w:r>
              <w:rPr>
                <w:rFonts w:hint="default" w:ascii="Times New Roman" w:hAnsi="Times New Roman" w:eastAsia="仿宋_GB2312" w:cs="Times New Roman"/>
                <w:color w:val="auto"/>
                <w:sz w:val="18"/>
                <w:szCs w:val="18"/>
                <w:vertAlign w:val="superscript"/>
              </w:rPr>
              <w:t>2</w:t>
            </w:r>
            <w:r>
              <w:rPr>
                <w:rFonts w:hint="default" w:ascii="Times New Roman" w:hAnsi="Times New Roman" w:eastAsia="仿宋_GB2312" w:cs="Times New Roman"/>
                <w:color w:val="auto"/>
                <w:sz w:val="18"/>
                <w:szCs w:val="18"/>
              </w:rPr>
              <w:t>）</w:t>
            </w:r>
          </w:p>
        </w:tc>
        <w:tc>
          <w:tcPr>
            <w:tcW w:w="5694" w:type="dxa"/>
            <w:gridSpan w:val="5"/>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left="480" w:firstLine="36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防治标准等级及目标</w:t>
            </w:r>
          </w:p>
        </w:tc>
        <w:tc>
          <w:tcPr>
            <w:tcW w:w="21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防治标准等级</w:t>
            </w:r>
          </w:p>
        </w:tc>
        <w:tc>
          <w:tcPr>
            <w:tcW w:w="5694" w:type="dxa"/>
            <w:gridSpan w:val="5"/>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青藏高原区一级标准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27" w:type="dxa"/>
            <w:gridSpan w:val="2"/>
            <w:tcBorders>
              <w:top w:val="single" w:color="auto" w:sz="4" w:space="0"/>
              <w:left w:val="single" w:color="auto" w:sz="4" w:space="0"/>
              <w:bottom w:val="single" w:color="auto" w:sz="4" w:space="0"/>
              <w:right w:val="single" w:color="auto" w:sz="4" w:space="0"/>
            </w:tcBorders>
            <w:vAlign w:val="center"/>
          </w:tcPr>
          <w:p>
            <w:pPr>
              <w:widowControl/>
              <w:spacing w:before="40" w:after="40"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水土流失治理度（%）</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85</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widowControl/>
              <w:spacing w:before="40" w:after="40"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土壤流失控制比</w:t>
            </w:r>
          </w:p>
        </w:tc>
        <w:tc>
          <w:tcPr>
            <w:tcW w:w="2143" w:type="dxa"/>
            <w:tcBorders>
              <w:top w:val="single" w:color="auto" w:sz="4" w:space="0"/>
              <w:left w:val="single" w:color="auto" w:sz="4" w:space="0"/>
              <w:bottom w:val="single" w:color="auto" w:sz="4" w:space="0"/>
              <w:right w:val="single" w:color="auto" w:sz="4" w:space="0"/>
            </w:tcBorders>
            <w:vAlign w:val="center"/>
          </w:tcPr>
          <w:p>
            <w:pPr>
              <w:widowControl/>
              <w:spacing w:before="40" w:after="40"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27" w:type="dxa"/>
            <w:gridSpan w:val="2"/>
            <w:tcBorders>
              <w:top w:val="single" w:color="auto" w:sz="4" w:space="0"/>
              <w:left w:val="single" w:color="auto" w:sz="4" w:space="0"/>
              <w:bottom w:val="single" w:color="auto" w:sz="4" w:space="0"/>
              <w:right w:val="single" w:color="auto" w:sz="4" w:space="0"/>
            </w:tcBorders>
            <w:vAlign w:val="center"/>
          </w:tcPr>
          <w:p>
            <w:pPr>
              <w:widowControl/>
              <w:spacing w:before="40" w:after="40"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渣土防护率（%）</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87</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widowControl/>
              <w:spacing w:before="40" w:after="40"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表土保护率（%）</w:t>
            </w:r>
          </w:p>
        </w:tc>
        <w:tc>
          <w:tcPr>
            <w:tcW w:w="2143" w:type="dxa"/>
            <w:tcBorders>
              <w:top w:val="single" w:color="auto" w:sz="4" w:space="0"/>
              <w:left w:val="single" w:color="auto" w:sz="4" w:space="0"/>
              <w:bottom w:val="single" w:color="auto" w:sz="4" w:space="0"/>
              <w:right w:val="single" w:color="auto" w:sz="4" w:space="0"/>
            </w:tcBorders>
            <w:vAlign w:val="center"/>
          </w:tcPr>
          <w:p>
            <w:pPr>
              <w:widowControl/>
              <w:spacing w:before="40" w:after="40"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27" w:type="dxa"/>
            <w:gridSpan w:val="2"/>
            <w:tcBorders>
              <w:top w:val="single" w:color="auto" w:sz="4" w:space="0"/>
              <w:left w:val="single" w:color="auto" w:sz="4" w:space="0"/>
              <w:bottom w:val="single" w:color="auto" w:sz="4" w:space="0"/>
              <w:right w:val="single" w:color="auto" w:sz="4" w:space="0"/>
            </w:tcBorders>
            <w:vAlign w:val="center"/>
          </w:tcPr>
          <w:p>
            <w:pPr>
              <w:widowControl/>
              <w:spacing w:before="40" w:after="40"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林草植被恢复率（%）</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95</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widowControl/>
              <w:spacing w:before="40" w:after="40"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林草覆盖率（%）</w:t>
            </w:r>
          </w:p>
        </w:tc>
        <w:tc>
          <w:tcPr>
            <w:tcW w:w="2143" w:type="dxa"/>
            <w:tcBorders>
              <w:top w:val="single" w:color="auto" w:sz="4" w:space="0"/>
              <w:left w:val="single" w:color="auto" w:sz="4" w:space="0"/>
              <w:bottom w:val="single" w:color="auto" w:sz="4" w:space="0"/>
              <w:right w:val="single" w:color="auto" w:sz="4" w:space="0"/>
            </w:tcBorders>
            <w:vAlign w:val="center"/>
          </w:tcPr>
          <w:p>
            <w:pPr>
              <w:widowControl/>
              <w:spacing w:before="40" w:after="40"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水土保持</w:t>
            </w:r>
          </w:p>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措施</w:t>
            </w:r>
          </w:p>
        </w:tc>
        <w:tc>
          <w:tcPr>
            <w:tcW w:w="7821" w:type="dxa"/>
            <w:gridSpan w:val="7"/>
            <w:tcBorders>
              <w:top w:val="single" w:color="auto" w:sz="4" w:space="0"/>
              <w:left w:val="single" w:color="auto" w:sz="4" w:space="0"/>
              <w:bottom w:val="single" w:color="auto" w:sz="4" w:space="0"/>
              <w:right w:val="single" w:color="auto" w:sz="4" w:space="0"/>
            </w:tcBorders>
            <w:vAlign w:val="center"/>
          </w:tcPr>
          <w:p>
            <w:pPr>
              <w:widowControl/>
              <w:autoSpaceDN w:val="0"/>
              <w:spacing w:line="240" w:lineRule="auto"/>
              <w:ind w:firstLine="361"/>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（1）建筑工程区</w:t>
            </w:r>
          </w:p>
          <w:p>
            <w:pPr>
              <w:spacing w:line="240" w:lineRule="auto"/>
              <w:ind w:firstLine="36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*1）工程措施：</w:t>
            </w:r>
          </w:p>
          <w:p>
            <w:pPr>
              <w:spacing w:line="240" w:lineRule="auto"/>
              <w:ind w:firstLine="36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fldChar w:fldCharType="begin"/>
            </w:r>
            <w:r>
              <w:rPr>
                <w:rFonts w:hint="default" w:ascii="Times New Roman" w:hAnsi="Times New Roman" w:eastAsia="仿宋_GB2312" w:cs="Times New Roman"/>
                <w:color w:val="auto"/>
                <w:kern w:val="0"/>
                <w:sz w:val="18"/>
                <w:szCs w:val="18"/>
              </w:rPr>
              <w:instrText xml:space="preserve"> = 1 \* GB3 </w:instrText>
            </w:r>
            <w:r>
              <w:rPr>
                <w:rFonts w:hint="default" w:ascii="Times New Roman" w:hAnsi="Times New Roman" w:eastAsia="仿宋_GB2312" w:cs="Times New Roman"/>
                <w:color w:val="auto"/>
                <w:kern w:val="0"/>
                <w:sz w:val="18"/>
                <w:szCs w:val="18"/>
              </w:rPr>
              <w:fldChar w:fldCharType="separate"/>
            </w:r>
            <w:r>
              <w:rPr>
                <w:rFonts w:hint="default" w:ascii="Times New Roman" w:hAnsi="Times New Roman" w:cs="Times New Roman"/>
                <w:color w:val="auto"/>
                <w:kern w:val="0"/>
                <w:sz w:val="18"/>
                <w:szCs w:val="18"/>
              </w:rPr>
              <w:t>①</w:t>
            </w:r>
            <w:r>
              <w:rPr>
                <w:rFonts w:hint="default" w:ascii="Times New Roman" w:hAnsi="Times New Roman" w:eastAsia="仿宋_GB2312" w:cs="Times New Roman"/>
                <w:color w:val="auto"/>
                <w:kern w:val="0"/>
                <w:sz w:val="18"/>
                <w:szCs w:val="18"/>
              </w:rPr>
              <w:fldChar w:fldCharType="end"/>
            </w:r>
            <w:r>
              <w:rPr>
                <w:rFonts w:hint="default" w:ascii="Times New Roman" w:hAnsi="Times New Roman" w:eastAsia="仿宋_GB2312" w:cs="Times New Roman"/>
                <w:color w:val="auto"/>
                <w:kern w:val="0"/>
                <w:sz w:val="18"/>
                <w:szCs w:val="18"/>
              </w:rPr>
              <w:t>雨水管96m（主体已有，已实施）；</w:t>
            </w:r>
            <w:r>
              <w:rPr>
                <w:rFonts w:hint="default" w:ascii="Times New Roman" w:hAnsi="Times New Roman" w:eastAsia="仿宋_GB2312" w:cs="Times New Roman"/>
                <w:color w:val="auto"/>
                <w:sz w:val="18"/>
                <w:szCs w:val="18"/>
              </w:rPr>
              <w:t>雨水管设置在建筑立面实施；</w:t>
            </w:r>
            <w:r>
              <w:rPr>
                <w:rFonts w:hint="default" w:ascii="Times New Roman" w:hAnsi="Times New Roman" w:eastAsia="仿宋_GB2312" w:cs="Times New Roman"/>
                <w:color w:val="auto"/>
                <w:kern w:val="0"/>
                <w:sz w:val="18"/>
                <w:szCs w:val="18"/>
              </w:rPr>
              <w:t>管径DN100，UPVC硬质双壁波纹管</w:t>
            </w:r>
            <w:r>
              <w:rPr>
                <w:rFonts w:hint="default" w:ascii="Times New Roman" w:hAnsi="Times New Roman" w:eastAsia="仿宋_GB2312" w:cs="Times New Roman"/>
                <w:color w:val="auto"/>
                <w:sz w:val="18"/>
                <w:szCs w:val="18"/>
              </w:rPr>
              <w:t>；于2017年7月～9月实施。</w:t>
            </w:r>
          </w:p>
          <w:p>
            <w:pPr>
              <w:widowControl/>
              <w:autoSpaceDN w:val="0"/>
              <w:spacing w:line="240" w:lineRule="auto"/>
              <w:ind w:firstLine="36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*2）</w:t>
            </w:r>
            <w:r>
              <w:rPr>
                <w:rFonts w:hint="default" w:ascii="Times New Roman" w:hAnsi="Times New Roman" w:eastAsia="仿宋_GB2312" w:cs="Times New Roman"/>
                <w:color w:val="auto"/>
                <w:sz w:val="18"/>
                <w:szCs w:val="18"/>
              </w:rPr>
              <w:t>临时措施：</w:t>
            </w:r>
          </w:p>
          <w:p>
            <w:pPr>
              <w:spacing w:line="240" w:lineRule="auto"/>
              <w:ind w:firstLine="36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fldChar w:fldCharType="begin"/>
            </w:r>
            <w:r>
              <w:rPr>
                <w:rFonts w:hint="default" w:ascii="Times New Roman" w:hAnsi="Times New Roman" w:eastAsia="仿宋_GB2312" w:cs="Times New Roman"/>
                <w:color w:val="auto"/>
                <w:kern w:val="0"/>
                <w:sz w:val="18"/>
                <w:szCs w:val="18"/>
              </w:rPr>
              <w:instrText xml:space="preserve"> = 1 \* GB3 </w:instrText>
            </w:r>
            <w:r>
              <w:rPr>
                <w:rFonts w:hint="default" w:ascii="Times New Roman" w:hAnsi="Times New Roman" w:eastAsia="仿宋_GB2312" w:cs="Times New Roman"/>
                <w:color w:val="auto"/>
                <w:kern w:val="0"/>
                <w:sz w:val="18"/>
                <w:szCs w:val="18"/>
              </w:rPr>
              <w:fldChar w:fldCharType="separate"/>
            </w:r>
            <w:r>
              <w:rPr>
                <w:rFonts w:hint="default" w:ascii="Times New Roman" w:hAnsi="Times New Roman" w:cs="Times New Roman"/>
                <w:color w:val="auto"/>
                <w:kern w:val="0"/>
                <w:sz w:val="18"/>
                <w:szCs w:val="18"/>
              </w:rPr>
              <w:t>①</w:t>
            </w:r>
            <w:r>
              <w:rPr>
                <w:rFonts w:hint="default" w:ascii="Times New Roman" w:hAnsi="Times New Roman" w:eastAsia="仿宋_GB2312" w:cs="Times New Roman"/>
                <w:color w:val="auto"/>
                <w:kern w:val="0"/>
                <w:sz w:val="18"/>
                <w:szCs w:val="18"/>
              </w:rPr>
              <w:fldChar w:fldCharType="end"/>
            </w:r>
            <w:r>
              <w:rPr>
                <w:rFonts w:hint="default" w:ascii="Times New Roman" w:hAnsi="Times New Roman" w:eastAsia="仿宋_GB2312" w:cs="Times New Roman"/>
                <w:color w:val="auto"/>
                <w:kern w:val="0"/>
                <w:sz w:val="18"/>
                <w:szCs w:val="18"/>
              </w:rPr>
              <w:t>防雨布遮盖600m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（主体已有，已实施），对建构筑物基础挖方进行临时遮盖，于2016年11月～2017年6月实施。</w:t>
            </w:r>
          </w:p>
          <w:p>
            <w:pPr>
              <w:widowControl/>
              <w:autoSpaceDN w:val="0"/>
              <w:spacing w:line="240" w:lineRule="auto"/>
              <w:ind w:firstLine="361"/>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（2）道路硬化区</w:t>
            </w:r>
          </w:p>
          <w:p>
            <w:pPr>
              <w:spacing w:line="240" w:lineRule="auto"/>
              <w:ind w:firstLine="36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*1）工程措施：</w:t>
            </w:r>
          </w:p>
          <w:p>
            <w:pPr>
              <w:spacing w:line="240" w:lineRule="auto"/>
              <w:ind w:firstLine="36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fldChar w:fldCharType="begin"/>
            </w:r>
            <w:r>
              <w:rPr>
                <w:rFonts w:hint="default" w:ascii="Times New Roman" w:hAnsi="Times New Roman" w:eastAsia="仿宋_GB2312" w:cs="Times New Roman"/>
                <w:color w:val="auto"/>
                <w:kern w:val="0"/>
                <w:sz w:val="18"/>
                <w:szCs w:val="18"/>
              </w:rPr>
              <w:instrText xml:space="preserve"> = 1 \* GB3 </w:instrText>
            </w:r>
            <w:r>
              <w:rPr>
                <w:rFonts w:hint="default" w:ascii="Times New Roman" w:hAnsi="Times New Roman" w:eastAsia="仿宋_GB2312" w:cs="Times New Roman"/>
                <w:color w:val="auto"/>
                <w:kern w:val="0"/>
                <w:sz w:val="18"/>
                <w:szCs w:val="18"/>
              </w:rPr>
              <w:fldChar w:fldCharType="separate"/>
            </w:r>
            <w:r>
              <w:rPr>
                <w:rFonts w:hint="default" w:ascii="Times New Roman" w:hAnsi="Times New Roman" w:cs="Times New Roman"/>
                <w:color w:val="auto"/>
                <w:kern w:val="0"/>
                <w:sz w:val="18"/>
                <w:szCs w:val="18"/>
              </w:rPr>
              <w:t>①</w:t>
            </w:r>
            <w:r>
              <w:rPr>
                <w:rFonts w:hint="default" w:ascii="Times New Roman" w:hAnsi="Times New Roman" w:eastAsia="仿宋_GB2312" w:cs="Times New Roman"/>
                <w:color w:val="auto"/>
                <w:kern w:val="0"/>
                <w:sz w:val="18"/>
                <w:szCs w:val="18"/>
              </w:rPr>
              <w:fldChar w:fldCharType="end"/>
            </w:r>
            <w:r>
              <w:rPr>
                <w:rFonts w:hint="default" w:ascii="Times New Roman" w:hAnsi="Times New Roman" w:eastAsia="仿宋_GB2312" w:cs="Times New Roman"/>
                <w:color w:val="auto"/>
                <w:kern w:val="0"/>
                <w:sz w:val="18"/>
                <w:szCs w:val="18"/>
              </w:rPr>
              <w:t>雨水管200m（主体已有，已实施）；</w:t>
            </w:r>
            <w:r>
              <w:rPr>
                <w:rFonts w:hint="default" w:ascii="Times New Roman" w:hAnsi="Times New Roman" w:eastAsia="仿宋_GB2312" w:cs="Times New Roman"/>
                <w:color w:val="auto"/>
                <w:sz w:val="18"/>
                <w:szCs w:val="18"/>
              </w:rPr>
              <w:t>雨水管设置在道路区域；</w:t>
            </w:r>
            <w:r>
              <w:rPr>
                <w:rFonts w:hint="default" w:ascii="Times New Roman" w:hAnsi="Times New Roman" w:eastAsia="仿宋_GB2312" w:cs="Times New Roman"/>
                <w:color w:val="auto"/>
                <w:kern w:val="0"/>
                <w:sz w:val="18"/>
                <w:szCs w:val="18"/>
              </w:rPr>
              <w:t>管径DN100，UPVC硬质双壁波纹管</w:t>
            </w:r>
            <w:r>
              <w:rPr>
                <w:rFonts w:hint="default" w:ascii="Times New Roman" w:hAnsi="Times New Roman" w:eastAsia="仿宋_GB2312" w:cs="Times New Roman"/>
                <w:color w:val="auto"/>
                <w:sz w:val="18"/>
                <w:szCs w:val="18"/>
              </w:rPr>
              <w:t>；于2017年7月～8月实施。</w:t>
            </w:r>
          </w:p>
          <w:p>
            <w:pPr>
              <w:widowControl/>
              <w:autoSpaceDN w:val="0"/>
              <w:spacing w:line="240" w:lineRule="auto"/>
              <w:ind w:firstLine="36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*2）</w:t>
            </w:r>
            <w:r>
              <w:rPr>
                <w:rFonts w:hint="default" w:ascii="Times New Roman" w:hAnsi="Times New Roman" w:eastAsia="仿宋_GB2312" w:cs="Times New Roman"/>
                <w:color w:val="auto"/>
                <w:sz w:val="18"/>
                <w:szCs w:val="18"/>
              </w:rPr>
              <w:t>临时措施：</w:t>
            </w:r>
          </w:p>
          <w:p>
            <w:pPr>
              <w:spacing w:line="240" w:lineRule="auto"/>
              <w:ind w:firstLine="36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fldChar w:fldCharType="begin"/>
            </w:r>
            <w:r>
              <w:rPr>
                <w:rFonts w:hint="default" w:ascii="Times New Roman" w:hAnsi="Times New Roman" w:eastAsia="仿宋_GB2312" w:cs="Times New Roman"/>
                <w:color w:val="auto"/>
                <w:kern w:val="0"/>
                <w:sz w:val="18"/>
                <w:szCs w:val="18"/>
              </w:rPr>
              <w:instrText xml:space="preserve"> = 1 \* GB3 </w:instrText>
            </w:r>
            <w:r>
              <w:rPr>
                <w:rFonts w:hint="default" w:ascii="Times New Roman" w:hAnsi="Times New Roman" w:eastAsia="仿宋_GB2312" w:cs="Times New Roman"/>
                <w:color w:val="auto"/>
                <w:kern w:val="0"/>
                <w:sz w:val="18"/>
                <w:szCs w:val="18"/>
              </w:rPr>
              <w:fldChar w:fldCharType="separate"/>
            </w:r>
            <w:r>
              <w:rPr>
                <w:rFonts w:hint="default" w:ascii="Times New Roman" w:hAnsi="Times New Roman" w:cs="Times New Roman"/>
                <w:color w:val="auto"/>
                <w:kern w:val="0"/>
                <w:sz w:val="18"/>
                <w:szCs w:val="18"/>
              </w:rPr>
              <w:t>①</w:t>
            </w:r>
            <w:r>
              <w:rPr>
                <w:rFonts w:hint="default" w:ascii="Times New Roman" w:hAnsi="Times New Roman" w:eastAsia="仿宋_GB2312" w:cs="Times New Roman"/>
                <w:color w:val="auto"/>
                <w:kern w:val="0"/>
                <w:sz w:val="18"/>
                <w:szCs w:val="18"/>
              </w:rPr>
              <w:fldChar w:fldCharType="end"/>
            </w:r>
            <w:r>
              <w:rPr>
                <w:rFonts w:hint="default" w:ascii="Times New Roman" w:hAnsi="Times New Roman" w:eastAsia="仿宋_GB2312" w:cs="Times New Roman"/>
                <w:color w:val="auto"/>
                <w:kern w:val="0"/>
                <w:sz w:val="18"/>
                <w:szCs w:val="18"/>
              </w:rPr>
              <w:t>防雨布遮盖500m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（主体已有，已实施），综合管线沟槽开挖进行临时遮盖， 2017年7-8月实施。</w:t>
            </w:r>
          </w:p>
          <w:p>
            <w:pPr>
              <w:widowControl/>
              <w:autoSpaceDN w:val="0"/>
              <w:spacing w:line="240" w:lineRule="auto"/>
              <w:ind w:firstLine="361"/>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（3）景观绿化区</w:t>
            </w:r>
          </w:p>
          <w:p>
            <w:pPr>
              <w:spacing w:line="240" w:lineRule="auto"/>
              <w:ind w:firstLine="48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*1）工程措施：</w:t>
            </w:r>
          </w:p>
          <w:p>
            <w:pPr>
              <w:spacing w:line="240" w:lineRule="auto"/>
              <w:ind w:firstLine="480"/>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rPr>
              <w:fldChar w:fldCharType="begin"/>
            </w:r>
            <w:r>
              <w:rPr>
                <w:rFonts w:hint="default" w:ascii="Times New Roman" w:hAnsi="Times New Roman" w:eastAsia="仿宋_GB2312" w:cs="Times New Roman"/>
                <w:color w:val="auto"/>
                <w:kern w:val="0"/>
                <w:sz w:val="18"/>
                <w:szCs w:val="18"/>
              </w:rPr>
              <w:instrText xml:space="preserve"> = 1 \* GB3 </w:instrText>
            </w:r>
            <w:r>
              <w:rPr>
                <w:rFonts w:hint="default" w:ascii="Times New Roman" w:hAnsi="Times New Roman" w:eastAsia="仿宋_GB2312" w:cs="Times New Roman"/>
                <w:color w:val="auto"/>
                <w:kern w:val="0"/>
                <w:sz w:val="18"/>
                <w:szCs w:val="18"/>
              </w:rPr>
              <w:fldChar w:fldCharType="separate"/>
            </w:r>
            <w:r>
              <w:rPr>
                <w:rFonts w:hint="default" w:ascii="Times New Roman" w:hAnsi="Times New Roman" w:cs="Times New Roman"/>
                <w:color w:val="auto"/>
                <w:kern w:val="0"/>
                <w:sz w:val="18"/>
                <w:szCs w:val="18"/>
              </w:rPr>
              <w:t>①</w:t>
            </w:r>
            <w:r>
              <w:rPr>
                <w:rFonts w:hint="default" w:ascii="Times New Roman" w:hAnsi="Times New Roman" w:eastAsia="仿宋_GB2312" w:cs="Times New Roman"/>
                <w:color w:val="auto"/>
                <w:kern w:val="0"/>
                <w:sz w:val="18"/>
                <w:szCs w:val="18"/>
              </w:rPr>
              <w:fldChar w:fldCharType="end"/>
            </w:r>
            <w:r>
              <w:rPr>
                <w:rFonts w:hint="default" w:ascii="Times New Roman" w:hAnsi="Times New Roman" w:eastAsia="仿宋_GB2312" w:cs="Times New Roman"/>
                <w:color w:val="auto"/>
                <w:kern w:val="0"/>
                <w:sz w:val="18"/>
                <w:szCs w:val="18"/>
                <w:lang w:eastAsia="zh-CN"/>
              </w:rPr>
              <w:t>土地整治</w:t>
            </w:r>
            <w:r>
              <w:rPr>
                <w:rFonts w:hint="default" w:ascii="Times New Roman" w:hAnsi="Times New Roman" w:eastAsia="仿宋_GB2312" w:cs="Times New Roman"/>
                <w:color w:val="auto"/>
                <w:kern w:val="0"/>
                <w:sz w:val="18"/>
                <w:szCs w:val="18"/>
              </w:rPr>
              <w:t>300m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w:t>
            </w:r>
            <w:r>
              <w:rPr>
                <w:rFonts w:hint="default" w:ascii="Times New Roman" w:hAnsi="Times New Roman" w:eastAsia="仿宋_GB2312" w:cs="Times New Roman"/>
                <w:color w:val="auto"/>
                <w:kern w:val="0"/>
                <w:sz w:val="18"/>
                <w:szCs w:val="18"/>
                <w:lang w:eastAsia="zh-CN"/>
              </w:rPr>
              <w:t>水保新增</w:t>
            </w:r>
            <w:r>
              <w:rPr>
                <w:rFonts w:hint="default" w:ascii="Times New Roman" w:hAnsi="Times New Roman" w:eastAsia="仿宋_GB2312" w:cs="Times New Roman"/>
                <w:color w:val="auto"/>
                <w:kern w:val="0"/>
                <w:sz w:val="18"/>
                <w:szCs w:val="18"/>
              </w:rPr>
              <w:t>，</w:t>
            </w:r>
            <w:r>
              <w:rPr>
                <w:rFonts w:hint="default" w:ascii="Times New Roman" w:hAnsi="Times New Roman" w:eastAsia="仿宋_GB2312" w:cs="Times New Roman"/>
                <w:color w:val="auto"/>
                <w:kern w:val="0"/>
                <w:sz w:val="18"/>
                <w:szCs w:val="18"/>
                <w:lang w:eastAsia="zh-CN"/>
              </w:rPr>
              <w:t>未</w:t>
            </w:r>
            <w:r>
              <w:rPr>
                <w:rFonts w:hint="default" w:ascii="Times New Roman" w:hAnsi="Times New Roman" w:eastAsia="仿宋_GB2312" w:cs="Times New Roman"/>
                <w:color w:val="auto"/>
                <w:kern w:val="0"/>
                <w:sz w:val="18"/>
                <w:szCs w:val="18"/>
              </w:rPr>
              <w:t>实施），在建筑北侧实施</w:t>
            </w:r>
            <w:r>
              <w:rPr>
                <w:rFonts w:hint="default" w:ascii="Times New Roman" w:hAnsi="Times New Roman" w:eastAsia="仿宋_GB2312" w:cs="Times New Roman"/>
                <w:color w:val="auto"/>
                <w:kern w:val="0"/>
                <w:sz w:val="18"/>
                <w:szCs w:val="18"/>
                <w:lang w:eastAsia="zh-CN"/>
              </w:rPr>
              <w:t>绿地，方案新增土地整治措施，预计</w:t>
            </w:r>
            <w:r>
              <w:rPr>
                <w:rFonts w:hint="default" w:ascii="Times New Roman" w:hAnsi="Times New Roman" w:eastAsia="仿宋_GB2312" w:cs="Times New Roman"/>
                <w:color w:val="auto"/>
                <w:kern w:val="0"/>
                <w:sz w:val="18"/>
                <w:szCs w:val="18"/>
              </w:rPr>
              <w:t>20</w:t>
            </w:r>
            <w:r>
              <w:rPr>
                <w:rFonts w:hint="default" w:ascii="Times New Roman" w:hAnsi="Times New Roman" w:eastAsia="仿宋_GB2312" w:cs="Times New Roman"/>
                <w:color w:val="auto"/>
                <w:kern w:val="0"/>
                <w:sz w:val="18"/>
                <w:szCs w:val="18"/>
                <w:lang w:val="en-US" w:eastAsia="zh-CN"/>
              </w:rPr>
              <w:t>20</w:t>
            </w:r>
            <w:r>
              <w:rPr>
                <w:rFonts w:hint="default" w:ascii="Times New Roman" w:hAnsi="Times New Roman" w:eastAsia="仿宋_GB2312" w:cs="Times New Roman"/>
                <w:color w:val="auto"/>
                <w:kern w:val="0"/>
                <w:sz w:val="18"/>
                <w:szCs w:val="18"/>
              </w:rPr>
              <w:t>年</w:t>
            </w:r>
            <w:r>
              <w:rPr>
                <w:rFonts w:hint="default" w:ascii="Times New Roman" w:hAnsi="Times New Roman" w:eastAsia="仿宋_GB2312" w:cs="Times New Roman"/>
                <w:color w:val="auto"/>
                <w:kern w:val="0"/>
                <w:sz w:val="18"/>
                <w:szCs w:val="18"/>
                <w:lang w:val="en-US" w:eastAsia="zh-CN"/>
              </w:rPr>
              <w:t>9</w:t>
            </w:r>
            <w:r>
              <w:rPr>
                <w:rFonts w:hint="default" w:ascii="Times New Roman" w:hAnsi="Times New Roman" w:eastAsia="仿宋_GB2312" w:cs="Times New Roman"/>
                <w:color w:val="auto"/>
                <w:kern w:val="0"/>
                <w:sz w:val="18"/>
                <w:szCs w:val="18"/>
              </w:rPr>
              <w:t>-</w:t>
            </w:r>
            <w:r>
              <w:rPr>
                <w:rFonts w:hint="default" w:ascii="Times New Roman" w:hAnsi="Times New Roman" w:eastAsia="仿宋_GB2312" w:cs="Times New Roman"/>
                <w:color w:val="auto"/>
                <w:kern w:val="0"/>
                <w:sz w:val="18"/>
                <w:szCs w:val="18"/>
                <w:lang w:val="en-US" w:eastAsia="zh-CN"/>
              </w:rPr>
              <w:t>10</w:t>
            </w:r>
            <w:r>
              <w:rPr>
                <w:rFonts w:hint="default" w:ascii="Times New Roman" w:hAnsi="Times New Roman" w:eastAsia="仿宋_GB2312" w:cs="Times New Roman"/>
                <w:color w:val="auto"/>
                <w:kern w:val="0"/>
                <w:sz w:val="18"/>
                <w:szCs w:val="18"/>
              </w:rPr>
              <w:t>月实施</w:t>
            </w:r>
            <w:r>
              <w:rPr>
                <w:rFonts w:hint="default" w:ascii="Times New Roman" w:hAnsi="Times New Roman" w:eastAsia="仿宋_GB2312" w:cs="Times New Roman"/>
                <w:color w:val="auto"/>
                <w:kern w:val="0"/>
                <w:sz w:val="18"/>
                <w:szCs w:val="18"/>
                <w:lang w:val="en-US" w:eastAsia="zh-CN"/>
              </w:rPr>
              <w:t>；</w:t>
            </w:r>
          </w:p>
          <w:p>
            <w:pPr>
              <w:spacing w:line="240" w:lineRule="auto"/>
              <w:ind w:firstLine="48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*1）植物措施：</w:t>
            </w:r>
          </w:p>
          <w:p>
            <w:pPr>
              <w:spacing w:line="240" w:lineRule="auto"/>
              <w:ind w:firstLine="48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fldChar w:fldCharType="begin"/>
            </w:r>
            <w:r>
              <w:rPr>
                <w:rFonts w:hint="default" w:ascii="Times New Roman" w:hAnsi="Times New Roman" w:eastAsia="仿宋_GB2312" w:cs="Times New Roman"/>
                <w:color w:val="auto"/>
                <w:kern w:val="0"/>
                <w:sz w:val="18"/>
                <w:szCs w:val="18"/>
              </w:rPr>
              <w:instrText xml:space="preserve"> = 1 \* GB3 </w:instrText>
            </w:r>
            <w:r>
              <w:rPr>
                <w:rFonts w:hint="default" w:ascii="Times New Roman" w:hAnsi="Times New Roman" w:eastAsia="仿宋_GB2312" w:cs="Times New Roman"/>
                <w:color w:val="auto"/>
                <w:kern w:val="0"/>
                <w:sz w:val="18"/>
                <w:szCs w:val="18"/>
              </w:rPr>
              <w:fldChar w:fldCharType="separate"/>
            </w:r>
            <w:r>
              <w:rPr>
                <w:rFonts w:hint="default" w:ascii="Times New Roman" w:hAnsi="Times New Roman" w:cs="Times New Roman"/>
                <w:color w:val="auto"/>
                <w:kern w:val="0"/>
                <w:sz w:val="18"/>
                <w:szCs w:val="18"/>
              </w:rPr>
              <w:t>①</w:t>
            </w:r>
            <w:r>
              <w:rPr>
                <w:rFonts w:hint="default" w:ascii="Times New Roman" w:hAnsi="Times New Roman" w:eastAsia="仿宋_GB2312" w:cs="Times New Roman"/>
                <w:color w:val="auto"/>
                <w:kern w:val="0"/>
                <w:sz w:val="18"/>
                <w:szCs w:val="18"/>
              </w:rPr>
              <w:fldChar w:fldCharType="end"/>
            </w:r>
            <w:r>
              <w:rPr>
                <w:rFonts w:hint="default" w:ascii="Times New Roman" w:hAnsi="Times New Roman" w:eastAsia="仿宋_GB2312" w:cs="Times New Roman"/>
                <w:color w:val="auto"/>
                <w:kern w:val="0"/>
                <w:sz w:val="18"/>
                <w:szCs w:val="18"/>
              </w:rPr>
              <w:t>草坪绿化300m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（主体已有，已实施），在建筑北侧实施，草种采用</w:t>
            </w:r>
            <w:r>
              <w:rPr>
                <w:rFonts w:hint="default" w:ascii="Times New Roman" w:hAnsi="Times New Roman" w:eastAsia="仿宋_GB2312" w:cs="Times New Roman"/>
                <w:color w:val="auto"/>
                <w:kern w:val="0"/>
                <w:sz w:val="18"/>
                <w:szCs w:val="18"/>
                <w:lang w:eastAsia="zh-CN"/>
              </w:rPr>
              <w:t>披碱草</w:t>
            </w:r>
            <w:r>
              <w:rPr>
                <w:rFonts w:hint="default" w:ascii="Times New Roman" w:hAnsi="Times New Roman" w:eastAsia="仿宋_GB2312" w:cs="Times New Roman"/>
                <w:color w:val="auto"/>
                <w:kern w:val="0"/>
                <w:sz w:val="18"/>
                <w:szCs w:val="18"/>
              </w:rPr>
              <w:t>和燕麦草1:1混播，2017年7-8月实施。</w:t>
            </w:r>
          </w:p>
          <w:p>
            <w:pPr>
              <w:spacing w:line="240" w:lineRule="auto"/>
              <w:ind w:firstLine="48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②</w:t>
            </w:r>
            <w:r>
              <w:rPr>
                <w:rFonts w:hint="default" w:ascii="Times New Roman" w:hAnsi="Times New Roman" w:eastAsia="仿宋_GB2312" w:cs="Times New Roman"/>
                <w:color w:val="auto"/>
                <w:kern w:val="0"/>
                <w:sz w:val="18"/>
                <w:szCs w:val="18"/>
                <w:lang w:eastAsia="zh-CN"/>
              </w:rPr>
              <w:t>撒播草籽</w:t>
            </w:r>
            <w:r>
              <w:rPr>
                <w:rFonts w:hint="default" w:ascii="Times New Roman" w:hAnsi="Times New Roman" w:eastAsia="仿宋_GB2312" w:cs="Times New Roman"/>
                <w:color w:val="auto"/>
                <w:kern w:val="0"/>
                <w:sz w:val="18"/>
                <w:szCs w:val="18"/>
              </w:rPr>
              <w:t>300m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w:t>
            </w:r>
            <w:r>
              <w:rPr>
                <w:rFonts w:hint="default" w:ascii="Times New Roman" w:hAnsi="Times New Roman" w:eastAsia="仿宋_GB2312" w:cs="Times New Roman"/>
                <w:color w:val="auto"/>
                <w:kern w:val="0"/>
                <w:sz w:val="18"/>
                <w:szCs w:val="18"/>
                <w:lang w:eastAsia="zh-CN"/>
              </w:rPr>
              <w:t>水保新增</w:t>
            </w:r>
            <w:r>
              <w:rPr>
                <w:rFonts w:hint="default" w:ascii="Times New Roman" w:hAnsi="Times New Roman" w:eastAsia="仿宋_GB2312" w:cs="Times New Roman"/>
                <w:color w:val="auto"/>
                <w:kern w:val="0"/>
                <w:sz w:val="18"/>
                <w:szCs w:val="18"/>
              </w:rPr>
              <w:t>，</w:t>
            </w:r>
            <w:r>
              <w:rPr>
                <w:rFonts w:hint="default" w:ascii="Times New Roman" w:hAnsi="Times New Roman" w:eastAsia="仿宋_GB2312" w:cs="Times New Roman"/>
                <w:color w:val="auto"/>
                <w:kern w:val="0"/>
                <w:sz w:val="18"/>
                <w:szCs w:val="18"/>
                <w:lang w:eastAsia="zh-CN"/>
              </w:rPr>
              <w:t>未</w:t>
            </w:r>
            <w:r>
              <w:rPr>
                <w:rFonts w:hint="default" w:ascii="Times New Roman" w:hAnsi="Times New Roman" w:eastAsia="仿宋_GB2312" w:cs="Times New Roman"/>
                <w:color w:val="auto"/>
                <w:kern w:val="0"/>
                <w:sz w:val="18"/>
                <w:szCs w:val="18"/>
              </w:rPr>
              <w:t>实施），在建筑北侧实施，草种采用</w:t>
            </w:r>
            <w:r>
              <w:rPr>
                <w:rFonts w:hint="default" w:ascii="Times New Roman" w:hAnsi="Times New Roman" w:eastAsia="仿宋_GB2312" w:cs="Times New Roman"/>
                <w:color w:val="auto"/>
                <w:kern w:val="0"/>
                <w:sz w:val="18"/>
                <w:szCs w:val="18"/>
                <w:lang w:eastAsia="zh-CN"/>
              </w:rPr>
              <w:t>披碱草</w:t>
            </w:r>
            <w:r>
              <w:rPr>
                <w:rFonts w:hint="default" w:ascii="Times New Roman" w:hAnsi="Times New Roman" w:eastAsia="仿宋_GB2312" w:cs="Times New Roman"/>
                <w:color w:val="auto"/>
                <w:kern w:val="0"/>
                <w:sz w:val="18"/>
                <w:szCs w:val="18"/>
              </w:rPr>
              <w:t>，</w:t>
            </w:r>
            <w:r>
              <w:rPr>
                <w:rFonts w:hint="default" w:ascii="Times New Roman" w:hAnsi="Times New Roman" w:eastAsia="仿宋_GB2312" w:cs="Times New Roman"/>
                <w:color w:val="auto"/>
                <w:kern w:val="0"/>
                <w:sz w:val="18"/>
                <w:szCs w:val="18"/>
                <w:lang w:eastAsia="zh-CN"/>
              </w:rPr>
              <w:t>预计</w:t>
            </w:r>
            <w:r>
              <w:rPr>
                <w:rFonts w:hint="default" w:ascii="Times New Roman" w:hAnsi="Times New Roman" w:eastAsia="仿宋_GB2312" w:cs="Times New Roman"/>
                <w:color w:val="auto"/>
                <w:kern w:val="0"/>
                <w:sz w:val="18"/>
                <w:szCs w:val="18"/>
              </w:rPr>
              <w:t>20</w:t>
            </w:r>
            <w:r>
              <w:rPr>
                <w:rFonts w:hint="default" w:ascii="Times New Roman" w:hAnsi="Times New Roman" w:eastAsia="仿宋_GB2312" w:cs="Times New Roman"/>
                <w:color w:val="auto"/>
                <w:kern w:val="0"/>
                <w:sz w:val="18"/>
                <w:szCs w:val="18"/>
                <w:lang w:val="en-US" w:eastAsia="zh-CN"/>
              </w:rPr>
              <w:t>20</w:t>
            </w:r>
            <w:r>
              <w:rPr>
                <w:rFonts w:hint="default" w:ascii="Times New Roman" w:hAnsi="Times New Roman" w:eastAsia="仿宋_GB2312" w:cs="Times New Roman"/>
                <w:color w:val="auto"/>
                <w:kern w:val="0"/>
                <w:sz w:val="18"/>
                <w:szCs w:val="18"/>
              </w:rPr>
              <w:t>年</w:t>
            </w:r>
            <w:r>
              <w:rPr>
                <w:rFonts w:hint="default" w:ascii="Times New Roman" w:hAnsi="Times New Roman" w:eastAsia="仿宋_GB2312" w:cs="Times New Roman"/>
                <w:color w:val="auto"/>
                <w:kern w:val="0"/>
                <w:sz w:val="18"/>
                <w:szCs w:val="18"/>
                <w:lang w:val="en-US" w:eastAsia="zh-CN"/>
              </w:rPr>
              <w:t>9</w:t>
            </w:r>
            <w:r>
              <w:rPr>
                <w:rFonts w:hint="default" w:ascii="Times New Roman" w:hAnsi="Times New Roman" w:eastAsia="仿宋_GB2312" w:cs="Times New Roman"/>
                <w:color w:val="auto"/>
                <w:kern w:val="0"/>
                <w:sz w:val="18"/>
                <w:szCs w:val="18"/>
              </w:rPr>
              <w:t>-</w:t>
            </w:r>
            <w:r>
              <w:rPr>
                <w:rFonts w:hint="default" w:ascii="Times New Roman" w:hAnsi="Times New Roman" w:eastAsia="仿宋_GB2312" w:cs="Times New Roman"/>
                <w:color w:val="auto"/>
                <w:kern w:val="0"/>
                <w:sz w:val="18"/>
                <w:szCs w:val="18"/>
                <w:lang w:val="en-US" w:eastAsia="zh-CN"/>
              </w:rPr>
              <w:t>10</w:t>
            </w:r>
            <w:r>
              <w:rPr>
                <w:rFonts w:hint="default" w:ascii="Times New Roman" w:hAnsi="Times New Roman" w:eastAsia="仿宋_GB2312" w:cs="Times New Roman"/>
                <w:color w:val="auto"/>
                <w:kern w:val="0"/>
                <w:sz w:val="18"/>
                <w:szCs w:val="18"/>
              </w:rPr>
              <w:t>月实施。</w:t>
            </w:r>
          </w:p>
          <w:p>
            <w:pPr>
              <w:pStyle w:val="23"/>
              <w:bidi w:val="0"/>
              <w:spacing w:line="240" w:lineRule="auto"/>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 w:val="18"/>
                <w:szCs w:val="18"/>
                <w:lang w:val="en-US" w:eastAsia="zh-CN" w:bidi="ar-SA"/>
              </w:rPr>
              <w:t>③抚育管理</w:t>
            </w:r>
            <w:r>
              <w:rPr>
                <w:rFonts w:hint="default" w:ascii="Times New Roman" w:hAnsi="Times New Roman" w:eastAsia="仿宋_GB2312" w:cs="Times New Roman"/>
                <w:color w:val="auto"/>
                <w:kern w:val="0"/>
                <w:sz w:val="18"/>
                <w:szCs w:val="18"/>
              </w:rPr>
              <w:t>300m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w:t>
            </w:r>
            <w:r>
              <w:rPr>
                <w:rFonts w:hint="default" w:ascii="Times New Roman" w:hAnsi="Times New Roman" w:eastAsia="仿宋_GB2312" w:cs="Times New Roman"/>
                <w:color w:val="auto"/>
                <w:kern w:val="0"/>
                <w:sz w:val="18"/>
                <w:szCs w:val="18"/>
                <w:lang w:eastAsia="zh-CN"/>
              </w:rPr>
              <w:t>水保新增</w:t>
            </w:r>
            <w:r>
              <w:rPr>
                <w:rFonts w:hint="default" w:ascii="Times New Roman" w:hAnsi="Times New Roman" w:eastAsia="仿宋_GB2312" w:cs="Times New Roman"/>
                <w:color w:val="auto"/>
                <w:kern w:val="0"/>
                <w:sz w:val="18"/>
                <w:szCs w:val="18"/>
              </w:rPr>
              <w:t>，</w:t>
            </w:r>
            <w:r>
              <w:rPr>
                <w:rFonts w:hint="default" w:ascii="Times New Roman" w:hAnsi="Times New Roman" w:eastAsia="仿宋_GB2312" w:cs="Times New Roman"/>
                <w:color w:val="auto"/>
                <w:kern w:val="0"/>
                <w:sz w:val="18"/>
                <w:szCs w:val="18"/>
                <w:lang w:eastAsia="zh-CN"/>
              </w:rPr>
              <w:t>未</w:t>
            </w:r>
            <w:r>
              <w:rPr>
                <w:rFonts w:hint="default" w:ascii="Times New Roman" w:hAnsi="Times New Roman" w:eastAsia="仿宋_GB2312" w:cs="Times New Roman"/>
                <w:color w:val="auto"/>
                <w:kern w:val="0"/>
                <w:sz w:val="18"/>
                <w:szCs w:val="18"/>
              </w:rPr>
              <w:t>实施），在建筑北侧</w:t>
            </w:r>
            <w:r>
              <w:rPr>
                <w:rFonts w:hint="default" w:ascii="Times New Roman" w:hAnsi="Times New Roman" w:eastAsia="仿宋_GB2312" w:cs="Times New Roman"/>
                <w:color w:val="auto"/>
                <w:kern w:val="0"/>
                <w:sz w:val="18"/>
                <w:szCs w:val="18"/>
                <w:lang w:eastAsia="zh-CN"/>
              </w:rPr>
              <w:t>绿地内</w:t>
            </w:r>
            <w:r>
              <w:rPr>
                <w:rFonts w:hint="default" w:ascii="Times New Roman" w:hAnsi="Times New Roman" w:eastAsia="仿宋_GB2312" w:cs="Times New Roman"/>
                <w:color w:val="auto"/>
                <w:kern w:val="0"/>
                <w:sz w:val="18"/>
                <w:szCs w:val="18"/>
              </w:rPr>
              <w:t>实施，</w:t>
            </w:r>
            <w:r>
              <w:rPr>
                <w:rFonts w:hint="default" w:ascii="Times New Roman" w:hAnsi="Times New Roman" w:eastAsia="仿宋_GB2312" w:cs="Times New Roman"/>
                <w:color w:val="auto"/>
                <w:kern w:val="0"/>
                <w:sz w:val="18"/>
                <w:szCs w:val="18"/>
                <w:lang w:eastAsia="zh-CN"/>
              </w:rPr>
              <w:t>预计</w:t>
            </w:r>
            <w:r>
              <w:rPr>
                <w:rFonts w:hint="default" w:ascii="Times New Roman" w:hAnsi="Times New Roman" w:eastAsia="仿宋_GB2312" w:cs="Times New Roman"/>
                <w:color w:val="auto"/>
                <w:kern w:val="0"/>
                <w:sz w:val="18"/>
                <w:szCs w:val="18"/>
              </w:rPr>
              <w:t>20</w:t>
            </w:r>
            <w:r>
              <w:rPr>
                <w:rFonts w:hint="default" w:ascii="Times New Roman" w:hAnsi="Times New Roman" w:eastAsia="仿宋_GB2312" w:cs="Times New Roman"/>
                <w:color w:val="auto"/>
                <w:kern w:val="0"/>
                <w:sz w:val="18"/>
                <w:szCs w:val="18"/>
                <w:lang w:val="en-US" w:eastAsia="zh-CN"/>
              </w:rPr>
              <w:t>20</w:t>
            </w:r>
            <w:r>
              <w:rPr>
                <w:rFonts w:hint="default" w:ascii="Times New Roman" w:hAnsi="Times New Roman" w:eastAsia="仿宋_GB2312" w:cs="Times New Roman"/>
                <w:color w:val="auto"/>
                <w:kern w:val="0"/>
                <w:sz w:val="18"/>
                <w:szCs w:val="18"/>
              </w:rPr>
              <w:t>年</w:t>
            </w:r>
            <w:r>
              <w:rPr>
                <w:rFonts w:hint="default" w:ascii="Times New Roman" w:hAnsi="Times New Roman" w:eastAsia="仿宋_GB2312" w:cs="Times New Roman"/>
                <w:color w:val="auto"/>
                <w:kern w:val="0"/>
                <w:sz w:val="18"/>
                <w:szCs w:val="18"/>
                <w:lang w:val="en-US" w:eastAsia="zh-CN"/>
              </w:rPr>
              <w:t>10-12</w:t>
            </w:r>
            <w:r>
              <w:rPr>
                <w:rFonts w:hint="default" w:ascii="Times New Roman" w:hAnsi="Times New Roman" w:eastAsia="仿宋_GB2312" w:cs="Times New Roman"/>
                <w:color w:val="auto"/>
                <w:kern w:val="0"/>
                <w:sz w:val="18"/>
                <w:szCs w:val="18"/>
              </w:rPr>
              <w:t>月实施</w:t>
            </w:r>
            <w:r>
              <w:rPr>
                <w:rFonts w:hint="default" w:ascii="Times New Roman" w:hAnsi="Times New Roman" w:eastAsia="仿宋_GB2312" w:cs="Times New Roman"/>
                <w:color w:val="auto"/>
                <w:kern w:val="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4" w:type="dxa"/>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水土保持投资估算</w:t>
            </w:r>
          </w:p>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（万元）</w:t>
            </w:r>
          </w:p>
        </w:tc>
        <w:tc>
          <w:tcPr>
            <w:tcW w:w="21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工程措施</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4.03</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植物措施</w:t>
            </w:r>
          </w:p>
        </w:tc>
        <w:tc>
          <w:tcPr>
            <w:tcW w:w="21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rPr>
              <w:t>0.</w:t>
            </w:r>
            <w:r>
              <w:rPr>
                <w:rFonts w:hint="default" w:ascii="Times New Roman" w:hAnsi="Times New Roman" w:eastAsia="仿宋_GB2312" w:cs="Times New Roman"/>
                <w:color w:val="auto"/>
                <w:sz w:val="18"/>
                <w:szCs w:val="18"/>
                <w:lang w:val="en-US" w:eastAsia="zh-CN"/>
              </w:rP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4" w:type="dxa"/>
            <w:vMerge w:val="continue"/>
            <w:tcBorders>
              <w:left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临时措施</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rPr>
              <w:t>0.</w:t>
            </w:r>
            <w:r>
              <w:rPr>
                <w:rFonts w:hint="default" w:ascii="Times New Roman" w:hAnsi="Times New Roman" w:eastAsia="仿宋_GB2312" w:cs="Times New Roman"/>
                <w:color w:val="auto"/>
                <w:sz w:val="18"/>
                <w:szCs w:val="18"/>
                <w:lang w:val="en-US" w:eastAsia="zh-CN"/>
              </w:rPr>
              <w:t>64</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水土保持补偿费</w:t>
            </w:r>
          </w:p>
        </w:tc>
        <w:tc>
          <w:tcPr>
            <w:tcW w:w="21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4" w:type="dxa"/>
            <w:vMerge w:val="continue"/>
            <w:tcBorders>
              <w:left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27"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36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独立费用</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lang w:bidi="ar"/>
              </w:rPr>
              <w:t>建设管理费</w:t>
            </w:r>
          </w:p>
        </w:tc>
        <w:tc>
          <w:tcPr>
            <w:tcW w:w="3993"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rPr>
              <w:t>0.6</w:t>
            </w:r>
            <w:r>
              <w:rPr>
                <w:rFonts w:hint="default" w:ascii="Times New Roman" w:hAnsi="Times New Roman" w:eastAsia="仿宋_GB2312" w:cs="Times New Roman"/>
                <w:color w:val="auto"/>
                <w:sz w:val="18"/>
                <w:szCs w:val="18"/>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70" w:hRule="atLeast"/>
          <w:jc w:val="center"/>
        </w:trPr>
        <w:tc>
          <w:tcPr>
            <w:tcW w:w="634" w:type="dxa"/>
            <w:vMerge w:val="continue"/>
            <w:tcBorders>
              <w:left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27"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lang w:bidi="ar"/>
              </w:rPr>
              <w:t>水土保持监理费</w:t>
            </w:r>
          </w:p>
        </w:tc>
        <w:tc>
          <w:tcPr>
            <w:tcW w:w="3993"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4" w:type="dxa"/>
            <w:vMerge w:val="continue"/>
            <w:tcBorders>
              <w:left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27"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1701" w:type="dxa"/>
            <w:gridSpan w:val="2"/>
            <w:tcBorders>
              <w:top w:val="single" w:color="auto" w:sz="4" w:space="0"/>
              <w:left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lang w:bidi="ar"/>
              </w:rPr>
              <w:t>设计费</w:t>
            </w:r>
          </w:p>
        </w:tc>
        <w:tc>
          <w:tcPr>
            <w:tcW w:w="3993"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34" w:type="dxa"/>
            <w:vMerge w:val="continue"/>
            <w:tcBorders>
              <w:left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基本预备费</w:t>
            </w:r>
          </w:p>
        </w:tc>
        <w:tc>
          <w:tcPr>
            <w:tcW w:w="5694" w:type="dxa"/>
            <w:gridSpan w:val="5"/>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4" w:type="dxa"/>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总投资</w:t>
            </w:r>
          </w:p>
        </w:tc>
        <w:tc>
          <w:tcPr>
            <w:tcW w:w="5694" w:type="dxa"/>
            <w:gridSpan w:val="5"/>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13.52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6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方案编制单位</w:t>
            </w:r>
          </w:p>
        </w:tc>
        <w:tc>
          <w:tcPr>
            <w:tcW w:w="2835"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四川星原环保科技有限责任公司</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建设单位</w:t>
            </w:r>
          </w:p>
        </w:tc>
        <w:tc>
          <w:tcPr>
            <w:tcW w:w="2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20" w:lineRule="exact"/>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红原县教育局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6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法定代表人</w:t>
            </w:r>
          </w:p>
        </w:tc>
        <w:tc>
          <w:tcPr>
            <w:tcW w:w="2835"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沙万勤</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法定代表人</w:t>
            </w:r>
          </w:p>
        </w:tc>
        <w:tc>
          <w:tcPr>
            <w:tcW w:w="2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20" w:lineRule="exact"/>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杨军</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6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地址</w:t>
            </w:r>
          </w:p>
        </w:tc>
        <w:tc>
          <w:tcPr>
            <w:tcW w:w="2835"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四川省阿坝藏族羌族自治州锦江区城守东大街59-61号7层</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地址</w:t>
            </w:r>
          </w:p>
        </w:tc>
        <w:tc>
          <w:tcPr>
            <w:tcW w:w="2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20" w:lineRule="exact"/>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四川省阿坝藏族羌族自治州红原县邛溪镇霞穹中街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627"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20" w:lineRule="exact"/>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邮编</w:t>
            </w:r>
          </w:p>
        </w:tc>
        <w:tc>
          <w:tcPr>
            <w:tcW w:w="2835"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610016</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20" w:lineRule="exact"/>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邮编</w:t>
            </w:r>
          </w:p>
        </w:tc>
        <w:tc>
          <w:tcPr>
            <w:tcW w:w="2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20" w:lineRule="exact"/>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624400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6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联系人及电话</w:t>
            </w:r>
          </w:p>
        </w:tc>
        <w:tc>
          <w:tcPr>
            <w:tcW w:w="2835"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沙万勤15982887547</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联系人及电话</w:t>
            </w:r>
          </w:p>
        </w:tc>
        <w:tc>
          <w:tcPr>
            <w:tcW w:w="2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20" w:lineRule="exact"/>
              <w:ind w:firstLine="0" w:firstLineChars="0"/>
              <w:jc w:val="center"/>
              <w:rPr>
                <w:rFonts w:hint="default" w:ascii="Times New Roman" w:hAnsi="Times New Roman" w:eastAsia="仿宋_GB2312" w:cs="Times New Roman"/>
                <w:color w:val="auto"/>
                <w:sz w:val="18"/>
                <w:szCs w:val="18"/>
              </w:rPr>
            </w:pPr>
            <w:r>
              <w:rPr>
                <w:rFonts w:hint="eastAsia" w:eastAsia="仿宋_GB2312" w:cs="Times New Roman"/>
                <w:color w:val="auto"/>
                <w:sz w:val="18"/>
                <w:szCs w:val="18"/>
                <w:lang w:val="en-US" w:eastAsia="zh-CN"/>
              </w:rPr>
              <w:t>许富强0837-8995677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6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传真</w:t>
            </w:r>
          </w:p>
        </w:tc>
        <w:tc>
          <w:tcPr>
            <w:tcW w:w="2835"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传真</w:t>
            </w:r>
          </w:p>
        </w:tc>
        <w:tc>
          <w:tcPr>
            <w:tcW w:w="2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20" w:lineRule="exact"/>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0837-2662051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16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电子信箱</w:t>
            </w:r>
          </w:p>
        </w:tc>
        <w:tc>
          <w:tcPr>
            <w:tcW w:w="2835"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479946875@qq.com</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电子信箱</w:t>
            </w:r>
          </w:p>
        </w:tc>
        <w:tc>
          <w:tcPr>
            <w:tcW w:w="2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20" w:lineRule="exact"/>
              <w:ind w:firstLine="0" w:firstLineChars="0"/>
              <w:jc w:val="center"/>
              <w:rPr>
                <w:rFonts w:hint="default" w:ascii="Times New Roman" w:hAnsi="Times New Roman" w:eastAsia="仿宋_GB2312" w:cs="Times New Roman"/>
                <w:color w:val="auto"/>
                <w:sz w:val="18"/>
                <w:szCs w:val="18"/>
              </w:rPr>
            </w:pPr>
            <w:r>
              <w:rPr>
                <w:rFonts w:hint="eastAsia" w:eastAsia="仿宋_GB2312" w:cs="Times New Roman"/>
                <w:color w:val="auto"/>
                <w:sz w:val="18"/>
                <w:szCs w:val="18"/>
                <w:lang w:val="en-US" w:eastAsia="zh-CN"/>
              </w:rPr>
              <w:t>765455901</w:t>
            </w:r>
            <w:r>
              <w:rPr>
                <w:rFonts w:hint="default" w:ascii="Times New Roman" w:hAnsi="Times New Roman" w:eastAsia="仿宋_GB2312" w:cs="Times New Roman"/>
                <w:color w:val="auto"/>
                <w:sz w:val="18"/>
                <w:szCs w:val="18"/>
              </w:rPr>
              <w:t>@qq.com</w:t>
            </w:r>
          </w:p>
        </w:tc>
      </w:tr>
    </w:tbl>
    <w:p>
      <w:pPr>
        <w:ind w:firstLine="0" w:firstLineChars="0"/>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说    明</w:t>
      </w:r>
    </w:p>
    <w:p>
      <w:pPr>
        <w:ind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1、本方案表格是参照中华人民共和国国家标准GB50433-2018编制。</w:t>
      </w:r>
    </w:p>
    <w:p>
      <w:pPr>
        <w:ind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2、封面后应附责任页。</w:t>
      </w:r>
    </w:p>
    <w:p>
      <w:pPr>
        <w:ind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3、报告表后应附项目支持性文件、地理位置图和总平面布置图。</w:t>
      </w:r>
    </w:p>
    <w:p>
      <w:pPr>
        <w:ind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4、用此表表达不清的事项，可用附件表述。</w:t>
      </w:r>
    </w:p>
    <w:p>
      <w:pPr>
        <w:spacing w:line="480" w:lineRule="auto"/>
        <w:ind w:firstLine="480"/>
        <w:rPr>
          <w:rFonts w:hint="default" w:ascii="Times New Roman" w:hAnsi="Times New Roman" w:eastAsia="黑体" w:cs="Times New Roman"/>
          <w:color w:val="auto"/>
          <w:szCs w:val="24"/>
        </w:rPr>
      </w:pPr>
    </w:p>
    <w:p>
      <w:pPr>
        <w:spacing w:line="480" w:lineRule="auto"/>
        <w:ind w:firstLine="480"/>
        <w:rPr>
          <w:rFonts w:hint="default" w:ascii="Times New Roman" w:hAnsi="Times New Roman" w:eastAsia="黑体" w:cs="Times New Roman"/>
          <w:color w:val="auto"/>
          <w:szCs w:val="24"/>
        </w:rPr>
      </w:pPr>
    </w:p>
    <w:p>
      <w:pPr>
        <w:spacing w:line="480" w:lineRule="auto"/>
        <w:ind w:firstLine="480"/>
        <w:rPr>
          <w:rFonts w:hint="default" w:ascii="Times New Roman" w:hAnsi="Times New Roman" w:eastAsia="黑体" w:cs="Times New Roman"/>
          <w:color w:val="auto"/>
          <w:szCs w:val="24"/>
        </w:rPr>
      </w:pPr>
    </w:p>
    <w:p>
      <w:pPr>
        <w:spacing w:line="480" w:lineRule="auto"/>
        <w:ind w:firstLine="480"/>
        <w:rPr>
          <w:rFonts w:hint="default" w:ascii="Times New Roman" w:hAnsi="Times New Roman" w:eastAsia="黑体" w:cs="Times New Roman"/>
          <w:color w:val="auto"/>
          <w:szCs w:val="24"/>
        </w:rPr>
      </w:pPr>
    </w:p>
    <w:p>
      <w:pPr>
        <w:spacing w:line="480" w:lineRule="auto"/>
        <w:ind w:firstLine="480"/>
        <w:rPr>
          <w:rFonts w:hint="default" w:ascii="Times New Roman" w:hAnsi="Times New Roman" w:eastAsia="黑体" w:cs="Times New Roman"/>
          <w:color w:val="auto"/>
          <w:szCs w:val="24"/>
        </w:rPr>
      </w:pPr>
    </w:p>
    <w:p>
      <w:pPr>
        <w:spacing w:line="480" w:lineRule="auto"/>
        <w:ind w:firstLine="480"/>
        <w:rPr>
          <w:rFonts w:hint="default" w:ascii="Times New Roman" w:hAnsi="Times New Roman" w:eastAsia="黑体" w:cs="Times New Roman"/>
          <w:color w:val="auto"/>
          <w:szCs w:val="24"/>
        </w:rPr>
      </w:pPr>
    </w:p>
    <w:p>
      <w:pPr>
        <w:widowControl/>
        <w:spacing w:line="240" w:lineRule="auto"/>
        <w:ind w:firstLine="0" w:firstLineChars="0"/>
        <w:jc w:val="center"/>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drawing>
          <wp:inline distT="0" distB="0" distL="114300" distR="114300">
            <wp:extent cx="5276215" cy="3957320"/>
            <wp:effectExtent l="0" t="0" r="6985" b="5080"/>
            <wp:docPr id="6" name="图片 6" descr="微信图片_2020080311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0803112010"/>
                    <pic:cNvPicPr>
                      <a:picLocks noChangeAspect="1"/>
                    </pic:cNvPicPr>
                  </pic:nvPicPr>
                  <pic:blipFill>
                    <a:blip r:embed="rId21"/>
                    <a:stretch>
                      <a:fillRect/>
                    </a:stretch>
                  </pic:blipFill>
                  <pic:spPr>
                    <a:xfrm>
                      <a:off x="0" y="0"/>
                      <a:ext cx="5276215" cy="3957320"/>
                    </a:xfrm>
                    <a:prstGeom prst="rect">
                      <a:avLst/>
                    </a:prstGeom>
                  </pic:spPr>
                </pic:pic>
              </a:graphicData>
            </a:graphic>
          </wp:inline>
        </w:drawing>
      </w:r>
    </w:p>
    <w:p>
      <w:pPr>
        <w:widowControl/>
        <w:spacing w:line="240" w:lineRule="auto"/>
        <w:ind w:firstLine="0" w:firstLineChars="0"/>
        <w:jc w:val="center"/>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图片1   易地育人寄宿制学校校园（2020年7月拍摄）</w:t>
      </w:r>
    </w:p>
    <w:p>
      <w:pPr>
        <w:widowControl/>
        <w:spacing w:line="240" w:lineRule="auto"/>
        <w:ind w:firstLine="0" w:firstLineChars="0"/>
        <w:jc w:val="center"/>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drawing>
          <wp:inline distT="0" distB="0" distL="114300" distR="114300">
            <wp:extent cx="5276215" cy="3957320"/>
            <wp:effectExtent l="0" t="0" r="6985" b="5080"/>
            <wp:docPr id="4" name="图片 4" descr="微信图片_2020080311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0803112032"/>
                    <pic:cNvPicPr>
                      <a:picLocks noChangeAspect="1"/>
                    </pic:cNvPicPr>
                  </pic:nvPicPr>
                  <pic:blipFill>
                    <a:blip r:embed="rId22"/>
                    <a:stretch>
                      <a:fillRect/>
                    </a:stretch>
                  </pic:blipFill>
                  <pic:spPr>
                    <a:xfrm>
                      <a:off x="0" y="0"/>
                      <a:ext cx="5276215" cy="3957320"/>
                    </a:xfrm>
                    <a:prstGeom prst="rect">
                      <a:avLst/>
                    </a:prstGeom>
                  </pic:spPr>
                </pic:pic>
              </a:graphicData>
            </a:graphic>
          </wp:inline>
        </w:drawing>
      </w:r>
    </w:p>
    <w:p>
      <w:pPr>
        <w:widowControl/>
        <w:spacing w:line="240" w:lineRule="auto"/>
        <w:ind w:firstLine="0" w:firstLineChars="0"/>
        <w:jc w:val="center"/>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图片2    建筑外部装饰（2020年7月拍摄）</w:t>
      </w:r>
    </w:p>
    <w:p>
      <w:pPr>
        <w:widowControl/>
        <w:ind w:firstLine="0" w:firstLineChars="0"/>
        <w:jc w:val="center"/>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drawing>
          <wp:inline distT="0" distB="0" distL="114300" distR="114300">
            <wp:extent cx="5276215" cy="3957320"/>
            <wp:effectExtent l="0" t="0" r="6985" b="5080"/>
            <wp:docPr id="11" name="图片 11" descr="微信图片_2020080311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00803112020"/>
                    <pic:cNvPicPr>
                      <a:picLocks noChangeAspect="1"/>
                    </pic:cNvPicPr>
                  </pic:nvPicPr>
                  <pic:blipFill>
                    <a:blip r:embed="rId23"/>
                    <a:stretch>
                      <a:fillRect/>
                    </a:stretch>
                  </pic:blipFill>
                  <pic:spPr>
                    <a:xfrm>
                      <a:off x="0" y="0"/>
                      <a:ext cx="5276215" cy="3957320"/>
                    </a:xfrm>
                    <a:prstGeom prst="rect">
                      <a:avLst/>
                    </a:prstGeom>
                  </pic:spPr>
                </pic:pic>
              </a:graphicData>
            </a:graphic>
          </wp:inline>
        </w:drawing>
      </w:r>
    </w:p>
    <w:p>
      <w:pPr>
        <w:widowControl/>
        <w:spacing w:line="240" w:lineRule="auto"/>
        <w:ind w:firstLine="0" w:firstLineChars="0"/>
        <w:jc w:val="center"/>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图片3  建筑主体现状（2020年7月拍摄）</w:t>
      </w:r>
    </w:p>
    <w:p>
      <w:pPr>
        <w:spacing w:line="240" w:lineRule="auto"/>
        <w:ind w:firstLine="0" w:firstLineChars="0"/>
        <w:jc w:val="center"/>
        <w:rPr>
          <w:rFonts w:hint="default" w:ascii="Times New Roman" w:hAnsi="Times New Roman" w:eastAsia="仿宋_GB2312" w:cs="Times New Roman"/>
          <w:b/>
          <w:color w:val="auto"/>
          <w:szCs w:val="24"/>
        </w:rPr>
      </w:pPr>
      <w:r>
        <w:rPr>
          <w:rFonts w:hint="default" w:ascii="Times New Roman" w:hAnsi="Times New Roman" w:eastAsia="仿宋_GB2312" w:cs="Times New Roman"/>
          <w:b/>
          <w:color w:val="auto"/>
          <w:szCs w:val="24"/>
        </w:rPr>
        <w:drawing>
          <wp:inline distT="0" distB="0" distL="114300" distR="114300">
            <wp:extent cx="5276215" cy="3957320"/>
            <wp:effectExtent l="0" t="0" r="6985" b="5080"/>
            <wp:docPr id="13" name="图片 13" descr="微信图片_2020080311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00803112324"/>
                    <pic:cNvPicPr>
                      <a:picLocks noChangeAspect="1"/>
                    </pic:cNvPicPr>
                  </pic:nvPicPr>
                  <pic:blipFill>
                    <a:blip r:embed="rId24"/>
                    <a:stretch>
                      <a:fillRect/>
                    </a:stretch>
                  </pic:blipFill>
                  <pic:spPr>
                    <a:xfrm>
                      <a:off x="0" y="0"/>
                      <a:ext cx="5276215" cy="3957320"/>
                    </a:xfrm>
                    <a:prstGeom prst="rect">
                      <a:avLst/>
                    </a:prstGeom>
                  </pic:spPr>
                </pic:pic>
              </a:graphicData>
            </a:graphic>
          </wp:inline>
        </w:drawing>
      </w:r>
    </w:p>
    <w:p>
      <w:pPr>
        <w:widowControl/>
        <w:spacing w:line="240" w:lineRule="auto"/>
        <w:ind w:firstLine="0" w:firstLineChars="0"/>
        <w:jc w:val="center"/>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图片4   本项目建筑在校园内位置（2020年7月拍摄）</w:t>
      </w:r>
    </w:p>
    <w:p>
      <w:pPr>
        <w:widowControl/>
        <w:spacing w:line="240" w:lineRule="auto"/>
        <w:ind w:firstLine="0" w:firstLineChars="0"/>
        <w:jc w:val="center"/>
        <w:rPr>
          <w:rFonts w:hint="default" w:ascii="Times New Roman" w:hAnsi="Times New Roman" w:eastAsia="黑体" w:cs="Times New Roman"/>
          <w:color w:val="auto"/>
          <w:kern w:val="0"/>
          <w:sz w:val="32"/>
          <w:szCs w:val="32"/>
        </w:rPr>
      </w:pPr>
    </w:p>
    <w:p>
      <w:pPr>
        <w:widowControl/>
        <w:spacing w:line="240" w:lineRule="auto"/>
        <w:ind w:firstLine="0" w:firstLineChars="0"/>
        <w:jc w:val="center"/>
        <w:rPr>
          <w:rFonts w:hint="default" w:ascii="Times New Roman" w:hAnsi="Times New Roman" w:eastAsia="黑体" w:cs="Times New Roman"/>
          <w:color w:val="auto"/>
          <w:kern w:val="0"/>
          <w:sz w:val="32"/>
          <w:szCs w:val="32"/>
        </w:rPr>
      </w:pPr>
      <w:r>
        <w:rPr>
          <w:rFonts w:hint="default" w:ascii="Times New Roman" w:hAnsi="Times New Roman" w:eastAsia="黑体" w:cs="Times New Roman"/>
          <w:color w:val="auto"/>
          <w:kern w:val="0"/>
          <w:sz w:val="32"/>
          <w:szCs w:val="32"/>
        </w:rPr>
        <w:t>目 录</w:t>
      </w:r>
    </w:p>
    <w:p>
      <w:pPr>
        <w:pStyle w:val="40"/>
        <w:tabs>
          <w:tab w:val="right" w:leader="dot" w:pos="8302"/>
        </w:tabs>
        <w:ind w:firstLineChars="71"/>
        <w:rPr>
          <w:rFonts w:hint="default" w:ascii="Times New Roman" w:hAnsi="Times New Roman" w:eastAsia="仿宋_GB2312" w:cs="Times New Roman"/>
          <w:b w:val="0"/>
          <w:bCs w:val="0"/>
          <w:caps w:val="0"/>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TOC \o "1-2" \h \z \u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"_Toc47879774"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1 综合说明</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_Toc47879774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1</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"_Toc47879775"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1.1 项目简况</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_Toc47879775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1</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"_Toc47879776"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1.2编制依据</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_Toc47879776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4</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"_Toc47879777"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1.3 设计水平年</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_Toc47879777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4</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"_Toc47879778"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1.4水土流失防治责任范围</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_Toc47879778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5</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"_Toc47879779"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1.5水土流失防治目标</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_Toc47879779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5</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"_Toc47879780"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1.6项目水土保持分析评价结论</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_Toc47879780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7</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"_Toc47879781"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1.7 水土流失调查结果</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_Toc47879781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8</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"_Toc47879782"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1.8水土保持措施布局结果</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_Toc47879782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8</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"_Toc47879783"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1.9水土保持投资及效益分析成果</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_Toc47879783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9</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"_Toc47879784"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1.10结论</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_Toc47879784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10</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0"/>
        <w:tabs>
          <w:tab w:val="right" w:leader="dot" w:pos="8302"/>
        </w:tabs>
        <w:ind w:firstLine="402"/>
        <w:rPr>
          <w:rFonts w:hint="default" w:ascii="Times New Roman" w:hAnsi="Times New Roman" w:eastAsia="仿宋_GB2312" w:cs="Times New Roman"/>
          <w:b w:val="0"/>
          <w:bCs w:val="0"/>
          <w: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"_Toc47879785"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2项目概况</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_Toc47879785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12</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"_Toc47879786"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2.1 项目组成及工程布置</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_Toc47879786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12</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"_Toc47879787"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2.2 施工组织</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_Toc47879787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19</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"_Toc47879788"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2.3 工程占地</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_Toc47879788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21</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"_Toc47879789"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2.4土石方平衡</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_Toc47879789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21</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"_Toc47879790"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2.5 拆迁（移民）安置与专项设施改（迁）建</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_Toc47879790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22</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"_Toc47879791"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2.6进度安排</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_Toc47879791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22</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"_Toc47879792"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2.7自然概况</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_Toc47879792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23</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0"/>
        <w:tabs>
          <w:tab w:val="right" w:leader="dot" w:pos="8302"/>
        </w:tabs>
        <w:ind w:firstLine="402"/>
        <w:rPr>
          <w:rFonts w:hint="default" w:ascii="Times New Roman" w:hAnsi="Times New Roman" w:eastAsia="仿宋_GB2312" w:cs="Times New Roman"/>
          <w:b w:val="0"/>
          <w:bCs w:val="0"/>
          <w: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"_Toc47879793"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3项目水土保持评价</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_Toc47879793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28</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"_Toc47879794"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3.1 主体工程选址水土保持评价</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_Toc47879794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28</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"_Toc47879795"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3.2建设方案与布局水土保持评价</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_Toc47879795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28</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"_Toc47879796"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3.3 主体工程设计中水土保持措施界定</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_Toc47879796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32</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0"/>
        <w:tabs>
          <w:tab w:val="right" w:leader="dot" w:pos="8302"/>
        </w:tabs>
        <w:ind w:firstLine="402"/>
        <w:rPr>
          <w:rFonts w:hint="default" w:ascii="Times New Roman" w:hAnsi="Times New Roman" w:eastAsia="仿宋_GB2312" w:cs="Times New Roman"/>
          <w:b w:val="0"/>
          <w:bCs w:val="0"/>
          <w: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"_Toc47879797"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4水土流失分析与调查</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_Toc47879797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34</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"_Toc47879798"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4.1 水土流失现状</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_Toc47879798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34</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"_Toc47879799"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4.2 水土流失影响因素分析</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_Toc47879799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35</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"_Toc47879800"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4.3 土壤流失量调查</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_Toc47879800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35</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"_Toc47879801"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4.4 水土流失危害分析</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_Toc47879801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37</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"_Toc47879802"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4.5指导性意见</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_Toc47879802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37</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0"/>
        <w:tabs>
          <w:tab w:val="right" w:leader="dot" w:pos="8302"/>
        </w:tabs>
        <w:ind w:firstLine="402"/>
        <w:rPr>
          <w:rFonts w:hint="default" w:ascii="Times New Roman" w:hAnsi="Times New Roman" w:eastAsia="仿宋_GB2312" w:cs="Times New Roman"/>
          <w:b w:val="0"/>
          <w:bCs w:val="0"/>
          <w: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"_Toc47879803"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5 水土保持措施</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_Toc47879803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38</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"_Toc47879804"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5.1 防治区划分</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_Toc47879804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38</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"_Toc47879805"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5.2措施总体布局</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_Toc47879805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38</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"_Toc47879806"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5.3 分区措施布设</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_Toc47879806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39</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"_Toc47879807"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5.4施工要求</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_Toc47879807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42</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0"/>
        <w:tabs>
          <w:tab w:val="right" w:leader="dot" w:pos="8302"/>
        </w:tabs>
        <w:ind w:firstLine="402"/>
        <w:rPr>
          <w:rFonts w:hint="default" w:ascii="Times New Roman" w:hAnsi="Times New Roman" w:eastAsia="仿宋_GB2312" w:cs="Times New Roman"/>
          <w:b w:val="0"/>
          <w:bCs w:val="0"/>
          <w: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"_Toc47879808"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6水土保持监测</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_Toc47879808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43</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"_Toc47879809"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6.1 范围与时段</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_Toc47879809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43</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"_Toc47879810"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6.2内容和方法</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_Toc47879810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43</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"_Toc47879811"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6.3点位布设</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_Toc47879811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44</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"_Toc47879812"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6.4实施条件和成果</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_Toc47879812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44</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0"/>
        <w:tabs>
          <w:tab w:val="right" w:leader="dot" w:pos="8302"/>
        </w:tabs>
        <w:ind w:firstLine="402"/>
        <w:rPr>
          <w:rFonts w:hint="default" w:ascii="Times New Roman" w:hAnsi="Times New Roman" w:eastAsia="仿宋_GB2312" w:cs="Times New Roman"/>
          <w:b w:val="0"/>
          <w:bCs w:val="0"/>
          <w: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"_Toc47879813"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7 水土保持投资概算及效益分析</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_Toc47879813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46</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"_Toc47879814"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7.1 投资概算</w:t>
      </w:r>
      <w:bookmarkStart w:id="224" w:name="_GoBack"/>
      <w:bookmarkEnd w:id="224"/>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_Toc47879814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46</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"_Toc47879815"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7.2 效益分析</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_Toc47879815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52</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0"/>
        <w:tabs>
          <w:tab w:val="right" w:leader="dot" w:pos="8302"/>
        </w:tabs>
        <w:ind w:firstLine="402"/>
        <w:rPr>
          <w:rFonts w:hint="default" w:ascii="Times New Roman" w:hAnsi="Times New Roman" w:eastAsia="仿宋_GB2312" w:cs="Times New Roman"/>
          <w:b w:val="0"/>
          <w:bCs w:val="0"/>
          <w: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"_Toc47879816"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8水土保持管理</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_Toc47879816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55</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"_Toc47879817"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8.1 组织管理</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_Toc47879817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55</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"_Toc47879818"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8.2 后续设计</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_Toc47879818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55</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"_Toc47879819"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8.3 水土保持监理</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_Toc47879819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55</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eastAsia="仿宋_GB2312" w:cs="Times New Roman"/>
          <w:smallCaps w:val="0"/>
          <w:color w:val="auto"/>
          <w:sz w:val="28"/>
          <w:szCs w:val="28"/>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"_Toc47879820"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8.4 水土保持施工</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_Toc47879820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56</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pStyle w:val="48"/>
        <w:tabs>
          <w:tab w:val="right" w:leader="dot" w:pos="8302"/>
        </w:tabs>
        <w:ind w:firstLine="400"/>
        <w:rPr>
          <w:rFonts w:hint="default" w:ascii="Times New Roman" w:hAnsi="Times New Roman" w:cs="Times New Roman" w:eastAsiaTheme="minorEastAsia"/>
          <w:smallCaps w:val="0"/>
          <w:color w:val="auto"/>
          <w:sz w:val="21"/>
          <w:szCs w:val="22"/>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"_Toc47879821" </w:instrText>
      </w:r>
      <w:r>
        <w:rPr>
          <w:rFonts w:hint="default" w:ascii="Times New Roman" w:hAnsi="Times New Roman" w:cs="Times New Roman"/>
          <w:color w:val="auto"/>
        </w:rPr>
        <w:fldChar w:fldCharType="separate"/>
      </w:r>
      <w:r>
        <w:rPr>
          <w:rStyle w:val="71"/>
          <w:rFonts w:hint="default" w:ascii="Times New Roman" w:hAnsi="Times New Roman" w:eastAsia="仿宋_GB2312" w:cs="Times New Roman"/>
          <w:color w:val="auto"/>
          <w:kern w:val="0"/>
          <w:sz w:val="28"/>
          <w:szCs w:val="28"/>
        </w:rPr>
        <w:t>8.5 水土保持设施验收</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_Toc47879821 \h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56</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rPr>
        <w:fldChar w:fldCharType="end"/>
      </w:r>
    </w:p>
    <w:p>
      <w:pPr>
        <w:spacing w:line="240" w:lineRule="auto"/>
        <w:ind w:firstLine="0" w:firstLineChars="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sz w:val="28"/>
          <w:szCs w:val="28"/>
        </w:rPr>
        <w:fldChar w:fldCharType="end"/>
      </w:r>
      <w:r>
        <w:rPr>
          <w:rFonts w:hint="default" w:ascii="Times New Roman" w:hAnsi="Times New Roman" w:eastAsia="仿宋_GB2312" w:cs="Times New Roman"/>
          <w:b/>
          <w:color w:val="auto"/>
        </w:rPr>
        <w:t>附件：</w:t>
      </w:r>
    </w:p>
    <w:p>
      <w:pPr>
        <w:bidi w:val="0"/>
        <w:rPr>
          <w:rFonts w:hint="default" w:ascii="Times New Roman" w:hAnsi="Times New Roman" w:eastAsia="仿宋_GB2312" w:cs="Times New Roman"/>
          <w:color w:val="auto"/>
        </w:rPr>
      </w:pPr>
      <w:r>
        <w:rPr>
          <w:rFonts w:hint="default" w:ascii="Times New Roman" w:hAnsi="Times New Roman" w:eastAsia="仿宋_GB2312" w:cs="Times New Roman"/>
          <w:color w:val="auto"/>
        </w:rPr>
        <w:t>附件1：委托书；</w:t>
      </w:r>
    </w:p>
    <w:p>
      <w:pPr>
        <w:bidi w:val="0"/>
        <w:rPr>
          <w:rFonts w:hint="default" w:ascii="Times New Roman" w:hAnsi="Times New Roman" w:eastAsia="仿宋_GB2312" w:cs="Times New Roman"/>
          <w:color w:val="auto"/>
        </w:rPr>
      </w:pPr>
      <w:r>
        <w:rPr>
          <w:rFonts w:hint="default" w:ascii="Times New Roman" w:hAnsi="Times New Roman" w:eastAsia="仿宋_GB2312" w:cs="Times New Roman"/>
          <w:color w:val="auto"/>
        </w:rPr>
        <w:t>附件2：《红原县发展改革和经济商务信息化局关于红原县2016年薄弱学校改造和学前教育（邛溪镇易地育人寄宿制学校）建设项目的批复》（红发改经信【2016】135号）；</w:t>
      </w:r>
    </w:p>
    <w:p>
      <w:pPr>
        <w:bidi w:val="0"/>
        <w:rPr>
          <w:rFonts w:hint="default" w:ascii="Times New Roman" w:hAnsi="Times New Roman" w:eastAsia="仿宋_GB2312" w:cs="Times New Roman"/>
          <w:color w:val="auto"/>
          <w:w w:val="90"/>
        </w:rPr>
      </w:pPr>
      <w:r>
        <w:rPr>
          <w:rFonts w:hint="default" w:ascii="Times New Roman" w:hAnsi="Times New Roman" w:eastAsia="仿宋_GB2312" w:cs="Times New Roman"/>
          <w:color w:val="auto"/>
          <w:w w:val="90"/>
        </w:rPr>
        <w:t>附件3：《中华人民共和国建设用地规划许可证》（地字第51323320170023号）；</w:t>
      </w:r>
    </w:p>
    <w:p>
      <w:pPr>
        <w:bidi w:val="0"/>
        <w:rPr>
          <w:rFonts w:hint="default" w:ascii="Times New Roman" w:hAnsi="Times New Roman" w:eastAsia="仿宋_GB2312" w:cs="Times New Roman"/>
          <w:color w:val="auto"/>
          <w:w w:val="90"/>
        </w:rPr>
      </w:pPr>
      <w:r>
        <w:rPr>
          <w:rFonts w:hint="default" w:ascii="Times New Roman" w:hAnsi="Times New Roman" w:eastAsia="仿宋_GB2312" w:cs="Times New Roman"/>
          <w:color w:val="auto"/>
          <w:w w:val="90"/>
        </w:rPr>
        <w:t>附件4：《中华人民共和国建设工程规划许可证》（建字第5132332017023号）；</w:t>
      </w:r>
    </w:p>
    <w:p>
      <w:pPr>
        <w:bidi w:val="0"/>
        <w:rPr>
          <w:rFonts w:hint="default" w:ascii="Times New Roman" w:hAnsi="Times New Roman" w:eastAsia="仿宋_GB2312" w:cs="Times New Roman"/>
          <w:color w:val="auto"/>
          <w:w w:val="90"/>
        </w:rPr>
      </w:pPr>
      <w:r>
        <w:rPr>
          <w:rFonts w:hint="default" w:ascii="Times New Roman" w:hAnsi="Times New Roman" w:eastAsia="仿宋_GB2312" w:cs="Times New Roman"/>
          <w:color w:val="auto"/>
          <w:w w:val="90"/>
        </w:rPr>
        <w:t>附件5：《红原县国土资源局关于红原县薄弱学校改造和学前教育项目建设用地的预审意见》（红国土资源【2016】10号）；</w:t>
      </w:r>
    </w:p>
    <w:p>
      <w:pPr>
        <w:bidi w:val="0"/>
        <w:rPr>
          <w:rFonts w:hint="default" w:ascii="Times New Roman" w:hAnsi="Times New Roman" w:eastAsia="仿宋_GB2312" w:cs="Times New Roman"/>
          <w:color w:val="auto"/>
          <w:w w:val="90"/>
        </w:rPr>
      </w:pPr>
      <w:r>
        <w:rPr>
          <w:rFonts w:hint="default" w:ascii="Times New Roman" w:hAnsi="Times New Roman" w:eastAsia="仿宋_GB2312" w:cs="Times New Roman"/>
          <w:color w:val="auto"/>
          <w:w w:val="90"/>
        </w:rPr>
        <w:t>附件6：《中华人民共和国建筑施工许可证》（编号：513233201706140202）；</w:t>
      </w:r>
    </w:p>
    <w:p>
      <w:pPr>
        <w:bidi w:val="0"/>
        <w:rPr>
          <w:rFonts w:hint="default" w:ascii="Times New Roman" w:hAnsi="Times New Roman" w:eastAsia="仿宋_GB2312" w:cs="Times New Roman"/>
          <w:color w:val="auto"/>
          <w:w w:val="90"/>
          <w:lang w:eastAsia="zh-CN"/>
        </w:rPr>
      </w:pPr>
      <w:r>
        <w:rPr>
          <w:rFonts w:hint="default" w:ascii="Times New Roman" w:hAnsi="Times New Roman" w:eastAsia="仿宋_GB2312" w:cs="Times New Roman"/>
          <w:color w:val="auto"/>
          <w:w w:val="90"/>
        </w:rPr>
        <w:t>附件7：《中华人民共和国建设项目选址意见书》（选字第5132332016005号）</w:t>
      </w:r>
      <w:r>
        <w:rPr>
          <w:rFonts w:hint="default" w:ascii="Times New Roman" w:hAnsi="Times New Roman" w:eastAsia="仿宋_GB2312" w:cs="Times New Roman"/>
          <w:color w:val="auto"/>
          <w:w w:val="90"/>
          <w:lang w:eastAsia="zh-CN"/>
        </w:rPr>
        <w:t>；</w:t>
      </w:r>
    </w:p>
    <w:p>
      <w:pPr>
        <w:bidi w:val="0"/>
        <w:rPr>
          <w:rFonts w:hint="default" w:ascii="Times New Roman" w:hAnsi="Times New Roman" w:eastAsia="仿宋_GB2312" w:cs="Times New Roman"/>
          <w:color w:val="auto"/>
          <w:w w:val="90"/>
          <w:lang w:val="en-US" w:eastAsia="zh-CN"/>
        </w:rPr>
      </w:pPr>
      <w:r>
        <w:rPr>
          <w:rFonts w:hint="default" w:ascii="Times New Roman" w:hAnsi="Times New Roman" w:eastAsia="仿宋_GB2312" w:cs="Times New Roman"/>
          <w:color w:val="auto"/>
          <w:w w:val="90"/>
          <w:lang w:val="en-US" w:eastAsia="zh-CN"/>
        </w:rPr>
        <w:t>附件8：《</w:t>
      </w:r>
      <w:bookmarkStart w:id="0" w:name="_Hlk48935630"/>
      <w:r>
        <w:rPr>
          <w:rFonts w:hint="default" w:ascii="Times New Roman" w:hAnsi="Times New Roman" w:eastAsia="仿宋_GB2312" w:cs="Times New Roman"/>
          <w:color w:val="auto"/>
          <w:w w:val="90"/>
          <w:lang w:val="en-US" w:eastAsia="zh-CN"/>
        </w:rPr>
        <w:t>红原县2016年薄弱学校改造和学前教育（邛溪镇易地育人寄宿制学校）建设项目</w:t>
      </w:r>
      <w:bookmarkEnd w:id="0"/>
      <w:r>
        <w:rPr>
          <w:rFonts w:hint="default" w:ascii="Times New Roman" w:hAnsi="Times New Roman" w:eastAsia="仿宋_GB2312" w:cs="Times New Roman"/>
          <w:color w:val="auto"/>
          <w:w w:val="90"/>
          <w:lang w:val="en-US" w:eastAsia="zh-CN"/>
        </w:rPr>
        <w:t>水土保持方案报告表技术</w:t>
      </w:r>
      <w:r>
        <w:rPr>
          <w:rFonts w:hint="eastAsia" w:ascii="Times New Roman" w:hAnsi="Times New Roman" w:eastAsia="仿宋_GB2312" w:cs="Times New Roman"/>
          <w:color w:val="auto"/>
          <w:w w:val="90"/>
          <w:lang w:val="en-US" w:eastAsia="zh-CN"/>
        </w:rPr>
        <w:t>审定</w:t>
      </w:r>
      <w:r>
        <w:rPr>
          <w:rFonts w:hint="default" w:ascii="Times New Roman" w:hAnsi="Times New Roman" w:eastAsia="仿宋_GB2312" w:cs="Times New Roman"/>
          <w:color w:val="auto"/>
          <w:w w:val="90"/>
          <w:lang w:val="en-US" w:eastAsia="zh-CN"/>
        </w:rPr>
        <w:t>意见》。</w:t>
      </w:r>
    </w:p>
    <w:p>
      <w:pPr>
        <w:spacing w:line="240" w:lineRule="auto"/>
        <w:ind w:firstLine="0" w:firstLineChars="0"/>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附图：</w:t>
      </w:r>
    </w:p>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附图1：项目地理位置图；</w:t>
      </w:r>
    </w:p>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附图2：项目区水系图；</w:t>
      </w:r>
    </w:p>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附图3：项目区土壤侵蚀分布图；</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附图4：总平面图；</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附图5：</w:t>
      </w:r>
      <w:r>
        <w:rPr>
          <w:rFonts w:hint="default" w:ascii="Times New Roman" w:hAnsi="Times New Roman" w:eastAsia="仿宋_GB2312" w:cs="Times New Roman"/>
          <w:color w:val="auto"/>
          <w:szCs w:val="24"/>
        </w:rPr>
        <w:t>分区防治措施总体布局及监测点位布设图</w:t>
      </w:r>
      <w:r>
        <w:rPr>
          <w:rFonts w:hint="default" w:ascii="Times New Roman" w:hAnsi="Times New Roman" w:eastAsia="仿宋_GB2312" w:cs="Times New Roman"/>
          <w:color w:val="auto"/>
          <w:kern w:val="0"/>
        </w:rPr>
        <w:t>；</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附图6：一层给排水总平面图。</w:t>
      </w:r>
    </w:p>
    <w:p>
      <w:pPr>
        <w:ind w:firstLine="199" w:firstLineChars="83"/>
        <w:rPr>
          <w:rFonts w:hint="default" w:ascii="Times New Roman" w:hAnsi="Times New Roman" w:cs="Times New Roman"/>
          <w:color w:val="auto"/>
          <w:kern w:val="0"/>
        </w:rPr>
        <w:sectPr>
          <w:footerReference r:id="rId9" w:type="default"/>
          <w:pgSz w:w="11906" w:h="16838"/>
          <w:pgMar w:top="1440" w:right="1797" w:bottom="1440" w:left="1797"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p>
    <w:p>
      <w:pPr>
        <w:pStyle w:val="3"/>
        <w:rPr>
          <w:rFonts w:hint="default" w:ascii="Times New Roman" w:hAnsi="Times New Roman" w:cs="Times New Roman"/>
          <w:color w:val="auto"/>
          <w:kern w:val="0"/>
        </w:rPr>
      </w:pPr>
      <w:bookmarkStart w:id="1" w:name="_Toc47879774"/>
      <w:r>
        <w:rPr>
          <w:rFonts w:hint="default" w:ascii="Times New Roman" w:hAnsi="Times New Roman" w:cs="Times New Roman"/>
          <w:color w:val="auto"/>
          <w:kern w:val="0"/>
        </w:rPr>
        <w:t>1 综合说明</w:t>
      </w:r>
      <w:bookmarkEnd w:id="1"/>
    </w:p>
    <w:p>
      <w:pPr>
        <w:pStyle w:val="4"/>
        <w:suppressAutoHyphens/>
        <w:spacing w:before="156" w:beforeLines="50" w:after="156" w:afterLines="50"/>
        <w:rPr>
          <w:rFonts w:hint="default" w:ascii="Times New Roman" w:hAnsi="Times New Roman" w:cs="Times New Roman"/>
          <w:color w:val="auto"/>
          <w:kern w:val="0"/>
        </w:rPr>
      </w:pPr>
      <w:bookmarkStart w:id="2" w:name="_Toc47879775"/>
      <w:r>
        <w:rPr>
          <w:rFonts w:hint="default" w:ascii="Times New Roman" w:hAnsi="Times New Roman" w:cs="Times New Roman"/>
          <w:color w:val="auto"/>
          <w:kern w:val="0"/>
        </w:rPr>
        <w:t>1.1 项目简况</w:t>
      </w:r>
      <w:bookmarkEnd w:id="2"/>
    </w:p>
    <w:p>
      <w:pPr>
        <w:pStyle w:val="5"/>
        <w:rPr>
          <w:rFonts w:hint="default" w:ascii="Times New Roman" w:hAnsi="Times New Roman" w:cs="Times New Roman"/>
          <w:color w:val="auto"/>
          <w:kern w:val="0"/>
        </w:rPr>
      </w:pPr>
      <w:r>
        <w:rPr>
          <w:rFonts w:hint="default" w:ascii="Times New Roman" w:hAnsi="Times New Roman" w:cs="Times New Roman"/>
          <w:color w:val="auto"/>
          <w:kern w:val="0"/>
        </w:rPr>
        <w:t>1.1.1项目基本概况</w:t>
      </w:r>
    </w:p>
    <w:p>
      <w:pPr>
        <w:adjustRightInd w:val="0"/>
        <w:snapToGrid w:val="0"/>
        <w:ind w:firstLine="0" w:firstLineChars="0"/>
        <w:outlineLvl w:val="3"/>
        <w:rPr>
          <w:rFonts w:hint="default" w:ascii="Times New Roman" w:hAnsi="Times New Roman" w:cs="Times New Roman"/>
          <w:b/>
          <w:color w:val="auto"/>
          <w:kern w:val="0"/>
        </w:rPr>
      </w:pPr>
      <w:r>
        <w:rPr>
          <w:rFonts w:hint="default" w:ascii="Times New Roman" w:hAnsi="Times New Roman" w:cs="Times New Roman"/>
          <w:b/>
          <w:color w:val="auto"/>
          <w:kern w:val="0"/>
        </w:rPr>
        <w:t>1.1.1.1项目建设必要性</w:t>
      </w:r>
    </w:p>
    <w:p>
      <w:pPr>
        <w:pStyle w:val="1102"/>
        <w:rPr>
          <w:rFonts w:hint="default" w:ascii="Times New Roman" w:hAnsi="Times New Roman" w:cs="Times New Roman"/>
          <w:color w:val="auto"/>
        </w:rPr>
      </w:pPr>
      <w:bookmarkStart w:id="3" w:name="_Toc336675198"/>
      <w:r>
        <w:rPr>
          <w:rFonts w:hint="default" w:ascii="Times New Roman" w:hAnsi="Times New Roman" w:cs="Times New Roman"/>
          <w:color w:val="auto"/>
        </w:rPr>
        <w:t>红原县2016年薄弱学校改造和学前教育（邛溪镇易地育人寄宿制学校）建设项目（以下简称“本项目”），建设单位是红原县教育局；进入21世纪，国际竞争日趋激烈，竞争的焦点是全民素质的竞争、是人才的竞争，要实现中华民族的伟大复兴，教育肩负着重要的历史使命。近年来，在党中央、国务院的领导下，经过各级政府和全社会的共同努力，我国教育事业得到了迅速发展，为社会主义现代化建设提供了强有力的人才支持和知识贡献，教育正在成为促进我国经济、社会发展，推动科技进步，增强综合国力的重要力量。本项目的建设对提高全县教育质量和水平，提高人口素质，具有重要意义。</w:t>
      </w:r>
    </w:p>
    <w:p>
      <w:pPr>
        <w:pStyle w:val="1102"/>
        <w:rPr>
          <w:rFonts w:hint="default" w:ascii="Times New Roman" w:hAnsi="Times New Roman" w:cs="Times New Roman"/>
          <w:color w:val="auto"/>
        </w:rPr>
      </w:pPr>
      <w:r>
        <w:rPr>
          <w:rFonts w:hint="default" w:ascii="Times New Roman" w:hAnsi="Times New Roman" w:cs="Times New Roman"/>
          <w:color w:val="auto"/>
        </w:rPr>
        <w:t>根据《中华人民共和国建设项目选址意见书》（选字第5132332016005号）；项目建设符合红原县规划。</w:t>
      </w:r>
    </w:p>
    <w:p>
      <w:pPr>
        <w:pStyle w:val="1102"/>
        <w:rPr>
          <w:rFonts w:hint="default" w:ascii="Times New Roman" w:hAnsi="Times New Roman" w:cs="Times New Roman"/>
          <w:color w:val="auto"/>
        </w:rPr>
      </w:pPr>
      <w:r>
        <w:rPr>
          <w:rFonts w:hint="default" w:ascii="Times New Roman" w:hAnsi="Times New Roman" w:cs="Times New Roman"/>
          <w:color w:val="auto"/>
        </w:rPr>
        <w:t>综上，建设项目是必要的。</w:t>
      </w:r>
    </w:p>
    <w:bookmarkEnd w:id="3"/>
    <w:p>
      <w:pPr>
        <w:adjustRightInd w:val="0"/>
        <w:snapToGrid w:val="0"/>
        <w:ind w:firstLine="0" w:firstLineChars="0"/>
        <w:outlineLvl w:val="3"/>
        <w:rPr>
          <w:rFonts w:hint="default" w:ascii="Times New Roman" w:hAnsi="Times New Roman" w:cs="Times New Roman"/>
          <w:b/>
          <w:color w:val="auto"/>
          <w:kern w:val="0"/>
        </w:rPr>
      </w:pPr>
      <w:r>
        <w:rPr>
          <w:rFonts w:hint="default" w:ascii="Times New Roman" w:hAnsi="Times New Roman" w:cs="Times New Roman"/>
          <w:b/>
          <w:color w:val="auto"/>
          <w:kern w:val="0"/>
        </w:rPr>
        <w:t>1.1.1.2项目情况</w:t>
      </w:r>
    </w:p>
    <w:p>
      <w:pPr>
        <w:pStyle w:val="1102"/>
        <w:rPr>
          <w:rFonts w:hint="default" w:ascii="Times New Roman" w:hAnsi="Times New Roman" w:eastAsia="仿宋_GB2312" w:cs="Times New Roman"/>
          <w:color w:val="auto"/>
          <w:lang w:eastAsia="zh-CN"/>
        </w:rPr>
      </w:pPr>
      <w:r>
        <w:rPr>
          <w:rFonts w:hint="default" w:ascii="Times New Roman" w:hAnsi="Times New Roman" w:cs="Times New Roman"/>
          <w:color w:val="auto"/>
        </w:rPr>
        <w:t>红原县2016年薄弱学校改造和学前教育（邛溪镇易地育人寄宿制学校）建设项目位于四川省红原县邛溪镇易地育人寄宿制学校内</w:t>
      </w:r>
      <w:r>
        <w:rPr>
          <w:rFonts w:hint="default" w:ascii="Times New Roman" w:hAnsi="Times New Roman" w:cs="Times New Roman"/>
          <w:color w:val="auto"/>
          <w:kern w:val="0"/>
        </w:rPr>
        <w:t>，项目中心点地理坐标：102°32′25.76″E，32°48′8.45″N</w:t>
      </w:r>
      <w:r>
        <w:rPr>
          <w:rFonts w:hint="default" w:ascii="Times New Roman" w:hAnsi="Times New Roman" w:cs="Times New Roman"/>
          <w:color w:val="auto"/>
        </w:rPr>
        <w:t>。项目属新建、建设类项目。</w:t>
      </w:r>
      <w:r>
        <w:rPr>
          <w:rFonts w:hint="default" w:ascii="Times New Roman" w:hAnsi="Times New Roman" w:cs="Times New Roman"/>
          <w:color w:val="auto"/>
          <w:lang w:eastAsia="zh-CN"/>
        </w:rPr>
        <w:t>本项目在既有校园内建设，项目给排水、供配电等附属工程均依托既有设施。</w:t>
      </w:r>
    </w:p>
    <w:p>
      <w:pPr>
        <w:pStyle w:val="1102"/>
        <w:rPr>
          <w:rFonts w:hint="default" w:ascii="Times New Roman" w:hAnsi="Times New Roman" w:cs="Times New Roman"/>
          <w:color w:val="auto"/>
        </w:rPr>
      </w:pPr>
      <w:r>
        <w:rPr>
          <w:rFonts w:hint="default" w:ascii="Times New Roman" w:hAnsi="Times New Roman" w:cs="Times New Roman"/>
          <w:color w:val="auto"/>
          <w:lang w:eastAsia="zh-CN"/>
        </w:rPr>
        <w:t>本项目</w:t>
      </w:r>
      <w:r>
        <w:rPr>
          <w:rFonts w:hint="default" w:ascii="Times New Roman" w:hAnsi="Times New Roman" w:cs="Times New Roman"/>
          <w:color w:val="auto"/>
        </w:rPr>
        <w:t>建设内容</w:t>
      </w:r>
      <w:r>
        <w:rPr>
          <w:rFonts w:hint="default" w:ascii="Times New Roman" w:hAnsi="Times New Roman" w:cs="Times New Roman"/>
          <w:color w:val="auto"/>
          <w:lang w:eastAsia="zh-CN"/>
        </w:rPr>
        <w:t>包括</w:t>
      </w:r>
      <w:r>
        <w:rPr>
          <w:rFonts w:hint="default" w:ascii="Times New Roman" w:hAnsi="Times New Roman" w:cs="Times New Roman"/>
          <w:color w:val="auto"/>
        </w:rPr>
        <w:t>建筑工程（教学综合楼）；道路硬化工程；草坪绿化；附属工程（给水系统、排水系统、供配电系统）。项目净用地面积1200m</w:t>
      </w:r>
      <w:r>
        <w:rPr>
          <w:rFonts w:hint="default" w:ascii="Times New Roman" w:hAnsi="Times New Roman" w:cs="Times New Roman"/>
          <w:color w:val="auto"/>
          <w:vertAlign w:val="superscript"/>
        </w:rPr>
        <w:t>2</w:t>
      </w:r>
      <w:r>
        <w:rPr>
          <w:rFonts w:hint="default" w:ascii="Times New Roman" w:hAnsi="Times New Roman" w:cs="Times New Roman"/>
          <w:color w:val="auto"/>
        </w:rPr>
        <w:t>，总建筑面积</w:t>
      </w:r>
      <w:r>
        <w:rPr>
          <w:rFonts w:hint="default" w:ascii="Times New Roman" w:hAnsi="Times New Roman" w:cs="Times New Roman"/>
          <w:bCs/>
          <w:color w:val="auto"/>
        </w:rPr>
        <w:t>2352.68</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；建筑基底面积593.88m</w:t>
      </w:r>
      <w:r>
        <w:rPr>
          <w:rFonts w:hint="default" w:ascii="Times New Roman" w:hAnsi="Times New Roman" w:cs="Times New Roman"/>
          <w:color w:val="auto"/>
          <w:vertAlign w:val="superscript"/>
        </w:rPr>
        <w:t>2</w:t>
      </w:r>
      <w:r>
        <w:rPr>
          <w:rFonts w:hint="default" w:ascii="Times New Roman" w:hAnsi="Times New Roman" w:cs="Times New Roman"/>
          <w:color w:val="auto"/>
        </w:rPr>
        <w:t>，容积率1.96，建筑密度49.49%。</w:t>
      </w:r>
    </w:p>
    <w:p>
      <w:pPr>
        <w:pStyle w:val="1102"/>
        <w:rPr>
          <w:rFonts w:hint="default" w:ascii="Times New Roman" w:hAnsi="Times New Roman" w:cs="Times New Roman"/>
          <w:color w:val="auto"/>
        </w:rPr>
      </w:pPr>
      <w:r>
        <w:rPr>
          <w:rFonts w:hint="default" w:ascii="Times New Roman" w:hAnsi="Times New Roman" w:cs="Times New Roman"/>
          <w:color w:val="auto"/>
          <w:kern w:val="0"/>
        </w:rPr>
        <w:t>本项目总占地0.12hm</w:t>
      </w:r>
      <w:r>
        <w:rPr>
          <w:rFonts w:hint="default" w:ascii="Times New Roman" w:hAnsi="Times New Roman" w:cs="Times New Roman"/>
          <w:color w:val="auto"/>
          <w:kern w:val="0"/>
          <w:vertAlign w:val="superscript"/>
        </w:rPr>
        <w:t>2</w:t>
      </w:r>
      <w:r>
        <w:rPr>
          <w:rFonts w:hint="default" w:ascii="Times New Roman" w:hAnsi="Times New Roman" w:cs="Times New Roman"/>
          <w:color w:val="auto"/>
          <w:kern w:val="0"/>
        </w:rPr>
        <w:t>，均为永久占地，不涉及代征、代建用地；占地类型为公共管理与公共服务用地</w:t>
      </w:r>
      <w:r>
        <w:rPr>
          <w:rFonts w:hint="default" w:ascii="Times New Roman" w:hAnsi="Times New Roman" w:cs="Times New Roman"/>
          <w:color w:val="auto"/>
        </w:rPr>
        <w:t>。</w:t>
      </w:r>
    </w:p>
    <w:p>
      <w:pPr>
        <w:pStyle w:val="1102"/>
        <w:rPr>
          <w:rFonts w:hint="default" w:ascii="Times New Roman" w:hAnsi="Times New Roman" w:cs="Times New Roman"/>
          <w:color w:val="auto"/>
          <w:kern w:val="0"/>
        </w:rPr>
      </w:pPr>
      <w:r>
        <w:rPr>
          <w:rFonts w:hint="default" w:ascii="Times New Roman" w:hAnsi="Times New Roman" w:cs="Times New Roman"/>
          <w:color w:val="auto"/>
          <w:kern w:val="0"/>
        </w:rPr>
        <w:t>本项目在原有校园内建设，项目区内无表土可剥离，建筑挖方临时堆放在建筑占地范围内，不涉及集中堆土区；临时办公用房及工人食宿均租用民房，没有在项目区内设置临建设施；施工道路依托市政道路阳嘎北街等。</w:t>
      </w:r>
    </w:p>
    <w:p>
      <w:pPr>
        <w:pStyle w:val="1102"/>
        <w:rPr>
          <w:rFonts w:hint="default" w:ascii="Times New Roman" w:hAnsi="Times New Roman" w:cs="Times New Roman"/>
          <w:color w:val="auto"/>
        </w:rPr>
      </w:pPr>
      <w:r>
        <w:rPr>
          <w:rFonts w:hint="default" w:ascii="Times New Roman" w:hAnsi="Times New Roman" w:cs="Times New Roman"/>
          <w:color w:val="auto"/>
        </w:rPr>
        <w:t>本项目土石方总开挖量0.11万m</w:t>
      </w:r>
      <w:r>
        <w:rPr>
          <w:rFonts w:hint="default" w:ascii="Times New Roman" w:hAnsi="Times New Roman" w:cs="Times New Roman"/>
          <w:color w:val="auto"/>
          <w:vertAlign w:val="superscript"/>
        </w:rPr>
        <w:t>3</w:t>
      </w:r>
      <w:r>
        <w:rPr>
          <w:rFonts w:hint="default" w:ascii="Times New Roman" w:hAnsi="Times New Roman" w:cs="Times New Roman"/>
          <w:color w:val="auto"/>
        </w:rPr>
        <w:t>；总回填方量0.11万m</w:t>
      </w:r>
      <w:r>
        <w:rPr>
          <w:rFonts w:hint="default" w:ascii="Times New Roman" w:hAnsi="Times New Roman" w:cs="Times New Roman"/>
          <w:color w:val="auto"/>
          <w:vertAlign w:val="superscript"/>
        </w:rPr>
        <w:t>3</w:t>
      </w:r>
      <w:r>
        <w:rPr>
          <w:rFonts w:hint="default" w:ascii="Times New Roman" w:hAnsi="Times New Roman" w:cs="Times New Roman"/>
          <w:color w:val="auto"/>
        </w:rPr>
        <w:t>；项目土石方挖填平衡</w:t>
      </w:r>
      <w:r>
        <w:rPr>
          <w:rFonts w:hint="default" w:ascii="Times New Roman" w:hAnsi="Times New Roman" w:cs="Times New Roman"/>
          <w:color w:val="auto"/>
          <w:kern w:val="0"/>
        </w:rPr>
        <w:t>。</w:t>
      </w:r>
      <w:r>
        <w:rPr>
          <w:rFonts w:hint="default" w:ascii="Times New Roman" w:hAnsi="Times New Roman" w:cs="Times New Roman"/>
          <w:color w:val="auto"/>
        </w:rPr>
        <w:t>（土石方均为自然方）。</w:t>
      </w:r>
    </w:p>
    <w:p>
      <w:pPr>
        <w:pStyle w:val="1102"/>
        <w:rPr>
          <w:rFonts w:hint="default" w:ascii="Times New Roman" w:hAnsi="Times New Roman" w:cs="Times New Roman"/>
          <w:color w:val="auto"/>
        </w:rPr>
      </w:pPr>
      <w:r>
        <w:rPr>
          <w:rFonts w:hint="default" w:ascii="Times New Roman" w:hAnsi="Times New Roman" w:cs="Times New Roman"/>
          <w:color w:val="auto"/>
        </w:rPr>
        <w:t>本项目已于2016年11月动工，2017年11月完工，工期13个月。</w:t>
      </w:r>
    </w:p>
    <w:p>
      <w:pPr>
        <w:pStyle w:val="1102"/>
        <w:rPr>
          <w:rFonts w:hint="default" w:ascii="Times New Roman" w:hAnsi="Times New Roman" w:cs="Times New Roman"/>
          <w:color w:val="auto"/>
        </w:rPr>
      </w:pPr>
      <w:r>
        <w:rPr>
          <w:rFonts w:hint="default" w:ascii="Times New Roman" w:hAnsi="Times New Roman" w:cs="Times New Roman"/>
          <w:color w:val="auto"/>
          <w:kern w:val="0"/>
        </w:rPr>
        <w:t>本项目在原有校园内建设，不涉及拆迁安置，专项设施迁建、改建等</w:t>
      </w:r>
      <w:r>
        <w:rPr>
          <w:rFonts w:hint="default" w:ascii="Times New Roman" w:hAnsi="Times New Roman" w:cs="Times New Roman"/>
          <w:color w:val="auto"/>
        </w:rPr>
        <w:t>。</w:t>
      </w:r>
    </w:p>
    <w:p>
      <w:pPr>
        <w:pStyle w:val="1102"/>
        <w:rPr>
          <w:rFonts w:hint="default" w:ascii="Times New Roman" w:hAnsi="Times New Roman" w:cs="Times New Roman"/>
          <w:color w:val="auto"/>
        </w:rPr>
      </w:pPr>
      <w:r>
        <w:rPr>
          <w:rFonts w:hint="default" w:ascii="Times New Roman" w:hAnsi="Times New Roman" w:cs="Times New Roman"/>
          <w:color w:val="auto"/>
        </w:rPr>
        <w:t>本项目总投资693万元，其中土建费用485万元，资金来源：2015年学前教育和2016年薄弱学校改造专项资金。</w:t>
      </w:r>
    </w:p>
    <w:p>
      <w:pPr>
        <w:pStyle w:val="5"/>
        <w:rPr>
          <w:rFonts w:hint="default" w:ascii="Times New Roman" w:hAnsi="Times New Roman" w:cs="Times New Roman"/>
          <w:color w:val="auto"/>
          <w:kern w:val="0"/>
        </w:rPr>
      </w:pPr>
      <w:r>
        <w:rPr>
          <w:rFonts w:hint="default" w:ascii="Times New Roman" w:hAnsi="Times New Roman" w:cs="Times New Roman"/>
          <w:color w:val="auto"/>
          <w:kern w:val="0"/>
        </w:rPr>
        <w:t>1.1.2项目前期工作进展情况</w:t>
      </w:r>
    </w:p>
    <w:p>
      <w:pPr>
        <w:pStyle w:val="1102"/>
        <w:rPr>
          <w:rFonts w:hint="default" w:ascii="Times New Roman" w:hAnsi="Times New Roman" w:cs="Times New Roman"/>
          <w:color w:val="auto"/>
        </w:rPr>
      </w:pPr>
      <w:r>
        <w:rPr>
          <w:rFonts w:hint="default" w:ascii="Times New Roman" w:hAnsi="Times New Roman" w:cs="Times New Roman"/>
          <w:color w:val="auto"/>
        </w:rPr>
        <w:t>2016年5月4日，红原县城乡规划建设和住房保障局出具《中华人民共和国建设项目选址意见书》（选字第5132332016005号）；</w:t>
      </w:r>
    </w:p>
    <w:p>
      <w:pPr>
        <w:pStyle w:val="1102"/>
        <w:rPr>
          <w:rFonts w:hint="default" w:ascii="Times New Roman" w:hAnsi="Times New Roman" w:cs="Times New Roman"/>
          <w:color w:val="auto"/>
        </w:rPr>
      </w:pPr>
      <w:r>
        <w:rPr>
          <w:rFonts w:hint="default" w:ascii="Times New Roman" w:hAnsi="Times New Roman" w:cs="Times New Roman"/>
          <w:color w:val="auto"/>
        </w:rPr>
        <w:t>2016年6月，四川构想建筑工程设计有限公司完成《红原县2016年薄弱学校改造和学前教育（邛溪镇易地育人寄宿制学校）建设项目施工图设计》；</w:t>
      </w:r>
    </w:p>
    <w:p>
      <w:pPr>
        <w:pStyle w:val="1102"/>
        <w:rPr>
          <w:rFonts w:hint="default" w:ascii="Times New Roman" w:hAnsi="Times New Roman" w:cs="Times New Roman"/>
          <w:color w:val="auto"/>
        </w:rPr>
      </w:pPr>
      <w:r>
        <w:rPr>
          <w:rFonts w:hint="default" w:ascii="Times New Roman" w:hAnsi="Times New Roman" w:cs="Times New Roman"/>
          <w:color w:val="auto"/>
        </w:rPr>
        <w:t>2016年8月2日，红原县发展改革和经济商务信息化局出具《红原县发展改革和经济商务信息化局关于红原县2016年薄弱学校改造和学前教育（邛溪镇易地育人寄宿制学校）建设项目的批复》（红发改经信【2016】135号）；</w:t>
      </w:r>
    </w:p>
    <w:p>
      <w:pPr>
        <w:pStyle w:val="1102"/>
        <w:rPr>
          <w:rFonts w:hint="default" w:ascii="Times New Roman" w:hAnsi="Times New Roman" w:cs="Times New Roman"/>
          <w:color w:val="auto"/>
        </w:rPr>
      </w:pPr>
      <w:r>
        <w:rPr>
          <w:rFonts w:hint="default" w:ascii="Times New Roman" w:hAnsi="Times New Roman" w:cs="Times New Roman"/>
          <w:color w:val="auto"/>
        </w:rPr>
        <w:t>2016年10月20日，红原县国土资源局出具《红原县国土资源局关于红原县薄弱学校改造和学前教育项目建设用地的预审意见》（红国土资源【2016】10号）；</w:t>
      </w:r>
    </w:p>
    <w:p>
      <w:pPr>
        <w:pStyle w:val="1102"/>
        <w:rPr>
          <w:rFonts w:hint="default" w:ascii="Times New Roman" w:hAnsi="Times New Roman" w:cs="Times New Roman"/>
          <w:color w:val="auto"/>
        </w:rPr>
      </w:pPr>
      <w:r>
        <w:rPr>
          <w:rFonts w:hint="default" w:ascii="Times New Roman" w:hAnsi="Times New Roman" w:cs="Times New Roman"/>
          <w:color w:val="auto"/>
        </w:rPr>
        <w:t>2017年3月27日，红原县城乡规划建设和保障局出具</w:t>
      </w:r>
      <w:r>
        <w:rPr>
          <w:rFonts w:hint="default" w:ascii="Times New Roman" w:hAnsi="Times New Roman" w:cs="Times New Roman"/>
          <w:color w:val="auto"/>
          <w:w w:val="90"/>
        </w:rPr>
        <w:t>《中华人民共和国建设工程规划许可证》（建字第5132332017023号）</w:t>
      </w:r>
      <w:r>
        <w:rPr>
          <w:rFonts w:hint="default" w:ascii="Times New Roman" w:hAnsi="Times New Roman" w:cs="Times New Roman"/>
          <w:color w:val="auto"/>
        </w:rPr>
        <w:t>；</w:t>
      </w:r>
    </w:p>
    <w:p>
      <w:pPr>
        <w:pStyle w:val="1102"/>
        <w:rPr>
          <w:rFonts w:hint="default" w:ascii="Times New Roman" w:hAnsi="Times New Roman" w:cs="Times New Roman"/>
          <w:color w:val="auto"/>
        </w:rPr>
      </w:pPr>
      <w:r>
        <w:rPr>
          <w:rFonts w:hint="default" w:ascii="Times New Roman" w:hAnsi="Times New Roman" w:cs="Times New Roman"/>
          <w:color w:val="auto"/>
        </w:rPr>
        <w:t>2017年3月29日，红原县城乡规划建设和住房保障局出具</w:t>
      </w:r>
      <w:r>
        <w:rPr>
          <w:rFonts w:hint="default" w:ascii="Times New Roman" w:hAnsi="Times New Roman" w:cs="Times New Roman"/>
          <w:color w:val="auto"/>
          <w:w w:val="90"/>
        </w:rPr>
        <w:t>《中华人民共和国建设用地规划许可证》（地字第51323320170023号）</w:t>
      </w:r>
      <w:r>
        <w:rPr>
          <w:rFonts w:hint="default" w:ascii="Times New Roman" w:hAnsi="Times New Roman" w:cs="Times New Roman"/>
          <w:color w:val="auto"/>
        </w:rPr>
        <w:t>；</w:t>
      </w:r>
    </w:p>
    <w:p>
      <w:pPr>
        <w:pStyle w:val="1102"/>
        <w:rPr>
          <w:rFonts w:hint="default" w:ascii="Times New Roman" w:hAnsi="Times New Roman" w:cs="Times New Roman"/>
          <w:color w:val="auto"/>
        </w:rPr>
      </w:pPr>
      <w:r>
        <w:rPr>
          <w:rFonts w:hint="default" w:ascii="Times New Roman" w:hAnsi="Times New Roman" w:cs="Times New Roman"/>
          <w:color w:val="auto"/>
        </w:rPr>
        <w:t>2017年6月14日，红原县城乡规划建设和住房保障局出具《中华人民共和国建筑施工许可证》（编号：513233201706140202）；</w:t>
      </w:r>
    </w:p>
    <w:p>
      <w:pPr>
        <w:pStyle w:val="1102"/>
        <w:rPr>
          <w:rFonts w:hint="default" w:ascii="Times New Roman" w:hAnsi="Times New Roman" w:cs="Times New Roman"/>
          <w:color w:val="auto"/>
        </w:rPr>
      </w:pPr>
      <w:r>
        <w:rPr>
          <w:rFonts w:hint="default" w:ascii="Times New Roman" w:hAnsi="Times New Roman" w:cs="Times New Roman"/>
          <w:color w:val="auto"/>
        </w:rPr>
        <w:t>2017年4月，四川枫雅建筑勘察设计有限责任公司完成《</w:t>
      </w:r>
      <w:r>
        <w:rPr>
          <w:rFonts w:hint="default" w:ascii="Times New Roman" w:hAnsi="Times New Roman" w:cs="Times New Roman"/>
          <w:color w:val="auto"/>
          <w:szCs w:val="22"/>
        </w:rPr>
        <w:t>红原县藏文中学教学综合楼建设项目岩土工程勘察报告【勘察阶段：详细勘察】</w:t>
      </w:r>
      <w:r>
        <w:rPr>
          <w:rFonts w:hint="default" w:ascii="Times New Roman" w:hAnsi="Times New Roman" w:cs="Times New Roman"/>
          <w:color w:val="auto"/>
        </w:rPr>
        <w:t>》。</w:t>
      </w:r>
    </w:p>
    <w:p>
      <w:pPr>
        <w:pStyle w:val="1102"/>
        <w:rPr>
          <w:rFonts w:hint="default" w:ascii="Times New Roman" w:hAnsi="Times New Roman" w:cs="Times New Roman"/>
          <w:color w:val="auto"/>
          <w:kern w:val="0"/>
        </w:rPr>
      </w:pPr>
      <w:r>
        <w:rPr>
          <w:rFonts w:hint="default" w:ascii="Times New Roman" w:hAnsi="Times New Roman" w:cs="Times New Roman"/>
          <w:color w:val="auto"/>
          <w:kern w:val="0"/>
        </w:rPr>
        <w:t>2020年7月27日，红原县教育局委托四川星原环保科技有限责任公司（以下简称“我公司”）承担该项目水土保持方案编制工作（委托书见附件1），我公司在接到任务后立即组织技术人员至工程建设场址进行现场踏勘，在主体设计资料的基础上，依照水土保持相关技术规范要求，于2020年</w:t>
      </w:r>
      <w:r>
        <w:rPr>
          <w:rFonts w:hint="eastAsia" w:cs="Times New Roman"/>
          <w:color w:val="auto"/>
          <w:kern w:val="0"/>
          <w:lang w:val="en-US" w:eastAsia="zh-CN"/>
        </w:rPr>
        <w:t>9</w:t>
      </w:r>
      <w:r>
        <w:rPr>
          <w:rFonts w:hint="default" w:ascii="Times New Roman" w:hAnsi="Times New Roman" w:cs="Times New Roman"/>
          <w:color w:val="auto"/>
          <w:kern w:val="0"/>
        </w:rPr>
        <w:t>月编制完成了《红原县2016年薄弱学校改造和学前教育（邛溪镇易地育人寄宿制学校）建设项目水土保持方案报告表》（</w:t>
      </w:r>
      <w:r>
        <w:rPr>
          <w:rFonts w:hint="eastAsia" w:cs="Times New Roman"/>
          <w:color w:val="auto"/>
          <w:kern w:val="0"/>
          <w:lang w:val="en-US" w:eastAsia="zh-CN"/>
        </w:rPr>
        <w:t>报批</w:t>
      </w:r>
      <w:r>
        <w:rPr>
          <w:rFonts w:hint="default" w:ascii="Times New Roman" w:hAnsi="Times New Roman" w:cs="Times New Roman"/>
          <w:color w:val="auto"/>
          <w:kern w:val="0"/>
        </w:rPr>
        <w:t>稿）。</w:t>
      </w:r>
    </w:p>
    <w:p>
      <w:pPr>
        <w:pStyle w:val="5"/>
        <w:rPr>
          <w:rFonts w:hint="default" w:ascii="Times New Roman" w:hAnsi="Times New Roman" w:cs="Times New Roman"/>
          <w:color w:val="auto"/>
          <w:kern w:val="0"/>
        </w:rPr>
      </w:pPr>
      <w:r>
        <w:rPr>
          <w:rFonts w:hint="default" w:ascii="Times New Roman" w:hAnsi="Times New Roman" w:cs="Times New Roman"/>
          <w:color w:val="auto"/>
          <w:kern w:val="0"/>
        </w:rPr>
        <w:t>1.1.3自然简况</w:t>
      </w:r>
    </w:p>
    <w:p>
      <w:pPr>
        <w:pStyle w:val="1102"/>
        <w:rPr>
          <w:rFonts w:hint="default" w:ascii="Times New Roman" w:hAnsi="Times New Roman" w:cs="Times New Roman"/>
          <w:color w:val="auto"/>
          <w:szCs w:val="20"/>
        </w:rPr>
      </w:pPr>
      <w:r>
        <w:rPr>
          <w:rFonts w:hint="default" w:ascii="Times New Roman" w:hAnsi="Times New Roman" w:cs="Times New Roman"/>
          <w:color w:val="auto"/>
        </w:rPr>
        <w:t>项目所在属四川西部地槽区，地质构造由一系列呈北西—南东向展布的线状褶皱组成。项目区在大地构造单元上属松潘-甘孜褶皱系巴颜喀拉冒地槽皱褶带之阿坝斜带，本项目大构造区为三大断裂带围限，北为玛沁－玛曲－略阳断裂带，东为龙门山－锦屏山断裂带，西为甘孜－理塘断裂带</w:t>
      </w:r>
      <w:r>
        <w:rPr>
          <w:rFonts w:hint="default" w:ascii="Times New Roman" w:hAnsi="Times New Roman" w:cs="Times New Roman"/>
          <w:color w:val="auto"/>
          <w:szCs w:val="20"/>
        </w:rPr>
        <w:t>。</w:t>
      </w:r>
    </w:p>
    <w:p>
      <w:pPr>
        <w:pStyle w:val="1102"/>
        <w:rPr>
          <w:rFonts w:hint="default" w:ascii="Times New Roman" w:hAnsi="Times New Roman" w:cs="Times New Roman"/>
          <w:color w:val="auto"/>
        </w:rPr>
      </w:pPr>
      <w:r>
        <w:rPr>
          <w:rFonts w:hint="default" w:ascii="Times New Roman" w:hAnsi="Times New Roman" w:cs="Times New Roman"/>
          <w:color w:val="auto"/>
        </w:rPr>
        <w:t>根据《建筑抗震设计规范》（GB 50011-2010）附录A，该地区抗震设防烈度为Ⅵ度，设计基本地震加速度值为0.05g，设计地震分组为第三组，设计特征周期为0.45s。</w:t>
      </w:r>
    </w:p>
    <w:p>
      <w:pPr>
        <w:pStyle w:val="1102"/>
        <w:rPr>
          <w:rFonts w:hint="default" w:ascii="Times New Roman" w:hAnsi="Times New Roman" w:cs="Times New Roman"/>
          <w:color w:val="auto"/>
        </w:rPr>
      </w:pPr>
      <w:r>
        <w:rPr>
          <w:rFonts w:hint="default" w:ascii="Times New Roman" w:hAnsi="Times New Roman" w:cs="Times New Roman"/>
          <w:iCs/>
          <w:color w:val="auto"/>
        </w:rPr>
        <w:t>本次勘察测得各勘探孔孔口高程介于3500.00～3500.61m之间，相对高差0.61m，地貌单一，场地地貌单元属红原白河冲洪积层一级阶地。</w:t>
      </w:r>
    </w:p>
    <w:p>
      <w:pPr>
        <w:pStyle w:val="1102"/>
        <w:rPr>
          <w:rFonts w:hint="default" w:ascii="Times New Roman" w:hAnsi="Times New Roman" w:cs="Times New Roman"/>
          <w:color w:val="auto"/>
        </w:rPr>
      </w:pPr>
      <w:r>
        <w:rPr>
          <w:rFonts w:hint="default" w:ascii="Times New Roman" w:hAnsi="Times New Roman" w:cs="Times New Roman"/>
          <w:color w:val="auto"/>
        </w:rPr>
        <w:t>项目区地处青藏高原东部，属高原寒温带半湿润季风气候，多年平均气温0.7</w:t>
      </w:r>
      <w:r>
        <w:rPr>
          <w:rFonts w:hint="default" w:ascii="Times New Roman" w:hAnsi="Times New Roman" w:cs="Times New Roman"/>
          <w:color w:val="auto"/>
          <w:kern w:val="0"/>
        </w:rPr>
        <w:t>°C</w:t>
      </w:r>
      <w:r>
        <w:rPr>
          <w:rFonts w:hint="default" w:ascii="Times New Roman" w:hAnsi="Times New Roman" w:cs="Times New Roman"/>
          <w:color w:val="auto"/>
        </w:rPr>
        <w:t>，气温日较差大，年平均气温日较差14.9</w:t>
      </w:r>
      <w:r>
        <w:rPr>
          <w:rFonts w:hint="default" w:ascii="Times New Roman" w:hAnsi="Times New Roman" w:cs="Times New Roman"/>
          <w:color w:val="auto"/>
          <w:kern w:val="0"/>
        </w:rPr>
        <w:t>°C</w:t>
      </w:r>
      <w:r>
        <w:rPr>
          <w:rFonts w:hint="default" w:ascii="Times New Roman" w:hAnsi="Times New Roman" w:cs="Times New Roman"/>
          <w:color w:val="auto"/>
        </w:rPr>
        <w:t>左右。多年极端最高气温24.4</w:t>
      </w:r>
      <w:r>
        <w:rPr>
          <w:rFonts w:hint="default" w:ascii="Times New Roman" w:hAnsi="Times New Roman" w:cs="Times New Roman"/>
          <w:color w:val="auto"/>
          <w:kern w:val="0"/>
        </w:rPr>
        <w:t>°C</w:t>
      </w:r>
      <w:r>
        <w:rPr>
          <w:rFonts w:hint="default" w:ascii="Times New Roman" w:hAnsi="Times New Roman" w:cs="Times New Roman"/>
          <w:color w:val="auto"/>
        </w:rPr>
        <w:t>，极端最低气温-33</w:t>
      </w:r>
      <w:r>
        <w:rPr>
          <w:rFonts w:hint="default" w:ascii="Times New Roman" w:hAnsi="Times New Roman" w:cs="Times New Roman"/>
          <w:color w:val="auto"/>
          <w:kern w:val="0"/>
        </w:rPr>
        <w:t>°C</w:t>
      </w:r>
      <w:r>
        <w:rPr>
          <w:rFonts w:hint="default" w:ascii="Times New Roman" w:hAnsi="Times New Roman" w:cs="Times New Roman"/>
          <w:color w:val="auto"/>
        </w:rPr>
        <w:t>，年平均相对湿度69%。年平均日照约2400小时，日照时间长，辐射强度</w:t>
      </w:r>
      <w:r>
        <w:rPr>
          <w:rFonts w:hint="default" w:ascii="Times New Roman" w:hAnsi="Times New Roman" w:cs="Times New Roman"/>
          <w:color w:val="auto"/>
          <w:sz w:val="24"/>
          <w:szCs w:val="24"/>
        </w:rPr>
        <w:t>大</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全年</w:t>
      </w:r>
      <w:r>
        <w:rPr>
          <w:rFonts w:hint="default" w:ascii="Times New Roman" w:hAnsi="Times New Roman" w:eastAsia="仿宋" w:cs="Times New Roman"/>
          <w:color w:val="auto"/>
          <w:sz w:val="24"/>
          <w:szCs w:val="24"/>
        </w:rPr>
        <w:t>≥10℃积温值</w:t>
      </w:r>
      <w:r>
        <w:rPr>
          <w:rFonts w:hint="default" w:ascii="Times New Roman" w:hAnsi="Times New Roman" w:eastAsia="仿宋" w:cs="Times New Roman"/>
          <w:color w:val="auto"/>
          <w:sz w:val="24"/>
          <w:szCs w:val="24"/>
          <w:lang w:val="en-US" w:eastAsia="zh-CN"/>
        </w:rPr>
        <w:t>322</w:t>
      </w:r>
      <w:r>
        <w:rPr>
          <w:rFonts w:hint="default" w:ascii="Times New Roman" w:hAnsi="Times New Roman" w:cs="Times New Roman"/>
          <w:color w:val="auto"/>
          <w:kern w:val="0"/>
          <w:sz w:val="24"/>
          <w:szCs w:val="24"/>
        </w:rPr>
        <w:t>°C</w:t>
      </w:r>
      <w:r>
        <w:rPr>
          <w:rFonts w:hint="default" w:ascii="Times New Roman" w:hAnsi="Times New Roman" w:cs="Times New Roman"/>
          <w:color w:val="auto"/>
        </w:rPr>
        <w:t>。测区地处内陆，但降水量却较多，尤以雨季为甚，多年平均降水量为663.6mm，且主要集中在5～10月，冬季干燥少雨</w:t>
      </w:r>
      <w:r>
        <w:rPr>
          <w:rFonts w:hint="default" w:ascii="Times New Roman" w:hAnsi="Times New Roman" w:cs="Times New Roman"/>
          <w:color w:val="auto"/>
          <w:lang w:eastAsia="zh-CN"/>
        </w:rPr>
        <w:t>；</w:t>
      </w:r>
      <w:r>
        <w:rPr>
          <w:rFonts w:hint="default" w:ascii="Times New Roman" w:hAnsi="Times New Roman" w:eastAsia="仿宋_GB2312" w:cs="Times New Roman"/>
          <w:color w:val="auto"/>
          <w:kern w:val="0"/>
          <w:sz w:val="24"/>
          <w:szCs w:val="24"/>
          <w:lang w:val="en-US" w:eastAsia="zh-CN" w:bidi="ar"/>
        </w:rPr>
        <w:t>5年一遇1h、6h、24h最大降雨量分别为：22mm、40mm、44.6mm；10年一遇1h、6h、24h最大降雨量分别为：24.4mm、40mm、45.1mm；20年一遇1h、6h、24h最大降雨量分别为：24.4mm、40mm、45.1mm</w:t>
      </w:r>
      <w:r>
        <w:rPr>
          <w:rFonts w:hint="default" w:ascii="Times New Roman" w:hAnsi="Times New Roman" w:cs="Times New Roman"/>
          <w:color w:val="auto"/>
        </w:rPr>
        <w:t>。项目区多年平均风速2.4m/s</w:t>
      </w:r>
      <w:r>
        <w:rPr>
          <w:rFonts w:hint="default" w:ascii="Times New Roman" w:hAnsi="Times New Roman" w:cs="Times New Roman"/>
          <w:color w:val="auto"/>
          <w:lang w:eastAsia="zh-CN"/>
        </w:rPr>
        <w:t>；</w:t>
      </w:r>
      <w:r>
        <w:rPr>
          <w:rFonts w:hint="default" w:ascii="Times New Roman" w:hAnsi="Times New Roman" w:cs="Times New Roman"/>
          <w:color w:val="auto"/>
        </w:rPr>
        <w:t>冬、春季多大风天气，历年最大风速18.3m/s。受高原地区复杂地形及热动力作用产生的大气对流作用影响，多在5-10月傍晚及上半夜产生雷雨及冰雹大风天气。场地土标准冻结深度为1.00m。</w:t>
      </w:r>
    </w:p>
    <w:p>
      <w:pPr>
        <w:pStyle w:val="1102"/>
        <w:rPr>
          <w:rFonts w:hint="default" w:ascii="Times New Roman" w:hAnsi="Times New Roman" w:cs="Times New Roman"/>
          <w:color w:val="auto"/>
        </w:rPr>
      </w:pPr>
      <w:r>
        <w:rPr>
          <w:rFonts w:hint="default" w:ascii="Times New Roman" w:hAnsi="Times New Roman" w:cs="Times New Roman"/>
          <w:color w:val="auto"/>
        </w:rPr>
        <w:t>项目区土壤以</w:t>
      </w:r>
      <w:r>
        <w:rPr>
          <w:rFonts w:hint="default" w:ascii="Times New Roman" w:hAnsi="Times New Roman" w:cs="Times New Roman"/>
          <w:color w:val="auto"/>
          <w:lang w:eastAsia="zh-CN"/>
        </w:rPr>
        <w:t>亚高山草甸土</w:t>
      </w:r>
      <w:r>
        <w:rPr>
          <w:rFonts w:hint="default" w:ascii="Times New Roman" w:hAnsi="Times New Roman" w:cs="Times New Roman"/>
          <w:color w:val="auto"/>
        </w:rPr>
        <w:t>为主，表层土厚度0.2m；植被类型属</w:t>
      </w:r>
      <w:r>
        <w:rPr>
          <w:rFonts w:hint="default" w:ascii="Times New Roman" w:hAnsi="Times New Roman" w:cs="Times New Roman"/>
          <w:iCs/>
          <w:color w:val="auto"/>
        </w:rPr>
        <w:t>青藏高原高寒植被区</w:t>
      </w:r>
      <w:r>
        <w:rPr>
          <w:rFonts w:hint="default" w:ascii="Times New Roman" w:hAnsi="Times New Roman" w:cs="Times New Roman"/>
          <w:color w:val="auto"/>
        </w:rPr>
        <w:t>，项目区林草植被以杂草为主，植被覆盖率10%左右。红原县地处以水力侵蚀</w:t>
      </w:r>
      <w:r>
        <w:rPr>
          <w:rFonts w:hint="default" w:ascii="Times New Roman" w:hAnsi="Times New Roman" w:cs="Times New Roman"/>
          <w:color w:val="auto"/>
          <w:lang w:val="en-US" w:eastAsia="zh-CN"/>
        </w:rPr>
        <w:t>和风力侵蚀</w:t>
      </w:r>
      <w:r>
        <w:rPr>
          <w:rFonts w:hint="default" w:ascii="Times New Roman" w:hAnsi="Times New Roman" w:cs="Times New Roman"/>
          <w:color w:val="auto"/>
        </w:rPr>
        <w:t>为主的西南土石山区，其容许土壤流失量500t/km</w:t>
      </w:r>
      <w:r>
        <w:rPr>
          <w:rFonts w:hint="default" w:ascii="Times New Roman" w:hAnsi="Times New Roman" w:cs="Times New Roman"/>
          <w:color w:val="auto"/>
          <w:vertAlign w:val="superscript"/>
        </w:rPr>
        <w:t>2</w:t>
      </w:r>
      <w:r>
        <w:rPr>
          <w:rFonts w:hint="default" w:ascii="Times New Roman" w:hAnsi="Times New Roman" w:cs="Times New Roman"/>
          <w:color w:val="auto"/>
        </w:rPr>
        <w:t>·a，以微度水力侵蚀为主，水土流失背景值300t/km</w:t>
      </w:r>
      <w:r>
        <w:rPr>
          <w:rFonts w:hint="default" w:ascii="Times New Roman" w:hAnsi="Times New Roman" w:cs="Times New Roman"/>
          <w:color w:val="auto"/>
          <w:vertAlign w:val="superscript"/>
        </w:rPr>
        <w:t>2</w:t>
      </w:r>
      <w:r>
        <w:rPr>
          <w:rFonts w:hint="default" w:ascii="Times New Roman" w:hAnsi="Times New Roman" w:cs="Times New Roman"/>
          <w:color w:val="auto"/>
        </w:rPr>
        <w:t>·a。</w:t>
      </w:r>
      <w:r>
        <w:rPr>
          <w:rFonts w:hint="default" w:ascii="Times New Roman" w:hAnsi="Times New Roman" w:cs="Times New Roman"/>
          <w:color w:val="auto"/>
          <w:kern w:val="0"/>
        </w:rPr>
        <w:t>红原县属于金沙江岷江上游及三江并流国家级水土流失重点预防区</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全国水土保持一级区划中的青藏高原区。</w:t>
      </w:r>
    </w:p>
    <w:p>
      <w:pPr>
        <w:pStyle w:val="4"/>
        <w:suppressAutoHyphens/>
        <w:spacing w:before="156" w:beforeLines="50" w:after="156" w:afterLines="50"/>
        <w:rPr>
          <w:rFonts w:hint="default" w:ascii="Times New Roman" w:hAnsi="Times New Roman" w:cs="Times New Roman"/>
          <w:color w:val="auto"/>
          <w:kern w:val="0"/>
        </w:rPr>
      </w:pPr>
      <w:bookmarkStart w:id="4" w:name="_Toc47879776"/>
      <w:r>
        <w:rPr>
          <w:rFonts w:hint="default" w:ascii="Times New Roman" w:hAnsi="Times New Roman" w:cs="Times New Roman"/>
          <w:color w:val="auto"/>
          <w:kern w:val="0"/>
        </w:rPr>
        <w:t>1.2编制依据</w:t>
      </w:r>
      <w:bookmarkEnd w:id="4"/>
    </w:p>
    <w:p>
      <w:pPr>
        <w:pStyle w:val="5"/>
        <w:rPr>
          <w:rFonts w:hint="default" w:ascii="Times New Roman" w:hAnsi="Times New Roman" w:cs="Times New Roman"/>
          <w:color w:val="auto"/>
        </w:rPr>
      </w:pPr>
      <w:r>
        <w:rPr>
          <w:rFonts w:hint="default" w:ascii="Times New Roman" w:hAnsi="Times New Roman" w:cs="Times New Roman"/>
          <w:color w:val="auto"/>
        </w:rPr>
        <w:t>1.2.1 法律法规</w:t>
      </w:r>
    </w:p>
    <w:p>
      <w:pPr>
        <w:ind w:firstLine="480"/>
        <w:rPr>
          <w:rFonts w:hint="default" w:ascii="Times New Roman" w:hAnsi="Times New Roman" w:eastAsia="仿宋_GB2312" w:cs="Times New Roman"/>
          <w:color w:val="auto"/>
          <w:szCs w:val="24"/>
        </w:rPr>
      </w:pPr>
      <w:bookmarkStart w:id="5" w:name="_Toc143579007"/>
      <w:bookmarkStart w:id="6" w:name="_Toc96309352"/>
      <w:bookmarkStart w:id="7" w:name="_Toc139422903"/>
      <w:bookmarkStart w:id="8" w:name="_Toc181096699"/>
      <w:bookmarkStart w:id="9" w:name="_Toc139096517"/>
      <w:bookmarkStart w:id="10" w:name="_Toc181114279"/>
      <w:bookmarkStart w:id="11" w:name="_Toc98642109"/>
      <w:bookmarkStart w:id="12" w:name="_Toc139096405"/>
      <w:bookmarkStart w:id="13" w:name="_Toc181501973"/>
      <w:bookmarkStart w:id="14" w:name="_Toc181478136"/>
      <w:bookmarkStart w:id="15" w:name="_Toc103329048"/>
      <w:bookmarkStart w:id="16" w:name="_Toc181113909"/>
      <w:r>
        <w:rPr>
          <w:rFonts w:hint="default" w:ascii="Times New Roman" w:hAnsi="Times New Roman" w:eastAsia="仿宋_GB2312" w:cs="Times New Roman"/>
          <w:color w:val="auto"/>
          <w:szCs w:val="24"/>
        </w:rPr>
        <w:t>（1）《中华人民共和国水土保持法》（中华人民共和国主席令第39号，</w:t>
      </w:r>
      <w:r>
        <w:rPr>
          <w:rFonts w:hint="default" w:ascii="Times New Roman" w:hAnsi="Times New Roman" w:eastAsia="仿宋_GB2312" w:cs="Times New Roman"/>
          <w:color w:val="auto"/>
        </w:rPr>
        <w:t>1991年6月29日颁布，2010年12月25日修订，2011年3月1日起施行</w:t>
      </w:r>
      <w:r>
        <w:rPr>
          <w:rFonts w:hint="default" w:ascii="Times New Roman" w:hAnsi="Times New Roman" w:eastAsia="仿宋_GB2312" w:cs="Times New Roman"/>
          <w:color w:val="auto"/>
          <w:szCs w:val="24"/>
        </w:rPr>
        <w:t>）；</w:t>
      </w:r>
    </w:p>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szCs w:val="24"/>
        </w:rPr>
        <w:t>（2）《四川省〈中华人民共和国水土保持法〉实施办法》（</w:t>
      </w:r>
      <w:r>
        <w:rPr>
          <w:rFonts w:hint="default" w:ascii="Times New Roman" w:hAnsi="Times New Roman" w:eastAsia="仿宋_GB2312" w:cs="Times New Roman"/>
          <w:color w:val="auto"/>
        </w:rPr>
        <w:t>1993年12月15日通过，1997年10月17日修正，2012年9月21日修订，自2012年12月1日起施行</w:t>
      </w:r>
      <w:r>
        <w:rPr>
          <w:rFonts w:hint="default" w:ascii="Times New Roman" w:hAnsi="Times New Roman" w:eastAsia="仿宋_GB2312" w:cs="Times New Roman"/>
          <w:color w:val="auto"/>
          <w:szCs w:val="24"/>
        </w:rPr>
        <w:t>）</w:t>
      </w:r>
      <w:r>
        <w:rPr>
          <w:rFonts w:hint="default" w:ascii="Times New Roman" w:hAnsi="Times New Roman" w:eastAsia="仿宋_GB2312" w:cs="Times New Roman"/>
          <w:color w:val="auto"/>
        </w:rPr>
        <w:t>。</w:t>
      </w:r>
    </w:p>
    <w:bookmarkEnd w:id="5"/>
    <w:bookmarkEnd w:id="6"/>
    <w:bookmarkEnd w:id="7"/>
    <w:bookmarkEnd w:id="8"/>
    <w:bookmarkEnd w:id="9"/>
    <w:bookmarkEnd w:id="10"/>
    <w:bookmarkEnd w:id="11"/>
    <w:bookmarkEnd w:id="12"/>
    <w:bookmarkEnd w:id="13"/>
    <w:bookmarkEnd w:id="14"/>
    <w:bookmarkEnd w:id="15"/>
    <w:bookmarkEnd w:id="16"/>
    <w:p>
      <w:pPr>
        <w:pStyle w:val="5"/>
        <w:rPr>
          <w:rFonts w:hint="default" w:ascii="Times New Roman" w:hAnsi="Times New Roman" w:cs="Times New Roman"/>
          <w:color w:val="auto"/>
        </w:rPr>
      </w:pPr>
      <w:bookmarkStart w:id="17" w:name="_Toc96309354"/>
      <w:bookmarkStart w:id="18" w:name="_Toc181501975"/>
      <w:bookmarkStart w:id="19" w:name="_Toc139096407"/>
      <w:bookmarkStart w:id="20" w:name="_Toc181114281"/>
      <w:bookmarkStart w:id="21" w:name="_Toc181478138"/>
      <w:bookmarkStart w:id="22" w:name="_Toc181096701"/>
      <w:bookmarkStart w:id="23" w:name="_Toc98642111"/>
      <w:bookmarkStart w:id="24" w:name="_Toc103329050"/>
      <w:bookmarkStart w:id="25" w:name="_Toc181113911"/>
      <w:bookmarkStart w:id="26" w:name="_Toc139422905"/>
      <w:bookmarkStart w:id="27" w:name="_Toc143579009"/>
      <w:bookmarkStart w:id="28" w:name="_Toc139096519"/>
      <w:r>
        <w:rPr>
          <w:rFonts w:hint="default" w:ascii="Times New Roman" w:hAnsi="Times New Roman" w:cs="Times New Roman"/>
          <w:color w:val="auto"/>
        </w:rPr>
        <w:t>1.2.2技术规范与标准</w:t>
      </w:r>
      <w:bookmarkEnd w:id="17"/>
      <w:bookmarkEnd w:id="18"/>
      <w:bookmarkEnd w:id="19"/>
      <w:bookmarkEnd w:id="20"/>
      <w:bookmarkEnd w:id="21"/>
      <w:bookmarkEnd w:id="22"/>
      <w:bookmarkEnd w:id="23"/>
      <w:bookmarkEnd w:id="24"/>
      <w:bookmarkEnd w:id="25"/>
      <w:bookmarkEnd w:id="26"/>
      <w:bookmarkEnd w:id="27"/>
      <w:bookmarkEnd w:id="28"/>
    </w:p>
    <w:p>
      <w:pPr>
        <w:ind w:firstLine="48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（1）《生产建设项目水土保持技术标准》（GB50433-2018）；</w:t>
      </w:r>
    </w:p>
    <w:p>
      <w:pPr>
        <w:ind w:firstLine="48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（2）《生产建设项目水土流失防治标准》（GB/T50434-2018）；</w:t>
      </w:r>
    </w:p>
    <w:p>
      <w:pPr>
        <w:ind w:firstLine="48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（3）《水土保持工程设计规范》（GB51018-2014）；</w:t>
      </w:r>
    </w:p>
    <w:p>
      <w:pPr>
        <w:ind w:firstLine="48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（4）《土壤侵蚀分类分级标准》（SL190-2007）；</w:t>
      </w:r>
    </w:p>
    <w:p>
      <w:pPr>
        <w:ind w:firstLine="48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（5）《水利水电工程制图标准水土保持图》（SL73.6-2015）；</w:t>
      </w:r>
    </w:p>
    <w:p>
      <w:pPr>
        <w:ind w:firstLine="48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（6）</w:t>
      </w:r>
      <w:r>
        <w:rPr>
          <w:rFonts w:hint="default" w:ascii="Times New Roman" w:hAnsi="Times New Roman" w:eastAsia="仿宋_GB2312" w:cs="Times New Roman"/>
          <w:color w:val="auto"/>
          <w:szCs w:val="24"/>
        </w:rPr>
        <w:t>《生产建设项目水土保持监测与评价标准》（GB/T51240-2018）</w:t>
      </w:r>
      <w:r>
        <w:rPr>
          <w:rFonts w:hint="default" w:ascii="Times New Roman" w:hAnsi="Times New Roman" w:eastAsia="仿宋_GB2312" w:cs="Times New Roman"/>
          <w:color w:val="auto"/>
        </w:rPr>
        <w:t>；</w:t>
      </w:r>
    </w:p>
    <w:p>
      <w:pPr>
        <w:ind w:firstLine="48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（7）《土地利用现状分类》（GB/T21010-2017）；</w:t>
      </w:r>
    </w:p>
    <w:p>
      <w:pPr>
        <w:ind w:firstLine="48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（8）《生产建设项目水土保持监测技术规程》（试行）。</w:t>
      </w:r>
    </w:p>
    <w:p>
      <w:pPr>
        <w:pStyle w:val="5"/>
        <w:rPr>
          <w:rFonts w:hint="default" w:ascii="Times New Roman" w:hAnsi="Times New Roman" w:cs="Times New Roman"/>
          <w:color w:val="auto"/>
        </w:rPr>
      </w:pPr>
      <w:r>
        <w:rPr>
          <w:rFonts w:hint="default" w:ascii="Times New Roman" w:hAnsi="Times New Roman" w:cs="Times New Roman"/>
          <w:color w:val="auto"/>
        </w:rPr>
        <w:t>1.2.3技术资料</w:t>
      </w:r>
    </w:p>
    <w:p>
      <w:pPr>
        <w:pStyle w:val="1102"/>
        <w:rPr>
          <w:rFonts w:hint="default" w:ascii="Times New Roman" w:hAnsi="Times New Roman" w:cs="Times New Roman"/>
          <w:color w:val="auto"/>
        </w:rPr>
      </w:pPr>
      <w:r>
        <w:rPr>
          <w:rFonts w:hint="default" w:ascii="Times New Roman" w:hAnsi="Times New Roman" w:cs="Times New Roman"/>
          <w:color w:val="auto"/>
        </w:rPr>
        <w:t>（1）《红原县2016年薄弱学校改造和学前教育（邛溪镇易地育人寄宿制学校）建设项目施工图设计》（2016年6月，四川构想建筑工程设计有限公司）；</w:t>
      </w:r>
    </w:p>
    <w:p>
      <w:pPr>
        <w:pStyle w:val="1102"/>
        <w:rPr>
          <w:rFonts w:hint="default" w:ascii="Times New Roman" w:hAnsi="Times New Roman" w:cs="Times New Roman"/>
          <w:color w:val="auto"/>
        </w:rPr>
      </w:pPr>
      <w:r>
        <w:rPr>
          <w:rFonts w:hint="default" w:ascii="Times New Roman" w:hAnsi="Times New Roman" w:cs="Times New Roman"/>
          <w:color w:val="auto"/>
        </w:rPr>
        <w:t>（2）《</w:t>
      </w:r>
      <w:r>
        <w:rPr>
          <w:rFonts w:hint="default" w:ascii="Times New Roman" w:hAnsi="Times New Roman" w:cs="Times New Roman"/>
          <w:color w:val="auto"/>
          <w:szCs w:val="22"/>
        </w:rPr>
        <w:t>红原县藏文中学教学综合楼建设项目岩土工程勘察报告【勘察阶段：详细勘察】</w:t>
      </w:r>
      <w:r>
        <w:rPr>
          <w:rFonts w:hint="default" w:ascii="Times New Roman" w:hAnsi="Times New Roman" w:cs="Times New Roman"/>
          <w:color w:val="auto"/>
        </w:rPr>
        <w:t>》（2017年4月，四川枫雅建筑勘察设计有限责任公司）；</w:t>
      </w:r>
    </w:p>
    <w:p>
      <w:pPr>
        <w:pStyle w:val="1102"/>
        <w:rPr>
          <w:rFonts w:hint="default" w:ascii="Times New Roman" w:hAnsi="Times New Roman" w:cs="Times New Roman"/>
          <w:color w:val="auto"/>
        </w:rPr>
      </w:pPr>
      <w:r>
        <w:rPr>
          <w:rFonts w:hint="default" w:ascii="Times New Roman" w:hAnsi="Times New Roman" w:cs="Times New Roman"/>
          <w:color w:val="auto"/>
        </w:rPr>
        <w:t>（3）红原县土壤侵蚀分布图、水系图等；</w:t>
      </w:r>
    </w:p>
    <w:p>
      <w:pPr>
        <w:pStyle w:val="1102"/>
        <w:rPr>
          <w:rFonts w:hint="default" w:ascii="Times New Roman" w:hAnsi="Times New Roman" w:cs="Times New Roman"/>
          <w:color w:val="auto"/>
        </w:rPr>
      </w:pPr>
      <w:r>
        <w:rPr>
          <w:rFonts w:hint="default" w:ascii="Times New Roman" w:hAnsi="Times New Roman" w:cs="Times New Roman"/>
          <w:color w:val="auto"/>
        </w:rPr>
        <w:t>（4）《红原县水土保持规划（2015-2030年）》（报批稿）。</w:t>
      </w:r>
    </w:p>
    <w:p>
      <w:pPr>
        <w:pStyle w:val="4"/>
        <w:suppressAutoHyphens/>
        <w:spacing w:before="156" w:beforeLines="50" w:after="156" w:afterLines="50"/>
        <w:rPr>
          <w:rFonts w:hint="default" w:ascii="Times New Roman" w:hAnsi="Times New Roman" w:cs="Times New Roman"/>
          <w:color w:val="auto"/>
          <w:kern w:val="0"/>
        </w:rPr>
      </w:pPr>
      <w:bookmarkStart w:id="29" w:name="_Toc47879777"/>
      <w:r>
        <w:rPr>
          <w:rFonts w:hint="default" w:ascii="Times New Roman" w:hAnsi="Times New Roman" w:cs="Times New Roman"/>
          <w:color w:val="auto"/>
          <w:kern w:val="0"/>
        </w:rPr>
        <w:t>1.3 设计水平年</w:t>
      </w:r>
      <w:bookmarkEnd w:id="29"/>
    </w:p>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rPr>
        <w:t>本项目已于2016年11月动工建设，2017年11月完工。根据《生产建设项</w:t>
      </w:r>
      <w:r>
        <w:rPr>
          <w:rFonts w:hint="default" w:ascii="Times New Roman" w:hAnsi="Times New Roman" w:eastAsia="仿宋_GB2312" w:cs="Times New Roman"/>
          <w:color w:val="auto"/>
        </w:rPr>
        <w:t>目水土保持技术标准》（GB50433-2018）4.1.3的规定；设计水平年应为主体工程完工后当年或后一年，根据主体工程完工时间和水土保持措施实施进度安排等综合确定；</w:t>
      </w:r>
      <w:r>
        <w:rPr>
          <w:rFonts w:hint="default" w:ascii="Times New Roman" w:hAnsi="Times New Roman" w:eastAsia="仿宋_GB2312" w:cs="Times New Roman"/>
          <w:color w:val="auto"/>
          <w:lang w:eastAsia="zh-CN"/>
        </w:rPr>
        <w:t>由于项目已完工，但后期方案新增的土地整治、撒播草籽、抚育管理措施等将在</w:t>
      </w:r>
      <w:r>
        <w:rPr>
          <w:rFonts w:hint="default" w:ascii="Times New Roman" w:hAnsi="Times New Roman" w:eastAsia="仿宋_GB2312" w:cs="Times New Roman"/>
          <w:color w:val="auto"/>
          <w:lang w:val="en-US" w:eastAsia="zh-CN"/>
        </w:rPr>
        <w:t>2020年初步发挥效益，故</w:t>
      </w:r>
      <w:r>
        <w:rPr>
          <w:rFonts w:hint="default" w:ascii="Times New Roman" w:hAnsi="Times New Roman" w:eastAsia="仿宋_GB2312" w:cs="Times New Roman"/>
          <w:color w:val="auto"/>
        </w:rPr>
        <w:t>方案设计水平年确定为2020年。</w:t>
      </w:r>
    </w:p>
    <w:p>
      <w:pPr>
        <w:pStyle w:val="4"/>
        <w:suppressAutoHyphens/>
        <w:spacing w:before="156" w:beforeLines="50" w:after="156" w:afterLines="50"/>
        <w:rPr>
          <w:rFonts w:hint="default" w:ascii="Times New Roman" w:hAnsi="Times New Roman" w:cs="Times New Roman"/>
          <w:color w:val="auto"/>
          <w:kern w:val="0"/>
        </w:rPr>
      </w:pPr>
      <w:bookmarkStart w:id="30" w:name="_Toc47879778"/>
      <w:r>
        <w:rPr>
          <w:rFonts w:hint="default" w:ascii="Times New Roman" w:hAnsi="Times New Roman" w:cs="Times New Roman"/>
          <w:color w:val="auto"/>
          <w:kern w:val="0"/>
        </w:rPr>
        <w:t>1.4水土流失防治责任范围</w:t>
      </w:r>
      <w:bookmarkEnd w:id="30"/>
    </w:p>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根据《生产建设项目水土保持技术标准》（GB50433-2018）4.4.1的规定，生产建设项目水土流失防治责任范围应包括项目永久征地、临时占地（含租赁土地）以及其他使用与管辖区域。</w:t>
      </w:r>
    </w:p>
    <w:p>
      <w:pPr>
        <w:ind w:firstLine="480"/>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rPr>
        <w:t>本项目于阿坝藏族羌族自治州红原县，水土流失防治责任范围0.12hm</w:t>
      </w:r>
      <w:r>
        <w:rPr>
          <w:rFonts w:hint="default" w:ascii="Times New Roman" w:hAnsi="Times New Roman" w:eastAsia="仿宋_GB2312" w:cs="Times New Roman"/>
          <w:color w:val="auto"/>
          <w:vertAlign w:val="superscript"/>
        </w:rPr>
        <w:t>2</w:t>
      </w:r>
      <w:r>
        <w:rPr>
          <w:rFonts w:hint="default" w:ascii="Times New Roman" w:hAnsi="Times New Roman" w:eastAsia="仿宋_GB2312" w:cs="Times New Roman"/>
          <w:color w:val="auto"/>
          <w:lang w:eastAsia="zh-CN"/>
        </w:rPr>
        <w:t>，其中建筑工程区</w:t>
      </w:r>
      <w:r>
        <w:rPr>
          <w:rFonts w:hint="default" w:ascii="Times New Roman" w:hAnsi="Times New Roman" w:eastAsia="仿宋_GB2312" w:cs="Times New Roman"/>
          <w:color w:val="auto"/>
          <w:lang w:val="en-US" w:eastAsia="zh-CN"/>
        </w:rPr>
        <w:t>0.06hm</w:t>
      </w:r>
      <w:r>
        <w:rPr>
          <w:rFonts w:hint="default" w:ascii="Times New Roman" w:hAnsi="Times New Roman" w:eastAsia="仿宋_GB2312" w:cs="Times New Roman"/>
          <w:color w:val="auto"/>
          <w:vertAlign w:val="superscript"/>
          <w:lang w:val="en-US" w:eastAsia="zh-CN"/>
        </w:rPr>
        <w:t>2</w:t>
      </w:r>
      <w:r>
        <w:rPr>
          <w:rFonts w:hint="default" w:ascii="Times New Roman" w:hAnsi="Times New Roman" w:eastAsia="仿宋_GB2312" w:cs="Times New Roman"/>
          <w:color w:val="auto"/>
          <w:lang w:val="en-US" w:eastAsia="zh-CN"/>
        </w:rPr>
        <w:t>、道路硬化区0.03hm</w:t>
      </w:r>
      <w:r>
        <w:rPr>
          <w:rFonts w:hint="default" w:ascii="Times New Roman" w:hAnsi="Times New Roman" w:eastAsia="仿宋_GB2312" w:cs="Times New Roman"/>
          <w:color w:val="auto"/>
          <w:vertAlign w:val="superscript"/>
          <w:lang w:val="en-US" w:eastAsia="zh-CN"/>
        </w:rPr>
        <w:t>2</w:t>
      </w:r>
      <w:r>
        <w:rPr>
          <w:rFonts w:hint="default" w:ascii="Times New Roman" w:hAnsi="Times New Roman" w:eastAsia="仿宋_GB2312" w:cs="Times New Roman"/>
          <w:color w:val="auto"/>
          <w:lang w:val="en-US" w:eastAsia="zh-CN"/>
        </w:rPr>
        <w:t>、景观绿化区0.03hm</w:t>
      </w:r>
      <w:r>
        <w:rPr>
          <w:rFonts w:hint="default" w:ascii="Times New Roman" w:hAnsi="Times New Roman" w:eastAsia="仿宋_GB2312" w:cs="Times New Roman"/>
          <w:color w:val="auto"/>
          <w:vertAlign w:val="superscript"/>
          <w:lang w:val="en-US" w:eastAsia="zh-CN"/>
        </w:rPr>
        <w:t>2</w:t>
      </w:r>
      <w:r>
        <w:rPr>
          <w:rFonts w:hint="default" w:ascii="Times New Roman" w:hAnsi="Times New Roman" w:eastAsia="仿宋_GB2312" w:cs="Times New Roman"/>
          <w:color w:val="auto"/>
          <w:lang w:val="en-US" w:eastAsia="zh-CN"/>
        </w:rPr>
        <w:t>。</w:t>
      </w:r>
    </w:p>
    <w:p>
      <w:pPr>
        <w:spacing w:line="240" w:lineRule="auto"/>
        <w:ind w:firstLine="422"/>
        <w:jc w:val="center"/>
        <w:rPr>
          <w:rFonts w:hint="default" w:ascii="Times New Roman" w:hAnsi="Times New Roman" w:eastAsia="仿宋_GB2312" w:cs="Times New Roman"/>
          <w:b/>
          <w:color w:val="auto"/>
          <w:sz w:val="21"/>
          <w:szCs w:val="21"/>
          <w:lang w:val="zh-CN"/>
        </w:rPr>
      </w:pPr>
      <w:r>
        <w:rPr>
          <w:rFonts w:hint="default" w:ascii="Times New Roman" w:hAnsi="Times New Roman" w:eastAsia="仿宋_GB2312" w:cs="Times New Roman"/>
          <w:b/>
          <w:color w:val="auto"/>
          <w:sz w:val="21"/>
          <w:szCs w:val="21"/>
          <w:lang w:val="zh-CN"/>
        </w:rPr>
        <w:t>表1-1  水土流失防治分区表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42"/>
        <w:gridCol w:w="1700"/>
        <w:gridCol w:w="55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28"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分区</w:t>
            </w:r>
          </w:p>
        </w:tc>
        <w:tc>
          <w:tcPr>
            <w:tcW w:w="997"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项目建设区（hm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w:t>
            </w:r>
          </w:p>
        </w:tc>
        <w:tc>
          <w:tcPr>
            <w:tcW w:w="3275" w:type="pct"/>
            <w:shd w:val="clear" w:color="auto" w:fill="auto"/>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涉及范围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28"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建筑工程区</w:t>
            </w:r>
          </w:p>
        </w:tc>
        <w:tc>
          <w:tcPr>
            <w:tcW w:w="997"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0.06</w:t>
            </w:r>
          </w:p>
        </w:tc>
        <w:tc>
          <w:tcPr>
            <w:tcW w:w="327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教学综合楼</w:t>
            </w:r>
            <w:r>
              <w:rPr>
                <w:rFonts w:hint="default" w:ascii="Times New Roman" w:hAnsi="Times New Roman" w:eastAsia="仿宋_GB2312" w:cs="Times New Roman"/>
                <w:color w:val="auto"/>
                <w:kern w:val="0"/>
                <w:sz w:val="18"/>
                <w:szCs w:val="18"/>
                <w:lang w:val="en-US" w:eastAsia="zh-CN"/>
              </w:rPr>
              <w:t>1栋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28"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道路硬化区</w:t>
            </w:r>
          </w:p>
        </w:tc>
        <w:tc>
          <w:tcPr>
            <w:tcW w:w="997"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0.03</w:t>
            </w:r>
          </w:p>
        </w:tc>
        <w:tc>
          <w:tcPr>
            <w:tcW w:w="327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硬化道路及附属设施工程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28"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景观绿化区</w:t>
            </w:r>
          </w:p>
        </w:tc>
        <w:tc>
          <w:tcPr>
            <w:tcW w:w="997"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0.03</w:t>
            </w:r>
          </w:p>
        </w:tc>
        <w:tc>
          <w:tcPr>
            <w:tcW w:w="327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草坪绿化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 w:hRule="atLeast"/>
          <w:jc w:val="center"/>
        </w:trPr>
        <w:tc>
          <w:tcPr>
            <w:tcW w:w="728"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合计</w:t>
            </w:r>
          </w:p>
        </w:tc>
        <w:tc>
          <w:tcPr>
            <w:tcW w:w="997"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0.12</w:t>
            </w:r>
          </w:p>
        </w:tc>
        <w:tc>
          <w:tcPr>
            <w:tcW w:w="3275" w:type="pct"/>
            <w:shd w:val="clear" w:color="auto" w:fill="auto"/>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r>
    </w:tbl>
    <w:p>
      <w:pPr>
        <w:spacing w:line="240" w:lineRule="auto"/>
        <w:ind w:firstLine="480"/>
        <w:rPr>
          <w:rFonts w:hint="default" w:ascii="Times New Roman" w:hAnsi="Times New Roman" w:eastAsia="仿宋_GB2312" w:cs="Times New Roman"/>
          <w:color w:val="auto"/>
        </w:rPr>
      </w:pPr>
    </w:p>
    <w:p>
      <w:pPr>
        <w:pStyle w:val="4"/>
        <w:suppressAutoHyphens/>
        <w:spacing w:before="156" w:beforeLines="50" w:after="156" w:afterLines="50"/>
        <w:rPr>
          <w:rFonts w:hint="default" w:ascii="Times New Roman" w:hAnsi="Times New Roman" w:cs="Times New Roman"/>
          <w:color w:val="auto"/>
          <w:kern w:val="0"/>
        </w:rPr>
      </w:pPr>
      <w:bookmarkStart w:id="31" w:name="_Toc47879779"/>
      <w:r>
        <w:rPr>
          <w:rFonts w:hint="default" w:ascii="Times New Roman" w:hAnsi="Times New Roman" w:cs="Times New Roman"/>
          <w:color w:val="auto"/>
          <w:kern w:val="0"/>
        </w:rPr>
        <w:t>1.5水土流失防治目标</w:t>
      </w:r>
      <w:bookmarkEnd w:id="31"/>
    </w:p>
    <w:p>
      <w:pPr>
        <w:pStyle w:val="5"/>
        <w:rPr>
          <w:rFonts w:hint="default" w:ascii="Times New Roman" w:hAnsi="Times New Roman" w:cs="Times New Roman"/>
          <w:color w:val="auto"/>
        </w:rPr>
      </w:pPr>
      <w:r>
        <w:rPr>
          <w:rFonts w:hint="default" w:ascii="Times New Roman" w:hAnsi="Times New Roman" w:cs="Times New Roman"/>
          <w:color w:val="auto"/>
        </w:rPr>
        <w:t>1.5.1执行标准等级</w:t>
      </w:r>
    </w:p>
    <w:p>
      <w:pPr>
        <w:pStyle w:val="20"/>
        <w:ind w:firstLine="480"/>
        <w:jc w:val="both"/>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根据《水利部办公厅关于印发&lt;全国水土保持规划国家级水土流失重点预防区和重点治理区复核划分成果&gt;的通知》(办水保〔2013〕188号)，项目所在的红原县属于金沙江岷江上游及三江并流国家级水土流失重点预防区。</w:t>
      </w:r>
    </w:p>
    <w:p>
      <w:pPr>
        <w:pStyle w:val="20"/>
        <w:ind w:firstLine="480"/>
        <w:jc w:val="both"/>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根据《水利部办公厅关于印发&lt;全国水土保持区划(试行)&gt;的通知》(办水保〔2012〕512号)，红原县属于全国水土保持一级区划的青藏高原区；按照《生产建设项目水土流失防治标准》(GB/T50434-2018)规定，项目水土流失防治标准执行青藏高原区一级标准。</w:t>
      </w:r>
    </w:p>
    <w:p>
      <w:pPr>
        <w:pStyle w:val="5"/>
        <w:rPr>
          <w:rFonts w:hint="default" w:ascii="Times New Roman" w:hAnsi="Times New Roman" w:cs="Times New Roman"/>
          <w:color w:val="auto"/>
        </w:rPr>
      </w:pPr>
      <w:r>
        <w:rPr>
          <w:rFonts w:hint="default" w:ascii="Times New Roman" w:hAnsi="Times New Roman" w:cs="Times New Roman"/>
          <w:color w:val="auto"/>
        </w:rPr>
        <w:t>1.5.2防治目标</w:t>
      </w:r>
    </w:p>
    <w:p>
      <w:pPr>
        <w:pStyle w:val="20"/>
        <w:ind w:firstLine="480"/>
        <w:jc w:val="both"/>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根据《生产建设项目水土流失防治标准》(GB/T50434-2018)规定，项目区原地貌土壤侵蚀强度为微度，土壤流失控制比不应小于1.0；项目无法避让国家级水土流失重点预防区，林草覆盖率应提高1～2%；项目区地形为丘状高原，渣土防护率可减少3%～5%，方案不做调整。</w:t>
      </w:r>
    </w:p>
    <w:p>
      <w:pPr>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（1）项目区干旱程度</w:t>
      </w:r>
    </w:p>
    <w:p>
      <w:pPr>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项目区多年平均降水量</w:t>
      </w:r>
      <w:r>
        <w:rPr>
          <w:rFonts w:hint="default" w:ascii="Times New Roman" w:hAnsi="Times New Roman" w:eastAsia="仿宋_GB2312" w:cs="Times New Roman"/>
          <w:color w:val="auto"/>
          <w:szCs w:val="20"/>
        </w:rPr>
        <w:t>663.6</w:t>
      </w:r>
      <w:r>
        <w:rPr>
          <w:rFonts w:hint="default" w:ascii="Times New Roman" w:hAnsi="Times New Roman" w:eastAsia="仿宋_GB2312" w:cs="Times New Roman"/>
          <w:color w:val="auto"/>
          <w:kern w:val="0"/>
          <w:szCs w:val="24"/>
        </w:rPr>
        <w:t>mm、多年平均蒸发量1262mm（干旱指数r=</w:t>
      </w:r>
      <w:r>
        <w:rPr>
          <w:rFonts w:hint="default" w:ascii="Times New Roman" w:hAnsi="Times New Roman" w:eastAsia="仿宋_GB2312" w:cs="Times New Roman"/>
          <w:color w:val="auto"/>
        </w:rPr>
        <w:t>1262mm/663.6mm=1.90</w:t>
      </w:r>
      <w:r>
        <w:rPr>
          <w:rFonts w:hint="default" w:ascii="Times New Roman" w:hAnsi="Times New Roman" w:eastAsia="仿宋_GB2312" w:cs="Times New Roman"/>
          <w:color w:val="auto"/>
          <w:kern w:val="0"/>
          <w:szCs w:val="24"/>
        </w:rPr>
        <w:t>），项目区属亚干旱地区，按照《生产建设项目水土流失防治标准》（GB/T50434-2018）第4.0.6条的规定，水土流失治理度、林草植被恢复率、林草覆盖率可降低3%；考虑到项目选址没有避开</w:t>
      </w:r>
      <w:r>
        <w:rPr>
          <w:rFonts w:hint="default" w:ascii="Times New Roman" w:hAnsi="Times New Roman" w:eastAsia="仿宋_GB2312" w:cs="Times New Roman"/>
          <w:color w:val="auto"/>
          <w:kern w:val="0"/>
        </w:rPr>
        <w:t>金沙江岷江上游及三江并流国家级水土流失重点预防区；</w:t>
      </w:r>
      <w:r>
        <w:rPr>
          <w:rFonts w:hint="default" w:ascii="Times New Roman" w:hAnsi="Times New Roman" w:eastAsia="仿宋_GB2312" w:cs="Times New Roman"/>
          <w:color w:val="auto"/>
          <w:kern w:val="0"/>
          <w:szCs w:val="24"/>
        </w:rPr>
        <w:t>，水土流失治理度、林草植被恢复率、林草覆盖率不做调整。</w:t>
      </w:r>
    </w:p>
    <w:p>
      <w:pPr>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（2）土壤侵蚀强度修正值</w:t>
      </w:r>
    </w:p>
    <w:p>
      <w:pPr>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项目区背景土壤侵蚀强度表现为轻度侵蚀，按照《生产建设项目水土流失防治标准》（GB/T50434-2018）第4.0.7条的规定，土壤流失控制提高0.2。</w:t>
      </w:r>
    </w:p>
    <w:p>
      <w:pPr>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（3）地形地貌修正值</w:t>
      </w:r>
    </w:p>
    <w:p>
      <w:pPr>
        <w:pStyle w:val="20"/>
        <w:ind w:firstLine="480"/>
        <w:jc w:val="both"/>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本项目地貌单元属丘状高原；按照《生产建设项目水土流失防治标准》（GB/T50434-2018）第4.0.8条的规定，项目区地形为丘状高原，渣土防护率可减少3%～5%，考虑到项目选址没有避开金沙江岷江上游及三江并流国家级水土流失重点预防区，渣土防护率方案不作调整。</w:t>
      </w:r>
    </w:p>
    <w:p>
      <w:pPr>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（4）水土流失重点预防区</w:t>
      </w:r>
    </w:p>
    <w:p>
      <w:pPr>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红原县属于金沙江岷江上游及三江并流国家级水土流失重点预防区，项目区无法避让国家级水土流失重点预防区，林草覆盖率提高2%。</w:t>
      </w:r>
    </w:p>
    <w:p>
      <w:pPr>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（5）城市区域</w:t>
      </w:r>
    </w:p>
    <w:p>
      <w:pPr>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本项目没有在城市区域内，因此渣土防护率和林草覆盖率不做调整。</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综合考虑，本项目设计水平年水土流失防治目标值确定为水土流失治理度85%、土壤流失控制比1.0、渣土防护率87%、表土保护率（项目区无表土可剥离，不计该值）、林草植被恢复率95%、林草覆盖率18%。</w:t>
      </w:r>
    </w:p>
    <w:p>
      <w:pPr>
        <w:suppressAutoHyphens/>
        <w:spacing w:line="240" w:lineRule="auto"/>
        <w:ind w:firstLine="42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表1-2  项目区水土流失防治目标值表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62"/>
        <w:gridCol w:w="611"/>
        <w:gridCol w:w="853"/>
        <w:gridCol w:w="853"/>
        <w:gridCol w:w="850"/>
        <w:gridCol w:w="993"/>
        <w:gridCol w:w="1138"/>
        <w:gridCol w:w="710"/>
        <w:gridCol w:w="7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33" w:type="pct"/>
            <w:vMerge w:val="restart"/>
            <w:vAlign w:val="center"/>
          </w:tcPr>
          <w:p>
            <w:pPr>
              <w:pStyle w:val="827"/>
              <w:spacing w:line="240" w:lineRule="auto"/>
              <w:rPr>
                <w:rFonts w:hint="default" w:ascii="Times New Roman" w:hAnsi="Times New Roman" w:eastAsia="仿宋_GB2312" w:cs="Times New Roman"/>
                <w:b/>
                <w:color w:val="auto"/>
                <w:szCs w:val="18"/>
              </w:rPr>
            </w:pPr>
            <w:r>
              <w:rPr>
                <w:rFonts w:hint="default" w:ascii="Times New Roman" w:hAnsi="Times New Roman" w:eastAsia="仿宋_GB2312" w:cs="Times New Roman"/>
                <w:b/>
                <w:color w:val="auto"/>
                <w:szCs w:val="18"/>
              </w:rPr>
              <w:t>防治指标</w:t>
            </w:r>
          </w:p>
        </w:tc>
        <w:tc>
          <w:tcPr>
            <w:tcW w:w="858" w:type="pct"/>
            <w:gridSpan w:val="2"/>
            <w:vAlign w:val="center"/>
          </w:tcPr>
          <w:p>
            <w:pPr>
              <w:pStyle w:val="827"/>
              <w:spacing w:line="240" w:lineRule="auto"/>
              <w:rPr>
                <w:rFonts w:hint="default" w:ascii="Times New Roman" w:hAnsi="Times New Roman" w:eastAsia="仿宋_GB2312" w:cs="Times New Roman"/>
                <w:b/>
                <w:color w:val="auto"/>
                <w:szCs w:val="18"/>
              </w:rPr>
            </w:pPr>
            <w:r>
              <w:rPr>
                <w:rFonts w:hint="default" w:ascii="Times New Roman" w:hAnsi="Times New Roman" w:eastAsia="仿宋_GB2312" w:cs="Times New Roman"/>
                <w:b/>
                <w:color w:val="auto"/>
                <w:szCs w:val="18"/>
              </w:rPr>
              <w:t>一级标准</w:t>
            </w:r>
          </w:p>
        </w:tc>
        <w:tc>
          <w:tcPr>
            <w:tcW w:w="2247" w:type="pct"/>
            <w:gridSpan w:val="4"/>
            <w:vAlign w:val="center"/>
          </w:tcPr>
          <w:p>
            <w:pPr>
              <w:pStyle w:val="827"/>
              <w:spacing w:line="240" w:lineRule="auto"/>
              <w:rPr>
                <w:rFonts w:hint="default" w:ascii="Times New Roman" w:hAnsi="Times New Roman" w:eastAsia="仿宋_GB2312" w:cs="Times New Roman"/>
                <w:b/>
                <w:color w:val="auto"/>
                <w:szCs w:val="18"/>
              </w:rPr>
            </w:pPr>
            <w:r>
              <w:rPr>
                <w:rFonts w:hint="default" w:ascii="Times New Roman" w:hAnsi="Times New Roman" w:eastAsia="仿宋_GB2312" w:cs="Times New Roman"/>
                <w:b/>
                <w:color w:val="auto"/>
                <w:szCs w:val="18"/>
              </w:rPr>
              <w:t>修正值</w:t>
            </w:r>
          </w:p>
        </w:tc>
        <w:tc>
          <w:tcPr>
            <w:tcW w:w="860" w:type="pct"/>
            <w:gridSpan w:val="2"/>
            <w:vAlign w:val="center"/>
          </w:tcPr>
          <w:p>
            <w:pPr>
              <w:pStyle w:val="827"/>
              <w:spacing w:line="240" w:lineRule="auto"/>
              <w:rPr>
                <w:rFonts w:hint="default" w:ascii="Times New Roman" w:hAnsi="Times New Roman" w:eastAsia="仿宋_GB2312" w:cs="Times New Roman"/>
                <w:b/>
                <w:color w:val="auto"/>
                <w:szCs w:val="18"/>
              </w:rPr>
            </w:pPr>
            <w:r>
              <w:rPr>
                <w:rFonts w:hint="default" w:ascii="Times New Roman" w:hAnsi="Times New Roman" w:eastAsia="仿宋_GB2312" w:cs="Times New Roman"/>
                <w:b/>
                <w:color w:val="auto"/>
                <w:szCs w:val="18"/>
              </w:rPr>
              <w:t>采用标准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33" w:type="pct"/>
            <w:vMerge w:val="continue"/>
            <w:vAlign w:val="center"/>
          </w:tcPr>
          <w:p>
            <w:pPr>
              <w:pStyle w:val="827"/>
              <w:spacing w:line="240" w:lineRule="auto"/>
              <w:ind w:firstLine="422"/>
              <w:rPr>
                <w:rFonts w:hint="default" w:ascii="Times New Roman" w:hAnsi="Times New Roman" w:eastAsia="仿宋_GB2312" w:cs="Times New Roman"/>
                <w:b/>
                <w:color w:val="auto"/>
                <w:szCs w:val="18"/>
              </w:rPr>
            </w:pPr>
          </w:p>
        </w:tc>
        <w:tc>
          <w:tcPr>
            <w:tcW w:w="358" w:type="pct"/>
            <w:vAlign w:val="center"/>
          </w:tcPr>
          <w:p>
            <w:pPr>
              <w:pStyle w:val="827"/>
              <w:spacing w:line="240" w:lineRule="auto"/>
              <w:rPr>
                <w:rFonts w:hint="default" w:ascii="Times New Roman" w:hAnsi="Times New Roman" w:eastAsia="仿宋_GB2312" w:cs="Times New Roman"/>
                <w:b/>
                <w:color w:val="auto"/>
                <w:szCs w:val="18"/>
              </w:rPr>
            </w:pPr>
            <w:r>
              <w:rPr>
                <w:rFonts w:hint="default" w:ascii="Times New Roman" w:hAnsi="Times New Roman" w:eastAsia="仿宋_GB2312" w:cs="Times New Roman"/>
                <w:b/>
                <w:color w:val="auto"/>
                <w:szCs w:val="18"/>
              </w:rPr>
              <w:t>施工期</w:t>
            </w:r>
          </w:p>
        </w:tc>
        <w:tc>
          <w:tcPr>
            <w:tcW w:w="500" w:type="pct"/>
            <w:vAlign w:val="center"/>
          </w:tcPr>
          <w:p>
            <w:pPr>
              <w:pStyle w:val="827"/>
              <w:spacing w:line="240" w:lineRule="auto"/>
              <w:rPr>
                <w:rFonts w:hint="default" w:ascii="Times New Roman" w:hAnsi="Times New Roman" w:eastAsia="仿宋_GB2312" w:cs="Times New Roman"/>
                <w:b/>
                <w:color w:val="auto"/>
                <w:szCs w:val="18"/>
              </w:rPr>
            </w:pPr>
            <w:r>
              <w:rPr>
                <w:rFonts w:hint="default" w:ascii="Times New Roman" w:hAnsi="Times New Roman" w:eastAsia="仿宋_GB2312" w:cs="Times New Roman"/>
                <w:b/>
                <w:color w:val="auto"/>
                <w:szCs w:val="18"/>
              </w:rPr>
              <w:t>设计水平年</w:t>
            </w:r>
          </w:p>
        </w:tc>
        <w:tc>
          <w:tcPr>
            <w:tcW w:w="500" w:type="pct"/>
            <w:vAlign w:val="center"/>
          </w:tcPr>
          <w:p>
            <w:pPr>
              <w:pStyle w:val="827"/>
              <w:spacing w:line="240" w:lineRule="auto"/>
              <w:jc w:val="both"/>
              <w:rPr>
                <w:rFonts w:hint="default" w:ascii="Times New Roman" w:hAnsi="Times New Roman" w:eastAsia="仿宋_GB2312" w:cs="Times New Roman"/>
                <w:b/>
                <w:color w:val="auto"/>
                <w:szCs w:val="18"/>
              </w:rPr>
            </w:pPr>
            <w:r>
              <w:rPr>
                <w:rFonts w:hint="default" w:ascii="Times New Roman" w:hAnsi="Times New Roman" w:eastAsia="仿宋_GB2312" w:cs="Times New Roman"/>
                <w:b/>
                <w:color w:val="auto"/>
                <w:szCs w:val="18"/>
              </w:rPr>
              <w:t>干旱程度</w:t>
            </w:r>
          </w:p>
        </w:tc>
        <w:tc>
          <w:tcPr>
            <w:tcW w:w="498" w:type="pct"/>
            <w:vAlign w:val="center"/>
          </w:tcPr>
          <w:p>
            <w:pPr>
              <w:pStyle w:val="827"/>
              <w:spacing w:line="240" w:lineRule="auto"/>
              <w:rPr>
                <w:rFonts w:hint="default" w:ascii="Times New Roman" w:hAnsi="Times New Roman" w:eastAsia="仿宋_GB2312" w:cs="Times New Roman"/>
                <w:b/>
                <w:color w:val="auto"/>
                <w:szCs w:val="18"/>
              </w:rPr>
            </w:pPr>
            <w:r>
              <w:rPr>
                <w:rFonts w:hint="default" w:ascii="Times New Roman" w:hAnsi="Times New Roman" w:eastAsia="仿宋_GB2312" w:cs="Times New Roman"/>
                <w:b/>
                <w:color w:val="auto"/>
                <w:szCs w:val="18"/>
              </w:rPr>
              <w:t>土壤侵蚀强度</w:t>
            </w:r>
          </w:p>
        </w:tc>
        <w:tc>
          <w:tcPr>
            <w:tcW w:w="582" w:type="pct"/>
            <w:vAlign w:val="center"/>
          </w:tcPr>
          <w:p>
            <w:pPr>
              <w:pStyle w:val="827"/>
              <w:spacing w:line="240" w:lineRule="auto"/>
              <w:rPr>
                <w:rFonts w:hint="default" w:ascii="Times New Roman" w:hAnsi="Times New Roman" w:eastAsia="仿宋_GB2312" w:cs="Times New Roman"/>
                <w:b/>
                <w:color w:val="auto"/>
                <w:szCs w:val="18"/>
              </w:rPr>
            </w:pPr>
            <w:r>
              <w:rPr>
                <w:rFonts w:hint="default" w:ascii="Times New Roman" w:hAnsi="Times New Roman" w:eastAsia="仿宋_GB2312" w:cs="Times New Roman"/>
                <w:b/>
                <w:color w:val="auto"/>
                <w:szCs w:val="18"/>
              </w:rPr>
              <w:t>地形地貌</w:t>
            </w:r>
          </w:p>
        </w:tc>
        <w:tc>
          <w:tcPr>
            <w:tcW w:w="667" w:type="pct"/>
            <w:vAlign w:val="center"/>
          </w:tcPr>
          <w:p>
            <w:pPr>
              <w:pStyle w:val="827"/>
              <w:spacing w:line="240" w:lineRule="auto"/>
              <w:rPr>
                <w:rFonts w:hint="default" w:ascii="Times New Roman" w:hAnsi="Times New Roman" w:eastAsia="仿宋_GB2312" w:cs="Times New Roman"/>
                <w:b/>
                <w:color w:val="auto"/>
                <w:szCs w:val="18"/>
              </w:rPr>
            </w:pPr>
            <w:r>
              <w:rPr>
                <w:rFonts w:hint="default" w:ascii="Times New Roman" w:hAnsi="Times New Roman" w:eastAsia="仿宋_GB2312" w:cs="Times New Roman"/>
                <w:b/>
                <w:color w:val="auto"/>
                <w:szCs w:val="18"/>
              </w:rPr>
              <w:t>水土流失重点预防区</w:t>
            </w:r>
          </w:p>
        </w:tc>
        <w:tc>
          <w:tcPr>
            <w:tcW w:w="416" w:type="pct"/>
            <w:vAlign w:val="center"/>
          </w:tcPr>
          <w:p>
            <w:pPr>
              <w:pStyle w:val="827"/>
              <w:spacing w:line="240" w:lineRule="auto"/>
              <w:rPr>
                <w:rFonts w:hint="default" w:ascii="Times New Roman" w:hAnsi="Times New Roman" w:eastAsia="仿宋_GB2312" w:cs="Times New Roman"/>
                <w:b/>
                <w:color w:val="auto"/>
                <w:szCs w:val="18"/>
              </w:rPr>
            </w:pPr>
            <w:r>
              <w:rPr>
                <w:rFonts w:hint="default" w:ascii="Times New Roman" w:hAnsi="Times New Roman" w:eastAsia="仿宋_GB2312" w:cs="Times New Roman"/>
                <w:b/>
                <w:color w:val="auto"/>
                <w:szCs w:val="18"/>
              </w:rPr>
              <w:t>施工期</w:t>
            </w:r>
          </w:p>
        </w:tc>
        <w:tc>
          <w:tcPr>
            <w:tcW w:w="444" w:type="pct"/>
            <w:vAlign w:val="center"/>
          </w:tcPr>
          <w:p>
            <w:pPr>
              <w:pStyle w:val="827"/>
              <w:spacing w:line="240" w:lineRule="auto"/>
              <w:rPr>
                <w:rFonts w:hint="default" w:ascii="Times New Roman" w:hAnsi="Times New Roman" w:eastAsia="仿宋_GB2312" w:cs="Times New Roman"/>
                <w:b/>
                <w:color w:val="auto"/>
                <w:szCs w:val="18"/>
              </w:rPr>
            </w:pPr>
            <w:r>
              <w:rPr>
                <w:rFonts w:hint="default" w:ascii="Times New Roman" w:hAnsi="Times New Roman" w:eastAsia="仿宋_GB2312" w:cs="Times New Roman"/>
                <w:b/>
                <w:color w:val="auto"/>
                <w:szCs w:val="18"/>
              </w:rPr>
              <w:t>设计水平年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33" w:type="pct"/>
            <w:vAlign w:val="center"/>
          </w:tcPr>
          <w:p>
            <w:pPr>
              <w:pStyle w:val="827"/>
              <w:spacing w:line="240" w:lineRule="auto"/>
              <w:jc w:val="left"/>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水土流失治理度(%)</w:t>
            </w:r>
          </w:p>
        </w:tc>
        <w:tc>
          <w:tcPr>
            <w:tcW w:w="358"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w:t>
            </w:r>
          </w:p>
        </w:tc>
        <w:tc>
          <w:tcPr>
            <w:tcW w:w="500"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85</w:t>
            </w:r>
          </w:p>
        </w:tc>
        <w:tc>
          <w:tcPr>
            <w:tcW w:w="500" w:type="pct"/>
            <w:vAlign w:val="center"/>
          </w:tcPr>
          <w:p>
            <w:pPr>
              <w:pStyle w:val="827"/>
              <w:spacing w:line="240" w:lineRule="auto"/>
              <w:rPr>
                <w:rFonts w:hint="default" w:ascii="Times New Roman" w:hAnsi="Times New Roman" w:eastAsia="仿宋_GB2312" w:cs="Times New Roman"/>
                <w:color w:val="auto"/>
                <w:szCs w:val="18"/>
              </w:rPr>
            </w:pPr>
          </w:p>
        </w:tc>
        <w:tc>
          <w:tcPr>
            <w:tcW w:w="498" w:type="pct"/>
            <w:vAlign w:val="center"/>
          </w:tcPr>
          <w:p>
            <w:pPr>
              <w:pStyle w:val="827"/>
              <w:spacing w:line="240" w:lineRule="auto"/>
              <w:rPr>
                <w:rFonts w:hint="default" w:ascii="Times New Roman" w:hAnsi="Times New Roman" w:eastAsia="仿宋_GB2312" w:cs="Times New Roman"/>
                <w:color w:val="auto"/>
                <w:szCs w:val="18"/>
              </w:rPr>
            </w:pPr>
          </w:p>
        </w:tc>
        <w:tc>
          <w:tcPr>
            <w:tcW w:w="582" w:type="pct"/>
            <w:vAlign w:val="center"/>
          </w:tcPr>
          <w:p>
            <w:pPr>
              <w:pStyle w:val="827"/>
              <w:spacing w:line="240" w:lineRule="auto"/>
              <w:rPr>
                <w:rFonts w:hint="default" w:ascii="Times New Roman" w:hAnsi="Times New Roman" w:eastAsia="仿宋_GB2312" w:cs="Times New Roman"/>
                <w:color w:val="auto"/>
                <w:szCs w:val="18"/>
              </w:rPr>
            </w:pPr>
          </w:p>
        </w:tc>
        <w:tc>
          <w:tcPr>
            <w:tcW w:w="667" w:type="pct"/>
            <w:vAlign w:val="center"/>
          </w:tcPr>
          <w:p>
            <w:pPr>
              <w:pStyle w:val="827"/>
              <w:spacing w:line="240" w:lineRule="auto"/>
              <w:rPr>
                <w:rFonts w:hint="default" w:ascii="Times New Roman" w:hAnsi="Times New Roman" w:eastAsia="仿宋_GB2312" w:cs="Times New Roman"/>
                <w:color w:val="auto"/>
                <w:szCs w:val="18"/>
              </w:rPr>
            </w:pPr>
          </w:p>
        </w:tc>
        <w:tc>
          <w:tcPr>
            <w:tcW w:w="416"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w:t>
            </w:r>
          </w:p>
        </w:tc>
        <w:tc>
          <w:tcPr>
            <w:tcW w:w="444"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33" w:type="pct"/>
            <w:vAlign w:val="center"/>
          </w:tcPr>
          <w:p>
            <w:pPr>
              <w:pStyle w:val="827"/>
              <w:spacing w:line="240" w:lineRule="auto"/>
              <w:jc w:val="left"/>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土壤流失控制比</w:t>
            </w:r>
          </w:p>
        </w:tc>
        <w:tc>
          <w:tcPr>
            <w:tcW w:w="358"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w:t>
            </w:r>
          </w:p>
        </w:tc>
        <w:tc>
          <w:tcPr>
            <w:tcW w:w="500"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0.80</w:t>
            </w:r>
          </w:p>
        </w:tc>
        <w:tc>
          <w:tcPr>
            <w:tcW w:w="500" w:type="pct"/>
            <w:vAlign w:val="center"/>
          </w:tcPr>
          <w:p>
            <w:pPr>
              <w:pStyle w:val="827"/>
              <w:spacing w:line="240" w:lineRule="auto"/>
              <w:rPr>
                <w:rFonts w:hint="default" w:ascii="Times New Roman" w:hAnsi="Times New Roman" w:eastAsia="仿宋_GB2312" w:cs="Times New Roman"/>
                <w:color w:val="auto"/>
                <w:szCs w:val="18"/>
              </w:rPr>
            </w:pPr>
          </w:p>
        </w:tc>
        <w:tc>
          <w:tcPr>
            <w:tcW w:w="498"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+0.2</w:t>
            </w:r>
          </w:p>
        </w:tc>
        <w:tc>
          <w:tcPr>
            <w:tcW w:w="582" w:type="pct"/>
            <w:vAlign w:val="center"/>
          </w:tcPr>
          <w:p>
            <w:pPr>
              <w:pStyle w:val="827"/>
              <w:spacing w:line="240" w:lineRule="auto"/>
              <w:rPr>
                <w:rFonts w:hint="default" w:ascii="Times New Roman" w:hAnsi="Times New Roman" w:eastAsia="仿宋_GB2312" w:cs="Times New Roman"/>
                <w:color w:val="auto"/>
                <w:szCs w:val="18"/>
              </w:rPr>
            </w:pPr>
          </w:p>
        </w:tc>
        <w:tc>
          <w:tcPr>
            <w:tcW w:w="667" w:type="pct"/>
            <w:vAlign w:val="center"/>
          </w:tcPr>
          <w:p>
            <w:pPr>
              <w:pStyle w:val="827"/>
              <w:spacing w:line="240" w:lineRule="auto"/>
              <w:rPr>
                <w:rFonts w:hint="default" w:ascii="Times New Roman" w:hAnsi="Times New Roman" w:eastAsia="仿宋_GB2312" w:cs="Times New Roman"/>
                <w:color w:val="auto"/>
                <w:szCs w:val="18"/>
              </w:rPr>
            </w:pPr>
          </w:p>
        </w:tc>
        <w:tc>
          <w:tcPr>
            <w:tcW w:w="416"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w:t>
            </w:r>
          </w:p>
        </w:tc>
        <w:tc>
          <w:tcPr>
            <w:tcW w:w="444"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33" w:type="pct"/>
            <w:vAlign w:val="center"/>
          </w:tcPr>
          <w:p>
            <w:pPr>
              <w:pStyle w:val="827"/>
              <w:spacing w:line="240" w:lineRule="auto"/>
              <w:jc w:val="left"/>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渣土防护率(%)</w:t>
            </w:r>
          </w:p>
        </w:tc>
        <w:tc>
          <w:tcPr>
            <w:tcW w:w="358"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85</w:t>
            </w:r>
          </w:p>
        </w:tc>
        <w:tc>
          <w:tcPr>
            <w:tcW w:w="500"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87</w:t>
            </w:r>
          </w:p>
        </w:tc>
        <w:tc>
          <w:tcPr>
            <w:tcW w:w="500" w:type="pct"/>
            <w:vAlign w:val="center"/>
          </w:tcPr>
          <w:p>
            <w:pPr>
              <w:pStyle w:val="827"/>
              <w:spacing w:line="240" w:lineRule="auto"/>
              <w:rPr>
                <w:rFonts w:hint="default" w:ascii="Times New Roman" w:hAnsi="Times New Roman" w:eastAsia="仿宋_GB2312" w:cs="Times New Roman"/>
                <w:color w:val="auto"/>
                <w:szCs w:val="18"/>
              </w:rPr>
            </w:pPr>
          </w:p>
        </w:tc>
        <w:tc>
          <w:tcPr>
            <w:tcW w:w="498" w:type="pct"/>
            <w:vAlign w:val="center"/>
          </w:tcPr>
          <w:p>
            <w:pPr>
              <w:pStyle w:val="827"/>
              <w:spacing w:line="240" w:lineRule="auto"/>
              <w:rPr>
                <w:rFonts w:hint="default" w:ascii="Times New Roman" w:hAnsi="Times New Roman" w:eastAsia="仿宋_GB2312" w:cs="Times New Roman"/>
                <w:color w:val="auto"/>
                <w:szCs w:val="18"/>
              </w:rPr>
            </w:pPr>
          </w:p>
        </w:tc>
        <w:tc>
          <w:tcPr>
            <w:tcW w:w="582" w:type="pct"/>
            <w:vAlign w:val="center"/>
          </w:tcPr>
          <w:p>
            <w:pPr>
              <w:pStyle w:val="827"/>
              <w:spacing w:line="240" w:lineRule="auto"/>
              <w:rPr>
                <w:rFonts w:hint="default" w:ascii="Times New Roman" w:hAnsi="Times New Roman" w:eastAsia="仿宋_GB2312" w:cs="Times New Roman"/>
                <w:color w:val="auto"/>
                <w:szCs w:val="18"/>
              </w:rPr>
            </w:pPr>
          </w:p>
        </w:tc>
        <w:tc>
          <w:tcPr>
            <w:tcW w:w="667" w:type="pct"/>
            <w:vAlign w:val="center"/>
          </w:tcPr>
          <w:p>
            <w:pPr>
              <w:pStyle w:val="827"/>
              <w:spacing w:line="240" w:lineRule="auto"/>
              <w:rPr>
                <w:rFonts w:hint="default" w:ascii="Times New Roman" w:hAnsi="Times New Roman" w:eastAsia="仿宋_GB2312" w:cs="Times New Roman"/>
                <w:color w:val="auto"/>
                <w:szCs w:val="18"/>
              </w:rPr>
            </w:pPr>
          </w:p>
        </w:tc>
        <w:tc>
          <w:tcPr>
            <w:tcW w:w="416"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85</w:t>
            </w:r>
          </w:p>
        </w:tc>
        <w:tc>
          <w:tcPr>
            <w:tcW w:w="444"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33" w:type="pct"/>
            <w:vAlign w:val="center"/>
          </w:tcPr>
          <w:p>
            <w:pPr>
              <w:pStyle w:val="827"/>
              <w:spacing w:line="240" w:lineRule="auto"/>
              <w:jc w:val="left"/>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表土保护率(%)</w:t>
            </w:r>
          </w:p>
        </w:tc>
        <w:tc>
          <w:tcPr>
            <w:tcW w:w="358"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90</w:t>
            </w:r>
          </w:p>
        </w:tc>
        <w:tc>
          <w:tcPr>
            <w:tcW w:w="500"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90</w:t>
            </w:r>
          </w:p>
        </w:tc>
        <w:tc>
          <w:tcPr>
            <w:tcW w:w="500" w:type="pct"/>
            <w:vAlign w:val="center"/>
          </w:tcPr>
          <w:p>
            <w:pPr>
              <w:pStyle w:val="827"/>
              <w:spacing w:line="240" w:lineRule="auto"/>
              <w:rPr>
                <w:rFonts w:hint="default" w:ascii="Times New Roman" w:hAnsi="Times New Roman" w:eastAsia="仿宋_GB2312" w:cs="Times New Roman"/>
                <w:color w:val="auto"/>
                <w:szCs w:val="18"/>
              </w:rPr>
            </w:pPr>
          </w:p>
        </w:tc>
        <w:tc>
          <w:tcPr>
            <w:tcW w:w="498" w:type="pct"/>
            <w:vAlign w:val="center"/>
          </w:tcPr>
          <w:p>
            <w:pPr>
              <w:pStyle w:val="827"/>
              <w:spacing w:line="240" w:lineRule="auto"/>
              <w:rPr>
                <w:rFonts w:hint="default" w:ascii="Times New Roman" w:hAnsi="Times New Roman" w:eastAsia="仿宋_GB2312" w:cs="Times New Roman"/>
                <w:color w:val="auto"/>
                <w:szCs w:val="18"/>
              </w:rPr>
            </w:pPr>
          </w:p>
        </w:tc>
        <w:tc>
          <w:tcPr>
            <w:tcW w:w="582" w:type="pct"/>
            <w:vAlign w:val="center"/>
          </w:tcPr>
          <w:p>
            <w:pPr>
              <w:pStyle w:val="827"/>
              <w:spacing w:line="240" w:lineRule="auto"/>
              <w:rPr>
                <w:rFonts w:hint="default" w:ascii="Times New Roman" w:hAnsi="Times New Roman" w:eastAsia="仿宋_GB2312" w:cs="Times New Roman"/>
                <w:color w:val="auto"/>
                <w:szCs w:val="18"/>
              </w:rPr>
            </w:pPr>
          </w:p>
        </w:tc>
        <w:tc>
          <w:tcPr>
            <w:tcW w:w="667" w:type="pct"/>
            <w:vAlign w:val="center"/>
          </w:tcPr>
          <w:p>
            <w:pPr>
              <w:pStyle w:val="827"/>
              <w:spacing w:line="240" w:lineRule="auto"/>
              <w:rPr>
                <w:rFonts w:hint="default" w:ascii="Times New Roman" w:hAnsi="Times New Roman" w:eastAsia="仿宋_GB2312" w:cs="Times New Roman"/>
                <w:color w:val="auto"/>
                <w:szCs w:val="18"/>
              </w:rPr>
            </w:pPr>
          </w:p>
        </w:tc>
        <w:tc>
          <w:tcPr>
            <w:tcW w:w="416"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w:t>
            </w:r>
          </w:p>
        </w:tc>
        <w:tc>
          <w:tcPr>
            <w:tcW w:w="444"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33" w:type="pct"/>
            <w:vAlign w:val="center"/>
          </w:tcPr>
          <w:p>
            <w:pPr>
              <w:pStyle w:val="827"/>
              <w:spacing w:line="240" w:lineRule="auto"/>
              <w:jc w:val="left"/>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林草植被恢复率(%)</w:t>
            </w:r>
          </w:p>
        </w:tc>
        <w:tc>
          <w:tcPr>
            <w:tcW w:w="358"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w:t>
            </w:r>
          </w:p>
        </w:tc>
        <w:tc>
          <w:tcPr>
            <w:tcW w:w="500"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95</w:t>
            </w:r>
          </w:p>
        </w:tc>
        <w:tc>
          <w:tcPr>
            <w:tcW w:w="500" w:type="pct"/>
            <w:vAlign w:val="center"/>
          </w:tcPr>
          <w:p>
            <w:pPr>
              <w:pStyle w:val="827"/>
              <w:spacing w:line="240" w:lineRule="auto"/>
              <w:rPr>
                <w:rFonts w:hint="default" w:ascii="Times New Roman" w:hAnsi="Times New Roman" w:eastAsia="仿宋_GB2312" w:cs="Times New Roman"/>
                <w:color w:val="auto"/>
                <w:szCs w:val="18"/>
              </w:rPr>
            </w:pPr>
          </w:p>
        </w:tc>
        <w:tc>
          <w:tcPr>
            <w:tcW w:w="498" w:type="pct"/>
            <w:vAlign w:val="center"/>
          </w:tcPr>
          <w:p>
            <w:pPr>
              <w:pStyle w:val="827"/>
              <w:spacing w:line="240" w:lineRule="auto"/>
              <w:rPr>
                <w:rFonts w:hint="default" w:ascii="Times New Roman" w:hAnsi="Times New Roman" w:eastAsia="仿宋_GB2312" w:cs="Times New Roman"/>
                <w:color w:val="auto"/>
                <w:szCs w:val="18"/>
              </w:rPr>
            </w:pPr>
          </w:p>
        </w:tc>
        <w:tc>
          <w:tcPr>
            <w:tcW w:w="582" w:type="pct"/>
            <w:vAlign w:val="center"/>
          </w:tcPr>
          <w:p>
            <w:pPr>
              <w:pStyle w:val="827"/>
              <w:spacing w:line="240" w:lineRule="auto"/>
              <w:rPr>
                <w:rFonts w:hint="default" w:ascii="Times New Roman" w:hAnsi="Times New Roman" w:eastAsia="仿宋_GB2312" w:cs="Times New Roman"/>
                <w:color w:val="auto"/>
                <w:szCs w:val="18"/>
              </w:rPr>
            </w:pPr>
          </w:p>
        </w:tc>
        <w:tc>
          <w:tcPr>
            <w:tcW w:w="667" w:type="pct"/>
            <w:vAlign w:val="center"/>
          </w:tcPr>
          <w:p>
            <w:pPr>
              <w:pStyle w:val="827"/>
              <w:spacing w:line="240" w:lineRule="auto"/>
              <w:rPr>
                <w:rFonts w:hint="default" w:ascii="Times New Roman" w:hAnsi="Times New Roman" w:eastAsia="仿宋_GB2312" w:cs="Times New Roman"/>
                <w:color w:val="auto"/>
                <w:szCs w:val="18"/>
              </w:rPr>
            </w:pPr>
          </w:p>
        </w:tc>
        <w:tc>
          <w:tcPr>
            <w:tcW w:w="416"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w:t>
            </w:r>
          </w:p>
        </w:tc>
        <w:tc>
          <w:tcPr>
            <w:tcW w:w="444"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33" w:type="pct"/>
            <w:vAlign w:val="center"/>
          </w:tcPr>
          <w:p>
            <w:pPr>
              <w:pStyle w:val="827"/>
              <w:spacing w:line="240" w:lineRule="auto"/>
              <w:jc w:val="left"/>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林草覆盖率(%)</w:t>
            </w:r>
          </w:p>
        </w:tc>
        <w:tc>
          <w:tcPr>
            <w:tcW w:w="358"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w:t>
            </w:r>
          </w:p>
        </w:tc>
        <w:tc>
          <w:tcPr>
            <w:tcW w:w="500"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16</w:t>
            </w:r>
          </w:p>
        </w:tc>
        <w:tc>
          <w:tcPr>
            <w:tcW w:w="500" w:type="pct"/>
            <w:vAlign w:val="center"/>
          </w:tcPr>
          <w:p>
            <w:pPr>
              <w:pStyle w:val="827"/>
              <w:spacing w:line="240" w:lineRule="auto"/>
              <w:rPr>
                <w:rFonts w:hint="default" w:ascii="Times New Roman" w:hAnsi="Times New Roman" w:eastAsia="仿宋_GB2312" w:cs="Times New Roman"/>
                <w:color w:val="auto"/>
                <w:szCs w:val="18"/>
              </w:rPr>
            </w:pPr>
          </w:p>
        </w:tc>
        <w:tc>
          <w:tcPr>
            <w:tcW w:w="498" w:type="pct"/>
            <w:vAlign w:val="center"/>
          </w:tcPr>
          <w:p>
            <w:pPr>
              <w:pStyle w:val="827"/>
              <w:spacing w:line="240" w:lineRule="auto"/>
              <w:rPr>
                <w:rFonts w:hint="default" w:ascii="Times New Roman" w:hAnsi="Times New Roman" w:eastAsia="仿宋_GB2312" w:cs="Times New Roman"/>
                <w:color w:val="auto"/>
                <w:szCs w:val="18"/>
              </w:rPr>
            </w:pPr>
          </w:p>
        </w:tc>
        <w:tc>
          <w:tcPr>
            <w:tcW w:w="582" w:type="pct"/>
            <w:vAlign w:val="center"/>
          </w:tcPr>
          <w:p>
            <w:pPr>
              <w:pStyle w:val="827"/>
              <w:spacing w:line="240" w:lineRule="auto"/>
              <w:rPr>
                <w:rFonts w:hint="default" w:ascii="Times New Roman" w:hAnsi="Times New Roman" w:eastAsia="仿宋_GB2312" w:cs="Times New Roman"/>
                <w:color w:val="auto"/>
                <w:szCs w:val="18"/>
              </w:rPr>
            </w:pPr>
          </w:p>
        </w:tc>
        <w:tc>
          <w:tcPr>
            <w:tcW w:w="667"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+2</w:t>
            </w:r>
          </w:p>
        </w:tc>
        <w:tc>
          <w:tcPr>
            <w:tcW w:w="416"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w:t>
            </w:r>
          </w:p>
        </w:tc>
        <w:tc>
          <w:tcPr>
            <w:tcW w:w="444"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18</w:t>
            </w:r>
          </w:p>
        </w:tc>
      </w:tr>
    </w:tbl>
    <w:p>
      <w:pPr>
        <w:pStyle w:val="1102"/>
        <w:spacing w:line="240" w:lineRule="auto"/>
        <w:rPr>
          <w:rFonts w:hint="default" w:ascii="Times New Roman" w:hAnsi="Times New Roman" w:cs="Times New Roman"/>
          <w:color w:val="auto"/>
        </w:rPr>
      </w:pPr>
    </w:p>
    <w:p>
      <w:pPr>
        <w:pStyle w:val="4"/>
        <w:suppressAutoHyphens/>
        <w:spacing w:before="156" w:beforeLines="50" w:after="156" w:afterLines="50"/>
        <w:rPr>
          <w:rFonts w:hint="default" w:ascii="Times New Roman" w:hAnsi="Times New Roman" w:cs="Times New Roman"/>
          <w:color w:val="auto"/>
          <w:kern w:val="0"/>
        </w:rPr>
      </w:pPr>
      <w:bookmarkStart w:id="32" w:name="_Toc47879780"/>
      <w:r>
        <w:rPr>
          <w:rFonts w:hint="default" w:ascii="Times New Roman" w:hAnsi="Times New Roman" w:cs="Times New Roman"/>
          <w:color w:val="auto"/>
          <w:kern w:val="0"/>
        </w:rPr>
        <w:t>1.6项目水土保持分析评价结论</w:t>
      </w:r>
      <w:bookmarkEnd w:id="32"/>
    </w:p>
    <w:p>
      <w:pPr>
        <w:pStyle w:val="5"/>
        <w:rPr>
          <w:rFonts w:hint="default" w:ascii="Times New Roman" w:hAnsi="Times New Roman" w:cs="Times New Roman"/>
          <w:color w:val="auto"/>
        </w:rPr>
      </w:pPr>
      <w:r>
        <w:rPr>
          <w:rFonts w:hint="default" w:ascii="Times New Roman" w:hAnsi="Times New Roman" w:cs="Times New Roman"/>
          <w:color w:val="auto"/>
        </w:rPr>
        <w:t>1.6.1主体工程选址评价</w:t>
      </w:r>
    </w:p>
    <w:p>
      <w:pPr>
        <w:pStyle w:val="1102"/>
        <w:rPr>
          <w:rFonts w:hint="default" w:ascii="Times New Roman" w:hAnsi="Times New Roman" w:cs="Times New Roman"/>
          <w:color w:val="auto"/>
        </w:rPr>
      </w:pPr>
      <w:r>
        <w:rPr>
          <w:rFonts w:hint="default" w:ascii="Times New Roman" w:hAnsi="Times New Roman" w:cs="Times New Roman"/>
          <w:color w:val="auto"/>
        </w:rPr>
        <w:t>根据《水利部办公厅关于印发&lt;全国水土保持规划国家级水土流失重点预防区和重点治理区复核划分成果&gt;的通知》(办水保〔2013〕188号)，项目所在的阿坝藏族羌族自治州红原县属于金沙江岷江上游及三江并流国家级水土流失重点预防区。</w:t>
      </w:r>
    </w:p>
    <w:p>
      <w:pPr>
        <w:pStyle w:val="1102"/>
        <w:rPr>
          <w:rFonts w:hint="default" w:ascii="Times New Roman" w:hAnsi="Times New Roman" w:cs="Times New Roman"/>
          <w:color w:val="auto"/>
        </w:rPr>
      </w:pPr>
      <w:r>
        <w:rPr>
          <w:rFonts w:hint="default" w:ascii="Times New Roman" w:hAnsi="Times New Roman" w:cs="Times New Roman"/>
          <w:color w:val="auto"/>
        </w:rPr>
        <w:t>经现场调查，项目建设不涉及河流两岸、湖泊和水库周边的植物保护带；建设区内没有全国水土保持监测网络中的水土保持监测站点和重点试验区，不涉及自然保护区、森林公园、风景名胜区、水源地保护区等。</w:t>
      </w:r>
    </w:p>
    <w:p>
      <w:pPr>
        <w:pStyle w:val="1102"/>
        <w:rPr>
          <w:rFonts w:hint="default" w:ascii="Times New Roman" w:hAnsi="Times New Roman" w:cs="Times New Roman"/>
          <w:color w:val="auto"/>
        </w:rPr>
      </w:pPr>
      <w:r>
        <w:rPr>
          <w:rFonts w:hint="default" w:ascii="Times New Roman" w:hAnsi="Times New Roman" w:cs="Times New Roman"/>
          <w:color w:val="auto"/>
        </w:rPr>
        <w:t>通过分析评价，可知主体工程选址无法避让金沙江岷江上游及三江并流国家级水土流失重点预防区，方案将提高防治目标，项目须加强水土保持，项目不涉及其他水土保持制约因素。</w:t>
      </w:r>
    </w:p>
    <w:p>
      <w:pPr>
        <w:pStyle w:val="5"/>
        <w:rPr>
          <w:rFonts w:hint="default" w:ascii="Times New Roman" w:hAnsi="Times New Roman" w:cs="Times New Roman"/>
          <w:color w:val="auto"/>
        </w:rPr>
      </w:pPr>
      <w:r>
        <w:rPr>
          <w:rFonts w:hint="default" w:ascii="Times New Roman" w:hAnsi="Times New Roman" w:cs="Times New Roman"/>
          <w:color w:val="auto"/>
        </w:rPr>
        <w:t>1.6.2建设方案与布局评价</w:t>
      </w:r>
    </w:p>
    <w:p>
      <w:pPr>
        <w:pStyle w:val="1102"/>
        <w:rPr>
          <w:rFonts w:hint="default" w:ascii="Times New Roman" w:hAnsi="Times New Roman" w:cs="Times New Roman"/>
          <w:color w:val="auto"/>
        </w:rPr>
      </w:pPr>
      <w:r>
        <w:rPr>
          <w:rFonts w:hint="default" w:ascii="Times New Roman" w:hAnsi="Times New Roman" w:cs="Times New Roman"/>
          <w:color w:val="auto"/>
        </w:rPr>
        <w:t>（1）主体建设方案评价</w:t>
      </w:r>
    </w:p>
    <w:p>
      <w:pPr>
        <w:pStyle w:val="1102"/>
        <w:rPr>
          <w:rFonts w:hint="default" w:ascii="Times New Roman" w:hAnsi="Times New Roman" w:cs="Times New Roman"/>
          <w:color w:val="auto"/>
        </w:rPr>
      </w:pPr>
      <w:r>
        <w:rPr>
          <w:rFonts w:hint="default" w:ascii="Times New Roman" w:hAnsi="Times New Roman" w:cs="Times New Roman"/>
          <w:color w:val="auto"/>
        </w:rPr>
        <w:t>本项目属建设类项目。主体工程仅设计，且实施了1栋建筑（教学综合楼），建筑建设工期较短，土建施工避开雨季，有利于水土保持；现状建筑已完工，项目区不具备产生水土流失的条件。主体工程实施绿化措施能有效防止水土流失，美化环境。项目区地表径流通过雨水管进行径流导流、排泄。总体而言，项目建设方案与布局符合水土保持要求。</w:t>
      </w:r>
    </w:p>
    <w:p>
      <w:pPr>
        <w:pStyle w:val="1102"/>
        <w:rPr>
          <w:rFonts w:hint="default" w:ascii="Times New Roman" w:hAnsi="Times New Roman" w:cs="Times New Roman"/>
          <w:color w:val="auto"/>
        </w:rPr>
      </w:pPr>
      <w:r>
        <w:rPr>
          <w:rFonts w:hint="default" w:ascii="Times New Roman" w:hAnsi="Times New Roman" w:cs="Times New Roman"/>
          <w:color w:val="auto"/>
        </w:rPr>
        <w:t>（2）工程占地</w:t>
      </w:r>
    </w:p>
    <w:p>
      <w:pPr>
        <w:pStyle w:val="1102"/>
        <w:rPr>
          <w:rFonts w:hint="default" w:ascii="Times New Roman" w:hAnsi="Times New Roman" w:cs="Times New Roman"/>
          <w:color w:val="auto"/>
        </w:rPr>
      </w:pPr>
      <w:r>
        <w:rPr>
          <w:rFonts w:hint="default" w:ascii="Times New Roman" w:hAnsi="Times New Roman" w:cs="Times New Roman"/>
          <w:color w:val="auto"/>
        </w:rPr>
        <w:t>工程总占地0.12hm</w:t>
      </w:r>
      <w:r>
        <w:rPr>
          <w:rFonts w:hint="default" w:ascii="Times New Roman" w:hAnsi="Times New Roman" w:cs="Times New Roman"/>
          <w:color w:val="auto"/>
          <w:vertAlign w:val="superscript"/>
        </w:rPr>
        <w:t>2</w:t>
      </w:r>
      <w:r>
        <w:rPr>
          <w:rFonts w:hint="default" w:ascii="Times New Roman" w:hAnsi="Times New Roman" w:cs="Times New Roman"/>
          <w:color w:val="auto"/>
        </w:rPr>
        <w:t>，均为永久占地，施工场地布置不涉及新增临时占地，从水土保持的角度上看，工程占地符合节约用地和减少扰动的要求，临时占地满足施工要求。</w:t>
      </w:r>
    </w:p>
    <w:p>
      <w:pPr>
        <w:pStyle w:val="1102"/>
        <w:rPr>
          <w:rFonts w:hint="default" w:ascii="Times New Roman" w:hAnsi="Times New Roman" w:cs="Times New Roman"/>
          <w:color w:val="auto"/>
        </w:rPr>
      </w:pPr>
      <w:r>
        <w:rPr>
          <w:rFonts w:hint="default" w:ascii="Times New Roman" w:hAnsi="Times New Roman" w:cs="Times New Roman"/>
          <w:color w:val="auto"/>
        </w:rPr>
        <w:t>（3）土石方平衡</w:t>
      </w:r>
    </w:p>
    <w:p>
      <w:pPr>
        <w:pStyle w:val="1102"/>
        <w:rPr>
          <w:rFonts w:hint="default" w:ascii="Times New Roman" w:hAnsi="Times New Roman" w:cs="Times New Roman"/>
          <w:color w:val="auto"/>
        </w:rPr>
      </w:pPr>
      <w:r>
        <w:rPr>
          <w:rFonts w:hint="default" w:ascii="Times New Roman" w:hAnsi="Times New Roman" w:cs="Times New Roman"/>
          <w:color w:val="auto"/>
        </w:rPr>
        <w:t>项目建构筑物基础挖方较小，挖方均在基坑及周围回填；综合管线挖方在沟槽及周围回填；建筑基础挖方均在项目区回填利用，项目土石方挖填数量符合最优化原则；土石方调运节点、调运时序、运距合理。</w:t>
      </w:r>
    </w:p>
    <w:p>
      <w:pPr>
        <w:pStyle w:val="1102"/>
        <w:rPr>
          <w:rFonts w:hint="default" w:ascii="Times New Roman" w:hAnsi="Times New Roman" w:cs="Times New Roman"/>
          <w:color w:val="auto"/>
        </w:rPr>
      </w:pPr>
      <w:r>
        <w:rPr>
          <w:rFonts w:hint="default" w:ascii="Times New Roman" w:hAnsi="Times New Roman" w:cs="Times New Roman"/>
          <w:color w:val="auto"/>
        </w:rPr>
        <w:t>（4）施工方法和工艺</w:t>
      </w:r>
    </w:p>
    <w:p>
      <w:pPr>
        <w:pStyle w:val="1102"/>
        <w:rPr>
          <w:rFonts w:hint="default" w:ascii="Times New Roman" w:hAnsi="Times New Roman" w:cs="Times New Roman"/>
          <w:color w:val="auto"/>
        </w:rPr>
      </w:pPr>
      <w:r>
        <w:rPr>
          <w:rFonts w:hint="default" w:ascii="Times New Roman" w:hAnsi="Times New Roman" w:cs="Times New Roman"/>
          <w:color w:val="auto"/>
        </w:rPr>
        <w:t>本项目土建施工动土量较小，土石方堆放时间较短，挖方能基本做到随填、随压，没有进行多次倒运。总体而言，项目施工方法和工艺满足水土保持要求。</w:t>
      </w:r>
    </w:p>
    <w:p>
      <w:pPr>
        <w:pStyle w:val="1102"/>
        <w:rPr>
          <w:rFonts w:hint="default" w:ascii="Times New Roman" w:hAnsi="Times New Roman" w:cs="Times New Roman"/>
          <w:color w:val="auto"/>
        </w:rPr>
      </w:pPr>
      <w:r>
        <w:rPr>
          <w:rFonts w:hint="default" w:ascii="Times New Roman" w:hAnsi="Times New Roman" w:cs="Times New Roman"/>
          <w:color w:val="auto"/>
        </w:rPr>
        <w:t>（5）具有水土保持功能工程的评价</w:t>
      </w:r>
    </w:p>
    <w:p>
      <w:pPr>
        <w:pStyle w:val="1102"/>
        <w:rPr>
          <w:rFonts w:hint="default" w:ascii="Times New Roman" w:hAnsi="Times New Roman" w:cs="Times New Roman"/>
          <w:color w:val="auto"/>
        </w:rPr>
      </w:pPr>
      <w:r>
        <w:rPr>
          <w:rFonts w:hint="default" w:ascii="Times New Roman" w:hAnsi="Times New Roman" w:cs="Times New Roman"/>
          <w:color w:val="auto"/>
        </w:rPr>
        <w:t>本项目建设内容单一，土建施工安排避开雨季，主体工程在基础施工期间已实施有防雨布遮盖措施；工程后期主体工程在建筑区域实施有雨水管，道路区域实施有雨水管措施，符合水土保持要求。主体工程实施的水土保持措施能有效防止项目区水土流失，且项目已完工多年，但</w:t>
      </w:r>
      <w:r>
        <w:rPr>
          <w:rFonts w:hint="default" w:ascii="Times New Roman" w:hAnsi="Times New Roman" w:cs="Times New Roman"/>
          <w:color w:val="auto"/>
          <w:kern w:val="0"/>
        </w:rPr>
        <w:t>后续电缆敷设对景观绿地进行了扰动、破坏，造成了一定的裸露地表，存在少量临时堆方，这些区域在雨季易造成水土流失，建设单位需加强植被抚育管理</w:t>
      </w:r>
      <w:r>
        <w:rPr>
          <w:rFonts w:hint="default" w:ascii="Times New Roman" w:hAnsi="Times New Roman" w:cs="Times New Roman"/>
          <w:color w:val="auto"/>
          <w:kern w:val="0"/>
          <w:lang w:eastAsia="zh-CN"/>
        </w:rPr>
        <w:t>，</w:t>
      </w:r>
      <w:r>
        <w:rPr>
          <w:rFonts w:hint="default" w:ascii="Times New Roman" w:hAnsi="Times New Roman" w:eastAsia="仿宋_GB2312" w:cs="Times New Roman"/>
          <w:color w:val="auto"/>
        </w:rPr>
        <w:t>从现状场地看草坪绿化基本覆盖裸露地表，植被盖度较高；后续电缆敷设对景观绿地进行了扰动、破坏，造成了一定的裸露地表，存在少量临时堆方，这些区域在雨季易造成水土流失</w:t>
      </w:r>
      <w:r>
        <w:rPr>
          <w:rFonts w:hint="default" w:ascii="Times New Roman" w:hAnsi="Times New Roman" w:eastAsia="仿宋_GB2312" w:cs="Times New Roman"/>
          <w:color w:val="auto"/>
          <w:lang w:eastAsia="zh-CN"/>
        </w:rPr>
        <w:t>；方案新增土地整治、撒播草籽、抚育管理措施</w:t>
      </w:r>
      <w:r>
        <w:rPr>
          <w:rFonts w:hint="default" w:ascii="Times New Roman" w:hAnsi="Times New Roman" w:cs="Times New Roman"/>
          <w:color w:val="auto"/>
          <w:kern w:val="0"/>
        </w:rPr>
        <w:t>。</w:t>
      </w:r>
    </w:p>
    <w:p>
      <w:pPr>
        <w:pStyle w:val="4"/>
        <w:suppressAutoHyphens/>
        <w:spacing w:before="156" w:beforeLines="50" w:after="156" w:afterLines="50"/>
        <w:rPr>
          <w:rFonts w:hint="default" w:ascii="Times New Roman" w:hAnsi="Times New Roman" w:cs="Times New Roman"/>
          <w:color w:val="auto"/>
          <w:kern w:val="0"/>
        </w:rPr>
      </w:pPr>
      <w:bookmarkStart w:id="33" w:name="_Toc47879781"/>
      <w:r>
        <w:rPr>
          <w:rFonts w:hint="default" w:ascii="Times New Roman" w:hAnsi="Times New Roman" w:cs="Times New Roman"/>
          <w:color w:val="auto"/>
          <w:kern w:val="0"/>
        </w:rPr>
        <w:t>1.7 水土流失调查结果</w:t>
      </w:r>
      <w:bookmarkEnd w:id="33"/>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kern w:val="0"/>
          <w:szCs w:val="24"/>
        </w:rPr>
        <w:t>本项目扰动原地貌</w:t>
      </w:r>
      <w:r>
        <w:rPr>
          <w:rFonts w:hint="default" w:ascii="Times New Roman" w:hAnsi="Times New Roman" w:eastAsia="仿宋_GB2312" w:cs="Times New Roman"/>
          <w:color w:val="auto"/>
          <w:kern w:val="0"/>
        </w:rPr>
        <w:t>面积0.12hm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rPr>
        <w:t>；损坏具有水土保持功能面积0.12hm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szCs w:val="24"/>
        </w:rPr>
        <w:t>。调查</w:t>
      </w:r>
      <w:r>
        <w:rPr>
          <w:rFonts w:hint="default" w:ascii="Times New Roman" w:hAnsi="Times New Roman" w:eastAsia="仿宋_GB2312" w:cs="Times New Roman"/>
          <w:color w:val="auto"/>
          <w:kern w:val="0"/>
          <w:szCs w:val="24"/>
        </w:rPr>
        <w:t>土壤流失总量2.07t，其中背景土壤流失量0.45t，调查新增土壤流失量1.62t；施工期新增土壤流失量1.47t，自然恢复期新增土壤流失量0.15t；故施工期是水土流失防治的重点时段。</w:t>
      </w:r>
    </w:p>
    <w:p>
      <w:pPr>
        <w:suppressAutoHyphens/>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施工期调查新增土壤流失量1.47t，其中建筑工程新增土壤流失量0.72t，占施工期新增总量的48%；道路工程新增土壤流失量0.33t，占施工期新增总量的22%，绿化工程新增土壤流失量0.72t，占施工期新增总量的30%。故建筑工程是水土流失重点防治区域。</w:t>
      </w:r>
    </w:p>
    <w:p>
      <w:pPr>
        <w:pStyle w:val="4"/>
        <w:suppressAutoHyphens/>
        <w:spacing w:before="156" w:beforeLines="50" w:after="156" w:afterLines="50"/>
        <w:rPr>
          <w:rFonts w:hint="default" w:ascii="Times New Roman" w:hAnsi="Times New Roman" w:cs="Times New Roman"/>
          <w:color w:val="auto"/>
          <w:kern w:val="0"/>
        </w:rPr>
      </w:pPr>
      <w:bookmarkStart w:id="34" w:name="_Toc47879782"/>
      <w:r>
        <w:rPr>
          <w:rFonts w:hint="default" w:ascii="Times New Roman" w:hAnsi="Times New Roman" w:cs="Times New Roman"/>
          <w:color w:val="auto"/>
          <w:kern w:val="0"/>
        </w:rPr>
        <w:t>1.8水土保持措施布局结果</w:t>
      </w:r>
      <w:bookmarkEnd w:id="34"/>
    </w:p>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本项目水土流失防治分区划分为</w:t>
      </w:r>
      <w:r>
        <w:rPr>
          <w:rFonts w:hint="default" w:ascii="Times New Roman" w:hAnsi="Times New Roman" w:eastAsia="仿宋_GB2312" w:cs="Times New Roman"/>
          <w:color w:val="auto"/>
          <w:kern w:val="0"/>
          <w:szCs w:val="24"/>
        </w:rPr>
        <w:t>建筑工程区、道路硬化区、景观绿化区3个一级区</w:t>
      </w:r>
      <w:r>
        <w:rPr>
          <w:rFonts w:hint="default" w:ascii="Times New Roman" w:hAnsi="Times New Roman" w:eastAsia="仿宋_GB2312" w:cs="Times New Roman"/>
          <w:color w:val="auto"/>
        </w:rPr>
        <w:t>；针对各防治区的不同实际情况，主体工程采取了相应的措施以防治水土流失；方案现从措施名称、布设位置、实施时段等方面简述：</w:t>
      </w:r>
    </w:p>
    <w:p>
      <w:pPr>
        <w:widowControl/>
        <w:autoSpaceDN w:val="0"/>
        <w:ind w:firstLine="482"/>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（1）建筑工程区</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*1）工程措施：</w:t>
      </w:r>
    </w:p>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rPr>
        <w:fldChar w:fldCharType="begin"/>
      </w:r>
      <w:r>
        <w:rPr>
          <w:rFonts w:hint="default" w:ascii="Times New Roman" w:hAnsi="Times New Roman" w:eastAsia="仿宋_GB2312" w:cs="Times New Roman"/>
          <w:color w:val="auto"/>
          <w:kern w:val="0"/>
        </w:rPr>
        <w:instrText xml:space="preserve"> = 1 \* GB3 </w:instrText>
      </w:r>
      <w:r>
        <w:rPr>
          <w:rFonts w:hint="default" w:ascii="Times New Roman" w:hAnsi="Times New Roman" w:eastAsia="仿宋_GB2312" w:cs="Times New Roman"/>
          <w:color w:val="auto"/>
          <w:kern w:val="0"/>
        </w:rPr>
        <w:fldChar w:fldCharType="separate"/>
      </w:r>
      <w:r>
        <w:rPr>
          <w:rFonts w:hint="default" w:ascii="Times New Roman" w:hAnsi="Times New Roman" w:cs="Times New Roman"/>
          <w:color w:val="auto"/>
          <w:kern w:val="0"/>
        </w:rPr>
        <w:t>①</w:t>
      </w:r>
      <w:r>
        <w:rPr>
          <w:rFonts w:hint="default" w:ascii="Times New Roman" w:hAnsi="Times New Roman" w:eastAsia="仿宋_GB2312" w:cs="Times New Roman"/>
          <w:color w:val="auto"/>
          <w:kern w:val="0"/>
        </w:rPr>
        <w:fldChar w:fldCharType="end"/>
      </w:r>
      <w:r>
        <w:rPr>
          <w:rFonts w:hint="default" w:ascii="Times New Roman" w:hAnsi="Times New Roman" w:eastAsia="仿宋_GB2312" w:cs="Times New Roman"/>
          <w:color w:val="auto"/>
          <w:kern w:val="0"/>
        </w:rPr>
        <w:t>雨水管96m（主体已有，已实施）；</w:t>
      </w:r>
      <w:r>
        <w:rPr>
          <w:rFonts w:hint="default" w:ascii="Times New Roman" w:hAnsi="Times New Roman" w:eastAsia="仿宋_GB2312" w:cs="Times New Roman"/>
          <w:color w:val="auto"/>
        </w:rPr>
        <w:t>雨水管设置在建筑立面实施；</w:t>
      </w:r>
      <w:r>
        <w:rPr>
          <w:rFonts w:hint="default" w:ascii="Times New Roman" w:hAnsi="Times New Roman" w:eastAsia="仿宋_GB2312" w:cs="Times New Roman"/>
          <w:color w:val="auto"/>
          <w:kern w:val="0"/>
        </w:rPr>
        <w:t>管径DN100，UPVC硬质双壁波纹管</w:t>
      </w:r>
      <w:r>
        <w:rPr>
          <w:rFonts w:hint="default" w:ascii="Times New Roman" w:hAnsi="Times New Roman" w:eastAsia="仿宋_GB2312" w:cs="Times New Roman"/>
          <w:color w:val="auto"/>
        </w:rPr>
        <w:t>；于2017年7月～9月实施。</w:t>
      </w:r>
    </w:p>
    <w:p>
      <w:pPr>
        <w:widowControl/>
        <w:autoSpaceDN w:val="0"/>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kern w:val="0"/>
        </w:rPr>
        <w:t>*2）</w:t>
      </w:r>
      <w:r>
        <w:rPr>
          <w:rFonts w:hint="default" w:ascii="Times New Roman" w:hAnsi="Times New Roman" w:eastAsia="仿宋_GB2312" w:cs="Times New Roman"/>
          <w:color w:val="auto"/>
          <w:szCs w:val="24"/>
        </w:rPr>
        <w:t>临时措施：</w:t>
      </w:r>
    </w:p>
    <w:p>
      <w:pPr>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rPr>
        <w:fldChar w:fldCharType="begin"/>
      </w:r>
      <w:r>
        <w:rPr>
          <w:rFonts w:hint="default" w:ascii="Times New Roman" w:hAnsi="Times New Roman" w:eastAsia="仿宋_GB2312" w:cs="Times New Roman"/>
          <w:color w:val="auto"/>
          <w:kern w:val="0"/>
        </w:rPr>
        <w:instrText xml:space="preserve"> = 1 \* GB3 </w:instrText>
      </w:r>
      <w:r>
        <w:rPr>
          <w:rFonts w:hint="default" w:ascii="Times New Roman" w:hAnsi="Times New Roman" w:eastAsia="仿宋_GB2312" w:cs="Times New Roman"/>
          <w:color w:val="auto"/>
          <w:kern w:val="0"/>
        </w:rPr>
        <w:fldChar w:fldCharType="separate"/>
      </w:r>
      <w:r>
        <w:rPr>
          <w:rFonts w:hint="default" w:ascii="Times New Roman" w:hAnsi="Times New Roman" w:cs="Times New Roman"/>
          <w:color w:val="auto"/>
          <w:kern w:val="0"/>
        </w:rPr>
        <w:t>①</w:t>
      </w:r>
      <w:r>
        <w:rPr>
          <w:rFonts w:hint="default" w:ascii="Times New Roman" w:hAnsi="Times New Roman" w:eastAsia="仿宋_GB2312" w:cs="Times New Roman"/>
          <w:color w:val="auto"/>
          <w:kern w:val="0"/>
        </w:rPr>
        <w:fldChar w:fldCharType="end"/>
      </w:r>
      <w:r>
        <w:rPr>
          <w:rFonts w:hint="default" w:ascii="Times New Roman" w:hAnsi="Times New Roman" w:eastAsia="仿宋_GB2312" w:cs="Times New Roman"/>
          <w:color w:val="auto"/>
          <w:kern w:val="0"/>
          <w:szCs w:val="24"/>
        </w:rPr>
        <w:t>防雨布遮盖600m</w:t>
      </w:r>
      <w:r>
        <w:rPr>
          <w:rFonts w:hint="default" w:ascii="Times New Roman" w:hAnsi="Times New Roman" w:eastAsia="仿宋_GB2312" w:cs="Times New Roman"/>
          <w:color w:val="auto"/>
          <w:kern w:val="0"/>
          <w:szCs w:val="24"/>
          <w:vertAlign w:val="superscript"/>
        </w:rPr>
        <w:t>2</w:t>
      </w:r>
      <w:r>
        <w:rPr>
          <w:rFonts w:hint="default" w:ascii="Times New Roman" w:hAnsi="Times New Roman" w:eastAsia="仿宋_GB2312" w:cs="Times New Roman"/>
          <w:color w:val="auto"/>
          <w:kern w:val="0"/>
          <w:szCs w:val="24"/>
        </w:rPr>
        <w:t>（</w:t>
      </w:r>
      <w:r>
        <w:rPr>
          <w:rFonts w:hint="default" w:ascii="Times New Roman" w:hAnsi="Times New Roman" w:eastAsia="仿宋_GB2312" w:cs="Times New Roman"/>
          <w:color w:val="auto"/>
          <w:kern w:val="0"/>
        </w:rPr>
        <w:t>主体已有，已实施</w:t>
      </w:r>
      <w:r>
        <w:rPr>
          <w:rFonts w:hint="default" w:ascii="Times New Roman" w:hAnsi="Times New Roman" w:eastAsia="仿宋_GB2312" w:cs="Times New Roman"/>
          <w:color w:val="auto"/>
          <w:kern w:val="0"/>
          <w:szCs w:val="24"/>
        </w:rPr>
        <w:t>），对建构筑物基础挖方进行临时遮盖，于2016年11月～2017年6月实施。</w:t>
      </w:r>
    </w:p>
    <w:p>
      <w:pPr>
        <w:widowControl/>
        <w:autoSpaceDN w:val="0"/>
        <w:ind w:firstLine="482"/>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（2）道路硬化区</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*1）工程措施：</w:t>
      </w:r>
    </w:p>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rPr>
        <w:fldChar w:fldCharType="begin"/>
      </w:r>
      <w:r>
        <w:rPr>
          <w:rFonts w:hint="default" w:ascii="Times New Roman" w:hAnsi="Times New Roman" w:eastAsia="仿宋_GB2312" w:cs="Times New Roman"/>
          <w:color w:val="auto"/>
          <w:kern w:val="0"/>
        </w:rPr>
        <w:instrText xml:space="preserve"> = 1 \* GB3 </w:instrText>
      </w:r>
      <w:r>
        <w:rPr>
          <w:rFonts w:hint="default" w:ascii="Times New Roman" w:hAnsi="Times New Roman" w:eastAsia="仿宋_GB2312" w:cs="Times New Roman"/>
          <w:color w:val="auto"/>
          <w:kern w:val="0"/>
        </w:rPr>
        <w:fldChar w:fldCharType="separate"/>
      </w:r>
      <w:r>
        <w:rPr>
          <w:rFonts w:hint="default" w:ascii="Times New Roman" w:hAnsi="Times New Roman" w:cs="Times New Roman"/>
          <w:color w:val="auto"/>
          <w:kern w:val="0"/>
        </w:rPr>
        <w:t>①</w:t>
      </w:r>
      <w:r>
        <w:rPr>
          <w:rFonts w:hint="default" w:ascii="Times New Roman" w:hAnsi="Times New Roman" w:eastAsia="仿宋_GB2312" w:cs="Times New Roman"/>
          <w:color w:val="auto"/>
          <w:kern w:val="0"/>
        </w:rPr>
        <w:fldChar w:fldCharType="end"/>
      </w:r>
      <w:r>
        <w:rPr>
          <w:rFonts w:hint="default" w:ascii="Times New Roman" w:hAnsi="Times New Roman" w:eastAsia="仿宋_GB2312" w:cs="Times New Roman"/>
          <w:color w:val="auto"/>
          <w:kern w:val="0"/>
        </w:rPr>
        <w:t>雨水管200m（主体已有，已实施）；</w:t>
      </w:r>
      <w:r>
        <w:rPr>
          <w:rFonts w:hint="default" w:ascii="Times New Roman" w:hAnsi="Times New Roman" w:eastAsia="仿宋_GB2312" w:cs="Times New Roman"/>
          <w:color w:val="auto"/>
        </w:rPr>
        <w:t>雨水管设置在道路区域；</w:t>
      </w:r>
      <w:r>
        <w:rPr>
          <w:rFonts w:hint="default" w:ascii="Times New Roman" w:hAnsi="Times New Roman" w:eastAsia="仿宋_GB2312" w:cs="Times New Roman"/>
          <w:color w:val="auto"/>
          <w:kern w:val="0"/>
        </w:rPr>
        <w:t>管径DN100，UPVC硬质双壁波纹管</w:t>
      </w:r>
      <w:r>
        <w:rPr>
          <w:rFonts w:hint="default" w:ascii="Times New Roman" w:hAnsi="Times New Roman" w:eastAsia="仿宋_GB2312" w:cs="Times New Roman"/>
          <w:color w:val="auto"/>
        </w:rPr>
        <w:t>；于2017年7月～8月实施。</w:t>
      </w:r>
    </w:p>
    <w:p>
      <w:pPr>
        <w:widowControl/>
        <w:autoSpaceDN w:val="0"/>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kern w:val="0"/>
        </w:rPr>
        <w:t>*2）</w:t>
      </w:r>
      <w:r>
        <w:rPr>
          <w:rFonts w:hint="default" w:ascii="Times New Roman" w:hAnsi="Times New Roman" w:eastAsia="仿宋_GB2312" w:cs="Times New Roman"/>
          <w:color w:val="auto"/>
          <w:szCs w:val="24"/>
        </w:rPr>
        <w:t>临时措施：</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fldChar w:fldCharType="begin"/>
      </w:r>
      <w:r>
        <w:rPr>
          <w:rFonts w:hint="default" w:ascii="Times New Roman" w:hAnsi="Times New Roman" w:eastAsia="仿宋_GB2312" w:cs="Times New Roman"/>
          <w:color w:val="auto"/>
          <w:kern w:val="0"/>
        </w:rPr>
        <w:instrText xml:space="preserve"> = 1 \* GB3 </w:instrText>
      </w:r>
      <w:r>
        <w:rPr>
          <w:rFonts w:hint="default" w:ascii="Times New Roman" w:hAnsi="Times New Roman" w:eastAsia="仿宋_GB2312" w:cs="Times New Roman"/>
          <w:color w:val="auto"/>
          <w:kern w:val="0"/>
        </w:rPr>
        <w:fldChar w:fldCharType="separate"/>
      </w:r>
      <w:r>
        <w:rPr>
          <w:rFonts w:hint="default" w:ascii="Times New Roman" w:hAnsi="Times New Roman" w:cs="Times New Roman"/>
          <w:color w:val="auto"/>
          <w:kern w:val="0"/>
        </w:rPr>
        <w:t>①</w:t>
      </w:r>
      <w:r>
        <w:rPr>
          <w:rFonts w:hint="default" w:ascii="Times New Roman" w:hAnsi="Times New Roman" w:eastAsia="仿宋_GB2312" w:cs="Times New Roman"/>
          <w:color w:val="auto"/>
          <w:kern w:val="0"/>
        </w:rPr>
        <w:fldChar w:fldCharType="end"/>
      </w:r>
      <w:r>
        <w:rPr>
          <w:rFonts w:hint="default" w:ascii="Times New Roman" w:hAnsi="Times New Roman" w:eastAsia="仿宋_GB2312" w:cs="Times New Roman"/>
          <w:color w:val="auto"/>
          <w:kern w:val="0"/>
          <w:szCs w:val="24"/>
        </w:rPr>
        <w:t>防雨布遮盖500m</w:t>
      </w:r>
      <w:r>
        <w:rPr>
          <w:rFonts w:hint="default" w:ascii="Times New Roman" w:hAnsi="Times New Roman" w:eastAsia="仿宋_GB2312" w:cs="Times New Roman"/>
          <w:color w:val="auto"/>
          <w:kern w:val="0"/>
          <w:szCs w:val="24"/>
          <w:vertAlign w:val="superscript"/>
        </w:rPr>
        <w:t>2</w:t>
      </w:r>
      <w:r>
        <w:rPr>
          <w:rFonts w:hint="default" w:ascii="Times New Roman" w:hAnsi="Times New Roman" w:eastAsia="仿宋_GB2312" w:cs="Times New Roman"/>
          <w:color w:val="auto"/>
          <w:kern w:val="0"/>
          <w:szCs w:val="24"/>
        </w:rPr>
        <w:t>（</w:t>
      </w:r>
      <w:r>
        <w:rPr>
          <w:rFonts w:hint="default" w:ascii="Times New Roman" w:hAnsi="Times New Roman" w:eastAsia="仿宋_GB2312" w:cs="Times New Roman"/>
          <w:color w:val="auto"/>
          <w:kern w:val="0"/>
        </w:rPr>
        <w:t>主体已有，已实施</w:t>
      </w:r>
      <w:r>
        <w:rPr>
          <w:rFonts w:hint="default" w:ascii="Times New Roman" w:hAnsi="Times New Roman" w:eastAsia="仿宋_GB2312" w:cs="Times New Roman"/>
          <w:color w:val="auto"/>
          <w:kern w:val="0"/>
          <w:szCs w:val="24"/>
        </w:rPr>
        <w:t>），综合管线沟槽开挖进行临时遮盖，2017年7-8月实施。</w:t>
      </w:r>
    </w:p>
    <w:p>
      <w:pPr>
        <w:widowControl/>
        <w:autoSpaceDN w:val="0"/>
        <w:ind w:firstLine="482"/>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（3）景观绿化区</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*1）工程措施：</w:t>
      </w:r>
    </w:p>
    <w:p>
      <w:pPr>
        <w:ind w:firstLine="480"/>
        <w:rPr>
          <w:rFonts w:hint="default" w:ascii="Times New Roman" w:hAnsi="Times New Roman" w:eastAsia="仿宋_GB2312" w:cs="Times New Roman"/>
          <w:color w:val="auto"/>
          <w:kern w:val="0"/>
          <w:lang w:val="en-US" w:eastAsia="zh-CN"/>
        </w:rPr>
      </w:pPr>
      <w:r>
        <w:rPr>
          <w:rFonts w:hint="default" w:ascii="Times New Roman" w:hAnsi="Times New Roman" w:eastAsia="仿宋_GB2312" w:cs="Times New Roman"/>
          <w:color w:val="auto"/>
          <w:kern w:val="0"/>
        </w:rPr>
        <w:fldChar w:fldCharType="begin"/>
      </w:r>
      <w:r>
        <w:rPr>
          <w:rFonts w:hint="default" w:ascii="Times New Roman" w:hAnsi="Times New Roman" w:eastAsia="仿宋_GB2312" w:cs="Times New Roman"/>
          <w:color w:val="auto"/>
          <w:kern w:val="0"/>
        </w:rPr>
        <w:instrText xml:space="preserve"> = 1 \* GB3 </w:instrText>
      </w:r>
      <w:r>
        <w:rPr>
          <w:rFonts w:hint="default" w:ascii="Times New Roman" w:hAnsi="Times New Roman" w:eastAsia="仿宋_GB2312" w:cs="Times New Roman"/>
          <w:color w:val="auto"/>
          <w:kern w:val="0"/>
        </w:rPr>
        <w:fldChar w:fldCharType="separate"/>
      </w:r>
      <w:r>
        <w:rPr>
          <w:rFonts w:hint="default" w:ascii="Times New Roman" w:hAnsi="Times New Roman" w:cs="Times New Roman"/>
          <w:color w:val="auto"/>
          <w:kern w:val="0"/>
        </w:rPr>
        <w:t>①</w:t>
      </w:r>
      <w:r>
        <w:rPr>
          <w:rFonts w:hint="default" w:ascii="Times New Roman" w:hAnsi="Times New Roman" w:eastAsia="仿宋_GB2312" w:cs="Times New Roman"/>
          <w:color w:val="auto"/>
          <w:kern w:val="0"/>
        </w:rPr>
        <w:fldChar w:fldCharType="end"/>
      </w:r>
      <w:r>
        <w:rPr>
          <w:rFonts w:hint="default" w:ascii="Times New Roman" w:hAnsi="Times New Roman" w:eastAsia="仿宋_GB2312" w:cs="Times New Roman"/>
          <w:color w:val="auto"/>
          <w:kern w:val="0"/>
          <w:lang w:eastAsia="zh-CN"/>
        </w:rPr>
        <w:t>土地整治</w:t>
      </w:r>
      <w:r>
        <w:rPr>
          <w:rFonts w:hint="default" w:ascii="Times New Roman" w:hAnsi="Times New Roman" w:eastAsia="仿宋_GB2312" w:cs="Times New Roman"/>
          <w:color w:val="auto"/>
          <w:kern w:val="0"/>
          <w:szCs w:val="24"/>
        </w:rPr>
        <w:t>300m</w:t>
      </w:r>
      <w:r>
        <w:rPr>
          <w:rFonts w:hint="default" w:ascii="Times New Roman" w:hAnsi="Times New Roman" w:eastAsia="仿宋_GB2312" w:cs="Times New Roman"/>
          <w:color w:val="auto"/>
          <w:kern w:val="0"/>
          <w:szCs w:val="24"/>
          <w:vertAlign w:val="superscript"/>
        </w:rPr>
        <w:t>2</w:t>
      </w:r>
      <w:r>
        <w:rPr>
          <w:rFonts w:hint="default" w:ascii="Times New Roman" w:hAnsi="Times New Roman" w:eastAsia="仿宋_GB2312" w:cs="Times New Roman"/>
          <w:color w:val="auto"/>
          <w:kern w:val="0"/>
          <w:szCs w:val="24"/>
        </w:rPr>
        <w:t>（</w:t>
      </w:r>
      <w:r>
        <w:rPr>
          <w:rFonts w:hint="default" w:ascii="Times New Roman" w:hAnsi="Times New Roman" w:eastAsia="仿宋_GB2312" w:cs="Times New Roman"/>
          <w:color w:val="auto"/>
          <w:kern w:val="0"/>
          <w:lang w:eastAsia="zh-CN"/>
        </w:rPr>
        <w:t>水保新增</w:t>
      </w:r>
      <w:r>
        <w:rPr>
          <w:rFonts w:hint="default" w:ascii="Times New Roman" w:hAnsi="Times New Roman" w:eastAsia="仿宋_GB2312" w:cs="Times New Roman"/>
          <w:color w:val="auto"/>
          <w:kern w:val="0"/>
        </w:rPr>
        <w:t>，</w:t>
      </w:r>
      <w:r>
        <w:rPr>
          <w:rFonts w:hint="default" w:ascii="Times New Roman" w:hAnsi="Times New Roman" w:eastAsia="仿宋_GB2312" w:cs="Times New Roman"/>
          <w:color w:val="auto"/>
          <w:kern w:val="0"/>
          <w:lang w:eastAsia="zh-CN"/>
        </w:rPr>
        <w:t>未</w:t>
      </w:r>
      <w:r>
        <w:rPr>
          <w:rFonts w:hint="default" w:ascii="Times New Roman" w:hAnsi="Times New Roman" w:eastAsia="仿宋_GB2312" w:cs="Times New Roman"/>
          <w:color w:val="auto"/>
          <w:kern w:val="0"/>
        </w:rPr>
        <w:t>实施），在建筑北侧实施</w:t>
      </w:r>
      <w:r>
        <w:rPr>
          <w:rFonts w:hint="default" w:ascii="Times New Roman" w:hAnsi="Times New Roman" w:eastAsia="仿宋_GB2312" w:cs="Times New Roman"/>
          <w:color w:val="auto"/>
          <w:kern w:val="0"/>
          <w:lang w:eastAsia="zh-CN"/>
        </w:rPr>
        <w:t>绿地，方案新增土地整治措施，预计</w:t>
      </w:r>
      <w:r>
        <w:rPr>
          <w:rFonts w:hint="default" w:ascii="Times New Roman" w:hAnsi="Times New Roman" w:eastAsia="仿宋_GB2312" w:cs="Times New Roman"/>
          <w:color w:val="auto"/>
          <w:kern w:val="0"/>
          <w:szCs w:val="24"/>
        </w:rPr>
        <w:t>20</w:t>
      </w:r>
      <w:r>
        <w:rPr>
          <w:rFonts w:hint="default" w:ascii="Times New Roman" w:hAnsi="Times New Roman" w:eastAsia="仿宋_GB2312" w:cs="Times New Roman"/>
          <w:color w:val="auto"/>
          <w:kern w:val="0"/>
          <w:szCs w:val="24"/>
          <w:lang w:val="en-US" w:eastAsia="zh-CN"/>
        </w:rPr>
        <w:t>20</w:t>
      </w:r>
      <w:r>
        <w:rPr>
          <w:rFonts w:hint="default" w:ascii="Times New Roman" w:hAnsi="Times New Roman" w:eastAsia="仿宋_GB2312" w:cs="Times New Roman"/>
          <w:color w:val="auto"/>
          <w:kern w:val="0"/>
          <w:szCs w:val="24"/>
        </w:rPr>
        <w:t>年</w:t>
      </w:r>
      <w:r>
        <w:rPr>
          <w:rFonts w:hint="default" w:ascii="Times New Roman" w:hAnsi="Times New Roman" w:eastAsia="仿宋_GB2312" w:cs="Times New Roman"/>
          <w:color w:val="auto"/>
          <w:kern w:val="0"/>
          <w:szCs w:val="24"/>
          <w:lang w:val="en-US" w:eastAsia="zh-CN"/>
        </w:rPr>
        <w:t>9</w:t>
      </w:r>
      <w:r>
        <w:rPr>
          <w:rFonts w:hint="default" w:ascii="Times New Roman" w:hAnsi="Times New Roman" w:eastAsia="仿宋_GB2312" w:cs="Times New Roman"/>
          <w:color w:val="auto"/>
          <w:kern w:val="0"/>
          <w:szCs w:val="24"/>
        </w:rPr>
        <w:t>-</w:t>
      </w:r>
      <w:r>
        <w:rPr>
          <w:rFonts w:hint="default" w:ascii="Times New Roman" w:hAnsi="Times New Roman" w:eastAsia="仿宋_GB2312" w:cs="Times New Roman"/>
          <w:color w:val="auto"/>
          <w:kern w:val="0"/>
          <w:szCs w:val="24"/>
          <w:lang w:val="en-US" w:eastAsia="zh-CN"/>
        </w:rPr>
        <w:t>10</w:t>
      </w:r>
      <w:r>
        <w:rPr>
          <w:rFonts w:hint="default" w:ascii="Times New Roman" w:hAnsi="Times New Roman" w:eastAsia="仿宋_GB2312" w:cs="Times New Roman"/>
          <w:color w:val="auto"/>
          <w:kern w:val="0"/>
          <w:szCs w:val="24"/>
        </w:rPr>
        <w:t>月实施</w:t>
      </w:r>
      <w:r>
        <w:rPr>
          <w:rFonts w:hint="default" w:ascii="Times New Roman" w:hAnsi="Times New Roman" w:eastAsia="仿宋_GB2312" w:cs="Times New Roman"/>
          <w:color w:val="auto"/>
          <w:kern w:val="0"/>
          <w:szCs w:val="24"/>
          <w:lang w:val="en-US" w:eastAsia="zh-CN"/>
        </w:rPr>
        <w:t>；</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*1）植物措施：</w:t>
      </w:r>
    </w:p>
    <w:p>
      <w:pPr>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rPr>
        <w:fldChar w:fldCharType="begin"/>
      </w:r>
      <w:r>
        <w:rPr>
          <w:rFonts w:hint="default" w:ascii="Times New Roman" w:hAnsi="Times New Roman" w:eastAsia="仿宋_GB2312" w:cs="Times New Roman"/>
          <w:color w:val="auto"/>
          <w:kern w:val="0"/>
        </w:rPr>
        <w:instrText xml:space="preserve"> = 1 \* GB3 </w:instrText>
      </w:r>
      <w:r>
        <w:rPr>
          <w:rFonts w:hint="default" w:ascii="Times New Roman" w:hAnsi="Times New Roman" w:eastAsia="仿宋_GB2312" w:cs="Times New Roman"/>
          <w:color w:val="auto"/>
          <w:kern w:val="0"/>
        </w:rPr>
        <w:fldChar w:fldCharType="separate"/>
      </w:r>
      <w:r>
        <w:rPr>
          <w:rFonts w:hint="default" w:ascii="Times New Roman" w:hAnsi="Times New Roman" w:cs="Times New Roman"/>
          <w:color w:val="auto"/>
          <w:kern w:val="0"/>
        </w:rPr>
        <w:t>①</w:t>
      </w:r>
      <w:r>
        <w:rPr>
          <w:rFonts w:hint="default" w:ascii="Times New Roman" w:hAnsi="Times New Roman" w:eastAsia="仿宋_GB2312" w:cs="Times New Roman"/>
          <w:color w:val="auto"/>
          <w:kern w:val="0"/>
        </w:rPr>
        <w:fldChar w:fldCharType="end"/>
      </w:r>
      <w:r>
        <w:rPr>
          <w:rFonts w:hint="default" w:ascii="Times New Roman" w:hAnsi="Times New Roman" w:eastAsia="仿宋_GB2312" w:cs="Times New Roman"/>
          <w:color w:val="auto"/>
          <w:kern w:val="0"/>
        </w:rPr>
        <w:t>草坪绿化</w:t>
      </w:r>
      <w:r>
        <w:rPr>
          <w:rFonts w:hint="default" w:ascii="Times New Roman" w:hAnsi="Times New Roman" w:eastAsia="仿宋_GB2312" w:cs="Times New Roman"/>
          <w:color w:val="auto"/>
          <w:kern w:val="0"/>
          <w:szCs w:val="24"/>
        </w:rPr>
        <w:t>300m</w:t>
      </w:r>
      <w:r>
        <w:rPr>
          <w:rFonts w:hint="default" w:ascii="Times New Roman" w:hAnsi="Times New Roman" w:eastAsia="仿宋_GB2312" w:cs="Times New Roman"/>
          <w:color w:val="auto"/>
          <w:kern w:val="0"/>
          <w:szCs w:val="24"/>
          <w:vertAlign w:val="superscript"/>
        </w:rPr>
        <w:t>2</w:t>
      </w:r>
      <w:r>
        <w:rPr>
          <w:rFonts w:hint="default" w:ascii="Times New Roman" w:hAnsi="Times New Roman" w:eastAsia="仿宋_GB2312" w:cs="Times New Roman"/>
          <w:color w:val="auto"/>
          <w:kern w:val="0"/>
          <w:szCs w:val="24"/>
        </w:rPr>
        <w:t>（</w:t>
      </w:r>
      <w:r>
        <w:rPr>
          <w:rFonts w:hint="default" w:ascii="Times New Roman" w:hAnsi="Times New Roman" w:eastAsia="仿宋_GB2312" w:cs="Times New Roman"/>
          <w:color w:val="auto"/>
          <w:kern w:val="0"/>
        </w:rPr>
        <w:t>主体已有，已实施），在建筑北侧实施，草种采用</w:t>
      </w:r>
      <w:r>
        <w:rPr>
          <w:rFonts w:hint="default" w:ascii="Times New Roman" w:hAnsi="Times New Roman" w:eastAsia="仿宋_GB2312" w:cs="Times New Roman"/>
          <w:color w:val="auto"/>
          <w:kern w:val="0"/>
          <w:lang w:eastAsia="zh-CN"/>
        </w:rPr>
        <w:t>披碱草</w:t>
      </w:r>
      <w:r>
        <w:rPr>
          <w:rFonts w:hint="default" w:ascii="Times New Roman" w:hAnsi="Times New Roman" w:eastAsia="仿宋_GB2312" w:cs="Times New Roman"/>
          <w:color w:val="auto"/>
          <w:kern w:val="0"/>
        </w:rPr>
        <w:t>和燕麦草1:1混播</w:t>
      </w:r>
      <w:r>
        <w:rPr>
          <w:rFonts w:hint="default" w:ascii="Times New Roman" w:hAnsi="Times New Roman" w:eastAsia="仿宋_GB2312" w:cs="Times New Roman"/>
          <w:color w:val="auto"/>
          <w:kern w:val="0"/>
          <w:szCs w:val="24"/>
        </w:rPr>
        <w:t>，2017年7-8月实施。</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②</w:t>
      </w:r>
      <w:r>
        <w:rPr>
          <w:rFonts w:hint="default" w:ascii="Times New Roman" w:hAnsi="Times New Roman" w:eastAsia="仿宋_GB2312" w:cs="Times New Roman"/>
          <w:color w:val="auto"/>
          <w:kern w:val="0"/>
          <w:lang w:eastAsia="zh-CN"/>
        </w:rPr>
        <w:t>撒播草籽</w:t>
      </w:r>
      <w:r>
        <w:rPr>
          <w:rFonts w:hint="default" w:ascii="Times New Roman" w:hAnsi="Times New Roman" w:eastAsia="仿宋_GB2312" w:cs="Times New Roman"/>
          <w:color w:val="auto"/>
          <w:kern w:val="0"/>
        </w:rPr>
        <w:t>300m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rPr>
        <w:t>（</w:t>
      </w:r>
      <w:r>
        <w:rPr>
          <w:rFonts w:hint="default" w:ascii="Times New Roman" w:hAnsi="Times New Roman" w:eastAsia="仿宋_GB2312" w:cs="Times New Roman"/>
          <w:color w:val="auto"/>
          <w:kern w:val="0"/>
          <w:szCs w:val="24"/>
        </w:rPr>
        <w:t>（</w:t>
      </w:r>
      <w:r>
        <w:rPr>
          <w:rFonts w:hint="default" w:ascii="Times New Roman" w:hAnsi="Times New Roman" w:eastAsia="仿宋_GB2312" w:cs="Times New Roman"/>
          <w:color w:val="auto"/>
          <w:kern w:val="0"/>
          <w:lang w:eastAsia="zh-CN"/>
        </w:rPr>
        <w:t>水保新增</w:t>
      </w:r>
      <w:r>
        <w:rPr>
          <w:rFonts w:hint="default" w:ascii="Times New Roman" w:hAnsi="Times New Roman" w:eastAsia="仿宋_GB2312" w:cs="Times New Roman"/>
          <w:color w:val="auto"/>
          <w:kern w:val="0"/>
        </w:rPr>
        <w:t>，</w:t>
      </w:r>
      <w:r>
        <w:rPr>
          <w:rFonts w:hint="default" w:ascii="Times New Roman" w:hAnsi="Times New Roman" w:eastAsia="仿宋_GB2312" w:cs="Times New Roman"/>
          <w:color w:val="auto"/>
          <w:kern w:val="0"/>
          <w:lang w:eastAsia="zh-CN"/>
        </w:rPr>
        <w:t>未</w:t>
      </w:r>
      <w:r>
        <w:rPr>
          <w:rFonts w:hint="default" w:ascii="Times New Roman" w:hAnsi="Times New Roman" w:eastAsia="仿宋_GB2312" w:cs="Times New Roman"/>
          <w:color w:val="auto"/>
          <w:kern w:val="0"/>
        </w:rPr>
        <w:t>实施），在建筑北侧实施，草种采用</w:t>
      </w:r>
      <w:r>
        <w:rPr>
          <w:rFonts w:hint="default" w:ascii="Times New Roman" w:hAnsi="Times New Roman" w:eastAsia="仿宋_GB2312" w:cs="Times New Roman"/>
          <w:color w:val="auto"/>
          <w:kern w:val="0"/>
          <w:lang w:eastAsia="zh-CN"/>
        </w:rPr>
        <w:t>披碱草</w:t>
      </w:r>
      <w:r>
        <w:rPr>
          <w:rFonts w:hint="default" w:ascii="Times New Roman" w:hAnsi="Times New Roman" w:eastAsia="仿宋_GB2312" w:cs="Times New Roman"/>
          <w:color w:val="auto"/>
          <w:kern w:val="0"/>
        </w:rPr>
        <w:t>，</w:t>
      </w:r>
      <w:r>
        <w:rPr>
          <w:rFonts w:hint="default" w:ascii="Times New Roman" w:hAnsi="Times New Roman" w:eastAsia="仿宋_GB2312" w:cs="Times New Roman"/>
          <w:color w:val="auto"/>
          <w:kern w:val="0"/>
          <w:lang w:eastAsia="zh-CN"/>
        </w:rPr>
        <w:t>预计</w:t>
      </w:r>
      <w:r>
        <w:rPr>
          <w:rFonts w:hint="default" w:ascii="Times New Roman" w:hAnsi="Times New Roman" w:eastAsia="仿宋_GB2312" w:cs="Times New Roman"/>
          <w:color w:val="auto"/>
          <w:kern w:val="0"/>
        </w:rPr>
        <w:t>20</w:t>
      </w:r>
      <w:r>
        <w:rPr>
          <w:rFonts w:hint="default" w:ascii="Times New Roman" w:hAnsi="Times New Roman" w:eastAsia="仿宋_GB2312" w:cs="Times New Roman"/>
          <w:color w:val="auto"/>
          <w:kern w:val="0"/>
          <w:lang w:val="en-US" w:eastAsia="zh-CN"/>
        </w:rPr>
        <w:t>20</w:t>
      </w:r>
      <w:r>
        <w:rPr>
          <w:rFonts w:hint="default" w:ascii="Times New Roman" w:hAnsi="Times New Roman" w:eastAsia="仿宋_GB2312" w:cs="Times New Roman"/>
          <w:color w:val="auto"/>
          <w:kern w:val="0"/>
        </w:rPr>
        <w:t>年</w:t>
      </w:r>
      <w:r>
        <w:rPr>
          <w:rFonts w:hint="default" w:ascii="Times New Roman" w:hAnsi="Times New Roman" w:eastAsia="仿宋_GB2312" w:cs="Times New Roman"/>
          <w:color w:val="auto"/>
          <w:kern w:val="0"/>
          <w:lang w:val="en-US" w:eastAsia="zh-CN"/>
        </w:rPr>
        <w:t>9</w:t>
      </w:r>
      <w:r>
        <w:rPr>
          <w:rFonts w:hint="default" w:ascii="Times New Roman" w:hAnsi="Times New Roman" w:eastAsia="仿宋_GB2312" w:cs="Times New Roman"/>
          <w:color w:val="auto"/>
          <w:kern w:val="0"/>
        </w:rPr>
        <w:t>-</w:t>
      </w:r>
      <w:r>
        <w:rPr>
          <w:rFonts w:hint="default" w:ascii="Times New Roman" w:hAnsi="Times New Roman" w:eastAsia="仿宋_GB2312" w:cs="Times New Roman"/>
          <w:color w:val="auto"/>
          <w:kern w:val="0"/>
          <w:lang w:val="en-US" w:eastAsia="zh-CN"/>
        </w:rPr>
        <w:t>10</w:t>
      </w:r>
      <w:r>
        <w:rPr>
          <w:rFonts w:hint="default" w:ascii="Times New Roman" w:hAnsi="Times New Roman" w:eastAsia="仿宋_GB2312" w:cs="Times New Roman"/>
          <w:color w:val="auto"/>
          <w:kern w:val="0"/>
        </w:rPr>
        <w:t>月实施。</w:t>
      </w:r>
    </w:p>
    <w:p>
      <w:pPr>
        <w:pStyle w:val="23"/>
        <w:bidi w:val="0"/>
        <w:rPr>
          <w:rFonts w:hint="default" w:ascii="Times New Roman" w:hAnsi="Times New Roman" w:eastAsia="仿宋_GB2312" w:cs="Times New Roman"/>
          <w:color w:val="auto"/>
          <w:kern w:val="0"/>
          <w:sz w:val="24"/>
          <w:szCs w:val="22"/>
          <w:lang w:val="en-US" w:eastAsia="zh-CN" w:bidi="ar-SA"/>
        </w:rPr>
      </w:pPr>
      <w:r>
        <w:rPr>
          <w:rFonts w:hint="default" w:ascii="Times New Roman" w:hAnsi="Times New Roman" w:eastAsia="仿宋_GB2312" w:cs="Times New Roman"/>
          <w:color w:val="auto"/>
          <w:kern w:val="0"/>
          <w:sz w:val="24"/>
          <w:szCs w:val="22"/>
          <w:lang w:val="en-US" w:eastAsia="zh-CN" w:bidi="ar-SA"/>
        </w:rPr>
        <w:t>③抚育管理</w:t>
      </w:r>
      <w:r>
        <w:rPr>
          <w:rFonts w:hint="default" w:ascii="Times New Roman" w:hAnsi="Times New Roman" w:eastAsia="仿宋_GB2312" w:cs="Times New Roman"/>
          <w:color w:val="auto"/>
          <w:kern w:val="0"/>
        </w:rPr>
        <w:t>300m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rPr>
        <w:t>（</w:t>
      </w:r>
      <w:r>
        <w:rPr>
          <w:rFonts w:hint="default" w:ascii="Times New Roman" w:hAnsi="Times New Roman" w:eastAsia="仿宋_GB2312" w:cs="Times New Roman"/>
          <w:color w:val="auto"/>
          <w:kern w:val="0"/>
          <w:szCs w:val="24"/>
        </w:rPr>
        <w:t>（</w:t>
      </w:r>
      <w:r>
        <w:rPr>
          <w:rFonts w:hint="default" w:ascii="Times New Roman" w:hAnsi="Times New Roman" w:eastAsia="仿宋_GB2312" w:cs="Times New Roman"/>
          <w:color w:val="auto"/>
          <w:kern w:val="0"/>
          <w:lang w:eastAsia="zh-CN"/>
        </w:rPr>
        <w:t>水保新增</w:t>
      </w:r>
      <w:r>
        <w:rPr>
          <w:rFonts w:hint="default" w:ascii="Times New Roman" w:hAnsi="Times New Roman" w:eastAsia="仿宋_GB2312" w:cs="Times New Roman"/>
          <w:color w:val="auto"/>
          <w:kern w:val="0"/>
        </w:rPr>
        <w:t>，</w:t>
      </w:r>
      <w:r>
        <w:rPr>
          <w:rFonts w:hint="default" w:ascii="Times New Roman" w:hAnsi="Times New Roman" w:eastAsia="仿宋_GB2312" w:cs="Times New Roman"/>
          <w:color w:val="auto"/>
          <w:kern w:val="0"/>
          <w:lang w:eastAsia="zh-CN"/>
        </w:rPr>
        <w:t>未</w:t>
      </w:r>
      <w:r>
        <w:rPr>
          <w:rFonts w:hint="default" w:ascii="Times New Roman" w:hAnsi="Times New Roman" w:eastAsia="仿宋_GB2312" w:cs="Times New Roman"/>
          <w:color w:val="auto"/>
          <w:kern w:val="0"/>
        </w:rPr>
        <w:t>实施），在建筑北侧</w:t>
      </w:r>
      <w:r>
        <w:rPr>
          <w:rFonts w:hint="default" w:ascii="Times New Roman" w:hAnsi="Times New Roman" w:eastAsia="仿宋_GB2312" w:cs="Times New Roman"/>
          <w:color w:val="auto"/>
          <w:kern w:val="0"/>
          <w:lang w:eastAsia="zh-CN"/>
        </w:rPr>
        <w:t>绿地内</w:t>
      </w:r>
      <w:r>
        <w:rPr>
          <w:rFonts w:hint="default" w:ascii="Times New Roman" w:hAnsi="Times New Roman" w:eastAsia="仿宋_GB2312" w:cs="Times New Roman"/>
          <w:color w:val="auto"/>
          <w:kern w:val="0"/>
        </w:rPr>
        <w:t>实施，</w:t>
      </w:r>
      <w:r>
        <w:rPr>
          <w:rFonts w:hint="default" w:ascii="Times New Roman" w:hAnsi="Times New Roman" w:eastAsia="仿宋_GB2312" w:cs="Times New Roman"/>
          <w:color w:val="auto"/>
          <w:kern w:val="0"/>
          <w:lang w:eastAsia="zh-CN"/>
        </w:rPr>
        <w:t>预计</w:t>
      </w:r>
      <w:r>
        <w:rPr>
          <w:rFonts w:hint="default" w:ascii="Times New Roman" w:hAnsi="Times New Roman" w:eastAsia="仿宋_GB2312" w:cs="Times New Roman"/>
          <w:color w:val="auto"/>
          <w:kern w:val="0"/>
        </w:rPr>
        <w:t>20</w:t>
      </w:r>
      <w:r>
        <w:rPr>
          <w:rFonts w:hint="default" w:ascii="Times New Roman" w:hAnsi="Times New Roman" w:eastAsia="仿宋_GB2312" w:cs="Times New Roman"/>
          <w:color w:val="auto"/>
          <w:kern w:val="0"/>
          <w:lang w:val="en-US" w:eastAsia="zh-CN"/>
        </w:rPr>
        <w:t>20</w:t>
      </w:r>
      <w:r>
        <w:rPr>
          <w:rFonts w:hint="default" w:ascii="Times New Roman" w:hAnsi="Times New Roman" w:eastAsia="仿宋_GB2312" w:cs="Times New Roman"/>
          <w:color w:val="auto"/>
          <w:kern w:val="0"/>
        </w:rPr>
        <w:t>年</w:t>
      </w:r>
      <w:r>
        <w:rPr>
          <w:rFonts w:hint="default" w:ascii="Times New Roman" w:hAnsi="Times New Roman" w:eastAsia="仿宋_GB2312" w:cs="Times New Roman"/>
          <w:color w:val="auto"/>
          <w:kern w:val="0"/>
          <w:lang w:val="en-US" w:eastAsia="zh-CN"/>
        </w:rPr>
        <w:t>10-12</w:t>
      </w:r>
      <w:r>
        <w:rPr>
          <w:rFonts w:hint="default" w:ascii="Times New Roman" w:hAnsi="Times New Roman" w:eastAsia="仿宋_GB2312" w:cs="Times New Roman"/>
          <w:color w:val="auto"/>
          <w:kern w:val="0"/>
        </w:rPr>
        <w:t>月实施</w:t>
      </w:r>
      <w:r>
        <w:rPr>
          <w:rFonts w:hint="default" w:ascii="Times New Roman" w:hAnsi="Times New Roman" w:eastAsia="仿宋_GB2312" w:cs="Times New Roman"/>
          <w:color w:val="auto"/>
          <w:kern w:val="0"/>
          <w:lang w:val="en-US" w:eastAsia="zh-CN"/>
        </w:rPr>
        <w:t>。</w:t>
      </w:r>
    </w:p>
    <w:p>
      <w:pPr>
        <w:pStyle w:val="4"/>
        <w:suppressAutoHyphens/>
        <w:spacing w:before="156" w:beforeLines="50" w:after="156" w:afterLines="50"/>
        <w:rPr>
          <w:rFonts w:hint="default" w:ascii="Times New Roman" w:hAnsi="Times New Roman" w:cs="Times New Roman"/>
          <w:color w:val="auto"/>
          <w:kern w:val="0"/>
        </w:rPr>
      </w:pPr>
      <w:bookmarkStart w:id="35" w:name="_Toc47879783"/>
      <w:r>
        <w:rPr>
          <w:rFonts w:hint="default" w:ascii="Times New Roman" w:hAnsi="Times New Roman" w:cs="Times New Roman"/>
          <w:color w:val="auto"/>
          <w:kern w:val="0"/>
        </w:rPr>
        <w:t>1.9水土保持投资及效益分析成果</w:t>
      </w:r>
      <w:bookmarkEnd w:id="35"/>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本项目水土保持工程总投资</w:t>
      </w:r>
      <w:r>
        <w:rPr>
          <w:rFonts w:hint="default" w:ascii="Times New Roman" w:hAnsi="Times New Roman" w:eastAsia="仿宋_GB2312" w:cs="Times New Roman"/>
          <w:color w:val="auto"/>
          <w:szCs w:val="24"/>
          <w:lang w:eastAsia="zh-CN"/>
        </w:rPr>
        <w:t>13.52</w:t>
      </w:r>
      <w:r>
        <w:rPr>
          <w:rFonts w:hint="default" w:ascii="Times New Roman" w:hAnsi="Times New Roman" w:eastAsia="仿宋_GB2312" w:cs="Times New Roman"/>
          <w:color w:val="auto"/>
          <w:szCs w:val="24"/>
        </w:rPr>
        <w:t>万元（主体工程已有水保措施投资5.35万元，方案新增水土保持投资</w:t>
      </w:r>
      <w:r>
        <w:rPr>
          <w:rFonts w:hint="default" w:ascii="Times New Roman" w:hAnsi="Times New Roman" w:eastAsia="仿宋_GB2312" w:cs="Times New Roman"/>
          <w:color w:val="auto"/>
          <w:szCs w:val="24"/>
          <w:lang w:val="en-US" w:eastAsia="zh-CN"/>
        </w:rPr>
        <w:t>8.17</w:t>
      </w:r>
      <w:r>
        <w:rPr>
          <w:rFonts w:hint="default" w:ascii="Times New Roman" w:hAnsi="Times New Roman" w:eastAsia="仿宋_GB2312" w:cs="Times New Roman"/>
          <w:color w:val="auto"/>
          <w:szCs w:val="24"/>
        </w:rPr>
        <w:t>万元），其中工程措施费</w:t>
      </w:r>
      <w:r>
        <w:rPr>
          <w:rFonts w:hint="default" w:ascii="Times New Roman" w:hAnsi="Times New Roman" w:eastAsia="仿宋_GB2312" w:cs="Times New Roman"/>
          <w:color w:val="auto"/>
          <w:szCs w:val="24"/>
          <w:lang w:val="en-US" w:eastAsia="zh-CN"/>
        </w:rPr>
        <w:t>4.03</w:t>
      </w:r>
      <w:r>
        <w:rPr>
          <w:rFonts w:hint="default" w:ascii="Times New Roman" w:hAnsi="Times New Roman" w:eastAsia="仿宋_GB2312" w:cs="Times New Roman"/>
          <w:color w:val="auto"/>
          <w:szCs w:val="24"/>
        </w:rPr>
        <w:t>万元，植物措施费0.</w:t>
      </w:r>
      <w:r>
        <w:rPr>
          <w:rFonts w:hint="default" w:ascii="Times New Roman" w:hAnsi="Times New Roman" w:eastAsia="仿宋_GB2312" w:cs="Times New Roman"/>
          <w:color w:val="auto"/>
          <w:szCs w:val="24"/>
          <w:lang w:val="en-US" w:eastAsia="zh-CN"/>
        </w:rPr>
        <w:t>90</w:t>
      </w:r>
      <w:r>
        <w:rPr>
          <w:rFonts w:hint="default" w:ascii="Times New Roman" w:hAnsi="Times New Roman" w:eastAsia="仿宋_GB2312" w:cs="Times New Roman"/>
          <w:color w:val="auto"/>
          <w:szCs w:val="24"/>
        </w:rPr>
        <w:t>万元，监测措施费2.00万元，临时措施费0.</w:t>
      </w:r>
      <w:r>
        <w:rPr>
          <w:rFonts w:hint="default" w:ascii="Times New Roman" w:hAnsi="Times New Roman" w:eastAsia="仿宋_GB2312" w:cs="Times New Roman"/>
          <w:color w:val="auto"/>
          <w:szCs w:val="24"/>
          <w:lang w:val="en-US" w:eastAsia="zh-CN"/>
        </w:rPr>
        <w:t>64</w:t>
      </w:r>
      <w:r>
        <w:rPr>
          <w:rFonts w:hint="default" w:ascii="Times New Roman" w:hAnsi="Times New Roman" w:eastAsia="仿宋_GB2312" w:cs="Times New Roman"/>
          <w:color w:val="auto"/>
          <w:szCs w:val="24"/>
        </w:rPr>
        <w:t>万元，独立费用5.15万元，基本预备费0.</w:t>
      </w:r>
      <w:r>
        <w:rPr>
          <w:rFonts w:hint="default" w:ascii="Times New Roman" w:hAnsi="Times New Roman" w:eastAsia="仿宋_GB2312" w:cs="Times New Roman"/>
          <w:color w:val="auto"/>
          <w:szCs w:val="24"/>
          <w:lang w:val="en-US" w:eastAsia="zh-CN"/>
        </w:rPr>
        <w:t>64</w:t>
      </w:r>
      <w:r>
        <w:rPr>
          <w:rFonts w:hint="default" w:ascii="Times New Roman" w:hAnsi="Times New Roman" w:eastAsia="仿宋_GB2312" w:cs="Times New Roman"/>
          <w:color w:val="auto"/>
          <w:szCs w:val="24"/>
        </w:rPr>
        <w:t>万元，水土保持补偿费0.16万元。</w:t>
      </w:r>
    </w:p>
    <w:p>
      <w:pPr>
        <w:suppressAutoHyphens/>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至设计水平年，落实相关水保措施后，水土流失治理度100.0%（目标值85%）、土壤流失控制比1.08（目标值1.0）、渣土防护率96.5%（目标值87%）、表土保护率（项目区无表土可剥离，该值不计列），林草植被恢复率100.0%（目标值95%）、林草覆盖率25.0%（目标值18%）；水土流失防治指标均能够满足水保方案提出的目标值。</w:t>
      </w:r>
    </w:p>
    <w:p>
      <w:pPr>
        <w:suppressAutoHyphens/>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水土保持方案实施后，水土流失治理面积0.12hm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rPr>
        <w:t>，林草植被建设面积0.03hm</w:t>
      </w:r>
      <w:r>
        <w:rPr>
          <w:rFonts w:hint="default" w:ascii="Times New Roman" w:hAnsi="Times New Roman" w:eastAsia="仿宋_GB2312" w:cs="Times New Roman"/>
          <w:color w:val="auto"/>
          <w:kern w:val="0"/>
          <w:vertAlign w:val="superscript"/>
        </w:rPr>
        <w:t>2</w:t>
      </w:r>
      <w:r>
        <w:rPr>
          <w:rFonts w:hint="default" w:ascii="Times New Roman" w:hAnsi="Times New Roman" w:cs="Times New Roman"/>
          <w:color w:val="auto"/>
        </w:rPr>
        <w:t>，</w:t>
      </w:r>
      <w:r>
        <w:rPr>
          <w:rFonts w:hint="default" w:ascii="Times New Roman" w:hAnsi="Times New Roman" w:eastAsia="仿宋_GB2312" w:cs="Times New Roman"/>
          <w:color w:val="auto"/>
          <w:kern w:val="0"/>
        </w:rPr>
        <w:t>可减少土壤流失量1.3t。</w:t>
      </w:r>
    </w:p>
    <w:p>
      <w:pPr>
        <w:pStyle w:val="4"/>
        <w:suppressAutoHyphens/>
        <w:spacing w:before="156" w:beforeLines="50" w:after="156" w:afterLines="50"/>
        <w:rPr>
          <w:rFonts w:hint="default" w:ascii="Times New Roman" w:hAnsi="Times New Roman" w:cs="Times New Roman"/>
          <w:color w:val="auto"/>
          <w:kern w:val="0"/>
        </w:rPr>
      </w:pPr>
      <w:bookmarkStart w:id="36" w:name="_Toc47879784"/>
      <w:bookmarkStart w:id="37" w:name="_Toc336086568"/>
      <w:r>
        <w:rPr>
          <w:rFonts w:hint="default" w:ascii="Times New Roman" w:hAnsi="Times New Roman" w:cs="Times New Roman"/>
          <w:color w:val="auto"/>
          <w:kern w:val="0"/>
        </w:rPr>
        <w:t>1.10结论</w:t>
      </w:r>
      <w:bookmarkEnd w:id="36"/>
    </w:p>
    <w:p>
      <w:pPr>
        <w:pStyle w:val="1102"/>
        <w:rPr>
          <w:rFonts w:hint="default" w:ascii="Times New Roman" w:hAnsi="Times New Roman" w:cs="Times New Roman"/>
          <w:color w:val="auto"/>
        </w:rPr>
      </w:pPr>
      <w:r>
        <w:rPr>
          <w:rFonts w:hint="default" w:ascii="Times New Roman" w:hAnsi="Times New Roman" w:cs="Times New Roman"/>
          <w:color w:val="auto"/>
        </w:rPr>
        <w:t>项目建设不涉及河流两岸、湖泊和水库周边的植物保护带等水土保持敏感区。主体工程选址无法避开</w:t>
      </w:r>
      <w:r>
        <w:rPr>
          <w:rFonts w:hint="default" w:ascii="Times New Roman" w:hAnsi="Times New Roman" w:cs="Times New Roman"/>
          <w:color w:val="auto"/>
          <w:kern w:val="0"/>
        </w:rPr>
        <w:t>金沙江岷江上游及三江并流国家级水土流失重点预防区，不涉及其他</w:t>
      </w:r>
      <w:r>
        <w:rPr>
          <w:rFonts w:hint="default" w:ascii="Times New Roman" w:hAnsi="Times New Roman" w:cs="Times New Roman"/>
          <w:color w:val="auto"/>
        </w:rPr>
        <w:t>水土保持制约因素。</w:t>
      </w:r>
      <w:r>
        <w:rPr>
          <w:rFonts w:hint="default" w:ascii="Times New Roman" w:hAnsi="Times New Roman" w:cs="Times New Roman"/>
          <w:color w:val="auto"/>
          <w:kern w:val="0"/>
        </w:rPr>
        <w:t>主体工程设置的临建设施在满足施工要求的前提下，布置项目用地红线内，没有扰动红线外的土地；主体工程施工方法、施工组织设计等建设方案满足水土保持相关要求。</w:t>
      </w:r>
    </w:p>
    <w:p>
      <w:pPr>
        <w:pStyle w:val="1102"/>
        <w:rPr>
          <w:rFonts w:hint="default" w:ascii="Times New Roman" w:hAnsi="Times New Roman" w:cs="Times New Roman"/>
          <w:color w:val="auto"/>
        </w:rPr>
      </w:pPr>
      <w:r>
        <w:rPr>
          <w:rFonts w:hint="default" w:ascii="Times New Roman" w:hAnsi="Times New Roman" w:cs="Times New Roman"/>
          <w:color w:val="auto"/>
        </w:rPr>
        <w:t>总体而言，从水土保持角度来看，项目选址、建设方案、水土流失防治措施等符合水土保持法律法规、技术标准的规定。</w:t>
      </w:r>
    </w:p>
    <w:p>
      <w:pPr>
        <w:pStyle w:val="1102"/>
        <w:rPr>
          <w:rFonts w:hint="default" w:ascii="Times New Roman" w:hAnsi="Times New Roman" w:cs="Times New Roman"/>
          <w:color w:val="auto"/>
        </w:rPr>
      </w:pPr>
      <w:r>
        <w:rPr>
          <w:rFonts w:hint="default" w:ascii="Times New Roman" w:hAnsi="Times New Roman" w:cs="Times New Roman"/>
          <w:color w:val="auto"/>
        </w:rPr>
        <w:t>从水土保持角度，方案提出如下要求：</w:t>
      </w:r>
    </w:p>
    <w:p>
      <w:pPr>
        <w:pStyle w:val="1102"/>
        <w:rPr>
          <w:rFonts w:hint="default" w:ascii="Times New Roman" w:hAnsi="Times New Roman" w:cs="Times New Roman"/>
          <w:color w:val="auto"/>
        </w:rPr>
      </w:pPr>
      <w:bookmarkStart w:id="38" w:name="_Toc314579936"/>
      <w:r>
        <w:rPr>
          <w:rFonts w:hint="default" w:ascii="Times New Roman" w:hAnsi="Times New Roman" w:cs="Times New Roman"/>
          <w:color w:val="auto"/>
        </w:rPr>
        <w:t>（1）对水土保持工程监理的</w:t>
      </w:r>
      <w:bookmarkEnd w:id="38"/>
      <w:r>
        <w:rPr>
          <w:rFonts w:hint="default" w:ascii="Times New Roman" w:hAnsi="Times New Roman" w:cs="Times New Roman"/>
          <w:color w:val="auto"/>
        </w:rPr>
        <w:t>要求</w:t>
      </w:r>
    </w:p>
    <w:p>
      <w:pPr>
        <w:pStyle w:val="1102"/>
        <w:rPr>
          <w:rFonts w:hint="default" w:ascii="Times New Roman" w:hAnsi="Times New Roman" w:cs="Times New Roman"/>
          <w:color w:val="auto"/>
        </w:rPr>
      </w:pPr>
      <w:bookmarkStart w:id="39" w:name="_Toc314579937"/>
      <w:r>
        <w:rPr>
          <w:rFonts w:hint="default" w:ascii="Times New Roman" w:hAnsi="Times New Roman" w:cs="Times New Roman"/>
          <w:color w:val="auto"/>
        </w:rPr>
        <w:t>根据水利部文件《水利部关于进一步深化“放管服”改革全面加强水土保持监管的意见》（水保〔2019〕160号），凡主体工程开展监理工作的项目，应当按照水土保持监理标准和规范开展水土保持施工监理。其中，征占地面积在20公顷以上或者挖填土石方总量在20万立方米以上的项目，应当配备具有水土保持专业监理资格的工程师；征占地面积在200公顷以上或者挖填土石方总量在200万立方米以上的项目，应当由具有水土保持监理专业资质的单位承担监理任务。</w:t>
      </w:r>
    </w:p>
    <w:bookmarkEnd w:id="39"/>
    <w:p>
      <w:pPr>
        <w:pStyle w:val="1102"/>
        <w:rPr>
          <w:rFonts w:hint="default" w:ascii="Times New Roman" w:hAnsi="Times New Roman" w:cs="Times New Roman"/>
          <w:color w:val="auto"/>
        </w:rPr>
      </w:pPr>
      <w:r>
        <w:rPr>
          <w:rFonts w:hint="default" w:ascii="Times New Roman" w:hAnsi="Times New Roman" w:cs="Times New Roman"/>
          <w:color w:val="auto"/>
        </w:rPr>
        <w:t>本项目总占地面积0.12hm</w:t>
      </w:r>
      <w:r>
        <w:rPr>
          <w:rFonts w:hint="default" w:ascii="Times New Roman" w:hAnsi="Times New Roman" w:cs="Times New Roman"/>
          <w:color w:val="auto"/>
          <w:vertAlign w:val="superscript"/>
        </w:rPr>
        <w:t>2</w:t>
      </w:r>
      <w:r>
        <w:rPr>
          <w:rFonts w:hint="default" w:ascii="Times New Roman" w:hAnsi="Times New Roman" w:cs="Times New Roman"/>
          <w:color w:val="auto"/>
        </w:rPr>
        <w:t>，挖填方总量0.22万m</w:t>
      </w:r>
      <w:r>
        <w:rPr>
          <w:rFonts w:hint="default" w:ascii="Times New Roman" w:hAnsi="Times New Roman" w:cs="Times New Roman"/>
          <w:color w:val="auto"/>
          <w:vertAlign w:val="superscript"/>
        </w:rPr>
        <w:t>3</w:t>
      </w:r>
      <w:r>
        <w:rPr>
          <w:rFonts w:hint="default" w:ascii="Times New Roman" w:hAnsi="Times New Roman" w:cs="Times New Roman"/>
          <w:color w:val="auto"/>
        </w:rPr>
        <w:t>，项目占地面积、土石方挖填总量未达到上述规定；水土保持监理由主体工程监理四川思诚工程项目管理有限公司一并负责、实施。</w:t>
      </w:r>
    </w:p>
    <w:p>
      <w:pPr>
        <w:pStyle w:val="1102"/>
        <w:rPr>
          <w:rFonts w:hint="default" w:ascii="Times New Roman" w:hAnsi="Times New Roman" w:cs="Times New Roman"/>
          <w:color w:val="auto"/>
        </w:rPr>
      </w:pPr>
      <w:r>
        <w:rPr>
          <w:rFonts w:hint="default" w:ascii="Times New Roman" w:hAnsi="Times New Roman" w:cs="Times New Roman"/>
          <w:color w:val="auto"/>
        </w:rPr>
        <w:t>（2）对建设单位相关管理工作的建议</w:t>
      </w:r>
    </w:p>
    <w:p>
      <w:pPr>
        <w:pStyle w:val="1102"/>
        <w:rPr>
          <w:rFonts w:hint="default" w:ascii="Times New Roman" w:hAnsi="Times New Roman" w:cs="Times New Roman"/>
          <w:color w:val="auto"/>
        </w:rPr>
      </w:pPr>
      <w:r>
        <w:rPr>
          <w:rFonts w:hint="default" w:ascii="Times New Roman" w:hAnsi="Times New Roman" w:cs="Times New Roman"/>
          <w:color w:val="auto"/>
        </w:rPr>
        <w:t>水土保持方案经水行政管理部门批复后，如有重大变更则按规定程序另行编制水土保持方案。水利部办公厅文件《水利部办公厅关于印发生产建设项目水土保持监督管理办法的通知》（办水保〔2019〕172号）、《四川省水利厅转发水利部关于加强事中事后监管规范生产建设项目水土保持设施自主验收的通知》（川水函〔2018〕887号），生产建设是生产建设项目水土保护设施验收的责任主体，自主开展水土保持设施验收，完成报备并取得报备回执。</w:t>
      </w:r>
    </w:p>
    <w:p>
      <w:pPr>
        <w:ind w:firstLine="199" w:firstLineChars="83"/>
        <w:rPr>
          <w:rFonts w:hint="default" w:ascii="Times New Roman" w:hAnsi="Times New Roman" w:cs="Times New Roman"/>
          <w:color w:val="auto"/>
        </w:rPr>
        <w:sectPr>
          <w:headerReference r:id="rId10" w:type="default"/>
          <w:footerReference r:id="rId11" w:type="default"/>
          <w:pgSz w:w="11906" w:h="16838"/>
          <w:pgMar w:top="1440" w:right="1797" w:bottom="1440" w:left="1797"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pStyle w:val="3"/>
        <w:rPr>
          <w:rFonts w:hint="default" w:ascii="Times New Roman" w:hAnsi="Times New Roman" w:cs="Times New Roman"/>
          <w:color w:val="auto"/>
          <w:kern w:val="0"/>
        </w:rPr>
      </w:pPr>
      <w:bookmarkStart w:id="40" w:name="_Toc47879785"/>
      <w:r>
        <w:rPr>
          <w:rFonts w:hint="default" w:ascii="Times New Roman" w:hAnsi="Times New Roman" w:cs="Times New Roman"/>
          <w:color w:val="auto"/>
          <w:kern w:val="0"/>
        </w:rPr>
        <w:t>2项目概况</w:t>
      </w:r>
      <w:bookmarkEnd w:id="37"/>
      <w:bookmarkEnd w:id="40"/>
    </w:p>
    <w:p>
      <w:pPr>
        <w:pStyle w:val="4"/>
        <w:suppressAutoHyphens/>
        <w:spacing w:before="156" w:beforeLines="50" w:after="156" w:afterLines="50"/>
        <w:rPr>
          <w:rFonts w:hint="default" w:ascii="Times New Roman" w:hAnsi="Times New Roman" w:cs="Times New Roman"/>
          <w:color w:val="auto"/>
          <w:kern w:val="0"/>
        </w:rPr>
      </w:pPr>
      <w:bookmarkStart w:id="41" w:name="_Toc336086569"/>
      <w:bookmarkStart w:id="42" w:name="_Toc47879786"/>
      <w:r>
        <w:rPr>
          <w:rFonts w:hint="default" w:ascii="Times New Roman" w:hAnsi="Times New Roman" w:cs="Times New Roman"/>
          <w:color w:val="auto"/>
          <w:kern w:val="0"/>
        </w:rPr>
        <w:t>2.1 项目</w:t>
      </w:r>
      <w:bookmarkEnd w:id="41"/>
      <w:r>
        <w:rPr>
          <w:rFonts w:hint="default" w:ascii="Times New Roman" w:hAnsi="Times New Roman" w:cs="Times New Roman"/>
          <w:color w:val="auto"/>
          <w:kern w:val="0"/>
        </w:rPr>
        <w:t>组成及工程布置</w:t>
      </w:r>
      <w:bookmarkEnd w:id="42"/>
    </w:p>
    <w:p>
      <w:pPr>
        <w:pStyle w:val="5"/>
        <w:spacing w:before="156" w:beforeLines="50"/>
        <w:rPr>
          <w:rFonts w:hint="default" w:ascii="Times New Roman" w:hAnsi="Times New Roman" w:cs="Times New Roman"/>
          <w:color w:val="auto"/>
        </w:rPr>
      </w:pPr>
      <w:bookmarkStart w:id="43" w:name="_Toc336086575"/>
      <w:r>
        <w:rPr>
          <w:rFonts w:hint="default" w:ascii="Times New Roman" w:hAnsi="Times New Roman" w:cs="Times New Roman"/>
          <w:color w:val="auto"/>
        </w:rPr>
        <w:t>2.1.1 工程特性</w:t>
      </w:r>
    </w:p>
    <w:p>
      <w:pPr>
        <w:pStyle w:val="1102"/>
        <w:rPr>
          <w:rFonts w:hint="default" w:ascii="Times New Roman" w:hAnsi="Times New Roman" w:cs="Times New Roman"/>
          <w:color w:val="auto"/>
        </w:rPr>
      </w:pPr>
      <w:r>
        <w:rPr>
          <w:rFonts w:hint="default" w:ascii="Times New Roman" w:hAnsi="Times New Roman" w:cs="Times New Roman"/>
          <w:color w:val="auto"/>
        </w:rPr>
        <w:t>项目名称：红原县2016年薄弱学校改造和学前教育（邛溪镇易地育人寄宿制学校）建设项目</w:t>
      </w:r>
    </w:p>
    <w:p>
      <w:pPr>
        <w:pStyle w:val="1102"/>
        <w:rPr>
          <w:rFonts w:hint="default" w:ascii="Times New Roman" w:hAnsi="Times New Roman" w:cs="Times New Roman"/>
          <w:color w:val="auto"/>
        </w:rPr>
      </w:pPr>
      <w:r>
        <w:rPr>
          <w:rFonts w:hint="default" w:ascii="Times New Roman" w:hAnsi="Times New Roman" w:cs="Times New Roman"/>
          <w:color w:val="auto"/>
        </w:rPr>
        <w:t>建设单位：红原县教育局</w:t>
      </w:r>
    </w:p>
    <w:p>
      <w:pPr>
        <w:pStyle w:val="1102"/>
        <w:rPr>
          <w:rFonts w:hint="default" w:ascii="Times New Roman" w:hAnsi="Times New Roman" w:cs="Times New Roman"/>
          <w:color w:val="auto"/>
        </w:rPr>
      </w:pPr>
      <w:r>
        <w:rPr>
          <w:rFonts w:hint="default" w:ascii="Times New Roman" w:hAnsi="Times New Roman" w:cs="Times New Roman"/>
          <w:color w:val="auto"/>
        </w:rPr>
        <w:t>建设地点：四川省阿坝藏族羌族自治州红原县邛溪镇易地育人寄宿制学校校内</w:t>
      </w:r>
    </w:p>
    <w:p>
      <w:pPr>
        <w:pStyle w:val="1102"/>
        <w:rPr>
          <w:rFonts w:hint="default" w:ascii="Times New Roman" w:hAnsi="Times New Roman" w:cs="Times New Roman"/>
          <w:color w:val="auto"/>
        </w:rPr>
      </w:pPr>
      <w:r>
        <w:rPr>
          <w:rFonts w:hint="default" w:ascii="Times New Roman" w:hAnsi="Times New Roman" w:cs="Times New Roman"/>
          <w:color w:val="auto"/>
        </w:rPr>
        <w:t>建设性质：新建，建设类项目</w:t>
      </w:r>
    </w:p>
    <w:p>
      <w:pPr>
        <w:pStyle w:val="1102"/>
        <w:rPr>
          <w:rFonts w:hint="default" w:ascii="Times New Roman" w:hAnsi="Times New Roman" w:cs="Times New Roman"/>
          <w:color w:val="auto"/>
        </w:rPr>
      </w:pPr>
      <w:r>
        <w:rPr>
          <w:rFonts w:hint="default" w:ascii="Times New Roman" w:hAnsi="Times New Roman" w:cs="Times New Roman"/>
          <w:color w:val="auto"/>
        </w:rPr>
        <w:t>所属流域：黄河流域</w:t>
      </w:r>
    </w:p>
    <w:p>
      <w:pPr>
        <w:pStyle w:val="1102"/>
        <w:rPr>
          <w:rFonts w:hint="default" w:ascii="Times New Roman" w:hAnsi="Times New Roman" w:cs="Times New Roman"/>
          <w:bCs/>
          <w:color w:val="auto"/>
        </w:rPr>
      </w:pPr>
      <w:r>
        <w:rPr>
          <w:rFonts w:hint="default" w:ascii="Times New Roman" w:hAnsi="Times New Roman" w:cs="Times New Roman"/>
          <w:color w:val="auto"/>
        </w:rPr>
        <w:t>工程占地：项目总占地面积0.12hm</w:t>
      </w:r>
      <w:r>
        <w:rPr>
          <w:rFonts w:hint="default" w:ascii="Times New Roman" w:hAnsi="Times New Roman" w:cs="Times New Roman"/>
          <w:color w:val="auto"/>
          <w:vertAlign w:val="superscript"/>
        </w:rPr>
        <w:t>2</w:t>
      </w:r>
      <w:r>
        <w:rPr>
          <w:rFonts w:hint="default" w:ascii="Times New Roman" w:hAnsi="Times New Roman" w:cs="Times New Roman"/>
          <w:color w:val="auto"/>
        </w:rPr>
        <w:t>，均为永久占地；占地类型为公共管理与公共服务用地。</w:t>
      </w:r>
    </w:p>
    <w:p>
      <w:pPr>
        <w:pStyle w:val="1102"/>
        <w:rPr>
          <w:rFonts w:hint="default" w:ascii="Times New Roman" w:hAnsi="Times New Roman" w:cs="Times New Roman"/>
          <w:color w:val="auto"/>
        </w:rPr>
      </w:pPr>
      <w:r>
        <w:rPr>
          <w:rFonts w:hint="default" w:ascii="Times New Roman" w:hAnsi="Times New Roman" w:cs="Times New Roman"/>
          <w:color w:val="auto"/>
        </w:rPr>
        <w:t>建设规模：项目净用地面积1200m</w:t>
      </w:r>
      <w:r>
        <w:rPr>
          <w:rFonts w:hint="default" w:ascii="Times New Roman" w:hAnsi="Times New Roman" w:cs="Times New Roman"/>
          <w:color w:val="auto"/>
          <w:vertAlign w:val="superscript"/>
        </w:rPr>
        <w:t>2</w:t>
      </w:r>
      <w:r>
        <w:rPr>
          <w:rFonts w:hint="default" w:ascii="Times New Roman" w:hAnsi="Times New Roman" w:cs="Times New Roman"/>
          <w:color w:val="auto"/>
        </w:rPr>
        <w:t>，总建筑面积</w:t>
      </w:r>
      <w:r>
        <w:rPr>
          <w:rFonts w:hint="default" w:ascii="Times New Roman" w:hAnsi="Times New Roman" w:cs="Times New Roman"/>
          <w:bCs/>
          <w:color w:val="auto"/>
        </w:rPr>
        <w:t>2352.68</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；建筑基底面积593.88m</w:t>
      </w:r>
      <w:r>
        <w:rPr>
          <w:rFonts w:hint="default" w:ascii="Times New Roman" w:hAnsi="Times New Roman" w:cs="Times New Roman"/>
          <w:color w:val="auto"/>
          <w:vertAlign w:val="superscript"/>
        </w:rPr>
        <w:t>2</w:t>
      </w:r>
      <w:r>
        <w:rPr>
          <w:rFonts w:hint="default" w:ascii="Times New Roman" w:hAnsi="Times New Roman" w:cs="Times New Roman"/>
          <w:color w:val="auto"/>
        </w:rPr>
        <w:t>，容积率1.96，建筑密度49.49%。</w:t>
      </w:r>
    </w:p>
    <w:p>
      <w:pPr>
        <w:pStyle w:val="1102"/>
        <w:rPr>
          <w:rFonts w:hint="default" w:ascii="Times New Roman" w:hAnsi="Times New Roman" w:cs="Times New Roman"/>
          <w:color w:val="auto"/>
        </w:rPr>
      </w:pPr>
      <w:r>
        <w:rPr>
          <w:rFonts w:hint="default" w:ascii="Times New Roman" w:hAnsi="Times New Roman" w:cs="Times New Roman"/>
          <w:color w:val="auto"/>
        </w:rPr>
        <w:t>建设内容：建筑工程（教学综合楼）；道路硬化工程；草坪绿化；附属工程（给水系统、排水系统、供配电系统）。</w:t>
      </w:r>
    </w:p>
    <w:p>
      <w:pPr>
        <w:pStyle w:val="1102"/>
        <w:rPr>
          <w:rFonts w:hint="default" w:ascii="Times New Roman" w:hAnsi="Times New Roman" w:cs="Times New Roman"/>
          <w:color w:val="auto"/>
        </w:rPr>
      </w:pPr>
      <w:r>
        <w:rPr>
          <w:rFonts w:hint="default" w:ascii="Times New Roman" w:hAnsi="Times New Roman" w:cs="Times New Roman"/>
          <w:color w:val="auto"/>
        </w:rPr>
        <w:t>工期安排：已于2016年11月动工，2017年11月完工，工期13个月。</w:t>
      </w:r>
    </w:p>
    <w:p>
      <w:pPr>
        <w:ind w:firstLine="480"/>
        <w:rPr>
          <w:rFonts w:hint="default" w:ascii="Times New Roman" w:hAnsi="Times New Roman" w:eastAsia="仿宋_GB2312" w:cs="Times New Roman"/>
          <w:color w:val="auto"/>
        </w:rPr>
      </w:pPr>
      <w:bookmarkStart w:id="44" w:name="OLE_LINK4"/>
      <w:r>
        <w:rPr>
          <w:rFonts w:hint="default" w:ascii="Times New Roman" w:hAnsi="Times New Roman" w:eastAsia="仿宋_GB2312" w:cs="Times New Roman"/>
          <w:color w:val="auto"/>
        </w:rPr>
        <w:t>工程总投资：总投资693万元，其中土建费用485万元，资金来源：2015年学前教育和2016年薄弱学校改造专项资金。</w:t>
      </w:r>
    </w:p>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工程特性及主要技术指标见表2-1。</w:t>
      </w:r>
    </w:p>
    <w:p>
      <w:pPr>
        <w:autoSpaceDE w:val="0"/>
        <w:autoSpaceDN w:val="0"/>
        <w:adjustRightInd w:val="0"/>
        <w:ind w:firstLine="480"/>
        <w:rPr>
          <w:rFonts w:hint="default" w:ascii="Times New Roman" w:hAnsi="Times New Roman" w:eastAsia="仿宋_GB2312" w:cs="Times New Roman"/>
          <w:color w:val="auto"/>
          <w:kern w:val="0"/>
        </w:rPr>
      </w:pPr>
    </w:p>
    <w:p>
      <w:pPr>
        <w:autoSpaceDE w:val="0"/>
        <w:autoSpaceDN w:val="0"/>
        <w:adjustRightInd w:val="0"/>
        <w:ind w:firstLine="480"/>
        <w:rPr>
          <w:rFonts w:hint="default" w:ascii="Times New Roman" w:hAnsi="Times New Roman" w:eastAsia="仿宋_GB2312" w:cs="Times New Roman"/>
          <w:color w:val="auto"/>
          <w:kern w:val="0"/>
        </w:rPr>
      </w:pPr>
    </w:p>
    <w:p>
      <w:pPr>
        <w:autoSpaceDE w:val="0"/>
        <w:autoSpaceDN w:val="0"/>
        <w:adjustRightInd w:val="0"/>
        <w:ind w:firstLine="480"/>
        <w:rPr>
          <w:rFonts w:hint="default" w:ascii="Times New Roman" w:hAnsi="Times New Roman" w:eastAsia="仿宋_GB2312" w:cs="Times New Roman"/>
          <w:color w:val="auto"/>
          <w:kern w:val="0"/>
        </w:rPr>
      </w:pPr>
    </w:p>
    <w:p>
      <w:pPr>
        <w:autoSpaceDE w:val="0"/>
        <w:autoSpaceDN w:val="0"/>
        <w:adjustRightInd w:val="0"/>
        <w:ind w:firstLine="480"/>
        <w:rPr>
          <w:rFonts w:hint="default" w:ascii="Times New Roman" w:hAnsi="Times New Roman" w:eastAsia="仿宋_GB2312" w:cs="Times New Roman"/>
          <w:color w:val="auto"/>
          <w:kern w:val="0"/>
        </w:rPr>
      </w:pPr>
    </w:p>
    <w:p>
      <w:pPr>
        <w:autoSpaceDE w:val="0"/>
        <w:autoSpaceDN w:val="0"/>
        <w:adjustRightInd w:val="0"/>
        <w:ind w:firstLine="480"/>
        <w:rPr>
          <w:rFonts w:hint="default" w:ascii="Times New Roman" w:hAnsi="Times New Roman" w:eastAsia="仿宋_GB2312" w:cs="Times New Roman"/>
          <w:color w:val="auto"/>
          <w:kern w:val="0"/>
        </w:rPr>
      </w:pPr>
    </w:p>
    <w:p>
      <w:pPr>
        <w:autoSpaceDE w:val="0"/>
        <w:autoSpaceDN w:val="0"/>
        <w:adjustRightInd w:val="0"/>
        <w:ind w:firstLine="480"/>
        <w:rPr>
          <w:rFonts w:hint="default" w:ascii="Times New Roman" w:hAnsi="Times New Roman" w:eastAsia="仿宋_GB2312" w:cs="Times New Roman"/>
          <w:color w:val="auto"/>
          <w:kern w:val="0"/>
        </w:rPr>
      </w:pPr>
    </w:p>
    <w:p>
      <w:pPr>
        <w:autoSpaceDE w:val="0"/>
        <w:autoSpaceDN w:val="0"/>
        <w:adjustRightInd w:val="0"/>
        <w:ind w:firstLine="480"/>
        <w:rPr>
          <w:rFonts w:hint="default" w:ascii="Times New Roman" w:hAnsi="Times New Roman" w:eastAsia="仿宋_GB2312" w:cs="Times New Roman"/>
          <w:color w:val="auto"/>
          <w:kern w:val="0"/>
        </w:rPr>
      </w:pPr>
    </w:p>
    <w:p>
      <w:pPr>
        <w:autoSpaceDE w:val="0"/>
        <w:autoSpaceDN w:val="0"/>
        <w:adjustRightInd w:val="0"/>
        <w:ind w:firstLine="480"/>
        <w:rPr>
          <w:rFonts w:hint="default" w:ascii="Times New Roman" w:hAnsi="Times New Roman" w:eastAsia="仿宋_GB2312" w:cs="Times New Roman"/>
          <w:color w:val="auto"/>
          <w:kern w:val="0"/>
        </w:rPr>
      </w:pPr>
    </w:p>
    <w:p>
      <w:pPr>
        <w:autoSpaceDE w:val="0"/>
        <w:autoSpaceDN w:val="0"/>
        <w:adjustRightInd w:val="0"/>
        <w:spacing w:line="240" w:lineRule="auto"/>
        <w:ind w:firstLine="422"/>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color w:val="auto"/>
          <w:kern w:val="0"/>
          <w:sz w:val="21"/>
          <w:szCs w:val="21"/>
        </w:rPr>
        <w:t>表2-1  工程特性及主要技术指标表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88"/>
        <w:gridCol w:w="2170"/>
        <w:gridCol w:w="774"/>
        <w:gridCol w:w="974"/>
        <w:gridCol w:w="776"/>
        <w:gridCol w:w="923"/>
        <w:gridCol w:w="150"/>
        <w:gridCol w:w="931"/>
        <w:gridCol w:w="12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c>
          <w:tcPr>
            <w:tcW w:w="4655" w:type="pct"/>
            <w:gridSpan w:val="8"/>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一、项目的基本情况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序号</w:t>
            </w:r>
          </w:p>
        </w:tc>
        <w:tc>
          <w:tcPr>
            <w:tcW w:w="1272"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项目情况</w:t>
            </w:r>
          </w:p>
        </w:tc>
        <w:tc>
          <w:tcPr>
            <w:tcW w:w="3383" w:type="pct"/>
            <w:gridSpan w:val="7"/>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c>
          <w:tcPr>
            <w:tcW w:w="1272" w:type="pct"/>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项目名称</w:t>
            </w:r>
          </w:p>
        </w:tc>
        <w:tc>
          <w:tcPr>
            <w:tcW w:w="3383" w:type="pct"/>
            <w:gridSpan w:val="7"/>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红原县2016年薄弱学校改造和学前教育（邛溪镇易地育人寄宿制学校）建设项目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w:t>
            </w:r>
          </w:p>
        </w:tc>
        <w:tc>
          <w:tcPr>
            <w:tcW w:w="1272"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建设地点</w:t>
            </w:r>
          </w:p>
        </w:tc>
        <w:tc>
          <w:tcPr>
            <w:tcW w:w="3383" w:type="pct"/>
            <w:gridSpan w:val="7"/>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红原县邛溪镇易地育人寄宿制学校内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w:t>
            </w:r>
          </w:p>
        </w:tc>
        <w:tc>
          <w:tcPr>
            <w:tcW w:w="1272"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建设单位</w:t>
            </w:r>
          </w:p>
        </w:tc>
        <w:tc>
          <w:tcPr>
            <w:tcW w:w="3383" w:type="pct"/>
            <w:gridSpan w:val="7"/>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红原县教育局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4</w:t>
            </w:r>
          </w:p>
        </w:tc>
        <w:tc>
          <w:tcPr>
            <w:tcW w:w="1272" w:type="pct"/>
            <w:vAlign w:val="center"/>
          </w:tcPr>
          <w:p>
            <w:pPr>
              <w:adjustRightInd w:val="0"/>
              <w:snapToGrid w:val="0"/>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项目投资及其来源</w:t>
            </w:r>
          </w:p>
        </w:tc>
        <w:tc>
          <w:tcPr>
            <w:tcW w:w="3383" w:type="pct"/>
            <w:gridSpan w:val="7"/>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总投资693万元，其中土建投资485万元，资金来源：2015年学前教育和2016年薄弱学校改造专项资金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5</w:t>
            </w:r>
          </w:p>
        </w:tc>
        <w:tc>
          <w:tcPr>
            <w:tcW w:w="1272"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建设工期</w:t>
            </w:r>
          </w:p>
        </w:tc>
        <w:tc>
          <w:tcPr>
            <w:tcW w:w="3383" w:type="pct"/>
            <w:gridSpan w:val="7"/>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13个月（2016年11月至2017年11月）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c>
          <w:tcPr>
            <w:tcW w:w="4655" w:type="pct"/>
            <w:gridSpan w:val="8"/>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二、项目组成及主要技术指标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c>
          <w:tcPr>
            <w:tcW w:w="1272" w:type="pct"/>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项　　　　目</w:t>
            </w:r>
          </w:p>
        </w:tc>
        <w:tc>
          <w:tcPr>
            <w:tcW w:w="1025"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单  位</w:t>
            </w:r>
          </w:p>
        </w:tc>
        <w:tc>
          <w:tcPr>
            <w:tcW w:w="996"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数  量</w:t>
            </w:r>
          </w:p>
        </w:tc>
        <w:tc>
          <w:tcPr>
            <w:tcW w:w="1362" w:type="pct"/>
            <w:gridSpan w:val="3"/>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c>
          <w:tcPr>
            <w:tcW w:w="1272"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项目净用地面积</w:t>
            </w:r>
          </w:p>
        </w:tc>
        <w:tc>
          <w:tcPr>
            <w:tcW w:w="1025"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m</w:t>
            </w:r>
            <w:r>
              <w:rPr>
                <w:rFonts w:hint="default" w:ascii="Times New Roman" w:hAnsi="Times New Roman" w:eastAsia="仿宋_GB2312" w:cs="Times New Roman"/>
                <w:color w:val="auto"/>
                <w:kern w:val="0"/>
                <w:sz w:val="18"/>
                <w:szCs w:val="18"/>
                <w:vertAlign w:val="superscript"/>
              </w:rPr>
              <w:t>2</w:t>
            </w:r>
          </w:p>
        </w:tc>
        <w:tc>
          <w:tcPr>
            <w:tcW w:w="996"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1200</w:t>
            </w:r>
          </w:p>
        </w:tc>
        <w:tc>
          <w:tcPr>
            <w:tcW w:w="1362" w:type="pct"/>
            <w:gridSpan w:val="3"/>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约合1.79亩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7" w:hRule="atLeast"/>
          <w:jc w:val="center"/>
        </w:trPr>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w:t>
            </w:r>
          </w:p>
        </w:tc>
        <w:tc>
          <w:tcPr>
            <w:tcW w:w="1272"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建筑基底面积</w:t>
            </w:r>
          </w:p>
        </w:tc>
        <w:tc>
          <w:tcPr>
            <w:tcW w:w="1025"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vertAlign w:val="superscript"/>
              </w:rPr>
            </w:pPr>
            <w:r>
              <w:rPr>
                <w:rFonts w:hint="default" w:ascii="Times New Roman" w:hAnsi="Times New Roman" w:eastAsia="仿宋_GB2312" w:cs="Times New Roman"/>
                <w:color w:val="auto"/>
                <w:kern w:val="0"/>
                <w:sz w:val="18"/>
                <w:szCs w:val="18"/>
              </w:rPr>
              <w:t>m</w:t>
            </w:r>
            <w:r>
              <w:rPr>
                <w:rFonts w:hint="default" w:ascii="Times New Roman" w:hAnsi="Times New Roman" w:eastAsia="仿宋_GB2312" w:cs="Times New Roman"/>
                <w:color w:val="auto"/>
                <w:kern w:val="0"/>
                <w:sz w:val="18"/>
                <w:szCs w:val="18"/>
                <w:vertAlign w:val="superscript"/>
              </w:rPr>
              <w:t>2</w:t>
            </w:r>
          </w:p>
        </w:tc>
        <w:tc>
          <w:tcPr>
            <w:tcW w:w="996"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593.88</w:t>
            </w:r>
          </w:p>
        </w:tc>
        <w:tc>
          <w:tcPr>
            <w:tcW w:w="1362" w:type="pct"/>
            <w:gridSpan w:val="3"/>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w:t>
            </w:r>
          </w:p>
        </w:tc>
        <w:tc>
          <w:tcPr>
            <w:tcW w:w="1272"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规划总建筑面积</w:t>
            </w:r>
          </w:p>
        </w:tc>
        <w:tc>
          <w:tcPr>
            <w:tcW w:w="1025"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m</w:t>
            </w:r>
            <w:r>
              <w:rPr>
                <w:rFonts w:hint="default" w:ascii="Times New Roman" w:hAnsi="Times New Roman" w:eastAsia="仿宋_GB2312" w:cs="Times New Roman"/>
                <w:color w:val="auto"/>
                <w:kern w:val="0"/>
                <w:sz w:val="18"/>
                <w:szCs w:val="18"/>
                <w:vertAlign w:val="superscript"/>
              </w:rPr>
              <w:t>2</w:t>
            </w:r>
          </w:p>
        </w:tc>
        <w:tc>
          <w:tcPr>
            <w:tcW w:w="996"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2352.68</w:t>
            </w:r>
          </w:p>
        </w:tc>
        <w:tc>
          <w:tcPr>
            <w:tcW w:w="1362" w:type="pct"/>
            <w:gridSpan w:val="3"/>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1272"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教育综合楼建筑面积</w:t>
            </w:r>
          </w:p>
        </w:tc>
        <w:tc>
          <w:tcPr>
            <w:tcW w:w="1025"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m</w:t>
            </w:r>
            <w:r>
              <w:rPr>
                <w:rFonts w:hint="default" w:ascii="Times New Roman" w:hAnsi="Times New Roman" w:eastAsia="仿宋_GB2312" w:cs="Times New Roman"/>
                <w:color w:val="auto"/>
                <w:kern w:val="0"/>
                <w:sz w:val="18"/>
                <w:szCs w:val="18"/>
                <w:vertAlign w:val="superscript"/>
              </w:rPr>
              <w:t>2</w:t>
            </w:r>
          </w:p>
        </w:tc>
        <w:tc>
          <w:tcPr>
            <w:tcW w:w="996"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2352.68</w:t>
            </w:r>
          </w:p>
        </w:tc>
        <w:tc>
          <w:tcPr>
            <w:tcW w:w="1362" w:type="pct"/>
            <w:gridSpan w:val="3"/>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4</w:t>
            </w:r>
          </w:p>
        </w:tc>
        <w:tc>
          <w:tcPr>
            <w:tcW w:w="1272"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建筑密度</w:t>
            </w:r>
          </w:p>
        </w:tc>
        <w:tc>
          <w:tcPr>
            <w:tcW w:w="1025"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996"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49.49</w:t>
            </w:r>
          </w:p>
        </w:tc>
        <w:tc>
          <w:tcPr>
            <w:tcW w:w="1362" w:type="pct"/>
            <w:gridSpan w:val="3"/>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5</w:t>
            </w:r>
          </w:p>
        </w:tc>
        <w:tc>
          <w:tcPr>
            <w:tcW w:w="1272" w:type="pct"/>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容积率</w:t>
            </w:r>
          </w:p>
        </w:tc>
        <w:tc>
          <w:tcPr>
            <w:tcW w:w="1025"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rPr>
              <w:t>%</w:t>
            </w:r>
          </w:p>
        </w:tc>
        <w:tc>
          <w:tcPr>
            <w:tcW w:w="996" w:type="pct"/>
            <w:gridSpan w:val="2"/>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1.96</w:t>
            </w:r>
          </w:p>
        </w:tc>
        <w:tc>
          <w:tcPr>
            <w:tcW w:w="1362" w:type="pct"/>
            <w:gridSpan w:val="3"/>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6</w:t>
            </w:r>
          </w:p>
        </w:tc>
        <w:tc>
          <w:tcPr>
            <w:tcW w:w="1272" w:type="pct"/>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绿地</w:t>
            </w:r>
          </w:p>
        </w:tc>
        <w:tc>
          <w:tcPr>
            <w:tcW w:w="1025"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m</w:t>
            </w:r>
            <w:r>
              <w:rPr>
                <w:rFonts w:hint="default" w:ascii="Times New Roman" w:hAnsi="Times New Roman" w:eastAsia="仿宋_GB2312" w:cs="Times New Roman"/>
                <w:color w:val="auto"/>
                <w:kern w:val="0"/>
                <w:sz w:val="18"/>
                <w:szCs w:val="18"/>
                <w:vertAlign w:val="superscript"/>
              </w:rPr>
              <w:t>2</w:t>
            </w:r>
          </w:p>
        </w:tc>
        <w:tc>
          <w:tcPr>
            <w:tcW w:w="996" w:type="pct"/>
            <w:gridSpan w:val="2"/>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300</w:t>
            </w:r>
          </w:p>
        </w:tc>
        <w:tc>
          <w:tcPr>
            <w:tcW w:w="1362" w:type="pct"/>
            <w:gridSpan w:val="3"/>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7</w:t>
            </w:r>
          </w:p>
        </w:tc>
        <w:tc>
          <w:tcPr>
            <w:tcW w:w="1272" w:type="pct"/>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绿地率</w:t>
            </w:r>
          </w:p>
        </w:tc>
        <w:tc>
          <w:tcPr>
            <w:tcW w:w="1025"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rPr>
              <w:t>%</w:t>
            </w:r>
          </w:p>
        </w:tc>
        <w:tc>
          <w:tcPr>
            <w:tcW w:w="996"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1362" w:type="pct"/>
            <w:gridSpan w:val="3"/>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7" w:hRule="atLeast"/>
          <w:jc w:val="center"/>
        </w:trPr>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8</w:t>
            </w:r>
          </w:p>
        </w:tc>
        <w:tc>
          <w:tcPr>
            <w:tcW w:w="1272" w:type="pct"/>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停车位</w:t>
            </w:r>
          </w:p>
        </w:tc>
        <w:tc>
          <w:tcPr>
            <w:tcW w:w="1025"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个</w:t>
            </w:r>
          </w:p>
        </w:tc>
        <w:tc>
          <w:tcPr>
            <w:tcW w:w="996"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rPr>
              <w:t>/</w:t>
            </w:r>
          </w:p>
        </w:tc>
        <w:tc>
          <w:tcPr>
            <w:tcW w:w="1362" w:type="pct"/>
            <w:gridSpan w:val="3"/>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c>
          <w:tcPr>
            <w:tcW w:w="4655" w:type="pct"/>
            <w:gridSpan w:val="8"/>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三、项目土石方工程量（万m</w:t>
            </w:r>
            <w:r>
              <w:rPr>
                <w:rFonts w:hint="default" w:ascii="Times New Roman" w:hAnsi="Times New Roman" w:eastAsia="仿宋_GB2312" w:cs="Times New Roman"/>
                <w:color w:val="auto"/>
                <w:kern w:val="0"/>
                <w:sz w:val="18"/>
                <w:szCs w:val="18"/>
                <w:vertAlign w:val="superscript"/>
              </w:rPr>
              <w:t>3</w:t>
            </w:r>
            <w:r>
              <w:rPr>
                <w:rFonts w:hint="default" w:ascii="Times New Roman" w:hAnsi="Times New Roman" w:eastAsia="仿宋_GB2312" w:cs="Times New Roman"/>
                <w:color w:val="auto"/>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序号</w:t>
            </w:r>
          </w:p>
        </w:tc>
        <w:tc>
          <w:tcPr>
            <w:tcW w:w="1726" w:type="pct"/>
            <w:gridSpan w:val="2"/>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项目组成</w:t>
            </w:r>
          </w:p>
        </w:tc>
        <w:tc>
          <w:tcPr>
            <w:tcW w:w="1026"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挖方</w:t>
            </w:r>
          </w:p>
        </w:tc>
        <w:tc>
          <w:tcPr>
            <w:tcW w:w="629"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填方</w:t>
            </w:r>
          </w:p>
        </w:tc>
        <w:tc>
          <w:tcPr>
            <w:tcW w:w="54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外借</w:t>
            </w:r>
          </w:p>
        </w:tc>
        <w:tc>
          <w:tcPr>
            <w:tcW w:w="728" w:type="pct"/>
            <w:vAlign w:val="center"/>
          </w:tcPr>
          <w:p>
            <w:pPr>
              <w:widowControl/>
              <w:spacing w:line="240" w:lineRule="auto"/>
              <w:ind w:firstLineChars="111"/>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余方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c>
          <w:tcPr>
            <w:tcW w:w="1726"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建筑工程</w:t>
            </w:r>
          </w:p>
        </w:tc>
        <w:tc>
          <w:tcPr>
            <w:tcW w:w="1026"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0.08</w:t>
            </w:r>
          </w:p>
        </w:tc>
        <w:tc>
          <w:tcPr>
            <w:tcW w:w="629"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0.07</w:t>
            </w:r>
          </w:p>
        </w:tc>
        <w:tc>
          <w:tcPr>
            <w:tcW w:w="54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c>
          <w:tcPr>
            <w:tcW w:w="72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w:t>
            </w:r>
          </w:p>
        </w:tc>
        <w:tc>
          <w:tcPr>
            <w:tcW w:w="1726"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道路工程</w:t>
            </w:r>
          </w:p>
        </w:tc>
        <w:tc>
          <w:tcPr>
            <w:tcW w:w="1026"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0.03</w:t>
            </w:r>
          </w:p>
        </w:tc>
        <w:tc>
          <w:tcPr>
            <w:tcW w:w="629"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0.03</w:t>
            </w:r>
          </w:p>
        </w:tc>
        <w:tc>
          <w:tcPr>
            <w:tcW w:w="54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c>
          <w:tcPr>
            <w:tcW w:w="72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w:t>
            </w:r>
          </w:p>
        </w:tc>
        <w:tc>
          <w:tcPr>
            <w:tcW w:w="1726"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绿化工程</w:t>
            </w:r>
          </w:p>
        </w:tc>
        <w:tc>
          <w:tcPr>
            <w:tcW w:w="1026"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c>
          <w:tcPr>
            <w:tcW w:w="629"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0.01</w:t>
            </w:r>
          </w:p>
        </w:tc>
        <w:tc>
          <w:tcPr>
            <w:tcW w:w="54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c>
          <w:tcPr>
            <w:tcW w:w="72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071" w:type="pct"/>
            <w:gridSpan w:val="3"/>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合计</w:t>
            </w:r>
          </w:p>
        </w:tc>
        <w:tc>
          <w:tcPr>
            <w:tcW w:w="1026"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0.11</w:t>
            </w:r>
          </w:p>
        </w:tc>
        <w:tc>
          <w:tcPr>
            <w:tcW w:w="629"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0.11</w:t>
            </w:r>
          </w:p>
        </w:tc>
        <w:tc>
          <w:tcPr>
            <w:tcW w:w="54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c>
          <w:tcPr>
            <w:tcW w:w="72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r>
    </w:tbl>
    <w:p>
      <w:pPr>
        <w:pStyle w:val="1102"/>
        <w:spacing w:line="240" w:lineRule="auto"/>
        <w:rPr>
          <w:rFonts w:hint="default" w:ascii="Times New Roman" w:hAnsi="Times New Roman" w:cs="Times New Roman"/>
          <w:color w:val="auto"/>
        </w:rPr>
      </w:pPr>
    </w:p>
    <w:bookmarkEnd w:id="44"/>
    <w:p>
      <w:pPr>
        <w:pStyle w:val="5"/>
        <w:spacing w:before="156" w:beforeLines="50"/>
        <w:rPr>
          <w:rFonts w:hint="default" w:ascii="Times New Roman" w:hAnsi="Times New Roman" w:cs="Times New Roman"/>
          <w:color w:val="auto"/>
        </w:rPr>
      </w:pPr>
      <w:r>
        <w:rPr>
          <w:rFonts w:hint="default" w:ascii="Times New Roman" w:hAnsi="Times New Roman" w:cs="Times New Roman"/>
          <w:color w:val="auto"/>
        </w:rPr>
        <w:t>2.1.2 地理位置</w:t>
      </w:r>
    </w:p>
    <w:p>
      <w:pPr>
        <w:autoSpaceDE w:val="0"/>
        <w:autoSpaceDN w:val="0"/>
        <w:adjustRightInd w:val="0"/>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项目位于四川省阿坝藏族羌族自治州红原县邛溪镇易地育人寄宿制学校内，项目中心点地理坐标：102°32′25.76″E，32°48′8.45″N；具体见图2.1项目区地理位置图。</w:t>
      </w:r>
    </w:p>
    <w:p>
      <w:pPr>
        <w:spacing w:line="240" w:lineRule="auto"/>
        <w:ind w:firstLine="42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表2-2   项目区主要拐点坐标一览表</w:t>
      </w:r>
    </w:p>
    <w:tbl>
      <w:tblPr>
        <w:tblStyle w:val="6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78"/>
        <w:gridCol w:w="2210"/>
        <w:gridCol w:w="3161"/>
        <w:gridCol w:w="15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5" w:type="pct"/>
            <w:tcBorders>
              <w:top w:val="single" w:color="auto" w:sz="12" w:space="0"/>
              <w:left w:val="single" w:color="auto" w:sz="12" w:space="0"/>
              <w:bottom w:val="single" w:color="auto" w:sz="6" w:space="0"/>
              <w:right w:val="single" w:color="auto" w:sz="6"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序号</w:t>
            </w:r>
          </w:p>
        </w:tc>
        <w:tc>
          <w:tcPr>
            <w:tcW w:w="1295" w:type="pct"/>
            <w:tcBorders>
              <w:top w:val="single" w:color="auto" w:sz="12" w:space="0"/>
              <w:left w:val="single" w:color="auto" w:sz="6" w:space="0"/>
              <w:bottom w:val="single" w:color="auto" w:sz="6" w:space="0"/>
              <w:right w:val="single" w:color="auto" w:sz="6" w:space="0"/>
            </w:tcBorders>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E</w:t>
            </w:r>
          </w:p>
        </w:tc>
        <w:tc>
          <w:tcPr>
            <w:tcW w:w="1852" w:type="pct"/>
            <w:tcBorders>
              <w:top w:val="single" w:color="auto" w:sz="12" w:space="0"/>
              <w:left w:val="single" w:color="auto" w:sz="6" w:space="0"/>
              <w:bottom w:val="single" w:color="auto" w:sz="6" w:space="0"/>
              <w:right w:val="single" w:color="auto" w:sz="6" w:space="0"/>
            </w:tcBorders>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N</w:t>
            </w:r>
          </w:p>
        </w:tc>
        <w:tc>
          <w:tcPr>
            <w:tcW w:w="925" w:type="pct"/>
            <w:tcBorders>
              <w:top w:val="single" w:color="auto" w:sz="12" w:space="0"/>
              <w:left w:val="single" w:color="auto" w:sz="6" w:space="0"/>
              <w:bottom w:val="single" w:color="auto" w:sz="6" w:space="0"/>
              <w:right w:val="single" w:color="auto" w:sz="12" w:space="0"/>
            </w:tcBorders>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5" w:type="pct"/>
            <w:tcBorders>
              <w:top w:val="single" w:color="auto" w:sz="6" w:space="0"/>
              <w:left w:val="single" w:color="auto" w:sz="12" w:space="0"/>
              <w:bottom w:val="single" w:color="auto" w:sz="6" w:space="0"/>
              <w:right w:val="single" w:color="auto" w:sz="6"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w:t>
            </w:r>
          </w:p>
        </w:tc>
        <w:tc>
          <w:tcPr>
            <w:tcW w:w="1295" w:type="pct"/>
            <w:tcBorders>
              <w:top w:val="single" w:color="auto" w:sz="6" w:space="0"/>
              <w:left w:val="single" w:color="auto" w:sz="6" w:space="0"/>
              <w:bottom w:val="single" w:color="auto" w:sz="6" w:space="0"/>
              <w:right w:val="single" w:color="auto" w:sz="6" w:space="0"/>
            </w:tcBorders>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102°32′26.37″</w:t>
            </w:r>
          </w:p>
        </w:tc>
        <w:tc>
          <w:tcPr>
            <w:tcW w:w="1852" w:type="pct"/>
            <w:tcBorders>
              <w:top w:val="single" w:color="auto" w:sz="6" w:space="0"/>
              <w:left w:val="single" w:color="auto" w:sz="6" w:space="0"/>
              <w:bottom w:val="single" w:color="auto" w:sz="6" w:space="0"/>
              <w:right w:val="single" w:color="auto" w:sz="6" w:space="0"/>
            </w:tcBorders>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32°48′8.08″</w:t>
            </w:r>
          </w:p>
        </w:tc>
        <w:tc>
          <w:tcPr>
            <w:tcW w:w="925" w:type="pct"/>
            <w:tcBorders>
              <w:top w:val="single" w:color="auto" w:sz="6" w:space="0"/>
              <w:left w:val="single" w:color="auto" w:sz="6" w:space="0"/>
              <w:bottom w:val="single" w:color="auto" w:sz="6" w:space="0"/>
              <w:right w:val="single" w:color="auto" w:sz="12" w:space="0"/>
            </w:tcBorders>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拐点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trPr>
        <w:tc>
          <w:tcPr>
            <w:tcW w:w="925" w:type="pct"/>
            <w:tcBorders>
              <w:top w:val="single" w:color="auto" w:sz="6" w:space="0"/>
              <w:left w:val="single" w:color="auto" w:sz="12" w:space="0"/>
              <w:bottom w:val="single" w:color="auto" w:sz="6" w:space="0"/>
              <w:right w:val="single" w:color="auto" w:sz="6"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w:t>
            </w:r>
          </w:p>
        </w:tc>
        <w:tc>
          <w:tcPr>
            <w:tcW w:w="1295" w:type="pct"/>
            <w:tcBorders>
              <w:top w:val="single" w:color="auto" w:sz="6" w:space="0"/>
              <w:left w:val="single" w:color="auto" w:sz="6" w:space="0"/>
              <w:bottom w:val="single" w:color="auto" w:sz="6" w:space="0"/>
              <w:right w:val="single" w:color="auto" w:sz="6" w:space="0"/>
            </w:tcBorders>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102°32′25.76″</w:t>
            </w:r>
          </w:p>
        </w:tc>
        <w:tc>
          <w:tcPr>
            <w:tcW w:w="1852" w:type="pct"/>
            <w:tcBorders>
              <w:top w:val="single" w:color="auto" w:sz="6" w:space="0"/>
              <w:left w:val="single" w:color="auto" w:sz="6" w:space="0"/>
              <w:bottom w:val="single" w:color="auto" w:sz="6" w:space="0"/>
              <w:right w:val="single" w:color="auto" w:sz="6" w:space="0"/>
            </w:tcBorders>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32°48′7.84″</w:t>
            </w:r>
          </w:p>
        </w:tc>
        <w:tc>
          <w:tcPr>
            <w:tcW w:w="925" w:type="pct"/>
            <w:tcBorders>
              <w:top w:val="single" w:color="auto" w:sz="6" w:space="0"/>
              <w:left w:val="single" w:color="auto" w:sz="6" w:space="0"/>
              <w:bottom w:val="single" w:color="auto" w:sz="6" w:space="0"/>
              <w:right w:val="single" w:color="auto" w:sz="12" w:space="0"/>
            </w:tcBorders>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拐点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5" w:type="pct"/>
            <w:tcBorders>
              <w:top w:val="single" w:color="auto" w:sz="6" w:space="0"/>
              <w:left w:val="single" w:color="auto" w:sz="12" w:space="0"/>
              <w:bottom w:val="single" w:color="auto" w:sz="6" w:space="0"/>
              <w:right w:val="single" w:color="auto" w:sz="6"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w:t>
            </w:r>
          </w:p>
        </w:tc>
        <w:tc>
          <w:tcPr>
            <w:tcW w:w="1295" w:type="pct"/>
            <w:tcBorders>
              <w:top w:val="single" w:color="auto" w:sz="6" w:space="0"/>
              <w:left w:val="single" w:color="auto" w:sz="6" w:space="0"/>
              <w:bottom w:val="single" w:color="auto" w:sz="6" w:space="0"/>
              <w:right w:val="single" w:color="auto" w:sz="6" w:space="0"/>
            </w:tcBorders>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102°32′25.02″</w:t>
            </w:r>
          </w:p>
        </w:tc>
        <w:tc>
          <w:tcPr>
            <w:tcW w:w="1852" w:type="pct"/>
            <w:tcBorders>
              <w:top w:val="single" w:color="auto" w:sz="6" w:space="0"/>
              <w:left w:val="single" w:color="auto" w:sz="6" w:space="0"/>
              <w:bottom w:val="single" w:color="auto" w:sz="6" w:space="0"/>
              <w:right w:val="single" w:color="auto" w:sz="6" w:space="0"/>
            </w:tcBorders>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32°48′8.59″</w:t>
            </w:r>
          </w:p>
        </w:tc>
        <w:tc>
          <w:tcPr>
            <w:tcW w:w="925" w:type="pct"/>
            <w:tcBorders>
              <w:top w:val="single" w:color="auto" w:sz="6" w:space="0"/>
              <w:left w:val="single" w:color="auto" w:sz="6" w:space="0"/>
              <w:bottom w:val="single" w:color="auto" w:sz="6" w:space="0"/>
              <w:right w:val="single" w:color="auto" w:sz="12" w:space="0"/>
            </w:tcBorders>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拐点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5" w:type="pct"/>
            <w:tcBorders>
              <w:top w:val="single" w:color="auto" w:sz="6" w:space="0"/>
              <w:left w:val="single" w:color="auto" w:sz="12" w:space="0"/>
              <w:bottom w:val="single" w:color="auto" w:sz="12" w:space="0"/>
              <w:right w:val="single" w:color="auto" w:sz="6"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w:t>
            </w:r>
          </w:p>
        </w:tc>
        <w:tc>
          <w:tcPr>
            <w:tcW w:w="1295" w:type="pct"/>
            <w:tcBorders>
              <w:top w:val="single" w:color="auto" w:sz="6" w:space="0"/>
              <w:left w:val="single" w:color="auto" w:sz="6" w:space="0"/>
              <w:bottom w:val="single" w:color="auto" w:sz="12" w:space="0"/>
              <w:right w:val="single" w:color="auto" w:sz="6" w:space="0"/>
            </w:tcBorders>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102°32′25.58″</w:t>
            </w:r>
          </w:p>
        </w:tc>
        <w:tc>
          <w:tcPr>
            <w:tcW w:w="1852" w:type="pct"/>
            <w:tcBorders>
              <w:top w:val="single" w:color="auto" w:sz="6" w:space="0"/>
              <w:left w:val="single" w:color="auto" w:sz="6" w:space="0"/>
              <w:bottom w:val="single" w:color="auto" w:sz="12" w:space="0"/>
              <w:right w:val="single" w:color="auto" w:sz="6" w:space="0"/>
            </w:tcBorders>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32°48′8.99″</w:t>
            </w:r>
          </w:p>
        </w:tc>
        <w:tc>
          <w:tcPr>
            <w:tcW w:w="925" w:type="pct"/>
            <w:tcBorders>
              <w:top w:val="single" w:color="auto" w:sz="6" w:space="0"/>
              <w:left w:val="single" w:color="auto" w:sz="6" w:space="0"/>
              <w:bottom w:val="single" w:color="auto" w:sz="12" w:space="0"/>
              <w:right w:val="single" w:color="auto" w:sz="12" w:space="0"/>
            </w:tcBorders>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拐点</w:t>
            </w:r>
          </w:p>
        </w:tc>
      </w:tr>
    </w:tbl>
    <w:p>
      <w:pPr>
        <w:spacing w:line="240" w:lineRule="auto"/>
        <w:ind w:firstLine="0" w:firstLineChars="0"/>
        <w:jc w:val="center"/>
        <w:rPr>
          <w:rFonts w:hint="default" w:ascii="Times New Roman" w:hAnsi="Times New Roman" w:cs="Times New Roman"/>
          <w:color w:val="auto"/>
        </w:rPr>
      </w:pPr>
    </w:p>
    <w:p>
      <w:pPr>
        <w:spacing w:line="240" w:lineRule="auto"/>
        <w:ind w:firstLine="0" w:firstLineChars="0"/>
        <w:jc w:val="center"/>
        <w:rPr>
          <w:rFonts w:hint="default" w:ascii="Times New Roman" w:hAnsi="Times New Roman" w:eastAsia="仿宋_GB2312"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999232" behindDoc="0" locked="0" layoutInCell="1" allowOverlap="1">
                <wp:simplePos x="0" y="0"/>
                <wp:positionH relativeFrom="column">
                  <wp:posOffset>2552065</wp:posOffset>
                </wp:positionH>
                <wp:positionV relativeFrom="paragraph">
                  <wp:posOffset>1589405</wp:posOffset>
                </wp:positionV>
                <wp:extent cx="241300" cy="28575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241300" cy="285750"/>
                        </a:xfrm>
                        <a:prstGeom prst="rect">
                          <a:avLst/>
                        </a:prstGeom>
                        <a:no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rPr>
                                <w:color w:val="FF0000"/>
                              </w:rPr>
                            </w:pPr>
                            <w:r>
                              <w:rPr>
                                <w:rFonts w:hint="eastAsia"/>
                                <w:color w:val="FF0000"/>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95pt;margin-top:125.15pt;height:22.5pt;width:19pt;z-index:251999232;mso-width-relative:page;mso-height-relative:page;" filled="f" stroked="t" coordsize="21600,21600" o:gfxdata="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gpCN7dwAAAALAQAADwAAAAAAAAAB&#10;ACAAAAAiAAAAZHJzL2Rvd25yZXYueG1sUEsBAhQAFAAAAAgAh07iQEhx7xJFAgAAbAQAAA4AAAAA&#10;AAAAAQAgAAAAKwEAAGRycy9lMm9Eb2MueG1sUEsFBgAAAAAGAAYAWQEAAOIFAAAAAA==&#10;">
                <v:fill on="f" focussize="0,0"/>
                <v:stroke weight="0.5pt" color="#000000 [3204]" opacity="0f" joinstyle="round"/>
                <v:imagedata o:title=""/>
                <o:lock v:ext="edit" aspectratio="f"/>
                <v:textbox>
                  <w:txbxContent>
                    <w:p>
                      <w:pPr>
                        <w:ind w:firstLine="0" w:firstLineChars="0"/>
                        <w:rPr>
                          <w:color w:val="FF0000"/>
                        </w:rPr>
                      </w:pPr>
                      <w:r>
                        <w:rPr>
                          <w:rFonts w:hint="eastAsia"/>
                          <w:color w:val="FF0000"/>
                        </w:rPr>
                        <w:t>4</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97184" behindDoc="0" locked="0" layoutInCell="1" allowOverlap="1">
                <wp:simplePos x="0" y="0"/>
                <wp:positionH relativeFrom="column">
                  <wp:posOffset>2635885</wp:posOffset>
                </wp:positionH>
                <wp:positionV relativeFrom="paragraph">
                  <wp:posOffset>1774190</wp:posOffset>
                </wp:positionV>
                <wp:extent cx="241300" cy="3302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241300" cy="330200"/>
                        </a:xfrm>
                        <a:prstGeom prst="rect">
                          <a:avLst/>
                        </a:prstGeom>
                        <a:no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rPr>
                                <w:color w:val="FF0000"/>
                              </w:rPr>
                            </w:pPr>
                            <w:r>
                              <w:rPr>
                                <w:rFonts w:hint="eastAsia"/>
                                <w:color w:val="FF0000"/>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55pt;margin-top:139.7pt;height:26pt;width:19pt;z-index:251997184;mso-width-relative:page;mso-height-relative:page;" filled="f" stroked="t" coordsize="21600,21600" o:gfxdata="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MnPUvdAAAACwEAAA8AAAAAAAAAAQAg&#10;AAAAIgAAAGRycy9kb3ducmV2LnhtbFBLAQIUABQAAAAIAIdO4kBHv+JrQgIAAGwEAAAOAAAAAAAA&#10;AAEAIAAAACwBAABkcnMvZTJvRG9jLnhtbFBLBQYAAAAABgAGAFkBAADgBQAAAAA=&#10;">
                <v:fill on="f" focussize="0,0"/>
                <v:stroke weight="0.5pt" color="#000000 [3204]" opacity="0f" joinstyle="round"/>
                <v:imagedata o:title=""/>
                <o:lock v:ext="edit" aspectratio="f"/>
                <v:textbox>
                  <w:txbxContent>
                    <w:p>
                      <w:pPr>
                        <w:ind w:firstLine="0" w:firstLineChars="0"/>
                        <w:rPr>
                          <w:color w:val="FF0000"/>
                        </w:rPr>
                      </w:pPr>
                      <w:r>
                        <w:rPr>
                          <w:rFonts w:hint="eastAsia"/>
                          <w:color w:val="FF0000"/>
                        </w:rPr>
                        <w:t>3</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95136" behindDoc="0" locked="0" layoutInCell="1" allowOverlap="1">
                <wp:simplePos x="0" y="0"/>
                <wp:positionH relativeFrom="column">
                  <wp:posOffset>2831465</wp:posOffset>
                </wp:positionH>
                <wp:positionV relativeFrom="paragraph">
                  <wp:posOffset>1660525</wp:posOffset>
                </wp:positionV>
                <wp:extent cx="241300" cy="3429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241300" cy="342900"/>
                        </a:xfrm>
                        <a:prstGeom prst="rect">
                          <a:avLst/>
                        </a:prstGeom>
                        <a:no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rPr>
                                <w:color w:val="FF0000"/>
                              </w:rPr>
                            </w:pPr>
                            <w:r>
                              <w:rPr>
                                <w:rFonts w:hint="eastAsia"/>
                                <w:color w:val="FF0000"/>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95pt;margin-top:130.75pt;height:27pt;width:19pt;z-index:251995136;mso-width-relative:page;mso-height-relative:page;" filled="f" stroked="t" coordsize="21600,21600" o:gfxdata="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qL0MNN0AAAALAQAADwAAAAAAAAAB&#10;ACAAAAAiAAAAZHJzL2Rvd25yZXYueG1sUEsBAhQAFAAAAAgAh07iQKJWjvtEAgAAbAQAAA4AAAAA&#10;AAAAAQAgAAAALAEAAGRycy9lMm9Eb2MueG1sUEsFBgAAAAAGAAYAWQEAAOIFAAAAAA==&#10;">
                <v:fill on="f" focussize="0,0"/>
                <v:stroke weight="0.5pt" color="#000000 [3204]" opacity="0f" joinstyle="round"/>
                <v:imagedata o:title=""/>
                <o:lock v:ext="edit" aspectratio="f"/>
                <v:textbox>
                  <w:txbxContent>
                    <w:p>
                      <w:pPr>
                        <w:ind w:firstLine="0" w:firstLineChars="0"/>
                        <w:rPr>
                          <w:color w:val="FF0000"/>
                        </w:rPr>
                      </w:pPr>
                      <w:r>
                        <w:rPr>
                          <w:rFonts w:hint="eastAsia"/>
                          <w:color w:val="FF0000"/>
                        </w:rPr>
                        <w:t>2</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93088" behindDoc="0" locked="0" layoutInCell="1" allowOverlap="1">
                <wp:simplePos x="0" y="0"/>
                <wp:positionH relativeFrom="column">
                  <wp:posOffset>2800350</wp:posOffset>
                </wp:positionH>
                <wp:positionV relativeFrom="paragraph">
                  <wp:posOffset>1511300</wp:posOffset>
                </wp:positionV>
                <wp:extent cx="241300" cy="28575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241300" cy="285750"/>
                        </a:xfrm>
                        <a:prstGeom prst="rect">
                          <a:avLst/>
                        </a:prstGeom>
                        <a:no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rPr>
                                <w:color w:val="FF0000"/>
                              </w:rPr>
                            </w:pPr>
                            <w:r>
                              <w:rPr>
                                <w:rFonts w:hint="eastAsia"/>
                                <w:color w:val="FF0000"/>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5pt;margin-top:119pt;height:22.5pt;width:19pt;z-index:251993088;mso-width-relative:page;mso-height-relative:page;" filled="f" stroked="t" coordsize="21600,21600" o:gfxdata="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Nk1z43AAAAAsBAAAPAAAAAAAAAAEA&#10;IAAAACIAAABkcnMvZG93bnJldi54bWxQSwECFAAUAAAACACHTuJAKDHnpEQCAABsBAAADgAAAAAA&#10;AAABACAAAAArAQAAZHJzL2Uyb0RvYy54bWxQSwUGAAAAAAYABgBZAQAA4QUAAAAA&#10;">
                <v:fill on="f" focussize="0,0"/>
                <v:stroke weight="0.5pt" color="#000000 [3204]" opacity="0f" joinstyle="round"/>
                <v:imagedata o:title=""/>
                <o:lock v:ext="edit" aspectratio="f"/>
                <v:textbox>
                  <w:txbxContent>
                    <w:p>
                      <w:pPr>
                        <w:ind w:firstLine="0" w:firstLineChars="0"/>
                        <w:rPr>
                          <w:color w:val="FF0000"/>
                        </w:rPr>
                      </w:pPr>
                      <w:r>
                        <w:rPr>
                          <w:rFonts w:hint="eastAsia"/>
                          <w:color w:val="FF0000"/>
                        </w:rPr>
                        <w:t>1</w:t>
                      </w:r>
                    </w:p>
                  </w:txbxContent>
                </v:textbox>
              </v:shape>
            </w:pict>
          </mc:Fallback>
        </mc:AlternateContent>
      </w:r>
      <w:r>
        <w:rPr>
          <w:rFonts w:hint="default" w:ascii="Times New Roman" w:hAnsi="Times New Roman" w:cs="Times New Roman"/>
          <w:color w:val="auto"/>
        </w:rPr>
        <w:drawing>
          <wp:inline distT="0" distB="0" distL="114300" distR="114300">
            <wp:extent cx="4800600" cy="3562350"/>
            <wp:effectExtent l="0" t="0" r="0" b="635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25"/>
                    <a:stretch>
                      <a:fillRect/>
                    </a:stretch>
                  </pic:blipFill>
                  <pic:spPr>
                    <a:xfrm>
                      <a:off x="0" y="0"/>
                      <a:ext cx="4800600" cy="3562350"/>
                    </a:xfrm>
                    <a:prstGeom prst="rect">
                      <a:avLst/>
                    </a:prstGeom>
                    <a:noFill/>
                    <a:ln>
                      <a:noFill/>
                    </a:ln>
                  </pic:spPr>
                </pic:pic>
              </a:graphicData>
            </a:graphic>
          </wp:inline>
        </w:drawing>
      </w:r>
    </w:p>
    <w:p>
      <w:pPr>
        <w:spacing w:line="240" w:lineRule="auto"/>
        <w:ind w:firstLine="0" w:firstLineChars="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图2.1   项目地理位置示意图</w:t>
      </w:r>
    </w:p>
    <w:p>
      <w:pPr>
        <w:pStyle w:val="5"/>
        <w:spacing w:before="156" w:beforeLines="50"/>
        <w:rPr>
          <w:rFonts w:hint="default" w:ascii="Times New Roman" w:hAnsi="Times New Roman" w:cs="Times New Roman"/>
          <w:color w:val="auto"/>
        </w:rPr>
      </w:pPr>
      <w:r>
        <w:rPr>
          <w:rFonts w:hint="default" w:ascii="Times New Roman" w:hAnsi="Times New Roman" w:cs="Times New Roman"/>
          <w:color w:val="auto"/>
        </w:rPr>
        <w:t>2.1.3项目建设现状及水土保持开展情况介绍</w:t>
      </w:r>
    </w:p>
    <w:p>
      <w:pPr>
        <w:pStyle w:val="1102"/>
        <w:rPr>
          <w:rFonts w:hint="default" w:ascii="Times New Roman" w:hAnsi="Times New Roman" w:cs="Times New Roman"/>
          <w:color w:val="auto"/>
        </w:rPr>
      </w:pPr>
      <w:r>
        <w:rPr>
          <w:rFonts w:hint="default" w:ascii="Times New Roman" w:hAnsi="Times New Roman" w:cs="Times New Roman"/>
          <w:color w:val="auto"/>
        </w:rPr>
        <w:t>根据2020年7月份现场踏勘、调查，项目已于2017年11月完工；参建单位：设计单位四川构想建筑工程设计有限公司、施工单位四川恒和水利建设工程有限公司司、监理单位四川思诚工程项目管理有限公司。</w:t>
      </w:r>
    </w:p>
    <w:p>
      <w:pPr>
        <w:pStyle w:val="1102"/>
        <w:rPr>
          <w:rFonts w:hint="default" w:ascii="Times New Roman" w:hAnsi="Times New Roman" w:eastAsia="仿宋_GB2312" w:cs="Times New Roman"/>
          <w:color w:val="auto"/>
        </w:rPr>
      </w:pPr>
      <w:r>
        <w:rPr>
          <w:rFonts w:hint="default" w:ascii="Times New Roman" w:hAnsi="Times New Roman" w:cs="Times New Roman"/>
          <w:color w:val="auto"/>
        </w:rPr>
        <w:t>本项目仅建设1栋教学综合楼，工程规模小，土建工期较短，且土建施</w:t>
      </w:r>
      <w:r>
        <w:rPr>
          <w:rFonts w:hint="default" w:ascii="Times New Roman" w:hAnsi="Times New Roman" w:eastAsia="仿宋_GB2312" w:cs="Times New Roman"/>
          <w:color w:val="auto"/>
        </w:rPr>
        <w:t>工避开雨季；基础挖方期间实施有防雨布遮盖措施，临时遮盖面积600m</w:t>
      </w:r>
      <w:r>
        <w:rPr>
          <w:rFonts w:hint="default" w:ascii="Times New Roman" w:hAnsi="Times New Roman" w:eastAsia="仿宋_GB2312" w:cs="Times New Roman"/>
          <w:color w:val="auto"/>
          <w:vertAlign w:val="superscript"/>
        </w:rPr>
        <w:t>2</w:t>
      </w:r>
      <w:r>
        <w:rPr>
          <w:rFonts w:hint="default" w:ascii="Times New Roman" w:hAnsi="Times New Roman" w:eastAsia="仿宋_GB2312" w:cs="Times New Roman"/>
          <w:color w:val="auto"/>
          <w:kern w:val="0"/>
        </w:rPr>
        <w:t>。主体工程在教学综合楼北侧实施草坪绿化0.03hm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rPr>
        <w:t>。主体</w:t>
      </w:r>
      <w:r>
        <w:rPr>
          <w:rFonts w:hint="default" w:ascii="Times New Roman" w:hAnsi="Times New Roman" w:eastAsia="仿宋_GB2312" w:cs="Times New Roman"/>
          <w:color w:val="auto"/>
          <w:lang w:eastAsia="zh-CN"/>
        </w:rPr>
        <w:t>已</w:t>
      </w:r>
      <w:r>
        <w:rPr>
          <w:rFonts w:hint="default" w:ascii="Times New Roman" w:hAnsi="Times New Roman" w:eastAsia="仿宋_GB2312" w:cs="Times New Roman"/>
          <w:color w:val="auto"/>
        </w:rPr>
        <w:t>实施雨水立管96m，道路硬化区实施雨水管200m；雨水管为整个地表主要的排水设施，能有效排泄场地内径流，防治雨水冲刷土壤而造成水土流失。</w:t>
      </w:r>
    </w:p>
    <w:p>
      <w:pPr>
        <w:bidi w:val="0"/>
        <w:rPr>
          <w:rFonts w:hint="default" w:ascii="Times New Roman" w:hAnsi="Times New Roman" w:eastAsia="仿宋_GB2312" w:cs="Times New Roman"/>
          <w:color w:val="auto"/>
        </w:rPr>
      </w:pPr>
      <w:r>
        <w:rPr>
          <w:rFonts w:hint="default" w:ascii="Times New Roman" w:hAnsi="Times New Roman" w:eastAsia="仿宋_GB2312" w:cs="Times New Roman"/>
          <w:color w:val="auto"/>
        </w:rPr>
        <w:t>经现场调查，主体工程已经实施的水土保持措施主要有</w:t>
      </w:r>
      <w:r>
        <w:rPr>
          <w:rFonts w:hint="default" w:ascii="Times New Roman" w:hAnsi="Times New Roman" w:eastAsia="仿宋_GB2312" w:cs="Times New Roman"/>
          <w:color w:val="auto"/>
          <w:lang w:eastAsia="zh-CN"/>
        </w:rPr>
        <w:t>雨水管、草坪绿化、防雨布遮盖，</w:t>
      </w:r>
      <w:r>
        <w:rPr>
          <w:rFonts w:hint="default" w:ascii="Times New Roman" w:hAnsi="Times New Roman" w:eastAsia="仿宋_GB2312" w:cs="Times New Roman"/>
          <w:color w:val="auto"/>
        </w:rPr>
        <w:t>施工出入口洗车池以及建筑材料防雨布遮盖；</w:t>
      </w:r>
      <w:r>
        <w:rPr>
          <w:rFonts w:hint="default" w:ascii="Times New Roman" w:hAnsi="Times New Roman" w:eastAsia="仿宋_GB2312" w:cs="Times New Roman"/>
          <w:color w:val="auto"/>
          <w:lang w:eastAsia="zh-CN"/>
        </w:rPr>
        <w:t>防雨布的临时遮盖措施</w:t>
      </w:r>
      <w:r>
        <w:rPr>
          <w:rFonts w:hint="default" w:ascii="Times New Roman" w:hAnsi="Times New Roman" w:eastAsia="仿宋_GB2312" w:cs="Times New Roman"/>
          <w:color w:val="auto"/>
        </w:rPr>
        <w:t>可防止</w:t>
      </w:r>
      <w:r>
        <w:rPr>
          <w:rFonts w:hint="default" w:ascii="Times New Roman" w:hAnsi="Times New Roman" w:eastAsia="仿宋_GB2312" w:cs="Times New Roman"/>
          <w:color w:val="auto"/>
          <w:lang w:eastAsia="zh-CN"/>
        </w:rPr>
        <w:t>土建期</w:t>
      </w:r>
      <w:r>
        <w:rPr>
          <w:rFonts w:hint="default" w:ascii="Times New Roman" w:hAnsi="Times New Roman" w:eastAsia="仿宋_GB2312" w:cs="Times New Roman"/>
          <w:color w:val="auto"/>
        </w:rPr>
        <w:t>水土流失，本项目位于乡镇区域，防雨布遮盖可有效抑尘。</w:t>
      </w:r>
    </w:p>
    <w:p>
      <w:pPr>
        <w:bidi w:val="0"/>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rPr>
        <w:t>经调查回访，项目</w:t>
      </w:r>
      <w:r>
        <w:rPr>
          <w:rFonts w:hint="default" w:ascii="Times New Roman" w:hAnsi="Times New Roman" w:eastAsia="仿宋_GB2312" w:cs="Times New Roman"/>
          <w:color w:val="auto"/>
          <w:lang w:eastAsia="zh-CN"/>
        </w:rPr>
        <w:t>在施工中</w:t>
      </w:r>
      <w:r>
        <w:rPr>
          <w:rFonts w:hint="default" w:ascii="Times New Roman" w:hAnsi="Times New Roman" w:eastAsia="仿宋_GB2312" w:cs="Times New Roman"/>
          <w:color w:val="auto"/>
        </w:rPr>
        <w:t>未造成水土流失，没有因水土流失而引起的纠纷、投诉等。从现状场地看草坪绿化基本覆盖裸露地表，植被盖度较高；后续电缆敷设对景观绿地进行了扰动、破坏，造成了一定的裸露地表，存在少量临时堆方，这些区域在雨季易造成水土流失</w:t>
      </w:r>
      <w:r>
        <w:rPr>
          <w:rFonts w:hint="default" w:ascii="Times New Roman" w:hAnsi="Times New Roman" w:eastAsia="仿宋_GB2312" w:cs="Times New Roman"/>
          <w:color w:val="auto"/>
          <w:lang w:eastAsia="zh-CN"/>
        </w:rPr>
        <w:t>；方案新增土地整治、撒播草籽、抚育管理措施。</w:t>
      </w:r>
    </w:p>
    <w:p>
      <w:pPr>
        <w:autoSpaceDE w:val="0"/>
        <w:autoSpaceDN w:val="0"/>
        <w:adjustRightInd w:val="0"/>
        <w:spacing w:line="240" w:lineRule="auto"/>
        <w:ind w:firstLine="422"/>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color w:val="auto"/>
          <w:kern w:val="0"/>
          <w:sz w:val="21"/>
          <w:szCs w:val="21"/>
        </w:rPr>
        <w:t>表2-3    项目建设进度及相关水保措施一览表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59"/>
        <w:gridCol w:w="2520"/>
        <w:gridCol w:w="1950"/>
        <w:gridCol w:w="1839"/>
        <w:gridCol w:w="12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562" w:type="pct"/>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建设区域</w:t>
            </w:r>
          </w:p>
        </w:tc>
        <w:tc>
          <w:tcPr>
            <w:tcW w:w="1477" w:type="pct"/>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临时防护措施情况</w:t>
            </w:r>
          </w:p>
        </w:tc>
        <w:tc>
          <w:tcPr>
            <w:tcW w:w="1143" w:type="pct"/>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工程措施实施情况</w:t>
            </w:r>
          </w:p>
        </w:tc>
        <w:tc>
          <w:tcPr>
            <w:tcW w:w="1078" w:type="pct"/>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植物措施实施情况</w:t>
            </w:r>
          </w:p>
        </w:tc>
        <w:tc>
          <w:tcPr>
            <w:tcW w:w="738" w:type="pct"/>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形象进度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562"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建筑工程</w:t>
            </w:r>
          </w:p>
        </w:tc>
        <w:tc>
          <w:tcPr>
            <w:tcW w:w="147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防雨布遮盖600m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（已实施）</w:t>
            </w:r>
          </w:p>
        </w:tc>
        <w:tc>
          <w:tcPr>
            <w:tcW w:w="1143"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雨水管96m（已实施）</w:t>
            </w:r>
          </w:p>
        </w:tc>
        <w:tc>
          <w:tcPr>
            <w:tcW w:w="107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73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已完工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562"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道路工程</w:t>
            </w:r>
          </w:p>
        </w:tc>
        <w:tc>
          <w:tcPr>
            <w:tcW w:w="147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防雨布遮盖400m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（已实施）</w:t>
            </w:r>
          </w:p>
        </w:tc>
        <w:tc>
          <w:tcPr>
            <w:tcW w:w="1143"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雨水管200m（已实施）</w:t>
            </w:r>
          </w:p>
        </w:tc>
        <w:tc>
          <w:tcPr>
            <w:tcW w:w="107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73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已完工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562"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绿化工程</w:t>
            </w:r>
          </w:p>
        </w:tc>
        <w:tc>
          <w:tcPr>
            <w:tcW w:w="147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1143"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107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草坪绿化300m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（已实施）</w:t>
            </w:r>
          </w:p>
        </w:tc>
        <w:tc>
          <w:tcPr>
            <w:tcW w:w="73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已完工</w:t>
            </w:r>
          </w:p>
        </w:tc>
      </w:tr>
    </w:tbl>
    <w:p>
      <w:pPr>
        <w:pStyle w:val="1102"/>
        <w:jc w:val="left"/>
        <w:rPr>
          <w:rFonts w:hint="default" w:ascii="Times New Roman" w:hAnsi="Times New Roman" w:cs="Times New Roman"/>
          <w:color w:val="auto"/>
        </w:rPr>
      </w:pPr>
    </w:p>
    <w:p>
      <w:pPr>
        <w:pStyle w:val="1102"/>
        <w:spacing w:line="240" w:lineRule="auto"/>
        <w:ind w:firstLine="0" w:firstLineChars="0"/>
        <w:jc w:val="center"/>
        <w:rPr>
          <w:rFonts w:hint="default" w:ascii="Times New Roman" w:hAnsi="Times New Roman" w:cs="Times New Roman"/>
          <w:b/>
          <w:color w:val="auto"/>
          <w:sz w:val="21"/>
        </w:rPr>
      </w:pPr>
      <w:r>
        <w:rPr>
          <w:rFonts w:hint="default" w:ascii="Times New Roman" w:hAnsi="Times New Roman" w:cs="Times New Roman"/>
          <w:b/>
          <w:color w:val="auto"/>
          <w:sz w:val="21"/>
        </w:rPr>
        <w:drawing>
          <wp:inline distT="0" distB="0" distL="114300" distR="114300">
            <wp:extent cx="4618355" cy="3463925"/>
            <wp:effectExtent l="0" t="0" r="10795" b="3175"/>
            <wp:docPr id="8" name="图片 8" descr="微信图片_2020080311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00803112038"/>
                    <pic:cNvPicPr>
                      <a:picLocks noChangeAspect="1"/>
                    </pic:cNvPicPr>
                  </pic:nvPicPr>
                  <pic:blipFill>
                    <a:blip r:embed="rId26"/>
                    <a:stretch>
                      <a:fillRect/>
                    </a:stretch>
                  </pic:blipFill>
                  <pic:spPr>
                    <a:xfrm>
                      <a:off x="0" y="0"/>
                      <a:ext cx="4618355" cy="3463925"/>
                    </a:xfrm>
                    <a:prstGeom prst="rect">
                      <a:avLst/>
                    </a:prstGeom>
                  </pic:spPr>
                </pic:pic>
              </a:graphicData>
            </a:graphic>
          </wp:inline>
        </w:drawing>
      </w:r>
    </w:p>
    <w:p>
      <w:pPr>
        <w:pStyle w:val="1102"/>
        <w:spacing w:line="240" w:lineRule="auto"/>
        <w:ind w:firstLine="0" w:firstLineChars="0"/>
        <w:jc w:val="center"/>
        <w:rPr>
          <w:rFonts w:hint="default" w:ascii="Times New Roman" w:hAnsi="Times New Roman" w:cs="Times New Roman"/>
          <w:b/>
          <w:color w:val="auto"/>
          <w:sz w:val="21"/>
        </w:rPr>
      </w:pPr>
      <w:r>
        <w:rPr>
          <w:rFonts w:hint="default" w:ascii="Times New Roman" w:hAnsi="Times New Roman" w:cs="Times New Roman"/>
          <w:b/>
          <w:color w:val="auto"/>
          <w:sz w:val="21"/>
        </w:rPr>
        <w:t>图2.2   教学综合楼北侧绿地（2020年7月）</w:t>
      </w:r>
    </w:p>
    <w:p>
      <w:pPr>
        <w:pStyle w:val="1102"/>
        <w:ind w:firstLine="0" w:firstLineChars="0"/>
        <w:jc w:val="center"/>
        <w:rPr>
          <w:rFonts w:hint="default" w:ascii="Times New Roman" w:hAnsi="Times New Roman" w:cs="Times New Roman"/>
          <w:b/>
          <w:color w:val="auto"/>
          <w:sz w:val="21"/>
        </w:rPr>
      </w:pPr>
      <w:r>
        <w:rPr>
          <w:rFonts w:hint="default" w:ascii="Times New Roman" w:hAnsi="Times New Roman" w:cs="Times New Roman"/>
          <w:b/>
          <w:color w:val="auto"/>
          <w:sz w:val="21"/>
        </w:rPr>
        <w:drawing>
          <wp:inline distT="0" distB="0" distL="114300" distR="114300">
            <wp:extent cx="4575175" cy="3431540"/>
            <wp:effectExtent l="0" t="0" r="15875" b="16510"/>
            <wp:docPr id="10" name="图片 10" descr="微信图片_2020080311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00803112035"/>
                    <pic:cNvPicPr>
                      <a:picLocks noChangeAspect="1"/>
                    </pic:cNvPicPr>
                  </pic:nvPicPr>
                  <pic:blipFill>
                    <a:blip r:embed="rId27"/>
                    <a:stretch>
                      <a:fillRect/>
                    </a:stretch>
                  </pic:blipFill>
                  <pic:spPr>
                    <a:xfrm>
                      <a:off x="0" y="0"/>
                      <a:ext cx="4575175" cy="3431540"/>
                    </a:xfrm>
                    <a:prstGeom prst="rect">
                      <a:avLst/>
                    </a:prstGeom>
                  </pic:spPr>
                </pic:pic>
              </a:graphicData>
            </a:graphic>
          </wp:inline>
        </w:drawing>
      </w:r>
    </w:p>
    <w:p>
      <w:pPr>
        <w:pStyle w:val="1102"/>
        <w:spacing w:line="240" w:lineRule="auto"/>
        <w:ind w:firstLine="0" w:firstLineChars="0"/>
        <w:jc w:val="center"/>
        <w:rPr>
          <w:rFonts w:hint="default" w:ascii="Times New Roman" w:hAnsi="Times New Roman" w:cs="Times New Roman"/>
          <w:b/>
          <w:color w:val="auto"/>
          <w:sz w:val="21"/>
        </w:rPr>
      </w:pPr>
      <w:r>
        <w:rPr>
          <w:rFonts w:hint="default" w:ascii="Times New Roman" w:hAnsi="Times New Roman" w:cs="Times New Roman"/>
          <w:b/>
          <w:color w:val="auto"/>
          <w:sz w:val="21"/>
        </w:rPr>
        <w:t>图2.3   绿地电缆管线沟槽开挖施工（2020年7月）</w:t>
      </w:r>
    </w:p>
    <w:p>
      <w:pPr>
        <w:pStyle w:val="5"/>
        <w:spacing w:before="156" w:beforeLines="50"/>
        <w:rPr>
          <w:rFonts w:hint="default" w:ascii="Times New Roman" w:hAnsi="Times New Roman" w:cs="Times New Roman"/>
          <w:color w:val="auto"/>
        </w:rPr>
      </w:pPr>
      <w:r>
        <w:rPr>
          <w:rFonts w:hint="default" w:ascii="Times New Roman" w:hAnsi="Times New Roman" w:cs="Times New Roman"/>
          <w:color w:val="auto"/>
        </w:rPr>
        <w:t>2.1.4平面布置</w:t>
      </w:r>
    </w:p>
    <w:p>
      <w:pPr>
        <w:ind w:firstLine="460" w:firstLineChars="192"/>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本项目在原有校园内建设，原始占地类型为教育用地，项目区内无表土可剥离，建筑挖方临时堆放在建筑占地范围内，没有集中设置临时堆土区；临时办公用房及工人食宿均租用民房，没有在项目区内设置临建设施；施工道路依托市政道路阳嘎北街等。</w:t>
      </w:r>
    </w:p>
    <w:p>
      <w:pPr>
        <w:ind w:firstLine="460" w:firstLineChars="192"/>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根据主体平面布置，此次建设的教学综合楼位于校园东侧。教学综合楼实施有雨水立管，以汇集屋面径流；道路硬化区域实施有雨水管措施；教学综合楼北侧空地主体工程实施有草坪绿化，其余区域进行了硬化处理。</w:t>
      </w:r>
    </w:p>
    <w:p>
      <w:pPr>
        <w:tabs>
          <w:tab w:val="left" w:pos="6173"/>
        </w:tabs>
        <w:adjustRightInd w:val="0"/>
        <w:snapToGrid w:val="0"/>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根据主体工程给排水设计，教育综合楼从校园内接入2路给水管，雨污水接入校园既有雨污管网。</w:t>
      </w:r>
    </w:p>
    <w:p>
      <w:pPr>
        <w:pStyle w:val="5"/>
        <w:spacing w:before="156" w:beforeLines="50"/>
        <w:rPr>
          <w:rFonts w:hint="default" w:ascii="Times New Roman" w:hAnsi="Times New Roman" w:cs="Times New Roman"/>
          <w:color w:val="auto"/>
        </w:rPr>
      </w:pPr>
      <w:r>
        <w:rPr>
          <w:rFonts w:hint="default" w:ascii="Times New Roman" w:hAnsi="Times New Roman" w:cs="Times New Roman"/>
          <w:color w:val="auto"/>
        </w:rPr>
        <w:t>2.1.5竖向布置</w:t>
      </w:r>
    </w:p>
    <w:p>
      <w:pPr>
        <w:tabs>
          <w:tab w:val="left" w:pos="6173"/>
        </w:tabs>
        <w:adjustRightInd w:val="0"/>
        <w:snapToGrid w:val="0"/>
        <w:ind w:firstLine="480"/>
        <w:rPr>
          <w:rFonts w:hint="default" w:ascii="Times New Roman" w:hAnsi="Times New Roman" w:eastAsia="仿宋_GB2312" w:cs="Times New Roman"/>
          <w:iCs/>
          <w:color w:val="auto"/>
        </w:rPr>
      </w:pPr>
      <w:bookmarkStart w:id="45" w:name="_Toc32623"/>
      <w:r>
        <w:rPr>
          <w:rFonts w:hint="default" w:ascii="Times New Roman" w:hAnsi="Times New Roman" w:eastAsia="仿宋_GB2312" w:cs="Times New Roman"/>
          <w:color w:val="auto"/>
          <w:szCs w:val="24"/>
        </w:rPr>
        <w:t>根据《地勘</w:t>
      </w:r>
      <w:r>
        <w:rPr>
          <w:rFonts w:hint="default" w:ascii="Times New Roman" w:hAnsi="Times New Roman" w:eastAsia="仿宋_GB2312" w:cs="Times New Roman"/>
          <w:iCs/>
          <w:color w:val="auto"/>
        </w:rPr>
        <w:t>报告》，勘察测得各勘探孔孔口高程介于3500.00～3500.61m之间，相对高差0.61m，地貌单一。</w:t>
      </w:r>
    </w:p>
    <w:p>
      <w:pPr>
        <w:tabs>
          <w:tab w:val="left" w:pos="6173"/>
        </w:tabs>
        <w:adjustRightInd w:val="0"/>
        <w:snapToGrid w:val="0"/>
        <w:ind w:firstLine="480"/>
        <w:rPr>
          <w:rFonts w:hint="default" w:ascii="Times New Roman" w:hAnsi="Times New Roman" w:eastAsia="仿宋_GB2312" w:cs="Times New Roman"/>
          <w:color w:val="auto"/>
        </w:rPr>
      </w:pPr>
      <w:r>
        <w:rPr>
          <w:rFonts w:hint="default" w:ascii="Times New Roman" w:hAnsi="Times New Roman" w:eastAsia="仿宋_GB2312" w:cs="Times New Roman"/>
          <w:iCs/>
          <w:color w:val="auto"/>
        </w:rPr>
        <w:t>根据施工图设计，</w:t>
      </w:r>
      <w:r>
        <w:rPr>
          <w:rFonts w:hint="default" w:ascii="Times New Roman" w:hAnsi="Times New Roman" w:eastAsia="仿宋_GB2312" w:cs="Times New Roman"/>
          <w:iCs/>
          <w:color w:val="auto"/>
          <w:lang w:eastAsia="zh-CN"/>
        </w:rPr>
        <w:t>项目室外设计高程基本跟既有校园高程一致，这样的竖向布置有利于教学综合楼周围的雨水径流能进入校园内的既有雨水口；从教学综合楼的设计高程看，其建筑设计高程略高于室外总坪高程，使得雨水径流不能倒流至教学综合楼；</w:t>
      </w:r>
      <w:r>
        <w:rPr>
          <w:rFonts w:hint="default" w:ascii="Times New Roman" w:hAnsi="Times New Roman" w:eastAsia="仿宋_GB2312" w:cs="Times New Roman"/>
          <w:iCs/>
          <w:color w:val="auto"/>
        </w:rPr>
        <w:t>教学综合楼±0.00（3500.45m）。</w:t>
      </w:r>
      <w:r>
        <w:rPr>
          <w:rFonts w:hint="default" w:ascii="Times New Roman" w:hAnsi="Times New Roman" w:eastAsia="仿宋_GB2312" w:cs="Times New Roman"/>
          <w:color w:val="auto"/>
        </w:rPr>
        <w:t>根据“一层给排水总平面图”项目给水、污水、雨水沟挖深1.5m～1.70m。</w:t>
      </w:r>
    </w:p>
    <w:bookmarkEnd w:id="45"/>
    <w:p>
      <w:pPr>
        <w:pStyle w:val="5"/>
        <w:spacing w:before="156" w:beforeLines="50"/>
        <w:rPr>
          <w:rFonts w:hint="default" w:ascii="Times New Roman" w:hAnsi="Times New Roman" w:cs="Times New Roman"/>
          <w:color w:val="auto"/>
        </w:rPr>
      </w:pPr>
      <w:r>
        <w:rPr>
          <w:rFonts w:hint="default" w:ascii="Times New Roman" w:hAnsi="Times New Roman" w:cs="Times New Roman"/>
          <w:color w:val="auto"/>
        </w:rPr>
        <w:t>2.1.6项目组成</w:t>
      </w:r>
    </w:p>
    <w:p>
      <w:pPr>
        <w:autoSpaceDE w:val="0"/>
        <w:autoSpaceDN w:val="0"/>
        <w:adjustRightInd w:val="0"/>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szCs w:val="24"/>
        </w:rPr>
        <w:t>本项目建设内容包括主体工程（教学综合楼）；道路工程；绿化工程；附属工程（给水系统、排水系统、供配电系统）</w:t>
      </w:r>
      <w:r>
        <w:rPr>
          <w:rFonts w:hint="default" w:ascii="Times New Roman" w:hAnsi="Times New Roman" w:eastAsia="仿宋_GB2312" w:cs="Times New Roman"/>
          <w:color w:val="auto"/>
          <w:kern w:val="0"/>
        </w:rPr>
        <w:t>等。</w:t>
      </w:r>
    </w:p>
    <w:p>
      <w:pPr>
        <w:spacing w:line="240" w:lineRule="auto"/>
        <w:ind w:firstLine="42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表2-4   项目组成表</w:t>
      </w:r>
    </w:p>
    <w:tbl>
      <w:tblPr>
        <w:tblStyle w:val="61"/>
        <w:tblW w:w="836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96"/>
        <w:gridCol w:w="851"/>
        <w:gridCol w:w="69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7" w:hRule="atLeast"/>
          <w:tblHeader/>
          <w:jc w:val="center"/>
        </w:trPr>
        <w:tc>
          <w:tcPr>
            <w:tcW w:w="1447" w:type="dxa"/>
            <w:gridSpan w:val="2"/>
            <w:vAlign w:val="center"/>
          </w:tcPr>
          <w:p>
            <w:pPr>
              <w:widowControl/>
              <w:autoSpaceDN w:val="0"/>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工程项目</w:t>
            </w:r>
          </w:p>
        </w:tc>
        <w:tc>
          <w:tcPr>
            <w:tcW w:w="6922" w:type="dxa"/>
            <w:vAlign w:val="center"/>
          </w:tcPr>
          <w:p>
            <w:pPr>
              <w:widowControl/>
              <w:autoSpaceDN w:val="0"/>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9" w:hRule="atLeast"/>
          <w:jc w:val="center"/>
        </w:trPr>
        <w:tc>
          <w:tcPr>
            <w:tcW w:w="596" w:type="dxa"/>
            <w:vAlign w:val="center"/>
          </w:tcPr>
          <w:p>
            <w:pPr>
              <w:widowControl/>
              <w:autoSpaceDN w:val="0"/>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建筑工程</w:t>
            </w:r>
          </w:p>
        </w:tc>
        <w:tc>
          <w:tcPr>
            <w:tcW w:w="851" w:type="dxa"/>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教学综合楼</w:t>
            </w:r>
          </w:p>
        </w:tc>
        <w:tc>
          <w:tcPr>
            <w:tcW w:w="6922" w:type="dxa"/>
            <w:vAlign w:val="center"/>
          </w:tcPr>
          <w:p>
            <w:pPr>
              <w:widowControl/>
              <w:autoSpaceDN w:val="0"/>
              <w:spacing w:line="240" w:lineRule="auto"/>
              <w:ind w:firstLine="36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教学综合楼：总建筑面积2352.68</w:t>
            </w:r>
            <w:r>
              <w:rPr>
                <w:rFonts w:hint="default" w:ascii="Times New Roman" w:hAnsi="Times New Roman" w:eastAsia="仿宋_GB2312" w:cs="Times New Roman"/>
                <w:color w:val="auto"/>
                <w:kern w:val="0"/>
                <w:sz w:val="18"/>
                <w:szCs w:val="18"/>
              </w:rPr>
              <w:t>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、筑基底面积593.88m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、建筑总层数4层、建筑高度16.23m；结构类型及抗震设防烈度：框架结构，抗震设防烈度为Ⅵ度。建筑耐久年限：设计使用年限50年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9" w:hRule="atLeast"/>
          <w:jc w:val="center"/>
        </w:trPr>
        <w:tc>
          <w:tcPr>
            <w:tcW w:w="1447" w:type="dxa"/>
            <w:gridSpan w:val="2"/>
            <w:vAlign w:val="center"/>
          </w:tcPr>
          <w:p>
            <w:pPr>
              <w:widowControl/>
              <w:autoSpaceDN w:val="0"/>
              <w:spacing w:line="240" w:lineRule="auto"/>
              <w:ind w:firstLine="36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道路工程</w:t>
            </w:r>
          </w:p>
        </w:tc>
        <w:tc>
          <w:tcPr>
            <w:tcW w:w="6922" w:type="dxa"/>
            <w:vAlign w:val="center"/>
          </w:tcPr>
          <w:p>
            <w:pPr>
              <w:widowControl/>
              <w:autoSpaceDN w:val="0"/>
              <w:spacing w:line="240" w:lineRule="auto"/>
              <w:ind w:firstLine="36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道路硬化工程为人行道路；人行道占地0.03hm2。由此次建设的教育综合楼位于校园内，本建筑交通依托既有校园内的道路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1" w:hRule="atLeast"/>
          <w:jc w:val="center"/>
        </w:trPr>
        <w:tc>
          <w:tcPr>
            <w:tcW w:w="1447" w:type="dxa"/>
            <w:gridSpan w:val="2"/>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绿化工程</w:t>
            </w:r>
          </w:p>
        </w:tc>
        <w:tc>
          <w:tcPr>
            <w:tcW w:w="6922" w:type="dxa"/>
            <w:vAlign w:val="center"/>
          </w:tcPr>
          <w:p>
            <w:pPr>
              <w:pStyle w:val="1102"/>
              <w:spacing w:line="240" w:lineRule="auto"/>
              <w:ind w:firstLine="36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主体建筑完工后，对教学综合楼北侧空地进行了绿化，实施草坪绿化0.03hm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。草种采用</w:t>
            </w:r>
            <w:r>
              <w:rPr>
                <w:rFonts w:hint="default" w:ascii="Times New Roman" w:hAnsi="Times New Roman" w:cs="Times New Roman"/>
                <w:color w:val="auto"/>
                <w:sz w:val="18"/>
                <w:szCs w:val="18"/>
                <w:lang w:eastAsia="zh-CN"/>
              </w:rPr>
              <w:t>披碱草</w:t>
            </w:r>
            <w:r>
              <w:rPr>
                <w:rFonts w:hint="default" w:ascii="Times New Roman" w:hAnsi="Times New Roman" w:cs="Times New Roman"/>
                <w:color w:val="auto"/>
                <w:sz w:val="18"/>
                <w:szCs w:val="18"/>
              </w:rPr>
              <w:t>和燕麦草1:1混播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6" w:type="dxa"/>
            <w:vMerge w:val="restart"/>
            <w:vAlign w:val="center"/>
          </w:tcPr>
          <w:p>
            <w:pPr>
              <w:autoSpaceDN w:val="0"/>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附属工程</w:t>
            </w:r>
          </w:p>
        </w:tc>
        <w:tc>
          <w:tcPr>
            <w:tcW w:w="851" w:type="dxa"/>
            <w:vAlign w:val="center"/>
          </w:tcPr>
          <w:p>
            <w:pPr>
              <w:widowControl/>
              <w:autoSpaceDN w:val="0"/>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给水系统</w:t>
            </w:r>
          </w:p>
        </w:tc>
        <w:tc>
          <w:tcPr>
            <w:tcW w:w="6922" w:type="dxa"/>
            <w:vAlign w:val="center"/>
          </w:tcPr>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项目室内给水系统采用由市政给水管网直接供水，市政供水压力为0.45MPa，在入口处设置加压阀，加压阀出口压力0.35MPa</w:t>
            </w:r>
          </w:p>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用水量：用水定额为50L/(人*天)，小时变化系数为1.5，用水时间9小时，人数为230人；最高日生活用水量为：11.5m</w:t>
            </w:r>
            <w:r>
              <w:rPr>
                <w:rFonts w:hint="default" w:ascii="Times New Roman" w:hAnsi="Times New Roman" w:eastAsia="仿宋_GB2312" w:cs="Times New Roman"/>
                <w:color w:val="auto"/>
                <w:sz w:val="18"/>
                <w:szCs w:val="18"/>
                <w:vertAlign w:val="superscript"/>
              </w:rPr>
              <w:t>3</w:t>
            </w:r>
            <w:r>
              <w:rPr>
                <w:rFonts w:hint="default" w:ascii="Times New Roman" w:hAnsi="Times New Roman" w:eastAsia="仿宋_GB2312" w:cs="Times New Roman"/>
                <w:color w:val="auto"/>
                <w:sz w:val="18"/>
                <w:szCs w:val="18"/>
              </w:rPr>
              <w:t>/d；最大小时用水量为1.92m</w:t>
            </w:r>
            <w:r>
              <w:rPr>
                <w:rFonts w:hint="default" w:ascii="Times New Roman" w:hAnsi="Times New Roman" w:eastAsia="仿宋_GB2312" w:cs="Times New Roman"/>
                <w:color w:val="auto"/>
                <w:sz w:val="18"/>
                <w:szCs w:val="18"/>
                <w:vertAlign w:val="superscript"/>
              </w:rPr>
              <w:t>3</w:t>
            </w:r>
            <w:r>
              <w:rPr>
                <w:rFonts w:hint="default" w:ascii="Times New Roman" w:hAnsi="Times New Roman" w:eastAsia="仿宋_GB2312" w:cs="Times New Roman"/>
                <w:color w:val="auto"/>
                <w:sz w:val="18"/>
                <w:szCs w:val="18"/>
              </w:rPr>
              <w:t>/h；最高日生活污水量为：10.4m</w:t>
            </w:r>
            <w:r>
              <w:rPr>
                <w:rFonts w:hint="default" w:ascii="Times New Roman" w:hAnsi="Times New Roman" w:eastAsia="仿宋_GB2312" w:cs="Times New Roman"/>
                <w:color w:val="auto"/>
                <w:sz w:val="18"/>
                <w:szCs w:val="18"/>
                <w:vertAlign w:val="superscript"/>
              </w:rPr>
              <w:t>3</w:t>
            </w:r>
            <w:r>
              <w:rPr>
                <w:rFonts w:hint="default" w:ascii="Times New Roman" w:hAnsi="Times New Roman" w:eastAsia="仿宋_GB2312" w:cs="Times New Roman"/>
                <w:color w:val="auto"/>
                <w:sz w:val="18"/>
                <w:szCs w:val="18"/>
              </w:rPr>
              <w:t>/d。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7" w:hRule="atLeast"/>
          <w:jc w:val="center"/>
        </w:trPr>
        <w:tc>
          <w:tcPr>
            <w:tcW w:w="596" w:type="dxa"/>
            <w:vMerge w:val="continue"/>
            <w:vAlign w:val="center"/>
          </w:tcPr>
          <w:p>
            <w:pPr>
              <w:widowControl/>
              <w:autoSpaceDN w:val="0"/>
              <w:spacing w:line="240" w:lineRule="auto"/>
              <w:ind w:firstLine="0" w:firstLineChars="0"/>
              <w:jc w:val="center"/>
              <w:rPr>
                <w:rFonts w:hint="default" w:ascii="Times New Roman" w:hAnsi="Times New Roman" w:eastAsia="仿宋_GB2312" w:cs="Times New Roman"/>
                <w:color w:val="auto"/>
                <w:sz w:val="18"/>
                <w:szCs w:val="18"/>
              </w:rPr>
            </w:pPr>
          </w:p>
        </w:tc>
        <w:tc>
          <w:tcPr>
            <w:tcW w:w="851" w:type="dxa"/>
            <w:vAlign w:val="center"/>
          </w:tcPr>
          <w:p>
            <w:pPr>
              <w:widowControl/>
              <w:autoSpaceDN w:val="0"/>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排水系统</w:t>
            </w:r>
          </w:p>
        </w:tc>
        <w:tc>
          <w:tcPr>
            <w:tcW w:w="6922" w:type="dxa"/>
            <w:vAlign w:val="center"/>
          </w:tcPr>
          <w:p>
            <w:pPr>
              <w:spacing w:line="240" w:lineRule="auto"/>
              <w:ind w:firstLine="36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fldChar w:fldCharType="begin"/>
            </w:r>
            <w:r>
              <w:rPr>
                <w:rFonts w:hint="default" w:ascii="Times New Roman" w:hAnsi="Times New Roman" w:eastAsia="仿宋_GB2312" w:cs="Times New Roman"/>
                <w:color w:val="auto"/>
                <w:sz w:val="18"/>
                <w:szCs w:val="18"/>
              </w:rPr>
              <w:instrText xml:space="preserve"> = 1 \* GB3 </w:instrText>
            </w:r>
            <w:r>
              <w:rPr>
                <w:rFonts w:hint="default" w:ascii="Times New Roman" w:hAnsi="Times New Roman" w:eastAsia="仿宋_GB2312" w:cs="Times New Roman"/>
                <w:color w:val="auto"/>
                <w:sz w:val="18"/>
                <w:szCs w:val="18"/>
              </w:rPr>
              <w:fldChar w:fldCharType="separate"/>
            </w:r>
            <w:r>
              <w:rPr>
                <w:rFonts w:hint="default" w:ascii="Times New Roman" w:hAnsi="Times New Roman" w:cs="Times New Roman"/>
                <w:color w:val="auto"/>
                <w:sz w:val="18"/>
                <w:szCs w:val="18"/>
              </w:rPr>
              <w:t>①</w:t>
            </w:r>
            <w:r>
              <w:rPr>
                <w:rFonts w:hint="default" w:ascii="Times New Roman" w:hAnsi="Times New Roman" w:eastAsia="仿宋_GB2312" w:cs="Times New Roman"/>
                <w:color w:val="auto"/>
                <w:sz w:val="18"/>
                <w:szCs w:val="18"/>
              </w:rPr>
              <w:fldChar w:fldCharType="end"/>
            </w:r>
            <w:r>
              <w:rPr>
                <w:rFonts w:hint="default" w:ascii="Times New Roman" w:hAnsi="Times New Roman" w:eastAsia="仿宋_GB2312" w:cs="Times New Roman"/>
                <w:color w:val="auto"/>
                <w:sz w:val="18"/>
                <w:szCs w:val="18"/>
              </w:rPr>
              <w:t>污水：室内采用分流制排水系统，卫生间污水设置排出管。室内污水重力自然流排至室外检查井，汇集至化粪池处理后排入市政污水管网。</w:t>
            </w:r>
          </w:p>
          <w:p>
            <w:pPr>
              <w:pStyle w:val="1102"/>
              <w:ind w:firstLine="360"/>
              <w:rPr>
                <w:rFonts w:hint="default" w:ascii="Times New Roman" w:hAnsi="Times New Roman" w:cs="Times New Roman"/>
                <w:b/>
                <w:color w:val="auto"/>
                <w:kern w:val="0"/>
                <w:sz w:val="18"/>
                <w:szCs w:val="18"/>
              </w:rPr>
            </w:pPr>
            <w:r>
              <w:rPr>
                <w:rFonts w:hint="default" w:ascii="Times New Roman" w:hAnsi="Times New Roman" w:cs="Times New Roman"/>
                <w:color w:val="auto"/>
                <w:sz w:val="18"/>
                <w:szCs w:val="18"/>
              </w:rPr>
              <w:fldChar w:fldCharType="begin"/>
            </w:r>
            <w:r>
              <w:rPr>
                <w:rFonts w:hint="default" w:ascii="Times New Roman" w:hAnsi="Times New Roman" w:cs="Times New Roman"/>
                <w:color w:val="auto"/>
                <w:sz w:val="18"/>
                <w:szCs w:val="18"/>
              </w:rPr>
              <w:instrText xml:space="preserve"> = 2 \* GB3 </w:instrText>
            </w:r>
            <w:r>
              <w:rPr>
                <w:rFonts w:hint="default" w:ascii="Times New Roman" w:hAnsi="Times New Roman" w:cs="Times New Roman"/>
                <w:color w:val="auto"/>
                <w:sz w:val="18"/>
                <w:szCs w:val="18"/>
              </w:rPr>
              <w:fldChar w:fldCharType="separate"/>
            </w:r>
            <w:r>
              <w:rPr>
                <w:rFonts w:hint="default" w:ascii="Times New Roman" w:hAnsi="Times New Roman" w:cs="Times New Roman"/>
                <w:color w:val="auto"/>
                <w:sz w:val="18"/>
                <w:szCs w:val="18"/>
              </w:rPr>
              <w:t>②</w:t>
            </w:r>
            <w:r>
              <w:rPr>
                <w:rFonts w:hint="default" w:ascii="Times New Roman" w:hAnsi="Times New Roman" w:cs="Times New Roman"/>
                <w:color w:val="auto"/>
                <w:sz w:val="18"/>
                <w:szCs w:val="18"/>
              </w:rPr>
              <w:fldChar w:fldCharType="end"/>
            </w:r>
            <w:r>
              <w:rPr>
                <w:rFonts w:hint="default" w:ascii="Times New Roman" w:hAnsi="Times New Roman" w:cs="Times New Roman"/>
                <w:color w:val="auto"/>
                <w:sz w:val="18"/>
                <w:szCs w:val="18"/>
              </w:rPr>
              <w:t>雨水：雨水管采用硬质聚氯乙烯(UPVC)排水管，粘结连接。教学综合楼实施雨水立管96m，平面上实施雨水管200m，以上雨水管均为DN100。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7" w:hRule="atLeast"/>
          <w:jc w:val="center"/>
        </w:trPr>
        <w:tc>
          <w:tcPr>
            <w:tcW w:w="596" w:type="dxa"/>
            <w:vMerge w:val="continue"/>
            <w:vAlign w:val="center"/>
          </w:tcPr>
          <w:p>
            <w:pPr>
              <w:widowControl/>
              <w:autoSpaceDN w:val="0"/>
              <w:spacing w:line="240" w:lineRule="auto"/>
              <w:ind w:firstLine="0" w:firstLineChars="0"/>
              <w:jc w:val="center"/>
              <w:rPr>
                <w:rFonts w:hint="default" w:ascii="Times New Roman" w:hAnsi="Times New Roman" w:eastAsia="仿宋_GB2312" w:cs="Times New Roman"/>
                <w:color w:val="auto"/>
                <w:sz w:val="18"/>
                <w:szCs w:val="18"/>
              </w:rPr>
            </w:pPr>
          </w:p>
        </w:tc>
        <w:tc>
          <w:tcPr>
            <w:tcW w:w="851" w:type="dxa"/>
            <w:vAlign w:val="center"/>
          </w:tcPr>
          <w:p>
            <w:pPr>
              <w:widowControl/>
              <w:autoSpaceDN w:val="0"/>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供配电系统</w:t>
            </w:r>
          </w:p>
        </w:tc>
        <w:tc>
          <w:tcPr>
            <w:tcW w:w="6922" w:type="dxa"/>
            <w:vAlign w:val="center"/>
          </w:tcPr>
          <w:p>
            <w:pPr>
              <w:spacing w:line="240" w:lineRule="auto"/>
              <w:ind w:firstLine="36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电源由室外厢变引入，采用三相电源，50Hz，380/220V，三级负荷。采用TN-S接地形式，采用放射式供电。电源引入处进线设置隔离开关及保护电器。主要通道照明为二级负荷，集中设置蓄电池作为第二电源</w:t>
            </w:r>
          </w:p>
        </w:tc>
      </w:tr>
    </w:tbl>
    <w:p>
      <w:pPr>
        <w:ind w:firstLine="0" w:firstLineChars="0"/>
        <w:jc w:val="left"/>
        <w:outlineLvl w:val="3"/>
        <w:rPr>
          <w:rFonts w:hint="default" w:ascii="Times New Roman" w:hAnsi="Times New Roman" w:cs="Times New Roman"/>
          <w:b/>
          <w:color w:val="auto"/>
          <w:kern w:val="0"/>
        </w:rPr>
      </w:pPr>
      <w:r>
        <w:rPr>
          <w:rFonts w:hint="default" w:ascii="Times New Roman" w:hAnsi="Times New Roman" w:cs="Times New Roman"/>
          <w:b/>
          <w:color w:val="auto"/>
          <w:kern w:val="0"/>
        </w:rPr>
        <w:t>2.1.6.1建筑工程</w:t>
      </w:r>
    </w:p>
    <w:p>
      <w:pPr>
        <w:autoSpaceDE w:val="0"/>
        <w:autoSpaceDN w:val="0"/>
        <w:adjustRightInd w:val="0"/>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rPr>
        <w:t>本</w:t>
      </w:r>
      <w:r>
        <w:rPr>
          <w:rFonts w:hint="default" w:ascii="Times New Roman" w:hAnsi="Times New Roman" w:eastAsia="仿宋_GB2312" w:cs="Times New Roman"/>
          <w:color w:val="auto"/>
          <w:kern w:val="0"/>
          <w:szCs w:val="24"/>
        </w:rPr>
        <w:t>项目建筑工程指</w:t>
      </w:r>
      <w:r>
        <w:rPr>
          <w:rFonts w:hint="default" w:ascii="Times New Roman" w:hAnsi="Times New Roman" w:eastAsia="仿宋_GB2312" w:cs="Times New Roman"/>
          <w:color w:val="auto"/>
        </w:rPr>
        <w:t>教学综合楼：总建筑面积2352.68</w:t>
      </w:r>
      <w:r>
        <w:rPr>
          <w:rFonts w:hint="default" w:ascii="Times New Roman" w:hAnsi="Times New Roman" w:eastAsia="仿宋_GB2312" w:cs="Times New Roman"/>
          <w:color w:val="auto"/>
          <w:kern w:val="0"/>
          <w:szCs w:val="24"/>
        </w:rPr>
        <w:t>m</w:t>
      </w:r>
      <w:r>
        <w:rPr>
          <w:rFonts w:hint="default" w:ascii="Times New Roman" w:hAnsi="Times New Roman" w:eastAsia="仿宋_GB2312" w:cs="Times New Roman"/>
          <w:color w:val="auto"/>
          <w:kern w:val="0"/>
          <w:szCs w:val="24"/>
          <w:vertAlign w:val="superscript"/>
        </w:rPr>
        <w:t>2</w:t>
      </w:r>
      <w:r>
        <w:rPr>
          <w:rFonts w:hint="default" w:ascii="Times New Roman" w:hAnsi="Times New Roman" w:eastAsia="仿宋_GB2312" w:cs="Times New Roman"/>
          <w:color w:val="auto"/>
          <w:kern w:val="0"/>
          <w:szCs w:val="24"/>
        </w:rPr>
        <w:t>、筑基底面积593.88m</w:t>
      </w:r>
      <w:r>
        <w:rPr>
          <w:rFonts w:hint="default" w:ascii="Times New Roman" w:hAnsi="Times New Roman" w:eastAsia="仿宋_GB2312" w:cs="Times New Roman"/>
          <w:color w:val="auto"/>
          <w:kern w:val="0"/>
          <w:szCs w:val="24"/>
          <w:vertAlign w:val="superscript"/>
        </w:rPr>
        <w:t>2</w:t>
      </w:r>
      <w:r>
        <w:rPr>
          <w:rFonts w:hint="default" w:ascii="Times New Roman" w:hAnsi="Times New Roman" w:eastAsia="仿宋_GB2312" w:cs="Times New Roman"/>
          <w:color w:val="auto"/>
          <w:kern w:val="0"/>
          <w:szCs w:val="24"/>
        </w:rPr>
        <w:t>、建筑总层数4层、建筑高度16.23m；结构类型及抗震设防烈度：框架结构，抗震设防烈度为Ⅵ度。建筑耐久年限：设计使用年限50年。</w:t>
      </w:r>
      <w:r>
        <w:rPr>
          <w:rFonts w:hint="default" w:ascii="Times New Roman" w:hAnsi="Times New Roman" w:eastAsia="仿宋_GB2312" w:cs="Times New Roman"/>
          <w:color w:val="auto"/>
          <w:kern w:val="0"/>
        </w:rPr>
        <w:t>详见下表：</w:t>
      </w:r>
    </w:p>
    <w:p>
      <w:pPr>
        <w:spacing w:line="240" w:lineRule="auto"/>
        <w:ind w:firstLine="361"/>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表2-5   建构筑物一览表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82"/>
        <w:gridCol w:w="1100"/>
        <w:gridCol w:w="618"/>
        <w:gridCol w:w="943"/>
        <w:gridCol w:w="943"/>
        <w:gridCol w:w="931"/>
        <w:gridCol w:w="1054"/>
        <w:gridCol w:w="1054"/>
        <w:gridCol w:w="8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4" w:type="pct"/>
            <w:vAlign w:val="center"/>
          </w:tcPr>
          <w:p>
            <w:pPr>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建物名称</w:t>
            </w:r>
          </w:p>
        </w:tc>
        <w:tc>
          <w:tcPr>
            <w:tcW w:w="644" w:type="pct"/>
            <w:vAlign w:val="center"/>
          </w:tcPr>
          <w:p>
            <w:pPr>
              <w:widowControl/>
              <w:spacing w:line="240" w:lineRule="auto"/>
              <w:ind w:firstLine="0" w:firstLineChars="0"/>
              <w:jc w:val="center"/>
              <w:textAlignment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基底面积（m</w:t>
            </w:r>
            <w:r>
              <w:rPr>
                <w:rFonts w:hint="default" w:ascii="Times New Roman" w:hAnsi="Times New Roman" w:eastAsia="仿宋_GB2312" w:cs="Times New Roman"/>
                <w:b/>
                <w:color w:val="auto"/>
                <w:kern w:val="0"/>
                <w:sz w:val="18"/>
                <w:szCs w:val="18"/>
                <w:vertAlign w:val="superscript"/>
              </w:rPr>
              <w:t>2</w:t>
            </w:r>
            <w:r>
              <w:rPr>
                <w:rFonts w:hint="default" w:ascii="Times New Roman" w:hAnsi="Times New Roman" w:eastAsia="仿宋_GB2312" w:cs="Times New Roman"/>
                <w:b/>
                <w:color w:val="auto"/>
                <w:kern w:val="0"/>
                <w:sz w:val="18"/>
                <w:szCs w:val="18"/>
              </w:rPr>
              <w:t>）</w:t>
            </w:r>
          </w:p>
        </w:tc>
        <w:tc>
          <w:tcPr>
            <w:tcW w:w="362" w:type="pct"/>
            <w:vAlign w:val="center"/>
          </w:tcPr>
          <w:p>
            <w:pPr>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层数</w:t>
            </w:r>
          </w:p>
        </w:tc>
        <w:tc>
          <w:tcPr>
            <w:tcW w:w="552" w:type="pct"/>
            <w:vAlign w:val="center"/>
          </w:tcPr>
          <w:p>
            <w:pPr>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建筑高度（m）</w:t>
            </w:r>
          </w:p>
        </w:tc>
        <w:tc>
          <w:tcPr>
            <w:tcW w:w="552" w:type="pct"/>
            <w:vAlign w:val="center"/>
          </w:tcPr>
          <w:p>
            <w:pPr>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基础形式</w:t>
            </w:r>
          </w:p>
        </w:tc>
        <w:tc>
          <w:tcPr>
            <w:tcW w:w="545" w:type="pct"/>
            <w:vAlign w:val="center"/>
          </w:tcPr>
          <w:p>
            <w:pPr>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建筑面积（m</w:t>
            </w:r>
            <w:r>
              <w:rPr>
                <w:rFonts w:hint="default" w:ascii="Times New Roman" w:hAnsi="Times New Roman" w:eastAsia="仿宋_GB2312" w:cs="Times New Roman"/>
                <w:b/>
                <w:color w:val="auto"/>
                <w:sz w:val="18"/>
                <w:szCs w:val="18"/>
                <w:vertAlign w:val="superscript"/>
              </w:rPr>
              <w:t>2</w:t>
            </w:r>
            <w:r>
              <w:rPr>
                <w:rFonts w:hint="default" w:ascii="Times New Roman" w:hAnsi="Times New Roman" w:eastAsia="仿宋_GB2312" w:cs="Times New Roman"/>
                <w:b/>
                <w:color w:val="auto"/>
                <w:sz w:val="18"/>
                <w:szCs w:val="18"/>
              </w:rPr>
              <w:t>）</w:t>
            </w:r>
          </w:p>
        </w:tc>
        <w:tc>
          <w:tcPr>
            <w:tcW w:w="617" w:type="pct"/>
            <w:vAlign w:val="center"/>
          </w:tcPr>
          <w:p>
            <w:pPr>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基础埋深（m）</w:t>
            </w:r>
          </w:p>
        </w:tc>
        <w:tc>
          <w:tcPr>
            <w:tcW w:w="617" w:type="pct"/>
            <w:vAlign w:val="center"/>
          </w:tcPr>
          <w:p>
            <w:pPr>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结构形式</w:t>
            </w:r>
          </w:p>
        </w:tc>
        <w:tc>
          <w:tcPr>
            <w:tcW w:w="470" w:type="pct"/>
            <w:vAlign w:val="center"/>
          </w:tcPr>
          <w:p>
            <w:pPr>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4"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教学综合楼</w:t>
            </w:r>
          </w:p>
        </w:tc>
        <w:tc>
          <w:tcPr>
            <w:tcW w:w="644" w:type="pct"/>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593.88</w:t>
            </w:r>
          </w:p>
        </w:tc>
        <w:tc>
          <w:tcPr>
            <w:tcW w:w="362"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4F</w:t>
            </w:r>
          </w:p>
        </w:tc>
        <w:tc>
          <w:tcPr>
            <w:tcW w:w="552"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16.23</w:t>
            </w:r>
          </w:p>
        </w:tc>
        <w:tc>
          <w:tcPr>
            <w:tcW w:w="552"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独立基础</w:t>
            </w:r>
          </w:p>
        </w:tc>
        <w:tc>
          <w:tcPr>
            <w:tcW w:w="545" w:type="pct"/>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2352.68</w:t>
            </w:r>
          </w:p>
        </w:tc>
        <w:tc>
          <w:tcPr>
            <w:tcW w:w="617"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w:t>
            </w:r>
          </w:p>
        </w:tc>
        <w:tc>
          <w:tcPr>
            <w:tcW w:w="617"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框架结构</w:t>
            </w:r>
          </w:p>
        </w:tc>
        <w:tc>
          <w:tcPr>
            <w:tcW w:w="470"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3500.45</w:t>
            </w:r>
          </w:p>
        </w:tc>
      </w:tr>
    </w:tbl>
    <w:p>
      <w:pPr>
        <w:pStyle w:val="1102"/>
        <w:spacing w:line="240" w:lineRule="auto"/>
        <w:rPr>
          <w:rFonts w:hint="default" w:ascii="Times New Roman" w:hAnsi="Times New Roman" w:cs="Times New Roman"/>
          <w:color w:val="auto"/>
        </w:rPr>
      </w:pPr>
    </w:p>
    <w:p>
      <w:pPr>
        <w:ind w:firstLine="0" w:firstLineChars="0"/>
        <w:jc w:val="left"/>
        <w:outlineLvl w:val="3"/>
        <w:rPr>
          <w:rFonts w:hint="default" w:ascii="Times New Roman" w:hAnsi="Times New Roman" w:cs="Times New Roman"/>
          <w:b/>
          <w:color w:val="auto"/>
          <w:kern w:val="0"/>
        </w:rPr>
      </w:pPr>
      <w:r>
        <w:rPr>
          <w:rFonts w:hint="default" w:ascii="Times New Roman" w:hAnsi="Times New Roman" w:cs="Times New Roman"/>
          <w:b/>
          <w:color w:val="auto"/>
          <w:kern w:val="0"/>
        </w:rPr>
        <w:t>2.1.6.2道路工程</w:t>
      </w:r>
    </w:p>
    <w:p>
      <w:pPr>
        <w:pStyle w:val="1102"/>
        <w:rPr>
          <w:rFonts w:hint="default" w:ascii="Times New Roman" w:hAnsi="Times New Roman" w:cs="Times New Roman"/>
          <w:color w:val="auto"/>
        </w:rPr>
      </w:pPr>
      <w:r>
        <w:rPr>
          <w:rFonts w:hint="default" w:ascii="Times New Roman" w:hAnsi="Times New Roman" w:cs="Times New Roman"/>
          <w:color w:val="auto"/>
        </w:rPr>
        <w:t>本项目道路硬化工程为</w:t>
      </w:r>
      <w:r>
        <w:rPr>
          <w:rFonts w:hint="default" w:ascii="Times New Roman" w:hAnsi="Times New Roman" w:cs="Times New Roman"/>
          <w:color w:val="auto"/>
          <w:kern w:val="0"/>
        </w:rPr>
        <w:t>人行道路</w:t>
      </w:r>
      <w:r>
        <w:rPr>
          <w:rFonts w:hint="default" w:ascii="Times New Roman" w:hAnsi="Times New Roman" w:cs="Times New Roman"/>
          <w:color w:val="auto"/>
        </w:rPr>
        <w:t>；人行道占地0.03hm</w:t>
      </w:r>
      <w:r>
        <w:rPr>
          <w:rFonts w:hint="default" w:ascii="Times New Roman" w:hAnsi="Times New Roman" w:cs="Times New Roman"/>
          <w:color w:val="auto"/>
          <w:vertAlign w:val="superscript"/>
        </w:rPr>
        <w:t>2</w:t>
      </w:r>
      <w:r>
        <w:rPr>
          <w:rFonts w:hint="default" w:ascii="Times New Roman" w:hAnsi="Times New Roman" w:cs="Times New Roman"/>
          <w:color w:val="auto"/>
        </w:rPr>
        <w:t>。由此次建设的教育综合楼位于校园内，本建筑交通依托既有校园内的道路。</w:t>
      </w:r>
    </w:p>
    <w:p>
      <w:pPr>
        <w:pStyle w:val="1102"/>
        <w:rPr>
          <w:rFonts w:hint="default" w:ascii="Times New Roman" w:hAnsi="Times New Roman" w:cs="Times New Roman"/>
          <w:color w:val="auto"/>
        </w:rPr>
      </w:pPr>
      <w:r>
        <w:rPr>
          <w:rFonts w:hint="default" w:ascii="Times New Roman" w:hAnsi="Times New Roman" w:cs="Times New Roman"/>
          <w:color w:val="auto"/>
        </w:rPr>
        <w:t>（混凝土道路结构断面详图用于道路、装卸区、车间引道等）</w:t>
      </w:r>
    </w:p>
    <w:p>
      <w:pPr>
        <w:pStyle w:val="1102"/>
        <w:ind w:firstLine="482"/>
        <w:rPr>
          <w:rFonts w:hint="default" w:ascii="Times New Roman" w:hAnsi="Times New Roman" w:cs="Times New Roman"/>
          <w:color w:val="auto"/>
        </w:rPr>
      </w:pPr>
      <w:r>
        <w:rPr>
          <w:rFonts w:hint="default" w:ascii="Times New Roman" w:hAnsi="Times New Roman" w:cs="Times New Roman"/>
          <w:b/>
          <w:color w:val="auto"/>
        </w:rPr>
        <w:t>（1）厂区混凝土道路建设方案：</w:t>
      </w:r>
      <w:r>
        <w:rPr>
          <w:rFonts w:hint="default" w:ascii="Times New Roman" w:hAnsi="Times New Roman" w:cs="Times New Roman"/>
          <w:color w:val="auto"/>
        </w:rPr>
        <w:t>220厚C30混凝土面层+250厚水泥稳定级配碎石基层+300厚宕渣垫层（密实度95%）+路床整形碾压（密实度93%）。</w:t>
      </w:r>
    </w:p>
    <w:p>
      <w:pPr>
        <w:pStyle w:val="1102"/>
        <w:ind w:firstLine="482"/>
        <w:rPr>
          <w:rFonts w:hint="default" w:ascii="Times New Roman" w:hAnsi="Times New Roman" w:cs="Times New Roman"/>
          <w:color w:val="auto"/>
        </w:rPr>
      </w:pPr>
      <w:r>
        <w:rPr>
          <w:rFonts w:hint="default" w:ascii="Times New Roman" w:hAnsi="Times New Roman" w:cs="Times New Roman"/>
          <w:b/>
          <w:color w:val="auto"/>
        </w:rPr>
        <w:t>（2）人行道建设方案：</w:t>
      </w:r>
      <w:r>
        <w:rPr>
          <w:rFonts w:hint="default" w:ascii="Times New Roman" w:hAnsi="Times New Roman" w:cs="Times New Roman"/>
          <w:color w:val="auto"/>
        </w:rPr>
        <w:t>预制水泥砖+5厘米厚M10水泥砂浆+15厘米厚C15水泥混凝土+15厘米厚碎石垫层+素土夯实。</w:t>
      </w:r>
    </w:p>
    <w:p>
      <w:pPr>
        <w:ind w:firstLine="0" w:firstLineChars="0"/>
        <w:jc w:val="left"/>
        <w:outlineLvl w:val="3"/>
        <w:rPr>
          <w:rFonts w:hint="default" w:ascii="Times New Roman" w:hAnsi="Times New Roman" w:cs="Times New Roman"/>
          <w:b/>
          <w:color w:val="auto"/>
          <w:kern w:val="0"/>
        </w:rPr>
      </w:pPr>
      <w:r>
        <w:rPr>
          <w:rFonts w:hint="default" w:ascii="Times New Roman" w:hAnsi="Times New Roman" w:cs="Times New Roman"/>
          <w:b/>
          <w:color w:val="auto"/>
          <w:kern w:val="0"/>
        </w:rPr>
        <w:t>2.1.6.3绿化工程</w:t>
      </w:r>
    </w:p>
    <w:p>
      <w:pPr>
        <w:pStyle w:val="1102"/>
        <w:rPr>
          <w:rFonts w:hint="default" w:ascii="Times New Roman" w:hAnsi="Times New Roman" w:cs="Times New Roman"/>
          <w:color w:val="auto"/>
        </w:rPr>
      </w:pPr>
      <w:r>
        <w:rPr>
          <w:rFonts w:hint="default" w:ascii="Times New Roman" w:hAnsi="Times New Roman" w:cs="Times New Roman"/>
          <w:color w:val="auto"/>
        </w:rPr>
        <w:t>本项目在主体建筑完工后，对教学综合楼北侧空地进行了绿化，实施草坪绿化0.03hm</w:t>
      </w:r>
      <w:r>
        <w:rPr>
          <w:rFonts w:hint="default" w:ascii="Times New Roman" w:hAnsi="Times New Roman" w:cs="Times New Roman"/>
          <w:color w:val="auto"/>
          <w:vertAlign w:val="superscript"/>
        </w:rPr>
        <w:t>2</w:t>
      </w:r>
      <w:r>
        <w:rPr>
          <w:rFonts w:hint="default" w:ascii="Times New Roman" w:hAnsi="Times New Roman" w:cs="Times New Roman"/>
          <w:color w:val="auto"/>
        </w:rPr>
        <w:t>。草种采用</w:t>
      </w:r>
      <w:r>
        <w:rPr>
          <w:rFonts w:hint="default" w:ascii="Times New Roman" w:hAnsi="Times New Roman" w:cs="Times New Roman"/>
          <w:color w:val="auto"/>
          <w:lang w:eastAsia="zh-CN"/>
        </w:rPr>
        <w:t>披碱草</w:t>
      </w:r>
      <w:r>
        <w:rPr>
          <w:rFonts w:hint="default" w:ascii="Times New Roman" w:hAnsi="Times New Roman" w:cs="Times New Roman"/>
          <w:color w:val="auto"/>
        </w:rPr>
        <w:t>和燕麦草1:1混播。</w:t>
      </w:r>
    </w:p>
    <w:p>
      <w:pPr>
        <w:ind w:firstLine="0" w:firstLineChars="0"/>
        <w:jc w:val="left"/>
        <w:outlineLvl w:val="3"/>
        <w:rPr>
          <w:rFonts w:hint="default" w:ascii="Times New Roman" w:hAnsi="Times New Roman" w:cs="Times New Roman"/>
          <w:b/>
          <w:color w:val="auto"/>
          <w:kern w:val="0"/>
        </w:rPr>
      </w:pPr>
      <w:r>
        <w:rPr>
          <w:rFonts w:hint="default" w:ascii="Times New Roman" w:hAnsi="Times New Roman" w:cs="Times New Roman"/>
          <w:b/>
          <w:color w:val="auto"/>
          <w:kern w:val="0"/>
        </w:rPr>
        <w:t>2.1.6.4附属工程</w:t>
      </w:r>
    </w:p>
    <w:p>
      <w:pPr>
        <w:tabs>
          <w:tab w:val="left" w:pos="6173"/>
        </w:tabs>
        <w:adjustRightInd w:val="0"/>
        <w:snapToGrid w:val="0"/>
        <w:ind w:firstLine="482"/>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（1）给水系统</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*1）给水：本工程室内给水系统采用由市政给水管网直接供水,市政供水压力为0.45MPa，在入口处设置加压阀，加压阀出口压力0.35MPa。</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*2）用水量：用水定额为50L/(人*天)，小时变化系数为1.5，用水时间9小时，人数为230人；最高日生活用水量为：11.5m</w:t>
      </w:r>
      <w:r>
        <w:rPr>
          <w:rFonts w:hint="default" w:ascii="Times New Roman" w:hAnsi="Times New Roman" w:eastAsia="仿宋_GB2312" w:cs="Times New Roman"/>
          <w:color w:val="auto"/>
          <w:szCs w:val="24"/>
          <w:vertAlign w:val="superscript"/>
        </w:rPr>
        <w:t>3</w:t>
      </w:r>
      <w:r>
        <w:rPr>
          <w:rFonts w:hint="default" w:ascii="Times New Roman" w:hAnsi="Times New Roman" w:eastAsia="仿宋_GB2312" w:cs="Times New Roman"/>
          <w:color w:val="auto"/>
          <w:szCs w:val="24"/>
        </w:rPr>
        <w:t>/d；最大小时用水量为1.92m</w:t>
      </w:r>
      <w:r>
        <w:rPr>
          <w:rFonts w:hint="default" w:ascii="Times New Roman" w:hAnsi="Times New Roman" w:eastAsia="仿宋_GB2312" w:cs="Times New Roman"/>
          <w:color w:val="auto"/>
          <w:szCs w:val="24"/>
          <w:vertAlign w:val="superscript"/>
        </w:rPr>
        <w:t>3</w:t>
      </w:r>
      <w:r>
        <w:rPr>
          <w:rFonts w:hint="default" w:ascii="Times New Roman" w:hAnsi="Times New Roman" w:eastAsia="仿宋_GB2312" w:cs="Times New Roman"/>
          <w:color w:val="auto"/>
          <w:szCs w:val="24"/>
        </w:rPr>
        <w:t>/h；最高日生活污水量为：10.4m</w:t>
      </w:r>
      <w:r>
        <w:rPr>
          <w:rFonts w:hint="default" w:ascii="Times New Roman" w:hAnsi="Times New Roman" w:eastAsia="仿宋_GB2312" w:cs="Times New Roman"/>
          <w:color w:val="auto"/>
          <w:szCs w:val="24"/>
          <w:vertAlign w:val="superscript"/>
        </w:rPr>
        <w:t>3</w:t>
      </w:r>
      <w:r>
        <w:rPr>
          <w:rFonts w:hint="default" w:ascii="Times New Roman" w:hAnsi="Times New Roman" w:eastAsia="仿宋_GB2312" w:cs="Times New Roman"/>
          <w:color w:val="auto"/>
          <w:szCs w:val="24"/>
        </w:rPr>
        <w:t>/d。</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*3）管材：室内的给水（冷）干管采用衬塑复合钢管（内衬聚乙烯PE材料）丝扣连接，给水（冷、热）支管采用PP-R塑料管热熔连接。给水阀门的除特别说明外均采用不锈钢材质,丝扣连接。</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4）管道敷设：给水横干管设有0.002～0.005的坡度坡向泄水口。给水管地下室、屋面、混凝土水池壁板或地板时设置防水套管。明设的给水立管穿越楼板时，应采用防水措施。室内梁下吊装的给水横干管做保温防结露措施，采用外包保温石棉厚度不小于5mm。</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*5）消防：本项目室内消火栓系统采用2路独立市政官网供水，供水压力0.45MPa，本建筑所需的室内消火栓用水量为15L/s，室外消火栓用水量为 25L/s。消火栓给水管道的设计流速不大于2.5m/s，持续用水时间为2小时。</w:t>
      </w:r>
    </w:p>
    <w:p>
      <w:pPr>
        <w:ind w:firstLine="482"/>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（2）排水系统</w:t>
      </w:r>
    </w:p>
    <w:p>
      <w:pPr>
        <w:pStyle w:val="1102"/>
        <w:rPr>
          <w:rFonts w:hint="default" w:ascii="Times New Roman" w:hAnsi="Times New Roman" w:eastAsia="仿宋_GB2312" w:cs="Times New Roman"/>
          <w:color w:val="auto"/>
          <w:lang w:eastAsia="zh-CN"/>
        </w:rPr>
      </w:pPr>
      <w:r>
        <w:rPr>
          <w:rFonts w:hint="default" w:ascii="Times New Roman" w:hAnsi="Times New Roman" w:cs="Times New Roman"/>
          <w:color w:val="auto"/>
        </w:rPr>
        <w:t>本项目采用污、废合流和雨、污分流的排水体制。</w:t>
      </w:r>
      <w:r>
        <w:rPr>
          <w:rFonts w:hint="default" w:ascii="Times New Roman" w:hAnsi="Times New Roman" w:cs="Times New Roman"/>
          <w:color w:val="auto"/>
          <w:lang w:eastAsia="zh-CN"/>
        </w:rPr>
        <w:t>根据现场调查及“一层给排水总平面图”本项目仅建设的教学综合楼屋面雨水、周边径流均通过雨水管接入既有校园内的雨水检查井；教学综合楼生活污水经污水管排入校园既有雨水检查井。</w:t>
      </w:r>
    </w:p>
    <w:p>
      <w:pPr>
        <w:pStyle w:val="1102"/>
        <w:rPr>
          <w:rFonts w:hint="default" w:ascii="Times New Roman" w:hAnsi="Times New Roman" w:cs="Times New Roman"/>
          <w:color w:val="auto"/>
        </w:rPr>
      </w:pPr>
      <w:r>
        <w:rPr>
          <w:rFonts w:hint="default" w:ascii="Times New Roman" w:hAnsi="Times New Roman" w:cs="Times New Roman"/>
          <w:color w:val="auto"/>
        </w:rPr>
        <w:t>*1）污水：</w:t>
      </w:r>
    </w:p>
    <w:p>
      <w:pPr>
        <w:pStyle w:val="1102"/>
        <w:rPr>
          <w:rFonts w:hint="default" w:ascii="Times New Roman" w:hAnsi="Times New Roman" w:cs="Times New Roman"/>
          <w:color w:val="auto"/>
        </w:rPr>
      </w:pPr>
      <w:r>
        <w:rPr>
          <w:rFonts w:hint="default" w:ascii="Times New Roman" w:hAnsi="Times New Roman" w:cs="Times New Roman"/>
          <w:color w:val="auto"/>
        </w:rPr>
        <w:t>排水方式：室内采用分流制排水系统，卫生间污水设置排出管。室内污水重力自然流排至室外检查井，汇集至化粪池处理后排入市政污水管网。</w:t>
      </w:r>
    </w:p>
    <w:p>
      <w:pPr>
        <w:pStyle w:val="1102"/>
        <w:rPr>
          <w:rFonts w:hint="default" w:ascii="Times New Roman" w:hAnsi="Times New Roman" w:cs="Times New Roman"/>
          <w:color w:val="auto"/>
        </w:rPr>
      </w:pPr>
      <w:r>
        <w:rPr>
          <w:rFonts w:hint="default" w:ascii="Times New Roman" w:hAnsi="Times New Roman" w:cs="Times New Roman"/>
          <w:color w:val="auto"/>
        </w:rPr>
        <w:t>存水弯：当构造内无存水弯的卫生器具的排水支管上应设存水弯；当构造内有存水弯的卫生器具的排水支管上不应设存水弯。存水弯的水封深度不得小于50mm，严禁采用活动机械密封替代水封。</w:t>
      </w:r>
    </w:p>
    <w:p>
      <w:pPr>
        <w:pStyle w:val="1102"/>
        <w:rPr>
          <w:rFonts w:hint="default" w:ascii="Times New Roman" w:hAnsi="Times New Roman" w:cs="Times New Roman"/>
          <w:color w:val="auto"/>
        </w:rPr>
      </w:pPr>
      <w:r>
        <w:rPr>
          <w:rFonts w:hint="default" w:ascii="Times New Roman" w:hAnsi="Times New Roman" w:cs="Times New Roman"/>
          <w:color w:val="auto"/>
        </w:rPr>
        <w:t>地漏：地漏应安装在地面最低处，篦子顶面应比地面低0.005~0.01，地面应有不小于0.01的坡度坡向地漏。除特别注明外，地漏采用密封防涸功能的地漏。当地漏自带存水弯时，需取消支管上的存水弯，要求存水弯的水封深度不得小于50mm，严禁采用钟罩(扣碗)式地漏。</w:t>
      </w:r>
    </w:p>
    <w:p>
      <w:pPr>
        <w:pStyle w:val="1102"/>
        <w:rPr>
          <w:rFonts w:hint="default" w:ascii="Times New Roman" w:hAnsi="Times New Roman" w:cs="Times New Roman"/>
          <w:color w:val="auto"/>
        </w:rPr>
      </w:pPr>
      <w:r>
        <w:rPr>
          <w:rFonts w:hint="default" w:ascii="Times New Roman" w:hAnsi="Times New Roman" w:cs="Times New Roman"/>
          <w:color w:val="auto"/>
        </w:rPr>
        <w:t>管材：污水管采用硬质聚氯乙烯(UPVC)排水管，粘结连接，引出建筑处采用承压式硬质聚氯乙烯(UPVC)排水管。</w:t>
      </w:r>
    </w:p>
    <w:p>
      <w:pPr>
        <w:pStyle w:val="1102"/>
        <w:rPr>
          <w:rFonts w:hint="default" w:ascii="Times New Roman" w:hAnsi="Times New Roman" w:cs="Times New Roman"/>
          <w:color w:val="auto"/>
        </w:rPr>
      </w:pPr>
      <w:r>
        <w:rPr>
          <w:rFonts w:hint="default" w:ascii="Times New Roman" w:hAnsi="Times New Roman" w:cs="Times New Roman"/>
          <w:color w:val="auto"/>
        </w:rPr>
        <w:t>*2）雨水：</w:t>
      </w:r>
    </w:p>
    <w:p>
      <w:pPr>
        <w:pStyle w:val="1102"/>
        <w:rPr>
          <w:rFonts w:hint="default" w:ascii="Times New Roman" w:hAnsi="Times New Roman" w:cs="Times New Roman"/>
          <w:color w:val="auto"/>
        </w:rPr>
      </w:pPr>
      <w:r>
        <w:rPr>
          <w:rFonts w:hint="default" w:ascii="Times New Roman" w:hAnsi="Times New Roman" w:cs="Times New Roman"/>
          <w:color w:val="auto"/>
        </w:rPr>
        <w:t>排水方式：屋面雨水独立设置立管排至室外雨水沟。</w:t>
      </w:r>
    </w:p>
    <w:p>
      <w:pPr>
        <w:pStyle w:val="1102"/>
        <w:rPr>
          <w:rFonts w:hint="default" w:ascii="Times New Roman" w:hAnsi="Times New Roman" w:cs="Times New Roman"/>
          <w:color w:val="auto"/>
        </w:rPr>
      </w:pPr>
      <w:r>
        <w:rPr>
          <w:rFonts w:hint="default" w:ascii="Times New Roman" w:hAnsi="Times New Roman" w:cs="Times New Roman"/>
          <w:color w:val="auto"/>
        </w:rPr>
        <w:t>雨水量：根据当地暴雨强度计算公式：i=44.594(1+0.651lgP)/(t+27.346)^0.953[(lgP)^-0.017]计算。重现期5年；降雨历时5分钟；径流系数为1。计算暴雨强度为385L/s*ha，汇水面积为：594m</w:t>
      </w:r>
      <w:r>
        <w:rPr>
          <w:rFonts w:hint="default" w:ascii="Times New Roman" w:hAnsi="Times New Roman" w:cs="Times New Roman"/>
          <w:color w:val="auto"/>
          <w:vertAlign w:val="superscript"/>
        </w:rPr>
        <w:t>2</w:t>
      </w:r>
      <w:r>
        <w:rPr>
          <w:rFonts w:hint="default" w:ascii="Times New Roman" w:hAnsi="Times New Roman" w:cs="Times New Roman"/>
          <w:color w:val="auto"/>
        </w:rPr>
        <w:t>，计算雨水流量为23L/s。设置的溢流管及雨水管总排水能力不小于50年重现期的雨水量。</w:t>
      </w:r>
    </w:p>
    <w:p>
      <w:pPr>
        <w:pStyle w:val="1102"/>
        <w:rPr>
          <w:rFonts w:hint="default" w:ascii="Times New Roman" w:hAnsi="Times New Roman" w:cs="Times New Roman"/>
          <w:color w:val="auto"/>
        </w:rPr>
      </w:pPr>
      <w:r>
        <w:rPr>
          <w:rFonts w:hint="default" w:ascii="Times New Roman" w:hAnsi="Times New Roman" w:cs="Times New Roman"/>
          <w:color w:val="auto"/>
        </w:rPr>
        <w:t>管材：雨水管采用硬质聚氯乙烯(U</w:t>
      </w:r>
      <w:r>
        <w:rPr>
          <w:rFonts w:hint="default" w:ascii="Times New Roman" w:hAnsi="Times New Roman" w:cs="Times New Roman"/>
          <w:b/>
          <w:bCs/>
          <w:color w:val="auto"/>
        </w:rPr>
        <w:t>P</w:t>
      </w:r>
      <w:r>
        <w:rPr>
          <w:rFonts w:hint="default" w:ascii="Times New Roman" w:hAnsi="Times New Roman" w:cs="Times New Roman"/>
          <w:color w:val="auto"/>
        </w:rPr>
        <w:t>VC)排水管，粘结连接。</w:t>
      </w:r>
    </w:p>
    <w:p>
      <w:pPr>
        <w:pStyle w:val="1102"/>
        <w:ind w:firstLine="482"/>
        <w:rPr>
          <w:rFonts w:hint="default" w:ascii="Times New Roman" w:hAnsi="Times New Roman" w:cs="Times New Roman"/>
          <w:b/>
          <w:color w:val="auto"/>
        </w:rPr>
      </w:pPr>
      <w:r>
        <w:rPr>
          <w:rFonts w:hint="default" w:ascii="Times New Roman" w:hAnsi="Times New Roman" w:cs="Times New Roman"/>
          <w:b/>
          <w:color w:val="auto"/>
        </w:rPr>
        <w:t>雨水管：</w:t>
      </w:r>
      <w:r>
        <w:rPr>
          <w:rFonts w:hint="default" w:ascii="Times New Roman" w:hAnsi="Times New Roman" w:cs="Times New Roman"/>
          <w:color w:val="auto"/>
        </w:rPr>
        <w:t>教学综合楼实施雨水立管96m，平面上实施雨水管200m，以上雨水管均为DN100。</w:t>
      </w:r>
    </w:p>
    <w:p>
      <w:pPr>
        <w:pStyle w:val="1102"/>
        <w:ind w:firstLine="482"/>
        <w:rPr>
          <w:rFonts w:hint="default" w:ascii="Times New Roman" w:hAnsi="Times New Roman" w:cs="Times New Roman"/>
          <w:b/>
          <w:color w:val="auto"/>
        </w:rPr>
      </w:pPr>
      <w:r>
        <w:rPr>
          <w:rFonts w:hint="default" w:ascii="Times New Roman" w:hAnsi="Times New Roman" w:cs="Times New Roman"/>
          <w:b/>
          <w:color w:val="auto"/>
        </w:rPr>
        <w:t>（3）供配电系统</w:t>
      </w:r>
    </w:p>
    <w:p>
      <w:pPr>
        <w:pStyle w:val="1102"/>
        <w:rPr>
          <w:rFonts w:hint="default" w:ascii="Times New Roman" w:hAnsi="Times New Roman" w:cs="Times New Roman"/>
          <w:color w:val="auto"/>
          <w:szCs w:val="22"/>
        </w:rPr>
      </w:pPr>
      <w:r>
        <w:rPr>
          <w:rFonts w:hint="default" w:ascii="Times New Roman" w:hAnsi="Times New Roman" w:cs="Times New Roman"/>
          <w:color w:val="auto"/>
          <w:szCs w:val="22"/>
        </w:rPr>
        <w:t>本项目电源由室外厢变引入，采用三相电源，50Hz，380/220V，三级负荷。采用TN-S接地形式，采用放射式供电。电源引入处进线设置隔离开关及保护电器。主要通道照明为二级负荷，集中设置蓄电池作为第二电源。</w:t>
      </w:r>
    </w:p>
    <w:p>
      <w:pPr>
        <w:pStyle w:val="4"/>
        <w:suppressAutoHyphens/>
        <w:spacing w:before="156" w:beforeLines="50" w:after="156" w:afterLines="50"/>
        <w:rPr>
          <w:rFonts w:hint="default" w:ascii="Times New Roman" w:hAnsi="Times New Roman" w:cs="Times New Roman"/>
          <w:color w:val="auto"/>
          <w:kern w:val="0"/>
        </w:rPr>
      </w:pPr>
      <w:bookmarkStart w:id="46" w:name="_Toc415927819"/>
      <w:bookmarkStart w:id="47" w:name="_Toc47879787"/>
      <w:r>
        <w:rPr>
          <w:rFonts w:hint="default" w:ascii="Times New Roman" w:hAnsi="Times New Roman" w:cs="Times New Roman"/>
          <w:color w:val="auto"/>
          <w:kern w:val="0"/>
        </w:rPr>
        <w:t>2.2 施工组织</w:t>
      </w:r>
      <w:bookmarkEnd w:id="46"/>
      <w:bookmarkEnd w:id="47"/>
    </w:p>
    <w:p>
      <w:pPr>
        <w:pStyle w:val="5"/>
        <w:spacing w:before="156" w:beforeLines="50"/>
        <w:rPr>
          <w:rFonts w:hint="default" w:ascii="Times New Roman" w:hAnsi="Times New Roman" w:eastAsia="黑体" w:cs="Times New Roman"/>
          <w:color w:val="auto"/>
          <w:lang w:eastAsia="zh-CN"/>
        </w:rPr>
      </w:pPr>
      <w:r>
        <w:rPr>
          <w:rFonts w:hint="default" w:ascii="Times New Roman" w:hAnsi="Times New Roman" w:cs="Times New Roman"/>
          <w:color w:val="auto"/>
        </w:rPr>
        <w:t>2.2.1 施工</w:t>
      </w:r>
      <w:r>
        <w:rPr>
          <w:rFonts w:hint="default" w:ascii="Times New Roman" w:hAnsi="Times New Roman" w:cs="Times New Roman"/>
          <w:color w:val="auto"/>
          <w:lang w:eastAsia="zh-CN"/>
        </w:rPr>
        <w:t>条件</w:t>
      </w:r>
    </w:p>
    <w:p>
      <w:pPr>
        <w:adjustRightInd w:val="0"/>
        <w:snapToGrid w:val="0"/>
        <w:ind w:firstLine="0" w:firstLineChars="0"/>
        <w:outlineLvl w:val="3"/>
        <w:rPr>
          <w:rFonts w:hint="default" w:ascii="Times New Roman" w:hAnsi="Times New Roman" w:cs="Times New Roman"/>
          <w:b/>
          <w:color w:val="auto"/>
          <w:kern w:val="0"/>
        </w:rPr>
      </w:pPr>
      <w:r>
        <w:rPr>
          <w:rFonts w:hint="default" w:ascii="Times New Roman" w:hAnsi="Times New Roman" w:cs="Times New Roman"/>
          <w:b/>
          <w:color w:val="auto"/>
          <w:kern w:val="0"/>
        </w:rPr>
        <w:t>2.2.1.1 交通运输</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本项目对外运输道路依托既有市政道路（阳嘎北街），工程区交通便利。</w:t>
      </w:r>
    </w:p>
    <w:p>
      <w:pPr>
        <w:adjustRightInd w:val="0"/>
        <w:snapToGrid w:val="0"/>
        <w:ind w:firstLine="0" w:firstLineChars="0"/>
        <w:outlineLvl w:val="3"/>
        <w:rPr>
          <w:rFonts w:hint="default" w:ascii="Times New Roman" w:hAnsi="Times New Roman" w:cs="Times New Roman"/>
          <w:b/>
          <w:color w:val="auto"/>
          <w:kern w:val="0"/>
        </w:rPr>
      </w:pPr>
      <w:r>
        <w:rPr>
          <w:rFonts w:hint="default" w:ascii="Times New Roman" w:hAnsi="Times New Roman" w:cs="Times New Roman"/>
          <w:b/>
          <w:color w:val="auto"/>
          <w:kern w:val="0"/>
        </w:rPr>
        <w:t>2.2.1.2 建筑材料</w:t>
      </w:r>
    </w:p>
    <w:p>
      <w:pPr>
        <w:ind w:firstLine="480"/>
        <w:rPr>
          <w:rFonts w:hint="default" w:ascii="Times New Roman" w:hAnsi="Times New Roman" w:eastAsia="仿宋_GB2312" w:cs="Times New Roman"/>
          <w:color w:val="auto"/>
          <w:kern w:val="0"/>
          <w:szCs w:val="24"/>
          <w:lang w:bidi="en-US"/>
        </w:rPr>
      </w:pPr>
      <w:r>
        <w:rPr>
          <w:rFonts w:hint="default" w:ascii="Times New Roman" w:hAnsi="Times New Roman" w:eastAsia="仿宋_GB2312" w:cs="Times New Roman"/>
          <w:color w:val="auto"/>
          <w:kern w:val="0"/>
          <w:szCs w:val="24"/>
          <w:lang w:bidi="en-US"/>
        </w:rPr>
        <w:t>项目所需的砾石、碎石、中粗砂可从阿木乡阿木柯河料场购买，用料时需试验检测。水泥、钢筋均从成都建材市场购买，均有公路直接通往，运输方便。施工材料供应过程中产生的水土流失由供应商负责。</w:t>
      </w:r>
    </w:p>
    <w:p>
      <w:pPr>
        <w:adjustRightInd w:val="0"/>
        <w:snapToGrid w:val="0"/>
        <w:ind w:firstLine="0" w:firstLineChars="0"/>
        <w:outlineLvl w:val="3"/>
        <w:rPr>
          <w:rFonts w:hint="default" w:ascii="Times New Roman" w:hAnsi="Times New Roman" w:eastAsia="宋体" w:cs="Times New Roman"/>
          <w:b/>
          <w:color w:val="auto"/>
          <w:kern w:val="0"/>
          <w:lang w:eastAsia="zh-CN"/>
        </w:rPr>
      </w:pPr>
      <w:r>
        <w:rPr>
          <w:rFonts w:hint="default" w:ascii="Times New Roman" w:hAnsi="Times New Roman" w:cs="Times New Roman"/>
          <w:b/>
          <w:color w:val="auto"/>
          <w:kern w:val="0"/>
        </w:rPr>
        <w:t>2.2.</w:t>
      </w:r>
      <w:r>
        <w:rPr>
          <w:rFonts w:hint="default" w:ascii="Times New Roman" w:hAnsi="Times New Roman" w:cs="Times New Roman"/>
          <w:b/>
          <w:color w:val="auto"/>
          <w:kern w:val="0"/>
          <w:lang w:val="en-US" w:eastAsia="zh-CN"/>
        </w:rPr>
        <w:t>1</w:t>
      </w:r>
      <w:r>
        <w:rPr>
          <w:rFonts w:hint="default" w:ascii="Times New Roman" w:hAnsi="Times New Roman" w:cs="Times New Roman"/>
          <w:b/>
          <w:color w:val="auto"/>
          <w:kern w:val="0"/>
        </w:rPr>
        <w:t>.</w:t>
      </w:r>
      <w:r>
        <w:rPr>
          <w:rFonts w:hint="default" w:ascii="Times New Roman" w:hAnsi="Times New Roman" w:cs="Times New Roman"/>
          <w:b/>
          <w:color w:val="auto"/>
          <w:kern w:val="0"/>
          <w:lang w:val="en-US" w:eastAsia="zh-CN"/>
        </w:rPr>
        <w:t>3</w:t>
      </w:r>
      <w:r>
        <w:rPr>
          <w:rFonts w:hint="default" w:ascii="Times New Roman" w:hAnsi="Times New Roman" w:cs="Times New Roman"/>
          <w:b/>
          <w:color w:val="auto"/>
          <w:kern w:val="0"/>
        </w:rPr>
        <w:t xml:space="preserve"> 施工用水、用电</w:t>
      </w:r>
      <w:r>
        <w:rPr>
          <w:rFonts w:hint="default" w:ascii="Times New Roman" w:hAnsi="Times New Roman" w:cs="Times New Roman"/>
          <w:b/>
          <w:color w:val="auto"/>
          <w:kern w:val="0"/>
          <w:lang w:eastAsia="zh-CN"/>
        </w:rPr>
        <w:t>、施工期排水</w:t>
      </w:r>
    </w:p>
    <w:p>
      <w:pPr>
        <w:ind w:firstLine="480"/>
        <w:rPr>
          <w:rFonts w:hint="default" w:ascii="Times New Roman" w:hAnsi="Times New Roman" w:eastAsia="仿宋_GB2312" w:cs="Times New Roman"/>
          <w:color w:val="auto"/>
          <w:kern w:val="0"/>
          <w:szCs w:val="24"/>
          <w:lang w:eastAsia="zh-CN" w:bidi="en-US"/>
        </w:rPr>
      </w:pPr>
      <w:r>
        <w:rPr>
          <w:rFonts w:hint="default" w:ascii="Times New Roman" w:hAnsi="Times New Roman" w:eastAsia="仿宋_GB2312" w:cs="Times New Roman"/>
          <w:color w:val="auto"/>
          <w:kern w:val="0"/>
          <w:szCs w:val="24"/>
          <w:lang w:bidi="en-US"/>
        </w:rPr>
        <w:t>经调查可知，项目施工用水来自市政水源；施工电源从阳嘎北街市政电源接入，施工供电可靠有保障。</w:t>
      </w:r>
      <w:r>
        <w:rPr>
          <w:rFonts w:hint="default" w:ascii="Times New Roman" w:hAnsi="Times New Roman" w:eastAsia="仿宋_GB2312" w:cs="Times New Roman"/>
          <w:color w:val="auto"/>
          <w:kern w:val="0"/>
          <w:szCs w:val="24"/>
          <w:lang w:eastAsia="zh-CN" w:bidi="en-US"/>
        </w:rPr>
        <w:t>经回顾调查可知，项目教学综合楼土建工程量较小，时段较短，主体工程没有在施工期实施临时排水、沉砂措施，以防雨布遮盖为主，满足水土流失防治要求。</w:t>
      </w:r>
    </w:p>
    <w:p>
      <w:pPr>
        <w:widowControl/>
        <w:ind w:firstLine="480"/>
        <w:rPr>
          <w:rFonts w:hint="default" w:ascii="Times New Roman" w:hAnsi="Times New Roman" w:eastAsia="仿宋_GB2312" w:cs="Times New Roman"/>
          <w:color w:val="auto"/>
        </w:rPr>
      </w:pPr>
    </w:p>
    <w:p>
      <w:pPr>
        <w:pStyle w:val="5"/>
        <w:spacing w:before="156" w:beforeLines="50" w:line="360" w:lineRule="auto"/>
        <w:rPr>
          <w:rFonts w:hint="default" w:ascii="Times New Roman" w:hAnsi="Times New Roman" w:cs="Times New Roman"/>
          <w:color w:val="auto"/>
        </w:rPr>
      </w:pPr>
      <w:r>
        <w:rPr>
          <w:rFonts w:hint="default" w:ascii="Times New Roman" w:hAnsi="Times New Roman" w:cs="Times New Roman"/>
          <w:color w:val="auto"/>
        </w:rPr>
        <w:t>2.2.</w:t>
      </w:r>
      <w:r>
        <w:rPr>
          <w:rFonts w:hint="default" w:ascii="Times New Roman" w:hAnsi="Times New Roman" w:cs="Times New Roman"/>
          <w:color w:val="auto"/>
          <w:lang w:val="en-US" w:eastAsia="zh-CN"/>
        </w:rPr>
        <w:t>2</w:t>
      </w:r>
      <w:r>
        <w:rPr>
          <w:rFonts w:hint="default" w:ascii="Times New Roman" w:hAnsi="Times New Roman" w:cs="Times New Roman"/>
          <w:color w:val="auto"/>
        </w:rPr>
        <w:t xml:space="preserve"> 施工组织</w:t>
      </w:r>
    </w:p>
    <w:p>
      <w:pPr>
        <w:adjustRightInd w:val="0"/>
        <w:snapToGrid w:val="0"/>
        <w:spacing w:line="360" w:lineRule="auto"/>
        <w:ind w:firstLine="0" w:firstLineChars="0"/>
        <w:outlineLvl w:val="3"/>
        <w:rPr>
          <w:rFonts w:hint="default" w:ascii="Times New Roman" w:hAnsi="Times New Roman" w:cs="Times New Roman"/>
          <w:b/>
          <w:i/>
          <w:color w:val="auto"/>
          <w:kern w:val="0"/>
        </w:rPr>
      </w:pPr>
      <w:r>
        <w:rPr>
          <w:rFonts w:hint="default" w:ascii="Times New Roman" w:hAnsi="Times New Roman" w:cs="Times New Roman"/>
          <w:b/>
          <w:color w:val="auto"/>
          <w:kern w:val="0"/>
        </w:rPr>
        <w:t>2.2.</w:t>
      </w:r>
      <w:r>
        <w:rPr>
          <w:rFonts w:hint="default" w:ascii="Times New Roman" w:hAnsi="Times New Roman" w:cs="Times New Roman"/>
          <w:b/>
          <w:color w:val="auto"/>
          <w:kern w:val="0"/>
          <w:lang w:val="en-US" w:eastAsia="zh-CN"/>
        </w:rPr>
        <w:t>2</w:t>
      </w:r>
      <w:r>
        <w:rPr>
          <w:rFonts w:hint="default" w:ascii="Times New Roman" w:hAnsi="Times New Roman" w:cs="Times New Roman"/>
          <w:b/>
          <w:color w:val="auto"/>
          <w:kern w:val="0"/>
        </w:rPr>
        <w:t>.</w:t>
      </w:r>
      <w:r>
        <w:rPr>
          <w:rFonts w:hint="default" w:ascii="Times New Roman" w:hAnsi="Times New Roman" w:cs="Times New Roman"/>
          <w:b/>
          <w:color w:val="auto"/>
          <w:kern w:val="0"/>
          <w:lang w:val="en-US" w:eastAsia="zh-CN"/>
        </w:rPr>
        <w:t>1</w:t>
      </w:r>
      <w:r>
        <w:rPr>
          <w:rFonts w:hint="default" w:ascii="Times New Roman" w:hAnsi="Times New Roman" w:cs="Times New Roman"/>
          <w:b/>
          <w:color w:val="auto"/>
          <w:kern w:val="0"/>
        </w:rPr>
        <w:t xml:space="preserve"> 施工生产生活区</w:t>
      </w:r>
    </w:p>
    <w:p>
      <w:pPr>
        <w:spacing w:line="360" w:lineRule="auto"/>
        <w:ind w:firstLine="460" w:firstLineChars="192"/>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本项目临时办公用房及工人食宿均租用民房，没有在项目区内设置临建设施</w:t>
      </w:r>
    </w:p>
    <w:p>
      <w:pPr>
        <w:adjustRightInd w:val="0"/>
        <w:snapToGrid w:val="0"/>
        <w:spacing w:line="360" w:lineRule="auto"/>
        <w:ind w:firstLine="0" w:firstLineChars="0"/>
        <w:outlineLvl w:val="3"/>
        <w:rPr>
          <w:rFonts w:hint="default" w:ascii="Times New Roman" w:hAnsi="Times New Roman" w:cs="Times New Roman"/>
          <w:b/>
          <w:color w:val="auto"/>
          <w:kern w:val="0"/>
        </w:rPr>
      </w:pPr>
      <w:r>
        <w:rPr>
          <w:rFonts w:hint="default" w:ascii="Times New Roman" w:hAnsi="Times New Roman" w:cs="Times New Roman"/>
          <w:b/>
          <w:color w:val="auto"/>
          <w:kern w:val="0"/>
        </w:rPr>
        <w:t>2.2.</w:t>
      </w:r>
      <w:r>
        <w:rPr>
          <w:rFonts w:hint="default" w:ascii="Times New Roman" w:hAnsi="Times New Roman" w:cs="Times New Roman"/>
          <w:b/>
          <w:color w:val="auto"/>
          <w:kern w:val="0"/>
          <w:lang w:val="en-US" w:eastAsia="zh-CN"/>
        </w:rPr>
        <w:t>2</w:t>
      </w:r>
      <w:r>
        <w:rPr>
          <w:rFonts w:hint="default" w:ascii="Times New Roman" w:hAnsi="Times New Roman" w:cs="Times New Roman"/>
          <w:b/>
          <w:color w:val="auto"/>
          <w:kern w:val="0"/>
        </w:rPr>
        <w:t>.</w:t>
      </w:r>
      <w:r>
        <w:rPr>
          <w:rFonts w:hint="default" w:ascii="Times New Roman" w:hAnsi="Times New Roman" w:cs="Times New Roman"/>
          <w:b/>
          <w:color w:val="auto"/>
          <w:kern w:val="0"/>
          <w:lang w:val="en-US" w:eastAsia="zh-CN"/>
        </w:rPr>
        <w:t>2</w:t>
      </w:r>
      <w:r>
        <w:rPr>
          <w:rFonts w:hint="default" w:ascii="Times New Roman" w:hAnsi="Times New Roman" w:cs="Times New Roman"/>
          <w:b/>
          <w:color w:val="auto"/>
          <w:kern w:val="0"/>
        </w:rPr>
        <w:t xml:space="preserve"> 临时堆土方案</w:t>
      </w:r>
    </w:p>
    <w:p>
      <w:pPr>
        <w:spacing w:line="360" w:lineRule="auto"/>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rPr>
        <w:t>本项目在原有校园内建设，原始占地类型为公共管理与公共服务用地，项目区内无表土可剥离；建筑挖方临时堆放在建筑占地范围内，不涉及集中堆土区</w:t>
      </w:r>
      <w:r>
        <w:rPr>
          <w:rFonts w:hint="default" w:ascii="Times New Roman" w:hAnsi="Times New Roman" w:eastAsia="仿宋_GB2312" w:cs="Times New Roman"/>
          <w:color w:val="auto"/>
          <w:kern w:val="0"/>
          <w:szCs w:val="24"/>
        </w:rPr>
        <w:t>。</w:t>
      </w:r>
    </w:p>
    <w:p>
      <w:pPr>
        <w:pStyle w:val="5"/>
        <w:spacing w:before="156" w:beforeLines="50"/>
        <w:rPr>
          <w:rFonts w:hint="default" w:ascii="Times New Roman" w:hAnsi="Times New Roman" w:cs="Times New Roman"/>
          <w:color w:val="auto"/>
        </w:rPr>
      </w:pPr>
      <w:bookmarkStart w:id="48" w:name="_Toc199906839"/>
      <w:r>
        <w:rPr>
          <w:rFonts w:hint="default" w:ascii="Times New Roman" w:hAnsi="Times New Roman" w:cs="Times New Roman"/>
          <w:color w:val="auto"/>
        </w:rPr>
        <w:t>2.2.3施工工艺</w:t>
      </w:r>
      <w:bookmarkEnd w:id="48"/>
    </w:p>
    <w:p>
      <w:pPr>
        <w:pStyle w:val="1102"/>
        <w:rPr>
          <w:rFonts w:hint="default" w:ascii="Times New Roman" w:hAnsi="Times New Roman" w:cs="Times New Roman"/>
          <w:color w:val="auto"/>
        </w:rPr>
      </w:pPr>
      <w:r>
        <w:rPr>
          <w:rFonts w:hint="default" w:ascii="Times New Roman" w:hAnsi="Times New Roman" w:cs="Times New Roman"/>
          <w:color w:val="auto"/>
        </w:rPr>
        <w:t>（1）建筑工程</w:t>
      </w:r>
    </w:p>
    <w:p>
      <w:pPr>
        <w:pStyle w:val="1102"/>
        <w:rPr>
          <w:rFonts w:hint="default" w:ascii="Times New Roman" w:hAnsi="Times New Roman" w:cs="Times New Roman"/>
          <w:color w:val="auto"/>
          <w:szCs w:val="22"/>
        </w:rPr>
      </w:pPr>
      <w:r>
        <w:rPr>
          <w:rFonts w:hint="default" w:ascii="Times New Roman" w:hAnsi="Times New Roman" w:cs="Times New Roman"/>
          <w:color w:val="auto"/>
          <w:szCs w:val="22"/>
        </w:rPr>
        <w:t>独立基础：定位放大样，土方开挖，察看及检验地基承载力是否与设计相符，复合</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"http://www.so.com/s?q=%E8%BD%B4%E7%BA%BF&amp;ie=utf-8&amp;src=internal_wenda_recommend_textn" \t "_blank" </w:instrText>
      </w:r>
      <w:r>
        <w:rPr>
          <w:rFonts w:hint="default" w:ascii="Times New Roman" w:hAnsi="Times New Roman" w:cs="Times New Roman"/>
          <w:color w:val="auto"/>
        </w:rPr>
        <w:fldChar w:fldCharType="separate"/>
      </w:r>
      <w:r>
        <w:rPr>
          <w:rFonts w:hint="default" w:ascii="Times New Roman" w:hAnsi="Times New Roman" w:cs="Times New Roman"/>
          <w:color w:val="auto"/>
        </w:rPr>
        <w:t>轴线</w:t>
      </w:r>
      <w:r>
        <w:rPr>
          <w:rFonts w:hint="default" w:ascii="Times New Roman" w:hAnsi="Times New Roman" w:cs="Times New Roman"/>
          <w:color w:val="auto"/>
        </w:rPr>
        <w:fldChar w:fldCharType="end"/>
      </w:r>
      <w:r>
        <w:rPr>
          <w:rFonts w:hint="default" w:ascii="Times New Roman" w:hAnsi="Times New Roman" w:cs="Times New Roman"/>
          <w:color w:val="auto"/>
          <w:szCs w:val="22"/>
        </w:rPr>
        <w:t>方位、底</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"http://www.so.com/s?q=%E6%A0%87%E9%AB%98&amp;ie=utf-8&amp;src=internal_wenda_recommend_textn" \t "_blank" </w:instrText>
      </w:r>
      <w:r>
        <w:rPr>
          <w:rFonts w:hint="default" w:ascii="Times New Roman" w:hAnsi="Times New Roman" w:cs="Times New Roman"/>
          <w:color w:val="auto"/>
        </w:rPr>
        <w:fldChar w:fldCharType="separate"/>
      </w:r>
      <w:r>
        <w:rPr>
          <w:rFonts w:hint="default" w:ascii="Times New Roman" w:hAnsi="Times New Roman" w:cs="Times New Roman"/>
          <w:color w:val="auto"/>
        </w:rPr>
        <w:t>标高</w:t>
      </w:r>
      <w:r>
        <w:rPr>
          <w:rFonts w:hint="default" w:ascii="Times New Roman" w:hAnsi="Times New Roman" w:cs="Times New Roman"/>
          <w:color w:val="auto"/>
        </w:rPr>
        <w:fldChar w:fldCharType="end"/>
      </w:r>
      <w:r>
        <w:rPr>
          <w:rFonts w:hint="default" w:ascii="Times New Roman" w:hAnsi="Times New Roman" w:cs="Times New Roman"/>
          <w:color w:val="auto"/>
          <w:szCs w:val="22"/>
        </w:rPr>
        <w:t>，倒</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"http://www.so.com/s?q=%E5%9E%AB%E5%B1%82&amp;ie=utf-8&amp;src=internal_wenda_recommend_textn" \t "_blank" </w:instrText>
      </w:r>
      <w:r>
        <w:rPr>
          <w:rFonts w:hint="default" w:ascii="Times New Roman" w:hAnsi="Times New Roman" w:cs="Times New Roman"/>
          <w:color w:val="auto"/>
        </w:rPr>
        <w:fldChar w:fldCharType="separate"/>
      </w:r>
      <w:r>
        <w:rPr>
          <w:rFonts w:hint="default" w:ascii="Times New Roman" w:hAnsi="Times New Roman" w:cs="Times New Roman"/>
          <w:color w:val="auto"/>
        </w:rPr>
        <w:t>垫层</w:t>
      </w:r>
      <w:r>
        <w:rPr>
          <w:rFonts w:hint="default" w:ascii="Times New Roman" w:hAnsi="Times New Roman" w:cs="Times New Roman"/>
          <w:color w:val="auto"/>
        </w:rPr>
        <w:fldChar w:fldCharType="end"/>
      </w:r>
      <w:r>
        <w:rPr>
          <w:rFonts w:hint="default" w:ascii="Times New Roman" w:hAnsi="Times New Roman" w:cs="Times New Roman"/>
          <w:color w:val="auto"/>
          <w:szCs w:val="22"/>
        </w:rPr>
        <w:t>，轴线放样，装</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"http://www.so.com/s?q=%E6%A8%A1%E6%9D%BF&amp;ie=utf-8&amp;src=internal_wenda_recommend_textn" \t "_blank" </w:instrText>
      </w:r>
      <w:r>
        <w:rPr>
          <w:rFonts w:hint="default" w:ascii="Times New Roman" w:hAnsi="Times New Roman" w:cs="Times New Roman"/>
          <w:color w:val="auto"/>
        </w:rPr>
        <w:fldChar w:fldCharType="separate"/>
      </w:r>
      <w:r>
        <w:rPr>
          <w:rFonts w:hint="default" w:ascii="Times New Roman" w:hAnsi="Times New Roman" w:cs="Times New Roman"/>
          <w:color w:val="auto"/>
        </w:rPr>
        <w:t>模板</w:t>
      </w:r>
      <w:r>
        <w:rPr>
          <w:rFonts w:hint="default" w:ascii="Times New Roman" w:hAnsi="Times New Roman" w:cs="Times New Roman"/>
          <w:color w:val="auto"/>
        </w:rPr>
        <w:fldChar w:fldCharType="end"/>
      </w:r>
      <w:r>
        <w:rPr>
          <w:rFonts w:hint="default" w:ascii="Times New Roman" w:hAnsi="Times New Roman" w:cs="Times New Roman"/>
          <w:color w:val="auto"/>
          <w:szCs w:val="22"/>
        </w:rPr>
        <w:t>，安装钢筋，倒</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"http://www.so.com/s?q=%E5%9F%BA%E7%A1%80&amp;ie=utf-8&amp;src=internal_wenda_recommend_textn" \t "_blank" </w:instrText>
      </w:r>
      <w:r>
        <w:rPr>
          <w:rFonts w:hint="default" w:ascii="Times New Roman" w:hAnsi="Times New Roman" w:cs="Times New Roman"/>
          <w:color w:val="auto"/>
        </w:rPr>
        <w:fldChar w:fldCharType="separate"/>
      </w:r>
      <w:r>
        <w:rPr>
          <w:rFonts w:hint="default" w:ascii="Times New Roman" w:hAnsi="Times New Roman" w:cs="Times New Roman"/>
          <w:color w:val="auto"/>
        </w:rPr>
        <w:t>基础</w:t>
      </w:r>
      <w:r>
        <w:rPr>
          <w:rFonts w:hint="default" w:ascii="Times New Roman" w:hAnsi="Times New Roman" w:cs="Times New Roman"/>
          <w:color w:val="auto"/>
        </w:rPr>
        <w:fldChar w:fldCharType="end"/>
      </w:r>
      <w:r>
        <w:rPr>
          <w:rFonts w:hint="default" w:ascii="Times New Roman" w:hAnsi="Times New Roman" w:cs="Times New Roman"/>
          <w:color w:val="auto"/>
          <w:szCs w:val="22"/>
        </w:rPr>
        <w:t>混凝土，技术复核，</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"http://www.so.com/s?q=%E8%B4%A8%E9%87%8F&amp;ie=utf-8&amp;src=internal_wenda_recommend_textn" \t "_blank" </w:instrText>
      </w:r>
      <w:r>
        <w:rPr>
          <w:rFonts w:hint="default" w:ascii="Times New Roman" w:hAnsi="Times New Roman" w:cs="Times New Roman"/>
          <w:color w:val="auto"/>
        </w:rPr>
        <w:fldChar w:fldCharType="separate"/>
      </w:r>
      <w:r>
        <w:rPr>
          <w:rFonts w:hint="default" w:ascii="Times New Roman" w:hAnsi="Times New Roman" w:cs="Times New Roman"/>
          <w:color w:val="auto"/>
        </w:rPr>
        <w:t>质量</w:t>
      </w:r>
      <w:r>
        <w:rPr>
          <w:rFonts w:hint="default" w:ascii="Times New Roman" w:hAnsi="Times New Roman" w:cs="Times New Roman"/>
          <w:color w:val="auto"/>
        </w:rPr>
        <w:fldChar w:fldCharType="end"/>
      </w:r>
      <w:r>
        <w:rPr>
          <w:rFonts w:hint="default" w:ascii="Times New Roman" w:hAnsi="Times New Roman" w:cs="Times New Roman"/>
          <w:color w:val="auto"/>
          <w:szCs w:val="22"/>
        </w:rPr>
        <w:t>检查。</w:t>
      </w:r>
    </w:p>
    <w:p>
      <w:pPr>
        <w:pStyle w:val="1102"/>
        <w:rPr>
          <w:rFonts w:hint="default" w:ascii="Times New Roman" w:hAnsi="Times New Roman" w:cs="Times New Roman"/>
          <w:color w:val="auto"/>
        </w:rPr>
      </w:pPr>
      <w:r>
        <w:rPr>
          <w:rFonts w:hint="default" w:ascii="Times New Roman" w:hAnsi="Times New Roman" w:cs="Times New Roman"/>
          <w:color w:val="auto"/>
        </w:rPr>
        <w:t>（2）管线工程施工工艺</w:t>
      </w:r>
    </w:p>
    <w:p>
      <w:pPr>
        <w:pStyle w:val="1102"/>
        <w:rPr>
          <w:rFonts w:hint="default" w:ascii="Times New Roman" w:hAnsi="Times New Roman" w:cs="Times New Roman"/>
          <w:color w:val="auto"/>
        </w:rPr>
      </w:pPr>
      <w:r>
        <w:rPr>
          <w:rFonts w:hint="default" w:ascii="Times New Roman" w:hAnsi="Times New Roman" w:cs="Times New Roman"/>
          <w:color w:val="auto"/>
        </w:rPr>
        <w:t>无压管采用U-PVC双壁波纹管（环刚度为8kN/m</w:t>
      </w:r>
      <w:r>
        <w:rPr>
          <w:rFonts w:hint="default" w:ascii="Times New Roman" w:hAnsi="Times New Roman" w:cs="Times New Roman"/>
          <w:color w:val="auto"/>
          <w:vertAlign w:val="superscript"/>
        </w:rPr>
        <w:t>2</w:t>
      </w:r>
      <w:r>
        <w:rPr>
          <w:rFonts w:hint="default" w:ascii="Times New Roman" w:hAnsi="Times New Roman" w:cs="Times New Roman"/>
          <w:color w:val="auto"/>
        </w:rPr>
        <w:t>），弹性密封圈柔性承插连接。U-PVC双壁波纹管管材应符合《埋地聚乙烯排水管管道工程技术规程》（CECS164:2004）的要求。</w:t>
      </w:r>
    </w:p>
    <w:p>
      <w:pPr>
        <w:pStyle w:val="1102"/>
        <w:rPr>
          <w:rFonts w:hint="default" w:ascii="Times New Roman" w:hAnsi="Times New Roman" w:cs="Times New Roman"/>
          <w:color w:val="auto"/>
        </w:rPr>
      </w:pPr>
      <w:r>
        <w:rPr>
          <w:rFonts w:hint="default" w:ascii="Times New Roman" w:hAnsi="Times New Roman" w:cs="Times New Roman"/>
          <w:color w:val="auto"/>
        </w:rPr>
        <w:t>管基采用砂砾垫层基础，不得采用刚性基础，并坐落在良好原状土层上，地基土若被扰动，应采取处理措施：扰动150mm以内，可原状土夯实，压实系数≥0.95，扰动150mm以上，可用3:7灰土、卵石、碎石、毛石等填充夯实，压实系数≥0.95，管槽回填土不得回填块石、碎石砖块等带棱角的杂硬物体，并应夯实。埋地塑料排水管应直线敷设，当遇到特殊情况需折线敷设时，应采用柔性连接，其允许偏转角应满足要求。雨水口至雨水井管道管径均为Ф200，坡度为0.01。</w:t>
      </w:r>
    </w:p>
    <w:p>
      <w:pPr>
        <w:pStyle w:val="1102"/>
        <w:rPr>
          <w:rFonts w:hint="default" w:ascii="Times New Roman" w:hAnsi="Times New Roman" w:cs="Times New Roman"/>
          <w:color w:val="auto"/>
        </w:rPr>
      </w:pPr>
      <w:r>
        <w:rPr>
          <w:rFonts w:hint="default" w:ascii="Times New Roman" w:hAnsi="Times New Roman" w:cs="Times New Roman"/>
          <w:color w:val="auto"/>
        </w:rPr>
        <w:t>室外压力排水管采用内外热浸锌镀锌钢管，&gt;DN80卡箍、法兰连接，≤DN80螺纹连接；工作压力为1.60MPa。</w:t>
      </w:r>
    </w:p>
    <w:p>
      <w:pPr>
        <w:pStyle w:val="1102"/>
        <w:rPr>
          <w:rFonts w:hint="default" w:ascii="Times New Roman" w:hAnsi="Times New Roman" w:cs="Times New Roman"/>
          <w:color w:val="auto"/>
        </w:rPr>
      </w:pPr>
      <w:r>
        <w:rPr>
          <w:rFonts w:hint="default" w:ascii="Times New Roman" w:hAnsi="Times New Roman" w:cs="Times New Roman"/>
          <w:color w:val="auto"/>
        </w:rPr>
        <w:t>管道保护：所有车行道下排水管道覆土厚度均不得低于700mm，不满足的，应设钢套管或管沟保护。</w:t>
      </w:r>
    </w:p>
    <w:p>
      <w:pPr>
        <w:pStyle w:val="1102"/>
        <w:rPr>
          <w:rFonts w:hint="default" w:ascii="Times New Roman" w:hAnsi="Times New Roman" w:cs="Times New Roman"/>
          <w:color w:val="auto"/>
        </w:rPr>
      </w:pPr>
      <w:r>
        <w:rPr>
          <w:rFonts w:hint="default" w:ascii="Times New Roman" w:hAnsi="Times New Roman" w:cs="Times New Roman"/>
          <w:color w:val="auto"/>
        </w:rPr>
        <w:t>管沟开挖出的土方，临时堆存于管沟一侧或两侧，验槽、下管检查后及时回填。</w:t>
      </w:r>
    </w:p>
    <w:p>
      <w:pPr>
        <w:pStyle w:val="1102"/>
        <w:rPr>
          <w:rFonts w:hint="default" w:ascii="Times New Roman" w:hAnsi="Times New Roman" w:cs="Times New Roman"/>
          <w:color w:val="auto"/>
        </w:rPr>
      </w:pPr>
      <w:r>
        <w:rPr>
          <w:rFonts w:hint="default" w:ascii="Times New Roman" w:hAnsi="Times New Roman" w:cs="Times New Roman"/>
          <w:color w:val="auto"/>
        </w:rPr>
        <w:t>（3）道路工程</w:t>
      </w:r>
    </w:p>
    <w:p>
      <w:pPr>
        <w:pStyle w:val="1102"/>
        <w:rPr>
          <w:rFonts w:hint="default" w:ascii="Times New Roman" w:hAnsi="Times New Roman" w:cs="Times New Roman"/>
          <w:color w:val="auto"/>
        </w:rPr>
      </w:pPr>
      <w:r>
        <w:rPr>
          <w:rFonts w:hint="default" w:ascii="Times New Roman" w:hAnsi="Times New Roman" w:cs="Times New Roman"/>
          <w:color w:val="auto"/>
        </w:rPr>
        <w:t>人行道在地基夯实的基础上浇筑C15砼垫层，进而进行硬质铺装。施工工序包括道路定位→土方开挖（回填）基层平整→碾压→混凝土面层施工→硬质铺装→检查验收。</w:t>
      </w:r>
    </w:p>
    <w:p>
      <w:pPr>
        <w:pStyle w:val="1102"/>
        <w:rPr>
          <w:rFonts w:hint="default" w:ascii="Times New Roman" w:hAnsi="Times New Roman" w:cs="Times New Roman"/>
          <w:color w:val="auto"/>
        </w:rPr>
      </w:pPr>
      <w:r>
        <w:rPr>
          <w:rFonts w:hint="default" w:ascii="Times New Roman" w:hAnsi="Times New Roman" w:cs="Times New Roman"/>
          <w:color w:val="auto"/>
        </w:rPr>
        <w:t>（4）绿化工程</w:t>
      </w:r>
    </w:p>
    <w:p>
      <w:pPr>
        <w:pStyle w:val="1102"/>
        <w:rPr>
          <w:rFonts w:hint="default" w:ascii="Times New Roman" w:hAnsi="Times New Roman" w:cs="Times New Roman"/>
          <w:color w:val="auto"/>
        </w:rPr>
      </w:pPr>
      <w:r>
        <w:rPr>
          <w:rFonts w:hint="default" w:ascii="Times New Roman" w:hAnsi="Times New Roman" w:cs="Times New Roman"/>
          <w:color w:val="auto"/>
        </w:rPr>
        <w:t>种植或播种前应对该地区的土壤理化性质进行分析，采取相应的消毒、施肥和客土等措施。严禁使用建筑垃圾土、盐碱土、重粘土以及含有其他有害物质的土壤；严禁在种植土下铺设有不透水层。</w:t>
      </w:r>
    </w:p>
    <w:p>
      <w:pPr>
        <w:pStyle w:val="4"/>
        <w:suppressAutoHyphens/>
        <w:spacing w:before="156" w:beforeLines="50" w:after="156" w:afterLines="50"/>
        <w:rPr>
          <w:rFonts w:hint="default" w:ascii="Times New Roman" w:hAnsi="Times New Roman" w:cs="Times New Roman"/>
          <w:color w:val="auto"/>
          <w:kern w:val="0"/>
        </w:rPr>
      </w:pPr>
      <w:bookmarkStart w:id="49" w:name="_Toc415927820"/>
      <w:bookmarkStart w:id="50" w:name="_Toc47879788"/>
      <w:r>
        <w:rPr>
          <w:rFonts w:hint="default" w:ascii="Times New Roman" w:hAnsi="Times New Roman" w:cs="Times New Roman"/>
          <w:color w:val="auto"/>
          <w:kern w:val="0"/>
        </w:rPr>
        <w:t>2.3 工程占地</w:t>
      </w:r>
      <w:bookmarkEnd w:id="49"/>
      <w:bookmarkEnd w:id="50"/>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根据施工图设计，项目总占地0.12hm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rPr>
        <w:t>，均为永久占地，不涉及代征、代建用地；占地类型为公共管理与公共服务用地；建筑工程占地0.06hm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rPr>
        <w:t>、道路工程占地0.03hm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rPr>
        <w:t>、绿化工程占地0.03hm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kern w:val="0"/>
        </w:rPr>
        <w:t>占地类型情况见表2-6。</w:t>
      </w:r>
    </w:p>
    <w:p>
      <w:pPr>
        <w:spacing w:line="240" w:lineRule="auto"/>
        <w:ind w:firstLine="422"/>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color w:val="auto"/>
          <w:kern w:val="0"/>
          <w:sz w:val="21"/>
          <w:szCs w:val="21"/>
        </w:rPr>
        <w:t>表2-6   项目占地情况表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19"/>
        <w:gridCol w:w="1312"/>
        <w:gridCol w:w="2691"/>
        <w:gridCol w:w="29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949" w:type="pct"/>
            <w:vMerge w:val="restart"/>
            <w:vAlign w:val="center"/>
          </w:tcPr>
          <w:p>
            <w:pPr>
              <w:widowControl/>
              <w:spacing w:line="240" w:lineRule="auto"/>
              <w:ind w:firstLine="0" w:firstLineChars="0"/>
              <w:jc w:val="center"/>
              <w:rPr>
                <w:rFonts w:hint="default" w:ascii="Times New Roman" w:hAnsi="Times New Roman" w:cs="Times New Roman"/>
                <w:color w:val="auto"/>
                <w:kern w:val="0"/>
                <w:sz w:val="18"/>
                <w:szCs w:val="18"/>
              </w:rPr>
            </w:pPr>
            <w:bookmarkStart w:id="51" w:name="_Toc415927821"/>
            <w:r>
              <w:rPr>
                <w:rFonts w:hint="default" w:ascii="Times New Roman" w:hAnsi="Times New Roman" w:eastAsia="仿宋_GB2312" w:cs="Times New Roman"/>
                <w:color w:val="auto"/>
                <w:kern w:val="0"/>
                <w:sz w:val="18"/>
                <w:szCs w:val="18"/>
              </w:rPr>
              <w:t>工程组成</w:t>
            </w:r>
          </w:p>
        </w:tc>
        <w:tc>
          <w:tcPr>
            <w:tcW w:w="769" w:type="pct"/>
            <w:vMerge w:val="restar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合计（hm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w:t>
            </w:r>
          </w:p>
        </w:tc>
        <w:tc>
          <w:tcPr>
            <w:tcW w:w="1577" w:type="pct"/>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占地类型（hm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w:t>
            </w:r>
          </w:p>
        </w:tc>
        <w:tc>
          <w:tcPr>
            <w:tcW w:w="1703" w:type="pct"/>
            <w:vMerge w:val="restar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占地性质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949" w:type="pct"/>
            <w:vMerge w:val="continue"/>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c>
          <w:tcPr>
            <w:tcW w:w="769" w:type="pct"/>
            <w:vMerge w:val="continue"/>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c>
          <w:tcPr>
            <w:tcW w:w="157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rPr>
              <w:t>公共管理与公共服务用地</w:t>
            </w:r>
          </w:p>
        </w:tc>
        <w:tc>
          <w:tcPr>
            <w:tcW w:w="1703" w:type="pct"/>
            <w:vMerge w:val="continue"/>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949"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建筑工程</w:t>
            </w:r>
          </w:p>
        </w:tc>
        <w:tc>
          <w:tcPr>
            <w:tcW w:w="76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0.06</w:t>
            </w:r>
          </w:p>
        </w:tc>
        <w:tc>
          <w:tcPr>
            <w:tcW w:w="157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0.06</w:t>
            </w:r>
          </w:p>
        </w:tc>
        <w:tc>
          <w:tcPr>
            <w:tcW w:w="170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永久占地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949"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道路工程</w:t>
            </w:r>
          </w:p>
        </w:tc>
        <w:tc>
          <w:tcPr>
            <w:tcW w:w="76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0.03</w:t>
            </w:r>
          </w:p>
        </w:tc>
        <w:tc>
          <w:tcPr>
            <w:tcW w:w="157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0.03</w:t>
            </w:r>
          </w:p>
        </w:tc>
        <w:tc>
          <w:tcPr>
            <w:tcW w:w="170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永久占地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7" w:hRule="atLeast"/>
          <w:jc w:val="center"/>
        </w:trPr>
        <w:tc>
          <w:tcPr>
            <w:tcW w:w="949"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绿化工程</w:t>
            </w:r>
          </w:p>
        </w:tc>
        <w:tc>
          <w:tcPr>
            <w:tcW w:w="76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0.03</w:t>
            </w:r>
          </w:p>
        </w:tc>
        <w:tc>
          <w:tcPr>
            <w:tcW w:w="157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0.03</w:t>
            </w:r>
          </w:p>
        </w:tc>
        <w:tc>
          <w:tcPr>
            <w:tcW w:w="170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永久占地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949"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合计</w:t>
            </w:r>
          </w:p>
        </w:tc>
        <w:tc>
          <w:tcPr>
            <w:tcW w:w="76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0.12</w:t>
            </w:r>
          </w:p>
        </w:tc>
        <w:tc>
          <w:tcPr>
            <w:tcW w:w="157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0.12</w:t>
            </w:r>
          </w:p>
        </w:tc>
        <w:tc>
          <w:tcPr>
            <w:tcW w:w="170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r>
    </w:tbl>
    <w:p>
      <w:pPr>
        <w:pStyle w:val="1102"/>
        <w:spacing w:line="240" w:lineRule="auto"/>
        <w:rPr>
          <w:rFonts w:hint="default" w:ascii="Times New Roman" w:hAnsi="Times New Roman" w:cs="Times New Roman"/>
          <w:color w:val="auto"/>
        </w:rPr>
      </w:pPr>
    </w:p>
    <w:p>
      <w:pPr>
        <w:pStyle w:val="4"/>
        <w:suppressAutoHyphens/>
        <w:spacing w:before="156" w:beforeLines="50" w:after="156" w:afterLines="50"/>
        <w:rPr>
          <w:rFonts w:hint="default" w:ascii="Times New Roman" w:hAnsi="Times New Roman" w:cs="Times New Roman"/>
          <w:color w:val="auto"/>
          <w:kern w:val="0"/>
        </w:rPr>
      </w:pPr>
      <w:bookmarkStart w:id="52" w:name="_Toc47879789"/>
      <w:r>
        <w:rPr>
          <w:rFonts w:hint="default" w:ascii="Times New Roman" w:hAnsi="Times New Roman" w:cs="Times New Roman"/>
          <w:color w:val="auto"/>
          <w:kern w:val="0"/>
        </w:rPr>
        <w:t>2.4土石方平衡</w:t>
      </w:r>
      <w:bookmarkEnd w:id="51"/>
      <w:bookmarkEnd w:id="52"/>
    </w:p>
    <w:p>
      <w:pPr>
        <w:pStyle w:val="342"/>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rPr>
        <w:t>本项目土石方总开挖量0.11万m</w:t>
      </w:r>
      <w:r>
        <w:rPr>
          <w:rFonts w:hint="default" w:ascii="Times New Roman" w:hAnsi="Times New Roman" w:eastAsia="仿宋_GB2312" w:cs="Times New Roman"/>
          <w:color w:val="auto"/>
          <w:vertAlign w:val="superscript"/>
        </w:rPr>
        <w:t>3</w:t>
      </w:r>
      <w:r>
        <w:rPr>
          <w:rFonts w:hint="default" w:ascii="Times New Roman" w:hAnsi="Times New Roman" w:eastAsia="仿宋_GB2312" w:cs="Times New Roman"/>
          <w:color w:val="auto"/>
        </w:rPr>
        <w:t>，总回填方量0.11万m</w:t>
      </w:r>
      <w:r>
        <w:rPr>
          <w:rFonts w:hint="default" w:ascii="Times New Roman" w:hAnsi="Times New Roman" w:eastAsia="仿宋_GB2312" w:cs="Times New Roman"/>
          <w:color w:val="auto"/>
          <w:vertAlign w:val="superscript"/>
        </w:rPr>
        <w:t>3</w:t>
      </w:r>
      <w:r>
        <w:rPr>
          <w:rFonts w:hint="default" w:ascii="Times New Roman" w:hAnsi="Times New Roman" w:eastAsia="仿宋_GB2312" w:cs="Times New Roman"/>
          <w:color w:val="auto"/>
        </w:rPr>
        <w:t>；项目土石方挖填平衡，无弃方</w:t>
      </w:r>
      <w:r>
        <w:rPr>
          <w:rFonts w:hint="default" w:ascii="Times New Roman" w:hAnsi="Times New Roman" w:eastAsia="仿宋_GB2312" w:cs="Times New Roman"/>
          <w:color w:val="auto"/>
          <w:kern w:val="0"/>
        </w:rPr>
        <w:t>。</w:t>
      </w:r>
      <w:r>
        <w:rPr>
          <w:rFonts w:hint="default" w:ascii="Times New Roman" w:hAnsi="Times New Roman" w:eastAsia="仿宋_GB2312" w:cs="Times New Roman"/>
          <w:color w:val="auto"/>
        </w:rPr>
        <w:t>（土石方均为自然方）。</w:t>
      </w:r>
    </w:p>
    <w:p>
      <w:pPr>
        <w:pStyle w:val="5"/>
        <w:spacing w:before="156" w:beforeLines="50"/>
        <w:rPr>
          <w:rFonts w:hint="default" w:ascii="Times New Roman" w:hAnsi="Times New Roman" w:cs="Times New Roman"/>
          <w:color w:val="auto"/>
        </w:rPr>
      </w:pPr>
      <w:r>
        <w:rPr>
          <w:rFonts w:hint="default" w:ascii="Times New Roman" w:hAnsi="Times New Roman" w:cs="Times New Roman"/>
          <w:color w:val="auto"/>
        </w:rPr>
        <w:t>2.4.1表土剥离及回铺</w:t>
      </w:r>
    </w:p>
    <w:p>
      <w:pPr>
        <w:ind w:firstLine="480"/>
        <w:rPr>
          <w:rFonts w:hint="eastAsia" w:ascii="Times New Roman" w:hAnsi="Times New Roman" w:eastAsia="仿宋_GB2312" w:cs="Times New Roman"/>
          <w:color w:val="auto"/>
          <w:lang w:eastAsia="zh-CN"/>
        </w:rPr>
      </w:pPr>
      <w:r>
        <w:rPr>
          <w:rFonts w:hint="default" w:ascii="Times New Roman" w:hAnsi="Times New Roman" w:eastAsia="仿宋_GB2312" w:cs="Times New Roman"/>
          <w:color w:val="auto"/>
          <w:kern w:val="0"/>
        </w:rPr>
        <w:t>本项目在原有校园内建设，原始占地类型为公共管理与公共服务用地，项目区内无表土可剥离</w:t>
      </w:r>
      <w:r>
        <w:rPr>
          <w:rFonts w:hint="eastAsia" w:eastAsia="仿宋_GB2312" w:cs="Times New Roman"/>
          <w:color w:val="auto"/>
          <w:kern w:val="0"/>
          <w:lang w:eastAsia="zh-CN"/>
        </w:rPr>
        <w:t>；项目既有土壤质地满足植被生长，方案不再新增客土措施。</w:t>
      </w:r>
    </w:p>
    <w:p>
      <w:pPr>
        <w:pStyle w:val="5"/>
        <w:spacing w:before="156" w:beforeLines="50"/>
        <w:rPr>
          <w:rFonts w:hint="default" w:ascii="Times New Roman" w:hAnsi="Times New Roman" w:cs="Times New Roman"/>
          <w:color w:val="auto"/>
        </w:rPr>
      </w:pPr>
      <w:r>
        <w:rPr>
          <w:rFonts w:hint="default" w:ascii="Times New Roman" w:hAnsi="Times New Roman" w:cs="Times New Roman"/>
          <w:color w:val="auto"/>
        </w:rPr>
        <w:t>2.4.2土石方平衡</w:t>
      </w:r>
      <w:r>
        <w:rPr>
          <w:rFonts w:hint="default" w:ascii="Times New Roman" w:hAnsi="Times New Roman" w:cs="Times New Roman"/>
          <w:color w:val="auto"/>
        </w:rPr>
        <w:tab/>
      </w:r>
    </w:p>
    <w:p>
      <w:pPr>
        <w:pStyle w:val="1102"/>
        <w:ind w:firstLine="482"/>
        <w:rPr>
          <w:rFonts w:hint="default" w:ascii="Times New Roman" w:hAnsi="Times New Roman" w:cs="Times New Roman"/>
          <w:b/>
          <w:color w:val="auto"/>
        </w:rPr>
      </w:pPr>
      <w:r>
        <w:rPr>
          <w:rFonts w:hint="default" w:ascii="Times New Roman" w:hAnsi="Times New Roman" w:cs="Times New Roman"/>
          <w:b/>
          <w:color w:val="auto"/>
        </w:rPr>
        <w:t>（1）建筑工程：</w:t>
      </w:r>
    </w:p>
    <w:p>
      <w:pPr>
        <w:pStyle w:val="1102"/>
        <w:rPr>
          <w:rFonts w:hint="default" w:ascii="Times New Roman" w:hAnsi="Times New Roman" w:cs="Times New Roman"/>
          <w:color w:val="auto"/>
          <w:kern w:val="0"/>
        </w:rPr>
      </w:pPr>
      <w:r>
        <w:rPr>
          <w:rFonts w:hint="default" w:ascii="Times New Roman" w:hAnsi="Times New Roman" w:cs="Times New Roman"/>
          <w:color w:val="auto"/>
        </w:rPr>
        <w:t>根据主体工程施工图设计，项目建设不涉地下室，教学综合楼采用独立基础，基础挖深2.0m。</w:t>
      </w:r>
      <w:r>
        <w:rPr>
          <w:rFonts w:hint="default" w:ascii="Times New Roman" w:hAnsi="Times New Roman" w:cs="Times New Roman"/>
          <w:color w:val="auto"/>
          <w:kern w:val="0"/>
        </w:rPr>
        <w:t>挖方量0.08万m</w:t>
      </w:r>
      <w:r>
        <w:rPr>
          <w:rFonts w:hint="default" w:ascii="Times New Roman" w:hAnsi="Times New Roman" w:cs="Times New Roman"/>
          <w:color w:val="auto"/>
          <w:kern w:val="0"/>
          <w:vertAlign w:val="superscript"/>
        </w:rPr>
        <w:t>3</w:t>
      </w:r>
      <w:r>
        <w:rPr>
          <w:rFonts w:hint="default" w:ascii="Times New Roman" w:hAnsi="Times New Roman" w:cs="Times New Roman"/>
          <w:color w:val="auto"/>
          <w:kern w:val="0"/>
        </w:rPr>
        <w:t>，基坑回填0.07万m</w:t>
      </w:r>
      <w:r>
        <w:rPr>
          <w:rFonts w:hint="default" w:ascii="Times New Roman" w:hAnsi="Times New Roman" w:cs="Times New Roman"/>
          <w:color w:val="auto"/>
          <w:kern w:val="0"/>
          <w:vertAlign w:val="superscript"/>
        </w:rPr>
        <w:t>3</w:t>
      </w:r>
      <w:r>
        <w:rPr>
          <w:rFonts w:hint="default" w:ascii="Times New Roman" w:hAnsi="Times New Roman" w:cs="Times New Roman"/>
          <w:color w:val="auto"/>
          <w:kern w:val="0"/>
        </w:rPr>
        <w:t>，余方0.01万m</w:t>
      </w:r>
      <w:r>
        <w:rPr>
          <w:rFonts w:hint="default" w:ascii="Times New Roman" w:hAnsi="Times New Roman" w:cs="Times New Roman"/>
          <w:color w:val="auto"/>
          <w:kern w:val="0"/>
          <w:vertAlign w:val="superscript"/>
        </w:rPr>
        <w:t>3</w:t>
      </w:r>
      <w:r>
        <w:rPr>
          <w:rFonts w:hint="default" w:ascii="Times New Roman" w:hAnsi="Times New Roman" w:cs="Times New Roman"/>
          <w:color w:val="auto"/>
          <w:kern w:val="0"/>
        </w:rPr>
        <w:t>，余方在绿化区回填。</w:t>
      </w:r>
    </w:p>
    <w:p>
      <w:pPr>
        <w:pStyle w:val="1102"/>
        <w:ind w:firstLine="482"/>
        <w:rPr>
          <w:rFonts w:hint="default" w:ascii="Times New Roman" w:hAnsi="Times New Roman" w:cs="Times New Roman"/>
          <w:b/>
          <w:color w:val="auto"/>
        </w:rPr>
      </w:pPr>
      <w:r>
        <w:rPr>
          <w:rFonts w:hint="default" w:ascii="Times New Roman" w:hAnsi="Times New Roman" w:cs="Times New Roman"/>
          <w:b/>
          <w:color w:val="auto"/>
        </w:rPr>
        <w:t>（2）道路工程</w:t>
      </w:r>
    </w:p>
    <w:p>
      <w:pPr>
        <w:pStyle w:val="1102"/>
        <w:ind w:firstLineChars="0"/>
        <w:rPr>
          <w:rFonts w:hint="default" w:ascii="Times New Roman" w:hAnsi="Times New Roman" w:cs="Times New Roman"/>
          <w:color w:val="auto"/>
        </w:rPr>
      </w:pPr>
      <w:r>
        <w:rPr>
          <w:rFonts w:hint="default" w:ascii="Times New Roman" w:hAnsi="Times New Roman" w:cs="Times New Roman"/>
          <w:color w:val="auto"/>
        </w:rPr>
        <w:t>根据完工结算量，道路工程区综合管线挖方0.03万m</w:t>
      </w:r>
      <w:r>
        <w:rPr>
          <w:rFonts w:hint="default" w:ascii="Times New Roman" w:hAnsi="Times New Roman" w:cs="Times New Roman"/>
          <w:color w:val="auto"/>
          <w:vertAlign w:val="superscript"/>
        </w:rPr>
        <w:t>3</w:t>
      </w:r>
      <w:r>
        <w:rPr>
          <w:rFonts w:hint="default" w:ascii="Times New Roman" w:hAnsi="Times New Roman" w:cs="Times New Roman"/>
          <w:color w:val="auto"/>
        </w:rPr>
        <w:t>，管线沟槽及周边回填0.03万m</w:t>
      </w:r>
      <w:r>
        <w:rPr>
          <w:rFonts w:hint="default" w:ascii="Times New Roman" w:hAnsi="Times New Roman" w:cs="Times New Roman"/>
          <w:color w:val="auto"/>
          <w:vertAlign w:val="superscript"/>
        </w:rPr>
        <w:t>3</w:t>
      </w:r>
      <w:r>
        <w:rPr>
          <w:rFonts w:hint="default" w:ascii="Times New Roman" w:hAnsi="Times New Roman" w:cs="Times New Roman"/>
          <w:color w:val="auto"/>
          <w:kern w:val="0"/>
        </w:rPr>
        <w:t>。</w:t>
      </w:r>
    </w:p>
    <w:p>
      <w:pPr>
        <w:pStyle w:val="1102"/>
        <w:ind w:firstLine="482"/>
        <w:rPr>
          <w:rFonts w:hint="default" w:ascii="Times New Roman" w:hAnsi="Times New Roman" w:cs="Times New Roman"/>
          <w:b/>
          <w:color w:val="auto"/>
        </w:rPr>
      </w:pPr>
      <w:r>
        <w:rPr>
          <w:rFonts w:hint="default" w:ascii="Times New Roman" w:hAnsi="Times New Roman" w:cs="Times New Roman"/>
          <w:b/>
          <w:color w:val="auto"/>
        </w:rPr>
        <w:t>（3）绿化工程：</w:t>
      </w:r>
    </w:p>
    <w:p>
      <w:pPr>
        <w:pStyle w:val="1102"/>
        <w:rPr>
          <w:rFonts w:hint="default" w:ascii="Times New Roman" w:hAnsi="Times New Roman" w:cs="Times New Roman"/>
          <w:b/>
          <w:color w:val="auto"/>
        </w:rPr>
      </w:pPr>
      <w:r>
        <w:rPr>
          <w:rFonts w:hint="default" w:ascii="Times New Roman" w:hAnsi="Times New Roman" w:cs="Times New Roman"/>
          <w:color w:val="auto"/>
        </w:rPr>
        <w:t>主体工程对教学综合楼北侧空地进行了绿化，实施草坪绿化0.03hm</w:t>
      </w:r>
      <w:r>
        <w:rPr>
          <w:rFonts w:hint="default" w:ascii="Times New Roman" w:hAnsi="Times New Roman" w:cs="Times New Roman"/>
          <w:color w:val="auto"/>
          <w:vertAlign w:val="superscript"/>
        </w:rPr>
        <w:t>2</w:t>
      </w:r>
      <w:r>
        <w:rPr>
          <w:rFonts w:hint="default" w:ascii="Times New Roman" w:hAnsi="Times New Roman" w:cs="Times New Roman"/>
          <w:color w:val="auto"/>
        </w:rPr>
        <w:t>。建筑基础余方0.01万m</w:t>
      </w:r>
      <w:r>
        <w:rPr>
          <w:rFonts w:hint="default" w:ascii="Times New Roman" w:hAnsi="Times New Roman" w:cs="Times New Roman"/>
          <w:color w:val="auto"/>
          <w:vertAlign w:val="superscript"/>
        </w:rPr>
        <w:t>3</w:t>
      </w:r>
      <w:r>
        <w:rPr>
          <w:rFonts w:hint="default" w:ascii="Times New Roman" w:hAnsi="Times New Roman" w:cs="Times New Roman"/>
          <w:color w:val="auto"/>
        </w:rPr>
        <w:t>回填在绿化区，平均覆土厚度0.33m。</w:t>
      </w:r>
    </w:p>
    <w:p>
      <w:pPr>
        <w:pStyle w:val="1102"/>
        <w:rPr>
          <w:rFonts w:hint="default" w:ascii="Times New Roman" w:hAnsi="Times New Roman" w:cs="Times New Roman"/>
          <w:color w:val="auto"/>
          <w:kern w:val="0"/>
        </w:rPr>
      </w:pPr>
      <w:r>
        <w:rPr>
          <w:rFonts w:hint="default" w:ascii="Times New Roman" w:hAnsi="Times New Roman" w:cs="Times New Roman"/>
          <w:color w:val="auto"/>
          <w:kern w:val="0"/>
        </w:rPr>
        <w:t>土石方平衡见表2-7，土石方流向图2.4。</w:t>
      </w:r>
    </w:p>
    <w:p>
      <w:pPr>
        <w:spacing w:line="240" w:lineRule="auto"/>
        <w:ind w:firstLine="422"/>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color w:val="auto"/>
          <w:kern w:val="0"/>
          <w:sz w:val="21"/>
          <w:szCs w:val="21"/>
        </w:rPr>
        <w:t>表2-7   工程土石方平衡一览表（单位：万m</w:t>
      </w:r>
      <w:r>
        <w:rPr>
          <w:rFonts w:hint="default" w:ascii="Times New Roman" w:hAnsi="Times New Roman" w:eastAsia="仿宋_GB2312" w:cs="Times New Roman"/>
          <w:b/>
          <w:color w:val="auto"/>
          <w:kern w:val="0"/>
          <w:sz w:val="21"/>
          <w:szCs w:val="21"/>
          <w:vertAlign w:val="superscript"/>
        </w:rPr>
        <w:t>3</w:t>
      </w:r>
      <w:r>
        <w:rPr>
          <w:rFonts w:hint="default" w:ascii="Times New Roman" w:hAnsi="Times New Roman" w:eastAsia="仿宋_GB2312" w:cs="Times New Roman"/>
          <w:b/>
          <w:color w:val="auto"/>
          <w:kern w:val="0"/>
          <w:sz w:val="21"/>
          <w:szCs w:val="21"/>
        </w:rPr>
        <w:t>）</w:t>
      </w:r>
    </w:p>
    <w:tbl>
      <w:tblPr>
        <w:tblStyle w:val="61"/>
        <w:tblpPr w:leftFromText="180" w:rightFromText="180" w:vertAnchor="text" w:horzAnchor="margin" w:tblpXSpec="center" w:tblpY="6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20"/>
        <w:gridCol w:w="585"/>
        <w:gridCol w:w="578"/>
        <w:gridCol w:w="578"/>
        <w:gridCol w:w="585"/>
        <w:gridCol w:w="580"/>
        <w:gridCol w:w="737"/>
        <w:gridCol w:w="666"/>
        <w:gridCol w:w="737"/>
        <w:gridCol w:w="580"/>
        <w:gridCol w:w="436"/>
        <w:gridCol w:w="525"/>
        <w:gridCol w:w="4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blHeader/>
        </w:trPr>
        <w:tc>
          <w:tcPr>
            <w:tcW w:w="895" w:type="pct"/>
            <w:vMerge w:val="restar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工程组成</w:t>
            </w:r>
          </w:p>
        </w:tc>
        <w:tc>
          <w:tcPr>
            <w:tcW w:w="34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挖方</w:t>
            </w:r>
          </w:p>
        </w:tc>
        <w:tc>
          <w:tcPr>
            <w:tcW w:w="1033" w:type="pct"/>
            <w:gridSpan w:val="3"/>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回填</w:t>
            </w:r>
          </w:p>
        </w:tc>
        <w:tc>
          <w:tcPr>
            <w:tcW w:w="780"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调入</w:t>
            </w:r>
          </w:p>
        </w:tc>
        <w:tc>
          <w:tcPr>
            <w:tcW w:w="780"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调出</w:t>
            </w:r>
          </w:p>
        </w:tc>
        <w:tc>
          <w:tcPr>
            <w:tcW w:w="603"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外借</w:t>
            </w:r>
          </w:p>
        </w:tc>
        <w:tc>
          <w:tcPr>
            <w:tcW w:w="561"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余方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blHeader/>
        </w:trPr>
        <w:tc>
          <w:tcPr>
            <w:tcW w:w="895" w:type="pct"/>
            <w:vMerge w:val="continue"/>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c>
          <w:tcPr>
            <w:tcW w:w="347"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基础</w:t>
            </w:r>
          </w:p>
        </w:tc>
        <w:tc>
          <w:tcPr>
            <w:tcW w:w="343"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场平</w:t>
            </w:r>
          </w:p>
        </w:tc>
        <w:tc>
          <w:tcPr>
            <w:tcW w:w="343"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基础</w:t>
            </w:r>
          </w:p>
        </w:tc>
        <w:tc>
          <w:tcPr>
            <w:tcW w:w="347"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小计</w:t>
            </w:r>
          </w:p>
        </w:tc>
        <w:tc>
          <w:tcPr>
            <w:tcW w:w="344"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数量</w:t>
            </w:r>
          </w:p>
        </w:tc>
        <w:tc>
          <w:tcPr>
            <w:tcW w:w="43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来源</w:t>
            </w:r>
          </w:p>
        </w:tc>
        <w:tc>
          <w:tcPr>
            <w:tcW w:w="344"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数量</w:t>
            </w:r>
          </w:p>
        </w:tc>
        <w:tc>
          <w:tcPr>
            <w:tcW w:w="43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去向</w:t>
            </w:r>
          </w:p>
        </w:tc>
        <w:tc>
          <w:tcPr>
            <w:tcW w:w="344"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数量</w:t>
            </w:r>
          </w:p>
        </w:tc>
        <w:tc>
          <w:tcPr>
            <w:tcW w:w="259"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来源</w:t>
            </w:r>
          </w:p>
        </w:tc>
        <w:tc>
          <w:tcPr>
            <w:tcW w:w="31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数量</w:t>
            </w:r>
          </w:p>
        </w:tc>
        <w:tc>
          <w:tcPr>
            <w:tcW w:w="25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89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（1）建筑工程</w:t>
            </w:r>
          </w:p>
        </w:tc>
        <w:tc>
          <w:tcPr>
            <w:tcW w:w="34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0.08</w:t>
            </w:r>
          </w:p>
        </w:tc>
        <w:tc>
          <w:tcPr>
            <w:tcW w:w="343"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43"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0.07</w:t>
            </w:r>
          </w:p>
        </w:tc>
        <w:tc>
          <w:tcPr>
            <w:tcW w:w="34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0.07</w:t>
            </w:r>
          </w:p>
        </w:tc>
        <w:tc>
          <w:tcPr>
            <w:tcW w:w="344" w:type="pct"/>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c>
          <w:tcPr>
            <w:tcW w:w="43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44"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0.01</w:t>
            </w:r>
          </w:p>
        </w:tc>
        <w:tc>
          <w:tcPr>
            <w:tcW w:w="43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w:t>
            </w:r>
          </w:p>
        </w:tc>
        <w:tc>
          <w:tcPr>
            <w:tcW w:w="344"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259"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1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25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89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（2）道路工程</w:t>
            </w:r>
          </w:p>
        </w:tc>
        <w:tc>
          <w:tcPr>
            <w:tcW w:w="34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0.03</w:t>
            </w:r>
          </w:p>
        </w:tc>
        <w:tc>
          <w:tcPr>
            <w:tcW w:w="343"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43"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0.03</w:t>
            </w:r>
          </w:p>
        </w:tc>
        <w:tc>
          <w:tcPr>
            <w:tcW w:w="34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0.03</w:t>
            </w:r>
          </w:p>
        </w:tc>
        <w:tc>
          <w:tcPr>
            <w:tcW w:w="344" w:type="pct"/>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c>
          <w:tcPr>
            <w:tcW w:w="436" w:type="pct"/>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c>
          <w:tcPr>
            <w:tcW w:w="344"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43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44"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259"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1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250" w:type="pct"/>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89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（3）绿化工程</w:t>
            </w:r>
          </w:p>
        </w:tc>
        <w:tc>
          <w:tcPr>
            <w:tcW w:w="34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43"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43"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0.01</w:t>
            </w:r>
          </w:p>
        </w:tc>
        <w:tc>
          <w:tcPr>
            <w:tcW w:w="34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0.01</w:t>
            </w:r>
          </w:p>
        </w:tc>
        <w:tc>
          <w:tcPr>
            <w:tcW w:w="344"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0.01</w:t>
            </w:r>
          </w:p>
        </w:tc>
        <w:tc>
          <w:tcPr>
            <w:tcW w:w="436" w:type="pct"/>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c>
          <w:tcPr>
            <w:tcW w:w="344"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c>
          <w:tcPr>
            <w:tcW w:w="43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44"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259"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1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250" w:type="pct"/>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89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合计</w:t>
            </w:r>
          </w:p>
        </w:tc>
        <w:tc>
          <w:tcPr>
            <w:tcW w:w="34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b/>
                <w:color w:val="auto"/>
                <w:kern w:val="0"/>
                <w:sz w:val="18"/>
                <w:szCs w:val="18"/>
              </w:rPr>
              <w:t>0.11</w:t>
            </w:r>
          </w:p>
        </w:tc>
        <w:tc>
          <w:tcPr>
            <w:tcW w:w="343"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43"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0.11</w:t>
            </w:r>
          </w:p>
        </w:tc>
        <w:tc>
          <w:tcPr>
            <w:tcW w:w="347" w:type="pct"/>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0.11</w:t>
            </w:r>
          </w:p>
        </w:tc>
        <w:tc>
          <w:tcPr>
            <w:tcW w:w="344"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0.01</w:t>
            </w:r>
          </w:p>
        </w:tc>
        <w:tc>
          <w:tcPr>
            <w:tcW w:w="436" w:type="pct"/>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c>
          <w:tcPr>
            <w:tcW w:w="344"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0.01</w:t>
            </w:r>
          </w:p>
        </w:tc>
        <w:tc>
          <w:tcPr>
            <w:tcW w:w="436" w:type="pct"/>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c>
          <w:tcPr>
            <w:tcW w:w="344" w:type="pct"/>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c>
          <w:tcPr>
            <w:tcW w:w="259"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1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250" w:type="pct"/>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r>
    </w:tbl>
    <w:p>
      <w:pPr>
        <w:spacing w:line="240" w:lineRule="auto"/>
        <w:ind w:firstLine="36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注：土石方均为自然方。“开挖+调入+外购=回填+调出+废弃”</w:t>
      </w:r>
    </w:p>
    <w:p>
      <w:pPr>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rPr>
        <w:object>
          <v:shape id="_x0000_i1025" o:spt="75" type="#_x0000_t75" style="height:204pt;width:346.5pt;" o:ole="t" filled="f" o:preferrelative="t" stroked="f" coordsize="21600,21600">
            <v:path/>
            <v:fill on="f" focussize="0,0"/>
            <v:stroke on="f"/>
            <v:imagedata r:id="rId29" o:title=""/>
            <o:lock v:ext="edit" aspectratio="t"/>
            <w10:wrap type="none"/>
            <w10:anchorlock/>
          </v:shape>
          <o:OLEObject Type="Embed" ProgID="Visio.Drawing.11" ShapeID="_x0000_i1025" DrawAspect="Content" ObjectID="_1468075725" r:id="rId28">
            <o:LockedField>false</o:LockedField>
          </o:OLEObject>
        </w:object>
      </w:r>
    </w:p>
    <w:p>
      <w:pPr>
        <w:spacing w:line="240" w:lineRule="auto"/>
        <w:ind w:firstLine="0" w:firstLineChars="0"/>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图2.4   土石方流向框图（单位：万m</w:t>
      </w:r>
      <w:r>
        <w:rPr>
          <w:rFonts w:hint="default" w:ascii="Times New Roman" w:hAnsi="Times New Roman" w:eastAsia="仿宋_GB2312" w:cs="Times New Roman"/>
          <w:b/>
          <w:color w:val="auto"/>
          <w:sz w:val="21"/>
          <w:szCs w:val="21"/>
          <w:vertAlign w:val="superscript"/>
        </w:rPr>
        <w:t>3</w:t>
      </w:r>
      <w:r>
        <w:rPr>
          <w:rFonts w:hint="default" w:ascii="Times New Roman" w:hAnsi="Times New Roman" w:eastAsia="仿宋_GB2312" w:cs="Times New Roman"/>
          <w:b/>
          <w:color w:val="auto"/>
          <w:sz w:val="21"/>
          <w:szCs w:val="21"/>
        </w:rPr>
        <w:t>，自然方）</w:t>
      </w:r>
    </w:p>
    <w:p>
      <w:pPr>
        <w:pStyle w:val="4"/>
        <w:suppressAutoHyphens/>
        <w:spacing w:before="156" w:beforeLines="50" w:after="156" w:afterLines="50"/>
        <w:rPr>
          <w:rFonts w:hint="default" w:ascii="Times New Roman" w:hAnsi="Times New Roman" w:cs="Times New Roman"/>
          <w:color w:val="auto"/>
          <w:kern w:val="0"/>
        </w:rPr>
      </w:pPr>
      <w:bookmarkStart w:id="53" w:name="_Toc47879790"/>
      <w:bookmarkStart w:id="54" w:name="_Toc205281465"/>
      <w:bookmarkStart w:id="55" w:name="_Toc207619396"/>
      <w:bookmarkStart w:id="56" w:name="_Toc199906840"/>
      <w:bookmarkStart w:id="57" w:name="_Toc197707976"/>
      <w:bookmarkStart w:id="58" w:name="_Toc415927822"/>
      <w:r>
        <w:rPr>
          <w:rFonts w:hint="default" w:ascii="Times New Roman" w:hAnsi="Times New Roman" w:cs="Times New Roman"/>
          <w:color w:val="auto"/>
          <w:kern w:val="0"/>
        </w:rPr>
        <w:t>2.5 拆迁（移民）安置与专项设施改（迁）建</w:t>
      </w:r>
      <w:bookmarkEnd w:id="53"/>
    </w:p>
    <w:p>
      <w:pPr>
        <w:suppressAutoHyphens/>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本项目在原有校园内建设，不涉及拆迁安置，专项设施迁建、改建等。</w:t>
      </w:r>
    </w:p>
    <w:p>
      <w:pPr>
        <w:pStyle w:val="4"/>
        <w:suppressAutoHyphens/>
        <w:spacing w:before="156" w:beforeLines="50" w:after="156" w:afterLines="50"/>
        <w:ind w:firstLine="281" w:firstLineChars="100"/>
        <w:rPr>
          <w:rFonts w:hint="default" w:ascii="Times New Roman" w:hAnsi="Times New Roman" w:cs="Times New Roman"/>
          <w:color w:val="auto"/>
          <w:kern w:val="0"/>
        </w:rPr>
      </w:pPr>
      <w:bookmarkStart w:id="59" w:name="_Toc336086578"/>
      <w:bookmarkStart w:id="60" w:name="_Toc47879791"/>
      <w:r>
        <w:rPr>
          <w:rFonts w:hint="default" w:ascii="Times New Roman" w:hAnsi="Times New Roman" w:cs="Times New Roman"/>
          <w:color w:val="auto"/>
          <w:kern w:val="0"/>
        </w:rPr>
        <w:t>2.6进度安排</w:t>
      </w:r>
      <w:bookmarkEnd w:id="59"/>
      <w:bookmarkEnd w:id="60"/>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rPr>
        <w:t>本项目已于2016年11月动工，</w:t>
      </w:r>
      <w:r>
        <w:rPr>
          <w:rFonts w:hint="default" w:ascii="Times New Roman" w:hAnsi="Times New Roman" w:eastAsia="仿宋_GB2312" w:cs="Times New Roman"/>
          <w:color w:val="auto"/>
          <w:kern w:val="0"/>
        </w:rPr>
        <w:t>2017年11月完工，总工期13个月。</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建筑工程：2016年11月～2017年7月；</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道路工程：2017年6月～8月。</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绿化工程：2017年7月～8月；</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附属工程：2017年9月～11月。</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工程施工进度详见表2-8。</w:t>
      </w:r>
    </w:p>
    <w:p>
      <w:pPr>
        <w:ind w:firstLine="422"/>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color w:val="auto"/>
          <w:kern w:val="0"/>
          <w:sz w:val="21"/>
          <w:szCs w:val="21"/>
        </w:rPr>
        <w:t>表2-8   工程施工进度安排表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63"/>
        <w:gridCol w:w="525"/>
        <w:gridCol w:w="525"/>
        <w:gridCol w:w="592"/>
        <w:gridCol w:w="455"/>
        <w:gridCol w:w="488"/>
        <w:gridCol w:w="491"/>
        <w:gridCol w:w="546"/>
        <w:gridCol w:w="619"/>
        <w:gridCol w:w="691"/>
        <w:gridCol w:w="675"/>
        <w:gridCol w:w="546"/>
        <w:gridCol w:w="609"/>
        <w:gridCol w:w="6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82" w:type="pct"/>
            <w:vMerge w:val="restar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项目名称</w:t>
            </w:r>
          </w:p>
        </w:tc>
        <w:tc>
          <w:tcPr>
            <w:tcW w:w="616"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2016年</w:t>
            </w:r>
          </w:p>
        </w:tc>
        <w:tc>
          <w:tcPr>
            <w:tcW w:w="3702" w:type="pct"/>
            <w:gridSpan w:val="11"/>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2017年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82" w:type="pct"/>
            <w:vMerge w:val="continue"/>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0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11月</w:t>
            </w:r>
          </w:p>
        </w:tc>
        <w:tc>
          <w:tcPr>
            <w:tcW w:w="30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12月</w:t>
            </w:r>
          </w:p>
        </w:tc>
        <w:tc>
          <w:tcPr>
            <w:tcW w:w="34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1月</w:t>
            </w:r>
          </w:p>
        </w:tc>
        <w:tc>
          <w:tcPr>
            <w:tcW w:w="26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2月</w:t>
            </w:r>
          </w:p>
        </w:tc>
        <w:tc>
          <w:tcPr>
            <w:tcW w:w="28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3月</w:t>
            </w:r>
          </w:p>
        </w:tc>
        <w:tc>
          <w:tcPr>
            <w:tcW w:w="28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4月</w:t>
            </w:r>
          </w:p>
        </w:tc>
        <w:tc>
          <w:tcPr>
            <w:tcW w:w="32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5月</w:t>
            </w:r>
          </w:p>
        </w:tc>
        <w:tc>
          <w:tcPr>
            <w:tcW w:w="363"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6月</w:t>
            </w:r>
          </w:p>
        </w:tc>
        <w:tc>
          <w:tcPr>
            <w:tcW w:w="40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7月</w:t>
            </w:r>
          </w:p>
        </w:tc>
        <w:tc>
          <w:tcPr>
            <w:tcW w:w="39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8月</w:t>
            </w:r>
          </w:p>
        </w:tc>
        <w:tc>
          <w:tcPr>
            <w:tcW w:w="32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9月</w:t>
            </w:r>
          </w:p>
        </w:tc>
        <w:tc>
          <w:tcPr>
            <w:tcW w:w="35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10月</w:t>
            </w:r>
          </w:p>
        </w:tc>
        <w:tc>
          <w:tcPr>
            <w:tcW w:w="353"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11月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82"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建筑工程</w:t>
            </w:r>
          </w:p>
        </w:tc>
        <w:tc>
          <w:tcPr>
            <w:tcW w:w="2892" w:type="pct"/>
            <w:gridSpan w:val="9"/>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mc:AlternateContent>
                <mc:Choice Requires="wps">
                  <w:drawing>
                    <wp:anchor distT="0" distB="0" distL="114300" distR="114300" simplePos="0" relativeHeight="252037120" behindDoc="0" locked="0" layoutInCell="1" allowOverlap="1">
                      <wp:simplePos x="0" y="0"/>
                      <wp:positionH relativeFrom="column">
                        <wp:posOffset>-11430</wp:posOffset>
                      </wp:positionH>
                      <wp:positionV relativeFrom="paragraph">
                        <wp:posOffset>78740</wp:posOffset>
                      </wp:positionV>
                      <wp:extent cx="3060700" cy="0"/>
                      <wp:effectExtent l="0" t="19050" r="6350" b="19050"/>
                      <wp:wrapNone/>
                      <wp:docPr id="5" name="自选图形 1252"/>
                      <wp:cNvGraphicFramePr/>
                      <a:graphic xmlns:a="http://schemas.openxmlformats.org/drawingml/2006/main">
                        <a:graphicData uri="http://schemas.microsoft.com/office/word/2010/wordprocessingShape">
                          <wps:wsp>
                            <wps:cNvCnPr>
                              <a:cxnSpLocks noChangeShapeType="1"/>
                            </wps:cNvCnPr>
                            <wps:spPr bwMode="auto">
                              <a:xfrm>
                                <a:off x="0" y="0"/>
                                <a:ext cx="3060700" cy="0"/>
                              </a:xfrm>
                              <a:prstGeom prst="straightConnector1">
                                <a:avLst/>
                              </a:prstGeom>
                              <a:noFill/>
                              <a:ln w="28575">
                                <a:solidFill>
                                  <a:srgbClr val="000000"/>
                                </a:solidFill>
                                <a:round/>
                              </a:ln>
                            </wps:spPr>
                            <wps:bodyPr/>
                          </wps:wsp>
                        </a:graphicData>
                      </a:graphic>
                    </wp:anchor>
                  </w:drawing>
                </mc:Choice>
                <mc:Fallback>
                  <w:pict>
                    <v:shape id="自选图形 1252" o:spid="_x0000_s1026" o:spt="32" type="#_x0000_t32" style="position:absolute;left:0pt;margin-left:-0.9pt;margin-top:6.2pt;height:0pt;width:241pt;z-index:252037120;mso-width-relative:page;mso-height-relative:page;" filled="f" stroked="t" coordsize="21600,21600" o:gfxdata="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lOLq1gAAAAgBAAAPAAAAAAAAAAEAIAAA&#10;ACIAAABkcnMvZG93bnJldi54bWxQSwECFAAUAAAACACHTuJAmzTmZdUBAABrAwAADgAAAAAAAAAB&#10;ACAAAAAlAQAAZHJzL2Uyb0RvYy54bWxQSwUGAAAAAAYABgBZAQAAbAUAAAAA&#10;">
                      <v:fill on="f" focussize="0,0"/>
                      <v:stroke weight="2.25pt" color="#000000" joinstyle="round"/>
                      <v:imagedata o:title=""/>
                      <o:lock v:ext="edit" aspectratio="f"/>
                    </v:shape>
                  </w:pict>
                </mc:Fallback>
              </mc:AlternateContent>
            </w:r>
          </w:p>
        </w:tc>
        <w:tc>
          <w:tcPr>
            <w:tcW w:w="39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2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5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53"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82"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道路工程</w:t>
            </w:r>
          </w:p>
        </w:tc>
        <w:tc>
          <w:tcPr>
            <w:tcW w:w="30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0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4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26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28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28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2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1164" w:type="pct"/>
            <w:gridSpan w:val="3"/>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mc:AlternateContent>
                <mc:Choice Requires="wps">
                  <w:drawing>
                    <wp:anchor distT="0" distB="0" distL="114300" distR="114300" simplePos="0" relativeHeight="252039168" behindDoc="0" locked="0" layoutInCell="1" allowOverlap="1">
                      <wp:simplePos x="0" y="0"/>
                      <wp:positionH relativeFrom="column">
                        <wp:posOffset>45720</wp:posOffset>
                      </wp:positionH>
                      <wp:positionV relativeFrom="paragraph">
                        <wp:posOffset>105410</wp:posOffset>
                      </wp:positionV>
                      <wp:extent cx="1111250" cy="0"/>
                      <wp:effectExtent l="0" t="19050" r="12700" b="19050"/>
                      <wp:wrapNone/>
                      <wp:docPr id="12" name="自选图形 1252"/>
                      <wp:cNvGraphicFramePr/>
                      <a:graphic xmlns:a="http://schemas.openxmlformats.org/drawingml/2006/main">
                        <a:graphicData uri="http://schemas.microsoft.com/office/word/2010/wordprocessingShape">
                          <wps:wsp>
                            <wps:cNvCnPr>
                              <a:cxnSpLocks noChangeShapeType="1"/>
                            </wps:cNvCnPr>
                            <wps:spPr bwMode="auto">
                              <a:xfrm>
                                <a:off x="0" y="0"/>
                                <a:ext cx="1111250" cy="0"/>
                              </a:xfrm>
                              <a:prstGeom prst="straightConnector1">
                                <a:avLst/>
                              </a:prstGeom>
                              <a:noFill/>
                              <a:ln w="28575">
                                <a:solidFill>
                                  <a:srgbClr val="000000"/>
                                </a:solidFill>
                                <a:round/>
                              </a:ln>
                            </wps:spPr>
                            <wps:bodyPr/>
                          </wps:wsp>
                        </a:graphicData>
                      </a:graphic>
                    </wp:anchor>
                  </w:drawing>
                </mc:Choice>
                <mc:Fallback>
                  <w:pict>
                    <v:shape id="自选图形 1252" o:spid="_x0000_s1026" o:spt="32" type="#_x0000_t32" style="position:absolute;left:0pt;margin-left:3.6pt;margin-top:8.3pt;height:0pt;width:87.5pt;z-index:252039168;mso-width-relative:page;mso-height-relative:page;" filled="f" stroked="t" coordsize="21600,21600" o:gfxdata="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FLfzj9MAAAAHAQAADwAAAAAAAAABACAAAAAiAAAA&#10;ZHJzL2Rvd25yZXYueG1sUEsBAhQAFAAAAAgAh07iQC2+CmXTAQAAbAMAAA4AAAAAAAAAAQAgAAAA&#10;IgEAAGRycy9lMm9Eb2MueG1sUEsFBgAAAAAGAAYAWQEAAGcFAAAAAA==&#10;">
                      <v:fill on="f" focussize="0,0"/>
                      <v:stroke weight="2.25pt" color="#000000" joinstyle="round"/>
                      <v:imagedata o:title=""/>
                      <o:lock v:ext="edit" aspectratio="f"/>
                    </v:shape>
                  </w:pict>
                </mc:Fallback>
              </mc:AlternateContent>
            </w:r>
          </w:p>
        </w:tc>
        <w:tc>
          <w:tcPr>
            <w:tcW w:w="32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5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53"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82"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绿化工程</w:t>
            </w:r>
          </w:p>
        </w:tc>
        <w:tc>
          <w:tcPr>
            <w:tcW w:w="30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0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4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26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28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28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2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63"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801"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mc:AlternateContent>
                <mc:Choice Requires="wps">
                  <w:drawing>
                    <wp:anchor distT="0" distB="0" distL="114300" distR="114300" simplePos="0" relativeHeight="252043264" behindDoc="0" locked="0" layoutInCell="1" allowOverlap="1">
                      <wp:simplePos x="0" y="0"/>
                      <wp:positionH relativeFrom="column">
                        <wp:posOffset>-17780</wp:posOffset>
                      </wp:positionH>
                      <wp:positionV relativeFrom="paragraph">
                        <wp:posOffset>104775</wp:posOffset>
                      </wp:positionV>
                      <wp:extent cx="787400" cy="0"/>
                      <wp:effectExtent l="0" t="19050" r="12700" b="19050"/>
                      <wp:wrapNone/>
                      <wp:docPr id="15" name="自选图形 1252"/>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straightConnector1">
                                <a:avLst/>
                              </a:prstGeom>
                              <a:noFill/>
                              <a:ln w="28575">
                                <a:solidFill>
                                  <a:srgbClr val="000000"/>
                                </a:solidFill>
                                <a:round/>
                              </a:ln>
                            </wps:spPr>
                            <wps:bodyPr/>
                          </wps:wsp>
                        </a:graphicData>
                      </a:graphic>
                    </wp:anchor>
                  </w:drawing>
                </mc:Choice>
                <mc:Fallback>
                  <w:pict>
                    <v:shape id="自选图形 1252" o:spid="_x0000_s1026" o:spt="32" type="#_x0000_t32" style="position:absolute;left:0pt;margin-left:-1.4pt;margin-top:8.25pt;height:0pt;width:62pt;z-index:252043264;mso-width-relative:page;mso-height-relative:page;" filled="f" stroked="t" coordsize="21600,21600" o:gfxdata="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bmgBPWAAAACAEAAA8AAAAAAAAAAQAgAAAA&#10;IgAAAGRycy9kb3ducmV2LnhtbFBLAQIUABQAAAAIAIdO4kAjvI+X1AEAAGsDAAAOAAAAAAAAAAEA&#10;IAAAACUBAABkcnMvZTJvRG9jLnhtbFBLBQYAAAAABgAGAFkBAABrBQAAAAA=&#10;">
                      <v:fill on="f" focussize="0,0"/>
                      <v:stroke weight="2.25pt" color="#000000" joinstyle="round"/>
                      <v:imagedata o:title=""/>
                      <o:lock v:ext="edit" aspectratio="f"/>
                    </v:shape>
                  </w:pict>
                </mc:Fallback>
              </mc:AlternateContent>
            </w:r>
          </w:p>
        </w:tc>
        <w:tc>
          <w:tcPr>
            <w:tcW w:w="32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5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53"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82"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附属工程</w:t>
            </w:r>
          </w:p>
        </w:tc>
        <w:tc>
          <w:tcPr>
            <w:tcW w:w="30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0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4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26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28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28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2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63"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801"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1030" w:type="pct"/>
            <w:gridSpan w:val="3"/>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mc:AlternateContent>
                <mc:Choice Requires="wps">
                  <w:drawing>
                    <wp:anchor distT="0" distB="0" distL="114300" distR="114300" simplePos="0" relativeHeight="252019712" behindDoc="0" locked="0" layoutInCell="1" allowOverlap="1">
                      <wp:simplePos x="0" y="0"/>
                      <wp:positionH relativeFrom="column">
                        <wp:posOffset>-24130</wp:posOffset>
                      </wp:positionH>
                      <wp:positionV relativeFrom="paragraph">
                        <wp:posOffset>80010</wp:posOffset>
                      </wp:positionV>
                      <wp:extent cx="1098550" cy="0"/>
                      <wp:effectExtent l="0" t="19050" r="6350" b="19050"/>
                      <wp:wrapNone/>
                      <wp:docPr id="66" name="自选图形 1252"/>
                      <wp:cNvGraphicFramePr/>
                      <a:graphic xmlns:a="http://schemas.openxmlformats.org/drawingml/2006/main">
                        <a:graphicData uri="http://schemas.microsoft.com/office/word/2010/wordprocessingShape">
                          <wps:wsp>
                            <wps:cNvCnPr>
                              <a:cxnSpLocks noChangeShapeType="1"/>
                            </wps:cNvCnPr>
                            <wps:spPr bwMode="auto">
                              <a:xfrm>
                                <a:off x="0" y="0"/>
                                <a:ext cx="1098550" cy="0"/>
                              </a:xfrm>
                              <a:prstGeom prst="straightConnector1">
                                <a:avLst/>
                              </a:prstGeom>
                              <a:noFill/>
                              <a:ln w="28575">
                                <a:solidFill>
                                  <a:srgbClr val="000000"/>
                                </a:solidFill>
                                <a:round/>
                              </a:ln>
                            </wps:spPr>
                            <wps:bodyPr/>
                          </wps:wsp>
                        </a:graphicData>
                      </a:graphic>
                    </wp:anchor>
                  </w:drawing>
                </mc:Choice>
                <mc:Fallback>
                  <w:pict>
                    <v:shape id="自选图形 1252" o:spid="_x0000_s1026" o:spt="32" type="#_x0000_t32" style="position:absolute;left:0pt;margin-left:-1.9pt;margin-top:6.3pt;height:0pt;width:86.5pt;z-index:252019712;mso-width-relative:page;mso-height-relative:page;" filled="f" stroked="t" coordsize="21600,21600" o:gfxdata="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CBN8N1gAAAAgBAAAPAAAAAAAAAAEAIAAA&#10;ACIAAABkcnMvZG93bnJldi54bWxQSwECFAAUAAAACACHTuJAonYj89UBAABsAwAADgAAAAAAAAAB&#10;ACAAAAAlAQAAZHJzL2Uyb0RvYy54bWxQSwUGAAAAAAYABgBZAQAAbAUAAAAA&#10;">
                      <v:fill on="f" focussize="0,0"/>
                      <v:stroke weight="2.25pt" color="#000000" joinstyle="round"/>
                      <v:imagedata o:title=""/>
                      <o:lock v:ext="edit" aspectratio="f"/>
                    </v:shape>
                  </w:pict>
                </mc:Fallback>
              </mc:AlternateContent>
            </w:r>
          </w:p>
        </w:tc>
      </w:tr>
      <w:bookmarkEnd w:id="43"/>
      <w:bookmarkEnd w:id="54"/>
      <w:bookmarkEnd w:id="55"/>
      <w:bookmarkEnd w:id="56"/>
      <w:bookmarkEnd w:id="57"/>
      <w:bookmarkEnd w:id="58"/>
    </w:tbl>
    <w:p>
      <w:pPr>
        <w:pStyle w:val="4"/>
        <w:suppressAutoHyphens/>
        <w:spacing w:before="156" w:beforeLines="50" w:after="156" w:afterLines="50"/>
        <w:rPr>
          <w:rFonts w:hint="default" w:ascii="Times New Roman" w:hAnsi="Times New Roman" w:cs="Times New Roman"/>
          <w:color w:val="auto"/>
          <w:kern w:val="0"/>
        </w:rPr>
      </w:pPr>
      <w:bookmarkStart w:id="61" w:name="_Toc47879792"/>
      <w:bookmarkStart w:id="62" w:name="_Toc12137965"/>
      <w:r>
        <w:rPr>
          <w:rFonts w:hint="default" w:ascii="Times New Roman" w:hAnsi="Times New Roman" w:cs="Times New Roman"/>
          <w:color w:val="auto"/>
          <w:kern w:val="0"/>
        </w:rPr>
        <w:t>2.7自然概况</w:t>
      </w:r>
      <w:bookmarkEnd w:id="61"/>
      <w:bookmarkEnd w:id="62"/>
    </w:p>
    <w:p>
      <w:pPr>
        <w:pStyle w:val="5"/>
        <w:rPr>
          <w:rFonts w:hint="default" w:ascii="Times New Roman" w:hAnsi="Times New Roman" w:cs="Times New Roman"/>
          <w:color w:val="auto"/>
        </w:rPr>
      </w:pPr>
      <w:r>
        <w:rPr>
          <w:rFonts w:hint="default" w:ascii="Times New Roman" w:hAnsi="Times New Roman" w:cs="Times New Roman"/>
          <w:color w:val="auto"/>
        </w:rPr>
        <w:t>2.7.1项目区自然概况</w:t>
      </w:r>
    </w:p>
    <w:p>
      <w:pPr>
        <w:adjustRightInd w:val="0"/>
        <w:snapToGrid w:val="0"/>
        <w:ind w:firstLine="0" w:firstLineChars="0"/>
        <w:outlineLvl w:val="3"/>
        <w:rPr>
          <w:rFonts w:hint="default" w:ascii="Times New Roman" w:hAnsi="Times New Roman" w:cs="Times New Roman"/>
          <w:b/>
          <w:color w:val="auto"/>
          <w:kern w:val="0"/>
        </w:rPr>
      </w:pPr>
      <w:r>
        <w:rPr>
          <w:rFonts w:hint="default" w:ascii="Times New Roman" w:hAnsi="Times New Roman" w:cs="Times New Roman"/>
          <w:b/>
          <w:color w:val="auto"/>
          <w:kern w:val="0"/>
        </w:rPr>
        <w:t>2.7.1.1 地质</w:t>
      </w:r>
    </w:p>
    <w:p>
      <w:pPr>
        <w:pStyle w:val="1102"/>
        <w:rPr>
          <w:rFonts w:hint="default" w:ascii="Times New Roman" w:hAnsi="Times New Roman" w:cs="Times New Roman"/>
          <w:color w:val="auto"/>
        </w:rPr>
      </w:pPr>
      <w:bookmarkStart w:id="63" w:name="_Toc19629"/>
      <w:bookmarkStart w:id="64" w:name="_Toc409680976"/>
      <w:bookmarkStart w:id="65" w:name="OLE_LINK11"/>
      <w:bookmarkStart w:id="66" w:name="_Toc361991708"/>
      <w:bookmarkStart w:id="67" w:name="_Toc390408951"/>
      <w:bookmarkStart w:id="68" w:name="_Toc391804280"/>
      <w:bookmarkStart w:id="69" w:name="_Toc6593"/>
      <w:bookmarkStart w:id="70" w:name="_Toc297299999"/>
      <w:r>
        <w:rPr>
          <w:rFonts w:hint="default" w:ascii="Times New Roman" w:hAnsi="Times New Roman" w:cs="Times New Roman"/>
          <w:color w:val="auto"/>
        </w:rPr>
        <w:t>项目所在属四川西部地槽区，地质构造由一系列呈北西—南东向展布的线状褶皱组成。项目区在大地构造单元上属松潘-甘孜褶皱系巴颜喀拉冒地槽皱褶带之阿坝斜带，本项目大构造区为三大断裂带围限，北为玛沁－玛曲－略阳断裂带，东为龙门山－锦屏山断裂带，西为甘孜－理塘断裂带。其间发育有岷江－虎牙大断裂、玛曲－荷叶大断裂、阿坝断裂、金木达－南木达断裂、鲜水河深断裂等。工程区位于甘孜—松潘地槽褶皱系内之二级构造单元巴颜喀拉冒地槽褶皱带的东南部，鲜水河断裂带与龙门山断裂带所挟持的地区。区内发育有“较场坝弧”，“小金弧”、“金汤弧”等一系列弧形构造褶皱构造，而断裂构造不甚发育。</w:t>
      </w:r>
    </w:p>
    <w:p>
      <w:pPr>
        <w:pStyle w:val="1102"/>
        <w:rPr>
          <w:rFonts w:hint="default" w:ascii="Times New Roman" w:hAnsi="Times New Roman" w:cs="Times New Roman"/>
          <w:color w:val="auto"/>
        </w:rPr>
      </w:pPr>
      <w:r>
        <w:rPr>
          <w:rFonts w:hint="default" w:ascii="Times New Roman" w:hAnsi="Times New Roman" w:cs="Times New Roman"/>
          <w:color w:val="auto"/>
        </w:rPr>
        <w:t>根据《建筑抗震设计规范》（GB 50011-2010）附录A，该地区抗震设防烈度为Ⅵ度，设计基本地震加速度值为0.05g，设计地震分组为第三组，设计特征周期为0.45s。</w:t>
      </w:r>
    </w:p>
    <w:p>
      <w:pPr>
        <w:pStyle w:val="1102"/>
        <w:ind w:firstLine="482"/>
        <w:rPr>
          <w:rFonts w:hint="default" w:ascii="Times New Roman" w:hAnsi="Times New Roman" w:cs="Times New Roman"/>
          <w:b/>
          <w:color w:val="auto"/>
        </w:rPr>
      </w:pPr>
      <w:r>
        <w:rPr>
          <w:rFonts w:hint="default" w:ascii="Times New Roman" w:hAnsi="Times New Roman" w:cs="Times New Roman"/>
          <w:b/>
          <w:color w:val="auto"/>
        </w:rPr>
        <w:t>（1）水文地质</w:t>
      </w:r>
    </w:p>
    <w:p>
      <w:pPr>
        <w:pStyle w:val="1102"/>
        <w:rPr>
          <w:rFonts w:hint="default" w:ascii="Times New Roman" w:hAnsi="Times New Roman" w:cs="Times New Roman"/>
          <w:iCs/>
          <w:color w:val="auto"/>
        </w:rPr>
      </w:pPr>
      <w:r>
        <w:rPr>
          <w:rFonts w:hint="default" w:ascii="Times New Roman" w:hAnsi="Times New Roman" w:cs="Times New Roman"/>
          <w:iCs/>
          <w:color w:val="auto"/>
        </w:rPr>
        <w:t>本次勘探为丰水期，勘察期间所测得的地下水位均分布于中部卵石层中，其水位埋深为2.00～2.40m。</w:t>
      </w:r>
    </w:p>
    <w:p>
      <w:pPr>
        <w:pStyle w:val="1102"/>
        <w:rPr>
          <w:rFonts w:hint="default" w:ascii="Times New Roman" w:hAnsi="Times New Roman" w:cs="Times New Roman"/>
          <w:iCs/>
          <w:color w:val="auto"/>
        </w:rPr>
      </w:pPr>
      <w:r>
        <w:rPr>
          <w:rFonts w:hint="default" w:ascii="Times New Roman" w:hAnsi="Times New Roman" w:cs="Times New Roman"/>
          <w:iCs/>
          <w:color w:val="auto"/>
        </w:rPr>
        <w:t>本次勘探正值丰水期，测得地下水位在2.00～2.40m之间。根据区域水文地质资料，场地地下水位丰、枯水期年变幅为1.00～2.00m，历史最高水位标高为3499.00m（假设标高）。场地卵石层渗透系数K值可取25m/d，场地环境为Ⅰ类。基坑开挖之前应进一步核实地下水稳定水位，为基坑降水的设计和施工提供可靠依据。</w:t>
      </w:r>
    </w:p>
    <w:p>
      <w:pPr>
        <w:pStyle w:val="1102"/>
        <w:ind w:firstLine="482"/>
        <w:rPr>
          <w:rFonts w:hint="default" w:ascii="Times New Roman" w:hAnsi="Times New Roman" w:cs="Times New Roman"/>
          <w:b/>
          <w:color w:val="auto"/>
        </w:rPr>
      </w:pPr>
      <w:r>
        <w:rPr>
          <w:rFonts w:hint="default" w:ascii="Times New Roman" w:hAnsi="Times New Roman" w:cs="Times New Roman"/>
          <w:b/>
          <w:color w:val="auto"/>
        </w:rPr>
        <w:t>（2）地层岩性</w:t>
      </w:r>
    </w:p>
    <w:p>
      <w:pPr>
        <w:pStyle w:val="1102"/>
        <w:rPr>
          <w:rFonts w:hint="default" w:ascii="Times New Roman" w:hAnsi="Times New Roman" w:cs="Times New Roman"/>
          <w:color w:val="auto"/>
        </w:rPr>
      </w:pPr>
      <w:r>
        <w:rPr>
          <w:rFonts w:hint="default" w:ascii="Times New Roman" w:hAnsi="Times New Roman" w:cs="Times New Roman"/>
          <w:color w:val="auto"/>
        </w:rPr>
        <w:t>地基土层由上至下按时代成因划分为：</w:t>
      </w:r>
      <w:r>
        <w:rPr>
          <w:rFonts w:hint="default" w:ascii="Times New Roman" w:hAnsi="Times New Roman" w:cs="Times New Roman"/>
          <w:color w:val="auto"/>
          <w:lang w:val="zh-CN"/>
        </w:rPr>
        <w:t>第四系全新统填土层</w:t>
      </w:r>
      <w:r>
        <w:rPr>
          <w:rFonts w:hint="default" w:ascii="Times New Roman" w:hAnsi="Times New Roman" w:cs="Times New Roman"/>
          <w:color w:val="auto"/>
        </w:rPr>
        <w:t>（Q</w:t>
      </w:r>
      <w:r>
        <w:rPr>
          <w:rFonts w:hint="default" w:ascii="Times New Roman" w:hAnsi="Times New Roman" w:cs="Times New Roman"/>
          <w:color w:val="auto"/>
          <w:vertAlign w:val="subscript"/>
        </w:rPr>
        <w:t>4</w:t>
      </w:r>
      <w:r>
        <w:rPr>
          <w:rFonts w:hint="default" w:ascii="Times New Roman" w:hAnsi="Times New Roman" w:cs="Times New Roman"/>
          <w:color w:val="auto"/>
          <w:vertAlign w:val="superscript"/>
        </w:rPr>
        <w:t>ml</w:t>
      </w:r>
      <w:r>
        <w:rPr>
          <w:rFonts w:hint="default" w:ascii="Times New Roman" w:hAnsi="Times New Roman" w:cs="Times New Roman"/>
          <w:color w:val="auto"/>
        </w:rPr>
        <w:t>）和</w:t>
      </w:r>
      <w:r>
        <w:rPr>
          <w:rFonts w:hint="default" w:ascii="Times New Roman" w:hAnsi="Times New Roman" w:cs="Times New Roman"/>
          <w:color w:val="auto"/>
          <w:lang w:val="zh-CN"/>
        </w:rPr>
        <w:t>冲洪积层</w:t>
      </w:r>
      <w:r>
        <w:rPr>
          <w:rFonts w:hint="default" w:ascii="Times New Roman" w:hAnsi="Times New Roman" w:cs="Times New Roman"/>
          <w:color w:val="auto"/>
        </w:rPr>
        <w:t>（Q</w:t>
      </w:r>
      <w:r>
        <w:rPr>
          <w:rFonts w:hint="default" w:ascii="Times New Roman" w:hAnsi="Times New Roman" w:cs="Times New Roman"/>
          <w:color w:val="auto"/>
          <w:vertAlign w:val="subscript"/>
        </w:rPr>
        <w:t>4</w:t>
      </w:r>
      <w:r>
        <w:rPr>
          <w:rFonts w:hint="default" w:ascii="Times New Roman" w:hAnsi="Times New Roman" w:cs="Times New Roman"/>
          <w:color w:val="auto"/>
          <w:vertAlign w:val="superscript"/>
        </w:rPr>
        <w:t>al+pl</w:t>
      </w:r>
      <w:r>
        <w:rPr>
          <w:rFonts w:hint="default" w:ascii="Times New Roman" w:hAnsi="Times New Roman" w:cs="Times New Roman"/>
          <w:color w:val="auto"/>
        </w:rPr>
        <w:t>）的卵石组成，现自上而下分述如下：</w:t>
      </w:r>
    </w:p>
    <w:p>
      <w:pPr>
        <w:pStyle w:val="1102"/>
        <w:rPr>
          <w:rFonts w:hint="default" w:ascii="Times New Roman" w:hAnsi="Times New Roman" w:cs="Times New Roman"/>
          <w:color w:val="auto"/>
        </w:rPr>
      </w:pPr>
      <w:r>
        <w:rPr>
          <w:rFonts w:hint="default" w:ascii="Times New Roman" w:hAnsi="Times New Roman" w:cs="Times New Roman"/>
          <w:color w:val="auto"/>
        </w:rPr>
        <w:t>*1）素填土：褐色，灰褐色，松散，稍湿，以粘性土为主，含少许砾石及植物根须，该层在场地内连续分布，层厚2.10～2.70m。</w:t>
      </w:r>
    </w:p>
    <w:p>
      <w:pPr>
        <w:pStyle w:val="1102"/>
        <w:rPr>
          <w:rFonts w:hint="default" w:ascii="Times New Roman" w:hAnsi="Times New Roman" w:cs="Times New Roman"/>
          <w:color w:val="auto"/>
        </w:rPr>
      </w:pPr>
      <w:r>
        <w:rPr>
          <w:rFonts w:hint="default" w:ascii="Times New Roman" w:hAnsi="Times New Roman" w:cs="Times New Roman"/>
          <w:color w:val="auto"/>
        </w:rPr>
        <w:t>*2）卵石：灰黄～灰褐色，松散～稍密，湿。卵石成分主要由灰岩、石英岩、砂岩、花岗岩等岩浆岩组成，一般粒径2～40mm，局部含少量碎石土。卵石磨圆度较差，多呈亚圆形，分选性较差，级配较差，多呈中～微风化，充填物主要为粘粒及砂粒。该卵石层顶板埋深2.10～2.70m，本次勘察未揭穿此层。根据该层的密实程度及土质类别划分成以下三个亚层：</w:t>
      </w:r>
    </w:p>
    <w:p>
      <w:pPr>
        <w:pStyle w:val="1102"/>
        <w:rPr>
          <w:rFonts w:hint="default" w:ascii="Times New Roman" w:hAnsi="Times New Roman" w:cs="Times New Roman"/>
          <w:color w:val="auto"/>
        </w:rPr>
      </w:pPr>
      <w:r>
        <w:rPr>
          <w:rFonts w:hint="default" w:ascii="Times New Roman" w:hAnsi="Times New Roman" w:cs="Times New Roman"/>
          <w:color w:val="auto"/>
        </w:rPr>
        <w:t>圆砾：主要分布于卵石层上部，卵石含量20～40%，大部分不接触，N</w:t>
      </w:r>
      <w:r>
        <w:rPr>
          <w:rFonts w:hint="default" w:ascii="Times New Roman" w:hAnsi="Times New Roman" w:cs="Times New Roman"/>
          <w:color w:val="auto"/>
          <w:vertAlign w:val="subscript"/>
        </w:rPr>
        <w:t>120</w:t>
      </w:r>
      <w:r>
        <w:rPr>
          <w:rFonts w:hint="default" w:ascii="Times New Roman" w:hAnsi="Times New Roman" w:cs="Times New Roman"/>
          <w:color w:val="auto"/>
        </w:rPr>
        <w:t>锤击数2～4击/10cm。</w:t>
      </w:r>
    </w:p>
    <w:p>
      <w:pPr>
        <w:pStyle w:val="1102"/>
        <w:rPr>
          <w:rFonts w:hint="default" w:ascii="Times New Roman" w:hAnsi="Times New Roman" w:cs="Times New Roman"/>
          <w:color w:val="auto"/>
        </w:rPr>
      </w:pPr>
      <w:r>
        <w:rPr>
          <w:rFonts w:hint="default" w:ascii="Times New Roman" w:hAnsi="Times New Roman" w:cs="Times New Roman"/>
          <w:color w:val="auto"/>
        </w:rPr>
        <w:t>稍密卵石：主要分布于卵石层中部，卵石含量55～60%，大部分不接触，N</w:t>
      </w:r>
      <w:r>
        <w:rPr>
          <w:rFonts w:hint="default" w:ascii="Times New Roman" w:hAnsi="Times New Roman" w:cs="Times New Roman"/>
          <w:color w:val="auto"/>
          <w:vertAlign w:val="subscript"/>
        </w:rPr>
        <w:t>120</w:t>
      </w:r>
      <w:r>
        <w:rPr>
          <w:rFonts w:hint="default" w:ascii="Times New Roman" w:hAnsi="Times New Roman" w:cs="Times New Roman"/>
          <w:color w:val="auto"/>
        </w:rPr>
        <w:t>锤击数4～7击/10cm。</w:t>
      </w:r>
    </w:p>
    <w:p>
      <w:pPr>
        <w:pStyle w:val="1102"/>
        <w:rPr>
          <w:rFonts w:hint="default" w:ascii="Times New Roman" w:hAnsi="Times New Roman" w:cs="Times New Roman"/>
          <w:color w:val="auto"/>
        </w:rPr>
      </w:pPr>
      <w:r>
        <w:rPr>
          <w:rFonts w:hint="default" w:ascii="Times New Roman" w:hAnsi="Times New Roman" w:cs="Times New Roman"/>
          <w:color w:val="auto"/>
        </w:rPr>
        <w:t>中密卵石：主要分布于卵石层下部，卵石含量60～65%，大部分不接触，N</w:t>
      </w:r>
      <w:r>
        <w:rPr>
          <w:rFonts w:hint="default" w:ascii="Times New Roman" w:hAnsi="Times New Roman" w:cs="Times New Roman"/>
          <w:color w:val="auto"/>
          <w:vertAlign w:val="subscript"/>
        </w:rPr>
        <w:t>120</w:t>
      </w:r>
      <w:r>
        <w:rPr>
          <w:rFonts w:hint="default" w:ascii="Times New Roman" w:hAnsi="Times New Roman" w:cs="Times New Roman"/>
          <w:color w:val="auto"/>
        </w:rPr>
        <w:t>锤击数7～10击/10cm。</w:t>
      </w:r>
    </w:p>
    <w:p>
      <w:pPr>
        <w:pStyle w:val="1102"/>
        <w:rPr>
          <w:rFonts w:hint="default" w:ascii="Times New Roman" w:hAnsi="Times New Roman" w:cs="Times New Roman"/>
          <w:color w:val="auto"/>
        </w:rPr>
      </w:pPr>
      <w:r>
        <w:rPr>
          <w:rFonts w:hint="default" w:ascii="Times New Roman" w:hAnsi="Times New Roman" w:cs="Times New Roman"/>
          <w:color w:val="auto"/>
        </w:rPr>
        <w:t>场地各地层分布详见《工程地质剖面图》。</w:t>
      </w:r>
    </w:p>
    <w:bookmarkEnd w:id="63"/>
    <w:bookmarkEnd w:id="64"/>
    <w:bookmarkEnd w:id="65"/>
    <w:bookmarkEnd w:id="66"/>
    <w:bookmarkEnd w:id="67"/>
    <w:bookmarkEnd w:id="68"/>
    <w:bookmarkEnd w:id="69"/>
    <w:bookmarkEnd w:id="70"/>
    <w:p>
      <w:pPr>
        <w:adjustRightInd w:val="0"/>
        <w:snapToGrid w:val="0"/>
        <w:ind w:firstLine="0" w:firstLineChars="0"/>
        <w:outlineLvl w:val="3"/>
        <w:rPr>
          <w:rFonts w:hint="default" w:ascii="Times New Roman" w:hAnsi="Times New Roman" w:cs="Times New Roman"/>
          <w:b/>
          <w:color w:val="auto"/>
          <w:kern w:val="0"/>
        </w:rPr>
      </w:pPr>
      <w:r>
        <w:rPr>
          <w:rFonts w:hint="default" w:ascii="Times New Roman" w:hAnsi="Times New Roman" w:cs="Times New Roman"/>
          <w:b/>
          <w:color w:val="auto"/>
          <w:kern w:val="0"/>
        </w:rPr>
        <w:t>2.7.1.2地形地貌</w:t>
      </w:r>
    </w:p>
    <w:p>
      <w:pPr>
        <w:pStyle w:val="31"/>
        <w:spacing w:line="360" w:lineRule="auto"/>
        <w:ind w:firstLine="480" w:firstLineChars="200"/>
        <w:rPr>
          <w:rFonts w:hint="default" w:ascii="Times New Roman" w:hAnsi="Times New Roman" w:eastAsia="仿宋_GB2312" w:cs="Times New Roman"/>
          <w:iCs/>
          <w:color w:val="auto"/>
          <w:sz w:val="24"/>
        </w:rPr>
      </w:pPr>
      <w:r>
        <w:rPr>
          <w:rFonts w:hint="default" w:ascii="Times New Roman" w:hAnsi="Times New Roman" w:eastAsia="仿宋_GB2312" w:cs="Times New Roman"/>
          <w:iCs/>
          <w:color w:val="auto"/>
          <w:sz w:val="24"/>
        </w:rPr>
        <w:t>红原县境区域似梧桐叶状，海拔最高处5141m，最低处2857m，相对高差2284m，平均海拔3999m。全县地势从西北向东南倾斜，不规则下降。按形态和相对切割深度可分为浅切割剥蚀高原丘陵（县境内东部，东北部，地形丘陵起伏，丘谷相间，丘顶平坦，谷地宽广，多沼泽）；中切割剥蚀侵蚀高原山峦（县境内中部、西部及东南部，地形山体连绵，内含断陷盆地）；深切割侵蚀高原山地（县境内西南部、西北部、属深切割高山峡谷地貌，河谷深切，地势崎岖）三大类型。</w:t>
      </w:r>
    </w:p>
    <w:p>
      <w:pPr>
        <w:pStyle w:val="31"/>
        <w:spacing w:line="360" w:lineRule="auto"/>
        <w:ind w:firstLine="480" w:firstLineChars="200"/>
        <w:rPr>
          <w:rFonts w:hint="default" w:ascii="Times New Roman" w:hAnsi="Times New Roman" w:eastAsia="仿宋_GB2312" w:cs="Times New Roman"/>
          <w:iCs/>
          <w:color w:val="auto"/>
          <w:sz w:val="24"/>
        </w:rPr>
      </w:pPr>
      <w:r>
        <w:rPr>
          <w:rFonts w:hint="default" w:ascii="Times New Roman" w:hAnsi="Times New Roman" w:eastAsia="仿宋_GB2312" w:cs="Times New Roman"/>
          <w:iCs/>
          <w:color w:val="auto"/>
          <w:sz w:val="24"/>
        </w:rPr>
        <w:t>勘察场地位于红原县，视野较开阔，交通便利。本次勘察测得各勘探孔孔口高程介于3500.00～3500.61m之间，相对高差0.61m，地貌单一，场地地貌单元属红原白河冲洪积层一级阶地。</w:t>
      </w:r>
    </w:p>
    <w:p>
      <w:pPr>
        <w:adjustRightInd w:val="0"/>
        <w:snapToGrid w:val="0"/>
        <w:ind w:firstLine="0" w:firstLineChars="0"/>
        <w:outlineLvl w:val="3"/>
        <w:rPr>
          <w:rFonts w:hint="default" w:ascii="Times New Roman" w:hAnsi="Times New Roman" w:cs="Times New Roman"/>
          <w:b/>
          <w:color w:val="auto"/>
          <w:kern w:val="0"/>
        </w:rPr>
      </w:pPr>
      <w:r>
        <w:rPr>
          <w:rFonts w:hint="default" w:ascii="Times New Roman" w:hAnsi="Times New Roman" w:cs="Times New Roman"/>
          <w:b/>
          <w:color w:val="auto"/>
          <w:kern w:val="0"/>
        </w:rPr>
        <w:t>2.7.1.3气象</w:t>
      </w:r>
    </w:p>
    <w:p>
      <w:pPr>
        <w:pStyle w:val="1102"/>
        <w:rPr>
          <w:rFonts w:hint="default" w:ascii="Times New Roman" w:hAnsi="Times New Roman" w:cs="Times New Roman"/>
          <w:color w:val="auto"/>
        </w:rPr>
      </w:pPr>
      <w:bookmarkStart w:id="71" w:name="_Toc245114715"/>
      <w:bookmarkStart w:id="72" w:name="_Toc261945318"/>
      <w:bookmarkStart w:id="73" w:name="_Toc244870582"/>
      <w:bookmarkStart w:id="74" w:name="_Toc244870251"/>
      <w:bookmarkStart w:id="75" w:name="_Toc244870429"/>
      <w:r>
        <w:rPr>
          <w:rFonts w:hint="default" w:ascii="Times New Roman" w:hAnsi="Times New Roman" w:cs="Times New Roman"/>
          <w:color w:val="auto"/>
        </w:rPr>
        <w:t>项目区地处青藏高原东部，属高原寒温带半湿润季风气候，多年平均气温0.7</w:t>
      </w:r>
      <w:r>
        <w:rPr>
          <w:rFonts w:hint="default" w:ascii="Times New Roman" w:hAnsi="Times New Roman" w:cs="Times New Roman"/>
          <w:color w:val="auto"/>
          <w:kern w:val="0"/>
        </w:rPr>
        <w:t>°C</w:t>
      </w:r>
      <w:r>
        <w:rPr>
          <w:rFonts w:hint="default" w:ascii="Times New Roman" w:hAnsi="Times New Roman" w:cs="Times New Roman"/>
          <w:color w:val="auto"/>
        </w:rPr>
        <w:t>，气温日较差大，年平均气温日较差14.9</w:t>
      </w:r>
      <w:r>
        <w:rPr>
          <w:rFonts w:hint="default" w:ascii="Times New Roman" w:hAnsi="Times New Roman" w:cs="Times New Roman"/>
          <w:color w:val="auto"/>
          <w:kern w:val="0"/>
        </w:rPr>
        <w:t>°C</w:t>
      </w:r>
      <w:r>
        <w:rPr>
          <w:rFonts w:hint="default" w:ascii="Times New Roman" w:hAnsi="Times New Roman" w:cs="Times New Roman"/>
          <w:color w:val="auto"/>
        </w:rPr>
        <w:t>左右。多年极端最高气温24.4</w:t>
      </w:r>
      <w:r>
        <w:rPr>
          <w:rFonts w:hint="default" w:ascii="Times New Roman" w:hAnsi="Times New Roman" w:cs="Times New Roman"/>
          <w:color w:val="auto"/>
          <w:kern w:val="0"/>
        </w:rPr>
        <w:t>°C</w:t>
      </w:r>
      <w:r>
        <w:rPr>
          <w:rFonts w:hint="default" w:ascii="Times New Roman" w:hAnsi="Times New Roman" w:cs="Times New Roman"/>
          <w:color w:val="auto"/>
        </w:rPr>
        <w:t>，极端最低气温-33</w:t>
      </w:r>
      <w:r>
        <w:rPr>
          <w:rFonts w:hint="default" w:ascii="Times New Roman" w:hAnsi="Times New Roman" w:cs="Times New Roman"/>
          <w:color w:val="auto"/>
          <w:kern w:val="0"/>
        </w:rPr>
        <w:t>°C</w:t>
      </w:r>
      <w:r>
        <w:rPr>
          <w:rFonts w:hint="default" w:ascii="Times New Roman" w:hAnsi="Times New Roman" w:cs="Times New Roman"/>
          <w:color w:val="auto"/>
        </w:rPr>
        <w:t>，年平均相对湿度69%。年平均日照约2400小时，日照时间长，辐射强度</w:t>
      </w:r>
      <w:r>
        <w:rPr>
          <w:rFonts w:hint="default" w:ascii="Times New Roman" w:hAnsi="Times New Roman" w:cs="Times New Roman"/>
          <w:color w:val="auto"/>
          <w:sz w:val="24"/>
          <w:szCs w:val="24"/>
        </w:rPr>
        <w:t>大</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全年</w:t>
      </w:r>
      <w:r>
        <w:rPr>
          <w:rFonts w:hint="default" w:ascii="Times New Roman" w:hAnsi="Times New Roman" w:eastAsia="仿宋" w:cs="Times New Roman"/>
          <w:color w:val="auto"/>
          <w:sz w:val="24"/>
          <w:szCs w:val="24"/>
        </w:rPr>
        <w:t>≥10℃积温值</w:t>
      </w:r>
      <w:r>
        <w:rPr>
          <w:rFonts w:hint="default" w:ascii="Times New Roman" w:hAnsi="Times New Roman" w:eastAsia="仿宋" w:cs="Times New Roman"/>
          <w:color w:val="auto"/>
          <w:sz w:val="24"/>
          <w:szCs w:val="24"/>
          <w:lang w:val="en-US" w:eastAsia="zh-CN"/>
        </w:rPr>
        <w:t>322</w:t>
      </w:r>
      <w:r>
        <w:rPr>
          <w:rFonts w:hint="default" w:ascii="Times New Roman" w:hAnsi="Times New Roman" w:cs="Times New Roman"/>
          <w:color w:val="auto"/>
          <w:kern w:val="0"/>
          <w:sz w:val="24"/>
          <w:szCs w:val="24"/>
        </w:rPr>
        <w:t>°C</w:t>
      </w:r>
      <w:r>
        <w:rPr>
          <w:rFonts w:hint="default" w:ascii="Times New Roman" w:hAnsi="Times New Roman" w:cs="Times New Roman"/>
          <w:color w:val="auto"/>
        </w:rPr>
        <w:t>。测区地处内陆，但降水量却较多，尤以雨季为甚，多年平均降水量为663.6mm，且主要集中在5～10月，冬季干燥少雨</w:t>
      </w:r>
      <w:r>
        <w:rPr>
          <w:rFonts w:hint="default" w:ascii="Times New Roman" w:hAnsi="Times New Roman" w:cs="Times New Roman"/>
          <w:color w:val="auto"/>
          <w:lang w:eastAsia="zh-CN"/>
        </w:rPr>
        <w:t>；</w:t>
      </w:r>
      <w:r>
        <w:rPr>
          <w:rFonts w:hint="default" w:ascii="Times New Roman" w:hAnsi="Times New Roman" w:eastAsia="仿宋_GB2312" w:cs="Times New Roman"/>
          <w:color w:val="auto"/>
          <w:kern w:val="0"/>
          <w:sz w:val="24"/>
          <w:szCs w:val="24"/>
          <w:lang w:val="en-US" w:eastAsia="zh-CN" w:bidi="ar"/>
        </w:rPr>
        <w:t>5年一遇1h、6h、24h最大降雨量分别为：22mm、40mm、44.6mm；10年一遇1h、6h、24h最大降雨量分别为：24.4mm、40mm、45.1mm；20年一遇1h、6h、24h最大降雨量分别为：24.4mm、40mm、45.1mm</w:t>
      </w:r>
      <w:r>
        <w:rPr>
          <w:rFonts w:hint="default" w:ascii="Times New Roman" w:hAnsi="Times New Roman" w:cs="Times New Roman"/>
          <w:color w:val="auto"/>
        </w:rPr>
        <w:t>。项目区多年平均风速2.4m/s</w:t>
      </w:r>
      <w:r>
        <w:rPr>
          <w:rFonts w:hint="default" w:ascii="Times New Roman" w:hAnsi="Times New Roman" w:cs="Times New Roman"/>
          <w:color w:val="auto"/>
          <w:lang w:eastAsia="zh-CN"/>
        </w:rPr>
        <w:t>；</w:t>
      </w:r>
      <w:r>
        <w:rPr>
          <w:rFonts w:hint="default" w:ascii="Times New Roman" w:hAnsi="Times New Roman" w:cs="Times New Roman"/>
          <w:color w:val="auto"/>
        </w:rPr>
        <w:t>冬、春季多大风天气，历年最大风速18.3m/s。受高原地区复杂地形及热动力作用产生的大气对流作用影响，多在5-10月傍晚及上半夜产生雷雨及冰雹大风天气。场地土标准冻结深度为1.00m。</w:t>
      </w:r>
    </w:p>
    <w:bookmarkEnd w:id="71"/>
    <w:bookmarkEnd w:id="72"/>
    <w:bookmarkEnd w:id="73"/>
    <w:bookmarkEnd w:id="74"/>
    <w:bookmarkEnd w:id="75"/>
    <w:p>
      <w:pPr>
        <w:spacing w:line="240" w:lineRule="auto"/>
        <w:ind w:firstLine="422"/>
        <w:jc w:val="center"/>
        <w:rPr>
          <w:rFonts w:hint="default" w:ascii="Times New Roman" w:hAnsi="Times New Roman" w:eastAsia="仿宋_GB2312" w:cs="Times New Roman"/>
          <w:b/>
          <w:bCs/>
          <w:color w:val="auto"/>
          <w:sz w:val="21"/>
          <w:szCs w:val="21"/>
        </w:rPr>
      </w:pPr>
      <w:r>
        <w:rPr>
          <w:rFonts w:hint="default" w:ascii="Times New Roman" w:hAnsi="Times New Roman" w:eastAsia="仿宋_GB2312" w:cs="Times New Roman"/>
          <w:b/>
          <w:color w:val="auto"/>
          <w:sz w:val="21"/>
          <w:szCs w:val="21"/>
        </w:rPr>
        <w:t xml:space="preserve">表2-9   </w:t>
      </w:r>
      <w:r>
        <w:rPr>
          <w:rFonts w:hint="default" w:ascii="Times New Roman" w:hAnsi="Times New Roman" w:eastAsia="仿宋_GB2312" w:cs="Times New Roman"/>
          <w:b/>
          <w:bCs/>
          <w:color w:val="auto"/>
          <w:sz w:val="21"/>
          <w:szCs w:val="21"/>
        </w:rPr>
        <w:t>项目区域气象特征值统计表</w:t>
      </w:r>
    </w:p>
    <w:tbl>
      <w:tblPr>
        <w:tblStyle w:val="61"/>
        <w:tblW w:w="852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70"/>
        <w:gridCol w:w="3969"/>
        <w:gridCol w:w="1266"/>
        <w:gridCol w:w="20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70"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序号</w:t>
            </w:r>
          </w:p>
        </w:tc>
        <w:tc>
          <w:tcPr>
            <w:tcW w:w="3969"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气象因子</w:t>
            </w:r>
          </w:p>
        </w:tc>
        <w:tc>
          <w:tcPr>
            <w:tcW w:w="1266"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单位</w:t>
            </w:r>
          </w:p>
        </w:tc>
        <w:tc>
          <w:tcPr>
            <w:tcW w:w="2023"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特征值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70"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w:t>
            </w:r>
          </w:p>
        </w:tc>
        <w:tc>
          <w:tcPr>
            <w:tcW w:w="3969"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年平均气温</w:t>
            </w:r>
          </w:p>
        </w:tc>
        <w:tc>
          <w:tcPr>
            <w:tcW w:w="1266"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c>
          <w:tcPr>
            <w:tcW w:w="2023"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70"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w:t>
            </w:r>
          </w:p>
        </w:tc>
        <w:tc>
          <w:tcPr>
            <w:tcW w:w="3969"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极端最高气温</w:t>
            </w:r>
          </w:p>
        </w:tc>
        <w:tc>
          <w:tcPr>
            <w:tcW w:w="1266"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c>
          <w:tcPr>
            <w:tcW w:w="2023"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70"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w:t>
            </w:r>
          </w:p>
        </w:tc>
        <w:tc>
          <w:tcPr>
            <w:tcW w:w="3969"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极端最低气温</w:t>
            </w:r>
          </w:p>
        </w:tc>
        <w:tc>
          <w:tcPr>
            <w:tcW w:w="1266"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c>
          <w:tcPr>
            <w:tcW w:w="2023"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70"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w:t>
            </w:r>
          </w:p>
        </w:tc>
        <w:tc>
          <w:tcPr>
            <w:tcW w:w="3969"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≥0℃的总积温</w:t>
            </w:r>
          </w:p>
        </w:tc>
        <w:tc>
          <w:tcPr>
            <w:tcW w:w="1266"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c>
          <w:tcPr>
            <w:tcW w:w="2023"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865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70"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5</w:t>
            </w:r>
          </w:p>
        </w:tc>
        <w:tc>
          <w:tcPr>
            <w:tcW w:w="3969"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多年平均降水量</w:t>
            </w:r>
          </w:p>
        </w:tc>
        <w:tc>
          <w:tcPr>
            <w:tcW w:w="1266"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mm</w:t>
            </w:r>
          </w:p>
        </w:tc>
        <w:tc>
          <w:tcPr>
            <w:tcW w:w="2023"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663.6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70"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6</w:t>
            </w:r>
          </w:p>
        </w:tc>
        <w:tc>
          <w:tcPr>
            <w:tcW w:w="3969"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年平均日照时数</w:t>
            </w:r>
          </w:p>
        </w:tc>
        <w:tc>
          <w:tcPr>
            <w:tcW w:w="1266"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小时</w:t>
            </w:r>
          </w:p>
        </w:tc>
        <w:tc>
          <w:tcPr>
            <w:tcW w:w="2023"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2363.9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70"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7</w:t>
            </w:r>
          </w:p>
        </w:tc>
        <w:tc>
          <w:tcPr>
            <w:tcW w:w="3969"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多年平均蒸发量</w:t>
            </w:r>
          </w:p>
        </w:tc>
        <w:tc>
          <w:tcPr>
            <w:tcW w:w="1266"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mm</w:t>
            </w:r>
          </w:p>
        </w:tc>
        <w:tc>
          <w:tcPr>
            <w:tcW w:w="2023"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1262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70"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8</w:t>
            </w:r>
          </w:p>
        </w:tc>
        <w:tc>
          <w:tcPr>
            <w:tcW w:w="3969"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多年平均无霜期</w:t>
            </w:r>
          </w:p>
        </w:tc>
        <w:tc>
          <w:tcPr>
            <w:tcW w:w="1266"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天</w:t>
            </w:r>
          </w:p>
        </w:tc>
        <w:tc>
          <w:tcPr>
            <w:tcW w:w="2023"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70"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9</w:t>
            </w:r>
          </w:p>
        </w:tc>
        <w:tc>
          <w:tcPr>
            <w:tcW w:w="3969"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多年平均风速</w:t>
            </w:r>
          </w:p>
        </w:tc>
        <w:tc>
          <w:tcPr>
            <w:tcW w:w="1266"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m/s</w:t>
            </w:r>
          </w:p>
        </w:tc>
        <w:tc>
          <w:tcPr>
            <w:tcW w:w="2023"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70"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10</w:t>
            </w:r>
          </w:p>
        </w:tc>
        <w:tc>
          <w:tcPr>
            <w:tcW w:w="3969"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主导风向</w:t>
            </w:r>
          </w:p>
        </w:tc>
        <w:tc>
          <w:tcPr>
            <w:tcW w:w="1266"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2023"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西南</w:t>
            </w:r>
          </w:p>
        </w:tc>
      </w:tr>
    </w:tbl>
    <w:p>
      <w:pPr>
        <w:spacing w:line="240" w:lineRule="auto"/>
        <w:ind w:firstLine="480"/>
        <w:rPr>
          <w:rFonts w:hint="default" w:ascii="Times New Roman" w:hAnsi="Times New Roman" w:cs="Times New Roman"/>
          <w:color w:val="auto"/>
        </w:rPr>
      </w:pPr>
    </w:p>
    <w:p>
      <w:pPr>
        <w:adjustRightInd w:val="0"/>
        <w:snapToGrid w:val="0"/>
        <w:ind w:firstLine="0" w:firstLineChars="0"/>
        <w:outlineLvl w:val="3"/>
        <w:rPr>
          <w:rFonts w:hint="default" w:ascii="Times New Roman" w:hAnsi="Times New Roman" w:cs="Times New Roman"/>
          <w:b/>
          <w:color w:val="auto"/>
          <w:kern w:val="0"/>
        </w:rPr>
      </w:pPr>
      <w:r>
        <w:rPr>
          <w:rFonts w:hint="default" w:ascii="Times New Roman" w:hAnsi="Times New Roman" w:cs="Times New Roman"/>
          <w:b/>
          <w:color w:val="auto"/>
          <w:kern w:val="0"/>
        </w:rPr>
        <w:t>2.7.1.4水文</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红原县有两大水系：黄河水系和长江水系，以查针梁子为县境两大水系分水岭，北部为黄河流域白河、黑河水系，占全县面积的79%，东南为长江流域大渡河青衣江水系，占全县面积的21%。</w:t>
      </w:r>
    </w:p>
    <w:p>
      <w:pPr>
        <w:pStyle w:val="1102"/>
        <w:rPr>
          <w:rFonts w:hint="default" w:ascii="Times New Roman" w:hAnsi="Times New Roman" w:cs="Times New Roman"/>
          <w:color w:val="auto"/>
        </w:rPr>
      </w:pPr>
      <w:r>
        <w:rPr>
          <w:rFonts w:hint="default" w:ascii="Times New Roman" w:hAnsi="Times New Roman" w:cs="Times New Roman"/>
          <w:color w:val="auto"/>
        </w:rPr>
        <w:t>黄河流域的白河发源于查针梁子的北坡，流经龙日坝、瓦切到若尔盖县的唐克附近注入黄河，包括麦哇镇、色地镇、瓦切乡、邛溪镇、阿木乡、安曲镇、龙日乡的全部，江茸乡的部分区域，流域面积6553.58km</w:t>
      </w:r>
      <w:r>
        <w:rPr>
          <w:rFonts w:hint="default" w:ascii="Times New Roman" w:hAnsi="Times New Roman" w:cs="Times New Roman"/>
          <w:color w:val="auto"/>
          <w:vertAlign w:val="superscript"/>
        </w:rPr>
        <w:t>2</w:t>
      </w:r>
      <w:r>
        <w:rPr>
          <w:rFonts w:hint="default" w:ascii="Times New Roman" w:hAnsi="Times New Roman" w:cs="Times New Roman"/>
          <w:color w:val="auto"/>
        </w:rPr>
        <w:t>。主要河流有白河、阿木柯河、麦曲河、哈曲河、朗木曲河，河流天然落差在500m左右，水流平缓、宣泄不畅，河道迂曲。白河境内流长200km，黑河境内流长88km。项目水系图见附图2。</w:t>
      </w:r>
    </w:p>
    <w:p>
      <w:pPr>
        <w:adjustRightInd w:val="0"/>
        <w:snapToGrid w:val="0"/>
        <w:ind w:firstLine="0" w:firstLineChars="0"/>
        <w:outlineLvl w:val="3"/>
        <w:rPr>
          <w:rFonts w:hint="default" w:ascii="Times New Roman" w:hAnsi="Times New Roman" w:cs="Times New Roman"/>
          <w:b/>
          <w:color w:val="auto"/>
          <w:kern w:val="0"/>
        </w:rPr>
      </w:pPr>
      <w:r>
        <w:rPr>
          <w:rFonts w:hint="default" w:ascii="Times New Roman" w:hAnsi="Times New Roman" w:cs="Times New Roman"/>
          <w:b/>
          <w:color w:val="auto"/>
          <w:kern w:val="0"/>
        </w:rPr>
        <w:t>2.7.1.5土壤</w:t>
      </w:r>
    </w:p>
    <w:p>
      <w:pPr>
        <w:pStyle w:val="1102"/>
        <w:rPr>
          <w:rFonts w:hint="default" w:ascii="Times New Roman" w:hAnsi="Times New Roman" w:cs="Times New Roman"/>
          <w:color w:val="auto"/>
        </w:rPr>
      </w:pPr>
      <w:r>
        <w:rPr>
          <w:rFonts w:hint="default" w:ascii="Times New Roman" w:hAnsi="Times New Roman" w:cs="Times New Roman"/>
          <w:color w:val="auto"/>
        </w:rPr>
        <w:t>红原县土壤分为8个土类、16个亚土类，27个土属，土壤类型以呈垂直带谱分布亚高山草甸土和高山草甸土为主，土壤水平地带性不明显。土壤总特征为土层松厚、深厚；由于有机质分解缓慢，土层中积累大量粗腐殖质，其腐殖层厚达30cm以上，土壤潜在肥力高，并呈中性至酸性反应。</w:t>
      </w:r>
    </w:p>
    <w:p>
      <w:pPr>
        <w:pStyle w:val="1102"/>
        <w:rPr>
          <w:rFonts w:hint="default" w:ascii="Times New Roman" w:hAnsi="Times New Roman" w:cs="Times New Roman"/>
          <w:color w:val="auto"/>
        </w:rPr>
      </w:pPr>
      <w:r>
        <w:rPr>
          <w:rFonts w:hint="default" w:ascii="Times New Roman" w:hAnsi="Times New Roman" w:cs="Times New Roman"/>
          <w:color w:val="auto"/>
        </w:rPr>
        <w:t>红原县8个土类分别是草甸土、暗棕壤、亚高山草甸土、高山草甸土、高山寒漠土、沼泽土、石灰岩土、风沙土。</w:t>
      </w:r>
    </w:p>
    <w:p>
      <w:pPr>
        <w:pStyle w:val="1102"/>
        <w:rPr>
          <w:rFonts w:hint="default" w:ascii="Times New Roman" w:hAnsi="Times New Roman" w:cs="Times New Roman"/>
          <w:snapToGrid w:val="0"/>
          <w:color w:val="auto"/>
        </w:rPr>
      </w:pPr>
      <w:r>
        <w:rPr>
          <w:rFonts w:hint="default" w:ascii="Times New Roman" w:hAnsi="Times New Roman" w:cs="Times New Roman"/>
          <w:color w:val="auto"/>
        </w:rPr>
        <w:t>经现场踏勘，项目区土壤主要为</w:t>
      </w:r>
      <w:r>
        <w:rPr>
          <w:rFonts w:hint="default" w:ascii="Times New Roman" w:hAnsi="Times New Roman" w:cs="Times New Roman"/>
          <w:color w:val="auto"/>
          <w:lang w:eastAsia="zh-CN"/>
        </w:rPr>
        <w:t>亚高山草甸土</w:t>
      </w:r>
      <w:r>
        <w:rPr>
          <w:rFonts w:hint="default" w:ascii="Times New Roman" w:hAnsi="Times New Roman" w:cs="Times New Roman"/>
          <w:color w:val="auto"/>
        </w:rPr>
        <w:t>，红原县处于季节性冻土地区，场地土标准冻结深度为1.00m</w:t>
      </w:r>
      <w:r>
        <w:rPr>
          <w:rFonts w:hint="default" w:ascii="Times New Roman" w:hAnsi="Times New Roman" w:cs="Times New Roman"/>
          <w:snapToGrid w:val="0"/>
          <w:color w:val="auto"/>
        </w:rPr>
        <w:t>。</w:t>
      </w:r>
    </w:p>
    <w:p>
      <w:pPr>
        <w:adjustRightInd w:val="0"/>
        <w:snapToGrid w:val="0"/>
        <w:ind w:firstLine="0" w:firstLineChars="0"/>
        <w:outlineLvl w:val="3"/>
        <w:rPr>
          <w:rFonts w:hint="default" w:ascii="Times New Roman" w:hAnsi="Times New Roman" w:cs="Times New Roman"/>
          <w:b/>
          <w:color w:val="auto"/>
          <w:kern w:val="0"/>
        </w:rPr>
      </w:pPr>
      <w:r>
        <w:rPr>
          <w:rFonts w:hint="default" w:ascii="Times New Roman" w:hAnsi="Times New Roman" w:cs="Times New Roman"/>
          <w:b/>
          <w:color w:val="auto"/>
          <w:kern w:val="0"/>
        </w:rPr>
        <w:t>2.7.1.6植被</w:t>
      </w:r>
    </w:p>
    <w:p>
      <w:pPr>
        <w:ind w:firstLine="480"/>
        <w:rPr>
          <w:rFonts w:hint="default" w:ascii="Times New Roman" w:hAnsi="Times New Roman" w:eastAsia="仿宋_GB2312" w:cs="Times New Roman"/>
          <w:iCs/>
          <w:color w:val="auto"/>
          <w:szCs w:val="24"/>
        </w:rPr>
      </w:pPr>
      <w:r>
        <w:rPr>
          <w:rFonts w:hint="default" w:ascii="Times New Roman" w:hAnsi="Times New Roman" w:eastAsia="仿宋_GB2312" w:cs="Times New Roman"/>
          <w:iCs/>
          <w:color w:val="auto"/>
          <w:szCs w:val="24"/>
        </w:rPr>
        <w:t>红原县天然植被属于青藏高原高寒植被区，从东南向西北，由繁到简呈带状分布，并随着海拔高度不同而不同，具体划分为草甸、沼泽、灌丛、森林四大植被类型。红原县境内植物有1000余种，乔木类有山杨、杉木、高山柏、桦木、高山栎等，灌木主要有沙棘、高山柳、山麻柳等；草本有垂穗披碱草、忍冬等。</w:t>
      </w:r>
    </w:p>
    <w:p>
      <w:pPr>
        <w:spacing w:line="240" w:lineRule="auto"/>
        <w:ind w:firstLine="42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表2-10    项目区绿化主要适生物种表</w:t>
      </w:r>
    </w:p>
    <w:tbl>
      <w:tblPr>
        <w:tblStyle w:val="6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17"/>
        <w:gridCol w:w="1199"/>
        <w:gridCol w:w="3512"/>
        <w:gridCol w:w="30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类别</w:t>
            </w:r>
          </w:p>
        </w:tc>
        <w:tc>
          <w:tcPr>
            <w:tcW w:w="703"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植物名称</w:t>
            </w:r>
          </w:p>
        </w:tc>
        <w:tc>
          <w:tcPr>
            <w:tcW w:w="2059"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植物特征</w:t>
            </w:r>
          </w:p>
        </w:tc>
        <w:tc>
          <w:tcPr>
            <w:tcW w:w="1759"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分布地区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vMerge w:val="restar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乔木</w:t>
            </w:r>
          </w:p>
        </w:tc>
        <w:tc>
          <w:tcPr>
            <w:tcW w:w="703"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山杨</w:t>
            </w:r>
          </w:p>
        </w:tc>
        <w:tc>
          <w:tcPr>
            <w:tcW w:w="2059"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强阳性树种，耐寒冷、耐干旱瘠薄土地</w:t>
            </w:r>
          </w:p>
        </w:tc>
        <w:tc>
          <w:tcPr>
            <w:tcW w:w="1759"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较广，海拔3500-3800m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vMerge w:val="continue"/>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703"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高山柏</w:t>
            </w:r>
          </w:p>
        </w:tc>
        <w:tc>
          <w:tcPr>
            <w:tcW w:w="2059"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生长于高寒地带、立地条件严酷</w:t>
            </w:r>
          </w:p>
        </w:tc>
        <w:tc>
          <w:tcPr>
            <w:tcW w:w="1759"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海拔3500-4000m高山地带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vMerge w:val="continue"/>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703"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高山栎</w:t>
            </w:r>
          </w:p>
        </w:tc>
        <w:tc>
          <w:tcPr>
            <w:tcW w:w="2059"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喜光，一般较耐寒</w:t>
            </w:r>
          </w:p>
        </w:tc>
        <w:tc>
          <w:tcPr>
            <w:tcW w:w="1759"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海拔3500-4000m山坡山谷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vMerge w:val="restar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灌木</w:t>
            </w:r>
          </w:p>
        </w:tc>
        <w:tc>
          <w:tcPr>
            <w:tcW w:w="703"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沙棘</w:t>
            </w:r>
          </w:p>
        </w:tc>
        <w:tc>
          <w:tcPr>
            <w:tcW w:w="2059"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耐旱、耐寒及瘠薄土地</w:t>
            </w:r>
          </w:p>
        </w:tc>
        <w:tc>
          <w:tcPr>
            <w:tcW w:w="1759"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海拔3500-4000m高海拔地区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vMerge w:val="continue"/>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703"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高山柳</w:t>
            </w:r>
          </w:p>
        </w:tc>
        <w:tc>
          <w:tcPr>
            <w:tcW w:w="2059"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叶片棕褐色、叶椭圆或倒卵状椭圆形</w:t>
            </w:r>
          </w:p>
        </w:tc>
        <w:tc>
          <w:tcPr>
            <w:tcW w:w="1759"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海拔3500-4000m高海拔地区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vMerge w:val="restar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草本</w:t>
            </w:r>
          </w:p>
        </w:tc>
        <w:tc>
          <w:tcPr>
            <w:tcW w:w="703"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披碱草</w:t>
            </w:r>
          </w:p>
        </w:tc>
        <w:tc>
          <w:tcPr>
            <w:tcW w:w="2059"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耐旱、耐寒、耐盐碱等</w:t>
            </w:r>
          </w:p>
        </w:tc>
        <w:tc>
          <w:tcPr>
            <w:tcW w:w="1759"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四川西北部高寒地区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vMerge w:val="continue"/>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703"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忍冬</w:t>
            </w:r>
          </w:p>
        </w:tc>
        <w:tc>
          <w:tcPr>
            <w:tcW w:w="2059"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耐贫瘠、适应性较强</w:t>
            </w:r>
          </w:p>
        </w:tc>
        <w:tc>
          <w:tcPr>
            <w:tcW w:w="1759"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四川广植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vMerge w:val="continue"/>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703"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沙蒿</w:t>
            </w:r>
          </w:p>
        </w:tc>
        <w:tc>
          <w:tcPr>
            <w:tcW w:w="2059"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耐贫瘠，耐旱，适应性强</w:t>
            </w:r>
          </w:p>
        </w:tc>
        <w:tc>
          <w:tcPr>
            <w:tcW w:w="1759"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西南3000-4000m地区</w:t>
            </w:r>
          </w:p>
        </w:tc>
      </w:tr>
    </w:tbl>
    <w:p>
      <w:pPr>
        <w:pStyle w:val="1102"/>
        <w:spacing w:line="240" w:lineRule="auto"/>
        <w:rPr>
          <w:rFonts w:hint="default" w:ascii="Times New Roman" w:hAnsi="Times New Roman" w:cs="Times New Roman"/>
          <w:color w:val="auto"/>
        </w:rPr>
      </w:pPr>
    </w:p>
    <w:p>
      <w:pPr>
        <w:pStyle w:val="5"/>
        <w:rPr>
          <w:rFonts w:hint="default" w:ascii="Times New Roman" w:hAnsi="Times New Roman" w:cs="Times New Roman"/>
          <w:color w:val="auto"/>
        </w:rPr>
      </w:pPr>
      <w:r>
        <w:rPr>
          <w:rFonts w:hint="default" w:ascii="Times New Roman" w:hAnsi="Times New Roman" w:cs="Times New Roman"/>
          <w:color w:val="auto"/>
        </w:rPr>
        <w:t>2.7.2水土保持敏感区调查</w:t>
      </w:r>
    </w:p>
    <w:p>
      <w:pPr>
        <w:pStyle w:val="1102"/>
        <w:spacing w:before="156"/>
        <w:rPr>
          <w:rFonts w:hint="default" w:ascii="Times New Roman" w:hAnsi="Times New Roman" w:cs="Times New Roman"/>
          <w:color w:val="auto"/>
          <w:szCs w:val="22"/>
        </w:rPr>
      </w:pPr>
      <w:r>
        <w:rPr>
          <w:rFonts w:hint="default" w:ascii="Times New Roman" w:hAnsi="Times New Roman" w:cs="Times New Roman"/>
          <w:color w:val="auto"/>
          <w:szCs w:val="22"/>
        </w:rPr>
        <w:t>本项目建设区域不涉及饮水水源保护区，水功能一级区的保护区和保留区、自然保护区、世界文化和自然遗产地、风景名胜区、地质公园、森林公园等。</w:t>
      </w:r>
    </w:p>
    <w:p>
      <w:pPr>
        <w:pStyle w:val="1102"/>
        <w:rPr>
          <w:rFonts w:hint="default" w:ascii="Times New Roman" w:hAnsi="Times New Roman" w:cs="Times New Roman"/>
          <w:color w:val="auto"/>
          <w:szCs w:val="22"/>
        </w:rPr>
      </w:pPr>
      <w:r>
        <w:rPr>
          <w:rFonts w:hint="default" w:ascii="Times New Roman" w:hAnsi="Times New Roman" w:cs="Times New Roman"/>
          <w:color w:val="auto"/>
        </w:rPr>
        <w:t>根据《关于印发全国水土保持规划国家级水土流失重点预防区和重点治理区复核划分成果》的通知（办水保[2013]188号），红原县属于金沙江岷江上游及三江并流国家级水土流失重点预防区</w:t>
      </w:r>
      <w:r>
        <w:rPr>
          <w:rFonts w:hint="default" w:ascii="Times New Roman" w:hAnsi="Times New Roman" w:cs="Times New Roman"/>
          <w:color w:val="auto"/>
          <w:szCs w:val="22"/>
        </w:rPr>
        <w:t>。</w:t>
      </w:r>
    </w:p>
    <w:p>
      <w:pPr>
        <w:spacing w:line="240" w:lineRule="auto"/>
        <w:ind w:firstLine="0" w:firstLineChars="0"/>
        <w:rPr>
          <w:rFonts w:hint="default" w:ascii="Times New Roman" w:hAnsi="Times New Roman" w:cs="Times New Roman"/>
          <w:b/>
          <w:color w:val="auto"/>
          <w:sz w:val="21"/>
          <w:szCs w:val="21"/>
        </w:rPr>
        <w:sectPr>
          <w:headerReference r:id="rId12" w:type="default"/>
          <w:pgSz w:w="11906" w:h="16838"/>
          <w:pgMar w:top="1440" w:right="1797" w:bottom="1440" w:left="1797" w:header="851" w:footer="992" w:gutter="0"/>
          <w:pgBorders>
            <w:top w:val="none" w:sz="0" w:space="0"/>
            <w:left w:val="none" w:sz="0" w:space="0"/>
            <w:bottom w:val="none" w:sz="0" w:space="0"/>
            <w:right w:val="none" w:sz="0" w:space="0"/>
          </w:pgBorders>
          <w:cols w:space="720" w:num="1"/>
          <w:docGrid w:type="lines" w:linePitch="312" w:charSpace="0"/>
        </w:sectPr>
      </w:pPr>
    </w:p>
    <w:p>
      <w:pPr>
        <w:pStyle w:val="3"/>
        <w:rPr>
          <w:rFonts w:hint="default" w:ascii="Times New Roman" w:hAnsi="Times New Roman" w:cs="Times New Roman"/>
          <w:color w:val="auto"/>
          <w:kern w:val="0"/>
        </w:rPr>
      </w:pPr>
      <w:bookmarkStart w:id="76" w:name="_Toc47879793"/>
      <w:r>
        <w:rPr>
          <w:rFonts w:hint="default" w:ascii="Times New Roman" w:hAnsi="Times New Roman" w:cs="Times New Roman"/>
          <w:color w:val="auto"/>
          <w:kern w:val="0"/>
        </w:rPr>
        <w:t>3项目水土保持评价</w:t>
      </w:r>
      <w:bookmarkEnd w:id="76"/>
    </w:p>
    <w:p>
      <w:pPr>
        <w:pStyle w:val="4"/>
        <w:suppressAutoHyphens/>
        <w:spacing w:before="156" w:beforeLines="50" w:after="156" w:afterLines="50"/>
        <w:rPr>
          <w:rFonts w:hint="default" w:ascii="Times New Roman" w:hAnsi="Times New Roman" w:cs="Times New Roman"/>
          <w:color w:val="auto"/>
          <w:kern w:val="0"/>
        </w:rPr>
      </w:pPr>
      <w:bookmarkStart w:id="77" w:name="_Toc47879794"/>
      <w:bookmarkStart w:id="78" w:name="_Toc426534562"/>
      <w:r>
        <w:rPr>
          <w:rFonts w:hint="default" w:ascii="Times New Roman" w:hAnsi="Times New Roman" w:cs="Times New Roman"/>
          <w:color w:val="auto"/>
          <w:kern w:val="0"/>
        </w:rPr>
        <w:t>3.1 主体工程选址水土保持评价</w:t>
      </w:r>
      <w:bookmarkEnd w:id="77"/>
      <w:bookmarkEnd w:id="78"/>
    </w:p>
    <w:p>
      <w:pPr>
        <w:ind w:firstLine="480"/>
        <w:rPr>
          <w:rFonts w:hint="default" w:ascii="Times New Roman" w:hAnsi="Times New Roman" w:eastAsia="仿宋_GB2312" w:cs="Times New Roman"/>
          <w:color w:val="auto"/>
          <w:szCs w:val="24"/>
        </w:rPr>
      </w:pPr>
      <w:bookmarkStart w:id="79" w:name="_Toc426534563"/>
      <w:r>
        <w:rPr>
          <w:rFonts w:hint="default" w:ascii="Times New Roman" w:hAnsi="Times New Roman" w:eastAsia="仿宋_GB2312" w:cs="Times New Roman"/>
          <w:color w:val="auto"/>
          <w:szCs w:val="24"/>
        </w:rPr>
        <w:t>根据《水利部办公厅关于印发&lt;全国水土保持规划国家级水土流失重点预防区和重点治理区复核划分成果&gt;的通知》(办水保〔2013〕188号)，项目所在的阿坝藏族羌族自治州红原县属于金沙江岷江上游及三江并流国家级水土流失重点预防区。</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经现场调查，项目建设不涉及河流两岸、湖泊和水库周边的植物保护带；建设区内没有全国水土保持监测网络中的水土保持监测站点和重点试验区，不涉及自然保护区、森林公园、风景名胜区、水源地保护区等。</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通过分析评价，可知主体工程选址无法避让金沙江岷江上游及三江并流国家级水土流失重点预防区，方案将提高防治目标，项目加强水土保持，项目不涉及其他水土保持制约因素。主体工程选址制约性因素分析与评价详见下表：</w:t>
      </w:r>
    </w:p>
    <w:p>
      <w:pPr>
        <w:spacing w:line="240" w:lineRule="auto"/>
        <w:ind w:firstLine="42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表3-1   工程选址分析与评价</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26"/>
        <w:gridCol w:w="4208"/>
        <w:gridCol w:w="27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2" w:hRule="atLeast"/>
          <w:tblHeader/>
          <w:jc w:val="center"/>
        </w:trPr>
        <w:tc>
          <w:tcPr>
            <w:tcW w:w="895" w:type="pct"/>
            <w:tcBorders>
              <w:top w:val="single" w:color="auto" w:sz="12" w:space="0"/>
              <w:left w:val="single" w:color="auto" w:sz="12" w:space="0"/>
              <w:bottom w:val="single" w:color="auto" w:sz="6" w:space="0"/>
              <w:right w:val="single" w:color="auto" w:sz="6" w:space="0"/>
            </w:tcBorders>
            <w:vAlign w:val="center"/>
          </w:tcPr>
          <w:p>
            <w:pPr>
              <w:spacing w:line="240" w:lineRule="auto"/>
              <w:ind w:firstLine="0" w:firstLineChars="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项目名称</w:t>
            </w:r>
          </w:p>
        </w:tc>
        <w:tc>
          <w:tcPr>
            <w:tcW w:w="2467" w:type="pct"/>
            <w:tcBorders>
              <w:top w:val="single" w:color="auto" w:sz="12" w:space="0"/>
              <w:left w:val="single" w:color="auto" w:sz="6" w:space="0"/>
              <w:bottom w:val="single" w:color="auto" w:sz="6" w:space="0"/>
              <w:right w:val="single" w:color="auto" w:sz="6" w:space="0"/>
            </w:tcBorders>
            <w:vAlign w:val="center"/>
          </w:tcPr>
          <w:p>
            <w:pPr>
              <w:spacing w:line="240" w:lineRule="auto"/>
              <w:ind w:firstLine="0" w:firstLineChars="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约束性规定</w:t>
            </w:r>
          </w:p>
        </w:tc>
        <w:tc>
          <w:tcPr>
            <w:tcW w:w="1638" w:type="pct"/>
            <w:tcBorders>
              <w:top w:val="single" w:color="auto" w:sz="12" w:space="0"/>
              <w:left w:val="single" w:color="auto" w:sz="6" w:space="0"/>
              <w:bottom w:val="single" w:color="auto" w:sz="6" w:space="0"/>
              <w:right w:val="single" w:color="auto" w:sz="12" w:space="0"/>
            </w:tcBorders>
            <w:vAlign w:val="center"/>
          </w:tcPr>
          <w:p>
            <w:pPr>
              <w:spacing w:line="240" w:lineRule="auto"/>
              <w:ind w:firstLine="0" w:firstLineChars="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分析意见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33" w:hRule="atLeast"/>
          <w:jc w:val="center"/>
        </w:trPr>
        <w:tc>
          <w:tcPr>
            <w:tcW w:w="895" w:type="pct"/>
            <w:tcBorders>
              <w:top w:val="single" w:color="auto" w:sz="6" w:space="0"/>
              <w:left w:val="single" w:color="auto" w:sz="12" w:space="0"/>
              <w:bottom w:val="single" w:color="auto" w:sz="12" w:space="0"/>
              <w:right w:val="single" w:color="auto" w:sz="6"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工程选址</w:t>
            </w:r>
          </w:p>
        </w:tc>
        <w:tc>
          <w:tcPr>
            <w:tcW w:w="2467" w:type="pct"/>
            <w:tcBorders>
              <w:top w:val="single" w:color="auto" w:sz="6" w:space="0"/>
              <w:left w:val="single" w:color="auto" w:sz="6" w:space="0"/>
              <w:bottom w:val="single" w:color="auto" w:sz="12" w:space="0"/>
              <w:right w:val="single" w:color="auto" w:sz="6" w:space="0"/>
            </w:tcBorders>
            <w:vAlign w:val="center"/>
          </w:tcPr>
          <w:p>
            <w:pPr>
              <w:spacing w:line="320" w:lineRule="exact"/>
              <w:ind w:firstLine="180" w:firstLineChars="10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主体工程选址（线）应避让下列区域：</w:t>
            </w:r>
          </w:p>
          <w:p>
            <w:pPr>
              <w:spacing w:line="320" w:lineRule="exact"/>
              <w:ind w:firstLine="180" w:firstLineChars="10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1.水土流失重点预防区和重点治理区；</w:t>
            </w:r>
          </w:p>
          <w:p>
            <w:pPr>
              <w:spacing w:line="320" w:lineRule="exact"/>
              <w:ind w:firstLine="180" w:firstLineChars="10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2.河流两岸、湖泊和水库周边的植物保护带；</w:t>
            </w:r>
          </w:p>
          <w:p>
            <w:pPr>
              <w:spacing w:line="320" w:lineRule="exact"/>
              <w:ind w:firstLine="180" w:firstLineChars="10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3.全国水土保持监测网络中的水土保持监测站点、重点试验区及国家确定的水土保持长期定位观测站。</w:t>
            </w:r>
          </w:p>
        </w:tc>
        <w:tc>
          <w:tcPr>
            <w:tcW w:w="1638" w:type="pct"/>
            <w:tcBorders>
              <w:top w:val="single" w:color="auto" w:sz="6" w:space="0"/>
              <w:left w:val="single" w:color="auto" w:sz="6" w:space="0"/>
              <w:bottom w:val="single" w:color="auto" w:sz="12" w:space="0"/>
              <w:right w:val="single" w:color="auto" w:sz="12" w:space="0"/>
            </w:tcBorders>
            <w:vAlign w:val="center"/>
          </w:tcPr>
          <w:p>
            <w:pPr>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1.红原县属于金沙江岷江上游及三江并流国家级水土流失重点预防区，方案将提高防治目标，加强水土保持。</w:t>
            </w:r>
          </w:p>
          <w:p>
            <w:pPr>
              <w:spacing w:line="240" w:lineRule="auto"/>
              <w:ind w:firstLine="0" w:firstLineChars="0"/>
              <w:textAlignment w:val="baseline"/>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2.不涉及上述敏感区。</w:t>
            </w:r>
          </w:p>
          <w:p>
            <w:pPr>
              <w:spacing w:line="240" w:lineRule="auto"/>
              <w:ind w:firstLine="0" w:firstLineChars="0"/>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3.项目建设场地不涉及上述区域</w:t>
            </w:r>
          </w:p>
        </w:tc>
      </w:tr>
    </w:tbl>
    <w:p>
      <w:pPr>
        <w:pStyle w:val="1102"/>
        <w:spacing w:line="240" w:lineRule="auto"/>
        <w:rPr>
          <w:rFonts w:hint="default" w:ascii="Times New Roman" w:hAnsi="Times New Roman" w:cs="Times New Roman"/>
          <w:color w:val="auto"/>
        </w:rPr>
      </w:pPr>
    </w:p>
    <w:p>
      <w:pPr>
        <w:pStyle w:val="4"/>
        <w:suppressAutoHyphens/>
        <w:spacing w:before="156" w:beforeLines="50" w:after="156" w:afterLines="50"/>
        <w:rPr>
          <w:rFonts w:hint="default" w:ascii="Times New Roman" w:hAnsi="Times New Roman" w:cs="Times New Roman"/>
          <w:color w:val="auto"/>
          <w:kern w:val="0"/>
        </w:rPr>
      </w:pPr>
      <w:bookmarkStart w:id="80" w:name="_Toc47879795"/>
      <w:r>
        <w:rPr>
          <w:rFonts w:hint="default" w:ascii="Times New Roman" w:hAnsi="Times New Roman" w:cs="Times New Roman"/>
          <w:color w:val="auto"/>
          <w:kern w:val="0"/>
        </w:rPr>
        <w:t>3.2建设方案与布局水土保持评价</w:t>
      </w:r>
      <w:bookmarkEnd w:id="80"/>
    </w:p>
    <w:p>
      <w:pPr>
        <w:pStyle w:val="5"/>
        <w:rPr>
          <w:rFonts w:hint="default" w:ascii="Times New Roman" w:hAnsi="Times New Roman" w:cs="Times New Roman"/>
          <w:color w:val="auto"/>
        </w:rPr>
      </w:pPr>
      <w:r>
        <w:rPr>
          <w:rFonts w:hint="default" w:ascii="Times New Roman" w:hAnsi="Times New Roman" w:cs="Times New Roman"/>
          <w:color w:val="auto"/>
        </w:rPr>
        <w:t>3.2.1建设方案评价</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本项目属建设类项目。主体工程仅设计，且实施了1栋建筑（教学综合楼），建筑建设工期较短，土建施工避开雨季，有利于水土保持；现状建筑已完工，项目区不具备产生水土流失的条件。主体工程实施绿化措施能有效防止水土流失，美化环境。</w:t>
      </w:r>
      <w:r>
        <w:rPr>
          <w:rFonts w:hint="default" w:ascii="Times New Roman" w:hAnsi="Times New Roman" w:eastAsia="仿宋_GB2312" w:cs="Times New Roman"/>
          <w:color w:val="auto"/>
        </w:rPr>
        <w:t>项目区地表径流通过雨水管进行径流导流、排泄</w:t>
      </w:r>
      <w:r>
        <w:rPr>
          <w:rFonts w:hint="default" w:ascii="Times New Roman" w:hAnsi="Times New Roman" w:eastAsia="仿宋_GB2312" w:cs="Times New Roman"/>
          <w:color w:val="auto"/>
          <w:szCs w:val="24"/>
        </w:rPr>
        <w:t>。</w:t>
      </w:r>
    </w:p>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工程施工组织设计、工程施工、城市区域项目水土保持分析评价详见下表。</w:t>
      </w:r>
    </w:p>
    <w:p>
      <w:pPr>
        <w:ind w:firstLine="480"/>
        <w:rPr>
          <w:rFonts w:hint="default" w:ascii="Times New Roman" w:hAnsi="Times New Roman" w:eastAsia="仿宋_GB2312" w:cs="Times New Roman"/>
          <w:color w:val="auto"/>
        </w:rPr>
      </w:pPr>
    </w:p>
    <w:p>
      <w:pPr>
        <w:ind w:firstLine="480"/>
        <w:rPr>
          <w:rFonts w:hint="default" w:ascii="Times New Roman" w:hAnsi="Times New Roman" w:eastAsia="仿宋_GB2312" w:cs="Times New Roman"/>
          <w:color w:val="auto"/>
        </w:rPr>
      </w:pPr>
    </w:p>
    <w:p>
      <w:pPr>
        <w:spacing w:line="240" w:lineRule="auto"/>
        <w:ind w:firstLine="42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表3-2  工程制约因素分析与评价</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75"/>
        <w:gridCol w:w="994"/>
        <w:gridCol w:w="4250"/>
        <w:gridCol w:w="26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blHeader/>
          <w:jc w:val="center"/>
        </w:trPr>
        <w:tc>
          <w:tcPr>
            <w:tcW w:w="396" w:type="pct"/>
            <w:vAlign w:val="center"/>
          </w:tcPr>
          <w:p>
            <w:pPr>
              <w:spacing w:line="240" w:lineRule="auto"/>
              <w:ind w:firstLine="0" w:firstLineChars="0"/>
              <w:jc w:val="center"/>
              <w:textAlignment w:val="baseline"/>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序号</w:t>
            </w:r>
          </w:p>
        </w:tc>
        <w:tc>
          <w:tcPr>
            <w:tcW w:w="583" w:type="pct"/>
            <w:vAlign w:val="center"/>
          </w:tcPr>
          <w:p>
            <w:pPr>
              <w:spacing w:line="240" w:lineRule="auto"/>
              <w:ind w:firstLine="0" w:firstLineChars="0"/>
              <w:jc w:val="center"/>
              <w:textAlignment w:val="baseline"/>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项目名称</w:t>
            </w:r>
          </w:p>
        </w:tc>
        <w:tc>
          <w:tcPr>
            <w:tcW w:w="2492" w:type="pct"/>
            <w:vAlign w:val="center"/>
          </w:tcPr>
          <w:p>
            <w:pPr>
              <w:spacing w:line="240" w:lineRule="auto"/>
              <w:ind w:firstLine="0" w:firstLineChars="0"/>
              <w:jc w:val="center"/>
              <w:textAlignment w:val="baseline"/>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约束性规定</w:t>
            </w:r>
          </w:p>
        </w:tc>
        <w:tc>
          <w:tcPr>
            <w:tcW w:w="1529" w:type="pct"/>
            <w:vAlign w:val="center"/>
          </w:tcPr>
          <w:p>
            <w:pPr>
              <w:spacing w:line="240" w:lineRule="auto"/>
              <w:ind w:firstLine="0" w:firstLineChars="0"/>
              <w:jc w:val="center"/>
              <w:textAlignment w:val="baseline"/>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分析意见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396"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w:t>
            </w:r>
          </w:p>
        </w:tc>
        <w:tc>
          <w:tcPr>
            <w:tcW w:w="583" w:type="pct"/>
            <w:vAlign w:val="center"/>
          </w:tcPr>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建设方案</w:t>
            </w:r>
          </w:p>
        </w:tc>
        <w:tc>
          <w:tcPr>
            <w:tcW w:w="2492" w:type="pct"/>
            <w:vAlign w:val="center"/>
          </w:tcPr>
          <w:p>
            <w:pPr>
              <w:spacing w:line="240" w:lineRule="auto"/>
              <w:ind w:firstLine="180" w:firstLineChars="10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1.城镇区的建设项目应提高植被建设标准，注重景观效果，配套建设灌溉、排水和雨水利用设施；</w:t>
            </w:r>
          </w:p>
          <w:p>
            <w:pPr>
              <w:spacing w:line="240" w:lineRule="auto"/>
              <w:ind w:firstLine="180" w:firstLineChars="10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2.对无法避让水土流失重点预防区和重点治理区的生产建设项目，建设方案应符合下列规定：</w:t>
            </w:r>
          </w:p>
          <w:p>
            <w:pPr>
              <w:spacing w:line="240" w:lineRule="auto"/>
              <w:ind w:firstLine="180" w:firstLineChars="10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2-1.应优化方案，减少工程占地和土石方量；公路、铁路等项目填高大于8m宜采用桥隧方案；管道工程穿越宜采用隧道、定向钻、顶管等方式；山丘区工业场地宜优先采取阶梯式布置；</w:t>
            </w:r>
          </w:p>
          <w:p>
            <w:pPr>
              <w:spacing w:line="240" w:lineRule="auto"/>
              <w:ind w:firstLine="180" w:firstLineChars="10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2-2.截排水工程、拦挡工程的工程等级和防洪标准应提高一级；</w:t>
            </w:r>
          </w:p>
          <w:p>
            <w:pPr>
              <w:spacing w:line="240" w:lineRule="auto"/>
              <w:ind w:firstLine="180" w:firstLineChars="10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2-3.宜布设雨洪集蓄、沉沙设施；</w:t>
            </w:r>
          </w:p>
          <w:p>
            <w:pPr>
              <w:spacing w:line="240" w:lineRule="auto"/>
              <w:ind w:firstLine="180" w:firstLineChars="10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2-4.提高植物措施标准，林草覆盖率应提高1个～2个百分点。</w:t>
            </w:r>
          </w:p>
        </w:tc>
        <w:tc>
          <w:tcPr>
            <w:tcW w:w="1529" w:type="pct"/>
            <w:vAlign w:val="center"/>
          </w:tcPr>
          <w:p>
            <w:pPr>
              <w:spacing w:line="240" w:lineRule="auto"/>
              <w:ind w:firstLine="0" w:firstLineChars="0"/>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1.主体工程仅设计、建设1栋教学综合楼，不涉及景观及雨水回收利用设施。</w:t>
            </w:r>
          </w:p>
          <w:p>
            <w:pPr>
              <w:spacing w:line="240" w:lineRule="auto"/>
              <w:ind w:firstLine="0" w:firstLineChars="0"/>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2.项目选址无法避让国家级水土流失重点预防区，方案提高防治标准。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396"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w:t>
            </w:r>
          </w:p>
        </w:tc>
        <w:tc>
          <w:tcPr>
            <w:tcW w:w="583" w:type="pct"/>
            <w:vAlign w:val="center"/>
          </w:tcPr>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施工组织</w:t>
            </w:r>
          </w:p>
        </w:tc>
        <w:tc>
          <w:tcPr>
            <w:tcW w:w="2492" w:type="pct"/>
            <w:vAlign w:val="center"/>
          </w:tcPr>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1.应控制施工场地占地，避开植被相对良好的区域和基本农田区。</w:t>
            </w:r>
          </w:p>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2.应合理安排施工，防止重复开挖和多次倒运，减少裸露时间和范围。</w:t>
            </w:r>
          </w:p>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3.外借土石方应优先考虑利用其他工程废弃的土（石、渣），外购土（石、料）应选择合规的料场。</w:t>
            </w:r>
          </w:p>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4.工程标段划分应考虑合理调配土石方，减少取土（石）方、弃土（石、渣）方和临时占地数量。</w:t>
            </w:r>
          </w:p>
        </w:tc>
        <w:tc>
          <w:tcPr>
            <w:tcW w:w="1529" w:type="pct"/>
            <w:vAlign w:val="center"/>
          </w:tcPr>
          <w:p>
            <w:pPr>
              <w:spacing w:line="240" w:lineRule="auto"/>
              <w:ind w:firstLine="0" w:firstLineChars="0"/>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1.项目施工临时设施区布置在红线内，不涉及植被良好区和基本农田。</w:t>
            </w:r>
          </w:p>
          <w:p>
            <w:pPr>
              <w:spacing w:line="240" w:lineRule="auto"/>
              <w:ind w:firstLine="0" w:firstLineChars="0"/>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2.建筑基坑一次开挖成形，余方在场地内回填。</w:t>
            </w:r>
          </w:p>
          <w:p>
            <w:pPr>
              <w:spacing w:line="240" w:lineRule="auto"/>
              <w:ind w:firstLine="0" w:firstLineChars="0"/>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3.项目土石方挖填平衡。</w:t>
            </w:r>
          </w:p>
          <w:p>
            <w:pPr>
              <w:spacing w:line="240" w:lineRule="auto"/>
              <w:ind w:firstLine="0" w:firstLineChars="0"/>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4.项目竖向设计合理可行，使得挖方全部回填利用，同时也减少了挖方量，临时堆土在基坑周围散堆。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396"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w:t>
            </w:r>
          </w:p>
        </w:tc>
        <w:tc>
          <w:tcPr>
            <w:tcW w:w="583" w:type="pct"/>
            <w:vAlign w:val="center"/>
          </w:tcPr>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工程施工</w:t>
            </w:r>
          </w:p>
        </w:tc>
        <w:tc>
          <w:tcPr>
            <w:tcW w:w="2492" w:type="pct"/>
            <w:vAlign w:val="center"/>
          </w:tcPr>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1.施工活动应控制在设计的施工道路、施工场地内。</w:t>
            </w:r>
          </w:p>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2.施工开始时首先对表土进行剥离或保护，剥离的表土应集中堆放，并采取防护措施。</w:t>
            </w:r>
          </w:p>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3.裸露地表应及时防护，减少裸露时间；填筑土方时应随挖、随运、随填、随压。</w:t>
            </w:r>
          </w:p>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4.临时堆土（石、渣）应集中堆放，并采取临时拦挡、苫盖、排水、沉沙等措施。</w:t>
            </w:r>
          </w:p>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5.施工产生的泥浆应先通过泥浆沉砂池沉淀，再采取其他处置措施。</w:t>
            </w:r>
          </w:p>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6.土（石、料、渣、矸石）方在运输过程中应采取保护措施，防止沿途散溢</w:t>
            </w:r>
          </w:p>
        </w:tc>
        <w:tc>
          <w:tcPr>
            <w:tcW w:w="1529" w:type="pct"/>
            <w:vAlign w:val="center"/>
          </w:tcPr>
          <w:p>
            <w:pPr>
              <w:spacing w:line="240" w:lineRule="auto"/>
              <w:ind w:firstLine="0" w:firstLineChars="0"/>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1.项目施工活动在用地红线内，没有扰动红线外的土地。</w:t>
            </w:r>
          </w:p>
          <w:p>
            <w:pPr>
              <w:spacing w:line="240" w:lineRule="auto"/>
              <w:ind w:firstLine="0" w:firstLineChars="0"/>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2.项目区无表土可剥离。</w:t>
            </w:r>
          </w:p>
          <w:p>
            <w:pPr>
              <w:spacing w:line="240" w:lineRule="auto"/>
              <w:ind w:firstLine="0" w:firstLineChars="0"/>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3.主体工程实施有防雨布遮盖措施。</w:t>
            </w:r>
          </w:p>
          <w:p>
            <w:pPr>
              <w:spacing w:line="240" w:lineRule="auto"/>
              <w:ind w:firstLine="0" w:firstLineChars="0"/>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4.主体工程没有集中设置临时堆土场。</w:t>
            </w:r>
          </w:p>
          <w:p>
            <w:pPr>
              <w:spacing w:line="240" w:lineRule="auto"/>
              <w:ind w:firstLine="0" w:firstLineChars="0"/>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5.项目土建施工不涉水，污泥产生。</w:t>
            </w:r>
          </w:p>
          <w:p>
            <w:pPr>
              <w:spacing w:line="240" w:lineRule="auto"/>
              <w:ind w:firstLine="0" w:firstLineChars="0"/>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6.主体施工符合上述要求。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396"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w:t>
            </w:r>
          </w:p>
        </w:tc>
        <w:tc>
          <w:tcPr>
            <w:tcW w:w="583" w:type="pct"/>
            <w:vAlign w:val="center"/>
          </w:tcPr>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青藏高原区</w:t>
            </w:r>
          </w:p>
        </w:tc>
        <w:tc>
          <w:tcPr>
            <w:tcW w:w="2492" w:type="pct"/>
            <w:vAlign w:val="center"/>
          </w:tcPr>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1.应严格控制施工扰动范围，保护地表、植被；</w:t>
            </w:r>
          </w:p>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2.高山草甸区应注重草皮的剥离、保护和利用；</w:t>
            </w:r>
          </w:p>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3.防护措施应考虑冻害影响。</w:t>
            </w:r>
          </w:p>
        </w:tc>
        <w:tc>
          <w:tcPr>
            <w:tcW w:w="1529" w:type="pct"/>
            <w:vAlign w:val="center"/>
          </w:tcPr>
          <w:p>
            <w:pPr>
              <w:spacing w:line="240" w:lineRule="auto"/>
              <w:ind w:firstLine="0" w:firstLineChars="0"/>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1.主体施工均在打围范围内，严格控制扰动范围；</w:t>
            </w:r>
          </w:p>
          <w:p>
            <w:pPr>
              <w:spacing w:line="240" w:lineRule="auto"/>
              <w:ind w:firstLine="0" w:firstLineChars="0"/>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2.项目在原有校园内建设，无草甸可剥离；</w:t>
            </w:r>
          </w:p>
          <w:p>
            <w:pPr>
              <w:spacing w:line="240" w:lineRule="auto"/>
              <w:ind w:firstLine="0" w:firstLineChars="0"/>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3.主体设计已考虑。</w:t>
            </w:r>
          </w:p>
        </w:tc>
      </w:tr>
    </w:tbl>
    <w:p>
      <w:pPr>
        <w:ind w:firstLine="480"/>
        <w:rPr>
          <w:rFonts w:hint="default" w:ascii="Times New Roman" w:hAnsi="Times New Roman" w:eastAsia="仿宋_GB2312" w:cs="Times New Roman"/>
          <w:color w:val="auto"/>
          <w:kern w:val="0"/>
          <w:szCs w:val="24"/>
        </w:rPr>
      </w:pPr>
    </w:p>
    <w:p>
      <w:pPr>
        <w:pStyle w:val="5"/>
        <w:rPr>
          <w:rFonts w:hint="default" w:ascii="Times New Roman" w:hAnsi="Times New Roman" w:cs="Times New Roman"/>
          <w:color w:val="auto"/>
        </w:rPr>
      </w:pPr>
      <w:r>
        <w:rPr>
          <w:rFonts w:hint="default" w:ascii="Times New Roman" w:hAnsi="Times New Roman" w:cs="Times New Roman"/>
          <w:color w:val="auto"/>
        </w:rPr>
        <w:t>3.2.2工程占地评价</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本项目总占地0.12hm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rPr>
        <w:t>，均为永久占地，项目占地均为建筑基础占地，不涉及代征、代建用地，占地类型为公共管理与公共服务用地</w:t>
      </w:r>
      <w:r>
        <w:rPr>
          <w:rFonts w:hint="default" w:ascii="Times New Roman" w:hAnsi="Times New Roman" w:eastAsia="仿宋_GB2312" w:cs="Times New Roman"/>
          <w:color w:val="auto"/>
        </w:rPr>
        <w:t>。</w:t>
      </w:r>
    </w:p>
    <w:p>
      <w:pPr>
        <w:ind w:firstLine="460" w:firstLineChars="192"/>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本项目在原有校园内建设，项目区内无表土可剥离，建筑挖方临时堆放在建筑占地范围内，不涉及集中堆土区；临时办公用房及工人食宿均租用民房，没有在项目区内设置临建设施；施工道路依托市政道路阳嘎北街等。综上，项目施工没有新增临时用地，符合水土保持要求。</w:t>
      </w:r>
    </w:p>
    <w:p>
      <w:pPr>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从水土保持的角度上看，工程占地符合节约用地和减少扰动的要求，临时占地满足施工要求。</w:t>
      </w:r>
    </w:p>
    <w:p>
      <w:pPr>
        <w:pStyle w:val="5"/>
        <w:rPr>
          <w:rFonts w:hint="default" w:ascii="Times New Roman" w:hAnsi="Times New Roman" w:cs="Times New Roman"/>
          <w:color w:val="auto"/>
        </w:rPr>
      </w:pPr>
      <w:r>
        <w:rPr>
          <w:rFonts w:hint="default" w:ascii="Times New Roman" w:hAnsi="Times New Roman" w:cs="Times New Roman"/>
          <w:color w:val="auto"/>
        </w:rPr>
        <w:t>3.2.3土石方平衡评价</w:t>
      </w:r>
    </w:p>
    <w:p>
      <w:pPr>
        <w:pStyle w:val="342"/>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rPr>
        <w:t>本项目土石方总开挖量0.11万m</w:t>
      </w:r>
      <w:r>
        <w:rPr>
          <w:rFonts w:hint="default" w:ascii="Times New Roman" w:hAnsi="Times New Roman" w:eastAsia="仿宋_GB2312" w:cs="Times New Roman"/>
          <w:color w:val="auto"/>
          <w:vertAlign w:val="superscript"/>
        </w:rPr>
        <w:t>3</w:t>
      </w:r>
      <w:r>
        <w:rPr>
          <w:rFonts w:hint="default" w:ascii="Times New Roman" w:hAnsi="Times New Roman" w:eastAsia="仿宋_GB2312" w:cs="Times New Roman"/>
          <w:color w:val="auto"/>
        </w:rPr>
        <w:t>，总回填方量0.11万m</w:t>
      </w:r>
      <w:r>
        <w:rPr>
          <w:rFonts w:hint="default" w:ascii="Times New Roman" w:hAnsi="Times New Roman" w:eastAsia="仿宋_GB2312" w:cs="Times New Roman"/>
          <w:color w:val="auto"/>
          <w:vertAlign w:val="superscript"/>
        </w:rPr>
        <w:t>3</w:t>
      </w:r>
      <w:r>
        <w:rPr>
          <w:rFonts w:hint="default" w:ascii="Times New Roman" w:hAnsi="Times New Roman" w:eastAsia="仿宋_GB2312" w:cs="Times New Roman"/>
          <w:color w:val="auto"/>
        </w:rPr>
        <w:t>；项目土石方挖填平衡，无弃方（土石方均为自然方）。</w:t>
      </w:r>
    </w:p>
    <w:p>
      <w:pPr>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经调查，此次教学综合楼在原有校园征地范围内实施；原始占地类型不具备表土剥离的条件。</w:t>
      </w:r>
    </w:p>
    <w:p>
      <w:pPr>
        <w:widowControl/>
        <w:ind w:firstLine="48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Cs w:val="24"/>
        </w:rPr>
        <w:t>项目土石方集中在建筑基坑开挖与回填以及综合管线沟槽挖方与填方。教学综合楼基础挖方临时堆放在基坑旁，基础浇筑完成后进行回填，回填剩余土方在建筑内部及周围回填，没有外弃，有利于水土保持。</w:t>
      </w:r>
    </w:p>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szCs w:val="24"/>
        </w:rPr>
        <w:t>从水土保持角度来看，本项目土石方挖填数量符合最优化原则；土石方调运节点符合工程实际、调运时序、运距合理；</w:t>
      </w:r>
      <w:r>
        <w:rPr>
          <w:rFonts w:hint="default" w:ascii="Times New Roman" w:hAnsi="Times New Roman" w:eastAsia="仿宋_GB2312" w:cs="Times New Roman"/>
          <w:color w:val="auto"/>
        </w:rPr>
        <w:t>余方处置符合综合利用要求。</w:t>
      </w:r>
    </w:p>
    <w:p>
      <w:pPr>
        <w:pStyle w:val="5"/>
        <w:rPr>
          <w:rFonts w:hint="default" w:ascii="Times New Roman" w:hAnsi="Times New Roman" w:cs="Times New Roman"/>
          <w:color w:val="auto"/>
        </w:rPr>
      </w:pPr>
      <w:r>
        <w:rPr>
          <w:rFonts w:hint="default" w:ascii="Times New Roman" w:hAnsi="Times New Roman" w:cs="Times New Roman"/>
          <w:color w:val="auto"/>
        </w:rPr>
        <w:t>3.2.4取土（石、砂）场设置评价</w:t>
      </w:r>
    </w:p>
    <w:p>
      <w:pPr>
        <w:ind w:firstLine="480"/>
        <w:rPr>
          <w:rFonts w:hint="default" w:ascii="Times New Roman" w:hAnsi="Times New Roman" w:eastAsia="仿宋_GB2312" w:cs="Times New Roman"/>
          <w:color w:val="auto"/>
          <w:szCs w:val="24"/>
        </w:rPr>
      </w:pPr>
      <w:bookmarkStart w:id="81" w:name="_Toc516589543"/>
      <w:r>
        <w:rPr>
          <w:rFonts w:hint="default" w:ascii="Times New Roman" w:hAnsi="Times New Roman" w:eastAsia="仿宋_GB2312" w:cs="Times New Roman"/>
          <w:color w:val="auto"/>
          <w:szCs w:val="24"/>
        </w:rPr>
        <w:t>本项目不涉及。</w:t>
      </w:r>
    </w:p>
    <w:p>
      <w:pPr>
        <w:pStyle w:val="5"/>
        <w:rPr>
          <w:rFonts w:hint="default" w:ascii="Times New Roman" w:hAnsi="Times New Roman" w:cs="Times New Roman"/>
          <w:color w:val="auto"/>
        </w:rPr>
      </w:pPr>
      <w:r>
        <w:rPr>
          <w:rFonts w:hint="default" w:ascii="Times New Roman" w:hAnsi="Times New Roman" w:cs="Times New Roman"/>
          <w:color w:val="auto"/>
        </w:rPr>
        <w:t>3.2.</w:t>
      </w:r>
      <w:bookmarkEnd w:id="81"/>
      <w:r>
        <w:rPr>
          <w:rFonts w:hint="default" w:ascii="Times New Roman" w:hAnsi="Times New Roman" w:cs="Times New Roman"/>
          <w:color w:val="auto"/>
        </w:rPr>
        <w:t>5弃土场设置评价</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本项目不涉及。</w:t>
      </w:r>
    </w:p>
    <w:p>
      <w:pPr>
        <w:pStyle w:val="5"/>
        <w:rPr>
          <w:rFonts w:hint="default" w:ascii="Times New Roman" w:hAnsi="Times New Roman" w:cs="Times New Roman"/>
          <w:color w:val="auto"/>
        </w:rPr>
      </w:pPr>
      <w:r>
        <w:rPr>
          <w:rFonts w:hint="default" w:ascii="Times New Roman" w:hAnsi="Times New Roman" w:cs="Times New Roman"/>
          <w:color w:val="auto"/>
        </w:rPr>
        <w:t>3.2.6施工方法与工艺评价</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本项目由建筑工程、附属设施组成，容易诱发水土流失的环节包括基础开挖与回填等。</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（1）建筑物基础施工方法评价</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建筑工程基础采取钢筋砼基础，涉及土石方较少，其基础挖方均在基坑内及周围回填，没有长时间堆放，满足水土保持要求。</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（2）道路广场工程施工方法评价</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道路广场区防治水土流失的主要环节是道路区域施工及综合管线开挖与回填；综合管线在验槽后应及时下管、及时回填，管槽挖方临时堆放时间较短，水土流失危害甚微。</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（3）景观绿化工程</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景观绿化工程在植物播种前先进行表土回铺、土地整治，通过整地可以改善土壤理化性质，给植物生长尤其是根的发育创造适宜的土壤条件，在播种后进行苗木抚育管理等。主体工程建筑施工结束后，在适宜季节对景观绿化区进行覆土、平整土地、施肥、翻地、碎土等措施，完成后进行植树种草。减少了水土流失。</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从水土保持角度看，以上各项工程施工方法满足水土保持相关规定。</w:t>
      </w:r>
    </w:p>
    <w:p>
      <w:pPr>
        <w:pStyle w:val="5"/>
        <w:rPr>
          <w:rFonts w:hint="default" w:ascii="Times New Roman" w:hAnsi="Times New Roman" w:cs="Times New Roman"/>
          <w:color w:val="auto"/>
        </w:rPr>
      </w:pPr>
      <w:r>
        <w:rPr>
          <w:rFonts w:hint="default" w:ascii="Times New Roman" w:hAnsi="Times New Roman" w:cs="Times New Roman"/>
          <w:color w:val="auto"/>
        </w:rPr>
        <w:t>3.2.7主体设计中具有水土保持功能工程的评价</w:t>
      </w:r>
    </w:p>
    <w:p>
      <w:pPr>
        <w:ind w:firstLine="482"/>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（1）建筑工程</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建筑工程包括</w:t>
      </w:r>
      <w:r>
        <w:rPr>
          <w:rFonts w:hint="default" w:ascii="Times New Roman" w:hAnsi="Times New Roman" w:eastAsia="仿宋_GB2312" w:cs="Times New Roman"/>
          <w:color w:val="auto"/>
        </w:rPr>
        <w:t>教学综合楼</w:t>
      </w:r>
      <w:r>
        <w:rPr>
          <w:rFonts w:hint="default" w:ascii="Times New Roman" w:hAnsi="Times New Roman" w:eastAsia="仿宋_GB2312" w:cs="Times New Roman"/>
          <w:color w:val="auto"/>
          <w:szCs w:val="24"/>
        </w:rPr>
        <w:t>以主体工程施工功能为主，建构筑物占压的地表将不会产生水土流失；建筑工程以主体设计功能为主，不界定为水土保持措施。</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主体工程在建筑工程区实施有雨水立管96m，屋面雨水经立管排至地面雨水系统；雨水管界定为水保措施。</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经调查核实，建筑基础施工期间，主体工程对建筑基础挖方采用防雨布遮盖，实施防雨布约600m</w:t>
      </w:r>
      <w:r>
        <w:rPr>
          <w:rFonts w:hint="default" w:ascii="Times New Roman" w:hAnsi="Times New Roman" w:eastAsia="仿宋_GB2312" w:cs="Times New Roman"/>
          <w:color w:val="auto"/>
          <w:szCs w:val="24"/>
          <w:vertAlign w:val="superscript"/>
        </w:rPr>
        <w:t>2</w:t>
      </w:r>
      <w:r>
        <w:rPr>
          <w:rFonts w:hint="default" w:ascii="Times New Roman" w:hAnsi="Times New Roman" w:eastAsia="仿宋_GB2312" w:cs="Times New Roman"/>
          <w:color w:val="auto"/>
          <w:szCs w:val="24"/>
        </w:rPr>
        <w:t>。</w:t>
      </w:r>
    </w:p>
    <w:p>
      <w:pPr>
        <w:ind w:firstLine="482"/>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（2）道路工程</w:t>
      </w:r>
    </w:p>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道路硬化工程以行人为主要功能，硬化地面不具备产生水土流失的条件，保水功能几乎丧失，道路硬化工程不界定为水保工程。</w:t>
      </w:r>
    </w:p>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*1）雨水管（已实施）：道路区域实施雨水管200m（管径DN100，硬质聚氯乙烯(UPVC)）。</w:t>
      </w:r>
      <w:r>
        <w:rPr>
          <w:rFonts w:hint="default" w:ascii="Times New Roman" w:hAnsi="Times New Roman" w:eastAsia="仿宋_GB2312" w:cs="Times New Roman"/>
          <w:color w:val="auto"/>
          <w:kern w:val="0"/>
        </w:rPr>
        <w:t>假如没有雨水管，场地易形成内涝；同时雨水管也能接收屋面雨水，其能有效排泄项目区径流，具有较好的水土保持功能。且根据《生产建设项目水土保持技术标准》（GB50433-2018）</w:t>
      </w:r>
      <w:r>
        <w:rPr>
          <w:rFonts w:hint="default" w:ascii="Times New Roman" w:hAnsi="Times New Roman" w:eastAsia="仿宋_GB2312" w:cs="Times New Roman"/>
          <w:color w:val="auto"/>
        </w:rPr>
        <w:t>，厂区、办公生活区排水管等应界定为水保措施。</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rPr>
        <w:t>*2）防雨布遮盖（已实施）：</w:t>
      </w:r>
      <w:r>
        <w:rPr>
          <w:rFonts w:hint="default" w:ascii="Times New Roman" w:hAnsi="Times New Roman" w:eastAsia="仿宋_GB2312" w:cs="Times New Roman"/>
          <w:color w:val="auto"/>
          <w:kern w:val="0"/>
        </w:rPr>
        <w:t>主体在综合管线沟槽开挖期间，为防止挖方造成水土流失，已实施防雨布遮盖措施，实施防雨布遮盖约400m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rPr>
        <w:t>。</w:t>
      </w:r>
    </w:p>
    <w:p>
      <w:pPr>
        <w:ind w:firstLine="482"/>
        <w:rPr>
          <w:rFonts w:hint="default" w:ascii="Times New Roman" w:hAnsi="Times New Roman" w:eastAsia="仿宋_GB2312" w:cs="Times New Roman"/>
          <w:b/>
          <w:color w:val="auto"/>
        </w:rPr>
      </w:pPr>
    </w:p>
    <w:p>
      <w:pPr>
        <w:ind w:firstLine="482"/>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（3）绿化工程</w:t>
      </w:r>
    </w:p>
    <w:p>
      <w:pPr>
        <w:ind w:firstLine="480"/>
        <w:rPr>
          <w:rFonts w:hint="default" w:ascii="Times New Roman" w:hAnsi="Times New Roman" w:cs="Times New Roman"/>
          <w:color w:val="auto"/>
        </w:rPr>
      </w:pPr>
      <w:r>
        <w:rPr>
          <w:rFonts w:hint="default" w:ascii="Times New Roman" w:hAnsi="Times New Roman" w:eastAsia="仿宋_GB2312" w:cs="Times New Roman"/>
          <w:color w:val="auto"/>
        </w:rPr>
        <w:t>主体工程实施绿地面积0.03hm</w:t>
      </w:r>
      <w:r>
        <w:rPr>
          <w:rFonts w:hint="default" w:ascii="Times New Roman" w:hAnsi="Times New Roman" w:eastAsia="仿宋_GB2312" w:cs="Times New Roman"/>
          <w:color w:val="auto"/>
          <w:vertAlign w:val="superscript"/>
        </w:rPr>
        <w:t>2</w:t>
      </w:r>
      <w:r>
        <w:rPr>
          <w:rFonts w:hint="default" w:ascii="Times New Roman" w:hAnsi="Times New Roman" w:eastAsia="仿宋_GB2312" w:cs="Times New Roman"/>
          <w:color w:val="auto"/>
        </w:rPr>
        <w:t>，景观绿化在美化环境的同时能避免场地裸露，能减少雨滴击溅侵蚀，有效增加地表径流蓄渗；植物措施的实施一方面使得地表径流就地蓄渗，有利于林草植被成活；另一方面，有效降低地表径流量，从而减轻雨水设施排洪压力。</w:t>
      </w:r>
    </w:p>
    <w:p>
      <w:pPr>
        <w:pStyle w:val="4"/>
        <w:suppressAutoHyphens/>
        <w:spacing w:before="156" w:beforeLines="50" w:after="156" w:afterLines="50"/>
        <w:rPr>
          <w:rFonts w:hint="default" w:ascii="Times New Roman" w:hAnsi="Times New Roman" w:cs="Times New Roman"/>
          <w:color w:val="auto"/>
          <w:kern w:val="0"/>
        </w:rPr>
      </w:pPr>
      <w:bookmarkStart w:id="82" w:name="_Toc47879796"/>
      <w:r>
        <w:rPr>
          <w:rFonts w:hint="default" w:ascii="Times New Roman" w:hAnsi="Times New Roman" w:cs="Times New Roman"/>
          <w:color w:val="auto"/>
          <w:kern w:val="0"/>
        </w:rPr>
        <w:t>3.3 主体工程设计中水土保持措施界定</w:t>
      </w:r>
      <w:bookmarkEnd w:id="82"/>
    </w:p>
    <w:p>
      <w:pPr>
        <w:pStyle w:val="5"/>
        <w:rPr>
          <w:rFonts w:hint="default" w:ascii="Times New Roman" w:hAnsi="Times New Roman" w:cs="Times New Roman"/>
          <w:color w:val="auto"/>
        </w:rPr>
      </w:pPr>
      <w:r>
        <w:rPr>
          <w:rFonts w:hint="default" w:ascii="Times New Roman" w:hAnsi="Times New Roman" w:cs="Times New Roman"/>
          <w:color w:val="auto"/>
        </w:rPr>
        <w:t>3.3.1水土保持措施</w:t>
      </w:r>
    </w:p>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根据</w:t>
      </w:r>
      <w:r>
        <w:rPr>
          <w:rFonts w:hint="default" w:ascii="Times New Roman" w:hAnsi="Times New Roman" w:eastAsia="仿宋_GB2312" w:cs="Times New Roman"/>
          <w:color w:val="auto"/>
          <w:kern w:val="0"/>
        </w:rPr>
        <w:t>《生产建设项目水土保持技术标准》（GB50433-2018）</w:t>
      </w:r>
      <w:r>
        <w:rPr>
          <w:rFonts w:hint="default" w:ascii="Times New Roman" w:hAnsi="Times New Roman" w:eastAsia="仿宋_GB2312" w:cs="Times New Roman"/>
          <w:color w:val="auto"/>
        </w:rPr>
        <w:t>，水土保持工程的界定原则为：应将主体设计中以水土保持功能为主的工程界定为水土保持措施；难以区分是否以水土保持功能为主的工程，可按破坏性试验的原则进行界定；即假定没有这些工程，主体设计功能仍然可以发挥作用，但会产生较大的水土流失，此类工程应界定水土保持措施。主体工程已具水土保持措施见表3-3。</w:t>
      </w:r>
    </w:p>
    <w:p>
      <w:pPr>
        <w:spacing w:line="240" w:lineRule="auto"/>
        <w:ind w:firstLine="422"/>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color w:val="auto"/>
          <w:kern w:val="0"/>
          <w:sz w:val="21"/>
          <w:szCs w:val="21"/>
        </w:rPr>
        <w:t>表3-3   主体工程已有水土保持措施投资汇总表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94"/>
        <w:gridCol w:w="1194"/>
        <w:gridCol w:w="2057"/>
        <w:gridCol w:w="769"/>
        <w:gridCol w:w="1202"/>
        <w:gridCol w:w="1162"/>
        <w:gridCol w:w="9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70" w:hRule="atLeast"/>
          <w:jc w:val="center"/>
        </w:trPr>
        <w:tc>
          <w:tcPr>
            <w:tcW w:w="700" w:type="pct"/>
            <w:vMerge w:val="restar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项目组成</w:t>
            </w:r>
          </w:p>
        </w:tc>
        <w:tc>
          <w:tcPr>
            <w:tcW w:w="700" w:type="pct"/>
            <w:vMerge w:val="restar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措 施</w:t>
            </w:r>
          </w:p>
        </w:tc>
        <w:tc>
          <w:tcPr>
            <w:tcW w:w="1206" w:type="pct"/>
            <w:vMerge w:val="restar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措施名称</w:t>
            </w:r>
          </w:p>
        </w:tc>
        <w:tc>
          <w:tcPr>
            <w:tcW w:w="451" w:type="pct"/>
            <w:vMerge w:val="restar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单 位</w:t>
            </w:r>
          </w:p>
        </w:tc>
        <w:tc>
          <w:tcPr>
            <w:tcW w:w="705" w:type="pct"/>
            <w:vMerge w:val="restar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工程量</w:t>
            </w:r>
          </w:p>
        </w:tc>
        <w:tc>
          <w:tcPr>
            <w:tcW w:w="68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综合单价</w:t>
            </w:r>
          </w:p>
        </w:tc>
        <w:tc>
          <w:tcPr>
            <w:tcW w:w="55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投 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00" w:type="pct"/>
            <w:vMerge w:val="continue"/>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0" w:type="pct"/>
            <w:vMerge w:val="continue"/>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1206" w:type="pct"/>
            <w:vMerge w:val="continue"/>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451" w:type="pct"/>
            <w:vMerge w:val="continue"/>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vMerge w:val="continue"/>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8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（元）</w:t>
            </w:r>
          </w:p>
        </w:tc>
        <w:tc>
          <w:tcPr>
            <w:tcW w:w="55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00" w:type="pct"/>
            <w:vMerge w:val="restar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建筑工程</w:t>
            </w:r>
          </w:p>
        </w:tc>
        <w:tc>
          <w:tcPr>
            <w:tcW w:w="700"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工程措施</w:t>
            </w:r>
          </w:p>
        </w:tc>
        <w:tc>
          <w:tcPr>
            <w:tcW w:w="120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雨水管</w:t>
            </w:r>
          </w:p>
        </w:tc>
        <w:tc>
          <w:tcPr>
            <w:tcW w:w="45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m</w:t>
            </w:r>
          </w:p>
        </w:tc>
        <w:tc>
          <w:tcPr>
            <w:tcW w:w="70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96</w:t>
            </w:r>
          </w:p>
        </w:tc>
        <w:tc>
          <w:tcPr>
            <w:tcW w:w="68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rPr>
              <w:t>134.79</w:t>
            </w:r>
          </w:p>
        </w:tc>
        <w:tc>
          <w:tcPr>
            <w:tcW w:w="557" w:type="pct"/>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00" w:type="pct"/>
            <w:vMerge w:val="continue"/>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0"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临时措施</w:t>
            </w:r>
          </w:p>
        </w:tc>
        <w:tc>
          <w:tcPr>
            <w:tcW w:w="120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防雨布遮盖</w:t>
            </w:r>
          </w:p>
        </w:tc>
        <w:tc>
          <w:tcPr>
            <w:tcW w:w="45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rPr>
              <w:t>m</w:t>
            </w:r>
            <w:r>
              <w:rPr>
                <w:rFonts w:hint="default" w:ascii="Times New Roman" w:hAnsi="Times New Roman" w:eastAsia="仿宋_GB2312" w:cs="Times New Roman"/>
                <w:color w:val="auto"/>
                <w:sz w:val="18"/>
                <w:szCs w:val="18"/>
                <w:vertAlign w:val="superscript"/>
              </w:rPr>
              <w:t>2</w:t>
            </w:r>
          </w:p>
        </w:tc>
        <w:tc>
          <w:tcPr>
            <w:tcW w:w="70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600</w:t>
            </w:r>
          </w:p>
        </w:tc>
        <w:tc>
          <w:tcPr>
            <w:tcW w:w="68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5.00</w:t>
            </w:r>
          </w:p>
        </w:tc>
        <w:tc>
          <w:tcPr>
            <w:tcW w:w="557" w:type="pct"/>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00" w:type="pct"/>
            <w:vMerge w:val="restar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道路工程</w:t>
            </w:r>
          </w:p>
        </w:tc>
        <w:tc>
          <w:tcPr>
            <w:tcW w:w="700"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工程措施</w:t>
            </w:r>
          </w:p>
        </w:tc>
        <w:tc>
          <w:tcPr>
            <w:tcW w:w="120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雨水管</w:t>
            </w:r>
          </w:p>
        </w:tc>
        <w:tc>
          <w:tcPr>
            <w:tcW w:w="45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m</w:t>
            </w:r>
          </w:p>
        </w:tc>
        <w:tc>
          <w:tcPr>
            <w:tcW w:w="70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200</w:t>
            </w:r>
          </w:p>
        </w:tc>
        <w:tc>
          <w:tcPr>
            <w:tcW w:w="68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rPr>
              <w:t>134.79</w:t>
            </w:r>
          </w:p>
        </w:tc>
        <w:tc>
          <w:tcPr>
            <w:tcW w:w="557" w:type="pct"/>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00" w:type="pct"/>
            <w:vMerge w:val="continue"/>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0"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临时措施</w:t>
            </w:r>
          </w:p>
        </w:tc>
        <w:tc>
          <w:tcPr>
            <w:tcW w:w="120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防雨布遮盖</w:t>
            </w:r>
          </w:p>
        </w:tc>
        <w:tc>
          <w:tcPr>
            <w:tcW w:w="45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rPr>
              <w:t>m</w:t>
            </w:r>
            <w:r>
              <w:rPr>
                <w:rFonts w:hint="default" w:ascii="Times New Roman" w:hAnsi="Times New Roman" w:eastAsia="仿宋_GB2312" w:cs="Times New Roman"/>
                <w:color w:val="auto"/>
                <w:sz w:val="18"/>
                <w:szCs w:val="18"/>
                <w:vertAlign w:val="superscript"/>
              </w:rPr>
              <w:t>2</w:t>
            </w:r>
          </w:p>
        </w:tc>
        <w:tc>
          <w:tcPr>
            <w:tcW w:w="70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400</w:t>
            </w:r>
          </w:p>
        </w:tc>
        <w:tc>
          <w:tcPr>
            <w:tcW w:w="68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5.00</w:t>
            </w:r>
          </w:p>
        </w:tc>
        <w:tc>
          <w:tcPr>
            <w:tcW w:w="557" w:type="pct"/>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00"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绿化工程</w:t>
            </w:r>
          </w:p>
        </w:tc>
        <w:tc>
          <w:tcPr>
            <w:tcW w:w="700"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植物措施</w:t>
            </w:r>
          </w:p>
        </w:tc>
        <w:tc>
          <w:tcPr>
            <w:tcW w:w="120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草坪绿化</w:t>
            </w:r>
          </w:p>
        </w:tc>
        <w:tc>
          <w:tcPr>
            <w:tcW w:w="45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rPr>
              <w:t>m</w:t>
            </w:r>
            <w:r>
              <w:rPr>
                <w:rFonts w:hint="default" w:ascii="Times New Roman" w:hAnsi="Times New Roman" w:eastAsia="仿宋_GB2312" w:cs="Times New Roman"/>
                <w:color w:val="auto"/>
                <w:sz w:val="18"/>
                <w:szCs w:val="18"/>
                <w:vertAlign w:val="superscript"/>
              </w:rPr>
              <w:t>2</w:t>
            </w:r>
          </w:p>
        </w:tc>
        <w:tc>
          <w:tcPr>
            <w:tcW w:w="70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300</w:t>
            </w:r>
          </w:p>
        </w:tc>
        <w:tc>
          <w:tcPr>
            <w:tcW w:w="68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28.56</w:t>
            </w:r>
          </w:p>
        </w:tc>
        <w:tc>
          <w:tcPr>
            <w:tcW w:w="557" w:type="pct"/>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0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1906"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合计</w:t>
            </w:r>
          </w:p>
        </w:tc>
        <w:tc>
          <w:tcPr>
            <w:tcW w:w="45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8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557" w:type="pct"/>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5.35</w:t>
            </w:r>
          </w:p>
        </w:tc>
      </w:tr>
    </w:tbl>
    <w:p>
      <w:pPr>
        <w:pStyle w:val="1102"/>
        <w:spacing w:line="240" w:lineRule="auto"/>
        <w:rPr>
          <w:rFonts w:hint="default" w:ascii="Times New Roman" w:hAnsi="Times New Roman" w:cs="Times New Roman"/>
          <w:color w:val="auto"/>
        </w:rPr>
      </w:pPr>
    </w:p>
    <w:p>
      <w:pPr>
        <w:pStyle w:val="5"/>
        <w:rPr>
          <w:rFonts w:hint="default" w:ascii="Times New Roman" w:hAnsi="Times New Roman" w:cs="Times New Roman"/>
          <w:color w:val="auto"/>
        </w:rPr>
      </w:pPr>
      <w:r>
        <w:rPr>
          <w:rFonts w:hint="default" w:ascii="Times New Roman" w:hAnsi="Times New Roman" w:cs="Times New Roman"/>
          <w:color w:val="auto"/>
        </w:rPr>
        <w:t>3.3.2结论</w:t>
      </w:r>
    </w:p>
    <w:p>
      <w:pPr>
        <w:pStyle w:val="1102"/>
        <w:rPr>
          <w:rFonts w:hint="default" w:ascii="Times New Roman" w:hAnsi="Times New Roman" w:cs="Times New Roman"/>
          <w:color w:val="auto"/>
        </w:rPr>
      </w:pPr>
      <w:r>
        <w:rPr>
          <w:rFonts w:hint="default" w:ascii="Times New Roman" w:hAnsi="Times New Roman" w:cs="Times New Roman"/>
          <w:color w:val="auto"/>
        </w:rPr>
        <w:t>（1）选址制约因素分析</w:t>
      </w:r>
      <w:r>
        <w:rPr>
          <w:rFonts w:hint="default" w:ascii="Times New Roman" w:hAnsi="Times New Roman" w:cs="Times New Roman"/>
          <w:color w:val="auto"/>
        </w:rPr>
        <w:tab/>
      </w:r>
    </w:p>
    <w:p>
      <w:pPr>
        <w:pStyle w:val="1102"/>
        <w:rPr>
          <w:rFonts w:hint="default" w:ascii="Times New Roman" w:hAnsi="Times New Roman" w:cs="Times New Roman"/>
          <w:color w:val="auto"/>
        </w:rPr>
      </w:pPr>
      <w:r>
        <w:rPr>
          <w:rFonts w:hint="default" w:ascii="Times New Roman" w:hAnsi="Times New Roman" w:cs="Times New Roman"/>
          <w:color w:val="auto"/>
        </w:rPr>
        <w:t>根据《水利部办公厅关于印发&lt;全国水土保持规划国家级水土流失重点预防区和重点治理区复核划分成果&gt;的通知》(办水保〔2013〕188号)，项目所在的阿坝藏族羌族自治州红原县属于金沙江岷江上游及三江并流国家级水土流失重点预防区。</w:t>
      </w:r>
    </w:p>
    <w:p>
      <w:pPr>
        <w:pStyle w:val="1102"/>
        <w:rPr>
          <w:rFonts w:hint="default" w:ascii="Times New Roman" w:hAnsi="Times New Roman" w:cs="Times New Roman"/>
          <w:color w:val="auto"/>
        </w:rPr>
      </w:pPr>
      <w:r>
        <w:rPr>
          <w:rFonts w:hint="default" w:ascii="Times New Roman" w:hAnsi="Times New Roman" w:cs="Times New Roman"/>
          <w:color w:val="auto"/>
        </w:rPr>
        <w:t>经现场调查，项目建设不涉及河流两岸、湖泊和水库周边的植物保护带；建设区内没有全国水土保持监测网络中的水土保持监测站点和重点试验区，不涉及自然保护区、森林公园、风景名胜区、水源地保护区等。</w:t>
      </w:r>
    </w:p>
    <w:p>
      <w:pPr>
        <w:pStyle w:val="1102"/>
        <w:rPr>
          <w:rFonts w:hint="default" w:ascii="Times New Roman" w:hAnsi="Times New Roman" w:cs="Times New Roman"/>
          <w:color w:val="auto"/>
        </w:rPr>
      </w:pPr>
      <w:r>
        <w:rPr>
          <w:rFonts w:hint="default" w:ascii="Times New Roman" w:hAnsi="Times New Roman" w:cs="Times New Roman"/>
          <w:color w:val="auto"/>
        </w:rPr>
        <w:t>通过分析评价，可知主体工程选址无法避让金沙江岷江上游及三江并流国家级水土流失重点预防区，方案将提高防治目标，加强水土保持，项目不涉及其他水土保持制约因素。</w:t>
      </w:r>
    </w:p>
    <w:p>
      <w:pPr>
        <w:pStyle w:val="1102"/>
        <w:rPr>
          <w:rFonts w:hint="default" w:ascii="Times New Roman" w:hAnsi="Times New Roman" w:cs="Times New Roman"/>
          <w:color w:val="auto"/>
        </w:rPr>
      </w:pPr>
      <w:r>
        <w:rPr>
          <w:rFonts w:hint="default" w:ascii="Times New Roman" w:hAnsi="Times New Roman" w:cs="Times New Roman"/>
          <w:color w:val="auto"/>
        </w:rPr>
        <w:t>（2）主体建设方案评价</w:t>
      </w:r>
    </w:p>
    <w:p>
      <w:pPr>
        <w:pStyle w:val="1102"/>
        <w:rPr>
          <w:rFonts w:hint="default" w:ascii="Times New Roman" w:hAnsi="Times New Roman" w:cs="Times New Roman"/>
          <w:color w:val="auto"/>
        </w:rPr>
      </w:pPr>
      <w:r>
        <w:rPr>
          <w:rFonts w:hint="default" w:ascii="Times New Roman" w:hAnsi="Times New Roman" w:cs="Times New Roman"/>
          <w:color w:val="auto"/>
        </w:rPr>
        <w:t>本项目属建设类项目。主体工程仅设计，且实施了1栋建筑（教学综合楼），建筑建设工期较短，土建施工避开雨季，有利于水土保持；现状建筑已完工，项目区不具备产生水土流失的条件。主体工程实施绿化措施能有效防止水土流失，美化环境。项目区地表径流通过雨水管进行径流导流、排泄。总体而言，项目建设方案与布局符合水土保持要求。</w:t>
      </w:r>
    </w:p>
    <w:p>
      <w:pPr>
        <w:pStyle w:val="1102"/>
        <w:rPr>
          <w:rFonts w:hint="default" w:ascii="Times New Roman" w:hAnsi="Times New Roman" w:cs="Times New Roman"/>
          <w:color w:val="auto"/>
        </w:rPr>
      </w:pPr>
      <w:r>
        <w:rPr>
          <w:rFonts w:hint="default" w:ascii="Times New Roman" w:hAnsi="Times New Roman" w:cs="Times New Roman"/>
          <w:color w:val="auto"/>
        </w:rPr>
        <w:t>（3）工程占地</w:t>
      </w:r>
    </w:p>
    <w:p>
      <w:pPr>
        <w:pStyle w:val="1102"/>
        <w:rPr>
          <w:rFonts w:hint="default" w:ascii="Times New Roman" w:hAnsi="Times New Roman" w:cs="Times New Roman"/>
          <w:color w:val="auto"/>
        </w:rPr>
      </w:pPr>
      <w:r>
        <w:rPr>
          <w:rFonts w:hint="default" w:ascii="Times New Roman" w:hAnsi="Times New Roman" w:cs="Times New Roman"/>
          <w:color w:val="auto"/>
        </w:rPr>
        <w:t>工程总占地0.12hm</w:t>
      </w:r>
      <w:r>
        <w:rPr>
          <w:rFonts w:hint="default" w:ascii="Times New Roman" w:hAnsi="Times New Roman" w:cs="Times New Roman"/>
          <w:color w:val="auto"/>
          <w:vertAlign w:val="superscript"/>
        </w:rPr>
        <w:t>2</w:t>
      </w:r>
      <w:r>
        <w:rPr>
          <w:rFonts w:hint="default" w:ascii="Times New Roman" w:hAnsi="Times New Roman" w:cs="Times New Roman"/>
          <w:color w:val="auto"/>
        </w:rPr>
        <w:t>，均为永久占地，施工场地布置不涉及新增临时占地，从水土保持的角度上看，工程占地符合节约用地和减少扰动的要求，临时占地满足施工要求。</w:t>
      </w:r>
    </w:p>
    <w:p>
      <w:pPr>
        <w:pStyle w:val="1102"/>
        <w:rPr>
          <w:rFonts w:hint="default" w:ascii="Times New Roman" w:hAnsi="Times New Roman" w:cs="Times New Roman"/>
          <w:color w:val="auto"/>
        </w:rPr>
      </w:pPr>
      <w:r>
        <w:rPr>
          <w:rFonts w:hint="default" w:ascii="Times New Roman" w:hAnsi="Times New Roman" w:cs="Times New Roman"/>
          <w:color w:val="auto"/>
        </w:rPr>
        <w:t>（4）土石方平衡</w:t>
      </w:r>
    </w:p>
    <w:p>
      <w:pPr>
        <w:pStyle w:val="1102"/>
        <w:rPr>
          <w:rFonts w:hint="default" w:ascii="Times New Roman" w:hAnsi="Times New Roman" w:cs="Times New Roman"/>
          <w:color w:val="auto"/>
        </w:rPr>
      </w:pPr>
      <w:r>
        <w:rPr>
          <w:rFonts w:hint="default" w:ascii="Times New Roman" w:hAnsi="Times New Roman" w:cs="Times New Roman"/>
          <w:color w:val="auto"/>
        </w:rPr>
        <w:t>项目建构筑物基础挖方较小，挖方均在基坑及周围回填；综合管线挖方在沟槽及周围回填；建筑基础挖方均在项目区回填利用，项目土石方挖填数量符合最优化原则；土石方调运节点、调运时序、运距合理。</w:t>
      </w:r>
    </w:p>
    <w:p>
      <w:pPr>
        <w:pStyle w:val="1102"/>
        <w:rPr>
          <w:rFonts w:hint="default" w:ascii="Times New Roman" w:hAnsi="Times New Roman" w:cs="Times New Roman"/>
          <w:color w:val="auto"/>
        </w:rPr>
      </w:pPr>
      <w:r>
        <w:rPr>
          <w:rFonts w:hint="default" w:ascii="Times New Roman" w:hAnsi="Times New Roman" w:cs="Times New Roman"/>
          <w:color w:val="auto"/>
        </w:rPr>
        <w:t>（5）施工方法和工艺</w:t>
      </w:r>
    </w:p>
    <w:p>
      <w:pPr>
        <w:pStyle w:val="1102"/>
        <w:rPr>
          <w:rFonts w:hint="default" w:ascii="Times New Roman" w:hAnsi="Times New Roman" w:cs="Times New Roman"/>
          <w:color w:val="auto"/>
        </w:rPr>
      </w:pPr>
      <w:r>
        <w:rPr>
          <w:rFonts w:hint="default" w:ascii="Times New Roman" w:hAnsi="Times New Roman" w:cs="Times New Roman"/>
          <w:color w:val="auto"/>
        </w:rPr>
        <w:t>本项目土建施工动土量较小，土石方堆放时间较短，挖方能基本做到随填、随压，没有进行多次倒运。总体而言，项目施工方法和工艺满足水土保持要求。</w:t>
      </w:r>
    </w:p>
    <w:p>
      <w:pPr>
        <w:pStyle w:val="1102"/>
        <w:rPr>
          <w:rFonts w:hint="default" w:ascii="Times New Roman" w:hAnsi="Times New Roman" w:cs="Times New Roman"/>
          <w:color w:val="auto"/>
        </w:rPr>
      </w:pPr>
      <w:r>
        <w:rPr>
          <w:rFonts w:hint="default" w:ascii="Times New Roman" w:hAnsi="Times New Roman" w:cs="Times New Roman"/>
          <w:color w:val="auto"/>
        </w:rPr>
        <w:t>（6）具有水土保持功能工程的评价</w:t>
      </w:r>
    </w:p>
    <w:p>
      <w:pPr>
        <w:pStyle w:val="1102"/>
        <w:rPr>
          <w:rFonts w:hint="default" w:ascii="Times New Roman" w:hAnsi="Times New Roman" w:cs="Times New Roman"/>
          <w:color w:val="auto"/>
          <w:kern w:val="0"/>
        </w:rPr>
      </w:pPr>
      <w:r>
        <w:rPr>
          <w:rFonts w:hint="default" w:ascii="Times New Roman" w:hAnsi="Times New Roman" w:cs="Times New Roman"/>
          <w:color w:val="auto"/>
        </w:rPr>
        <w:t>本项目建设内容单一，土建施工安排避开雨季，主体工程在基础施工期间已实施有防雨布遮盖措施；工程后期主体工程在建筑区域实施有雨水管，道路区域实施有雨水管措施，符合水土保持要求。主体工程实施的水土保持措施能有效防止项目区水土流失，且项目已完工多年，但</w:t>
      </w:r>
      <w:r>
        <w:rPr>
          <w:rFonts w:hint="default" w:ascii="Times New Roman" w:hAnsi="Times New Roman" w:cs="Times New Roman"/>
          <w:color w:val="auto"/>
          <w:kern w:val="0"/>
        </w:rPr>
        <w:t>后续电缆敷设对景观绿地进行了扰动、破坏，造成了一定的裸露地表，存在少量临时堆方，这些区域在雨季易造成水土流失，建设单位需加强植被抚育管理</w:t>
      </w:r>
      <w:r>
        <w:rPr>
          <w:rFonts w:hint="default" w:ascii="Times New Roman" w:hAnsi="Times New Roman" w:cs="Times New Roman"/>
          <w:color w:val="auto"/>
          <w:kern w:val="0"/>
          <w:lang w:eastAsia="zh-CN"/>
        </w:rPr>
        <w:t>；</w:t>
      </w:r>
      <w:r>
        <w:rPr>
          <w:rFonts w:hint="default" w:ascii="Times New Roman" w:hAnsi="Times New Roman" w:eastAsia="仿宋_GB2312" w:cs="Times New Roman"/>
          <w:color w:val="auto"/>
        </w:rPr>
        <w:t>从现状场地看草坪绿化基本覆盖裸露地表，植被盖度较高；后续电缆敷设对景观绿地进行了扰动、破坏，造成了一定的裸露地表，存在少量临时堆方，这些区域在雨季易造成水土流失</w:t>
      </w:r>
      <w:r>
        <w:rPr>
          <w:rFonts w:hint="default" w:ascii="Times New Roman" w:hAnsi="Times New Roman" w:eastAsia="仿宋_GB2312" w:cs="Times New Roman"/>
          <w:color w:val="auto"/>
          <w:lang w:eastAsia="zh-CN"/>
        </w:rPr>
        <w:t>；方案新增土地整治、撒播草籽、抚育管理措施</w:t>
      </w:r>
      <w:r>
        <w:rPr>
          <w:rFonts w:hint="default" w:ascii="Times New Roman" w:hAnsi="Times New Roman" w:cs="Times New Roman"/>
          <w:color w:val="auto"/>
          <w:kern w:val="0"/>
        </w:rPr>
        <w:t>。</w:t>
      </w:r>
    </w:p>
    <w:p>
      <w:pPr>
        <w:pStyle w:val="1102"/>
        <w:rPr>
          <w:rFonts w:hint="default" w:ascii="Times New Roman" w:hAnsi="Times New Roman" w:cs="Times New Roman"/>
          <w:color w:val="auto"/>
        </w:rPr>
      </w:pPr>
    </w:p>
    <w:p>
      <w:pPr>
        <w:pStyle w:val="1102"/>
        <w:rPr>
          <w:rFonts w:hint="default" w:ascii="Times New Roman" w:hAnsi="Times New Roman" w:cs="Times New Roman"/>
          <w:color w:val="auto"/>
        </w:rPr>
        <w:sectPr>
          <w:headerReference r:id="rId13" w:type="default"/>
          <w:pgSz w:w="11906" w:h="16838"/>
          <w:pgMar w:top="1440" w:right="1797" w:bottom="1440" w:left="1797" w:header="851" w:footer="992" w:gutter="0"/>
          <w:pgBorders>
            <w:top w:val="none" w:sz="0" w:space="0"/>
            <w:left w:val="none" w:sz="0" w:space="0"/>
            <w:bottom w:val="none" w:sz="0" w:space="0"/>
            <w:right w:val="none" w:sz="0" w:space="0"/>
          </w:pgBorders>
          <w:cols w:space="720" w:num="1"/>
          <w:docGrid w:type="lines" w:linePitch="312" w:charSpace="0"/>
        </w:sectPr>
      </w:pPr>
    </w:p>
    <w:p>
      <w:pPr>
        <w:pStyle w:val="3"/>
        <w:rPr>
          <w:rFonts w:hint="default" w:ascii="Times New Roman" w:hAnsi="Times New Roman" w:cs="Times New Roman"/>
          <w:color w:val="auto"/>
          <w:kern w:val="0"/>
        </w:rPr>
      </w:pPr>
      <w:bookmarkStart w:id="83" w:name="_Toc6155989"/>
      <w:bookmarkStart w:id="84" w:name="_Toc47879797"/>
      <w:r>
        <w:rPr>
          <w:rFonts w:hint="default" w:ascii="Times New Roman" w:hAnsi="Times New Roman" w:cs="Times New Roman"/>
          <w:color w:val="auto"/>
          <w:kern w:val="0"/>
        </w:rPr>
        <w:t>4水土流失分析与</w:t>
      </w:r>
      <w:bookmarkEnd w:id="83"/>
      <w:r>
        <w:rPr>
          <w:rFonts w:hint="default" w:ascii="Times New Roman" w:hAnsi="Times New Roman" w:cs="Times New Roman"/>
          <w:color w:val="auto"/>
          <w:kern w:val="0"/>
        </w:rPr>
        <w:t>调查</w:t>
      </w:r>
      <w:bookmarkEnd w:id="84"/>
    </w:p>
    <w:p>
      <w:pPr>
        <w:pStyle w:val="4"/>
        <w:suppressAutoHyphens/>
        <w:spacing w:before="156" w:beforeLines="50" w:after="156" w:afterLines="50"/>
        <w:rPr>
          <w:rFonts w:hint="default" w:ascii="Times New Roman" w:hAnsi="Times New Roman" w:cs="Times New Roman"/>
          <w:color w:val="auto"/>
          <w:kern w:val="0"/>
        </w:rPr>
      </w:pPr>
      <w:bookmarkStart w:id="85" w:name="_Toc425493405"/>
      <w:bookmarkStart w:id="86" w:name="_Toc6155990"/>
      <w:bookmarkStart w:id="87" w:name="_Toc47879798"/>
      <w:r>
        <w:rPr>
          <w:rFonts w:hint="default" w:ascii="Times New Roman" w:hAnsi="Times New Roman" w:cs="Times New Roman"/>
          <w:color w:val="auto"/>
          <w:kern w:val="0"/>
        </w:rPr>
        <w:t xml:space="preserve">4.1 </w:t>
      </w:r>
      <w:bookmarkEnd w:id="85"/>
      <w:r>
        <w:rPr>
          <w:rFonts w:hint="default" w:ascii="Times New Roman" w:hAnsi="Times New Roman" w:cs="Times New Roman"/>
          <w:color w:val="auto"/>
          <w:kern w:val="0"/>
        </w:rPr>
        <w:t>水土流失现状</w:t>
      </w:r>
      <w:bookmarkEnd w:id="86"/>
      <w:bookmarkEnd w:id="87"/>
    </w:p>
    <w:p>
      <w:pPr>
        <w:pStyle w:val="5"/>
        <w:rPr>
          <w:rFonts w:hint="default" w:ascii="Times New Roman" w:hAnsi="Times New Roman" w:cs="Times New Roman"/>
          <w:color w:val="auto"/>
        </w:rPr>
      </w:pPr>
      <w:bookmarkStart w:id="88" w:name="_Toc210022666"/>
      <w:bookmarkStart w:id="89" w:name="_Toc254701627"/>
      <w:bookmarkStart w:id="90" w:name="_Toc210982122"/>
      <w:bookmarkStart w:id="91" w:name="_Toc336086582"/>
      <w:bookmarkStart w:id="92" w:name="_Toc232676898"/>
      <w:bookmarkStart w:id="93" w:name="_Toc328604138"/>
      <w:r>
        <w:rPr>
          <w:rFonts w:hint="default" w:ascii="Times New Roman" w:hAnsi="Times New Roman" w:cs="Times New Roman"/>
          <w:color w:val="auto"/>
        </w:rPr>
        <w:t xml:space="preserve">4.1.1 </w:t>
      </w:r>
      <w:bookmarkEnd w:id="88"/>
      <w:bookmarkEnd w:id="89"/>
      <w:bookmarkEnd w:id="90"/>
      <w:bookmarkEnd w:id="91"/>
      <w:bookmarkEnd w:id="92"/>
      <w:bookmarkEnd w:id="93"/>
      <w:bookmarkStart w:id="94" w:name="_Toc374018330"/>
      <w:r>
        <w:rPr>
          <w:rFonts w:hint="default" w:ascii="Times New Roman" w:hAnsi="Times New Roman" w:cs="Times New Roman"/>
          <w:color w:val="auto"/>
        </w:rPr>
        <w:t>项目所在区水土流失现状</w:t>
      </w:r>
      <w:bookmarkEnd w:id="94"/>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根据《水利部办公厅关于印发&lt;全国水土保持规划国家级水土流失重点预防区和重点治理区复核划分成果&gt;的通知》(办水保〔2013〕188号)，红原县属于金沙江岷江上游及三江并流国家级水土流失重点预防区；红原县属于青藏高原区，容许土壤流失量500t/k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rPr>
        <w:t>·a。</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根据水利部第一次全国水利普查水土保持普查成果，结合实地补充调查，红原县水土流失总面积3426.08km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rPr>
        <w:t>，包括水力侵蚀721.02km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rPr>
        <w:t>，风力侵蚀2705.06km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rPr>
        <w:t>（不含冻融侵蚀523.59km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rPr>
        <w:t>）。</w:t>
      </w:r>
    </w:p>
    <w:p>
      <w:pPr>
        <w:spacing w:line="240" w:lineRule="auto"/>
        <w:ind w:firstLine="42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4-1   红原县水土流失按侵蚀强度分级的情况表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97"/>
        <w:gridCol w:w="848"/>
        <w:gridCol w:w="848"/>
        <w:gridCol w:w="624"/>
        <w:gridCol w:w="848"/>
        <w:gridCol w:w="624"/>
        <w:gridCol w:w="735"/>
        <w:gridCol w:w="624"/>
        <w:gridCol w:w="626"/>
        <w:gridCol w:w="512"/>
        <w:gridCol w:w="626"/>
        <w:gridCol w:w="6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85" w:type="pct"/>
            <w:vMerge w:val="restar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行政区划</w:t>
            </w:r>
          </w:p>
        </w:tc>
        <w:tc>
          <w:tcPr>
            <w:tcW w:w="497" w:type="pct"/>
            <w:vMerge w:val="restar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侵蚀</w:t>
            </w:r>
          </w:p>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总面积</w:t>
            </w:r>
          </w:p>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(km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w:t>
            </w:r>
          </w:p>
        </w:tc>
        <w:tc>
          <w:tcPr>
            <w:tcW w:w="863" w:type="pct"/>
            <w:gridSpan w:val="2"/>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轻度</w:t>
            </w:r>
          </w:p>
        </w:tc>
        <w:tc>
          <w:tcPr>
            <w:tcW w:w="863" w:type="pct"/>
            <w:gridSpan w:val="2"/>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中度</w:t>
            </w:r>
          </w:p>
        </w:tc>
        <w:tc>
          <w:tcPr>
            <w:tcW w:w="797" w:type="pct"/>
            <w:gridSpan w:val="2"/>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强烈</w:t>
            </w:r>
          </w:p>
        </w:tc>
        <w:tc>
          <w:tcPr>
            <w:tcW w:w="667" w:type="pct"/>
            <w:gridSpan w:val="2"/>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极强烈</w:t>
            </w:r>
          </w:p>
        </w:tc>
        <w:tc>
          <w:tcPr>
            <w:tcW w:w="728" w:type="pct"/>
            <w:gridSpan w:val="2"/>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剧烈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85" w:type="pct"/>
            <w:vMerge w:val="continue"/>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497" w:type="pct"/>
            <w:vMerge w:val="continue"/>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面积</w:t>
            </w:r>
          </w:p>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(km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比例</w:t>
            </w:r>
          </w:p>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面积</w:t>
            </w:r>
          </w:p>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(km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比例</w:t>
            </w:r>
          </w:p>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431"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面积</w:t>
            </w:r>
          </w:p>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(km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比例</w:t>
            </w:r>
          </w:p>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36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面积</w:t>
            </w:r>
          </w:p>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(km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w:t>
            </w:r>
          </w:p>
        </w:tc>
        <w:tc>
          <w:tcPr>
            <w:tcW w:w="300"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比例</w:t>
            </w:r>
          </w:p>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36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面积</w:t>
            </w:r>
          </w:p>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(km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w:t>
            </w:r>
          </w:p>
        </w:tc>
        <w:tc>
          <w:tcPr>
            <w:tcW w:w="361"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比例</w:t>
            </w:r>
          </w:p>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5"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邛溪镇</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22.98 </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19.99 </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87.0 </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2.86 </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12.4 </w:t>
            </w:r>
          </w:p>
        </w:tc>
        <w:tc>
          <w:tcPr>
            <w:tcW w:w="431"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0.11 </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0.5 </w:t>
            </w:r>
          </w:p>
        </w:tc>
        <w:tc>
          <w:tcPr>
            <w:tcW w:w="36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0.02 </w:t>
            </w:r>
          </w:p>
        </w:tc>
        <w:tc>
          <w:tcPr>
            <w:tcW w:w="300"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0.1 </w:t>
            </w:r>
          </w:p>
        </w:tc>
        <w:tc>
          <w:tcPr>
            <w:tcW w:w="36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0.00 </w:t>
            </w:r>
          </w:p>
        </w:tc>
        <w:tc>
          <w:tcPr>
            <w:tcW w:w="361"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0.0 </w:t>
            </w:r>
          </w:p>
        </w:tc>
      </w:tr>
    </w:tbl>
    <w:p>
      <w:pPr>
        <w:spacing w:line="240" w:lineRule="auto"/>
        <w:ind w:firstLine="360"/>
        <w:rPr>
          <w:rFonts w:hint="default" w:ascii="Times New Roman" w:hAnsi="Times New Roman" w:eastAsia="仿宋_GB2312" w:cs="Times New Roman"/>
          <w:color w:val="auto"/>
        </w:rPr>
      </w:pPr>
      <w:r>
        <w:rPr>
          <w:rFonts w:hint="default" w:ascii="Times New Roman" w:hAnsi="Times New Roman" w:eastAsia="仿宋_GB2312" w:cs="Times New Roman"/>
          <w:color w:val="auto"/>
          <w:sz w:val="18"/>
          <w:szCs w:val="18"/>
        </w:rPr>
        <w:t>注：资料来源于《红原县水土保持规划》（2015-2030）</w:t>
      </w:r>
    </w:p>
    <w:p>
      <w:pPr>
        <w:pStyle w:val="5"/>
        <w:rPr>
          <w:rFonts w:hint="default" w:ascii="Times New Roman" w:hAnsi="Times New Roman" w:cs="Times New Roman"/>
          <w:color w:val="auto"/>
        </w:rPr>
      </w:pPr>
      <w:r>
        <w:rPr>
          <w:rFonts w:hint="default" w:ascii="Times New Roman" w:hAnsi="Times New Roman" w:cs="Times New Roman"/>
          <w:color w:val="auto"/>
        </w:rPr>
        <w:t>4.1.2 项目区水土流失现状</w:t>
      </w:r>
    </w:p>
    <w:p>
      <w:pPr>
        <w:pStyle w:val="321"/>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rPr>
        <w:t>根据区域土壤侵蚀分布图，项目区地地貌、土地利用现状、植被覆盖率等，结合土壤和气候特征，参照《土壤侵蚀分类分级标准》（SL190-2007）及《四川省水利厅关于印发&lt;四川省水土保持方案编制与审查若干技术问题暂行规定&gt;的函》（川水[2014]1723号）中对土壤侵蚀模数背景值的规定，推求各单元工程背景土壤流失量。</w:t>
      </w:r>
      <w:r>
        <w:rPr>
          <w:rFonts w:hint="default" w:ascii="Times New Roman" w:hAnsi="Times New Roman" w:eastAsia="仿宋_GB2312" w:cs="Times New Roman"/>
          <w:color w:val="auto"/>
          <w:kern w:val="0"/>
        </w:rPr>
        <w:t>详见表4-2。</w:t>
      </w:r>
    </w:p>
    <w:p>
      <w:pPr>
        <w:pStyle w:val="321"/>
        <w:spacing w:line="240" w:lineRule="auto"/>
        <w:ind w:firstLine="42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表4-2   项目区水土流失背景流失量计算表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57"/>
        <w:gridCol w:w="1318"/>
        <w:gridCol w:w="994"/>
        <w:gridCol w:w="878"/>
        <w:gridCol w:w="824"/>
        <w:gridCol w:w="993"/>
        <w:gridCol w:w="1407"/>
        <w:gridCol w:w="10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5" w:hRule="atLeast"/>
          <w:jc w:val="center"/>
        </w:trPr>
        <w:tc>
          <w:tcPr>
            <w:tcW w:w="620" w:type="pct"/>
            <w:vMerge w:val="restar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工程组成</w:t>
            </w:r>
          </w:p>
        </w:tc>
        <w:tc>
          <w:tcPr>
            <w:tcW w:w="773" w:type="pct"/>
            <w:vMerge w:val="restar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地类</w:t>
            </w:r>
          </w:p>
        </w:tc>
        <w:tc>
          <w:tcPr>
            <w:tcW w:w="583" w:type="pct"/>
            <w:vMerge w:val="restar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面积（hm</w:t>
            </w:r>
            <w:r>
              <w:rPr>
                <w:rFonts w:hint="default" w:ascii="Times New Roman" w:hAnsi="Times New Roman" w:cs="Times New Roman"/>
                <w:color w:val="auto"/>
                <w:kern w:val="0"/>
                <w:sz w:val="18"/>
                <w:szCs w:val="18"/>
              </w:rPr>
              <w:t>²</w:t>
            </w:r>
            <w:r>
              <w:rPr>
                <w:rFonts w:hint="default" w:ascii="Times New Roman" w:hAnsi="Times New Roman" w:eastAsia="仿宋_GB2312" w:cs="Times New Roman"/>
                <w:color w:val="auto"/>
                <w:kern w:val="0"/>
                <w:sz w:val="18"/>
                <w:szCs w:val="18"/>
              </w:rPr>
              <w:t>）</w:t>
            </w:r>
          </w:p>
        </w:tc>
        <w:tc>
          <w:tcPr>
            <w:tcW w:w="515" w:type="pct"/>
            <w:vMerge w:val="restar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植被覆盖度（%）</w:t>
            </w:r>
          </w:p>
        </w:tc>
        <w:tc>
          <w:tcPr>
            <w:tcW w:w="483" w:type="pct"/>
            <w:vMerge w:val="restar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坡度（°）</w:t>
            </w:r>
          </w:p>
        </w:tc>
        <w:tc>
          <w:tcPr>
            <w:tcW w:w="582" w:type="pct"/>
            <w:vMerge w:val="restar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侵蚀强度</w:t>
            </w:r>
          </w:p>
        </w:tc>
        <w:tc>
          <w:tcPr>
            <w:tcW w:w="825"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平均侵蚀模数</w:t>
            </w:r>
          </w:p>
        </w:tc>
        <w:tc>
          <w:tcPr>
            <w:tcW w:w="619"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年流失量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620" w:type="pct"/>
            <w:vMerge w:val="continue"/>
            <w:vAlign w:val="center"/>
          </w:tcPr>
          <w:p>
            <w:pPr>
              <w:pStyle w:val="321"/>
              <w:spacing w:line="240" w:lineRule="auto"/>
              <w:ind w:firstLine="360"/>
              <w:jc w:val="center"/>
              <w:rPr>
                <w:rFonts w:hint="default" w:ascii="Times New Roman" w:hAnsi="Times New Roman" w:eastAsia="仿宋_GB2312" w:cs="Times New Roman"/>
                <w:color w:val="auto"/>
                <w:kern w:val="0"/>
                <w:sz w:val="18"/>
                <w:szCs w:val="18"/>
              </w:rPr>
            </w:pPr>
          </w:p>
        </w:tc>
        <w:tc>
          <w:tcPr>
            <w:tcW w:w="773" w:type="pct"/>
            <w:vMerge w:val="continue"/>
            <w:vAlign w:val="center"/>
          </w:tcPr>
          <w:p>
            <w:pPr>
              <w:pStyle w:val="321"/>
              <w:spacing w:line="240" w:lineRule="auto"/>
              <w:ind w:firstLine="360"/>
              <w:jc w:val="center"/>
              <w:rPr>
                <w:rFonts w:hint="default" w:ascii="Times New Roman" w:hAnsi="Times New Roman" w:eastAsia="仿宋_GB2312" w:cs="Times New Roman"/>
                <w:color w:val="auto"/>
                <w:kern w:val="0"/>
                <w:sz w:val="18"/>
                <w:szCs w:val="18"/>
              </w:rPr>
            </w:pPr>
          </w:p>
        </w:tc>
        <w:tc>
          <w:tcPr>
            <w:tcW w:w="583" w:type="pct"/>
            <w:vMerge w:val="continue"/>
            <w:vAlign w:val="center"/>
          </w:tcPr>
          <w:p>
            <w:pPr>
              <w:pStyle w:val="321"/>
              <w:spacing w:line="240" w:lineRule="auto"/>
              <w:ind w:firstLine="360"/>
              <w:jc w:val="center"/>
              <w:rPr>
                <w:rFonts w:hint="default" w:ascii="Times New Roman" w:hAnsi="Times New Roman" w:eastAsia="仿宋_GB2312" w:cs="Times New Roman"/>
                <w:color w:val="auto"/>
                <w:kern w:val="0"/>
                <w:sz w:val="18"/>
                <w:szCs w:val="18"/>
              </w:rPr>
            </w:pPr>
          </w:p>
        </w:tc>
        <w:tc>
          <w:tcPr>
            <w:tcW w:w="515" w:type="pct"/>
            <w:vMerge w:val="continue"/>
            <w:vAlign w:val="center"/>
          </w:tcPr>
          <w:p>
            <w:pPr>
              <w:pStyle w:val="321"/>
              <w:spacing w:line="240" w:lineRule="auto"/>
              <w:ind w:firstLine="360"/>
              <w:jc w:val="center"/>
              <w:rPr>
                <w:rFonts w:hint="default" w:ascii="Times New Roman" w:hAnsi="Times New Roman" w:eastAsia="仿宋_GB2312" w:cs="Times New Roman"/>
                <w:color w:val="auto"/>
                <w:kern w:val="0"/>
                <w:sz w:val="18"/>
                <w:szCs w:val="18"/>
              </w:rPr>
            </w:pPr>
          </w:p>
        </w:tc>
        <w:tc>
          <w:tcPr>
            <w:tcW w:w="483" w:type="pct"/>
            <w:vMerge w:val="continue"/>
            <w:vAlign w:val="center"/>
          </w:tcPr>
          <w:p>
            <w:pPr>
              <w:pStyle w:val="321"/>
              <w:spacing w:line="240" w:lineRule="auto"/>
              <w:ind w:firstLine="360"/>
              <w:jc w:val="center"/>
              <w:rPr>
                <w:rFonts w:hint="default" w:ascii="Times New Roman" w:hAnsi="Times New Roman" w:eastAsia="仿宋_GB2312" w:cs="Times New Roman"/>
                <w:color w:val="auto"/>
                <w:kern w:val="0"/>
                <w:sz w:val="18"/>
                <w:szCs w:val="18"/>
              </w:rPr>
            </w:pPr>
          </w:p>
        </w:tc>
        <w:tc>
          <w:tcPr>
            <w:tcW w:w="582" w:type="pct"/>
            <w:vMerge w:val="continue"/>
            <w:vAlign w:val="center"/>
          </w:tcPr>
          <w:p>
            <w:pPr>
              <w:pStyle w:val="321"/>
              <w:spacing w:line="240" w:lineRule="auto"/>
              <w:ind w:firstLine="360"/>
              <w:jc w:val="center"/>
              <w:rPr>
                <w:rFonts w:hint="default" w:ascii="Times New Roman" w:hAnsi="Times New Roman" w:eastAsia="仿宋_GB2312" w:cs="Times New Roman"/>
                <w:color w:val="auto"/>
                <w:kern w:val="0"/>
                <w:sz w:val="18"/>
                <w:szCs w:val="18"/>
              </w:rPr>
            </w:pPr>
          </w:p>
        </w:tc>
        <w:tc>
          <w:tcPr>
            <w:tcW w:w="825"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（t/km</w:t>
            </w:r>
            <w:r>
              <w:rPr>
                <w:rFonts w:hint="default" w:ascii="Times New Roman" w:hAnsi="Times New Roman" w:cs="Times New Roman"/>
                <w:color w:val="auto"/>
                <w:kern w:val="0"/>
                <w:sz w:val="18"/>
                <w:szCs w:val="18"/>
              </w:rPr>
              <w:t>²</w:t>
            </w:r>
            <w:r>
              <w:rPr>
                <w:rFonts w:hint="default" w:ascii="Times New Roman" w:hAnsi="Times New Roman" w:eastAsia="仿宋_GB2312" w:cs="Times New Roman"/>
                <w:color w:val="auto"/>
                <w:kern w:val="0"/>
                <w:sz w:val="18"/>
                <w:szCs w:val="18"/>
              </w:rPr>
              <w:t>·a）</w:t>
            </w:r>
          </w:p>
        </w:tc>
        <w:tc>
          <w:tcPr>
            <w:tcW w:w="619"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建筑工程</w:t>
            </w:r>
          </w:p>
        </w:tc>
        <w:tc>
          <w:tcPr>
            <w:tcW w:w="773"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公共管理与公共服务用地</w:t>
            </w:r>
          </w:p>
        </w:tc>
        <w:tc>
          <w:tcPr>
            <w:tcW w:w="58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0.06</w:t>
            </w:r>
          </w:p>
        </w:tc>
        <w:tc>
          <w:tcPr>
            <w:tcW w:w="515"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483"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&lt;5</w:t>
            </w:r>
          </w:p>
        </w:tc>
        <w:tc>
          <w:tcPr>
            <w:tcW w:w="582"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微度</w:t>
            </w:r>
          </w:p>
        </w:tc>
        <w:tc>
          <w:tcPr>
            <w:tcW w:w="825"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300</w:t>
            </w:r>
          </w:p>
        </w:tc>
        <w:tc>
          <w:tcPr>
            <w:tcW w:w="619"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道路工程</w:t>
            </w:r>
          </w:p>
        </w:tc>
        <w:tc>
          <w:tcPr>
            <w:tcW w:w="773"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公共管理与公共服务用地</w:t>
            </w:r>
          </w:p>
        </w:tc>
        <w:tc>
          <w:tcPr>
            <w:tcW w:w="58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0.03</w:t>
            </w:r>
          </w:p>
        </w:tc>
        <w:tc>
          <w:tcPr>
            <w:tcW w:w="515"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483"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&lt;5</w:t>
            </w:r>
          </w:p>
        </w:tc>
        <w:tc>
          <w:tcPr>
            <w:tcW w:w="582"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微度</w:t>
            </w:r>
          </w:p>
        </w:tc>
        <w:tc>
          <w:tcPr>
            <w:tcW w:w="825"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300</w:t>
            </w:r>
          </w:p>
        </w:tc>
        <w:tc>
          <w:tcPr>
            <w:tcW w:w="619"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绿化工程</w:t>
            </w:r>
          </w:p>
        </w:tc>
        <w:tc>
          <w:tcPr>
            <w:tcW w:w="773"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公共管理与公共服务用地</w:t>
            </w:r>
          </w:p>
        </w:tc>
        <w:tc>
          <w:tcPr>
            <w:tcW w:w="58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0.03</w:t>
            </w:r>
          </w:p>
        </w:tc>
        <w:tc>
          <w:tcPr>
            <w:tcW w:w="515"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483"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&lt;5</w:t>
            </w:r>
          </w:p>
        </w:tc>
        <w:tc>
          <w:tcPr>
            <w:tcW w:w="582"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微度</w:t>
            </w:r>
          </w:p>
        </w:tc>
        <w:tc>
          <w:tcPr>
            <w:tcW w:w="825"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300</w:t>
            </w:r>
          </w:p>
        </w:tc>
        <w:tc>
          <w:tcPr>
            <w:tcW w:w="619"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393" w:type="pct"/>
            <w:gridSpan w:val="2"/>
            <w:shd w:val="clear" w:color="auto" w:fill="auto"/>
            <w:vAlign w:val="center"/>
          </w:tcPr>
          <w:p>
            <w:pPr>
              <w:pStyle w:val="321"/>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合计</w:t>
            </w:r>
          </w:p>
        </w:tc>
        <w:tc>
          <w:tcPr>
            <w:tcW w:w="583"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0.12</w:t>
            </w:r>
          </w:p>
        </w:tc>
        <w:tc>
          <w:tcPr>
            <w:tcW w:w="515"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483" w:type="pct"/>
            <w:shd w:val="clear" w:color="auto" w:fill="auto"/>
            <w:vAlign w:val="center"/>
          </w:tcPr>
          <w:p>
            <w:pPr>
              <w:pStyle w:val="321"/>
              <w:spacing w:line="240" w:lineRule="auto"/>
              <w:ind w:firstLine="360"/>
              <w:jc w:val="center"/>
              <w:rPr>
                <w:rFonts w:hint="default" w:ascii="Times New Roman" w:hAnsi="Times New Roman" w:eastAsia="仿宋_GB2312" w:cs="Times New Roman"/>
                <w:color w:val="auto"/>
                <w:kern w:val="0"/>
                <w:sz w:val="18"/>
                <w:szCs w:val="18"/>
              </w:rPr>
            </w:pPr>
          </w:p>
        </w:tc>
        <w:tc>
          <w:tcPr>
            <w:tcW w:w="582"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微度</w:t>
            </w:r>
          </w:p>
        </w:tc>
        <w:tc>
          <w:tcPr>
            <w:tcW w:w="825"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color w:val="auto"/>
                <w:kern w:val="0"/>
                <w:sz w:val="18"/>
                <w:szCs w:val="18"/>
              </w:rPr>
              <w:t>300</w:t>
            </w:r>
          </w:p>
        </w:tc>
        <w:tc>
          <w:tcPr>
            <w:tcW w:w="619"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0.36</w:t>
            </w:r>
          </w:p>
        </w:tc>
      </w:tr>
    </w:tbl>
    <w:p>
      <w:pPr>
        <w:pStyle w:val="4"/>
        <w:suppressAutoHyphens/>
        <w:spacing w:before="156" w:beforeLines="50" w:after="156" w:afterLines="50"/>
        <w:rPr>
          <w:rFonts w:hint="default" w:ascii="Times New Roman" w:hAnsi="Times New Roman" w:cs="Times New Roman"/>
          <w:color w:val="auto"/>
          <w:kern w:val="0"/>
        </w:rPr>
      </w:pPr>
      <w:bookmarkStart w:id="95" w:name="_Toc425493406"/>
      <w:bookmarkStart w:id="96" w:name="_Toc6155991"/>
      <w:bookmarkStart w:id="97" w:name="_Toc47879799"/>
      <w:r>
        <w:rPr>
          <w:rFonts w:hint="default" w:ascii="Times New Roman" w:hAnsi="Times New Roman" w:cs="Times New Roman"/>
          <w:color w:val="auto"/>
          <w:kern w:val="0"/>
        </w:rPr>
        <w:t xml:space="preserve">4.2 </w:t>
      </w:r>
      <w:bookmarkEnd w:id="95"/>
      <w:r>
        <w:rPr>
          <w:rFonts w:hint="default" w:ascii="Times New Roman" w:hAnsi="Times New Roman" w:cs="Times New Roman"/>
          <w:color w:val="auto"/>
          <w:kern w:val="0"/>
        </w:rPr>
        <w:t>水土流失影响因素分析</w:t>
      </w:r>
      <w:bookmarkEnd w:id="96"/>
      <w:bookmarkEnd w:id="97"/>
    </w:p>
    <w:p>
      <w:pPr>
        <w:pStyle w:val="1102"/>
        <w:rPr>
          <w:rFonts w:hint="default" w:ascii="Times New Roman" w:hAnsi="Times New Roman" w:cs="Times New Roman"/>
          <w:color w:val="auto"/>
        </w:rPr>
      </w:pPr>
      <w:r>
        <w:rPr>
          <w:rFonts w:hint="default" w:ascii="Times New Roman" w:hAnsi="Times New Roman" w:cs="Times New Roman"/>
          <w:color w:val="auto"/>
        </w:rPr>
        <w:t>项目区所在的阿坝藏族羌族自治州红原县降水充沛，降水较集中，项目区原始地形起伏不大，属高原点型建设项目；项目土石方开挖集中在建筑基础；产生水土流失的主要环节是建筑基础挖方；因此在施工期实施有遮盖措施。</w:t>
      </w:r>
    </w:p>
    <w:p>
      <w:pPr>
        <w:pStyle w:val="1102"/>
        <w:rPr>
          <w:rFonts w:hint="default" w:ascii="Times New Roman" w:hAnsi="Times New Roman" w:cs="Times New Roman"/>
          <w:color w:val="auto"/>
        </w:rPr>
      </w:pPr>
      <w:r>
        <w:rPr>
          <w:rFonts w:hint="default" w:ascii="Times New Roman" w:hAnsi="Times New Roman" w:cs="Times New Roman"/>
          <w:color w:val="auto"/>
          <w:kern w:val="0"/>
        </w:rPr>
        <w:t>项目建设扰动原地貌面积0.12hm</w:t>
      </w:r>
      <w:r>
        <w:rPr>
          <w:rFonts w:hint="default" w:ascii="Times New Roman" w:hAnsi="Times New Roman" w:cs="Times New Roman"/>
          <w:color w:val="auto"/>
          <w:kern w:val="0"/>
          <w:vertAlign w:val="superscript"/>
        </w:rPr>
        <w:t>2</w:t>
      </w:r>
      <w:r>
        <w:rPr>
          <w:rFonts w:hint="default" w:ascii="Times New Roman" w:hAnsi="Times New Roman" w:cs="Times New Roman"/>
          <w:color w:val="auto"/>
          <w:kern w:val="0"/>
        </w:rPr>
        <w:t>；损毁林草植被面积0.02hm</w:t>
      </w:r>
      <w:r>
        <w:rPr>
          <w:rFonts w:hint="default" w:ascii="Times New Roman" w:hAnsi="Times New Roman" w:cs="Times New Roman"/>
          <w:color w:val="auto"/>
          <w:kern w:val="0"/>
          <w:vertAlign w:val="superscript"/>
        </w:rPr>
        <w:t>2</w:t>
      </w:r>
      <w:r>
        <w:rPr>
          <w:rFonts w:hint="default" w:ascii="Times New Roman" w:hAnsi="Times New Roman" w:cs="Times New Roman"/>
          <w:color w:val="auto"/>
        </w:rPr>
        <w:t>。</w:t>
      </w:r>
    </w:p>
    <w:p>
      <w:pPr>
        <w:pStyle w:val="1102"/>
        <w:rPr>
          <w:rFonts w:hint="default" w:ascii="Times New Roman" w:hAnsi="Times New Roman" w:cs="Times New Roman"/>
          <w:color w:val="auto"/>
          <w:kern w:val="0"/>
        </w:rPr>
      </w:pPr>
      <w:r>
        <w:rPr>
          <w:rFonts w:hint="default" w:ascii="Times New Roman" w:hAnsi="Times New Roman" w:cs="Times New Roman"/>
          <w:color w:val="auto"/>
        </w:rPr>
        <w:t>本项目土石方总开挖量0.11万m</w:t>
      </w:r>
      <w:r>
        <w:rPr>
          <w:rFonts w:hint="default" w:ascii="Times New Roman" w:hAnsi="Times New Roman" w:cs="Times New Roman"/>
          <w:color w:val="auto"/>
          <w:vertAlign w:val="superscript"/>
        </w:rPr>
        <w:t>3</w:t>
      </w:r>
      <w:r>
        <w:rPr>
          <w:rFonts w:hint="default" w:ascii="Times New Roman" w:hAnsi="Times New Roman" w:cs="Times New Roman"/>
          <w:color w:val="auto"/>
        </w:rPr>
        <w:t>，总回填方量0.11万m</w:t>
      </w:r>
      <w:r>
        <w:rPr>
          <w:rFonts w:hint="default" w:ascii="Times New Roman" w:hAnsi="Times New Roman" w:cs="Times New Roman"/>
          <w:color w:val="auto"/>
          <w:vertAlign w:val="superscript"/>
        </w:rPr>
        <w:t>3</w:t>
      </w:r>
      <w:r>
        <w:rPr>
          <w:rFonts w:hint="default" w:ascii="Times New Roman" w:hAnsi="Times New Roman" w:cs="Times New Roman"/>
          <w:color w:val="auto"/>
        </w:rPr>
        <w:t>，项目土石方挖填平衡</w:t>
      </w:r>
      <w:r>
        <w:rPr>
          <w:rFonts w:hint="default" w:ascii="Times New Roman" w:hAnsi="Times New Roman" w:cs="Times New Roman"/>
          <w:color w:val="auto"/>
          <w:kern w:val="0"/>
        </w:rPr>
        <w:t>，无弃方。</w:t>
      </w:r>
    </w:p>
    <w:p>
      <w:pPr>
        <w:pStyle w:val="4"/>
        <w:suppressAutoHyphens/>
        <w:spacing w:before="156" w:beforeLines="50" w:after="156" w:afterLines="50"/>
        <w:rPr>
          <w:rFonts w:hint="default" w:ascii="Times New Roman" w:hAnsi="Times New Roman" w:cs="Times New Roman"/>
          <w:color w:val="auto"/>
          <w:kern w:val="0"/>
        </w:rPr>
      </w:pPr>
      <w:bookmarkStart w:id="98" w:name="_Toc425493407"/>
      <w:bookmarkStart w:id="99" w:name="_Toc6155992"/>
      <w:bookmarkStart w:id="100" w:name="_Toc47879800"/>
      <w:r>
        <w:rPr>
          <w:rFonts w:hint="default" w:ascii="Times New Roman" w:hAnsi="Times New Roman" w:cs="Times New Roman"/>
          <w:color w:val="auto"/>
          <w:kern w:val="0"/>
        </w:rPr>
        <w:t xml:space="preserve">4.3 </w:t>
      </w:r>
      <w:bookmarkEnd w:id="98"/>
      <w:r>
        <w:rPr>
          <w:rFonts w:hint="default" w:ascii="Times New Roman" w:hAnsi="Times New Roman" w:cs="Times New Roman"/>
          <w:color w:val="auto"/>
          <w:kern w:val="0"/>
        </w:rPr>
        <w:t>土壤流失量</w:t>
      </w:r>
      <w:bookmarkEnd w:id="99"/>
      <w:r>
        <w:rPr>
          <w:rFonts w:hint="default" w:ascii="Times New Roman" w:hAnsi="Times New Roman" w:cs="Times New Roman"/>
          <w:color w:val="auto"/>
          <w:kern w:val="0"/>
        </w:rPr>
        <w:t>调查</w:t>
      </w:r>
      <w:bookmarkEnd w:id="100"/>
    </w:p>
    <w:p>
      <w:pPr>
        <w:pStyle w:val="5"/>
        <w:suppressAutoHyphens/>
        <w:rPr>
          <w:rFonts w:hint="default" w:ascii="Times New Roman" w:hAnsi="Times New Roman" w:cs="Times New Roman"/>
          <w:color w:val="auto"/>
          <w:kern w:val="0"/>
        </w:rPr>
      </w:pPr>
      <w:bookmarkStart w:id="101" w:name="_Toc236457467"/>
      <w:bookmarkStart w:id="102" w:name="_Toc224374893"/>
      <w:bookmarkStart w:id="103" w:name="_Toc228006733"/>
      <w:bookmarkStart w:id="104" w:name="_Toc243205320"/>
      <w:bookmarkStart w:id="105" w:name="_Toc217099790"/>
      <w:bookmarkStart w:id="106" w:name="_Toc224382394"/>
      <w:bookmarkStart w:id="107" w:name="_Toc218870303"/>
      <w:bookmarkStart w:id="108" w:name="_Toc218869927"/>
      <w:r>
        <w:rPr>
          <w:rFonts w:hint="default" w:ascii="Times New Roman" w:hAnsi="Times New Roman" w:cs="Times New Roman"/>
          <w:color w:val="auto"/>
          <w:kern w:val="0"/>
        </w:rPr>
        <w:t>4.3.1 调查单元</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本项目调查单元确定应按照地形地貌、扰动方式、扰动后地表的物质组成、气象特征的相近的原则划分。项目水土流失调查单元最终确定为3个，即建筑工程、道路工程、绿化工程。</w:t>
      </w:r>
    </w:p>
    <w:p>
      <w:pPr>
        <w:pStyle w:val="5"/>
        <w:suppressAutoHyphens/>
        <w:rPr>
          <w:rFonts w:hint="default" w:ascii="Times New Roman" w:hAnsi="Times New Roman" w:cs="Times New Roman"/>
          <w:color w:val="auto"/>
          <w:kern w:val="0"/>
        </w:rPr>
      </w:pPr>
      <w:r>
        <w:rPr>
          <w:rFonts w:hint="default" w:ascii="Times New Roman" w:hAnsi="Times New Roman" w:cs="Times New Roman"/>
          <w:color w:val="auto"/>
          <w:kern w:val="0"/>
        </w:rPr>
        <w:t>4.3.2调查时段</w:t>
      </w:r>
    </w:p>
    <w:p>
      <w:pPr>
        <w:pStyle w:val="1102"/>
        <w:rPr>
          <w:rFonts w:hint="default" w:ascii="Times New Roman" w:hAnsi="Times New Roman" w:cs="Times New Roman"/>
          <w:color w:val="auto"/>
        </w:rPr>
      </w:pPr>
      <w:r>
        <w:rPr>
          <w:rFonts w:hint="default" w:ascii="Times New Roman" w:hAnsi="Times New Roman" w:cs="Times New Roman"/>
          <w:color w:val="auto"/>
        </w:rPr>
        <w:t>本项目水土流失调查时段分施工期（含施工准备期）和自然恢复期。</w:t>
      </w:r>
    </w:p>
    <w:p>
      <w:pPr>
        <w:pStyle w:val="1102"/>
        <w:rPr>
          <w:rFonts w:hint="default" w:ascii="Times New Roman" w:hAnsi="Times New Roman" w:cs="Times New Roman"/>
          <w:color w:val="auto"/>
        </w:rPr>
      </w:pPr>
      <w:r>
        <w:rPr>
          <w:rFonts w:hint="default" w:ascii="Times New Roman" w:hAnsi="Times New Roman" w:cs="Times New Roman"/>
          <w:color w:val="auto"/>
        </w:rPr>
        <w:t>（1）施工准备期与施工期</w:t>
      </w:r>
    </w:p>
    <w:p>
      <w:pPr>
        <w:pStyle w:val="1102"/>
        <w:rPr>
          <w:rFonts w:hint="default" w:ascii="Times New Roman" w:hAnsi="Times New Roman" w:cs="Times New Roman"/>
          <w:color w:val="auto"/>
        </w:rPr>
      </w:pPr>
      <w:r>
        <w:rPr>
          <w:rFonts w:hint="default" w:ascii="Times New Roman" w:hAnsi="Times New Roman" w:cs="Times New Roman"/>
          <w:color w:val="auto"/>
        </w:rPr>
        <w:t>由于施工准备期较短，故将施工准备期纳入施工期一起进行水土流失调查；红原县汛期集中在5月～10月；项目于2016年11月动工，2017年11月完工，工期13个月；故水土流失调查时段取1.0a。</w:t>
      </w:r>
    </w:p>
    <w:p>
      <w:pPr>
        <w:pStyle w:val="1102"/>
        <w:rPr>
          <w:rFonts w:hint="default" w:ascii="Times New Roman" w:hAnsi="Times New Roman" w:cs="Times New Roman"/>
          <w:color w:val="auto"/>
        </w:rPr>
      </w:pPr>
      <w:r>
        <w:rPr>
          <w:rFonts w:hint="default" w:ascii="Times New Roman" w:hAnsi="Times New Roman" w:cs="Times New Roman"/>
          <w:color w:val="auto"/>
        </w:rPr>
        <w:t>（2）自然恢复期</w:t>
      </w:r>
    </w:p>
    <w:p>
      <w:pPr>
        <w:pStyle w:val="1102"/>
        <w:rPr>
          <w:rFonts w:hint="default" w:ascii="Times New Roman" w:hAnsi="Times New Roman" w:cs="Times New Roman"/>
          <w:color w:val="auto"/>
        </w:rPr>
      </w:pPr>
      <w:r>
        <w:rPr>
          <w:rFonts w:hint="default" w:ascii="Times New Roman" w:hAnsi="Times New Roman" w:cs="Times New Roman"/>
          <w:color w:val="auto"/>
        </w:rPr>
        <w:t>自然恢复期为施工扰动结束后，不采取水土保持措施的情况下，土壤侵蚀强度自然恢复到扰动前土壤侵蚀强度所需要的时间，项目区属湿润区，水土流失</w:t>
      </w:r>
      <w:r>
        <w:rPr>
          <w:rFonts w:hint="default" w:ascii="Times New Roman" w:hAnsi="Times New Roman" w:cs="Times New Roman"/>
          <w:color w:val="auto"/>
          <w:lang w:eastAsia="zh-CN"/>
        </w:rPr>
        <w:t>调查</w:t>
      </w:r>
      <w:r>
        <w:rPr>
          <w:rFonts w:hint="default" w:ascii="Times New Roman" w:hAnsi="Times New Roman" w:cs="Times New Roman"/>
          <w:color w:val="auto"/>
        </w:rPr>
        <w:t>时段取3年。</w:t>
      </w:r>
    </w:p>
    <w:p>
      <w:pPr>
        <w:suppressAutoHyphens/>
        <w:ind w:firstLine="42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表4-3  水土流失调查范围及时段表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76"/>
        <w:gridCol w:w="1479"/>
        <w:gridCol w:w="1518"/>
        <w:gridCol w:w="1312"/>
        <w:gridCol w:w="1798"/>
        <w:gridCol w:w="11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748" w:type="pct"/>
            <w:vMerge w:val="restart"/>
            <w:vAlign w:val="center"/>
          </w:tcPr>
          <w:p>
            <w:pPr>
              <w:suppressAutoHyphens/>
              <w:spacing w:line="240" w:lineRule="auto"/>
              <w:ind w:firstLine="0" w:firstLineChars="0"/>
              <w:jc w:val="center"/>
              <w:rPr>
                <w:rFonts w:hint="default" w:ascii="Times New Roman" w:hAnsi="Times New Roman" w:eastAsia="仿宋_GB2312" w:cs="Times New Roman"/>
                <w:bCs/>
                <w:color w:val="auto"/>
                <w:kern w:val="0"/>
                <w:sz w:val="18"/>
                <w:szCs w:val="21"/>
              </w:rPr>
            </w:pPr>
            <w:r>
              <w:rPr>
                <w:rFonts w:hint="default" w:ascii="Times New Roman" w:hAnsi="Times New Roman" w:eastAsia="仿宋_GB2312" w:cs="Times New Roman"/>
                <w:bCs/>
                <w:color w:val="auto"/>
                <w:kern w:val="0"/>
                <w:sz w:val="18"/>
                <w:szCs w:val="21"/>
              </w:rPr>
              <w:t>区域</w:t>
            </w:r>
          </w:p>
        </w:tc>
        <w:tc>
          <w:tcPr>
            <w:tcW w:w="1757" w:type="pct"/>
            <w:gridSpan w:val="2"/>
            <w:vAlign w:val="center"/>
          </w:tcPr>
          <w:p>
            <w:pPr>
              <w:suppressAutoHyphens/>
              <w:spacing w:line="240" w:lineRule="auto"/>
              <w:ind w:firstLine="0" w:firstLineChars="0"/>
              <w:jc w:val="center"/>
              <w:rPr>
                <w:rFonts w:hint="default" w:ascii="Times New Roman" w:hAnsi="Times New Roman" w:eastAsia="仿宋_GB2312" w:cs="Times New Roman"/>
                <w:bCs/>
                <w:color w:val="auto"/>
                <w:kern w:val="0"/>
                <w:sz w:val="18"/>
                <w:szCs w:val="21"/>
              </w:rPr>
            </w:pPr>
            <w:r>
              <w:rPr>
                <w:rFonts w:hint="default" w:ascii="Times New Roman" w:hAnsi="Times New Roman" w:eastAsia="仿宋_GB2312" w:cs="Times New Roman"/>
                <w:bCs/>
                <w:color w:val="auto"/>
                <w:kern w:val="0"/>
                <w:sz w:val="18"/>
                <w:szCs w:val="21"/>
              </w:rPr>
              <w:t>施工期</w:t>
            </w:r>
          </w:p>
        </w:tc>
        <w:tc>
          <w:tcPr>
            <w:tcW w:w="2494" w:type="pct"/>
            <w:gridSpan w:val="3"/>
            <w:vAlign w:val="center"/>
          </w:tcPr>
          <w:p>
            <w:pPr>
              <w:suppressAutoHyphens/>
              <w:spacing w:line="240" w:lineRule="auto"/>
              <w:ind w:firstLine="0" w:firstLineChars="0"/>
              <w:jc w:val="center"/>
              <w:rPr>
                <w:rFonts w:hint="default" w:ascii="Times New Roman" w:hAnsi="Times New Roman" w:eastAsia="仿宋_GB2312" w:cs="Times New Roman"/>
                <w:bCs/>
                <w:color w:val="auto"/>
                <w:kern w:val="0"/>
                <w:sz w:val="18"/>
                <w:szCs w:val="21"/>
              </w:rPr>
            </w:pPr>
            <w:r>
              <w:rPr>
                <w:rFonts w:hint="default" w:ascii="Times New Roman" w:hAnsi="Times New Roman" w:eastAsia="仿宋_GB2312" w:cs="Times New Roman"/>
                <w:bCs/>
                <w:color w:val="auto"/>
                <w:kern w:val="0"/>
                <w:sz w:val="18"/>
                <w:szCs w:val="21"/>
              </w:rPr>
              <w:t>自然恢复期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748" w:type="pct"/>
            <w:vMerge w:val="continue"/>
            <w:vAlign w:val="center"/>
          </w:tcPr>
          <w:p>
            <w:pPr>
              <w:suppressAutoHyphens/>
              <w:spacing w:line="240" w:lineRule="auto"/>
              <w:ind w:firstLine="0" w:firstLineChars="0"/>
              <w:jc w:val="center"/>
              <w:rPr>
                <w:rFonts w:hint="default" w:ascii="Times New Roman" w:hAnsi="Times New Roman" w:eastAsia="仿宋_GB2312" w:cs="Times New Roman"/>
                <w:bCs/>
                <w:color w:val="auto"/>
                <w:kern w:val="0"/>
                <w:sz w:val="18"/>
                <w:szCs w:val="21"/>
              </w:rPr>
            </w:pPr>
          </w:p>
        </w:tc>
        <w:tc>
          <w:tcPr>
            <w:tcW w:w="1757" w:type="pct"/>
            <w:gridSpan w:val="2"/>
            <w:vAlign w:val="center"/>
          </w:tcPr>
          <w:p>
            <w:pPr>
              <w:suppressAutoHyphens/>
              <w:spacing w:line="240" w:lineRule="auto"/>
              <w:ind w:firstLine="0" w:firstLineChars="0"/>
              <w:jc w:val="center"/>
              <w:rPr>
                <w:rFonts w:hint="default" w:ascii="Times New Roman" w:hAnsi="Times New Roman" w:eastAsia="仿宋_GB2312" w:cs="Times New Roman"/>
                <w:bCs/>
                <w:color w:val="auto"/>
                <w:kern w:val="0"/>
                <w:sz w:val="18"/>
                <w:szCs w:val="21"/>
              </w:rPr>
            </w:pPr>
            <w:r>
              <w:rPr>
                <w:rFonts w:hint="default" w:ascii="Times New Roman" w:hAnsi="Times New Roman" w:eastAsia="仿宋_GB2312" w:cs="Times New Roman"/>
                <w:bCs/>
                <w:color w:val="auto"/>
                <w:kern w:val="0"/>
                <w:sz w:val="18"/>
                <w:szCs w:val="21"/>
              </w:rPr>
              <w:t>水土流失调查</w:t>
            </w:r>
          </w:p>
        </w:tc>
        <w:tc>
          <w:tcPr>
            <w:tcW w:w="2494" w:type="pct"/>
            <w:gridSpan w:val="3"/>
            <w:vAlign w:val="center"/>
          </w:tcPr>
          <w:p>
            <w:pPr>
              <w:suppressAutoHyphens/>
              <w:spacing w:line="240" w:lineRule="auto"/>
              <w:ind w:firstLine="0" w:firstLineChars="0"/>
              <w:jc w:val="center"/>
              <w:rPr>
                <w:rFonts w:hint="default" w:ascii="Times New Roman" w:hAnsi="Times New Roman" w:eastAsia="仿宋_GB2312" w:cs="Times New Roman"/>
                <w:bCs/>
                <w:color w:val="auto"/>
                <w:kern w:val="0"/>
                <w:sz w:val="18"/>
                <w:szCs w:val="21"/>
                <w:lang w:eastAsia="zh-CN"/>
              </w:rPr>
            </w:pPr>
            <w:r>
              <w:rPr>
                <w:rFonts w:hint="default" w:ascii="Times New Roman" w:hAnsi="Times New Roman" w:eastAsia="仿宋_GB2312" w:cs="Times New Roman"/>
                <w:bCs/>
                <w:color w:val="auto"/>
                <w:kern w:val="0"/>
                <w:sz w:val="18"/>
                <w:szCs w:val="21"/>
              </w:rPr>
              <w:t>水土流失</w:t>
            </w:r>
            <w:r>
              <w:rPr>
                <w:rFonts w:hint="default" w:ascii="Times New Roman" w:hAnsi="Times New Roman" w:eastAsia="仿宋_GB2312" w:cs="Times New Roman"/>
                <w:bCs/>
                <w:color w:val="auto"/>
                <w:kern w:val="0"/>
                <w:sz w:val="18"/>
                <w:szCs w:val="21"/>
                <w:lang w:eastAsia="zh-CN"/>
              </w:rPr>
              <w:t>调查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748" w:type="pct"/>
            <w:vMerge w:val="continue"/>
            <w:vAlign w:val="center"/>
          </w:tcPr>
          <w:p>
            <w:pPr>
              <w:suppressAutoHyphens/>
              <w:spacing w:line="240" w:lineRule="auto"/>
              <w:ind w:firstLine="0" w:firstLineChars="0"/>
              <w:jc w:val="center"/>
              <w:rPr>
                <w:rFonts w:hint="default" w:ascii="Times New Roman" w:hAnsi="Times New Roman" w:eastAsia="仿宋_GB2312" w:cs="Times New Roman"/>
                <w:bCs/>
                <w:color w:val="auto"/>
                <w:kern w:val="0"/>
                <w:sz w:val="18"/>
                <w:szCs w:val="21"/>
              </w:rPr>
            </w:pPr>
          </w:p>
        </w:tc>
        <w:tc>
          <w:tcPr>
            <w:tcW w:w="867" w:type="pct"/>
            <w:vAlign w:val="center"/>
          </w:tcPr>
          <w:p>
            <w:pPr>
              <w:suppressAutoHyphens/>
              <w:spacing w:line="240" w:lineRule="auto"/>
              <w:ind w:firstLine="0" w:firstLineChars="0"/>
              <w:jc w:val="center"/>
              <w:rPr>
                <w:rFonts w:hint="default" w:ascii="Times New Roman" w:hAnsi="Times New Roman" w:eastAsia="仿宋_GB2312" w:cs="Times New Roman"/>
                <w:bCs/>
                <w:color w:val="auto"/>
                <w:kern w:val="0"/>
                <w:sz w:val="18"/>
                <w:szCs w:val="21"/>
              </w:rPr>
            </w:pPr>
            <w:r>
              <w:rPr>
                <w:rFonts w:hint="default" w:ascii="Times New Roman" w:hAnsi="Times New Roman" w:eastAsia="仿宋_GB2312" w:cs="Times New Roman"/>
                <w:bCs/>
                <w:color w:val="auto"/>
                <w:kern w:val="0"/>
                <w:sz w:val="18"/>
                <w:szCs w:val="21"/>
              </w:rPr>
              <w:t>面 积（hm</w:t>
            </w:r>
            <w:r>
              <w:rPr>
                <w:rFonts w:hint="default" w:ascii="Times New Roman" w:hAnsi="Times New Roman" w:cs="Times New Roman"/>
                <w:bCs/>
                <w:color w:val="auto"/>
                <w:kern w:val="0"/>
                <w:sz w:val="18"/>
                <w:szCs w:val="21"/>
              </w:rPr>
              <w:t>²</w:t>
            </w:r>
            <w:r>
              <w:rPr>
                <w:rFonts w:hint="default" w:ascii="Times New Roman" w:hAnsi="Times New Roman" w:eastAsia="仿宋_GB2312" w:cs="Times New Roman"/>
                <w:bCs/>
                <w:color w:val="auto"/>
                <w:kern w:val="0"/>
                <w:sz w:val="18"/>
                <w:szCs w:val="21"/>
              </w:rPr>
              <w:t>）</w:t>
            </w:r>
          </w:p>
        </w:tc>
        <w:tc>
          <w:tcPr>
            <w:tcW w:w="890" w:type="pct"/>
            <w:vAlign w:val="center"/>
          </w:tcPr>
          <w:p>
            <w:pPr>
              <w:suppressAutoHyphens/>
              <w:spacing w:line="240" w:lineRule="auto"/>
              <w:ind w:firstLine="0" w:firstLineChars="0"/>
              <w:jc w:val="center"/>
              <w:rPr>
                <w:rFonts w:hint="default" w:ascii="Times New Roman" w:hAnsi="Times New Roman" w:eastAsia="仿宋_GB2312" w:cs="Times New Roman"/>
                <w:bCs/>
                <w:color w:val="auto"/>
                <w:kern w:val="0"/>
                <w:sz w:val="18"/>
                <w:szCs w:val="21"/>
              </w:rPr>
            </w:pPr>
            <w:r>
              <w:rPr>
                <w:rFonts w:hint="default" w:ascii="Times New Roman" w:hAnsi="Times New Roman" w:eastAsia="仿宋_GB2312" w:cs="Times New Roman"/>
                <w:bCs/>
                <w:color w:val="auto"/>
                <w:kern w:val="0"/>
                <w:sz w:val="18"/>
                <w:szCs w:val="21"/>
              </w:rPr>
              <w:t>时段（a）</w:t>
            </w:r>
          </w:p>
        </w:tc>
        <w:tc>
          <w:tcPr>
            <w:tcW w:w="769" w:type="pct"/>
            <w:vAlign w:val="center"/>
          </w:tcPr>
          <w:p>
            <w:pPr>
              <w:suppressAutoHyphens/>
              <w:spacing w:line="240" w:lineRule="auto"/>
              <w:ind w:firstLine="0" w:firstLineChars="0"/>
              <w:jc w:val="center"/>
              <w:rPr>
                <w:rFonts w:hint="default" w:ascii="Times New Roman" w:hAnsi="Times New Roman" w:eastAsia="仿宋_GB2312" w:cs="Times New Roman"/>
                <w:bCs/>
                <w:color w:val="auto"/>
                <w:kern w:val="0"/>
                <w:sz w:val="18"/>
                <w:szCs w:val="21"/>
              </w:rPr>
            </w:pPr>
            <w:r>
              <w:rPr>
                <w:rFonts w:hint="default" w:ascii="Times New Roman" w:hAnsi="Times New Roman" w:eastAsia="仿宋_GB2312" w:cs="Times New Roman"/>
                <w:bCs/>
                <w:color w:val="auto"/>
                <w:kern w:val="0"/>
                <w:sz w:val="18"/>
                <w:szCs w:val="21"/>
              </w:rPr>
              <w:t>面 积（hm</w:t>
            </w:r>
            <w:r>
              <w:rPr>
                <w:rFonts w:hint="default" w:ascii="Times New Roman" w:hAnsi="Times New Roman" w:cs="Times New Roman"/>
                <w:bCs/>
                <w:color w:val="auto"/>
                <w:kern w:val="0"/>
                <w:sz w:val="18"/>
                <w:szCs w:val="21"/>
              </w:rPr>
              <w:t>²</w:t>
            </w:r>
            <w:r>
              <w:rPr>
                <w:rFonts w:hint="default" w:ascii="Times New Roman" w:hAnsi="Times New Roman" w:eastAsia="仿宋_GB2312" w:cs="Times New Roman"/>
                <w:bCs/>
                <w:color w:val="auto"/>
                <w:kern w:val="0"/>
                <w:sz w:val="18"/>
                <w:szCs w:val="21"/>
              </w:rPr>
              <w:t>）</w:t>
            </w:r>
          </w:p>
        </w:tc>
        <w:tc>
          <w:tcPr>
            <w:tcW w:w="1054" w:type="pct"/>
            <w:vAlign w:val="center"/>
          </w:tcPr>
          <w:p>
            <w:pPr>
              <w:suppressAutoHyphens/>
              <w:spacing w:line="240" w:lineRule="auto"/>
              <w:ind w:firstLine="0" w:firstLineChars="0"/>
              <w:jc w:val="center"/>
              <w:rPr>
                <w:rFonts w:hint="default" w:ascii="Times New Roman" w:hAnsi="Times New Roman" w:eastAsia="仿宋_GB2312" w:cs="Times New Roman"/>
                <w:bCs/>
                <w:color w:val="auto"/>
                <w:kern w:val="0"/>
                <w:sz w:val="18"/>
                <w:szCs w:val="21"/>
              </w:rPr>
            </w:pPr>
            <w:r>
              <w:rPr>
                <w:rFonts w:hint="default" w:ascii="Times New Roman" w:hAnsi="Times New Roman" w:eastAsia="仿宋_GB2312" w:cs="Times New Roman"/>
                <w:bCs/>
                <w:color w:val="auto"/>
                <w:kern w:val="0"/>
                <w:sz w:val="18"/>
                <w:szCs w:val="21"/>
                <w:lang w:eastAsia="zh-CN"/>
              </w:rPr>
              <w:t>调查</w:t>
            </w:r>
            <w:r>
              <w:rPr>
                <w:rFonts w:hint="default" w:ascii="Times New Roman" w:hAnsi="Times New Roman" w:eastAsia="仿宋_GB2312" w:cs="Times New Roman"/>
                <w:bCs/>
                <w:color w:val="auto"/>
                <w:kern w:val="0"/>
                <w:sz w:val="18"/>
                <w:szCs w:val="21"/>
              </w:rPr>
              <w:t>时段</w:t>
            </w:r>
          </w:p>
        </w:tc>
        <w:tc>
          <w:tcPr>
            <w:tcW w:w="670" w:type="pct"/>
            <w:vAlign w:val="center"/>
          </w:tcPr>
          <w:p>
            <w:pPr>
              <w:suppressAutoHyphens/>
              <w:spacing w:line="240" w:lineRule="auto"/>
              <w:ind w:firstLine="0" w:firstLineChars="0"/>
              <w:jc w:val="center"/>
              <w:rPr>
                <w:rFonts w:hint="default" w:ascii="Times New Roman" w:hAnsi="Times New Roman" w:eastAsia="仿宋_GB2312" w:cs="Times New Roman"/>
                <w:bCs/>
                <w:color w:val="auto"/>
                <w:kern w:val="0"/>
                <w:sz w:val="18"/>
                <w:szCs w:val="21"/>
              </w:rPr>
            </w:pPr>
            <w:r>
              <w:rPr>
                <w:rFonts w:hint="default" w:ascii="Times New Roman" w:hAnsi="Times New Roman" w:eastAsia="仿宋_GB2312" w:cs="Times New Roman"/>
                <w:bCs/>
                <w:color w:val="auto"/>
                <w:kern w:val="0"/>
                <w:sz w:val="18"/>
                <w:szCs w:val="21"/>
              </w:rPr>
              <w:t>时间(a)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74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建筑工程</w:t>
            </w:r>
          </w:p>
        </w:tc>
        <w:tc>
          <w:tcPr>
            <w:tcW w:w="86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0.06</w:t>
            </w:r>
          </w:p>
        </w:tc>
        <w:tc>
          <w:tcPr>
            <w:tcW w:w="890" w:type="pc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1.0</w:t>
            </w:r>
          </w:p>
        </w:tc>
        <w:tc>
          <w:tcPr>
            <w:tcW w:w="769"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1054"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w:t>
            </w:r>
          </w:p>
        </w:tc>
        <w:tc>
          <w:tcPr>
            <w:tcW w:w="670"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74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道路工程</w:t>
            </w:r>
          </w:p>
        </w:tc>
        <w:tc>
          <w:tcPr>
            <w:tcW w:w="86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0.03</w:t>
            </w:r>
          </w:p>
        </w:tc>
        <w:tc>
          <w:tcPr>
            <w:tcW w:w="890" w:type="pc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1.0</w:t>
            </w:r>
          </w:p>
        </w:tc>
        <w:tc>
          <w:tcPr>
            <w:tcW w:w="769"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21"/>
              </w:rPr>
              <w:t>/</w:t>
            </w:r>
          </w:p>
        </w:tc>
        <w:tc>
          <w:tcPr>
            <w:tcW w:w="1054"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w:t>
            </w:r>
          </w:p>
        </w:tc>
        <w:tc>
          <w:tcPr>
            <w:tcW w:w="670"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74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绿化工程</w:t>
            </w:r>
          </w:p>
        </w:tc>
        <w:tc>
          <w:tcPr>
            <w:tcW w:w="86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0.03</w:t>
            </w:r>
          </w:p>
        </w:tc>
        <w:tc>
          <w:tcPr>
            <w:tcW w:w="890" w:type="pc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1.0</w:t>
            </w:r>
          </w:p>
        </w:tc>
        <w:tc>
          <w:tcPr>
            <w:tcW w:w="769"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rPr>
              <w:t>0.03</w:t>
            </w:r>
          </w:p>
        </w:tc>
        <w:tc>
          <w:tcPr>
            <w:tcW w:w="1054"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w:t>
            </w:r>
          </w:p>
        </w:tc>
        <w:tc>
          <w:tcPr>
            <w:tcW w:w="670"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21"/>
                <w:lang w:eastAsia="zh-CN"/>
              </w:rPr>
            </w:pPr>
            <w:r>
              <w:rPr>
                <w:rFonts w:hint="default" w:ascii="Times New Roman" w:hAnsi="Times New Roman" w:eastAsia="仿宋_GB2312" w:cs="Times New Roman"/>
                <w:color w:val="auto"/>
                <w:kern w:val="0"/>
                <w:sz w:val="18"/>
                <w:szCs w:val="21"/>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748"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合计</w:t>
            </w:r>
          </w:p>
        </w:tc>
        <w:tc>
          <w:tcPr>
            <w:tcW w:w="867" w:type="pc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0.12</w:t>
            </w:r>
          </w:p>
        </w:tc>
        <w:tc>
          <w:tcPr>
            <w:tcW w:w="890" w:type="pc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1.0</w:t>
            </w:r>
          </w:p>
        </w:tc>
        <w:tc>
          <w:tcPr>
            <w:tcW w:w="769" w:type="pc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w:t>
            </w:r>
          </w:p>
        </w:tc>
        <w:tc>
          <w:tcPr>
            <w:tcW w:w="1054"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w:t>
            </w:r>
          </w:p>
        </w:tc>
        <w:tc>
          <w:tcPr>
            <w:tcW w:w="670"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r>
      <w:bookmarkEnd w:id="101"/>
      <w:bookmarkEnd w:id="102"/>
      <w:bookmarkEnd w:id="103"/>
      <w:bookmarkEnd w:id="104"/>
      <w:bookmarkEnd w:id="105"/>
      <w:bookmarkEnd w:id="106"/>
      <w:bookmarkEnd w:id="107"/>
      <w:bookmarkEnd w:id="108"/>
    </w:tbl>
    <w:p>
      <w:pPr>
        <w:pStyle w:val="5"/>
        <w:suppressAutoHyphens/>
        <w:rPr>
          <w:rFonts w:hint="default" w:ascii="Times New Roman" w:hAnsi="Times New Roman" w:cs="Times New Roman"/>
          <w:color w:val="auto"/>
          <w:kern w:val="0"/>
        </w:rPr>
      </w:pPr>
      <w:r>
        <w:rPr>
          <w:rFonts w:hint="default" w:ascii="Times New Roman" w:hAnsi="Times New Roman" w:cs="Times New Roman"/>
          <w:color w:val="auto"/>
          <w:kern w:val="0"/>
        </w:rPr>
        <w:t>4.3.3土壤侵蚀模数</w:t>
      </w:r>
    </w:p>
    <w:p>
      <w:pPr>
        <w:suppressAutoHyphens/>
        <w:ind w:firstLine="482"/>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（1）</w:t>
      </w:r>
      <w:r>
        <w:rPr>
          <w:rFonts w:hint="default" w:ascii="Times New Roman" w:hAnsi="Times New Roman" w:eastAsia="仿宋_GB2312" w:cs="Times New Roman"/>
          <w:b/>
          <w:color w:val="auto"/>
          <w:lang w:eastAsia="zh-CN"/>
        </w:rPr>
        <w:t>调查</w:t>
      </w:r>
      <w:r>
        <w:rPr>
          <w:rFonts w:hint="default" w:ascii="Times New Roman" w:hAnsi="Times New Roman" w:eastAsia="仿宋_GB2312" w:cs="Times New Roman"/>
          <w:b/>
          <w:color w:val="auto"/>
        </w:rPr>
        <w:t>单元原地貌土壤侵蚀模数</w:t>
      </w:r>
    </w:p>
    <w:p>
      <w:pPr>
        <w:pStyle w:val="321"/>
        <w:spacing w:line="360" w:lineRule="auto"/>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项目区水土流失是在地形地貌、土壤植被等影响水土流失的自然因素调查和现场定性评价的基础上，参照《土壤侵蚀分类分级标准》（SL190－2007）中土壤侵蚀等级划分进行确定。</w:t>
      </w:r>
      <w:r>
        <w:rPr>
          <w:rFonts w:hint="default" w:ascii="Times New Roman" w:hAnsi="Times New Roman" w:eastAsia="仿宋_GB2312" w:cs="Times New Roman"/>
          <w:color w:val="auto"/>
        </w:rPr>
        <w:t>项目区水土流失以微度水力侵蚀为主，</w:t>
      </w:r>
      <w:bookmarkStart w:id="109" w:name="_Hlk535272450"/>
      <w:r>
        <w:rPr>
          <w:rFonts w:hint="default" w:ascii="Times New Roman" w:hAnsi="Times New Roman" w:eastAsia="仿宋_GB2312" w:cs="Times New Roman"/>
          <w:color w:val="auto"/>
        </w:rPr>
        <w:t>背景土壤侵蚀模数</w:t>
      </w:r>
      <w:bookmarkEnd w:id="109"/>
      <w:r>
        <w:rPr>
          <w:rFonts w:hint="default" w:ascii="Times New Roman" w:hAnsi="Times New Roman" w:eastAsia="仿宋_GB2312" w:cs="Times New Roman"/>
          <w:color w:val="auto"/>
        </w:rPr>
        <w:t>为300t/km</w:t>
      </w:r>
      <w:r>
        <w:rPr>
          <w:rFonts w:hint="default" w:ascii="Times New Roman" w:hAnsi="Times New Roman" w:cs="Times New Roman"/>
          <w:color w:val="auto"/>
        </w:rPr>
        <w:t>²•</w:t>
      </w:r>
      <w:r>
        <w:rPr>
          <w:rFonts w:hint="default" w:ascii="Times New Roman" w:hAnsi="Times New Roman" w:eastAsia="仿宋_GB2312" w:cs="Times New Roman"/>
          <w:color w:val="auto"/>
        </w:rPr>
        <w:t>a</w:t>
      </w:r>
      <w:r>
        <w:rPr>
          <w:rFonts w:hint="default" w:ascii="Times New Roman" w:hAnsi="Times New Roman" w:eastAsia="仿宋_GB2312" w:cs="Times New Roman"/>
          <w:color w:val="auto"/>
          <w:szCs w:val="24"/>
        </w:rPr>
        <w:t>。</w:t>
      </w:r>
    </w:p>
    <w:p>
      <w:pPr>
        <w:suppressAutoHyphens/>
        <w:ind w:firstLine="482"/>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（2）扰动后土壤侵蚀模数确定</w:t>
      </w:r>
    </w:p>
    <w:p>
      <w:pPr>
        <w:suppressAutoHyphens/>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rPr>
        <w:t>经调查，项目已于2016年11月动工，2017年11月完工，至方案编报已有2年之久；方案结合项目已实施的水保措施对项目区土壤流失情况进行调查：</w:t>
      </w:r>
      <w:r>
        <w:rPr>
          <w:rFonts w:hint="default" w:ascii="Times New Roman" w:hAnsi="Times New Roman" w:eastAsia="仿宋_GB2312" w:cs="Times New Roman"/>
          <w:color w:val="auto"/>
          <w:kern w:val="0"/>
        </w:rPr>
        <w:t>施工期已实施的水土保持措施主要有防雨布遮盖1000m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rPr>
        <w:t>、雨水管2</w:t>
      </w:r>
      <w:r>
        <w:rPr>
          <w:rFonts w:hint="default" w:ascii="Times New Roman" w:hAnsi="Times New Roman" w:eastAsia="仿宋_GB2312" w:cs="Times New Roman"/>
          <w:color w:val="auto"/>
        </w:rPr>
        <w:t>96m、草坪绿化300m</w:t>
      </w:r>
      <w:r>
        <w:rPr>
          <w:rFonts w:hint="default" w:ascii="Times New Roman" w:hAnsi="Times New Roman" w:eastAsia="仿宋_GB2312" w:cs="Times New Roman"/>
          <w:color w:val="auto"/>
          <w:vertAlign w:val="superscript"/>
        </w:rPr>
        <w:t>2</w:t>
      </w:r>
      <w:r>
        <w:rPr>
          <w:rFonts w:hint="default" w:ascii="Times New Roman" w:hAnsi="Times New Roman" w:eastAsia="仿宋_GB2312" w:cs="Times New Roman"/>
          <w:color w:val="auto"/>
        </w:rPr>
        <w:t>；现状场地已硬化、绿化。</w:t>
      </w:r>
    </w:p>
    <w:p>
      <w:pPr>
        <w:autoSpaceDE w:val="0"/>
        <w:autoSpaceDN w:val="0"/>
        <w:adjustRightInd w:val="0"/>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本项目典型扰动面土壤侵蚀模数确定见表4-3。</w:t>
      </w:r>
    </w:p>
    <w:p>
      <w:pPr>
        <w:ind w:firstLine="0" w:firstLineChars="0"/>
        <w:jc w:val="center"/>
        <w:rPr>
          <w:rFonts w:hint="default" w:ascii="Times New Roman" w:hAnsi="Times New Roman" w:eastAsia="仿宋_GB2312" w:cs="Times New Roman"/>
          <w:b/>
          <w:bCs/>
          <w:color w:val="auto"/>
          <w:kern w:val="0"/>
          <w:sz w:val="21"/>
          <w:szCs w:val="21"/>
        </w:rPr>
      </w:pPr>
      <w:r>
        <w:rPr>
          <w:rFonts w:hint="default" w:ascii="Times New Roman" w:hAnsi="Times New Roman" w:eastAsia="仿宋_GB2312" w:cs="Times New Roman"/>
          <w:b/>
          <w:bCs/>
          <w:color w:val="auto"/>
          <w:kern w:val="0"/>
          <w:sz w:val="21"/>
          <w:szCs w:val="21"/>
        </w:rPr>
        <w:t>表4-3   扰动后侵蚀模数汇总表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541"/>
        <w:gridCol w:w="1446"/>
        <w:gridCol w:w="1446"/>
        <w:gridCol w:w="1446"/>
        <w:gridCol w:w="16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490" w:type="pct"/>
            <w:vMerge w:val="restart"/>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调查单元</w:t>
            </w:r>
          </w:p>
        </w:tc>
        <w:tc>
          <w:tcPr>
            <w:tcW w:w="848" w:type="pct"/>
            <w:vMerge w:val="restar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背景侵蚀模数t/（km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·a）</w:t>
            </w:r>
          </w:p>
        </w:tc>
        <w:tc>
          <w:tcPr>
            <w:tcW w:w="848" w:type="pct"/>
            <w:vMerge w:val="restar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施工期侵蚀模数t/（km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·a）</w:t>
            </w:r>
          </w:p>
        </w:tc>
        <w:tc>
          <w:tcPr>
            <w:tcW w:w="1814" w:type="pct"/>
            <w:gridSpan w:val="2"/>
            <w:vAlign w:val="center"/>
          </w:tcPr>
          <w:p>
            <w:pPr>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自然恢复期侵蚀模数t/（km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0" w:type="auto"/>
            <w:vMerge w:val="continue"/>
            <w:vAlign w:val="center"/>
          </w:tcPr>
          <w:p>
            <w:pPr>
              <w:widowControl/>
              <w:spacing w:line="240" w:lineRule="auto"/>
              <w:ind w:firstLine="0" w:firstLineChars="0"/>
              <w:jc w:val="left"/>
              <w:rPr>
                <w:rFonts w:hint="default" w:ascii="Times New Roman" w:hAnsi="Times New Roman" w:eastAsia="仿宋_GB2312" w:cs="Times New Roman"/>
                <w:color w:val="auto"/>
                <w:kern w:val="0"/>
                <w:sz w:val="18"/>
                <w:szCs w:val="18"/>
              </w:rPr>
            </w:pPr>
          </w:p>
        </w:tc>
        <w:tc>
          <w:tcPr>
            <w:tcW w:w="0" w:type="auto"/>
            <w:vMerge w:val="continue"/>
            <w:vAlign w:val="center"/>
          </w:tcPr>
          <w:p>
            <w:pPr>
              <w:widowControl/>
              <w:spacing w:line="240" w:lineRule="auto"/>
              <w:ind w:firstLine="0" w:firstLineChars="0"/>
              <w:jc w:val="left"/>
              <w:rPr>
                <w:rFonts w:hint="default" w:ascii="Times New Roman" w:hAnsi="Times New Roman" w:eastAsia="仿宋_GB2312" w:cs="Times New Roman"/>
                <w:color w:val="auto"/>
                <w:kern w:val="0"/>
                <w:sz w:val="18"/>
                <w:szCs w:val="18"/>
              </w:rPr>
            </w:pPr>
          </w:p>
        </w:tc>
        <w:tc>
          <w:tcPr>
            <w:tcW w:w="0" w:type="auto"/>
            <w:vMerge w:val="continue"/>
            <w:vAlign w:val="center"/>
          </w:tcPr>
          <w:p>
            <w:pPr>
              <w:widowControl/>
              <w:spacing w:line="240" w:lineRule="auto"/>
              <w:ind w:firstLine="0" w:firstLineChars="0"/>
              <w:jc w:val="left"/>
              <w:rPr>
                <w:rFonts w:hint="default" w:ascii="Times New Roman" w:hAnsi="Times New Roman" w:eastAsia="仿宋_GB2312" w:cs="Times New Roman"/>
                <w:color w:val="auto"/>
                <w:kern w:val="0"/>
                <w:sz w:val="18"/>
                <w:szCs w:val="18"/>
              </w:rPr>
            </w:pPr>
          </w:p>
        </w:tc>
        <w:tc>
          <w:tcPr>
            <w:tcW w:w="848" w:type="pct"/>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裸露区域</w:t>
            </w:r>
          </w:p>
        </w:tc>
        <w:tc>
          <w:tcPr>
            <w:tcW w:w="966" w:type="pct"/>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绿化区域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490"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建筑工程</w:t>
            </w:r>
          </w:p>
        </w:tc>
        <w:tc>
          <w:tcPr>
            <w:tcW w:w="84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300</w:t>
            </w:r>
          </w:p>
        </w:tc>
        <w:tc>
          <w:tcPr>
            <w:tcW w:w="84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1500</w:t>
            </w:r>
          </w:p>
        </w:tc>
        <w:tc>
          <w:tcPr>
            <w:tcW w:w="84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96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490"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道路工程</w:t>
            </w:r>
          </w:p>
        </w:tc>
        <w:tc>
          <w:tcPr>
            <w:tcW w:w="84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300</w:t>
            </w:r>
          </w:p>
        </w:tc>
        <w:tc>
          <w:tcPr>
            <w:tcW w:w="84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1400</w:t>
            </w:r>
          </w:p>
        </w:tc>
        <w:tc>
          <w:tcPr>
            <w:tcW w:w="84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96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490"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绿化工程</w:t>
            </w:r>
          </w:p>
        </w:tc>
        <w:tc>
          <w:tcPr>
            <w:tcW w:w="84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300</w:t>
            </w:r>
          </w:p>
        </w:tc>
        <w:tc>
          <w:tcPr>
            <w:tcW w:w="84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1700</w:t>
            </w:r>
          </w:p>
        </w:tc>
        <w:tc>
          <w:tcPr>
            <w:tcW w:w="84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96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800</w:t>
            </w:r>
          </w:p>
        </w:tc>
      </w:tr>
    </w:tbl>
    <w:p>
      <w:pPr>
        <w:autoSpaceDE w:val="0"/>
        <w:autoSpaceDN w:val="0"/>
        <w:adjustRightInd w:val="0"/>
        <w:spacing w:line="240" w:lineRule="auto"/>
        <w:ind w:firstLine="480"/>
        <w:rPr>
          <w:rFonts w:hint="default" w:ascii="Times New Roman" w:hAnsi="Times New Roman" w:eastAsia="仿宋_GB2312" w:cs="Times New Roman"/>
          <w:color w:val="auto"/>
        </w:rPr>
      </w:pPr>
    </w:p>
    <w:p>
      <w:pPr>
        <w:pStyle w:val="5"/>
        <w:suppressAutoHyphens/>
        <w:spacing w:before="156" w:beforeLines="50"/>
        <w:rPr>
          <w:rFonts w:hint="default" w:ascii="Times New Roman" w:hAnsi="Times New Roman" w:cs="Times New Roman"/>
          <w:color w:val="auto"/>
          <w:kern w:val="0"/>
        </w:rPr>
      </w:pPr>
      <w:r>
        <w:rPr>
          <w:rFonts w:hint="default" w:ascii="Times New Roman" w:hAnsi="Times New Roman" w:cs="Times New Roman"/>
          <w:color w:val="auto"/>
          <w:kern w:val="0"/>
        </w:rPr>
        <w:t>4.3.4调查结果</w:t>
      </w:r>
    </w:p>
    <w:p>
      <w:pPr>
        <w:suppressAutoHyphens/>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土壤流失</w:t>
      </w:r>
      <w:r>
        <w:rPr>
          <w:rFonts w:hint="default" w:ascii="Times New Roman" w:hAnsi="Times New Roman" w:eastAsia="仿宋_GB2312" w:cs="Times New Roman"/>
          <w:color w:val="auto"/>
          <w:lang w:eastAsia="zh-CN"/>
        </w:rPr>
        <w:t>量计算</w:t>
      </w:r>
      <w:r>
        <w:rPr>
          <w:rFonts w:hint="default" w:ascii="Times New Roman" w:hAnsi="Times New Roman" w:eastAsia="仿宋_GB2312" w:cs="Times New Roman"/>
          <w:color w:val="auto"/>
        </w:rPr>
        <w:t>按下式计算：</w:t>
      </w:r>
    </w:p>
    <w:p>
      <w:pPr>
        <w:suppressAutoHyphens/>
        <w:ind w:firstLine="56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i/>
          <w:color w:val="auto"/>
          <w:sz w:val="28"/>
          <w:szCs w:val="28"/>
        </w:rPr>
        <w:t>W=∑∑F</w:t>
      </w:r>
      <w:r>
        <w:rPr>
          <w:rFonts w:hint="default" w:ascii="Times New Roman" w:hAnsi="Times New Roman" w:eastAsia="仿宋_GB2312" w:cs="Times New Roman"/>
          <w:color w:val="auto"/>
          <w:sz w:val="28"/>
          <w:szCs w:val="28"/>
          <w:vertAlign w:val="subscript"/>
        </w:rPr>
        <w:t>ji</w:t>
      </w:r>
      <w:r>
        <w:rPr>
          <w:rFonts w:hint="default" w:ascii="Times New Roman" w:hAnsi="Times New Roman" w:eastAsia="仿宋_GB2312" w:cs="Times New Roman"/>
          <w:i/>
          <w:color w:val="auto"/>
          <w:sz w:val="28"/>
          <w:szCs w:val="28"/>
        </w:rPr>
        <w:t xml:space="preserve"> M</w:t>
      </w:r>
      <w:r>
        <w:rPr>
          <w:rFonts w:hint="default" w:ascii="Times New Roman" w:hAnsi="Times New Roman" w:eastAsia="仿宋_GB2312" w:cs="Times New Roman"/>
          <w:color w:val="auto"/>
          <w:sz w:val="28"/>
          <w:szCs w:val="28"/>
          <w:vertAlign w:val="subscript"/>
        </w:rPr>
        <w:t>ji</w:t>
      </w:r>
      <w:r>
        <w:rPr>
          <w:rFonts w:hint="default" w:ascii="Times New Roman" w:hAnsi="Times New Roman" w:eastAsia="仿宋_GB2312" w:cs="Times New Roman"/>
          <w:i/>
          <w:color w:val="auto"/>
          <w:sz w:val="28"/>
          <w:szCs w:val="28"/>
        </w:rPr>
        <w:t xml:space="preserve"> T</w:t>
      </w:r>
      <w:r>
        <w:rPr>
          <w:rFonts w:hint="default" w:ascii="Times New Roman" w:hAnsi="Times New Roman" w:eastAsia="仿宋_GB2312" w:cs="Times New Roman"/>
          <w:color w:val="auto"/>
          <w:sz w:val="28"/>
          <w:szCs w:val="28"/>
          <w:vertAlign w:val="subscript"/>
        </w:rPr>
        <w:t>ji</w:t>
      </w:r>
    </w:p>
    <w:p>
      <w:pPr>
        <w:suppressAutoHyphens/>
        <w:ind w:firstLine="48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式中：</w:t>
      </w:r>
      <w:r>
        <w:rPr>
          <w:rFonts w:hint="default" w:ascii="Times New Roman" w:hAnsi="Times New Roman" w:eastAsia="仿宋_GB2312" w:cs="Times New Roman"/>
          <w:i/>
          <w:color w:val="auto"/>
        </w:rPr>
        <w:t>W—</w:t>
      </w:r>
      <w:r>
        <w:rPr>
          <w:rFonts w:hint="default" w:ascii="Times New Roman" w:hAnsi="Times New Roman" w:eastAsia="仿宋_GB2312" w:cs="Times New Roman"/>
          <w:color w:val="auto"/>
        </w:rPr>
        <w:t>土壤流失量（t）；</w:t>
      </w:r>
    </w:p>
    <w:p>
      <w:pPr>
        <w:suppressAutoHyphens/>
        <w:ind w:firstLine="48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 xml:space="preserve">      j—</w:t>
      </w:r>
      <w:r>
        <w:rPr>
          <w:rFonts w:hint="default" w:ascii="Times New Roman" w:hAnsi="Times New Roman" w:eastAsia="仿宋_GB2312" w:cs="Times New Roman"/>
          <w:color w:val="auto"/>
          <w:lang w:eastAsia="zh-CN"/>
        </w:rPr>
        <w:t>调查</w:t>
      </w:r>
      <w:r>
        <w:rPr>
          <w:rFonts w:hint="default" w:ascii="Times New Roman" w:hAnsi="Times New Roman" w:eastAsia="仿宋_GB2312" w:cs="Times New Roman"/>
          <w:color w:val="auto"/>
        </w:rPr>
        <w:t>时段，j=1，2，即指施工期（含施工准备期）和自然恢复期两个时段；</w:t>
      </w:r>
    </w:p>
    <w:p>
      <w:pPr>
        <w:suppressAutoHyphens/>
        <w:ind w:firstLine="1200" w:firstLineChars="50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i—</w:t>
      </w:r>
      <w:r>
        <w:rPr>
          <w:rFonts w:hint="default" w:ascii="Times New Roman" w:hAnsi="Times New Roman" w:eastAsia="仿宋_GB2312" w:cs="Times New Roman"/>
          <w:color w:val="auto"/>
          <w:lang w:eastAsia="zh-CN"/>
        </w:rPr>
        <w:t>调查</w:t>
      </w:r>
      <w:r>
        <w:rPr>
          <w:rFonts w:hint="default" w:ascii="Times New Roman" w:hAnsi="Times New Roman" w:eastAsia="仿宋_GB2312" w:cs="Times New Roman"/>
          <w:color w:val="auto"/>
        </w:rPr>
        <w:t>单元，1，2，3，···，n-1，n；</w:t>
      </w:r>
    </w:p>
    <w:p>
      <w:pPr>
        <w:suppressAutoHyphens/>
        <w:ind w:firstLine="1200" w:firstLineChars="500"/>
        <w:jc w:val="left"/>
        <w:rPr>
          <w:rFonts w:hint="default" w:ascii="Times New Roman" w:hAnsi="Times New Roman" w:eastAsia="仿宋_GB2312" w:cs="Times New Roman"/>
          <w:color w:val="auto"/>
        </w:rPr>
      </w:pPr>
      <w:r>
        <w:rPr>
          <w:rFonts w:hint="default" w:ascii="Times New Roman" w:hAnsi="Times New Roman" w:eastAsia="仿宋_GB2312" w:cs="Times New Roman"/>
          <w:i/>
          <w:color w:val="auto"/>
        </w:rPr>
        <w:t>F</w:t>
      </w:r>
      <w:r>
        <w:rPr>
          <w:rFonts w:hint="default" w:ascii="Times New Roman" w:hAnsi="Times New Roman" w:eastAsia="仿宋_GB2312" w:cs="Times New Roman"/>
          <w:color w:val="auto"/>
          <w:vertAlign w:val="subscript"/>
        </w:rPr>
        <w:t>ji</w:t>
      </w:r>
      <w:r>
        <w:rPr>
          <w:rFonts w:hint="default" w:ascii="Times New Roman" w:hAnsi="Times New Roman" w:eastAsia="仿宋_GB2312" w:cs="Times New Roman"/>
          <w:color w:val="auto"/>
        </w:rPr>
        <w:t>—第j</w:t>
      </w:r>
      <w:r>
        <w:rPr>
          <w:rFonts w:hint="default" w:ascii="Times New Roman" w:hAnsi="Times New Roman" w:eastAsia="仿宋_GB2312" w:cs="Times New Roman"/>
          <w:color w:val="auto"/>
          <w:lang w:eastAsia="zh-CN"/>
        </w:rPr>
        <w:t>调查</w:t>
      </w:r>
      <w:r>
        <w:rPr>
          <w:rFonts w:hint="default" w:ascii="Times New Roman" w:hAnsi="Times New Roman" w:eastAsia="仿宋_GB2312" w:cs="Times New Roman"/>
          <w:color w:val="auto"/>
        </w:rPr>
        <w:t>时段、第i</w:t>
      </w:r>
      <w:r>
        <w:rPr>
          <w:rFonts w:hint="default" w:ascii="Times New Roman" w:hAnsi="Times New Roman" w:eastAsia="仿宋_GB2312" w:cs="Times New Roman"/>
          <w:color w:val="auto"/>
          <w:lang w:eastAsia="zh-CN"/>
        </w:rPr>
        <w:t>调查</w:t>
      </w:r>
      <w:r>
        <w:rPr>
          <w:rFonts w:hint="default" w:ascii="Times New Roman" w:hAnsi="Times New Roman" w:eastAsia="仿宋_GB2312" w:cs="Times New Roman"/>
          <w:color w:val="auto"/>
        </w:rPr>
        <w:t>单元的面积（km</w:t>
      </w:r>
      <w:r>
        <w:rPr>
          <w:rFonts w:hint="default" w:ascii="Times New Roman" w:hAnsi="Times New Roman" w:eastAsia="仿宋_GB2312" w:cs="Times New Roman"/>
          <w:color w:val="auto"/>
          <w:vertAlign w:val="superscript"/>
        </w:rPr>
        <w:t>2</w:t>
      </w:r>
      <w:r>
        <w:rPr>
          <w:rFonts w:hint="default" w:ascii="Times New Roman" w:hAnsi="Times New Roman" w:eastAsia="仿宋_GB2312" w:cs="Times New Roman"/>
          <w:color w:val="auto"/>
        </w:rPr>
        <w:t>）；</w:t>
      </w:r>
    </w:p>
    <w:p>
      <w:pPr>
        <w:suppressAutoHyphens/>
        <w:ind w:firstLine="1200" w:firstLineChars="500"/>
        <w:jc w:val="left"/>
        <w:rPr>
          <w:rFonts w:hint="default" w:ascii="Times New Roman" w:hAnsi="Times New Roman" w:eastAsia="仿宋_GB2312" w:cs="Times New Roman"/>
          <w:color w:val="auto"/>
        </w:rPr>
      </w:pPr>
      <w:r>
        <w:rPr>
          <w:rFonts w:hint="default" w:ascii="Times New Roman" w:hAnsi="Times New Roman" w:eastAsia="仿宋_GB2312" w:cs="Times New Roman"/>
          <w:i/>
          <w:color w:val="auto"/>
        </w:rPr>
        <w:t>M</w:t>
      </w:r>
      <w:r>
        <w:rPr>
          <w:rFonts w:hint="default" w:ascii="Times New Roman" w:hAnsi="Times New Roman" w:eastAsia="仿宋_GB2312" w:cs="Times New Roman"/>
          <w:color w:val="auto"/>
          <w:vertAlign w:val="subscript"/>
        </w:rPr>
        <w:t>ji</w:t>
      </w:r>
      <w:r>
        <w:rPr>
          <w:rFonts w:hint="default" w:ascii="Times New Roman" w:hAnsi="Times New Roman" w:eastAsia="仿宋_GB2312" w:cs="Times New Roman"/>
          <w:color w:val="auto"/>
        </w:rPr>
        <w:t>—第j</w:t>
      </w:r>
      <w:r>
        <w:rPr>
          <w:rFonts w:hint="default" w:ascii="Times New Roman" w:hAnsi="Times New Roman" w:eastAsia="仿宋_GB2312" w:cs="Times New Roman"/>
          <w:color w:val="auto"/>
          <w:lang w:eastAsia="zh-CN"/>
        </w:rPr>
        <w:t>调查</w:t>
      </w:r>
      <w:r>
        <w:rPr>
          <w:rFonts w:hint="default" w:ascii="Times New Roman" w:hAnsi="Times New Roman" w:eastAsia="仿宋_GB2312" w:cs="Times New Roman"/>
          <w:color w:val="auto"/>
        </w:rPr>
        <w:t>时段、第i</w:t>
      </w:r>
      <w:r>
        <w:rPr>
          <w:rFonts w:hint="default" w:ascii="Times New Roman" w:hAnsi="Times New Roman" w:eastAsia="仿宋_GB2312" w:cs="Times New Roman"/>
          <w:color w:val="auto"/>
          <w:lang w:eastAsia="zh-CN"/>
        </w:rPr>
        <w:t>调查</w:t>
      </w:r>
      <w:r>
        <w:rPr>
          <w:rFonts w:hint="default" w:ascii="Times New Roman" w:hAnsi="Times New Roman" w:eastAsia="仿宋_GB2312" w:cs="Times New Roman"/>
          <w:color w:val="auto"/>
        </w:rPr>
        <w:t>单元的土壤侵蚀模数[t/（km</w:t>
      </w:r>
      <w:r>
        <w:rPr>
          <w:rFonts w:hint="default" w:ascii="Times New Roman" w:hAnsi="Times New Roman" w:eastAsia="仿宋_GB2312" w:cs="Times New Roman"/>
          <w:color w:val="auto"/>
          <w:vertAlign w:val="superscript"/>
        </w:rPr>
        <w:t>2</w:t>
      </w:r>
      <w:r>
        <w:rPr>
          <w:rFonts w:hint="default" w:ascii="Times New Roman" w:hAnsi="Times New Roman" w:eastAsia="仿宋_GB2312" w:cs="Times New Roman"/>
          <w:color w:val="auto"/>
        </w:rPr>
        <w:t>·a）；</w:t>
      </w:r>
    </w:p>
    <w:p>
      <w:pPr>
        <w:suppressAutoHyphens/>
        <w:ind w:firstLine="1200" w:firstLineChars="500"/>
        <w:jc w:val="left"/>
        <w:rPr>
          <w:rFonts w:hint="default" w:ascii="Times New Roman" w:hAnsi="Times New Roman" w:eastAsia="仿宋_GB2312" w:cs="Times New Roman"/>
          <w:color w:val="auto"/>
        </w:rPr>
      </w:pPr>
      <w:r>
        <w:rPr>
          <w:rFonts w:hint="default" w:ascii="Times New Roman" w:hAnsi="Times New Roman" w:eastAsia="仿宋_GB2312" w:cs="Times New Roman"/>
          <w:i/>
          <w:color w:val="auto"/>
        </w:rPr>
        <w:t>T</w:t>
      </w:r>
      <w:r>
        <w:rPr>
          <w:rFonts w:hint="default" w:ascii="Times New Roman" w:hAnsi="Times New Roman" w:eastAsia="仿宋_GB2312" w:cs="Times New Roman"/>
          <w:color w:val="auto"/>
          <w:vertAlign w:val="subscript"/>
        </w:rPr>
        <w:t>ji</w:t>
      </w:r>
      <w:r>
        <w:rPr>
          <w:rFonts w:hint="default" w:ascii="Times New Roman" w:hAnsi="Times New Roman" w:eastAsia="仿宋_GB2312" w:cs="Times New Roman"/>
          <w:color w:val="auto"/>
        </w:rPr>
        <w:t>—第j</w:t>
      </w:r>
      <w:r>
        <w:rPr>
          <w:rFonts w:hint="default" w:ascii="Times New Roman" w:hAnsi="Times New Roman" w:eastAsia="仿宋_GB2312" w:cs="Times New Roman"/>
          <w:color w:val="auto"/>
          <w:lang w:eastAsia="zh-CN"/>
        </w:rPr>
        <w:t>调查</w:t>
      </w:r>
      <w:r>
        <w:rPr>
          <w:rFonts w:hint="default" w:ascii="Times New Roman" w:hAnsi="Times New Roman" w:eastAsia="仿宋_GB2312" w:cs="Times New Roman"/>
          <w:color w:val="auto"/>
        </w:rPr>
        <w:t>时段、第i</w:t>
      </w:r>
      <w:r>
        <w:rPr>
          <w:rFonts w:hint="default" w:ascii="Times New Roman" w:hAnsi="Times New Roman" w:eastAsia="仿宋_GB2312" w:cs="Times New Roman"/>
          <w:color w:val="auto"/>
          <w:lang w:eastAsia="zh-CN"/>
        </w:rPr>
        <w:t>调查</w:t>
      </w:r>
      <w:r>
        <w:rPr>
          <w:rFonts w:hint="default" w:ascii="Times New Roman" w:hAnsi="Times New Roman" w:eastAsia="仿宋_GB2312" w:cs="Times New Roman"/>
          <w:color w:val="auto"/>
        </w:rPr>
        <w:t>单元的</w:t>
      </w:r>
      <w:r>
        <w:rPr>
          <w:rFonts w:hint="default" w:ascii="Times New Roman" w:hAnsi="Times New Roman" w:eastAsia="仿宋_GB2312" w:cs="Times New Roman"/>
          <w:color w:val="auto"/>
          <w:lang w:eastAsia="zh-CN"/>
        </w:rPr>
        <w:t>调查</w:t>
      </w:r>
      <w:r>
        <w:rPr>
          <w:rFonts w:hint="default" w:ascii="Times New Roman" w:hAnsi="Times New Roman" w:eastAsia="仿宋_GB2312" w:cs="Times New Roman"/>
          <w:color w:val="auto"/>
        </w:rPr>
        <w:t>时段长（a）。</w:t>
      </w:r>
    </w:p>
    <w:p>
      <w:pPr>
        <w:suppressAutoHyphens/>
        <w:ind w:firstLine="1200" w:firstLineChars="50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lang w:eastAsia="zh-CN"/>
        </w:rPr>
        <w:t>调查</w:t>
      </w:r>
      <w:r>
        <w:rPr>
          <w:rFonts w:hint="default" w:ascii="Times New Roman" w:hAnsi="Times New Roman" w:eastAsia="仿宋_GB2312" w:cs="Times New Roman"/>
          <w:color w:val="auto"/>
        </w:rPr>
        <w:t>水土流失量详见表4-5。</w:t>
      </w:r>
    </w:p>
    <w:p>
      <w:pPr>
        <w:pStyle w:val="1102"/>
        <w:rPr>
          <w:rFonts w:hint="default" w:ascii="Times New Roman" w:hAnsi="Times New Roman" w:cs="Times New Roman"/>
          <w:color w:val="auto"/>
        </w:rPr>
      </w:pPr>
    </w:p>
    <w:p>
      <w:pPr>
        <w:suppressAutoHyphens/>
        <w:spacing w:line="240" w:lineRule="auto"/>
        <w:ind w:firstLine="422"/>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color w:val="auto"/>
          <w:kern w:val="0"/>
          <w:sz w:val="21"/>
          <w:szCs w:val="21"/>
        </w:rPr>
        <w:t>表4-5  水土流失调查表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5"/>
        <w:gridCol w:w="984"/>
        <w:gridCol w:w="899"/>
        <w:gridCol w:w="931"/>
        <w:gridCol w:w="931"/>
        <w:gridCol w:w="931"/>
        <w:gridCol w:w="931"/>
        <w:gridCol w:w="931"/>
        <w:gridCol w:w="8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48"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_GB2312" w:cs="Times New Roman"/>
                <w:color w:val="auto"/>
                <w:kern w:val="0"/>
                <w:sz w:val="18"/>
                <w:szCs w:val="18"/>
              </w:rPr>
            </w:pPr>
            <w:bookmarkStart w:id="110" w:name="_Toc425493408"/>
            <w:r>
              <w:rPr>
                <w:rFonts w:hint="default" w:ascii="Times New Roman" w:hAnsi="Times New Roman" w:eastAsia="仿宋_GB2312" w:cs="Times New Roman"/>
                <w:color w:val="auto"/>
                <w:kern w:val="0"/>
                <w:sz w:val="18"/>
                <w:szCs w:val="18"/>
              </w:rPr>
              <w:t>时段</w:t>
            </w:r>
          </w:p>
        </w:tc>
        <w:tc>
          <w:tcPr>
            <w:tcW w:w="577"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eastAsia="zh-CN"/>
              </w:rPr>
              <w:t>调查</w:t>
            </w:r>
            <w:r>
              <w:rPr>
                <w:rFonts w:hint="default" w:ascii="Times New Roman" w:hAnsi="Times New Roman" w:eastAsia="仿宋_GB2312" w:cs="Times New Roman"/>
                <w:color w:val="auto"/>
                <w:kern w:val="0"/>
                <w:sz w:val="18"/>
                <w:szCs w:val="18"/>
              </w:rPr>
              <w:t>单元</w:t>
            </w:r>
          </w:p>
        </w:tc>
        <w:tc>
          <w:tcPr>
            <w:tcW w:w="527"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面积（hm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w:t>
            </w:r>
          </w:p>
        </w:tc>
        <w:tc>
          <w:tcPr>
            <w:tcW w:w="546"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背景侵蚀模数(t/km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·a)</w:t>
            </w:r>
          </w:p>
        </w:tc>
        <w:tc>
          <w:tcPr>
            <w:tcW w:w="546"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扰动后侵蚀模数(t/km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·a)</w:t>
            </w:r>
          </w:p>
        </w:tc>
        <w:tc>
          <w:tcPr>
            <w:tcW w:w="546"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eastAsia="zh-CN"/>
              </w:rPr>
              <w:t>调查</w:t>
            </w:r>
            <w:r>
              <w:rPr>
                <w:rFonts w:hint="default" w:ascii="Times New Roman" w:hAnsi="Times New Roman" w:eastAsia="仿宋_GB2312" w:cs="Times New Roman"/>
                <w:color w:val="auto"/>
                <w:kern w:val="0"/>
                <w:sz w:val="18"/>
                <w:szCs w:val="18"/>
              </w:rPr>
              <w:t>时段（年）</w:t>
            </w:r>
          </w:p>
        </w:tc>
        <w:tc>
          <w:tcPr>
            <w:tcW w:w="546"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水土流失总量（t）</w:t>
            </w:r>
          </w:p>
        </w:tc>
        <w:tc>
          <w:tcPr>
            <w:tcW w:w="546"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背景水土流失总量（t）</w:t>
            </w:r>
          </w:p>
        </w:tc>
        <w:tc>
          <w:tcPr>
            <w:tcW w:w="518"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新增水土流失总量（t）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48" w:type="pct"/>
            <w:vMerge w:val="restar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施工期（调查）</w:t>
            </w:r>
          </w:p>
        </w:tc>
        <w:tc>
          <w:tcPr>
            <w:tcW w:w="577" w:type="pct"/>
            <w:shd w:val="clear" w:color="auto" w:fill="auto"/>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建筑工程</w:t>
            </w:r>
          </w:p>
        </w:tc>
        <w:tc>
          <w:tcPr>
            <w:tcW w:w="527"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0.06</w:t>
            </w:r>
          </w:p>
        </w:tc>
        <w:tc>
          <w:tcPr>
            <w:tcW w:w="54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300</w:t>
            </w:r>
          </w:p>
        </w:tc>
        <w:tc>
          <w:tcPr>
            <w:tcW w:w="54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1500</w:t>
            </w:r>
          </w:p>
        </w:tc>
        <w:tc>
          <w:tcPr>
            <w:tcW w:w="546" w:type="pct"/>
            <w:shd w:val="clear" w:color="auto" w:fill="auto"/>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1.0</w:t>
            </w:r>
          </w:p>
        </w:tc>
        <w:tc>
          <w:tcPr>
            <w:tcW w:w="54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0.90</w:t>
            </w:r>
          </w:p>
        </w:tc>
        <w:tc>
          <w:tcPr>
            <w:tcW w:w="54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0.18</w:t>
            </w:r>
          </w:p>
        </w:tc>
        <w:tc>
          <w:tcPr>
            <w:tcW w:w="518"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48" w:type="pct"/>
            <w:vMerge w:val="continue"/>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577" w:type="pct"/>
            <w:shd w:val="clear" w:color="auto" w:fill="auto"/>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道路工程</w:t>
            </w:r>
          </w:p>
        </w:tc>
        <w:tc>
          <w:tcPr>
            <w:tcW w:w="527"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0.03</w:t>
            </w:r>
          </w:p>
        </w:tc>
        <w:tc>
          <w:tcPr>
            <w:tcW w:w="54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300</w:t>
            </w:r>
          </w:p>
        </w:tc>
        <w:tc>
          <w:tcPr>
            <w:tcW w:w="54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1400</w:t>
            </w:r>
          </w:p>
        </w:tc>
        <w:tc>
          <w:tcPr>
            <w:tcW w:w="546" w:type="pct"/>
            <w:shd w:val="clear" w:color="auto" w:fill="auto"/>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1.0</w:t>
            </w:r>
          </w:p>
        </w:tc>
        <w:tc>
          <w:tcPr>
            <w:tcW w:w="54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0.42</w:t>
            </w:r>
          </w:p>
        </w:tc>
        <w:tc>
          <w:tcPr>
            <w:tcW w:w="54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0.09</w:t>
            </w:r>
          </w:p>
        </w:tc>
        <w:tc>
          <w:tcPr>
            <w:tcW w:w="518"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48" w:type="pct"/>
            <w:vMerge w:val="continue"/>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577" w:type="pct"/>
            <w:shd w:val="clear" w:color="auto" w:fill="auto"/>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绿化工程</w:t>
            </w:r>
          </w:p>
        </w:tc>
        <w:tc>
          <w:tcPr>
            <w:tcW w:w="527"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0.03</w:t>
            </w:r>
          </w:p>
        </w:tc>
        <w:tc>
          <w:tcPr>
            <w:tcW w:w="54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300</w:t>
            </w:r>
          </w:p>
        </w:tc>
        <w:tc>
          <w:tcPr>
            <w:tcW w:w="54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1700</w:t>
            </w:r>
          </w:p>
        </w:tc>
        <w:tc>
          <w:tcPr>
            <w:tcW w:w="546" w:type="pct"/>
            <w:shd w:val="clear" w:color="auto" w:fill="auto"/>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1.0</w:t>
            </w:r>
          </w:p>
        </w:tc>
        <w:tc>
          <w:tcPr>
            <w:tcW w:w="54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0.51</w:t>
            </w:r>
          </w:p>
        </w:tc>
        <w:tc>
          <w:tcPr>
            <w:tcW w:w="54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0.09</w:t>
            </w:r>
          </w:p>
        </w:tc>
        <w:tc>
          <w:tcPr>
            <w:tcW w:w="518"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225" w:type="pct"/>
            <w:gridSpan w:val="2"/>
            <w:vAlign w:val="center"/>
          </w:tcPr>
          <w:p>
            <w:pPr>
              <w:widowControl/>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合计</w:t>
            </w:r>
          </w:p>
        </w:tc>
        <w:tc>
          <w:tcPr>
            <w:tcW w:w="527" w:type="pct"/>
            <w:shd w:val="clear" w:color="auto" w:fill="auto"/>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0.12</w:t>
            </w:r>
          </w:p>
        </w:tc>
        <w:tc>
          <w:tcPr>
            <w:tcW w:w="546"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_GB2312" w:cs="Times New Roman"/>
                <w:color w:val="auto"/>
                <w:kern w:val="0"/>
                <w:sz w:val="18"/>
                <w:szCs w:val="18"/>
              </w:rPr>
            </w:pPr>
          </w:p>
        </w:tc>
        <w:tc>
          <w:tcPr>
            <w:tcW w:w="54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54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54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1.83</w:t>
            </w:r>
          </w:p>
        </w:tc>
        <w:tc>
          <w:tcPr>
            <w:tcW w:w="54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0.36</w:t>
            </w:r>
          </w:p>
        </w:tc>
        <w:tc>
          <w:tcPr>
            <w:tcW w:w="518"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1.47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 w:hRule="atLeast"/>
          <w:jc w:val="center"/>
        </w:trPr>
        <w:tc>
          <w:tcPr>
            <w:tcW w:w="64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rPr>
              <w:t>自然恢复期</w:t>
            </w:r>
            <w:r>
              <w:rPr>
                <w:rFonts w:hint="default" w:ascii="Times New Roman" w:hAnsi="Times New Roman" w:eastAsia="仿宋_GB2312" w:cs="Times New Roman"/>
                <w:color w:val="auto"/>
                <w:kern w:val="0"/>
                <w:sz w:val="18"/>
                <w:szCs w:val="18"/>
                <w:lang w:eastAsia="zh-CN"/>
              </w:rPr>
              <w:t>（调查）</w:t>
            </w:r>
          </w:p>
        </w:tc>
        <w:tc>
          <w:tcPr>
            <w:tcW w:w="577"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绿化工程</w:t>
            </w:r>
          </w:p>
        </w:tc>
        <w:tc>
          <w:tcPr>
            <w:tcW w:w="527" w:type="pct"/>
            <w:shd w:val="clear" w:color="auto" w:fill="auto"/>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0.03</w:t>
            </w:r>
          </w:p>
        </w:tc>
        <w:tc>
          <w:tcPr>
            <w:tcW w:w="546"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300</w:t>
            </w:r>
          </w:p>
        </w:tc>
        <w:tc>
          <w:tcPr>
            <w:tcW w:w="54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bidi="ar"/>
              </w:rPr>
              <w:t>800</w:t>
            </w:r>
          </w:p>
        </w:tc>
        <w:tc>
          <w:tcPr>
            <w:tcW w:w="54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w:t>
            </w:r>
          </w:p>
        </w:tc>
        <w:tc>
          <w:tcPr>
            <w:tcW w:w="54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0.24</w:t>
            </w:r>
          </w:p>
        </w:tc>
        <w:tc>
          <w:tcPr>
            <w:tcW w:w="54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0.09</w:t>
            </w:r>
          </w:p>
        </w:tc>
        <w:tc>
          <w:tcPr>
            <w:tcW w:w="518"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225" w:type="pct"/>
            <w:gridSpan w:val="2"/>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总计</w:t>
            </w:r>
          </w:p>
        </w:tc>
        <w:tc>
          <w:tcPr>
            <w:tcW w:w="527"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_GB2312" w:cs="Times New Roman"/>
                <w:color w:val="auto"/>
                <w:kern w:val="0"/>
                <w:sz w:val="18"/>
                <w:szCs w:val="18"/>
              </w:rPr>
            </w:pPr>
          </w:p>
        </w:tc>
        <w:tc>
          <w:tcPr>
            <w:tcW w:w="546"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_GB2312" w:cs="Times New Roman"/>
                <w:color w:val="auto"/>
                <w:kern w:val="0"/>
                <w:sz w:val="18"/>
                <w:szCs w:val="18"/>
              </w:rPr>
            </w:pPr>
          </w:p>
        </w:tc>
        <w:tc>
          <w:tcPr>
            <w:tcW w:w="546"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_GB2312" w:cs="Times New Roman"/>
                <w:color w:val="auto"/>
                <w:kern w:val="0"/>
                <w:sz w:val="18"/>
                <w:szCs w:val="18"/>
              </w:rPr>
            </w:pPr>
          </w:p>
        </w:tc>
        <w:tc>
          <w:tcPr>
            <w:tcW w:w="546"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_GB2312" w:cs="Times New Roman"/>
                <w:color w:val="auto"/>
                <w:kern w:val="0"/>
                <w:sz w:val="18"/>
                <w:szCs w:val="18"/>
              </w:rPr>
            </w:pPr>
          </w:p>
        </w:tc>
        <w:tc>
          <w:tcPr>
            <w:tcW w:w="54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2.07</w:t>
            </w:r>
          </w:p>
        </w:tc>
        <w:tc>
          <w:tcPr>
            <w:tcW w:w="54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0.45</w:t>
            </w:r>
          </w:p>
        </w:tc>
        <w:tc>
          <w:tcPr>
            <w:tcW w:w="518"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bidi="ar"/>
              </w:rPr>
            </w:pPr>
            <w:r>
              <w:rPr>
                <w:rFonts w:hint="default" w:ascii="Times New Roman" w:hAnsi="Times New Roman" w:eastAsia="仿宋_GB2312" w:cs="Times New Roman"/>
                <w:b/>
                <w:color w:val="auto"/>
                <w:kern w:val="0"/>
                <w:sz w:val="18"/>
                <w:szCs w:val="18"/>
                <w:lang w:bidi="ar"/>
              </w:rPr>
              <w:t>1.62</w:t>
            </w:r>
          </w:p>
        </w:tc>
      </w:tr>
    </w:tbl>
    <w:p>
      <w:pPr>
        <w:pStyle w:val="1102"/>
        <w:spacing w:line="240" w:lineRule="auto"/>
        <w:rPr>
          <w:rFonts w:hint="default" w:ascii="Times New Roman" w:hAnsi="Times New Roman" w:cs="Times New Roman"/>
          <w:color w:val="auto"/>
        </w:rPr>
      </w:pP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kern w:val="0"/>
          <w:szCs w:val="24"/>
        </w:rPr>
        <w:t>本项目扰动原地貌</w:t>
      </w:r>
      <w:r>
        <w:rPr>
          <w:rFonts w:hint="default" w:ascii="Times New Roman" w:hAnsi="Times New Roman" w:eastAsia="仿宋_GB2312" w:cs="Times New Roman"/>
          <w:color w:val="auto"/>
          <w:kern w:val="0"/>
        </w:rPr>
        <w:t>面积0.12hm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rPr>
        <w:t>；损坏具有水土保持功能面积0.12hm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szCs w:val="24"/>
        </w:rPr>
        <w:t>。调查</w:t>
      </w:r>
      <w:r>
        <w:rPr>
          <w:rFonts w:hint="default" w:ascii="Times New Roman" w:hAnsi="Times New Roman" w:eastAsia="仿宋_GB2312" w:cs="Times New Roman"/>
          <w:color w:val="auto"/>
          <w:kern w:val="0"/>
          <w:szCs w:val="24"/>
        </w:rPr>
        <w:t>土壤流失总量2.07t，其中背景土壤流失量0.45t，调查新增土壤流失量1.62t；施工期新增土壤流失量1.47t，自然恢复期新增土壤流失量0.15t；故施工期是水土流失防治的重点时段。</w:t>
      </w:r>
    </w:p>
    <w:p>
      <w:pPr>
        <w:suppressAutoHyphens/>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施工期调查新增土壤流失量1.47t，其中建筑工程新增土壤流失量0.72t，占施工期新增总量的48%；道路工程新增土壤流失量0.33t，占施工期新增总量的22%，绿化工程新增土壤流失量0.72t，占施工期新增总量的30%。故建筑工程是水土流失重点防治区域。</w:t>
      </w:r>
    </w:p>
    <w:p>
      <w:pPr>
        <w:pStyle w:val="4"/>
        <w:suppressAutoHyphens/>
        <w:spacing w:before="156" w:beforeLines="50" w:after="156" w:afterLines="50"/>
        <w:rPr>
          <w:rFonts w:hint="default" w:ascii="Times New Roman" w:hAnsi="Times New Roman" w:cs="Times New Roman"/>
          <w:color w:val="auto"/>
          <w:kern w:val="0"/>
        </w:rPr>
      </w:pPr>
      <w:bookmarkStart w:id="111" w:name="_Toc6155993"/>
      <w:bookmarkStart w:id="112" w:name="_Toc47879801"/>
      <w:r>
        <w:rPr>
          <w:rFonts w:hint="default" w:ascii="Times New Roman" w:hAnsi="Times New Roman" w:cs="Times New Roman"/>
          <w:color w:val="auto"/>
          <w:kern w:val="0"/>
        </w:rPr>
        <w:t>4.4 水土流失危害分析</w:t>
      </w:r>
      <w:bookmarkEnd w:id="110"/>
      <w:bookmarkEnd w:id="111"/>
      <w:bookmarkEnd w:id="112"/>
    </w:p>
    <w:p>
      <w:pPr>
        <w:suppressAutoHyphens/>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（1）施工期若临时防护实施不到位，容易引起场地内涝、泥泞，影响工程进度，甚至引起</w:t>
      </w:r>
      <w:r>
        <w:rPr>
          <w:rFonts w:hint="default" w:ascii="Times New Roman" w:hAnsi="Times New Roman" w:eastAsia="仿宋_GB2312" w:cs="Times New Roman"/>
          <w:color w:val="auto"/>
          <w:kern w:val="0"/>
        </w:rPr>
        <w:t>水土流失纠纷事件。</w:t>
      </w:r>
    </w:p>
    <w:p>
      <w:pPr>
        <w:pStyle w:val="152"/>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（2）厂区内的土壤由地表径流带入市政管网，从而造成管道淤积，缩短市政雨水管网使用寿命，增加城市基础设施维护费用。</w:t>
      </w:r>
    </w:p>
    <w:p>
      <w:pPr>
        <w:pStyle w:val="4"/>
        <w:suppressAutoHyphens/>
        <w:spacing w:before="156" w:beforeLines="50" w:after="156" w:afterLines="50"/>
        <w:rPr>
          <w:rFonts w:hint="default" w:ascii="Times New Roman" w:hAnsi="Times New Roman" w:cs="Times New Roman"/>
          <w:color w:val="auto"/>
          <w:kern w:val="0"/>
        </w:rPr>
      </w:pPr>
      <w:bookmarkStart w:id="113" w:name="_Toc425493409"/>
      <w:bookmarkStart w:id="114" w:name="_Toc47879802"/>
      <w:bookmarkStart w:id="115" w:name="_Toc6155994"/>
      <w:r>
        <w:rPr>
          <w:rFonts w:hint="default" w:ascii="Times New Roman" w:hAnsi="Times New Roman" w:cs="Times New Roman"/>
          <w:color w:val="auto"/>
          <w:kern w:val="0"/>
        </w:rPr>
        <w:t>4.5指导性意见</w:t>
      </w:r>
      <w:bookmarkEnd w:id="113"/>
      <w:bookmarkEnd w:id="114"/>
      <w:bookmarkEnd w:id="115"/>
    </w:p>
    <w:p>
      <w:pPr>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通过以上分析与调查，总结提出如下指导性意见：</w:t>
      </w:r>
    </w:p>
    <w:p>
      <w:pPr>
        <w:ind w:right="7" w:rightChars="3"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（1）将施工期列为水土流失防治和水土保持监测的重点时段，将建筑工程区列为水土保持监测的重点区域。</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kern w:val="0"/>
          <w:szCs w:val="24"/>
        </w:rPr>
        <w:t>（2）建设单位应根据批复方案做好水土保持设施自主验收工作。</w:t>
      </w:r>
    </w:p>
    <w:p>
      <w:pPr>
        <w:autoSpaceDE w:val="0"/>
        <w:autoSpaceDN w:val="0"/>
        <w:adjustRightInd w:val="0"/>
        <w:ind w:firstLine="199" w:firstLineChars="83"/>
        <w:rPr>
          <w:rFonts w:hint="default" w:ascii="Times New Roman" w:hAnsi="Times New Roman" w:eastAsia="仿宋_GB2312" w:cs="Times New Roman"/>
          <w:color w:val="auto"/>
          <w:kern w:val="0"/>
        </w:rPr>
        <w:sectPr>
          <w:headerReference r:id="rId14" w:type="default"/>
          <w:pgSz w:w="11906" w:h="16838"/>
          <w:pgMar w:top="1440" w:right="1797" w:bottom="1440" w:left="1797" w:header="851" w:footer="992" w:gutter="0"/>
          <w:pgBorders>
            <w:top w:val="none" w:sz="0" w:space="0"/>
            <w:left w:val="none" w:sz="0" w:space="0"/>
            <w:bottom w:val="none" w:sz="0" w:space="0"/>
            <w:right w:val="none" w:sz="0" w:space="0"/>
          </w:pgBorders>
          <w:cols w:space="720" w:num="1"/>
          <w:docGrid w:type="lines" w:linePitch="312" w:charSpace="0"/>
        </w:sectPr>
      </w:pPr>
    </w:p>
    <w:bookmarkEnd w:id="79"/>
    <w:p>
      <w:pPr>
        <w:pStyle w:val="3"/>
        <w:rPr>
          <w:rFonts w:hint="default" w:ascii="Times New Roman" w:hAnsi="Times New Roman" w:cs="Times New Roman"/>
          <w:color w:val="auto"/>
          <w:kern w:val="0"/>
        </w:rPr>
      </w:pPr>
      <w:bookmarkStart w:id="116" w:name="_Toc47879803"/>
      <w:r>
        <w:rPr>
          <w:rFonts w:hint="default" w:ascii="Times New Roman" w:hAnsi="Times New Roman" w:cs="Times New Roman"/>
          <w:color w:val="auto"/>
          <w:kern w:val="0"/>
        </w:rPr>
        <w:t>5 水土保持措施</w:t>
      </w:r>
      <w:bookmarkEnd w:id="116"/>
    </w:p>
    <w:p>
      <w:pPr>
        <w:pStyle w:val="4"/>
        <w:suppressAutoHyphens/>
        <w:spacing w:before="163" w:beforeLines="50" w:after="163" w:afterLines="50"/>
        <w:rPr>
          <w:rFonts w:hint="default" w:ascii="Times New Roman" w:hAnsi="Times New Roman" w:cs="Times New Roman"/>
          <w:color w:val="auto"/>
          <w:kern w:val="0"/>
        </w:rPr>
      </w:pPr>
      <w:bookmarkStart w:id="117" w:name="_Toc47879804"/>
      <w:r>
        <w:rPr>
          <w:rFonts w:hint="default" w:ascii="Times New Roman" w:hAnsi="Times New Roman" w:cs="Times New Roman"/>
          <w:color w:val="auto"/>
          <w:kern w:val="0"/>
        </w:rPr>
        <w:t>5.1 防治区划分</w:t>
      </w:r>
      <w:bookmarkEnd w:id="117"/>
    </w:p>
    <w:p>
      <w:pPr>
        <w:suppressAutoHyphens/>
        <w:ind w:firstLine="480"/>
        <w:rPr>
          <w:rFonts w:hint="default" w:ascii="Times New Roman" w:hAnsi="Times New Roman" w:eastAsia="仿宋_GB2312" w:cs="Times New Roman"/>
          <w:color w:val="auto"/>
          <w:kern w:val="0"/>
          <w:szCs w:val="24"/>
        </w:rPr>
      </w:pPr>
      <w:bookmarkStart w:id="118" w:name="_Toc491228184"/>
      <w:bookmarkStart w:id="119" w:name="_Toc516589554"/>
      <w:bookmarkStart w:id="120" w:name="_Toc377303766"/>
      <w:bookmarkStart w:id="121" w:name="_Toc491228327"/>
      <w:bookmarkStart w:id="122" w:name="_Toc490126447"/>
      <w:bookmarkStart w:id="123" w:name="_Toc497689161"/>
      <w:bookmarkStart w:id="124" w:name="_Toc376893522"/>
      <w:bookmarkStart w:id="125" w:name="_Toc272609511"/>
      <w:bookmarkStart w:id="126" w:name="_Toc490126445"/>
      <w:bookmarkStart w:id="127" w:name="_Toc491228325"/>
      <w:bookmarkStart w:id="128" w:name="_Toc497689159"/>
      <w:bookmarkStart w:id="129" w:name="_Toc491228182"/>
      <w:bookmarkStart w:id="130" w:name="_Toc272668374"/>
      <w:r>
        <w:rPr>
          <w:rFonts w:hint="default" w:ascii="Times New Roman" w:hAnsi="Times New Roman" w:eastAsia="仿宋_GB2312" w:cs="Times New Roman"/>
          <w:color w:val="auto"/>
          <w:kern w:val="0"/>
          <w:szCs w:val="24"/>
        </w:rPr>
        <w:t>根据“谁开发谁保护，谁造成水土流失谁负责治理”的原则，项目建设单位应负责对工程建设过程中造成的新增水土流失和原有水土流失进行治理。</w:t>
      </w:r>
      <w:bookmarkEnd w:id="118"/>
      <w:bookmarkEnd w:id="119"/>
      <w:bookmarkEnd w:id="120"/>
      <w:bookmarkEnd w:id="121"/>
      <w:bookmarkEnd w:id="122"/>
      <w:bookmarkEnd w:id="123"/>
      <w:bookmarkEnd w:id="124"/>
      <w:bookmarkStart w:id="131" w:name="_Toc516589552"/>
      <w:r>
        <w:rPr>
          <w:rFonts w:hint="default" w:ascii="Times New Roman" w:hAnsi="Times New Roman" w:eastAsia="仿宋_GB2312" w:cs="Times New Roman"/>
          <w:color w:val="auto"/>
          <w:kern w:val="0"/>
        </w:rPr>
        <w:t>水土流失防治责任范围指项目建设单位依法应承担水土流失防治义务的区域。本项目建设单位应承担的水土流失防治责任范围面积为0.12hm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rPr>
        <w:t>。</w:t>
      </w:r>
    </w:p>
    <w:bookmarkEnd w:id="125"/>
    <w:bookmarkEnd w:id="126"/>
    <w:bookmarkEnd w:id="127"/>
    <w:bookmarkEnd w:id="128"/>
    <w:bookmarkEnd w:id="129"/>
    <w:bookmarkEnd w:id="130"/>
    <w:bookmarkEnd w:id="131"/>
    <w:p>
      <w:pPr>
        <w:suppressAutoHyphens/>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按《生产建设项目水土保持技术标准》（GB50433-2018）的规定，应根据实地调查（勘测）结果，在确定的防治责任范围内，依据工程布局、施工扰动特点、建设时序、地貌特征、自然竖向、水土流失影响等进行分区。</w:t>
      </w:r>
    </w:p>
    <w:p>
      <w:pPr>
        <w:suppressAutoHyphens/>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分区的划定遵循以下原则：</w:t>
      </w:r>
    </w:p>
    <w:p>
      <w:pPr>
        <w:suppressAutoHyphens/>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（1）各区之间应具有显著差异性。</w:t>
      </w:r>
    </w:p>
    <w:p>
      <w:pPr>
        <w:suppressAutoHyphens/>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（2）同一区内造成水土流失的因子和防治措施应相近或相似。</w:t>
      </w:r>
    </w:p>
    <w:p>
      <w:pPr>
        <w:suppressAutoHyphens/>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（3）根据项目的繁简程度和项目区自然情况，防治区可划分为一级或多级。</w:t>
      </w:r>
    </w:p>
    <w:p>
      <w:pPr>
        <w:suppressAutoHyphens/>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（4）一级区应具有控制性、整体性、全局性，线型工程应按土壤侵蚀类型、地形地貌、气候类型等因素划分一级区，二级区及其以下分区应结合工程布局、项目组成、占地性质和扰动特点进行逐级分区。</w:t>
      </w:r>
    </w:p>
    <w:p>
      <w:pPr>
        <w:suppressAutoHyphens/>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（5）各级分区应层次分明，具有关联性和系统性</w:t>
      </w:r>
    </w:p>
    <w:p>
      <w:pPr>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按照防治分区原则和主体工程布局，将水土流失防治分区划分为建筑工程区、道路硬化区、景观绿化3个一级区。水土流失防治分区情况详见表5-1。</w:t>
      </w:r>
    </w:p>
    <w:p>
      <w:pPr>
        <w:spacing w:line="240" w:lineRule="auto"/>
        <w:ind w:firstLine="422"/>
        <w:jc w:val="center"/>
        <w:rPr>
          <w:rFonts w:hint="default" w:ascii="Times New Roman" w:hAnsi="Times New Roman" w:eastAsia="仿宋_GB2312" w:cs="Times New Roman"/>
          <w:b/>
          <w:color w:val="auto"/>
          <w:sz w:val="21"/>
          <w:szCs w:val="21"/>
          <w:lang w:val="zh-CN"/>
        </w:rPr>
      </w:pPr>
      <w:r>
        <w:rPr>
          <w:rFonts w:hint="default" w:ascii="Times New Roman" w:hAnsi="Times New Roman" w:eastAsia="仿宋_GB2312" w:cs="Times New Roman"/>
          <w:b/>
          <w:color w:val="auto"/>
          <w:sz w:val="21"/>
          <w:szCs w:val="21"/>
          <w:lang w:val="zh-CN"/>
        </w:rPr>
        <w:t>表5-1  水土流失防治分区表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42"/>
        <w:gridCol w:w="1700"/>
        <w:gridCol w:w="55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28"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分区</w:t>
            </w:r>
          </w:p>
        </w:tc>
        <w:tc>
          <w:tcPr>
            <w:tcW w:w="997"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项目建设区（hm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w:t>
            </w:r>
          </w:p>
        </w:tc>
        <w:tc>
          <w:tcPr>
            <w:tcW w:w="3275" w:type="pct"/>
            <w:shd w:val="clear" w:color="auto" w:fill="auto"/>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涉及范围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28"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建筑工程区</w:t>
            </w:r>
          </w:p>
        </w:tc>
        <w:tc>
          <w:tcPr>
            <w:tcW w:w="997"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0.06</w:t>
            </w:r>
          </w:p>
        </w:tc>
        <w:tc>
          <w:tcPr>
            <w:tcW w:w="327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rPr>
              <w:t>教学综合楼</w:t>
            </w:r>
            <w:r>
              <w:rPr>
                <w:rFonts w:hint="default" w:ascii="Times New Roman" w:hAnsi="Times New Roman" w:eastAsia="仿宋_GB2312" w:cs="Times New Roman"/>
                <w:color w:val="auto"/>
                <w:kern w:val="0"/>
                <w:sz w:val="18"/>
                <w:szCs w:val="18"/>
                <w:lang w:val="en-US" w:eastAsia="zh-CN"/>
              </w:rPr>
              <w:t>1栋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28"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道路硬化区</w:t>
            </w:r>
          </w:p>
        </w:tc>
        <w:tc>
          <w:tcPr>
            <w:tcW w:w="997"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0.03</w:t>
            </w:r>
          </w:p>
        </w:tc>
        <w:tc>
          <w:tcPr>
            <w:tcW w:w="327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硬化道路及附属设施工程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28"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景观绿化区</w:t>
            </w:r>
          </w:p>
        </w:tc>
        <w:tc>
          <w:tcPr>
            <w:tcW w:w="997"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0.03</w:t>
            </w:r>
          </w:p>
        </w:tc>
        <w:tc>
          <w:tcPr>
            <w:tcW w:w="327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草坪绿化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 w:hRule="atLeast"/>
          <w:jc w:val="center"/>
        </w:trPr>
        <w:tc>
          <w:tcPr>
            <w:tcW w:w="728"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合计</w:t>
            </w:r>
          </w:p>
        </w:tc>
        <w:tc>
          <w:tcPr>
            <w:tcW w:w="997"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0.12</w:t>
            </w:r>
          </w:p>
        </w:tc>
        <w:tc>
          <w:tcPr>
            <w:tcW w:w="3275" w:type="pct"/>
            <w:shd w:val="clear" w:color="auto" w:fill="auto"/>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r>
    </w:tbl>
    <w:p>
      <w:pPr>
        <w:pStyle w:val="1102"/>
        <w:spacing w:line="240" w:lineRule="auto"/>
        <w:rPr>
          <w:rFonts w:hint="default" w:ascii="Times New Roman" w:hAnsi="Times New Roman" w:cs="Times New Roman"/>
          <w:color w:val="auto"/>
        </w:rPr>
      </w:pPr>
    </w:p>
    <w:p>
      <w:pPr>
        <w:pStyle w:val="4"/>
        <w:suppressAutoHyphens/>
        <w:spacing w:before="163" w:beforeLines="50" w:after="163" w:afterLines="50"/>
        <w:rPr>
          <w:rFonts w:hint="default" w:ascii="Times New Roman" w:hAnsi="Times New Roman" w:cs="Times New Roman"/>
          <w:color w:val="auto"/>
          <w:kern w:val="0"/>
        </w:rPr>
      </w:pPr>
      <w:bookmarkStart w:id="132" w:name="_Toc425493412"/>
      <w:bookmarkStart w:id="133" w:name="_Toc47879805"/>
      <w:r>
        <w:rPr>
          <w:rFonts w:hint="default" w:ascii="Times New Roman" w:hAnsi="Times New Roman" w:cs="Times New Roman"/>
          <w:color w:val="auto"/>
          <w:kern w:val="0"/>
        </w:rPr>
        <w:t>5.2措施总体布局</w:t>
      </w:r>
      <w:bookmarkEnd w:id="132"/>
      <w:bookmarkEnd w:id="133"/>
    </w:p>
    <w:p>
      <w:pPr>
        <w:suppressAutoHyphens/>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本项目属点型、建设项目；据</w:t>
      </w:r>
      <w:r>
        <w:rPr>
          <w:rFonts w:hint="default" w:ascii="Times New Roman" w:hAnsi="Times New Roman" w:eastAsia="仿宋_GB2312" w:cs="Times New Roman"/>
          <w:color w:val="auto"/>
          <w:kern w:val="0"/>
          <w:szCs w:val="24"/>
          <w:lang w:eastAsia="zh-CN"/>
        </w:rPr>
        <w:t>现场调查</w:t>
      </w:r>
      <w:r>
        <w:rPr>
          <w:rFonts w:hint="default" w:ascii="Times New Roman" w:hAnsi="Times New Roman" w:eastAsia="仿宋_GB2312" w:cs="Times New Roman"/>
          <w:color w:val="auto"/>
          <w:kern w:val="0"/>
          <w:szCs w:val="24"/>
        </w:rPr>
        <w:t>，</w:t>
      </w:r>
      <w:r>
        <w:rPr>
          <w:rFonts w:hint="default" w:ascii="Times New Roman" w:hAnsi="Times New Roman" w:eastAsia="仿宋_GB2312" w:cs="Times New Roman"/>
          <w:color w:val="auto"/>
          <w:kern w:val="0"/>
          <w:szCs w:val="24"/>
          <w:lang w:eastAsia="zh-CN"/>
        </w:rPr>
        <w:t>已</w:t>
      </w:r>
      <w:r>
        <w:rPr>
          <w:rFonts w:hint="default" w:ascii="Times New Roman" w:hAnsi="Times New Roman" w:eastAsia="仿宋_GB2312" w:cs="Times New Roman"/>
          <w:color w:val="auto"/>
          <w:kern w:val="0"/>
          <w:szCs w:val="24"/>
        </w:rPr>
        <w:t>实施的雨水管、防雨布遮盖、草坪绿化均有较好的水土保持功能；经第3章水土保持分析评价、第4章水土流失调查；主体工程实施的水土保持措施能有效防止项目区水土流失，且项目已完工多年</w:t>
      </w:r>
      <w:r>
        <w:rPr>
          <w:rFonts w:hint="default" w:ascii="Times New Roman" w:hAnsi="Times New Roman" w:eastAsia="仿宋_GB2312" w:cs="Times New Roman"/>
          <w:color w:val="auto"/>
          <w:kern w:val="0"/>
          <w:szCs w:val="24"/>
          <w:lang w:eastAsia="zh-CN"/>
        </w:rPr>
        <w:t>。</w:t>
      </w:r>
      <w:r>
        <w:rPr>
          <w:rFonts w:hint="default" w:ascii="Times New Roman" w:hAnsi="Times New Roman" w:eastAsia="仿宋_GB2312" w:cs="Times New Roman"/>
          <w:color w:val="auto"/>
        </w:rPr>
        <w:t>从现状场地看草坪绿化基本覆盖裸露地表，植被盖度较高；后续电缆敷设对景观绿地进行了扰动、破坏，造成了一定的裸露地表，存在少量临时堆方，这些区域在雨季易造成水土流失</w:t>
      </w:r>
      <w:r>
        <w:rPr>
          <w:rFonts w:hint="default" w:ascii="Times New Roman" w:hAnsi="Times New Roman" w:eastAsia="仿宋_GB2312" w:cs="Times New Roman"/>
          <w:color w:val="auto"/>
          <w:lang w:eastAsia="zh-CN"/>
        </w:rPr>
        <w:t>；方案新增土地整治、撒播草籽、抚育管理措施</w:t>
      </w:r>
      <w:r>
        <w:rPr>
          <w:rFonts w:hint="default" w:ascii="Times New Roman" w:hAnsi="Times New Roman" w:eastAsia="仿宋_GB2312" w:cs="Times New Roman"/>
          <w:color w:val="auto"/>
          <w:kern w:val="0"/>
          <w:szCs w:val="24"/>
        </w:rPr>
        <w:t>。</w:t>
      </w:r>
    </w:p>
    <w:p>
      <w:pPr>
        <w:suppressAutoHyphens/>
        <w:spacing w:line="240" w:lineRule="auto"/>
        <w:ind w:firstLine="42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表5-2  水土保持措施总体布局表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43"/>
        <w:gridCol w:w="1277"/>
        <w:gridCol w:w="1700"/>
        <w:gridCol w:w="1840"/>
        <w:gridCol w:w="1135"/>
        <w:gridCol w:w="13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728" w:type="pct"/>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防治分区</w:t>
            </w:r>
          </w:p>
        </w:tc>
        <w:tc>
          <w:tcPr>
            <w:tcW w:w="748"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措施类型</w:t>
            </w:r>
          </w:p>
        </w:tc>
        <w:tc>
          <w:tcPr>
            <w:tcW w:w="99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防治措施</w:t>
            </w:r>
          </w:p>
        </w:tc>
        <w:tc>
          <w:tcPr>
            <w:tcW w:w="1078" w:type="pct"/>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实施部位</w:t>
            </w:r>
          </w:p>
        </w:tc>
        <w:tc>
          <w:tcPr>
            <w:tcW w:w="1446"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28" w:type="pct"/>
            <w:vMerge w:val="restar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建筑工程区</w:t>
            </w:r>
          </w:p>
        </w:tc>
        <w:tc>
          <w:tcPr>
            <w:tcW w:w="748" w:type="pct"/>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工程措施</w:t>
            </w:r>
          </w:p>
        </w:tc>
        <w:tc>
          <w:tcPr>
            <w:tcW w:w="996" w:type="pct"/>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雨水管</w:t>
            </w:r>
          </w:p>
        </w:tc>
        <w:tc>
          <w:tcPr>
            <w:tcW w:w="1078" w:type="pct"/>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建筑周围</w:t>
            </w:r>
          </w:p>
        </w:tc>
        <w:tc>
          <w:tcPr>
            <w:tcW w:w="665" w:type="pct"/>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主体已有</w:t>
            </w:r>
          </w:p>
        </w:tc>
        <w:tc>
          <w:tcPr>
            <w:tcW w:w="781"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已实施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28" w:type="pct"/>
            <w:vMerge w:val="continue"/>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48" w:type="pct"/>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临时措施</w:t>
            </w:r>
          </w:p>
        </w:tc>
        <w:tc>
          <w:tcPr>
            <w:tcW w:w="996" w:type="pct"/>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防雨布遮盖</w:t>
            </w:r>
          </w:p>
        </w:tc>
        <w:tc>
          <w:tcPr>
            <w:tcW w:w="1078" w:type="pct"/>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基坑挖方</w:t>
            </w:r>
          </w:p>
        </w:tc>
        <w:tc>
          <w:tcPr>
            <w:tcW w:w="665" w:type="pct"/>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主体已有</w:t>
            </w:r>
          </w:p>
        </w:tc>
        <w:tc>
          <w:tcPr>
            <w:tcW w:w="781"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已实施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28" w:type="pct"/>
            <w:vMerge w:val="restar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道路工程</w:t>
            </w:r>
          </w:p>
        </w:tc>
        <w:tc>
          <w:tcPr>
            <w:tcW w:w="748" w:type="pct"/>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工程措施</w:t>
            </w:r>
          </w:p>
        </w:tc>
        <w:tc>
          <w:tcPr>
            <w:tcW w:w="996" w:type="pct"/>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雨水管</w:t>
            </w:r>
          </w:p>
        </w:tc>
        <w:tc>
          <w:tcPr>
            <w:tcW w:w="1078" w:type="pct"/>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道路区域</w:t>
            </w:r>
          </w:p>
        </w:tc>
        <w:tc>
          <w:tcPr>
            <w:tcW w:w="665" w:type="pct"/>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主体已有</w:t>
            </w:r>
          </w:p>
        </w:tc>
        <w:tc>
          <w:tcPr>
            <w:tcW w:w="781"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已实施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28" w:type="pct"/>
            <w:vMerge w:val="continue"/>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48" w:type="pct"/>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临时措施</w:t>
            </w:r>
          </w:p>
        </w:tc>
        <w:tc>
          <w:tcPr>
            <w:tcW w:w="996" w:type="pct"/>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防雨布遮盖</w:t>
            </w:r>
          </w:p>
        </w:tc>
        <w:tc>
          <w:tcPr>
            <w:tcW w:w="1078" w:type="pct"/>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道路区域</w:t>
            </w:r>
          </w:p>
        </w:tc>
        <w:tc>
          <w:tcPr>
            <w:tcW w:w="665" w:type="pct"/>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主体已有</w:t>
            </w:r>
          </w:p>
        </w:tc>
        <w:tc>
          <w:tcPr>
            <w:tcW w:w="781"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已实施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28" w:type="pct"/>
            <w:vMerge w:val="restar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绿化工程</w:t>
            </w:r>
          </w:p>
        </w:tc>
        <w:tc>
          <w:tcPr>
            <w:tcW w:w="748" w:type="pct"/>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工程措施</w:t>
            </w:r>
          </w:p>
        </w:tc>
        <w:tc>
          <w:tcPr>
            <w:tcW w:w="996" w:type="pct"/>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土地整治</w:t>
            </w:r>
          </w:p>
        </w:tc>
        <w:tc>
          <w:tcPr>
            <w:tcW w:w="1078" w:type="pct"/>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绿化区域</w:t>
            </w:r>
          </w:p>
        </w:tc>
        <w:tc>
          <w:tcPr>
            <w:tcW w:w="665" w:type="pct"/>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水保新增</w:t>
            </w:r>
          </w:p>
        </w:tc>
        <w:tc>
          <w:tcPr>
            <w:tcW w:w="781"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未实施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28" w:type="pct"/>
            <w:vMerge w:val="continue"/>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48" w:type="pct"/>
            <w:vMerge w:val="restart"/>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植物措施</w:t>
            </w:r>
          </w:p>
        </w:tc>
        <w:tc>
          <w:tcPr>
            <w:tcW w:w="996" w:type="pct"/>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草坪绿化</w:t>
            </w:r>
          </w:p>
        </w:tc>
        <w:tc>
          <w:tcPr>
            <w:tcW w:w="1078" w:type="pct"/>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绿化区域</w:t>
            </w:r>
          </w:p>
        </w:tc>
        <w:tc>
          <w:tcPr>
            <w:tcW w:w="665" w:type="pct"/>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主体已有</w:t>
            </w:r>
          </w:p>
        </w:tc>
        <w:tc>
          <w:tcPr>
            <w:tcW w:w="781"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已实施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28" w:type="pct"/>
            <w:vMerge w:val="continue"/>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48" w:type="pct"/>
            <w:vMerge w:val="continue"/>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996" w:type="pct"/>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撒播草籽</w:t>
            </w:r>
          </w:p>
        </w:tc>
        <w:tc>
          <w:tcPr>
            <w:tcW w:w="1078" w:type="pct"/>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绿化区域</w:t>
            </w:r>
          </w:p>
        </w:tc>
        <w:tc>
          <w:tcPr>
            <w:tcW w:w="665" w:type="pct"/>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eastAsia="zh-CN"/>
              </w:rPr>
              <w:t>水保新增</w:t>
            </w:r>
          </w:p>
        </w:tc>
        <w:tc>
          <w:tcPr>
            <w:tcW w:w="781"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eastAsia="zh-CN"/>
              </w:rPr>
              <w:t>未实施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28" w:type="pct"/>
            <w:vMerge w:val="continue"/>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48" w:type="pct"/>
            <w:vMerge w:val="continue"/>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996" w:type="pct"/>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抚育管理</w:t>
            </w:r>
          </w:p>
        </w:tc>
        <w:tc>
          <w:tcPr>
            <w:tcW w:w="1078" w:type="pct"/>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绿化区域</w:t>
            </w:r>
          </w:p>
        </w:tc>
        <w:tc>
          <w:tcPr>
            <w:tcW w:w="665" w:type="pct"/>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eastAsia="zh-CN"/>
              </w:rPr>
              <w:t>水保新增</w:t>
            </w:r>
          </w:p>
        </w:tc>
        <w:tc>
          <w:tcPr>
            <w:tcW w:w="781"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eastAsia="zh-CN"/>
              </w:rPr>
              <w:t>未实施</w:t>
            </w:r>
          </w:p>
        </w:tc>
      </w:tr>
    </w:tbl>
    <w:p>
      <w:pPr>
        <w:spacing w:line="240" w:lineRule="auto"/>
        <w:ind w:firstLine="0" w:firstLineChars="0"/>
        <w:jc w:val="center"/>
        <w:rPr>
          <w:rFonts w:hint="default" w:ascii="Times New Roman" w:hAnsi="Times New Roman" w:eastAsia="仿宋_GB2312" w:cs="Times New Roman"/>
          <w:b/>
          <w:color w:val="auto"/>
          <w:sz w:val="21"/>
          <w:szCs w:val="21"/>
        </w:rPr>
      </w:pPr>
    </w:p>
    <w:p>
      <w:pPr>
        <w:spacing w:line="240" w:lineRule="auto"/>
        <w:ind w:firstLine="0" w:firstLineChars="0"/>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object>
          <v:shape id="_x0000_i1026" o:spt="75" type="#_x0000_t75" style="height:215.3pt;width:393.45pt;" o:ole="t" filled="f" o:preferrelative="t" stroked="f" coordsize="21600,21600">
            <v:path/>
            <v:fill on="f" focussize="0,0"/>
            <v:stroke on="f"/>
            <v:imagedata r:id="rId31" o:title=""/>
            <o:lock v:ext="edit" aspectratio="f"/>
            <w10:wrap type="none"/>
            <w10:anchorlock/>
          </v:shape>
          <o:OLEObject Type="Embed" ProgID="Visio.Drawing.15" ShapeID="_x0000_i1026" DrawAspect="Content" ObjectID="_1468075726" r:id="rId30">
            <o:LockedField>false</o:LockedField>
          </o:OLEObject>
        </w:object>
      </w:r>
    </w:p>
    <w:p>
      <w:pPr>
        <w:spacing w:line="240" w:lineRule="auto"/>
        <w:ind w:firstLine="0" w:firstLineChars="0"/>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图5.1  水土流失防治体系框图</w:t>
      </w:r>
    </w:p>
    <w:p>
      <w:pPr>
        <w:pStyle w:val="4"/>
        <w:suppressAutoHyphens/>
        <w:spacing w:before="163" w:beforeLines="50" w:after="163" w:afterLines="50"/>
        <w:rPr>
          <w:rFonts w:hint="default" w:ascii="Times New Roman" w:hAnsi="Times New Roman" w:cs="Times New Roman"/>
          <w:color w:val="auto"/>
          <w:kern w:val="0"/>
        </w:rPr>
      </w:pPr>
      <w:bookmarkStart w:id="134" w:name="_Toc47879806"/>
      <w:r>
        <w:rPr>
          <w:rFonts w:hint="default" w:ascii="Times New Roman" w:hAnsi="Times New Roman" w:cs="Times New Roman"/>
          <w:color w:val="auto"/>
          <w:kern w:val="0"/>
        </w:rPr>
        <w:t>5.3 分区措施布设</w:t>
      </w:r>
      <w:bookmarkEnd w:id="134"/>
    </w:p>
    <w:p>
      <w:pPr>
        <w:pStyle w:val="5"/>
        <w:suppressAutoHyphens/>
        <w:rPr>
          <w:rFonts w:hint="default" w:ascii="Times New Roman" w:hAnsi="Times New Roman" w:cs="Times New Roman"/>
          <w:color w:val="auto"/>
        </w:rPr>
      </w:pPr>
      <w:r>
        <w:rPr>
          <w:rFonts w:hint="default" w:ascii="Times New Roman" w:hAnsi="Times New Roman" w:cs="Times New Roman"/>
          <w:color w:val="auto"/>
        </w:rPr>
        <w:t>5.3.1建筑工程区</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建筑工程区已实施的水保措施是雨水管，施工期对基坑挖方用防雨布遮盖。</w:t>
      </w:r>
    </w:p>
    <w:p>
      <w:pPr>
        <w:ind w:firstLine="482"/>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（1）工程措施</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rPr>
        <w:t>*1）雨水管（已实施）：</w:t>
      </w:r>
      <w:r>
        <w:rPr>
          <w:rFonts w:hint="default" w:ascii="Times New Roman" w:hAnsi="Times New Roman" w:eastAsia="仿宋_GB2312" w:cs="Times New Roman"/>
          <w:color w:val="auto"/>
          <w:szCs w:val="24"/>
        </w:rPr>
        <w:t>主体工程在建筑工程区实施有雨水立管96m，屋面雨水经立管排至地面雨水系统。</w:t>
      </w:r>
    </w:p>
    <w:p>
      <w:pPr>
        <w:ind w:firstLine="482"/>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（2）临时措施</w:t>
      </w:r>
    </w:p>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*1）防雨布遮盖（已实施）：</w:t>
      </w:r>
      <w:r>
        <w:rPr>
          <w:rFonts w:hint="default" w:ascii="Times New Roman" w:hAnsi="Times New Roman" w:eastAsia="仿宋_GB2312" w:cs="Times New Roman"/>
          <w:color w:val="auto"/>
          <w:kern w:val="0"/>
        </w:rPr>
        <w:t>主体在教学综合楼基础施工期间，为防止基坑挖方造成水土流失，已实施防雨布遮盖措施，需防雨布约600m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rPr>
        <w:t>。</w:t>
      </w:r>
    </w:p>
    <w:p>
      <w:pPr>
        <w:spacing w:line="240" w:lineRule="auto"/>
        <w:ind w:firstLine="42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表5-3   建筑工程区水土保持措施工程量表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241"/>
        <w:gridCol w:w="1238"/>
        <w:gridCol w:w="1448"/>
        <w:gridCol w:w="894"/>
        <w:gridCol w:w="1068"/>
        <w:gridCol w:w="24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0" w:hRule="atLeast"/>
          <w:jc w:val="center"/>
        </w:trPr>
        <w:tc>
          <w:tcPr>
            <w:tcW w:w="744" w:type="pct"/>
            <w:vMerge w:val="restart"/>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防治分区</w:t>
            </w:r>
          </w:p>
        </w:tc>
        <w:tc>
          <w:tcPr>
            <w:tcW w:w="742" w:type="pct"/>
            <w:vMerge w:val="restar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措施类型</w:t>
            </w:r>
          </w:p>
        </w:tc>
        <w:tc>
          <w:tcPr>
            <w:tcW w:w="868" w:type="pct"/>
            <w:vMerge w:val="restart"/>
            <w:shd w:val="clear" w:color="auto" w:fill="auto"/>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措施名称</w:t>
            </w:r>
          </w:p>
        </w:tc>
        <w:tc>
          <w:tcPr>
            <w:tcW w:w="1176" w:type="pct"/>
            <w:gridSpan w:val="2"/>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工程量</w:t>
            </w:r>
          </w:p>
        </w:tc>
        <w:tc>
          <w:tcPr>
            <w:tcW w:w="1470" w:type="pct"/>
            <w:vMerge w:val="restart"/>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0" w:hRule="atLeast"/>
          <w:jc w:val="center"/>
        </w:trPr>
        <w:tc>
          <w:tcPr>
            <w:tcW w:w="744" w:type="pct"/>
            <w:vMerge w:val="continue"/>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p>
        </w:tc>
        <w:tc>
          <w:tcPr>
            <w:tcW w:w="742" w:type="pct"/>
            <w:vMerge w:val="continue"/>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p>
        </w:tc>
        <w:tc>
          <w:tcPr>
            <w:tcW w:w="868" w:type="pct"/>
            <w:vMerge w:val="continue"/>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p>
        </w:tc>
        <w:tc>
          <w:tcPr>
            <w:tcW w:w="536"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单位</w:t>
            </w:r>
          </w:p>
        </w:tc>
        <w:tc>
          <w:tcPr>
            <w:tcW w:w="640"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数量</w:t>
            </w:r>
          </w:p>
        </w:tc>
        <w:tc>
          <w:tcPr>
            <w:tcW w:w="1470" w:type="pct"/>
            <w:vMerge w:val="continue"/>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0" w:hRule="atLeast"/>
          <w:jc w:val="center"/>
        </w:trPr>
        <w:tc>
          <w:tcPr>
            <w:tcW w:w="744" w:type="pct"/>
            <w:vMerge w:val="restar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建筑工程区</w:t>
            </w:r>
          </w:p>
        </w:tc>
        <w:tc>
          <w:tcPr>
            <w:tcW w:w="742" w:type="pct"/>
            <w:shd w:val="clear" w:color="auto" w:fill="auto"/>
            <w:tcMar>
              <w:top w:w="13" w:type="dxa"/>
              <w:left w:w="13" w:type="dxa"/>
              <w:bottom w:w="0" w:type="dxa"/>
              <w:right w:w="13" w:type="dxa"/>
            </w:tcMar>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工程措施</w:t>
            </w:r>
          </w:p>
        </w:tc>
        <w:tc>
          <w:tcPr>
            <w:tcW w:w="868"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雨水管</w:t>
            </w:r>
          </w:p>
        </w:tc>
        <w:tc>
          <w:tcPr>
            <w:tcW w:w="536"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m</w:t>
            </w:r>
          </w:p>
        </w:tc>
        <w:tc>
          <w:tcPr>
            <w:tcW w:w="640"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96</w:t>
            </w:r>
          </w:p>
        </w:tc>
        <w:tc>
          <w:tcPr>
            <w:tcW w:w="1470"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主体已有，已实施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0" w:hRule="atLeast"/>
          <w:jc w:val="center"/>
        </w:trPr>
        <w:tc>
          <w:tcPr>
            <w:tcW w:w="744" w:type="pct"/>
            <w:vMerge w:val="continue"/>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p>
        </w:tc>
        <w:tc>
          <w:tcPr>
            <w:tcW w:w="742" w:type="pct"/>
            <w:shd w:val="clear" w:color="auto" w:fill="auto"/>
            <w:tcMar>
              <w:top w:w="13" w:type="dxa"/>
              <w:left w:w="13" w:type="dxa"/>
              <w:bottom w:w="0" w:type="dxa"/>
              <w:right w:w="13" w:type="dxa"/>
            </w:tcMar>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临时措施</w:t>
            </w:r>
          </w:p>
        </w:tc>
        <w:tc>
          <w:tcPr>
            <w:tcW w:w="868"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防雨布遮盖</w:t>
            </w:r>
          </w:p>
        </w:tc>
        <w:tc>
          <w:tcPr>
            <w:tcW w:w="536"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m</w:t>
            </w:r>
            <w:r>
              <w:rPr>
                <w:rFonts w:hint="default" w:ascii="Times New Roman" w:hAnsi="Times New Roman" w:eastAsia="仿宋_GB2312" w:cs="Times New Roman"/>
                <w:color w:val="auto"/>
                <w:sz w:val="18"/>
                <w:szCs w:val="18"/>
                <w:vertAlign w:val="superscript"/>
              </w:rPr>
              <w:t>2</w:t>
            </w:r>
          </w:p>
        </w:tc>
        <w:tc>
          <w:tcPr>
            <w:tcW w:w="640"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600</w:t>
            </w:r>
          </w:p>
        </w:tc>
        <w:tc>
          <w:tcPr>
            <w:tcW w:w="1470"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主体已有，已实施</w:t>
            </w:r>
          </w:p>
        </w:tc>
      </w:tr>
    </w:tbl>
    <w:p>
      <w:pPr>
        <w:pStyle w:val="1102"/>
        <w:rPr>
          <w:rFonts w:hint="default" w:ascii="Times New Roman" w:hAnsi="Times New Roman" w:cs="Times New Roman"/>
          <w:color w:val="auto"/>
        </w:rPr>
      </w:pPr>
    </w:p>
    <w:p>
      <w:pPr>
        <w:pStyle w:val="5"/>
        <w:suppressAutoHyphens/>
        <w:rPr>
          <w:rFonts w:hint="default" w:ascii="Times New Roman" w:hAnsi="Times New Roman" w:cs="Times New Roman"/>
          <w:color w:val="auto"/>
        </w:rPr>
      </w:pPr>
      <w:r>
        <w:rPr>
          <w:rFonts w:hint="default" w:ascii="Times New Roman" w:hAnsi="Times New Roman" w:cs="Times New Roman"/>
          <w:color w:val="auto"/>
        </w:rPr>
        <w:t>5.3.2道路工程区</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建筑工程区已实施的水保措施是雨水管，施工期对基坑挖方用防雨布遮盖。</w:t>
      </w:r>
    </w:p>
    <w:p>
      <w:pPr>
        <w:ind w:firstLine="482"/>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（1）工程措施</w:t>
      </w:r>
    </w:p>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*1）雨水管（已实施）：道路区域实施雨水管200m（管径DN100，硬质聚氯乙烯(UPVC)）。</w:t>
      </w:r>
      <w:r>
        <w:rPr>
          <w:rFonts w:hint="default" w:ascii="Times New Roman" w:hAnsi="Times New Roman" w:eastAsia="仿宋_GB2312" w:cs="Times New Roman"/>
          <w:color w:val="auto"/>
          <w:kern w:val="0"/>
        </w:rPr>
        <w:t>假如没有雨水管，场地易形成内涝；同时雨水管也能接收屋面雨水，其能有效排泄项目区径流，具有较好的水土保持功能。</w:t>
      </w:r>
    </w:p>
    <w:p>
      <w:pPr>
        <w:ind w:firstLine="482"/>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（2）临时措施</w:t>
      </w:r>
    </w:p>
    <w:p>
      <w:pPr>
        <w:pStyle w:val="1102"/>
        <w:rPr>
          <w:rFonts w:hint="default" w:ascii="Times New Roman" w:hAnsi="Times New Roman" w:cs="Times New Roman"/>
          <w:color w:val="auto"/>
        </w:rPr>
      </w:pPr>
      <w:r>
        <w:rPr>
          <w:rFonts w:hint="default" w:ascii="Times New Roman" w:hAnsi="Times New Roman" w:cs="Times New Roman"/>
          <w:color w:val="auto"/>
        </w:rPr>
        <w:t>*1）防雨布遮盖（已实施）：</w:t>
      </w:r>
      <w:r>
        <w:rPr>
          <w:rFonts w:hint="default" w:ascii="Times New Roman" w:hAnsi="Times New Roman" w:cs="Times New Roman"/>
          <w:color w:val="auto"/>
          <w:kern w:val="0"/>
        </w:rPr>
        <w:t>主体在综合管线沟槽开挖期间，为防止挖方造成水土流失，已实施防雨布遮盖措施，实施防雨布遮盖约400m</w:t>
      </w:r>
      <w:r>
        <w:rPr>
          <w:rFonts w:hint="default" w:ascii="Times New Roman" w:hAnsi="Times New Roman" w:cs="Times New Roman"/>
          <w:color w:val="auto"/>
          <w:kern w:val="0"/>
          <w:vertAlign w:val="superscript"/>
        </w:rPr>
        <w:t>2</w:t>
      </w:r>
    </w:p>
    <w:p>
      <w:pPr>
        <w:spacing w:line="240" w:lineRule="auto"/>
        <w:ind w:firstLine="42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表5-4   道路工程区水土保持措施工程量表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241"/>
        <w:gridCol w:w="1238"/>
        <w:gridCol w:w="1448"/>
        <w:gridCol w:w="894"/>
        <w:gridCol w:w="1068"/>
        <w:gridCol w:w="24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0" w:hRule="atLeast"/>
          <w:jc w:val="center"/>
        </w:trPr>
        <w:tc>
          <w:tcPr>
            <w:tcW w:w="744" w:type="pct"/>
            <w:vMerge w:val="restart"/>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防治分区</w:t>
            </w:r>
          </w:p>
        </w:tc>
        <w:tc>
          <w:tcPr>
            <w:tcW w:w="742" w:type="pct"/>
            <w:vMerge w:val="restar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措施类型</w:t>
            </w:r>
          </w:p>
        </w:tc>
        <w:tc>
          <w:tcPr>
            <w:tcW w:w="868" w:type="pct"/>
            <w:vMerge w:val="restart"/>
            <w:shd w:val="clear" w:color="auto" w:fill="auto"/>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措施名称</w:t>
            </w:r>
          </w:p>
        </w:tc>
        <w:tc>
          <w:tcPr>
            <w:tcW w:w="1176" w:type="pct"/>
            <w:gridSpan w:val="2"/>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工程量</w:t>
            </w:r>
          </w:p>
        </w:tc>
        <w:tc>
          <w:tcPr>
            <w:tcW w:w="1470" w:type="pct"/>
            <w:vMerge w:val="restart"/>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0" w:hRule="atLeast"/>
          <w:jc w:val="center"/>
        </w:trPr>
        <w:tc>
          <w:tcPr>
            <w:tcW w:w="744" w:type="pct"/>
            <w:vMerge w:val="continue"/>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p>
        </w:tc>
        <w:tc>
          <w:tcPr>
            <w:tcW w:w="742" w:type="pct"/>
            <w:vMerge w:val="continue"/>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p>
        </w:tc>
        <w:tc>
          <w:tcPr>
            <w:tcW w:w="868" w:type="pct"/>
            <w:vMerge w:val="continue"/>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p>
        </w:tc>
        <w:tc>
          <w:tcPr>
            <w:tcW w:w="536"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单位</w:t>
            </w:r>
          </w:p>
        </w:tc>
        <w:tc>
          <w:tcPr>
            <w:tcW w:w="640"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数量</w:t>
            </w:r>
          </w:p>
        </w:tc>
        <w:tc>
          <w:tcPr>
            <w:tcW w:w="1470" w:type="pct"/>
            <w:vMerge w:val="continue"/>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0" w:hRule="atLeast"/>
          <w:jc w:val="center"/>
        </w:trPr>
        <w:tc>
          <w:tcPr>
            <w:tcW w:w="744" w:type="pct"/>
            <w:vMerge w:val="restar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道路工程区</w:t>
            </w:r>
          </w:p>
        </w:tc>
        <w:tc>
          <w:tcPr>
            <w:tcW w:w="742" w:type="pct"/>
            <w:shd w:val="clear" w:color="auto" w:fill="auto"/>
            <w:tcMar>
              <w:top w:w="13" w:type="dxa"/>
              <w:left w:w="13" w:type="dxa"/>
              <w:bottom w:w="0" w:type="dxa"/>
              <w:right w:w="13" w:type="dxa"/>
            </w:tcMar>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工程措施</w:t>
            </w:r>
          </w:p>
        </w:tc>
        <w:tc>
          <w:tcPr>
            <w:tcW w:w="868"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雨水管</w:t>
            </w:r>
          </w:p>
        </w:tc>
        <w:tc>
          <w:tcPr>
            <w:tcW w:w="536"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m</w:t>
            </w:r>
          </w:p>
        </w:tc>
        <w:tc>
          <w:tcPr>
            <w:tcW w:w="640"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200</w:t>
            </w:r>
          </w:p>
        </w:tc>
        <w:tc>
          <w:tcPr>
            <w:tcW w:w="1470"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主体已有，已实施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0" w:hRule="atLeast"/>
          <w:jc w:val="center"/>
        </w:trPr>
        <w:tc>
          <w:tcPr>
            <w:tcW w:w="744" w:type="pct"/>
            <w:vMerge w:val="continue"/>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p>
        </w:tc>
        <w:tc>
          <w:tcPr>
            <w:tcW w:w="742" w:type="pct"/>
            <w:shd w:val="clear" w:color="auto" w:fill="auto"/>
            <w:tcMar>
              <w:top w:w="13" w:type="dxa"/>
              <w:left w:w="13" w:type="dxa"/>
              <w:bottom w:w="0" w:type="dxa"/>
              <w:right w:w="13" w:type="dxa"/>
            </w:tcMar>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临时措施</w:t>
            </w:r>
          </w:p>
        </w:tc>
        <w:tc>
          <w:tcPr>
            <w:tcW w:w="868"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防雨布遮盖</w:t>
            </w:r>
          </w:p>
        </w:tc>
        <w:tc>
          <w:tcPr>
            <w:tcW w:w="536"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m</w:t>
            </w:r>
            <w:r>
              <w:rPr>
                <w:rFonts w:hint="default" w:ascii="Times New Roman" w:hAnsi="Times New Roman" w:eastAsia="仿宋_GB2312" w:cs="Times New Roman"/>
                <w:color w:val="auto"/>
                <w:sz w:val="18"/>
                <w:szCs w:val="18"/>
                <w:vertAlign w:val="superscript"/>
              </w:rPr>
              <w:t>2</w:t>
            </w:r>
          </w:p>
        </w:tc>
        <w:tc>
          <w:tcPr>
            <w:tcW w:w="640"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400</w:t>
            </w:r>
          </w:p>
        </w:tc>
        <w:tc>
          <w:tcPr>
            <w:tcW w:w="1470"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主体已有，已实施</w:t>
            </w:r>
          </w:p>
        </w:tc>
      </w:tr>
    </w:tbl>
    <w:p>
      <w:pPr>
        <w:pStyle w:val="5"/>
        <w:suppressAutoHyphens/>
        <w:rPr>
          <w:rFonts w:hint="default" w:ascii="Times New Roman" w:hAnsi="Times New Roman" w:cs="Times New Roman"/>
          <w:color w:val="auto"/>
        </w:rPr>
      </w:pPr>
      <w:r>
        <w:rPr>
          <w:rFonts w:hint="default" w:ascii="Times New Roman" w:hAnsi="Times New Roman" w:cs="Times New Roman"/>
          <w:color w:val="auto"/>
        </w:rPr>
        <w:t>5.3.3绿化工程区</w:t>
      </w:r>
    </w:p>
    <w:p>
      <w:pPr>
        <w:ind w:firstLine="482"/>
        <w:rPr>
          <w:rFonts w:hint="eastAsia" w:eastAsia="仿宋_GB2312" w:cs="Times New Roman"/>
          <w:color w:val="auto"/>
          <w:lang w:eastAsia="zh-CN"/>
        </w:rPr>
      </w:pPr>
      <w:r>
        <w:rPr>
          <w:rFonts w:hint="default" w:ascii="Times New Roman" w:hAnsi="Times New Roman" w:eastAsia="仿宋_GB2312" w:cs="Times New Roman"/>
          <w:color w:val="auto"/>
          <w:lang w:eastAsia="zh-CN"/>
        </w:rPr>
        <w:t>景观绿化区由于后期管线开挖施工，造成一定扰动、破坏；</w:t>
      </w:r>
      <w:r>
        <w:rPr>
          <w:rFonts w:hint="default" w:ascii="Times New Roman" w:hAnsi="Times New Roman" w:eastAsia="仿宋_GB2312" w:cs="Times New Roman"/>
          <w:color w:val="auto"/>
        </w:rPr>
        <w:t>从现状场地看草坪绿化基本覆盖裸露地表，植被盖度较高；后续电缆敷设对景观绿地进行了扰动、破坏，造成了一定的裸露地表，存在少量临时堆方，这些区域在雨季易造成水土流失</w:t>
      </w:r>
      <w:r>
        <w:rPr>
          <w:rFonts w:hint="default" w:ascii="Times New Roman" w:hAnsi="Times New Roman" w:eastAsia="仿宋_GB2312" w:cs="Times New Roman"/>
          <w:color w:val="auto"/>
          <w:lang w:eastAsia="zh-CN"/>
        </w:rPr>
        <w:t>；方案新增土地整治、撒播草籽、抚育管理措施</w:t>
      </w:r>
      <w:r>
        <w:rPr>
          <w:rFonts w:hint="eastAsia" w:eastAsia="仿宋_GB2312" w:cs="Times New Roman"/>
          <w:color w:val="auto"/>
          <w:lang w:eastAsia="zh-CN"/>
        </w:rPr>
        <w:t>。</w:t>
      </w:r>
    </w:p>
    <w:p>
      <w:pPr>
        <w:ind w:firstLine="482"/>
        <w:rPr>
          <w:rFonts w:hint="default" w:ascii="Times New Roman" w:hAnsi="Times New Roman" w:eastAsia="仿宋_GB2312" w:cs="Times New Roman"/>
          <w:b/>
          <w:color w:val="auto"/>
          <w:lang w:eastAsia="zh-CN"/>
        </w:rPr>
      </w:pPr>
      <w:r>
        <w:rPr>
          <w:rFonts w:hint="default" w:ascii="Times New Roman" w:hAnsi="Times New Roman" w:eastAsia="仿宋_GB2312" w:cs="Times New Roman"/>
          <w:b/>
          <w:color w:val="auto"/>
          <w:lang w:eastAsia="zh-CN"/>
        </w:rPr>
        <w:t>（</w:t>
      </w:r>
      <w:r>
        <w:rPr>
          <w:rFonts w:hint="default" w:ascii="Times New Roman" w:hAnsi="Times New Roman" w:eastAsia="仿宋_GB2312" w:cs="Times New Roman"/>
          <w:b/>
          <w:color w:val="auto"/>
          <w:lang w:val="en-US" w:eastAsia="zh-CN"/>
        </w:rPr>
        <w:t>1</w:t>
      </w:r>
      <w:r>
        <w:rPr>
          <w:rFonts w:hint="default" w:ascii="Times New Roman" w:hAnsi="Times New Roman" w:eastAsia="仿宋_GB2312" w:cs="Times New Roman"/>
          <w:b/>
          <w:color w:val="auto"/>
          <w:lang w:eastAsia="zh-CN"/>
        </w:rPr>
        <w:t>）工程措施</w:t>
      </w:r>
    </w:p>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r>
        <w:rPr>
          <w:rFonts w:hint="default" w:ascii="Times New Roman" w:hAnsi="Times New Roman" w:eastAsia="仿宋_GB2312" w:cs="Times New Roman"/>
          <w:color w:val="auto"/>
          <w:lang w:val="en-US" w:eastAsia="zh-CN"/>
        </w:rPr>
        <w:t>1</w:t>
      </w:r>
      <w:r>
        <w:rPr>
          <w:rFonts w:hint="default" w:ascii="Times New Roman" w:hAnsi="Times New Roman" w:eastAsia="仿宋_GB2312" w:cs="Times New Roman"/>
          <w:color w:val="auto"/>
        </w:rPr>
        <w:t>）土地整治（方案新增，未实施）：</w:t>
      </w:r>
      <w:r>
        <w:rPr>
          <w:rFonts w:hint="default" w:ascii="Times New Roman" w:hAnsi="Times New Roman" w:eastAsia="仿宋_GB2312" w:cs="Times New Roman"/>
          <w:color w:val="auto"/>
          <w:lang w:eastAsia="zh-CN"/>
        </w:rPr>
        <w:t>为</w:t>
      </w:r>
      <w:r>
        <w:rPr>
          <w:rFonts w:hint="default" w:ascii="Times New Roman" w:hAnsi="Times New Roman" w:eastAsia="仿宋_GB2312" w:cs="Times New Roman"/>
          <w:color w:val="auto"/>
          <w:szCs w:val="24"/>
        </w:rPr>
        <w:t>植物生长尤其是根的发育创造适宜的土壤条件。待</w:t>
      </w:r>
      <w:r>
        <w:rPr>
          <w:rFonts w:hint="default" w:ascii="Times New Roman" w:hAnsi="Times New Roman" w:eastAsia="仿宋_GB2312" w:cs="Times New Roman"/>
          <w:color w:val="auto"/>
          <w:szCs w:val="24"/>
          <w:lang w:eastAsia="zh-CN"/>
        </w:rPr>
        <w:t>撒播草籽前</w:t>
      </w:r>
      <w:r>
        <w:rPr>
          <w:rFonts w:hint="default" w:ascii="Times New Roman" w:hAnsi="Times New Roman" w:eastAsia="仿宋_GB2312" w:cs="Times New Roman"/>
          <w:color w:val="auto"/>
          <w:szCs w:val="24"/>
        </w:rPr>
        <w:t>对景观绿化区进行覆土、平整土地、施肥、翻地、碎土等措施，完成后进行植树种草；土地整治面积0.</w:t>
      </w:r>
      <w:r>
        <w:rPr>
          <w:rFonts w:hint="default" w:ascii="Times New Roman" w:hAnsi="Times New Roman" w:eastAsia="仿宋_GB2312" w:cs="Times New Roman"/>
          <w:color w:val="auto"/>
          <w:szCs w:val="24"/>
          <w:lang w:val="en-US" w:eastAsia="zh-CN"/>
        </w:rPr>
        <w:t>03</w:t>
      </w:r>
      <w:r>
        <w:rPr>
          <w:rFonts w:hint="default" w:ascii="Times New Roman" w:hAnsi="Times New Roman" w:eastAsia="仿宋_GB2312" w:cs="Times New Roman"/>
          <w:color w:val="auto"/>
          <w:szCs w:val="24"/>
        </w:rPr>
        <w:t>hm</w:t>
      </w:r>
      <w:r>
        <w:rPr>
          <w:rFonts w:hint="default" w:ascii="Times New Roman" w:hAnsi="Times New Roman" w:eastAsia="仿宋_GB2312" w:cs="Times New Roman"/>
          <w:color w:val="auto"/>
          <w:szCs w:val="24"/>
          <w:vertAlign w:val="superscript"/>
        </w:rPr>
        <w:t>2</w:t>
      </w:r>
      <w:r>
        <w:rPr>
          <w:rFonts w:hint="default" w:ascii="Times New Roman" w:hAnsi="Times New Roman" w:eastAsia="仿宋_GB2312" w:cs="Times New Roman"/>
          <w:color w:val="auto"/>
          <w:szCs w:val="24"/>
        </w:rPr>
        <w:t>。</w:t>
      </w:r>
    </w:p>
    <w:p>
      <w:pPr>
        <w:ind w:firstLine="482"/>
        <w:rPr>
          <w:rFonts w:hint="default" w:ascii="Times New Roman" w:hAnsi="Times New Roman" w:eastAsia="仿宋_GB2312" w:cs="Times New Roman"/>
          <w:b/>
          <w:color w:val="auto"/>
          <w:lang w:eastAsia="zh-CN"/>
        </w:rPr>
      </w:pPr>
      <w:r>
        <w:rPr>
          <w:rFonts w:hint="default" w:ascii="Times New Roman" w:hAnsi="Times New Roman" w:eastAsia="仿宋_GB2312" w:cs="Times New Roman"/>
          <w:b/>
          <w:color w:val="auto"/>
          <w:lang w:eastAsia="zh-CN"/>
        </w:rPr>
        <w:t>（</w:t>
      </w:r>
      <w:r>
        <w:rPr>
          <w:rFonts w:hint="default" w:ascii="Times New Roman" w:hAnsi="Times New Roman" w:eastAsia="仿宋_GB2312" w:cs="Times New Roman"/>
          <w:b/>
          <w:color w:val="auto"/>
          <w:lang w:val="en-US" w:eastAsia="zh-CN"/>
        </w:rPr>
        <w:t>2</w:t>
      </w:r>
      <w:r>
        <w:rPr>
          <w:rFonts w:hint="default" w:ascii="Times New Roman" w:hAnsi="Times New Roman" w:eastAsia="仿宋_GB2312" w:cs="Times New Roman"/>
          <w:b/>
          <w:color w:val="auto"/>
          <w:lang w:eastAsia="zh-CN"/>
        </w:rPr>
        <w:t>）植物措施</w:t>
      </w:r>
    </w:p>
    <w:p>
      <w:pPr>
        <w:ind w:firstLine="480"/>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*1）草坪绿化（主体已有，已实施）：主体工程实施绿地面积0.03hm</w:t>
      </w:r>
      <w:r>
        <w:rPr>
          <w:rFonts w:hint="default" w:ascii="Times New Roman" w:hAnsi="Times New Roman" w:eastAsia="仿宋_GB2312" w:cs="Times New Roman"/>
          <w:color w:val="auto"/>
          <w:vertAlign w:val="superscript"/>
          <w:lang w:val="en-US" w:eastAsia="zh-CN"/>
        </w:rPr>
        <w:t>2</w:t>
      </w:r>
      <w:r>
        <w:rPr>
          <w:rFonts w:hint="default" w:ascii="Times New Roman" w:hAnsi="Times New Roman" w:eastAsia="仿宋_GB2312" w:cs="Times New Roman"/>
          <w:color w:val="auto"/>
          <w:lang w:val="en-US" w:eastAsia="zh-CN"/>
        </w:rPr>
        <w:t>，景观绿化在美化环境的同时能避免场地裸露，能减少雨滴击溅侵蚀，有效增加地表径流蓄渗；植物措施的实施一方面使得地表径流就地蓄渗，有利于林草植被成活；另一方面，有效降低地表径流量，从而减轻雨水设施排洪压力。</w:t>
      </w:r>
    </w:p>
    <w:p>
      <w:pPr>
        <w:ind w:firstLine="480"/>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t>*2）撒播草籽（水保新增，未实施）：在整地的基础上进撒播草籽，草种采用披碱草，播撒密度为80kg/hm</w:t>
      </w:r>
      <w:r>
        <w:rPr>
          <w:rFonts w:hint="default" w:ascii="Times New Roman" w:hAnsi="Times New Roman" w:eastAsia="仿宋_GB2312" w:cs="Times New Roman"/>
          <w:color w:val="auto"/>
          <w:vertAlign w:val="superscript"/>
          <w:lang w:val="en-US" w:eastAsia="zh-CN"/>
        </w:rPr>
        <w:t>2</w:t>
      </w:r>
      <w:r>
        <w:rPr>
          <w:rFonts w:hint="default" w:ascii="Times New Roman" w:hAnsi="Times New Roman" w:eastAsia="仿宋_GB2312" w:cs="Times New Roman"/>
          <w:color w:val="auto"/>
          <w:lang w:val="en-US" w:eastAsia="zh-CN"/>
        </w:rPr>
        <w:t>，撒播面积为0.03hm</w:t>
      </w:r>
      <w:r>
        <w:rPr>
          <w:rFonts w:hint="default" w:ascii="Times New Roman" w:hAnsi="Times New Roman" w:eastAsia="仿宋_GB2312" w:cs="Times New Roman"/>
          <w:color w:val="auto"/>
          <w:vertAlign w:val="superscript"/>
          <w:lang w:val="en-US" w:eastAsia="zh-CN"/>
        </w:rPr>
        <w:t>2</w:t>
      </w:r>
      <w:r>
        <w:rPr>
          <w:rFonts w:hint="default" w:ascii="Times New Roman" w:hAnsi="Times New Roman" w:eastAsia="仿宋_GB2312" w:cs="Times New Roman"/>
          <w:color w:val="auto"/>
          <w:lang w:val="en-US" w:eastAsia="zh-CN"/>
        </w:rPr>
        <w:t>，播种量为2.4kg。种子级别为一级，发芽率不低于85%。</w:t>
      </w:r>
    </w:p>
    <w:p>
      <w:pPr>
        <w:ind w:firstLine="480"/>
        <w:rPr>
          <w:rFonts w:hint="default" w:ascii="Times New Roman" w:hAnsi="Times New Roman" w:eastAsia="仿宋_GB2312" w:cs="Times New Roman"/>
          <w:color w:val="auto"/>
          <w:szCs w:val="24"/>
          <w:lang w:eastAsia="zh-CN"/>
        </w:rPr>
      </w:pPr>
      <w:r>
        <w:rPr>
          <w:rFonts w:hint="default" w:ascii="Times New Roman" w:hAnsi="Times New Roman" w:eastAsia="仿宋_GB2312" w:cs="Times New Roman"/>
          <w:color w:val="auto"/>
          <w:szCs w:val="24"/>
          <w:lang w:eastAsia="zh-CN"/>
        </w:rPr>
        <w:t>*</w:t>
      </w:r>
      <w:r>
        <w:rPr>
          <w:rFonts w:hint="default" w:ascii="Times New Roman" w:hAnsi="Times New Roman" w:eastAsia="仿宋_GB2312" w:cs="Times New Roman"/>
          <w:color w:val="auto"/>
          <w:szCs w:val="24"/>
          <w:lang w:val="en-US" w:eastAsia="zh-CN"/>
        </w:rPr>
        <w:t>3</w:t>
      </w:r>
      <w:r>
        <w:rPr>
          <w:rFonts w:hint="default" w:ascii="Times New Roman" w:hAnsi="Times New Roman" w:eastAsia="仿宋_GB2312" w:cs="Times New Roman"/>
          <w:color w:val="auto"/>
          <w:szCs w:val="24"/>
          <w:lang w:eastAsia="zh-CN"/>
        </w:rPr>
        <w:t>）抚育管理（方案新增，未实施）：植被实施完毕后，在自然恢复期和林草恢复期，方案新增抚育管理措施，具体包括施肥，除虫，还苗等；抚育管理面积0.</w:t>
      </w:r>
      <w:r>
        <w:rPr>
          <w:rFonts w:hint="default" w:ascii="Times New Roman" w:hAnsi="Times New Roman" w:eastAsia="仿宋_GB2312" w:cs="Times New Roman"/>
          <w:color w:val="auto"/>
          <w:szCs w:val="24"/>
          <w:lang w:val="en-US" w:eastAsia="zh-CN"/>
        </w:rPr>
        <w:t>03</w:t>
      </w:r>
      <w:r>
        <w:rPr>
          <w:rFonts w:hint="default" w:ascii="Times New Roman" w:hAnsi="Times New Roman" w:eastAsia="仿宋_GB2312" w:cs="Times New Roman"/>
          <w:color w:val="auto"/>
          <w:szCs w:val="24"/>
          <w:lang w:eastAsia="zh-CN"/>
        </w:rPr>
        <w:t>hm</w:t>
      </w:r>
      <w:r>
        <w:rPr>
          <w:rFonts w:hint="default" w:ascii="Times New Roman" w:hAnsi="Times New Roman" w:eastAsia="仿宋_GB2312" w:cs="Times New Roman"/>
          <w:color w:val="auto"/>
          <w:szCs w:val="24"/>
          <w:vertAlign w:val="superscript"/>
          <w:lang w:eastAsia="zh-CN"/>
        </w:rPr>
        <w:t>2</w:t>
      </w:r>
      <w:r>
        <w:rPr>
          <w:rFonts w:hint="default" w:ascii="Times New Roman" w:hAnsi="Times New Roman" w:eastAsia="仿宋_GB2312" w:cs="Times New Roman"/>
          <w:color w:val="auto"/>
          <w:szCs w:val="24"/>
          <w:lang w:eastAsia="zh-CN"/>
        </w:rPr>
        <w:t>。</w:t>
      </w:r>
    </w:p>
    <w:p>
      <w:pPr>
        <w:spacing w:line="240" w:lineRule="auto"/>
        <w:ind w:firstLine="42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表5-5   景观绿化区水土保持措施工程量表</w:t>
      </w:r>
    </w:p>
    <w:tbl>
      <w:tblPr>
        <w:tblStyle w:val="61"/>
        <w:tblW w:w="505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252"/>
        <w:gridCol w:w="1252"/>
        <w:gridCol w:w="1463"/>
        <w:gridCol w:w="903"/>
        <w:gridCol w:w="1080"/>
        <w:gridCol w:w="24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0" w:hRule="atLeast"/>
          <w:jc w:val="center"/>
        </w:trPr>
        <w:tc>
          <w:tcPr>
            <w:tcW w:w="742" w:type="pct"/>
            <w:vMerge w:val="restart"/>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防治分区</w:t>
            </w:r>
          </w:p>
        </w:tc>
        <w:tc>
          <w:tcPr>
            <w:tcW w:w="742" w:type="pct"/>
            <w:vMerge w:val="restar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措施类型</w:t>
            </w:r>
          </w:p>
        </w:tc>
        <w:tc>
          <w:tcPr>
            <w:tcW w:w="867" w:type="pct"/>
            <w:vMerge w:val="restart"/>
            <w:shd w:val="clear" w:color="auto" w:fill="auto"/>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措施名称</w:t>
            </w:r>
          </w:p>
        </w:tc>
        <w:tc>
          <w:tcPr>
            <w:tcW w:w="1175" w:type="pct"/>
            <w:gridSpan w:val="2"/>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工程量</w:t>
            </w:r>
          </w:p>
        </w:tc>
        <w:tc>
          <w:tcPr>
            <w:tcW w:w="1471" w:type="pct"/>
            <w:vMerge w:val="restart"/>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0" w:hRule="atLeast"/>
          <w:jc w:val="center"/>
        </w:trPr>
        <w:tc>
          <w:tcPr>
            <w:tcW w:w="742" w:type="pct"/>
            <w:vMerge w:val="continue"/>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p>
        </w:tc>
        <w:tc>
          <w:tcPr>
            <w:tcW w:w="742" w:type="pct"/>
            <w:vMerge w:val="continue"/>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p>
        </w:tc>
        <w:tc>
          <w:tcPr>
            <w:tcW w:w="867" w:type="pct"/>
            <w:vMerge w:val="continue"/>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p>
        </w:tc>
        <w:tc>
          <w:tcPr>
            <w:tcW w:w="535"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单位</w:t>
            </w:r>
          </w:p>
        </w:tc>
        <w:tc>
          <w:tcPr>
            <w:tcW w:w="640"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数量</w:t>
            </w:r>
          </w:p>
        </w:tc>
        <w:tc>
          <w:tcPr>
            <w:tcW w:w="1471" w:type="pct"/>
            <w:vMerge w:val="continue"/>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0" w:hRule="atLeast"/>
          <w:jc w:val="center"/>
        </w:trPr>
        <w:tc>
          <w:tcPr>
            <w:tcW w:w="742" w:type="pct"/>
            <w:vMerge w:val="restar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景观绿化区</w:t>
            </w:r>
          </w:p>
        </w:tc>
        <w:tc>
          <w:tcPr>
            <w:tcW w:w="742" w:type="pct"/>
            <w:shd w:val="clear" w:color="auto" w:fill="auto"/>
            <w:tcMar>
              <w:top w:w="13" w:type="dxa"/>
              <w:left w:w="13" w:type="dxa"/>
              <w:bottom w:w="0" w:type="dxa"/>
              <w:right w:w="13" w:type="dxa"/>
            </w:tcMar>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工程措施</w:t>
            </w:r>
          </w:p>
        </w:tc>
        <w:tc>
          <w:tcPr>
            <w:tcW w:w="867"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土地整治</w:t>
            </w:r>
          </w:p>
        </w:tc>
        <w:tc>
          <w:tcPr>
            <w:tcW w:w="535"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h</w:t>
            </w:r>
            <w:r>
              <w:rPr>
                <w:rFonts w:hint="default" w:ascii="Times New Roman" w:hAnsi="Times New Roman" w:eastAsia="仿宋_GB2312" w:cs="Times New Roman"/>
                <w:color w:val="auto"/>
                <w:sz w:val="18"/>
                <w:szCs w:val="18"/>
              </w:rPr>
              <w:t>m</w:t>
            </w:r>
            <w:r>
              <w:rPr>
                <w:rFonts w:hint="default" w:ascii="Times New Roman" w:hAnsi="Times New Roman" w:eastAsia="仿宋_GB2312" w:cs="Times New Roman"/>
                <w:color w:val="auto"/>
                <w:sz w:val="18"/>
                <w:szCs w:val="18"/>
                <w:vertAlign w:val="superscript"/>
                <w:lang w:val="en-US" w:eastAsia="zh-CN"/>
              </w:rPr>
              <w:t>2</w:t>
            </w:r>
          </w:p>
        </w:tc>
        <w:tc>
          <w:tcPr>
            <w:tcW w:w="640"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kern w:val="0"/>
                <w:sz w:val="18"/>
                <w:szCs w:val="18"/>
                <w:lang w:val="en-US" w:eastAsia="zh-CN"/>
              </w:rPr>
              <w:t>0.03</w:t>
            </w:r>
          </w:p>
        </w:tc>
        <w:tc>
          <w:tcPr>
            <w:tcW w:w="1471"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水保新增，未实施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0" w:hRule="atLeast"/>
          <w:jc w:val="center"/>
        </w:trPr>
        <w:tc>
          <w:tcPr>
            <w:tcW w:w="742" w:type="pct"/>
            <w:vMerge w:val="continue"/>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p>
        </w:tc>
        <w:tc>
          <w:tcPr>
            <w:tcW w:w="742" w:type="pct"/>
            <w:vMerge w:val="restart"/>
            <w:shd w:val="clear" w:color="auto" w:fill="auto"/>
            <w:tcMar>
              <w:top w:w="13" w:type="dxa"/>
              <w:left w:w="13" w:type="dxa"/>
              <w:bottom w:w="0" w:type="dxa"/>
              <w:right w:w="13" w:type="dxa"/>
            </w:tcMar>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植物措施</w:t>
            </w:r>
          </w:p>
        </w:tc>
        <w:tc>
          <w:tcPr>
            <w:tcW w:w="867"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草坪绿化</w:t>
            </w:r>
          </w:p>
        </w:tc>
        <w:tc>
          <w:tcPr>
            <w:tcW w:w="535"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h</w:t>
            </w:r>
            <w:r>
              <w:rPr>
                <w:rFonts w:hint="default" w:ascii="Times New Roman" w:hAnsi="Times New Roman" w:eastAsia="仿宋_GB2312" w:cs="Times New Roman"/>
                <w:color w:val="auto"/>
                <w:sz w:val="18"/>
                <w:szCs w:val="18"/>
              </w:rPr>
              <w:t>m</w:t>
            </w:r>
            <w:r>
              <w:rPr>
                <w:rFonts w:hint="default" w:ascii="Times New Roman" w:hAnsi="Times New Roman" w:eastAsia="仿宋_GB2312" w:cs="Times New Roman"/>
                <w:color w:val="auto"/>
                <w:sz w:val="18"/>
                <w:szCs w:val="18"/>
                <w:vertAlign w:val="superscript"/>
                <w:lang w:val="en-US" w:eastAsia="zh-CN"/>
              </w:rPr>
              <w:t>2</w:t>
            </w:r>
          </w:p>
        </w:tc>
        <w:tc>
          <w:tcPr>
            <w:tcW w:w="640"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0.03</w:t>
            </w:r>
          </w:p>
        </w:tc>
        <w:tc>
          <w:tcPr>
            <w:tcW w:w="1471"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主体已有，已实施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0" w:hRule="atLeast"/>
          <w:jc w:val="center"/>
        </w:trPr>
        <w:tc>
          <w:tcPr>
            <w:tcW w:w="742" w:type="pct"/>
            <w:vMerge w:val="continue"/>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p>
        </w:tc>
        <w:tc>
          <w:tcPr>
            <w:tcW w:w="742" w:type="pct"/>
            <w:vMerge w:val="continue"/>
            <w:shd w:val="clear" w:color="auto" w:fill="auto"/>
            <w:tcMar>
              <w:top w:w="13" w:type="dxa"/>
              <w:left w:w="13" w:type="dxa"/>
              <w:bottom w:w="0" w:type="dxa"/>
              <w:right w:w="13" w:type="dxa"/>
            </w:tcMar>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lang w:eastAsia="zh-CN"/>
              </w:rPr>
            </w:pPr>
          </w:p>
        </w:tc>
        <w:tc>
          <w:tcPr>
            <w:tcW w:w="867"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撒播草籽</w:t>
            </w:r>
          </w:p>
        </w:tc>
        <w:tc>
          <w:tcPr>
            <w:tcW w:w="535"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h</w:t>
            </w:r>
            <w:r>
              <w:rPr>
                <w:rFonts w:hint="default" w:ascii="Times New Roman" w:hAnsi="Times New Roman" w:eastAsia="仿宋_GB2312" w:cs="Times New Roman"/>
                <w:color w:val="auto"/>
                <w:sz w:val="18"/>
                <w:szCs w:val="18"/>
              </w:rPr>
              <w:t>m</w:t>
            </w:r>
            <w:r>
              <w:rPr>
                <w:rFonts w:hint="default" w:ascii="Times New Roman" w:hAnsi="Times New Roman" w:eastAsia="仿宋_GB2312" w:cs="Times New Roman"/>
                <w:color w:val="auto"/>
                <w:sz w:val="18"/>
                <w:szCs w:val="18"/>
                <w:vertAlign w:val="superscript"/>
                <w:lang w:val="en-US" w:eastAsia="zh-CN"/>
              </w:rPr>
              <w:t>2</w:t>
            </w:r>
          </w:p>
        </w:tc>
        <w:tc>
          <w:tcPr>
            <w:tcW w:w="640"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0.03</w:t>
            </w:r>
          </w:p>
        </w:tc>
        <w:tc>
          <w:tcPr>
            <w:tcW w:w="1471"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eastAsia="zh-CN"/>
              </w:rPr>
              <w:t>水保新增，未实施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0" w:hRule="atLeast"/>
          <w:jc w:val="center"/>
        </w:trPr>
        <w:tc>
          <w:tcPr>
            <w:tcW w:w="742" w:type="pct"/>
            <w:vMerge w:val="continue"/>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p>
        </w:tc>
        <w:tc>
          <w:tcPr>
            <w:tcW w:w="742" w:type="pct"/>
            <w:vMerge w:val="continue"/>
            <w:shd w:val="clear" w:color="auto" w:fill="auto"/>
            <w:tcMar>
              <w:top w:w="13" w:type="dxa"/>
              <w:left w:w="13" w:type="dxa"/>
              <w:bottom w:w="0" w:type="dxa"/>
              <w:right w:w="13" w:type="dxa"/>
            </w:tcMar>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lang w:eastAsia="zh-CN"/>
              </w:rPr>
            </w:pPr>
          </w:p>
        </w:tc>
        <w:tc>
          <w:tcPr>
            <w:tcW w:w="867"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抚育管理</w:t>
            </w:r>
          </w:p>
        </w:tc>
        <w:tc>
          <w:tcPr>
            <w:tcW w:w="535"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h</w:t>
            </w:r>
            <w:r>
              <w:rPr>
                <w:rFonts w:hint="default" w:ascii="Times New Roman" w:hAnsi="Times New Roman" w:eastAsia="仿宋_GB2312" w:cs="Times New Roman"/>
                <w:color w:val="auto"/>
                <w:sz w:val="18"/>
                <w:szCs w:val="18"/>
              </w:rPr>
              <w:t>m</w:t>
            </w:r>
            <w:r>
              <w:rPr>
                <w:rFonts w:hint="default" w:ascii="Times New Roman" w:hAnsi="Times New Roman" w:eastAsia="仿宋_GB2312" w:cs="Times New Roman"/>
                <w:color w:val="auto"/>
                <w:sz w:val="18"/>
                <w:szCs w:val="18"/>
                <w:vertAlign w:val="superscript"/>
                <w:lang w:val="en-US" w:eastAsia="zh-CN"/>
              </w:rPr>
              <w:t>2</w:t>
            </w:r>
          </w:p>
        </w:tc>
        <w:tc>
          <w:tcPr>
            <w:tcW w:w="640"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0.03</w:t>
            </w:r>
          </w:p>
        </w:tc>
        <w:tc>
          <w:tcPr>
            <w:tcW w:w="1471"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eastAsia="zh-CN"/>
              </w:rPr>
              <w:t>水保新增，未实施</w:t>
            </w:r>
          </w:p>
        </w:tc>
      </w:tr>
    </w:tbl>
    <w:p>
      <w:pPr>
        <w:pStyle w:val="5"/>
        <w:suppressAutoHyphens/>
        <w:rPr>
          <w:rFonts w:hint="default" w:ascii="Times New Roman" w:hAnsi="Times New Roman" w:cs="Times New Roman"/>
          <w:color w:val="auto"/>
        </w:rPr>
      </w:pPr>
      <w:r>
        <w:rPr>
          <w:rFonts w:hint="default" w:ascii="Times New Roman" w:hAnsi="Times New Roman" w:cs="Times New Roman"/>
          <w:color w:val="auto"/>
        </w:rPr>
        <w:t>5.3.4水土保持措施汇总</w:t>
      </w:r>
    </w:p>
    <w:p>
      <w:pPr>
        <w:spacing w:line="240" w:lineRule="auto"/>
        <w:ind w:firstLine="0" w:firstLineChars="0"/>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表5-6   本项目水土保持措施工程量汇总表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06"/>
        <w:gridCol w:w="1355"/>
        <w:gridCol w:w="1550"/>
        <w:gridCol w:w="1143"/>
        <w:gridCol w:w="1585"/>
        <w:gridCol w:w="158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76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项目组成</w:t>
            </w:r>
          </w:p>
        </w:tc>
        <w:tc>
          <w:tcPr>
            <w:tcW w:w="794"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措 施</w:t>
            </w:r>
          </w:p>
        </w:tc>
        <w:tc>
          <w:tcPr>
            <w:tcW w:w="90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措施名称</w:t>
            </w:r>
          </w:p>
        </w:tc>
        <w:tc>
          <w:tcPr>
            <w:tcW w:w="67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单 位</w:t>
            </w:r>
          </w:p>
        </w:tc>
        <w:tc>
          <w:tcPr>
            <w:tcW w:w="929"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工程量</w:t>
            </w:r>
          </w:p>
        </w:tc>
        <w:tc>
          <w:tcPr>
            <w:tcW w:w="93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765" w:type="pct"/>
            <w:vMerge w:val="restar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建筑工程</w:t>
            </w:r>
          </w:p>
        </w:tc>
        <w:tc>
          <w:tcPr>
            <w:tcW w:w="794"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工程措施</w:t>
            </w:r>
          </w:p>
        </w:tc>
        <w:tc>
          <w:tcPr>
            <w:tcW w:w="90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雨水管</w:t>
            </w:r>
          </w:p>
        </w:tc>
        <w:tc>
          <w:tcPr>
            <w:tcW w:w="67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m</w:t>
            </w:r>
          </w:p>
        </w:tc>
        <w:tc>
          <w:tcPr>
            <w:tcW w:w="929"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96</w:t>
            </w:r>
          </w:p>
        </w:tc>
        <w:tc>
          <w:tcPr>
            <w:tcW w:w="93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主体已有，已实施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765" w:type="pct"/>
            <w:vMerge w:val="continue"/>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94"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临时措施</w:t>
            </w:r>
          </w:p>
        </w:tc>
        <w:tc>
          <w:tcPr>
            <w:tcW w:w="90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防雨布遮盖</w:t>
            </w:r>
          </w:p>
        </w:tc>
        <w:tc>
          <w:tcPr>
            <w:tcW w:w="67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rPr>
              <w:t>m</w:t>
            </w:r>
            <w:r>
              <w:rPr>
                <w:rFonts w:hint="default" w:ascii="Times New Roman" w:hAnsi="Times New Roman" w:eastAsia="仿宋_GB2312" w:cs="Times New Roman"/>
                <w:color w:val="auto"/>
                <w:sz w:val="18"/>
                <w:szCs w:val="18"/>
                <w:vertAlign w:val="superscript"/>
              </w:rPr>
              <w:t>2</w:t>
            </w:r>
          </w:p>
        </w:tc>
        <w:tc>
          <w:tcPr>
            <w:tcW w:w="929"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600</w:t>
            </w:r>
          </w:p>
        </w:tc>
        <w:tc>
          <w:tcPr>
            <w:tcW w:w="93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主体已有，已实施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765" w:type="pct"/>
            <w:vMerge w:val="restar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道路工程</w:t>
            </w:r>
          </w:p>
        </w:tc>
        <w:tc>
          <w:tcPr>
            <w:tcW w:w="794"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工程措施</w:t>
            </w:r>
          </w:p>
        </w:tc>
        <w:tc>
          <w:tcPr>
            <w:tcW w:w="90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雨水管</w:t>
            </w:r>
          </w:p>
        </w:tc>
        <w:tc>
          <w:tcPr>
            <w:tcW w:w="67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m</w:t>
            </w:r>
          </w:p>
        </w:tc>
        <w:tc>
          <w:tcPr>
            <w:tcW w:w="929"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200</w:t>
            </w:r>
          </w:p>
        </w:tc>
        <w:tc>
          <w:tcPr>
            <w:tcW w:w="93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主体已有，已实施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765" w:type="pct"/>
            <w:vMerge w:val="continue"/>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94"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临时措施</w:t>
            </w:r>
          </w:p>
        </w:tc>
        <w:tc>
          <w:tcPr>
            <w:tcW w:w="90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防雨布遮盖</w:t>
            </w:r>
          </w:p>
        </w:tc>
        <w:tc>
          <w:tcPr>
            <w:tcW w:w="67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rPr>
              <w:t>m</w:t>
            </w:r>
            <w:r>
              <w:rPr>
                <w:rFonts w:hint="default" w:ascii="Times New Roman" w:hAnsi="Times New Roman" w:eastAsia="仿宋_GB2312" w:cs="Times New Roman"/>
                <w:color w:val="auto"/>
                <w:sz w:val="18"/>
                <w:szCs w:val="18"/>
                <w:vertAlign w:val="superscript"/>
              </w:rPr>
              <w:t>2</w:t>
            </w:r>
          </w:p>
        </w:tc>
        <w:tc>
          <w:tcPr>
            <w:tcW w:w="929"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400</w:t>
            </w:r>
          </w:p>
        </w:tc>
        <w:tc>
          <w:tcPr>
            <w:tcW w:w="93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主体已有，已实施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0" w:hRule="atLeast"/>
          <w:jc w:val="center"/>
        </w:trPr>
        <w:tc>
          <w:tcPr>
            <w:tcW w:w="765" w:type="pct"/>
            <w:vMerge w:val="restar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景观绿化区</w:t>
            </w:r>
          </w:p>
        </w:tc>
        <w:tc>
          <w:tcPr>
            <w:tcW w:w="794" w:type="pct"/>
            <w:shd w:val="clear" w:color="auto" w:fill="auto"/>
            <w:tcMar>
              <w:top w:w="13" w:type="dxa"/>
              <w:left w:w="13" w:type="dxa"/>
              <w:bottom w:w="0" w:type="dxa"/>
              <w:right w:w="13" w:type="dxa"/>
            </w:tcMar>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工程措施</w:t>
            </w:r>
          </w:p>
        </w:tc>
        <w:tc>
          <w:tcPr>
            <w:tcW w:w="908"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土地整治</w:t>
            </w:r>
          </w:p>
        </w:tc>
        <w:tc>
          <w:tcPr>
            <w:tcW w:w="670"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h</w:t>
            </w:r>
            <w:r>
              <w:rPr>
                <w:rFonts w:hint="default" w:ascii="Times New Roman" w:hAnsi="Times New Roman" w:eastAsia="仿宋_GB2312" w:cs="Times New Roman"/>
                <w:color w:val="auto"/>
                <w:sz w:val="18"/>
                <w:szCs w:val="18"/>
              </w:rPr>
              <w:t>m</w:t>
            </w:r>
            <w:r>
              <w:rPr>
                <w:rFonts w:hint="default" w:ascii="Times New Roman" w:hAnsi="Times New Roman" w:eastAsia="仿宋_GB2312" w:cs="Times New Roman"/>
                <w:color w:val="auto"/>
                <w:sz w:val="18"/>
                <w:szCs w:val="18"/>
                <w:vertAlign w:val="superscript"/>
                <w:lang w:val="en-US" w:eastAsia="zh-CN"/>
              </w:rPr>
              <w:t>2</w:t>
            </w:r>
          </w:p>
        </w:tc>
        <w:tc>
          <w:tcPr>
            <w:tcW w:w="929"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kern w:val="0"/>
                <w:sz w:val="18"/>
                <w:szCs w:val="18"/>
                <w:lang w:val="en-US" w:eastAsia="zh-CN"/>
              </w:rPr>
              <w:t>0.03</w:t>
            </w:r>
          </w:p>
        </w:tc>
        <w:tc>
          <w:tcPr>
            <w:tcW w:w="931"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水保新增，未实施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0" w:hRule="atLeast"/>
          <w:jc w:val="center"/>
        </w:trPr>
        <w:tc>
          <w:tcPr>
            <w:tcW w:w="765" w:type="pct"/>
            <w:vMerge w:val="continue"/>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p>
        </w:tc>
        <w:tc>
          <w:tcPr>
            <w:tcW w:w="794" w:type="pct"/>
            <w:vMerge w:val="restart"/>
            <w:shd w:val="clear" w:color="auto" w:fill="auto"/>
            <w:tcMar>
              <w:top w:w="13" w:type="dxa"/>
              <w:left w:w="13" w:type="dxa"/>
              <w:bottom w:w="0" w:type="dxa"/>
              <w:right w:w="13" w:type="dxa"/>
            </w:tcMar>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植物措施</w:t>
            </w:r>
          </w:p>
        </w:tc>
        <w:tc>
          <w:tcPr>
            <w:tcW w:w="908"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草坪绿化</w:t>
            </w:r>
          </w:p>
        </w:tc>
        <w:tc>
          <w:tcPr>
            <w:tcW w:w="670"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h</w:t>
            </w:r>
            <w:r>
              <w:rPr>
                <w:rFonts w:hint="default" w:ascii="Times New Roman" w:hAnsi="Times New Roman" w:eastAsia="仿宋_GB2312" w:cs="Times New Roman"/>
                <w:color w:val="auto"/>
                <w:sz w:val="18"/>
                <w:szCs w:val="18"/>
              </w:rPr>
              <w:t>m</w:t>
            </w:r>
            <w:r>
              <w:rPr>
                <w:rFonts w:hint="default" w:ascii="Times New Roman" w:hAnsi="Times New Roman" w:eastAsia="仿宋_GB2312" w:cs="Times New Roman"/>
                <w:color w:val="auto"/>
                <w:sz w:val="18"/>
                <w:szCs w:val="18"/>
                <w:vertAlign w:val="superscript"/>
                <w:lang w:val="en-US" w:eastAsia="zh-CN"/>
              </w:rPr>
              <w:t>2</w:t>
            </w:r>
          </w:p>
        </w:tc>
        <w:tc>
          <w:tcPr>
            <w:tcW w:w="929"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0.03</w:t>
            </w:r>
          </w:p>
        </w:tc>
        <w:tc>
          <w:tcPr>
            <w:tcW w:w="931"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主体已有，已实施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0" w:hRule="atLeast"/>
          <w:jc w:val="center"/>
        </w:trPr>
        <w:tc>
          <w:tcPr>
            <w:tcW w:w="765" w:type="pct"/>
            <w:vMerge w:val="continue"/>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p>
        </w:tc>
        <w:tc>
          <w:tcPr>
            <w:tcW w:w="794" w:type="pct"/>
            <w:vMerge w:val="continue"/>
            <w:shd w:val="clear" w:color="auto" w:fill="auto"/>
            <w:tcMar>
              <w:top w:w="13" w:type="dxa"/>
              <w:left w:w="13" w:type="dxa"/>
              <w:bottom w:w="0" w:type="dxa"/>
              <w:right w:w="13" w:type="dxa"/>
            </w:tcMar>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lang w:eastAsia="zh-CN"/>
              </w:rPr>
            </w:pPr>
          </w:p>
        </w:tc>
        <w:tc>
          <w:tcPr>
            <w:tcW w:w="908"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撒播草籽</w:t>
            </w:r>
          </w:p>
        </w:tc>
        <w:tc>
          <w:tcPr>
            <w:tcW w:w="670"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h</w:t>
            </w:r>
            <w:r>
              <w:rPr>
                <w:rFonts w:hint="default" w:ascii="Times New Roman" w:hAnsi="Times New Roman" w:eastAsia="仿宋_GB2312" w:cs="Times New Roman"/>
                <w:color w:val="auto"/>
                <w:sz w:val="18"/>
                <w:szCs w:val="18"/>
              </w:rPr>
              <w:t>m</w:t>
            </w:r>
            <w:r>
              <w:rPr>
                <w:rFonts w:hint="default" w:ascii="Times New Roman" w:hAnsi="Times New Roman" w:eastAsia="仿宋_GB2312" w:cs="Times New Roman"/>
                <w:color w:val="auto"/>
                <w:sz w:val="18"/>
                <w:szCs w:val="18"/>
                <w:vertAlign w:val="superscript"/>
                <w:lang w:val="en-US" w:eastAsia="zh-CN"/>
              </w:rPr>
              <w:t>2</w:t>
            </w:r>
          </w:p>
        </w:tc>
        <w:tc>
          <w:tcPr>
            <w:tcW w:w="929"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0.03</w:t>
            </w:r>
          </w:p>
        </w:tc>
        <w:tc>
          <w:tcPr>
            <w:tcW w:w="931"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eastAsia="zh-CN"/>
              </w:rPr>
              <w:t>水保新增，未实施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0" w:hRule="atLeast"/>
          <w:jc w:val="center"/>
        </w:trPr>
        <w:tc>
          <w:tcPr>
            <w:tcW w:w="765" w:type="pct"/>
            <w:vMerge w:val="continue"/>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p>
        </w:tc>
        <w:tc>
          <w:tcPr>
            <w:tcW w:w="794" w:type="pct"/>
            <w:vMerge w:val="continue"/>
            <w:shd w:val="clear" w:color="auto" w:fill="auto"/>
            <w:tcMar>
              <w:top w:w="13" w:type="dxa"/>
              <w:left w:w="13" w:type="dxa"/>
              <w:bottom w:w="0" w:type="dxa"/>
              <w:right w:w="13" w:type="dxa"/>
            </w:tcMar>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lang w:eastAsia="zh-CN"/>
              </w:rPr>
            </w:pPr>
          </w:p>
        </w:tc>
        <w:tc>
          <w:tcPr>
            <w:tcW w:w="908"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抚育管理</w:t>
            </w:r>
          </w:p>
        </w:tc>
        <w:tc>
          <w:tcPr>
            <w:tcW w:w="670"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h</w:t>
            </w:r>
            <w:r>
              <w:rPr>
                <w:rFonts w:hint="default" w:ascii="Times New Roman" w:hAnsi="Times New Roman" w:eastAsia="仿宋_GB2312" w:cs="Times New Roman"/>
                <w:color w:val="auto"/>
                <w:sz w:val="18"/>
                <w:szCs w:val="18"/>
              </w:rPr>
              <w:t>m</w:t>
            </w:r>
            <w:r>
              <w:rPr>
                <w:rFonts w:hint="default" w:ascii="Times New Roman" w:hAnsi="Times New Roman" w:eastAsia="仿宋_GB2312" w:cs="Times New Roman"/>
                <w:color w:val="auto"/>
                <w:sz w:val="18"/>
                <w:szCs w:val="18"/>
                <w:vertAlign w:val="superscript"/>
                <w:lang w:val="en-US" w:eastAsia="zh-CN"/>
              </w:rPr>
              <w:t>2</w:t>
            </w:r>
          </w:p>
        </w:tc>
        <w:tc>
          <w:tcPr>
            <w:tcW w:w="929"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0.03</w:t>
            </w:r>
          </w:p>
        </w:tc>
        <w:tc>
          <w:tcPr>
            <w:tcW w:w="931"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eastAsia="zh-CN"/>
              </w:rPr>
              <w:t>水保新增，未实施</w:t>
            </w:r>
          </w:p>
        </w:tc>
      </w:tr>
    </w:tbl>
    <w:p>
      <w:pPr>
        <w:spacing w:line="240" w:lineRule="auto"/>
        <w:ind w:firstLine="0" w:firstLineChars="0"/>
        <w:jc w:val="center"/>
        <w:rPr>
          <w:rFonts w:hint="default" w:ascii="Times New Roman" w:hAnsi="Times New Roman" w:eastAsia="仿宋_GB2312" w:cs="Times New Roman"/>
          <w:b/>
          <w:color w:val="auto"/>
          <w:sz w:val="21"/>
          <w:szCs w:val="21"/>
        </w:rPr>
      </w:pPr>
    </w:p>
    <w:p>
      <w:pPr>
        <w:pStyle w:val="4"/>
        <w:suppressAutoHyphens/>
        <w:spacing w:before="163" w:beforeLines="50" w:after="163" w:afterLines="50"/>
        <w:rPr>
          <w:rFonts w:hint="default" w:ascii="Times New Roman" w:hAnsi="Times New Roman" w:cs="Times New Roman"/>
          <w:color w:val="auto"/>
          <w:kern w:val="0"/>
        </w:rPr>
      </w:pPr>
      <w:bookmarkStart w:id="135" w:name="_Toc47879807"/>
      <w:r>
        <w:rPr>
          <w:rFonts w:hint="default" w:ascii="Times New Roman" w:hAnsi="Times New Roman" w:cs="Times New Roman"/>
          <w:color w:val="auto"/>
          <w:kern w:val="0"/>
        </w:rPr>
        <w:t>5.4施工要求</w:t>
      </w:r>
      <w:bookmarkEnd w:id="135"/>
    </w:p>
    <w:p>
      <w:pPr>
        <w:pStyle w:val="5"/>
        <w:suppressAutoHyphens/>
        <w:rPr>
          <w:rFonts w:hint="default" w:ascii="Times New Roman" w:hAnsi="Times New Roman" w:cs="Times New Roman"/>
          <w:color w:val="auto"/>
        </w:rPr>
      </w:pPr>
      <w:bookmarkStart w:id="136" w:name="_Toc261276938"/>
      <w:bookmarkStart w:id="137" w:name="_Toc197708005"/>
      <w:bookmarkStart w:id="138" w:name="_Toc205281498"/>
      <w:bookmarkStart w:id="139" w:name="_Toc207619426"/>
      <w:bookmarkStart w:id="140" w:name="_Toc199906911"/>
      <w:r>
        <w:rPr>
          <w:rFonts w:hint="default" w:ascii="Times New Roman" w:hAnsi="Times New Roman" w:cs="Times New Roman"/>
          <w:color w:val="auto"/>
        </w:rPr>
        <w:t>5.4.1 施工条件</w:t>
      </w:r>
    </w:p>
    <w:p>
      <w:pPr>
        <w:suppressAutoHyphens/>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项目建设场地周边交通便利。该项目所需用水、用电等均由市政管网提供。水土保持工程所需植物苗木、防雨布等均可在当地市场购买，极为便利。</w:t>
      </w:r>
    </w:p>
    <w:p>
      <w:pPr>
        <w:pStyle w:val="5"/>
        <w:suppressAutoHyphens/>
        <w:rPr>
          <w:rFonts w:hint="default" w:ascii="Times New Roman" w:hAnsi="Times New Roman" w:cs="Times New Roman"/>
          <w:color w:val="auto"/>
        </w:rPr>
      </w:pPr>
      <w:r>
        <w:rPr>
          <w:rFonts w:hint="default" w:ascii="Times New Roman" w:hAnsi="Times New Roman" w:cs="Times New Roman"/>
          <w:color w:val="auto"/>
        </w:rPr>
        <w:t>5.4.2 水土保持措施进度安排</w:t>
      </w:r>
    </w:p>
    <w:p>
      <w:pPr>
        <w:suppressAutoHyphens/>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（1）水土保持措施应与主体工程施工进度相协调；</w:t>
      </w:r>
    </w:p>
    <w:p>
      <w:pPr>
        <w:suppressAutoHyphens/>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（2）临时措施应与主体工程施工同步实施；</w:t>
      </w:r>
    </w:p>
    <w:p>
      <w:pPr>
        <w:suppressAutoHyphens/>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（3）施工裸露场地应及时采取防护措施，减少裸露时间。</w:t>
      </w:r>
    </w:p>
    <w:p>
      <w:pPr>
        <w:ind w:firstLine="480"/>
        <w:rPr>
          <w:rFonts w:hint="default" w:ascii="Times New Roman" w:hAnsi="Times New Roman" w:cs="Times New Roman"/>
          <w:color w:val="auto"/>
        </w:rPr>
      </w:pPr>
      <w:r>
        <w:rPr>
          <w:rFonts w:hint="default" w:ascii="Times New Roman" w:hAnsi="Times New Roman" w:eastAsia="仿宋_GB2312" w:cs="Times New Roman"/>
          <w:color w:val="auto"/>
          <w:kern w:val="0"/>
        </w:rPr>
        <w:t>水土保持措施施工进度双横道图见表5-7。</w:t>
      </w:r>
    </w:p>
    <w:p>
      <w:pPr>
        <w:spacing w:line="240" w:lineRule="auto"/>
        <w:ind w:firstLine="422"/>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color w:val="auto"/>
          <w:kern w:val="0"/>
          <w:sz w:val="21"/>
          <w:szCs w:val="21"/>
        </w:rPr>
        <w:t>表5-7   水土保持措施进度双横道图</w:t>
      </w:r>
    </w:p>
    <w:tbl>
      <w:tblPr>
        <w:tblStyle w:val="61"/>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2"/>
        <w:gridCol w:w="634"/>
        <w:gridCol w:w="1030"/>
        <w:gridCol w:w="796"/>
        <w:gridCol w:w="698"/>
        <w:gridCol w:w="711"/>
        <w:gridCol w:w="831"/>
        <w:gridCol w:w="1000"/>
        <w:gridCol w:w="846"/>
        <w:gridCol w:w="13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tblHeader/>
          <w:jc w:val="center"/>
        </w:trPr>
        <w:tc>
          <w:tcPr>
            <w:tcW w:w="376" w:type="pct"/>
            <w:vMerge w:val="restar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工程组成</w:t>
            </w:r>
          </w:p>
        </w:tc>
        <w:tc>
          <w:tcPr>
            <w:tcW w:w="371" w:type="pct"/>
            <w:vMerge w:val="restar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措施类型</w:t>
            </w:r>
          </w:p>
        </w:tc>
        <w:tc>
          <w:tcPr>
            <w:tcW w:w="604" w:type="pct"/>
            <w:vMerge w:val="restar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措施内容</w:t>
            </w:r>
          </w:p>
        </w:tc>
        <w:tc>
          <w:tcPr>
            <w:tcW w:w="876" w:type="pct"/>
            <w:gridSpan w:val="2"/>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2016年</w:t>
            </w:r>
          </w:p>
        </w:tc>
        <w:tc>
          <w:tcPr>
            <w:tcW w:w="1987" w:type="pct"/>
            <w:gridSpan w:val="4"/>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2017年</w:t>
            </w:r>
          </w:p>
        </w:tc>
        <w:tc>
          <w:tcPr>
            <w:tcW w:w="784"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2020年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tblHeader/>
          <w:jc w:val="center"/>
        </w:trPr>
        <w:tc>
          <w:tcPr>
            <w:tcW w:w="376" w:type="pct"/>
            <w:vMerge w:val="continue"/>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71" w:type="pct"/>
            <w:vMerge w:val="continue"/>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04" w:type="pct"/>
            <w:vMerge w:val="continue"/>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466"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11月</w:t>
            </w:r>
          </w:p>
        </w:tc>
        <w:tc>
          <w:tcPr>
            <w:tcW w:w="409"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12月</w:t>
            </w:r>
          </w:p>
        </w:tc>
        <w:tc>
          <w:tcPr>
            <w:tcW w:w="417"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1-3月</w:t>
            </w:r>
          </w:p>
        </w:tc>
        <w:tc>
          <w:tcPr>
            <w:tcW w:w="487"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4-6月</w:t>
            </w:r>
          </w:p>
        </w:tc>
        <w:tc>
          <w:tcPr>
            <w:tcW w:w="586"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7-9月</w:t>
            </w:r>
          </w:p>
        </w:tc>
        <w:tc>
          <w:tcPr>
            <w:tcW w:w="496"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10-11月</w:t>
            </w:r>
          </w:p>
        </w:tc>
        <w:tc>
          <w:tcPr>
            <w:tcW w:w="784"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9-12月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376" w:type="pct"/>
            <w:vMerge w:val="restar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建筑工程区</w:t>
            </w:r>
          </w:p>
        </w:tc>
        <w:tc>
          <w:tcPr>
            <w:tcW w:w="975" w:type="pct"/>
            <w:gridSpan w:val="2"/>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主体工程</w:t>
            </w:r>
          </w:p>
        </w:tc>
        <w:tc>
          <w:tcPr>
            <w:tcW w:w="2367" w:type="pct"/>
            <w:gridSpan w:val="5"/>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mc:AlternateContent>
                <mc:Choice Requires="wps">
                  <w:drawing>
                    <wp:anchor distT="0" distB="0" distL="114300" distR="114300" simplePos="0" relativeHeight="252030976" behindDoc="0" locked="0" layoutInCell="1" allowOverlap="1">
                      <wp:simplePos x="0" y="0"/>
                      <wp:positionH relativeFrom="column">
                        <wp:posOffset>-48895</wp:posOffset>
                      </wp:positionH>
                      <wp:positionV relativeFrom="paragraph">
                        <wp:posOffset>100330</wp:posOffset>
                      </wp:positionV>
                      <wp:extent cx="2370455" cy="1270"/>
                      <wp:effectExtent l="0" t="0" r="0" b="0"/>
                      <wp:wrapNone/>
                      <wp:docPr id="41" name="AutoShape 1911"/>
                      <wp:cNvGraphicFramePr/>
                      <a:graphic xmlns:a="http://schemas.openxmlformats.org/drawingml/2006/main">
                        <a:graphicData uri="http://schemas.microsoft.com/office/word/2010/wordprocessingShape">
                          <wps:wsp>
                            <wps:cNvCnPr>
                              <a:cxnSpLocks noChangeShapeType="1"/>
                            </wps:cNvCnPr>
                            <wps:spPr bwMode="auto">
                              <a:xfrm flipV="1">
                                <a:off x="0" y="0"/>
                                <a:ext cx="2370455" cy="1270"/>
                              </a:xfrm>
                              <a:prstGeom prst="straightConnector1">
                                <a:avLst/>
                              </a:prstGeom>
                              <a:noFill/>
                              <a:ln w="15875">
                                <a:solidFill>
                                  <a:srgbClr val="000000"/>
                                </a:solidFill>
                                <a:round/>
                              </a:ln>
                            </wps:spPr>
                            <wps:bodyPr/>
                          </wps:wsp>
                        </a:graphicData>
                      </a:graphic>
                    </wp:anchor>
                  </w:drawing>
                </mc:Choice>
                <mc:Fallback>
                  <w:pict>
                    <v:shape id="AutoShape 1911" o:spid="_x0000_s1026" o:spt="32" type="#_x0000_t32" style="position:absolute;left:0pt;flip:y;margin-left:-3.85pt;margin-top:7.9pt;height:0.1pt;width:186.65pt;z-index:252030976;mso-width-relative:page;mso-height-relative:page;" filled="f" stroked="t" coordsize="21600,21600" o:gfxdata="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CYlXfYAAAACAEAAA8AAAAAAAAAAQAgAAAAIgAAAGRycy9k&#10;b3ducmV2LnhtbFBLAQIUABQAAAAIAIdO4kB08XocyQEAAHYDAAAOAAAAAAAAAAEAIAAAACcBAABk&#10;cnMvZTJvRG9jLnhtbFBLBQYAAAAABgAGAFkBAABiBQAAAAA=&#10;">
                      <v:fill on="f" focussize="0,0"/>
                      <v:stroke weight="1.25pt" color="#000000" joinstyle="round"/>
                      <v:imagedata o:title=""/>
                      <o:lock v:ext="edit" aspectratio="f"/>
                    </v:shape>
                  </w:pict>
                </mc:Fallback>
              </mc:AlternateContent>
            </w:r>
          </w:p>
        </w:tc>
        <w:tc>
          <w:tcPr>
            <w:tcW w:w="496"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4"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376" w:type="pct"/>
            <w:vMerge w:val="continue"/>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71"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工程措施</w:t>
            </w:r>
          </w:p>
        </w:tc>
        <w:tc>
          <w:tcPr>
            <w:tcW w:w="604"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雨水管</w:t>
            </w:r>
          </w:p>
        </w:tc>
        <w:tc>
          <w:tcPr>
            <w:tcW w:w="466"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409"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417"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487"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586"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rPr>
              <mc:AlternateContent>
                <mc:Choice Requires="wps">
                  <w:drawing>
                    <wp:anchor distT="0" distB="0" distL="114300" distR="114300" simplePos="0" relativeHeight="252028928" behindDoc="0" locked="0" layoutInCell="1" allowOverlap="1">
                      <wp:simplePos x="0" y="0"/>
                      <wp:positionH relativeFrom="character">
                        <wp:posOffset>-187325</wp:posOffset>
                      </wp:positionH>
                      <wp:positionV relativeFrom="line">
                        <wp:posOffset>241935</wp:posOffset>
                      </wp:positionV>
                      <wp:extent cx="381000" cy="0"/>
                      <wp:effectExtent l="0" t="19050" r="0" b="19050"/>
                      <wp:wrapNone/>
                      <wp:docPr id="28" name="自选图形 1028"/>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38100">
                                <a:solidFill>
                                  <a:srgbClr val="000000"/>
                                </a:solidFill>
                                <a:prstDash val="sysDot"/>
                                <a:round/>
                              </a:ln>
                              <a:effectLst/>
                            </wps:spPr>
                            <wps:bodyPr/>
                          </wps:wsp>
                        </a:graphicData>
                      </a:graphic>
                    </wp:anchor>
                  </w:drawing>
                </mc:Choice>
                <mc:Fallback>
                  <w:pict>
                    <v:shape id="自选图形 1028" o:spid="_x0000_s1026" o:spt="32" type="#_x0000_t32" style="position:absolute;left:0pt;margin-left:-14.75pt;margin-top:19.05pt;height:0pt;width:30pt;mso-position-horizontal-relative:char;mso-position-vertical-relative:line;z-index:252028928;mso-width-relative:page;mso-height-relative:page;" filled="f" stroked="t" coordsize="21600,21600" o:gfxdata="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yI91+9YAAAAIAQAADwAA&#10;AAAAAAABACAAAAAiAAAAZHJzL2Rvd25yZXYueG1sUEsBAhQAFAAAAAgAh07iQHNTN4bfAQAAkwMA&#10;AA4AAAAAAAAAAQAgAAAAJQEAAGRycy9lMm9Eb2MueG1sUEsFBgAAAAAGAAYAWQEAAHYFAAAAAA==&#10;">
                      <v:fill on="f" focussize="0,0"/>
                      <v:stroke weight="3pt" color="#000000" joinstyle="round" dashstyle="1 1"/>
                      <v:imagedata o:title=""/>
                      <o:lock v:ext="edit" aspectratio="f"/>
                    </v:shape>
                  </w:pict>
                </mc:Fallback>
              </mc:AlternateContent>
            </w:r>
          </w:p>
        </w:tc>
        <w:tc>
          <w:tcPr>
            <w:tcW w:w="496"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4"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376" w:type="pct"/>
            <w:vMerge w:val="continue"/>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71"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临时措施</w:t>
            </w:r>
          </w:p>
        </w:tc>
        <w:tc>
          <w:tcPr>
            <w:tcW w:w="604"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防雨布遮盖</w:t>
            </w:r>
          </w:p>
        </w:tc>
        <w:tc>
          <w:tcPr>
            <w:tcW w:w="466" w:type="pc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drawing>
                <wp:inline distT="0" distB="0" distL="0" distR="0">
                  <wp:extent cx="469900" cy="158750"/>
                  <wp:effectExtent l="0" t="0" r="6350" b="0"/>
                  <wp:docPr id="2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69900" cy="158750"/>
                          </a:xfrm>
                          <a:prstGeom prst="rect">
                            <a:avLst/>
                          </a:prstGeom>
                          <a:noFill/>
                          <a:ln>
                            <a:noFill/>
                          </a:ln>
                        </pic:spPr>
                      </pic:pic>
                    </a:graphicData>
                  </a:graphic>
                </wp:inline>
              </w:drawing>
            </w:r>
          </w:p>
        </w:tc>
        <w:tc>
          <w:tcPr>
            <w:tcW w:w="409" w:type="pc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p>
        </w:tc>
        <w:tc>
          <w:tcPr>
            <w:tcW w:w="417"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487"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586"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496"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4"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376" w:type="pct"/>
            <w:vMerge w:val="restart"/>
            <w:vAlign w:val="center"/>
          </w:tcPr>
          <w:p>
            <w:pPr>
              <w:suppressAutoHyphens/>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道路硬化区</w:t>
            </w:r>
          </w:p>
        </w:tc>
        <w:tc>
          <w:tcPr>
            <w:tcW w:w="975"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主体工程</w:t>
            </w:r>
          </w:p>
        </w:tc>
        <w:tc>
          <w:tcPr>
            <w:tcW w:w="466" w:type="pc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p>
        </w:tc>
        <w:tc>
          <w:tcPr>
            <w:tcW w:w="409" w:type="pc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p>
        </w:tc>
        <w:tc>
          <w:tcPr>
            <w:tcW w:w="417"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1073" w:type="pct"/>
            <w:gridSpan w:val="2"/>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mc:AlternateContent>
                <mc:Choice Requires="wps">
                  <w:drawing>
                    <wp:anchor distT="0" distB="0" distL="114300" distR="114300" simplePos="0" relativeHeight="252051456" behindDoc="0" locked="0" layoutInCell="1" allowOverlap="1">
                      <wp:simplePos x="0" y="0"/>
                      <wp:positionH relativeFrom="column">
                        <wp:posOffset>115570</wp:posOffset>
                      </wp:positionH>
                      <wp:positionV relativeFrom="paragraph">
                        <wp:posOffset>124460</wp:posOffset>
                      </wp:positionV>
                      <wp:extent cx="615950" cy="0"/>
                      <wp:effectExtent l="0" t="0" r="12700" b="19050"/>
                      <wp:wrapNone/>
                      <wp:docPr id="20" name="AutoShape 1911"/>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straightConnector1">
                                <a:avLst/>
                              </a:prstGeom>
                              <a:noFill/>
                              <a:ln w="15875">
                                <a:solidFill>
                                  <a:srgbClr val="000000"/>
                                </a:solidFill>
                                <a:round/>
                              </a:ln>
                            </wps:spPr>
                            <wps:bodyPr/>
                          </wps:wsp>
                        </a:graphicData>
                      </a:graphic>
                    </wp:anchor>
                  </w:drawing>
                </mc:Choice>
                <mc:Fallback>
                  <w:pict>
                    <v:shape id="AutoShape 1911" o:spid="_x0000_s1026" o:spt="32" type="#_x0000_t32" style="position:absolute;left:0pt;margin-left:9.1pt;margin-top:9.8pt;height:0pt;width:48.5pt;z-index:252051456;mso-width-relative:page;mso-height-relative:page;" filled="f" stroked="t" coordsize="21600,21600" o:gfxdata="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PbV1dMAAAAIAQAADwAAAAAAAAABACAAAAAiAAAAZHJzL2Rvd25yZXYueG1sUEsBAhQAFAAA&#10;AAgAh07iQOvYT3C7AQAAaAMAAA4AAAAAAAAAAQAgAAAAIgEAAGRycy9lMm9Eb2MueG1sUEsFBgAA&#10;AAAGAAYAWQEAAE8FAAAAAA==&#10;">
                      <v:fill on="f" focussize="0,0"/>
                      <v:stroke weight="1.25pt" color="#000000" joinstyle="round"/>
                      <v:imagedata o:title=""/>
                      <o:lock v:ext="edit" aspectratio="f"/>
                    </v:shape>
                  </w:pict>
                </mc:Fallback>
              </mc:AlternateContent>
            </w:r>
          </w:p>
        </w:tc>
        <w:tc>
          <w:tcPr>
            <w:tcW w:w="496"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4"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376" w:type="pct"/>
            <w:vMerge w:val="continue"/>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71"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工程措施</w:t>
            </w:r>
          </w:p>
        </w:tc>
        <w:tc>
          <w:tcPr>
            <w:tcW w:w="604"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雨水管</w:t>
            </w:r>
          </w:p>
        </w:tc>
        <w:tc>
          <w:tcPr>
            <w:tcW w:w="466" w:type="pc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p>
        </w:tc>
        <w:tc>
          <w:tcPr>
            <w:tcW w:w="409" w:type="pc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p>
        </w:tc>
        <w:tc>
          <w:tcPr>
            <w:tcW w:w="417"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487"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rPr>
              <mc:AlternateContent>
                <mc:Choice Requires="wps">
                  <w:drawing>
                    <wp:anchor distT="0" distB="0" distL="114300" distR="114300" simplePos="0" relativeHeight="252053504" behindDoc="0" locked="0" layoutInCell="1" allowOverlap="1">
                      <wp:simplePos x="0" y="0"/>
                      <wp:positionH relativeFrom="character">
                        <wp:posOffset>-233680</wp:posOffset>
                      </wp:positionH>
                      <wp:positionV relativeFrom="line">
                        <wp:posOffset>111760</wp:posOffset>
                      </wp:positionV>
                      <wp:extent cx="444500" cy="0"/>
                      <wp:effectExtent l="0" t="19050" r="12700" b="19050"/>
                      <wp:wrapNone/>
                      <wp:docPr id="21" name="自选图形 1028"/>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straightConnector1">
                                <a:avLst/>
                              </a:prstGeom>
                              <a:noFill/>
                              <a:ln w="38100">
                                <a:solidFill>
                                  <a:srgbClr val="000000"/>
                                </a:solidFill>
                                <a:prstDash val="sysDot"/>
                                <a:round/>
                              </a:ln>
                              <a:effectLst/>
                            </wps:spPr>
                            <wps:bodyPr/>
                          </wps:wsp>
                        </a:graphicData>
                      </a:graphic>
                    </wp:anchor>
                  </w:drawing>
                </mc:Choice>
                <mc:Fallback>
                  <w:pict>
                    <v:shape id="自选图形 1028" o:spid="_x0000_s1026" o:spt="32" type="#_x0000_t32" style="position:absolute;left:0pt;margin-left:-18.4pt;margin-top:8.8pt;height:0pt;width:35pt;mso-position-horizontal-relative:char;mso-position-vertical-relative:line;z-index:252053504;mso-width-relative:page;mso-height-relative:page;" filled="f" stroked="t" coordsize="21600,21600" o:gfxdata="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gzGMJtYAAAAIAQAA&#10;DwAAAAAAAAABACAAAAAiAAAAZHJzL2Rvd25yZXYueG1sUEsBAhQAFAAAAAgAh07iQI6FrcLiAQAA&#10;kwMAAA4AAAAAAAAAAQAgAAAAJQEAAGRycy9lMm9Eb2MueG1sUEsFBgAAAAAGAAYAWQEAAHkFAAAA&#10;AA==&#10;">
                      <v:fill on="f" focussize="0,0"/>
                      <v:stroke weight="3pt" color="#000000" joinstyle="round" dashstyle="1 1"/>
                      <v:imagedata o:title=""/>
                      <o:lock v:ext="edit" aspectratio="f"/>
                    </v:shape>
                  </w:pict>
                </mc:Fallback>
              </mc:AlternateContent>
            </w:r>
          </w:p>
        </w:tc>
        <w:tc>
          <w:tcPr>
            <w:tcW w:w="586"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496"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4"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376" w:type="pct"/>
            <w:vMerge w:val="continue"/>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71"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临时措施</w:t>
            </w:r>
          </w:p>
        </w:tc>
        <w:tc>
          <w:tcPr>
            <w:tcW w:w="604"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防雨布遮盖</w:t>
            </w:r>
          </w:p>
        </w:tc>
        <w:tc>
          <w:tcPr>
            <w:tcW w:w="466" w:type="pc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p>
        </w:tc>
        <w:tc>
          <w:tcPr>
            <w:tcW w:w="409" w:type="pc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p>
        </w:tc>
        <w:tc>
          <w:tcPr>
            <w:tcW w:w="417"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487"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586"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496"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rPr>
              <w:drawing>
                <wp:inline distT="0" distB="0" distL="0" distR="0">
                  <wp:extent cx="412750" cy="158750"/>
                  <wp:effectExtent l="0" t="0" r="6350" b="0"/>
                  <wp:docPr id="2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12750" cy="158750"/>
                          </a:xfrm>
                          <a:prstGeom prst="rect">
                            <a:avLst/>
                          </a:prstGeom>
                          <a:noFill/>
                          <a:ln>
                            <a:noFill/>
                          </a:ln>
                        </pic:spPr>
                      </pic:pic>
                    </a:graphicData>
                  </a:graphic>
                </wp:inline>
              </w:drawing>
            </w:r>
          </w:p>
        </w:tc>
        <w:tc>
          <w:tcPr>
            <w:tcW w:w="784" w:type="pc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376" w:type="pct"/>
            <w:vMerge w:val="restart"/>
            <w:vAlign w:val="center"/>
          </w:tcPr>
          <w:p>
            <w:pPr>
              <w:suppressAutoHyphens/>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景观绿化区</w:t>
            </w:r>
          </w:p>
        </w:tc>
        <w:tc>
          <w:tcPr>
            <w:tcW w:w="975" w:type="pct"/>
            <w:gridSpan w:val="2"/>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主体工程</w:t>
            </w:r>
          </w:p>
        </w:tc>
        <w:tc>
          <w:tcPr>
            <w:tcW w:w="466" w:type="pc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p>
        </w:tc>
        <w:tc>
          <w:tcPr>
            <w:tcW w:w="409" w:type="pc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p>
        </w:tc>
        <w:tc>
          <w:tcPr>
            <w:tcW w:w="417"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487"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586"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mc:AlternateContent>
                <mc:Choice Requires="wps">
                  <w:drawing>
                    <wp:anchor distT="0" distB="0" distL="114300" distR="114300" simplePos="0" relativeHeight="252047360" behindDoc="0" locked="0" layoutInCell="1" allowOverlap="1">
                      <wp:simplePos x="0" y="0"/>
                      <wp:positionH relativeFrom="column">
                        <wp:posOffset>-49530</wp:posOffset>
                      </wp:positionH>
                      <wp:positionV relativeFrom="paragraph">
                        <wp:posOffset>136525</wp:posOffset>
                      </wp:positionV>
                      <wp:extent cx="419100" cy="0"/>
                      <wp:effectExtent l="0" t="0" r="19050" b="19050"/>
                      <wp:wrapNone/>
                      <wp:docPr id="19" name="AutoShape 1911"/>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15875">
                                <a:solidFill>
                                  <a:srgbClr val="000000"/>
                                </a:solidFill>
                                <a:round/>
                              </a:ln>
                            </wps:spPr>
                            <wps:bodyPr/>
                          </wps:wsp>
                        </a:graphicData>
                      </a:graphic>
                    </wp:anchor>
                  </w:drawing>
                </mc:Choice>
                <mc:Fallback>
                  <w:pict>
                    <v:shape id="AutoShape 1911" o:spid="_x0000_s1026" o:spt="32" type="#_x0000_t32" style="position:absolute;left:0pt;margin-left:-3.9pt;margin-top:10.75pt;height:0pt;width:33pt;z-index:252047360;mso-width-relative:page;mso-height-relative:page;" filled="f" stroked="t" coordsize="21600,21600" o:gfxdata="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sisRT1QAAAAcBAAAPAAAAAAAAAAEAIAAAACIAAABkcnMvZG93bnJldi54bWxQSwECFAAU&#10;AAAACACHTuJAdY1nNrsBAABoAwAADgAAAAAAAAABACAAAAAkAQAAZHJzL2Uyb0RvYy54bWxQSwUG&#10;AAAAAAYABgBZAQAAUQUAAAAA&#10;">
                      <v:fill on="f" focussize="0,0"/>
                      <v:stroke weight="1.25pt" color="#000000" joinstyle="round"/>
                      <v:imagedata o:title=""/>
                      <o:lock v:ext="edit" aspectratio="f"/>
                    </v:shape>
                  </w:pict>
                </mc:Fallback>
              </mc:AlternateContent>
            </w:r>
          </w:p>
        </w:tc>
        <w:tc>
          <w:tcPr>
            <w:tcW w:w="496"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4"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376" w:type="pct"/>
            <w:vMerge w:val="continue"/>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71"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工程措施</w:t>
            </w:r>
          </w:p>
        </w:tc>
        <w:tc>
          <w:tcPr>
            <w:tcW w:w="604"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lang w:eastAsia="zh-CN"/>
              </w:rPr>
              <w:t>土地整治</w:t>
            </w:r>
          </w:p>
        </w:tc>
        <w:tc>
          <w:tcPr>
            <w:tcW w:w="466" w:type="pc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p>
        </w:tc>
        <w:tc>
          <w:tcPr>
            <w:tcW w:w="409" w:type="pc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p>
        </w:tc>
        <w:tc>
          <w:tcPr>
            <w:tcW w:w="417"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487"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586"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496"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4"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rPr>
              <mc:AlternateContent>
                <mc:Choice Requires="wps">
                  <w:drawing>
                    <wp:anchor distT="0" distB="0" distL="114300" distR="114300" simplePos="0" relativeHeight="253622272" behindDoc="0" locked="0" layoutInCell="1" allowOverlap="1">
                      <wp:simplePos x="0" y="0"/>
                      <wp:positionH relativeFrom="character">
                        <wp:posOffset>-404495</wp:posOffset>
                      </wp:positionH>
                      <wp:positionV relativeFrom="line">
                        <wp:posOffset>267970</wp:posOffset>
                      </wp:positionV>
                      <wp:extent cx="381000" cy="0"/>
                      <wp:effectExtent l="0" t="19050" r="0" b="19050"/>
                      <wp:wrapNone/>
                      <wp:docPr id="14" name="自选图形 1028"/>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38100">
                                <a:solidFill>
                                  <a:srgbClr val="000000"/>
                                </a:solidFill>
                                <a:prstDash val="sysDot"/>
                                <a:round/>
                              </a:ln>
                              <a:effectLst/>
                            </wps:spPr>
                            <wps:bodyPr/>
                          </wps:wsp>
                        </a:graphicData>
                      </a:graphic>
                    </wp:anchor>
                  </w:drawing>
                </mc:Choice>
                <mc:Fallback>
                  <w:pict>
                    <v:shape id="自选图形 1028" o:spid="_x0000_s1026" o:spt="32" type="#_x0000_t32" style="position:absolute;left:0pt;margin-left:-31.85pt;margin-top:21.1pt;height:0pt;width:30pt;mso-position-horizontal-relative:char;mso-position-vertical-relative:line;z-index:253622272;mso-width-relative:page;mso-height-relative:page;" filled="f" stroked="t" coordsize="21600,21600" o:gfxdata="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jzw/jdUAAAAIAQAADwAA&#10;AAAAAAABACAAAAAiAAAAZHJzL2Rvd25yZXYueG1sUEsBAhQAFAAAAAgAh07iQAWYhBvgAQAAkwMA&#10;AA4AAAAAAAAAAQAgAAAAJAEAAGRycy9lMm9Eb2MueG1sUEsFBgAAAAAGAAYAWQEAAHYFAAAAAA==&#10;">
                      <v:fill on="f" focussize="0,0"/>
                      <v:stroke weight="3pt" color="#000000" joinstyle="round" dashstyle="1 1"/>
                      <v:imagedata o:title=""/>
                      <o:lock v:ext="edit" aspectratio="f"/>
                    </v:shape>
                  </w:pict>
                </mc:Fallback>
              </mc:AlternateConten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376" w:type="pct"/>
            <w:vMerge w:val="continue"/>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71" w:type="pct"/>
            <w:vMerge w:val="restar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植物措施</w:t>
            </w:r>
          </w:p>
        </w:tc>
        <w:tc>
          <w:tcPr>
            <w:tcW w:w="604"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lang w:eastAsia="zh-CN"/>
              </w:rPr>
              <w:t>草坪绿化</w:t>
            </w:r>
          </w:p>
        </w:tc>
        <w:tc>
          <w:tcPr>
            <w:tcW w:w="466" w:type="pc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p>
        </w:tc>
        <w:tc>
          <w:tcPr>
            <w:tcW w:w="409" w:type="pc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p>
        </w:tc>
        <w:tc>
          <w:tcPr>
            <w:tcW w:w="417"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487"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586" w:type="pct"/>
            <w:vAlign w:val="center"/>
          </w:tcPr>
          <w:p>
            <w:pPr>
              <w:suppressAutoHyphens/>
              <w:spacing w:line="240" w:lineRule="auto"/>
              <w:ind w:firstLine="0" w:firstLineChars="0"/>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mc:AlternateContent>
                <mc:Choice Requires="wps">
                  <w:drawing>
                    <wp:anchor distT="0" distB="0" distL="114300" distR="114300" simplePos="0" relativeHeight="252055552" behindDoc="0" locked="0" layoutInCell="1" allowOverlap="1">
                      <wp:simplePos x="0" y="0"/>
                      <wp:positionH relativeFrom="character">
                        <wp:posOffset>-229235</wp:posOffset>
                      </wp:positionH>
                      <wp:positionV relativeFrom="line">
                        <wp:posOffset>110490</wp:posOffset>
                      </wp:positionV>
                      <wp:extent cx="444500" cy="0"/>
                      <wp:effectExtent l="0" t="19050" r="12700" b="19050"/>
                      <wp:wrapNone/>
                      <wp:docPr id="29" name="自选图形 1028"/>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straightConnector1">
                                <a:avLst/>
                              </a:prstGeom>
                              <a:noFill/>
                              <a:ln w="38100">
                                <a:solidFill>
                                  <a:srgbClr val="000000"/>
                                </a:solidFill>
                                <a:prstDash val="lgDash"/>
                                <a:round/>
                              </a:ln>
                              <a:effectLst/>
                            </wps:spPr>
                            <wps:bodyPr/>
                          </wps:wsp>
                        </a:graphicData>
                      </a:graphic>
                    </wp:anchor>
                  </w:drawing>
                </mc:Choice>
                <mc:Fallback>
                  <w:pict>
                    <v:shape id="自选图形 1028" o:spid="_x0000_s1026" o:spt="32" type="#_x0000_t32" style="position:absolute;left:0pt;margin-left:-18.05pt;margin-top:8.7pt;height:0pt;width:35pt;mso-position-horizontal-relative:char;mso-position-vertical-relative:line;z-index:252055552;mso-width-relative:page;mso-height-relative:page;" filled="f" stroked="t" coordsize="21600,21600" o:gfxdata="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0aDRjtcAAAAIAQAA&#10;DwAAAAAAAAABACAAAAAiAAAAZHJzL2Rvd25yZXYueG1sUEsBAhQAFAAAAAgAh07iQHIm9WzhAQAA&#10;kwMAAA4AAAAAAAAAAQAgAAAAJgEAAGRycy9lMm9Eb2MueG1sUEsFBgAAAAAGAAYAWQEAAHkFAAAA&#10;AA==&#10;">
                      <v:fill on="f" focussize="0,0"/>
                      <v:stroke weight="3pt" color="#000000" joinstyle="round" dashstyle="longDash"/>
                      <v:imagedata o:title=""/>
                      <o:lock v:ext="edit" aspectratio="f"/>
                    </v:shape>
                  </w:pict>
                </mc:Fallback>
              </mc:AlternateContent>
            </w:r>
          </w:p>
        </w:tc>
        <w:tc>
          <w:tcPr>
            <w:tcW w:w="496"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4"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376" w:type="pct"/>
            <w:vMerge w:val="continue"/>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71" w:type="pct"/>
            <w:vMerge w:val="continue"/>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04"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lang w:eastAsia="zh-CN"/>
              </w:rPr>
              <w:t>撒播草籽</w:t>
            </w:r>
          </w:p>
        </w:tc>
        <w:tc>
          <w:tcPr>
            <w:tcW w:w="466" w:type="pc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p>
        </w:tc>
        <w:tc>
          <w:tcPr>
            <w:tcW w:w="409" w:type="pc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p>
        </w:tc>
        <w:tc>
          <w:tcPr>
            <w:tcW w:w="417"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487"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586" w:type="pct"/>
            <w:vAlign w:val="center"/>
          </w:tcPr>
          <w:p>
            <w:pPr>
              <w:suppressAutoHyphens/>
              <w:spacing w:line="240" w:lineRule="auto"/>
              <w:ind w:firstLine="0" w:firstLineChars="0"/>
              <w:jc w:val="center"/>
              <w:rPr>
                <w:rFonts w:hint="default" w:ascii="Times New Roman" w:hAnsi="Times New Roman" w:eastAsia="仿宋_GB2312" w:cs="Times New Roman"/>
                <w:color w:val="auto"/>
              </w:rPr>
            </w:pPr>
          </w:p>
        </w:tc>
        <w:tc>
          <w:tcPr>
            <w:tcW w:w="496"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4"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rPr>
              <mc:AlternateContent>
                <mc:Choice Requires="wps">
                  <w:drawing>
                    <wp:anchor distT="0" distB="0" distL="114300" distR="114300" simplePos="0" relativeHeight="252453888" behindDoc="0" locked="0" layoutInCell="1" allowOverlap="1">
                      <wp:simplePos x="0" y="0"/>
                      <wp:positionH relativeFrom="character">
                        <wp:posOffset>-394335</wp:posOffset>
                      </wp:positionH>
                      <wp:positionV relativeFrom="line">
                        <wp:posOffset>107315</wp:posOffset>
                      </wp:positionV>
                      <wp:extent cx="792480" cy="3810"/>
                      <wp:effectExtent l="0" t="0" r="0" b="0"/>
                      <wp:wrapNone/>
                      <wp:docPr id="2" name="自选图形 1028"/>
                      <wp:cNvGraphicFramePr/>
                      <a:graphic xmlns:a="http://schemas.openxmlformats.org/drawingml/2006/main">
                        <a:graphicData uri="http://schemas.microsoft.com/office/word/2010/wordprocessingShape">
                          <wps:wsp>
                            <wps:cNvCnPr>
                              <a:cxnSpLocks noChangeShapeType="1"/>
                            </wps:cNvCnPr>
                            <wps:spPr bwMode="auto">
                              <a:xfrm>
                                <a:off x="0" y="0"/>
                                <a:ext cx="792480" cy="3810"/>
                              </a:xfrm>
                              <a:prstGeom prst="straightConnector1">
                                <a:avLst/>
                              </a:prstGeom>
                              <a:noFill/>
                              <a:ln w="38100">
                                <a:solidFill>
                                  <a:srgbClr val="000000"/>
                                </a:solidFill>
                                <a:prstDash val="lgDash"/>
                                <a:round/>
                              </a:ln>
                              <a:effectLst/>
                            </wps:spPr>
                            <wps:bodyPr/>
                          </wps:wsp>
                        </a:graphicData>
                      </a:graphic>
                    </wp:anchor>
                  </w:drawing>
                </mc:Choice>
                <mc:Fallback>
                  <w:pict>
                    <v:shape id="自选图形 1028" o:spid="_x0000_s1026" o:spt="32" type="#_x0000_t32" style="position:absolute;left:0pt;margin-left:-31.05pt;margin-top:8.45pt;height:0.3pt;width:62.4pt;mso-position-horizontal-relative:char;mso-position-vertical-relative:line;z-index:252453888;mso-width-relative:page;mso-height-relative:page;" filled="f" stroked="t" coordsize="21600,21600" o:gfxdata="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hvvji2AAA&#10;AAgBAAAPAAAAAAAAAAEAIAAAACIAAABkcnMvZG93bnJldi54bWxQSwECFAAUAAAACACHTuJAEcPS&#10;xeUBAACVAwAADgAAAAAAAAABACAAAAAnAQAAZHJzL2Uyb0RvYy54bWxQSwUGAAAAAAYABgBZAQAA&#10;fgUAAAAA&#10;">
                      <v:fill on="f" focussize="0,0"/>
                      <v:stroke weight="3pt" color="#000000" joinstyle="round" dashstyle="longDash"/>
                      <v:imagedata o:title=""/>
                      <o:lock v:ext="edit" aspectratio="f"/>
                    </v:shape>
                  </w:pict>
                </mc:Fallback>
              </mc:AlternateConten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376" w:type="pct"/>
            <w:vMerge w:val="continue"/>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71" w:type="pct"/>
            <w:vMerge w:val="continue"/>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04"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lang w:eastAsia="zh-CN"/>
              </w:rPr>
              <w:t>抚育管理</w:t>
            </w:r>
          </w:p>
        </w:tc>
        <w:tc>
          <w:tcPr>
            <w:tcW w:w="466" w:type="pc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p>
        </w:tc>
        <w:tc>
          <w:tcPr>
            <w:tcW w:w="409" w:type="pc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p>
        </w:tc>
        <w:tc>
          <w:tcPr>
            <w:tcW w:w="417"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487"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586" w:type="pct"/>
            <w:vAlign w:val="center"/>
          </w:tcPr>
          <w:p>
            <w:pPr>
              <w:suppressAutoHyphens/>
              <w:spacing w:line="240" w:lineRule="auto"/>
              <w:ind w:firstLine="0" w:firstLineChars="0"/>
              <w:jc w:val="center"/>
              <w:rPr>
                <w:rFonts w:hint="default" w:ascii="Times New Roman" w:hAnsi="Times New Roman" w:eastAsia="仿宋_GB2312" w:cs="Times New Roman"/>
                <w:color w:val="auto"/>
              </w:rPr>
            </w:pPr>
          </w:p>
        </w:tc>
        <w:tc>
          <w:tcPr>
            <w:tcW w:w="496"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4"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rPr>
              <mc:AlternateContent>
                <mc:Choice Requires="wps">
                  <w:drawing>
                    <wp:anchor distT="0" distB="0" distL="114300" distR="114300" simplePos="0" relativeHeight="253250560" behindDoc="0" locked="0" layoutInCell="1" allowOverlap="1">
                      <wp:simplePos x="0" y="0"/>
                      <wp:positionH relativeFrom="character">
                        <wp:posOffset>-398145</wp:posOffset>
                      </wp:positionH>
                      <wp:positionV relativeFrom="line">
                        <wp:posOffset>104140</wp:posOffset>
                      </wp:positionV>
                      <wp:extent cx="792480" cy="3810"/>
                      <wp:effectExtent l="0" t="0" r="0" b="0"/>
                      <wp:wrapNone/>
                      <wp:docPr id="3" name="自选图形 1028"/>
                      <wp:cNvGraphicFramePr/>
                      <a:graphic xmlns:a="http://schemas.openxmlformats.org/drawingml/2006/main">
                        <a:graphicData uri="http://schemas.microsoft.com/office/word/2010/wordprocessingShape">
                          <wps:wsp>
                            <wps:cNvCnPr>
                              <a:cxnSpLocks noChangeShapeType="1"/>
                            </wps:cNvCnPr>
                            <wps:spPr bwMode="auto">
                              <a:xfrm>
                                <a:off x="0" y="0"/>
                                <a:ext cx="792480" cy="3810"/>
                              </a:xfrm>
                              <a:prstGeom prst="straightConnector1">
                                <a:avLst/>
                              </a:prstGeom>
                              <a:noFill/>
                              <a:ln w="38100">
                                <a:solidFill>
                                  <a:srgbClr val="000000"/>
                                </a:solidFill>
                                <a:prstDash val="lgDash"/>
                                <a:round/>
                              </a:ln>
                              <a:effectLst/>
                            </wps:spPr>
                            <wps:bodyPr/>
                          </wps:wsp>
                        </a:graphicData>
                      </a:graphic>
                    </wp:anchor>
                  </w:drawing>
                </mc:Choice>
                <mc:Fallback>
                  <w:pict>
                    <v:shape id="自选图形 1028" o:spid="_x0000_s1026" o:spt="32" type="#_x0000_t32" style="position:absolute;left:0pt;margin-left:-31.35pt;margin-top:8.2pt;height:0.3pt;width:62.4pt;mso-position-horizontal-relative:char;mso-position-vertical-relative:line;z-index:253250560;mso-width-relative:page;mso-height-relative:page;" filled="f" stroked="t" coordsize="21600,21600" o:gfxdata="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i7c6TXAAAA&#10;CAEAAA8AAAAAAAAAAQAgAAAAIgAAAGRycy9kb3ducmV2LnhtbFBLAQIUABQAAAAIAIdO4kAUIwzy&#10;5QEAAJUDAAAOAAAAAAAAAAEAIAAAACYBAABkcnMvZTJvRG9jLnhtbFBLBQYAAAAABgAGAFkBAAB9&#10;BQAAAAA=&#10;">
                      <v:fill on="f" focussize="0,0"/>
                      <v:stroke weight="3pt" color="#000000" joinstyle="round" dashstyle="longDash"/>
                      <v:imagedata o:title=""/>
                      <o:lock v:ext="edit" aspectratio="f"/>
                    </v:shape>
                  </w:pict>
                </mc:Fallback>
              </mc:AlternateContent>
            </w:r>
          </w:p>
        </w:tc>
      </w:tr>
    </w:tbl>
    <w:p>
      <w:pPr>
        <w:tabs>
          <w:tab w:val="left" w:pos="5760"/>
        </w:tabs>
        <w:ind w:firstLine="0" w:firstLineChars="0"/>
        <w:jc w:val="center"/>
        <w:rPr>
          <w:rFonts w:hint="default" w:ascii="Times New Roman" w:hAnsi="Times New Roman" w:eastAsia="仿宋_GB2312" w:cs="Times New Roman"/>
          <w:color w:val="auto"/>
          <w:sz w:val="18"/>
          <w:szCs w:val="18"/>
        </w:rPr>
        <w:sectPr>
          <w:headerReference r:id="rId15" w:type="default"/>
          <w:pgSz w:w="11906" w:h="16838"/>
          <w:pgMar w:top="1440" w:right="1797" w:bottom="1440" w:left="1797" w:header="851" w:footer="992" w:gutter="0"/>
          <w:pgBorders>
            <w:top w:val="none" w:sz="0" w:space="0"/>
            <w:left w:val="none" w:sz="0" w:space="0"/>
            <w:bottom w:val="none" w:sz="0" w:space="0"/>
            <w:right w:val="none" w:sz="0" w:space="0"/>
          </w:pgBorders>
          <w:cols w:space="720" w:num="1"/>
          <w:docGrid w:type="lines" w:linePitch="326" w:charSpace="0"/>
        </w:sectPr>
      </w:pPr>
      <w:r>
        <w:rPr>
          <w:rFonts w:hint="default" w:ascii="Times New Roman" w:hAnsi="Times New Roman" w:eastAsia="仿宋_GB2312" w:cs="Times New Roman"/>
          <w:bCs/>
          <w:color w:val="auto"/>
          <w:kern w:val="0"/>
          <w:sz w:val="18"/>
          <w:szCs w:val="18"/>
        </w:rPr>
        <mc:AlternateContent>
          <mc:Choice Requires="wps">
            <w:drawing>
              <wp:anchor distT="0" distB="0" distL="114300" distR="114300" simplePos="0" relativeHeight="251641856" behindDoc="0" locked="0" layoutInCell="1" allowOverlap="1">
                <wp:simplePos x="0" y="0"/>
                <wp:positionH relativeFrom="column">
                  <wp:posOffset>6594475</wp:posOffset>
                </wp:positionH>
                <wp:positionV relativeFrom="paragraph">
                  <wp:posOffset>173355</wp:posOffset>
                </wp:positionV>
                <wp:extent cx="793750" cy="0"/>
                <wp:effectExtent l="0" t="0" r="26035" b="19050"/>
                <wp:wrapNone/>
                <wp:docPr id="25" name="AutoShape 1823"/>
                <wp:cNvGraphicFramePr/>
                <a:graphic xmlns:a="http://schemas.openxmlformats.org/drawingml/2006/main">
                  <a:graphicData uri="http://schemas.microsoft.com/office/word/2010/wordprocessingShape">
                    <wps:wsp>
                      <wps:cNvCnPr>
                        <a:cxnSpLocks noChangeShapeType="1"/>
                      </wps:cNvCnPr>
                      <wps:spPr bwMode="auto">
                        <a:xfrm>
                          <a:off x="0" y="0"/>
                          <a:ext cx="793630" cy="0"/>
                        </a:xfrm>
                        <a:prstGeom prst="straightConnector1">
                          <a:avLst/>
                        </a:prstGeom>
                        <a:noFill/>
                        <a:ln w="15875">
                          <a:solidFill>
                            <a:srgbClr val="000000"/>
                          </a:solidFill>
                          <a:round/>
                        </a:ln>
                      </wps:spPr>
                      <wps:bodyPr/>
                    </wps:wsp>
                  </a:graphicData>
                </a:graphic>
              </wp:anchor>
            </w:drawing>
          </mc:Choice>
          <mc:Fallback>
            <w:pict>
              <v:shape id="AutoShape 1823" o:spid="_x0000_s1026" o:spt="32" type="#_x0000_t32" style="position:absolute;left:0pt;margin-left:519.25pt;margin-top:13.65pt;height:0pt;width:62.5pt;z-index:251641856;mso-width-relative:page;mso-height-relative:page;" filled="f" stroked="t" coordsize="21600,21600" o:gfxdata="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Zl83HXAAAACwEAAA8AAAAAAAAAAQAgAAAAIgAAAGRycy9kb3ducmV2LnhtbFBL&#10;AQIUABQAAAAIAIdO4kC4+xcOvgEAAGgDAAAOAAAAAAAAAAEAIAAAACYBAABkcnMvZTJvRG9jLnht&#10;bFBLBQYAAAAABgAGAFkBAABWBQAAAAA=&#10;">
                <v:fill on="f" focussize="0,0"/>
                <v:stroke weight="1.25pt" color="#000000" joinstyle="round"/>
                <v:imagedata o:title=""/>
                <o:lock v:ext="edit" aspectratio="f"/>
              </v:shape>
            </w:pict>
          </mc:Fallback>
        </mc:AlternateContent>
      </w:r>
      <w:r>
        <w:rPr>
          <w:rFonts w:hint="default" w:ascii="Times New Roman" w:hAnsi="Times New Roman" w:cs="Times New Roman"/>
          <w:color w:val="auto"/>
        </w:rPr>
        <w:drawing>
          <wp:inline distT="0" distB="0" distL="0" distR="0">
            <wp:extent cx="5278120" cy="54673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3"/>
                    <a:stretch>
                      <a:fillRect/>
                    </a:stretch>
                  </pic:blipFill>
                  <pic:spPr>
                    <a:xfrm>
                      <a:off x="0" y="0"/>
                      <a:ext cx="5278120" cy="546750"/>
                    </a:xfrm>
                    <a:prstGeom prst="rect">
                      <a:avLst/>
                    </a:prstGeom>
                  </pic:spPr>
                </pic:pic>
              </a:graphicData>
            </a:graphic>
          </wp:inline>
        </w:drawing>
      </w:r>
      <w:r>
        <w:rPr>
          <w:rFonts w:hint="default" w:ascii="Times New Roman" w:hAnsi="Times New Roman" w:eastAsia="仿宋_GB2312" w:cs="Times New Roman"/>
          <w:color w:val="auto"/>
          <w:sz w:val="18"/>
          <w:szCs w:val="18"/>
        </w:rPr>
        <w:t xml:space="preserve"> </w:t>
      </w:r>
    </w:p>
    <w:bookmarkEnd w:id="136"/>
    <w:bookmarkEnd w:id="137"/>
    <w:bookmarkEnd w:id="138"/>
    <w:bookmarkEnd w:id="139"/>
    <w:bookmarkEnd w:id="140"/>
    <w:p>
      <w:pPr>
        <w:pStyle w:val="3"/>
        <w:rPr>
          <w:rFonts w:hint="default" w:ascii="Times New Roman" w:hAnsi="Times New Roman" w:cs="Times New Roman"/>
          <w:color w:val="auto"/>
          <w:kern w:val="0"/>
        </w:rPr>
      </w:pPr>
      <w:bookmarkStart w:id="141" w:name="_Toc33013303"/>
      <w:bookmarkStart w:id="142" w:name="_Toc47879808"/>
      <w:bookmarkStart w:id="143" w:name="_Toc12137981"/>
      <w:bookmarkStart w:id="144" w:name="_Toc425493420"/>
      <w:r>
        <w:rPr>
          <w:rFonts w:hint="default" w:ascii="Times New Roman" w:hAnsi="Times New Roman" w:cs="Times New Roman"/>
          <w:color w:val="auto"/>
          <w:kern w:val="0"/>
        </w:rPr>
        <w:t>6水土保持监测</w:t>
      </w:r>
      <w:bookmarkEnd w:id="141"/>
      <w:bookmarkEnd w:id="142"/>
      <w:bookmarkEnd w:id="143"/>
    </w:p>
    <w:p>
      <w:pPr>
        <w:pStyle w:val="4"/>
        <w:suppressAutoHyphens/>
        <w:spacing w:before="156" w:beforeLines="50" w:after="156" w:afterLines="50"/>
        <w:rPr>
          <w:rFonts w:hint="default" w:ascii="Times New Roman" w:hAnsi="Times New Roman" w:cs="Times New Roman"/>
          <w:color w:val="auto"/>
          <w:kern w:val="0"/>
        </w:rPr>
      </w:pPr>
      <w:bookmarkStart w:id="145" w:name="_6_1_监测内容"/>
      <w:bookmarkEnd w:id="145"/>
      <w:bookmarkStart w:id="146" w:name="_Toc425234234"/>
      <w:bookmarkStart w:id="147" w:name="_Toc372908213"/>
      <w:bookmarkStart w:id="148" w:name="_Toc8591338"/>
      <w:bookmarkStart w:id="149" w:name="_Toc33013304"/>
      <w:bookmarkStart w:id="150" w:name="_Toc47879809"/>
      <w:bookmarkStart w:id="151" w:name="_Toc12137982"/>
      <w:bookmarkStart w:id="152" w:name="_Toc427779239"/>
      <w:bookmarkStart w:id="153" w:name="_Toc427779238"/>
      <w:bookmarkStart w:id="154" w:name="_Toc372908212"/>
      <w:bookmarkStart w:id="155" w:name="_Toc425234233"/>
      <w:r>
        <w:rPr>
          <w:rFonts w:hint="default" w:ascii="Times New Roman" w:hAnsi="Times New Roman" w:cs="Times New Roman"/>
          <w:color w:val="auto"/>
          <w:kern w:val="0"/>
        </w:rPr>
        <w:t xml:space="preserve">6.1 </w:t>
      </w:r>
      <w:bookmarkEnd w:id="146"/>
      <w:bookmarkEnd w:id="147"/>
      <w:r>
        <w:rPr>
          <w:rFonts w:hint="default" w:ascii="Times New Roman" w:hAnsi="Times New Roman" w:cs="Times New Roman"/>
          <w:color w:val="auto"/>
          <w:kern w:val="0"/>
        </w:rPr>
        <w:t>范围与时段</w:t>
      </w:r>
      <w:bookmarkEnd w:id="148"/>
      <w:bookmarkEnd w:id="149"/>
      <w:bookmarkEnd w:id="150"/>
      <w:bookmarkEnd w:id="151"/>
      <w:bookmarkEnd w:id="152"/>
    </w:p>
    <w:p>
      <w:pPr>
        <w:pStyle w:val="5"/>
        <w:rPr>
          <w:rFonts w:hint="default" w:ascii="Times New Roman" w:hAnsi="Times New Roman" w:cs="Times New Roman"/>
          <w:color w:val="auto"/>
        </w:rPr>
      </w:pPr>
      <w:r>
        <w:rPr>
          <w:rFonts w:hint="default" w:ascii="Times New Roman" w:hAnsi="Times New Roman" w:cs="Times New Roman"/>
          <w:color w:val="auto"/>
        </w:rPr>
        <w:t>6.1.1 监测范围</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根据《生产建设项目水土保持监测与评价标准》（GB/T51240-2018），生产建设项目水土保持监测范围包括水土保持方案确定的水土流失防治责任范围，以及项目建设与生产过程中扰动与危害的其他区域。经调查项目在既有围墙内施工，没有扰动项目区以外的地表，故水土保持监测范围面积为永久占地面积，即0.12hm</w:t>
      </w:r>
      <w:r>
        <w:rPr>
          <w:rFonts w:hint="default" w:ascii="Times New Roman" w:hAnsi="Times New Roman" w:eastAsia="仿宋_GB2312" w:cs="Times New Roman"/>
          <w:color w:val="auto"/>
          <w:szCs w:val="24"/>
          <w:vertAlign w:val="superscript"/>
        </w:rPr>
        <w:t>2</w:t>
      </w:r>
      <w:r>
        <w:rPr>
          <w:rFonts w:hint="default" w:ascii="Times New Roman" w:hAnsi="Times New Roman" w:eastAsia="仿宋_GB2312" w:cs="Times New Roman"/>
          <w:color w:val="auto"/>
          <w:szCs w:val="24"/>
        </w:rPr>
        <w:t>。</w:t>
      </w:r>
    </w:p>
    <w:p>
      <w:pPr>
        <w:pStyle w:val="5"/>
        <w:rPr>
          <w:rFonts w:hint="default" w:ascii="Times New Roman" w:hAnsi="Times New Roman" w:cs="Times New Roman"/>
          <w:color w:val="auto"/>
        </w:rPr>
      </w:pPr>
      <w:bookmarkStart w:id="156" w:name="_Toc427779240"/>
      <w:bookmarkStart w:id="157" w:name="_Toc372908214"/>
      <w:r>
        <w:rPr>
          <w:rFonts w:hint="default" w:ascii="Times New Roman" w:hAnsi="Times New Roman" w:cs="Times New Roman"/>
          <w:color w:val="auto"/>
        </w:rPr>
        <w:t>6.1.2监测时段</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根据《生产建设项目水土保持监测与评价标准》（GB/T51240-2018），建设类项目水土保持监测应从施工准备期开始至设计水平年结束。监测时段：2016年11月～2020年12月。</w:t>
      </w:r>
    </w:p>
    <w:p>
      <w:pPr>
        <w:pStyle w:val="4"/>
        <w:suppressAutoHyphens/>
        <w:spacing w:before="156" w:beforeLines="50" w:after="156" w:afterLines="50"/>
        <w:rPr>
          <w:rFonts w:hint="default" w:ascii="Times New Roman" w:hAnsi="Times New Roman" w:cs="Times New Roman"/>
          <w:color w:val="auto"/>
          <w:kern w:val="0"/>
        </w:rPr>
      </w:pPr>
      <w:bookmarkStart w:id="158" w:name="_Toc33013305"/>
      <w:bookmarkStart w:id="159" w:name="_Toc12137983"/>
      <w:bookmarkStart w:id="160" w:name="_Toc8591339"/>
      <w:bookmarkStart w:id="161" w:name="_Toc47879810"/>
      <w:r>
        <w:rPr>
          <w:rFonts w:hint="default" w:ascii="Times New Roman" w:hAnsi="Times New Roman" w:cs="Times New Roman"/>
          <w:color w:val="auto"/>
          <w:kern w:val="0"/>
        </w:rPr>
        <w:t>6.2内容和方法</w:t>
      </w:r>
      <w:bookmarkEnd w:id="156"/>
      <w:bookmarkEnd w:id="158"/>
      <w:bookmarkEnd w:id="159"/>
      <w:bookmarkEnd w:id="160"/>
      <w:bookmarkEnd w:id="161"/>
    </w:p>
    <w:p>
      <w:pPr>
        <w:pStyle w:val="5"/>
        <w:rPr>
          <w:rFonts w:hint="default" w:ascii="Times New Roman" w:hAnsi="Times New Roman" w:cs="Times New Roman"/>
          <w:color w:val="auto"/>
        </w:rPr>
      </w:pPr>
      <w:r>
        <w:rPr>
          <w:rFonts w:hint="default" w:ascii="Times New Roman" w:hAnsi="Times New Roman" w:cs="Times New Roman"/>
          <w:color w:val="auto"/>
        </w:rPr>
        <w:t>6.2.1监测内容</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根据《生产建设项目水土保持监测与评价标准》（GB/T51240-2018）的规定，并结合项目的实际确定监测内容：</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（1）项目建设对原地表、水土保持设施的占压和损毁情况，项目征占地和水土流失防治责任范围变化情况；各监测分区及其重点对象的土壤流失量；水土流失危危害的方式、数量和程度等。</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（2）工程措施布设位置、数量、结构形式；工程措施的类型、数量、分布和完好程度；水土保持措施效果等。</w:t>
      </w:r>
    </w:p>
    <w:p>
      <w:pPr>
        <w:pStyle w:val="5"/>
        <w:rPr>
          <w:rFonts w:hint="default" w:ascii="Times New Roman" w:hAnsi="Times New Roman" w:cs="Times New Roman"/>
          <w:color w:val="auto"/>
        </w:rPr>
      </w:pPr>
      <w:bookmarkStart w:id="162" w:name="_Toc372908215"/>
      <w:bookmarkStart w:id="163" w:name="_Toc425234236"/>
      <w:r>
        <w:rPr>
          <w:rFonts w:hint="default" w:ascii="Times New Roman" w:hAnsi="Times New Roman" w:cs="Times New Roman"/>
          <w:color w:val="auto"/>
        </w:rPr>
        <w:t>6.2.2监测方法</w:t>
      </w:r>
      <w:bookmarkEnd w:id="162"/>
      <w:bookmarkEnd w:id="163"/>
      <w:r>
        <w:rPr>
          <w:rFonts w:hint="default" w:ascii="Times New Roman" w:hAnsi="Times New Roman" w:cs="Times New Roman"/>
          <w:color w:val="auto"/>
        </w:rPr>
        <w:t>及频次</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监测方法按照《生产建设项目水土保持监测与评价标准》（GB/T51240-2018）的规定结合项目实际来确定：</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（1）监测方法：对水土流失危害、水土保持设施实施情况、重大水土流失等采用不定期巡查和观察法监测。</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工程措施采用实地量测法，并结合施工和监理资料，最终确定扰动面积、土石方量及水保措施实施数量。</w:t>
      </w:r>
    </w:p>
    <w:p>
      <w:pPr>
        <w:suppressAutoHyphens/>
        <w:ind w:firstLine="480"/>
        <w:rPr>
          <w:rFonts w:hint="default" w:ascii="Times New Roman" w:hAnsi="Times New Roman" w:eastAsia="仿宋_GB2312" w:cs="Times New Roman"/>
          <w:color w:val="auto"/>
        </w:rPr>
      </w:pPr>
      <w:bookmarkStart w:id="164" w:name="_Toc181502124"/>
      <w:bookmarkStart w:id="165" w:name="_Toc181114054"/>
      <w:bookmarkStart w:id="166" w:name="_Toc117073548"/>
      <w:bookmarkStart w:id="167" w:name="_Toc425234235"/>
      <w:bookmarkStart w:id="168" w:name="_Toc181114424"/>
      <w:bookmarkStart w:id="169" w:name="_Toc181096841"/>
      <w:bookmarkStart w:id="170" w:name="_Toc33013306"/>
      <w:bookmarkStart w:id="171" w:name="_Toc12137984"/>
      <w:bookmarkStart w:id="172" w:name="_Toc8591340"/>
      <w:r>
        <w:rPr>
          <w:rFonts w:hint="default" w:ascii="Times New Roman" w:hAnsi="Times New Roman" w:eastAsia="仿宋_GB2312" w:cs="Times New Roman"/>
          <w:color w:val="auto"/>
        </w:rPr>
        <w:t>（2）监测频次</w:t>
      </w:r>
    </w:p>
    <w:p>
      <w:pPr>
        <w:suppressAutoHyphens/>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工程措施应每季度调查1次。</w:t>
      </w:r>
      <w:r>
        <w:rPr>
          <w:rFonts w:hint="default" w:ascii="Times New Roman" w:hAnsi="Times New Roman" w:eastAsia="仿宋_GB2312" w:cs="Times New Roman"/>
          <w:color w:val="auto"/>
          <w:szCs w:val="24"/>
        </w:rPr>
        <w:t>临时措施可在查阅工程施工、监理等资料的基础上，实地调查，并拍摄照片或录像等影响资料。应每季度统计1次。</w:t>
      </w:r>
    </w:p>
    <w:p>
      <w:pPr>
        <w:pStyle w:val="4"/>
        <w:suppressAutoHyphens/>
        <w:spacing w:before="156" w:beforeLines="50" w:after="156" w:afterLines="50"/>
        <w:rPr>
          <w:rFonts w:hint="default" w:ascii="Times New Roman" w:hAnsi="Times New Roman" w:cs="Times New Roman"/>
          <w:color w:val="auto"/>
          <w:kern w:val="0"/>
        </w:rPr>
      </w:pPr>
      <w:bookmarkStart w:id="173" w:name="_Toc47879811"/>
      <w:r>
        <w:rPr>
          <w:rFonts w:hint="default" w:ascii="Times New Roman" w:hAnsi="Times New Roman" w:cs="Times New Roman"/>
          <w:color w:val="auto"/>
          <w:kern w:val="0"/>
        </w:rPr>
        <w:t>6.3点位</w:t>
      </w:r>
      <w:bookmarkEnd w:id="164"/>
      <w:bookmarkEnd w:id="165"/>
      <w:bookmarkEnd w:id="166"/>
      <w:bookmarkEnd w:id="167"/>
      <w:bookmarkEnd w:id="168"/>
      <w:bookmarkEnd w:id="169"/>
      <w:r>
        <w:rPr>
          <w:rFonts w:hint="default" w:ascii="Times New Roman" w:hAnsi="Times New Roman" w:cs="Times New Roman"/>
          <w:color w:val="auto"/>
          <w:kern w:val="0"/>
        </w:rPr>
        <w:t>布设</w:t>
      </w:r>
      <w:bookmarkEnd w:id="170"/>
      <w:bookmarkEnd w:id="171"/>
      <w:bookmarkEnd w:id="172"/>
      <w:bookmarkEnd w:id="173"/>
    </w:p>
    <w:p>
      <w:pPr>
        <w:widowControl/>
        <w:ind w:firstLine="480"/>
        <w:jc w:val="left"/>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监测点布设应遵循代表性、方便性、少受干扰的原则。每个监测区至少布设1个监测点。本次监测结合项目实际布设水土保持监测点位。同时兼顾自然恢复期林草植被的成活率、保存率，厂区排水设施的完整性、有效性等。</w:t>
      </w:r>
    </w:p>
    <w:p>
      <w:pPr>
        <w:widowControl/>
        <w:ind w:firstLine="480"/>
        <w:jc w:val="left"/>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水土保持监测点布设见表：</w:t>
      </w:r>
      <w:r>
        <w:rPr>
          <w:rFonts w:hint="default" w:ascii="Times New Roman" w:hAnsi="Times New Roman" w:eastAsia="仿宋_GB2312" w:cs="Times New Roman"/>
          <w:color w:val="auto"/>
          <w:szCs w:val="24"/>
        </w:rPr>
        <w:t>具体监测点位布设见表6-1。</w:t>
      </w:r>
    </w:p>
    <w:p>
      <w:pPr>
        <w:spacing w:line="240" w:lineRule="auto"/>
        <w:ind w:firstLine="38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bCs/>
          <w:color w:val="auto"/>
          <w:spacing w:val="-10"/>
          <w:kern w:val="0"/>
          <w:sz w:val="21"/>
          <w:szCs w:val="21"/>
        </w:rPr>
        <w:t xml:space="preserve">表6-1   </w:t>
      </w:r>
      <w:r>
        <w:rPr>
          <w:rFonts w:hint="default" w:ascii="Times New Roman" w:hAnsi="Times New Roman" w:eastAsia="仿宋_GB2312" w:cs="Times New Roman"/>
          <w:b/>
          <w:color w:val="auto"/>
          <w:sz w:val="21"/>
          <w:szCs w:val="21"/>
        </w:rPr>
        <w:t>水土保持监测分区及监测点位布设表</w:t>
      </w:r>
    </w:p>
    <w:tbl>
      <w:tblPr>
        <w:tblStyle w:val="61"/>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817"/>
        <w:gridCol w:w="2552"/>
        <w:gridCol w:w="3184"/>
        <w:gridCol w:w="197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817" w:type="dxa"/>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序号</w:t>
            </w:r>
          </w:p>
        </w:tc>
        <w:tc>
          <w:tcPr>
            <w:tcW w:w="2552" w:type="dxa"/>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监测区域</w:t>
            </w:r>
          </w:p>
        </w:tc>
        <w:tc>
          <w:tcPr>
            <w:tcW w:w="3184" w:type="dxa"/>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监测点位（重点监测对象）</w:t>
            </w:r>
          </w:p>
        </w:tc>
        <w:tc>
          <w:tcPr>
            <w:tcW w:w="1975" w:type="dxa"/>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817" w:type="dxa"/>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w:t>
            </w:r>
          </w:p>
        </w:tc>
        <w:tc>
          <w:tcPr>
            <w:tcW w:w="2552" w:type="dxa"/>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景观绿化</w:t>
            </w:r>
          </w:p>
        </w:tc>
        <w:tc>
          <w:tcPr>
            <w:tcW w:w="3184" w:type="dxa"/>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w:t>
            </w:r>
          </w:p>
        </w:tc>
        <w:tc>
          <w:tcPr>
            <w:tcW w:w="1975" w:type="dxa"/>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监测至设计水平年</w:t>
            </w:r>
          </w:p>
        </w:tc>
      </w:tr>
    </w:tbl>
    <w:p>
      <w:pPr>
        <w:pStyle w:val="321"/>
        <w:spacing w:line="240" w:lineRule="auto"/>
        <w:ind w:firstLine="480"/>
        <w:rPr>
          <w:rFonts w:hint="default" w:ascii="Times New Roman" w:hAnsi="Times New Roman" w:eastAsia="仿宋_GB2312" w:cs="Times New Roman"/>
          <w:color w:val="auto"/>
        </w:rPr>
      </w:pPr>
    </w:p>
    <w:bookmarkEnd w:id="153"/>
    <w:bookmarkEnd w:id="154"/>
    <w:bookmarkEnd w:id="155"/>
    <w:bookmarkEnd w:id="157"/>
    <w:p>
      <w:pPr>
        <w:pStyle w:val="4"/>
        <w:suppressAutoHyphens/>
        <w:spacing w:before="156" w:beforeLines="50" w:after="156" w:afterLines="50"/>
        <w:rPr>
          <w:rFonts w:hint="default" w:ascii="Times New Roman" w:hAnsi="Times New Roman" w:cs="Times New Roman"/>
          <w:color w:val="auto"/>
          <w:kern w:val="0"/>
        </w:rPr>
      </w:pPr>
      <w:bookmarkStart w:id="174" w:name="_Toc427779241"/>
      <w:bookmarkStart w:id="175" w:name="_Toc47879812"/>
      <w:bookmarkStart w:id="176" w:name="_Toc8591341"/>
      <w:bookmarkStart w:id="177" w:name="_Toc12137985"/>
      <w:bookmarkStart w:id="178" w:name="_Toc33013307"/>
      <w:bookmarkStart w:id="179" w:name="_Toc425234238"/>
      <w:r>
        <w:rPr>
          <w:rFonts w:hint="default" w:ascii="Times New Roman" w:hAnsi="Times New Roman" w:cs="Times New Roman"/>
          <w:color w:val="auto"/>
          <w:kern w:val="0"/>
        </w:rPr>
        <w:t>6.4</w:t>
      </w:r>
      <w:bookmarkEnd w:id="174"/>
      <w:r>
        <w:rPr>
          <w:rFonts w:hint="default" w:ascii="Times New Roman" w:hAnsi="Times New Roman" w:cs="Times New Roman"/>
          <w:color w:val="auto"/>
          <w:kern w:val="0"/>
        </w:rPr>
        <w:t>实施条件和成果</w:t>
      </w:r>
      <w:bookmarkEnd w:id="175"/>
      <w:bookmarkEnd w:id="176"/>
      <w:bookmarkEnd w:id="177"/>
      <w:bookmarkEnd w:id="178"/>
    </w:p>
    <w:p>
      <w:pPr>
        <w:pStyle w:val="5"/>
        <w:rPr>
          <w:rFonts w:hint="default" w:ascii="Times New Roman" w:hAnsi="Times New Roman" w:cs="Times New Roman"/>
          <w:color w:val="auto"/>
        </w:rPr>
      </w:pPr>
      <w:r>
        <w:rPr>
          <w:rFonts w:hint="default" w:ascii="Times New Roman" w:hAnsi="Times New Roman" w:cs="Times New Roman"/>
          <w:color w:val="auto"/>
        </w:rPr>
        <w:t>6.4.1监测人员</w:t>
      </w:r>
    </w:p>
    <w:p>
      <w:pPr>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本项目水土保持监测范围为0.12hm</w:t>
      </w:r>
      <w:r>
        <w:rPr>
          <w:rFonts w:hint="default" w:ascii="Times New Roman" w:hAnsi="Times New Roman" w:eastAsia="仿宋_GB2312" w:cs="Times New Roman"/>
          <w:color w:val="auto"/>
          <w:kern w:val="0"/>
          <w:szCs w:val="24"/>
          <w:vertAlign w:val="superscript"/>
        </w:rPr>
        <w:t>2</w:t>
      </w:r>
      <w:r>
        <w:rPr>
          <w:rFonts w:hint="default" w:ascii="Times New Roman" w:hAnsi="Times New Roman" w:eastAsia="仿宋_GB2312" w:cs="Times New Roman"/>
          <w:color w:val="auto"/>
          <w:kern w:val="0"/>
          <w:szCs w:val="24"/>
        </w:rPr>
        <w:t>。方案建议配置2名监测人员，包括1名监测工程师、1名监测员。</w:t>
      </w:r>
    </w:p>
    <w:p>
      <w:pPr>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监测工程师为监测项目负责人，全面负责项目监测工作的组织、协调、实施和监测成果质量、负责监测数据的采集、整理、汇总、校核，编制监测实施方案、监测季度报告、监测年度报告、监测总结报告等。监测员协助监测工程师完成监测数据的采集和整理，并负责监测原始记录、文档、图件、成果的管理。</w:t>
      </w:r>
    </w:p>
    <w:p>
      <w:pPr>
        <w:pStyle w:val="5"/>
        <w:rPr>
          <w:rFonts w:hint="default" w:ascii="Times New Roman" w:hAnsi="Times New Roman" w:cs="Times New Roman"/>
          <w:color w:val="auto"/>
        </w:rPr>
      </w:pPr>
      <w:bookmarkStart w:id="180" w:name="_Toc181096843"/>
      <w:bookmarkStart w:id="181" w:name="_Toc181502126"/>
      <w:bookmarkStart w:id="182" w:name="_Toc181114056"/>
      <w:bookmarkStart w:id="183" w:name="_Toc181114426"/>
      <w:r>
        <w:rPr>
          <w:rFonts w:hint="default" w:ascii="Times New Roman" w:hAnsi="Times New Roman" w:cs="Times New Roman"/>
          <w:color w:val="auto"/>
        </w:rPr>
        <w:t>6.4.2监测</w:t>
      </w:r>
      <w:bookmarkEnd w:id="180"/>
      <w:bookmarkEnd w:id="181"/>
      <w:bookmarkEnd w:id="182"/>
      <w:bookmarkEnd w:id="183"/>
      <w:r>
        <w:rPr>
          <w:rFonts w:hint="default" w:ascii="Times New Roman" w:hAnsi="Times New Roman" w:cs="Times New Roman"/>
          <w:color w:val="auto"/>
        </w:rPr>
        <w:t>仪器</w:t>
      </w:r>
    </w:p>
    <w:p>
      <w:pPr>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项目水土保持监测拟采用现代技术与传统手段相结合的方法进行，借助一定的先进仪器设备，使监测方法更科学，监测结论更合理。监测设备原则上由监测单位解决。水土保持监测主要设备见表6-2。</w:t>
      </w:r>
    </w:p>
    <w:p>
      <w:pPr>
        <w:ind w:firstLine="480"/>
        <w:rPr>
          <w:rFonts w:hint="default" w:ascii="Times New Roman" w:hAnsi="Times New Roman" w:eastAsia="仿宋_GB2312" w:cs="Times New Roman"/>
          <w:color w:val="auto"/>
          <w:kern w:val="0"/>
          <w:szCs w:val="24"/>
        </w:rPr>
      </w:pPr>
    </w:p>
    <w:p>
      <w:pPr>
        <w:ind w:firstLine="480"/>
        <w:rPr>
          <w:rFonts w:hint="default" w:ascii="Times New Roman" w:hAnsi="Times New Roman" w:eastAsia="仿宋_GB2312" w:cs="Times New Roman"/>
          <w:color w:val="auto"/>
          <w:kern w:val="0"/>
          <w:szCs w:val="24"/>
        </w:rPr>
      </w:pPr>
    </w:p>
    <w:p>
      <w:pPr>
        <w:ind w:firstLine="480"/>
        <w:rPr>
          <w:rFonts w:hint="default" w:ascii="Times New Roman" w:hAnsi="Times New Roman" w:eastAsia="仿宋_GB2312" w:cs="Times New Roman"/>
          <w:color w:val="auto"/>
          <w:kern w:val="0"/>
          <w:szCs w:val="24"/>
        </w:rPr>
      </w:pPr>
    </w:p>
    <w:p>
      <w:pPr>
        <w:ind w:firstLine="480"/>
        <w:rPr>
          <w:rFonts w:hint="default" w:ascii="Times New Roman" w:hAnsi="Times New Roman" w:eastAsia="仿宋_GB2312" w:cs="Times New Roman"/>
          <w:color w:val="auto"/>
          <w:kern w:val="0"/>
          <w:szCs w:val="24"/>
        </w:rPr>
      </w:pPr>
    </w:p>
    <w:p>
      <w:pPr>
        <w:spacing w:line="240" w:lineRule="auto"/>
        <w:ind w:firstLine="42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表6-2   监测项目设施设备及耗材表</w:t>
      </w:r>
    </w:p>
    <w:tbl>
      <w:tblPr>
        <w:tblStyle w:val="6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51"/>
        <w:gridCol w:w="2674"/>
        <w:gridCol w:w="1951"/>
        <w:gridCol w:w="19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trPr>
        <w:tc>
          <w:tcPr>
            <w:tcW w:w="1144" w:type="pct"/>
            <w:vAlign w:val="center"/>
          </w:tcPr>
          <w:p>
            <w:pPr>
              <w:widowControl/>
              <w:snapToGrid w:val="0"/>
              <w:spacing w:line="240" w:lineRule="auto"/>
              <w:ind w:firstLine="361"/>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序号</w:t>
            </w:r>
          </w:p>
        </w:tc>
        <w:tc>
          <w:tcPr>
            <w:tcW w:w="1568" w:type="pct"/>
            <w:vAlign w:val="center"/>
          </w:tcPr>
          <w:p>
            <w:pPr>
              <w:widowControl/>
              <w:snapToGrid w:val="0"/>
              <w:spacing w:line="240" w:lineRule="auto"/>
              <w:ind w:firstLine="361"/>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设备及仪器</w:t>
            </w:r>
          </w:p>
        </w:tc>
        <w:tc>
          <w:tcPr>
            <w:tcW w:w="1144" w:type="pct"/>
            <w:vAlign w:val="center"/>
          </w:tcPr>
          <w:p>
            <w:pPr>
              <w:widowControl/>
              <w:snapToGrid w:val="0"/>
              <w:spacing w:line="240" w:lineRule="auto"/>
              <w:ind w:firstLine="361"/>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单位</w:t>
            </w:r>
          </w:p>
        </w:tc>
        <w:tc>
          <w:tcPr>
            <w:tcW w:w="1144" w:type="pct"/>
            <w:vAlign w:val="center"/>
          </w:tcPr>
          <w:p>
            <w:pPr>
              <w:widowControl/>
              <w:snapToGrid w:val="0"/>
              <w:spacing w:line="240" w:lineRule="auto"/>
              <w:ind w:firstLine="361"/>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数量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144" w:type="pct"/>
            <w:vAlign w:val="center"/>
          </w:tcPr>
          <w:p>
            <w:pPr>
              <w:widowControl/>
              <w:snapToGrid w:val="0"/>
              <w:spacing w:line="240" w:lineRule="auto"/>
              <w:ind w:firstLine="361"/>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1</w:t>
            </w:r>
          </w:p>
        </w:tc>
        <w:tc>
          <w:tcPr>
            <w:tcW w:w="1568" w:type="pct"/>
            <w:vAlign w:val="center"/>
          </w:tcPr>
          <w:p>
            <w:pPr>
              <w:widowControl/>
              <w:snapToGrid w:val="0"/>
              <w:spacing w:line="240" w:lineRule="auto"/>
              <w:ind w:firstLine="361"/>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测量设备</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c>
          <w:tcPr>
            <w:tcW w:w="1568"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钢卷尺</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个</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w:t>
            </w:r>
          </w:p>
        </w:tc>
        <w:tc>
          <w:tcPr>
            <w:tcW w:w="1568"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测绳</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套</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w:t>
            </w:r>
          </w:p>
        </w:tc>
        <w:tc>
          <w:tcPr>
            <w:tcW w:w="1568"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GPS定位仪</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件</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（4）</w:t>
            </w:r>
          </w:p>
        </w:tc>
        <w:tc>
          <w:tcPr>
            <w:tcW w:w="1568"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软皮尺</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件</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144" w:type="pct"/>
            <w:vAlign w:val="center"/>
          </w:tcPr>
          <w:p>
            <w:pPr>
              <w:widowControl/>
              <w:snapToGrid w:val="0"/>
              <w:spacing w:line="240" w:lineRule="auto"/>
              <w:ind w:firstLine="361"/>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2</w:t>
            </w:r>
          </w:p>
        </w:tc>
        <w:tc>
          <w:tcPr>
            <w:tcW w:w="1568" w:type="pct"/>
            <w:vAlign w:val="center"/>
          </w:tcPr>
          <w:p>
            <w:pPr>
              <w:widowControl/>
              <w:snapToGrid w:val="0"/>
              <w:spacing w:line="240" w:lineRule="auto"/>
              <w:ind w:firstLine="361"/>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电子设备</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c>
          <w:tcPr>
            <w:tcW w:w="1568"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相机</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台</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w:t>
            </w:r>
          </w:p>
        </w:tc>
        <w:tc>
          <w:tcPr>
            <w:tcW w:w="1568"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笔记本电脑</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台</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144" w:type="pct"/>
            <w:vAlign w:val="center"/>
          </w:tcPr>
          <w:p>
            <w:pPr>
              <w:widowControl/>
              <w:snapToGrid w:val="0"/>
              <w:spacing w:line="240" w:lineRule="auto"/>
              <w:ind w:firstLine="361"/>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3</w:t>
            </w:r>
          </w:p>
        </w:tc>
        <w:tc>
          <w:tcPr>
            <w:tcW w:w="1568" w:type="pct"/>
            <w:vAlign w:val="center"/>
          </w:tcPr>
          <w:p>
            <w:pPr>
              <w:widowControl/>
              <w:snapToGrid w:val="0"/>
              <w:spacing w:line="240" w:lineRule="auto"/>
              <w:ind w:firstLine="361"/>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耗材</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c>
          <w:tcPr>
            <w:tcW w:w="1568"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办公易耗品</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元/年</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144" w:type="pct"/>
            <w:vAlign w:val="center"/>
          </w:tcPr>
          <w:p>
            <w:pPr>
              <w:widowControl/>
              <w:snapToGrid w:val="0"/>
              <w:spacing w:line="240" w:lineRule="auto"/>
              <w:ind w:firstLine="361"/>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4</w:t>
            </w:r>
          </w:p>
        </w:tc>
        <w:tc>
          <w:tcPr>
            <w:tcW w:w="1568" w:type="pct"/>
            <w:vAlign w:val="center"/>
          </w:tcPr>
          <w:p>
            <w:pPr>
              <w:widowControl/>
              <w:snapToGrid w:val="0"/>
              <w:spacing w:line="240" w:lineRule="auto"/>
              <w:ind w:firstLine="361"/>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其他设备</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c>
          <w:tcPr>
            <w:tcW w:w="1568"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监测标识牌</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个</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15</w:t>
            </w:r>
          </w:p>
        </w:tc>
      </w:tr>
    </w:tbl>
    <w:p>
      <w:pPr>
        <w:pStyle w:val="321"/>
        <w:spacing w:line="240" w:lineRule="auto"/>
        <w:ind w:firstLine="480"/>
        <w:rPr>
          <w:rFonts w:hint="default" w:ascii="Times New Roman" w:hAnsi="Times New Roman" w:eastAsia="仿宋_GB2312" w:cs="Times New Roman"/>
          <w:color w:val="auto"/>
        </w:rPr>
      </w:pPr>
    </w:p>
    <w:p>
      <w:pPr>
        <w:pStyle w:val="5"/>
        <w:rPr>
          <w:rFonts w:hint="default" w:ascii="Times New Roman" w:hAnsi="Times New Roman" w:cs="Times New Roman"/>
          <w:color w:val="auto"/>
        </w:rPr>
      </w:pPr>
      <w:r>
        <w:rPr>
          <w:rFonts w:hint="default" w:ascii="Times New Roman" w:hAnsi="Times New Roman" w:cs="Times New Roman"/>
          <w:color w:val="auto"/>
        </w:rPr>
        <w:t>6.4.3监测费用</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本方案监测设施的投资费用根据以前同类设施的经验单价计算，并参照当地材料计价进行调整。本项目水土保持监测具体费用见表6-3。</w:t>
      </w:r>
    </w:p>
    <w:p>
      <w:pPr>
        <w:spacing w:line="240" w:lineRule="auto"/>
        <w:ind w:firstLine="42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表6-3   监测设施、设备及人工费用估算表</w:t>
      </w:r>
    </w:p>
    <w:tbl>
      <w:tblPr>
        <w:tblStyle w:val="6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84"/>
        <w:gridCol w:w="3573"/>
        <w:gridCol w:w="31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784" w:type="dxa"/>
            <w:vAlign w:val="center"/>
          </w:tcPr>
          <w:p>
            <w:pPr>
              <w:spacing w:line="240" w:lineRule="auto"/>
              <w:ind w:firstLine="361"/>
              <w:jc w:val="center"/>
              <w:rPr>
                <w:rFonts w:hint="default" w:ascii="Times New Roman" w:hAnsi="Times New Roman" w:eastAsia="仿宋_GB2312" w:cs="Times New Roman"/>
                <w:b/>
                <w:color w:val="auto"/>
                <w:sz w:val="18"/>
                <w:szCs w:val="18"/>
              </w:rPr>
            </w:pPr>
            <w:bookmarkStart w:id="184" w:name="_Toc427779242"/>
            <w:r>
              <w:rPr>
                <w:rFonts w:hint="default" w:ascii="Times New Roman" w:hAnsi="Times New Roman" w:eastAsia="仿宋_GB2312" w:cs="Times New Roman"/>
                <w:b/>
                <w:color w:val="auto"/>
                <w:sz w:val="18"/>
                <w:szCs w:val="18"/>
              </w:rPr>
              <w:t>序号</w:t>
            </w:r>
          </w:p>
        </w:tc>
        <w:tc>
          <w:tcPr>
            <w:tcW w:w="3573" w:type="dxa"/>
            <w:vAlign w:val="center"/>
          </w:tcPr>
          <w:p>
            <w:pPr>
              <w:spacing w:line="240" w:lineRule="auto"/>
              <w:ind w:firstLine="361"/>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项目</w:t>
            </w:r>
          </w:p>
        </w:tc>
        <w:tc>
          <w:tcPr>
            <w:tcW w:w="3171" w:type="dxa"/>
            <w:vAlign w:val="center"/>
          </w:tcPr>
          <w:p>
            <w:pPr>
              <w:spacing w:line="240" w:lineRule="auto"/>
              <w:ind w:firstLine="361"/>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费用（万元）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784" w:type="dxa"/>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w:t>
            </w:r>
          </w:p>
        </w:tc>
        <w:tc>
          <w:tcPr>
            <w:tcW w:w="3573" w:type="dxa"/>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土建设施费</w:t>
            </w:r>
          </w:p>
        </w:tc>
        <w:tc>
          <w:tcPr>
            <w:tcW w:w="3171" w:type="dxa"/>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784" w:type="dxa"/>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w:t>
            </w:r>
          </w:p>
        </w:tc>
        <w:tc>
          <w:tcPr>
            <w:tcW w:w="3573" w:type="dxa"/>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设备及安装费</w:t>
            </w:r>
          </w:p>
        </w:tc>
        <w:tc>
          <w:tcPr>
            <w:tcW w:w="3171" w:type="dxa"/>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784" w:type="dxa"/>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w:t>
            </w:r>
          </w:p>
        </w:tc>
        <w:tc>
          <w:tcPr>
            <w:tcW w:w="3573" w:type="dxa"/>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建设期观测运行费</w:t>
            </w:r>
          </w:p>
        </w:tc>
        <w:tc>
          <w:tcPr>
            <w:tcW w:w="3171" w:type="dxa"/>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357" w:type="dxa"/>
            <w:gridSpan w:val="2"/>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合计</w:t>
            </w:r>
          </w:p>
        </w:tc>
        <w:tc>
          <w:tcPr>
            <w:tcW w:w="3171" w:type="dxa"/>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2.0</w:t>
            </w:r>
          </w:p>
        </w:tc>
      </w:tr>
    </w:tbl>
    <w:p>
      <w:pPr>
        <w:pStyle w:val="321"/>
        <w:spacing w:line="240" w:lineRule="auto"/>
        <w:ind w:firstLine="480"/>
        <w:rPr>
          <w:rFonts w:hint="default" w:ascii="Times New Roman" w:hAnsi="Times New Roman" w:eastAsia="仿宋_GB2312" w:cs="Times New Roman"/>
          <w:color w:val="auto"/>
        </w:rPr>
      </w:pPr>
    </w:p>
    <w:bookmarkEnd w:id="179"/>
    <w:bookmarkEnd w:id="184"/>
    <w:p>
      <w:pPr>
        <w:pStyle w:val="5"/>
        <w:rPr>
          <w:rFonts w:hint="default" w:ascii="Times New Roman" w:hAnsi="Times New Roman" w:cs="Times New Roman"/>
          <w:color w:val="auto"/>
        </w:rPr>
      </w:pPr>
      <w:r>
        <w:rPr>
          <w:rFonts w:hint="default" w:ascii="Times New Roman" w:hAnsi="Times New Roman" w:cs="Times New Roman"/>
          <w:color w:val="auto"/>
        </w:rPr>
        <w:t>6.4.4一般规定</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水土保持监测任务完成后，整理、分析评价土壤流失情况和水土流失防治效果，编制监测总结报告。</w:t>
      </w:r>
    </w:p>
    <w:p>
      <w:pPr>
        <w:pStyle w:val="1102"/>
        <w:rPr>
          <w:rFonts w:hint="default" w:ascii="Times New Roman" w:hAnsi="Times New Roman" w:cs="Times New Roman"/>
          <w:color w:val="auto"/>
        </w:rPr>
        <w:sectPr>
          <w:headerReference r:id="rId16" w:type="default"/>
          <w:pgSz w:w="11906" w:h="16838"/>
          <w:pgMar w:top="1440" w:right="1797" w:bottom="1440" w:left="1797" w:header="851"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cs="Times New Roman"/>
          <w:color w:val="auto"/>
        </w:rPr>
        <w:t>对防治责任范围、扰动土地情况、水土流失情况、水土保持措施效果等重点评价。</w:t>
      </w:r>
    </w:p>
    <w:p>
      <w:pPr>
        <w:pStyle w:val="3"/>
        <w:rPr>
          <w:rFonts w:hint="default" w:ascii="Times New Roman" w:hAnsi="Times New Roman" w:cs="Times New Roman"/>
          <w:color w:val="auto"/>
          <w:kern w:val="0"/>
        </w:rPr>
      </w:pPr>
      <w:bookmarkStart w:id="185" w:name="_Toc47879813"/>
      <w:r>
        <w:rPr>
          <w:rFonts w:hint="default" w:ascii="Times New Roman" w:hAnsi="Times New Roman" w:cs="Times New Roman"/>
          <w:color w:val="auto"/>
          <w:kern w:val="0"/>
        </w:rPr>
        <w:t>7 水土保持投资概算及效益分析</w:t>
      </w:r>
      <w:bookmarkEnd w:id="144"/>
      <w:bookmarkEnd w:id="185"/>
    </w:p>
    <w:p>
      <w:pPr>
        <w:pStyle w:val="4"/>
        <w:suppressAutoHyphens/>
        <w:spacing w:before="156" w:beforeLines="50" w:after="156" w:afterLines="50"/>
        <w:rPr>
          <w:rFonts w:hint="default" w:ascii="Times New Roman" w:hAnsi="Times New Roman" w:cs="Times New Roman"/>
          <w:color w:val="auto"/>
          <w:kern w:val="0"/>
        </w:rPr>
      </w:pPr>
      <w:bookmarkStart w:id="186" w:name="_Toc425493421"/>
      <w:bookmarkStart w:id="187" w:name="_Toc47879814"/>
      <w:r>
        <w:rPr>
          <w:rFonts w:hint="default" w:ascii="Times New Roman" w:hAnsi="Times New Roman" w:cs="Times New Roman"/>
          <w:color w:val="auto"/>
          <w:kern w:val="0"/>
        </w:rPr>
        <w:t>7.1 投资</w:t>
      </w:r>
      <w:bookmarkEnd w:id="186"/>
      <w:r>
        <w:rPr>
          <w:rFonts w:hint="default" w:ascii="Times New Roman" w:hAnsi="Times New Roman" w:cs="Times New Roman"/>
          <w:color w:val="auto"/>
          <w:kern w:val="0"/>
        </w:rPr>
        <w:t>概算</w:t>
      </w:r>
      <w:bookmarkEnd w:id="187"/>
    </w:p>
    <w:p>
      <w:pPr>
        <w:pStyle w:val="5"/>
        <w:suppressAutoHyphens/>
        <w:rPr>
          <w:rFonts w:hint="default" w:ascii="Times New Roman" w:hAnsi="Times New Roman" w:cs="Times New Roman"/>
          <w:color w:val="auto"/>
        </w:rPr>
      </w:pPr>
      <w:r>
        <w:rPr>
          <w:rFonts w:hint="default" w:ascii="Times New Roman" w:hAnsi="Times New Roman" w:cs="Times New Roman"/>
          <w:color w:val="auto"/>
        </w:rPr>
        <w:t>7.1.1 编制原则及依据</w:t>
      </w:r>
    </w:p>
    <w:p>
      <w:pPr>
        <w:keepNext/>
        <w:widowControl/>
        <w:ind w:firstLine="0" w:firstLineChars="0"/>
        <w:outlineLvl w:val="3"/>
        <w:rPr>
          <w:rFonts w:hint="default" w:ascii="Times New Roman" w:hAnsi="Times New Roman" w:cs="Times New Roman"/>
          <w:b/>
          <w:color w:val="auto"/>
          <w:kern w:val="0"/>
          <w:szCs w:val="20"/>
        </w:rPr>
      </w:pPr>
      <w:r>
        <w:rPr>
          <w:rFonts w:hint="default" w:ascii="Times New Roman" w:hAnsi="Times New Roman" w:cs="Times New Roman"/>
          <w:b/>
          <w:color w:val="auto"/>
          <w:kern w:val="0"/>
          <w:szCs w:val="20"/>
        </w:rPr>
        <w:t>7.1.1.1编制原则</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水土保持投资概算的价格水平年、人工单价、主要材料价格、施工机械台时费、概算定额、取费项目及费率应与主体工程一致。不足部分按水利部（水总〔2003]〕67号）文《水土保持工程概（估）算编制规定及定额》和《四川省水利厅关于发布〈四川省水利水电工程概（估）算编制规定〉的通知》（川水发〔2015〕9号）进行编制。</w:t>
      </w:r>
    </w:p>
    <w:p>
      <w:pPr>
        <w:ind w:firstLine="460" w:firstLineChars="192"/>
        <w:rPr>
          <w:rFonts w:hint="default" w:ascii="Times New Roman" w:hAnsi="Times New Roman" w:eastAsia="仿宋_GB2312" w:cs="Times New Roman"/>
          <w:color w:val="auto"/>
        </w:rPr>
      </w:pPr>
      <w:r>
        <w:rPr>
          <w:rFonts w:hint="default" w:ascii="Times New Roman" w:hAnsi="Times New Roman" w:eastAsia="仿宋_GB2312" w:cs="Times New Roman"/>
          <w:color w:val="auto"/>
        </w:rPr>
        <w:t>主要材料预算价格参照主体工程材料价格，水土保持措施投资按实际完成量计列。</w:t>
      </w:r>
    </w:p>
    <w:p>
      <w:pPr>
        <w:keepNext/>
        <w:widowControl/>
        <w:ind w:firstLine="0" w:firstLineChars="0"/>
        <w:outlineLvl w:val="3"/>
        <w:rPr>
          <w:rFonts w:hint="default" w:ascii="Times New Roman" w:hAnsi="Times New Roman" w:cs="Times New Roman"/>
          <w:b/>
          <w:color w:val="auto"/>
          <w:kern w:val="0"/>
          <w:szCs w:val="20"/>
        </w:rPr>
      </w:pPr>
      <w:r>
        <w:rPr>
          <w:rFonts w:hint="default" w:ascii="Times New Roman" w:hAnsi="Times New Roman" w:cs="Times New Roman"/>
          <w:b/>
          <w:color w:val="auto"/>
          <w:kern w:val="0"/>
          <w:szCs w:val="20"/>
        </w:rPr>
        <w:t>7.1.1.2编制依据</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（1）《水土保持工程概(估)算编制规定和定额》（水总〔2003〕67号）；</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（2）《国家发展改革委关于进一步放开建设项目专业服务价格的通知》（发改价格〔2015〕299号）；</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（3）《四川省水利厅关于发布〈四川省水利水电工程概（估）算编制规定〉的通知》（川水发〔2015〕9号）；</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（4）四川省水利厅关于印发《增值税税率调整后&lt;四川省水利水电工程设计概（估）算编制规定&gt;相应调整办法》的通知（川水函〔2019〕610）；</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（5）《四川省发展和改革委员会 四川省财政厅关于制定水土保持补偿费收费标准的通知》（川发改价格〔2017〕347号）；</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（6）《四川省财政厅  四川省发展和改革委员会  四川省水利厅  中国人民银行成都分行关于印发&lt;四川省水土保持补偿费征收使用管理实施办法&gt;的通知》(川财综〔2014〕6号)。</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（7）四川省建设工程造价总站关于对成都市等22个市、州2015年《四川省建设工程工程量清单计价定额》人工费调整的批复</w:t>
      </w:r>
      <w:r>
        <w:rPr>
          <w:rFonts w:hint="default" w:ascii="Times New Roman" w:hAnsi="Times New Roman" w:eastAsia="仿宋_GB2312" w:cs="Times New Roman"/>
          <w:color w:val="auto"/>
          <w:szCs w:val="24"/>
          <w:lang w:eastAsia="zh-CN"/>
        </w:rPr>
        <w:t>（</w:t>
      </w:r>
      <w:r>
        <w:rPr>
          <w:rFonts w:hint="default" w:ascii="Times New Roman" w:hAnsi="Times New Roman" w:eastAsia="仿宋_GB2312" w:cs="Times New Roman"/>
          <w:color w:val="auto"/>
          <w:szCs w:val="24"/>
        </w:rPr>
        <w:t>川建价发〔2020〕6号</w:t>
      </w:r>
      <w:r>
        <w:rPr>
          <w:rFonts w:hint="default" w:ascii="Times New Roman" w:hAnsi="Times New Roman" w:eastAsia="仿宋_GB2312" w:cs="Times New Roman"/>
          <w:color w:val="auto"/>
          <w:szCs w:val="24"/>
          <w:lang w:eastAsia="zh-CN"/>
        </w:rPr>
        <w:t>）</w:t>
      </w:r>
      <w:r>
        <w:rPr>
          <w:rFonts w:hint="default" w:ascii="Times New Roman" w:hAnsi="Times New Roman" w:eastAsia="仿宋_GB2312" w:cs="Times New Roman"/>
          <w:color w:val="auto"/>
          <w:szCs w:val="24"/>
        </w:rPr>
        <w:t>。</w:t>
      </w:r>
    </w:p>
    <w:p>
      <w:pPr>
        <w:keepNext/>
        <w:widowControl/>
        <w:tabs>
          <w:tab w:val="left" w:pos="360"/>
        </w:tabs>
        <w:ind w:firstLine="0" w:firstLineChars="0"/>
        <w:outlineLvl w:val="2"/>
        <w:rPr>
          <w:rFonts w:hint="default" w:ascii="Times New Roman" w:hAnsi="Times New Roman" w:cs="Times New Roman"/>
          <w:b/>
          <w:bCs/>
          <w:color w:val="auto"/>
          <w:kern w:val="0"/>
          <w:lang w:val="zh-CN" w:bidi="en-US"/>
        </w:rPr>
      </w:pPr>
      <w:r>
        <w:rPr>
          <w:rFonts w:hint="default" w:ascii="Times New Roman" w:hAnsi="Times New Roman" w:cs="Times New Roman"/>
          <w:b/>
          <w:bCs/>
          <w:color w:val="auto"/>
          <w:kern w:val="0"/>
          <w:lang w:val="zh-CN" w:bidi="en-US"/>
        </w:rPr>
        <w:t>7.1.2估算成果及说明</w:t>
      </w:r>
    </w:p>
    <w:p>
      <w:pPr>
        <w:keepNext/>
        <w:widowControl/>
        <w:ind w:firstLine="0" w:firstLineChars="0"/>
        <w:outlineLvl w:val="3"/>
        <w:rPr>
          <w:rFonts w:hint="default" w:ascii="Times New Roman" w:hAnsi="Times New Roman" w:cs="Times New Roman"/>
          <w:b/>
          <w:color w:val="auto"/>
          <w:kern w:val="0"/>
          <w:szCs w:val="20"/>
        </w:rPr>
      </w:pPr>
      <w:r>
        <w:rPr>
          <w:rFonts w:hint="default" w:ascii="Times New Roman" w:hAnsi="Times New Roman" w:cs="Times New Roman"/>
          <w:b/>
          <w:color w:val="auto"/>
          <w:kern w:val="0"/>
          <w:szCs w:val="20"/>
        </w:rPr>
        <w:t>7.1.2.1基础价格编制</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（1）人工预算单价</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水保工程人工单价与主体工程一致；根据四川省建设工程造价总站关于对成都市等22个市、州2015年《四川省建设工程工程量清单计价定额》人工费调整的批复(川建价发〔2020〕6号)，水保工程人工单价取121元/工日（15.125元/工时）。</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（2）材料预算单价：主要材料单价与主体工程保持一致，不足部分参照市场信息价格。</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（3）工程单价及费率</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fldChar w:fldCharType="begin"/>
      </w:r>
      <w:r>
        <w:rPr>
          <w:rFonts w:hint="default" w:ascii="Times New Roman" w:hAnsi="Times New Roman" w:eastAsia="仿宋_GB2312" w:cs="Times New Roman"/>
          <w:color w:val="auto"/>
          <w:szCs w:val="24"/>
        </w:rPr>
        <w:instrText xml:space="preserve"> = 1 \* GB3 </w:instrText>
      </w:r>
      <w:r>
        <w:rPr>
          <w:rFonts w:hint="default" w:ascii="Times New Roman" w:hAnsi="Times New Roman" w:eastAsia="仿宋_GB2312" w:cs="Times New Roman"/>
          <w:color w:val="auto"/>
          <w:szCs w:val="24"/>
        </w:rPr>
        <w:fldChar w:fldCharType="separate"/>
      </w:r>
      <w:r>
        <w:rPr>
          <w:rFonts w:hint="default" w:ascii="Times New Roman" w:hAnsi="Times New Roman" w:cs="Times New Roman"/>
          <w:color w:val="auto"/>
          <w:szCs w:val="24"/>
        </w:rPr>
        <w:t>①</w:t>
      </w:r>
      <w:r>
        <w:rPr>
          <w:rFonts w:hint="default" w:ascii="Times New Roman" w:hAnsi="Times New Roman" w:eastAsia="仿宋_GB2312" w:cs="Times New Roman"/>
          <w:color w:val="auto"/>
          <w:szCs w:val="24"/>
        </w:rPr>
        <w:fldChar w:fldCharType="end"/>
      </w:r>
      <w:r>
        <w:rPr>
          <w:rFonts w:hint="default" w:ascii="Times New Roman" w:hAnsi="Times New Roman" w:eastAsia="仿宋_GB2312" w:cs="Times New Roman"/>
          <w:color w:val="auto"/>
          <w:szCs w:val="24"/>
        </w:rPr>
        <w:t>工程措施＝工程量×工程单价</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fldChar w:fldCharType="begin"/>
      </w:r>
      <w:r>
        <w:rPr>
          <w:rFonts w:hint="default" w:ascii="Times New Roman" w:hAnsi="Times New Roman" w:eastAsia="仿宋_GB2312" w:cs="Times New Roman"/>
          <w:color w:val="auto"/>
          <w:szCs w:val="24"/>
        </w:rPr>
        <w:instrText xml:space="preserve"> = 2 \* GB3 </w:instrText>
      </w:r>
      <w:r>
        <w:rPr>
          <w:rFonts w:hint="default" w:ascii="Times New Roman" w:hAnsi="Times New Roman" w:eastAsia="仿宋_GB2312" w:cs="Times New Roman"/>
          <w:color w:val="auto"/>
          <w:szCs w:val="24"/>
        </w:rPr>
        <w:fldChar w:fldCharType="separate"/>
      </w:r>
      <w:r>
        <w:rPr>
          <w:rFonts w:hint="default" w:ascii="Times New Roman" w:hAnsi="Times New Roman" w:cs="Times New Roman"/>
          <w:color w:val="auto"/>
          <w:szCs w:val="24"/>
        </w:rPr>
        <w:t>②</w:t>
      </w:r>
      <w:r>
        <w:rPr>
          <w:rFonts w:hint="default" w:ascii="Times New Roman" w:hAnsi="Times New Roman" w:eastAsia="仿宋_GB2312" w:cs="Times New Roman"/>
          <w:color w:val="auto"/>
          <w:szCs w:val="24"/>
        </w:rPr>
        <w:fldChar w:fldCharType="end"/>
      </w:r>
      <w:r>
        <w:rPr>
          <w:rFonts w:hint="default" w:ascii="Times New Roman" w:hAnsi="Times New Roman" w:eastAsia="仿宋_GB2312" w:cs="Times New Roman"/>
          <w:color w:val="auto"/>
          <w:szCs w:val="24"/>
        </w:rPr>
        <w:t>植物措施＝工程量×工程单价</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fldChar w:fldCharType="begin"/>
      </w:r>
      <w:r>
        <w:rPr>
          <w:rFonts w:hint="default" w:ascii="Times New Roman" w:hAnsi="Times New Roman" w:eastAsia="仿宋_GB2312" w:cs="Times New Roman"/>
          <w:color w:val="auto"/>
          <w:szCs w:val="24"/>
        </w:rPr>
        <w:instrText xml:space="preserve"> = 3 \* GB3 </w:instrText>
      </w:r>
      <w:r>
        <w:rPr>
          <w:rFonts w:hint="default" w:ascii="Times New Roman" w:hAnsi="Times New Roman" w:eastAsia="仿宋_GB2312" w:cs="Times New Roman"/>
          <w:color w:val="auto"/>
          <w:szCs w:val="24"/>
        </w:rPr>
        <w:fldChar w:fldCharType="separate"/>
      </w:r>
      <w:r>
        <w:rPr>
          <w:rFonts w:hint="default" w:ascii="Times New Roman" w:hAnsi="Times New Roman" w:cs="Times New Roman"/>
          <w:color w:val="auto"/>
          <w:szCs w:val="24"/>
        </w:rPr>
        <w:t>③</w:t>
      </w:r>
      <w:r>
        <w:rPr>
          <w:rFonts w:hint="default" w:ascii="Times New Roman" w:hAnsi="Times New Roman" w:eastAsia="仿宋_GB2312" w:cs="Times New Roman"/>
          <w:color w:val="auto"/>
          <w:szCs w:val="24"/>
        </w:rPr>
        <w:fldChar w:fldCharType="end"/>
      </w:r>
      <w:r>
        <w:rPr>
          <w:rFonts w:hint="default" w:ascii="Times New Roman" w:hAnsi="Times New Roman" w:eastAsia="仿宋_GB2312" w:cs="Times New Roman"/>
          <w:color w:val="auto"/>
          <w:szCs w:val="24"/>
        </w:rPr>
        <w:t>监测措施：分土建工程、设备及安装费、建设期观测运行费计算；土建工程=工程量×工程单价；设备安装费按设备费的5%计算；观测运行费按实际计列。</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fldChar w:fldCharType="begin"/>
      </w:r>
      <w:r>
        <w:rPr>
          <w:rFonts w:hint="default" w:ascii="Times New Roman" w:hAnsi="Times New Roman" w:eastAsia="仿宋_GB2312" w:cs="Times New Roman"/>
          <w:color w:val="auto"/>
          <w:szCs w:val="24"/>
        </w:rPr>
        <w:instrText xml:space="preserve"> = 4 \* GB3 </w:instrText>
      </w:r>
      <w:r>
        <w:rPr>
          <w:rFonts w:hint="default" w:ascii="Times New Roman" w:hAnsi="Times New Roman" w:eastAsia="仿宋_GB2312" w:cs="Times New Roman"/>
          <w:color w:val="auto"/>
          <w:szCs w:val="24"/>
        </w:rPr>
        <w:fldChar w:fldCharType="separate"/>
      </w:r>
      <w:r>
        <w:rPr>
          <w:rFonts w:hint="default" w:ascii="Times New Roman" w:hAnsi="Times New Roman" w:cs="Times New Roman"/>
          <w:color w:val="auto"/>
          <w:szCs w:val="24"/>
        </w:rPr>
        <w:t>④</w:t>
      </w:r>
      <w:r>
        <w:rPr>
          <w:rFonts w:hint="default" w:ascii="Times New Roman" w:hAnsi="Times New Roman" w:eastAsia="仿宋_GB2312" w:cs="Times New Roman"/>
          <w:color w:val="auto"/>
          <w:szCs w:val="24"/>
        </w:rPr>
        <w:fldChar w:fldCharType="end"/>
      </w:r>
      <w:r>
        <w:rPr>
          <w:rFonts w:hint="default" w:ascii="Times New Roman" w:hAnsi="Times New Roman" w:eastAsia="仿宋_GB2312" w:cs="Times New Roman"/>
          <w:color w:val="auto"/>
          <w:szCs w:val="24"/>
        </w:rPr>
        <w:t>临时措施</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临时防护措施费＝工程量×工程单价</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其他临时工程费按一至三部分之和的2%计算。</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cs="Times New Roman"/>
          <w:color w:val="auto"/>
          <w:szCs w:val="24"/>
        </w:rPr>
        <w:t>⑤</w:t>
      </w:r>
      <w:r>
        <w:rPr>
          <w:rFonts w:hint="default" w:ascii="Times New Roman" w:hAnsi="Times New Roman" w:eastAsia="仿宋_GB2312" w:cs="Times New Roman"/>
          <w:color w:val="auto"/>
          <w:szCs w:val="24"/>
        </w:rPr>
        <w:t>水土保持工程费用的计算标准</w:t>
      </w:r>
    </w:p>
    <w:p>
      <w:pPr>
        <w:spacing w:line="240" w:lineRule="auto"/>
        <w:ind w:firstLine="405" w:firstLineChars="19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表7-1  工程措施及植物措施费率取值表</w:t>
      </w:r>
    </w:p>
    <w:tbl>
      <w:tblPr>
        <w:tblStyle w:val="61"/>
        <w:tblW w:w="5174" w:type="pct"/>
        <w:tblInd w:w="-129"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784"/>
        <w:gridCol w:w="2148"/>
        <w:gridCol w:w="2362"/>
        <w:gridCol w:w="23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trPr>
        <w:tc>
          <w:tcPr>
            <w:tcW w:w="1034" w:type="pct"/>
            <w:shd w:val="clear" w:color="auto" w:fill="auto"/>
            <w:tcMar>
              <w:top w:w="13" w:type="dxa"/>
              <w:left w:w="13" w:type="dxa"/>
              <w:bottom w:w="0" w:type="dxa"/>
              <w:right w:w="13" w:type="dxa"/>
            </w:tcMar>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序 号</w:t>
            </w:r>
          </w:p>
        </w:tc>
        <w:tc>
          <w:tcPr>
            <w:tcW w:w="1244" w:type="pct"/>
            <w:shd w:val="clear" w:color="auto" w:fill="auto"/>
            <w:tcMar>
              <w:top w:w="13" w:type="dxa"/>
              <w:left w:w="13" w:type="dxa"/>
              <w:bottom w:w="0" w:type="dxa"/>
              <w:right w:w="13" w:type="dxa"/>
            </w:tcMar>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费率名称</w:t>
            </w:r>
          </w:p>
        </w:tc>
        <w:tc>
          <w:tcPr>
            <w:tcW w:w="1368" w:type="pct"/>
            <w:shd w:val="clear" w:color="auto" w:fill="auto"/>
            <w:tcMar>
              <w:top w:w="13" w:type="dxa"/>
              <w:left w:w="13" w:type="dxa"/>
              <w:bottom w:w="0" w:type="dxa"/>
              <w:right w:w="13" w:type="dxa"/>
            </w:tcMar>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工程措施(%)</w:t>
            </w:r>
          </w:p>
        </w:tc>
        <w:tc>
          <w:tcPr>
            <w:tcW w:w="1354" w:type="pct"/>
            <w:shd w:val="clear" w:color="auto" w:fill="auto"/>
            <w:tcMar>
              <w:top w:w="13" w:type="dxa"/>
              <w:left w:w="13" w:type="dxa"/>
              <w:bottom w:w="0" w:type="dxa"/>
              <w:right w:w="13" w:type="dxa"/>
            </w:tcMar>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植物措施(%)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trPr>
        <w:tc>
          <w:tcPr>
            <w:tcW w:w="1034" w:type="pct"/>
            <w:shd w:val="clear" w:color="auto" w:fill="auto"/>
            <w:tcMar>
              <w:top w:w="13" w:type="dxa"/>
              <w:left w:w="13" w:type="dxa"/>
              <w:bottom w:w="0" w:type="dxa"/>
              <w:right w:w="13" w:type="dxa"/>
            </w:tcMar>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w:t>
            </w:r>
          </w:p>
        </w:tc>
        <w:tc>
          <w:tcPr>
            <w:tcW w:w="1244" w:type="pct"/>
            <w:shd w:val="clear" w:color="auto" w:fill="auto"/>
            <w:tcMar>
              <w:top w:w="13" w:type="dxa"/>
              <w:left w:w="13" w:type="dxa"/>
              <w:bottom w:w="0" w:type="dxa"/>
              <w:right w:w="13" w:type="dxa"/>
            </w:tcMar>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其他直接费</w:t>
            </w:r>
          </w:p>
        </w:tc>
        <w:tc>
          <w:tcPr>
            <w:tcW w:w="1368" w:type="pct"/>
            <w:shd w:val="clear" w:color="auto" w:fill="auto"/>
            <w:tcMar>
              <w:top w:w="13" w:type="dxa"/>
              <w:left w:w="13" w:type="dxa"/>
              <w:bottom w:w="0" w:type="dxa"/>
              <w:right w:w="13" w:type="dxa"/>
            </w:tcMar>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4.6</w:t>
            </w:r>
          </w:p>
        </w:tc>
        <w:tc>
          <w:tcPr>
            <w:tcW w:w="1354" w:type="pct"/>
            <w:shd w:val="clear" w:color="auto" w:fill="auto"/>
            <w:tcMar>
              <w:top w:w="13" w:type="dxa"/>
              <w:left w:w="13" w:type="dxa"/>
              <w:bottom w:w="0" w:type="dxa"/>
              <w:right w:w="13" w:type="dxa"/>
            </w:tcMar>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trPr>
        <w:tc>
          <w:tcPr>
            <w:tcW w:w="1034" w:type="pct"/>
            <w:shd w:val="clear" w:color="auto" w:fill="auto"/>
            <w:tcMar>
              <w:top w:w="13" w:type="dxa"/>
              <w:left w:w="13" w:type="dxa"/>
              <w:bottom w:w="0" w:type="dxa"/>
              <w:right w:w="13" w:type="dxa"/>
            </w:tcMar>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w:t>
            </w:r>
          </w:p>
        </w:tc>
        <w:tc>
          <w:tcPr>
            <w:tcW w:w="1244" w:type="pct"/>
            <w:shd w:val="clear" w:color="auto" w:fill="auto"/>
            <w:tcMar>
              <w:top w:w="13" w:type="dxa"/>
              <w:left w:w="13" w:type="dxa"/>
              <w:bottom w:w="0" w:type="dxa"/>
              <w:right w:w="13" w:type="dxa"/>
            </w:tcMar>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企业利润</w:t>
            </w:r>
          </w:p>
        </w:tc>
        <w:tc>
          <w:tcPr>
            <w:tcW w:w="1368" w:type="pct"/>
            <w:shd w:val="clear" w:color="auto" w:fill="auto"/>
            <w:tcMar>
              <w:top w:w="13" w:type="dxa"/>
              <w:left w:w="13" w:type="dxa"/>
              <w:bottom w:w="0" w:type="dxa"/>
              <w:right w:w="13" w:type="dxa"/>
            </w:tcMar>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7</w:t>
            </w:r>
          </w:p>
        </w:tc>
        <w:tc>
          <w:tcPr>
            <w:tcW w:w="1354" w:type="pct"/>
            <w:shd w:val="clear" w:color="auto" w:fill="auto"/>
            <w:tcMar>
              <w:top w:w="13" w:type="dxa"/>
              <w:left w:w="13" w:type="dxa"/>
              <w:bottom w:w="0" w:type="dxa"/>
              <w:right w:w="13" w:type="dxa"/>
            </w:tcMar>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trPr>
        <w:tc>
          <w:tcPr>
            <w:tcW w:w="1034" w:type="pct"/>
            <w:shd w:val="clear" w:color="auto" w:fill="auto"/>
            <w:tcMar>
              <w:top w:w="13" w:type="dxa"/>
              <w:left w:w="13" w:type="dxa"/>
              <w:bottom w:w="0" w:type="dxa"/>
              <w:right w:w="13" w:type="dxa"/>
            </w:tcMar>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w:t>
            </w:r>
          </w:p>
        </w:tc>
        <w:tc>
          <w:tcPr>
            <w:tcW w:w="1244" w:type="pct"/>
            <w:shd w:val="clear" w:color="auto" w:fill="auto"/>
            <w:tcMar>
              <w:top w:w="13" w:type="dxa"/>
              <w:left w:w="13" w:type="dxa"/>
              <w:bottom w:w="0" w:type="dxa"/>
              <w:right w:w="13" w:type="dxa"/>
            </w:tcMar>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税金</w:t>
            </w:r>
          </w:p>
        </w:tc>
        <w:tc>
          <w:tcPr>
            <w:tcW w:w="1368" w:type="pct"/>
            <w:shd w:val="clear" w:color="auto" w:fill="auto"/>
            <w:tcMar>
              <w:top w:w="13" w:type="dxa"/>
              <w:left w:w="13" w:type="dxa"/>
              <w:bottom w:w="0" w:type="dxa"/>
              <w:right w:w="13" w:type="dxa"/>
            </w:tcMar>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9</w:t>
            </w:r>
          </w:p>
        </w:tc>
        <w:tc>
          <w:tcPr>
            <w:tcW w:w="1354" w:type="pct"/>
            <w:shd w:val="clear" w:color="auto" w:fill="auto"/>
            <w:tcMar>
              <w:top w:w="13" w:type="dxa"/>
              <w:left w:w="13" w:type="dxa"/>
              <w:bottom w:w="0" w:type="dxa"/>
              <w:right w:w="13" w:type="dxa"/>
            </w:tcMar>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9</w:t>
            </w:r>
          </w:p>
        </w:tc>
      </w:tr>
    </w:tbl>
    <w:p>
      <w:pPr>
        <w:spacing w:line="240" w:lineRule="auto"/>
        <w:ind w:firstLine="405" w:firstLineChars="192"/>
        <w:jc w:val="center"/>
        <w:rPr>
          <w:rFonts w:hint="default" w:ascii="Times New Roman" w:hAnsi="Times New Roman" w:eastAsia="仿宋_GB2312" w:cs="Times New Roman"/>
          <w:b/>
          <w:color w:val="auto"/>
          <w:sz w:val="21"/>
          <w:szCs w:val="21"/>
        </w:rPr>
      </w:pPr>
    </w:p>
    <w:p>
      <w:pPr>
        <w:spacing w:line="240" w:lineRule="auto"/>
        <w:ind w:firstLine="405" w:firstLineChars="19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表7-2    间接费费率表</w:t>
      </w:r>
    </w:p>
    <w:tbl>
      <w:tblPr>
        <w:tblStyle w:val="61"/>
        <w:tblW w:w="505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78"/>
        <w:gridCol w:w="2272"/>
        <w:gridCol w:w="2239"/>
        <w:gridCol w:w="23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032"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序号</w:t>
            </w:r>
          </w:p>
        </w:tc>
        <w:tc>
          <w:tcPr>
            <w:tcW w:w="1319"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工程类别</w:t>
            </w:r>
          </w:p>
        </w:tc>
        <w:tc>
          <w:tcPr>
            <w:tcW w:w="1300"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计算基础</w:t>
            </w:r>
          </w:p>
        </w:tc>
        <w:tc>
          <w:tcPr>
            <w:tcW w:w="1349"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间接费率（%）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032"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（一）</w:t>
            </w:r>
          </w:p>
        </w:tc>
        <w:tc>
          <w:tcPr>
            <w:tcW w:w="1319"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工程措施</w:t>
            </w:r>
          </w:p>
        </w:tc>
        <w:tc>
          <w:tcPr>
            <w:tcW w:w="1300"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　</w:t>
            </w:r>
          </w:p>
        </w:tc>
        <w:tc>
          <w:tcPr>
            <w:tcW w:w="1349"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032"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w:t>
            </w:r>
          </w:p>
        </w:tc>
        <w:tc>
          <w:tcPr>
            <w:tcW w:w="1319"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土石方工程</w:t>
            </w:r>
          </w:p>
        </w:tc>
        <w:tc>
          <w:tcPr>
            <w:tcW w:w="1300"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直接工程费</w:t>
            </w:r>
          </w:p>
        </w:tc>
        <w:tc>
          <w:tcPr>
            <w:tcW w:w="1349" w:type="pct"/>
            <w:shd w:val="clear" w:color="auto" w:fill="auto"/>
            <w:noWrap/>
            <w:vAlign w:val="center"/>
          </w:tcPr>
          <w:p>
            <w:pPr>
              <w:spacing w:line="240" w:lineRule="auto"/>
              <w:ind w:firstLine="345" w:firstLineChars="192"/>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032"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w:t>
            </w:r>
          </w:p>
        </w:tc>
        <w:tc>
          <w:tcPr>
            <w:tcW w:w="1319"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混凝土工程</w:t>
            </w:r>
          </w:p>
        </w:tc>
        <w:tc>
          <w:tcPr>
            <w:tcW w:w="1300"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直接工程费</w:t>
            </w:r>
          </w:p>
        </w:tc>
        <w:tc>
          <w:tcPr>
            <w:tcW w:w="1349" w:type="pct"/>
            <w:shd w:val="clear" w:color="auto" w:fill="auto"/>
            <w:noWrap/>
            <w:vAlign w:val="center"/>
          </w:tcPr>
          <w:p>
            <w:pPr>
              <w:spacing w:line="240" w:lineRule="auto"/>
              <w:ind w:firstLine="345" w:firstLineChars="192"/>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032"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w:t>
            </w:r>
          </w:p>
        </w:tc>
        <w:tc>
          <w:tcPr>
            <w:tcW w:w="1319"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基础处理工程</w:t>
            </w:r>
          </w:p>
        </w:tc>
        <w:tc>
          <w:tcPr>
            <w:tcW w:w="1300"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直接工程费</w:t>
            </w:r>
          </w:p>
        </w:tc>
        <w:tc>
          <w:tcPr>
            <w:tcW w:w="1349" w:type="pct"/>
            <w:shd w:val="clear" w:color="auto" w:fill="auto"/>
            <w:noWrap/>
            <w:vAlign w:val="center"/>
          </w:tcPr>
          <w:p>
            <w:pPr>
              <w:spacing w:line="240" w:lineRule="auto"/>
              <w:ind w:firstLine="345" w:firstLineChars="192"/>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032"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w:t>
            </w:r>
          </w:p>
        </w:tc>
        <w:tc>
          <w:tcPr>
            <w:tcW w:w="1319"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其他工程</w:t>
            </w:r>
          </w:p>
        </w:tc>
        <w:tc>
          <w:tcPr>
            <w:tcW w:w="1300"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直接工程费</w:t>
            </w:r>
          </w:p>
        </w:tc>
        <w:tc>
          <w:tcPr>
            <w:tcW w:w="1349" w:type="pct"/>
            <w:shd w:val="clear" w:color="auto" w:fill="auto"/>
            <w:noWrap/>
            <w:vAlign w:val="center"/>
          </w:tcPr>
          <w:p>
            <w:pPr>
              <w:spacing w:line="240" w:lineRule="auto"/>
              <w:ind w:firstLine="345" w:firstLineChars="192"/>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032"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（二）</w:t>
            </w:r>
          </w:p>
        </w:tc>
        <w:tc>
          <w:tcPr>
            <w:tcW w:w="1319"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植物措施</w:t>
            </w:r>
          </w:p>
        </w:tc>
        <w:tc>
          <w:tcPr>
            <w:tcW w:w="1300"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直接工程费</w:t>
            </w:r>
          </w:p>
        </w:tc>
        <w:tc>
          <w:tcPr>
            <w:tcW w:w="1349" w:type="pct"/>
            <w:shd w:val="clear" w:color="auto" w:fill="auto"/>
            <w:noWrap/>
            <w:vAlign w:val="center"/>
          </w:tcPr>
          <w:p>
            <w:pPr>
              <w:spacing w:line="240" w:lineRule="auto"/>
              <w:ind w:firstLine="345" w:firstLineChars="192"/>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5.5</w:t>
            </w:r>
          </w:p>
        </w:tc>
      </w:tr>
    </w:tbl>
    <w:p>
      <w:pPr>
        <w:pStyle w:val="1102"/>
        <w:rPr>
          <w:rFonts w:hint="default" w:ascii="Times New Roman" w:hAnsi="Times New Roman" w:cs="Times New Roman"/>
          <w:color w:val="auto"/>
        </w:rPr>
      </w:pPr>
    </w:p>
    <w:p>
      <w:pPr>
        <w:pStyle w:val="1102"/>
        <w:rPr>
          <w:rFonts w:hint="default" w:ascii="Times New Roman" w:hAnsi="Times New Roman" w:cs="Times New Roman"/>
          <w:color w:val="auto"/>
        </w:rPr>
      </w:pP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（4）独立费用</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fldChar w:fldCharType="begin"/>
      </w:r>
      <w:r>
        <w:rPr>
          <w:rFonts w:hint="default" w:ascii="Times New Roman" w:hAnsi="Times New Roman" w:eastAsia="仿宋_GB2312" w:cs="Times New Roman"/>
          <w:color w:val="auto"/>
          <w:szCs w:val="24"/>
        </w:rPr>
        <w:instrText xml:space="preserve"> = 1 \* GB3 </w:instrText>
      </w:r>
      <w:r>
        <w:rPr>
          <w:rFonts w:hint="default" w:ascii="Times New Roman" w:hAnsi="Times New Roman" w:eastAsia="仿宋_GB2312" w:cs="Times New Roman"/>
          <w:color w:val="auto"/>
          <w:szCs w:val="24"/>
        </w:rPr>
        <w:fldChar w:fldCharType="separate"/>
      </w:r>
      <w:r>
        <w:rPr>
          <w:rFonts w:hint="default" w:ascii="Times New Roman" w:hAnsi="Times New Roman" w:cs="Times New Roman"/>
          <w:color w:val="auto"/>
          <w:szCs w:val="24"/>
        </w:rPr>
        <w:t>①</w:t>
      </w:r>
      <w:r>
        <w:rPr>
          <w:rFonts w:hint="default" w:ascii="Times New Roman" w:hAnsi="Times New Roman" w:eastAsia="仿宋_GB2312" w:cs="Times New Roman"/>
          <w:color w:val="auto"/>
          <w:szCs w:val="24"/>
        </w:rPr>
        <w:fldChar w:fldCharType="end"/>
      </w:r>
      <w:r>
        <w:rPr>
          <w:rFonts w:hint="default" w:ascii="Times New Roman" w:hAnsi="Times New Roman" w:eastAsia="仿宋_GB2312" w:cs="Times New Roman"/>
          <w:color w:val="auto"/>
          <w:szCs w:val="24"/>
        </w:rPr>
        <w:t>建设管理费：根据《水土保持工程概(估)算编制规定和定额》，按第一部分至第四部分之和的2%计取。</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fldChar w:fldCharType="begin"/>
      </w:r>
      <w:r>
        <w:rPr>
          <w:rFonts w:hint="default" w:ascii="Times New Roman" w:hAnsi="Times New Roman" w:eastAsia="仿宋_GB2312" w:cs="Times New Roman"/>
          <w:color w:val="auto"/>
          <w:szCs w:val="24"/>
        </w:rPr>
        <w:instrText xml:space="preserve"> = 2 \* GB3 </w:instrText>
      </w:r>
      <w:r>
        <w:rPr>
          <w:rFonts w:hint="default" w:ascii="Times New Roman" w:hAnsi="Times New Roman" w:eastAsia="仿宋_GB2312" w:cs="Times New Roman"/>
          <w:color w:val="auto"/>
          <w:szCs w:val="24"/>
        </w:rPr>
        <w:fldChar w:fldCharType="separate"/>
      </w:r>
      <w:r>
        <w:rPr>
          <w:rFonts w:hint="default" w:ascii="Times New Roman" w:hAnsi="Times New Roman" w:cs="Times New Roman"/>
          <w:color w:val="auto"/>
          <w:szCs w:val="24"/>
        </w:rPr>
        <w:t>②</w:t>
      </w:r>
      <w:r>
        <w:rPr>
          <w:rFonts w:hint="default" w:ascii="Times New Roman" w:hAnsi="Times New Roman" w:eastAsia="仿宋_GB2312" w:cs="Times New Roman"/>
          <w:color w:val="auto"/>
          <w:szCs w:val="24"/>
        </w:rPr>
        <w:fldChar w:fldCharType="end"/>
      </w:r>
      <w:r>
        <w:rPr>
          <w:rFonts w:hint="default" w:ascii="Times New Roman" w:hAnsi="Times New Roman" w:eastAsia="仿宋_GB2312" w:cs="Times New Roman"/>
          <w:color w:val="auto"/>
          <w:szCs w:val="24"/>
        </w:rPr>
        <w:t>工程建设监理费：根据《建设工程监理与相关服务收费管理规定》的通知，同时结合本项目水土保持监理实际工作概算。</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fldChar w:fldCharType="begin"/>
      </w:r>
      <w:r>
        <w:rPr>
          <w:rFonts w:hint="default" w:ascii="Times New Roman" w:hAnsi="Times New Roman" w:eastAsia="仿宋_GB2312" w:cs="Times New Roman"/>
          <w:color w:val="auto"/>
          <w:szCs w:val="24"/>
        </w:rPr>
        <w:instrText xml:space="preserve"> = 3 \* GB3 </w:instrText>
      </w:r>
      <w:r>
        <w:rPr>
          <w:rFonts w:hint="default" w:ascii="Times New Roman" w:hAnsi="Times New Roman" w:eastAsia="仿宋_GB2312" w:cs="Times New Roman"/>
          <w:color w:val="auto"/>
          <w:szCs w:val="24"/>
        </w:rPr>
        <w:fldChar w:fldCharType="separate"/>
      </w:r>
      <w:r>
        <w:rPr>
          <w:rFonts w:hint="default" w:ascii="Times New Roman" w:hAnsi="Times New Roman" w:cs="Times New Roman"/>
          <w:color w:val="auto"/>
          <w:szCs w:val="24"/>
        </w:rPr>
        <w:t>③</w:t>
      </w:r>
      <w:r>
        <w:rPr>
          <w:rFonts w:hint="default" w:ascii="Times New Roman" w:hAnsi="Times New Roman" w:eastAsia="仿宋_GB2312" w:cs="Times New Roman"/>
          <w:color w:val="auto"/>
          <w:szCs w:val="24"/>
        </w:rPr>
        <w:fldChar w:fldCharType="end"/>
      </w:r>
      <w:r>
        <w:rPr>
          <w:rFonts w:hint="default" w:ascii="Times New Roman" w:hAnsi="Times New Roman" w:eastAsia="仿宋_GB2312" w:cs="Times New Roman"/>
          <w:color w:val="auto"/>
          <w:szCs w:val="24"/>
        </w:rPr>
        <w:t>科研勘测设计费：结合本项目实际情况概算。</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fldChar w:fldCharType="begin"/>
      </w:r>
      <w:r>
        <w:rPr>
          <w:rFonts w:hint="default" w:ascii="Times New Roman" w:hAnsi="Times New Roman" w:eastAsia="仿宋_GB2312" w:cs="Times New Roman"/>
          <w:color w:val="auto"/>
          <w:szCs w:val="24"/>
        </w:rPr>
        <w:instrText xml:space="preserve"> = 4 \* GB3 </w:instrText>
      </w:r>
      <w:r>
        <w:rPr>
          <w:rFonts w:hint="default" w:ascii="Times New Roman" w:hAnsi="Times New Roman" w:eastAsia="仿宋_GB2312" w:cs="Times New Roman"/>
          <w:color w:val="auto"/>
          <w:szCs w:val="24"/>
        </w:rPr>
        <w:fldChar w:fldCharType="separate"/>
      </w:r>
      <w:r>
        <w:rPr>
          <w:rFonts w:hint="default" w:ascii="Times New Roman" w:hAnsi="Times New Roman" w:cs="Times New Roman"/>
          <w:color w:val="auto"/>
          <w:szCs w:val="24"/>
        </w:rPr>
        <w:t>④</w:t>
      </w:r>
      <w:r>
        <w:rPr>
          <w:rFonts w:hint="default" w:ascii="Times New Roman" w:hAnsi="Times New Roman" w:eastAsia="仿宋_GB2312" w:cs="Times New Roman"/>
          <w:color w:val="auto"/>
          <w:szCs w:val="24"/>
        </w:rPr>
        <w:fldChar w:fldCharType="end"/>
      </w:r>
      <w:r>
        <w:rPr>
          <w:rFonts w:hint="default" w:ascii="Times New Roman" w:hAnsi="Times New Roman" w:eastAsia="仿宋_GB2312" w:cs="Times New Roman"/>
          <w:color w:val="auto"/>
          <w:szCs w:val="24"/>
        </w:rPr>
        <w:t>水保设施验收报告编制费：结合项目水土保持竣工验收报告编制实际工作量计列。</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fldChar w:fldCharType="begin"/>
      </w:r>
      <w:r>
        <w:rPr>
          <w:rFonts w:hint="default" w:ascii="Times New Roman" w:hAnsi="Times New Roman" w:eastAsia="仿宋_GB2312" w:cs="Times New Roman"/>
          <w:color w:val="auto"/>
          <w:szCs w:val="24"/>
        </w:rPr>
        <w:instrText xml:space="preserve"> = 5 \* GB3 </w:instrText>
      </w:r>
      <w:r>
        <w:rPr>
          <w:rFonts w:hint="default" w:ascii="Times New Roman" w:hAnsi="Times New Roman" w:eastAsia="仿宋_GB2312" w:cs="Times New Roman"/>
          <w:color w:val="auto"/>
          <w:szCs w:val="24"/>
        </w:rPr>
        <w:fldChar w:fldCharType="separate"/>
      </w:r>
      <w:r>
        <w:rPr>
          <w:rFonts w:hint="default" w:ascii="Times New Roman" w:hAnsi="Times New Roman" w:cs="Times New Roman"/>
          <w:color w:val="auto"/>
          <w:szCs w:val="24"/>
        </w:rPr>
        <w:t>⑤</w:t>
      </w:r>
      <w:r>
        <w:rPr>
          <w:rFonts w:hint="default" w:ascii="Times New Roman" w:hAnsi="Times New Roman" w:eastAsia="仿宋_GB2312" w:cs="Times New Roman"/>
          <w:color w:val="auto"/>
          <w:szCs w:val="24"/>
        </w:rPr>
        <w:fldChar w:fldCharType="end"/>
      </w:r>
      <w:r>
        <w:rPr>
          <w:rFonts w:hint="default" w:ascii="Times New Roman" w:hAnsi="Times New Roman" w:eastAsia="仿宋_GB2312" w:cs="Times New Roman"/>
          <w:color w:val="auto"/>
          <w:szCs w:val="24"/>
        </w:rPr>
        <w:t>招标代理服务费：按工程招标代理服务收费参考计算标准计列。</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cs="Times New Roman"/>
          <w:color w:val="auto"/>
          <w:szCs w:val="24"/>
        </w:rPr>
        <w:t>⑥</w:t>
      </w:r>
      <w:r>
        <w:rPr>
          <w:rFonts w:hint="default" w:ascii="Times New Roman" w:hAnsi="Times New Roman" w:eastAsia="仿宋_GB2312" w:cs="Times New Roman"/>
          <w:color w:val="auto"/>
          <w:szCs w:val="24"/>
        </w:rPr>
        <w:t>经济技术咨询费：以主体工程土建投资合计为计算基数，按标准计列。</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（5）基本预备费：基本预备费按第一至第五投资合计的5～8%计取。</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（6）水土保持补偿费</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根据四川省发展和改革委员会 四川省财政厅关于制定《水土保持补偿费收费标准的通知》（川发改价格[2017]347号）文的规定，本项目水土保持补偿费按征占地面积1.3元/m</w:t>
      </w:r>
      <w:r>
        <w:rPr>
          <w:rFonts w:hint="default" w:ascii="Times New Roman" w:hAnsi="Times New Roman" w:eastAsia="仿宋_GB2312" w:cs="Times New Roman"/>
          <w:color w:val="auto"/>
          <w:szCs w:val="24"/>
          <w:vertAlign w:val="superscript"/>
        </w:rPr>
        <w:t>2</w:t>
      </w:r>
      <w:r>
        <w:rPr>
          <w:rFonts w:hint="default" w:ascii="Times New Roman" w:hAnsi="Times New Roman" w:eastAsia="仿宋_GB2312" w:cs="Times New Roman"/>
          <w:color w:val="auto"/>
          <w:szCs w:val="24"/>
        </w:rPr>
        <w:t>计，征收面积为</w:t>
      </w:r>
      <w:r>
        <w:rPr>
          <w:rFonts w:hint="default" w:ascii="Times New Roman" w:hAnsi="Times New Roman" w:eastAsia="仿宋_GB2312" w:cs="Times New Roman"/>
          <w:color w:val="auto"/>
        </w:rPr>
        <w:t>1200</w:t>
      </w:r>
      <w:r>
        <w:rPr>
          <w:rFonts w:hint="default" w:ascii="Times New Roman" w:hAnsi="Times New Roman" w:eastAsia="仿宋_GB2312" w:cs="Times New Roman"/>
          <w:color w:val="auto"/>
          <w:szCs w:val="24"/>
        </w:rPr>
        <w:t>m</w:t>
      </w:r>
      <w:r>
        <w:rPr>
          <w:rFonts w:hint="default" w:ascii="Times New Roman" w:hAnsi="Times New Roman" w:eastAsia="仿宋_GB2312" w:cs="Times New Roman"/>
          <w:color w:val="auto"/>
          <w:szCs w:val="24"/>
          <w:vertAlign w:val="superscript"/>
        </w:rPr>
        <w:t>2</w:t>
      </w:r>
      <w:r>
        <w:rPr>
          <w:rFonts w:hint="default" w:ascii="Times New Roman" w:hAnsi="Times New Roman" w:eastAsia="仿宋_GB2312" w:cs="Times New Roman"/>
          <w:color w:val="auto"/>
          <w:szCs w:val="24"/>
        </w:rPr>
        <w:t>，水土保持补偿费共计</w:t>
      </w:r>
      <w:r>
        <w:rPr>
          <w:rFonts w:hint="default" w:ascii="Times New Roman" w:hAnsi="Times New Roman" w:eastAsia="仿宋_GB2312" w:cs="Times New Roman"/>
          <w:color w:val="auto"/>
        </w:rPr>
        <w:t>1200</w:t>
      </w:r>
      <w:r>
        <w:rPr>
          <w:rFonts w:hint="default" w:ascii="Times New Roman" w:hAnsi="Times New Roman" w:eastAsia="仿宋_GB2312" w:cs="Times New Roman"/>
          <w:color w:val="auto"/>
          <w:szCs w:val="24"/>
        </w:rPr>
        <w:t>m</w:t>
      </w:r>
      <w:r>
        <w:rPr>
          <w:rFonts w:hint="default" w:ascii="Times New Roman" w:hAnsi="Times New Roman" w:eastAsia="仿宋_GB2312" w:cs="Times New Roman"/>
          <w:color w:val="auto"/>
          <w:szCs w:val="24"/>
          <w:vertAlign w:val="superscript"/>
        </w:rPr>
        <w:t>2*</w:t>
      </w:r>
      <w:r>
        <w:rPr>
          <w:rFonts w:hint="default" w:ascii="Times New Roman" w:hAnsi="Times New Roman" w:eastAsia="仿宋_GB2312" w:cs="Times New Roman"/>
          <w:color w:val="auto"/>
          <w:szCs w:val="24"/>
        </w:rPr>
        <w:t>1.3元/m</w:t>
      </w:r>
      <w:r>
        <w:rPr>
          <w:rFonts w:hint="default" w:ascii="Times New Roman" w:hAnsi="Times New Roman" w:eastAsia="仿宋_GB2312" w:cs="Times New Roman"/>
          <w:color w:val="auto"/>
          <w:szCs w:val="24"/>
          <w:vertAlign w:val="superscript"/>
        </w:rPr>
        <w:t>2</w:t>
      </w:r>
      <w:r>
        <w:rPr>
          <w:rFonts w:hint="default" w:ascii="Times New Roman" w:hAnsi="Times New Roman" w:eastAsia="仿宋_GB2312" w:cs="Times New Roman"/>
          <w:color w:val="auto"/>
          <w:szCs w:val="24"/>
        </w:rPr>
        <w:t>=1560元。</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结合《四川省财政厅  四川省发展和改革委员会  四川省水利厅  中国人民银行成都分行关于印发&lt;四川省水土保持补偿费征收使用管理实施办法&gt;的通知》(川财综〔2014〕6号)第十一条规定，建设学校、幼儿园、医院、养老服务设施、孤儿院、福利院等公益性工程项目的可免征水土保持补偿费。本方案按1560元暂列水土保持补偿费，建设单位在取得批复后到红原县水利局依法办理缴费或者免征手续。</w:t>
      </w:r>
    </w:p>
    <w:p>
      <w:pPr>
        <w:spacing w:line="240" w:lineRule="auto"/>
        <w:ind w:firstLine="405" w:firstLineChars="19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表7-3  水土保持补偿费计算表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16"/>
        <w:gridCol w:w="1570"/>
        <w:gridCol w:w="1575"/>
        <w:gridCol w:w="1580"/>
        <w:gridCol w:w="16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41" w:type="pct"/>
            <w:vAlign w:val="center"/>
          </w:tcPr>
          <w:p>
            <w:pPr>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工程或费用名称</w:t>
            </w:r>
          </w:p>
        </w:tc>
        <w:tc>
          <w:tcPr>
            <w:tcW w:w="920" w:type="pct"/>
            <w:vAlign w:val="center"/>
          </w:tcPr>
          <w:p>
            <w:pPr>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单位</w:t>
            </w:r>
          </w:p>
        </w:tc>
        <w:tc>
          <w:tcPr>
            <w:tcW w:w="923" w:type="pct"/>
            <w:vAlign w:val="center"/>
          </w:tcPr>
          <w:p>
            <w:pPr>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数量</w:t>
            </w:r>
          </w:p>
        </w:tc>
        <w:tc>
          <w:tcPr>
            <w:tcW w:w="926" w:type="pct"/>
            <w:vAlign w:val="center"/>
          </w:tcPr>
          <w:p>
            <w:pPr>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单价(元/m</w:t>
            </w:r>
            <w:r>
              <w:rPr>
                <w:rFonts w:hint="default" w:ascii="Times New Roman" w:hAnsi="Times New Roman" w:eastAsia="仿宋_GB2312" w:cs="Times New Roman"/>
                <w:b/>
                <w:color w:val="auto"/>
                <w:sz w:val="18"/>
                <w:szCs w:val="18"/>
                <w:vertAlign w:val="superscript"/>
              </w:rPr>
              <w:t>2</w:t>
            </w:r>
            <w:r>
              <w:rPr>
                <w:rFonts w:hint="default" w:ascii="Times New Roman" w:hAnsi="Times New Roman" w:eastAsia="仿宋_GB2312" w:cs="Times New Roman"/>
                <w:b/>
                <w:color w:val="auto"/>
                <w:sz w:val="18"/>
                <w:szCs w:val="18"/>
              </w:rPr>
              <w:t>）</w:t>
            </w:r>
          </w:p>
        </w:tc>
        <w:tc>
          <w:tcPr>
            <w:tcW w:w="989" w:type="pct"/>
            <w:vAlign w:val="center"/>
          </w:tcPr>
          <w:p>
            <w:pPr>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合计(元）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41"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水土保持补偿费</w:t>
            </w:r>
          </w:p>
        </w:tc>
        <w:tc>
          <w:tcPr>
            <w:tcW w:w="920"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m²</w:t>
            </w:r>
          </w:p>
        </w:tc>
        <w:tc>
          <w:tcPr>
            <w:tcW w:w="923"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1200</w:t>
            </w:r>
          </w:p>
        </w:tc>
        <w:tc>
          <w:tcPr>
            <w:tcW w:w="926"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1.30</w:t>
            </w:r>
          </w:p>
        </w:tc>
        <w:tc>
          <w:tcPr>
            <w:tcW w:w="989"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1560</w:t>
            </w:r>
          </w:p>
          <w:p>
            <w:pPr>
              <w:spacing w:line="240" w:lineRule="auto"/>
              <w:ind w:firstLine="0" w:firstLineChars="0"/>
              <w:jc w:val="center"/>
              <w:rPr>
                <w:rFonts w:hint="default" w:ascii="Times New Roman" w:hAnsi="Times New Roman" w:eastAsia="仿宋_GB2312" w:cs="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41" w:type="pct"/>
            <w:vAlign w:val="center"/>
          </w:tcPr>
          <w:p>
            <w:pPr>
              <w:spacing w:line="240" w:lineRule="auto"/>
              <w:ind w:firstLine="345" w:firstLineChars="192"/>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合计</w:t>
            </w:r>
          </w:p>
        </w:tc>
        <w:tc>
          <w:tcPr>
            <w:tcW w:w="920" w:type="pct"/>
            <w:vAlign w:val="center"/>
          </w:tcPr>
          <w:p>
            <w:pPr>
              <w:spacing w:line="240" w:lineRule="auto"/>
              <w:ind w:firstLine="345" w:firstLineChars="192"/>
              <w:jc w:val="center"/>
              <w:rPr>
                <w:rFonts w:hint="default" w:ascii="Times New Roman" w:hAnsi="Times New Roman" w:eastAsia="仿宋_GB2312" w:cs="Times New Roman"/>
                <w:color w:val="auto"/>
                <w:sz w:val="18"/>
                <w:szCs w:val="18"/>
              </w:rPr>
            </w:pPr>
          </w:p>
        </w:tc>
        <w:tc>
          <w:tcPr>
            <w:tcW w:w="923" w:type="pct"/>
            <w:vAlign w:val="center"/>
          </w:tcPr>
          <w:p>
            <w:pPr>
              <w:spacing w:line="240" w:lineRule="auto"/>
              <w:ind w:firstLine="345" w:firstLineChars="192"/>
              <w:jc w:val="center"/>
              <w:rPr>
                <w:rFonts w:hint="default" w:ascii="Times New Roman" w:hAnsi="Times New Roman" w:eastAsia="仿宋_GB2312" w:cs="Times New Roman"/>
                <w:color w:val="auto"/>
                <w:sz w:val="18"/>
                <w:szCs w:val="18"/>
              </w:rPr>
            </w:pPr>
          </w:p>
        </w:tc>
        <w:tc>
          <w:tcPr>
            <w:tcW w:w="926" w:type="pct"/>
            <w:vAlign w:val="center"/>
          </w:tcPr>
          <w:p>
            <w:pPr>
              <w:spacing w:line="240" w:lineRule="auto"/>
              <w:ind w:firstLine="345" w:firstLineChars="192"/>
              <w:jc w:val="center"/>
              <w:rPr>
                <w:rFonts w:hint="default" w:ascii="Times New Roman" w:hAnsi="Times New Roman" w:eastAsia="仿宋_GB2312" w:cs="Times New Roman"/>
                <w:color w:val="auto"/>
                <w:sz w:val="18"/>
                <w:szCs w:val="18"/>
              </w:rPr>
            </w:pPr>
          </w:p>
        </w:tc>
        <w:tc>
          <w:tcPr>
            <w:tcW w:w="989"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1560</w:t>
            </w:r>
          </w:p>
          <w:p>
            <w:pPr>
              <w:spacing w:line="240" w:lineRule="auto"/>
              <w:ind w:firstLine="0" w:firstLineChars="0"/>
              <w:jc w:val="center"/>
              <w:rPr>
                <w:rFonts w:hint="default" w:ascii="Times New Roman" w:hAnsi="Times New Roman" w:eastAsia="仿宋_GB2312" w:cs="Times New Roman"/>
                <w:color w:val="auto"/>
                <w:sz w:val="18"/>
                <w:szCs w:val="18"/>
              </w:rPr>
            </w:pPr>
          </w:p>
        </w:tc>
      </w:tr>
    </w:tbl>
    <w:p>
      <w:pPr>
        <w:pStyle w:val="321"/>
        <w:spacing w:line="240" w:lineRule="auto"/>
        <w:ind w:firstLine="480"/>
        <w:jc w:val="left"/>
        <w:rPr>
          <w:rFonts w:hint="default" w:ascii="Times New Roman" w:hAnsi="Times New Roman" w:cs="Times New Roman"/>
          <w:color w:val="auto"/>
        </w:rPr>
      </w:pPr>
    </w:p>
    <w:p>
      <w:pPr>
        <w:keepNext/>
        <w:widowControl/>
        <w:ind w:firstLine="0" w:firstLineChars="0"/>
        <w:outlineLvl w:val="3"/>
        <w:rPr>
          <w:rFonts w:hint="default" w:ascii="Times New Roman" w:hAnsi="Times New Roman" w:cs="Times New Roman"/>
          <w:b/>
          <w:color w:val="auto"/>
          <w:kern w:val="0"/>
          <w:szCs w:val="20"/>
        </w:rPr>
      </w:pPr>
      <w:r>
        <w:rPr>
          <w:rFonts w:hint="default" w:ascii="Times New Roman" w:hAnsi="Times New Roman" w:cs="Times New Roman"/>
          <w:b/>
          <w:color w:val="auto"/>
          <w:kern w:val="0"/>
          <w:szCs w:val="20"/>
        </w:rPr>
        <w:t>7.1.2.2编制方法</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根据《四川省水利水电工程设计概（估）算编制规定》的要求，水保投资由工程措施费、植物措施费、监测措施费、施工临时工程费、独立费用以及预备费、水土保持补偿费等构成。各项工程单价和费用组成计算方法为：</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fldChar w:fldCharType="begin"/>
      </w:r>
      <w:r>
        <w:rPr>
          <w:rFonts w:hint="default" w:ascii="Times New Roman" w:hAnsi="Times New Roman" w:eastAsia="仿宋_GB2312" w:cs="Times New Roman"/>
          <w:color w:val="auto"/>
          <w:szCs w:val="24"/>
        </w:rPr>
        <w:instrText xml:space="preserve"> = 1 \* GB3 </w:instrText>
      </w:r>
      <w:r>
        <w:rPr>
          <w:rFonts w:hint="default" w:ascii="Times New Roman" w:hAnsi="Times New Roman" w:eastAsia="仿宋_GB2312" w:cs="Times New Roman"/>
          <w:color w:val="auto"/>
          <w:szCs w:val="24"/>
        </w:rPr>
        <w:fldChar w:fldCharType="separate"/>
      </w:r>
      <w:r>
        <w:rPr>
          <w:rFonts w:hint="default" w:ascii="Times New Roman" w:hAnsi="Times New Roman" w:cs="Times New Roman"/>
          <w:color w:val="auto"/>
          <w:szCs w:val="24"/>
        </w:rPr>
        <w:t>①</w:t>
      </w:r>
      <w:r>
        <w:rPr>
          <w:rFonts w:hint="default" w:ascii="Times New Roman" w:hAnsi="Times New Roman" w:eastAsia="仿宋_GB2312" w:cs="Times New Roman"/>
          <w:color w:val="auto"/>
          <w:szCs w:val="24"/>
        </w:rPr>
        <w:fldChar w:fldCharType="end"/>
      </w:r>
      <w:r>
        <w:rPr>
          <w:rFonts w:hint="default" w:ascii="Times New Roman" w:hAnsi="Times New Roman" w:eastAsia="仿宋_GB2312" w:cs="Times New Roman"/>
          <w:color w:val="auto"/>
          <w:szCs w:val="24"/>
        </w:rPr>
        <w:t>工程措施、植物措施单价由直接工程费、间接费、企业利润、税金4部分组。</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fldChar w:fldCharType="begin"/>
      </w:r>
      <w:r>
        <w:rPr>
          <w:rFonts w:hint="default" w:ascii="Times New Roman" w:hAnsi="Times New Roman" w:eastAsia="仿宋_GB2312" w:cs="Times New Roman"/>
          <w:color w:val="auto"/>
          <w:szCs w:val="24"/>
        </w:rPr>
        <w:instrText xml:space="preserve"> = 2 \* GB3 </w:instrText>
      </w:r>
      <w:r>
        <w:rPr>
          <w:rFonts w:hint="default" w:ascii="Times New Roman" w:hAnsi="Times New Roman" w:eastAsia="仿宋_GB2312" w:cs="Times New Roman"/>
          <w:color w:val="auto"/>
          <w:szCs w:val="24"/>
        </w:rPr>
        <w:fldChar w:fldCharType="separate"/>
      </w:r>
      <w:r>
        <w:rPr>
          <w:rFonts w:hint="default" w:ascii="Times New Roman" w:hAnsi="Times New Roman" w:cs="Times New Roman"/>
          <w:color w:val="auto"/>
          <w:szCs w:val="24"/>
        </w:rPr>
        <w:t>②</w:t>
      </w:r>
      <w:r>
        <w:rPr>
          <w:rFonts w:hint="default" w:ascii="Times New Roman" w:hAnsi="Times New Roman" w:eastAsia="仿宋_GB2312" w:cs="Times New Roman"/>
          <w:color w:val="auto"/>
          <w:szCs w:val="24"/>
        </w:rPr>
        <w:fldChar w:fldCharType="end"/>
      </w:r>
      <w:r>
        <w:rPr>
          <w:rFonts w:hint="default" w:ascii="Times New Roman" w:hAnsi="Times New Roman" w:eastAsia="仿宋_GB2312" w:cs="Times New Roman"/>
          <w:color w:val="auto"/>
          <w:szCs w:val="24"/>
        </w:rPr>
        <w:t>监测措施按土建设施、安装费和建设期观测费计列。</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fldChar w:fldCharType="begin"/>
      </w:r>
      <w:r>
        <w:rPr>
          <w:rFonts w:hint="default" w:ascii="Times New Roman" w:hAnsi="Times New Roman" w:eastAsia="仿宋_GB2312" w:cs="Times New Roman"/>
          <w:color w:val="auto"/>
          <w:szCs w:val="24"/>
        </w:rPr>
        <w:instrText xml:space="preserve"> = 3 \* GB3 </w:instrText>
      </w:r>
      <w:r>
        <w:rPr>
          <w:rFonts w:hint="default" w:ascii="Times New Roman" w:hAnsi="Times New Roman" w:eastAsia="仿宋_GB2312" w:cs="Times New Roman"/>
          <w:color w:val="auto"/>
          <w:szCs w:val="24"/>
        </w:rPr>
        <w:fldChar w:fldCharType="separate"/>
      </w:r>
      <w:r>
        <w:rPr>
          <w:rFonts w:hint="default" w:ascii="Times New Roman" w:hAnsi="Times New Roman" w:cs="Times New Roman"/>
          <w:color w:val="auto"/>
          <w:szCs w:val="24"/>
        </w:rPr>
        <w:t>③</w:t>
      </w:r>
      <w:r>
        <w:rPr>
          <w:rFonts w:hint="default" w:ascii="Times New Roman" w:hAnsi="Times New Roman" w:eastAsia="仿宋_GB2312" w:cs="Times New Roman"/>
          <w:color w:val="auto"/>
          <w:szCs w:val="24"/>
        </w:rPr>
        <w:fldChar w:fldCharType="end"/>
      </w:r>
      <w:r>
        <w:rPr>
          <w:rFonts w:hint="default" w:ascii="Times New Roman" w:hAnsi="Times New Roman" w:eastAsia="仿宋_GB2312" w:cs="Times New Roman"/>
          <w:color w:val="auto"/>
          <w:szCs w:val="24"/>
        </w:rPr>
        <w:t>临时工程包括施工临时防护工程和其他临时工程。</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fldChar w:fldCharType="begin"/>
      </w:r>
      <w:r>
        <w:rPr>
          <w:rFonts w:hint="default" w:ascii="Times New Roman" w:hAnsi="Times New Roman" w:eastAsia="仿宋_GB2312" w:cs="Times New Roman"/>
          <w:color w:val="auto"/>
          <w:szCs w:val="24"/>
        </w:rPr>
        <w:instrText xml:space="preserve"> = 4 \* GB3 </w:instrText>
      </w:r>
      <w:r>
        <w:rPr>
          <w:rFonts w:hint="default" w:ascii="Times New Roman" w:hAnsi="Times New Roman" w:eastAsia="仿宋_GB2312" w:cs="Times New Roman"/>
          <w:color w:val="auto"/>
          <w:szCs w:val="24"/>
        </w:rPr>
        <w:fldChar w:fldCharType="separate"/>
      </w:r>
      <w:r>
        <w:rPr>
          <w:rFonts w:hint="default" w:ascii="Times New Roman" w:hAnsi="Times New Roman" w:cs="Times New Roman"/>
          <w:color w:val="auto"/>
          <w:szCs w:val="24"/>
        </w:rPr>
        <w:t>④</w:t>
      </w:r>
      <w:r>
        <w:rPr>
          <w:rFonts w:hint="default" w:ascii="Times New Roman" w:hAnsi="Times New Roman" w:eastAsia="仿宋_GB2312" w:cs="Times New Roman"/>
          <w:color w:val="auto"/>
          <w:szCs w:val="24"/>
        </w:rPr>
        <w:fldChar w:fldCharType="end"/>
      </w:r>
      <w:r>
        <w:rPr>
          <w:rFonts w:hint="default" w:ascii="Times New Roman" w:hAnsi="Times New Roman" w:eastAsia="仿宋_GB2312" w:cs="Times New Roman"/>
          <w:color w:val="auto"/>
          <w:szCs w:val="24"/>
        </w:rPr>
        <w:t>独立费用由建设管理费、科研勘测设计费、工程建设监理费、水保设施验收报告编制费、招标代理服务费、经济技术咨询费等组成。</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fldChar w:fldCharType="begin"/>
      </w:r>
      <w:r>
        <w:rPr>
          <w:rFonts w:hint="default" w:ascii="Times New Roman" w:hAnsi="Times New Roman" w:eastAsia="仿宋_GB2312" w:cs="Times New Roman"/>
          <w:color w:val="auto"/>
          <w:szCs w:val="24"/>
        </w:rPr>
        <w:instrText xml:space="preserve"> = 5 \* GB3 </w:instrText>
      </w:r>
      <w:r>
        <w:rPr>
          <w:rFonts w:hint="default" w:ascii="Times New Roman" w:hAnsi="Times New Roman" w:eastAsia="仿宋_GB2312" w:cs="Times New Roman"/>
          <w:color w:val="auto"/>
          <w:szCs w:val="24"/>
        </w:rPr>
        <w:fldChar w:fldCharType="separate"/>
      </w:r>
      <w:r>
        <w:rPr>
          <w:rFonts w:hint="default" w:ascii="Times New Roman" w:hAnsi="Times New Roman" w:cs="Times New Roman"/>
          <w:color w:val="auto"/>
          <w:szCs w:val="24"/>
        </w:rPr>
        <w:t>⑤</w:t>
      </w:r>
      <w:r>
        <w:rPr>
          <w:rFonts w:hint="default" w:ascii="Times New Roman" w:hAnsi="Times New Roman" w:eastAsia="仿宋_GB2312" w:cs="Times New Roman"/>
          <w:color w:val="auto"/>
          <w:szCs w:val="24"/>
        </w:rPr>
        <w:fldChar w:fldCharType="end"/>
      </w:r>
      <w:r>
        <w:rPr>
          <w:rFonts w:hint="default" w:ascii="Times New Roman" w:hAnsi="Times New Roman" w:eastAsia="仿宋_GB2312" w:cs="Times New Roman"/>
          <w:color w:val="auto"/>
          <w:szCs w:val="24"/>
        </w:rPr>
        <w:t>预备费包括基本预备费，不考虑价差预备费。</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fldChar w:fldCharType="begin"/>
      </w:r>
      <w:r>
        <w:rPr>
          <w:rFonts w:hint="default" w:ascii="Times New Roman" w:hAnsi="Times New Roman" w:eastAsia="仿宋_GB2312" w:cs="Times New Roman"/>
          <w:color w:val="auto"/>
          <w:szCs w:val="24"/>
        </w:rPr>
        <w:instrText xml:space="preserve"> = 6 \* GB3 </w:instrText>
      </w:r>
      <w:r>
        <w:rPr>
          <w:rFonts w:hint="default" w:ascii="Times New Roman" w:hAnsi="Times New Roman" w:eastAsia="仿宋_GB2312" w:cs="Times New Roman"/>
          <w:color w:val="auto"/>
          <w:szCs w:val="24"/>
        </w:rPr>
        <w:fldChar w:fldCharType="separate"/>
      </w:r>
      <w:r>
        <w:rPr>
          <w:rFonts w:hint="default" w:ascii="Times New Roman" w:hAnsi="Times New Roman" w:cs="Times New Roman"/>
          <w:color w:val="auto"/>
          <w:szCs w:val="24"/>
        </w:rPr>
        <w:t>⑥</w:t>
      </w:r>
      <w:r>
        <w:rPr>
          <w:rFonts w:hint="default" w:ascii="Times New Roman" w:hAnsi="Times New Roman" w:eastAsia="仿宋_GB2312" w:cs="Times New Roman"/>
          <w:color w:val="auto"/>
          <w:szCs w:val="24"/>
        </w:rPr>
        <w:fldChar w:fldCharType="end"/>
      </w:r>
      <w:r>
        <w:rPr>
          <w:rFonts w:hint="default" w:ascii="Times New Roman" w:hAnsi="Times New Roman" w:eastAsia="仿宋_GB2312" w:cs="Times New Roman"/>
          <w:color w:val="auto"/>
          <w:szCs w:val="24"/>
        </w:rPr>
        <w:t>水土保持补偿费按照《四川省发展和改革委员会 四川省财政厅关于制定水土保持补偿费收费标准的通知》（川发改价格[2017]347号）的有关规定执行。</w:t>
      </w:r>
    </w:p>
    <w:p>
      <w:pPr>
        <w:keepNext/>
        <w:widowControl/>
        <w:ind w:firstLine="0" w:firstLineChars="0"/>
        <w:outlineLvl w:val="3"/>
        <w:rPr>
          <w:rFonts w:hint="default" w:ascii="Times New Roman" w:hAnsi="Times New Roman" w:cs="Times New Roman"/>
          <w:b/>
          <w:color w:val="auto"/>
          <w:kern w:val="0"/>
          <w:szCs w:val="20"/>
        </w:rPr>
      </w:pPr>
      <w:r>
        <w:rPr>
          <w:rFonts w:hint="default" w:ascii="Times New Roman" w:hAnsi="Times New Roman" w:cs="Times New Roman"/>
          <w:b/>
          <w:color w:val="auto"/>
          <w:kern w:val="0"/>
          <w:szCs w:val="20"/>
        </w:rPr>
        <w:t>7.1.2.3水土保持方案总投资</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本项目水土保持工程总投资</w:t>
      </w:r>
      <w:r>
        <w:rPr>
          <w:rFonts w:hint="default" w:ascii="Times New Roman" w:hAnsi="Times New Roman" w:eastAsia="仿宋_GB2312" w:cs="Times New Roman"/>
          <w:color w:val="auto"/>
          <w:szCs w:val="24"/>
          <w:lang w:eastAsia="zh-CN"/>
        </w:rPr>
        <w:t>13.52</w:t>
      </w:r>
      <w:r>
        <w:rPr>
          <w:rFonts w:hint="default" w:ascii="Times New Roman" w:hAnsi="Times New Roman" w:eastAsia="仿宋_GB2312" w:cs="Times New Roman"/>
          <w:color w:val="auto"/>
          <w:szCs w:val="24"/>
        </w:rPr>
        <w:t>万元（主体工程已有水保措施投资5.35万元，方案新增水土保持投资</w:t>
      </w:r>
      <w:r>
        <w:rPr>
          <w:rFonts w:hint="default" w:ascii="Times New Roman" w:hAnsi="Times New Roman" w:eastAsia="仿宋_GB2312" w:cs="Times New Roman"/>
          <w:color w:val="auto"/>
          <w:szCs w:val="24"/>
          <w:lang w:val="en-US" w:eastAsia="zh-CN"/>
        </w:rPr>
        <w:t>8.17</w:t>
      </w:r>
      <w:r>
        <w:rPr>
          <w:rFonts w:hint="default" w:ascii="Times New Roman" w:hAnsi="Times New Roman" w:eastAsia="仿宋_GB2312" w:cs="Times New Roman"/>
          <w:color w:val="auto"/>
          <w:szCs w:val="24"/>
        </w:rPr>
        <w:t>万元），其中工程措施费</w:t>
      </w:r>
      <w:r>
        <w:rPr>
          <w:rFonts w:hint="default" w:ascii="Times New Roman" w:hAnsi="Times New Roman" w:eastAsia="仿宋_GB2312" w:cs="Times New Roman"/>
          <w:color w:val="auto"/>
          <w:szCs w:val="24"/>
          <w:lang w:val="en-US" w:eastAsia="zh-CN"/>
        </w:rPr>
        <w:t>4.03</w:t>
      </w:r>
      <w:r>
        <w:rPr>
          <w:rFonts w:hint="default" w:ascii="Times New Roman" w:hAnsi="Times New Roman" w:eastAsia="仿宋_GB2312" w:cs="Times New Roman"/>
          <w:color w:val="auto"/>
          <w:szCs w:val="24"/>
        </w:rPr>
        <w:t>万元，植物措施费0.</w:t>
      </w:r>
      <w:r>
        <w:rPr>
          <w:rFonts w:hint="default" w:ascii="Times New Roman" w:hAnsi="Times New Roman" w:eastAsia="仿宋_GB2312" w:cs="Times New Roman"/>
          <w:color w:val="auto"/>
          <w:szCs w:val="24"/>
          <w:lang w:val="en-US" w:eastAsia="zh-CN"/>
        </w:rPr>
        <w:t>90</w:t>
      </w:r>
      <w:r>
        <w:rPr>
          <w:rFonts w:hint="default" w:ascii="Times New Roman" w:hAnsi="Times New Roman" w:eastAsia="仿宋_GB2312" w:cs="Times New Roman"/>
          <w:color w:val="auto"/>
          <w:szCs w:val="24"/>
        </w:rPr>
        <w:t>万元，监测措施费2.00万元，临时措施费0.</w:t>
      </w:r>
      <w:r>
        <w:rPr>
          <w:rFonts w:hint="default" w:ascii="Times New Roman" w:hAnsi="Times New Roman" w:eastAsia="仿宋_GB2312" w:cs="Times New Roman"/>
          <w:color w:val="auto"/>
          <w:szCs w:val="24"/>
          <w:lang w:val="en-US" w:eastAsia="zh-CN"/>
        </w:rPr>
        <w:t>64</w:t>
      </w:r>
      <w:r>
        <w:rPr>
          <w:rFonts w:hint="default" w:ascii="Times New Roman" w:hAnsi="Times New Roman" w:eastAsia="仿宋_GB2312" w:cs="Times New Roman"/>
          <w:color w:val="auto"/>
          <w:szCs w:val="24"/>
        </w:rPr>
        <w:t>万元，独立费用5.15万元，基本预备费0.</w:t>
      </w:r>
      <w:r>
        <w:rPr>
          <w:rFonts w:hint="default" w:ascii="Times New Roman" w:hAnsi="Times New Roman" w:eastAsia="仿宋_GB2312" w:cs="Times New Roman"/>
          <w:color w:val="auto"/>
          <w:szCs w:val="24"/>
          <w:lang w:val="en-US" w:eastAsia="zh-CN"/>
        </w:rPr>
        <w:t>64</w:t>
      </w:r>
      <w:r>
        <w:rPr>
          <w:rFonts w:hint="default" w:ascii="Times New Roman" w:hAnsi="Times New Roman" w:eastAsia="仿宋_GB2312" w:cs="Times New Roman"/>
          <w:color w:val="auto"/>
          <w:szCs w:val="24"/>
        </w:rPr>
        <w:t>万元，水土保持补偿费0.16万元。详见表7-4到表7-7。</w:t>
      </w:r>
    </w:p>
    <w:p>
      <w:pPr>
        <w:spacing w:before="156" w:beforeLines="50" w:line="240" w:lineRule="auto"/>
        <w:ind w:firstLine="0" w:firstLineChars="0"/>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表7-4   水土保持投资总概算表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56"/>
        <w:gridCol w:w="1203"/>
        <w:gridCol w:w="1203"/>
        <w:gridCol w:w="1774"/>
        <w:gridCol w:w="1058"/>
        <w:gridCol w:w="1203"/>
        <w:gridCol w:w="13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序号</w:t>
            </w:r>
          </w:p>
        </w:tc>
        <w:tc>
          <w:tcPr>
            <w:tcW w:w="1410"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工程或费用名称</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单位</w:t>
            </w: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数量</w:t>
            </w: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单价(元）</w:t>
            </w:r>
          </w:p>
        </w:tc>
        <w:tc>
          <w:tcPr>
            <w:tcW w:w="78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合计(万元）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1410"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第一部分 工程措施</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val="en-US" w:eastAsia="zh-CN"/>
              </w:rPr>
            </w:pPr>
            <w:r>
              <w:rPr>
                <w:rFonts w:hint="default" w:ascii="Times New Roman" w:hAnsi="Times New Roman" w:eastAsia="仿宋_GB2312" w:cs="Times New Roman"/>
                <w:b/>
                <w:color w:val="auto"/>
                <w:kern w:val="0"/>
                <w:sz w:val="18"/>
                <w:szCs w:val="18"/>
                <w:lang w:val="en-US" w:eastAsia="zh-CN"/>
              </w:rPr>
              <w:t>4.03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一</w:t>
            </w:r>
          </w:p>
        </w:tc>
        <w:tc>
          <w:tcPr>
            <w:tcW w:w="1410"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建筑工程区</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c>
          <w:tcPr>
            <w:tcW w:w="1410"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雨水管</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m</w:t>
            </w: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96</w:t>
            </w: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rPr>
              <w:t>134.79</w:t>
            </w:r>
          </w:p>
        </w:tc>
        <w:tc>
          <w:tcPr>
            <w:tcW w:w="78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二</w:t>
            </w:r>
          </w:p>
        </w:tc>
        <w:tc>
          <w:tcPr>
            <w:tcW w:w="1410"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道路硬化区</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m</w:t>
            </w: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200</w:t>
            </w: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rPr>
              <w:t>134.79</w:t>
            </w:r>
          </w:p>
        </w:tc>
        <w:tc>
          <w:tcPr>
            <w:tcW w:w="78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c>
          <w:tcPr>
            <w:tcW w:w="1410"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雨水管</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78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三</w:t>
            </w:r>
          </w:p>
        </w:tc>
        <w:tc>
          <w:tcPr>
            <w:tcW w:w="1410"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b/>
                <w:bCs/>
                <w:color w:val="auto"/>
                <w:kern w:val="0"/>
                <w:sz w:val="18"/>
                <w:szCs w:val="18"/>
                <w:lang w:eastAsia="zh-CN"/>
              </w:rPr>
              <w:t>景观绿化区</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78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1</w:t>
            </w:r>
          </w:p>
        </w:tc>
        <w:tc>
          <w:tcPr>
            <w:tcW w:w="1410"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土地整治</w:t>
            </w:r>
          </w:p>
        </w:tc>
        <w:tc>
          <w:tcPr>
            <w:tcW w:w="1040" w:type="pct"/>
            <w:shd w:val="clear" w:color="auto" w:fill="auto"/>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lang w:val="en-US" w:eastAsia="zh-CN"/>
              </w:rPr>
              <w:t>100</w:t>
            </w:r>
            <w:r>
              <w:rPr>
                <w:rFonts w:hint="default" w:ascii="Times New Roman" w:hAnsi="Times New Roman" w:eastAsia="仿宋_GB2312" w:cs="Times New Roman"/>
                <w:color w:val="auto"/>
                <w:sz w:val="18"/>
                <w:szCs w:val="18"/>
              </w:rPr>
              <w:t>m</w:t>
            </w:r>
            <w:r>
              <w:rPr>
                <w:rFonts w:hint="default" w:ascii="Times New Roman" w:hAnsi="Times New Roman" w:eastAsia="仿宋_GB2312" w:cs="Times New Roman"/>
                <w:color w:val="auto"/>
                <w:sz w:val="18"/>
                <w:szCs w:val="18"/>
                <w:vertAlign w:val="superscript"/>
                <w:lang w:val="en-US" w:eastAsia="zh-CN"/>
              </w:rPr>
              <w:t>2</w:t>
            </w:r>
          </w:p>
        </w:tc>
        <w:tc>
          <w:tcPr>
            <w:tcW w:w="620" w:type="pct"/>
            <w:shd w:val="clear" w:color="auto" w:fill="auto"/>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2"/>
                <w:sz w:val="18"/>
                <w:szCs w:val="18"/>
                <w:lang w:val="en-US" w:eastAsia="zh-CN" w:bidi="ar-SA"/>
              </w:rPr>
              <w:t>3</w:t>
            </w: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lang w:val="en-US" w:eastAsia="zh-CN"/>
              </w:rPr>
              <w:t xml:space="preserve">132.20 </w:t>
            </w:r>
          </w:p>
        </w:tc>
        <w:tc>
          <w:tcPr>
            <w:tcW w:w="78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1410"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第二部分 植物措施</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val="en-US" w:eastAsia="zh-CN"/>
              </w:rPr>
            </w:pPr>
            <w:r>
              <w:rPr>
                <w:rFonts w:hint="default" w:ascii="Times New Roman" w:hAnsi="Times New Roman" w:eastAsia="仿宋_GB2312" w:cs="Times New Roman"/>
                <w:b/>
                <w:color w:val="auto"/>
                <w:kern w:val="0"/>
                <w:sz w:val="18"/>
                <w:szCs w:val="18"/>
              </w:rPr>
              <w:t>0.</w:t>
            </w:r>
            <w:r>
              <w:rPr>
                <w:rFonts w:hint="default" w:ascii="Times New Roman" w:hAnsi="Times New Roman" w:eastAsia="仿宋_GB2312" w:cs="Times New Roman"/>
                <w:b/>
                <w:color w:val="auto"/>
                <w:kern w:val="0"/>
                <w:sz w:val="18"/>
                <w:szCs w:val="18"/>
                <w:lang w:val="en-US" w:eastAsia="zh-CN"/>
              </w:rP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一</w:t>
            </w:r>
          </w:p>
        </w:tc>
        <w:tc>
          <w:tcPr>
            <w:tcW w:w="1410"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lang w:eastAsia="zh-CN"/>
              </w:rPr>
            </w:pPr>
            <w:r>
              <w:rPr>
                <w:rFonts w:hint="default" w:ascii="Times New Roman" w:hAnsi="Times New Roman" w:eastAsia="仿宋_GB2312" w:cs="Times New Roman"/>
                <w:b/>
                <w:bCs/>
                <w:color w:val="auto"/>
                <w:kern w:val="0"/>
                <w:sz w:val="18"/>
                <w:szCs w:val="18"/>
                <w:lang w:eastAsia="zh-CN"/>
              </w:rPr>
              <w:t>景观绿化区</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1</w:t>
            </w:r>
          </w:p>
        </w:tc>
        <w:tc>
          <w:tcPr>
            <w:tcW w:w="1410"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草坪绿化</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rPr>
              <w:t>m</w:t>
            </w:r>
            <w:r>
              <w:rPr>
                <w:rFonts w:hint="default" w:ascii="Times New Roman" w:hAnsi="Times New Roman" w:eastAsia="仿宋_GB2312" w:cs="Times New Roman"/>
                <w:color w:val="auto"/>
                <w:sz w:val="18"/>
                <w:szCs w:val="18"/>
                <w:vertAlign w:val="superscript"/>
              </w:rPr>
              <w:t>2</w:t>
            </w: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300</w:t>
            </w: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28.56</w:t>
            </w:r>
          </w:p>
        </w:tc>
        <w:tc>
          <w:tcPr>
            <w:tcW w:w="78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lang w:val="en-US" w:eastAsia="zh-CN"/>
              </w:rPr>
            </w:pPr>
            <w:r>
              <w:rPr>
                <w:rFonts w:hint="default" w:ascii="Times New Roman" w:hAnsi="Times New Roman" w:eastAsia="仿宋_GB2312" w:cs="Times New Roman"/>
                <w:b/>
                <w:bCs/>
                <w:color w:val="auto"/>
                <w:kern w:val="0"/>
                <w:sz w:val="18"/>
                <w:szCs w:val="18"/>
                <w:lang w:val="en-US" w:eastAsia="zh-CN"/>
              </w:rPr>
              <w:t>2</w:t>
            </w:r>
          </w:p>
        </w:tc>
        <w:tc>
          <w:tcPr>
            <w:tcW w:w="1410"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抚育管理</w:t>
            </w:r>
          </w:p>
        </w:tc>
        <w:tc>
          <w:tcPr>
            <w:tcW w:w="1040" w:type="pct"/>
            <w:shd w:val="clear" w:color="auto" w:fill="auto"/>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h</w:t>
            </w:r>
            <w:r>
              <w:rPr>
                <w:rFonts w:hint="default" w:ascii="Times New Roman" w:hAnsi="Times New Roman" w:eastAsia="仿宋_GB2312" w:cs="Times New Roman"/>
                <w:color w:val="auto"/>
                <w:sz w:val="18"/>
                <w:szCs w:val="18"/>
              </w:rPr>
              <w:t>m</w:t>
            </w:r>
            <w:r>
              <w:rPr>
                <w:rFonts w:hint="default" w:ascii="Times New Roman" w:hAnsi="Times New Roman" w:eastAsia="仿宋_GB2312" w:cs="Times New Roman"/>
                <w:color w:val="auto"/>
                <w:sz w:val="18"/>
                <w:szCs w:val="18"/>
                <w:vertAlign w:val="superscript"/>
                <w:lang w:val="en-US" w:eastAsia="zh-CN"/>
              </w:rPr>
              <w:t>2</w:t>
            </w:r>
          </w:p>
        </w:tc>
        <w:tc>
          <w:tcPr>
            <w:tcW w:w="620" w:type="pct"/>
            <w:shd w:val="clear" w:color="auto" w:fill="auto"/>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0.03</w:t>
            </w: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 xml:space="preserve">3901.95 </w:t>
            </w:r>
          </w:p>
        </w:tc>
        <w:tc>
          <w:tcPr>
            <w:tcW w:w="78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 xml:space="preserve">0.01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vMerge w:val="restar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lang w:val="en-US" w:eastAsia="zh-CN"/>
              </w:rPr>
            </w:pPr>
            <w:r>
              <w:rPr>
                <w:rFonts w:hint="default" w:ascii="Times New Roman" w:hAnsi="Times New Roman" w:eastAsia="仿宋_GB2312" w:cs="Times New Roman"/>
                <w:b/>
                <w:bCs/>
                <w:color w:val="auto"/>
                <w:kern w:val="0"/>
                <w:sz w:val="18"/>
                <w:szCs w:val="18"/>
                <w:lang w:val="en-US" w:eastAsia="zh-CN"/>
              </w:rPr>
              <w:t>3</w:t>
            </w:r>
          </w:p>
        </w:tc>
        <w:tc>
          <w:tcPr>
            <w:tcW w:w="705" w:type="pct"/>
            <w:vMerge w:val="restar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撒播草籽</w:t>
            </w: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面积</w:t>
            </w:r>
          </w:p>
        </w:tc>
        <w:tc>
          <w:tcPr>
            <w:tcW w:w="1040" w:type="pct"/>
            <w:shd w:val="clear" w:color="auto" w:fill="auto"/>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h</w:t>
            </w:r>
            <w:r>
              <w:rPr>
                <w:rFonts w:hint="default" w:ascii="Times New Roman" w:hAnsi="Times New Roman" w:eastAsia="仿宋_GB2312" w:cs="Times New Roman"/>
                <w:color w:val="auto"/>
                <w:sz w:val="18"/>
                <w:szCs w:val="18"/>
              </w:rPr>
              <w:t>m</w:t>
            </w:r>
            <w:r>
              <w:rPr>
                <w:rFonts w:hint="default" w:ascii="Times New Roman" w:hAnsi="Times New Roman" w:eastAsia="仿宋_GB2312" w:cs="Times New Roman"/>
                <w:color w:val="auto"/>
                <w:sz w:val="18"/>
                <w:szCs w:val="18"/>
                <w:vertAlign w:val="superscript"/>
                <w:lang w:val="en-US" w:eastAsia="zh-CN"/>
              </w:rPr>
              <w:t>2</w:t>
            </w:r>
          </w:p>
        </w:tc>
        <w:tc>
          <w:tcPr>
            <w:tcW w:w="620" w:type="pct"/>
            <w:shd w:val="clear" w:color="auto" w:fill="auto"/>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0.03</w:t>
            </w: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bidi="ar-SA"/>
              </w:rPr>
              <w:t xml:space="preserve">1640.73 </w:t>
            </w:r>
          </w:p>
        </w:tc>
        <w:tc>
          <w:tcPr>
            <w:tcW w:w="78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 xml:space="preserve">0.01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2" w:hRule="atLeast"/>
          <w:jc w:val="center"/>
        </w:trPr>
        <w:tc>
          <w:tcPr>
            <w:tcW w:w="443" w:type="pct"/>
            <w:vMerge w:val="continue"/>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lang w:val="en-US" w:eastAsia="zh-CN"/>
              </w:rPr>
            </w:pPr>
          </w:p>
        </w:tc>
        <w:tc>
          <w:tcPr>
            <w:tcW w:w="705" w:type="pct"/>
            <w:vMerge w:val="continue"/>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eastAsia="zh-CN"/>
              </w:rPr>
            </w:pP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草籽</w:t>
            </w:r>
          </w:p>
        </w:tc>
        <w:tc>
          <w:tcPr>
            <w:tcW w:w="1040" w:type="pct"/>
            <w:shd w:val="clear" w:color="auto" w:fill="auto"/>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kg</w:t>
            </w:r>
          </w:p>
        </w:tc>
        <w:tc>
          <w:tcPr>
            <w:tcW w:w="620" w:type="pct"/>
            <w:shd w:val="clear" w:color="auto" w:fill="auto"/>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2.40</w:t>
            </w: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98.89</w:t>
            </w:r>
          </w:p>
        </w:tc>
        <w:tc>
          <w:tcPr>
            <w:tcW w:w="78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 xml:space="preserve">0.02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1410"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第三部分 监测措施</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c>
          <w:tcPr>
            <w:tcW w:w="1410" w:type="pct"/>
            <w:gridSpan w:val="2"/>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土建设施费</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shd w:val="clear" w:color="auto" w:fill="auto"/>
            <w:noWrap/>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w:t>
            </w:r>
          </w:p>
        </w:tc>
        <w:tc>
          <w:tcPr>
            <w:tcW w:w="1410" w:type="pct"/>
            <w:gridSpan w:val="2"/>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设备及安装费</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shd w:val="clear" w:color="auto" w:fill="auto"/>
            <w:noWrap/>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w:t>
            </w:r>
          </w:p>
        </w:tc>
        <w:tc>
          <w:tcPr>
            <w:tcW w:w="1410" w:type="pct"/>
            <w:gridSpan w:val="2"/>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建设期观测运行费</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1410"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第四部分 临时措施</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val="en-US" w:eastAsia="zh-CN"/>
              </w:rPr>
            </w:pPr>
            <w:r>
              <w:rPr>
                <w:rFonts w:hint="default" w:ascii="Times New Roman" w:hAnsi="Times New Roman" w:eastAsia="仿宋_GB2312" w:cs="Times New Roman"/>
                <w:b/>
                <w:color w:val="auto"/>
                <w:kern w:val="0"/>
                <w:sz w:val="18"/>
                <w:szCs w:val="18"/>
              </w:rPr>
              <w:t>0.</w:t>
            </w:r>
            <w:r>
              <w:rPr>
                <w:rFonts w:hint="default" w:ascii="Times New Roman" w:hAnsi="Times New Roman" w:eastAsia="仿宋_GB2312" w:cs="Times New Roman"/>
                <w:b/>
                <w:color w:val="auto"/>
                <w:kern w:val="0"/>
                <w:sz w:val="18"/>
                <w:szCs w:val="18"/>
                <w:lang w:val="en-US" w:eastAsia="zh-CN"/>
              </w:rPr>
              <w:t>64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（一）</w:t>
            </w:r>
          </w:p>
        </w:tc>
        <w:tc>
          <w:tcPr>
            <w:tcW w:w="1410"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rPr>
              <w:t>临时防护工程</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0.50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一</w:t>
            </w:r>
          </w:p>
        </w:tc>
        <w:tc>
          <w:tcPr>
            <w:tcW w:w="1410"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建筑工程区</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c>
          <w:tcPr>
            <w:tcW w:w="1410"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防雨布遮盖</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rPr>
              <w:t>m</w:t>
            </w:r>
            <w:r>
              <w:rPr>
                <w:rFonts w:hint="default" w:ascii="Times New Roman" w:hAnsi="Times New Roman" w:eastAsia="仿宋_GB2312" w:cs="Times New Roman"/>
                <w:color w:val="auto"/>
                <w:sz w:val="18"/>
                <w:szCs w:val="18"/>
                <w:vertAlign w:val="superscript"/>
              </w:rPr>
              <w:t>2</w:t>
            </w: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600</w:t>
            </w: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5.00</w:t>
            </w:r>
          </w:p>
        </w:tc>
        <w:tc>
          <w:tcPr>
            <w:tcW w:w="78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1410"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道路硬化区</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c>
          <w:tcPr>
            <w:tcW w:w="1410"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防雨布遮盖</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rPr>
              <w:t>m</w:t>
            </w:r>
            <w:r>
              <w:rPr>
                <w:rFonts w:hint="default" w:ascii="Times New Roman" w:hAnsi="Times New Roman" w:eastAsia="仿宋_GB2312" w:cs="Times New Roman"/>
                <w:color w:val="auto"/>
                <w:sz w:val="18"/>
                <w:szCs w:val="18"/>
                <w:vertAlign w:val="superscript"/>
              </w:rPr>
              <w:t>2</w:t>
            </w: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400</w:t>
            </w: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5.00</w:t>
            </w:r>
          </w:p>
        </w:tc>
        <w:tc>
          <w:tcPr>
            <w:tcW w:w="78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（二）</w:t>
            </w:r>
          </w:p>
        </w:tc>
        <w:tc>
          <w:tcPr>
            <w:tcW w:w="1410"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其他临时工程</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w:t>
            </w: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69300</w:t>
            </w:r>
          </w:p>
        </w:tc>
        <w:tc>
          <w:tcPr>
            <w:tcW w:w="78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val="en-US" w:eastAsia="zh-CN"/>
              </w:rPr>
            </w:pPr>
            <w:r>
              <w:rPr>
                <w:rFonts w:hint="default" w:ascii="Times New Roman" w:hAnsi="Times New Roman" w:eastAsia="仿宋_GB2312" w:cs="Times New Roman"/>
                <w:b/>
                <w:color w:val="auto"/>
                <w:kern w:val="0"/>
                <w:sz w:val="18"/>
                <w:szCs w:val="18"/>
                <w:lang w:val="en-US" w:eastAsia="zh-CN"/>
              </w:rPr>
              <w:t>0.14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1410"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第五部分 独立费用</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5.15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一</w:t>
            </w:r>
          </w:p>
        </w:tc>
        <w:tc>
          <w:tcPr>
            <w:tcW w:w="1410"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建设管理费</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w:t>
            </w: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75700</w:t>
            </w:r>
          </w:p>
        </w:tc>
        <w:tc>
          <w:tcPr>
            <w:tcW w:w="78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二</w:t>
            </w:r>
          </w:p>
        </w:tc>
        <w:tc>
          <w:tcPr>
            <w:tcW w:w="1410"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科研勘测设计费</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三</w:t>
            </w:r>
          </w:p>
        </w:tc>
        <w:tc>
          <w:tcPr>
            <w:tcW w:w="1410"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工程建设监理费</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四</w:t>
            </w:r>
          </w:p>
        </w:tc>
        <w:tc>
          <w:tcPr>
            <w:tcW w:w="1410"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水保设施验收报告编制费</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cs="Times New Roman"/>
                <w:color w:val="auto"/>
                <w:kern w:val="0"/>
                <w:sz w:val="18"/>
                <w:szCs w:val="18"/>
              </w:rPr>
              <w:t>Ⅰ</w:t>
            </w:r>
          </w:p>
        </w:tc>
        <w:tc>
          <w:tcPr>
            <w:tcW w:w="1410"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第一至五部分合计</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val="en-US" w:eastAsia="zh-CN"/>
              </w:rPr>
            </w:pPr>
            <w:r>
              <w:rPr>
                <w:rFonts w:hint="default" w:ascii="Times New Roman" w:hAnsi="Times New Roman" w:eastAsia="仿宋_GB2312" w:cs="Times New Roman"/>
                <w:b/>
                <w:color w:val="auto"/>
                <w:kern w:val="0"/>
                <w:sz w:val="18"/>
                <w:szCs w:val="18"/>
                <w:lang w:val="en-US" w:eastAsia="zh-CN"/>
              </w:rPr>
              <w:t>12.72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cs="Times New Roman"/>
                <w:color w:val="auto"/>
                <w:kern w:val="0"/>
                <w:sz w:val="18"/>
                <w:szCs w:val="18"/>
              </w:rPr>
              <w:t>Ⅱ</w:t>
            </w:r>
          </w:p>
        </w:tc>
        <w:tc>
          <w:tcPr>
            <w:tcW w:w="1410"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基本预备费</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5</w:t>
            </w: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127200</w:t>
            </w:r>
          </w:p>
        </w:tc>
        <w:tc>
          <w:tcPr>
            <w:tcW w:w="78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rPr>
              <w:t>0.6</w:t>
            </w:r>
            <w:r>
              <w:rPr>
                <w:rFonts w:hint="default" w:ascii="Times New Roman" w:hAnsi="Times New Roman" w:eastAsia="仿宋_GB2312" w:cs="Times New Roman"/>
                <w:color w:val="auto"/>
                <w:kern w:val="0"/>
                <w:sz w:val="18"/>
                <w:szCs w:val="18"/>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cs="Times New Roman"/>
                <w:color w:val="auto"/>
                <w:kern w:val="0"/>
                <w:sz w:val="18"/>
                <w:szCs w:val="18"/>
              </w:rPr>
              <w:t>Ⅳ</w:t>
            </w:r>
          </w:p>
        </w:tc>
        <w:tc>
          <w:tcPr>
            <w:tcW w:w="1410"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水土保持补偿费</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vertAlign w:val="superscript"/>
              </w:rPr>
            </w:pPr>
            <w:r>
              <w:rPr>
                <w:rFonts w:hint="default" w:ascii="Times New Roman" w:hAnsi="Times New Roman" w:eastAsia="仿宋_GB2312" w:cs="Times New Roman"/>
                <w:color w:val="auto"/>
                <w:kern w:val="0"/>
                <w:sz w:val="18"/>
                <w:szCs w:val="18"/>
              </w:rPr>
              <w:t>hm</w:t>
            </w:r>
            <w:r>
              <w:rPr>
                <w:rFonts w:hint="default" w:ascii="Times New Roman" w:hAnsi="Times New Roman" w:eastAsia="仿宋_GB2312" w:cs="Times New Roman"/>
                <w:color w:val="auto"/>
                <w:kern w:val="0"/>
                <w:sz w:val="18"/>
                <w:szCs w:val="18"/>
                <w:vertAlign w:val="superscript"/>
              </w:rPr>
              <w:t>2</w:t>
            </w: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78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cs="Times New Roman"/>
                <w:color w:val="auto"/>
                <w:kern w:val="0"/>
                <w:sz w:val="18"/>
                <w:szCs w:val="18"/>
              </w:rPr>
              <w:t>Ⅴ</w:t>
            </w:r>
          </w:p>
        </w:tc>
        <w:tc>
          <w:tcPr>
            <w:tcW w:w="1410"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新增工程投资合计</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0" w:type="pct"/>
            <w:shd w:val="clear" w:color="auto" w:fill="auto"/>
            <w:noWrap/>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eastAsia="zh-CN"/>
              </w:rPr>
            </w:pPr>
            <w:r>
              <w:rPr>
                <w:rFonts w:hint="default" w:ascii="Times New Roman" w:hAnsi="Times New Roman" w:eastAsia="仿宋_GB2312" w:cs="Times New Roman"/>
                <w:b/>
                <w:color w:val="auto"/>
                <w:kern w:val="0"/>
                <w:sz w:val="18"/>
                <w:szCs w:val="18"/>
                <w:lang w:eastAsia="zh-CN"/>
              </w:rPr>
              <w:t>13.52</w:t>
            </w:r>
          </w:p>
        </w:tc>
      </w:tr>
    </w:tbl>
    <w:p>
      <w:pPr>
        <w:spacing w:before="156" w:beforeLines="50" w:line="240" w:lineRule="auto"/>
        <w:ind w:firstLine="0" w:firstLineChars="0"/>
        <w:jc w:val="center"/>
        <w:rPr>
          <w:rFonts w:hint="default" w:ascii="Times New Roman" w:hAnsi="Times New Roman" w:eastAsia="仿宋_GB2312" w:cs="Times New Roman"/>
          <w:b/>
          <w:color w:val="auto"/>
          <w:kern w:val="0"/>
          <w:sz w:val="21"/>
          <w:szCs w:val="21"/>
        </w:rPr>
      </w:pPr>
    </w:p>
    <w:p>
      <w:pPr>
        <w:spacing w:before="156" w:beforeLines="50" w:line="240" w:lineRule="auto"/>
        <w:ind w:firstLine="0" w:firstLineChars="0"/>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kern w:val="0"/>
          <w:sz w:val="21"/>
          <w:szCs w:val="21"/>
        </w:rPr>
        <w:t>表7-6   独立费用计算表</w:t>
      </w:r>
      <w:r>
        <w:rPr>
          <w:rFonts w:hint="default" w:ascii="Times New Roman" w:hAnsi="Times New Roman" w:eastAsia="仿宋_GB2312" w:cs="Times New Roman"/>
          <w:b/>
          <w:color w:val="auto"/>
          <w:sz w:val="21"/>
          <w:szCs w:val="21"/>
        </w:rPr>
        <w:t>（单位：万元）</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33"/>
        <w:gridCol w:w="2311"/>
        <w:gridCol w:w="994"/>
        <w:gridCol w:w="45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71"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编号</w:t>
            </w:r>
          </w:p>
        </w:tc>
        <w:tc>
          <w:tcPr>
            <w:tcW w:w="1355" w:type="pct"/>
            <w:vAlign w:val="center"/>
          </w:tcPr>
          <w:p>
            <w:pPr>
              <w:widowControl/>
              <w:spacing w:line="240" w:lineRule="auto"/>
              <w:ind w:firstLine="36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费用名称</w:t>
            </w:r>
          </w:p>
        </w:tc>
        <w:tc>
          <w:tcPr>
            <w:tcW w:w="583"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费用</w:t>
            </w:r>
          </w:p>
        </w:tc>
        <w:tc>
          <w:tcPr>
            <w:tcW w:w="2692" w:type="pct"/>
            <w:vAlign w:val="center"/>
          </w:tcPr>
          <w:p>
            <w:pPr>
              <w:widowControl/>
              <w:spacing w:line="240" w:lineRule="auto"/>
              <w:ind w:firstLine="36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71"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一</w:t>
            </w:r>
          </w:p>
        </w:tc>
        <w:tc>
          <w:tcPr>
            <w:tcW w:w="1355"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建设管理费</w:t>
            </w:r>
          </w:p>
        </w:tc>
        <w:tc>
          <w:tcPr>
            <w:tcW w:w="583"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0.15</w:t>
            </w:r>
          </w:p>
        </w:tc>
        <w:tc>
          <w:tcPr>
            <w:tcW w:w="2692" w:type="pct"/>
            <w:vAlign w:val="center"/>
          </w:tcPr>
          <w:p>
            <w:pPr>
              <w:widowControl/>
              <w:spacing w:line="240" w:lineRule="auto"/>
              <w:ind w:firstLine="36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第一部分至第四部分的2%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71"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二</w:t>
            </w:r>
          </w:p>
        </w:tc>
        <w:tc>
          <w:tcPr>
            <w:tcW w:w="1355"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科研勘测设计费</w:t>
            </w:r>
          </w:p>
        </w:tc>
        <w:tc>
          <w:tcPr>
            <w:tcW w:w="583"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2.00</w:t>
            </w:r>
          </w:p>
        </w:tc>
        <w:tc>
          <w:tcPr>
            <w:tcW w:w="2692" w:type="pct"/>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71"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c>
          <w:tcPr>
            <w:tcW w:w="1355"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工程科学研究试验费</w:t>
            </w:r>
          </w:p>
        </w:tc>
        <w:tc>
          <w:tcPr>
            <w:tcW w:w="583"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2692" w:type="pct"/>
            <w:vAlign w:val="center"/>
          </w:tcPr>
          <w:p>
            <w:pPr>
              <w:widowControl/>
              <w:spacing w:line="240" w:lineRule="auto"/>
              <w:ind w:firstLine="36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本方案不计列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71"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w:t>
            </w:r>
          </w:p>
        </w:tc>
        <w:tc>
          <w:tcPr>
            <w:tcW w:w="1355"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工程勘测设计费</w:t>
            </w:r>
          </w:p>
        </w:tc>
        <w:tc>
          <w:tcPr>
            <w:tcW w:w="583"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c>
          <w:tcPr>
            <w:tcW w:w="2692" w:type="pct"/>
            <w:vAlign w:val="center"/>
          </w:tcPr>
          <w:p>
            <w:pPr>
              <w:spacing w:line="240" w:lineRule="auto"/>
              <w:ind w:firstLine="36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71"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w:t>
            </w:r>
          </w:p>
        </w:tc>
        <w:tc>
          <w:tcPr>
            <w:tcW w:w="1355"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方案编制费</w:t>
            </w:r>
          </w:p>
        </w:tc>
        <w:tc>
          <w:tcPr>
            <w:tcW w:w="583"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2.00</w:t>
            </w:r>
          </w:p>
        </w:tc>
        <w:tc>
          <w:tcPr>
            <w:tcW w:w="2692" w:type="pct"/>
            <w:vAlign w:val="center"/>
          </w:tcPr>
          <w:p>
            <w:pPr>
              <w:spacing w:line="240" w:lineRule="auto"/>
              <w:ind w:firstLine="36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以实际发生费用计列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71"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三</w:t>
            </w:r>
          </w:p>
        </w:tc>
        <w:tc>
          <w:tcPr>
            <w:tcW w:w="1355"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工程建设监理费</w:t>
            </w:r>
          </w:p>
        </w:tc>
        <w:tc>
          <w:tcPr>
            <w:tcW w:w="583"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c>
          <w:tcPr>
            <w:tcW w:w="2692" w:type="pct"/>
            <w:vAlign w:val="center"/>
          </w:tcPr>
          <w:p>
            <w:pPr>
              <w:widowControl/>
              <w:spacing w:line="240" w:lineRule="auto"/>
              <w:ind w:firstLine="36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71"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四</w:t>
            </w:r>
          </w:p>
        </w:tc>
        <w:tc>
          <w:tcPr>
            <w:tcW w:w="135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水保设施验收报告编制费</w:t>
            </w:r>
          </w:p>
        </w:tc>
        <w:tc>
          <w:tcPr>
            <w:tcW w:w="583"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3.00</w:t>
            </w:r>
          </w:p>
        </w:tc>
        <w:tc>
          <w:tcPr>
            <w:tcW w:w="2692" w:type="pct"/>
            <w:vAlign w:val="center"/>
          </w:tcPr>
          <w:p>
            <w:pPr>
              <w:widowControl/>
              <w:spacing w:line="240" w:lineRule="auto"/>
              <w:ind w:firstLine="36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71"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五</w:t>
            </w:r>
          </w:p>
        </w:tc>
        <w:tc>
          <w:tcPr>
            <w:tcW w:w="1355"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招标代理服务费</w:t>
            </w:r>
          </w:p>
        </w:tc>
        <w:tc>
          <w:tcPr>
            <w:tcW w:w="583"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c>
          <w:tcPr>
            <w:tcW w:w="2692" w:type="pct"/>
            <w:vAlign w:val="center"/>
          </w:tcPr>
          <w:p>
            <w:pPr>
              <w:widowControl/>
              <w:spacing w:line="240" w:lineRule="auto"/>
              <w:ind w:firstLine="36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rPr>
              <w:t>按工程实际计列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371"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六</w:t>
            </w:r>
          </w:p>
        </w:tc>
        <w:tc>
          <w:tcPr>
            <w:tcW w:w="1355"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经济技术咨询费</w:t>
            </w:r>
          </w:p>
        </w:tc>
        <w:tc>
          <w:tcPr>
            <w:tcW w:w="583"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c>
          <w:tcPr>
            <w:tcW w:w="2692" w:type="pct"/>
            <w:vAlign w:val="center"/>
          </w:tcPr>
          <w:p>
            <w:pPr>
              <w:widowControl/>
              <w:spacing w:line="240" w:lineRule="auto"/>
              <w:ind w:firstLine="36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rPr>
              <w:t>按工程实际计列</w:t>
            </w:r>
          </w:p>
        </w:tc>
      </w:tr>
    </w:tbl>
    <w:p>
      <w:pPr>
        <w:pStyle w:val="1102"/>
        <w:spacing w:line="240" w:lineRule="auto"/>
        <w:rPr>
          <w:rFonts w:hint="default" w:ascii="Times New Roman" w:hAnsi="Times New Roman" w:cs="Times New Roman"/>
          <w:color w:val="auto"/>
        </w:rPr>
      </w:pPr>
    </w:p>
    <w:p>
      <w:pPr>
        <w:spacing w:before="156" w:beforeLines="50" w:line="240" w:lineRule="auto"/>
        <w:ind w:firstLine="0" w:firstLineChars="0"/>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color w:val="auto"/>
          <w:kern w:val="0"/>
          <w:sz w:val="21"/>
          <w:szCs w:val="21"/>
        </w:rPr>
        <w:t>表7-7    分年度投资概算表   单位：万元</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58"/>
        <w:gridCol w:w="1208"/>
        <w:gridCol w:w="1210"/>
        <w:gridCol w:w="1338"/>
        <w:gridCol w:w="1338"/>
        <w:gridCol w:w="1338"/>
        <w:gridCol w:w="13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4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序号</w:t>
            </w:r>
          </w:p>
        </w:tc>
        <w:tc>
          <w:tcPr>
            <w:tcW w:w="1417"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工程或费用名称</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合计(万元）</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lang w:val="en-US" w:eastAsia="zh-CN"/>
              </w:rPr>
            </w:pPr>
            <w:r>
              <w:rPr>
                <w:rFonts w:hint="eastAsia" w:eastAsia="仿宋_GB2312" w:cs="Times New Roman"/>
                <w:b/>
                <w:bCs/>
                <w:color w:val="auto"/>
                <w:kern w:val="0"/>
                <w:sz w:val="18"/>
                <w:szCs w:val="18"/>
                <w:lang w:val="en-US" w:eastAsia="zh-CN"/>
              </w:rPr>
              <w:t>2016年</w:t>
            </w:r>
          </w:p>
        </w:tc>
        <w:tc>
          <w:tcPr>
            <w:tcW w:w="784" w:type="pct"/>
            <w:shd w:val="clear" w:color="auto" w:fill="auto"/>
            <w:vAlign w:val="center"/>
          </w:tcPr>
          <w:p>
            <w:pPr>
              <w:widowControl/>
              <w:spacing w:line="240" w:lineRule="auto"/>
              <w:ind w:firstLine="0" w:firstLineChars="0"/>
              <w:jc w:val="center"/>
              <w:rPr>
                <w:rFonts w:hint="default" w:eastAsia="仿宋_GB2312" w:cs="Times New Roman"/>
                <w:b/>
                <w:bCs/>
                <w:color w:val="auto"/>
                <w:kern w:val="0"/>
                <w:sz w:val="18"/>
                <w:szCs w:val="18"/>
                <w:lang w:val="en-US" w:eastAsia="zh-CN"/>
              </w:rPr>
            </w:pPr>
            <w:r>
              <w:rPr>
                <w:rFonts w:hint="eastAsia" w:eastAsia="仿宋_GB2312" w:cs="Times New Roman"/>
                <w:b/>
                <w:bCs/>
                <w:color w:val="auto"/>
                <w:kern w:val="0"/>
                <w:sz w:val="18"/>
                <w:szCs w:val="18"/>
                <w:lang w:val="en-US" w:eastAsia="zh-CN"/>
              </w:rPr>
              <w:t>2017年</w:t>
            </w:r>
          </w:p>
        </w:tc>
        <w:tc>
          <w:tcPr>
            <w:tcW w:w="784" w:type="pct"/>
            <w:shd w:val="clear" w:color="auto" w:fill="auto"/>
            <w:vAlign w:val="center"/>
          </w:tcPr>
          <w:p>
            <w:pPr>
              <w:widowControl/>
              <w:spacing w:line="240" w:lineRule="auto"/>
              <w:ind w:firstLine="0" w:firstLineChars="0"/>
              <w:jc w:val="center"/>
              <w:rPr>
                <w:rFonts w:hint="default" w:eastAsia="仿宋_GB2312" w:cs="Times New Roman"/>
                <w:b/>
                <w:bCs/>
                <w:color w:val="auto"/>
                <w:kern w:val="0"/>
                <w:sz w:val="18"/>
                <w:szCs w:val="18"/>
                <w:lang w:val="en-US" w:eastAsia="zh-CN"/>
              </w:rPr>
            </w:pPr>
            <w:r>
              <w:rPr>
                <w:rFonts w:hint="eastAsia" w:eastAsia="仿宋_GB2312" w:cs="Times New Roman"/>
                <w:b/>
                <w:bCs/>
                <w:color w:val="auto"/>
                <w:kern w:val="0"/>
                <w:sz w:val="18"/>
                <w:szCs w:val="18"/>
                <w:lang w:val="en-US" w:eastAsia="zh-CN"/>
              </w:rPr>
              <w:t>2020年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1417"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第一部分 工程措施</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val="en-US" w:eastAsia="zh-CN"/>
              </w:rPr>
            </w:pPr>
            <w:r>
              <w:rPr>
                <w:rFonts w:hint="default" w:ascii="Times New Roman" w:hAnsi="Times New Roman" w:eastAsia="仿宋_GB2312" w:cs="Times New Roman"/>
                <w:b/>
                <w:color w:val="auto"/>
                <w:kern w:val="0"/>
                <w:sz w:val="18"/>
                <w:szCs w:val="18"/>
                <w:lang w:val="en-US" w:eastAsia="zh-CN"/>
              </w:rPr>
              <w:t>4.03</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val="en-US" w:eastAsia="zh-CN"/>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val="en-US" w:eastAsia="zh-CN"/>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一</w:t>
            </w:r>
          </w:p>
        </w:tc>
        <w:tc>
          <w:tcPr>
            <w:tcW w:w="1417"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建筑工程区</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c>
          <w:tcPr>
            <w:tcW w:w="1417"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雨水管</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1.29</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1.29</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二</w:t>
            </w:r>
          </w:p>
        </w:tc>
        <w:tc>
          <w:tcPr>
            <w:tcW w:w="1417"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道路硬化区</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c>
          <w:tcPr>
            <w:tcW w:w="1417"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雨水管</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2.70</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2.70</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三</w:t>
            </w:r>
          </w:p>
        </w:tc>
        <w:tc>
          <w:tcPr>
            <w:tcW w:w="1417"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b/>
                <w:bCs/>
                <w:color w:val="auto"/>
                <w:kern w:val="0"/>
                <w:sz w:val="18"/>
                <w:szCs w:val="18"/>
                <w:lang w:eastAsia="zh-CN"/>
              </w:rPr>
              <w:t>景观绿化区</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1</w:t>
            </w:r>
          </w:p>
        </w:tc>
        <w:tc>
          <w:tcPr>
            <w:tcW w:w="1417"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土地整治</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0.04</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lang w:val="en-US" w:eastAsia="zh-CN"/>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lang w:val="en-US" w:eastAsia="zh-CN"/>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1417"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第二部分 植物措施</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val="en-US" w:eastAsia="zh-CN"/>
              </w:rPr>
            </w:pPr>
            <w:r>
              <w:rPr>
                <w:rFonts w:hint="default" w:ascii="Times New Roman" w:hAnsi="Times New Roman" w:eastAsia="仿宋_GB2312" w:cs="Times New Roman"/>
                <w:b/>
                <w:color w:val="auto"/>
                <w:kern w:val="0"/>
                <w:sz w:val="18"/>
                <w:szCs w:val="18"/>
              </w:rPr>
              <w:t>0.</w:t>
            </w:r>
            <w:r>
              <w:rPr>
                <w:rFonts w:hint="default" w:ascii="Times New Roman" w:hAnsi="Times New Roman" w:eastAsia="仿宋_GB2312" w:cs="Times New Roman"/>
                <w:b/>
                <w:color w:val="auto"/>
                <w:kern w:val="0"/>
                <w:sz w:val="18"/>
                <w:szCs w:val="18"/>
                <w:lang w:val="en-US" w:eastAsia="zh-CN"/>
              </w:rPr>
              <w:t>90</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一</w:t>
            </w:r>
          </w:p>
        </w:tc>
        <w:tc>
          <w:tcPr>
            <w:tcW w:w="1417"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lang w:eastAsia="zh-CN"/>
              </w:rPr>
            </w:pPr>
            <w:r>
              <w:rPr>
                <w:rFonts w:hint="default" w:ascii="Times New Roman" w:hAnsi="Times New Roman" w:eastAsia="仿宋_GB2312" w:cs="Times New Roman"/>
                <w:b/>
                <w:bCs/>
                <w:color w:val="auto"/>
                <w:kern w:val="0"/>
                <w:sz w:val="18"/>
                <w:szCs w:val="18"/>
                <w:lang w:eastAsia="zh-CN"/>
              </w:rPr>
              <w:t>景观绿化区</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4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1</w:t>
            </w:r>
          </w:p>
        </w:tc>
        <w:tc>
          <w:tcPr>
            <w:tcW w:w="1417"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草坪绿化</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0.86</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0.86</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lang w:val="en-US" w:eastAsia="zh-CN"/>
              </w:rPr>
            </w:pPr>
            <w:r>
              <w:rPr>
                <w:rFonts w:hint="default" w:ascii="Times New Roman" w:hAnsi="Times New Roman" w:eastAsia="仿宋_GB2312" w:cs="Times New Roman"/>
                <w:b/>
                <w:bCs/>
                <w:color w:val="auto"/>
                <w:kern w:val="0"/>
                <w:sz w:val="18"/>
                <w:szCs w:val="18"/>
                <w:lang w:val="en-US" w:eastAsia="zh-CN"/>
              </w:rPr>
              <w:t>2</w:t>
            </w:r>
          </w:p>
        </w:tc>
        <w:tc>
          <w:tcPr>
            <w:tcW w:w="1417"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抚育管理</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 xml:space="preserve">0.01 </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 xml:space="preserve">0.01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vMerge w:val="restar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lang w:val="en-US" w:eastAsia="zh-CN"/>
              </w:rPr>
            </w:pPr>
            <w:r>
              <w:rPr>
                <w:rFonts w:hint="default" w:ascii="Times New Roman" w:hAnsi="Times New Roman" w:eastAsia="仿宋_GB2312" w:cs="Times New Roman"/>
                <w:b/>
                <w:bCs/>
                <w:color w:val="auto"/>
                <w:kern w:val="0"/>
                <w:sz w:val="18"/>
                <w:szCs w:val="18"/>
                <w:lang w:val="en-US" w:eastAsia="zh-CN"/>
              </w:rPr>
              <w:t>3</w:t>
            </w:r>
          </w:p>
        </w:tc>
        <w:tc>
          <w:tcPr>
            <w:tcW w:w="708" w:type="pct"/>
            <w:vMerge w:val="restar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撒播草籽</w:t>
            </w:r>
          </w:p>
        </w:tc>
        <w:tc>
          <w:tcPr>
            <w:tcW w:w="70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面积</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 xml:space="preserve">0.01 </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 xml:space="preserve">0.01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2" w:hRule="atLeast"/>
          <w:jc w:val="center"/>
        </w:trPr>
        <w:tc>
          <w:tcPr>
            <w:tcW w:w="445" w:type="pct"/>
            <w:vMerge w:val="continue"/>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lang w:val="en-US" w:eastAsia="zh-CN"/>
              </w:rPr>
            </w:pPr>
          </w:p>
        </w:tc>
        <w:tc>
          <w:tcPr>
            <w:tcW w:w="708" w:type="pct"/>
            <w:vMerge w:val="continue"/>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eastAsia="zh-CN"/>
              </w:rPr>
            </w:pPr>
          </w:p>
        </w:tc>
        <w:tc>
          <w:tcPr>
            <w:tcW w:w="70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草籽</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 xml:space="preserve">0.02 </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 xml:space="preserve">0.02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1417"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第三部分 监测措施</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2.00</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c>
          <w:tcPr>
            <w:tcW w:w="1417" w:type="pct"/>
            <w:gridSpan w:val="2"/>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土建设施费</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w:t>
            </w:r>
          </w:p>
        </w:tc>
        <w:tc>
          <w:tcPr>
            <w:tcW w:w="1417" w:type="pct"/>
            <w:gridSpan w:val="2"/>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设备及安装费</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w:t>
            </w:r>
          </w:p>
        </w:tc>
        <w:tc>
          <w:tcPr>
            <w:tcW w:w="1417" w:type="pct"/>
            <w:gridSpan w:val="2"/>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建设期观测运行费</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2.00</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eastAsia" w:ascii="Times New Roman" w:hAnsi="Times New Roman" w:eastAsia="仿宋_GB2312" w:cs="Times New Roman"/>
                <w:b/>
                <w:color w:val="auto"/>
                <w:kern w:val="0"/>
                <w:sz w:val="18"/>
                <w:szCs w:val="18"/>
                <w:lang w:val="en-US" w:eastAsia="zh-CN"/>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1417"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第四部分 临时措施</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val="en-US" w:eastAsia="zh-CN"/>
              </w:rPr>
            </w:pPr>
            <w:r>
              <w:rPr>
                <w:rFonts w:hint="default" w:ascii="Times New Roman" w:hAnsi="Times New Roman" w:eastAsia="仿宋_GB2312" w:cs="Times New Roman"/>
                <w:b/>
                <w:color w:val="auto"/>
                <w:kern w:val="0"/>
                <w:sz w:val="18"/>
                <w:szCs w:val="18"/>
              </w:rPr>
              <w:t>0.</w:t>
            </w:r>
            <w:r>
              <w:rPr>
                <w:rFonts w:hint="default" w:ascii="Times New Roman" w:hAnsi="Times New Roman" w:eastAsia="仿宋_GB2312" w:cs="Times New Roman"/>
                <w:b/>
                <w:color w:val="auto"/>
                <w:kern w:val="0"/>
                <w:sz w:val="18"/>
                <w:szCs w:val="18"/>
                <w:lang w:val="en-US" w:eastAsia="zh-CN"/>
              </w:rPr>
              <w:t>64</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（一）</w:t>
            </w:r>
          </w:p>
        </w:tc>
        <w:tc>
          <w:tcPr>
            <w:tcW w:w="1417"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rPr>
              <w:t>临时防护工程</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0.50</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一</w:t>
            </w:r>
          </w:p>
        </w:tc>
        <w:tc>
          <w:tcPr>
            <w:tcW w:w="1417"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建筑工程区</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c>
          <w:tcPr>
            <w:tcW w:w="1417"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防雨布遮盖</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0.30</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0.30</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1417"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道路硬化区</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c>
          <w:tcPr>
            <w:tcW w:w="1417"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防雨布遮盖</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0.20</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0.20</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（二）</w:t>
            </w:r>
          </w:p>
        </w:tc>
        <w:tc>
          <w:tcPr>
            <w:tcW w:w="1417"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其他临时工程</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val="en-US" w:eastAsia="zh-CN"/>
              </w:rPr>
            </w:pPr>
            <w:r>
              <w:rPr>
                <w:rFonts w:hint="default" w:ascii="Times New Roman" w:hAnsi="Times New Roman" w:eastAsia="仿宋_GB2312" w:cs="Times New Roman"/>
                <w:b/>
                <w:color w:val="auto"/>
                <w:kern w:val="0"/>
                <w:sz w:val="18"/>
                <w:szCs w:val="18"/>
                <w:lang w:val="en-US" w:eastAsia="zh-CN"/>
              </w:rPr>
              <w:t>0.14</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val="en-US" w:eastAsia="zh-CN"/>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val="en-US" w:eastAsia="zh-CN"/>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val="en-US" w:eastAsia="zh-CN"/>
              </w:rPr>
            </w:pPr>
            <w:r>
              <w:rPr>
                <w:rFonts w:hint="default" w:ascii="Times New Roman" w:hAnsi="Times New Roman" w:eastAsia="仿宋_GB2312" w:cs="Times New Roman"/>
                <w:b/>
                <w:color w:val="auto"/>
                <w:kern w:val="0"/>
                <w:sz w:val="18"/>
                <w:szCs w:val="18"/>
                <w:lang w:val="en-US" w:eastAsia="zh-CN"/>
              </w:rPr>
              <w:t>0.14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1417"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第五部分 独立费用</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5.15</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一</w:t>
            </w:r>
          </w:p>
        </w:tc>
        <w:tc>
          <w:tcPr>
            <w:tcW w:w="1417"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建设管理费</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0.15</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二</w:t>
            </w:r>
          </w:p>
        </w:tc>
        <w:tc>
          <w:tcPr>
            <w:tcW w:w="1417"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科研勘测设计费</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2.00</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三</w:t>
            </w:r>
          </w:p>
        </w:tc>
        <w:tc>
          <w:tcPr>
            <w:tcW w:w="1417"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工程建设监理费</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四</w:t>
            </w:r>
          </w:p>
        </w:tc>
        <w:tc>
          <w:tcPr>
            <w:tcW w:w="1417"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水保设施验收报告编制费</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3.00</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cs="Times New Roman"/>
                <w:color w:val="auto"/>
                <w:kern w:val="0"/>
                <w:sz w:val="18"/>
                <w:szCs w:val="18"/>
              </w:rPr>
              <w:t>Ⅰ</w:t>
            </w:r>
          </w:p>
        </w:tc>
        <w:tc>
          <w:tcPr>
            <w:tcW w:w="1417"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第一至五部分合计</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val="en-US" w:eastAsia="zh-CN"/>
              </w:rPr>
            </w:pPr>
            <w:r>
              <w:rPr>
                <w:rFonts w:hint="default" w:ascii="Times New Roman" w:hAnsi="Times New Roman" w:eastAsia="仿宋_GB2312" w:cs="Times New Roman"/>
                <w:b/>
                <w:color w:val="auto"/>
                <w:kern w:val="0"/>
                <w:sz w:val="18"/>
                <w:szCs w:val="18"/>
                <w:lang w:val="en-US" w:eastAsia="zh-CN"/>
              </w:rPr>
              <w:t>12.72</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val="en-US" w:eastAsia="zh-CN"/>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val="en-US" w:eastAsia="zh-CN"/>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cs="Times New Roman"/>
                <w:color w:val="auto"/>
                <w:kern w:val="0"/>
                <w:sz w:val="18"/>
                <w:szCs w:val="18"/>
              </w:rPr>
              <w:t>Ⅱ</w:t>
            </w:r>
          </w:p>
        </w:tc>
        <w:tc>
          <w:tcPr>
            <w:tcW w:w="1417"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基本预备费</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rPr>
              <w:t>0.6</w:t>
            </w:r>
            <w:r>
              <w:rPr>
                <w:rFonts w:hint="default" w:ascii="Times New Roman" w:hAnsi="Times New Roman" w:eastAsia="仿宋_GB2312" w:cs="Times New Roman"/>
                <w:color w:val="auto"/>
                <w:kern w:val="0"/>
                <w:sz w:val="18"/>
                <w:szCs w:val="18"/>
                <w:lang w:val="en-US" w:eastAsia="zh-CN"/>
              </w:rPr>
              <w:t>4</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rPr>
              <w:t>0.6</w:t>
            </w:r>
            <w:r>
              <w:rPr>
                <w:rFonts w:hint="default" w:ascii="Times New Roman" w:hAnsi="Times New Roman" w:eastAsia="仿宋_GB2312" w:cs="Times New Roman"/>
                <w:color w:val="auto"/>
                <w:kern w:val="0"/>
                <w:sz w:val="18"/>
                <w:szCs w:val="18"/>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4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cs="Times New Roman"/>
                <w:color w:val="auto"/>
                <w:kern w:val="0"/>
                <w:sz w:val="18"/>
                <w:szCs w:val="18"/>
              </w:rPr>
              <w:t>Ⅳ</w:t>
            </w:r>
          </w:p>
        </w:tc>
        <w:tc>
          <w:tcPr>
            <w:tcW w:w="1417"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水土保持补偿费</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0.16</w:t>
            </w: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rPr>
              <w:t>0.16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cs="Times New Roman"/>
                <w:color w:val="auto"/>
                <w:kern w:val="0"/>
                <w:sz w:val="18"/>
                <w:szCs w:val="18"/>
              </w:rPr>
              <w:t>Ⅴ</w:t>
            </w:r>
          </w:p>
        </w:tc>
        <w:tc>
          <w:tcPr>
            <w:tcW w:w="1417"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新增工程投资合计</w:t>
            </w:r>
          </w:p>
        </w:tc>
        <w:tc>
          <w:tcPr>
            <w:tcW w:w="784" w:type="pct"/>
            <w:shd w:val="clear" w:color="auto" w:fill="auto"/>
            <w:noWrap/>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eastAsia="zh-CN"/>
              </w:rPr>
            </w:pPr>
            <w:r>
              <w:rPr>
                <w:rFonts w:hint="default" w:ascii="Times New Roman" w:hAnsi="Times New Roman" w:eastAsia="仿宋_GB2312" w:cs="Times New Roman"/>
                <w:b/>
                <w:color w:val="auto"/>
                <w:kern w:val="0"/>
                <w:sz w:val="18"/>
                <w:szCs w:val="18"/>
                <w:lang w:eastAsia="zh-CN"/>
              </w:rPr>
              <w:t>13.52</w:t>
            </w:r>
          </w:p>
        </w:tc>
        <w:tc>
          <w:tcPr>
            <w:tcW w:w="784" w:type="pct"/>
            <w:shd w:val="clear" w:color="auto" w:fill="auto"/>
            <w:noWrap/>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val="en-US" w:eastAsia="zh-CN"/>
              </w:rPr>
            </w:pPr>
            <w:r>
              <w:rPr>
                <w:rFonts w:hint="eastAsia" w:ascii="Times New Roman" w:hAnsi="Times New Roman" w:eastAsia="仿宋_GB2312" w:cs="Times New Roman"/>
                <w:b/>
                <w:color w:val="auto"/>
                <w:kern w:val="0"/>
                <w:sz w:val="18"/>
                <w:szCs w:val="18"/>
                <w:lang w:val="en-US" w:eastAsia="zh-CN"/>
              </w:rPr>
              <w:t>0.5</w:t>
            </w:r>
            <w:r>
              <w:rPr>
                <w:rFonts w:hint="eastAsia" w:eastAsia="仿宋_GB2312" w:cs="Times New Roman"/>
                <w:b/>
                <w:color w:val="auto"/>
                <w:kern w:val="0"/>
                <w:sz w:val="18"/>
                <w:szCs w:val="18"/>
                <w:lang w:val="en-US" w:eastAsia="zh-CN"/>
              </w:rPr>
              <w:t>0</w:t>
            </w:r>
          </w:p>
        </w:tc>
        <w:tc>
          <w:tcPr>
            <w:tcW w:w="784" w:type="pct"/>
            <w:shd w:val="clear" w:color="auto" w:fill="auto"/>
            <w:noWrap/>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eastAsia="zh-CN"/>
              </w:rPr>
            </w:pPr>
            <w:r>
              <w:rPr>
                <w:rFonts w:hint="eastAsia" w:ascii="Times New Roman" w:hAnsi="Times New Roman" w:eastAsia="仿宋_GB2312" w:cs="Times New Roman"/>
                <w:b/>
                <w:color w:val="auto"/>
                <w:kern w:val="0"/>
                <w:sz w:val="18"/>
                <w:szCs w:val="18"/>
                <w:lang w:val="en-US" w:eastAsia="zh-CN"/>
              </w:rPr>
              <w:t>4.85</w:t>
            </w:r>
          </w:p>
        </w:tc>
        <w:tc>
          <w:tcPr>
            <w:tcW w:w="784" w:type="pct"/>
            <w:shd w:val="clear" w:color="auto" w:fill="auto"/>
            <w:noWrap/>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eastAsia="zh-CN"/>
              </w:rPr>
            </w:pPr>
            <w:r>
              <w:rPr>
                <w:rFonts w:hint="eastAsia" w:ascii="Times New Roman" w:hAnsi="Times New Roman" w:eastAsia="仿宋_GB2312" w:cs="Times New Roman"/>
                <w:b/>
                <w:color w:val="auto"/>
                <w:kern w:val="0"/>
                <w:sz w:val="18"/>
                <w:szCs w:val="18"/>
                <w:lang w:val="en-US" w:eastAsia="zh-CN"/>
              </w:rPr>
              <w:t>8.17</w:t>
            </w:r>
          </w:p>
        </w:tc>
      </w:tr>
    </w:tbl>
    <w:p>
      <w:pPr>
        <w:spacing w:before="156" w:beforeLines="50" w:line="240" w:lineRule="auto"/>
        <w:ind w:firstLine="0" w:firstLineChars="0"/>
        <w:jc w:val="center"/>
        <w:rPr>
          <w:rFonts w:hint="default" w:ascii="Times New Roman" w:hAnsi="Times New Roman" w:eastAsia="仿宋_GB2312" w:cs="Times New Roman"/>
          <w:b/>
          <w:color w:val="auto"/>
          <w:kern w:val="0"/>
          <w:sz w:val="21"/>
          <w:szCs w:val="21"/>
          <w:lang w:eastAsia="zh-CN"/>
        </w:rPr>
      </w:pPr>
      <w:r>
        <w:rPr>
          <w:rFonts w:hint="default" w:ascii="Times New Roman" w:hAnsi="Times New Roman" w:eastAsia="仿宋_GB2312" w:cs="Times New Roman"/>
          <w:b/>
          <w:color w:val="auto"/>
          <w:kern w:val="0"/>
          <w:sz w:val="21"/>
          <w:szCs w:val="21"/>
          <w:lang w:eastAsia="zh-CN"/>
        </w:rPr>
        <w:t>表</w:t>
      </w:r>
      <w:r>
        <w:rPr>
          <w:rFonts w:hint="default" w:ascii="Times New Roman" w:hAnsi="Times New Roman" w:eastAsia="仿宋_GB2312" w:cs="Times New Roman"/>
          <w:b/>
          <w:color w:val="auto"/>
          <w:kern w:val="0"/>
          <w:sz w:val="21"/>
          <w:szCs w:val="21"/>
          <w:lang w:val="en-US" w:eastAsia="zh-CN"/>
        </w:rPr>
        <w:t xml:space="preserve">7-8   </w:t>
      </w:r>
      <w:r>
        <w:rPr>
          <w:rFonts w:hint="default" w:ascii="Times New Roman" w:hAnsi="Times New Roman" w:eastAsia="仿宋_GB2312" w:cs="Times New Roman"/>
          <w:b/>
          <w:color w:val="auto"/>
          <w:kern w:val="0"/>
          <w:sz w:val="21"/>
          <w:szCs w:val="21"/>
          <w:lang w:eastAsia="zh-CN"/>
        </w:rPr>
        <w:t>工程措施单价分析表（一）</w:t>
      </w:r>
    </w:p>
    <w:tbl>
      <w:tblPr>
        <w:tblStyle w:val="61"/>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2206"/>
        <w:gridCol w:w="1600"/>
        <w:gridCol w:w="988"/>
        <w:gridCol w:w="1038"/>
        <w:gridCol w:w="1245"/>
        <w:gridCol w:w="126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1" w:hRule="atLeast"/>
        </w:trPr>
        <w:tc>
          <w:tcPr>
            <w:tcW w:w="5000" w:type="pct"/>
            <w:gridSpan w:val="6"/>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仿宋_GB2312" w:cs="Times New Roman"/>
                <w:color w:val="auto"/>
                <w:kern w:val="0"/>
                <w:sz w:val="18"/>
                <w:szCs w:val="18"/>
                <w:lang w:val="en-US" w:eastAsia="zh-CN" w:bidi="ar-SA"/>
              </w:rPr>
              <w:t>直播种草（80kg/hm²）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1" w:hRule="atLeast"/>
        </w:trPr>
        <w:tc>
          <w:tcPr>
            <w:tcW w:w="132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定额编号：</w:t>
            </w:r>
          </w:p>
        </w:tc>
        <w:tc>
          <w:tcPr>
            <w:tcW w:w="95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08057</w:t>
            </w:r>
          </w:p>
        </w:tc>
        <w:tc>
          <w:tcPr>
            <w:tcW w:w="592"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p>
        </w:tc>
        <w:tc>
          <w:tcPr>
            <w:tcW w:w="622"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p>
        </w:tc>
        <w:tc>
          <w:tcPr>
            <w:tcW w:w="74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单位：</w:t>
            </w:r>
          </w:p>
        </w:tc>
        <w:tc>
          <w:tcPr>
            <w:tcW w:w="757"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hm²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1" w:hRule="atLeast"/>
        </w:trPr>
        <w:tc>
          <w:tcPr>
            <w:tcW w:w="132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工作内容：</w:t>
            </w:r>
          </w:p>
        </w:tc>
        <w:tc>
          <w:tcPr>
            <w:tcW w:w="3676" w:type="pct"/>
            <w:gridSpan w:val="5"/>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种子处理、人工播撒草籽、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1" w:hRule="atLeast"/>
        </w:trPr>
        <w:tc>
          <w:tcPr>
            <w:tcW w:w="132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编号</w:t>
            </w:r>
          </w:p>
        </w:tc>
        <w:tc>
          <w:tcPr>
            <w:tcW w:w="95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名称及规格</w:t>
            </w:r>
          </w:p>
        </w:tc>
        <w:tc>
          <w:tcPr>
            <w:tcW w:w="592"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单位</w:t>
            </w:r>
          </w:p>
        </w:tc>
        <w:tc>
          <w:tcPr>
            <w:tcW w:w="622"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数量</w:t>
            </w:r>
          </w:p>
        </w:tc>
        <w:tc>
          <w:tcPr>
            <w:tcW w:w="74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单价</w:t>
            </w:r>
          </w:p>
        </w:tc>
        <w:tc>
          <w:tcPr>
            <w:tcW w:w="757"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合计（元）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1" w:hRule="atLeast"/>
        </w:trPr>
        <w:tc>
          <w:tcPr>
            <w:tcW w:w="132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一 直接工程费</w:t>
            </w:r>
          </w:p>
        </w:tc>
        <w:tc>
          <w:tcPr>
            <w:tcW w:w="95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p>
        </w:tc>
        <w:tc>
          <w:tcPr>
            <w:tcW w:w="592"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p>
        </w:tc>
        <w:tc>
          <w:tcPr>
            <w:tcW w:w="622"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p>
        </w:tc>
        <w:tc>
          <w:tcPr>
            <w:tcW w:w="74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p>
        </w:tc>
        <w:tc>
          <w:tcPr>
            <w:tcW w:w="757"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 xml:space="preserve">1321.32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132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（一）直接费</w:t>
            </w:r>
          </w:p>
        </w:tc>
        <w:tc>
          <w:tcPr>
            <w:tcW w:w="95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p>
        </w:tc>
        <w:tc>
          <w:tcPr>
            <w:tcW w:w="592"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p>
        </w:tc>
        <w:tc>
          <w:tcPr>
            <w:tcW w:w="622"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p>
        </w:tc>
        <w:tc>
          <w:tcPr>
            <w:tcW w:w="74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p>
        </w:tc>
        <w:tc>
          <w:tcPr>
            <w:tcW w:w="757"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 xml:space="preserve">1270.50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132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（1）人工费</w:t>
            </w:r>
          </w:p>
        </w:tc>
        <w:tc>
          <w:tcPr>
            <w:tcW w:w="95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p>
        </w:tc>
        <w:tc>
          <w:tcPr>
            <w:tcW w:w="592"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p>
        </w:tc>
        <w:tc>
          <w:tcPr>
            <w:tcW w:w="622"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p>
        </w:tc>
        <w:tc>
          <w:tcPr>
            <w:tcW w:w="74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p>
        </w:tc>
        <w:tc>
          <w:tcPr>
            <w:tcW w:w="757"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 xml:space="preserve">1270.50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132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p>
        </w:tc>
        <w:tc>
          <w:tcPr>
            <w:tcW w:w="95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人工</w:t>
            </w:r>
          </w:p>
        </w:tc>
        <w:tc>
          <w:tcPr>
            <w:tcW w:w="592"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工时</w:t>
            </w:r>
          </w:p>
        </w:tc>
        <w:tc>
          <w:tcPr>
            <w:tcW w:w="622"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 xml:space="preserve">84.00 </w:t>
            </w:r>
          </w:p>
        </w:tc>
        <w:tc>
          <w:tcPr>
            <w:tcW w:w="74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 xml:space="preserve">15.13 </w:t>
            </w:r>
          </w:p>
        </w:tc>
        <w:tc>
          <w:tcPr>
            <w:tcW w:w="757"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 xml:space="preserve">1270.50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132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（2）材料费</w:t>
            </w:r>
          </w:p>
        </w:tc>
        <w:tc>
          <w:tcPr>
            <w:tcW w:w="95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p>
        </w:tc>
        <w:tc>
          <w:tcPr>
            <w:tcW w:w="592"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p>
        </w:tc>
        <w:tc>
          <w:tcPr>
            <w:tcW w:w="622"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p>
        </w:tc>
        <w:tc>
          <w:tcPr>
            <w:tcW w:w="74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p>
        </w:tc>
        <w:tc>
          <w:tcPr>
            <w:tcW w:w="757"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 xml:space="preserve">0.00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1" w:hRule="atLeast"/>
        </w:trPr>
        <w:tc>
          <w:tcPr>
            <w:tcW w:w="132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p>
        </w:tc>
        <w:tc>
          <w:tcPr>
            <w:tcW w:w="95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其他材料费</w:t>
            </w:r>
          </w:p>
        </w:tc>
        <w:tc>
          <w:tcPr>
            <w:tcW w:w="592"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w:t>
            </w:r>
          </w:p>
        </w:tc>
        <w:tc>
          <w:tcPr>
            <w:tcW w:w="622"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 xml:space="preserve">7.00 </w:t>
            </w:r>
          </w:p>
        </w:tc>
        <w:tc>
          <w:tcPr>
            <w:tcW w:w="74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 xml:space="preserve">0.00 </w:t>
            </w:r>
          </w:p>
        </w:tc>
        <w:tc>
          <w:tcPr>
            <w:tcW w:w="757"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 xml:space="preserve">0.00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1" w:hRule="atLeast"/>
        </w:trPr>
        <w:tc>
          <w:tcPr>
            <w:tcW w:w="132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（二）其他直接费</w:t>
            </w:r>
          </w:p>
        </w:tc>
        <w:tc>
          <w:tcPr>
            <w:tcW w:w="95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p>
        </w:tc>
        <w:tc>
          <w:tcPr>
            <w:tcW w:w="592"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w:t>
            </w:r>
          </w:p>
        </w:tc>
        <w:tc>
          <w:tcPr>
            <w:tcW w:w="622"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 xml:space="preserve">4.00 </w:t>
            </w:r>
          </w:p>
        </w:tc>
        <w:tc>
          <w:tcPr>
            <w:tcW w:w="74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 xml:space="preserve">1270.50 </w:t>
            </w:r>
          </w:p>
        </w:tc>
        <w:tc>
          <w:tcPr>
            <w:tcW w:w="757"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 xml:space="preserve">50.82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1" w:hRule="atLeast"/>
        </w:trPr>
        <w:tc>
          <w:tcPr>
            <w:tcW w:w="132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二 间接费</w:t>
            </w:r>
          </w:p>
        </w:tc>
        <w:tc>
          <w:tcPr>
            <w:tcW w:w="95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p>
        </w:tc>
        <w:tc>
          <w:tcPr>
            <w:tcW w:w="592"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w:t>
            </w:r>
          </w:p>
        </w:tc>
        <w:tc>
          <w:tcPr>
            <w:tcW w:w="622"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 xml:space="preserve">5.50 </w:t>
            </w:r>
          </w:p>
        </w:tc>
        <w:tc>
          <w:tcPr>
            <w:tcW w:w="74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 xml:space="preserve">1321.32 </w:t>
            </w:r>
          </w:p>
        </w:tc>
        <w:tc>
          <w:tcPr>
            <w:tcW w:w="757"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 xml:space="preserve">72.67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132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三 利润</w:t>
            </w:r>
          </w:p>
        </w:tc>
        <w:tc>
          <w:tcPr>
            <w:tcW w:w="95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p>
        </w:tc>
        <w:tc>
          <w:tcPr>
            <w:tcW w:w="592"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w:t>
            </w:r>
          </w:p>
        </w:tc>
        <w:tc>
          <w:tcPr>
            <w:tcW w:w="622"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 xml:space="preserve">7.00 </w:t>
            </w:r>
          </w:p>
        </w:tc>
        <w:tc>
          <w:tcPr>
            <w:tcW w:w="74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 xml:space="preserve">1393.99 </w:t>
            </w:r>
          </w:p>
        </w:tc>
        <w:tc>
          <w:tcPr>
            <w:tcW w:w="757"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 xml:space="preserve">97.58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1" w:hRule="atLeast"/>
        </w:trPr>
        <w:tc>
          <w:tcPr>
            <w:tcW w:w="132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四 税金</w:t>
            </w:r>
          </w:p>
        </w:tc>
        <w:tc>
          <w:tcPr>
            <w:tcW w:w="95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p>
        </w:tc>
        <w:tc>
          <w:tcPr>
            <w:tcW w:w="592"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w:t>
            </w:r>
          </w:p>
        </w:tc>
        <w:tc>
          <w:tcPr>
            <w:tcW w:w="622"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 xml:space="preserve">10.00 </w:t>
            </w:r>
          </w:p>
        </w:tc>
        <w:tc>
          <w:tcPr>
            <w:tcW w:w="74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 xml:space="preserve">1491.57 </w:t>
            </w:r>
          </w:p>
        </w:tc>
        <w:tc>
          <w:tcPr>
            <w:tcW w:w="757"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 xml:space="preserve">149.16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1" w:hRule="atLeast"/>
        </w:trPr>
        <w:tc>
          <w:tcPr>
            <w:tcW w:w="132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五 扩大系数</w:t>
            </w:r>
          </w:p>
        </w:tc>
        <w:tc>
          <w:tcPr>
            <w:tcW w:w="95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p>
        </w:tc>
        <w:tc>
          <w:tcPr>
            <w:tcW w:w="592"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w:t>
            </w:r>
          </w:p>
        </w:tc>
        <w:tc>
          <w:tcPr>
            <w:tcW w:w="622"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p>
        </w:tc>
        <w:tc>
          <w:tcPr>
            <w:tcW w:w="74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 xml:space="preserve">1640.73 </w:t>
            </w:r>
          </w:p>
        </w:tc>
        <w:tc>
          <w:tcPr>
            <w:tcW w:w="757"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1" w:hRule="atLeast"/>
        </w:trPr>
        <w:tc>
          <w:tcPr>
            <w:tcW w:w="132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p>
        </w:tc>
        <w:tc>
          <w:tcPr>
            <w:tcW w:w="95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合计</w:t>
            </w:r>
          </w:p>
        </w:tc>
        <w:tc>
          <w:tcPr>
            <w:tcW w:w="592"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p>
        </w:tc>
        <w:tc>
          <w:tcPr>
            <w:tcW w:w="622"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p>
        </w:tc>
        <w:tc>
          <w:tcPr>
            <w:tcW w:w="74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p>
        </w:tc>
        <w:tc>
          <w:tcPr>
            <w:tcW w:w="757"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bidi="ar-SA"/>
              </w:rPr>
              <w:t xml:space="preserve">1640.73 </w:t>
            </w:r>
          </w:p>
        </w:tc>
      </w:tr>
    </w:tbl>
    <w:p>
      <w:pPr>
        <w:pStyle w:val="1102"/>
        <w:spacing w:line="240" w:lineRule="auto"/>
        <w:rPr>
          <w:rFonts w:hint="default" w:ascii="Times New Roman" w:hAnsi="Times New Roman" w:cs="Times New Roman"/>
          <w:color w:val="auto"/>
        </w:rPr>
      </w:pPr>
    </w:p>
    <w:p>
      <w:pPr>
        <w:pStyle w:val="1102"/>
        <w:spacing w:line="240" w:lineRule="auto"/>
        <w:rPr>
          <w:rFonts w:hint="default" w:ascii="Times New Roman" w:hAnsi="Times New Roman" w:cs="Times New Roman"/>
          <w:color w:val="auto"/>
        </w:rPr>
      </w:pPr>
    </w:p>
    <w:p>
      <w:pPr>
        <w:spacing w:before="156" w:beforeLines="50" w:line="240" w:lineRule="auto"/>
        <w:ind w:firstLine="0" w:firstLineChars="0"/>
        <w:jc w:val="center"/>
        <w:rPr>
          <w:rFonts w:hint="default" w:ascii="Times New Roman" w:hAnsi="Times New Roman" w:eastAsia="仿宋_GB2312" w:cs="Times New Roman"/>
          <w:b/>
          <w:color w:val="auto"/>
          <w:kern w:val="0"/>
          <w:sz w:val="21"/>
          <w:szCs w:val="21"/>
          <w:lang w:eastAsia="zh-CN"/>
        </w:rPr>
      </w:pPr>
      <w:r>
        <w:rPr>
          <w:rFonts w:hint="default" w:ascii="Times New Roman" w:hAnsi="Times New Roman" w:eastAsia="仿宋_GB2312" w:cs="Times New Roman"/>
          <w:b/>
          <w:color w:val="auto"/>
          <w:kern w:val="0"/>
          <w:sz w:val="21"/>
          <w:szCs w:val="21"/>
          <w:lang w:eastAsia="zh-CN"/>
        </w:rPr>
        <w:t>表</w:t>
      </w:r>
      <w:r>
        <w:rPr>
          <w:rFonts w:hint="default" w:ascii="Times New Roman" w:hAnsi="Times New Roman" w:eastAsia="仿宋_GB2312" w:cs="Times New Roman"/>
          <w:b/>
          <w:color w:val="auto"/>
          <w:kern w:val="0"/>
          <w:sz w:val="21"/>
          <w:szCs w:val="21"/>
          <w:lang w:val="en-US" w:eastAsia="zh-CN"/>
        </w:rPr>
        <w:t xml:space="preserve">7-8   </w:t>
      </w:r>
      <w:r>
        <w:rPr>
          <w:rFonts w:hint="default" w:ascii="Times New Roman" w:hAnsi="Times New Roman" w:eastAsia="仿宋_GB2312" w:cs="Times New Roman"/>
          <w:b/>
          <w:color w:val="auto"/>
          <w:kern w:val="0"/>
          <w:sz w:val="21"/>
          <w:szCs w:val="21"/>
          <w:lang w:eastAsia="zh-CN"/>
        </w:rPr>
        <w:t>工程措施单价分析表（二）</w:t>
      </w:r>
    </w:p>
    <w:tbl>
      <w:tblPr>
        <w:tblStyle w:val="61"/>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2462"/>
        <w:gridCol w:w="1852"/>
        <w:gridCol w:w="651"/>
        <w:gridCol w:w="726"/>
        <w:gridCol w:w="956"/>
        <w:gridCol w:w="169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5000" w:type="pct"/>
            <w:gridSpan w:val="6"/>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土地整治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47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定额编号：</w:t>
            </w:r>
          </w:p>
        </w:tc>
        <w:tc>
          <w:tcPr>
            <w:tcW w:w="111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01147</w:t>
            </w:r>
          </w:p>
        </w:tc>
        <w:tc>
          <w:tcPr>
            <w:tcW w:w="39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p>
        </w:tc>
        <w:tc>
          <w:tcPr>
            <w:tcW w:w="43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p>
        </w:tc>
        <w:tc>
          <w:tcPr>
            <w:tcW w:w="57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单位：</w:t>
            </w:r>
          </w:p>
        </w:tc>
        <w:tc>
          <w:tcPr>
            <w:tcW w:w="101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100m</w:t>
            </w:r>
            <w:r>
              <w:rPr>
                <w:rFonts w:hint="default" w:ascii="Times New Roman" w:hAnsi="Times New Roman" w:eastAsia="仿宋_GB2312" w:cs="Times New Roman"/>
                <w:color w:val="auto"/>
                <w:kern w:val="0"/>
                <w:sz w:val="18"/>
                <w:szCs w:val="18"/>
                <w:vertAlign w:val="superscript"/>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147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工作内容：</w:t>
            </w:r>
          </w:p>
        </w:tc>
        <w:tc>
          <w:tcPr>
            <w:tcW w:w="3523" w:type="pct"/>
            <w:gridSpan w:val="5"/>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推平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47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编号</w:t>
            </w:r>
          </w:p>
        </w:tc>
        <w:tc>
          <w:tcPr>
            <w:tcW w:w="111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名称及规格</w:t>
            </w:r>
          </w:p>
        </w:tc>
        <w:tc>
          <w:tcPr>
            <w:tcW w:w="39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单位</w:t>
            </w:r>
          </w:p>
        </w:tc>
        <w:tc>
          <w:tcPr>
            <w:tcW w:w="43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数量</w:t>
            </w:r>
          </w:p>
        </w:tc>
        <w:tc>
          <w:tcPr>
            <w:tcW w:w="57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单价</w:t>
            </w:r>
          </w:p>
        </w:tc>
        <w:tc>
          <w:tcPr>
            <w:tcW w:w="101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合计（元）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47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一 直接工程费</w:t>
            </w:r>
          </w:p>
        </w:tc>
        <w:tc>
          <w:tcPr>
            <w:tcW w:w="111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p>
        </w:tc>
        <w:tc>
          <w:tcPr>
            <w:tcW w:w="39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p>
        </w:tc>
        <w:tc>
          <w:tcPr>
            <w:tcW w:w="43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p>
        </w:tc>
        <w:tc>
          <w:tcPr>
            <w:tcW w:w="57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p>
        </w:tc>
        <w:tc>
          <w:tcPr>
            <w:tcW w:w="101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 xml:space="preserve">106.43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147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（一）直接费</w:t>
            </w:r>
          </w:p>
        </w:tc>
        <w:tc>
          <w:tcPr>
            <w:tcW w:w="111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p>
        </w:tc>
        <w:tc>
          <w:tcPr>
            <w:tcW w:w="39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p>
        </w:tc>
        <w:tc>
          <w:tcPr>
            <w:tcW w:w="43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p>
        </w:tc>
        <w:tc>
          <w:tcPr>
            <w:tcW w:w="57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p>
        </w:tc>
        <w:tc>
          <w:tcPr>
            <w:tcW w:w="101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 xml:space="preserve">101.75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47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人工费</w:t>
            </w:r>
          </w:p>
        </w:tc>
        <w:tc>
          <w:tcPr>
            <w:tcW w:w="111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人工</w:t>
            </w:r>
          </w:p>
        </w:tc>
        <w:tc>
          <w:tcPr>
            <w:tcW w:w="39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工时</w:t>
            </w:r>
          </w:p>
        </w:tc>
        <w:tc>
          <w:tcPr>
            <w:tcW w:w="43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 xml:space="preserve">0.70 </w:t>
            </w:r>
          </w:p>
        </w:tc>
        <w:tc>
          <w:tcPr>
            <w:tcW w:w="57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 xml:space="preserve">15.13 </w:t>
            </w:r>
          </w:p>
        </w:tc>
        <w:tc>
          <w:tcPr>
            <w:tcW w:w="101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 xml:space="preserve">10.59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47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机械费</w:t>
            </w:r>
          </w:p>
        </w:tc>
        <w:tc>
          <w:tcPr>
            <w:tcW w:w="111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推土机120kw</w:t>
            </w:r>
          </w:p>
        </w:tc>
        <w:tc>
          <w:tcPr>
            <w:tcW w:w="39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台时</w:t>
            </w:r>
          </w:p>
        </w:tc>
        <w:tc>
          <w:tcPr>
            <w:tcW w:w="43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 xml:space="preserve">0.57 </w:t>
            </w:r>
          </w:p>
        </w:tc>
        <w:tc>
          <w:tcPr>
            <w:tcW w:w="57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142.67</w:t>
            </w:r>
          </w:p>
        </w:tc>
        <w:tc>
          <w:tcPr>
            <w:tcW w:w="101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 xml:space="preserve">81.32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147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零星材料费</w:t>
            </w:r>
          </w:p>
        </w:tc>
        <w:tc>
          <w:tcPr>
            <w:tcW w:w="111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p>
        </w:tc>
        <w:tc>
          <w:tcPr>
            <w:tcW w:w="39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w:t>
            </w:r>
          </w:p>
        </w:tc>
        <w:tc>
          <w:tcPr>
            <w:tcW w:w="43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 xml:space="preserve">17.00 </w:t>
            </w:r>
          </w:p>
        </w:tc>
        <w:tc>
          <w:tcPr>
            <w:tcW w:w="57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 xml:space="preserve">57.91 </w:t>
            </w:r>
          </w:p>
        </w:tc>
        <w:tc>
          <w:tcPr>
            <w:tcW w:w="101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 xml:space="preserve">9.84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147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（二）其他直接费</w:t>
            </w:r>
          </w:p>
        </w:tc>
        <w:tc>
          <w:tcPr>
            <w:tcW w:w="111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p>
        </w:tc>
        <w:tc>
          <w:tcPr>
            <w:tcW w:w="39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w:t>
            </w:r>
          </w:p>
        </w:tc>
        <w:tc>
          <w:tcPr>
            <w:tcW w:w="43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 xml:space="preserve">4.60 </w:t>
            </w:r>
          </w:p>
        </w:tc>
        <w:tc>
          <w:tcPr>
            <w:tcW w:w="57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 xml:space="preserve">101.75 </w:t>
            </w:r>
          </w:p>
        </w:tc>
        <w:tc>
          <w:tcPr>
            <w:tcW w:w="101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 xml:space="preserve">4.68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47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二 间接费</w:t>
            </w:r>
          </w:p>
        </w:tc>
        <w:tc>
          <w:tcPr>
            <w:tcW w:w="111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p>
        </w:tc>
        <w:tc>
          <w:tcPr>
            <w:tcW w:w="39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w:t>
            </w:r>
          </w:p>
        </w:tc>
        <w:tc>
          <w:tcPr>
            <w:tcW w:w="43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 xml:space="preserve">6.50 </w:t>
            </w:r>
          </w:p>
        </w:tc>
        <w:tc>
          <w:tcPr>
            <w:tcW w:w="57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 xml:space="preserve">106.43 </w:t>
            </w:r>
          </w:p>
        </w:tc>
        <w:tc>
          <w:tcPr>
            <w:tcW w:w="101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 xml:space="preserve">6.92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147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三 利润</w:t>
            </w:r>
          </w:p>
        </w:tc>
        <w:tc>
          <w:tcPr>
            <w:tcW w:w="111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p>
        </w:tc>
        <w:tc>
          <w:tcPr>
            <w:tcW w:w="39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w:t>
            </w:r>
          </w:p>
        </w:tc>
        <w:tc>
          <w:tcPr>
            <w:tcW w:w="43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 xml:space="preserve">7.00 </w:t>
            </w:r>
          </w:p>
        </w:tc>
        <w:tc>
          <w:tcPr>
            <w:tcW w:w="57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 xml:space="preserve">113.35 </w:t>
            </w:r>
          </w:p>
        </w:tc>
        <w:tc>
          <w:tcPr>
            <w:tcW w:w="101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 xml:space="preserve">7.93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147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四 税金</w:t>
            </w:r>
          </w:p>
        </w:tc>
        <w:tc>
          <w:tcPr>
            <w:tcW w:w="111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p>
        </w:tc>
        <w:tc>
          <w:tcPr>
            <w:tcW w:w="39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w:t>
            </w:r>
          </w:p>
        </w:tc>
        <w:tc>
          <w:tcPr>
            <w:tcW w:w="43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 xml:space="preserve">9.00 </w:t>
            </w:r>
          </w:p>
        </w:tc>
        <w:tc>
          <w:tcPr>
            <w:tcW w:w="57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 xml:space="preserve">121.29 </w:t>
            </w:r>
          </w:p>
        </w:tc>
        <w:tc>
          <w:tcPr>
            <w:tcW w:w="101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 xml:space="preserve">10.92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47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五 扩大系数</w:t>
            </w:r>
          </w:p>
        </w:tc>
        <w:tc>
          <w:tcPr>
            <w:tcW w:w="111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p>
        </w:tc>
        <w:tc>
          <w:tcPr>
            <w:tcW w:w="39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w:t>
            </w:r>
          </w:p>
        </w:tc>
        <w:tc>
          <w:tcPr>
            <w:tcW w:w="43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 xml:space="preserve">0.00 </w:t>
            </w:r>
          </w:p>
        </w:tc>
        <w:tc>
          <w:tcPr>
            <w:tcW w:w="57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 xml:space="preserve">132.20 </w:t>
            </w:r>
          </w:p>
        </w:tc>
        <w:tc>
          <w:tcPr>
            <w:tcW w:w="101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 xml:space="preserve">0.00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476"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p>
        </w:tc>
        <w:tc>
          <w:tcPr>
            <w:tcW w:w="111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合计</w:t>
            </w:r>
          </w:p>
        </w:tc>
        <w:tc>
          <w:tcPr>
            <w:tcW w:w="390"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p>
        </w:tc>
        <w:tc>
          <w:tcPr>
            <w:tcW w:w="435"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p>
        </w:tc>
        <w:tc>
          <w:tcPr>
            <w:tcW w:w="573"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p>
        </w:tc>
        <w:tc>
          <w:tcPr>
            <w:tcW w:w="1014"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 xml:space="preserve">132.20 </w:t>
            </w:r>
          </w:p>
        </w:tc>
      </w:tr>
    </w:tbl>
    <w:p>
      <w:pPr>
        <w:pStyle w:val="1102"/>
        <w:spacing w:line="240" w:lineRule="auto"/>
        <w:rPr>
          <w:rFonts w:hint="default" w:ascii="Times New Roman" w:hAnsi="Times New Roman" w:cs="Times New Roman"/>
          <w:color w:val="auto"/>
        </w:rPr>
      </w:pPr>
    </w:p>
    <w:p>
      <w:pPr>
        <w:spacing w:before="156" w:beforeLines="50" w:line="240" w:lineRule="auto"/>
        <w:ind w:firstLine="0" w:firstLineChars="0"/>
        <w:jc w:val="center"/>
        <w:rPr>
          <w:rFonts w:hint="default" w:ascii="Times New Roman" w:hAnsi="Times New Roman" w:eastAsia="仿宋_GB2312" w:cs="Times New Roman"/>
          <w:b/>
          <w:color w:val="auto"/>
          <w:kern w:val="0"/>
          <w:sz w:val="21"/>
          <w:szCs w:val="21"/>
          <w:lang w:eastAsia="zh-CN"/>
        </w:rPr>
      </w:pPr>
      <w:r>
        <w:rPr>
          <w:rFonts w:hint="default" w:ascii="Times New Roman" w:hAnsi="Times New Roman" w:eastAsia="仿宋_GB2312" w:cs="Times New Roman"/>
          <w:b/>
          <w:color w:val="auto"/>
          <w:kern w:val="0"/>
          <w:sz w:val="21"/>
          <w:szCs w:val="21"/>
          <w:lang w:eastAsia="zh-CN"/>
        </w:rPr>
        <w:t>表</w:t>
      </w:r>
      <w:r>
        <w:rPr>
          <w:rFonts w:hint="default" w:ascii="Times New Roman" w:hAnsi="Times New Roman" w:eastAsia="仿宋_GB2312" w:cs="Times New Roman"/>
          <w:b/>
          <w:color w:val="auto"/>
          <w:kern w:val="0"/>
          <w:sz w:val="21"/>
          <w:szCs w:val="21"/>
          <w:lang w:val="en-US" w:eastAsia="zh-CN"/>
        </w:rPr>
        <w:t xml:space="preserve">7-8   </w:t>
      </w:r>
      <w:r>
        <w:rPr>
          <w:rFonts w:hint="default" w:ascii="Times New Roman" w:hAnsi="Times New Roman" w:eastAsia="仿宋_GB2312" w:cs="Times New Roman"/>
          <w:b/>
          <w:color w:val="auto"/>
          <w:kern w:val="0"/>
          <w:sz w:val="21"/>
          <w:szCs w:val="21"/>
          <w:lang w:eastAsia="zh-CN"/>
        </w:rPr>
        <w:t>工程措施单价分析表（三）</w:t>
      </w:r>
    </w:p>
    <w:tbl>
      <w:tblPr>
        <w:tblStyle w:val="61"/>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662"/>
        <w:gridCol w:w="1748"/>
        <w:gridCol w:w="714"/>
        <w:gridCol w:w="1066"/>
        <w:gridCol w:w="1216"/>
        <w:gridCol w:w="193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5000" w:type="pct"/>
            <w:gridSpan w:val="6"/>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抚育管理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2045" w:type="pct"/>
            <w:gridSpan w:val="2"/>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定额编号：08136</w:t>
            </w:r>
          </w:p>
        </w:tc>
        <w:tc>
          <w:tcPr>
            <w:tcW w:w="1796" w:type="pct"/>
            <w:gridSpan w:val="3"/>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抚育管理</w:t>
            </w:r>
          </w:p>
        </w:tc>
        <w:tc>
          <w:tcPr>
            <w:tcW w:w="115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定额单位hm²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5000" w:type="pct"/>
            <w:gridSpan w:val="6"/>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内容：松土、除草、培垄、定株、修枝、施肥、浇水、喷药等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99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编号</w:t>
            </w:r>
          </w:p>
        </w:tc>
        <w:tc>
          <w:tcPr>
            <w:tcW w:w="104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名称及规格</w:t>
            </w:r>
          </w:p>
        </w:tc>
        <w:tc>
          <w:tcPr>
            <w:tcW w:w="42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单位</w:t>
            </w:r>
          </w:p>
        </w:tc>
        <w:tc>
          <w:tcPr>
            <w:tcW w:w="63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数量</w:t>
            </w:r>
          </w:p>
        </w:tc>
        <w:tc>
          <w:tcPr>
            <w:tcW w:w="72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单价（元）</w:t>
            </w:r>
          </w:p>
        </w:tc>
        <w:tc>
          <w:tcPr>
            <w:tcW w:w="115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合价（元）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99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一</w:t>
            </w:r>
          </w:p>
        </w:tc>
        <w:tc>
          <w:tcPr>
            <w:tcW w:w="104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直接工程费</w:t>
            </w:r>
          </w:p>
        </w:tc>
        <w:tc>
          <w:tcPr>
            <w:tcW w:w="42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p>
        </w:tc>
        <w:tc>
          <w:tcPr>
            <w:tcW w:w="63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p>
        </w:tc>
        <w:tc>
          <w:tcPr>
            <w:tcW w:w="72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p>
        </w:tc>
        <w:tc>
          <w:tcPr>
            <w:tcW w:w="115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 xml:space="preserve">3171.17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99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（一）</w:t>
            </w:r>
          </w:p>
        </w:tc>
        <w:tc>
          <w:tcPr>
            <w:tcW w:w="104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直接费</w:t>
            </w:r>
          </w:p>
        </w:tc>
        <w:tc>
          <w:tcPr>
            <w:tcW w:w="42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p>
        </w:tc>
        <w:tc>
          <w:tcPr>
            <w:tcW w:w="63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p>
        </w:tc>
        <w:tc>
          <w:tcPr>
            <w:tcW w:w="72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p>
        </w:tc>
        <w:tc>
          <w:tcPr>
            <w:tcW w:w="115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 xml:space="preserve">3049.20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99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1</w:t>
            </w:r>
          </w:p>
        </w:tc>
        <w:tc>
          <w:tcPr>
            <w:tcW w:w="104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人工费</w:t>
            </w:r>
          </w:p>
        </w:tc>
        <w:tc>
          <w:tcPr>
            <w:tcW w:w="42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p>
        </w:tc>
        <w:tc>
          <w:tcPr>
            <w:tcW w:w="63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p>
        </w:tc>
        <w:tc>
          <w:tcPr>
            <w:tcW w:w="72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p>
        </w:tc>
        <w:tc>
          <w:tcPr>
            <w:tcW w:w="115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 xml:space="preserve">2178.00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99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p>
        </w:tc>
        <w:tc>
          <w:tcPr>
            <w:tcW w:w="104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人  工</w:t>
            </w:r>
          </w:p>
        </w:tc>
        <w:tc>
          <w:tcPr>
            <w:tcW w:w="42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工时</w:t>
            </w:r>
          </w:p>
        </w:tc>
        <w:tc>
          <w:tcPr>
            <w:tcW w:w="63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144</w:t>
            </w:r>
          </w:p>
        </w:tc>
        <w:tc>
          <w:tcPr>
            <w:tcW w:w="72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 xml:space="preserve">15.13 </w:t>
            </w:r>
          </w:p>
        </w:tc>
        <w:tc>
          <w:tcPr>
            <w:tcW w:w="115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 xml:space="preserve">2178.00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99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2</w:t>
            </w:r>
          </w:p>
        </w:tc>
        <w:tc>
          <w:tcPr>
            <w:tcW w:w="104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零星材料费</w:t>
            </w:r>
          </w:p>
        </w:tc>
        <w:tc>
          <w:tcPr>
            <w:tcW w:w="42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w:t>
            </w:r>
          </w:p>
        </w:tc>
        <w:tc>
          <w:tcPr>
            <w:tcW w:w="63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40</w:t>
            </w:r>
          </w:p>
        </w:tc>
        <w:tc>
          <w:tcPr>
            <w:tcW w:w="72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 xml:space="preserve">2178.00 </w:t>
            </w:r>
          </w:p>
        </w:tc>
        <w:tc>
          <w:tcPr>
            <w:tcW w:w="115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 xml:space="preserve">871.20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99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（二）</w:t>
            </w:r>
          </w:p>
        </w:tc>
        <w:tc>
          <w:tcPr>
            <w:tcW w:w="104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其他直接费</w:t>
            </w:r>
          </w:p>
        </w:tc>
        <w:tc>
          <w:tcPr>
            <w:tcW w:w="42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w:t>
            </w:r>
          </w:p>
        </w:tc>
        <w:tc>
          <w:tcPr>
            <w:tcW w:w="63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 xml:space="preserve">4.00 </w:t>
            </w:r>
          </w:p>
        </w:tc>
        <w:tc>
          <w:tcPr>
            <w:tcW w:w="72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 xml:space="preserve">3049.20 </w:t>
            </w:r>
          </w:p>
        </w:tc>
        <w:tc>
          <w:tcPr>
            <w:tcW w:w="115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 xml:space="preserve">121.97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99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二</w:t>
            </w:r>
          </w:p>
        </w:tc>
        <w:tc>
          <w:tcPr>
            <w:tcW w:w="104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间接费</w:t>
            </w:r>
          </w:p>
        </w:tc>
        <w:tc>
          <w:tcPr>
            <w:tcW w:w="42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w:t>
            </w:r>
          </w:p>
        </w:tc>
        <w:tc>
          <w:tcPr>
            <w:tcW w:w="63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 xml:space="preserve">5.50 </w:t>
            </w:r>
          </w:p>
        </w:tc>
        <w:tc>
          <w:tcPr>
            <w:tcW w:w="72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 xml:space="preserve">3171.17 </w:t>
            </w:r>
          </w:p>
        </w:tc>
        <w:tc>
          <w:tcPr>
            <w:tcW w:w="115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 xml:space="preserve">174.41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99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三</w:t>
            </w:r>
          </w:p>
        </w:tc>
        <w:tc>
          <w:tcPr>
            <w:tcW w:w="104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企业利润</w:t>
            </w:r>
          </w:p>
        </w:tc>
        <w:tc>
          <w:tcPr>
            <w:tcW w:w="42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w:t>
            </w:r>
          </w:p>
        </w:tc>
        <w:tc>
          <w:tcPr>
            <w:tcW w:w="63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 xml:space="preserve">7.00 </w:t>
            </w:r>
          </w:p>
        </w:tc>
        <w:tc>
          <w:tcPr>
            <w:tcW w:w="72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 xml:space="preserve">3345.58 </w:t>
            </w:r>
          </w:p>
        </w:tc>
        <w:tc>
          <w:tcPr>
            <w:tcW w:w="115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 xml:space="preserve">234.19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99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四</w:t>
            </w:r>
          </w:p>
        </w:tc>
        <w:tc>
          <w:tcPr>
            <w:tcW w:w="104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税金</w:t>
            </w:r>
          </w:p>
        </w:tc>
        <w:tc>
          <w:tcPr>
            <w:tcW w:w="42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w:t>
            </w:r>
          </w:p>
        </w:tc>
        <w:tc>
          <w:tcPr>
            <w:tcW w:w="639" w:type="pct"/>
            <w:tcBorders>
              <w:tl2br w:val="nil"/>
              <w:tr2bl w:val="nil"/>
            </w:tcBorders>
            <w:shd w:val="clear" w:color="auto" w:fill="auto"/>
            <w:noWrap/>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 xml:space="preserve">9.00 </w:t>
            </w:r>
          </w:p>
        </w:tc>
        <w:tc>
          <w:tcPr>
            <w:tcW w:w="72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 xml:space="preserve">3579.77 </w:t>
            </w:r>
          </w:p>
        </w:tc>
        <w:tc>
          <w:tcPr>
            <w:tcW w:w="115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 xml:space="preserve">322.18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99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五</w:t>
            </w:r>
          </w:p>
        </w:tc>
        <w:tc>
          <w:tcPr>
            <w:tcW w:w="104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估算扩大系数</w:t>
            </w:r>
          </w:p>
        </w:tc>
        <w:tc>
          <w:tcPr>
            <w:tcW w:w="42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w:t>
            </w:r>
          </w:p>
        </w:tc>
        <w:tc>
          <w:tcPr>
            <w:tcW w:w="63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 xml:space="preserve">0.00 </w:t>
            </w:r>
          </w:p>
        </w:tc>
        <w:tc>
          <w:tcPr>
            <w:tcW w:w="72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 xml:space="preserve">3901.95 </w:t>
            </w:r>
          </w:p>
        </w:tc>
        <w:tc>
          <w:tcPr>
            <w:tcW w:w="115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 xml:space="preserve">0.00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99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六</w:t>
            </w:r>
          </w:p>
        </w:tc>
        <w:tc>
          <w:tcPr>
            <w:tcW w:w="104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合计</w:t>
            </w:r>
          </w:p>
        </w:tc>
        <w:tc>
          <w:tcPr>
            <w:tcW w:w="428"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3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29"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1157" w:type="pct"/>
            <w:tcBorders>
              <w:tl2br w:val="nil"/>
              <w:tr2bl w:val="nil"/>
            </w:tcBorders>
            <w:shd w:val="clear" w:color="auto" w:fill="auto"/>
            <w:tcMar>
              <w:top w:w="15" w:type="dxa"/>
              <w:left w:w="15" w:type="dxa"/>
              <w:right w:w="15" w:type="dxa"/>
            </w:tcMar>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 xml:space="preserve">3901.95 </w:t>
            </w:r>
          </w:p>
        </w:tc>
      </w:tr>
    </w:tbl>
    <w:p>
      <w:pPr>
        <w:pStyle w:val="1102"/>
        <w:spacing w:line="240" w:lineRule="auto"/>
        <w:rPr>
          <w:rFonts w:hint="default" w:ascii="Times New Roman" w:hAnsi="Times New Roman" w:cs="Times New Roman"/>
          <w:color w:val="auto"/>
        </w:rPr>
      </w:pPr>
    </w:p>
    <w:p>
      <w:pPr>
        <w:pStyle w:val="4"/>
        <w:suppressAutoHyphens/>
        <w:spacing w:before="156" w:beforeLines="50" w:after="156" w:afterLines="50"/>
        <w:rPr>
          <w:rFonts w:hint="default" w:ascii="Times New Roman" w:hAnsi="Times New Roman" w:cs="Times New Roman"/>
          <w:color w:val="auto"/>
          <w:kern w:val="0"/>
        </w:rPr>
      </w:pPr>
      <w:bookmarkStart w:id="188" w:name="_Toc47879815"/>
      <w:bookmarkStart w:id="189" w:name="_Toc425493422"/>
      <w:r>
        <w:rPr>
          <w:rFonts w:hint="default" w:ascii="Times New Roman" w:hAnsi="Times New Roman" w:cs="Times New Roman"/>
          <w:color w:val="auto"/>
          <w:kern w:val="0"/>
        </w:rPr>
        <w:t>7.2 效益分析</w:t>
      </w:r>
      <w:bookmarkEnd w:id="188"/>
      <w:bookmarkEnd w:id="189"/>
    </w:p>
    <w:p>
      <w:pPr>
        <w:suppressAutoHyphens/>
        <w:ind w:firstLine="482"/>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（1）六项水土流失防治指标</w:t>
      </w:r>
    </w:p>
    <w:p>
      <w:pPr>
        <w:suppressAutoHyphens/>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*1）表土保护率=项目水土流失防治责任范围内保护的表土数量占可剥离表土总量的百分比。</w:t>
      </w:r>
    </w:p>
    <w:p>
      <w:pPr>
        <w:suppressAutoHyphens/>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*2）水土流失治理度=项目水土流失防治责任范围内水土流失治理达标面积占水土流失总面积的百分比。</w:t>
      </w:r>
    </w:p>
    <w:p>
      <w:pPr>
        <w:suppressAutoHyphens/>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*3）土壤流失控制比＝项目水土流失防治责任范围内容许土壤流失量与治理后每平方公里平均土壤流失量之比。</w:t>
      </w:r>
    </w:p>
    <w:p>
      <w:pPr>
        <w:suppressAutoHyphens/>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*4）渣土防护率=项目水土流失防治责任范围内采取措施实际挡护的永久弃渣、临时堆土数量占永久弃渣和临时堆土总量的百分比。</w:t>
      </w:r>
    </w:p>
    <w:p>
      <w:pPr>
        <w:suppressAutoHyphens/>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*5）林草植被恢复率=项目水土流失防治责任范围内林草植被面积占可恢复林草植被面积的百分比。</w:t>
      </w:r>
    </w:p>
    <w:p>
      <w:pPr>
        <w:suppressAutoHyphens/>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*6）林草覆盖率=项目水土流失防治责任范围内林草类植被面积占总面积的百分比。上述6项统计结果见表7-</w:t>
      </w:r>
      <w:r>
        <w:rPr>
          <w:rFonts w:hint="eastAsia" w:eastAsia="仿宋_GB2312" w:cs="Times New Roman"/>
          <w:color w:val="auto"/>
          <w:kern w:val="0"/>
          <w:lang w:val="en-US" w:eastAsia="zh-CN"/>
        </w:rPr>
        <w:t>9</w:t>
      </w:r>
      <w:r>
        <w:rPr>
          <w:rFonts w:hint="default" w:ascii="Times New Roman" w:hAnsi="Times New Roman" w:eastAsia="仿宋_GB2312" w:cs="Times New Roman"/>
          <w:color w:val="auto"/>
          <w:kern w:val="0"/>
        </w:rPr>
        <w:t>、7-</w:t>
      </w:r>
      <w:r>
        <w:rPr>
          <w:rFonts w:hint="eastAsia" w:eastAsia="仿宋_GB2312" w:cs="Times New Roman"/>
          <w:color w:val="auto"/>
          <w:kern w:val="0"/>
          <w:lang w:val="en-US" w:eastAsia="zh-CN"/>
        </w:rPr>
        <w:t>10</w:t>
      </w:r>
      <w:r>
        <w:rPr>
          <w:rFonts w:hint="default" w:ascii="Times New Roman" w:hAnsi="Times New Roman" w:eastAsia="仿宋_GB2312" w:cs="Times New Roman"/>
          <w:color w:val="auto"/>
          <w:kern w:val="0"/>
        </w:rPr>
        <w:t>。</w:t>
      </w:r>
    </w:p>
    <w:p>
      <w:pPr>
        <w:suppressAutoHyphens/>
        <w:spacing w:line="240" w:lineRule="auto"/>
        <w:ind w:firstLine="422"/>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color w:val="auto"/>
          <w:kern w:val="0"/>
          <w:sz w:val="21"/>
          <w:szCs w:val="21"/>
        </w:rPr>
        <w:t>表7-</w:t>
      </w:r>
      <w:r>
        <w:rPr>
          <w:rFonts w:hint="eastAsia" w:eastAsia="仿宋_GB2312" w:cs="Times New Roman"/>
          <w:b/>
          <w:color w:val="auto"/>
          <w:kern w:val="0"/>
          <w:sz w:val="21"/>
          <w:szCs w:val="21"/>
          <w:lang w:val="en-US" w:eastAsia="zh-CN"/>
        </w:rPr>
        <w:t>9</w:t>
      </w:r>
      <w:r>
        <w:rPr>
          <w:rFonts w:hint="default" w:ascii="Times New Roman" w:hAnsi="Times New Roman" w:eastAsia="仿宋_GB2312" w:cs="Times New Roman"/>
          <w:b/>
          <w:color w:val="auto"/>
          <w:kern w:val="0"/>
          <w:sz w:val="21"/>
          <w:szCs w:val="21"/>
        </w:rPr>
        <w:t xml:space="preserve">   土壤流失控制比、水土流失治理度一览表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82"/>
        <w:gridCol w:w="1003"/>
        <w:gridCol w:w="1237"/>
        <w:gridCol w:w="1240"/>
        <w:gridCol w:w="1100"/>
        <w:gridCol w:w="1133"/>
        <w:gridCol w:w="11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986" w:type="pct"/>
            <w:vMerge w:val="restart"/>
            <w:vAlign w:val="center"/>
          </w:tcPr>
          <w:p>
            <w:pPr>
              <w:suppressAutoHyphens/>
              <w:spacing w:line="240" w:lineRule="auto"/>
              <w:ind w:firstLine="36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rPr>
              <w:t>调查单元</w:t>
            </w:r>
          </w:p>
        </w:tc>
        <w:tc>
          <w:tcPr>
            <w:tcW w:w="588" w:type="pct"/>
            <w:vMerge w:val="restart"/>
            <w:vAlign w:val="center"/>
          </w:tcPr>
          <w:p>
            <w:pPr>
              <w:suppressAutoHyphens/>
              <w:spacing w:line="240" w:lineRule="auto"/>
              <w:ind w:firstLine="36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rPr>
              <w:t>扰动土地面积（hm</w:t>
            </w:r>
            <w:r>
              <w:rPr>
                <w:rFonts w:hint="default" w:ascii="Times New Roman" w:hAnsi="Times New Roman" w:eastAsia="仿宋_GB2312" w:cs="Times New Roman"/>
                <w:bCs/>
                <w:color w:val="auto"/>
                <w:sz w:val="18"/>
                <w:szCs w:val="18"/>
                <w:vertAlign w:val="superscript"/>
              </w:rPr>
              <w:t>2</w:t>
            </w:r>
            <w:r>
              <w:rPr>
                <w:rFonts w:hint="default" w:ascii="Times New Roman" w:hAnsi="Times New Roman" w:eastAsia="仿宋_GB2312" w:cs="Times New Roman"/>
                <w:bCs/>
                <w:color w:val="auto"/>
                <w:sz w:val="18"/>
                <w:szCs w:val="18"/>
              </w:rPr>
              <w:t>）</w:t>
            </w:r>
          </w:p>
        </w:tc>
        <w:tc>
          <w:tcPr>
            <w:tcW w:w="1452" w:type="pct"/>
            <w:gridSpan w:val="2"/>
            <w:vAlign w:val="center"/>
          </w:tcPr>
          <w:p>
            <w:pPr>
              <w:widowControl/>
              <w:suppressAutoHyphens/>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rPr>
              <w:t>治理达标面积（hm</w:t>
            </w:r>
            <w:r>
              <w:rPr>
                <w:rFonts w:hint="default" w:ascii="Times New Roman" w:hAnsi="Times New Roman" w:eastAsia="仿宋_GB2312" w:cs="Times New Roman"/>
                <w:bCs/>
                <w:color w:val="auto"/>
                <w:sz w:val="18"/>
                <w:szCs w:val="18"/>
                <w:vertAlign w:val="superscript"/>
              </w:rPr>
              <w:t>2</w:t>
            </w:r>
            <w:r>
              <w:rPr>
                <w:rFonts w:hint="default" w:ascii="Times New Roman" w:hAnsi="Times New Roman" w:eastAsia="仿宋_GB2312" w:cs="Times New Roman"/>
                <w:bCs/>
                <w:color w:val="auto"/>
                <w:sz w:val="18"/>
                <w:szCs w:val="18"/>
              </w:rPr>
              <w:t>）</w:t>
            </w:r>
          </w:p>
        </w:tc>
        <w:tc>
          <w:tcPr>
            <w:tcW w:w="645" w:type="pct"/>
            <w:vMerge w:val="restar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土壤侵蚀模数（t/km</w:t>
            </w:r>
            <w:r>
              <w:rPr>
                <w:rFonts w:hint="default" w:ascii="Times New Roman" w:hAnsi="Times New Roman" w:cs="Times New Roman"/>
                <w:color w:val="auto"/>
                <w:kern w:val="0"/>
                <w:sz w:val="18"/>
                <w:szCs w:val="21"/>
              </w:rPr>
              <w:t>²</w:t>
            </w:r>
            <w:r>
              <w:rPr>
                <w:rFonts w:hint="default" w:ascii="Times New Roman" w:hAnsi="Times New Roman" w:eastAsia="仿宋_GB2312" w:cs="Times New Roman"/>
                <w:color w:val="auto"/>
                <w:kern w:val="0"/>
                <w:sz w:val="18"/>
                <w:szCs w:val="21"/>
              </w:rPr>
              <w:t>·a）</w:t>
            </w:r>
          </w:p>
        </w:tc>
        <w:tc>
          <w:tcPr>
            <w:tcW w:w="664" w:type="pct"/>
            <w:vMerge w:val="restart"/>
            <w:vAlign w:val="center"/>
          </w:tcPr>
          <w:p>
            <w:pPr>
              <w:suppressAutoHyphens/>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rPr>
              <w:t>水土流失治理度（%）</w:t>
            </w:r>
          </w:p>
        </w:tc>
        <w:tc>
          <w:tcPr>
            <w:tcW w:w="664" w:type="pct"/>
            <w:vMerge w:val="restart"/>
            <w:vAlign w:val="center"/>
          </w:tcPr>
          <w:p>
            <w:pPr>
              <w:suppressAutoHyphens/>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rPr>
              <w:t>渣土防护率（%）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986" w:type="pct"/>
            <w:vMerge w:val="continue"/>
            <w:vAlign w:val="center"/>
          </w:tcPr>
          <w:p>
            <w:pPr>
              <w:widowControl/>
              <w:suppressAutoHyphens/>
              <w:spacing w:line="240" w:lineRule="auto"/>
              <w:ind w:firstLine="0" w:firstLineChars="0"/>
              <w:jc w:val="center"/>
              <w:rPr>
                <w:rFonts w:hint="default" w:ascii="Times New Roman" w:hAnsi="Times New Roman" w:eastAsia="仿宋_GB2312" w:cs="Times New Roman"/>
                <w:bCs/>
                <w:color w:val="auto"/>
                <w:sz w:val="18"/>
                <w:szCs w:val="18"/>
              </w:rPr>
            </w:pPr>
          </w:p>
        </w:tc>
        <w:tc>
          <w:tcPr>
            <w:tcW w:w="588" w:type="pct"/>
            <w:vMerge w:val="continue"/>
            <w:vAlign w:val="center"/>
          </w:tcPr>
          <w:p>
            <w:pPr>
              <w:widowControl/>
              <w:suppressAutoHyphens/>
              <w:spacing w:line="240" w:lineRule="auto"/>
              <w:ind w:firstLine="0" w:firstLineChars="0"/>
              <w:jc w:val="center"/>
              <w:rPr>
                <w:rFonts w:hint="default" w:ascii="Times New Roman" w:hAnsi="Times New Roman" w:eastAsia="仿宋_GB2312" w:cs="Times New Roman"/>
                <w:bCs/>
                <w:color w:val="auto"/>
                <w:sz w:val="18"/>
                <w:szCs w:val="18"/>
              </w:rPr>
            </w:pPr>
          </w:p>
        </w:tc>
        <w:tc>
          <w:tcPr>
            <w:tcW w:w="725" w:type="pct"/>
            <w:vAlign w:val="center"/>
          </w:tcPr>
          <w:p>
            <w:pPr>
              <w:widowControl/>
              <w:suppressAutoHyphens/>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rPr>
              <w:t>永久建筑占压面积</w:t>
            </w:r>
          </w:p>
        </w:tc>
        <w:tc>
          <w:tcPr>
            <w:tcW w:w="727" w:type="pct"/>
            <w:vAlign w:val="center"/>
          </w:tcPr>
          <w:p>
            <w:pPr>
              <w:widowControl/>
              <w:suppressAutoHyphens/>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rPr>
              <w:t>水土保持措施面积</w:t>
            </w:r>
          </w:p>
        </w:tc>
        <w:tc>
          <w:tcPr>
            <w:tcW w:w="645" w:type="pct"/>
            <w:vMerge w:val="continue"/>
            <w:vAlign w:val="center"/>
          </w:tcPr>
          <w:p>
            <w:pPr>
              <w:widowControl/>
              <w:suppressAutoHyphens/>
              <w:spacing w:line="240" w:lineRule="auto"/>
              <w:ind w:firstLine="0" w:firstLineChars="0"/>
              <w:jc w:val="center"/>
              <w:rPr>
                <w:rFonts w:hint="default" w:ascii="Times New Roman" w:hAnsi="Times New Roman" w:eastAsia="仿宋_GB2312" w:cs="Times New Roman"/>
                <w:bCs/>
                <w:color w:val="auto"/>
                <w:sz w:val="18"/>
                <w:szCs w:val="18"/>
              </w:rPr>
            </w:pPr>
          </w:p>
        </w:tc>
        <w:tc>
          <w:tcPr>
            <w:tcW w:w="664" w:type="pct"/>
            <w:vMerge w:val="continue"/>
            <w:vAlign w:val="center"/>
          </w:tcPr>
          <w:p>
            <w:pPr>
              <w:widowControl/>
              <w:suppressAutoHyphens/>
              <w:spacing w:line="240" w:lineRule="auto"/>
              <w:ind w:firstLine="0" w:firstLineChars="0"/>
              <w:jc w:val="center"/>
              <w:rPr>
                <w:rFonts w:hint="default" w:ascii="Times New Roman" w:hAnsi="Times New Roman" w:eastAsia="仿宋_GB2312" w:cs="Times New Roman"/>
                <w:bCs/>
                <w:color w:val="auto"/>
                <w:sz w:val="18"/>
                <w:szCs w:val="18"/>
              </w:rPr>
            </w:pPr>
          </w:p>
        </w:tc>
        <w:tc>
          <w:tcPr>
            <w:tcW w:w="664" w:type="pct"/>
            <w:vMerge w:val="continue"/>
            <w:vAlign w:val="center"/>
          </w:tcPr>
          <w:p>
            <w:pPr>
              <w:widowControl/>
              <w:suppressAutoHyphens/>
              <w:spacing w:line="240" w:lineRule="auto"/>
              <w:ind w:firstLine="0" w:firstLineChars="0"/>
              <w:jc w:val="center"/>
              <w:rPr>
                <w:rFonts w:hint="default" w:ascii="Times New Roman" w:hAnsi="Times New Roman" w:eastAsia="仿宋_GB2312" w:cs="Times New Roman"/>
                <w:bCs/>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 w:hRule="atLeast"/>
          <w:jc w:val="center"/>
        </w:trPr>
        <w:tc>
          <w:tcPr>
            <w:tcW w:w="98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建筑工程区</w:t>
            </w:r>
          </w:p>
        </w:tc>
        <w:tc>
          <w:tcPr>
            <w:tcW w:w="58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0.06</w:t>
            </w:r>
          </w:p>
        </w:tc>
        <w:tc>
          <w:tcPr>
            <w:tcW w:w="72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0.06</w:t>
            </w:r>
          </w:p>
        </w:tc>
        <w:tc>
          <w:tcPr>
            <w:tcW w:w="727"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c>
          <w:tcPr>
            <w:tcW w:w="645"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450</w:t>
            </w:r>
          </w:p>
        </w:tc>
        <w:tc>
          <w:tcPr>
            <w:tcW w:w="664"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100.0</w:t>
            </w:r>
          </w:p>
        </w:tc>
        <w:tc>
          <w:tcPr>
            <w:tcW w:w="664"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96.5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 w:hRule="atLeast"/>
          <w:jc w:val="center"/>
        </w:trPr>
        <w:tc>
          <w:tcPr>
            <w:tcW w:w="98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道路硬化区</w:t>
            </w:r>
          </w:p>
        </w:tc>
        <w:tc>
          <w:tcPr>
            <w:tcW w:w="58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0.03</w:t>
            </w:r>
          </w:p>
        </w:tc>
        <w:tc>
          <w:tcPr>
            <w:tcW w:w="72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0.03</w:t>
            </w:r>
          </w:p>
        </w:tc>
        <w:tc>
          <w:tcPr>
            <w:tcW w:w="727"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c>
          <w:tcPr>
            <w:tcW w:w="645"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450</w:t>
            </w:r>
          </w:p>
        </w:tc>
        <w:tc>
          <w:tcPr>
            <w:tcW w:w="664"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100.0</w:t>
            </w:r>
          </w:p>
        </w:tc>
        <w:tc>
          <w:tcPr>
            <w:tcW w:w="664"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96.5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 w:hRule="atLeast"/>
          <w:jc w:val="center"/>
        </w:trPr>
        <w:tc>
          <w:tcPr>
            <w:tcW w:w="98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景观绿化区</w:t>
            </w:r>
          </w:p>
        </w:tc>
        <w:tc>
          <w:tcPr>
            <w:tcW w:w="58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0.03</w:t>
            </w:r>
          </w:p>
        </w:tc>
        <w:tc>
          <w:tcPr>
            <w:tcW w:w="725"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c>
          <w:tcPr>
            <w:tcW w:w="727"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0.03</w:t>
            </w:r>
          </w:p>
        </w:tc>
        <w:tc>
          <w:tcPr>
            <w:tcW w:w="645"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500</w:t>
            </w:r>
          </w:p>
        </w:tc>
        <w:tc>
          <w:tcPr>
            <w:tcW w:w="664"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100.0</w:t>
            </w:r>
          </w:p>
        </w:tc>
        <w:tc>
          <w:tcPr>
            <w:tcW w:w="664"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96.5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986"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合    计</w:t>
            </w:r>
          </w:p>
        </w:tc>
        <w:tc>
          <w:tcPr>
            <w:tcW w:w="58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0.12</w:t>
            </w:r>
          </w:p>
        </w:tc>
        <w:tc>
          <w:tcPr>
            <w:tcW w:w="725"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0.08</w:t>
            </w:r>
          </w:p>
        </w:tc>
        <w:tc>
          <w:tcPr>
            <w:tcW w:w="727"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0.03</w:t>
            </w:r>
          </w:p>
        </w:tc>
        <w:tc>
          <w:tcPr>
            <w:tcW w:w="645"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462</w:t>
            </w:r>
          </w:p>
        </w:tc>
        <w:tc>
          <w:tcPr>
            <w:tcW w:w="664"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21"/>
              </w:rPr>
              <w:t>100.0</w:t>
            </w:r>
          </w:p>
        </w:tc>
        <w:tc>
          <w:tcPr>
            <w:tcW w:w="664"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21"/>
              </w:rPr>
              <w:t>96.5</w:t>
            </w:r>
          </w:p>
        </w:tc>
      </w:tr>
    </w:tbl>
    <w:p>
      <w:pPr>
        <w:suppressAutoHyphens/>
        <w:spacing w:line="240" w:lineRule="auto"/>
        <w:ind w:firstLine="422"/>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color w:val="auto"/>
          <w:kern w:val="0"/>
          <w:sz w:val="21"/>
          <w:szCs w:val="21"/>
        </w:rPr>
        <w:t>表7-10   林草植被恢复率、林草覆盖率计算一览表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707"/>
        <w:gridCol w:w="1160"/>
        <w:gridCol w:w="1194"/>
        <w:gridCol w:w="1191"/>
        <w:gridCol w:w="1138"/>
        <w:gridCol w:w="11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 w:hRule="atLeast"/>
          <w:jc w:val="center"/>
        </w:trPr>
        <w:tc>
          <w:tcPr>
            <w:tcW w:w="1587"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项 目</w:t>
            </w:r>
          </w:p>
        </w:tc>
        <w:tc>
          <w:tcPr>
            <w:tcW w:w="680"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占地总面积（hm</w:t>
            </w:r>
            <w:r>
              <w:rPr>
                <w:rFonts w:hint="default" w:ascii="Times New Roman" w:hAnsi="Times New Roman" w:cs="Times New Roman"/>
                <w:color w:val="auto"/>
                <w:kern w:val="0"/>
                <w:sz w:val="18"/>
                <w:szCs w:val="21"/>
              </w:rPr>
              <w:t>²</w:t>
            </w:r>
            <w:r>
              <w:rPr>
                <w:rFonts w:hint="default" w:ascii="Times New Roman" w:hAnsi="Times New Roman" w:eastAsia="仿宋_GB2312" w:cs="Times New Roman"/>
                <w:color w:val="auto"/>
                <w:kern w:val="0"/>
                <w:sz w:val="18"/>
                <w:szCs w:val="21"/>
              </w:rPr>
              <w:t>）</w:t>
            </w:r>
          </w:p>
        </w:tc>
        <w:tc>
          <w:tcPr>
            <w:tcW w:w="700"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植物措施面积（hm</w:t>
            </w:r>
            <w:r>
              <w:rPr>
                <w:rFonts w:hint="default" w:ascii="Times New Roman" w:hAnsi="Times New Roman" w:cs="Times New Roman"/>
                <w:color w:val="auto"/>
                <w:kern w:val="0"/>
                <w:sz w:val="18"/>
                <w:szCs w:val="21"/>
              </w:rPr>
              <w:t>²</w:t>
            </w:r>
            <w:r>
              <w:rPr>
                <w:rFonts w:hint="default" w:ascii="Times New Roman" w:hAnsi="Times New Roman" w:eastAsia="仿宋_GB2312" w:cs="Times New Roman"/>
                <w:color w:val="auto"/>
                <w:kern w:val="0"/>
                <w:sz w:val="18"/>
                <w:szCs w:val="21"/>
              </w:rPr>
              <w:t>）</w:t>
            </w:r>
          </w:p>
        </w:tc>
        <w:tc>
          <w:tcPr>
            <w:tcW w:w="698"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可绿化面积（hm</w:t>
            </w:r>
            <w:r>
              <w:rPr>
                <w:rFonts w:hint="default" w:ascii="Times New Roman" w:hAnsi="Times New Roman" w:cs="Times New Roman"/>
                <w:color w:val="auto"/>
                <w:kern w:val="0"/>
                <w:sz w:val="18"/>
                <w:szCs w:val="21"/>
              </w:rPr>
              <w:t>²</w:t>
            </w:r>
            <w:r>
              <w:rPr>
                <w:rFonts w:hint="default" w:ascii="Times New Roman" w:hAnsi="Times New Roman" w:eastAsia="仿宋_GB2312" w:cs="Times New Roman"/>
                <w:color w:val="auto"/>
                <w:kern w:val="0"/>
                <w:sz w:val="18"/>
                <w:szCs w:val="21"/>
              </w:rPr>
              <w:t>）</w:t>
            </w:r>
          </w:p>
        </w:tc>
        <w:tc>
          <w:tcPr>
            <w:tcW w:w="667"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林草植被恢复率（%）</w:t>
            </w:r>
          </w:p>
        </w:tc>
        <w:tc>
          <w:tcPr>
            <w:tcW w:w="667" w:type="pct"/>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林草覆盖率（%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58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建筑工程区</w:t>
            </w:r>
          </w:p>
        </w:tc>
        <w:tc>
          <w:tcPr>
            <w:tcW w:w="68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0.06</w:t>
            </w:r>
          </w:p>
        </w:tc>
        <w:tc>
          <w:tcPr>
            <w:tcW w:w="700"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c>
          <w:tcPr>
            <w:tcW w:w="698"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c>
          <w:tcPr>
            <w:tcW w:w="667"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c>
          <w:tcPr>
            <w:tcW w:w="667" w:type="pct"/>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58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道路硬化区</w:t>
            </w:r>
          </w:p>
        </w:tc>
        <w:tc>
          <w:tcPr>
            <w:tcW w:w="68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0.03</w:t>
            </w:r>
          </w:p>
        </w:tc>
        <w:tc>
          <w:tcPr>
            <w:tcW w:w="700"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c>
          <w:tcPr>
            <w:tcW w:w="698"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c>
          <w:tcPr>
            <w:tcW w:w="667"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c>
          <w:tcPr>
            <w:tcW w:w="667" w:type="pct"/>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58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景观绿化区</w:t>
            </w:r>
          </w:p>
        </w:tc>
        <w:tc>
          <w:tcPr>
            <w:tcW w:w="68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0.03</w:t>
            </w:r>
          </w:p>
        </w:tc>
        <w:tc>
          <w:tcPr>
            <w:tcW w:w="700"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0.03</w:t>
            </w:r>
          </w:p>
        </w:tc>
        <w:tc>
          <w:tcPr>
            <w:tcW w:w="698"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0.03</w:t>
            </w:r>
          </w:p>
        </w:tc>
        <w:tc>
          <w:tcPr>
            <w:tcW w:w="667"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100.0</w:t>
            </w:r>
          </w:p>
        </w:tc>
        <w:tc>
          <w:tcPr>
            <w:tcW w:w="667" w:type="pct"/>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587"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合计</w:t>
            </w:r>
          </w:p>
        </w:tc>
        <w:tc>
          <w:tcPr>
            <w:tcW w:w="680" w:type="pct"/>
            <w:vAlign w:val="center"/>
          </w:tcPr>
          <w:p>
            <w:pPr>
              <w:widowControl/>
              <w:suppressAutoHyphens/>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color w:val="auto"/>
                <w:kern w:val="0"/>
                <w:sz w:val="18"/>
                <w:szCs w:val="18"/>
              </w:rPr>
              <w:t>0.12</w:t>
            </w:r>
          </w:p>
        </w:tc>
        <w:tc>
          <w:tcPr>
            <w:tcW w:w="700" w:type="pct"/>
            <w:vAlign w:val="center"/>
          </w:tcPr>
          <w:p>
            <w:pPr>
              <w:widowControl/>
              <w:suppressAutoHyphens/>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color w:val="auto"/>
                <w:kern w:val="0"/>
                <w:sz w:val="18"/>
                <w:szCs w:val="18"/>
              </w:rPr>
              <w:t>0.03</w:t>
            </w:r>
          </w:p>
        </w:tc>
        <w:tc>
          <w:tcPr>
            <w:tcW w:w="698" w:type="pct"/>
            <w:vAlign w:val="center"/>
          </w:tcPr>
          <w:p>
            <w:pPr>
              <w:widowControl/>
              <w:suppressAutoHyphens/>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color w:val="auto"/>
                <w:kern w:val="0"/>
                <w:sz w:val="18"/>
                <w:szCs w:val="18"/>
              </w:rPr>
              <w:t>0.03</w:t>
            </w:r>
          </w:p>
        </w:tc>
        <w:tc>
          <w:tcPr>
            <w:tcW w:w="667"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18"/>
              </w:rPr>
              <w:t>100.0</w:t>
            </w:r>
          </w:p>
        </w:tc>
        <w:tc>
          <w:tcPr>
            <w:tcW w:w="667" w:type="pct"/>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25.0</w:t>
            </w:r>
          </w:p>
        </w:tc>
      </w:tr>
    </w:tbl>
    <w:p>
      <w:pPr>
        <w:suppressAutoHyphens/>
        <w:spacing w:line="240" w:lineRule="auto"/>
        <w:ind w:firstLine="422"/>
        <w:jc w:val="center"/>
        <w:rPr>
          <w:rFonts w:hint="default" w:ascii="Times New Roman" w:hAnsi="Times New Roman" w:eastAsia="仿宋_GB2312" w:cs="Times New Roman"/>
          <w:b/>
          <w:color w:val="auto"/>
          <w:kern w:val="0"/>
          <w:sz w:val="21"/>
          <w:szCs w:val="21"/>
        </w:rPr>
      </w:pPr>
    </w:p>
    <w:p>
      <w:pPr>
        <w:suppressAutoHyphens/>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至设计水平年，落实相关水保措施后，水土流失治理度100.0%（目标值85%）、土壤流失控制比1.08（目标值1.0）、渣土防护率96.5%（目标值87%）、表土保护率（项目区无表土可剥离，该值不计列），林草植被恢复率100.0%（目标值95%）、林草覆盖率25.0%（目标值18%）；水土流失防治指标均能够满足水保方案提出的目标值。</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水土保持方案实施后，水土流失治理面积0.12hm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rPr>
        <w:t>，林草植被建设面积0.03hm</w:t>
      </w:r>
      <w:r>
        <w:rPr>
          <w:rFonts w:hint="default" w:ascii="Times New Roman" w:hAnsi="Times New Roman" w:eastAsia="仿宋_GB2312" w:cs="Times New Roman"/>
          <w:color w:val="auto"/>
          <w:kern w:val="0"/>
          <w:vertAlign w:val="superscript"/>
        </w:rPr>
        <w:t>2</w:t>
      </w:r>
      <w:r>
        <w:rPr>
          <w:rFonts w:hint="default" w:ascii="Times New Roman" w:hAnsi="Times New Roman" w:cs="Times New Roman"/>
          <w:color w:val="auto"/>
        </w:rPr>
        <w:t>，</w:t>
      </w:r>
      <w:r>
        <w:rPr>
          <w:rFonts w:hint="default" w:ascii="Times New Roman" w:hAnsi="Times New Roman" w:eastAsia="仿宋_GB2312" w:cs="Times New Roman"/>
          <w:color w:val="auto"/>
          <w:kern w:val="0"/>
        </w:rPr>
        <w:t>可减少土壤流失量1.3t。</w:t>
      </w:r>
    </w:p>
    <w:p>
      <w:pPr>
        <w:pStyle w:val="23"/>
        <w:bidi w:val="0"/>
        <w:rPr>
          <w:rFonts w:hint="default" w:ascii="Times New Roman" w:hAnsi="Times New Roman" w:cs="Times New Roman"/>
          <w:color w:val="auto"/>
        </w:rPr>
      </w:pPr>
    </w:p>
    <w:p>
      <w:pPr>
        <w:suppressAutoHyphens/>
        <w:ind w:firstLine="482"/>
        <w:rPr>
          <w:rFonts w:hint="default" w:ascii="Times New Roman" w:hAnsi="Times New Roman" w:eastAsia="仿宋_GB2312" w:cs="Times New Roman"/>
          <w:color w:val="auto"/>
          <w:kern w:val="0"/>
        </w:rPr>
      </w:pPr>
      <w:r>
        <w:rPr>
          <w:rFonts w:hint="default" w:ascii="Times New Roman" w:hAnsi="Times New Roman" w:eastAsia="仿宋_GB2312" w:cs="Times New Roman"/>
          <w:b/>
          <w:color w:val="auto"/>
        </w:rPr>
        <w:t>（2）水土保持效益分析</w:t>
      </w:r>
    </w:p>
    <w:p>
      <w:pPr>
        <w:suppressAutoHyphens/>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fldChar w:fldCharType="begin"/>
      </w:r>
      <w:r>
        <w:rPr>
          <w:rFonts w:hint="default" w:ascii="Times New Roman" w:hAnsi="Times New Roman" w:eastAsia="仿宋_GB2312" w:cs="Times New Roman"/>
          <w:color w:val="auto"/>
          <w:kern w:val="0"/>
        </w:rPr>
        <w:instrText xml:space="preserve"> = 1 \* GB3 </w:instrText>
      </w:r>
      <w:r>
        <w:rPr>
          <w:rFonts w:hint="default" w:ascii="Times New Roman" w:hAnsi="Times New Roman" w:eastAsia="仿宋_GB2312" w:cs="Times New Roman"/>
          <w:color w:val="auto"/>
          <w:kern w:val="0"/>
        </w:rPr>
        <w:fldChar w:fldCharType="separate"/>
      </w:r>
      <w:r>
        <w:rPr>
          <w:rFonts w:hint="default" w:ascii="Times New Roman" w:hAnsi="Times New Roman" w:cs="Times New Roman"/>
          <w:color w:val="auto"/>
          <w:kern w:val="0"/>
        </w:rPr>
        <w:t>①</w:t>
      </w:r>
      <w:r>
        <w:rPr>
          <w:rFonts w:hint="default" w:ascii="Times New Roman" w:hAnsi="Times New Roman" w:eastAsia="仿宋_GB2312" w:cs="Times New Roman"/>
          <w:color w:val="auto"/>
          <w:kern w:val="0"/>
        </w:rPr>
        <w:fldChar w:fldCharType="end"/>
      </w:r>
      <w:r>
        <w:rPr>
          <w:rFonts w:hint="default" w:ascii="Times New Roman" w:hAnsi="Times New Roman" w:eastAsia="仿宋_GB2312" w:cs="Times New Roman"/>
          <w:color w:val="auto"/>
          <w:kern w:val="0"/>
        </w:rPr>
        <w:t>生态效益</w:t>
      </w:r>
    </w:p>
    <w:p>
      <w:pPr>
        <w:snapToGrid w:val="0"/>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通过落实水土流失治理措施，工程完工后，水土保持设施逐步发挥功能，建设区侵蚀模数可低于500t/（km</w:t>
      </w:r>
      <w:r>
        <w:rPr>
          <w:rFonts w:hint="default" w:ascii="Times New Roman" w:hAnsi="Times New Roman" w:eastAsia="仿宋_GB2312" w:cs="Times New Roman"/>
          <w:color w:val="auto"/>
          <w:szCs w:val="24"/>
          <w:vertAlign w:val="superscript"/>
        </w:rPr>
        <w:t>2</w:t>
      </w:r>
      <w:r>
        <w:rPr>
          <w:rFonts w:hint="default" w:ascii="Times New Roman" w:hAnsi="Times New Roman" w:eastAsia="仿宋_GB2312" w:cs="Times New Roman"/>
          <w:color w:val="auto"/>
          <w:szCs w:val="24"/>
        </w:rPr>
        <w:t>·a）。</w:t>
      </w:r>
    </w:p>
    <w:p>
      <w:pPr>
        <w:snapToGrid w:val="0"/>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fldChar w:fldCharType="begin"/>
      </w:r>
      <w:r>
        <w:rPr>
          <w:rFonts w:hint="default" w:ascii="Times New Roman" w:hAnsi="Times New Roman" w:eastAsia="仿宋_GB2312" w:cs="Times New Roman"/>
          <w:color w:val="auto"/>
          <w:szCs w:val="24"/>
        </w:rPr>
        <w:instrText xml:space="preserve"> = 2 \* GB3 </w:instrText>
      </w:r>
      <w:r>
        <w:rPr>
          <w:rFonts w:hint="default" w:ascii="Times New Roman" w:hAnsi="Times New Roman" w:eastAsia="仿宋_GB2312" w:cs="Times New Roman"/>
          <w:color w:val="auto"/>
          <w:szCs w:val="24"/>
        </w:rPr>
        <w:fldChar w:fldCharType="separate"/>
      </w:r>
      <w:r>
        <w:rPr>
          <w:rFonts w:hint="default" w:ascii="Times New Roman" w:hAnsi="Times New Roman" w:cs="Times New Roman"/>
          <w:color w:val="auto"/>
          <w:szCs w:val="24"/>
        </w:rPr>
        <w:t>②</w:t>
      </w:r>
      <w:r>
        <w:rPr>
          <w:rFonts w:hint="default" w:ascii="Times New Roman" w:hAnsi="Times New Roman" w:eastAsia="仿宋_GB2312" w:cs="Times New Roman"/>
          <w:color w:val="auto"/>
          <w:szCs w:val="24"/>
        </w:rPr>
        <w:fldChar w:fldCharType="end"/>
      </w:r>
      <w:r>
        <w:rPr>
          <w:rFonts w:hint="default" w:ascii="Times New Roman" w:hAnsi="Times New Roman" w:eastAsia="仿宋_GB2312" w:cs="Times New Roman"/>
          <w:color w:val="auto"/>
          <w:szCs w:val="24"/>
        </w:rPr>
        <w:t>社会效益</w:t>
      </w:r>
    </w:p>
    <w:p>
      <w:pPr>
        <w:widowControl/>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通过认真贯彻水土保持法规，因地制宜地采取水土保持预防措施、治理措施、监测检查督促等措施，使项目建设期可能造成的水土流失及危害降到最低限度，从而确保项目建设顺利进行，降低水土流失隐患，杜绝因水土流失而引起的群体投诉等社会问题；同时水土保持措施实施后将进一步提高、改善生态环境。</w:t>
      </w:r>
    </w:p>
    <w:p>
      <w:pPr>
        <w:snapToGrid w:val="0"/>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fldChar w:fldCharType="begin"/>
      </w:r>
      <w:r>
        <w:rPr>
          <w:rFonts w:hint="default" w:ascii="Times New Roman" w:hAnsi="Times New Roman" w:eastAsia="仿宋_GB2312" w:cs="Times New Roman"/>
          <w:color w:val="auto"/>
          <w:szCs w:val="24"/>
        </w:rPr>
        <w:instrText xml:space="preserve"> = 3 \* GB3 </w:instrText>
      </w:r>
      <w:r>
        <w:rPr>
          <w:rFonts w:hint="default" w:ascii="Times New Roman" w:hAnsi="Times New Roman" w:eastAsia="仿宋_GB2312" w:cs="Times New Roman"/>
          <w:color w:val="auto"/>
          <w:szCs w:val="24"/>
        </w:rPr>
        <w:fldChar w:fldCharType="separate"/>
      </w:r>
      <w:r>
        <w:rPr>
          <w:rFonts w:hint="default" w:ascii="Times New Roman" w:hAnsi="Times New Roman" w:cs="Times New Roman"/>
          <w:color w:val="auto"/>
          <w:szCs w:val="24"/>
        </w:rPr>
        <w:t>③</w:t>
      </w:r>
      <w:r>
        <w:rPr>
          <w:rFonts w:hint="default" w:ascii="Times New Roman" w:hAnsi="Times New Roman" w:eastAsia="仿宋_GB2312" w:cs="Times New Roman"/>
          <w:color w:val="auto"/>
          <w:szCs w:val="24"/>
        </w:rPr>
        <w:fldChar w:fldCharType="end"/>
      </w:r>
      <w:r>
        <w:rPr>
          <w:rFonts w:hint="default" w:ascii="Times New Roman" w:hAnsi="Times New Roman" w:eastAsia="仿宋_GB2312" w:cs="Times New Roman"/>
          <w:color w:val="auto"/>
          <w:szCs w:val="24"/>
        </w:rPr>
        <w:t>经济效益</w:t>
      </w:r>
    </w:p>
    <w:p>
      <w:pPr>
        <w:snapToGrid w:val="0"/>
        <w:ind w:firstLine="480"/>
        <w:rPr>
          <w:rFonts w:hint="default" w:ascii="Times New Roman" w:hAnsi="Times New Roman" w:eastAsia="仿宋_GB2312" w:cs="Times New Roman"/>
          <w:color w:val="auto"/>
          <w:szCs w:val="24"/>
        </w:rPr>
        <w:sectPr>
          <w:headerReference r:id="rId17" w:type="default"/>
          <w:pgSz w:w="11906" w:h="16838"/>
          <w:pgMar w:top="1440" w:right="1797" w:bottom="1440" w:left="1797" w:header="851"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eastAsia="仿宋_GB2312" w:cs="Times New Roman"/>
          <w:color w:val="auto"/>
          <w:szCs w:val="24"/>
        </w:rPr>
        <w:t>实施本方案中水土保持措施维护工程的安全运行，恢复改善工程建设破坏的土地，水保措施带了的直接经济效益不明显</w:t>
      </w:r>
      <w:r>
        <w:rPr>
          <w:rFonts w:hint="default" w:ascii="Times New Roman" w:hAnsi="Times New Roman" w:eastAsia="仿宋_GB2312" w:cs="Times New Roman"/>
          <w:color w:val="auto"/>
          <w:kern w:val="0"/>
        </w:rPr>
        <w:t>。</w:t>
      </w:r>
    </w:p>
    <w:p>
      <w:pPr>
        <w:pStyle w:val="3"/>
        <w:rPr>
          <w:rFonts w:hint="default" w:ascii="Times New Roman" w:hAnsi="Times New Roman" w:cs="Times New Roman"/>
          <w:color w:val="auto"/>
          <w:kern w:val="0"/>
        </w:rPr>
      </w:pPr>
      <w:bookmarkStart w:id="190" w:name="_Toc47879816"/>
      <w:r>
        <w:rPr>
          <w:rFonts w:hint="default" w:ascii="Times New Roman" w:hAnsi="Times New Roman" w:cs="Times New Roman"/>
          <w:color w:val="auto"/>
          <w:kern w:val="0"/>
        </w:rPr>
        <w:t>8水土保持管理</w:t>
      </w:r>
      <w:bookmarkEnd w:id="190"/>
    </w:p>
    <w:p>
      <w:pPr>
        <w:suppressAutoHyphens/>
        <w:ind w:firstLine="480"/>
        <w:rPr>
          <w:rFonts w:hint="default" w:ascii="Times New Roman" w:hAnsi="Times New Roman" w:eastAsia="仿宋_GB2312" w:cs="Times New Roman"/>
          <w:color w:val="auto"/>
          <w:kern w:val="0"/>
        </w:rPr>
      </w:pPr>
      <w:bookmarkStart w:id="191" w:name="_Toc304708154"/>
      <w:bookmarkStart w:id="192" w:name="_Toc243974812"/>
      <w:bookmarkStart w:id="193" w:name="_Toc425493424"/>
      <w:r>
        <w:rPr>
          <w:rFonts w:hint="default" w:ascii="Times New Roman" w:hAnsi="Times New Roman" w:eastAsia="仿宋_GB2312" w:cs="Times New Roman"/>
          <w:color w:val="auto"/>
        </w:rPr>
        <w:t>为确保项目水土保持方案能够顺利、有效地实施，切实起到保护水土资源，防治水土流失的作用，使项目新增水土流失和项目区原有水土流失得到有效控制，确保各项水土保持措施得到实施，方案制定如下保障措施。</w:t>
      </w:r>
    </w:p>
    <w:p>
      <w:pPr>
        <w:pStyle w:val="4"/>
        <w:suppressAutoHyphens/>
        <w:spacing w:before="156" w:beforeLines="50" w:after="156" w:afterLines="50"/>
        <w:rPr>
          <w:rFonts w:hint="default" w:ascii="Times New Roman" w:hAnsi="Times New Roman" w:cs="Times New Roman"/>
          <w:color w:val="auto"/>
          <w:kern w:val="0"/>
        </w:rPr>
      </w:pPr>
      <w:bookmarkStart w:id="194" w:name="_Toc47879817"/>
      <w:r>
        <w:rPr>
          <w:rFonts w:hint="default" w:ascii="Times New Roman" w:hAnsi="Times New Roman" w:cs="Times New Roman"/>
          <w:color w:val="auto"/>
          <w:kern w:val="0"/>
        </w:rPr>
        <w:t>8.</w:t>
      </w:r>
      <w:bookmarkEnd w:id="191"/>
      <w:bookmarkEnd w:id="192"/>
      <w:r>
        <w:rPr>
          <w:rFonts w:hint="default" w:ascii="Times New Roman" w:hAnsi="Times New Roman" w:cs="Times New Roman"/>
          <w:color w:val="auto"/>
          <w:kern w:val="0"/>
        </w:rPr>
        <w:t>1 组织管理</w:t>
      </w:r>
      <w:bookmarkEnd w:id="193"/>
      <w:bookmarkEnd w:id="194"/>
    </w:p>
    <w:p>
      <w:pPr>
        <w:suppressAutoHyphens/>
        <w:ind w:firstLine="480"/>
        <w:rPr>
          <w:rFonts w:hint="default" w:ascii="Times New Roman" w:hAnsi="Times New Roman" w:eastAsia="仿宋_GB2312" w:cs="Times New Roman"/>
          <w:color w:val="auto"/>
        </w:rPr>
      </w:pPr>
      <w:bookmarkStart w:id="195" w:name="_Toc304708150"/>
      <w:bookmarkStart w:id="196" w:name="_Toc243974808"/>
      <w:bookmarkStart w:id="197" w:name="_Toc425493425"/>
      <w:r>
        <w:rPr>
          <w:rFonts w:hint="default" w:ascii="Times New Roman" w:hAnsi="Times New Roman" w:eastAsia="仿宋_GB2312" w:cs="Times New Roman"/>
          <w:color w:val="auto"/>
        </w:rPr>
        <w:t>（1）本项目建设单位在施工期建立与水土保持相结合领导管理机构，由工程部主要负责人担任领导，有关技术人员参加进行组织、管理、实施水土流失防治措施；具体措施是在施工合同、监理合同中明确水土保持要求；由工程监理单位开展水土保持相关工作。</w:t>
      </w:r>
    </w:p>
    <w:p>
      <w:pPr>
        <w:suppressAutoHyphens/>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（2）建设单位工程部负责人在项目施工中定期向施工单位相关人员宣讲水土保持要求，增强了施工人员水土保持意识，规范施工行为。</w:t>
      </w:r>
    </w:p>
    <w:p>
      <w:pPr>
        <w:suppressAutoHyphens/>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（3）建设单位接受地方水行政主管部门的监督和指导，编报水土保持方案，履行水土保持法定义务；工程完工后，建设单位安排专人负责水土保持设施的维护工作。</w:t>
      </w:r>
    </w:p>
    <w:p>
      <w:pPr>
        <w:suppressAutoHyphens/>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4）建设单位设专人管理水土保持相关档案，设专柜存档，存档主要包括主体工程设计成果、施工过程影像资料、阶段结算资料、监理资料等。具体要求是材料按类别分年度装订成册，每卷封面要注明名称，建档日期，责任者等。</w:t>
      </w:r>
    </w:p>
    <w:p>
      <w:pPr>
        <w:pStyle w:val="4"/>
        <w:suppressAutoHyphens/>
        <w:spacing w:before="156" w:beforeLines="50" w:after="156" w:afterLines="50"/>
        <w:rPr>
          <w:rFonts w:hint="default" w:ascii="Times New Roman" w:hAnsi="Times New Roman" w:cs="Times New Roman"/>
          <w:color w:val="auto"/>
          <w:kern w:val="0"/>
        </w:rPr>
      </w:pPr>
      <w:bookmarkStart w:id="198" w:name="_Toc47879818"/>
      <w:r>
        <w:rPr>
          <w:rFonts w:hint="default" w:ascii="Times New Roman" w:hAnsi="Times New Roman" w:cs="Times New Roman"/>
          <w:color w:val="auto"/>
          <w:kern w:val="0"/>
        </w:rPr>
        <w:t>8.2 后续设计</w:t>
      </w:r>
      <w:bookmarkEnd w:id="195"/>
      <w:bookmarkEnd w:id="196"/>
      <w:bookmarkEnd w:id="197"/>
      <w:bookmarkEnd w:id="198"/>
    </w:p>
    <w:p>
      <w:pPr>
        <w:suppressAutoHyphens/>
        <w:ind w:firstLine="480"/>
        <w:rPr>
          <w:rFonts w:hint="default" w:ascii="Times New Roman" w:hAnsi="Times New Roman" w:eastAsia="仿宋_GB2312" w:cs="Times New Roman"/>
          <w:color w:val="auto"/>
          <w:szCs w:val="24"/>
        </w:rPr>
      </w:pPr>
      <w:bookmarkStart w:id="199" w:name="_Toc88644826"/>
      <w:bookmarkStart w:id="200" w:name="_Toc90795484"/>
      <w:bookmarkStart w:id="201" w:name="_Toc196020313"/>
      <w:bookmarkStart w:id="202" w:name="_Toc243974809"/>
      <w:bookmarkStart w:id="203" w:name="_Toc90457599"/>
      <w:bookmarkStart w:id="204" w:name="_Toc87937807"/>
      <w:bookmarkStart w:id="205" w:name="_Toc90457111"/>
      <w:bookmarkStart w:id="206" w:name="_Toc90798231"/>
      <w:bookmarkStart w:id="207" w:name="_Toc304708151"/>
      <w:bookmarkStart w:id="208" w:name="_Toc122073121"/>
      <w:bookmarkStart w:id="209" w:name="_Toc188594646"/>
      <w:bookmarkStart w:id="210" w:name="_Toc91652009"/>
      <w:bookmarkStart w:id="211" w:name="_Toc425493426"/>
      <w:r>
        <w:rPr>
          <w:rFonts w:hint="default" w:ascii="Times New Roman" w:hAnsi="Times New Roman" w:eastAsia="仿宋_GB2312" w:cs="Times New Roman"/>
          <w:color w:val="auto"/>
          <w:szCs w:val="24"/>
        </w:rPr>
        <w:t>本项目水土保持方案批复后，主体设计单位应进一步细化各水保措施，主体设计成果将作为招投标的主要依据。后续设计应对新增水保措施重新设计招标，其设计图将做为施工依据。</w:t>
      </w:r>
    </w:p>
    <w:p>
      <w:pPr>
        <w:suppressAutoHyphens/>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本项目若水土保持措施等发生重大变更，原批复水保方案应按照《四川省水利厅关于印发四川省生产建设项目水土保持措施变更管理办法（试行）的通知》（川水函〔2015〕1561号）的规定执行。</w:t>
      </w:r>
    </w:p>
    <w:p>
      <w:pPr>
        <w:pStyle w:val="4"/>
        <w:suppressAutoHyphens/>
        <w:spacing w:before="156" w:beforeLines="50" w:after="156" w:afterLines="50"/>
        <w:rPr>
          <w:rFonts w:hint="default" w:ascii="Times New Roman" w:hAnsi="Times New Roman" w:cs="Times New Roman"/>
          <w:color w:val="auto"/>
          <w:kern w:val="0"/>
        </w:rPr>
      </w:pPr>
      <w:bookmarkStart w:id="212" w:name="_Toc243974810"/>
      <w:bookmarkStart w:id="213" w:name="_Toc47879819"/>
      <w:bookmarkStart w:id="214" w:name="_Toc304708152"/>
      <w:bookmarkStart w:id="215" w:name="_Toc425493427"/>
      <w:bookmarkStart w:id="216" w:name="_Toc243974811"/>
      <w:bookmarkStart w:id="217" w:name="_Toc304708153"/>
      <w:r>
        <w:rPr>
          <w:rFonts w:hint="default" w:ascii="Times New Roman" w:hAnsi="Times New Roman" w:cs="Times New Roman"/>
          <w:color w:val="auto"/>
          <w:kern w:val="0"/>
        </w:rPr>
        <w:t>8.3 水土保持监理</w:t>
      </w:r>
      <w:bookmarkEnd w:id="212"/>
      <w:bookmarkEnd w:id="213"/>
      <w:bookmarkEnd w:id="214"/>
      <w:bookmarkEnd w:id="215"/>
    </w:p>
    <w:p>
      <w:pPr>
        <w:suppressAutoHyphens/>
        <w:ind w:firstLine="480"/>
        <w:rPr>
          <w:rFonts w:hint="default" w:ascii="Times New Roman" w:hAnsi="Times New Roman" w:eastAsia="仿宋_GB2312" w:cs="Times New Roman"/>
          <w:color w:val="auto"/>
          <w:szCs w:val="24"/>
        </w:rPr>
      </w:pPr>
      <w:bookmarkStart w:id="218" w:name="_Toc425493428"/>
      <w:r>
        <w:rPr>
          <w:rFonts w:hint="default" w:ascii="Times New Roman" w:hAnsi="Times New Roman" w:eastAsia="仿宋_GB2312" w:cs="Times New Roman"/>
          <w:color w:val="auto"/>
          <w:szCs w:val="24"/>
        </w:rPr>
        <w:t>根据水利部文件《水利部关于进一步深化“放管服”改革全面加强水土保持监管的意见》（水保〔2019〕160号），凡主体工程开展监理工作的项目，应当按照水土保持监理标准和规范开展水土保持施工监理。其中，征占地面积在20公顷以上或者挖填土石方总量在20万立方米以上的项目，应当配备具有水土保持专业监理资格的工程师；征占地面积在200公顷以上或者挖填土石方总量在200万立方米以上的项目，应当由具有水土保持监理专业资质的单位承担监理任务。</w:t>
      </w:r>
    </w:p>
    <w:p>
      <w:pPr>
        <w:pStyle w:val="1102"/>
        <w:rPr>
          <w:rFonts w:hint="default" w:ascii="Times New Roman" w:hAnsi="Times New Roman" w:cs="Times New Roman"/>
          <w:color w:val="auto"/>
        </w:rPr>
      </w:pPr>
      <w:r>
        <w:rPr>
          <w:rFonts w:hint="default" w:ascii="Times New Roman" w:hAnsi="Times New Roman" w:cs="Times New Roman"/>
          <w:color w:val="auto"/>
        </w:rPr>
        <w:t>本项目占地面积及土石方挖填量均未达到上述要求，因此水土保持监理已纳入主体工程监理范畴，由工程监理单位履行水土保持监理职责。</w:t>
      </w:r>
    </w:p>
    <w:bookmarkEnd w:id="216"/>
    <w:bookmarkEnd w:id="217"/>
    <w:bookmarkEnd w:id="218"/>
    <w:p>
      <w:pPr>
        <w:pStyle w:val="4"/>
        <w:suppressAutoHyphens/>
        <w:spacing w:before="156" w:beforeLines="50" w:after="156" w:afterLines="50"/>
        <w:rPr>
          <w:rFonts w:hint="default" w:ascii="Times New Roman" w:hAnsi="Times New Roman" w:cs="Times New Roman"/>
          <w:color w:val="auto"/>
          <w:kern w:val="0"/>
        </w:rPr>
      </w:pPr>
      <w:bookmarkStart w:id="219" w:name="_Toc47879820"/>
      <w:r>
        <w:rPr>
          <w:rFonts w:hint="default" w:ascii="Times New Roman" w:hAnsi="Times New Roman" w:cs="Times New Roman"/>
          <w:color w:val="auto"/>
          <w:kern w:val="0"/>
        </w:rPr>
        <w:t>8.4 水土保持施工</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9"/>
    </w:p>
    <w:p>
      <w:pPr>
        <w:suppressAutoHyphens/>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经调查，从项目筹建到建设，逐步落实了项目法人制、招投标制和施工监理制。水土保持措施由施工单位实施。经调查，本项目从筹建到建设，逐步落实了项目法人制、招投标制和施工监理制。施工合同中应明确施工单位应承担的水土流失责任、水土保持工程内容等。</w:t>
      </w:r>
    </w:p>
    <w:p>
      <w:pPr>
        <w:suppressAutoHyphens/>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明确承包商在基坑施工中，明确外运土石方去向及施工过程中的水土流失责任；外购砂砾石料等建筑材料应从合规、合法料场外购，并应在购买合同中明确水土流失防治责任。</w:t>
      </w:r>
    </w:p>
    <w:p>
      <w:pPr>
        <w:pStyle w:val="4"/>
        <w:suppressAutoHyphens/>
        <w:spacing w:before="156" w:beforeLines="50" w:after="156" w:afterLines="50"/>
        <w:rPr>
          <w:rFonts w:hint="default" w:ascii="Times New Roman" w:hAnsi="Times New Roman" w:cs="Times New Roman"/>
          <w:color w:val="auto"/>
          <w:kern w:val="0"/>
        </w:rPr>
      </w:pPr>
      <w:bookmarkStart w:id="220" w:name="_Toc304708156"/>
      <w:bookmarkStart w:id="221" w:name="_Toc243974814"/>
      <w:bookmarkStart w:id="222" w:name="_Toc425493429"/>
      <w:bookmarkStart w:id="223" w:name="_Toc47879821"/>
      <w:r>
        <w:rPr>
          <w:rFonts w:hint="default" w:ascii="Times New Roman" w:hAnsi="Times New Roman" w:cs="Times New Roman"/>
          <w:color w:val="auto"/>
          <w:kern w:val="0"/>
        </w:rPr>
        <w:t xml:space="preserve">8.5 </w:t>
      </w:r>
      <w:bookmarkEnd w:id="220"/>
      <w:bookmarkEnd w:id="221"/>
      <w:r>
        <w:rPr>
          <w:rFonts w:hint="default" w:ascii="Times New Roman" w:hAnsi="Times New Roman" w:cs="Times New Roman"/>
          <w:color w:val="auto"/>
          <w:kern w:val="0"/>
        </w:rPr>
        <w:t>水土保持设施验收</w:t>
      </w:r>
      <w:bookmarkEnd w:id="222"/>
      <w:bookmarkEnd w:id="223"/>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根据水利部办公厅文件《水利部办公厅关于印发生产建设项目水土保持监督管理办法的通知》（办水保〔2019〕172号），生产建设单位是生产建设项目水土保护设施验收的责任主体，应当在生产建设项目使用或者竣工验收前，自主开展水土保持设施验收，完成报备并取得报备回执。</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根据《水利部关于进一步深化“放管服”改革全面加强水土保持监督的意见》（水保〔2019〕160号）的有关规定，水土保持设施自主验收报备应当提交水土保持设施验收鉴定书、水土保持设施验收报告和水土保持监测总结报告。其中，实行承若制或者备案制的项目，只需要提交水土保持设施验收鉴定书，其水土保持设施验收组中应当有至少一名省级水行政主管部门水土保持方案专家库专家</w:t>
      </w:r>
      <w:r>
        <w:rPr>
          <w:rFonts w:hint="default" w:ascii="Times New Roman" w:hAnsi="Times New Roman" w:eastAsia="仿宋_GB2312" w:cs="Times New Roman"/>
          <w:color w:val="auto"/>
        </w:rPr>
        <w:t>。</w:t>
      </w:r>
    </w:p>
    <w:sectPr>
      <w:headerReference r:id="rId18" w:type="default"/>
      <w:pgSz w:w="11906" w:h="16838"/>
      <w:pgMar w:top="1440" w:right="1797" w:bottom="1440" w:left="1797" w:header="851" w:footer="992" w:gutter="0"/>
      <w:pgBorders>
        <w:top w:val="none" w:sz="0" w:space="0"/>
        <w:left w:val="none" w:sz="0" w:space="0"/>
        <w:bottom w:val="none" w:sz="0" w:space="0"/>
        <w:right w:val="none" w:sz="0" w:space="0"/>
      </w:pgBorders>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entury Gothic">
    <w:panose1 w:val="020B0502020202020204"/>
    <w:charset w:val="00"/>
    <w:family w:val="swiss"/>
    <w:pitch w:val="default"/>
    <w:sig w:usb0="00000287" w:usb1="00000000" w:usb2="00000000" w:usb3="00000000" w:csb0="2000009F" w:csb1="DFD70000"/>
  </w:font>
  <w:font w:name="Arial Unicode MS">
    <w:panose1 w:val="020B0604020202020204"/>
    <w:charset w:val="86"/>
    <w:family w:val="swiss"/>
    <w:pitch w:val="default"/>
    <w:sig w:usb0="FFFFFFFF" w:usb1="E9FFFFFF" w:usb2="0000003F" w:usb3="00000000" w:csb0="603F01FF" w:csb1="FFFF0000"/>
  </w:font>
  <w:font w:name="方正姚体">
    <w:panose1 w:val="02010601030101010101"/>
    <w:charset w:val="86"/>
    <w:family w:val="auto"/>
    <w:pitch w:val="default"/>
    <w:sig w:usb0="00000003"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华文楷体">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Tms Rmn">
    <w:altName w:val="Segoe Print"/>
    <w:panose1 w:val="02020603040505020304"/>
    <w:charset w:val="00"/>
    <w:family w:val="roman"/>
    <w:pitch w:val="default"/>
    <w:sig w:usb0="00000000" w:usb1="00000000" w:usb2="00000000" w:usb3="00000000" w:csb0="00000001" w:csb1="00000000"/>
  </w:font>
  <w:font w:name="inherit">
    <w:altName w:val="Times New Roman"/>
    <w:panose1 w:val="00000000000000000000"/>
    <w:charset w:val="00"/>
    <w:family w:val="roman"/>
    <w:pitch w:val="default"/>
    <w:sig w:usb0="00000000" w:usb1="00000000" w:usb2="00000000" w:usb3="00000000" w:csb0="00000000" w:csb1="00000000"/>
  </w:font>
  <w:font w:name="文鼎大标宋简">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xAlign="center" w:y="1"/>
      <w:ind w:firstLine="360"/>
      <w:rPr>
        <w:rStyle w:val="68"/>
      </w:rPr>
    </w:pPr>
    <w:r>
      <w:fldChar w:fldCharType="begin"/>
    </w:r>
    <w:r>
      <w:rPr>
        <w:rStyle w:val="68"/>
      </w:rPr>
      <w:instrText xml:space="preserve">PAGE  </w:instrText>
    </w:r>
    <w:r>
      <w:fldChar w:fldCharType="end"/>
    </w:r>
  </w:p>
  <w:p>
    <w:pPr>
      <w:pStyle w:val="3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420"/>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VIII</w:t>
    </w:r>
    <w:r>
      <w:rPr>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spacing w:line="240" w:lineRule="auto"/>
      <w:ind w:firstLine="360"/>
      <w:jc w:val="center"/>
    </w:pPr>
    <w:r>
      <w:fldChar w:fldCharType="begin"/>
    </w:r>
    <w:r>
      <w:instrText xml:space="preserve"> PAGE   \* MERGEFORMAT </w:instrText>
    </w:r>
    <w:r>
      <w:fldChar w:fldCharType="separate"/>
    </w:r>
    <w:r>
      <w:rPr>
        <w:lang w:val="zh-CN"/>
      </w:rPr>
      <w:t>1</w:t>
    </w:r>
    <w:r>
      <w:fldChar w:fldCharType="end"/>
    </w:r>
  </w:p>
  <w:p>
    <w:pPr>
      <w:pStyle w:val="38"/>
      <w:spacing w:line="240" w:lineRule="auto"/>
      <w:ind w:firstLine="0" w:firstLineChars="0"/>
    </w:pPr>
    <w:r>
      <w:rPr>
        <w:rFonts w:hint="eastAsia"/>
      </w:rPr>
      <w:t>四川星原环保科技有限责任公司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Bdr>
        <w:bottom w:val="none" w:color="auto" w:sz="0" w:space="0"/>
      </w:pBdr>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3"/>
      <w:spacing w:line="240" w:lineRule="auto"/>
      <w:ind w:firstLine="0" w:firstLineChars="0"/>
    </w:pPr>
    <w:r>
      <w:rPr>
        <w:rFonts w:hint="eastAsia"/>
      </w:rPr>
      <w:t>7水土保持投资概算及效益分析</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3"/>
      <w:spacing w:line="240" w:lineRule="auto"/>
      <w:ind w:firstLine="0" w:firstLineChars="0"/>
    </w:pPr>
    <w:r>
      <w:rPr>
        <w:rFonts w:hint="eastAsia"/>
      </w:rPr>
      <w:t>8水土保持管理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3"/>
      <w:spacing w:line="240" w:lineRule="auto"/>
      <w:ind w:firstLine="0" w:firstLineChars="0"/>
    </w:pPr>
    <w:r>
      <w:rPr>
        <w:rFonts w:hint="eastAsia"/>
      </w:rPr>
      <w:t>1综合说明</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3"/>
      <w:spacing w:line="240" w:lineRule="auto"/>
      <w:ind w:firstLine="0" w:firstLineChars="0"/>
    </w:pPr>
    <w:r>
      <w:rPr>
        <w:rFonts w:hint="eastAsia"/>
      </w:rPr>
      <w:t>2项目概况</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3"/>
      <w:pBdr>
        <w:bottom w:val="single" w:color="auto" w:sz="4" w:space="0"/>
      </w:pBdr>
      <w:spacing w:line="240" w:lineRule="auto"/>
      <w:ind w:firstLine="0" w:firstLineChars="0"/>
    </w:pPr>
    <w:r>
      <w:rPr>
        <w:rFonts w:hint="eastAsia"/>
      </w:rPr>
      <w:t>3项目水土保持评价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3"/>
      <w:pBdr>
        <w:bottom w:val="single" w:color="auto" w:sz="4" w:space="0"/>
      </w:pBdr>
      <w:spacing w:line="240" w:lineRule="auto"/>
      <w:ind w:firstLine="0" w:firstLineChars="0"/>
    </w:pPr>
    <w:r>
      <w:rPr>
        <w:rFonts w:hint="eastAsia"/>
      </w:rPr>
      <w:t>4水土流失分析与调查</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3"/>
      <w:spacing w:line="240" w:lineRule="auto"/>
      <w:ind w:firstLine="0" w:firstLineChars="0"/>
    </w:pPr>
    <w:r>
      <w:rPr>
        <w:rFonts w:hint="eastAsia"/>
      </w:rPr>
      <w:t>5水土保持措施</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3"/>
      <w:spacing w:line="240" w:lineRule="auto"/>
      <w:ind w:firstLine="0" w:firstLineChars="0"/>
    </w:pPr>
    <w:r>
      <w:rPr>
        <w:rFonts w:hint="eastAsia"/>
      </w:rPr>
      <w:t>6水土保持监测</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24C"/>
    <w:rsid w:val="0000006A"/>
    <w:rsid w:val="000005A5"/>
    <w:rsid w:val="00000F54"/>
    <w:rsid w:val="000011AC"/>
    <w:rsid w:val="00001303"/>
    <w:rsid w:val="0000138D"/>
    <w:rsid w:val="000016BA"/>
    <w:rsid w:val="0000184A"/>
    <w:rsid w:val="00001DEC"/>
    <w:rsid w:val="00002308"/>
    <w:rsid w:val="0000254A"/>
    <w:rsid w:val="000028FE"/>
    <w:rsid w:val="00002AB1"/>
    <w:rsid w:val="00002ACB"/>
    <w:rsid w:val="0000311A"/>
    <w:rsid w:val="00003447"/>
    <w:rsid w:val="000034B9"/>
    <w:rsid w:val="00003A42"/>
    <w:rsid w:val="00003C67"/>
    <w:rsid w:val="00003DC1"/>
    <w:rsid w:val="00003E94"/>
    <w:rsid w:val="00003FED"/>
    <w:rsid w:val="000047AD"/>
    <w:rsid w:val="00005453"/>
    <w:rsid w:val="00005BB5"/>
    <w:rsid w:val="00005C87"/>
    <w:rsid w:val="00005CA6"/>
    <w:rsid w:val="00005D75"/>
    <w:rsid w:val="00005E84"/>
    <w:rsid w:val="00005F17"/>
    <w:rsid w:val="00006168"/>
    <w:rsid w:val="000061E4"/>
    <w:rsid w:val="0000648A"/>
    <w:rsid w:val="00006BA0"/>
    <w:rsid w:val="00006CC1"/>
    <w:rsid w:val="00007309"/>
    <w:rsid w:val="000073F6"/>
    <w:rsid w:val="000075EE"/>
    <w:rsid w:val="00007AFA"/>
    <w:rsid w:val="00007D12"/>
    <w:rsid w:val="00010551"/>
    <w:rsid w:val="0001066D"/>
    <w:rsid w:val="00010833"/>
    <w:rsid w:val="000108A0"/>
    <w:rsid w:val="00010D18"/>
    <w:rsid w:val="00011465"/>
    <w:rsid w:val="0001187D"/>
    <w:rsid w:val="0001188D"/>
    <w:rsid w:val="00011AD0"/>
    <w:rsid w:val="00011DDA"/>
    <w:rsid w:val="00012079"/>
    <w:rsid w:val="00012271"/>
    <w:rsid w:val="00012849"/>
    <w:rsid w:val="00012A0F"/>
    <w:rsid w:val="00012A3C"/>
    <w:rsid w:val="00012C6D"/>
    <w:rsid w:val="000130E3"/>
    <w:rsid w:val="000131AD"/>
    <w:rsid w:val="000134E4"/>
    <w:rsid w:val="0001357B"/>
    <w:rsid w:val="00013A06"/>
    <w:rsid w:val="00013FF6"/>
    <w:rsid w:val="00014051"/>
    <w:rsid w:val="00014151"/>
    <w:rsid w:val="00014722"/>
    <w:rsid w:val="000147CD"/>
    <w:rsid w:val="00014830"/>
    <w:rsid w:val="00014B37"/>
    <w:rsid w:val="00014DD7"/>
    <w:rsid w:val="0001530D"/>
    <w:rsid w:val="00015502"/>
    <w:rsid w:val="0001595D"/>
    <w:rsid w:val="00015AA0"/>
    <w:rsid w:val="00016636"/>
    <w:rsid w:val="000178F6"/>
    <w:rsid w:val="00017A01"/>
    <w:rsid w:val="00017B65"/>
    <w:rsid w:val="00017F84"/>
    <w:rsid w:val="00020676"/>
    <w:rsid w:val="00020759"/>
    <w:rsid w:val="00020959"/>
    <w:rsid w:val="00020D12"/>
    <w:rsid w:val="00020DA9"/>
    <w:rsid w:val="00020F72"/>
    <w:rsid w:val="00021051"/>
    <w:rsid w:val="000213F8"/>
    <w:rsid w:val="00021C35"/>
    <w:rsid w:val="00022059"/>
    <w:rsid w:val="00022420"/>
    <w:rsid w:val="00023495"/>
    <w:rsid w:val="00023DCD"/>
    <w:rsid w:val="0002435C"/>
    <w:rsid w:val="000243C0"/>
    <w:rsid w:val="00024E3A"/>
    <w:rsid w:val="00024E9E"/>
    <w:rsid w:val="0002502C"/>
    <w:rsid w:val="0002528A"/>
    <w:rsid w:val="00025381"/>
    <w:rsid w:val="000257BE"/>
    <w:rsid w:val="00025EC0"/>
    <w:rsid w:val="000266F0"/>
    <w:rsid w:val="000268B9"/>
    <w:rsid w:val="00026BF1"/>
    <w:rsid w:val="00026F82"/>
    <w:rsid w:val="00026FC1"/>
    <w:rsid w:val="00027336"/>
    <w:rsid w:val="00027721"/>
    <w:rsid w:val="00027A03"/>
    <w:rsid w:val="00027AF5"/>
    <w:rsid w:val="00030347"/>
    <w:rsid w:val="00030475"/>
    <w:rsid w:val="00030B70"/>
    <w:rsid w:val="00030C20"/>
    <w:rsid w:val="00030D76"/>
    <w:rsid w:val="00031133"/>
    <w:rsid w:val="000312FA"/>
    <w:rsid w:val="00031831"/>
    <w:rsid w:val="000321FD"/>
    <w:rsid w:val="00032442"/>
    <w:rsid w:val="00032918"/>
    <w:rsid w:val="00032C33"/>
    <w:rsid w:val="00032E53"/>
    <w:rsid w:val="00032F18"/>
    <w:rsid w:val="0003300A"/>
    <w:rsid w:val="000330F4"/>
    <w:rsid w:val="00033175"/>
    <w:rsid w:val="00033A4D"/>
    <w:rsid w:val="00033EE4"/>
    <w:rsid w:val="0003402B"/>
    <w:rsid w:val="000340C1"/>
    <w:rsid w:val="0003411C"/>
    <w:rsid w:val="00034309"/>
    <w:rsid w:val="000343BC"/>
    <w:rsid w:val="00034832"/>
    <w:rsid w:val="00034ECF"/>
    <w:rsid w:val="00035061"/>
    <w:rsid w:val="00035162"/>
    <w:rsid w:val="00035661"/>
    <w:rsid w:val="0003584E"/>
    <w:rsid w:val="00035A9B"/>
    <w:rsid w:val="00035F8C"/>
    <w:rsid w:val="00036B1F"/>
    <w:rsid w:val="00036D7F"/>
    <w:rsid w:val="00037046"/>
    <w:rsid w:val="00037E8B"/>
    <w:rsid w:val="000405B5"/>
    <w:rsid w:val="0004128E"/>
    <w:rsid w:val="0004177D"/>
    <w:rsid w:val="00041CC3"/>
    <w:rsid w:val="00041F31"/>
    <w:rsid w:val="000424CF"/>
    <w:rsid w:val="0004289B"/>
    <w:rsid w:val="00042A6B"/>
    <w:rsid w:val="00042A8A"/>
    <w:rsid w:val="00042C57"/>
    <w:rsid w:val="00042D1F"/>
    <w:rsid w:val="0004304C"/>
    <w:rsid w:val="0004377F"/>
    <w:rsid w:val="00043882"/>
    <w:rsid w:val="00043D57"/>
    <w:rsid w:val="00043E76"/>
    <w:rsid w:val="00043EF8"/>
    <w:rsid w:val="000442A0"/>
    <w:rsid w:val="00044731"/>
    <w:rsid w:val="00044A8D"/>
    <w:rsid w:val="00044AA7"/>
    <w:rsid w:val="00044CF1"/>
    <w:rsid w:val="00044F70"/>
    <w:rsid w:val="00045323"/>
    <w:rsid w:val="00045613"/>
    <w:rsid w:val="000457BD"/>
    <w:rsid w:val="00045BE0"/>
    <w:rsid w:val="000460CA"/>
    <w:rsid w:val="00046161"/>
    <w:rsid w:val="00046222"/>
    <w:rsid w:val="00046978"/>
    <w:rsid w:val="0004725F"/>
    <w:rsid w:val="000475B4"/>
    <w:rsid w:val="00050131"/>
    <w:rsid w:val="00050292"/>
    <w:rsid w:val="00050534"/>
    <w:rsid w:val="00050898"/>
    <w:rsid w:val="000509D2"/>
    <w:rsid w:val="00050FC2"/>
    <w:rsid w:val="00050FEB"/>
    <w:rsid w:val="00051484"/>
    <w:rsid w:val="00051662"/>
    <w:rsid w:val="000516E4"/>
    <w:rsid w:val="000520AA"/>
    <w:rsid w:val="000521AB"/>
    <w:rsid w:val="0005229E"/>
    <w:rsid w:val="00052321"/>
    <w:rsid w:val="00052406"/>
    <w:rsid w:val="000532ED"/>
    <w:rsid w:val="00053541"/>
    <w:rsid w:val="000537F7"/>
    <w:rsid w:val="00053E21"/>
    <w:rsid w:val="000540C9"/>
    <w:rsid w:val="00054292"/>
    <w:rsid w:val="00054B1D"/>
    <w:rsid w:val="00054C71"/>
    <w:rsid w:val="00054F87"/>
    <w:rsid w:val="00055003"/>
    <w:rsid w:val="00055261"/>
    <w:rsid w:val="0005543E"/>
    <w:rsid w:val="000555A4"/>
    <w:rsid w:val="0005578F"/>
    <w:rsid w:val="00055CF1"/>
    <w:rsid w:val="00055D03"/>
    <w:rsid w:val="00056413"/>
    <w:rsid w:val="00056870"/>
    <w:rsid w:val="00056B43"/>
    <w:rsid w:val="00056D71"/>
    <w:rsid w:val="00057E0F"/>
    <w:rsid w:val="00057EC7"/>
    <w:rsid w:val="00057FB5"/>
    <w:rsid w:val="000606B4"/>
    <w:rsid w:val="00060B47"/>
    <w:rsid w:val="00061428"/>
    <w:rsid w:val="000615D8"/>
    <w:rsid w:val="000615DD"/>
    <w:rsid w:val="000616B0"/>
    <w:rsid w:val="000617E7"/>
    <w:rsid w:val="00061A55"/>
    <w:rsid w:val="00061D0E"/>
    <w:rsid w:val="00061E01"/>
    <w:rsid w:val="00061F1B"/>
    <w:rsid w:val="00061F4C"/>
    <w:rsid w:val="000627E8"/>
    <w:rsid w:val="00062A27"/>
    <w:rsid w:val="00062C11"/>
    <w:rsid w:val="000632BD"/>
    <w:rsid w:val="0006345D"/>
    <w:rsid w:val="0006385D"/>
    <w:rsid w:val="00063A7C"/>
    <w:rsid w:val="00063E73"/>
    <w:rsid w:val="00063FA1"/>
    <w:rsid w:val="00064758"/>
    <w:rsid w:val="00064BA6"/>
    <w:rsid w:val="0006555F"/>
    <w:rsid w:val="000662DD"/>
    <w:rsid w:val="000663CB"/>
    <w:rsid w:val="00066F8D"/>
    <w:rsid w:val="00067243"/>
    <w:rsid w:val="000673F0"/>
    <w:rsid w:val="00067CDE"/>
    <w:rsid w:val="00067FDF"/>
    <w:rsid w:val="0007002F"/>
    <w:rsid w:val="000700CA"/>
    <w:rsid w:val="0007014D"/>
    <w:rsid w:val="0007031B"/>
    <w:rsid w:val="0007051A"/>
    <w:rsid w:val="000707E2"/>
    <w:rsid w:val="00071087"/>
    <w:rsid w:val="000713E9"/>
    <w:rsid w:val="000715D9"/>
    <w:rsid w:val="00071871"/>
    <w:rsid w:val="00071A2B"/>
    <w:rsid w:val="00071A63"/>
    <w:rsid w:val="00071AAD"/>
    <w:rsid w:val="00071D1D"/>
    <w:rsid w:val="00071DC1"/>
    <w:rsid w:val="00071DCA"/>
    <w:rsid w:val="00071E3F"/>
    <w:rsid w:val="000721BC"/>
    <w:rsid w:val="000721FE"/>
    <w:rsid w:val="0007285C"/>
    <w:rsid w:val="00072A02"/>
    <w:rsid w:val="00072FBF"/>
    <w:rsid w:val="000739AB"/>
    <w:rsid w:val="00073D8F"/>
    <w:rsid w:val="00074413"/>
    <w:rsid w:val="0007443A"/>
    <w:rsid w:val="00074C79"/>
    <w:rsid w:val="00074D47"/>
    <w:rsid w:val="00075A98"/>
    <w:rsid w:val="0007600D"/>
    <w:rsid w:val="000763D5"/>
    <w:rsid w:val="00076621"/>
    <w:rsid w:val="0007670B"/>
    <w:rsid w:val="00076AFA"/>
    <w:rsid w:val="000773D7"/>
    <w:rsid w:val="00077A4F"/>
    <w:rsid w:val="0008009C"/>
    <w:rsid w:val="00080200"/>
    <w:rsid w:val="00080332"/>
    <w:rsid w:val="00080351"/>
    <w:rsid w:val="00080768"/>
    <w:rsid w:val="00080AC1"/>
    <w:rsid w:val="000816E6"/>
    <w:rsid w:val="000818CD"/>
    <w:rsid w:val="00081A7A"/>
    <w:rsid w:val="00081CC0"/>
    <w:rsid w:val="00081CC7"/>
    <w:rsid w:val="00081EAE"/>
    <w:rsid w:val="000820A6"/>
    <w:rsid w:val="000823AD"/>
    <w:rsid w:val="00082817"/>
    <w:rsid w:val="00082C71"/>
    <w:rsid w:val="000831F9"/>
    <w:rsid w:val="000836F5"/>
    <w:rsid w:val="0008395A"/>
    <w:rsid w:val="0008408F"/>
    <w:rsid w:val="00084F46"/>
    <w:rsid w:val="0008505B"/>
    <w:rsid w:val="00085069"/>
    <w:rsid w:val="000854F3"/>
    <w:rsid w:val="00085B88"/>
    <w:rsid w:val="00085E02"/>
    <w:rsid w:val="000862EE"/>
    <w:rsid w:val="0008642C"/>
    <w:rsid w:val="00086951"/>
    <w:rsid w:val="00087203"/>
    <w:rsid w:val="0008779A"/>
    <w:rsid w:val="000877FE"/>
    <w:rsid w:val="00087882"/>
    <w:rsid w:val="00087E0C"/>
    <w:rsid w:val="000901AD"/>
    <w:rsid w:val="00090314"/>
    <w:rsid w:val="00090616"/>
    <w:rsid w:val="00090C46"/>
    <w:rsid w:val="0009115C"/>
    <w:rsid w:val="000914C2"/>
    <w:rsid w:val="00091C9C"/>
    <w:rsid w:val="00091D07"/>
    <w:rsid w:val="00091EBE"/>
    <w:rsid w:val="000921F6"/>
    <w:rsid w:val="000923D4"/>
    <w:rsid w:val="0009257A"/>
    <w:rsid w:val="00092AEB"/>
    <w:rsid w:val="00092AF4"/>
    <w:rsid w:val="00092F4D"/>
    <w:rsid w:val="000932CA"/>
    <w:rsid w:val="00093956"/>
    <w:rsid w:val="00093A97"/>
    <w:rsid w:val="00094356"/>
    <w:rsid w:val="000945E0"/>
    <w:rsid w:val="00094799"/>
    <w:rsid w:val="0009538E"/>
    <w:rsid w:val="00095A1A"/>
    <w:rsid w:val="00096045"/>
    <w:rsid w:val="00096300"/>
    <w:rsid w:val="00096350"/>
    <w:rsid w:val="00096463"/>
    <w:rsid w:val="0009668B"/>
    <w:rsid w:val="00096710"/>
    <w:rsid w:val="0009693C"/>
    <w:rsid w:val="0009695D"/>
    <w:rsid w:val="00096B66"/>
    <w:rsid w:val="00096B99"/>
    <w:rsid w:val="00096C26"/>
    <w:rsid w:val="00096C5D"/>
    <w:rsid w:val="00097094"/>
    <w:rsid w:val="000970CA"/>
    <w:rsid w:val="000972DD"/>
    <w:rsid w:val="000973C8"/>
    <w:rsid w:val="000977E6"/>
    <w:rsid w:val="000977EC"/>
    <w:rsid w:val="000978EC"/>
    <w:rsid w:val="00097940"/>
    <w:rsid w:val="000A0395"/>
    <w:rsid w:val="000A05CC"/>
    <w:rsid w:val="000A065A"/>
    <w:rsid w:val="000A06B8"/>
    <w:rsid w:val="000A099C"/>
    <w:rsid w:val="000A09F8"/>
    <w:rsid w:val="000A0A37"/>
    <w:rsid w:val="000A0F16"/>
    <w:rsid w:val="000A11DB"/>
    <w:rsid w:val="000A157F"/>
    <w:rsid w:val="000A1A4D"/>
    <w:rsid w:val="000A1D55"/>
    <w:rsid w:val="000A1FEF"/>
    <w:rsid w:val="000A2457"/>
    <w:rsid w:val="000A251F"/>
    <w:rsid w:val="000A252C"/>
    <w:rsid w:val="000A26E6"/>
    <w:rsid w:val="000A27A6"/>
    <w:rsid w:val="000A28A6"/>
    <w:rsid w:val="000A2926"/>
    <w:rsid w:val="000A29EF"/>
    <w:rsid w:val="000A2A83"/>
    <w:rsid w:val="000A2BA3"/>
    <w:rsid w:val="000A2EB5"/>
    <w:rsid w:val="000A31F8"/>
    <w:rsid w:val="000A3282"/>
    <w:rsid w:val="000A381A"/>
    <w:rsid w:val="000A3C89"/>
    <w:rsid w:val="000A3D30"/>
    <w:rsid w:val="000A3FB3"/>
    <w:rsid w:val="000A4336"/>
    <w:rsid w:val="000A4D45"/>
    <w:rsid w:val="000A4F0F"/>
    <w:rsid w:val="000A5223"/>
    <w:rsid w:val="000A533E"/>
    <w:rsid w:val="000A56BF"/>
    <w:rsid w:val="000A5B1C"/>
    <w:rsid w:val="000A6555"/>
    <w:rsid w:val="000A67D5"/>
    <w:rsid w:val="000A6E12"/>
    <w:rsid w:val="000A74B9"/>
    <w:rsid w:val="000A7514"/>
    <w:rsid w:val="000A77CE"/>
    <w:rsid w:val="000B0A13"/>
    <w:rsid w:val="000B12B6"/>
    <w:rsid w:val="000B131D"/>
    <w:rsid w:val="000B1B52"/>
    <w:rsid w:val="000B1F19"/>
    <w:rsid w:val="000B2113"/>
    <w:rsid w:val="000B26EE"/>
    <w:rsid w:val="000B26FF"/>
    <w:rsid w:val="000B2D65"/>
    <w:rsid w:val="000B416F"/>
    <w:rsid w:val="000B4A84"/>
    <w:rsid w:val="000B4E09"/>
    <w:rsid w:val="000B55FA"/>
    <w:rsid w:val="000B5F1D"/>
    <w:rsid w:val="000B6163"/>
    <w:rsid w:val="000B618F"/>
    <w:rsid w:val="000B6306"/>
    <w:rsid w:val="000B64ED"/>
    <w:rsid w:val="000B685D"/>
    <w:rsid w:val="000B6C35"/>
    <w:rsid w:val="000B6D7E"/>
    <w:rsid w:val="000B6F8F"/>
    <w:rsid w:val="000B76EB"/>
    <w:rsid w:val="000C030D"/>
    <w:rsid w:val="000C0718"/>
    <w:rsid w:val="000C0BA4"/>
    <w:rsid w:val="000C151A"/>
    <w:rsid w:val="000C1528"/>
    <w:rsid w:val="000C1672"/>
    <w:rsid w:val="000C16AF"/>
    <w:rsid w:val="000C1D33"/>
    <w:rsid w:val="000C2550"/>
    <w:rsid w:val="000C2555"/>
    <w:rsid w:val="000C25A4"/>
    <w:rsid w:val="000C2C54"/>
    <w:rsid w:val="000C37D1"/>
    <w:rsid w:val="000C3BFD"/>
    <w:rsid w:val="000C4791"/>
    <w:rsid w:val="000C48BB"/>
    <w:rsid w:val="000C4AB1"/>
    <w:rsid w:val="000C4ADD"/>
    <w:rsid w:val="000C4D22"/>
    <w:rsid w:val="000C51D9"/>
    <w:rsid w:val="000C55DF"/>
    <w:rsid w:val="000C58E4"/>
    <w:rsid w:val="000C6137"/>
    <w:rsid w:val="000C62B1"/>
    <w:rsid w:val="000C63FD"/>
    <w:rsid w:val="000C65E0"/>
    <w:rsid w:val="000C6718"/>
    <w:rsid w:val="000C6904"/>
    <w:rsid w:val="000C6A98"/>
    <w:rsid w:val="000C6C85"/>
    <w:rsid w:val="000C7C32"/>
    <w:rsid w:val="000C7DED"/>
    <w:rsid w:val="000D0729"/>
    <w:rsid w:val="000D0BBB"/>
    <w:rsid w:val="000D1408"/>
    <w:rsid w:val="000D150C"/>
    <w:rsid w:val="000D1559"/>
    <w:rsid w:val="000D17B1"/>
    <w:rsid w:val="000D1A82"/>
    <w:rsid w:val="000D1DC9"/>
    <w:rsid w:val="000D1F01"/>
    <w:rsid w:val="000D21E1"/>
    <w:rsid w:val="000D2691"/>
    <w:rsid w:val="000D2DB3"/>
    <w:rsid w:val="000D3035"/>
    <w:rsid w:val="000D3886"/>
    <w:rsid w:val="000D4036"/>
    <w:rsid w:val="000D436D"/>
    <w:rsid w:val="000D46A3"/>
    <w:rsid w:val="000D46A9"/>
    <w:rsid w:val="000D509D"/>
    <w:rsid w:val="000D5154"/>
    <w:rsid w:val="000D5891"/>
    <w:rsid w:val="000D5A85"/>
    <w:rsid w:val="000D61F2"/>
    <w:rsid w:val="000D6615"/>
    <w:rsid w:val="000D6952"/>
    <w:rsid w:val="000D70C3"/>
    <w:rsid w:val="000D72E3"/>
    <w:rsid w:val="000D745B"/>
    <w:rsid w:val="000D7629"/>
    <w:rsid w:val="000D7680"/>
    <w:rsid w:val="000D76A8"/>
    <w:rsid w:val="000D7A3D"/>
    <w:rsid w:val="000D7EB7"/>
    <w:rsid w:val="000D7FAF"/>
    <w:rsid w:val="000E0138"/>
    <w:rsid w:val="000E01F2"/>
    <w:rsid w:val="000E0246"/>
    <w:rsid w:val="000E02C7"/>
    <w:rsid w:val="000E0698"/>
    <w:rsid w:val="000E0822"/>
    <w:rsid w:val="000E0D28"/>
    <w:rsid w:val="000E0F06"/>
    <w:rsid w:val="000E1162"/>
    <w:rsid w:val="000E11C0"/>
    <w:rsid w:val="000E12A6"/>
    <w:rsid w:val="000E188E"/>
    <w:rsid w:val="000E1A40"/>
    <w:rsid w:val="000E1A7C"/>
    <w:rsid w:val="000E1E68"/>
    <w:rsid w:val="000E2B68"/>
    <w:rsid w:val="000E2F7D"/>
    <w:rsid w:val="000E30EB"/>
    <w:rsid w:val="000E312A"/>
    <w:rsid w:val="000E36F2"/>
    <w:rsid w:val="000E393B"/>
    <w:rsid w:val="000E43CB"/>
    <w:rsid w:val="000E4768"/>
    <w:rsid w:val="000E47AC"/>
    <w:rsid w:val="000E49BB"/>
    <w:rsid w:val="000E49C7"/>
    <w:rsid w:val="000E4F08"/>
    <w:rsid w:val="000E4FCF"/>
    <w:rsid w:val="000E696E"/>
    <w:rsid w:val="000E713C"/>
    <w:rsid w:val="000E71AD"/>
    <w:rsid w:val="000E72E0"/>
    <w:rsid w:val="000E72EB"/>
    <w:rsid w:val="000E767D"/>
    <w:rsid w:val="000E76BD"/>
    <w:rsid w:val="000E78AF"/>
    <w:rsid w:val="000E7ADF"/>
    <w:rsid w:val="000E7AE0"/>
    <w:rsid w:val="000E7C23"/>
    <w:rsid w:val="000F0C70"/>
    <w:rsid w:val="000F1837"/>
    <w:rsid w:val="000F1B5B"/>
    <w:rsid w:val="000F1C56"/>
    <w:rsid w:val="000F1CF9"/>
    <w:rsid w:val="000F1D66"/>
    <w:rsid w:val="000F23BA"/>
    <w:rsid w:val="000F23DE"/>
    <w:rsid w:val="000F293E"/>
    <w:rsid w:val="000F2AFA"/>
    <w:rsid w:val="000F2CA7"/>
    <w:rsid w:val="000F3014"/>
    <w:rsid w:val="000F32D4"/>
    <w:rsid w:val="000F3367"/>
    <w:rsid w:val="000F3EC6"/>
    <w:rsid w:val="000F45FC"/>
    <w:rsid w:val="000F4C78"/>
    <w:rsid w:val="000F4CE8"/>
    <w:rsid w:val="000F4E43"/>
    <w:rsid w:val="000F52DC"/>
    <w:rsid w:val="000F65BF"/>
    <w:rsid w:val="000F6870"/>
    <w:rsid w:val="000F71EB"/>
    <w:rsid w:val="000F7438"/>
    <w:rsid w:val="000F74C6"/>
    <w:rsid w:val="000F74C8"/>
    <w:rsid w:val="000F756A"/>
    <w:rsid w:val="000F7A7C"/>
    <w:rsid w:val="000F7EEE"/>
    <w:rsid w:val="001000AB"/>
    <w:rsid w:val="001003F8"/>
    <w:rsid w:val="001004A3"/>
    <w:rsid w:val="00100C60"/>
    <w:rsid w:val="00100CBD"/>
    <w:rsid w:val="00100D40"/>
    <w:rsid w:val="00100F92"/>
    <w:rsid w:val="00101550"/>
    <w:rsid w:val="00101946"/>
    <w:rsid w:val="00101B4B"/>
    <w:rsid w:val="00101F81"/>
    <w:rsid w:val="00102236"/>
    <w:rsid w:val="00102301"/>
    <w:rsid w:val="001023C9"/>
    <w:rsid w:val="001026FB"/>
    <w:rsid w:val="0010276D"/>
    <w:rsid w:val="00103757"/>
    <w:rsid w:val="00103C81"/>
    <w:rsid w:val="00103D9C"/>
    <w:rsid w:val="00104341"/>
    <w:rsid w:val="00104382"/>
    <w:rsid w:val="00104745"/>
    <w:rsid w:val="00104866"/>
    <w:rsid w:val="001048CD"/>
    <w:rsid w:val="0010493F"/>
    <w:rsid w:val="00104C92"/>
    <w:rsid w:val="00105438"/>
    <w:rsid w:val="001056DE"/>
    <w:rsid w:val="0010571C"/>
    <w:rsid w:val="001058A3"/>
    <w:rsid w:val="0010633C"/>
    <w:rsid w:val="0010649F"/>
    <w:rsid w:val="00106855"/>
    <w:rsid w:val="001076F2"/>
    <w:rsid w:val="00107794"/>
    <w:rsid w:val="00107928"/>
    <w:rsid w:val="00110016"/>
    <w:rsid w:val="00110616"/>
    <w:rsid w:val="0011067E"/>
    <w:rsid w:val="00111286"/>
    <w:rsid w:val="00111456"/>
    <w:rsid w:val="00111531"/>
    <w:rsid w:val="00111600"/>
    <w:rsid w:val="001116FC"/>
    <w:rsid w:val="001118DB"/>
    <w:rsid w:val="00111DBF"/>
    <w:rsid w:val="00111F95"/>
    <w:rsid w:val="00111FC1"/>
    <w:rsid w:val="001121B7"/>
    <w:rsid w:val="00112226"/>
    <w:rsid w:val="0011226E"/>
    <w:rsid w:val="0011227A"/>
    <w:rsid w:val="00112663"/>
    <w:rsid w:val="0011283E"/>
    <w:rsid w:val="001129D2"/>
    <w:rsid w:val="00112D96"/>
    <w:rsid w:val="00113147"/>
    <w:rsid w:val="00113366"/>
    <w:rsid w:val="00113431"/>
    <w:rsid w:val="0011378C"/>
    <w:rsid w:val="001138C0"/>
    <w:rsid w:val="00114B07"/>
    <w:rsid w:val="00114B78"/>
    <w:rsid w:val="00114CC8"/>
    <w:rsid w:val="001150D6"/>
    <w:rsid w:val="00115198"/>
    <w:rsid w:val="00115224"/>
    <w:rsid w:val="001154E0"/>
    <w:rsid w:val="0011568E"/>
    <w:rsid w:val="001156BD"/>
    <w:rsid w:val="001156EF"/>
    <w:rsid w:val="00115716"/>
    <w:rsid w:val="00116824"/>
    <w:rsid w:val="00116C83"/>
    <w:rsid w:val="00116D28"/>
    <w:rsid w:val="00116DD8"/>
    <w:rsid w:val="001170C7"/>
    <w:rsid w:val="00117336"/>
    <w:rsid w:val="00117B9C"/>
    <w:rsid w:val="0012072C"/>
    <w:rsid w:val="00120894"/>
    <w:rsid w:val="00120AE5"/>
    <w:rsid w:val="00120E71"/>
    <w:rsid w:val="001216AD"/>
    <w:rsid w:val="00121A72"/>
    <w:rsid w:val="00121CC4"/>
    <w:rsid w:val="00121E7D"/>
    <w:rsid w:val="001220CF"/>
    <w:rsid w:val="00123302"/>
    <w:rsid w:val="00123428"/>
    <w:rsid w:val="00123594"/>
    <w:rsid w:val="00123742"/>
    <w:rsid w:val="00123EA6"/>
    <w:rsid w:val="00124309"/>
    <w:rsid w:val="001243C6"/>
    <w:rsid w:val="0012455C"/>
    <w:rsid w:val="001247DD"/>
    <w:rsid w:val="001249E1"/>
    <w:rsid w:val="00125456"/>
    <w:rsid w:val="0012567B"/>
    <w:rsid w:val="00125D94"/>
    <w:rsid w:val="00125FA2"/>
    <w:rsid w:val="00125FAC"/>
    <w:rsid w:val="00126070"/>
    <w:rsid w:val="00126508"/>
    <w:rsid w:val="00126627"/>
    <w:rsid w:val="00126B4B"/>
    <w:rsid w:val="00126C85"/>
    <w:rsid w:val="00126E17"/>
    <w:rsid w:val="00127619"/>
    <w:rsid w:val="00127AD8"/>
    <w:rsid w:val="00127BB8"/>
    <w:rsid w:val="00127DAF"/>
    <w:rsid w:val="001301BC"/>
    <w:rsid w:val="0013038B"/>
    <w:rsid w:val="0013054C"/>
    <w:rsid w:val="0013079C"/>
    <w:rsid w:val="00130A4A"/>
    <w:rsid w:val="00130E4B"/>
    <w:rsid w:val="0013122F"/>
    <w:rsid w:val="001314EC"/>
    <w:rsid w:val="001318FF"/>
    <w:rsid w:val="00131B2C"/>
    <w:rsid w:val="00131B4B"/>
    <w:rsid w:val="00131B9E"/>
    <w:rsid w:val="00131E90"/>
    <w:rsid w:val="00132020"/>
    <w:rsid w:val="00132149"/>
    <w:rsid w:val="00132260"/>
    <w:rsid w:val="00132524"/>
    <w:rsid w:val="001327E1"/>
    <w:rsid w:val="00132AE4"/>
    <w:rsid w:val="00132EB2"/>
    <w:rsid w:val="00133119"/>
    <w:rsid w:val="0013319A"/>
    <w:rsid w:val="001331E9"/>
    <w:rsid w:val="0013340C"/>
    <w:rsid w:val="001334C1"/>
    <w:rsid w:val="001334F9"/>
    <w:rsid w:val="0013354C"/>
    <w:rsid w:val="00133764"/>
    <w:rsid w:val="00133792"/>
    <w:rsid w:val="00133BF8"/>
    <w:rsid w:val="00133FE2"/>
    <w:rsid w:val="00134665"/>
    <w:rsid w:val="001346A3"/>
    <w:rsid w:val="00134803"/>
    <w:rsid w:val="001349B1"/>
    <w:rsid w:val="00134BD9"/>
    <w:rsid w:val="0013518B"/>
    <w:rsid w:val="001351E5"/>
    <w:rsid w:val="00135458"/>
    <w:rsid w:val="0013545C"/>
    <w:rsid w:val="001356AC"/>
    <w:rsid w:val="001356AD"/>
    <w:rsid w:val="00135738"/>
    <w:rsid w:val="001357FC"/>
    <w:rsid w:val="00135C31"/>
    <w:rsid w:val="00135CF4"/>
    <w:rsid w:val="00135ED1"/>
    <w:rsid w:val="001367FB"/>
    <w:rsid w:val="00136879"/>
    <w:rsid w:val="001368FF"/>
    <w:rsid w:val="00137041"/>
    <w:rsid w:val="0013724C"/>
    <w:rsid w:val="001373F7"/>
    <w:rsid w:val="00137402"/>
    <w:rsid w:val="0013775D"/>
    <w:rsid w:val="00137884"/>
    <w:rsid w:val="001378B3"/>
    <w:rsid w:val="00137992"/>
    <w:rsid w:val="00137B93"/>
    <w:rsid w:val="00137D48"/>
    <w:rsid w:val="00137D7D"/>
    <w:rsid w:val="00137E15"/>
    <w:rsid w:val="00137F91"/>
    <w:rsid w:val="00140AD0"/>
    <w:rsid w:val="00140DD0"/>
    <w:rsid w:val="00140E33"/>
    <w:rsid w:val="00140E5E"/>
    <w:rsid w:val="00141998"/>
    <w:rsid w:val="00141CDB"/>
    <w:rsid w:val="00141E4C"/>
    <w:rsid w:val="00141F6B"/>
    <w:rsid w:val="001420A1"/>
    <w:rsid w:val="0014217C"/>
    <w:rsid w:val="0014262D"/>
    <w:rsid w:val="001426E1"/>
    <w:rsid w:val="001427E6"/>
    <w:rsid w:val="00142963"/>
    <w:rsid w:val="00142998"/>
    <w:rsid w:val="00142E26"/>
    <w:rsid w:val="001433AB"/>
    <w:rsid w:val="00143E23"/>
    <w:rsid w:val="00143F07"/>
    <w:rsid w:val="00143FB3"/>
    <w:rsid w:val="0014405B"/>
    <w:rsid w:val="001441E8"/>
    <w:rsid w:val="00144455"/>
    <w:rsid w:val="001444F9"/>
    <w:rsid w:val="00144652"/>
    <w:rsid w:val="0014489D"/>
    <w:rsid w:val="00144992"/>
    <w:rsid w:val="00144A87"/>
    <w:rsid w:val="00144F22"/>
    <w:rsid w:val="0014557A"/>
    <w:rsid w:val="00145BF5"/>
    <w:rsid w:val="00145EC2"/>
    <w:rsid w:val="001462D9"/>
    <w:rsid w:val="00146688"/>
    <w:rsid w:val="00146AD2"/>
    <w:rsid w:val="00146C17"/>
    <w:rsid w:val="00146CC6"/>
    <w:rsid w:val="00146CDD"/>
    <w:rsid w:val="00146DDD"/>
    <w:rsid w:val="00147559"/>
    <w:rsid w:val="001477BA"/>
    <w:rsid w:val="00147A82"/>
    <w:rsid w:val="00147ACD"/>
    <w:rsid w:val="001501E4"/>
    <w:rsid w:val="0015137E"/>
    <w:rsid w:val="001514AA"/>
    <w:rsid w:val="001515A1"/>
    <w:rsid w:val="00151848"/>
    <w:rsid w:val="0015186F"/>
    <w:rsid w:val="001518C9"/>
    <w:rsid w:val="00151B29"/>
    <w:rsid w:val="001528EA"/>
    <w:rsid w:val="001529B6"/>
    <w:rsid w:val="00152C6F"/>
    <w:rsid w:val="0015310B"/>
    <w:rsid w:val="00153285"/>
    <w:rsid w:val="00153543"/>
    <w:rsid w:val="001538D4"/>
    <w:rsid w:val="00153930"/>
    <w:rsid w:val="00153963"/>
    <w:rsid w:val="00153A3C"/>
    <w:rsid w:val="00154318"/>
    <w:rsid w:val="00154A36"/>
    <w:rsid w:val="00154B59"/>
    <w:rsid w:val="00154F4E"/>
    <w:rsid w:val="00155085"/>
    <w:rsid w:val="0015524C"/>
    <w:rsid w:val="00155AC9"/>
    <w:rsid w:val="00155BB9"/>
    <w:rsid w:val="00155D13"/>
    <w:rsid w:val="00155EB2"/>
    <w:rsid w:val="00156102"/>
    <w:rsid w:val="001567D0"/>
    <w:rsid w:val="00156DAF"/>
    <w:rsid w:val="00157123"/>
    <w:rsid w:val="0015725B"/>
    <w:rsid w:val="00157546"/>
    <w:rsid w:val="001601EC"/>
    <w:rsid w:val="00160385"/>
    <w:rsid w:val="001609E8"/>
    <w:rsid w:val="00160B8C"/>
    <w:rsid w:val="00160FF6"/>
    <w:rsid w:val="0016137B"/>
    <w:rsid w:val="001614B1"/>
    <w:rsid w:val="001619BB"/>
    <w:rsid w:val="00161A15"/>
    <w:rsid w:val="00161A9F"/>
    <w:rsid w:val="00162304"/>
    <w:rsid w:val="00162850"/>
    <w:rsid w:val="00162D5C"/>
    <w:rsid w:val="00162E5B"/>
    <w:rsid w:val="00163346"/>
    <w:rsid w:val="001634CF"/>
    <w:rsid w:val="0016354B"/>
    <w:rsid w:val="00163D14"/>
    <w:rsid w:val="00163DB7"/>
    <w:rsid w:val="00163F76"/>
    <w:rsid w:val="0016427D"/>
    <w:rsid w:val="001647D2"/>
    <w:rsid w:val="0016557C"/>
    <w:rsid w:val="001659AC"/>
    <w:rsid w:val="00165AA6"/>
    <w:rsid w:val="00165CDC"/>
    <w:rsid w:val="00165F16"/>
    <w:rsid w:val="00166333"/>
    <w:rsid w:val="00166709"/>
    <w:rsid w:val="001668A4"/>
    <w:rsid w:val="00166971"/>
    <w:rsid w:val="00166A2D"/>
    <w:rsid w:val="00166E8E"/>
    <w:rsid w:val="001670AB"/>
    <w:rsid w:val="001670B5"/>
    <w:rsid w:val="001677C1"/>
    <w:rsid w:val="00167DFB"/>
    <w:rsid w:val="00167E9F"/>
    <w:rsid w:val="001701F4"/>
    <w:rsid w:val="0017035E"/>
    <w:rsid w:val="00170448"/>
    <w:rsid w:val="00170480"/>
    <w:rsid w:val="00170848"/>
    <w:rsid w:val="001708B1"/>
    <w:rsid w:val="0017094B"/>
    <w:rsid w:val="00170AAF"/>
    <w:rsid w:val="00171387"/>
    <w:rsid w:val="001719E1"/>
    <w:rsid w:val="00171BD6"/>
    <w:rsid w:val="00171FA2"/>
    <w:rsid w:val="0017234C"/>
    <w:rsid w:val="00172792"/>
    <w:rsid w:val="00172A5E"/>
    <w:rsid w:val="00172C05"/>
    <w:rsid w:val="00172DE9"/>
    <w:rsid w:val="00172F4B"/>
    <w:rsid w:val="00173257"/>
    <w:rsid w:val="0017327F"/>
    <w:rsid w:val="00173369"/>
    <w:rsid w:val="00173447"/>
    <w:rsid w:val="001734AF"/>
    <w:rsid w:val="00173835"/>
    <w:rsid w:val="001742AC"/>
    <w:rsid w:val="00174646"/>
    <w:rsid w:val="001746BA"/>
    <w:rsid w:val="001748DA"/>
    <w:rsid w:val="00174908"/>
    <w:rsid w:val="00174D34"/>
    <w:rsid w:val="00175074"/>
    <w:rsid w:val="00175077"/>
    <w:rsid w:val="00175343"/>
    <w:rsid w:val="001753B3"/>
    <w:rsid w:val="0017543F"/>
    <w:rsid w:val="0017544B"/>
    <w:rsid w:val="00175539"/>
    <w:rsid w:val="00175F63"/>
    <w:rsid w:val="00176170"/>
    <w:rsid w:val="001762D4"/>
    <w:rsid w:val="00176458"/>
    <w:rsid w:val="001766C4"/>
    <w:rsid w:val="00176A62"/>
    <w:rsid w:val="00176E58"/>
    <w:rsid w:val="00176E92"/>
    <w:rsid w:val="00176F37"/>
    <w:rsid w:val="00177090"/>
    <w:rsid w:val="00177179"/>
    <w:rsid w:val="0017733F"/>
    <w:rsid w:val="001774F7"/>
    <w:rsid w:val="001775DD"/>
    <w:rsid w:val="001778F0"/>
    <w:rsid w:val="00177E97"/>
    <w:rsid w:val="00177FA9"/>
    <w:rsid w:val="001804B3"/>
    <w:rsid w:val="00180550"/>
    <w:rsid w:val="00180B2C"/>
    <w:rsid w:val="00180BEF"/>
    <w:rsid w:val="00180C06"/>
    <w:rsid w:val="0018110B"/>
    <w:rsid w:val="0018132C"/>
    <w:rsid w:val="001813D0"/>
    <w:rsid w:val="0018178A"/>
    <w:rsid w:val="00181AE0"/>
    <w:rsid w:val="00181CCD"/>
    <w:rsid w:val="00181D33"/>
    <w:rsid w:val="00181F88"/>
    <w:rsid w:val="001821A1"/>
    <w:rsid w:val="001821B2"/>
    <w:rsid w:val="00182641"/>
    <w:rsid w:val="00182645"/>
    <w:rsid w:val="00182BF4"/>
    <w:rsid w:val="00182FCB"/>
    <w:rsid w:val="001832E2"/>
    <w:rsid w:val="0018335E"/>
    <w:rsid w:val="001836C0"/>
    <w:rsid w:val="00183782"/>
    <w:rsid w:val="0018379E"/>
    <w:rsid w:val="00183E15"/>
    <w:rsid w:val="00184258"/>
    <w:rsid w:val="00184469"/>
    <w:rsid w:val="00184BB2"/>
    <w:rsid w:val="00185C05"/>
    <w:rsid w:val="00185C72"/>
    <w:rsid w:val="00185CE7"/>
    <w:rsid w:val="00186194"/>
    <w:rsid w:val="0018635D"/>
    <w:rsid w:val="001865FA"/>
    <w:rsid w:val="00186B50"/>
    <w:rsid w:val="00186BCB"/>
    <w:rsid w:val="001872D1"/>
    <w:rsid w:val="001878D1"/>
    <w:rsid w:val="001879BB"/>
    <w:rsid w:val="00187A77"/>
    <w:rsid w:val="00187AE9"/>
    <w:rsid w:val="00187D9C"/>
    <w:rsid w:val="00190528"/>
    <w:rsid w:val="00190555"/>
    <w:rsid w:val="0019065B"/>
    <w:rsid w:val="001908F2"/>
    <w:rsid w:val="00190E3B"/>
    <w:rsid w:val="00190E98"/>
    <w:rsid w:val="00190EDC"/>
    <w:rsid w:val="00191362"/>
    <w:rsid w:val="0019145D"/>
    <w:rsid w:val="0019148B"/>
    <w:rsid w:val="001915DE"/>
    <w:rsid w:val="00191C1E"/>
    <w:rsid w:val="0019292B"/>
    <w:rsid w:val="00192E0C"/>
    <w:rsid w:val="0019345B"/>
    <w:rsid w:val="00193990"/>
    <w:rsid w:val="00193B62"/>
    <w:rsid w:val="001942A1"/>
    <w:rsid w:val="0019443E"/>
    <w:rsid w:val="001945E9"/>
    <w:rsid w:val="00194986"/>
    <w:rsid w:val="00194AF1"/>
    <w:rsid w:val="00194AF3"/>
    <w:rsid w:val="00194DF3"/>
    <w:rsid w:val="00195055"/>
    <w:rsid w:val="00195491"/>
    <w:rsid w:val="001959AE"/>
    <w:rsid w:val="00195C0B"/>
    <w:rsid w:val="001963C5"/>
    <w:rsid w:val="001963F6"/>
    <w:rsid w:val="001964C9"/>
    <w:rsid w:val="001965AD"/>
    <w:rsid w:val="0019694D"/>
    <w:rsid w:val="00196A1A"/>
    <w:rsid w:val="00196B8B"/>
    <w:rsid w:val="00196CC3"/>
    <w:rsid w:val="00197045"/>
    <w:rsid w:val="0019722D"/>
    <w:rsid w:val="0019770F"/>
    <w:rsid w:val="00197A80"/>
    <w:rsid w:val="00197B0E"/>
    <w:rsid w:val="00197CAB"/>
    <w:rsid w:val="001A0064"/>
    <w:rsid w:val="001A01E1"/>
    <w:rsid w:val="001A057E"/>
    <w:rsid w:val="001A05C6"/>
    <w:rsid w:val="001A0671"/>
    <w:rsid w:val="001A0A34"/>
    <w:rsid w:val="001A0D3F"/>
    <w:rsid w:val="001A12EE"/>
    <w:rsid w:val="001A14A2"/>
    <w:rsid w:val="001A1BA4"/>
    <w:rsid w:val="001A1C52"/>
    <w:rsid w:val="001A26F6"/>
    <w:rsid w:val="001A2F09"/>
    <w:rsid w:val="001A30B8"/>
    <w:rsid w:val="001A3635"/>
    <w:rsid w:val="001A39A3"/>
    <w:rsid w:val="001A3BAD"/>
    <w:rsid w:val="001A3BE7"/>
    <w:rsid w:val="001A3D72"/>
    <w:rsid w:val="001A3EF6"/>
    <w:rsid w:val="001A3F4B"/>
    <w:rsid w:val="001A4189"/>
    <w:rsid w:val="001A45EE"/>
    <w:rsid w:val="001A4B24"/>
    <w:rsid w:val="001A4F5D"/>
    <w:rsid w:val="001A5725"/>
    <w:rsid w:val="001A5A33"/>
    <w:rsid w:val="001A5CF0"/>
    <w:rsid w:val="001A5D06"/>
    <w:rsid w:val="001A5E94"/>
    <w:rsid w:val="001A600F"/>
    <w:rsid w:val="001A6179"/>
    <w:rsid w:val="001A623D"/>
    <w:rsid w:val="001A6460"/>
    <w:rsid w:val="001A6B2E"/>
    <w:rsid w:val="001A7072"/>
    <w:rsid w:val="001A749C"/>
    <w:rsid w:val="001A74FC"/>
    <w:rsid w:val="001A7541"/>
    <w:rsid w:val="001A79BC"/>
    <w:rsid w:val="001B0674"/>
    <w:rsid w:val="001B0785"/>
    <w:rsid w:val="001B0793"/>
    <w:rsid w:val="001B0E23"/>
    <w:rsid w:val="001B141E"/>
    <w:rsid w:val="001B15F0"/>
    <w:rsid w:val="001B165A"/>
    <w:rsid w:val="001B2009"/>
    <w:rsid w:val="001B201B"/>
    <w:rsid w:val="001B206E"/>
    <w:rsid w:val="001B2245"/>
    <w:rsid w:val="001B2546"/>
    <w:rsid w:val="001B292F"/>
    <w:rsid w:val="001B2A10"/>
    <w:rsid w:val="001B2B33"/>
    <w:rsid w:val="001B2F24"/>
    <w:rsid w:val="001B3193"/>
    <w:rsid w:val="001B36B2"/>
    <w:rsid w:val="001B3884"/>
    <w:rsid w:val="001B39C6"/>
    <w:rsid w:val="001B3B51"/>
    <w:rsid w:val="001B3BA7"/>
    <w:rsid w:val="001B44B6"/>
    <w:rsid w:val="001B4D89"/>
    <w:rsid w:val="001B50AB"/>
    <w:rsid w:val="001B53C1"/>
    <w:rsid w:val="001B5985"/>
    <w:rsid w:val="001B5A40"/>
    <w:rsid w:val="001B5F62"/>
    <w:rsid w:val="001B605B"/>
    <w:rsid w:val="001B6306"/>
    <w:rsid w:val="001B63E2"/>
    <w:rsid w:val="001B63F6"/>
    <w:rsid w:val="001B662D"/>
    <w:rsid w:val="001B69F2"/>
    <w:rsid w:val="001B6AC2"/>
    <w:rsid w:val="001B6ADC"/>
    <w:rsid w:val="001B6B55"/>
    <w:rsid w:val="001B6B72"/>
    <w:rsid w:val="001B6CA8"/>
    <w:rsid w:val="001B6D68"/>
    <w:rsid w:val="001B6DC8"/>
    <w:rsid w:val="001B7612"/>
    <w:rsid w:val="001B7845"/>
    <w:rsid w:val="001B79FA"/>
    <w:rsid w:val="001B7D94"/>
    <w:rsid w:val="001B7E85"/>
    <w:rsid w:val="001C0760"/>
    <w:rsid w:val="001C0797"/>
    <w:rsid w:val="001C0E14"/>
    <w:rsid w:val="001C0FEA"/>
    <w:rsid w:val="001C1658"/>
    <w:rsid w:val="001C1BBA"/>
    <w:rsid w:val="001C1C19"/>
    <w:rsid w:val="001C20E1"/>
    <w:rsid w:val="001C215F"/>
    <w:rsid w:val="001C2409"/>
    <w:rsid w:val="001C24F6"/>
    <w:rsid w:val="001C259F"/>
    <w:rsid w:val="001C26AD"/>
    <w:rsid w:val="001C2892"/>
    <w:rsid w:val="001C2999"/>
    <w:rsid w:val="001C2A72"/>
    <w:rsid w:val="001C2B19"/>
    <w:rsid w:val="001C2B56"/>
    <w:rsid w:val="001C2F8C"/>
    <w:rsid w:val="001C341B"/>
    <w:rsid w:val="001C34CD"/>
    <w:rsid w:val="001C3570"/>
    <w:rsid w:val="001C35CA"/>
    <w:rsid w:val="001C36CB"/>
    <w:rsid w:val="001C395C"/>
    <w:rsid w:val="001C4308"/>
    <w:rsid w:val="001C439B"/>
    <w:rsid w:val="001C449B"/>
    <w:rsid w:val="001C454E"/>
    <w:rsid w:val="001C46E6"/>
    <w:rsid w:val="001C48B7"/>
    <w:rsid w:val="001C49BE"/>
    <w:rsid w:val="001C4D02"/>
    <w:rsid w:val="001C4DE0"/>
    <w:rsid w:val="001C5180"/>
    <w:rsid w:val="001C55E2"/>
    <w:rsid w:val="001C57B6"/>
    <w:rsid w:val="001C5B71"/>
    <w:rsid w:val="001C6410"/>
    <w:rsid w:val="001C6593"/>
    <w:rsid w:val="001C72EA"/>
    <w:rsid w:val="001C738D"/>
    <w:rsid w:val="001C781F"/>
    <w:rsid w:val="001C78D6"/>
    <w:rsid w:val="001C793D"/>
    <w:rsid w:val="001D02B4"/>
    <w:rsid w:val="001D03BC"/>
    <w:rsid w:val="001D0B4E"/>
    <w:rsid w:val="001D1086"/>
    <w:rsid w:val="001D1620"/>
    <w:rsid w:val="001D16A4"/>
    <w:rsid w:val="001D16AB"/>
    <w:rsid w:val="001D17F6"/>
    <w:rsid w:val="001D1869"/>
    <w:rsid w:val="001D187D"/>
    <w:rsid w:val="001D1A90"/>
    <w:rsid w:val="001D1AFA"/>
    <w:rsid w:val="001D1D41"/>
    <w:rsid w:val="001D20D7"/>
    <w:rsid w:val="001D2516"/>
    <w:rsid w:val="001D2881"/>
    <w:rsid w:val="001D290D"/>
    <w:rsid w:val="001D2BAC"/>
    <w:rsid w:val="001D3375"/>
    <w:rsid w:val="001D361A"/>
    <w:rsid w:val="001D393F"/>
    <w:rsid w:val="001D3D39"/>
    <w:rsid w:val="001D3F07"/>
    <w:rsid w:val="001D429F"/>
    <w:rsid w:val="001D4688"/>
    <w:rsid w:val="001D504F"/>
    <w:rsid w:val="001D56CC"/>
    <w:rsid w:val="001D5AA4"/>
    <w:rsid w:val="001D5BE2"/>
    <w:rsid w:val="001D5F4D"/>
    <w:rsid w:val="001D5F97"/>
    <w:rsid w:val="001D64B4"/>
    <w:rsid w:val="001D68AC"/>
    <w:rsid w:val="001D6E89"/>
    <w:rsid w:val="001D70AC"/>
    <w:rsid w:val="001D7118"/>
    <w:rsid w:val="001D7129"/>
    <w:rsid w:val="001D729A"/>
    <w:rsid w:val="001D72C8"/>
    <w:rsid w:val="001D73E4"/>
    <w:rsid w:val="001D754C"/>
    <w:rsid w:val="001D7A68"/>
    <w:rsid w:val="001E11C5"/>
    <w:rsid w:val="001E17B8"/>
    <w:rsid w:val="001E196C"/>
    <w:rsid w:val="001E208C"/>
    <w:rsid w:val="001E243E"/>
    <w:rsid w:val="001E2A11"/>
    <w:rsid w:val="001E307F"/>
    <w:rsid w:val="001E3A46"/>
    <w:rsid w:val="001E3C69"/>
    <w:rsid w:val="001E4001"/>
    <w:rsid w:val="001E42CC"/>
    <w:rsid w:val="001E4611"/>
    <w:rsid w:val="001E46E7"/>
    <w:rsid w:val="001E4D11"/>
    <w:rsid w:val="001E53FB"/>
    <w:rsid w:val="001E54E3"/>
    <w:rsid w:val="001E5713"/>
    <w:rsid w:val="001E59D9"/>
    <w:rsid w:val="001E5AA0"/>
    <w:rsid w:val="001E5B79"/>
    <w:rsid w:val="001E6074"/>
    <w:rsid w:val="001E7310"/>
    <w:rsid w:val="001E7A79"/>
    <w:rsid w:val="001E7CD1"/>
    <w:rsid w:val="001F03DD"/>
    <w:rsid w:val="001F0817"/>
    <w:rsid w:val="001F0998"/>
    <w:rsid w:val="001F0A13"/>
    <w:rsid w:val="001F0E4C"/>
    <w:rsid w:val="001F110B"/>
    <w:rsid w:val="001F12A7"/>
    <w:rsid w:val="001F136A"/>
    <w:rsid w:val="001F14E9"/>
    <w:rsid w:val="001F18D5"/>
    <w:rsid w:val="001F1AAF"/>
    <w:rsid w:val="001F231F"/>
    <w:rsid w:val="001F2761"/>
    <w:rsid w:val="001F27D2"/>
    <w:rsid w:val="001F2BC2"/>
    <w:rsid w:val="001F2EB5"/>
    <w:rsid w:val="001F3821"/>
    <w:rsid w:val="001F3A4C"/>
    <w:rsid w:val="001F40B0"/>
    <w:rsid w:val="001F469A"/>
    <w:rsid w:val="001F4CC3"/>
    <w:rsid w:val="001F4E3C"/>
    <w:rsid w:val="001F5133"/>
    <w:rsid w:val="001F56B4"/>
    <w:rsid w:val="001F5B88"/>
    <w:rsid w:val="001F5BCC"/>
    <w:rsid w:val="001F65FF"/>
    <w:rsid w:val="001F67B7"/>
    <w:rsid w:val="001F6AC3"/>
    <w:rsid w:val="001F6E4B"/>
    <w:rsid w:val="001F70C1"/>
    <w:rsid w:val="001F7110"/>
    <w:rsid w:val="001F712A"/>
    <w:rsid w:val="001F7138"/>
    <w:rsid w:val="001F73DC"/>
    <w:rsid w:val="001F7503"/>
    <w:rsid w:val="001F754B"/>
    <w:rsid w:val="001F75AF"/>
    <w:rsid w:val="001F791E"/>
    <w:rsid w:val="001F7B0F"/>
    <w:rsid w:val="00200152"/>
    <w:rsid w:val="00200344"/>
    <w:rsid w:val="002004B2"/>
    <w:rsid w:val="00200952"/>
    <w:rsid w:val="00200E17"/>
    <w:rsid w:val="00200FF8"/>
    <w:rsid w:val="0020103B"/>
    <w:rsid w:val="00201601"/>
    <w:rsid w:val="00201C8B"/>
    <w:rsid w:val="0020282D"/>
    <w:rsid w:val="00202839"/>
    <w:rsid w:val="00202A28"/>
    <w:rsid w:val="00202A3A"/>
    <w:rsid w:val="00202BD7"/>
    <w:rsid w:val="00202E2E"/>
    <w:rsid w:val="00202ECD"/>
    <w:rsid w:val="00202F76"/>
    <w:rsid w:val="0020336F"/>
    <w:rsid w:val="0020378B"/>
    <w:rsid w:val="0020388F"/>
    <w:rsid w:val="0020391A"/>
    <w:rsid w:val="00203D02"/>
    <w:rsid w:val="00204060"/>
    <w:rsid w:val="00204271"/>
    <w:rsid w:val="00204339"/>
    <w:rsid w:val="0020445A"/>
    <w:rsid w:val="002044C5"/>
    <w:rsid w:val="00204C91"/>
    <w:rsid w:val="00205076"/>
    <w:rsid w:val="0020516E"/>
    <w:rsid w:val="0020517B"/>
    <w:rsid w:val="002051D2"/>
    <w:rsid w:val="002054FD"/>
    <w:rsid w:val="00205568"/>
    <w:rsid w:val="00205638"/>
    <w:rsid w:val="00205DC3"/>
    <w:rsid w:val="00205F4D"/>
    <w:rsid w:val="00206001"/>
    <w:rsid w:val="002060A1"/>
    <w:rsid w:val="00206A0E"/>
    <w:rsid w:val="00206B3E"/>
    <w:rsid w:val="00206B95"/>
    <w:rsid w:val="00206D2B"/>
    <w:rsid w:val="0020715C"/>
    <w:rsid w:val="0020727A"/>
    <w:rsid w:val="002074DA"/>
    <w:rsid w:val="002075AA"/>
    <w:rsid w:val="00207A0B"/>
    <w:rsid w:val="00207C5C"/>
    <w:rsid w:val="00207E65"/>
    <w:rsid w:val="0021008F"/>
    <w:rsid w:val="002107FA"/>
    <w:rsid w:val="002110FA"/>
    <w:rsid w:val="002117D2"/>
    <w:rsid w:val="00211C88"/>
    <w:rsid w:val="00212117"/>
    <w:rsid w:val="0021234E"/>
    <w:rsid w:val="00212684"/>
    <w:rsid w:val="00212A72"/>
    <w:rsid w:val="00212EBB"/>
    <w:rsid w:val="00212ECC"/>
    <w:rsid w:val="00212FFE"/>
    <w:rsid w:val="0021321A"/>
    <w:rsid w:val="002134B2"/>
    <w:rsid w:val="00213742"/>
    <w:rsid w:val="00213E4A"/>
    <w:rsid w:val="002148A0"/>
    <w:rsid w:val="002148DD"/>
    <w:rsid w:val="00214B69"/>
    <w:rsid w:val="00215129"/>
    <w:rsid w:val="002153C4"/>
    <w:rsid w:val="00215AF7"/>
    <w:rsid w:val="00215E91"/>
    <w:rsid w:val="00216C17"/>
    <w:rsid w:val="00216D05"/>
    <w:rsid w:val="00216FEC"/>
    <w:rsid w:val="00217B4C"/>
    <w:rsid w:val="00217C5E"/>
    <w:rsid w:val="00220293"/>
    <w:rsid w:val="002209D3"/>
    <w:rsid w:val="00220DEF"/>
    <w:rsid w:val="00221199"/>
    <w:rsid w:val="00221302"/>
    <w:rsid w:val="002218A0"/>
    <w:rsid w:val="00221E5D"/>
    <w:rsid w:val="00222006"/>
    <w:rsid w:val="0022213D"/>
    <w:rsid w:val="002225B3"/>
    <w:rsid w:val="0022318E"/>
    <w:rsid w:val="00223301"/>
    <w:rsid w:val="00223E9E"/>
    <w:rsid w:val="00224242"/>
    <w:rsid w:val="00224368"/>
    <w:rsid w:val="00224916"/>
    <w:rsid w:val="00224C18"/>
    <w:rsid w:val="00224D3A"/>
    <w:rsid w:val="00224E66"/>
    <w:rsid w:val="00224F4A"/>
    <w:rsid w:val="0022562C"/>
    <w:rsid w:val="00225A50"/>
    <w:rsid w:val="00225E39"/>
    <w:rsid w:val="00226414"/>
    <w:rsid w:val="002267C5"/>
    <w:rsid w:val="00227118"/>
    <w:rsid w:val="002279CC"/>
    <w:rsid w:val="00227BFB"/>
    <w:rsid w:val="00227F17"/>
    <w:rsid w:val="002302E4"/>
    <w:rsid w:val="00230458"/>
    <w:rsid w:val="002305EC"/>
    <w:rsid w:val="002306C4"/>
    <w:rsid w:val="00231107"/>
    <w:rsid w:val="0023124D"/>
    <w:rsid w:val="002313CC"/>
    <w:rsid w:val="0023157B"/>
    <w:rsid w:val="002316E2"/>
    <w:rsid w:val="002324A3"/>
    <w:rsid w:val="002326B9"/>
    <w:rsid w:val="00232D95"/>
    <w:rsid w:val="00232DDF"/>
    <w:rsid w:val="00232E22"/>
    <w:rsid w:val="00233420"/>
    <w:rsid w:val="0023353F"/>
    <w:rsid w:val="002335CD"/>
    <w:rsid w:val="002336C8"/>
    <w:rsid w:val="00233CCB"/>
    <w:rsid w:val="002340BB"/>
    <w:rsid w:val="002349F5"/>
    <w:rsid w:val="00235027"/>
    <w:rsid w:val="00235109"/>
    <w:rsid w:val="00235732"/>
    <w:rsid w:val="002357DC"/>
    <w:rsid w:val="00235962"/>
    <w:rsid w:val="00235DB1"/>
    <w:rsid w:val="00235FA4"/>
    <w:rsid w:val="00236001"/>
    <w:rsid w:val="0023622C"/>
    <w:rsid w:val="002363A9"/>
    <w:rsid w:val="0023687F"/>
    <w:rsid w:val="00236B6C"/>
    <w:rsid w:val="00236CCA"/>
    <w:rsid w:val="002374A6"/>
    <w:rsid w:val="002375E7"/>
    <w:rsid w:val="00237728"/>
    <w:rsid w:val="002379B0"/>
    <w:rsid w:val="00237B72"/>
    <w:rsid w:val="00240826"/>
    <w:rsid w:val="00240D21"/>
    <w:rsid w:val="0024118D"/>
    <w:rsid w:val="0024135F"/>
    <w:rsid w:val="00241517"/>
    <w:rsid w:val="00242040"/>
    <w:rsid w:val="00242154"/>
    <w:rsid w:val="00242240"/>
    <w:rsid w:val="00242BD5"/>
    <w:rsid w:val="00242C94"/>
    <w:rsid w:val="00243356"/>
    <w:rsid w:val="0024354B"/>
    <w:rsid w:val="00243D15"/>
    <w:rsid w:val="00243E0E"/>
    <w:rsid w:val="00243F6E"/>
    <w:rsid w:val="00244050"/>
    <w:rsid w:val="00244174"/>
    <w:rsid w:val="00244A7D"/>
    <w:rsid w:val="00244E11"/>
    <w:rsid w:val="00244E1B"/>
    <w:rsid w:val="00244F92"/>
    <w:rsid w:val="00245736"/>
    <w:rsid w:val="0024573E"/>
    <w:rsid w:val="00245A7F"/>
    <w:rsid w:val="00245ADB"/>
    <w:rsid w:val="00245F46"/>
    <w:rsid w:val="00245F92"/>
    <w:rsid w:val="0024623E"/>
    <w:rsid w:val="00246361"/>
    <w:rsid w:val="002463FC"/>
    <w:rsid w:val="00246890"/>
    <w:rsid w:val="0024771A"/>
    <w:rsid w:val="0024776E"/>
    <w:rsid w:val="00250038"/>
    <w:rsid w:val="002501FC"/>
    <w:rsid w:val="00250506"/>
    <w:rsid w:val="00250532"/>
    <w:rsid w:val="002507D1"/>
    <w:rsid w:val="002507FA"/>
    <w:rsid w:val="0025127F"/>
    <w:rsid w:val="002512DB"/>
    <w:rsid w:val="0025196E"/>
    <w:rsid w:val="00251A88"/>
    <w:rsid w:val="00251C92"/>
    <w:rsid w:val="0025201B"/>
    <w:rsid w:val="002524B3"/>
    <w:rsid w:val="0025288F"/>
    <w:rsid w:val="00252A16"/>
    <w:rsid w:val="00252B7E"/>
    <w:rsid w:val="00252C42"/>
    <w:rsid w:val="00252DDD"/>
    <w:rsid w:val="00252DE3"/>
    <w:rsid w:val="00253052"/>
    <w:rsid w:val="002530AB"/>
    <w:rsid w:val="002535FE"/>
    <w:rsid w:val="0025365C"/>
    <w:rsid w:val="002539F3"/>
    <w:rsid w:val="00253B97"/>
    <w:rsid w:val="0025445D"/>
    <w:rsid w:val="002544BC"/>
    <w:rsid w:val="00254514"/>
    <w:rsid w:val="00254D38"/>
    <w:rsid w:val="00255383"/>
    <w:rsid w:val="0025553F"/>
    <w:rsid w:val="0025565A"/>
    <w:rsid w:val="00255E07"/>
    <w:rsid w:val="002569A7"/>
    <w:rsid w:val="00256C01"/>
    <w:rsid w:val="00257B36"/>
    <w:rsid w:val="00257E48"/>
    <w:rsid w:val="0026031B"/>
    <w:rsid w:val="00260FB3"/>
    <w:rsid w:val="00260FC5"/>
    <w:rsid w:val="0026120C"/>
    <w:rsid w:val="002614DF"/>
    <w:rsid w:val="00261568"/>
    <w:rsid w:val="00261672"/>
    <w:rsid w:val="0026197E"/>
    <w:rsid w:val="0026241A"/>
    <w:rsid w:val="002627F6"/>
    <w:rsid w:val="00262873"/>
    <w:rsid w:val="0026291B"/>
    <w:rsid w:val="00262B18"/>
    <w:rsid w:val="00262BBF"/>
    <w:rsid w:val="00262C63"/>
    <w:rsid w:val="00262D52"/>
    <w:rsid w:val="00262DA7"/>
    <w:rsid w:val="00262F26"/>
    <w:rsid w:val="0026304A"/>
    <w:rsid w:val="0026311A"/>
    <w:rsid w:val="002633DC"/>
    <w:rsid w:val="00263BB8"/>
    <w:rsid w:val="00263FE8"/>
    <w:rsid w:val="00263FF4"/>
    <w:rsid w:val="0026407B"/>
    <w:rsid w:val="0026444F"/>
    <w:rsid w:val="002647DE"/>
    <w:rsid w:val="00264BBA"/>
    <w:rsid w:val="00264D6B"/>
    <w:rsid w:val="002651CA"/>
    <w:rsid w:val="00265334"/>
    <w:rsid w:val="002654D7"/>
    <w:rsid w:val="0026591B"/>
    <w:rsid w:val="00265B65"/>
    <w:rsid w:val="00265CA2"/>
    <w:rsid w:val="00265D53"/>
    <w:rsid w:val="00265D5A"/>
    <w:rsid w:val="00265D8D"/>
    <w:rsid w:val="002661AB"/>
    <w:rsid w:val="002662B8"/>
    <w:rsid w:val="002662C8"/>
    <w:rsid w:val="00266334"/>
    <w:rsid w:val="002665DD"/>
    <w:rsid w:val="00266752"/>
    <w:rsid w:val="002670AB"/>
    <w:rsid w:val="0026716D"/>
    <w:rsid w:val="00267EA3"/>
    <w:rsid w:val="00267EF4"/>
    <w:rsid w:val="0027000C"/>
    <w:rsid w:val="0027004C"/>
    <w:rsid w:val="0027010B"/>
    <w:rsid w:val="0027024F"/>
    <w:rsid w:val="00270866"/>
    <w:rsid w:val="00270876"/>
    <w:rsid w:val="00270F3B"/>
    <w:rsid w:val="00270FEC"/>
    <w:rsid w:val="0027117A"/>
    <w:rsid w:val="0027163F"/>
    <w:rsid w:val="002717AB"/>
    <w:rsid w:val="00271867"/>
    <w:rsid w:val="002718EB"/>
    <w:rsid w:val="00272049"/>
    <w:rsid w:val="002720C1"/>
    <w:rsid w:val="0027225E"/>
    <w:rsid w:val="002722C5"/>
    <w:rsid w:val="0027249B"/>
    <w:rsid w:val="00272CCE"/>
    <w:rsid w:val="00272D20"/>
    <w:rsid w:val="0027301F"/>
    <w:rsid w:val="00273185"/>
    <w:rsid w:val="00273268"/>
    <w:rsid w:val="00273274"/>
    <w:rsid w:val="00273729"/>
    <w:rsid w:val="00273CD8"/>
    <w:rsid w:val="00273D57"/>
    <w:rsid w:val="00274286"/>
    <w:rsid w:val="00274B57"/>
    <w:rsid w:val="00274BF5"/>
    <w:rsid w:val="00274EA9"/>
    <w:rsid w:val="00274FAC"/>
    <w:rsid w:val="00275229"/>
    <w:rsid w:val="0027542F"/>
    <w:rsid w:val="00275769"/>
    <w:rsid w:val="00275804"/>
    <w:rsid w:val="00275863"/>
    <w:rsid w:val="00275B06"/>
    <w:rsid w:val="00275CEF"/>
    <w:rsid w:val="00275FE3"/>
    <w:rsid w:val="0027619E"/>
    <w:rsid w:val="002764F8"/>
    <w:rsid w:val="0027698D"/>
    <w:rsid w:val="0027730C"/>
    <w:rsid w:val="0027763D"/>
    <w:rsid w:val="00277AA9"/>
    <w:rsid w:val="0028096A"/>
    <w:rsid w:val="00280C15"/>
    <w:rsid w:val="00280CF1"/>
    <w:rsid w:val="00280F71"/>
    <w:rsid w:val="00280FF0"/>
    <w:rsid w:val="00281058"/>
    <w:rsid w:val="00281196"/>
    <w:rsid w:val="002814A7"/>
    <w:rsid w:val="002814FF"/>
    <w:rsid w:val="00281C58"/>
    <w:rsid w:val="0028211C"/>
    <w:rsid w:val="002824FB"/>
    <w:rsid w:val="00282617"/>
    <w:rsid w:val="00282C16"/>
    <w:rsid w:val="00282DBA"/>
    <w:rsid w:val="00282EA9"/>
    <w:rsid w:val="00283AAA"/>
    <w:rsid w:val="002845DD"/>
    <w:rsid w:val="00284694"/>
    <w:rsid w:val="00284757"/>
    <w:rsid w:val="00284766"/>
    <w:rsid w:val="00284C68"/>
    <w:rsid w:val="00284CB1"/>
    <w:rsid w:val="00284E68"/>
    <w:rsid w:val="002850FF"/>
    <w:rsid w:val="00285664"/>
    <w:rsid w:val="00285B57"/>
    <w:rsid w:val="00285C8B"/>
    <w:rsid w:val="00285D96"/>
    <w:rsid w:val="002862A5"/>
    <w:rsid w:val="00286C8A"/>
    <w:rsid w:val="002873A9"/>
    <w:rsid w:val="002873E2"/>
    <w:rsid w:val="00287607"/>
    <w:rsid w:val="002876B5"/>
    <w:rsid w:val="00287812"/>
    <w:rsid w:val="002879B1"/>
    <w:rsid w:val="00287C18"/>
    <w:rsid w:val="00287DCC"/>
    <w:rsid w:val="00287EC3"/>
    <w:rsid w:val="002904CD"/>
    <w:rsid w:val="00290AFC"/>
    <w:rsid w:val="00290BCD"/>
    <w:rsid w:val="0029118B"/>
    <w:rsid w:val="0029155F"/>
    <w:rsid w:val="0029170D"/>
    <w:rsid w:val="002918E5"/>
    <w:rsid w:val="00291AAE"/>
    <w:rsid w:val="00291CA9"/>
    <w:rsid w:val="00291E0C"/>
    <w:rsid w:val="00291F2C"/>
    <w:rsid w:val="0029217A"/>
    <w:rsid w:val="00292364"/>
    <w:rsid w:val="00292434"/>
    <w:rsid w:val="002924E4"/>
    <w:rsid w:val="00292B38"/>
    <w:rsid w:val="00292BF7"/>
    <w:rsid w:val="00292ECA"/>
    <w:rsid w:val="002934C9"/>
    <w:rsid w:val="00294394"/>
    <w:rsid w:val="002945BB"/>
    <w:rsid w:val="0029465A"/>
    <w:rsid w:val="00294DAC"/>
    <w:rsid w:val="00294EA4"/>
    <w:rsid w:val="00294F1C"/>
    <w:rsid w:val="0029535E"/>
    <w:rsid w:val="00295819"/>
    <w:rsid w:val="00295C75"/>
    <w:rsid w:val="00296142"/>
    <w:rsid w:val="002961B4"/>
    <w:rsid w:val="0029709B"/>
    <w:rsid w:val="002971C3"/>
    <w:rsid w:val="0029747D"/>
    <w:rsid w:val="00297BE3"/>
    <w:rsid w:val="00297BEB"/>
    <w:rsid w:val="00297C87"/>
    <w:rsid w:val="002A02BB"/>
    <w:rsid w:val="002A0993"/>
    <w:rsid w:val="002A0A6B"/>
    <w:rsid w:val="002A0D9E"/>
    <w:rsid w:val="002A0FB9"/>
    <w:rsid w:val="002A17D7"/>
    <w:rsid w:val="002A182F"/>
    <w:rsid w:val="002A20F7"/>
    <w:rsid w:val="002A214F"/>
    <w:rsid w:val="002A28D5"/>
    <w:rsid w:val="002A2D18"/>
    <w:rsid w:val="002A3554"/>
    <w:rsid w:val="002A3BAA"/>
    <w:rsid w:val="002A3D30"/>
    <w:rsid w:val="002A4574"/>
    <w:rsid w:val="002A485A"/>
    <w:rsid w:val="002A4920"/>
    <w:rsid w:val="002A4B1D"/>
    <w:rsid w:val="002A4BEF"/>
    <w:rsid w:val="002A54BF"/>
    <w:rsid w:val="002A54CC"/>
    <w:rsid w:val="002A599A"/>
    <w:rsid w:val="002A59BE"/>
    <w:rsid w:val="002A5DDB"/>
    <w:rsid w:val="002A6251"/>
    <w:rsid w:val="002A67F3"/>
    <w:rsid w:val="002A68C4"/>
    <w:rsid w:val="002A7074"/>
    <w:rsid w:val="002A722B"/>
    <w:rsid w:val="002A7239"/>
    <w:rsid w:val="002A73D0"/>
    <w:rsid w:val="002A76A1"/>
    <w:rsid w:val="002A7D24"/>
    <w:rsid w:val="002B0276"/>
    <w:rsid w:val="002B084B"/>
    <w:rsid w:val="002B098E"/>
    <w:rsid w:val="002B147E"/>
    <w:rsid w:val="002B185E"/>
    <w:rsid w:val="002B1B00"/>
    <w:rsid w:val="002B1C3E"/>
    <w:rsid w:val="002B1F1B"/>
    <w:rsid w:val="002B2B4B"/>
    <w:rsid w:val="002B2CBD"/>
    <w:rsid w:val="002B300A"/>
    <w:rsid w:val="002B3C78"/>
    <w:rsid w:val="002B3FE0"/>
    <w:rsid w:val="002B4593"/>
    <w:rsid w:val="002B483F"/>
    <w:rsid w:val="002B4B55"/>
    <w:rsid w:val="002B4D45"/>
    <w:rsid w:val="002B4D53"/>
    <w:rsid w:val="002B5008"/>
    <w:rsid w:val="002B5519"/>
    <w:rsid w:val="002B5EF5"/>
    <w:rsid w:val="002B6492"/>
    <w:rsid w:val="002B65F5"/>
    <w:rsid w:val="002B6665"/>
    <w:rsid w:val="002B68A0"/>
    <w:rsid w:val="002B6C03"/>
    <w:rsid w:val="002B7B09"/>
    <w:rsid w:val="002C0025"/>
    <w:rsid w:val="002C0673"/>
    <w:rsid w:val="002C07E3"/>
    <w:rsid w:val="002C0C86"/>
    <w:rsid w:val="002C0E88"/>
    <w:rsid w:val="002C0F5E"/>
    <w:rsid w:val="002C1997"/>
    <w:rsid w:val="002C1E01"/>
    <w:rsid w:val="002C1FA4"/>
    <w:rsid w:val="002C2556"/>
    <w:rsid w:val="002C2961"/>
    <w:rsid w:val="002C2AFC"/>
    <w:rsid w:val="002C3146"/>
    <w:rsid w:val="002C322D"/>
    <w:rsid w:val="002C334F"/>
    <w:rsid w:val="002C336F"/>
    <w:rsid w:val="002C3383"/>
    <w:rsid w:val="002C35BD"/>
    <w:rsid w:val="002C36D6"/>
    <w:rsid w:val="002C3D1C"/>
    <w:rsid w:val="002C3DAA"/>
    <w:rsid w:val="002C3E70"/>
    <w:rsid w:val="002C4107"/>
    <w:rsid w:val="002C433E"/>
    <w:rsid w:val="002C4726"/>
    <w:rsid w:val="002C50BA"/>
    <w:rsid w:val="002C50D9"/>
    <w:rsid w:val="002C55AA"/>
    <w:rsid w:val="002C5750"/>
    <w:rsid w:val="002C5AFC"/>
    <w:rsid w:val="002C5F8F"/>
    <w:rsid w:val="002C6369"/>
    <w:rsid w:val="002C6B02"/>
    <w:rsid w:val="002C6B0A"/>
    <w:rsid w:val="002C6F6E"/>
    <w:rsid w:val="002C71F7"/>
    <w:rsid w:val="002C7385"/>
    <w:rsid w:val="002C76F0"/>
    <w:rsid w:val="002C7D76"/>
    <w:rsid w:val="002D05D6"/>
    <w:rsid w:val="002D0915"/>
    <w:rsid w:val="002D123C"/>
    <w:rsid w:val="002D1298"/>
    <w:rsid w:val="002D1F65"/>
    <w:rsid w:val="002D2133"/>
    <w:rsid w:val="002D27D6"/>
    <w:rsid w:val="002D2A5E"/>
    <w:rsid w:val="002D2E79"/>
    <w:rsid w:val="002D3148"/>
    <w:rsid w:val="002D32CE"/>
    <w:rsid w:val="002D4BAC"/>
    <w:rsid w:val="002D4C32"/>
    <w:rsid w:val="002D507A"/>
    <w:rsid w:val="002D5297"/>
    <w:rsid w:val="002D5652"/>
    <w:rsid w:val="002D5754"/>
    <w:rsid w:val="002D5AD5"/>
    <w:rsid w:val="002D5F9E"/>
    <w:rsid w:val="002D6197"/>
    <w:rsid w:val="002D63FB"/>
    <w:rsid w:val="002D662B"/>
    <w:rsid w:val="002D66C8"/>
    <w:rsid w:val="002D6990"/>
    <w:rsid w:val="002D6ACB"/>
    <w:rsid w:val="002D6B24"/>
    <w:rsid w:val="002D6BE4"/>
    <w:rsid w:val="002D6C71"/>
    <w:rsid w:val="002D6CA7"/>
    <w:rsid w:val="002D6E49"/>
    <w:rsid w:val="002D71AE"/>
    <w:rsid w:val="002D7BB7"/>
    <w:rsid w:val="002E0349"/>
    <w:rsid w:val="002E0920"/>
    <w:rsid w:val="002E0BBD"/>
    <w:rsid w:val="002E14A5"/>
    <w:rsid w:val="002E1644"/>
    <w:rsid w:val="002E16CD"/>
    <w:rsid w:val="002E17F7"/>
    <w:rsid w:val="002E19BF"/>
    <w:rsid w:val="002E1FDB"/>
    <w:rsid w:val="002E2485"/>
    <w:rsid w:val="002E24B6"/>
    <w:rsid w:val="002E278E"/>
    <w:rsid w:val="002E2FB6"/>
    <w:rsid w:val="002E32EE"/>
    <w:rsid w:val="002E3427"/>
    <w:rsid w:val="002E36A7"/>
    <w:rsid w:val="002E39E9"/>
    <w:rsid w:val="002E39EC"/>
    <w:rsid w:val="002E3BE5"/>
    <w:rsid w:val="002E411F"/>
    <w:rsid w:val="002E4A04"/>
    <w:rsid w:val="002E514F"/>
    <w:rsid w:val="002E52E0"/>
    <w:rsid w:val="002E53EA"/>
    <w:rsid w:val="002E56F3"/>
    <w:rsid w:val="002E5882"/>
    <w:rsid w:val="002E607C"/>
    <w:rsid w:val="002E6362"/>
    <w:rsid w:val="002E648C"/>
    <w:rsid w:val="002E67C5"/>
    <w:rsid w:val="002E6EA7"/>
    <w:rsid w:val="002E6FDD"/>
    <w:rsid w:val="002E7274"/>
    <w:rsid w:val="002E74D6"/>
    <w:rsid w:val="002F02BE"/>
    <w:rsid w:val="002F03BA"/>
    <w:rsid w:val="002F06D4"/>
    <w:rsid w:val="002F0935"/>
    <w:rsid w:val="002F0D0C"/>
    <w:rsid w:val="002F0DFB"/>
    <w:rsid w:val="002F1253"/>
    <w:rsid w:val="002F17CB"/>
    <w:rsid w:val="002F1EFE"/>
    <w:rsid w:val="002F1F53"/>
    <w:rsid w:val="002F1F83"/>
    <w:rsid w:val="002F1FE4"/>
    <w:rsid w:val="002F27AB"/>
    <w:rsid w:val="002F2BCE"/>
    <w:rsid w:val="002F2BF0"/>
    <w:rsid w:val="002F2CAE"/>
    <w:rsid w:val="002F2DE7"/>
    <w:rsid w:val="002F319F"/>
    <w:rsid w:val="002F3CA3"/>
    <w:rsid w:val="002F4118"/>
    <w:rsid w:val="002F440B"/>
    <w:rsid w:val="002F498A"/>
    <w:rsid w:val="002F4A55"/>
    <w:rsid w:val="002F4B98"/>
    <w:rsid w:val="002F4BDA"/>
    <w:rsid w:val="002F4C8E"/>
    <w:rsid w:val="002F512D"/>
    <w:rsid w:val="002F5C82"/>
    <w:rsid w:val="002F62D8"/>
    <w:rsid w:val="002F6471"/>
    <w:rsid w:val="002F6BEC"/>
    <w:rsid w:val="002F6C1B"/>
    <w:rsid w:val="002F6D35"/>
    <w:rsid w:val="002F6D85"/>
    <w:rsid w:val="002F6E5F"/>
    <w:rsid w:val="002F7048"/>
    <w:rsid w:val="002F7132"/>
    <w:rsid w:val="002F71A9"/>
    <w:rsid w:val="002F71FF"/>
    <w:rsid w:val="002F75E9"/>
    <w:rsid w:val="003003A9"/>
    <w:rsid w:val="003007BC"/>
    <w:rsid w:val="00300856"/>
    <w:rsid w:val="00300A7B"/>
    <w:rsid w:val="00300AD3"/>
    <w:rsid w:val="00300B9D"/>
    <w:rsid w:val="00301A99"/>
    <w:rsid w:val="00301B74"/>
    <w:rsid w:val="00301C55"/>
    <w:rsid w:val="003020C7"/>
    <w:rsid w:val="003021AB"/>
    <w:rsid w:val="00302234"/>
    <w:rsid w:val="003022D9"/>
    <w:rsid w:val="003023E3"/>
    <w:rsid w:val="003028ED"/>
    <w:rsid w:val="003029A1"/>
    <w:rsid w:val="00302FBA"/>
    <w:rsid w:val="0030343E"/>
    <w:rsid w:val="00303494"/>
    <w:rsid w:val="00303572"/>
    <w:rsid w:val="00303828"/>
    <w:rsid w:val="003038B6"/>
    <w:rsid w:val="0030390C"/>
    <w:rsid w:val="00303DCB"/>
    <w:rsid w:val="003041CC"/>
    <w:rsid w:val="0030440C"/>
    <w:rsid w:val="00304635"/>
    <w:rsid w:val="00304A96"/>
    <w:rsid w:val="00304BEF"/>
    <w:rsid w:val="00304DE2"/>
    <w:rsid w:val="00304EEA"/>
    <w:rsid w:val="0030548F"/>
    <w:rsid w:val="003059CD"/>
    <w:rsid w:val="00305A15"/>
    <w:rsid w:val="00305A41"/>
    <w:rsid w:val="00305F46"/>
    <w:rsid w:val="00306370"/>
    <w:rsid w:val="00306650"/>
    <w:rsid w:val="00306AFB"/>
    <w:rsid w:val="00306B7E"/>
    <w:rsid w:val="00306CFF"/>
    <w:rsid w:val="003070D9"/>
    <w:rsid w:val="00307D34"/>
    <w:rsid w:val="00307FF0"/>
    <w:rsid w:val="00310284"/>
    <w:rsid w:val="00310296"/>
    <w:rsid w:val="0031040E"/>
    <w:rsid w:val="003105F3"/>
    <w:rsid w:val="0031080D"/>
    <w:rsid w:val="00310929"/>
    <w:rsid w:val="00311191"/>
    <w:rsid w:val="00311853"/>
    <w:rsid w:val="00311B59"/>
    <w:rsid w:val="00311B77"/>
    <w:rsid w:val="00311D2A"/>
    <w:rsid w:val="00311DB3"/>
    <w:rsid w:val="003121AC"/>
    <w:rsid w:val="003123C5"/>
    <w:rsid w:val="0031249A"/>
    <w:rsid w:val="00312531"/>
    <w:rsid w:val="003125F5"/>
    <w:rsid w:val="0031267E"/>
    <w:rsid w:val="00312C13"/>
    <w:rsid w:val="00312D91"/>
    <w:rsid w:val="003132C9"/>
    <w:rsid w:val="003133B2"/>
    <w:rsid w:val="00314324"/>
    <w:rsid w:val="003143CA"/>
    <w:rsid w:val="0031444B"/>
    <w:rsid w:val="00314649"/>
    <w:rsid w:val="00314965"/>
    <w:rsid w:val="003149FE"/>
    <w:rsid w:val="00314DFF"/>
    <w:rsid w:val="00314E48"/>
    <w:rsid w:val="00314FD7"/>
    <w:rsid w:val="00315342"/>
    <w:rsid w:val="003159EE"/>
    <w:rsid w:val="00315ABE"/>
    <w:rsid w:val="00315E23"/>
    <w:rsid w:val="00315F86"/>
    <w:rsid w:val="00316119"/>
    <w:rsid w:val="00316145"/>
    <w:rsid w:val="003167ED"/>
    <w:rsid w:val="00316E0E"/>
    <w:rsid w:val="0031755C"/>
    <w:rsid w:val="003175A0"/>
    <w:rsid w:val="003178B0"/>
    <w:rsid w:val="00317A69"/>
    <w:rsid w:val="00317C66"/>
    <w:rsid w:val="0032053C"/>
    <w:rsid w:val="003207D5"/>
    <w:rsid w:val="00320C33"/>
    <w:rsid w:val="003210EC"/>
    <w:rsid w:val="00321435"/>
    <w:rsid w:val="00321C1D"/>
    <w:rsid w:val="00321EC2"/>
    <w:rsid w:val="00322186"/>
    <w:rsid w:val="0032258F"/>
    <w:rsid w:val="00322596"/>
    <w:rsid w:val="00322CD8"/>
    <w:rsid w:val="00322D9B"/>
    <w:rsid w:val="003232D9"/>
    <w:rsid w:val="003236BB"/>
    <w:rsid w:val="003236F9"/>
    <w:rsid w:val="003239C3"/>
    <w:rsid w:val="00324978"/>
    <w:rsid w:val="003254E9"/>
    <w:rsid w:val="00325806"/>
    <w:rsid w:val="003266F9"/>
    <w:rsid w:val="00326767"/>
    <w:rsid w:val="003267B9"/>
    <w:rsid w:val="00326866"/>
    <w:rsid w:val="00327088"/>
    <w:rsid w:val="0032734E"/>
    <w:rsid w:val="003275A2"/>
    <w:rsid w:val="00327708"/>
    <w:rsid w:val="003277FF"/>
    <w:rsid w:val="00327802"/>
    <w:rsid w:val="00327A5B"/>
    <w:rsid w:val="00327ADA"/>
    <w:rsid w:val="00327AE4"/>
    <w:rsid w:val="00327B11"/>
    <w:rsid w:val="00327C61"/>
    <w:rsid w:val="00327D4C"/>
    <w:rsid w:val="00327E4B"/>
    <w:rsid w:val="00327FDA"/>
    <w:rsid w:val="003302C4"/>
    <w:rsid w:val="00330510"/>
    <w:rsid w:val="0033051B"/>
    <w:rsid w:val="00330B5D"/>
    <w:rsid w:val="00330F12"/>
    <w:rsid w:val="003313A6"/>
    <w:rsid w:val="003317C5"/>
    <w:rsid w:val="00332227"/>
    <w:rsid w:val="003324E7"/>
    <w:rsid w:val="00332B63"/>
    <w:rsid w:val="00332C7E"/>
    <w:rsid w:val="00332F33"/>
    <w:rsid w:val="00333569"/>
    <w:rsid w:val="003335E2"/>
    <w:rsid w:val="003339B4"/>
    <w:rsid w:val="00333A05"/>
    <w:rsid w:val="00333B94"/>
    <w:rsid w:val="00333C16"/>
    <w:rsid w:val="00333D2F"/>
    <w:rsid w:val="00333F38"/>
    <w:rsid w:val="00334326"/>
    <w:rsid w:val="0033442F"/>
    <w:rsid w:val="00334909"/>
    <w:rsid w:val="00334B0C"/>
    <w:rsid w:val="00334BC4"/>
    <w:rsid w:val="00335050"/>
    <w:rsid w:val="0033524F"/>
    <w:rsid w:val="00335375"/>
    <w:rsid w:val="003356E4"/>
    <w:rsid w:val="003357A1"/>
    <w:rsid w:val="00335BCC"/>
    <w:rsid w:val="00335E3C"/>
    <w:rsid w:val="00335E45"/>
    <w:rsid w:val="00336317"/>
    <w:rsid w:val="003363F5"/>
    <w:rsid w:val="003367E9"/>
    <w:rsid w:val="003369EA"/>
    <w:rsid w:val="00336CC0"/>
    <w:rsid w:val="00337111"/>
    <w:rsid w:val="0033749D"/>
    <w:rsid w:val="0033778D"/>
    <w:rsid w:val="003377DF"/>
    <w:rsid w:val="00340753"/>
    <w:rsid w:val="00340C7F"/>
    <w:rsid w:val="00340CD6"/>
    <w:rsid w:val="00340EEE"/>
    <w:rsid w:val="00341137"/>
    <w:rsid w:val="00341448"/>
    <w:rsid w:val="00341502"/>
    <w:rsid w:val="00341BA9"/>
    <w:rsid w:val="00341FAC"/>
    <w:rsid w:val="00341FB1"/>
    <w:rsid w:val="003422A4"/>
    <w:rsid w:val="003422A6"/>
    <w:rsid w:val="0034231D"/>
    <w:rsid w:val="003425AE"/>
    <w:rsid w:val="003425B1"/>
    <w:rsid w:val="00342BE8"/>
    <w:rsid w:val="00342D2A"/>
    <w:rsid w:val="00342F62"/>
    <w:rsid w:val="0034379A"/>
    <w:rsid w:val="003437B7"/>
    <w:rsid w:val="00344195"/>
    <w:rsid w:val="00344231"/>
    <w:rsid w:val="0034479C"/>
    <w:rsid w:val="00344ED0"/>
    <w:rsid w:val="00345579"/>
    <w:rsid w:val="003459D2"/>
    <w:rsid w:val="00345F71"/>
    <w:rsid w:val="003463EA"/>
    <w:rsid w:val="003464C1"/>
    <w:rsid w:val="00346C63"/>
    <w:rsid w:val="00346D82"/>
    <w:rsid w:val="00347044"/>
    <w:rsid w:val="0034712A"/>
    <w:rsid w:val="003474C5"/>
    <w:rsid w:val="003476EC"/>
    <w:rsid w:val="003479DE"/>
    <w:rsid w:val="003479EC"/>
    <w:rsid w:val="00347B63"/>
    <w:rsid w:val="00350112"/>
    <w:rsid w:val="003502C7"/>
    <w:rsid w:val="00350746"/>
    <w:rsid w:val="003509DF"/>
    <w:rsid w:val="00350ED2"/>
    <w:rsid w:val="00350FA2"/>
    <w:rsid w:val="00351238"/>
    <w:rsid w:val="00351551"/>
    <w:rsid w:val="00351559"/>
    <w:rsid w:val="003515AA"/>
    <w:rsid w:val="003516AA"/>
    <w:rsid w:val="00351768"/>
    <w:rsid w:val="00351900"/>
    <w:rsid w:val="0035214E"/>
    <w:rsid w:val="0035236D"/>
    <w:rsid w:val="003524BD"/>
    <w:rsid w:val="00352792"/>
    <w:rsid w:val="00352841"/>
    <w:rsid w:val="00352CA4"/>
    <w:rsid w:val="00352CCC"/>
    <w:rsid w:val="00352F2A"/>
    <w:rsid w:val="003531FE"/>
    <w:rsid w:val="003533ED"/>
    <w:rsid w:val="00353490"/>
    <w:rsid w:val="00353A30"/>
    <w:rsid w:val="00353DF6"/>
    <w:rsid w:val="00353EC8"/>
    <w:rsid w:val="0035446F"/>
    <w:rsid w:val="0035448E"/>
    <w:rsid w:val="0035457E"/>
    <w:rsid w:val="00354E36"/>
    <w:rsid w:val="00354F84"/>
    <w:rsid w:val="003550A0"/>
    <w:rsid w:val="0035549C"/>
    <w:rsid w:val="00355EB5"/>
    <w:rsid w:val="00356742"/>
    <w:rsid w:val="003569A3"/>
    <w:rsid w:val="00356DC1"/>
    <w:rsid w:val="00357177"/>
    <w:rsid w:val="003577DB"/>
    <w:rsid w:val="00357901"/>
    <w:rsid w:val="0035794E"/>
    <w:rsid w:val="00357961"/>
    <w:rsid w:val="003579CB"/>
    <w:rsid w:val="003605C5"/>
    <w:rsid w:val="0036089E"/>
    <w:rsid w:val="00360B15"/>
    <w:rsid w:val="00360BFD"/>
    <w:rsid w:val="00360EC7"/>
    <w:rsid w:val="00360FDC"/>
    <w:rsid w:val="003610CF"/>
    <w:rsid w:val="0036117E"/>
    <w:rsid w:val="00361320"/>
    <w:rsid w:val="00361482"/>
    <w:rsid w:val="00361A6C"/>
    <w:rsid w:val="00362090"/>
    <w:rsid w:val="00362382"/>
    <w:rsid w:val="003623D4"/>
    <w:rsid w:val="0036246F"/>
    <w:rsid w:val="00362BEA"/>
    <w:rsid w:val="00363023"/>
    <w:rsid w:val="003631FF"/>
    <w:rsid w:val="00363338"/>
    <w:rsid w:val="00363A25"/>
    <w:rsid w:val="00363DC8"/>
    <w:rsid w:val="003640B6"/>
    <w:rsid w:val="003655C2"/>
    <w:rsid w:val="00365C48"/>
    <w:rsid w:val="00365C92"/>
    <w:rsid w:val="00365C9C"/>
    <w:rsid w:val="00365E47"/>
    <w:rsid w:val="00366086"/>
    <w:rsid w:val="003660F6"/>
    <w:rsid w:val="003664D4"/>
    <w:rsid w:val="00366EDB"/>
    <w:rsid w:val="0036704C"/>
    <w:rsid w:val="0036745E"/>
    <w:rsid w:val="00367551"/>
    <w:rsid w:val="00367809"/>
    <w:rsid w:val="00367AAA"/>
    <w:rsid w:val="00370208"/>
    <w:rsid w:val="00370330"/>
    <w:rsid w:val="0037074C"/>
    <w:rsid w:val="003707DC"/>
    <w:rsid w:val="00370DC3"/>
    <w:rsid w:val="00371614"/>
    <w:rsid w:val="003717B8"/>
    <w:rsid w:val="0037180C"/>
    <w:rsid w:val="00371D11"/>
    <w:rsid w:val="00371D40"/>
    <w:rsid w:val="00371D7D"/>
    <w:rsid w:val="003721FA"/>
    <w:rsid w:val="003724CC"/>
    <w:rsid w:val="003732BC"/>
    <w:rsid w:val="00373BC9"/>
    <w:rsid w:val="0037412C"/>
    <w:rsid w:val="00374793"/>
    <w:rsid w:val="00374821"/>
    <w:rsid w:val="00374BD6"/>
    <w:rsid w:val="00374D8B"/>
    <w:rsid w:val="00374EF8"/>
    <w:rsid w:val="003751E9"/>
    <w:rsid w:val="003751FC"/>
    <w:rsid w:val="00375370"/>
    <w:rsid w:val="0037553D"/>
    <w:rsid w:val="00375909"/>
    <w:rsid w:val="00375D65"/>
    <w:rsid w:val="00375D98"/>
    <w:rsid w:val="00375DAD"/>
    <w:rsid w:val="003763F0"/>
    <w:rsid w:val="00376661"/>
    <w:rsid w:val="003774DC"/>
    <w:rsid w:val="00377624"/>
    <w:rsid w:val="003779EC"/>
    <w:rsid w:val="003779ED"/>
    <w:rsid w:val="003779FB"/>
    <w:rsid w:val="00377C1F"/>
    <w:rsid w:val="00377DB3"/>
    <w:rsid w:val="00380220"/>
    <w:rsid w:val="003806E0"/>
    <w:rsid w:val="00380BD6"/>
    <w:rsid w:val="00380EF5"/>
    <w:rsid w:val="00381274"/>
    <w:rsid w:val="00381331"/>
    <w:rsid w:val="00381340"/>
    <w:rsid w:val="00381601"/>
    <w:rsid w:val="00382061"/>
    <w:rsid w:val="003823A1"/>
    <w:rsid w:val="003824E0"/>
    <w:rsid w:val="00382B30"/>
    <w:rsid w:val="00382BBE"/>
    <w:rsid w:val="0038351C"/>
    <w:rsid w:val="0038359F"/>
    <w:rsid w:val="0038444F"/>
    <w:rsid w:val="00384DA4"/>
    <w:rsid w:val="00384FB3"/>
    <w:rsid w:val="0038502A"/>
    <w:rsid w:val="00385386"/>
    <w:rsid w:val="00385654"/>
    <w:rsid w:val="003856DF"/>
    <w:rsid w:val="00385890"/>
    <w:rsid w:val="00385BF2"/>
    <w:rsid w:val="003863F3"/>
    <w:rsid w:val="00386875"/>
    <w:rsid w:val="00386975"/>
    <w:rsid w:val="003869AF"/>
    <w:rsid w:val="00386AA4"/>
    <w:rsid w:val="00387258"/>
    <w:rsid w:val="003879F2"/>
    <w:rsid w:val="00387CD5"/>
    <w:rsid w:val="00387E41"/>
    <w:rsid w:val="0039017F"/>
    <w:rsid w:val="00390953"/>
    <w:rsid w:val="00390B54"/>
    <w:rsid w:val="00390B6E"/>
    <w:rsid w:val="00390DB9"/>
    <w:rsid w:val="00390FC1"/>
    <w:rsid w:val="00391402"/>
    <w:rsid w:val="00391536"/>
    <w:rsid w:val="00391581"/>
    <w:rsid w:val="0039182B"/>
    <w:rsid w:val="00391EE0"/>
    <w:rsid w:val="00392685"/>
    <w:rsid w:val="003927AB"/>
    <w:rsid w:val="00392897"/>
    <w:rsid w:val="003933B2"/>
    <w:rsid w:val="00393C48"/>
    <w:rsid w:val="00393F71"/>
    <w:rsid w:val="003946C6"/>
    <w:rsid w:val="0039495A"/>
    <w:rsid w:val="00394A26"/>
    <w:rsid w:val="00394A27"/>
    <w:rsid w:val="003954CA"/>
    <w:rsid w:val="003959C3"/>
    <w:rsid w:val="00395DDF"/>
    <w:rsid w:val="00396490"/>
    <w:rsid w:val="0039658B"/>
    <w:rsid w:val="00396809"/>
    <w:rsid w:val="003969E1"/>
    <w:rsid w:val="00396AF0"/>
    <w:rsid w:val="00396BA3"/>
    <w:rsid w:val="00397015"/>
    <w:rsid w:val="00397513"/>
    <w:rsid w:val="00397903"/>
    <w:rsid w:val="00397966"/>
    <w:rsid w:val="00397E03"/>
    <w:rsid w:val="00397FF9"/>
    <w:rsid w:val="003A0188"/>
    <w:rsid w:val="003A03F9"/>
    <w:rsid w:val="003A0938"/>
    <w:rsid w:val="003A099A"/>
    <w:rsid w:val="003A0A20"/>
    <w:rsid w:val="003A0AF9"/>
    <w:rsid w:val="003A0CB7"/>
    <w:rsid w:val="003A0F52"/>
    <w:rsid w:val="003A1509"/>
    <w:rsid w:val="003A16FF"/>
    <w:rsid w:val="003A17E4"/>
    <w:rsid w:val="003A180A"/>
    <w:rsid w:val="003A2005"/>
    <w:rsid w:val="003A20DD"/>
    <w:rsid w:val="003A238D"/>
    <w:rsid w:val="003A2F23"/>
    <w:rsid w:val="003A2F3C"/>
    <w:rsid w:val="003A2FB5"/>
    <w:rsid w:val="003A3319"/>
    <w:rsid w:val="003A3391"/>
    <w:rsid w:val="003A3991"/>
    <w:rsid w:val="003A402B"/>
    <w:rsid w:val="003A40A7"/>
    <w:rsid w:val="003A42D8"/>
    <w:rsid w:val="003A5088"/>
    <w:rsid w:val="003A5142"/>
    <w:rsid w:val="003A5176"/>
    <w:rsid w:val="003A6263"/>
    <w:rsid w:val="003A6351"/>
    <w:rsid w:val="003A6EE5"/>
    <w:rsid w:val="003A7108"/>
    <w:rsid w:val="003A724E"/>
    <w:rsid w:val="003A7341"/>
    <w:rsid w:val="003A74C2"/>
    <w:rsid w:val="003A7A8C"/>
    <w:rsid w:val="003A7CB5"/>
    <w:rsid w:val="003A7F29"/>
    <w:rsid w:val="003B010F"/>
    <w:rsid w:val="003B0505"/>
    <w:rsid w:val="003B0AC3"/>
    <w:rsid w:val="003B0C72"/>
    <w:rsid w:val="003B0DF7"/>
    <w:rsid w:val="003B0EFA"/>
    <w:rsid w:val="003B139F"/>
    <w:rsid w:val="003B15AA"/>
    <w:rsid w:val="003B1703"/>
    <w:rsid w:val="003B2253"/>
    <w:rsid w:val="003B243E"/>
    <w:rsid w:val="003B260C"/>
    <w:rsid w:val="003B26BB"/>
    <w:rsid w:val="003B293F"/>
    <w:rsid w:val="003B2F8C"/>
    <w:rsid w:val="003B3121"/>
    <w:rsid w:val="003B32A6"/>
    <w:rsid w:val="003B37E5"/>
    <w:rsid w:val="003B3960"/>
    <w:rsid w:val="003B3BE1"/>
    <w:rsid w:val="003B4693"/>
    <w:rsid w:val="003B473F"/>
    <w:rsid w:val="003B4C37"/>
    <w:rsid w:val="003B4C69"/>
    <w:rsid w:val="003B4CCA"/>
    <w:rsid w:val="003B4E03"/>
    <w:rsid w:val="003B4F47"/>
    <w:rsid w:val="003B4F54"/>
    <w:rsid w:val="003B5048"/>
    <w:rsid w:val="003B5134"/>
    <w:rsid w:val="003B52CC"/>
    <w:rsid w:val="003B5741"/>
    <w:rsid w:val="003B5A90"/>
    <w:rsid w:val="003B695B"/>
    <w:rsid w:val="003B6A0E"/>
    <w:rsid w:val="003B6F21"/>
    <w:rsid w:val="003B7149"/>
    <w:rsid w:val="003B7491"/>
    <w:rsid w:val="003B7553"/>
    <w:rsid w:val="003B7817"/>
    <w:rsid w:val="003B78D3"/>
    <w:rsid w:val="003B7C91"/>
    <w:rsid w:val="003C02F7"/>
    <w:rsid w:val="003C030F"/>
    <w:rsid w:val="003C0500"/>
    <w:rsid w:val="003C09A4"/>
    <w:rsid w:val="003C1176"/>
    <w:rsid w:val="003C1299"/>
    <w:rsid w:val="003C172C"/>
    <w:rsid w:val="003C1E70"/>
    <w:rsid w:val="003C2054"/>
    <w:rsid w:val="003C2F0F"/>
    <w:rsid w:val="003C2FF0"/>
    <w:rsid w:val="003C3507"/>
    <w:rsid w:val="003C4067"/>
    <w:rsid w:val="003C47E9"/>
    <w:rsid w:val="003C4EB3"/>
    <w:rsid w:val="003C518D"/>
    <w:rsid w:val="003C5680"/>
    <w:rsid w:val="003C5744"/>
    <w:rsid w:val="003C581C"/>
    <w:rsid w:val="003C5A4D"/>
    <w:rsid w:val="003C5C62"/>
    <w:rsid w:val="003C5DA4"/>
    <w:rsid w:val="003C5E00"/>
    <w:rsid w:val="003C6565"/>
    <w:rsid w:val="003C6AE5"/>
    <w:rsid w:val="003C7844"/>
    <w:rsid w:val="003C7A9B"/>
    <w:rsid w:val="003C7B62"/>
    <w:rsid w:val="003C7BEA"/>
    <w:rsid w:val="003C7C38"/>
    <w:rsid w:val="003D0251"/>
    <w:rsid w:val="003D0558"/>
    <w:rsid w:val="003D0DE2"/>
    <w:rsid w:val="003D1008"/>
    <w:rsid w:val="003D12BD"/>
    <w:rsid w:val="003D12FF"/>
    <w:rsid w:val="003D1315"/>
    <w:rsid w:val="003D1A68"/>
    <w:rsid w:val="003D1C46"/>
    <w:rsid w:val="003D1FDE"/>
    <w:rsid w:val="003D216F"/>
    <w:rsid w:val="003D2218"/>
    <w:rsid w:val="003D26F7"/>
    <w:rsid w:val="003D28D6"/>
    <w:rsid w:val="003D3699"/>
    <w:rsid w:val="003D38D5"/>
    <w:rsid w:val="003D38ED"/>
    <w:rsid w:val="003D396C"/>
    <w:rsid w:val="003D3A23"/>
    <w:rsid w:val="003D4594"/>
    <w:rsid w:val="003D45CC"/>
    <w:rsid w:val="003D49F7"/>
    <w:rsid w:val="003D4DC9"/>
    <w:rsid w:val="003D5298"/>
    <w:rsid w:val="003D5589"/>
    <w:rsid w:val="003D5DAF"/>
    <w:rsid w:val="003D62E7"/>
    <w:rsid w:val="003D62F8"/>
    <w:rsid w:val="003D6870"/>
    <w:rsid w:val="003D68ED"/>
    <w:rsid w:val="003D6A00"/>
    <w:rsid w:val="003D6CF4"/>
    <w:rsid w:val="003D7279"/>
    <w:rsid w:val="003D7450"/>
    <w:rsid w:val="003E06B0"/>
    <w:rsid w:val="003E092D"/>
    <w:rsid w:val="003E09CF"/>
    <w:rsid w:val="003E0AB8"/>
    <w:rsid w:val="003E0CEA"/>
    <w:rsid w:val="003E1154"/>
    <w:rsid w:val="003E1612"/>
    <w:rsid w:val="003E164C"/>
    <w:rsid w:val="003E16FA"/>
    <w:rsid w:val="003E1748"/>
    <w:rsid w:val="003E1C4E"/>
    <w:rsid w:val="003E1D3A"/>
    <w:rsid w:val="003E22DC"/>
    <w:rsid w:val="003E2ADC"/>
    <w:rsid w:val="003E2B1B"/>
    <w:rsid w:val="003E2E9D"/>
    <w:rsid w:val="003E2F71"/>
    <w:rsid w:val="003E316F"/>
    <w:rsid w:val="003E3ED0"/>
    <w:rsid w:val="003E3F0E"/>
    <w:rsid w:val="003E400B"/>
    <w:rsid w:val="003E426C"/>
    <w:rsid w:val="003E430D"/>
    <w:rsid w:val="003E479D"/>
    <w:rsid w:val="003E4A18"/>
    <w:rsid w:val="003E4D91"/>
    <w:rsid w:val="003E4EB2"/>
    <w:rsid w:val="003E5845"/>
    <w:rsid w:val="003E5931"/>
    <w:rsid w:val="003E5C08"/>
    <w:rsid w:val="003E62BD"/>
    <w:rsid w:val="003E677A"/>
    <w:rsid w:val="003E67ED"/>
    <w:rsid w:val="003E69D8"/>
    <w:rsid w:val="003E69E5"/>
    <w:rsid w:val="003E6BAF"/>
    <w:rsid w:val="003E73B9"/>
    <w:rsid w:val="003E7478"/>
    <w:rsid w:val="003E7A47"/>
    <w:rsid w:val="003F01C2"/>
    <w:rsid w:val="003F02C9"/>
    <w:rsid w:val="003F0C32"/>
    <w:rsid w:val="003F0C5C"/>
    <w:rsid w:val="003F0D03"/>
    <w:rsid w:val="003F11DB"/>
    <w:rsid w:val="003F1219"/>
    <w:rsid w:val="003F1345"/>
    <w:rsid w:val="003F1423"/>
    <w:rsid w:val="003F1A69"/>
    <w:rsid w:val="003F1F54"/>
    <w:rsid w:val="003F2176"/>
    <w:rsid w:val="003F23C7"/>
    <w:rsid w:val="003F24E9"/>
    <w:rsid w:val="003F2AD5"/>
    <w:rsid w:val="003F2CF1"/>
    <w:rsid w:val="003F2D83"/>
    <w:rsid w:val="003F2F4C"/>
    <w:rsid w:val="003F3030"/>
    <w:rsid w:val="003F31E9"/>
    <w:rsid w:val="003F3363"/>
    <w:rsid w:val="003F34C5"/>
    <w:rsid w:val="003F3A75"/>
    <w:rsid w:val="003F4220"/>
    <w:rsid w:val="003F4248"/>
    <w:rsid w:val="003F4503"/>
    <w:rsid w:val="003F4879"/>
    <w:rsid w:val="003F4A97"/>
    <w:rsid w:val="003F4DAA"/>
    <w:rsid w:val="003F50A6"/>
    <w:rsid w:val="003F5167"/>
    <w:rsid w:val="003F551A"/>
    <w:rsid w:val="003F5A16"/>
    <w:rsid w:val="003F5AD2"/>
    <w:rsid w:val="003F5CF6"/>
    <w:rsid w:val="003F6056"/>
    <w:rsid w:val="003F6AAB"/>
    <w:rsid w:val="003F6C00"/>
    <w:rsid w:val="003F6F64"/>
    <w:rsid w:val="003F727A"/>
    <w:rsid w:val="003F7404"/>
    <w:rsid w:val="003F7552"/>
    <w:rsid w:val="003F75A8"/>
    <w:rsid w:val="003F77D3"/>
    <w:rsid w:val="003F7D1F"/>
    <w:rsid w:val="00400320"/>
    <w:rsid w:val="004003BC"/>
    <w:rsid w:val="004006DC"/>
    <w:rsid w:val="004008F1"/>
    <w:rsid w:val="00400A6F"/>
    <w:rsid w:val="00400C5E"/>
    <w:rsid w:val="00401413"/>
    <w:rsid w:val="004019DD"/>
    <w:rsid w:val="0040209B"/>
    <w:rsid w:val="0040238E"/>
    <w:rsid w:val="00402736"/>
    <w:rsid w:val="00402838"/>
    <w:rsid w:val="004028F3"/>
    <w:rsid w:val="00402924"/>
    <w:rsid w:val="00402992"/>
    <w:rsid w:val="00403319"/>
    <w:rsid w:val="0040338F"/>
    <w:rsid w:val="00403755"/>
    <w:rsid w:val="00403AC4"/>
    <w:rsid w:val="00404052"/>
    <w:rsid w:val="0040417E"/>
    <w:rsid w:val="004042D2"/>
    <w:rsid w:val="00404870"/>
    <w:rsid w:val="00404BB6"/>
    <w:rsid w:val="00404E09"/>
    <w:rsid w:val="00405261"/>
    <w:rsid w:val="00405451"/>
    <w:rsid w:val="0040583D"/>
    <w:rsid w:val="00405DD2"/>
    <w:rsid w:val="0040616F"/>
    <w:rsid w:val="00406392"/>
    <w:rsid w:val="004070EB"/>
    <w:rsid w:val="004070F8"/>
    <w:rsid w:val="0040724A"/>
    <w:rsid w:val="004072B7"/>
    <w:rsid w:val="004073B9"/>
    <w:rsid w:val="004073F4"/>
    <w:rsid w:val="004076A1"/>
    <w:rsid w:val="004076CB"/>
    <w:rsid w:val="00407A9E"/>
    <w:rsid w:val="00410607"/>
    <w:rsid w:val="00410A19"/>
    <w:rsid w:val="00410E3A"/>
    <w:rsid w:val="004119C9"/>
    <w:rsid w:val="00411A70"/>
    <w:rsid w:val="00411ABF"/>
    <w:rsid w:val="00411E26"/>
    <w:rsid w:val="00411F28"/>
    <w:rsid w:val="0041208E"/>
    <w:rsid w:val="00412229"/>
    <w:rsid w:val="00412681"/>
    <w:rsid w:val="00412E3D"/>
    <w:rsid w:val="00412F0E"/>
    <w:rsid w:val="00412F36"/>
    <w:rsid w:val="004131C9"/>
    <w:rsid w:val="004132CF"/>
    <w:rsid w:val="004134D7"/>
    <w:rsid w:val="00413BE8"/>
    <w:rsid w:val="00413E94"/>
    <w:rsid w:val="0041402F"/>
    <w:rsid w:val="00414095"/>
    <w:rsid w:val="0041421E"/>
    <w:rsid w:val="004142A8"/>
    <w:rsid w:val="004144A1"/>
    <w:rsid w:val="0041456D"/>
    <w:rsid w:val="004145E6"/>
    <w:rsid w:val="00414680"/>
    <w:rsid w:val="004146D2"/>
    <w:rsid w:val="00414A60"/>
    <w:rsid w:val="00414C93"/>
    <w:rsid w:val="00414E20"/>
    <w:rsid w:val="004151EB"/>
    <w:rsid w:val="00415603"/>
    <w:rsid w:val="00415F2D"/>
    <w:rsid w:val="00416262"/>
    <w:rsid w:val="00416347"/>
    <w:rsid w:val="004170D1"/>
    <w:rsid w:val="00417188"/>
    <w:rsid w:val="004178DE"/>
    <w:rsid w:val="0042002B"/>
    <w:rsid w:val="004204CF"/>
    <w:rsid w:val="00420E2F"/>
    <w:rsid w:val="00421A04"/>
    <w:rsid w:val="00421F1A"/>
    <w:rsid w:val="004221EB"/>
    <w:rsid w:val="00422636"/>
    <w:rsid w:val="00422B39"/>
    <w:rsid w:val="00422DEF"/>
    <w:rsid w:val="00422FE1"/>
    <w:rsid w:val="0042305C"/>
    <w:rsid w:val="00423226"/>
    <w:rsid w:val="0042324F"/>
    <w:rsid w:val="0042348C"/>
    <w:rsid w:val="004234CE"/>
    <w:rsid w:val="00423A72"/>
    <w:rsid w:val="00423B91"/>
    <w:rsid w:val="004241B0"/>
    <w:rsid w:val="00424753"/>
    <w:rsid w:val="00424C3E"/>
    <w:rsid w:val="00424DA6"/>
    <w:rsid w:val="00424EB4"/>
    <w:rsid w:val="0042532F"/>
    <w:rsid w:val="00425473"/>
    <w:rsid w:val="00425555"/>
    <w:rsid w:val="004259ED"/>
    <w:rsid w:val="00425ABA"/>
    <w:rsid w:val="00425D4A"/>
    <w:rsid w:val="00426287"/>
    <w:rsid w:val="00426379"/>
    <w:rsid w:val="0042698E"/>
    <w:rsid w:val="00426DCA"/>
    <w:rsid w:val="00427102"/>
    <w:rsid w:val="00427697"/>
    <w:rsid w:val="00427D46"/>
    <w:rsid w:val="00430345"/>
    <w:rsid w:val="0043044D"/>
    <w:rsid w:val="00430848"/>
    <w:rsid w:val="004309AA"/>
    <w:rsid w:val="00430AF0"/>
    <w:rsid w:val="00430CD8"/>
    <w:rsid w:val="00431012"/>
    <w:rsid w:val="0043186E"/>
    <w:rsid w:val="00431899"/>
    <w:rsid w:val="004318EA"/>
    <w:rsid w:val="00431C7A"/>
    <w:rsid w:val="00431DED"/>
    <w:rsid w:val="00431F93"/>
    <w:rsid w:val="004320FD"/>
    <w:rsid w:val="00432312"/>
    <w:rsid w:val="004327C5"/>
    <w:rsid w:val="00432D2D"/>
    <w:rsid w:val="0043344B"/>
    <w:rsid w:val="004335A6"/>
    <w:rsid w:val="004335F2"/>
    <w:rsid w:val="004338A1"/>
    <w:rsid w:val="00434103"/>
    <w:rsid w:val="0043439D"/>
    <w:rsid w:val="00434E1B"/>
    <w:rsid w:val="00434FA9"/>
    <w:rsid w:val="00435665"/>
    <w:rsid w:val="00435812"/>
    <w:rsid w:val="00435CD2"/>
    <w:rsid w:val="00435E6A"/>
    <w:rsid w:val="00436276"/>
    <w:rsid w:val="00436E93"/>
    <w:rsid w:val="00437DF5"/>
    <w:rsid w:val="00440122"/>
    <w:rsid w:val="004401A4"/>
    <w:rsid w:val="004401CC"/>
    <w:rsid w:val="004402CA"/>
    <w:rsid w:val="004402E5"/>
    <w:rsid w:val="004414AA"/>
    <w:rsid w:val="004416D0"/>
    <w:rsid w:val="00441AFA"/>
    <w:rsid w:val="00441DFB"/>
    <w:rsid w:val="00442198"/>
    <w:rsid w:val="00442B86"/>
    <w:rsid w:val="00442CBE"/>
    <w:rsid w:val="00442F3F"/>
    <w:rsid w:val="00442FFE"/>
    <w:rsid w:val="0044301D"/>
    <w:rsid w:val="00443590"/>
    <w:rsid w:val="00443668"/>
    <w:rsid w:val="0044372F"/>
    <w:rsid w:val="004437C9"/>
    <w:rsid w:val="00443C83"/>
    <w:rsid w:val="00443D7B"/>
    <w:rsid w:val="00444163"/>
    <w:rsid w:val="004445CA"/>
    <w:rsid w:val="00444675"/>
    <w:rsid w:val="004450D9"/>
    <w:rsid w:val="004451E0"/>
    <w:rsid w:val="004452A7"/>
    <w:rsid w:val="004455A4"/>
    <w:rsid w:val="0044579B"/>
    <w:rsid w:val="00445A7E"/>
    <w:rsid w:val="00445BE7"/>
    <w:rsid w:val="00445D43"/>
    <w:rsid w:val="0044600F"/>
    <w:rsid w:val="00446D4A"/>
    <w:rsid w:val="004473A9"/>
    <w:rsid w:val="00447732"/>
    <w:rsid w:val="00447888"/>
    <w:rsid w:val="00447FB4"/>
    <w:rsid w:val="00450072"/>
    <w:rsid w:val="0045029B"/>
    <w:rsid w:val="004504AD"/>
    <w:rsid w:val="00450A9F"/>
    <w:rsid w:val="00451B5C"/>
    <w:rsid w:val="00451C7E"/>
    <w:rsid w:val="00451D47"/>
    <w:rsid w:val="00451E1B"/>
    <w:rsid w:val="00451E82"/>
    <w:rsid w:val="00451F08"/>
    <w:rsid w:val="0045201C"/>
    <w:rsid w:val="004520D1"/>
    <w:rsid w:val="00452673"/>
    <w:rsid w:val="00452BC2"/>
    <w:rsid w:val="00452D79"/>
    <w:rsid w:val="00452F58"/>
    <w:rsid w:val="00452FE3"/>
    <w:rsid w:val="004535E3"/>
    <w:rsid w:val="00453953"/>
    <w:rsid w:val="00453ED0"/>
    <w:rsid w:val="00454871"/>
    <w:rsid w:val="004549E5"/>
    <w:rsid w:val="00454F98"/>
    <w:rsid w:val="0045544F"/>
    <w:rsid w:val="004554CE"/>
    <w:rsid w:val="00455B35"/>
    <w:rsid w:val="00455E9D"/>
    <w:rsid w:val="00455F10"/>
    <w:rsid w:val="0045600C"/>
    <w:rsid w:val="004560F5"/>
    <w:rsid w:val="00456214"/>
    <w:rsid w:val="0045628C"/>
    <w:rsid w:val="00456456"/>
    <w:rsid w:val="00456B92"/>
    <w:rsid w:val="00456C71"/>
    <w:rsid w:val="0045710C"/>
    <w:rsid w:val="0045726F"/>
    <w:rsid w:val="00457955"/>
    <w:rsid w:val="00457C0F"/>
    <w:rsid w:val="00457C4E"/>
    <w:rsid w:val="004602A5"/>
    <w:rsid w:val="004607B4"/>
    <w:rsid w:val="004607D9"/>
    <w:rsid w:val="00460C68"/>
    <w:rsid w:val="0046136A"/>
    <w:rsid w:val="00461476"/>
    <w:rsid w:val="00461478"/>
    <w:rsid w:val="00461747"/>
    <w:rsid w:val="00461783"/>
    <w:rsid w:val="0046216A"/>
    <w:rsid w:val="004623EF"/>
    <w:rsid w:val="004629CC"/>
    <w:rsid w:val="00463108"/>
    <w:rsid w:val="0046344E"/>
    <w:rsid w:val="004635FE"/>
    <w:rsid w:val="00463760"/>
    <w:rsid w:val="00463967"/>
    <w:rsid w:val="00464127"/>
    <w:rsid w:val="00464945"/>
    <w:rsid w:val="00464AD1"/>
    <w:rsid w:val="004656E1"/>
    <w:rsid w:val="004657C2"/>
    <w:rsid w:val="00465941"/>
    <w:rsid w:val="00465B12"/>
    <w:rsid w:val="00465BF7"/>
    <w:rsid w:val="00465C93"/>
    <w:rsid w:val="00465EF4"/>
    <w:rsid w:val="004663B8"/>
    <w:rsid w:val="00466408"/>
    <w:rsid w:val="00466F21"/>
    <w:rsid w:val="004670F0"/>
    <w:rsid w:val="004672AE"/>
    <w:rsid w:val="00467627"/>
    <w:rsid w:val="0046764D"/>
    <w:rsid w:val="00467958"/>
    <w:rsid w:val="00467BCA"/>
    <w:rsid w:val="00467BDE"/>
    <w:rsid w:val="00467CE6"/>
    <w:rsid w:val="00467E28"/>
    <w:rsid w:val="004703D5"/>
    <w:rsid w:val="0047041D"/>
    <w:rsid w:val="00470917"/>
    <w:rsid w:val="00470C62"/>
    <w:rsid w:val="00470E65"/>
    <w:rsid w:val="00470EE6"/>
    <w:rsid w:val="00470F3B"/>
    <w:rsid w:val="004710FB"/>
    <w:rsid w:val="004713A7"/>
    <w:rsid w:val="004713EF"/>
    <w:rsid w:val="00471D64"/>
    <w:rsid w:val="00472187"/>
    <w:rsid w:val="0047275F"/>
    <w:rsid w:val="00472839"/>
    <w:rsid w:val="00472AE9"/>
    <w:rsid w:val="00472F86"/>
    <w:rsid w:val="00473366"/>
    <w:rsid w:val="004736AF"/>
    <w:rsid w:val="004747CF"/>
    <w:rsid w:val="00474A6D"/>
    <w:rsid w:val="00474D66"/>
    <w:rsid w:val="004750CD"/>
    <w:rsid w:val="00475212"/>
    <w:rsid w:val="00475226"/>
    <w:rsid w:val="004757D4"/>
    <w:rsid w:val="00475C36"/>
    <w:rsid w:val="00475D43"/>
    <w:rsid w:val="0047695C"/>
    <w:rsid w:val="004774E9"/>
    <w:rsid w:val="004775E1"/>
    <w:rsid w:val="00477856"/>
    <w:rsid w:val="004779D8"/>
    <w:rsid w:val="004802AF"/>
    <w:rsid w:val="004802E8"/>
    <w:rsid w:val="0048095F"/>
    <w:rsid w:val="0048129A"/>
    <w:rsid w:val="00481AF2"/>
    <w:rsid w:val="00481E84"/>
    <w:rsid w:val="004823FE"/>
    <w:rsid w:val="00482D7B"/>
    <w:rsid w:val="004832E6"/>
    <w:rsid w:val="0048344E"/>
    <w:rsid w:val="00483507"/>
    <w:rsid w:val="004837F8"/>
    <w:rsid w:val="00483BB2"/>
    <w:rsid w:val="00483E43"/>
    <w:rsid w:val="00483E5A"/>
    <w:rsid w:val="00483EB2"/>
    <w:rsid w:val="00483F34"/>
    <w:rsid w:val="004842CB"/>
    <w:rsid w:val="004842E3"/>
    <w:rsid w:val="00484659"/>
    <w:rsid w:val="00484966"/>
    <w:rsid w:val="00484985"/>
    <w:rsid w:val="00484A53"/>
    <w:rsid w:val="00484A6B"/>
    <w:rsid w:val="00484B27"/>
    <w:rsid w:val="004854B8"/>
    <w:rsid w:val="00485755"/>
    <w:rsid w:val="00485B00"/>
    <w:rsid w:val="00485B71"/>
    <w:rsid w:val="00486252"/>
    <w:rsid w:val="004863E4"/>
    <w:rsid w:val="0048686B"/>
    <w:rsid w:val="0048730F"/>
    <w:rsid w:val="004877A6"/>
    <w:rsid w:val="00487E01"/>
    <w:rsid w:val="00487FB5"/>
    <w:rsid w:val="00490DA5"/>
    <w:rsid w:val="00490F7B"/>
    <w:rsid w:val="00491118"/>
    <w:rsid w:val="004913EF"/>
    <w:rsid w:val="00491B38"/>
    <w:rsid w:val="004921B9"/>
    <w:rsid w:val="00492243"/>
    <w:rsid w:val="004926DB"/>
    <w:rsid w:val="00492C1A"/>
    <w:rsid w:val="00492E20"/>
    <w:rsid w:val="0049326D"/>
    <w:rsid w:val="00493321"/>
    <w:rsid w:val="00493322"/>
    <w:rsid w:val="00493372"/>
    <w:rsid w:val="0049338B"/>
    <w:rsid w:val="0049341C"/>
    <w:rsid w:val="0049369A"/>
    <w:rsid w:val="0049411C"/>
    <w:rsid w:val="00494229"/>
    <w:rsid w:val="00494441"/>
    <w:rsid w:val="004948AB"/>
    <w:rsid w:val="00494D4F"/>
    <w:rsid w:val="0049515F"/>
    <w:rsid w:val="004951EE"/>
    <w:rsid w:val="004959B0"/>
    <w:rsid w:val="00495BC8"/>
    <w:rsid w:val="00495D01"/>
    <w:rsid w:val="00496067"/>
    <w:rsid w:val="004960C7"/>
    <w:rsid w:val="004966AC"/>
    <w:rsid w:val="00496E50"/>
    <w:rsid w:val="00496E79"/>
    <w:rsid w:val="004974F3"/>
    <w:rsid w:val="0049765B"/>
    <w:rsid w:val="004976AC"/>
    <w:rsid w:val="004976D8"/>
    <w:rsid w:val="00497901"/>
    <w:rsid w:val="00497967"/>
    <w:rsid w:val="00497A47"/>
    <w:rsid w:val="00497C92"/>
    <w:rsid w:val="00497E3B"/>
    <w:rsid w:val="00497F11"/>
    <w:rsid w:val="00497F63"/>
    <w:rsid w:val="004A04EB"/>
    <w:rsid w:val="004A076E"/>
    <w:rsid w:val="004A1401"/>
    <w:rsid w:val="004A1745"/>
    <w:rsid w:val="004A1F9B"/>
    <w:rsid w:val="004A211D"/>
    <w:rsid w:val="004A21DE"/>
    <w:rsid w:val="004A2871"/>
    <w:rsid w:val="004A3D26"/>
    <w:rsid w:val="004A4148"/>
    <w:rsid w:val="004A41DC"/>
    <w:rsid w:val="004A45B3"/>
    <w:rsid w:val="004A4BB6"/>
    <w:rsid w:val="004A4FA9"/>
    <w:rsid w:val="004A505D"/>
    <w:rsid w:val="004A5286"/>
    <w:rsid w:val="004A5301"/>
    <w:rsid w:val="004A543C"/>
    <w:rsid w:val="004A545A"/>
    <w:rsid w:val="004A5785"/>
    <w:rsid w:val="004A5891"/>
    <w:rsid w:val="004A599E"/>
    <w:rsid w:val="004A5A86"/>
    <w:rsid w:val="004A5DB4"/>
    <w:rsid w:val="004A5DB8"/>
    <w:rsid w:val="004A5EDC"/>
    <w:rsid w:val="004A5FF0"/>
    <w:rsid w:val="004A6209"/>
    <w:rsid w:val="004A670A"/>
    <w:rsid w:val="004A6C90"/>
    <w:rsid w:val="004A73F8"/>
    <w:rsid w:val="004A753B"/>
    <w:rsid w:val="004A79A4"/>
    <w:rsid w:val="004B0C20"/>
    <w:rsid w:val="004B0C7A"/>
    <w:rsid w:val="004B0F2A"/>
    <w:rsid w:val="004B1407"/>
    <w:rsid w:val="004B1724"/>
    <w:rsid w:val="004B1AC3"/>
    <w:rsid w:val="004B1BE8"/>
    <w:rsid w:val="004B1CED"/>
    <w:rsid w:val="004B25EF"/>
    <w:rsid w:val="004B26A7"/>
    <w:rsid w:val="004B26F3"/>
    <w:rsid w:val="004B2C6F"/>
    <w:rsid w:val="004B2C8A"/>
    <w:rsid w:val="004B2FF0"/>
    <w:rsid w:val="004B32B2"/>
    <w:rsid w:val="004B3303"/>
    <w:rsid w:val="004B34B8"/>
    <w:rsid w:val="004B38B3"/>
    <w:rsid w:val="004B395A"/>
    <w:rsid w:val="004B4003"/>
    <w:rsid w:val="004B429F"/>
    <w:rsid w:val="004B463A"/>
    <w:rsid w:val="004B4905"/>
    <w:rsid w:val="004B4C64"/>
    <w:rsid w:val="004B4E34"/>
    <w:rsid w:val="004B4EDA"/>
    <w:rsid w:val="004B54BB"/>
    <w:rsid w:val="004B5624"/>
    <w:rsid w:val="004B624E"/>
    <w:rsid w:val="004B6283"/>
    <w:rsid w:val="004B65FA"/>
    <w:rsid w:val="004B67FE"/>
    <w:rsid w:val="004B683E"/>
    <w:rsid w:val="004B6C2B"/>
    <w:rsid w:val="004B7289"/>
    <w:rsid w:val="004B7312"/>
    <w:rsid w:val="004B759C"/>
    <w:rsid w:val="004B788D"/>
    <w:rsid w:val="004B79BD"/>
    <w:rsid w:val="004B7E86"/>
    <w:rsid w:val="004B7FFA"/>
    <w:rsid w:val="004C05B8"/>
    <w:rsid w:val="004C05CB"/>
    <w:rsid w:val="004C0860"/>
    <w:rsid w:val="004C086D"/>
    <w:rsid w:val="004C0874"/>
    <w:rsid w:val="004C08CB"/>
    <w:rsid w:val="004C0B2E"/>
    <w:rsid w:val="004C110E"/>
    <w:rsid w:val="004C12ED"/>
    <w:rsid w:val="004C18AB"/>
    <w:rsid w:val="004C197E"/>
    <w:rsid w:val="004C1A0D"/>
    <w:rsid w:val="004C1D0F"/>
    <w:rsid w:val="004C2308"/>
    <w:rsid w:val="004C244F"/>
    <w:rsid w:val="004C2733"/>
    <w:rsid w:val="004C31C9"/>
    <w:rsid w:val="004C3279"/>
    <w:rsid w:val="004C357E"/>
    <w:rsid w:val="004C3C77"/>
    <w:rsid w:val="004C3F0B"/>
    <w:rsid w:val="004C4571"/>
    <w:rsid w:val="004C45FA"/>
    <w:rsid w:val="004C47A6"/>
    <w:rsid w:val="004C49DA"/>
    <w:rsid w:val="004C4A36"/>
    <w:rsid w:val="004C4D3C"/>
    <w:rsid w:val="004C5024"/>
    <w:rsid w:val="004C560E"/>
    <w:rsid w:val="004C5A88"/>
    <w:rsid w:val="004C6099"/>
    <w:rsid w:val="004C614C"/>
    <w:rsid w:val="004C61DE"/>
    <w:rsid w:val="004C6461"/>
    <w:rsid w:val="004C6615"/>
    <w:rsid w:val="004C69E9"/>
    <w:rsid w:val="004C6E3E"/>
    <w:rsid w:val="004C6FCD"/>
    <w:rsid w:val="004C76CF"/>
    <w:rsid w:val="004C7875"/>
    <w:rsid w:val="004C7888"/>
    <w:rsid w:val="004C79F8"/>
    <w:rsid w:val="004C7BE9"/>
    <w:rsid w:val="004C7CDE"/>
    <w:rsid w:val="004D02BF"/>
    <w:rsid w:val="004D03AA"/>
    <w:rsid w:val="004D070E"/>
    <w:rsid w:val="004D1870"/>
    <w:rsid w:val="004D1E53"/>
    <w:rsid w:val="004D1EA5"/>
    <w:rsid w:val="004D2530"/>
    <w:rsid w:val="004D2753"/>
    <w:rsid w:val="004D2783"/>
    <w:rsid w:val="004D2F30"/>
    <w:rsid w:val="004D2F96"/>
    <w:rsid w:val="004D365B"/>
    <w:rsid w:val="004D38B2"/>
    <w:rsid w:val="004D3975"/>
    <w:rsid w:val="004D39E3"/>
    <w:rsid w:val="004D3B04"/>
    <w:rsid w:val="004D3ED9"/>
    <w:rsid w:val="004D4170"/>
    <w:rsid w:val="004D4229"/>
    <w:rsid w:val="004D46AB"/>
    <w:rsid w:val="004D471F"/>
    <w:rsid w:val="004D49BA"/>
    <w:rsid w:val="004D4AE4"/>
    <w:rsid w:val="004D5135"/>
    <w:rsid w:val="004D5E64"/>
    <w:rsid w:val="004D6085"/>
    <w:rsid w:val="004D6578"/>
    <w:rsid w:val="004D6769"/>
    <w:rsid w:val="004D6B28"/>
    <w:rsid w:val="004D6EBF"/>
    <w:rsid w:val="004D7A1A"/>
    <w:rsid w:val="004E02CC"/>
    <w:rsid w:val="004E0434"/>
    <w:rsid w:val="004E07EE"/>
    <w:rsid w:val="004E0D15"/>
    <w:rsid w:val="004E0D8D"/>
    <w:rsid w:val="004E169B"/>
    <w:rsid w:val="004E1708"/>
    <w:rsid w:val="004E180F"/>
    <w:rsid w:val="004E19F7"/>
    <w:rsid w:val="004E1C66"/>
    <w:rsid w:val="004E1E6D"/>
    <w:rsid w:val="004E2503"/>
    <w:rsid w:val="004E2816"/>
    <w:rsid w:val="004E2BF4"/>
    <w:rsid w:val="004E2C97"/>
    <w:rsid w:val="004E3985"/>
    <w:rsid w:val="004E3A7E"/>
    <w:rsid w:val="004E3C1E"/>
    <w:rsid w:val="004E3F1F"/>
    <w:rsid w:val="004E3F8F"/>
    <w:rsid w:val="004E4090"/>
    <w:rsid w:val="004E4278"/>
    <w:rsid w:val="004E4635"/>
    <w:rsid w:val="004E46B2"/>
    <w:rsid w:val="004E4FB4"/>
    <w:rsid w:val="004E56B1"/>
    <w:rsid w:val="004E67F9"/>
    <w:rsid w:val="004E6F15"/>
    <w:rsid w:val="004E73F4"/>
    <w:rsid w:val="004E75CD"/>
    <w:rsid w:val="004E7A44"/>
    <w:rsid w:val="004E7EB0"/>
    <w:rsid w:val="004E7EEA"/>
    <w:rsid w:val="004E7F89"/>
    <w:rsid w:val="004F0051"/>
    <w:rsid w:val="004F0183"/>
    <w:rsid w:val="004F04E9"/>
    <w:rsid w:val="004F0613"/>
    <w:rsid w:val="004F087E"/>
    <w:rsid w:val="004F0D25"/>
    <w:rsid w:val="004F0E91"/>
    <w:rsid w:val="004F0F0A"/>
    <w:rsid w:val="004F0F70"/>
    <w:rsid w:val="004F14E1"/>
    <w:rsid w:val="004F1741"/>
    <w:rsid w:val="004F1964"/>
    <w:rsid w:val="004F1CBE"/>
    <w:rsid w:val="004F2144"/>
    <w:rsid w:val="004F2210"/>
    <w:rsid w:val="004F224A"/>
    <w:rsid w:val="004F27A8"/>
    <w:rsid w:val="004F2D0A"/>
    <w:rsid w:val="004F3087"/>
    <w:rsid w:val="004F30C7"/>
    <w:rsid w:val="004F34A2"/>
    <w:rsid w:val="004F3B28"/>
    <w:rsid w:val="004F3C9E"/>
    <w:rsid w:val="004F3E26"/>
    <w:rsid w:val="004F3E35"/>
    <w:rsid w:val="004F4012"/>
    <w:rsid w:val="004F430C"/>
    <w:rsid w:val="004F4589"/>
    <w:rsid w:val="004F4A74"/>
    <w:rsid w:val="004F4B35"/>
    <w:rsid w:val="004F4BFE"/>
    <w:rsid w:val="004F540D"/>
    <w:rsid w:val="004F54C5"/>
    <w:rsid w:val="004F5D84"/>
    <w:rsid w:val="004F5E58"/>
    <w:rsid w:val="004F6323"/>
    <w:rsid w:val="004F66C7"/>
    <w:rsid w:val="004F68C4"/>
    <w:rsid w:val="004F6C0B"/>
    <w:rsid w:val="004F7370"/>
    <w:rsid w:val="004F7BC9"/>
    <w:rsid w:val="004F7BFC"/>
    <w:rsid w:val="004F7CBC"/>
    <w:rsid w:val="00500A05"/>
    <w:rsid w:val="00500F26"/>
    <w:rsid w:val="00501060"/>
    <w:rsid w:val="005014F8"/>
    <w:rsid w:val="005018FD"/>
    <w:rsid w:val="00502197"/>
    <w:rsid w:val="005025DF"/>
    <w:rsid w:val="00502738"/>
    <w:rsid w:val="00502DF3"/>
    <w:rsid w:val="00502F1C"/>
    <w:rsid w:val="0050326A"/>
    <w:rsid w:val="0050346E"/>
    <w:rsid w:val="00503762"/>
    <w:rsid w:val="005039F6"/>
    <w:rsid w:val="00503B58"/>
    <w:rsid w:val="00504264"/>
    <w:rsid w:val="005044B0"/>
    <w:rsid w:val="0050458A"/>
    <w:rsid w:val="0050464E"/>
    <w:rsid w:val="00504673"/>
    <w:rsid w:val="005046D7"/>
    <w:rsid w:val="00504837"/>
    <w:rsid w:val="00504A78"/>
    <w:rsid w:val="00505617"/>
    <w:rsid w:val="00505773"/>
    <w:rsid w:val="00506829"/>
    <w:rsid w:val="00506A93"/>
    <w:rsid w:val="00506D5A"/>
    <w:rsid w:val="00507487"/>
    <w:rsid w:val="00507B28"/>
    <w:rsid w:val="005100F0"/>
    <w:rsid w:val="005102B2"/>
    <w:rsid w:val="005107A8"/>
    <w:rsid w:val="00510A77"/>
    <w:rsid w:val="00510F04"/>
    <w:rsid w:val="00511005"/>
    <w:rsid w:val="00511264"/>
    <w:rsid w:val="00511678"/>
    <w:rsid w:val="00511696"/>
    <w:rsid w:val="0051175A"/>
    <w:rsid w:val="00511976"/>
    <w:rsid w:val="00511CEB"/>
    <w:rsid w:val="00511EF1"/>
    <w:rsid w:val="005120FF"/>
    <w:rsid w:val="0051239D"/>
    <w:rsid w:val="00513158"/>
    <w:rsid w:val="00513469"/>
    <w:rsid w:val="0051376B"/>
    <w:rsid w:val="00513D81"/>
    <w:rsid w:val="00513F8F"/>
    <w:rsid w:val="00513FCA"/>
    <w:rsid w:val="00514248"/>
    <w:rsid w:val="005142A0"/>
    <w:rsid w:val="00514757"/>
    <w:rsid w:val="00514758"/>
    <w:rsid w:val="005147D2"/>
    <w:rsid w:val="00514ACE"/>
    <w:rsid w:val="00514DDC"/>
    <w:rsid w:val="005151E9"/>
    <w:rsid w:val="00515D47"/>
    <w:rsid w:val="00515E97"/>
    <w:rsid w:val="0051673A"/>
    <w:rsid w:val="005167A8"/>
    <w:rsid w:val="00516BD7"/>
    <w:rsid w:val="00516ED0"/>
    <w:rsid w:val="0051703F"/>
    <w:rsid w:val="005170B8"/>
    <w:rsid w:val="005170DA"/>
    <w:rsid w:val="00517405"/>
    <w:rsid w:val="0051746A"/>
    <w:rsid w:val="00517964"/>
    <w:rsid w:val="00517AF4"/>
    <w:rsid w:val="00517F17"/>
    <w:rsid w:val="00517F1C"/>
    <w:rsid w:val="005200BB"/>
    <w:rsid w:val="00520330"/>
    <w:rsid w:val="005203AC"/>
    <w:rsid w:val="00520451"/>
    <w:rsid w:val="00520CA2"/>
    <w:rsid w:val="00520D8B"/>
    <w:rsid w:val="005210BA"/>
    <w:rsid w:val="005212D4"/>
    <w:rsid w:val="0052177B"/>
    <w:rsid w:val="005221B7"/>
    <w:rsid w:val="005226E8"/>
    <w:rsid w:val="00522907"/>
    <w:rsid w:val="005229C8"/>
    <w:rsid w:val="00522D81"/>
    <w:rsid w:val="00522FA0"/>
    <w:rsid w:val="00523B84"/>
    <w:rsid w:val="005241A9"/>
    <w:rsid w:val="00524260"/>
    <w:rsid w:val="005244CD"/>
    <w:rsid w:val="005249B3"/>
    <w:rsid w:val="00524EF0"/>
    <w:rsid w:val="005251BE"/>
    <w:rsid w:val="005252E2"/>
    <w:rsid w:val="00525343"/>
    <w:rsid w:val="00525645"/>
    <w:rsid w:val="005258E6"/>
    <w:rsid w:val="00526779"/>
    <w:rsid w:val="00526E8D"/>
    <w:rsid w:val="00526FEE"/>
    <w:rsid w:val="00527401"/>
    <w:rsid w:val="00527498"/>
    <w:rsid w:val="00527DB8"/>
    <w:rsid w:val="00527EDD"/>
    <w:rsid w:val="005300D8"/>
    <w:rsid w:val="0053024D"/>
    <w:rsid w:val="005305E0"/>
    <w:rsid w:val="00530659"/>
    <w:rsid w:val="00531111"/>
    <w:rsid w:val="005311F7"/>
    <w:rsid w:val="005314AF"/>
    <w:rsid w:val="00531621"/>
    <w:rsid w:val="005316D5"/>
    <w:rsid w:val="00531843"/>
    <w:rsid w:val="00532037"/>
    <w:rsid w:val="0053296F"/>
    <w:rsid w:val="005329D8"/>
    <w:rsid w:val="00533137"/>
    <w:rsid w:val="005337F5"/>
    <w:rsid w:val="005340B0"/>
    <w:rsid w:val="0053427D"/>
    <w:rsid w:val="00534460"/>
    <w:rsid w:val="00534638"/>
    <w:rsid w:val="005347EE"/>
    <w:rsid w:val="005349D0"/>
    <w:rsid w:val="00534C35"/>
    <w:rsid w:val="00534FA0"/>
    <w:rsid w:val="005351D6"/>
    <w:rsid w:val="00535207"/>
    <w:rsid w:val="00535838"/>
    <w:rsid w:val="00535B23"/>
    <w:rsid w:val="0053643B"/>
    <w:rsid w:val="0053684C"/>
    <w:rsid w:val="005369C5"/>
    <w:rsid w:val="00536B75"/>
    <w:rsid w:val="00536B81"/>
    <w:rsid w:val="00536CA7"/>
    <w:rsid w:val="00536E8D"/>
    <w:rsid w:val="00536EB9"/>
    <w:rsid w:val="00537357"/>
    <w:rsid w:val="00537362"/>
    <w:rsid w:val="005376EE"/>
    <w:rsid w:val="00537808"/>
    <w:rsid w:val="00540664"/>
    <w:rsid w:val="0054066D"/>
    <w:rsid w:val="00540842"/>
    <w:rsid w:val="00540E74"/>
    <w:rsid w:val="005413F9"/>
    <w:rsid w:val="00541D25"/>
    <w:rsid w:val="00541DB2"/>
    <w:rsid w:val="00541FB3"/>
    <w:rsid w:val="00542349"/>
    <w:rsid w:val="00542959"/>
    <w:rsid w:val="00542C31"/>
    <w:rsid w:val="00542F98"/>
    <w:rsid w:val="005432ED"/>
    <w:rsid w:val="00543425"/>
    <w:rsid w:val="00543559"/>
    <w:rsid w:val="0054386F"/>
    <w:rsid w:val="00543DAF"/>
    <w:rsid w:val="00544423"/>
    <w:rsid w:val="005444D0"/>
    <w:rsid w:val="005448CE"/>
    <w:rsid w:val="00544902"/>
    <w:rsid w:val="00544B75"/>
    <w:rsid w:val="00544EBE"/>
    <w:rsid w:val="0054534B"/>
    <w:rsid w:val="005453BD"/>
    <w:rsid w:val="00545513"/>
    <w:rsid w:val="0054567A"/>
    <w:rsid w:val="00545B5B"/>
    <w:rsid w:val="00545C7E"/>
    <w:rsid w:val="0054673E"/>
    <w:rsid w:val="00546808"/>
    <w:rsid w:val="0054688F"/>
    <w:rsid w:val="00546DAD"/>
    <w:rsid w:val="005471A1"/>
    <w:rsid w:val="005473D6"/>
    <w:rsid w:val="005475C1"/>
    <w:rsid w:val="00547AC6"/>
    <w:rsid w:val="00547B37"/>
    <w:rsid w:val="00547FC1"/>
    <w:rsid w:val="00550525"/>
    <w:rsid w:val="00550729"/>
    <w:rsid w:val="00550A99"/>
    <w:rsid w:val="00550D5D"/>
    <w:rsid w:val="00550E0A"/>
    <w:rsid w:val="005511E4"/>
    <w:rsid w:val="005518CE"/>
    <w:rsid w:val="00551976"/>
    <w:rsid w:val="005521F4"/>
    <w:rsid w:val="00552C2A"/>
    <w:rsid w:val="00552D2A"/>
    <w:rsid w:val="00552D7C"/>
    <w:rsid w:val="00552F8C"/>
    <w:rsid w:val="0055357E"/>
    <w:rsid w:val="00553795"/>
    <w:rsid w:val="005538D4"/>
    <w:rsid w:val="00553A81"/>
    <w:rsid w:val="00553CC1"/>
    <w:rsid w:val="00553D14"/>
    <w:rsid w:val="00553EE0"/>
    <w:rsid w:val="00554047"/>
    <w:rsid w:val="00554347"/>
    <w:rsid w:val="005543E0"/>
    <w:rsid w:val="00554563"/>
    <w:rsid w:val="0055476D"/>
    <w:rsid w:val="00554CDC"/>
    <w:rsid w:val="00554DEB"/>
    <w:rsid w:val="00554F52"/>
    <w:rsid w:val="0055504C"/>
    <w:rsid w:val="00555401"/>
    <w:rsid w:val="005554DD"/>
    <w:rsid w:val="0055582E"/>
    <w:rsid w:val="00555B33"/>
    <w:rsid w:val="00555D94"/>
    <w:rsid w:val="00555EE5"/>
    <w:rsid w:val="00556033"/>
    <w:rsid w:val="00556133"/>
    <w:rsid w:val="00556587"/>
    <w:rsid w:val="005565DA"/>
    <w:rsid w:val="005567DE"/>
    <w:rsid w:val="00556977"/>
    <w:rsid w:val="00556A73"/>
    <w:rsid w:val="00556C2B"/>
    <w:rsid w:val="00556CEF"/>
    <w:rsid w:val="00557644"/>
    <w:rsid w:val="005576A4"/>
    <w:rsid w:val="00557930"/>
    <w:rsid w:val="00557A90"/>
    <w:rsid w:val="00557AD3"/>
    <w:rsid w:val="0056014D"/>
    <w:rsid w:val="0056057C"/>
    <w:rsid w:val="0056100C"/>
    <w:rsid w:val="005616AC"/>
    <w:rsid w:val="0056174C"/>
    <w:rsid w:val="00561862"/>
    <w:rsid w:val="0056211C"/>
    <w:rsid w:val="00562333"/>
    <w:rsid w:val="00562738"/>
    <w:rsid w:val="00562781"/>
    <w:rsid w:val="00562C31"/>
    <w:rsid w:val="00562D79"/>
    <w:rsid w:val="005631EB"/>
    <w:rsid w:val="0056371E"/>
    <w:rsid w:val="00563A82"/>
    <w:rsid w:val="00563BE8"/>
    <w:rsid w:val="00563FC5"/>
    <w:rsid w:val="005642D3"/>
    <w:rsid w:val="0056455B"/>
    <w:rsid w:val="00564936"/>
    <w:rsid w:val="00564FA6"/>
    <w:rsid w:val="0056515F"/>
    <w:rsid w:val="005651DF"/>
    <w:rsid w:val="00565573"/>
    <w:rsid w:val="00565695"/>
    <w:rsid w:val="00565D1E"/>
    <w:rsid w:val="00565E03"/>
    <w:rsid w:val="0056622F"/>
    <w:rsid w:val="00566247"/>
    <w:rsid w:val="0056665E"/>
    <w:rsid w:val="00566C80"/>
    <w:rsid w:val="00566CC9"/>
    <w:rsid w:val="005700A5"/>
    <w:rsid w:val="00570412"/>
    <w:rsid w:val="00570B56"/>
    <w:rsid w:val="00570DE6"/>
    <w:rsid w:val="00570EBD"/>
    <w:rsid w:val="005710BF"/>
    <w:rsid w:val="00571467"/>
    <w:rsid w:val="005715B5"/>
    <w:rsid w:val="00571854"/>
    <w:rsid w:val="00571BBB"/>
    <w:rsid w:val="00572060"/>
    <w:rsid w:val="0057221C"/>
    <w:rsid w:val="005724AD"/>
    <w:rsid w:val="0057254A"/>
    <w:rsid w:val="00572747"/>
    <w:rsid w:val="00572970"/>
    <w:rsid w:val="00572EC7"/>
    <w:rsid w:val="00572F9E"/>
    <w:rsid w:val="0057353E"/>
    <w:rsid w:val="005744C7"/>
    <w:rsid w:val="00574DE1"/>
    <w:rsid w:val="00574E0A"/>
    <w:rsid w:val="0057573E"/>
    <w:rsid w:val="00575A5F"/>
    <w:rsid w:val="005760E7"/>
    <w:rsid w:val="0057642F"/>
    <w:rsid w:val="005764D3"/>
    <w:rsid w:val="00576593"/>
    <w:rsid w:val="005766A6"/>
    <w:rsid w:val="00577018"/>
    <w:rsid w:val="005770EF"/>
    <w:rsid w:val="00580640"/>
    <w:rsid w:val="005806E5"/>
    <w:rsid w:val="00580AC2"/>
    <w:rsid w:val="00580EB9"/>
    <w:rsid w:val="00581728"/>
    <w:rsid w:val="00581767"/>
    <w:rsid w:val="00581A59"/>
    <w:rsid w:val="00582234"/>
    <w:rsid w:val="00582383"/>
    <w:rsid w:val="00582D6A"/>
    <w:rsid w:val="00582F89"/>
    <w:rsid w:val="00582FC7"/>
    <w:rsid w:val="00583560"/>
    <w:rsid w:val="005835A0"/>
    <w:rsid w:val="00584021"/>
    <w:rsid w:val="005840CE"/>
    <w:rsid w:val="00584138"/>
    <w:rsid w:val="00584658"/>
    <w:rsid w:val="00584D0A"/>
    <w:rsid w:val="00584FDC"/>
    <w:rsid w:val="00585236"/>
    <w:rsid w:val="0058533A"/>
    <w:rsid w:val="00585663"/>
    <w:rsid w:val="00585B3F"/>
    <w:rsid w:val="00585C74"/>
    <w:rsid w:val="00585C8B"/>
    <w:rsid w:val="00585D52"/>
    <w:rsid w:val="00585DB2"/>
    <w:rsid w:val="00585DB8"/>
    <w:rsid w:val="005865ED"/>
    <w:rsid w:val="00586662"/>
    <w:rsid w:val="00586D76"/>
    <w:rsid w:val="00586E85"/>
    <w:rsid w:val="00586F89"/>
    <w:rsid w:val="005871E9"/>
    <w:rsid w:val="005872B1"/>
    <w:rsid w:val="005879CB"/>
    <w:rsid w:val="00587B0E"/>
    <w:rsid w:val="00587B5F"/>
    <w:rsid w:val="00590633"/>
    <w:rsid w:val="00590705"/>
    <w:rsid w:val="00590C7D"/>
    <w:rsid w:val="005910E8"/>
    <w:rsid w:val="005911C9"/>
    <w:rsid w:val="005913BC"/>
    <w:rsid w:val="005913EA"/>
    <w:rsid w:val="00591405"/>
    <w:rsid w:val="005918FD"/>
    <w:rsid w:val="0059192C"/>
    <w:rsid w:val="00591A13"/>
    <w:rsid w:val="005920B7"/>
    <w:rsid w:val="00592242"/>
    <w:rsid w:val="005928EE"/>
    <w:rsid w:val="00592AA6"/>
    <w:rsid w:val="00592C0C"/>
    <w:rsid w:val="00593263"/>
    <w:rsid w:val="0059354F"/>
    <w:rsid w:val="005935C7"/>
    <w:rsid w:val="00593738"/>
    <w:rsid w:val="00593947"/>
    <w:rsid w:val="00593E83"/>
    <w:rsid w:val="00594579"/>
    <w:rsid w:val="00594A78"/>
    <w:rsid w:val="00594AD5"/>
    <w:rsid w:val="00594B34"/>
    <w:rsid w:val="00594BCD"/>
    <w:rsid w:val="00594C26"/>
    <w:rsid w:val="00594CCC"/>
    <w:rsid w:val="00594E6E"/>
    <w:rsid w:val="00594FF7"/>
    <w:rsid w:val="00595629"/>
    <w:rsid w:val="005956F0"/>
    <w:rsid w:val="0059640A"/>
    <w:rsid w:val="00596687"/>
    <w:rsid w:val="00596787"/>
    <w:rsid w:val="0059724A"/>
    <w:rsid w:val="005972CE"/>
    <w:rsid w:val="00597397"/>
    <w:rsid w:val="00597467"/>
    <w:rsid w:val="005976D3"/>
    <w:rsid w:val="00597B08"/>
    <w:rsid w:val="005A018F"/>
    <w:rsid w:val="005A04B7"/>
    <w:rsid w:val="005A0595"/>
    <w:rsid w:val="005A07DF"/>
    <w:rsid w:val="005A109E"/>
    <w:rsid w:val="005A1126"/>
    <w:rsid w:val="005A1273"/>
    <w:rsid w:val="005A1350"/>
    <w:rsid w:val="005A1804"/>
    <w:rsid w:val="005A19A7"/>
    <w:rsid w:val="005A2034"/>
    <w:rsid w:val="005A23C1"/>
    <w:rsid w:val="005A24A8"/>
    <w:rsid w:val="005A27FE"/>
    <w:rsid w:val="005A2D5D"/>
    <w:rsid w:val="005A2EC7"/>
    <w:rsid w:val="005A2FF5"/>
    <w:rsid w:val="005A305A"/>
    <w:rsid w:val="005A32D4"/>
    <w:rsid w:val="005A34D5"/>
    <w:rsid w:val="005A38B7"/>
    <w:rsid w:val="005A39F1"/>
    <w:rsid w:val="005A3C00"/>
    <w:rsid w:val="005A3D72"/>
    <w:rsid w:val="005A3EB5"/>
    <w:rsid w:val="005A3EF3"/>
    <w:rsid w:val="005A4660"/>
    <w:rsid w:val="005A4730"/>
    <w:rsid w:val="005A4993"/>
    <w:rsid w:val="005A4CDA"/>
    <w:rsid w:val="005A5518"/>
    <w:rsid w:val="005A5891"/>
    <w:rsid w:val="005A5AB1"/>
    <w:rsid w:val="005A622B"/>
    <w:rsid w:val="005A6368"/>
    <w:rsid w:val="005A66AC"/>
    <w:rsid w:val="005A679C"/>
    <w:rsid w:val="005A6924"/>
    <w:rsid w:val="005A69B6"/>
    <w:rsid w:val="005A6A24"/>
    <w:rsid w:val="005A6E29"/>
    <w:rsid w:val="005A6E49"/>
    <w:rsid w:val="005A6E50"/>
    <w:rsid w:val="005A71CC"/>
    <w:rsid w:val="005A762E"/>
    <w:rsid w:val="005A763B"/>
    <w:rsid w:val="005A77E5"/>
    <w:rsid w:val="005A7954"/>
    <w:rsid w:val="005A7A25"/>
    <w:rsid w:val="005A7D3A"/>
    <w:rsid w:val="005A7E79"/>
    <w:rsid w:val="005B0369"/>
    <w:rsid w:val="005B0566"/>
    <w:rsid w:val="005B09F8"/>
    <w:rsid w:val="005B0DA1"/>
    <w:rsid w:val="005B129E"/>
    <w:rsid w:val="005B171F"/>
    <w:rsid w:val="005B1B84"/>
    <w:rsid w:val="005B202E"/>
    <w:rsid w:val="005B22C6"/>
    <w:rsid w:val="005B2F4D"/>
    <w:rsid w:val="005B37E2"/>
    <w:rsid w:val="005B39B7"/>
    <w:rsid w:val="005B3D5F"/>
    <w:rsid w:val="005B3DC3"/>
    <w:rsid w:val="005B406B"/>
    <w:rsid w:val="005B4342"/>
    <w:rsid w:val="005B43CD"/>
    <w:rsid w:val="005B4C39"/>
    <w:rsid w:val="005B57BD"/>
    <w:rsid w:val="005B5BD2"/>
    <w:rsid w:val="005B6115"/>
    <w:rsid w:val="005B66E4"/>
    <w:rsid w:val="005B67EE"/>
    <w:rsid w:val="005B6C2A"/>
    <w:rsid w:val="005B72FE"/>
    <w:rsid w:val="005B7443"/>
    <w:rsid w:val="005B74A5"/>
    <w:rsid w:val="005B7508"/>
    <w:rsid w:val="005B76D9"/>
    <w:rsid w:val="005B7A0D"/>
    <w:rsid w:val="005B7C50"/>
    <w:rsid w:val="005C042F"/>
    <w:rsid w:val="005C0690"/>
    <w:rsid w:val="005C0812"/>
    <w:rsid w:val="005C0E51"/>
    <w:rsid w:val="005C0EE2"/>
    <w:rsid w:val="005C113F"/>
    <w:rsid w:val="005C123E"/>
    <w:rsid w:val="005C16A2"/>
    <w:rsid w:val="005C18AB"/>
    <w:rsid w:val="005C1FF3"/>
    <w:rsid w:val="005C21E0"/>
    <w:rsid w:val="005C2427"/>
    <w:rsid w:val="005C2583"/>
    <w:rsid w:val="005C3163"/>
    <w:rsid w:val="005C3786"/>
    <w:rsid w:val="005C3926"/>
    <w:rsid w:val="005C3EC6"/>
    <w:rsid w:val="005C3F0B"/>
    <w:rsid w:val="005C46FB"/>
    <w:rsid w:val="005C477F"/>
    <w:rsid w:val="005C50FE"/>
    <w:rsid w:val="005C53EE"/>
    <w:rsid w:val="005C546E"/>
    <w:rsid w:val="005C555B"/>
    <w:rsid w:val="005C585A"/>
    <w:rsid w:val="005C6219"/>
    <w:rsid w:val="005C64D5"/>
    <w:rsid w:val="005C677A"/>
    <w:rsid w:val="005C6D47"/>
    <w:rsid w:val="005C7367"/>
    <w:rsid w:val="005C7E1A"/>
    <w:rsid w:val="005D0015"/>
    <w:rsid w:val="005D048C"/>
    <w:rsid w:val="005D0661"/>
    <w:rsid w:val="005D0A1E"/>
    <w:rsid w:val="005D0CBD"/>
    <w:rsid w:val="005D0D18"/>
    <w:rsid w:val="005D0E7D"/>
    <w:rsid w:val="005D1418"/>
    <w:rsid w:val="005D1514"/>
    <w:rsid w:val="005D15C4"/>
    <w:rsid w:val="005D1655"/>
    <w:rsid w:val="005D1806"/>
    <w:rsid w:val="005D18F0"/>
    <w:rsid w:val="005D1BD8"/>
    <w:rsid w:val="005D1C6A"/>
    <w:rsid w:val="005D1E19"/>
    <w:rsid w:val="005D1E28"/>
    <w:rsid w:val="005D1EFB"/>
    <w:rsid w:val="005D228A"/>
    <w:rsid w:val="005D231B"/>
    <w:rsid w:val="005D296B"/>
    <w:rsid w:val="005D29AA"/>
    <w:rsid w:val="005D29ED"/>
    <w:rsid w:val="005D2CEE"/>
    <w:rsid w:val="005D2F66"/>
    <w:rsid w:val="005D30CE"/>
    <w:rsid w:val="005D384D"/>
    <w:rsid w:val="005D3892"/>
    <w:rsid w:val="005D3B7E"/>
    <w:rsid w:val="005D3DB0"/>
    <w:rsid w:val="005D483B"/>
    <w:rsid w:val="005D4AF2"/>
    <w:rsid w:val="005D4B96"/>
    <w:rsid w:val="005D4CCB"/>
    <w:rsid w:val="005D526E"/>
    <w:rsid w:val="005D5396"/>
    <w:rsid w:val="005D5556"/>
    <w:rsid w:val="005D5904"/>
    <w:rsid w:val="005D5C68"/>
    <w:rsid w:val="005D5C9D"/>
    <w:rsid w:val="005D6615"/>
    <w:rsid w:val="005D675D"/>
    <w:rsid w:val="005D688D"/>
    <w:rsid w:val="005D68AE"/>
    <w:rsid w:val="005D6A48"/>
    <w:rsid w:val="005D6B66"/>
    <w:rsid w:val="005D6F67"/>
    <w:rsid w:val="005D709A"/>
    <w:rsid w:val="005D7524"/>
    <w:rsid w:val="005D79D1"/>
    <w:rsid w:val="005D7A81"/>
    <w:rsid w:val="005D7BC9"/>
    <w:rsid w:val="005D7E12"/>
    <w:rsid w:val="005D7EB0"/>
    <w:rsid w:val="005E003E"/>
    <w:rsid w:val="005E0659"/>
    <w:rsid w:val="005E083B"/>
    <w:rsid w:val="005E085F"/>
    <w:rsid w:val="005E0884"/>
    <w:rsid w:val="005E0C54"/>
    <w:rsid w:val="005E0F11"/>
    <w:rsid w:val="005E0FC8"/>
    <w:rsid w:val="005E0FC9"/>
    <w:rsid w:val="005E15FC"/>
    <w:rsid w:val="005E1804"/>
    <w:rsid w:val="005E18C2"/>
    <w:rsid w:val="005E1C2F"/>
    <w:rsid w:val="005E1D15"/>
    <w:rsid w:val="005E255F"/>
    <w:rsid w:val="005E271D"/>
    <w:rsid w:val="005E2DB3"/>
    <w:rsid w:val="005E3207"/>
    <w:rsid w:val="005E3AE9"/>
    <w:rsid w:val="005E3C1E"/>
    <w:rsid w:val="005E3F69"/>
    <w:rsid w:val="005E41E0"/>
    <w:rsid w:val="005E42DB"/>
    <w:rsid w:val="005E43EB"/>
    <w:rsid w:val="005E4C5B"/>
    <w:rsid w:val="005E4FC2"/>
    <w:rsid w:val="005E5E9E"/>
    <w:rsid w:val="005E6171"/>
    <w:rsid w:val="005E647B"/>
    <w:rsid w:val="005E67B4"/>
    <w:rsid w:val="005E69D4"/>
    <w:rsid w:val="005E6A05"/>
    <w:rsid w:val="005E6CF8"/>
    <w:rsid w:val="005E7424"/>
    <w:rsid w:val="005E7E09"/>
    <w:rsid w:val="005F056B"/>
    <w:rsid w:val="005F089C"/>
    <w:rsid w:val="005F0BAF"/>
    <w:rsid w:val="005F0CB2"/>
    <w:rsid w:val="005F11C0"/>
    <w:rsid w:val="005F1243"/>
    <w:rsid w:val="005F1536"/>
    <w:rsid w:val="005F15E4"/>
    <w:rsid w:val="005F178F"/>
    <w:rsid w:val="005F1C92"/>
    <w:rsid w:val="005F1CEE"/>
    <w:rsid w:val="005F1DE7"/>
    <w:rsid w:val="005F1EF9"/>
    <w:rsid w:val="005F214B"/>
    <w:rsid w:val="005F23FB"/>
    <w:rsid w:val="005F2D73"/>
    <w:rsid w:val="005F3059"/>
    <w:rsid w:val="005F3A8D"/>
    <w:rsid w:val="005F3FB0"/>
    <w:rsid w:val="005F433C"/>
    <w:rsid w:val="005F4380"/>
    <w:rsid w:val="005F447D"/>
    <w:rsid w:val="005F46E6"/>
    <w:rsid w:val="005F4F97"/>
    <w:rsid w:val="005F51CE"/>
    <w:rsid w:val="005F5612"/>
    <w:rsid w:val="005F6AAA"/>
    <w:rsid w:val="005F6B1F"/>
    <w:rsid w:val="005F6C1D"/>
    <w:rsid w:val="005F6D73"/>
    <w:rsid w:val="005F6E1B"/>
    <w:rsid w:val="005F6F10"/>
    <w:rsid w:val="005F71E8"/>
    <w:rsid w:val="005F752C"/>
    <w:rsid w:val="005F7E4B"/>
    <w:rsid w:val="00600C1F"/>
    <w:rsid w:val="00600C2C"/>
    <w:rsid w:val="0060115E"/>
    <w:rsid w:val="006011E1"/>
    <w:rsid w:val="00601681"/>
    <w:rsid w:val="006018D0"/>
    <w:rsid w:val="00601ADB"/>
    <w:rsid w:val="00601F72"/>
    <w:rsid w:val="006021D1"/>
    <w:rsid w:val="00602490"/>
    <w:rsid w:val="0060277B"/>
    <w:rsid w:val="00602A5E"/>
    <w:rsid w:val="00602B04"/>
    <w:rsid w:val="00602E40"/>
    <w:rsid w:val="00602EEE"/>
    <w:rsid w:val="00603097"/>
    <w:rsid w:val="006030B0"/>
    <w:rsid w:val="00603401"/>
    <w:rsid w:val="0060356D"/>
    <w:rsid w:val="00603DFA"/>
    <w:rsid w:val="00603FFC"/>
    <w:rsid w:val="006040CB"/>
    <w:rsid w:val="006042FB"/>
    <w:rsid w:val="00604389"/>
    <w:rsid w:val="006043B9"/>
    <w:rsid w:val="0060443E"/>
    <w:rsid w:val="0060483F"/>
    <w:rsid w:val="006049CF"/>
    <w:rsid w:val="00604E3F"/>
    <w:rsid w:val="00605516"/>
    <w:rsid w:val="00605538"/>
    <w:rsid w:val="00605A89"/>
    <w:rsid w:val="00606422"/>
    <w:rsid w:val="006066EF"/>
    <w:rsid w:val="00606A33"/>
    <w:rsid w:val="00606A92"/>
    <w:rsid w:val="00606DCD"/>
    <w:rsid w:val="00606DF2"/>
    <w:rsid w:val="00607E0D"/>
    <w:rsid w:val="00607F18"/>
    <w:rsid w:val="00607FE7"/>
    <w:rsid w:val="0061055A"/>
    <w:rsid w:val="006105BE"/>
    <w:rsid w:val="00611C44"/>
    <w:rsid w:val="00612102"/>
    <w:rsid w:val="00612154"/>
    <w:rsid w:val="006121B7"/>
    <w:rsid w:val="00612539"/>
    <w:rsid w:val="0061254C"/>
    <w:rsid w:val="0061257C"/>
    <w:rsid w:val="00612588"/>
    <w:rsid w:val="00612C8F"/>
    <w:rsid w:val="006131AD"/>
    <w:rsid w:val="0061331D"/>
    <w:rsid w:val="0061383B"/>
    <w:rsid w:val="006139AA"/>
    <w:rsid w:val="006140A7"/>
    <w:rsid w:val="0061418D"/>
    <w:rsid w:val="00614984"/>
    <w:rsid w:val="00614B86"/>
    <w:rsid w:val="00614DFC"/>
    <w:rsid w:val="00614ED8"/>
    <w:rsid w:val="0061564E"/>
    <w:rsid w:val="00615AB2"/>
    <w:rsid w:val="00615B08"/>
    <w:rsid w:val="00615BA2"/>
    <w:rsid w:val="00615C54"/>
    <w:rsid w:val="00615C6E"/>
    <w:rsid w:val="00615E28"/>
    <w:rsid w:val="006162B6"/>
    <w:rsid w:val="00616823"/>
    <w:rsid w:val="006168C8"/>
    <w:rsid w:val="00616CF8"/>
    <w:rsid w:val="00616E65"/>
    <w:rsid w:val="00617692"/>
    <w:rsid w:val="00617CE2"/>
    <w:rsid w:val="00617DE5"/>
    <w:rsid w:val="006205AA"/>
    <w:rsid w:val="006208AD"/>
    <w:rsid w:val="0062098B"/>
    <w:rsid w:val="00620DD6"/>
    <w:rsid w:val="006211E9"/>
    <w:rsid w:val="0062136F"/>
    <w:rsid w:val="00621873"/>
    <w:rsid w:val="006219FF"/>
    <w:rsid w:val="00622149"/>
    <w:rsid w:val="00622D36"/>
    <w:rsid w:val="0062329E"/>
    <w:rsid w:val="0062388B"/>
    <w:rsid w:val="006239AB"/>
    <w:rsid w:val="00623B38"/>
    <w:rsid w:val="00623E6C"/>
    <w:rsid w:val="00624015"/>
    <w:rsid w:val="006241CF"/>
    <w:rsid w:val="006243E4"/>
    <w:rsid w:val="006244DB"/>
    <w:rsid w:val="0062604D"/>
    <w:rsid w:val="0062606B"/>
    <w:rsid w:val="0062655E"/>
    <w:rsid w:val="00626FF4"/>
    <w:rsid w:val="006270FB"/>
    <w:rsid w:val="006272B6"/>
    <w:rsid w:val="006274E4"/>
    <w:rsid w:val="00627D8B"/>
    <w:rsid w:val="0063013E"/>
    <w:rsid w:val="00630804"/>
    <w:rsid w:val="00630B5B"/>
    <w:rsid w:val="00630FC6"/>
    <w:rsid w:val="00630FCB"/>
    <w:rsid w:val="00631046"/>
    <w:rsid w:val="006313DF"/>
    <w:rsid w:val="006316CB"/>
    <w:rsid w:val="00631765"/>
    <w:rsid w:val="00631F40"/>
    <w:rsid w:val="006320FD"/>
    <w:rsid w:val="006323A7"/>
    <w:rsid w:val="00632457"/>
    <w:rsid w:val="00632B83"/>
    <w:rsid w:val="00632D7C"/>
    <w:rsid w:val="006330B1"/>
    <w:rsid w:val="00633394"/>
    <w:rsid w:val="00633A3C"/>
    <w:rsid w:val="00633B06"/>
    <w:rsid w:val="00633D35"/>
    <w:rsid w:val="00633E0B"/>
    <w:rsid w:val="00633F5D"/>
    <w:rsid w:val="006341BE"/>
    <w:rsid w:val="0063420A"/>
    <w:rsid w:val="006342B1"/>
    <w:rsid w:val="0063475C"/>
    <w:rsid w:val="006349BB"/>
    <w:rsid w:val="00634D43"/>
    <w:rsid w:val="0063503F"/>
    <w:rsid w:val="00635289"/>
    <w:rsid w:val="00635B2D"/>
    <w:rsid w:val="00635D6D"/>
    <w:rsid w:val="00635F22"/>
    <w:rsid w:val="006360CD"/>
    <w:rsid w:val="00636926"/>
    <w:rsid w:val="00636981"/>
    <w:rsid w:val="00636AAC"/>
    <w:rsid w:val="00636CA2"/>
    <w:rsid w:val="00637115"/>
    <w:rsid w:val="006372FC"/>
    <w:rsid w:val="006374F3"/>
    <w:rsid w:val="00637D77"/>
    <w:rsid w:val="006401EE"/>
    <w:rsid w:val="006404A4"/>
    <w:rsid w:val="006405B1"/>
    <w:rsid w:val="00640F09"/>
    <w:rsid w:val="00641128"/>
    <w:rsid w:val="006412F8"/>
    <w:rsid w:val="00641792"/>
    <w:rsid w:val="00641F7E"/>
    <w:rsid w:val="00642596"/>
    <w:rsid w:val="00642665"/>
    <w:rsid w:val="00642753"/>
    <w:rsid w:val="00642D4A"/>
    <w:rsid w:val="00642F1C"/>
    <w:rsid w:val="0064302D"/>
    <w:rsid w:val="0064315B"/>
    <w:rsid w:val="006433F9"/>
    <w:rsid w:val="00643475"/>
    <w:rsid w:val="00643A5E"/>
    <w:rsid w:val="00643ADA"/>
    <w:rsid w:val="00643B99"/>
    <w:rsid w:val="00643BDD"/>
    <w:rsid w:val="00643C24"/>
    <w:rsid w:val="00643DC9"/>
    <w:rsid w:val="00644164"/>
    <w:rsid w:val="006442B7"/>
    <w:rsid w:val="0064433F"/>
    <w:rsid w:val="0064440E"/>
    <w:rsid w:val="00644469"/>
    <w:rsid w:val="0064498C"/>
    <w:rsid w:val="00644DA1"/>
    <w:rsid w:val="00644F33"/>
    <w:rsid w:val="00645554"/>
    <w:rsid w:val="00645651"/>
    <w:rsid w:val="0064569E"/>
    <w:rsid w:val="00645756"/>
    <w:rsid w:val="00645E52"/>
    <w:rsid w:val="00645E6E"/>
    <w:rsid w:val="00645E81"/>
    <w:rsid w:val="00645EFB"/>
    <w:rsid w:val="0064652D"/>
    <w:rsid w:val="00646721"/>
    <w:rsid w:val="00646961"/>
    <w:rsid w:val="00646FCE"/>
    <w:rsid w:val="00646FF5"/>
    <w:rsid w:val="00647368"/>
    <w:rsid w:val="0064754E"/>
    <w:rsid w:val="006476D6"/>
    <w:rsid w:val="00647DA7"/>
    <w:rsid w:val="006501E0"/>
    <w:rsid w:val="006503C9"/>
    <w:rsid w:val="00650614"/>
    <w:rsid w:val="006508DA"/>
    <w:rsid w:val="00651081"/>
    <w:rsid w:val="00651160"/>
    <w:rsid w:val="0065124F"/>
    <w:rsid w:val="006513E9"/>
    <w:rsid w:val="00651B32"/>
    <w:rsid w:val="00652055"/>
    <w:rsid w:val="00652514"/>
    <w:rsid w:val="006529BF"/>
    <w:rsid w:val="00652AF6"/>
    <w:rsid w:val="006530AE"/>
    <w:rsid w:val="006530E7"/>
    <w:rsid w:val="006532A7"/>
    <w:rsid w:val="00653649"/>
    <w:rsid w:val="00653956"/>
    <w:rsid w:val="00653985"/>
    <w:rsid w:val="006539D6"/>
    <w:rsid w:val="00653AAA"/>
    <w:rsid w:val="00653AFC"/>
    <w:rsid w:val="00653C1B"/>
    <w:rsid w:val="00653C27"/>
    <w:rsid w:val="006541DA"/>
    <w:rsid w:val="006545E0"/>
    <w:rsid w:val="00654E57"/>
    <w:rsid w:val="006552A0"/>
    <w:rsid w:val="00655374"/>
    <w:rsid w:val="0065552F"/>
    <w:rsid w:val="006555D3"/>
    <w:rsid w:val="006558DA"/>
    <w:rsid w:val="006559A9"/>
    <w:rsid w:val="00655D67"/>
    <w:rsid w:val="00655D84"/>
    <w:rsid w:val="006563B2"/>
    <w:rsid w:val="00656801"/>
    <w:rsid w:val="00656819"/>
    <w:rsid w:val="00656BC7"/>
    <w:rsid w:val="00657160"/>
    <w:rsid w:val="006572CE"/>
    <w:rsid w:val="00657ED6"/>
    <w:rsid w:val="00657FB3"/>
    <w:rsid w:val="006600EB"/>
    <w:rsid w:val="0066017C"/>
    <w:rsid w:val="006602DE"/>
    <w:rsid w:val="0066076C"/>
    <w:rsid w:val="00660867"/>
    <w:rsid w:val="00660934"/>
    <w:rsid w:val="00661559"/>
    <w:rsid w:val="0066155C"/>
    <w:rsid w:val="00661BED"/>
    <w:rsid w:val="00661E30"/>
    <w:rsid w:val="00661FF8"/>
    <w:rsid w:val="00662135"/>
    <w:rsid w:val="00662361"/>
    <w:rsid w:val="006623BA"/>
    <w:rsid w:val="006627B5"/>
    <w:rsid w:val="00662ABC"/>
    <w:rsid w:val="006630CC"/>
    <w:rsid w:val="00663159"/>
    <w:rsid w:val="00663A9B"/>
    <w:rsid w:val="00663B72"/>
    <w:rsid w:val="00663BDA"/>
    <w:rsid w:val="00663D2F"/>
    <w:rsid w:val="0066423D"/>
    <w:rsid w:val="00664348"/>
    <w:rsid w:val="00664687"/>
    <w:rsid w:val="00664AD1"/>
    <w:rsid w:val="00664AF8"/>
    <w:rsid w:val="00664D3A"/>
    <w:rsid w:val="00664D6C"/>
    <w:rsid w:val="0066500F"/>
    <w:rsid w:val="00665594"/>
    <w:rsid w:val="00665837"/>
    <w:rsid w:val="0066588B"/>
    <w:rsid w:val="006658A3"/>
    <w:rsid w:val="00665A82"/>
    <w:rsid w:val="00665C59"/>
    <w:rsid w:val="00665F88"/>
    <w:rsid w:val="006667AC"/>
    <w:rsid w:val="0066696C"/>
    <w:rsid w:val="00666AC0"/>
    <w:rsid w:val="00666F4E"/>
    <w:rsid w:val="006670C3"/>
    <w:rsid w:val="006674CF"/>
    <w:rsid w:val="006674F5"/>
    <w:rsid w:val="00667979"/>
    <w:rsid w:val="00667A8F"/>
    <w:rsid w:val="00667ACE"/>
    <w:rsid w:val="00667E85"/>
    <w:rsid w:val="00667EA6"/>
    <w:rsid w:val="00670136"/>
    <w:rsid w:val="00670478"/>
    <w:rsid w:val="00670A21"/>
    <w:rsid w:val="00670B09"/>
    <w:rsid w:val="00670B92"/>
    <w:rsid w:val="00671097"/>
    <w:rsid w:val="00671239"/>
    <w:rsid w:val="0067123E"/>
    <w:rsid w:val="00671266"/>
    <w:rsid w:val="00671A02"/>
    <w:rsid w:val="00671A68"/>
    <w:rsid w:val="00671AA4"/>
    <w:rsid w:val="00671C57"/>
    <w:rsid w:val="00671EE6"/>
    <w:rsid w:val="00671FE8"/>
    <w:rsid w:val="006721B2"/>
    <w:rsid w:val="006723D2"/>
    <w:rsid w:val="00672BBA"/>
    <w:rsid w:val="00672C3E"/>
    <w:rsid w:val="00672C48"/>
    <w:rsid w:val="00672D46"/>
    <w:rsid w:val="00673071"/>
    <w:rsid w:val="0067366B"/>
    <w:rsid w:val="00673753"/>
    <w:rsid w:val="00674A07"/>
    <w:rsid w:val="00674BD5"/>
    <w:rsid w:val="00674F9B"/>
    <w:rsid w:val="006751AB"/>
    <w:rsid w:val="00676920"/>
    <w:rsid w:val="00676B69"/>
    <w:rsid w:val="00676F2B"/>
    <w:rsid w:val="00677678"/>
    <w:rsid w:val="0067773E"/>
    <w:rsid w:val="00677930"/>
    <w:rsid w:val="00680A81"/>
    <w:rsid w:val="00681432"/>
    <w:rsid w:val="00681723"/>
    <w:rsid w:val="00681B7C"/>
    <w:rsid w:val="00681E11"/>
    <w:rsid w:val="00682163"/>
    <w:rsid w:val="006821D6"/>
    <w:rsid w:val="006822D8"/>
    <w:rsid w:val="006827C8"/>
    <w:rsid w:val="00682C95"/>
    <w:rsid w:val="00683352"/>
    <w:rsid w:val="006839D1"/>
    <w:rsid w:val="00683DA8"/>
    <w:rsid w:val="00684381"/>
    <w:rsid w:val="0068441A"/>
    <w:rsid w:val="0068499D"/>
    <w:rsid w:val="00684DD9"/>
    <w:rsid w:val="00685002"/>
    <w:rsid w:val="006855FB"/>
    <w:rsid w:val="00685952"/>
    <w:rsid w:val="00685C86"/>
    <w:rsid w:val="00685D87"/>
    <w:rsid w:val="00686EE6"/>
    <w:rsid w:val="0068753E"/>
    <w:rsid w:val="006878D4"/>
    <w:rsid w:val="006900CB"/>
    <w:rsid w:val="00690142"/>
    <w:rsid w:val="00690824"/>
    <w:rsid w:val="00690989"/>
    <w:rsid w:val="00690B55"/>
    <w:rsid w:val="00691727"/>
    <w:rsid w:val="0069178C"/>
    <w:rsid w:val="00691DEE"/>
    <w:rsid w:val="00691E0A"/>
    <w:rsid w:val="00691FEE"/>
    <w:rsid w:val="00692553"/>
    <w:rsid w:val="006926AF"/>
    <w:rsid w:val="00692883"/>
    <w:rsid w:val="006928D1"/>
    <w:rsid w:val="00692A0F"/>
    <w:rsid w:val="00692B52"/>
    <w:rsid w:val="00693102"/>
    <w:rsid w:val="006931A8"/>
    <w:rsid w:val="0069322A"/>
    <w:rsid w:val="0069345B"/>
    <w:rsid w:val="00693F34"/>
    <w:rsid w:val="006940CA"/>
    <w:rsid w:val="006942A9"/>
    <w:rsid w:val="00694367"/>
    <w:rsid w:val="00694438"/>
    <w:rsid w:val="006944B2"/>
    <w:rsid w:val="00694714"/>
    <w:rsid w:val="00694852"/>
    <w:rsid w:val="00694E4A"/>
    <w:rsid w:val="00694EF5"/>
    <w:rsid w:val="00694F8F"/>
    <w:rsid w:val="00695110"/>
    <w:rsid w:val="00695111"/>
    <w:rsid w:val="00695361"/>
    <w:rsid w:val="0069567F"/>
    <w:rsid w:val="0069588A"/>
    <w:rsid w:val="0069589D"/>
    <w:rsid w:val="00695DAF"/>
    <w:rsid w:val="006960CA"/>
    <w:rsid w:val="006963E9"/>
    <w:rsid w:val="00696673"/>
    <w:rsid w:val="0069723A"/>
    <w:rsid w:val="006972AE"/>
    <w:rsid w:val="0069738D"/>
    <w:rsid w:val="006974BA"/>
    <w:rsid w:val="0069753B"/>
    <w:rsid w:val="006977F5"/>
    <w:rsid w:val="00697EE5"/>
    <w:rsid w:val="006A02C9"/>
    <w:rsid w:val="006A0313"/>
    <w:rsid w:val="006A0375"/>
    <w:rsid w:val="006A0465"/>
    <w:rsid w:val="006A04F7"/>
    <w:rsid w:val="006A050F"/>
    <w:rsid w:val="006A0CC9"/>
    <w:rsid w:val="006A10CC"/>
    <w:rsid w:val="006A17E2"/>
    <w:rsid w:val="006A1E79"/>
    <w:rsid w:val="006A2503"/>
    <w:rsid w:val="006A2624"/>
    <w:rsid w:val="006A2958"/>
    <w:rsid w:val="006A297F"/>
    <w:rsid w:val="006A2A8F"/>
    <w:rsid w:val="006A2AF3"/>
    <w:rsid w:val="006A2B32"/>
    <w:rsid w:val="006A2F88"/>
    <w:rsid w:val="006A2F8D"/>
    <w:rsid w:val="006A3410"/>
    <w:rsid w:val="006A3438"/>
    <w:rsid w:val="006A3735"/>
    <w:rsid w:val="006A39F5"/>
    <w:rsid w:val="006A4037"/>
    <w:rsid w:val="006A4093"/>
    <w:rsid w:val="006A4131"/>
    <w:rsid w:val="006A414A"/>
    <w:rsid w:val="006A43C9"/>
    <w:rsid w:val="006A4915"/>
    <w:rsid w:val="006A4BC2"/>
    <w:rsid w:val="006A5134"/>
    <w:rsid w:val="006A5D3A"/>
    <w:rsid w:val="006A629B"/>
    <w:rsid w:val="006A68E5"/>
    <w:rsid w:val="006A7402"/>
    <w:rsid w:val="006A76A5"/>
    <w:rsid w:val="006A7C33"/>
    <w:rsid w:val="006A7D3C"/>
    <w:rsid w:val="006A7FD1"/>
    <w:rsid w:val="006B01A3"/>
    <w:rsid w:val="006B04A9"/>
    <w:rsid w:val="006B057D"/>
    <w:rsid w:val="006B0BEC"/>
    <w:rsid w:val="006B1032"/>
    <w:rsid w:val="006B164D"/>
    <w:rsid w:val="006B18F0"/>
    <w:rsid w:val="006B1ABC"/>
    <w:rsid w:val="006B1FA6"/>
    <w:rsid w:val="006B20DC"/>
    <w:rsid w:val="006B20F6"/>
    <w:rsid w:val="006B2341"/>
    <w:rsid w:val="006B23CD"/>
    <w:rsid w:val="006B25BA"/>
    <w:rsid w:val="006B2A81"/>
    <w:rsid w:val="006B2F0F"/>
    <w:rsid w:val="006B2FBA"/>
    <w:rsid w:val="006B30A8"/>
    <w:rsid w:val="006B32A6"/>
    <w:rsid w:val="006B3595"/>
    <w:rsid w:val="006B35EE"/>
    <w:rsid w:val="006B3812"/>
    <w:rsid w:val="006B4060"/>
    <w:rsid w:val="006B45C7"/>
    <w:rsid w:val="006B4747"/>
    <w:rsid w:val="006B5075"/>
    <w:rsid w:val="006B5116"/>
    <w:rsid w:val="006B5341"/>
    <w:rsid w:val="006B55FD"/>
    <w:rsid w:val="006B5F19"/>
    <w:rsid w:val="006B60A7"/>
    <w:rsid w:val="006B6531"/>
    <w:rsid w:val="006B689C"/>
    <w:rsid w:val="006B6CF5"/>
    <w:rsid w:val="006B7047"/>
    <w:rsid w:val="006B7153"/>
    <w:rsid w:val="006B71CE"/>
    <w:rsid w:val="006B75C4"/>
    <w:rsid w:val="006B75C6"/>
    <w:rsid w:val="006B76FD"/>
    <w:rsid w:val="006B7B48"/>
    <w:rsid w:val="006B7B6D"/>
    <w:rsid w:val="006B7E2C"/>
    <w:rsid w:val="006C064C"/>
    <w:rsid w:val="006C0875"/>
    <w:rsid w:val="006C0982"/>
    <w:rsid w:val="006C09E1"/>
    <w:rsid w:val="006C1176"/>
    <w:rsid w:val="006C12AD"/>
    <w:rsid w:val="006C1683"/>
    <w:rsid w:val="006C17C3"/>
    <w:rsid w:val="006C1F35"/>
    <w:rsid w:val="006C2B5F"/>
    <w:rsid w:val="006C2EC2"/>
    <w:rsid w:val="006C32D9"/>
    <w:rsid w:val="006C37C8"/>
    <w:rsid w:val="006C39E1"/>
    <w:rsid w:val="006C3A46"/>
    <w:rsid w:val="006C3D2F"/>
    <w:rsid w:val="006C4260"/>
    <w:rsid w:val="006C4281"/>
    <w:rsid w:val="006C4526"/>
    <w:rsid w:val="006C47FC"/>
    <w:rsid w:val="006C4AA7"/>
    <w:rsid w:val="006C558F"/>
    <w:rsid w:val="006C5AA1"/>
    <w:rsid w:val="006C5AB7"/>
    <w:rsid w:val="006C5EA2"/>
    <w:rsid w:val="006C5F1E"/>
    <w:rsid w:val="006C6726"/>
    <w:rsid w:val="006C6EE0"/>
    <w:rsid w:val="006C71E4"/>
    <w:rsid w:val="006C75A9"/>
    <w:rsid w:val="006C7885"/>
    <w:rsid w:val="006C79CA"/>
    <w:rsid w:val="006C7FDD"/>
    <w:rsid w:val="006D01E5"/>
    <w:rsid w:val="006D0645"/>
    <w:rsid w:val="006D1268"/>
    <w:rsid w:val="006D12C4"/>
    <w:rsid w:val="006D14AF"/>
    <w:rsid w:val="006D1557"/>
    <w:rsid w:val="006D1641"/>
    <w:rsid w:val="006D1F98"/>
    <w:rsid w:val="006D2084"/>
    <w:rsid w:val="006D278A"/>
    <w:rsid w:val="006D287F"/>
    <w:rsid w:val="006D3288"/>
    <w:rsid w:val="006D353C"/>
    <w:rsid w:val="006D3627"/>
    <w:rsid w:val="006D3699"/>
    <w:rsid w:val="006D371F"/>
    <w:rsid w:val="006D37D5"/>
    <w:rsid w:val="006D3C57"/>
    <w:rsid w:val="006D3D83"/>
    <w:rsid w:val="006D416C"/>
    <w:rsid w:val="006D418C"/>
    <w:rsid w:val="006D45D6"/>
    <w:rsid w:val="006D525B"/>
    <w:rsid w:val="006D52D3"/>
    <w:rsid w:val="006D547D"/>
    <w:rsid w:val="006D5504"/>
    <w:rsid w:val="006D57B9"/>
    <w:rsid w:val="006D58A3"/>
    <w:rsid w:val="006D5B46"/>
    <w:rsid w:val="006D5BDA"/>
    <w:rsid w:val="006D5CD5"/>
    <w:rsid w:val="006D6008"/>
    <w:rsid w:val="006D604F"/>
    <w:rsid w:val="006D6179"/>
    <w:rsid w:val="006D6482"/>
    <w:rsid w:val="006D705C"/>
    <w:rsid w:val="006D7B59"/>
    <w:rsid w:val="006D7EBF"/>
    <w:rsid w:val="006E04BF"/>
    <w:rsid w:val="006E054B"/>
    <w:rsid w:val="006E0D49"/>
    <w:rsid w:val="006E0F7E"/>
    <w:rsid w:val="006E12F9"/>
    <w:rsid w:val="006E172D"/>
    <w:rsid w:val="006E1BAB"/>
    <w:rsid w:val="006E1EFB"/>
    <w:rsid w:val="006E27B6"/>
    <w:rsid w:val="006E2874"/>
    <w:rsid w:val="006E2A37"/>
    <w:rsid w:val="006E2AF4"/>
    <w:rsid w:val="006E376E"/>
    <w:rsid w:val="006E37BC"/>
    <w:rsid w:val="006E39CB"/>
    <w:rsid w:val="006E4041"/>
    <w:rsid w:val="006E43BB"/>
    <w:rsid w:val="006E50A0"/>
    <w:rsid w:val="006E52DE"/>
    <w:rsid w:val="006E5AFD"/>
    <w:rsid w:val="006E6234"/>
    <w:rsid w:val="006E65B3"/>
    <w:rsid w:val="006E66CC"/>
    <w:rsid w:val="006E66F4"/>
    <w:rsid w:val="006E6A12"/>
    <w:rsid w:val="006E6B9D"/>
    <w:rsid w:val="006E6E03"/>
    <w:rsid w:val="006E7239"/>
    <w:rsid w:val="006E7878"/>
    <w:rsid w:val="006E7976"/>
    <w:rsid w:val="006F0844"/>
    <w:rsid w:val="006F0D38"/>
    <w:rsid w:val="006F10AC"/>
    <w:rsid w:val="006F11DC"/>
    <w:rsid w:val="006F1D49"/>
    <w:rsid w:val="006F1EC4"/>
    <w:rsid w:val="006F2355"/>
    <w:rsid w:val="006F2419"/>
    <w:rsid w:val="006F2895"/>
    <w:rsid w:val="006F3322"/>
    <w:rsid w:val="006F3577"/>
    <w:rsid w:val="006F37D0"/>
    <w:rsid w:val="006F391F"/>
    <w:rsid w:val="006F3D74"/>
    <w:rsid w:val="006F400A"/>
    <w:rsid w:val="006F42CB"/>
    <w:rsid w:val="006F4504"/>
    <w:rsid w:val="006F4714"/>
    <w:rsid w:val="006F4938"/>
    <w:rsid w:val="006F4E99"/>
    <w:rsid w:val="006F528C"/>
    <w:rsid w:val="006F52B1"/>
    <w:rsid w:val="006F5A3A"/>
    <w:rsid w:val="006F5BCA"/>
    <w:rsid w:val="006F5EF8"/>
    <w:rsid w:val="006F61F9"/>
    <w:rsid w:val="006F6283"/>
    <w:rsid w:val="006F6A4A"/>
    <w:rsid w:val="006F6FFC"/>
    <w:rsid w:val="006F73A0"/>
    <w:rsid w:val="006F73B1"/>
    <w:rsid w:val="006F79D8"/>
    <w:rsid w:val="006F7AEC"/>
    <w:rsid w:val="006F7C20"/>
    <w:rsid w:val="006F7E79"/>
    <w:rsid w:val="00700331"/>
    <w:rsid w:val="00700416"/>
    <w:rsid w:val="0070058A"/>
    <w:rsid w:val="0070079B"/>
    <w:rsid w:val="00700D79"/>
    <w:rsid w:val="00700DAC"/>
    <w:rsid w:val="00700F31"/>
    <w:rsid w:val="00701166"/>
    <w:rsid w:val="00701447"/>
    <w:rsid w:val="007015C0"/>
    <w:rsid w:val="00701B83"/>
    <w:rsid w:val="0070208F"/>
    <w:rsid w:val="00702209"/>
    <w:rsid w:val="0070224B"/>
    <w:rsid w:val="00702B2D"/>
    <w:rsid w:val="00702D0C"/>
    <w:rsid w:val="00703090"/>
    <w:rsid w:val="0070339E"/>
    <w:rsid w:val="007034B4"/>
    <w:rsid w:val="007036F3"/>
    <w:rsid w:val="007039A4"/>
    <w:rsid w:val="00703E5D"/>
    <w:rsid w:val="00704324"/>
    <w:rsid w:val="007043CD"/>
    <w:rsid w:val="00704444"/>
    <w:rsid w:val="00704949"/>
    <w:rsid w:val="00704A9E"/>
    <w:rsid w:val="00704B53"/>
    <w:rsid w:val="00704CB8"/>
    <w:rsid w:val="00704D6B"/>
    <w:rsid w:val="0070557E"/>
    <w:rsid w:val="007057D0"/>
    <w:rsid w:val="00705A0F"/>
    <w:rsid w:val="007063A7"/>
    <w:rsid w:val="007063FE"/>
    <w:rsid w:val="007066D5"/>
    <w:rsid w:val="00706840"/>
    <w:rsid w:val="00706D89"/>
    <w:rsid w:val="00706E0D"/>
    <w:rsid w:val="00706F21"/>
    <w:rsid w:val="00707620"/>
    <w:rsid w:val="00707C43"/>
    <w:rsid w:val="00707D14"/>
    <w:rsid w:val="007102A9"/>
    <w:rsid w:val="00710F97"/>
    <w:rsid w:val="007110F4"/>
    <w:rsid w:val="007119A0"/>
    <w:rsid w:val="00711A0D"/>
    <w:rsid w:val="00711FD0"/>
    <w:rsid w:val="007121CD"/>
    <w:rsid w:val="0071229A"/>
    <w:rsid w:val="007122AD"/>
    <w:rsid w:val="00712431"/>
    <w:rsid w:val="00712555"/>
    <w:rsid w:val="00712599"/>
    <w:rsid w:val="007128EC"/>
    <w:rsid w:val="0071297C"/>
    <w:rsid w:val="00712A58"/>
    <w:rsid w:val="00713144"/>
    <w:rsid w:val="0071351A"/>
    <w:rsid w:val="007135DD"/>
    <w:rsid w:val="00713651"/>
    <w:rsid w:val="007136CD"/>
    <w:rsid w:val="00713724"/>
    <w:rsid w:val="007137BF"/>
    <w:rsid w:val="007137D0"/>
    <w:rsid w:val="007137EF"/>
    <w:rsid w:val="007138AD"/>
    <w:rsid w:val="00713965"/>
    <w:rsid w:val="007139DF"/>
    <w:rsid w:val="00713EE3"/>
    <w:rsid w:val="007141EE"/>
    <w:rsid w:val="0071453F"/>
    <w:rsid w:val="00714654"/>
    <w:rsid w:val="007147DF"/>
    <w:rsid w:val="00714A83"/>
    <w:rsid w:val="00714AB0"/>
    <w:rsid w:val="00714AD2"/>
    <w:rsid w:val="00714BC4"/>
    <w:rsid w:val="00714D03"/>
    <w:rsid w:val="00715057"/>
    <w:rsid w:val="0071535A"/>
    <w:rsid w:val="0071561A"/>
    <w:rsid w:val="0071572E"/>
    <w:rsid w:val="00715A00"/>
    <w:rsid w:val="00715A39"/>
    <w:rsid w:val="00715B1F"/>
    <w:rsid w:val="0071621D"/>
    <w:rsid w:val="00716757"/>
    <w:rsid w:val="00716770"/>
    <w:rsid w:val="00716FE8"/>
    <w:rsid w:val="007177BF"/>
    <w:rsid w:val="00717931"/>
    <w:rsid w:val="00717B2A"/>
    <w:rsid w:val="0072008B"/>
    <w:rsid w:val="00720B8A"/>
    <w:rsid w:val="00720CAC"/>
    <w:rsid w:val="00721177"/>
    <w:rsid w:val="0072130D"/>
    <w:rsid w:val="00721406"/>
    <w:rsid w:val="007220D3"/>
    <w:rsid w:val="00722121"/>
    <w:rsid w:val="007221B2"/>
    <w:rsid w:val="00722490"/>
    <w:rsid w:val="00722656"/>
    <w:rsid w:val="00722723"/>
    <w:rsid w:val="007228D5"/>
    <w:rsid w:val="00722B77"/>
    <w:rsid w:val="0072311C"/>
    <w:rsid w:val="007235FC"/>
    <w:rsid w:val="00723667"/>
    <w:rsid w:val="007238E8"/>
    <w:rsid w:val="00723C42"/>
    <w:rsid w:val="00723F97"/>
    <w:rsid w:val="00724120"/>
    <w:rsid w:val="00724A51"/>
    <w:rsid w:val="00724BA5"/>
    <w:rsid w:val="00724D40"/>
    <w:rsid w:val="00725468"/>
    <w:rsid w:val="007254BB"/>
    <w:rsid w:val="007254F6"/>
    <w:rsid w:val="0072686D"/>
    <w:rsid w:val="00726B37"/>
    <w:rsid w:val="00726F5D"/>
    <w:rsid w:val="00726FEF"/>
    <w:rsid w:val="007271E4"/>
    <w:rsid w:val="0072760F"/>
    <w:rsid w:val="00727959"/>
    <w:rsid w:val="007279BA"/>
    <w:rsid w:val="00727AEB"/>
    <w:rsid w:val="00727D55"/>
    <w:rsid w:val="00727D5F"/>
    <w:rsid w:val="0073010B"/>
    <w:rsid w:val="00730803"/>
    <w:rsid w:val="00730817"/>
    <w:rsid w:val="00730845"/>
    <w:rsid w:val="00730905"/>
    <w:rsid w:val="007312FB"/>
    <w:rsid w:val="007313CD"/>
    <w:rsid w:val="00731545"/>
    <w:rsid w:val="00731852"/>
    <w:rsid w:val="00731D5F"/>
    <w:rsid w:val="00731E1B"/>
    <w:rsid w:val="0073213D"/>
    <w:rsid w:val="007326C3"/>
    <w:rsid w:val="00732EFD"/>
    <w:rsid w:val="0073319C"/>
    <w:rsid w:val="007332BA"/>
    <w:rsid w:val="0073338E"/>
    <w:rsid w:val="007338AE"/>
    <w:rsid w:val="00733CD5"/>
    <w:rsid w:val="00733FB4"/>
    <w:rsid w:val="0073402C"/>
    <w:rsid w:val="00734072"/>
    <w:rsid w:val="007343FC"/>
    <w:rsid w:val="0073493C"/>
    <w:rsid w:val="007349B4"/>
    <w:rsid w:val="007349F6"/>
    <w:rsid w:val="00734C37"/>
    <w:rsid w:val="00735267"/>
    <w:rsid w:val="00735779"/>
    <w:rsid w:val="007359CD"/>
    <w:rsid w:val="00735C15"/>
    <w:rsid w:val="00736026"/>
    <w:rsid w:val="00736049"/>
    <w:rsid w:val="0073629D"/>
    <w:rsid w:val="00736404"/>
    <w:rsid w:val="00736407"/>
    <w:rsid w:val="007364EE"/>
    <w:rsid w:val="00736672"/>
    <w:rsid w:val="007367B7"/>
    <w:rsid w:val="00736BDD"/>
    <w:rsid w:val="00737838"/>
    <w:rsid w:val="00737CE8"/>
    <w:rsid w:val="00737F25"/>
    <w:rsid w:val="00737F61"/>
    <w:rsid w:val="00737F74"/>
    <w:rsid w:val="00740185"/>
    <w:rsid w:val="007404CC"/>
    <w:rsid w:val="00740990"/>
    <w:rsid w:val="00740A0E"/>
    <w:rsid w:val="00740ABB"/>
    <w:rsid w:val="00740EBC"/>
    <w:rsid w:val="00741002"/>
    <w:rsid w:val="0074122D"/>
    <w:rsid w:val="007413DE"/>
    <w:rsid w:val="007419B6"/>
    <w:rsid w:val="007419E3"/>
    <w:rsid w:val="00741ECA"/>
    <w:rsid w:val="00741F3F"/>
    <w:rsid w:val="00741FA3"/>
    <w:rsid w:val="00742295"/>
    <w:rsid w:val="007423F5"/>
    <w:rsid w:val="00742478"/>
    <w:rsid w:val="00742487"/>
    <w:rsid w:val="007426B1"/>
    <w:rsid w:val="00742C41"/>
    <w:rsid w:val="00742CC1"/>
    <w:rsid w:val="00742CC4"/>
    <w:rsid w:val="0074312E"/>
    <w:rsid w:val="007433BC"/>
    <w:rsid w:val="00743DFC"/>
    <w:rsid w:val="007443E0"/>
    <w:rsid w:val="00744578"/>
    <w:rsid w:val="00744951"/>
    <w:rsid w:val="00744FC7"/>
    <w:rsid w:val="00745188"/>
    <w:rsid w:val="00745206"/>
    <w:rsid w:val="007455B6"/>
    <w:rsid w:val="00745829"/>
    <w:rsid w:val="00745D05"/>
    <w:rsid w:val="00745D17"/>
    <w:rsid w:val="00745FAD"/>
    <w:rsid w:val="00746211"/>
    <w:rsid w:val="00746235"/>
    <w:rsid w:val="00746898"/>
    <w:rsid w:val="007469FA"/>
    <w:rsid w:val="00746BB0"/>
    <w:rsid w:val="00746EA3"/>
    <w:rsid w:val="00747213"/>
    <w:rsid w:val="0074743E"/>
    <w:rsid w:val="00747515"/>
    <w:rsid w:val="007475DE"/>
    <w:rsid w:val="00747681"/>
    <w:rsid w:val="00747978"/>
    <w:rsid w:val="00747DAB"/>
    <w:rsid w:val="00747FD9"/>
    <w:rsid w:val="00750134"/>
    <w:rsid w:val="0075046A"/>
    <w:rsid w:val="00750926"/>
    <w:rsid w:val="0075097A"/>
    <w:rsid w:val="00750983"/>
    <w:rsid w:val="00750BE3"/>
    <w:rsid w:val="00750C38"/>
    <w:rsid w:val="00750C62"/>
    <w:rsid w:val="007516EB"/>
    <w:rsid w:val="00751896"/>
    <w:rsid w:val="00751E99"/>
    <w:rsid w:val="00752616"/>
    <w:rsid w:val="00752780"/>
    <w:rsid w:val="00752DB9"/>
    <w:rsid w:val="00753440"/>
    <w:rsid w:val="00753911"/>
    <w:rsid w:val="00753D96"/>
    <w:rsid w:val="00754875"/>
    <w:rsid w:val="00754A0D"/>
    <w:rsid w:val="007551B1"/>
    <w:rsid w:val="0075534A"/>
    <w:rsid w:val="00755501"/>
    <w:rsid w:val="0075550A"/>
    <w:rsid w:val="00755669"/>
    <w:rsid w:val="007557DB"/>
    <w:rsid w:val="00756122"/>
    <w:rsid w:val="007563F0"/>
    <w:rsid w:val="007568ED"/>
    <w:rsid w:val="007569E4"/>
    <w:rsid w:val="007570EE"/>
    <w:rsid w:val="007571B8"/>
    <w:rsid w:val="0075727C"/>
    <w:rsid w:val="00757330"/>
    <w:rsid w:val="00757712"/>
    <w:rsid w:val="0076078B"/>
    <w:rsid w:val="00760A64"/>
    <w:rsid w:val="00760ABA"/>
    <w:rsid w:val="00761274"/>
    <w:rsid w:val="00761511"/>
    <w:rsid w:val="00761599"/>
    <w:rsid w:val="00761D59"/>
    <w:rsid w:val="007622EE"/>
    <w:rsid w:val="0076261E"/>
    <w:rsid w:val="0076286D"/>
    <w:rsid w:val="00762B69"/>
    <w:rsid w:val="00762C4F"/>
    <w:rsid w:val="00762C66"/>
    <w:rsid w:val="0076336E"/>
    <w:rsid w:val="0076382F"/>
    <w:rsid w:val="00763B6C"/>
    <w:rsid w:val="00763E9D"/>
    <w:rsid w:val="007641BF"/>
    <w:rsid w:val="0076461B"/>
    <w:rsid w:val="00764943"/>
    <w:rsid w:val="00764E63"/>
    <w:rsid w:val="007658D0"/>
    <w:rsid w:val="00765B11"/>
    <w:rsid w:val="00765BF6"/>
    <w:rsid w:val="00765D90"/>
    <w:rsid w:val="00766954"/>
    <w:rsid w:val="007677D3"/>
    <w:rsid w:val="0076792C"/>
    <w:rsid w:val="00767CF7"/>
    <w:rsid w:val="00767D38"/>
    <w:rsid w:val="00770208"/>
    <w:rsid w:val="00770A6D"/>
    <w:rsid w:val="00770D0C"/>
    <w:rsid w:val="007712A0"/>
    <w:rsid w:val="007712A7"/>
    <w:rsid w:val="0077142E"/>
    <w:rsid w:val="00771AC6"/>
    <w:rsid w:val="00771F50"/>
    <w:rsid w:val="007720A4"/>
    <w:rsid w:val="007720AB"/>
    <w:rsid w:val="00772391"/>
    <w:rsid w:val="00772D5B"/>
    <w:rsid w:val="00772EEA"/>
    <w:rsid w:val="00772FFD"/>
    <w:rsid w:val="007733F0"/>
    <w:rsid w:val="0077345B"/>
    <w:rsid w:val="0077356C"/>
    <w:rsid w:val="00773689"/>
    <w:rsid w:val="007736DF"/>
    <w:rsid w:val="00773A7A"/>
    <w:rsid w:val="00773A97"/>
    <w:rsid w:val="00773B01"/>
    <w:rsid w:val="00773BEC"/>
    <w:rsid w:val="00773D92"/>
    <w:rsid w:val="00773FC2"/>
    <w:rsid w:val="007748D4"/>
    <w:rsid w:val="00774936"/>
    <w:rsid w:val="00774BA2"/>
    <w:rsid w:val="00774D1A"/>
    <w:rsid w:val="007753FB"/>
    <w:rsid w:val="00775400"/>
    <w:rsid w:val="0077559B"/>
    <w:rsid w:val="007758FA"/>
    <w:rsid w:val="00775B12"/>
    <w:rsid w:val="00777039"/>
    <w:rsid w:val="00777112"/>
    <w:rsid w:val="007776C0"/>
    <w:rsid w:val="00777BCB"/>
    <w:rsid w:val="00777DFC"/>
    <w:rsid w:val="007802C3"/>
    <w:rsid w:val="00780418"/>
    <w:rsid w:val="00780B02"/>
    <w:rsid w:val="0078146F"/>
    <w:rsid w:val="00781B4D"/>
    <w:rsid w:val="00781B7A"/>
    <w:rsid w:val="00781BF1"/>
    <w:rsid w:val="00782089"/>
    <w:rsid w:val="007823EA"/>
    <w:rsid w:val="00782630"/>
    <w:rsid w:val="007828A9"/>
    <w:rsid w:val="00782A23"/>
    <w:rsid w:val="00783288"/>
    <w:rsid w:val="007834D3"/>
    <w:rsid w:val="00783881"/>
    <w:rsid w:val="00783882"/>
    <w:rsid w:val="00783EC5"/>
    <w:rsid w:val="00783EEA"/>
    <w:rsid w:val="00783F8A"/>
    <w:rsid w:val="0078417B"/>
    <w:rsid w:val="0078456E"/>
    <w:rsid w:val="00784C47"/>
    <w:rsid w:val="0078544F"/>
    <w:rsid w:val="007856C2"/>
    <w:rsid w:val="00785A3D"/>
    <w:rsid w:val="00785C6C"/>
    <w:rsid w:val="00785E62"/>
    <w:rsid w:val="00785F79"/>
    <w:rsid w:val="00786495"/>
    <w:rsid w:val="0078656C"/>
    <w:rsid w:val="0078661C"/>
    <w:rsid w:val="0078691E"/>
    <w:rsid w:val="00786A0F"/>
    <w:rsid w:val="00786AF5"/>
    <w:rsid w:val="00787BA3"/>
    <w:rsid w:val="00787CBB"/>
    <w:rsid w:val="00787F58"/>
    <w:rsid w:val="007904BB"/>
    <w:rsid w:val="00790684"/>
    <w:rsid w:val="00790961"/>
    <w:rsid w:val="007909F0"/>
    <w:rsid w:val="00790D5B"/>
    <w:rsid w:val="00791084"/>
    <w:rsid w:val="00791705"/>
    <w:rsid w:val="00791D17"/>
    <w:rsid w:val="00792002"/>
    <w:rsid w:val="00792760"/>
    <w:rsid w:val="0079295E"/>
    <w:rsid w:val="00792AA6"/>
    <w:rsid w:val="00792AF9"/>
    <w:rsid w:val="00792B41"/>
    <w:rsid w:val="00792E05"/>
    <w:rsid w:val="00792E1E"/>
    <w:rsid w:val="007932D9"/>
    <w:rsid w:val="007934E1"/>
    <w:rsid w:val="00793538"/>
    <w:rsid w:val="007935E6"/>
    <w:rsid w:val="00793A06"/>
    <w:rsid w:val="00793B13"/>
    <w:rsid w:val="00793C9D"/>
    <w:rsid w:val="00793DD4"/>
    <w:rsid w:val="00793E6A"/>
    <w:rsid w:val="00794F1C"/>
    <w:rsid w:val="007951B3"/>
    <w:rsid w:val="00795647"/>
    <w:rsid w:val="007956DE"/>
    <w:rsid w:val="0079626E"/>
    <w:rsid w:val="0079688A"/>
    <w:rsid w:val="00796ABD"/>
    <w:rsid w:val="00797286"/>
    <w:rsid w:val="00797688"/>
    <w:rsid w:val="007976BC"/>
    <w:rsid w:val="007A027E"/>
    <w:rsid w:val="007A0948"/>
    <w:rsid w:val="007A0C44"/>
    <w:rsid w:val="007A1135"/>
    <w:rsid w:val="007A1535"/>
    <w:rsid w:val="007A1789"/>
    <w:rsid w:val="007A17F6"/>
    <w:rsid w:val="007A19F1"/>
    <w:rsid w:val="007A1AD9"/>
    <w:rsid w:val="007A1AE2"/>
    <w:rsid w:val="007A200B"/>
    <w:rsid w:val="007A204E"/>
    <w:rsid w:val="007A2259"/>
    <w:rsid w:val="007A2317"/>
    <w:rsid w:val="007A2429"/>
    <w:rsid w:val="007A250C"/>
    <w:rsid w:val="007A28A7"/>
    <w:rsid w:val="007A2DE1"/>
    <w:rsid w:val="007A30D3"/>
    <w:rsid w:val="007A3699"/>
    <w:rsid w:val="007A36B1"/>
    <w:rsid w:val="007A3942"/>
    <w:rsid w:val="007A3BED"/>
    <w:rsid w:val="007A3C55"/>
    <w:rsid w:val="007A42FC"/>
    <w:rsid w:val="007A45AF"/>
    <w:rsid w:val="007A45BE"/>
    <w:rsid w:val="007A49AC"/>
    <w:rsid w:val="007A4B83"/>
    <w:rsid w:val="007A4E22"/>
    <w:rsid w:val="007A54E9"/>
    <w:rsid w:val="007A56CB"/>
    <w:rsid w:val="007A5926"/>
    <w:rsid w:val="007A5E4C"/>
    <w:rsid w:val="007A6144"/>
    <w:rsid w:val="007A62B6"/>
    <w:rsid w:val="007A6442"/>
    <w:rsid w:val="007A66DC"/>
    <w:rsid w:val="007A672D"/>
    <w:rsid w:val="007A67D0"/>
    <w:rsid w:val="007A6ADC"/>
    <w:rsid w:val="007A73FD"/>
    <w:rsid w:val="007A78D5"/>
    <w:rsid w:val="007A79D1"/>
    <w:rsid w:val="007A7B0B"/>
    <w:rsid w:val="007B0083"/>
    <w:rsid w:val="007B042C"/>
    <w:rsid w:val="007B083B"/>
    <w:rsid w:val="007B0C92"/>
    <w:rsid w:val="007B12A6"/>
    <w:rsid w:val="007B152F"/>
    <w:rsid w:val="007B17EE"/>
    <w:rsid w:val="007B1C92"/>
    <w:rsid w:val="007B1FC2"/>
    <w:rsid w:val="007B2525"/>
    <w:rsid w:val="007B2909"/>
    <w:rsid w:val="007B2EFB"/>
    <w:rsid w:val="007B3348"/>
    <w:rsid w:val="007B3A6A"/>
    <w:rsid w:val="007B3C81"/>
    <w:rsid w:val="007B436D"/>
    <w:rsid w:val="007B4731"/>
    <w:rsid w:val="007B48A0"/>
    <w:rsid w:val="007B48AD"/>
    <w:rsid w:val="007B4B9B"/>
    <w:rsid w:val="007B5AF3"/>
    <w:rsid w:val="007B5BC4"/>
    <w:rsid w:val="007B62D1"/>
    <w:rsid w:val="007B6AC4"/>
    <w:rsid w:val="007B6CB6"/>
    <w:rsid w:val="007B74E5"/>
    <w:rsid w:val="007B783B"/>
    <w:rsid w:val="007B7D15"/>
    <w:rsid w:val="007C00B3"/>
    <w:rsid w:val="007C00CE"/>
    <w:rsid w:val="007C0276"/>
    <w:rsid w:val="007C0942"/>
    <w:rsid w:val="007C0A72"/>
    <w:rsid w:val="007C1B28"/>
    <w:rsid w:val="007C1E5A"/>
    <w:rsid w:val="007C1FCB"/>
    <w:rsid w:val="007C28BC"/>
    <w:rsid w:val="007C2B01"/>
    <w:rsid w:val="007C3485"/>
    <w:rsid w:val="007C4235"/>
    <w:rsid w:val="007C4439"/>
    <w:rsid w:val="007C55F7"/>
    <w:rsid w:val="007C5A83"/>
    <w:rsid w:val="007C5C17"/>
    <w:rsid w:val="007C5C55"/>
    <w:rsid w:val="007C6086"/>
    <w:rsid w:val="007C6253"/>
    <w:rsid w:val="007C6CA0"/>
    <w:rsid w:val="007C6CB8"/>
    <w:rsid w:val="007C77E6"/>
    <w:rsid w:val="007C78A3"/>
    <w:rsid w:val="007C7996"/>
    <w:rsid w:val="007D049C"/>
    <w:rsid w:val="007D04DF"/>
    <w:rsid w:val="007D0787"/>
    <w:rsid w:val="007D0CC0"/>
    <w:rsid w:val="007D0D17"/>
    <w:rsid w:val="007D0E2A"/>
    <w:rsid w:val="007D12A8"/>
    <w:rsid w:val="007D1380"/>
    <w:rsid w:val="007D1799"/>
    <w:rsid w:val="007D22D4"/>
    <w:rsid w:val="007D2526"/>
    <w:rsid w:val="007D2B56"/>
    <w:rsid w:val="007D2C20"/>
    <w:rsid w:val="007D2E75"/>
    <w:rsid w:val="007D3BA6"/>
    <w:rsid w:val="007D3E10"/>
    <w:rsid w:val="007D4213"/>
    <w:rsid w:val="007D4505"/>
    <w:rsid w:val="007D48AF"/>
    <w:rsid w:val="007D4FE3"/>
    <w:rsid w:val="007D5283"/>
    <w:rsid w:val="007D595B"/>
    <w:rsid w:val="007D5E01"/>
    <w:rsid w:val="007D64F1"/>
    <w:rsid w:val="007D6525"/>
    <w:rsid w:val="007D65A1"/>
    <w:rsid w:val="007D66C1"/>
    <w:rsid w:val="007D67FF"/>
    <w:rsid w:val="007D6920"/>
    <w:rsid w:val="007D6AD1"/>
    <w:rsid w:val="007D6BDA"/>
    <w:rsid w:val="007D7259"/>
    <w:rsid w:val="007D79EA"/>
    <w:rsid w:val="007D7EA3"/>
    <w:rsid w:val="007E005B"/>
    <w:rsid w:val="007E072C"/>
    <w:rsid w:val="007E086B"/>
    <w:rsid w:val="007E086C"/>
    <w:rsid w:val="007E08EA"/>
    <w:rsid w:val="007E0D0E"/>
    <w:rsid w:val="007E0E60"/>
    <w:rsid w:val="007E1228"/>
    <w:rsid w:val="007E1663"/>
    <w:rsid w:val="007E1837"/>
    <w:rsid w:val="007E1C54"/>
    <w:rsid w:val="007E1C8E"/>
    <w:rsid w:val="007E209A"/>
    <w:rsid w:val="007E2161"/>
    <w:rsid w:val="007E26D3"/>
    <w:rsid w:val="007E2905"/>
    <w:rsid w:val="007E2E04"/>
    <w:rsid w:val="007E2E39"/>
    <w:rsid w:val="007E2E4F"/>
    <w:rsid w:val="007E2E6B"/>
    <w:rsid w:val="007E321C"/>
    <w:rsid w:val="007E34DA"/>
    <w:rsid w:val="007E3699"/>
    <w:rsid w:val="007E4559"/>
    <w:rsid w:val="007E4577"/>
    <w:rsid w:val="007E4898"/>
    <w:rsid w:val="007E4979"/>
    <w:rsid w:val="007E49E3"/>
    <w:rsid w:val="007E4A10"/>
    <w:rsid w:val="007E505C"/>
    <w:rsid w:val="007E5209"/>
    <w:rsid w:val="007E5536"/>
    <w:rsid w:val="007E55C3"/>
    <w:rsid w:val="007E563F"/>
    <w:rsid w:val="007E5F15"/>
    <w:rsid w:val="007E60F6"/>
    <w:rsid w:val="007E64E0"/>
    <w:rsid w:val="007E67EB"/>
    <w:rsid w:val="007E6966"/>
    <w:rsid w:val="007E6FB1"/>
    <w:rsid w:val="007E70CD"/>
    <w:rsid w:val="007E727C"/>
    <w:rsid w:val="007E73C1"/>
    <w:rsid w:val="007E77A9"/>
    <w:rsid w:val="007E7847"/>
    <w:rsid w:val="007E79C0"/>
    <w:rsid w:val="007F02A9"/>
    <w:rsid w:val="007F02B4"/>
    <w:rsid w:val="007F0A40"/>
    <w:rsid w:val="007F0AB6"/>
    <w:rsid w:val="007F0D76"/>
    <w:rsid w:val="007F10AD"/>
    <w:rsid w:val="007F1564"/>
    <w:rsid w:val="007F1643"/>
    <w:rsid w:val="007F1697"/>
    <w:rsid w:val="007F1C56"/>
    <w:rsid w:val="007F1DD7"/>
    <w:rsid w:val="007F1E3E"/>
    <w:rsid w:val="007F1EB9"/>
    <w:rsid w:val="007F1F96"/>
    <w:rsid w:val="007F2550"/>
    <w:rsid w:val="007F2AAE"/>
    <w:rsid w:val="007F2B7F"/>
    <w:rsid w:val="007F3132"/>
    <w:rsid w:val="007F3934"/>
    <w:rsid w:val="007F3C60"/>
    <w:rsid w:val="007F3D8E"/>
    <w:rsid w:val="007F41BE"/>
    <w:rsid w:val="007F4217"/>
    <w:rsid w:val="007F439E"/>
    <w:rsid w:val="007F4EF8"/>
    <w:rsid w:val="007F50D8"/>
    <w:rsid w:val="007F5438"/>
    <w:rsid w:val="007F547F"/>
    <w:rsid w:val="007F56E8"/>
    <w:rsid w:val="007F5C86"/>
    <w:rsid w:val="007F5D3C"/>
    <w:rsid w:val="007F5D45"/>
    <w:rsid w:val="007F5EF4"/>
    <w:rsid w:val="007F6387"/>
    <w:rsid w:val="007F6738"/>
    <w:rsid w:val="007F718D"/>
    <w:rsid w:val="007F72CB"/>
    <w:rsid w:val="007F7786"/>
    <w:rsid w:val="007F78EF"/>
    <w:rsid w:val="007F7BBE"/>
    <w:rsid w:val="007F7F25"/>
    <w:rsid w:val="007F7F88"/>
    <w:rsid w:val="00800735"/>
    <w:rsid w:val="00800A2D"/>
    <w:rsid w:val="00800BAC"/>
    <w:rsid w:val="008015CE"/>
    <w:rsid w:val="00801B69"/>
    <w:rsid w:val="00801C5F"/>
    <w:rsid w:val="00801DA8"/>
    <w:rsid w:val="00801F3A"/>
    <w:rsid w:val="00802468"/>
    <w:rsid w:val="00802470"/>
    <w:rsid w:val="00802818"/>
    <w:rsid w:val="00802921"/>
    <w:rsid w:val="00802C4F"/>
    <w:rsid w:val="00802E2C"/>
    <w:rsid w:val="008031EA"/>
    <w:rsid w:val="008032AB"/>
    <w:rsid w:val="008033EA"/>
    <w:rsid w:val="008034F1"/>
    <w:rsid w:val="00803AA5"/>
    <w:rsid w:val="00803EC8"/>
    <w:rsid w:val="00803FD8"/>
    <w:rsid w:val="00804302"/>
    <w:rsid w:val="0080458B"/>
    <w:rsid w:val="00804B58"/>
    <w:rsid w:val="00804DF5"/>
    <w:rsid w:val="00804ED9"/>
    <w:rsid w:val="00804F21"/>
    <w:rsid w:val="00805208"/>
    <w:rsid w:val="00805250"/>
    <w:rsid w:val="008056BD"/>
    <w:rsid w:val="00805998"/>
    <w:rsid w:val="008068BD"/>
    <w:rsid w:val="00806A9A"/>
    <w:rsid w:val="00806C78"/>
    <w:rsid w:val="00806D7B"/>
    <w:rsid w:val="00806EC1"/>
    <w:rsid w:val="00807A4B"/>
    <w:rsid w:val="00807D7E"/>
    <w:rsid w:val="00810589"/>
    <w:rsid w:val="0081071A"/>
    <w:rsid w:val="0081089A"/>
    <w:rsid w:val="00810F5D"/>
    <w:rsid w:val="0081107E"/>
    <w:rsid w:val="008110EF"/>
    <w:rsid w:val="00811159"/>
    <w:rsid w:val="0081132D"/>
    <w:rsid w:val="00811CB0"/>
    <w:rsid w:val="00811CB5"/>
    <w:rsid w:val="008121DF"/>
    <w:rsid w:val="00812312"/>
    <w:rsid w:val="00812A46"/>
    <w:rsid w:val="00812BFE"/>
    <w:rsid w:val="00812D0C"/>
    <w:rsid w:val="00812E59"/>
    <w:rsid w:val="00812E5E"/>
    <w:rsid w:val="00812FD7"/>
    <w:rsid w:val="008132AD"/>
    <w:rsid w:val="008132B9"/>
    <w:rsid w:val="008136E8"/>
    <w:rsid w:val="00813A89"/>
    <w:rsid w:val="00813FF2"/>
    <w:rsid w:val="00814264"/>
    <w:rsid w:val="008143E3"/>
    <w:rsid w:val="00814CB0"/>
    <w:rsid w:val="00814E1F"/>
    <w:rsid w:val="00814FE3"/>
    <w:rsid w:val="00815285"/>
    <w:rsid w:val="00815899"/>
    <w:rsid w:val="008163BE"/>
    <w:rsid w:val="00816400"/>
    <w:rsid w:val="0081663C"/>
    <w:rsid w:val="00817861"/>
    <w:rsid w:val="00817E05"/>
    <w:rsid w:val="008200F2"/>
    <w:rsid w:val="00820631"/>
    <w:rsid w:val="00820AB4"/>
    <w:rsid w:val="00820CD7"/>
    <w:rsid w:val="00820D8A"/>
    <w:rsid w:val="00820D95"/>
    <w:rsid w:val="0082129F"/>
    <w:rsid w:val="008214FB"/>
    <w:rsid w:val="00821A0A"/>
    <w:rsid w:val="008221BD"/>
    <w:rsid w:val="00822361"/>
    <w:rsid w:val="00822494"/>
    <w:rsid w:val="0082264B"/>
    <w:rsid w:val="008229B8"/>
    <w:rsid w:val="00822C27"/>
    <w:rsid w:val="008231D8"/>
    <w:rsid w:val="0082332B"/>
    <w:rsid w:val="008237EF"/>
    <w:rsid w:val="008238B0"/>
    <w:rsid w:val="00823AFF"/>
    <w:rsid w:val="00823B52"/>
    <w:rsid w:val="00823C30"/>
    <w:rsid w:val="0082410E"/>
    <w:rsid w:val="0082462B"/>
    <w:rsid w:val="00824A90"/>
    <w:rsid w:val="008250C6"/>
    <w:rsid w:val="00825217"/>
    <w:rsid w:val="0082523A"/>
    <w:rsid w:val="008255D4"/>
    <w:rsid w:val="00826143"/>
    <w:rsid w:val="008261D5"/>
    <w:rsid w:val="0082660D"/>
    <w:rsid w:val="00826B1D"/>
    <w:rsid w:val="00826BEF"/>
    <w:rsid w:val="00826E89"/>
    <w:rsid w:val="00827346"/>
    <w:rsid w:val="00827384"/>
    <w:rsid w:val="0082768E"/>
    <w:rsid w:val="00827F5C"/>
    <w:rsid w:val="008302E8"/>
    <w:rsid w:val="00830347"/>
    <w:rsid w:val="00830E0B"/>
    <w:rsid w:val="008319BE"/>
    <w:rsid w:val="0083258B"/>
    <w:rsid w:val="008325BD"/>
    <w:rsid w:val="0083269E"/>
    <w:rsid w:val="00832BD1"/>
    <w:rsid w:val="00832EAC"/>
    <w:rsid w:val="00832FA8"/>
    <w:rsid w:val="00833246"/>
    <w:rsid w:val="00833409"/>
    <w:rsid w:val="008334AD"/>
    <w:rsid w:val="00833EE6"/>
    <w:rsid w:val="00834243"/>
    <w:rsid w:val="008342E1"/>
    <w:rsid w:val="00834404"/>
    <w:rsid w:val="0083460A"/>
    <w:rsid w:val="00834709"/>
    <w:rsid w:val="00835105"/>
    <w:rsid w:val="0083549D"/>
    <w:rsid w:val="008354A4"/>
    <w:rsid w:val="00835D43"/>
    <w:rsid w:val="00836AED"/>
    <w:rsid w:val="00836CC8"/>
    <w:rsid w:val="00836DE4"/>
    <w:rsid w:val="008377AF"/>
    <w:rsid w:val="00837A3C"/>
    <w:rsid w:val="00840122"/>
    <w:rsid w:val="008401B0"/>
    <w:rsid w:val="008402B0"/>
    <w:rsid w:val="00840723"/>
    <w:rsid w:val="00840CE5"/>
    <w:rsid w:val="00841122"/>
    <w:rsid w:val="008412B4"/>
    <w:rsid w:val="008415FB"/>
    <w:rsid w:val="008418B9"/>
    <w:rsid w:val="00841D9C"/>
    <w:rsid w:val="008424A6"/>
    <w:rsid w:val="00842653"/>
    <w:rsid w:val="00842BC4"/>
    <w:rsid w:val="00842BD6"/>
    <w:rsid w:val="00842C0D"/>
    <w:rsid w:val="00842C55"/>
    <w:rsid w:val="00842F8D"/>
    <w:rsid w:val="008436D9"/>
    <w:rsid w:val="00843896"/>
    <w:rsid w:val="00843B0F"/>
    <w:rsid w:val="00843CB4"/>
    <w:rsid w:val="00844047"/>
    <w:rsid w:val="008445B2"/>
    <w:rsid w:val="008447FF"/>
    <w:rsid w:val="008449E4"/>
    <w:rsid w:val="00844A8F"/>
    <w:rsid w:val="00844ADD"/>
    <w:rsid w:val="008451EB"/>
    <w:rsid w:val="008452AA"/>
    <w:rsid w:val="0084580E"/>
    <w:rsid w:val="00845FEA"/>
    <w:rsid w:val="00846358"/>
    <w:rsid w:val="00846BD9"/>
    <w:rsid w:val="0084731E"/>
    <w:rsid w:val="00847428"/>
    <w:rsid w:val="0084750E"/>
    <w:rsid w:val="0084770F"/>
    <w:rsid w:val="0085058D"/>
    <w:rsid w:val="0085063C"/>
    <w:rsid w:val="00850C16"/>
    <w:rsid w:val="00850FA2"/>
    <w:rsid w:val="008516AD"/>
    <w:rsid w:val="0085189C"/>
    <w:rsid w:val="008518B8"/>
    <w:rsid w:val="00851980"/>
    <w:rsid w:val="00851D17"/>
    <w:rsid w:val="00851D91"/>
    <w:rsid w:val="00851FD3"/>
    <w:rsid w:val="008522E6"/>
    <w:rsid w:val="008527C2"/>
    <w:rsid w:val="0085332A"/>
    <w:rsid w:val="00853676"/>
    <w:rsid w:val="00853D5A"/>
    <w:rsid w:val="00854199"/>
    <w:rsid w:val="0085435C"/>
    <w:rsid w:val="00854508"/>
    <w:rsid w:val="00854604"/>
    <w:rsid w:val="00854885"/>
    <w:rsid w:val="00854BCD"/>
    <w:rsid w:val="008550B6"/>
    <w:rsid w:val="0085542B"/>
    <w:rsid w:val="00855804"/>
    <w:rsid w:val="00855932"/>
    <w:rsid w:val="00855B06"/>
    <w:rsid w:val="00855D67"/>
    <w:rsid w:val="00855E4F"/>
    <w:rsid w:val="00855F0B"/>
    <w:rsid w:val="008565BA"/>
    <w:rsid w:val="00856945"/>
    <w:rsid w:val="0085699F"/>
    <w:rsid w:val="00856AEE"/>
    <w:rsid w:val="00856B70"/>
    <w:rsid w:val="0085704C"/>
    <w:rsid w:val="008571F0"/>
    <w:rsid w:val="00857539"/>
    <w:rsid w:val="00857748"/>
    <w:rsid w:val="00857758"/>
    <w:rsid w:val="0085775E"/>
    <w:rsid w:val="00857BBF"/>
    <w:rsid w:val="00857E99"/>
    <w:rsid w:val="00857FF0"/>
    <w:rsid w:val="00860309"/>
    <w:rsid w:val="0086039A"/>
    <w:rsid w:val="008607B5"/>
    <w:rsid w:val="00860993"/>
    <w:rsid w:val="00860DE8"/>
    <w:rsid w:val="00860F4D"/>
    <w:rsid w:val="0086121D"/>
    <w:rsid w:val="008612A1"/>
    <w:rsid w:val="008615DE"/>
    <w:rsid w:val="00861D79"/>
    <w:rsid w:val="008621AD"/>
    <w:rsid w:val="00862408"/>
    <w:rsid w:val="00862447"/>
    <w:rsid w:val="00862648"/>
    <w:rsid w:val="00862790"/>
    <w:rsid w:val="00862E9A"/>
    <w:rsid w:val="0086332B"/>
    <w:rsid w:val="0086351B"/>
    <w:rsid w:val="00863794"/>
    <w:rsid w:val="00863A50"/>
    <w:rsid w:val="00863AAE"/>
    <w:rsid w:val="00863F15"/>
    <w:rsid w:val="00864113"/>
    <w:rsid w:val="00864720"/>
    <w:rsid w:val="0086477F"/>
    <w:rsid w:val="00864942"/>
    <w:rsid w:val="00864C5E"/>
    <w:rsid w:val="00865402"/>
    <w:rsid w:val="008656A1"/>
    <w:rsid w:val="00865F9F"/>
    <w:rsid w:val="00866111"/>
    <w:rsid w:val="008664C6"/>
    <w:rsid w:val="008665D6"/>
    <w:rsid w:val="00866738"/>
    <w:rsid w:val="0086674E"/>
    <w:rsid w:val="00866B53"/>
    <w:rsid w:val="00866B6E"/>
    <w:rsid w:val="008670C6"/>
    <w:rsid w:val="00867144"/>
    <w:rsid w:val="00867979"/>
    <w:rsid w:val="00867BD9"/>
    <w:rsid w:val="00870303"/>
    <w:rsid w:val="0087065F"/>
    <w:rsid w:val="00870D4F"/>
    <w:rsid w:val="00870E79"/>
    <w:rsid w:val="00871580"/>
    <w:rsid w:val="00871824"/>
    <w:rsid w:val="00871AB6"/>
    <w:rsid w:val="00871E8F"/>
    <w:rsid w:val="00872EF4"/>
    <w:rsid w:val="008733BC"/>
    <w:rsid w:val="008733D3"/>
    <w:rsid w:val="00873B20"/>
    <w:rsid w:val="00873BEA"/>
    <w:rsid w:val="00873DD4"/>
    <w:rsid w:val="00873EFE"/>
    <w:rsid w:val="0087421A"/>
    <w:rsid w:val="008743A8"/>
    <w:rsid w:val="00874D58"/>
    <w:rsid w:val="00874E89"/>
    <w:rsid w:val="008751CC"/>
    <w:rsid w:val="00875A21"/>
    <w:rsid w:val="00875B2F"/>
    <w:rsid w:val="00875DDD"/>
    <w:rsid w:val="00875F32"/>
    <w:rsid w:val="0087604A"/>
    <w:rsid w:val="00876060"/>
    <w:rsid w:val="008760F9"/>
    <w:rsid w:val="008763A0"/>
    <w:rsid w:val="00876E37"/>
    <w:rsid w:val="00877AB8"/>
    <w:rsid w:val="00877F87"/>
    <w:rsid w:val="00880B6F"/>
    <w:rsid w:val="00880EDE"/>
    <w:rsid w:val="00881042"/>
    <w:rsid w:val="008818C3"/>
    <w:rsid w:val="008827CA"/>
    <w:rsid w:val="008827EE"/>
    <w:rsid w:val="0088319D"/>
    <w:rsid w:val="00883707"/>
    <w:rsid w:val="00883714"/>
    <w:rsid w:val="008839BF"/>
    <w:rsid w:val="0088404F"/>
    <w:rsid w:val="008842DB"/>
    <w:rsid w:val="0088449D"/>
    <w:rsid w:val="008846ED"/>
    <w:rsid w:val="0088478A"/>
    <w:rsid w:val="0088497B"/>
    <w:rsid w:val="00884DEA"/>
    <w:rsid w:val="00885035"/>
    <w:rsid w:val="008853C2"/>
    <w:rsid w:val="00885492"/>
    <w:rsid w:val="00885BC4"/>
    <w:rsid w:val="00885D3A"/>
    <w:rsid w:val="00885F32"/>
    <w:rsid w:val="00886C7B"/>
    <w:rsid w:val="0088703A"/>
    <w:rsid w:val="0088706E"/>
    <w:rsid w:val="0088728B"/>
    <w:rsid w:val="008873A5"/>
    <w:rsid w:val="008874F5"/>
    <w:rsid w:val="00887C9E"/>
    <w:rsid w:val="00887FFA"/>
    <w:rsid w:val="00890086"/>
    <w:rsid w:val="008903B0"/>
    <w:rsid w:val="008904A8"/>
    <w:rsid w:val="008907B8"/>
    <w:rsid w:val="008909A0"/>
    <w:rsid w:val="00890C77"/>
    <w:rsid w:val="0089181E"/>
    <w:rsid w:val="00891C3D"/>
    <w:rsid w:val="00892022"/>
    <w:rsid w:val="008921BD"/>
    <w:rsid w:val="008923F0"/>
    <w:rsid w:val="00892806"/>
    <w:rsid w:val="0089298B"/>
    <w:rsid w:val="00892A5F"/>
    <w:rsid w:val="00892BE0"/>
    <w:rsid w:val="00892E07"/>
    <w:rsid w:val="00892EDD"/>
    <w:rsid w:val="0089336E"/>
    <w:rsid w:val="0089355C"/>
    <w:rsid w:val="0089370D"/>
    <w:rsid w:val="00893746"/>
    <w:rsid w:val="008939AD"/>
    <w:rsid w:val="00894453"/>
    <w:rsid w:val="00894660"/>
    <w:rsid w:val="00894B77"/>
    <w:rsid w:val="00894B8E"/>
    <w:rsid w:val="00894BCF"/>
    <w:rsid w:val="00894DEB"/>
    <w:rsid w:val="008964E1"/>
    <w:rsid w:val="00896504"/>
    <w:rsid w:val="00896514"/>
    <w:rsid w:val="008965CD"/>
    <w:rsid w:val="008966F7"/>
    <w:rsid w:val="008967EA"/>
    <w:rsid w:val="00896992"/>
    <w:rsid w:val="0089699E"/>
    <w:rsid w:val="00896BAF"/>
    <w:rsid w:val="00896D79"/>
    <w:rsid w:val="0089713E"/>
    <w:rsid w:val="0089714E"/>
    <w:rsid w:val="0089725A"/>
    <w:rsid w:val="00897E42"/>
    <w:rsid w:val="008A06E4"/>
    <w:rsid w:val="008A121E"/>
    <w:rsid w:val="008A1340"/>
    <w:rsid w:val="008A173B"/>
    <w:rsid w:val="008A198D"/>
    <w:rsid w:val="008A246E"/>
    <w:rsid w:val="008A2525"/>
    <w:rsid w:val="008A3555"/>
    <w:rsid w:val="008A3604"/>
    <w:rsid w:val="008A3645"/>
    <w:rsid w:val="008A3888"/>
    <w:rsid w:val="008A3BB1"/>
    <w:rsid w:val="008A3DB2"/>
    <w:rsid w:val="008A3E49"/>
    <w:rsid w:val="008A4331"/>
    <w:rsid w:val="008A44AD"/>
    <w:rsid w:val="008A4614"/>
    <w:rsid w:val="008A4903"/>
    <w:rsid w:val="008A4A91"/>
    <w:rsid w:val="008A4CEB"/>
    <w:rsid w:val="008A4D31"/>
    <w:rsid w:val="008A52A6"/>
    <w:rsid w:val="008A5453"/>
    <w:rsid w:val="008A5B8A"/>
    <w:rsid w:val="008A5DD8"/>
    <w:rsid w:val="008A616B"/>
    <w:rsid w:val="008A624C"/>
    <w:rsid w:val="008A66CD"/>
    <w:rsid w:val="008A6771"/>
    <w:rsid w:val="008A69FB"/>
    <w:rsid w:val="008A70F0"/>
    <w:rsid w:val="008A7323"/>
    <w:rsid w:val="008A743E"/>
    <w:rsid w:val="008A74E2"/>
    <w:rsid w:val="008A7597"/>
    <w:rsid w:val="008A7871"/>
    <w:rsid w:val="008B07B3"/>
    <w:rsid w:val="008B0F80"/>
    <w:rsid w:val="008B106C"/>
    <w:rsid w:val="008B1135"/>
    <w:rsid w:val="008B151F"/>
    <w:rsid w:val="008B1534"/>
    <w:rsid w:val="008B1FCA"/>
    <w:rsid w:val="008B2571"/>
    <w:rsid w:val="008B2ECF"/>
    <w:rsid w:val="008B3129"/>
    <w:rsid w:val="008B36C1"/>
    <w:rsid w:val="008B40C6"/>
    <w:rsid w:val="008B43E8"/>
    <w:rsid w:val="008B4420"/>
    <w:rsid w:val="008B45CD"/>
    <w:rsid w:val="008B4D8A"/>
    <w:rsid w:val="008B54F2"/>
    <w:rsid w:val="008B59CB"/>
    <w:rsid w:val="008B5B2A"/>
    <w:rsid w:val="008B6144"/>
    <w:rsid w:val="008B694A"/>
    <w:rsid w:val="008B6BEA"/>
    <w:rsid w:val="008B6C66"/>
    <w:rsid w:val="008B6D03"/>
    <w:rsid w:val="008B7403"/>
    <w:rsid w:val="008B74C4"/>
    <w:rsid w:val="008B77DB"/>
    <w:rsid w:val="008B7CF2"/>
    <w:rsid w:val="008C00ED"/>
    <w:rsid w:val="008C0100"/>
    <w:rsid w:val="008C063C"/>
    <w:rsid w:val="008C0CBA"/>
    <w:rsid w:val="008C0DF6"/>
    <w:rsid w:val="008C0F8C"/>
    <w:rsid w:val="008C1351"/>
    <w:rsid w:val="008C13D4"/>
    <w:rsid w:val="008C1588"/>
    <w:rsid w:val="008C1832"/>
    <w:rsid w:val="008C1837"/>
    <w:rsid w:val="008C19AC"/>
    <w:rsid w:val="008C22E1"/>
    <w:rsid w:val="008C2520"/>
    <w:rsid w:val="008C26A0"/>
    <w:rsid w:val="008C290A"/>
    <w:rsid w:val="008C2A2B"/>
    <w:rsid w:val="008C2A62"/>
    <w:rsid w:val="008C2AA9"/>
    <w:rsid w:val="008C2BCB"/>
    <w:rsid w:val="008C2CAB"/>
    <w:rsid w:val="008C308F"/>
    <w:rsid w:val="008C30CF"/>
    <w:rsid w:val="008C323B"/>
    <w:rsid w:val="008C3FD5"/>
    <w:rsid w:val="008C443B"/>
    <w:rsid w:val="008C48E1"/>
    <w:rsid w:val="008C4933"/>
    <w:rsid w:val="008C4DF1"/>
    <w:rsid w:val="008C50B2"/>
    <w:rsid w:val="008C50ED"/>
    <w:rsid w:val="008C5276"/>
    <w:rsid w:val="008C55B5"/>
    <w:rsid w:val="008C56E5"/>
    <w:rsid w:val="008C5997"/>
    <w:rsid w:val="008C5CDF"/>
    <w:rsid w:val="008C5E07"/>
    <w:rsid w:val="008C65CC"/>
    <w:rsid w:val="008C6E0C"/>
    <w:rsid w:val="008C7086"/>
    <w:rsid w:val="008C7171"/>
    <w:rsid w:val="008C71B9"/>
    <w:rsid w:val="008C72CE"/>
    <w:rsid w:val="008C779C"/>
    <w:rsid w:val="008C7F07"/>
    <w:rsid w:val="008D0431"/>
    <w:rsid w:val="008D0823"/>
    <w:rsid w:val="008D083D"/>
    <w:rsid w:val="008D0BA1"/>
    <w:rsid w:val="008D0BD5"/>
    <w:rsid w:val="008D0EFA"/>
    <w:rsid w:val="008D11D9"/>
    <w:rsid w:val="008D18B2"/>
    <w:rsid w:val="008D1985"/>
    <w:rsid w:val="008D1DDB"/>
    <w:rsid w:val="008D206E"/>
    <w:rsid w:val="008D2307"/>
    <w:rsid w:val="008D262A"/>
    <w:rsid w:val="008D262F"/>
    <w:rsid w:val="008D2674"/>
    <w:rsid w:val="008D27BE"/>
    <w:rsid w:val="008D2C60"/>
    <w:rsid w:val="008D3268"/>
    <w:rsid w:val="008D449E"/>
    <w:rsid w:val="008D47C4"/>
    <w:rsid w:val="008D4CF9"/>
    <w:rsid w:val="008D4D75"/>
    <w:rsid w:val="008D4E8B"/>
    <w:rsid w:val="008D58A3"/>
    <w:rsid w:val="008D5E57"/>
    <w:rsid w:val="008D5F58"/>
    <w:rsid w:val="008D6C06"/>
    <w:rsid w:val="008D6D01"/>
    <w:rsid w:val="008D6E0D"/>
    <w:rsid w:val="008E00E4"/>
    <w:rsid w:val="008E023F"/>
    <w:rsid w:val="008E0397"/>
    <w:rsid w:val="008E041F"/>
    <w:rsid w:val="008E0D02"/>
    <w:rsid w:val="008E0EA8"/>
    <w:rsid w:val="008E0F6C"/>
    <w:rsid w:val="008E1078"/>
    <w:rsid w:val="008E10DF"/>
    <w:rsid w:val="008E118A"/>
    <w:rsid w:val="008E11A2"/>
    <w:rsid w:val="008E1253"/>
    <w:rsid w:val="008E1541"/>
    <w:rsid w:val="008E15EB"/>
    <w:rsid w:val="008E1792"/>
    <w:rsid w:val="008E1950"/>
    <w:rsid w:val="008E1CF5"/>
    <w:rsid w:val="008E203B"/>
    <w:rsid w:val="008E2212"/>
    <w:rsid w:val="008E2258"/>
    <w:rsid w:val="008E27FA"/>
    <w:rsid w:val="008E2882"/>
    <w:rsid w:val="008E289C"/>
    <w:rsid w:val="008E2AFD"/>
    <w:rsid w:val="008E2B3A"/>
    <w:rsid w:val="008E2D5E"/>
    <w:rsid w:val="008E3DDF"/>
    <w:rsid w:val="008E3EA3"/>
    <w:rsid w:val="008E3F86"/>
    <w:rsid w:val="008E404A"/>
    <w:rsid w:val="008E43E0"/>
    <w:rsid w:val="008E449F"/>
    <w:rsid w:val="008E4625"/>
    <w:rsid w:val="008E4866"/>
    <w:rsid w:val="008E4C35"/>
    <w:rsid w:val="008E4E35"/>
    <w:rsid w:val="008E5282"/>
    <w:rsid w:val="008E5584"/>
    <w:rsid w:val="008E593B"/>
    <w:rsid w:val="008E5C83"/>
    <w:rsid w:val="008E5E01"/>
    <w:rsid w:val="008E5E8A"/>
    <w:rsid w:val="008E6021"/>
    <w:rsid w:val="008E7877"/>
    <w:rsid w:val="008E78CB"/>
    <w:rsid w:val="008E7C53"/>
    <w:rsid w:val="008E7E28"/>
    <w:rsid w:val="008E7EB9"/>
    <w:rsid w:val="008F0034"/>
    <w:rsid w:val="008F06F7"/>
    <w:rsid w:val="008F07BF"/>
    <w:rsid w:val="008F08FF"/>
    <w:rsid w:val="008F0947"/>
    <w:rsid w:val="008F0BF3"/>
    <w:rsid w:val="008F16B6"/>
    <w:rsid w:val="008F18F7"/>
    <w:rsid w:val="008F1D63"/>
    <w:rsid w:val="008F2413"/>
    <w:rsid w:val="008F294A"/>
    <w:rsid w:val="008F2A82"/>
    <w:rsid w:val="008F2E13"/>
    <w:rsid w:val="008F316A"/>
    <w:rsid w:val="008F3545"/>
    <w:rsid w:val="008F3571"/>
    <w:rsid w:val="008F35F0"/>
    <w:rsid w:val="008F3C75"/>
    <w:rsid w:val="008F3EA0"/>
    <w:rsid w:val="008F51F6"/>
    <w:rsid w:val="008F5384"/>
    <w:rsid w:val="008F57CF"/>
    <w:rsid w:val="008F5BC2"/>
    <w:rsid w:val="008F5C89"/>
    <w:rsid w:val="008F5FC0"/>
    <w:rsid w:val="008F60B3"/>
    <w:rsid w:val="008F620F"/>
    <w:rsid w:val="008F6593"/>
    <w:rsid w:val="008F65D2"/>
    <w:rsid w:val="008F6E6F"/>
    <w:rsid w:val="008F76CB"/>
    <w:rsid w:val="008F7A05"/>
    <w:rsid w:val="008F7C89"/>
    <w:rsid w:val="009004D1"/>
    <w:rsid w:val="009008E4"/>
    <w:rsid w:val="00900AC8"/>
    <w:rsid w:val="00900D41"/>
    <w:rsid w:val="00900FFC"/>
    <w:rsid w:val="0090130D"/>
    <w:rsid w:val="00901407"/>
    <w:rsid w:val="00901450"/>
    <w:rsid w:val="009018B1"/>
    <w:rsid w:val="00901A98"/>
    <w:rsid w:val="00902124"/>
    <w:rsid w:val="00902271"/>
    <w:rsid w:val="00902747"/>
    <w:rsid w:val="009027F1"/>
    <w:rsid w:val="009028CC"/>
    <w:rsid w:val="009029E6"/>
    <w:rsid w:val="00902CE9"/>
    <w:rsid w:val="0090346C"/>
    <w:rsid w:val="009036D4"/>
    <w:rsid w:val="00903711"/>
    <w:rsid w:val="009039C3"/>
    <w:rsid w:val="009041A6"/>
    <w:rsid w:val="009054FB"/>
    <w:rsid w:val="009055E0"/>
    <w:rsid w:val="00906765"/>
    <w:rsid w:val="00907164"/>
    <w:rsid w:val="00907439"/>
    <w:rsid w:val="00907FB9"/>
    <w:rsid w:val="009108F9"/>
    <w:rsid w:val="00910A11"/>
    <w:rsid w:val="00910A84"/>
    <w:rsid w:val="00910E01"/>
    <w:rsid w:val="0091127B"/>
    <w:rsid w:val="0091127C"/>
    <w:rsid w:val="00911563"/>
    <w:rsid w:val="00911997"/>
    <w:rsid w:val="00911A07"/>
    <w:rsid w:val="00911B46"/>
    <w:rsid w:val="009123F5"/>
    <w:rsid w:val="00912F95"/>
    <w:rsid w:val="009135DE"/>
    <w:rsid w:val="00914463"/>
    <w:rsid w:val="00914725"/>
    <w:rsid w:val="009148DA"/>
    <w:rsid w:val="00915466"/>
    <w:rsid w:val="0091583B"/>
    <w:rsid w:val="00915B02"/>
    <w:rsid w:val="00915B6C"/>
    <w:rsid w:val="00916010"/>
    <w:rsid w:val="00916196"/>
    <w:rsid w:val="009161B1"/>
    <w:rsid w:val="009161DC"/>
    <w:rsid w:val="009162EA"/>
    <w:rsid w:val="0091635C"/>
    <w:rsid w:val="00916411"/>
    <w:rsid w:val="009164F5"/>
    <w:rsid w:val="00916523"/>
    <w:rsid w:val="009171EA"/>
    <w:rsid w:val="009174D2"/>
    <w:rsid w:val="009178BE"/>
    <w:rsid w:val="00917C60"/>
    <w:rsid w:val="00917C99"/>
    <w:rsid w:val="00917F2A"/>
    <w:rsid w:val="0092010F"/>
    <w:rsid w:val="0092018E"/>
    <w:rsid w:val="00920211"/>
    <w:rsid w:val="0092082B"/>
    <w:rsid w:val="009209CD"/>
    <w:rsid w:val="00921047"/>
    <w:rsid w:val="009212E8"/>
    <w:rsid w:val="009213B0"/>
    <w:rsid w:val="009217E5"/>
    <w:rsid w:val="009219AD"/>
    <w:rsid w:val="00921A40"/>
    <w:rsid w:val="00921DAF"/>
    <w:rsid w:val="00921F23"/>
    <w:rsid w:val="00921F71"/>
    <w:rsid w:val="00922273"/>
    <w:rsid w:val="00922353"/>
    <w:rsid w:val="00922364"/>
    <w:rsid w:val="00922511"/>
    <w:rsid w:val="009229E6"/>
    <w:rsid w:val="00922EE8"/>
    <w:rsid w:val="00923063"/>
    <w:rsid w:val="009230DD"/>
    <w:rsid w:val="009231AB"/>
    <w:rsid w:val="00923349"/>
    <w:rsid w:val="0092345E"/>
    <w:rsid w:val="009234F6"/>
    <w:rsid w:val="009239FC"/>
    <w:rsid w:val="00924135"/>
    <w:rsid w:val="00924353"/>
    <w:rsid w:val="009243AC"/>
    <w:rsid w:val="00924BAC"/>
    <w:rsid w:val="00924FD0"/>
    <w:rsid w:val="00925FD2"/>
    <w:rsid w:val="00926072"/>
    <w:rsid w:val="009263F6"/>
    <w:rsid w:val="009264D3"/>
    <w:rsid w:val="00926744"/>
    <w:rsid w:val="0092686E"/>
    <w:rsid w:val="009269C1"/>
    <w:rsid w:val="00926B9A"/>
    <w:rsid w:val="00926DE6"/>
    <w:rsid w:val="0092764F"/>
    <w:rsid w:val="00927C2E"/>
    <w:rsid w:val="00927EE7"/>
    <w:rsid w:val="00930707"/>
    <w:rsid w:val="009309E6"/>
    <w:rsid w:val="00930F2F"/>
    <w:rsid w:val="00930F91"/>
    <w:rsid w:val="00931180"/>
    <w:rsid w:val="00931429"/>
    <w:rsid w:val="00931657"/>
    <w:rsid w:val="009318F5"/>
    <w:rsid w:val="00931AE1"/>
    <w:rsid w:val="00931CC2"/>
    <w:rsid w:val="00931DA1"/>
    <w:rsid w:val="00931F1E"/>
    <w:rsid w:val="00932089"/>
    <w:rsid w:val="009322F3"/>
    <w:rsid w:val="0093247C"/>
    <w:rsid w:val="009329EC"/>
    <w:rsid w:val="00932DF1"/>
    <w:rsid w:val="00932F49"/>
    <w:rsid w:val="00933209"/>
    <w:rsid w:val="0093321A"/>
    <w:rsid w:val="009335FB"/>
    <w:rsid w:val="009336E2"/>
    <w:rsid w:val="009337EA"/>
    <w:rsid w:val="0093395A"/>
    <w:rsid w:val="0093397B"/>
    <w:rsid w:val="00933E29"/>
    <w:rsid w:val="009342BB"/>
    <w:rsid w:val="00935864"/>
    <w:rsid w:val="00935E3C"/>
    <w:rsid w:val="009363B6"/>
    <w:rsid w:val="009366FA"/>
    <w:rsid w:val="00936E0C"/>
    <w:rsid w:val="009408B0"/>
    <w:rsid w:val="00940B63"/>
    <w:rsid w:val="00940E4F"/>
    <w:rsid w:val="0094105D"/>
    <w:rsid w:val="009414FA"/>
    <w:rsid w:val="00941538"/>
    <w:rsid w:val="009417BE"/>
    <w:rsid w:val="00941C89"/>
    <w:rsid w:val="00942467"/>
    <w:rsid w:val="00942D44"/>
    <w:rsid w:val="00942E66"/>
    <w:rsid w:val="00943017"/>
    <w:rsid w:val="009430DF"/>
    <w:rsid w:val="009434E4"/>
    <w:rsid w:val="00943719"/>
    <w:rsid w:val="009437CD"/>
    <w:rsid w:val="009441C1"/>
    <w:rsid w:val="00944290"/>
    <w:rsid w:val="00944631"/>
    <w:rsid w:val="00944972"/>
    <w:rsid w:val="009450B8"/>
    <w:rsid w:val="00945A79"/>
    <w:rsid w:val="00945CAE"/>
    <w:rsid w:val="00945D19"/>
    <w:rsid w:val="00945F45"/>
    <w:rsid w:val="009460A5"/>
    <w:rsid w:val="0094635E"/>
    <w:rsid w:val="009465AB"/>
    <w:rsid w:val="00946662"/>
    <w:rsid w:val="009469E5"/>
    <w:rsid w:val="00946A63"/>
    <w:rsid w:val="00946CD4"/>
    <w:rsid w:val="00946D92"/>
    <w:rsid w:val="00946EB9"/>
    <w:rsid w:val="00946FCF"/>
    <w:rsid w:val="00947651"/>
    <w:rsid w:val="0094766E"/>
    <w:rsid w:val="00947714"/>
    <w:rsid w:val="00947988"/>
    <w:rsid w:val="009503B6"/>
    <w:rsid w:val="00950496"/>
    <w:rsid w:val="00950563"/>
    <w:rsid w:val="00950578"/>
    <w:rsid w:val="00950C56"/>
    <w:rsid w:val="00950DEA"/>
    <w:rsid w:val="00950E19"/>
    <w:rsid w:val="00950EE0"/>
    <w:rsid w:val="00950EE9"/>
    <w:rsid w:val="009513B7"/>
    <w:rsid w:val="00951B92"/>
    <w:rsid w:val="00951C53"/>
    <w:rsid w:val="00951EDB"/>
    <w:rsid w:val="00952782"/>
    <w:rsid w:val="009527CE"/>
    <w:rsid w:val="0095293B"/>
    <w:rsid w:val="00952DCF"/>
    <w:rsid w:val="00952F1A"/>
    <w:rsid w:val="00953054"/>
    <w:rsid w:val="00953A94"/>
    <w:rsid w:val="00953D4E"/>
    <w:rsid w:val="00953FD5"/>
    <w:rsid w:val="00953FF5"/>
    <w:rsid w:val="00954507"/>
    <w:rsid w:val="009545BB"/>
    <w:rsid w:val="0095470C"/>
    <w:rsid w:val="0095498C"/>
    <w:rsid w:val="00954A9F"/>
    <w:rsid w:val="00954EC7"/>
    <w:rsid w:val="00954F9F"/>
    <w:rsid w:val="0095508D"/>
    <w:rsid w:val="009557AC"/>
    <w:rsid w:val="00956151"/>
    <w:rsid w:val="009561D1"/>
    <w:rsid w:val="00956404"/>
    <w:rsid w:val="009566D9"/>
    <w:rsid w:val="009575D7"/>
    <w:rsid w:val="00957B23"/>
    <w:rsid w:val="00957E63"/>
    <w:rsid w:val="0096021F"/>
    <w:rsid w:val="00960286"/>
    <w:rsid w:val="00960D1F"/>
    <w:rsid w:val="00960E5C"/>
    <w:rsid w:val="00961203"/>
    <w:rsid w:val="0096126A"/>
    <w:rsid w:val="00961521"/>
    <w:rsid w:val="009621C2"/>
    <w:rsid w:val="009624DC"/>
    <w:rsid w:val="00962616"/>
    <w:rsid w:val="009629C0"/>
    <w:rsid w:val="00962E0A"/>
    <w:rsid w:val="009631F6"/>
    <w:rsid w:val="009632F7"/>
    <w:rsid w:val="00963510"/>
    <w:rsid w:val="00963605"/>
    <w:rsid w:val="00963865"/>
    <w:rsid w:val="00963A57"/>
    <w:rsid w:val="00963D7A"/>
    <w:rsid w:val="009643D5"/>
    <w:rsid w:val="009647D0"/>
    <w:rsid w:val="00964C95"/>
    <w:rsid w:val="009651FE"/>
    <w:rsid w:val="0096524C"/>
    <w:rsid w:val="0096529A"/>
    <w:rsid w:val="00965395"/>
    <w:rsid w:val="00965489"/>
    <w:rsid w:val="009659F5"/>
    <w:rsid w:val="00965AF7"/>
    <w:rsid w:val="009662E0"/>
    <w:rsid w:val="0096634A"/>
    <w:rsid w:val="00966449"/>
    <w:rsid w:val="00966686"/>
    <w:rsid w:val="00966832"/>
    <w:rsid w:val="00966979"/>
    <w:rsid w:val="00966A6C"/>
    <w:rsid w:val="00966AB3"/>
    <w:rsid w:val="00967062"/>
    <w:rsid w:val="00967083"/>
    <w:rsid w:val="0096714F"/>
    <w:rsid w:val="009674D3"/>
    <w:rsid w:val="00967672"/>
    <w:rsid w:val="00967865"/>
    <w:rsid w:val="009700D2"/>
    <w:rsid w:val="00970337"/>
    <w:rsid w:val="0097063E"/>
    <w:rsid w:val="00970667"/>
    <w:rsid w:val="009706CC"/>
    <w:rsid w:val="00970822"/>
    <w:rsid w:val="0097094F"/>
    <w:rsid w:val="00970B02"/>
    <w:rsid w:val="00970C05"/>
    <w:rsid w:val="00970DC1"/>
    <w:rsid w:val="00971226"/>
    <w:rsid w:val="00971D0E"/>
    <w:rsid w:val="009723BC"/>
    <w:rsid w:val="009725CD"/>
    <w:rsid w:val="0097278F"/>
    <w:rsid w:val="009727A4"/>
    <w:rsid w:val="00972DD3"/>
    <w:rsid w:val="00973627"/>
    <w:rsid w:val="0097397B"/>
    <w:rsid w:val="0097409F"/>
    <w:rsid w:val="009741E4"/>
    <w:rsid w:val="009743BD"/>
    <w:rsid w:val="009744BC"/>
    <w:rsid w:val="009749EB"/>
    <w:rsid w:val="00974AE4"/>
    <w:rsid w:val="00974E8A"/>
    <w:rsid w:val="00975305"/>
    <w:rsid w:val="00975355"/>
    <w:rsid w:val="00975492"/>
    <w:rsid w:val="00975A21"/>
    <w:rsid w:val="00975C3A"/>
    <w:rsid w:val="009760BD"/>
    <w:rsid w:val="00976290"/>
    <w:rsid w:val="009763EA"/>
    <w:rsid w:val="00976DA2"/>
    <w:rsid w:val="00977201"/>
    <w:rsid w:val="00977381"/>
    <w:rsid w:val="00977BC4"/>
    <w:rsid w:val="00977BDA"/>
    <w:rsid w:val="009801FF"/>
    <w:rsid w:val="0098022C"/>
    <w:rsid w:val="00980412"/>
    <w:rsid w:val="00980A38"/>
    <w:rsid w:val="00980ED8"/>
    <w:rsid w:val="00980F5F"/>
    <w:rsid w:val="00981340"/>
    <w:rsid w:val="00981689"/>
    <w:rsid w:val="009816B6"/>
    <w:rsid w:val="00981920"/>
    <w:rsid w:val="00981B1C"/>
    <w:rsid w:val="00981D4D"/>
    <w:rsid w:val="00981DE6"/>
    <w:rsid w:val="009823BD"/>
    <w:rsid w:val="009826AA"/>
    <w:rsid w:val="00983666"/>
    <w:rsid w:val="009837E8"/>
    <w:rsid w:val="00983BD6"/>
    <w:rsid w:val="00983DF1"/>
    <w:rsid w:val="00984462"/>
    <w:rsid w:val="00984EAB"/>
    <w:rsid w:val="00984F70"/>
    <w:rsid w:val="00984FB4"/>
    <w:rsid w:val="00985063"/>
    <w:rsid w:val="00985802"/>
    <w:rsid w:val="009858C8"/>
    <w:rsid w:val="00985993"/>
    <w:rsid w:val="00985CE6"/>
    <w:rsid w:val="00985D9E"/>
    <w:rsid w:val="00985FF3"/>
    <w:rsid w:val="0098601D"/>
    <w:rsid w:val="0098611B"/>
    <w:rsid w:val="009861DC"/>
    <w:rsid w:val="009863F8"/>
    <w:rsid w:val="00986AFA"/>
    <w:rsid w:val="0098723B"/>
    <w:rsid w:val="009872CE"/>
    <w:rsid w:val="00987475"/>
    <w:rsid w:val="00987994"/>
    <w:rsid w:val="00987C33"/>
    <w:rsid w:val="00987C56"/>
    <w:rsid w:val="00990DBD"/>
    <w:rsid w:val="00990E8F"/>
    <w:rsid w:val="00990F9C"/>
    <w:rsid w:val="00991830"/>
    <w:rsid w:val="00992030"/>
    <w:rsid w:val="0099214D"/>
    <w:rsid w:val="00992409"/>
    <w:rsid w:val="0099290D"/>
    <w:rsid w:val="00992A64"/>
    <w:rsid w:val="00992A93"/>
    <w:rsid w:val="00992F13"/>
    <w:rsid w:val="00993029"/>
    <w:rsid w:val="0099326E"/>
    <w:rsid w:val="00993459"/>
    <w:rsid w:val="00993E9E"/>
    <w:rsid w:val="00994032"/>
    <w:rsid w:val="009942A2"/>
    <w:rsid w:val="00994948"/>
    <w:rsid w:val="00994A98"/>
    <w:rsid w:val="00994EEF"/>
    <w:rsid w:val="00995147"/>
    <w:rsid w:val="00995882"/>
    <w:rsid w:val="009959BA"/>
    <w:rsid w:val="0099615A"/>
    <w:rsid w:val="00996367"/>
    <w:rsid w:val="009965A1"/>
    <w:rsid w:val="009966E5"/>
    <w:rsid w:val="0099768D"/>
    <w:rsid w:val="00997B9F"/>
    <w:rsid w:val="00997DCC"/>
    <w:rsid w:val="009A0137"/>
    <w:rsid w:val="009A0893"/>
    <w:rsid w:val="009A0AB8"/>
    <w:rsid w:val="009A0B88"/>
    <w:rsid w:val="009A0BBA"/>
    <w:rsid w:val="009A1383"/>
    <w:rsid w:val="009A1746"/>
    <w:rsid w:val="009A218A"/>
    <w:rsid w:val="009A223E"/>
    <w:rsid w:val="009A22DB"/>
    <w:rsid w:val="009A293D"/>
    <w:rsid w:val="009A312B"/>
    <w:rsid w:val="009A3243"/>
    <w:rsid w:val="009A32B4"/>
    <w:rsid w:val="009A38AE"/>
    <w:rsid w:val="009A3DED"/>
    <w:rsid w:val="009A4497"/>
    <w:rsid w:val="009A44CE"/>
    <w:rsid w:val="009A481C"/>
    <w:rsid w:val="009A4B5D"/>
    <w:rsid w:val="009A4E42"/>
    <w:rsid w:val="009A501D"/>
    <w:rsid w:val="009A50D4"/>
    <w:rsid w:val="009A50F8"/>
    <w:rsid w:val="009A543B"/>
    <w:rsid w:val="009A5884"/>
    <w:rsid w:val="009A5940"/>
    <w:rsid w:val="009A5BFB"/>
    <w:rsid w:val="009A5D6E"/>
    <w:rsid w:val="009A5E87"/>
    <w:rsid w:val="009A640A"/>
    <w:rsid w:val="009A6BFA"/>
    <w:rsid w:val="009A6C81"/>
    <w:rsid w:val="009A7557"/>
    <w:rsid w:val="009A7599"/>
    <w:rsid w:val="009A7779"/>
    <w:rsid w:val="009A7799"/>
    <w:rsid w:val="009A7A1C"/>
    <w:rsid w:val="009A7C67"/>
    <w:rsid w:val="009A7D5E"/>
    <w:rsid w:val="009B0669"/>
    <w:rsid w:val="009B06C5"/>
    <w:rsid w:val="009B0AE1"/>
    <w:rsid w:val="009B0C76"/>
    <w:rsid w:val="009B0D5B"/>
    <w:rsid w:val="009B0EC3"/>
    <w:rsid w:val="009B0FA8"/>
    <w:rsid w:val="009B14D1"/>
    <w:rsid w:val="009B1C7D"/>
    <w:rsid w:val="009B1C97"/>
    <w:rsid w:val="009B24FE"/>
    <w:rsid w:val="009B277A"/>
    <w:rsid w:val="009B2942"/>
    <w:rsid w:val="009B2B49"/>
    <w:rsid w:val="009B2B83"/>
    <w:rsid w:val="009B2C49"/>
    <w:rsid w:val="009B2CF5"/>
    <w:rsid w:val="009B2E2B"/>
    <w:rsid w:val="009B336C"/>
    <w:rsid w:val="009B354F"/>
    <w:rsid w:val="009B3763"/>
    <w:rsid w:val="009B3B29"/>
    <w:rsid w:val="009B3BA5"/>
    <w:rsid w:val="009B3EAC"/>
    <w:rsid w:val="009B403A"/>
    <w:rsid w:val="009B44AE"/>
    <w:rsid w:val="009B4F71"/>
    <w:rsid w:val="009B5775"/>
    <w:rsid w:val="009B5BC4"/>
    <w:rsid w:val="009B61ED"/>
    <w:rsid w:val="009B62C3"/>
    <w:rsid w:val="009B637A"/>
    <w:rsid w:val="009B66B6"/>
    <w:rsid w:val="009B6A43"/>
    <w:rsid w:val="009B7504"/>
    <w:rsid w:val="009B76CD"/>
    <w:rsid w:val="009B78C7"/>
    <w:rsid w:val="009B7B86"/>
    <w:rsid w:val="009C0309"/>
    <w:rsid w:val="009C0380"/>
    <w:rsid w:val="009C0403"/>
    <w:rsid w:val="009C0A56"/>
    <w:rsid w:val="009C0B59"/>
    <w:rsid w:val="009C0BFC"/>
    <w:rsid w:val="009C0E71"/>
    <w:rsid w:val="009C11BE"/>
    <w:rsid w:val="009C11C9"/>
    <w:rsid w:val="009C1304"/>
    <w:rsid w:val="009C1507"/>
    <w:rsid w:val="009C15E8"/>
    <w:rsid w:val="009C1682"/>
    <w:rsid w:val="009C1789"/>
    <w:rsid w:val="009C18A4"/>
    <w:rsid w:val="009C1C57"/>
    <w:rsid w:val="009C22D4"/>
    <w:rsid w:val="009C2515"/>
    <w:rsid w:val="009C258C"/>
    <w:rsid w:val="009C2AEC"/>
    <w:rsid w:val="009C2FB5"/>
    <w:rsid w:val="009C31D7"/>
    <w:rsid w:val="009C3272"/>
    <w:rsid w:val="009C3746"/>
    <w:rsid w:val="009C4371"/>
    <w:rsid w:val="009C45AD"/>
    <w:rsid w:val="009C494B"/>
    <w:rsid w:val="009C4A56"/>
    <w:rsid w:val="009C5350"/>
    <w:rsid w:val="009C5861"/>
    <w:rsid w:val="009C606F"/>
    <w:rsid w:val="009C66CF"/>
    <w:rsid w:val="009C67B9"/>
    <w:rsid w:val="009C67E4"/>
    <w:rsid w:val="009C6EA6"/>
    <w:rsid w:val="009C6F87"/>
    <w:rsid w:val="009C7007"/>
    <w:rsid w:val="009C71D3"/>
    <w:rsid w:val="009C762E"/>
    <w:rsid w:val="009C7940"/>
    <w:rsid w:val="009C796C"/>
    <w:rsid w:val="009C796E"/>
    <w:rsid w:val="009C7E2C"/>
    <w:rsid w:val="009C7FDB"/>
    <w:rsid w:val="009D00FF"/>
    <w:rsid w:val="009D055D"/>
    <w:rsid w:val="009D0754"/>
    <w:rsid w:val="009D0F38"/>
    <w:rsid w:val="009D0F96"/>
    <w:rsid w:val="009D121D"/>
    <w:rsid w:val="009D1372"/>
    <w:rsid w:val="009D1749"/>
    <w:rsid w:val="009D176E"/>
    <w:rsid w:val="009D1B1D"/>
    <w:rsid w:val="009D223B"/>
    <w:rsid w:val="009D26A1"/>
    <w:rsid w:val="009D291D"/>
    <w:rsid w:val="009D2AFE"/>
    <w:rsid w:val="009D2B1E"/>
    <w:rsid w:val="009D2EFD"/>
    <w:rsid w:val="009D3022"/>
    <w:rsid w:val="009D36C0"/>
    <w:rsid w:val="009D383E"/>
    <w:rsid w:val="009D4005"/>
    <w:rsid w:val="009D42BE"/>
    <w:rsid w:val="009D4831"/>
    <w:rsid w:val="009D4936"/>
    <w:rsid w:val="009D4AA5"/>
    <w:rsid w:val="009D51B1"/>
    <w:rsid w:val="009D5225"/>
    <w:rsid w:val="009D5441"/>
    <w:rsid w:val="009D5449"/>
    <w:rsid w:val="009D58EE"/>
    <w:rsid w:val="009D6179"/>
    <w:rsid w:val="009D67EC"/>
    <w:rsid w:val="009D69BD"/>
    <w:rsid w:val="009D6E3D"/>
    <w:rsid w:val="009D73F4"/>
    <w:rsid w:val="009D769A"/>
    <w:rsid w:val="009D7AE9"/>
    <w:rsid w:val="009D7B7B"/>
    <w:rsid w:val="009D7C90"/>
    <w:rsid w:val="009E00F1"/>
    <w:rsid w:val="009E08CA"/>
    <w:rsid w:val="009E0BC0"/>
    <w:rsid w:val="009E0ED8"/>
    <w:rsid w:val="009E0F6D"/>
    <w:rsid w:val="009E10B2"/>
    <w:rsid w:val="009E13B9"/>
    <w:rsid w:val="009E1525"/>
    <w:rsid w:val="009E19B4"/>
    <w:rsid w:val="009E1B17"/>
    <w:rsid w:val="009E1D03"/>
    <w:rsid w:val="009E23F2"/>
    <w:rsid w:val="009E2419"/>
    <w:rsid w:val="009E2CC7"/>
    <w:rsid w:val="009E341F"/>
    <w:rsid w:val="009E38B7"/>
    <w:rsid w:val="009E3B83"/>
    <w:rsid w:val="009E3CC0"/>
    <w:rsid w:val="009E44E1"/>
    <w:rsid w:val="009E46E6"/>
    <w:rsid w:val="009E51FD"/>
    <w:rsid w:val="009E531B"/>
    <w:rsid w:val="009E531F"/>
    <w:rsid w:val="009E5558"/>
    <w:rsid w:val="009E55B3"/>
    <w:rsid w:val="009E55E8"/>
    <w:rsid w:val="009E5656"/>
    <w:rsid w:val="009E6076"/>
    <w:rsid w:val="009E6AEB"/>
    <w:rsid w:val="009E6C1E"/>
    <w:rsid w:val="009E6D0C"/>
    <w:rsid w:val="009E73D0"/>
    <w:rsid w:val="009E73E3"/>
    <w:rsid w:val="009E73F8"/>
    <w:rsid w:val="009E7CA8"/>
    <w:rsid w:val="009F0000"/>
    <w:rsid w:val="009F00AB"/>
    <w:rsid w:val="009F013F"/>
    <w:rsid w:val="009F02FB"/>
    <w:rsid w:val="009F0492"/>
    <w:rsid w:val="009F09C8"/>
    <w:rsid w:val="009F1098"/>
    <w:rsid w:val="009F11EB"/>
    <w:rsid w:val="009F1296"/>
    <w:rsid w:val="009F188A"/>
    <w:rsid w:val="009F1BA6"/>
    <w:rsid w:val="009F1C37"/>
    <w:rsid w:val="009F28DE"/>
    <w:rsid w:val="009F2A4A"/>
    <w:rsid w:val="009F2AC7"/>
    <w:rsid w:val="009F2BFB"/>
    <w:rsid w:val="009F309D"/>
    <w:rsid w:val="009F31E2"/>
    <w:rsid w:val="009F3324"/>
    <w:rsid w:val="009F3442"/>
    <w:rsid w:val="009F38CE"/>
    <w:rsid w:val="009F39B4"/>
    <w:rsid w:val="009F4219"/>
    <w:rsid w:val="009F4504"/>
    <w:rsid w:val="009F45A1"/>
    <w:rsid w:val="009F4824"/>
    <w:rsid w:val="009F48B4"/>
    <w:rsid w:val="009F4F47"/>
    <w:rsid w:val="009F4FA7"/>
    <w:rsid w:val="009F5D03"/>
    <w:rsid w:val="009F643A"/>
    <w:rsid w:val="009F649C"/>
    <w:rsid w:val="009F64FA"/>
    <w:rsid w:val="009F6569"/>
    <w:rsid w:val="009F6629"/>
    <w:rsid w:val="009F66FE"/>
    <w:rsid w:val="009F6704"/>
    <w:rsid w:val="009F719F"/>
    <w:rsid w:val="009F71B8"/>
    <w:rsid w:val="009F765F"/>
    <w:rsid w:val="009F775C"/>
    <w:rsid w:val="009F78C5"/>
    <w:rsid w:val="00A00197"/>
    <w:rsid w:val="00A00227"/>
    <w:rsid w:val="00A008F8"/>
    <w:rsid w:val="00A00ABC"/>
    <w:rsid w:val="00A00B06"/>
    <w:rsid w:val="00A00F89"/>
    <w:rsid w:val="00A0104C"/>
    <w:rsid w:val="00A0169F"/>
    <w:rsid w:val="00A01904"/>
    <w:rsid w:val="00A01B4A"/>
    <w:rsid w:val="00A01FE5"/>
    <w:rsid w:val="00A020EF"/>
    <w:rsid w:val="00A02269"/>
    <w:rsid w:val="00A029E4"/>
    <w:rsid w:val="00A02ADF"/>
    <w:rsid w:val="00A02FEE"/>
    <w:rsid w:val="00A03104"/>
    <w:rsid w:val="00A03291"/>
    <w:rsid w:val="00A036DC"/>
    <w:rsid w:val="00A03818"/>
    <w:rsid w:val="00A03891"/>
    <w:rsid w:val="00A039C1"/>
    <w:rsid w:val="00A04315"/>
    <w:rsid w:val="00A044EE"/>
    <w:rsid w:val="00A046AC"/>
    <w:rsid w:val="00A049E9"/>
    <w:rsid w:val="00A04BF9"/>
    <w:rsid w:val="00A04C7E"/>
    <w:rsid w:val="00A04D5D"/>
    <w:rsid w:val="00A0536A"/>
    <w:rsid w:val="00A05977"/>
    <w:rsid w:val="00A05B25"/>
    <w:rsid w:val="00A05EFB"/>
    <w:rsid w:val="00A06470"/>
    <w:rsid w:val="00A065B8"/>
    <w:rsid w:val="00A067F7"/>
    <w:rsid w:val="00A06B52"/>
    <w:rsid w:val="00A06F23"/>
    <w:rsid w:val="00A06F86"/>
    <w:rsid w:val="00A070E7"/>
    <w:rsid w:val="00A07BB8"/>
    <w:rsid w:val="00A07D55"/>
    <w:rsid w:val="00A07F44"/>
    <w:rsid w:val="00A1009C"/>
    <w:rsid w:val="00A10310"/>
    <w:rsid w:val="00A103C0"/>
    <w:rsid w:val="00A10536"/>
    <w:rsid w:val="00A10B10"/>
    <w:rsid w:val="00A10B11"/>
    <w:rsid w:val="00A10BFA"/>
    <w:rsid w:val="00A110E7"/>
    <w:rsid w:val="00A111E0"/>
    <w:rsid w:val="00A11528"/>
    <w:rsid w:val="00A11D72"/>
    <w:rsid w:val="00A11E26"/>
    <w:rsid w:val="00A12830"/>
    <w:rsid w:val="00A12A55"/>
    <w:rsid w:val="00A12ADA"/>
    <w:rsid w:val="00A1304F"/>
    <w:rsid w:val="00A1311E"/>
    <w:rsid w:val="00A1325F"/>
    <w:rsid w:val="00A1351F"/>
    <w:rsid w:val="00A13B16"/>
    <w:rsid w:val="00A14078"/>
    <w:rsid w:val="00A141A7"/>
    <w:rsid w:val="00A14AF5"/>
    <w:rsid w:val="00A14B6C"/>
    <w:rsid w:val="00A151A5"/>
    <w:rsid w:val="00A152EA"/>
    <w:rsid w:val="00A159F8"/>
    <w:rsid w:val="00A15E19"/>
    <w:rsid w:val="00A160A1"/>
    <w:rsid w:val="00A16CC1"/>
    <w:rsid w:val="00A16E95"/>
    <w:rsid w:val="00A179A4"/>
    <w:rsid w:val="00A17B6F"/>
    <w:rsid w:val="00A17D05"/>
    <w:rsid w:val="00A20550"/>
    <w:rsid w:val="00A21019"/>
    <w:rsid w:val="00A2155B"/>
    <w:rsid w:val="00A21A46"/>
    <w:rsid w:val="00A2216B"/>
    <w:rsid w:val="00A2217B"/>
    <w:rsid w:val="00A2240A"/>
    <w:rsid w:val="00A22548"/>
    <w:rsid w:val="00A229DE"/>
    <w:rsid w:val="00A22D07"/>
    <w:rsid w:val="00A22DC5"/>
    <w:rsid w:val="00A22EC9"/>
    <w:rsid w:val="00A23A2C"/>
    <w:rsid w:val="00A23A68"/>
    <w:rsid w:val="00A23E55"/>
    <w:rsid w:val="00A24002"/>
    <w:rsid w:val="00A24025"/>
    <w:rsid w:val="00A2402F"/>
    <w:rsid w:val="00A242B5"/>
    <w:rsid w:val="00A2432B"/>
    <w:rsid w:val="00A24F82"/>
    <w:rsid w:val="00A253C3"/>
    <w:rsid w:val="00A254E9"/>
    <w:rsid w:val="00A25624"/>
    <w:rsid w:val="00A258A7"/>
    <w:rsid w:val="00A25C59"/>
    <w:rsid w:val="00A25F03"/>
    <w:rsid w:val="00A26074"/>
    <w:rsid w:val="00A260B0"/>
    <w:rsid w:val="00A26268"/>
    <w:rsid w:val="00A264BB"/>
    <w:rsid w:val="00A26527"/>
    <w:rsid w:val="00A26A74"/>
    <w:rsid w:val="00A26C5B"/>
    <w:rsid w:val="00A2771F"/>
    <w:rsid w:val="00A27D15"/>
    <w:rsid w:val="00A30196"/>
    <w:rsid w:val="00A30800"/>
    <w:rsid w:val="00A313F8"/>
    <w:rsid w:val="00A314E6"/>
    <w:rsid w:val="00A318C6"/>
    <w:rsid w:val="00A31A4B"/>
    <w:rsid w:val="00A31F17"/>
    <w:rsid w:val="00A3208D"/>
    <w:rsid w:val="00A3266B"/>
    <w:rsid w:val="00A32AB6"/>
    <w:rsid w:val="00A32BF4"/>
    <w:rsid w:val="00A32CD2"/>
    <w:rsid w:val="00A32D7F"/>
    <w:rsid w:val="00A32F77"/>
    <w:rsid w:val="00A33599"/>
    <w:rsid w:val="00A337BC"/>
    <w:rsid w:val="00A33F6E"/>
    <w:rsid w:val="00A3410A"/>
    <w:rsid w:val="00A34344"/>
    <w:rsid w:val="00A34603"/>
    <w:rsid w:val="00A34607"/>
    <w:rsid w:val="00A34BDD"/>
    <w:rsid w:val="00A34EAE"/>
    <w:rsid w:val="00A34EC3"/>
    <w:rsid w:val="00A356A9"/>
    <w:rsid w:val="00A357B5"/>
    <w:rsid w:val="00A35AD8"/>
    <w:rsid w:val="00A35BEC"/>
    <w:rsid w:val="00A360C5"/>
    <w:rsid w:val="00A36249"/>
    <w:rsid w:val="00A36587"/>
    <w:rsid w:val="00A367DC"/>
    <w:rsid w:val="00A368BA"/>
    <w:rsid w:val="00A36B96"/>
    <w:rsid w:val="00A36CBF"/>
    <w:rsid w:val="00A36D03"/>
    <w:rsid w:val="00A37048"/>
    <w:rsid w:val="00A37112"/>
    <w:rsid w:val="00A37469"/>
    <w:rsid w:val="00A37BA8"/>
    <w:rsid w:val="00A40377"/>
    <w:rsid w:val="00A408EE"/>
    <w:rsid w:val="00A40A87"/>
    <w:rsid w:val="00A40C00"/>
    <w:rsid w:val="00A410F3"/>
    <w:rsid w:val="00A413F2"/>
    <w:rsid w:val="00A416F6"/>
    <w:rsid w:val="00A418B4"/>
    <w:rsid w:val="00A4195A"/>
    <w:rsid w:val="00A41AEA"/>
    <w:rsid w:val="00A41B69"/>
    <w:rsid w:val="00A420DD"/>
    <w:rsid w:val="00A42179"/>
    <w:rsid w:val="00A424F3"/>
    <w:rsid w:val="00A42609"/>
    <w:rsid w:val="00A42A53"/>
    <w:rsid w:val="00A42E0D"/>
    <w:rsid w:val="00A43240"/>
    <w:rsid w:val="00A43E16"/>
    <w:rsid w:val="00A44353"/>
    <w:rsid w:val="00A44C20"/>
    <w:rsid w:val="00A44F14"/>
    <w:rsid w:val="00A45274"/>
    <w:rsid w:val="00A452A5"/>
    <w:rsid w:val="00A455C6"/>
    <w:rsid w:val="00A45810"/>
    <w:rsid w:val="00A45BFF"/>
    <w:rsid w:val="00A4614E"/>
    <w:rsid w:val="00A4631C"/>
    <w:rsid w:val="00A466C2"/>
    <w:rsid w:val="00A46987"/>
    <w:rsid w:val="00A46DAD"/>
    <w:rsid w:val="00A4712D"/>
    <w:rsid w:val="00A4720D"/>
    <w:rsid w:val="00A47781"/>
    <w:rsid w:val="00A47980"/>
    <w:rsid w:val="00A47CF6"/>
    <w:rsid w:val="00A47E08"/>
    <w:rsid w:val="00A5028D"/>
    <w:rsid w:val="00A50705"/>
    <w:rsid w:val="00A50AC2"/>
    <w:rsid w:val="00A50BA3"/>
    <w:rsid w:val="00A51172"/>
    <w:rsid w:val="00A51246"/>
    <w:rsid w:val="00A51542"/>
    <w:rsid w:val="00A51611"/>
    <w:rsid w:val="00A51B79"/>
    <w:rsid w:val="00A51D96"/>
    <w:rsid w:val="00A5214E"/>
    <w:rsid w:val="00A52559"/>
    <w:rsid w:val="00A52958"/>
    <w:rsid w:val="00A53287"/>
    <w:rsid w:val="00A5332C"/>
    <w:rsid w:val="00A53724"/>
    <w:rsid w:val="00A53B14"/>
    <w:rsid w:val="00A53BB1"/>
    <w:rsid w:val="00A53FC3"/>
    <w:rsid w:val="00A54127"/>
    <w:rsid w:val="00A545FF"/>
    <w:rsid w:val="00A5492F"/>
    <w:rsid w:val="00A5522F"/>
    <w:rsid w:val="00A5627D"/>
    <w:rsid w:val="00A56647"/>
    <w:rsid w:val="00A56892"/>
    <w:rsid w:val="00A56A3C"/>
    <w:rsid w:val="00A56AB0"/>
    <w:rsid w:val="00A56B6B"/>
    <w:rsid w:val="00A56F75"/>
    <w:rsid w:val="00A57082"/>
    <w:rsid w:val="00A5781B"/>
    <w:rsid w:val="00A5783A"/>
    <w:rsid w:val="00A57C77"/>
    <w:rsid w:val="00A57D22"/>
    <w:rsid w:val="00A60A3E"/>
    <w:rsid w:val="00A60AE2"/>
    <w:rsid w:val="00A60C60"/>
    <w:rsid w:val="00A60F49"/>
    <w:rsid w:val="00A61103"/>
    <w:rsid w:val="00A61D07"/>
    <w:rsid w:val="00A621E8"/>
    <w:rsid w:val="00A628AB"/>
    <w:rsid w:val="00A62C71"/>
    <w:rsid w:val="00A635FF"/>
    <w:rsid w:val="00A63B4F"/>
    <w:rsid w:val="00A63CAD"/>
    <w:rsid w:val="00A64256"/>
    <w:rsid w:val="00A64441"/>
    <w:rsid w:val="00A64690"/>
    <w:rsid w:val="00A64874"/>
    <w:rsid w:val="00A64911"/>
    <w:rsid w:val="00A64AE7"/>
    <w:rsid w:val="00A64D13"/>
    <w:rsid w:val="00A64D1A"/>
    <w:rsid w:val="00A64E63"/>
    <w:rsid w:val="00A65219"/>
    <w:rsid w:val="00A656CB"/>
    <w:rsid w:val="00A65816"/>
    <w:rsid w:val="00A65E9B"/>
    <w:rsid w:val="00A65F40"/>
    <w:rsid w:val="00A6602B"/>
    <w:rsid w:val="00A664FE"/>
    <w:rsid w:val="00A66AC6"/>
    <w:rsid w:val="00A66D88"/>
    <w:rsid w:val="00A671D3"/>
    <w:rsid w:val="00A673DF"/>
    <w:rsid w:val="00A67897"/>
    <w:rsid w:val="00A679A9"/>
    <w:rsid w:val="00A67A0A"/>
    <w:rsid w:val="00A67CDF"/>
    <w:rsid w:val="00A67E20"/>
    <w:rsid w:val="00A70270"/>
    <w:rsid w:val="00A70F21"/>
    <w:rsid w:val="00A711FC"/>
    <w:rsid w:val="00A71C96"/>
    <w:rsid w:val="00A72208"/>
    <w:rsid w:val="00A725DA"/>
    <w:rsid w:val="00A72728"/>
    <w:rsid w:val="00A72816"/>
    <w:rsid w:val="00A7344D"/>
    <w:rsid w:val="00A734CB"/>
    <w:rsid w:val="00A73A52"/>
    <w:rsid w:val="00A74222"/>
    <w:rsid w:val="00A74D50"/>
    <w:rsid w:val="00A74DAD"/>
    <w:rsid w:val="00A74E24"/>
    <w:rsid w:val="00A750F6"/>
    <w:rsid w:val="00A75B6B"/>
    <w:rsid w:val="00A75CB4"/>
    <w:rsid w:val="00A75DA6"/>
    <w:rsid w:val="00A75F0D"/>
    <w:rsid w:val="00A76021"/>
    <w:rsid w:val="00A76112"/>
    <w:rsid w:val="00A76A39"/>
    <w:rsid w:val="00A7772D"/>
    <w:rsid w:val="00A77A3C"/>
    <w:rsid w:val="00A77E82"/>
    <w:rsid w:val="00A809A3"/>
    <w:rsid w:val="00A80BE1"/>
    <w:rsid w:val="00A80C07"/>
    <w:rsid w:val="00A80C8D"/>
    <w:rsid w:val="00A80CCA"/>
    <w:rsid w:val="00A811F8"/>
    <w:rsid w:val="00A816DC"/>
    <w:rsid w:val="00A81D8A"/>
    <w:rsid w:val="00A81DC7"/>
    <w:rsid w:val="00A81E65"/>
    <w:rsid w:val="00A81F81"/>
    <w:rsid w:val="00A8200D"/>
    <w:rsid w:val="00A82079"/>
    <w:rsid w:val="00A82381"/>
    <w:rsid w:val="00A8238C"/>
    <w:rsid w:val="00A8266A"/>
    <w:rsid w:val="00A82B81"/>
    <w:rsid w:val="00A82C17"/>
    <w:rsid w:val="00A82EA9"/>
    <w:rsid w:val="00A83EE0"/>
    <w:rsid w:val="00A85214"/>
    <w:rsid w:val="00A852EB"/>
    <w:rsid w:val="00A854CC"/>
    <w:rsid w:val="00A8561B"/>
    <w:rsid w:val="00A85A23"/>
    <w:rsid w:val="00A85C79"/>
    <w:rsid w:val="00A8604C"/>
    <w:rsid w:val="00A8624B"/>
    <w:rsid w:val="00A86526"/>
    <w:rsid w:val="00A866C9"/>
    <w:rsid w:val="00A86713"/>
    <w:rsid w:val="00A867BB"/>
    <w:rsid w:val="00A872AD"/>
    <w:rsid w:val="00A87510"/>
    <w:rsid w:val="00A87609"/>
    <w:rsid w:val="00A87B7D"/>
    <w:rsid w:val="00A902EC"/>
    <w:rsid w:val="00A90392"/>
    <w:rsid w:val="00A907E6"/>
    <w:rsid w:val="00A9088C"/>
    <w:rsid w:val="00A909A2"/>
    <w:rsid w:val="00A90B07"/>
    <w:rsid w:val="00A90DDC"/>
    <w:rsid w:val="00A90E09"/>
    <w:rsid w:val="00A9132C"/>
    <w:rsid w:val="00A91904"/>
    <w:rsid w:val="00A919BE"/>
    <w:rsid w:val="00A92122"/>
    <w:rsid w:val="00A9257A"/>
    <w:rsid w:val="00A92660"/>
    <w:rsid w:val="00A9270D"/>
    <w:rsid w:val="00A929A1"/>
    <w:rsid w:val="00A92C0F"/>
    <w:rsid w:val="00A932E3"/>
    <w:rsid w:val="00A932F0"/>
    <w:rsid w:val="00A937BD"/>
    <w:rsid w:val="00A93D3C"/>
    <w:rsid w:val="00A93E04"/>
    <w:rsid w:val="00A93F73"/>
    <w:rsid w:val="00A947C9"/>
    <w:rsid w:val="00A94844"/>
    <w:rsid w:val="00A94DA6"/>
    <w:rsid w:val="00A95392"/>
    <w:rsid w:val="00A95C20"/>
    <w:rsid w:val="00A96021"/>
    <w:rsid w:val="00A96D6D"/>
    <w:rsid w:val="00A96D72"/>
    <w:rsid w:val="00A970C5"/>
    <w:rsid w:val="00A97205"/>
    <w:rsid w:val="00A973F7"/>
    <w:rsid w:val="00A976A9"/>
    <w:rsid w:val="00A976EA"/>
    <w:rsid w:val="00A97801"/>
    <w:rsid w:val="00A97DEF"/>
    <w:rsid w:val="00A97E59"/>
    <w:rsid w:val="00A97FE0"/>
    <w:rsid w:val="00AA016B"/>
    <w:rsid w:val="00AA046E"/>
    <w:rsid w:val="00AA0480"/>
    <w:rsid w:val="00AA0945"/>
    <w:rsid w:val="00AA0B7C"/>
    <w:rsid w:val="00AA0D35"/>
    <w:rsid w:val="00AA0EF8"/>
    <w:rsid w:val="00AA0FD7"/>
    <w:rsid w:val="00AA107D"/>
    <w:rsid w:val="00AA1559"/>
    <w:rsid w:val="00AA1691"/>
    <w:rsid w:val="00AA1B6F"/>
    <w:rsid w:val="00AA1CA1"/>
    <w:rsid w:val="00AA1E42"/>
    <w:rsid w:val="00AA1E74"/>
    <w:rsid w:val="00AA1F0D"/>
    <w:rsid w:val="00AA217C"/>
    <w:rsid w:val="00AA21F4"/>
    <w:rsid w:val="00AA22FD"/>
    <w:rsid w:val="00AA2427"/>
    <w:rsid w:val="00AA255F"/>
    <w:rsid w:val="00AA258B"/>
    <w:rsid w:val="00AA27FF"/>
    <w:rsid w:val="00AA2A87"/>
    <w:rsid w:val="00AA2B43"/>
    <w:rsid w:val="00AA2BFC"/>
    <w:rsid w:val="00AA2E12"/>
    <w:rsid w:val="00AA2F73"/>
    <w:rsid w:val="00AA2FF1"/>
    <w:rsid w:val="00AA3EAB"/>
    <w:rsid w:val="00AA3F13"/>
    <w:rsid w:val="00AA4078"/>
    <w:rsid w:val="00AA43D4"/>
    <w:rsid w:val="00AA43DB"/>
    <w:rsid w:val="00AA465A"/>
    <w:rsid w:val="00AA4E71"/>
    <w:rsid w:val="00AA51AD"/>
    <w:rsid w:val="00AA53C8"/>
    <w:rsid w:val="00AA556A"/>
    <w:rsid w:val="00AA5C98"/>
    <w:rsid w:val="00AA5D1E"/>
    <w:rsid w:val="00AA5E26"/>
    <w:rsid w:val="00AA6288"/>
    <w:rsid w:val="00AA6293"/>
    <w:rsid w:val="00AA646A"/>
    <w:rsid w:val="00AA6477"/>
    <w:rsid w:val="00AA652B"/>
    <w:rsid w:val="00AA7484"/>
    <w:rsid w:val="00AA7572"/>
    <w:rsid w:val="00AA76CC"/>
    <w:rsid w:val="00AA7879"/>
    <w:rsid w:val="00AA7C65"/>
    <w:rsid w:val="00AB02CA"/>
    <w:rsid w:val="00AB032E"/>
    <w:rsid w:val="00AB0DB8"/>
    <w:rsid w:val="00AB0F24"/>
    <w:rsid w:val="00AB1488"/>
    <w:rsid w:val="00AB14C6"/>
    <w:rsid w:val="00AB1999"/>
    <w:rsid w:val="00AB1A05"/>
    <w:rsid w:val="00AB1AA0"/>
    <w:rsid w:val="00AB2128"/>
    <w:rsid w:val="00AB2268"/>
    <w:rsid w:val="00AB26BD"/>
    <w:rsid w:val="00AB275D"/>
    <w:rsid w:val="00AB280F"/>
    <w:rsid w:val="00AB2A29"/>
    <w:rsid w:val="00AB2B29"/>
    <w:rsid w:val="00AB2BD7"/>
    <w:rsid w:val="00AB2D9D"/>
    <w:rsid w:val="00AB30F7"/>
    <w:rsid w:val="00AB32F6"/>
    <w:rsid w:val="00AB399B"/>
    <w:rsid w:val="00AB3BC6"/>
    <w:rsid w:val="00AB3BE8"/>
    <w:rsid w:val="00AB3D27"/>
    <w:rsid w:val="00AB4150"/>
    <w:rsid w:val="00AB4154"/>
    <w:rsid w:val="00AB43F1"/>
    <w:rsid w:val="00AB4584"/>
    <w:rsid w:val="00AB466F"/>
    <w:rsid w:val="00AB4707"/>
    <w:rsid w:val="00AB487C"/>
    <w:rsid w:val="00AB4A41"/>
    <w:rsid w:val="00AB4D26"/>
    <w:rsid w:val="00AB4E0D"/>
    <w:rsid w:val="00AB500B"/>
    <w:rsid w:val="00AB5109"/>
    <w:rsid w:val="00AB5166"/>
    <w:rsid w:val="00AB591D"/>
    <w:rsid w:val="00AB591F"/>
    <w:rsid w:val="00AB5BF7"/>
    <w:rsid w:val="00AB5C8F"/>
    <w:rsid w:val="00AB6268"/>
    <w:rsid w:val="00AB62EF"/>
    <w:rsid w:val="00AB6456"/>
    <w:rsid w:val="00AB6493"/>
    <w:rsid w:val="00AB67DE"/>
    <w:rsid w:val="00AB6C34"/>
    <w:rsid w:val="00AB6F19"/>
    <w:rsid w:val="00AB6FA3"/>
    <w:rsid w:val="00AB745F"/>
    <w:rsid w:val="00AB76E1"/>
    <w:rsid w:val="00AC065E"/>
    <w:rsid w:val="00AC0680"/>
    <w:rsid w:val="00AC0CB7"/>
    <w:rsid w:val="00AC0F12"/>
    <w:rsid w:val="00AC0F8C"/>
    <w:rsid w:val="00AC14CA"/>
    <w:rsid w:val="00AC16E4"/>
    <w:rsid w:val="00AC1B4D"/>
    <w:rsid w:val="00AC1E82"/>
    <w:rsid w:val="00AC1FFB"/>
    <w:rsid w:val="00AC2566"/>
    <w:rsid w:val="00AC2733"/>
    <w:rsid w:val="00AC2936"/>
    <w:rsid w:val="00AC2B33"/>
    <w:rsid w:val="00AC2BF5"/>
    <w:rsid w:val="00AC317B"/>
    <w:rsid w:val="00AC3251"/>
    <w:rsid w:val="00AC3385"/>
    <w:rsid w:val="00AC35BB"/>
    <w:rsid w:val="00AC36B6"/>
    <w:rsid w:val="00AC398E"/>
    <w:rsid w:val="00AC3995"/>
    <w:rsid w:val="00AC3E8F"/>
    <w:rsid w:val="00AC426C"/>
    <w:rsid w:val="00AC435E"/>
    <w:rsid w:val="00AC4528"/>
    <w:rsid w:val="00AC548E"/>
    <w:rsid w:val="00AC5720"/>
    <w:rsid w:val="00AC5D86"/>
    <w:rsid w:val="00AC5F21"/>
    <w:rsid w:val="00AC5F2D"/>
    <w:rsid w:val="00AC63D7"/>
    <w:rsid w:val="00AC691B"/>
    <w:rsid w:val="00AC6E3D"/>
    <w:rsid w:val="00AC74F8"/>
    <w:rsid w:val="00AC7559"/>
    <w:rsid w:val="00AC77C9"/>
    <w:rsid w:val="00AD057E"/>
    <w:rsid w:val="00AD0ADC"/>
    <w:rsid w:val="00AD0AE5"/>
    <w:rsid w:val="00AD0EB0"/>
    <w:rsid w:val="00AD0EB7"/>
    <w:rsid w:val="00AD173E"/>
    <w:rsid w:val="00AD226C"/>
    <w:rsid w:val="00AD25D9"/>
    <w:rsid w:val="00AD272D"/>
    <w:rsid w:val="00AD29A6"/>
    <w:rsid w:val="00AD2AAF"/>
    <w:rsid w:val="00AD394F"/>
    <w:rsid w:val="00AD3D45"/>
    <w:rsid w:val="00AD3FA6"/>
    <w:rsid w:val="00AD460A"/>
    <w:rsid w:val="00AD4648"/>
    <w:rsid w:val="00AD47F8"/>
    <w:rsid w:val="00AD4B73"/>
    <w:rsid w:val="00AD4BC4"/>
    <w:rsid w:val="00AD5638"/>
    <w:rsid w:val="00AD60F2"/>
    <w:rsid w:val="00AD6695"/>
    <w:rsid w:val="00AD66DB"/>
    <w:rsid w:val="00AD689B"/>
    <w:rsid w:val="00AD68DD"/>
    <w:rsid w:val="00AD6E6B"/>
    <w:rsid w:val="00AD6EFA"/>
    <w:rsid w:val="00AD71FB"/>
    <w:rsid w:val="00AD79C9"/>
    <w:rsid w:val="00AD7E47"/>
    <w:rsid w:val="00AD7FCF"/>
    <w:rsid w:val="00AD7FE6"/>
    <w:rsid w:val="00AE0366"/>
    <w:rsid w:val="00AE04C5"/>
    <w:rsid w:val="00AE0A4B"/>
    <w:rsid w:val="00AE0D4F"/>
    <w:rsid w:val="00AE0EC6"/>
    <w:rsid w:val="00AE1293"/>
    <w:rsid w:val="00AE13E5"/>
    <w:rsid w:val="00AE1707"/>
    <w:rsid w:val="00AE1E80"/>
    <w:rsid w:val="00AE2A9F"/>
    <w:rsid w:val="00AE2BFE"/>
    <w:rsid w:val="00AE2C31"/>
    <w:rsid w:val="00AE2F53"/>
    <w:rsid w:val="00AE328A"/>
    <w:rsid w:val="00AE3572"/>
    <w:rsid w:val="00AE399E"/>
    <w:rsid w:val="00AE3D50"/>
    <w:rsid w:val="00AE3DB7"/>
    <w:rsid w:val="00AE3F98"/>
    <w:rsid w:val="00AE44C2"/>
    <w:rsid w:val="00AE4745"/>
    <w:rsid w:val="00AE4E60"/>
    <w:rsid w:val="00AE4EC0"/>
    <w:rsid w:val="00AE51C5"/>
    <w:rsid w:val="00AE53E7"/>
    <w:rsid w:val="00AE54D1"/>
    <w:rsid w:val="00AE5762"/>
    <w:rsid w:val="00AE5A9C"/>
    <w:rsid w:val="00AE5BF7"/>
    <w:rsid w:val="00AE5E3B"/>
    <w:rsid w:val="00AE5F28"/>
    <w:rsid w:val="00AE6598"/>
    <w:rsid w:val="00AE69BF"/>
    <w:rsid w:val="00AE6CEC"/>
    <w:rsid w:val="00AE6E03"/>
    <w:rsid w:val="00AE6F02"/>
    <w:rsid w:val="00AE708F"/>
    <w:rsid w:val="00AE7166"/>
    <w:rsid w:val="00AE719C"/>
    <w:rsid w:val="00AE7AC5"/>
    <w:rsid w:val="00AE7EB8"/>
    <w:rsid w:val="00AF0600"/>
    <w:rsid w:val="00AF0867"/>
    <w:rsid w:val="00AF1120"/>
    <w:rsid w:val="00AF152A"/>
    <w:rsid w:val="00AF1E6C"/>
    <w:rsid w:val="00AF1F96"/>
    <w:rsid w:val="00AF21AB"/>
    <w:rsid w:val="00AF24DC"/>
    <w:rsid w:val="00AF2AB0"/>
    <w:rsid w:val="00AF2B27"/>
    <w:rsid w:val="00AF2DC8"/>
    <w:rsid w:val="00AF3236"/>
    <w:rsid w:val="00AF32F5"/>
    <w:rsid w:val="00AF3540"/>
    <w:rsid w:val="00AF3965"/>
    <w:rsid w:val="00AF3A04"/>
    <w:rsid w:val="00AF3B89"/>
    <w:rsid w:val="00AF46A4"/>
    <w:rsid w:val="00AF4A12"/>
    <w:rsid w:val="00AF4DA5"/>
    <w:rsid w:val="00AF4FDC"/>
    <w:rsid w:val="00AF50E8"/>
    <w:rsid w:val="00AF5423"/>
    <w:rsid w:val="00AF58AD"/>
    <w:rsid w:val="00AF5D38"/>
    <w:rsid w:val="00AF5F01"/>
    <w:rsid w:val="00AF6048"/>
    <w:rsid w:val="00AF63C7"/>
    <w:rsid w:val="00AF6EA8"/>
    <w:rsid w:val="00AF715B"/>
    <w:rsid w:val="00AF743F"/>
    <w:rsid w:val="00AF7571"/>
    <w:rsid w:val="00AF792B"/>
    <w:rsid w:val="00AF7E05"/>
    <w:rsid w:val="00AF7F4D"/>
    <w:rsid w:val="00B000DB"/>
    <w:rsid w:val="00B00261"/>
    <w:rsid w:val="00B0058F"/>
    <w:rsid w:val="00B00868"/>
    <w:rsid w:val="00B00A49"/>
    <w:rsid w:val="00B00BB3"/>
    <w:rsid w:val="00B00DFF"/>
    <w:rsid w:val="00B00FF2"/>
    <w:rsid w:val="00B01198"/>
    <w:rsid w:val="00B01318"/>
    <w:rsid w:val="00B014A3"/>
    <w:rsid w:val="00B01A46"/>
    <w:rsid w:val="00B01BC7"/>
    <w:rsid w:val="00B01DDA"/>
    <w:rsid w:val="00B020E6"/>
    <w:rsid w:val="00B02425"/>
    <w:rsid w:val="00B027C1"/>
    <w:rsid w:val="00B027E6"/>
    <w:rsid w:val="00B02927"/>
    <w:rsid w:val="00B02C9E"/>
    <w:rsid w:val="00B02E2C"/>
    <w:rsid w:val="00B033CD"/>
    <w:rsid w:val="00B03762"/>
    <w:rsid w:val="00B04086"/>
    <w:rsid w:val="00B04304"/>
    <w:rsid w:val="00B04358"/>
    <w:rsid w:val="00B043B6"/>
    <w:rsid w:val="00B044D3"/>
    <w:rsid w:val="00B04B90"/>
    <w:rsid w:val="00B04F7A"/>
    <w:rsid w:val="00B04FD2"/>
    <w:rsid w:val="00B05029"/>
    <w:rsid w:val="00B0537D"/>
    <w:rsid w:val="00B05545"/>
    <w:rsid w:val="00B05713"/>
    <w:rsid w:val="00B05B7A"/>
    <w:rsid w:val="00B05E52"/>
    <w:rsid w:val="00B0724B"/>
    <w:rsid w:val="00B0746E"/>
    <w:rsid w:val="00B075BA"/>
    <w:rsid w:val="00B0783F"/>
    <w:rsid w:val="00B07F16"/>
    <w:rsid w:val="00B1058B"/>
    <w:rsid w:val="00B106CE"/>
    <w:rsid w:val="00B10C53"/>
    <w:rsid w:val="00B1108E"/>
    <w:rsid w:val="00B114E2"/>
    <w:rsid w:val="00B12380"/>
    <w:rsid w:val="00B124FA"/>
    <w:rsid w:val="00B12579"/>
    <w:rsid w:val="00B125D4"/>
    <w:rsid w:val="00B1271C"/>
    <w:rsid w:val="00B12A5A"/>
    <w:rsid w:val="00B12ED4"/>
    <w:rsid w:val="00B12F1A"/>
    <w:rsid w:val="00B139E5"/>
    <w:rsid w:val="00B13B3D"/>
    <w:rsid w:val="00B13B6A"/>
    <w:rsid w:val="00B13D32"/>
    <w:rsid w:val="00B13FB1"/>
    <w:rsid w:val="00B142E7"/>
    <w:rsid w:val="00B1430D"/>
    <w:rsid w:val="00B1438D"/>
    <w:rsid w:val="00B14768"/>
    <w:rsid w:val="00B148DA"/>
    <w:rsid w:val="00B14CBF"/>
    <w:rsid w:val="00B150C0"/>
    <w:rsid w:val="00B15187"/>
    <w:rsid w:val="00B152E6"/>
    <w:rsid w:val="00B15474"/>
    <w:rsid w:val="00B15572"/>
    <w:rsid w:val="00B15E29"/>
    <w:rsid w:val="00B16274"/>
    <w:rsid w:val="00B169BF"/>
    <w:rsid w:val="00B16C3E"/>
    <w:rsid w:val="00B176A5"/>
    <w:rsid w:val="00B21222"/>
    <w:rsid w:val="00B212EF"/>
    <w:rsid w:val="00B21520"/>
    <w:rsid w:val="00B2185E"/>
    <w:rsid w:val="00B21AD0"/>
    <w:rsid w:val="00B21E7F"/>
    <w:rsid w:val="00B22015"/>
    <w:rsid w:val="00B220E3"/>
    <w:rsid w:val="00B2219D"/>
    <w:rsid w:val="00B22469"/>
    <w:rsid w:val="00B22B1F"/>
    <w:rsid w:val="00B22EEC"/>
    <w:rsid w:val="00B23129"/>
    <w:rsid w:val="00B233EA"/>
    <w:rsid w:val="00B234E6"/>
    <w:rsid w:val="00B238B5"/>
    <w:rsid w:val="00B2391C"/>
    <w:rsid w:val="00B23C5C"/>
    <w:rsid w:val="00B2448F"/>
    <w:rsid w:val="00B24D80"/>
    <w:rsid w:val="00B24D96"/>
    <w:rsid w:val="00B24DD6"/>
    <w:rsid w:val="00B2580D"/>
    <w:rsid w:val="00B25FA7"/>
    <w:rsid w:val="00B262CD"/>
    <w:rsid w:val="00B26F55"/>
    <w:rsid w:val="00B2761C"/>
    <w:rsid w:val="00B278F9"/>
    <w:rsid w:val="00B27CC5"/>
    <w:rsid w:val="00B3003A"/>
    <w:rsid w:val="00B300E9"/>
    <w:rsid w:val="00B301B7"/>
    <w:rsid w:val="00B302A6"/>
    <w:rsid w:val="00B302B6"/>
    <w:rsid w:val="00B309CC"/>
    <w:rsid w:val="00B311CC"/>
    <w:rsid w:val="00B31465"/>
    <w:rsid w:val="00B315BC"/>
    <w:rsid w:val="00B315E9"/>
    <w:rsid w:val="00B31BE6"/>
    <w:rsid w:val="00B31C36"/>
    <w:rsid w:val="00B31C62"/>
    <w:rsid w:val="00B32046"/>
    <w:rsid w:val="00B32370"/>
    <w:rsid w:val="00B32616"/>
    <w:rsid w:val="00B32A1E"/>
    <w:rsid w:val="00B33328"/>
    <w:rsid w:val="00B334E0"/>
    <w:rsid w:val="00B34159"/>
    <w:rsid w:val="00B342A3"/>
    <w:rsid w:val="00B34610"/>
    <w:rsid w:val="00B34708"/>
    <w:rsid w:val="00B352F2"/>
    <w:rsid w:val="00B35759"/>
    <w:rsid w:val="00B359DF"/>
    <w:rsid w:val="00B35FB4"/>
    <w:rsid w:val="00B36384"/>
    <w:rsid w:val="00B36A6E"/>
    <w:rsid w:val="00B36B3E"/>
    <w:rsid w:val="00B36BD1"/>
    <w:rsid w:val="00B36E6B"/>
    <w:rsid w:val="00B371B2"/>
    <w:rsid w:val="00B37253"/>
    <w:rsid w:val="00B37709"/>
    <w:rsid w:val="00B37994"/>
    <w:rsid w:val="00B37D83"/>
    <w:rsid w:val="00B40156"/>
    <w:rsid w:val="00B40352"/>
    <w:rsid w:val="00B4064C"/>
    <w:rsid w:val="00B40873"/>
    <w:rsid w:val="00B40A2A"/>
    <w:rsid w:val="00B413C0"/>
    <w:rsid w:val="00B414B3"/>
    <w:rsid w:val="00B41959"/>
    <w:rsid w:val="00B41DA5"/>
    <w:rsid w:val="00B42150"/>
    <w:rsid w:val="00B426CF"/>
    <w:rsid w:val="00B42A79"/>
    <w:rsid w:val="00B42D38"/>
    <w:rsid w:val="00B43409"/>
    <w:rsid w:val="00B434AC"/>
    <w:rsid w:val="00B43793"/>
    <w:rsid w:val="00B43FC7"/>
    <w:rsid w:val="00B44138"/>
    <w:rsid w:val="00B445AE"/>
    <w:rsid w:val="00B44CE3"/>
    <w:rsid w:val="00B44D46"/>
    <w:rsid w:val="00B451F1"/>
    <w:rsid w:val="00B45662"/>
    <w:rsid w:val="00B45B42"/>
    <w:rsid w:val="00B461A7"/>
    <w:rsid w:val="00B46570"/>
    <w:rsid w:val="00B46986"/>
    <w:rsid w:val="00B46B2E"/>
    <w:rsid w:val="00B46B57"/>
    <w:rsid w:val="00B46E05"/>
    <w:rsid w:val="00B46F96"/>
    <w:rsid w:val="00B46FB9"/>
    <w:rsid w:val="00B4743B"/>
    <w:rsid w:val="00B47523"/>
    <w:rsid w:val="00B475D1"/>
    <w:rsid w:val="00B47AB5"/>
    <w:rsid w:val="00B47EF0"/>
    <w:rsid w:val="00B5007F"/>
    <w:rsid w:val="00B501A8"/>
    <w:rsid w:val="00B501BF"/>
    <w:rsid w:val="00B50362"/>
    <w:rsid w:val="00B50AAB"/>
    <w:rsid w:val="00B50D3E"/>
    <w:rsid w:val="00B5105D"/>
    <w:rsid w:val="00B51193"/>
    <w:rsid w:val="00B515AA"/>
    <w:rsid w:val="00B51639"/>
    <w:rsid w:val="00B518FF"/>
    <w:rsid w:val="00B51C2B"/>
    <w:rsid w:val="00B520BF"/>
    <w:rsid w:val="00B5285C"/>
    <w:rsid w:val="00B528B3"/>
    <w:rsid w:val="00B52A80"/>
    <w:rsid w:val="00B52D3A"/>
    <w:rsid w:val="00B52EFA"/>
    <w:rsid w:val="00B53031"/>
    <w:rsid w:val="00B5326D"/>
    <w:rsid w:val="00B53B88"/>
    <w:rsid w:val="00B53DA5"/>
    <w:rsid w:val="00B53E41"/>
    <w:rsid w:val="00B53FEB"/>
    <w:rsid w:val="00B544CA"/>
    <w:rsid w:val="00B54A1A"/>
    <w:rsid w:val="00B54DFF"/>
    <w:rsid w:val="00B568CE"/>
    <w:rsid w:val="00B56D17"/>
    <w:rsid w:val="00B57B6B"/>
    <w:rsid w:val="00B57BD9"/>
    <w:rsid w:val="00B57E13"/>
    <w:rsid w:val="00B60726"/>
    <w:rsid w:val="00B60B6E"/>
    <w:rsid w:val="00B60BFC"/>
    <w:rsid w:val="00B60D38"/>
    <w:rsid w:val="00B60DB8"/>
    <w:rsid w:val="00B60FAA"/>
    <w:rsid w:val="00B610B8"/>
    <w:rsid w:val="00B610EE"/>
    <w:rsid w:val="00B610F9"/>
    <w:rsid w:val="00B61CCF"/>
    <w:rsid w:val="00B62716"/>
    <w:rsid w:val="00B627E9"/>
    <w:rsid w:val="00B628A0"/>
    <w:rsid w:val="00B62AA0"/>
    <w:rsid w:val="00B63161"/>
    <w:rsid w:val="00B632AE"/>
    <w:rsid w:val="00B6334D"/>
    <w:rsid w:val="00B63576"/>
    <w:rsid w:val="00B63D66"/>
    <w:rsid w:val="00B63E6A"/>
    <w:rsid w:val="00B63F87"/>
    <w:rsid w:val="00B649B5"/>
    <w:rsid w:val="00B64F07"/>
    <w:rsid w:val="00B65109"/>
    <w:rsid w:val="00B65426"/>
    <w:rsid w:val="00B659E0"/>
    <w:rsid w:val="00B65C77"/>
    <w:rsid w:val="00B65F3B"/>
    <w:rsid w:val="00B66469"/>
    <w:rsid w:val="00B666B9"/>
    <w:rsid w:val="00B66833"/>
    <w:rsid w:val="00B66B2E"/>
    <w:rsid w:val="00B66F7D"/>
    <w:rsid w:val="00B6719C"/>
    <w:rsid w:val="00B67346"/>
    <w:rsid w:val="00B6760E"/>
    <w:rsid w:val="00B67C7C"/>
    <w:rsid w:val="00B67DCB"/>
    <w:rsid w:val="00B70450"/>
    <w:rsid w:val="00B7055B"/>
    <w:rsid w:val="00B70730"/>
    <w:rsid w:val="00B70D69"/>
    <w:rsid w:val="00B70EFC"/>
    <w:rsid w:val="00B70F72"/>
    <w:rsid w:val="00B71153"/>
    <w:rsid w:val="00B71356"/>
    <w:rsid w:val="00B71C89"/>
    <w:rsid w:val="00B71F2C"/>
    <w:rsid w:val="00B731A9"/>
    <w:rsid w:val="00B73314"/>
    <w:rsid w:val="00B736B6"/>
    <w:rsid w:val="00B73F74"/>
    <w:rsid w:val="00B7433D"/>
    <w:rsid w:val="00B74391"/>
    <w:rsid w:val="00B746D4"/>
    <w:rsid w:val="00B74C54"/>
    <w:rsid w:val="00B74C87"/>
    <w:rsid w:val="00B74FCE"/>
    <w:rsid w:val="00B758D6"/>
    <w:rsid w:val="00B75E98"/>
    <w:rsid w:val="00B75FC9"/>
    <w:rsid w:val="00B762D0"/>
    <w:rsid w:val="00B7630C"/>
    <w:rsid w:val="00B766F4"/>
    <w:rsid w:val="00B76B9E"/>
    <w:rsid w:val="00B76BFB"/>
    <w:rsid w:val="00B76D7D"/>
    <w:rsid w:val="00B7742A"/>
    <w:rsid w:val="00B77630"/>
    <w:rsid w:val="00B8077B"/>
    <w:rsid w:val="00B81385"/>
    <w:rsid w:val="00B813CE"/>
    <w:rsid w:val="00B81A85"/>
    <w:rsid w:val="00B81D1F"/>
    <w:rsid w:val="00B81F34"/>
    <w:rsid w:val="00B826D7"/>
    <w:rsid w:val="00B82B05"/>
    <w:rsid w:val="00B82DD0"/>
    <w:rsid w:val="00B82F4B"/>
    <w:rsid w:val="00B8375B"/>
    <w:rsid w:val="00B83837"/>
    <w:rsid w:val="00B83B6F"/>
    <w:rsid w:val="00B83D3A"/>
    <w:rsid w:val="00B83D55"/>
    <w:rsid w:val="00B84035"/>
    <w:rsid w:val="00B8430D"/>
    <w:rsid w:val="00B8439E"/>
    <w:rsid w:val="00B8462F"/>
    <w:rsid w:val="00B848E3"/>
    <w:rsid w:val="00B84B95"/>
    <w:rsid w:val="00B84F3C"/>
    <w:rsid w:val="00B852D4"/>
    <w:rsid w:val="00B854A6"/>
    <w:rsid w:val="00B85649"/>
    <w:rsid w:val="00B8573C"/>
    <w:rsid w:val="00B8595B"/>
    <w:rsid w:val="00B85980"/>
    <w:rsid w:val="00B859A8"/>
    <w:rsid w:val="00B85AB5"/>
    <w:rsid w:val="00B86832"/>
    <w:rsid w:val="00B86938"/>
    <w:rsid w:val="00B86BC7"/>
    <w:rsid w:val="00B86E97"/>
    <w:rsid w:val="00B87167"/>
    <w:rsid w:val="00B90125"/>
    <w:rsid w:val="00B9064C"/>
    <w:rsid w:val="00B90749"/>
    <w:rsid w:val="00B907B2"/>
    <w:rsid w:val="00B90E2A"/>
    <w:rsid w:val="00B90FFB"/>
    <w:rsid w:val="00B91384"/>
    <w:rsid w:val="00B9186E"/>
    <w:rsid w:val="00B91903"/>
    <w:rsid w:val="00B91A28"/>
    <w:rsid w:val="00B91AE4"/>
    <w:rsid w:val="00B91D2A"/>
    <w:rsid w:val="00B91FE8"/>
    <w:rsid w:val="00B92853"/>
    <w:rsid w:val="00B92A29"/>
    <w:rsid w:val="00B92A5A"/>
    <w:rsid w:val="00B92FB5"/>
    <w:rsid w:val="00B93C62"/>
    <w:rsid w:val="00B93E61"/>
    <w:rsid w:val="00B94971"/>
    <w:rsid w:val="00B94CF6"/>
    <w:rsid w:val="00B95297"/>
    <w:rsid w:val="00B952C3"/>
    <w:rsid w:val="00B95347"/>
    <w:rsid w:val="00B95F3B"/>
    <w:rsid w:val="00B96071"/>
    <w:rsid w:val="00B96076"/>
    <w:rsid w:val="00B96698"/>
    <w:rsid w:val="00B96908"/>
    <w:rsid w:val="00B9692E"/>
    <w:rsid w:val="00B96BF4"/>
    <w:rsid w:val="00B96F1F"/>
    <w:rsid w:val="00B97CD9"/>
    <w:rsid w:val="00B97D18"/>
    <w:rsid w:val="00B97F92"/>
    <w:rsid w:val="00BA0183"/>
    <w:rsid w:val="00BA0441"/>
    <w:rsid w:val="00BA0462"/>
    <w:rsid w:val="00BA0656"/>
    <w:rsid w:val="00BA0C3D"/>
    <w:rsid w:val="00BA0E9B"/>
    <w:rsid w:val="00BA14E5"/>
    <w:rsid w:val="00BA14F6"/>
    <w:rsid w:val="00BA1576"/>
    <w:rsid w:val="00BA17F6"/>
    <w:rsid w:val="00BA1849"/>
    <w:rsid w:val="00BA1AC3"/>
    <w:rsid w:val="00BA1FB9"/>
    <w:rsid w:val="00BA20CB"/>
    <w:rsid w:val="00BA27C9"/>
    <w:rsid w:val="00BA2979"/>
    <w:rsid w:val="00BA2A83"/>
    <w:rsid w:val="00BA2AF0"/>
    <w:rsid w:val="00BA2E87"/>
    <w:rsid w:val="00BA2EFC"/>
    <w:rsid w:val="00BA3218"/>
    <w:rsid w:val="00BA386F"/>
    <w:rsid w:val="00BA39CD"/>
    <w:rsid w:val="00BA41E9"/>
    <w:rsid w:val="00BA430F"/>
    <w:rsid w:val="00BA45B5"/>
    <w:rsid w:val="00BA45F2"/>
    <w:rsid w:val="00BA48F0"/>
    <w:rsid w:val="00BA53BE"/>
    <w:rsid w:val="00BA5645"/>
    <w:rsid w:val="00BA5695"/>
    <w:rsid w:val="00BA57C1"/>
    <w:rsid w:val="00BA581D"/>
    <w:rsid w:val="00BA58F5"/>
    <w:rsid w:val="00BA5B32"/>
    <w:rsid w:val="00BA60E4"/>
    <w:rsid w:val="00BA64A5"/>
    <w:rsid w:val="00BA6507"/>
    <w:rsid w:val="00BA6B89"/>
    <w:rsid w:val="00BA6DC9"/>
    <w:rsid w:val="00BA71FA"/>
    <w:rsid w:val="00BA733E"/>
    <w:rsid w:val="00BA79B2"/>
    <w:rsid w:val="00BA7A7E"/>
    <w:rsid w:val="00BB01B1"/>
    <w:rsid w:val="00BB0B0A"/>
    <w:rsid w:val="00BB1329"/>
    <w:rsid w:val="00BB13A5"/>
    <w:rsid w:val="00BB16E7"/>
    <w:rsid w:val="00BB174E"/>
    <w:rsid w:val="00BB180D"/>
    <w:rsid w:val="00BB197F"/>
    <w:rsid w:val="00BB19C1"/>
    <w:rsid w:val="00BB1C5F"/>
    <w:rsid w:val="00BB1ED4"/>
    <w:rsid w:val="00BB21AD"/>
    <w:rsid w:val="00BB232C"/>
    <w:rsid w:val="00BB296D"/>
    <w:rsid w:val="00BB2BEB"/>
    <w:rsid w:val="00BB2CFA"/>
    <w:rsid w:val="00BB31D9"/>
    <w:rsid w:val="00BB3273"/>
    <w:rsid w:val="00BB377B"/>
    <w:rsid w:val="00BB37B5"/>
    <w:rsid w:val="00BB3A1E"/>
    <w:rsid w:val="00BB3BD0"/>
    <w:rsid w:val="00BB4305"/>
    <w:rsid w:val="00BB474C"/>
    <w:rsid w:val="00BB4C91"/>
    <w:rsid w:val="00BB4F9A"/>
    <w:rsid w:val="00BB5292"/>
    <w:rsid w:val="00BB5365"/>
    <w:rsid w:val="00BB53F6"/>
    <w:rsid w:val="00BB557C"/>
    <w:rsid w:val="00BB5912"/>
    <w:rsid w:val="00BB5946"/>
    <w:rsid w:val="00BB5976"/>
    <w:rsid w:val="00BB5B75"/>
    <w:rsid w:val="00BB5C6C"/>
    <w:rsid w:val="00BB5DFA"/>
    <w:rsid w:val="00BB5E76"/>
    <w:rsid w:val="00BB6312"/>
    <w:rsid w:val="00BB632A"/>
    <w:rsid w:val="00BB63E7"/>
    <w:rsid w:val="00BB672A"/>
    <w:rsid w:val="00BB682F"/>
    <w:rsid w:val="00BB69FA"/>
    <w:rsid w:val="00BB6C6A"/>
    <w:rsid w:val="00BB6EE7"/>
    <w:rsid w:val="00BB7A0F"/>
    <w:rsid w:val="00BB7A6A"/>
    <w:rsid w:val="00BB7EA4"/>
    <w:rsid w:val="00BC027E"/>
    <w:rsid w:val="00BC0A32"/>
    <w:rsid w:val="00BC0B00"/>
    <w:rsid w:val="00BC0CB8"/>
    <w:rsid w:val="00BC0EAE"/>
    <w:rsid w:val="00BC11FF"/>
    <w:rsid w:val="00BC1218"/>
    <w:rsid w:val="00BC1A54"/>
    <w:rsid w:val="00BC1D5E"/>
    <w:rsid w:val="00BC1E2F"/>
    <w:rsid w:val="00BC1EB5"/>
    <w:rsid w:val="00BC2030"/>
    <w:rsid w:val="00BC213A"/>
    <w:rsid w:val="00BC27E3"/>
    <w:rsid w:val="00BC2847"/>
    <w:rsid w:val="00BC2900"/>
    <w:rsid w:val="00BC2E61"/>
    <w:rsid w:val="00BC300D"/>
    <w:rsid w:val="00BC34E4"/>
    <w:rsid w:val="00BC3BD8"/>
    <w:rsid w:val="00BC3E6D"/>
    <w:rsid w:val="00BC4501"/>
    <w:rsid w:val="00BC4D5D"/>
    <w:rsid w:val="00BC5278"/>
    <w:rsid w:val="00BC54A7"/>
    <w:rsid w:val="00BC57B0"/>
    <w:rsid w:val="00BC5C67"/>
    <w:rsid w:val="00BC647A"/>
    <w:rsid w:val="00BC6615"/>
    <w:rsid w:val="00BC6FC8"/>
    <w:rsid w:val="00BC7106"/>
    <w:rsid w:val="00BC716D"/>
    <w:rsid w:val="00BC748A"/>
    <w:rsid w:val="00BC7691"/>
    <w:rsid w:val="00BC773F"/>
    <w:rsid w:val="00BC7B90"/>
    <w:rsid w:val="00BD0283"/>
    <w:rsid w:val="00BD08E7"/>
    <w:rsid w:val="00BD0E6D"/>
    <w:rsid w:val="00BD0E9D"/>
    <w:rsid w:val="00BD0FBF"/>
    <w:rsid w:val="00BD17E8"/>
    <w:rsid w:val="00BD191E"/>
    <w:rsid w:val="00BD192B"/>
    <w:rsid w:val="00BD1B65"/>
    <w:rsid w:val="00BD1B95"/>
    <w:rsid w:val="00BD1CE7"/>
    <w:rsid w:val="00BD2446"/>
    <w:rsid w:val="00BD2A4D"/>
    <w:rsid w:val="00BD2F65"/>
    <w:rsid w:val="00BD31FD"/>
    <w:rsid w:val="00BD36EE"/>
    <w:rsid w:val="00BD420C"/>
    <w:rsid w:val="00BD45DB"/>
    <w:rsid w:val="00BD4DE4"/>
    <w:rsid w:val="00BD4FD3"/>
    <w:rsid w:val="00BD5945"/>
    <w:rsid w:val="00BD5D0E"/>
    <w:rsid w:val="00BD609D"/>
    <w:rsid w:val="00BD6549"/>
    <w:rsid w:val="00BD65E0"/>
    <w:rsid w:val="00BD6D4F"/>
    <w:rsid w:val="00BD6FED"/>
    <w:rsid w:val="00BD7027"/>
    <w:rsid w:val="00BD7094"/>
    <w:rsid w:val="00BD70CF"/>
    <w:rsid w:val="00BD7371"/>
    <w:rsid w:val="00BD753B"/>
    <w:rsid w:val="00BD792D"/>
    <w:rsid w:val="00BD7977"/>
    <w:rsid w:val="00BD7BB2"/>
    <w:rsid w:val="00BD7F10"/>
    <w:rsid w:val="00BD7F5D"/>
    <w:rsid w:val="00BE0167"/>
    <w:rsid w:val="00BE0613"/>
    <w:rsid w:val="00BE088B"/>
    <w:rsid w:val="00BE0CFF"/>
    <w:rsid w:val="00BE116E"/>
    <w:rsid w:val="00BE1186"/>
    <w:rsid w:val="00BE1195"/>
    <w:rsid w:val="00BE11F4"/>
    <w:rsid w:val="00BE1424"/>
    <w:rsid w:val="00BE1EC5"/>
    <w:rsid w:val="00BE209F"/>
    <w:rsid w:val="00BE216F"/>
    <w:rsid w:val="00BE22B4"/>
    <w:rsid w:val="00BE24A8"/>
    <w:rsid w:val="00BE2526"/>
    <w:rsid w:val="00BE2C5C"/>
    <w:rsid w:val="00BE2DC9"/>
    <w:rsid w:val="00BE2F79"/>
    <w:rsid w:val="00BE3099"/>
    <w:rsid w:val="00BE315B"/>
    <w:rsid w:val="00BE3EE7"/>
    <w:rsid w:val="00BE409B"/>
    <w:rsid w:val="00BE433F"/>
    <w:rsid w:val="00BE4C26"/>
    <w:rsid w:val="00BE4D50"/>
    <w:rsid w:val="00BE4F30"/>
    <w:rsid w:val="00BE52F3"/>
    <w:rsid w:val="00BE55AE"/>
    <w:rsid w:val="00BE5A28"/>
    <w:rsid w:val="00BE5AA0"/>
    <w:rsid w:val="00BE5AC0"/>
    <w:rsid w:val="00BE5B31"/>
    <w:rsid w:val="00BE64E9"/>
    <w:rsid w:val="00BE66C2"/>
    <w:rsid w:val="00BE6891"/>
    <w:rsid w:val="00BE6AE5"/>
    <w:rsid w:val="00BE7170"/>
    <w:rsid w:val="00BE7209"/>
    <w:rsid w:val="00BE757D"/>
    <w:rsid w:val="00BE7763"/>
    <w:rsid w:val="00BE7AC8"/>
    <w:rsid w:val="00BE7E1F"/>
    <w:rsid w:val="00BF04EE"/>
    <w:rsid w:val="00BF0823"/>
    <w:rsid w:val="00BF0858"/>
    <w:rsid w:val="00BF08BF"/>
    <w:rsid w:val="00BF0C3D"/>
    <w:rsid w:val="00BF0D84"/>
    <w:rsid w:val="00BF0E58"/>
    <w:rsid w:val="00BF13A3"/>
    <w:rsid w:val="00BF1889"/>
    <w:rsid w:val="00BF189B"/>
    <w:rsid w:val="00BF1C92"/>
    <w:rsid w:val="00BF1CF4"/>
    <w:rsid w:val="00BF208A"/>
    <w:rsid w:val="00BF251B"/>
    <w:rsid w:val="00BF2528"/>
    <w:rsid w:val="00BF2AE1"/>
    <w:rsid w:val="00BF3209"/>
    <w:rsid w:val="00BF3730"/>
    <w:rsid w:val="00BF3AE7"/>
    <w:rsid w:val="00BF3E56"/>
    <w:rsid w:val="00BF4047"/>
    <w:rsid w:val="00BF42EA"/>
    <w:rsid w:val="00BF45D8"/>
    <w:rsid w:val="00BF479D"/>
    <w:rsid w:val="00BF4B89"/>
    <w:rsid w:val="00BF4F31"/>
    <w:rsid w:val="00BF516E"/>
    <w:rsid w:val="00BF55B3"/>
    <w:rsid w:val="00BF5660"/>
    <w:rsid w:val="00BF577F"/>
    <w:rsid w:val="00BF57AF"/>
    <w:rsid w:val="00BF5A23"/>
    <w:rsid w:val="00BF5AE1"/>
    <w:rsid w:val="00BF61A6"/>
    <w:rsid w:val="00BF6BA0"/>
    <w:rsid w:val="00BF6EA4"/>
    <w:rsid w:val="00BF76DF"/>
    <w:rsid w:val="00BF79E8"/>
    <w:rsid w:val="00BF7D6E"/>
    <w:rsid w:val="00C001B4"/>
    <w:rsid w:val="00C00466"/>
    <w:rsid w:val="00C00486"/>
    <w:rsid w:val="00C00931"/>
    <w:rsid w:val="00C009E5"/>
    <w:rsid w:val="00C00A31"/>
    <w:rsid w:val="00C00ABE"/>
    <w:rsid w:val="00C00D53"/>
    <w:rsid w:val="00C00FD9"/>
    <w:rsid w:val="00C01431"/>
    <w:rsid w:val="00C01742"/>
    <w:rsid w:val="00C01802"/>
    <w:rsid w:val="00C0187E"/>
    <w:rsid w:val="00C02205"/>
    <w:rsid w:val="00C02A16"/>
    <w:rsid w:val="00C02EE7"/>
    <w:rsid w:val="00C02EEE"/>
    <w:rsid w:val="00C032F3"/>
    <w:rsid w:val="00C03308"/>
    <w:rsid w:val="00C03468"/>
    <w:rsid w:val="00C03542"/>
    <w:rsid w:val="00C03B63"/>
    <w:rsid w:val="00C03FF6"/>
    <w:rsid w:val="00C040F2"/>
    <w:rsid w:val="00C042FD"/>
    <w:rsid w:val="00C04417"/>
    <w:rsid w:val="00C0464C"/>
    <w:rsid w:val="00C049FE"/>
    <w:rsid w:val="00C04E57"/>
    <w:rsid w:val="00C04EB0"/>
    <w:rsid w:val="00C050DE"/>
    <w:rsid w:val="00C051C6"/>
    <w:rsid w:val="00C053B7"/>
    <w:rsid w:val="00C059C3"/>
    <w:rsid w:val="00C05BDB"/>
    <w:rsid w:val="00C05D53"/>
    <w:rsid w:val="00C066B5"/>
    <w:rsid w:val="00C06B62"/>
    <w:rsid w:val="00C06E12"/>
    <w:rsid w:val="00C06E60"/>
    <w:rsid w:val="00C07479"/>
    <w:rsid w:val="00C10000"/>
    <w:rsid w:val="00C10348"/>
    <w:rsid w:val="00C10622"/>
    <w:rsid w:val="00C107FC"/>
    <w:rsid w:val="00C10BCD"/>
    <w:rsid w:val="00C110F4"/>
    <w:rsid w:val="00C1110E"/>
    <w:rsid w:val="00C111A0"/>
    <w:rsid w:val="00C11382"/>
    <w:rsid w:val="00C11818"/>
    <w:rsid w:val="00C1190C"/>
    <w:rsid w:val="00C119E1"/>
    <w:rsid w:val="00C11CEC"/>
    <w:rsid w:val="00C11F2A"/>
    <w:rsid w:val="00C11F58"/>
    <w:rsid w:val="00C12209"/>
    <w:rsid w:val="00C122D2"/>
    <w:rsid w:val="00C1248E"/>
    <w:rsid w:val="00C1250B"/>
    <w:rsid w:val="00C12FC3"/>
    <w:rsid w:val="00C137EA"/>
    <w:rsid w:val="00C1395A"/>
    <w:rsid w:val="00C13B0A"/>
    <w:rsid w:val="00C1463F"/>
    <w:rsid w:val="00C14677"/>
    <w:rsid w:val="00C14889"/>
    <w:rsid w:val="00C14ADA"/>
    <w:rsid w:val="00C14D86"/>
    <w:rsid w:val="00C155BF"/>
    <w:rsid w:val="00C15D2F"/>
    <w:rsid w:val="00C15D42"/>
    <w:rsid w:val="00C15E34"/>
    <w:rsid w:val="00C15F9F"/>
    <w:rsid w:val="00C167BE"/>
    <w:rsid w:val="00C167FB"/>
    <w:rsid w:val="00C1687C"/>
    <w:rsid w:val="00C16898"/>
    <w:rsid w:val="00C16991"/>
    <w:rsid w:val="00C16A90"/>
    <w:rsid w:val="00C16B27"/>
    <w:rsid w:val="00C16B65"/>
    <w:rsid w:val="00C16CAC"/>
    <w:rsid w:val="00C16D52"/>
    <w:rsid w:val="00C16E70"/>
    <w:rsid w:val="00C17180"/>
    <w:rsid w:val="00C175FC"/>
    <w:rsid w:val="00C1767E"/>
    <w:rsid w:val="00C17B8B"/>
    <w:rsid w:val="00C17C05"/>
    <w:rsid w:val="00C17F7E"/>
    <w:rsid w:val="00C20268"/>
    <w:rsid w:val="00C20A14"/>
    <w:rsid w:val="00C20AB7"/>
    <w:rsid w:val="00C20B94"/>
    <w:rsid w:val="00C20BC9"/>
    <w:rsid w:val="00C20EA2"/>
    <w:rsid w:val="00C20FDA"/>
    <w:rsid w:val="00C2123A"/>
    <w:rsid w:val="00C2144F"/>
    <w:rsid w:val="00C214EE"/>
    <w:rsid w:val="00C21549"/>
    <w:rsid w:val="00C216EA"/>
    <w:rsid w:val="00C21B00"/>
    <w:rsid w:val="00C21BD0"/>
    <w:rsid w:val="00C21DC2"/>
    <w:rsid w:val="00C221C2"/>
    <w:rsid w:val="00C22F93"/>
    <w:rsid w:val="00C22FF9"/>
    <w:rsid w:val="00C23339"/>
    <w:rsid w:val="00C235F2"/>
    <w:rsid w:val="00C23803"/>
    <w:rsid w:val="00C23950"/>
    <w:rsid w:val="00C239BB"/>
    <w:rsid w:val="00C23CA2"/>
    <w:rsid w:val="00C24579"/>
    <w:rsid w:val="00C2483E"/>
    <w:rsid w:val="00C24B57"/>
    <w:rsid w:val="00C24EB3"/>
    <w:rsid w:val="00C2503C"/>
    <w:rsid w:val="00C25E28"/>
    <w:rsid w:val="00C25F65"/>
    <w:rsid w:val="00C2636C"/>
    <w:rsid w:val="00C263ED"/>
    <w:rsid w:val="00C264E7"/>
    <w:rsid w:val="00C26737"/>
    <w:rsid w:val="00C26834"/>
    <w:rsid w:val="00C26A88"/>
    <w:rsid w:val="00C27199"/>
    <w:rsid w:val="00C2752F"/>
    <w:rsid w:val="00C2781F"/>
    <w:rsid w:val="00C27966"/>
    <w:rsid w:val="00C27F90"/>
    <w:rsid w:val="00C3001C"/>
    <w:rsid w:val="00C30A72"/>
    <w:rsid w:val="00C3157E"/>
    <w:rsid w:val="00C316F3"/>
    <w:rsid w:val="00C31878"/>
    <w:rsid w:val="00C31F78"/>
    <w:rsid w:val="00C31FA4"/>
    <w:rsid w:val="00C32143"/>
    <w:rsid w:val="00C3274E"/>
    <w:rsid w:val="00C32AC7"/>
    <w:rsid w:val="00C32FF0"/>
    <w:rsid w:val="00C331EA"/>
    <w:rsid w:val="00C33237"/>
    <w:rsid w:val="00C33459"/>
    <w:rsid w:val="00C33484"/>
    <w:rsid w:val="00C3353E"/>
    <w:rsid w:val="00C33BB0"/>
    <w:rsid w:val="00C3415E"/>
    <w:rsid w:val="00C34370"/>
    <w:rsid w:val="00C343F2"/>
    <w:rsid w:val="00C345B6"/>
    <w:rsid w:val="00C34774"/>
    <w:rsid w:val="00C347E8"/>
    <w:rsid w:val="00C34ACC"/>
    <w:rsid w:val="00C34DF5"/>
    <w:rsid w:val="00C35DCD"/>
    <w:rsid w:val="00C35F2B"/>
    <w:rsid w:val="00C360CA"/>
    <w:rsid w:val="00C360E2"/>
    <w:rsid w:val="00C36341"/>
    <w:rsid w:val="00C36C0E"/>
    <w:rsid w:val="00C36CAF"/>
    <w:rsid w:val="00C37023"/>
    <w:rsid w:val="00C37364"/>
    <w:rsid w:val="00C37387"/>
    <w:rsid w:val="00C37928"/>
    <w:rsid w:val="00C400E3"/>
    <w:rsid w:val="00C40303"/>
    <w:rsid w:val="00C40476"/>
    <w:rsid w:val="00C40534"/>
    <w:rsid w:val="00C4098D"/>
    <w:rsid w:val="00C40C57"/>
    <w:rsid w:val="00C4116A"/>
    <w:rsid w:val="00C4128E"/>
    <w:rsid w:val="00C413D0"/>
    <w:rsid w:val="00C418DA"/>
    <w:rsid w:val="00C41BB3"/>
    <w:rsid w:val="00C41C51"/>
    <w:rsid w:val="00C4284B"/>
    <w:rsid w:val="00C428E4"/>
    <w:rsid w:val="00C42C20"/>
    <w:rsid w:val="00C42C86"/>
    <w:rsid w:val="00C43180"/>
    <w:rsid w:val="00C431B2"/>
    <w:rsid w:val="00C433C5"/>
    <w:rsid w:val="00C4349D"/>
    <w:rsid w:val="00C434AD"/>
    <w:rsid w:val="00C436A4"/>
    <w:rsid w:val="00C43D1F"/>
    <w:rsid w:val="00C43E86"/>
    <w:rsid w:val="00C43FD9"/>
    <w:rsid w:val="00C441D9"/>
    <w:rsid w:val="00C44325"/>
    <w:rsid w:val="00C445B2"/>
    <w:rsid w:val="00C454DA"/>
    <w:rsid w:val="00C4574E"/>
    <w:rsid w:val="00C45AC0"/>
    <w:rsid w:val="00C462DE"/>
    <w:rsid w:val="00C465B3"/>
    <w:rsid w:val="00C46843"/>
    <w:rsid w:val="00C469A6"/>
    <w:rsid w:val="00C46F0D"/>
    <w:rsid w:val="00C47152"/>
    <w:rsid w:val="00C471F9"/>
    <w:rsid w:val="00C47464"/>
    <w:rsid w:val="00C477F6"/>
    <w:rsid w:val="00C47A0D"/>
    <w:rsid w:val="00C50A3B"/>
    <w:rsid w:val="00C510B7"/>
    <w:rsid w:val="00C51225"/>
    <w:rsid w:val="00C51376"/>
    <w:rsid w:val="00C5165B"/>
    <w:rsid w:val="00C51CEF"/>
    <w:rsid w:val="00C51EAE"/>
    <w:rsid w:val="00C520BC"/>
    <w:rsid w:val="00C522A1"/>
    <w:rsid w:val="00C52304"/>
    <w:rsid w:val="00C528FE"/>
    <w:rsid w:val="00C52AF4"/>
    <w:rsid w:val="00C52BEA"/>
    <w:rsid w:val="00C52F03"/>
    <w:rsid w:val="00C537A5"/>
    <w:rsid w:val="00C5380F"/>
    <w:rsid w:val="00C54408"/>
    <w:rsid w:val="00C548DA"/>
    <w:rsid w:val="00C54988"/>
    <w:rsid w:val="00C549FB"/>
    <w:rsid w:val="00C55039"/>
    <w:rsid w:val="00C55255"/>
    <w:rsid w:val="00C55B4B"/>
    <w:rsid w:val="00C55EEE"/>
    <w:rsid w:val="00C5682F"/>
    <w:rsid w:val="00C5698D"/>
    <w:rsid w:val="00C572CD"/>
    <w:rsid w:val="00C57789"/>
    <w:rsid w:val="00C57810"/>
    <w:rsid w:val="00C57B66"/>
    <w:rsid w:val="00C57CE1"/>
    <w:rsid w:val="00C60050"/>
    <w:rsid w:val="00C6016B"/>
    <w:rsid w:val="00C60397"/>
    <w:rsid w:val="00C605B9"/>
    <w:rsid w:val="00C60951"/>
    <w:rsid w:val="00C610AD"/>
    <w:rsid w:val="00C617C0"/>
    <w:rsid w:val="00C617DC"/>
    <w:rsid w:val="00C61B52"/>
    <w:rsid w:val="00C62CCE"/>
    <w:rsid w:val="00C635F0"/>
    <w:rsid w:val="00C637F1"/>
    <w:rsid w:val="00C63F8A"/>
    <w:rsid w:val="00C64017"/>
    <w:rsid w:val="00C648AD"/>
    <w:rsid w:val="00C649C2"/>
    <w:rsid w:val="00C65107"/>
    <w:rsid w:val="00C65D39"/>
    <w:rsid w:val="00C6624B"/>
    <w:rsid w:val="00C66477"/>
    <w:rsid w:val="00C6667E"/>
    <w:rsid w:val="00C67326"/>
    <w:rsid w:val="00C67715"/>
    <w:rsid w:val="00C700E3"/>
    <w:rsid w:val="00C703B3"/>
    <w:rsid w:val="00C704B6"/>
    <w:rsid w:val="00C705F9"/>
    <w:rsid w:val="00C71123"/>
    <w:rsid w:val="00C714BF"/>
    <w:rsid w:val="00C7166C"/>
    <w:rsid w:val="00C717E3"/>
    <w:rsid w:val="00C71832"/>
    <w:rsid w:val="00C71F65"/>
    <w:rsid w:val="00C723E2"/>
    <w:rsid w:val="00C72F90"/>
    <w:rsid w:val="00C73053"/>
    <w:rsid w:val="00C7362C"/>
    <w:rsid w:val="00C737DF"/>
    <w:rsid w:val="00C738F8"/>
    <w:rsid w:val="00C73981"/>
    <w:rsid w:val="00C739DC"/>
    <w:rsid w:val="00C73D2F"/>
    <w:rsid w:val="00C73E75"/>
    <w:rsid w:val="00C741FF"/>
    <w:rsid w:val="00C74A54"/>
    <w:rsid w:val="00C74EE8"/>
    <w:rsid w:val="00C74F96"/>
    <w:rsid w:val="00C75349"/>
    <w:rsid w:val="00C7556D"/>
    <w:rsid w:val="00C7561D"/>
    <w:rsid w:val="00C7591C"/>
    <w:rsid w:val="00C75F95"/>
    <w:rsid w:val="00C75FD4"/>
    <w:rsid w:val="00C76007"/>
    <w:rsid w:val="00C762C5"/>
    <w:rsid w:val="00C76335"/>
    <w:rsid w:val="00C7649B"/>
    <w:rsid w:val="00C76570"/>
    <w:rsid w:val="00C76B79"/>
    <w:rsid w:val="00C77AA9"/>
    <w:rsid w:val="00C80005"/>
    <w:rsid w:val="00C802C3"/>
    <w:rsid w:val="00C803E9"/>
    <w:rsid w:val="00C8046F"/>
    <w:rsid w:val="00C80531"/>
    <w:rsid w:val="00C805AA"/>
    <w:rsid w:val="00C80B23"/>
    <w:rsid w:val="00C80E29"/>
    <w:rsid w:val="00C81104"/>
    <w:rsid w:val="00C81297"/>
    <w:rsid w:val="00C812CD"/>
    <w:rsid w:val="00C8207B"/>
    <w:rsid w:val="00C821A1"/>
    <w:rsid w:val="00C822B3"/>
    <w:rsid w:val="00C823DB"/>
    <w:rsid w:val="00C8255B"/>
    <w:rsid w:val="00C8256B"/>
    <w:rsid w:val="00C82779"/>
    <w:rsid w:val="00C827BE"/>
    <w:rsid w:val="00C82807"/>
    <w:rsid w:val="00C82D6C"/>
    <w:rsid w:val="00C82FCE"/>
    <w:rsid w:val="00C82FE1"/>
    <w:rsid w:val="00C83260"/>
    <w:rsid w:val="00C83474"/>
    <w:rsid w:val="00C83594"/>
    <w:rsid w:val="00C8372E"/>
    <w:rsid w:val="00C83784"/>
    <w:rsid w:val="00C8399E"/>
    <w:rsid w:val="00C83DC5"/>
    <w:rsid w:val="00C83ECA"/>
    <w:rsid w:val="00C83FC2"/>
    <w:rsid w:val="00C841AA"/>
    <w:rsid w:val="00C84577"/>
    <w:rsid w:val="00C85053"/>
    <w:rsid w:val="00C8540A"/>
    <w:rsid w:val="00C85698"/>
    <w:rsid w:val="00C85935"/>
    <w:rsid w:val="00C85975"/>
    <w:rsid w:val="00C85EF2"/>
    <w:rsid w:val="00C864DD"/>
    <w:rsid w:val="00C86810"/>
    <w:rsid w:val="00C86BB9"/>
    <w:rsid w:val="00C86BCB"/>
    <w:rsid w:val="00C86F03"/>
    <w:rsid w:val="00C871B3"/>
    <w:rsid w:val="00C873D7"/>
    <w:rsid w:val="00C873FF"/>
    <w:rsid w:val="00C875E9"/>
    <w:rsid w:val="00C87D72"/>
    <w:rsid w:val="00C9005E"/>
    <w:rsid w:val="00C90F3E"/>
    <w:rsid w:val="00C9101E"/>
    <w:rsid w:val="00C9195E"/>
    <w:rsid w:val="00C9212C"/>
    <w:rsid w:val="00C9248C"/>
    <w:rsid w:val="00C92620"/>
    <w:rsid w:val="00C927A8"/>
    <w:rsid w:val="00C929F8"/>
    <w:rsid w:val="00C92CA0"/>
    <w:rsid w:val="00C936ED"/>
    <w:rsid w:val="00C93926"/>
    <w:rsid w:val="00C9395F"/>
    <w:rsid w:val="00C93E1B"/>
    <w:rsid w:val="00C93F1F"/>
    <w:rsid w:val="00C93F69"/>
    <w:rsid w:val="00C93FC1"/>
    <w:rsid w:val="00C94003"/>
    <w:rsid w:val="00C941F0"/>
    <w:rsid w:val="00C94200"/>
    <w:rsid w:val="00C94604"/>
    <w:rsid w:val="00C94C55"/>
    <w:rsid w:val="00C94FA4"/>
    <w:rsid w:val="00C94FBD"/>
    <w:rsid w:val="00C95204"/>
    <w:rsid w:val="00C9559B"/>
    <w:rsid w:val="00C95B0E"/>
    <w:rsid w:val="00C95E78"/>
    <w:rsid w:val="00C96246"/>
    <w:rsid w:val="00C9691A"/>
    <w:rsid w:val="00C96FEB"/>
    <w:rsid w:val="00C97611"/>
    <w:rsid w:val="00C97C14"/>
    <w:rsid w:val="00C97F33"/>
    <w:rsid w:val="00CA023C"/>
    <w:rsid w:val="00CA047F"/>
    <w:rsid w:val="00CA0ABC"/>
    <w:rsid w:val="00CA0BE0"/>
    <w:rsid w:val="00CA11B6"/>
    <w:rsid w:val="00CA1225"/>
    <w:rsid w:val="00CA1413"/>
    <w:rsid w:val="00CA1970"/>
    <w:rsid w:val="00CA1DDE"/>
    <w:rsid w:val="00CA1E18"/>
    <w:rsid w:val="00CA2497"/>
    <w:rsid w:val="00CA346D"/>
    <w:rsid w:val="00CA36ED"/>
    <w:rsid w:val="00CA391A"/>
    <w:rsid w:val="00CA3CE2"/>
    <w:rsid w:val="00CA3D06"/>
    <w:rsid w:val="00CA3FE4"/>
    <w:rsid w:val="00CA4BA8"/>
    <w:rsid w:val="00CA54AC"/>
    <w:rsid w:val="00CA57AD"/>
    <w:rsid w:val="00CA591D"/>
    <w:rsid w:val="00CA6077"/>
    <w:rsid w:val="00CA6554"/>
    <w:rsid w:val="00CA689C"/>
    <w:rsid w:val="00CA6976"/>
    <w:rsid w:val="00CA6B90"/>
    <w:rsid w:val="00CA6CA9"/>
    <w:rsid w:val="00CA6E7D"/>
    <w:rsid w:val="00CA6EF6"/>
    <w:rsid w:val="00CA7639"/>
    <w:rsid w:val="00CA7756"/>
    <w:rsid w:val="00CA79C1"/>
    <w:rsid w:val="00CB0028"/>
    <w:rsid w:val="00CB0308"/>
    <w:rsid w:val="00CB04B6"/>
    <w:rsid w:val="00CB098D"/>
    <w:rsid w:val="00CB0A77"/>
    <w:rsid w:val="00CB0EB8"/>
    <w:rsid w:val="00CB0F9D"/>
    <w:rsid w:val="00CB10D6"/>
    <w:rsid w:val="00CB1574"/>
    <w:rsid w:val="00CB226F"/>
    <w:rsid w:val="00CB2971"/>
    <w:rsid w:val="00CB2BB1"/>
    <w:rsid w:val="00CB2BF7"/>
    <w:rsid w:val="00CB3253"/>
    <w:rsid w:val="00CB3466"/>
    <w:rsid w:val="00CB3699"/>
    <w:rsid w:val="00CB4087"/>
    <w:rsid w:val="00CB4089"/>
    <w:rsid w:val="00CB4599"/>
    <w:rsid w:val="00CB48B4"/>
    <w:rsid w:val="00CB4A00"/>
    <w:rsid w:val="00CB4D45"/>
    <w:rsid w:val="00CB51BD"/>
    <w:rsid w:val="00CB5507"/>
    <w:rsid w:val="00CB57A2"/>
    <w:rsid w:val="00CB58A5"/>
    <w:rsid w:val="00CB5E5C"/>
    <w:rsid w:val="00CB69DF"/>
    <w:rsid w:val="00CB7040"/>
    <w:rsid w:val="00CB74EC"/>
    <w:rsid w:val="00CB7718"/>
    <w:rsid w:val="00CB77CA"/>
    <w:rsid w:val="00CB7F69"/>
    <w:rsid w:val="00CC030B"/>
    <w:rsid w:val="00CC033D"/>
    <w:rsid w:val="00CC0790"/>
    <w:rsid w:val="00CC0ABC"/>
    <w:rsid w:val="00CC11E9"/>
    <w:rsid w:val="00CC14B1"/>
    <w:rsid w:val="00CC1556"/>
    <w:rsid w:val="00CC1CBF"/>
    <w:rsid w:val="00CC2151"/>
    <w:rsid w:val="00CC2422"/>
    <w:rsid w:val="00CC296B"/>
    <w:rsid w:val="00CC2990"/>
    <w:rsid w:val="00CC2A36"/>
    <w:rsid w:val="00CC3252"/>
    <w:rsid w:val="00CC33AC"/>
    <w:rsid w:val="00CC3B17"/>
    <w:rsid w:val="00CC422C"/>
    <w:rsid w:val="00CC426F"/>
    <w:rsid w:val="00CC4355"/>
    <w:rsid w:val="00CC493C"/>
    <w:rsid w:val="00CC49DB"/>
    <w:rsid w:val="00CC4ADC"/>
    <w:rsid w:val="00CC513C"/>
    <w:rsid w:val="00CC52F5"/>
    <w:rsid w:val="00CC539C"/>
    <w:rsid w:val="00CC572A"/>
    <w:rsid w:val="00CC57E0"/>
    <w:rsid w:val="00CC5C5D"/>
    <w:rsid w:val="00CC5CB7"/>
    <w:rsid w:val="00CC5F43"/>
    <w:rsid w:val="00CC6074"/>
    <w:rsid w:val="00CC6342"/>
    <w:rsid w:val="00CC6ADE"/>
    <w:rsid w:val="00CC6D5E"/>
    <w:rsid w:val="00CC6EFD"/>
    <w:rsid w:val="00CC701A"/>
    <w:rsid w:val="00CC7118"/>
    <w:rsid w:val="00CC7635"/>
    <w:rsid w:val="00CC7A1F"/>
    <w:rsid w:val="00CC7E82"/>
    <w:rsid w:val="00CD0067"/>
    <w:rsid w:val="00CD0ACF"/>
    <w:rsid w:val="00CD0DC2"/>
    <w:rsid w:val="00CD1424"/>
    <w:rsid w:val="00CD1DD2"/>
    <w:rsid w:val="00CD2039"/>
    <w:rsid w:val="00CD234D"/>
    <w:rsid w:val="00CD2AF8"/>
    <w:rsid w:val="00CD3050"/>
    <w:rsid w:val="00CD3140"/>
    <w:rsid w:val="00CD3177"/>
    <w:rsid w:val="00CD31AC"/>
    <w:rsid w:val="00CD3DA5"/>
    <w:rsid w:val="00CD40E2"/>
    <w:rsid w:val="00CD4276"/>
    <w:rsid w:val="00CD47A4"/>
    <w:rsid w:val="00CD54F8"/>
    <w:rsid w:val="00CD57A7"/>
    <w:rsid w:val="00CD58E8"/>
    <w:rsid w:val="00CD6207"/>
    <w:rsid w:val="00CD628C"/>
    <w:rsid w:val="00CD63FD"/>
    <w:rsid w:val="00CD651A"/>
    <w:rsid w:val="00CD653A"/>
    <w:rsid w:val="00CD6619"/>
    <w:rsid w:val="00CD6DAC"/>
    <w:rsid w:val="00CD6F56"/>
    <w:rsid w:val="00CD7176"/>
    <w:rsid w:val="00CD78B4"/>
    <w:rsid w:val="00CE01B8"/>
    <w:rsid w:val="00CE0681"/>
    <w:rsid w:val="00CE0A86"/>
    <w:rsid w:val="00CE0F21"/>
    <w:rsid w:val="00CE0F50"/>
    <w:rsid w:val="00CE1165"/>
    <w:rsid w:val="00CE128E"/>
    <w:rsid w:val="00CE181E"/>
    <w:rsid w:val="00CE1B0B"/>
    <w:rsid w:val="00CE1D04"/>
    <w:rsid w:val="00CE2C76"/>
    <w:rsid w:val="00CE2D24"/>
    <w:rsid w:val="00CE35DA"/>
    <w:rsid w:val="00CE3BDB"/>
    <w:rsid w:val="00CE3EDF"/>
    <w:rsid w:val="00CE4102"/>
    <w:rsid w:val="00CE4246"/>
    <w:rsid w:val="00CE4344"/>
    <w:rsid w:val="00CE456B"/>
    <w:rsid w:val="00CE462C"/>
    <w:rsid w:val="00CE489A"/>
    <w:rsid w:val="00CE4A25"/>
    <w:rsid w:val="00CE4BAE"/>
    <w:rsid w:val="00CE4ED9"/>
    <w:rsid w:val="00CE5578"/>
    <w:rsid w:val="00CE5FD3"/>
    <w:rsid w:val="00CE6486"/>
    <w:rsid w:val="00CE7241"/>
    <w:rsid w:val="00CE7355"/>
    <w:rsid w:val="00CE7833"/>
    <w:rsid w:val="00CE7858"/>
    <w:rsid w:val="00CE7B29"/>
    <w:rsid w:val="00CF01AD"/>
    <w:rsid w:val="00CF02D6"/>
    <w:rsid w:val="00CF0341"/>
    <w:rsid w:val="00CF05BA"/>
    <w:rsid w:val="00CF05E4"/>
    <w:rsid w:val="00CF0776"/>
    <w:rsid w:val="00CF0893"/>
    <w:rsid w:val="00CF0BA1"/>
    <w:rsid w:val="00CF0EBE"/>
    <w:rsid w:val="00CF1615"/>
    <w:rsid w:val="00CF1626"/>
    <w:rsid w:val="00CF194A"/>
    <w:rsid w:val="00CF1A91"/>
    <w:rsid w:val="00CF1B80"/>
    <w:rsid w:val="00CF1F22"/>
    <w:rsid w:val="00CF224B"/>
    <w:rsid w:val="00CF22A1"/>
    <w:rsid w:val="00CF26C0"/>
    <w:rsid w:val="00CF29A7"/>
    <w:rsid w:val="00CF2EE8"/>
    <w:rsid w:val="00CF2EFF"/>
    <w:rsid w:val="00CF2F8F"/>
    <w:rsid w:val="00CF3D9B"/>
    <w:rsid w:val="00CF3E00"/>
    <w:rsid w:val="00CF3FA8"/>
    <w:rsid w:val="00CF4000"/>
    <w:rsid w:val="00CF420F"/>
    <w:rsid w:val="00CF4746"/>
    <w:rsid w:val="00CF4B19"/>
    <w:rsid w:val="00CF4B81"/>
    <w:rsid w:val="00CF4B8A"/>
    <w:rsid w:val="00CF58AD"/>
    <w:rsid w:val="00CF5E64"/>
    <w:rsid w:val="00CF600F"/>
    <w:rsid w:val="00CF6698"/>
    <w:rsid w:val="00CF6BD8"/>
    <w:rsid w:val="00CF74BC"/>
    <w:rsid w:val="00CF7760"/>
    <w:rsid w:val="00CF7A09"/>
    <w:rsid w:val="00CF7F7F"/>
    <w:rsid w:val="00D00391"/>
    <w:rsid w:val="00D005B4"/>
    <w:rsid w:val="00D008DA"/>
    <w:rsid w:val="00D00AD1"/>
    <w:rsid w:val="00D00C98"/>
    <w:rsid w:val="00D0134D"/>
    <w:rsid w:val="00D01519"/>
    <w:rsid w:val="00D017D1"/>
    <w:rsid w:val="00D01C70"/>
    <w:rsid w:val="00D024BB"/>
    <w:rsid w:val="00D025D2"/>
    <w:rsid w:val="00D02677"/>
    <w:rsid w:val="00D02694"/>
    <w:rsid w:val="00D02F7C"/>
    <w:rsid w:val="00D02FDD"/>
    <w:rsid w:val="00D0336B"/>
    <w:rsid w:val="00D03754"/>
    <w:rsid w:val="00D03B05"/>
    <w:rsid w:val="00D03BC3"/>
    <w:rsid w:val="00D03D8B"/>
    <w:rsid w:val="00D03FC1"/>
    <w:rsid w:val="00D0451F"/>
    <w:rsid w:val="00D04F94"/>
    <w:rsid w:val="00D05140"/>
    <w:rsid w:val="00D052C4"/>
    <w:rsid w:val="00D053AB"/>
    <w:rsid w:val="00D05749"/>
    <w:rsid w:val="00D05830"/>
    <w:rsid w:val="00D0589B"/>
    <w:rsid w:val="00D05ACE"/>
    <w:rsid w:val="00D05EE8"/>
    <w:rsid w:val="00D0678C"/>
    <w:rsid w:val="00D06C79"/>
    <w:rsid w:val="00D06CBA"/>
    <w:rsid w:val="00D075E3"/>
    <w:rsid w:val="00D0771D"/>
    <w:rsid w:val="00D10309"/>
    <w:rsid w:val="00D1031B"/>
    <w:rsid w:val="00D1042B"/>
    <w:rsid w:val="00D10475"/>
    <w:rsid w:val="00D105C0"/>
    <w:rsid w:val="00D109EE"/>
    <w:rsid w:val="00D10DC6"/>
    <w:rsid w:val="00D1114E"/>
    <w:rsid w:val="00D1154E"/>
    <w:rsid w:val="00D1173D"/>
    <w:rsid w:val="00D11C38"/>
    <w:rsid w:val="00D11CD8"/>
    <w:rsid w:val="00D11E39"/>
    <w:rsid w:val="00D124F7"/>
    <w:rsid w:val="00D128C5"/>
    <w:rsid w:val="00D12B16"/>
    <w:rsid w:val="00D134E5"/>
    <w:rsid w:val="00D13508"/>
    <w:rsid w:val="00D136AD"/>
    <w:rsid w:val="00D13869"/>
    <w:rsid w:val="00D13D4B"/>
    <w:rsid w:val="00D1427C"/>
    <w:rsid w:val="00D14617"/>
    <w:rsid w:val="00D14921"/>
    <w:rsid w:val="00D149D3"/>
    <w:rsid w:val="00D149DF"/>
    <w:rsid w:val="00D149F2"/>
    <w:rsid w:val="00D14E2F"/>
    <w:rsid w:val="00D15181"/>
    <w:rsid w:val="00D1559E"/>
    <w:rsid w:val="00D1573F"/>
    <w:rsid w:val="00D15937"/>
    <w:rsid w:val="00D15B4A"/>
    <w:rsid w:val="00D1656A"/>
    <w:rsid w:val="00D168A2"/>
    <w:rsid w:val="00D16F22"/>
    <w:rsid w:val="00D1701A"/>
    <w:rsid w:val="00D17153"/>
    <w:rsid w:val="00D171A7"/>
    <w:rsid w:val="00D171D5"/>
    <w:rsid w:val="00D17510"/>
    <w:rsid w:val="00D17780"/>
    <w:rsid w:val="00D2038A"/>
    <w:rsid w:val="00D20E88"/>
    <w:rsid w:val="00D20EC5"/>
    <w:rsid w:val="00D21486"/>
    <w:rsid w:val="00D224B1"/>
    <w:rsid w:val="00D22710"/>
    <w:rsid w:val="00D2361A"/>
    <w:rsid w:val="00D23925"/>
    <w:rsid w:val="00D23AF0"/>
    <w:rsid w:val="00D23DC4"/>
    <w:rsid w:val="00D24634"/>
    <w:rsid w:val="00D249C0"/>
    <w:rsid w:val="00D24C3A"/>
    <w:rsid w:val="00D24EFE"/>
    <w:rsid w:val="00D24F5D"/>
    <w:rsid w:val="00D25262"/>
    <w:rsid w:val="00D25368"/>
    <w:rsid w:val="00D253F8"/>
    <w:rsid w:val="00D25401"/>
    <w:rsid w:val="00D25B4C"/>
    <w:rsid w:val="00D261AA"/>
    <w:rsid w:val="00D26319"/>
    <w:rsid w:val="00D2674A"/>
    <w:rsid w:val="00D26973"/>
    <w:rsid w:val="00D269B7"/>
    <w:rsid w:val="00D26D30"/>
    <w:rsid w:val="00D26E73"/>
    <w:rsid w:val="00D26E98"/>
    <w:rsid w:val="00D270AF"/>
    <w:rsid w:val="00D27652"/>
    <w:rsid w:val="00D2769B"/>
    <w:rsid w:val="00D3003E"/>
    <w:rsid w:val="00D30237"/>
    <w:rsid w:val="00D30242"/>
    <w:rsid w:val="00D30618"/>
    <w:rsid w:val="00D3083D"/>
    <w:rsid w:val="00D30A09"/>
    <w:rsid w:val="00D30B18"/>
    <w:rsid w:val="00D30B8A"/>
    <w:rsid w:val="00D30CB9"/>
    <w:rsid w:val="00D30DD9"/>
    <w:rsid w:val="00D3122E"/>
    <w:rsid w:val="00D3125A"/>
    <w:rsid w:val="00D3187C"/>
    <w:rsid w:val="00D31B57"/>
    <w:rsid w:val="00D31E70"/>
    <w:rsid w:val="00D31FDA"/>
    <w:rsid w:val="00D32B3A"/>
    <w:rsid w:val="00D32C52"/>
    <w:rsid w:val="00D32CB2"/>
    <w:rsid w:val="00D331BA"/>
    <w:rsid w:val="00D33276"/>
    <w:rsid w:val="00D33458"/>
    <w:rsid w:val="00D34507"/>
    <w:rsid w:val="00D34535"/>
    <w:rsid w:val="00D345C9"/>
    <w:rsid w:val="00D3462F"/>
    <w:rsid w:val="00D346BE"/>
    <w:rsid w:val="00D34C1B"/>
    <w:rsid w:val="00D34C7C"/>
    <w:rsid w:val="00D34C82"/>
    <w:rsid w:val="00D35124"/>
    <w:rsid w:val="00D3556C"/>
    <w:rsid w:val="00D35589"/>
    <w:rsid w:val="00D358B7"/>
    <w:rsid w:val="00D35E64"/>
    <w:rsid w:val="00D35F03"/>
    <w:rsid w:val="00D35F61"/>
    <w:rsid w:val="00D3608F"/>
    <w:rsid w:val="00D363EA"/>
    <w:rsid w:val="00D367FB"/>
    <w:rsid w:val="00D36AAF"/>
    <w:rsid w:val="00D36CAE"/>
    <w:rsid w:val="00D37227"/>
    <w:rsid w:val="00D37BE8"/>
    <w:rsid w:val="00D4001C"/>
    <w:rsid w:val="00D4001E"/>
    <w:rsid w:val="00D400A9"/>
    <w:rsid w:val="00D400C3"/>
    <w:rsid w:val="00D4022F"/>
    <w:rsid w:val="00D404E3"/>
    <w:rsid w:val="00D406D4"/>
    <w:rsid w:val="00D407F1"/>
    <w:rsid w:val="00D409A5"/>
    <w:rsid w:val="00D409F6"/>
    <w:rsid w:val="00D40D1B"/>
    <w:rsid w:val="00D40DEF"/>
    <w:rsid w:val="00D40E22"/>
    <w:rsid w:val="00D411FC"/>
    <w:rsid w:val="00D41B63"/>
    <w:rsid w:val="00D41EA2"/>
    <w:rsid w:val="00D41F16"/>
    <w:rsid w:val="00D427E8"/>
    <w:rsid w:val="00D42DBD"/>
    <w:rsid w:val="00D42F82"/>
    <w:rsid w:val="00D431F5"/>
    <w:rsid w:val="00D43350"/>
    <w:rsid w:val="00D4354F"/>
    <w:rsid w:val="00D437F7"/>
    <w:rsid w:val="00D43EE0"/>
    <w:rsid w:val="00D43F37"/>
    <w:rsid w:val="00D44217"/>
    <w:rsid w:val="00D443A1"/>
    <w:rsid w:val="00D4452C"/>
    <w:rsid w:val="00D445CF"/>
    <w:rsid w:val="00D447EA"/>
    <w:rsid w:val="00D44883"/>
    <w:rsid w:val="00D44AC7"/>
    <w:rsid w:val="00D44C46"/>
    <w:rsid w:val="00D44D7C"/>
    <w:rsid w:val="00D44D7D"/>
    <w:rsid w:val="00D456AF"/>
    <w:rsid w:val="00D45787"/>
    <w:rsid w:val="00D45BC6"/>
    <w:rsid w:val="00D45C40"/>
    <w:rsid w:val="00D46502"/>
    <w:rsid w:val="00D46A93"/>
    <w:rsid w:val="00D46C45"/>
    <w:rsid w:val="00D46CE9"/>
    <w:rsid w:val="00D47232"/>
    <w:rsid w:val="00D47618"/>
    <w:rsid w:val="00D47F96"/>
    <w:rsid w:val="00D47FAF"/>
    <w:rsid w:val="00D502A1"/>
    <w:rsid w:val="00D502E6"/>
    <w:rsid w:val="00D505BB"/>
    <w:rsid w:val="00D50B17"/>
    <w:rsid w:val="00D50BE2"/>
    <w:rsid w:val="00D512AB"/>
    <w:rsid w:val="00D51658"/>
    <w:rsid w:val="00D517DD"/>
    <w:rsid w:val="00D51D9D"/>
    <w:rsid w:val="00D51DC0"/>
    <w:rsid w:val="00D51DC1"/>
    <w:rsid w:val="00D521CC"/>
    <w:rsid w:val="00D52644"/>
    <w:rsid w:val="00D5264F"/>
    <w:rsid w:val="00D5272D"/>
    <w:rsid w:val="00D52A41"/>
    <w:rsid w:val="00D52C10"/>
    <w:rsid w:val="00D52C63"/>
    <w:rsid w:val="00D52E0C"/>
    <w:rsid w:val="00D5351B"/>
    <w:rsid w:val="00D5380B"/>
    <w:rsid w:val="00D53DF1"/>
    <w:rsid w:val="00D5444B"/>
    <w:rsid w:val="00D54485"/>
    <w:rsid w:val="00D54520"/>
    <w:rsid w:val="00D5520A"/>
    <w:rsid w:val="00D555B2"/>
    <w:rsid w:val="00D55669"/>
    <w:rsid w:val="00D5581B"/>
    <w:rsid w:val="00D559EB"/>
    <w:rsid w:val="00D5684D"/>
    <w:rsid w:val="00D569F6"/>
    <w:rsid w:val="00D56F7E"/>
    <w:rsid w:val="00D5728F"/>
    <w:rsid w:val="00D57589"/>
    <w:rsid w:val="00D575D4"/>
    <w:rsid w:val="00D575F5"/>
    <w:rsid w:val="00D576AB"/>
    <w:rsid w:val="00D57AFC"/>
    <w:rsid w:val="00D57C1A"/>
    <w:rsid w:val="00D57E46"/>
    <w:rsid w:val="00D60DB1"/>
    <w:rsid w:val="00D6169A"/>
    <w:rsid w:val="00D617E3"/>
    <w:rsid w:val="00D6184A"/>
    <w:rsid w:val="00D618AC"/>
    <w:rsid w:val="00D61BD0"/>
    <w:rsid w:val="00D6221E"/>
    <w:rsid w:val="00D62344"/>
    <w:rsid w:val="00D625F6"/>
    <w:rsid w:val="00D62A0D"/>
    <w:rsid w:val="00D62BD4"/>
    <w:rsid w:val="00D62CBC"/>
    <w:rsid w:val="00D631DE"/>
    <w:rsid w:val="00D634B4"/>
    <w:rsid w:val="00D63FC8"/>
    <w:rsid w:val="00D647D3"/>
    <w:rsid w:val="00D64C36"/>
    <w:rsid w:val="00D64EA5"/>
    <w:rsid w:val="00D6508F"/>
    <w:rsid w:val="00D654D2"/>
    <w:rsid w:val="00D656D1"/>
    <w:rsid w:val="00D65B57"/>
    <w:rsid w:val="00D65CE1"/>
    <w:rsid w:val="00D6605C"/>
    <w:rsid w:val="00D663B3"/>
    <w:rsid w:val="00D666EB"/>
    <w:rsid w:val="00D66855"/>
    <w:rsid w:val="00D66E06"/>
    <w:rsid w:val="00D67324"/>
    <w:rsid w:val="00D67FA1"/>
    <w:rsid w:val="00D70348"/>
    <w:rsid w:val="00D70D28"/>
    <w:rsid w:val="00D70E81"/>
    <w:rsid w:val="00D7127F"/>
    <w:rsid w:val="00D71A4C"/>
    <w:rsid w:val="00D71B8C"/>
    <w:rsid w:val="00D71CF4"/>
    <w:rsid w:val="00D71D31"/>
    <w:rsid w:val="00D71F6C"/>
    <w:rsid w:val="00D720B2"/>
    <w:rsid w:val="00D72104"/>
    <w:rsid w:val="00D72130"/>
    <w:rsid w:val="00D723B4"/>
    <w:rsid w:val="00D725DF"/>
    <w:rsid w:val="00D728DA"/>
    <w:rsid w:val="00D72E17"/>
    <w:rsid w:val="00D7356D"/>
    <w:rsid w:val="00D73678"/>
    <w:rsid w:val="00D73BB8"/>
    <w:rsid w:val="00D746C4"/>
    <w:rsid w:val="00D753D7"/>
    <w:rsid w:val="00D75674"/>
    <w:rsid w:val="00D75E1F"/>
    <w:rsid w:val="00D766C3"/>
    <w:rsid w:val="00D76744"/>
    <w:rsid w:val="00D7684F"/>
    <w:rsid w:val="00D76A62"/>
    <w:rsid w:val="00D76C73"/>
    <w:rsid w:val="00D77A20"/>
    <w:rsid w:val="00D77D56"/>
    <w:rsid w:val="00D8068B"/>
    <w:rsid w:val="00D80893"/>
    <w:rsid w:val="00D80C9E"/>
    <w:rsid w:val="00D810AA"/>
    <w:rsid w:val="00D81447"/>
    <w:rsid w:val="00D81598"/>
    <w:rsid w:val="00D816BE"/>
    <w:rsid w:val="00D818E2"/>
    <w:rsid w:val="00D819DC"/>
    <w:rsid w:val="00D823F5"/>
    <w:rsid w:val="00D8269C"/>
    <w:rsid w:val="00D82A9D"/>
    <w:rsid w:val="00D82B4E"/>
    <w:rsid w:val="00D82CCC"/>
    <w:rsid w:val="00D82D4A"/>
    <w:rsid w:val="00D82EE0"/>
    <w:rsid w:val="00D83262"/>
    <w:rsid w:val="00D837AB"/>
    <w:rsid w:val="00D838A7"/>
    <w:rsid w:val="00D8393E"/>
    <w:rsid w:val="00D839A5"/>
    <w:rsid w:val="00D83B52"/>
    <w:rsid w:val="00D84590"/>
    <w:rsid w:val="00D85138"/>
    <w:rsid w:val="00D852E3"/>
    <w:rsid w:val="00D85674"/>
    <w:rsid w:val="00D859C0"/>
    <w:rsid w:val="00D85F67"/>
    <w:rsid w:val="00D86642"/>
    <w:rsid w:val="00D866A5"/>
    <w:rsid w:val="00D866D2"/>
    <w:rsid w:val="00D86B46"/>
    <w:rsid w:val="00D86BA7"/>
    <w:rsid w:val="00D86CD7"/>
    <w:rsid w:val="00D86DE6"/>
    <w:rsid w:val="00D87BD2"/>
    <w:rsid w:val="00D87E1F"/>
    <w:rsid w:val="00D9086F"/>
    <w:rsid w:val="00D90BDF"/>
    <w:rsid w:val="00D90C10"/>
    <w:rsid w:val="00D910E3"/>
    <w:rsid w:val="00D91150"/>
    <w:rsid w:val="00D9129F"/>
    <w:rsid w:val="00D91A25"/>
    <w:rsid w:val="00D91FA4"/>
    <w:rsid w:val="00D9201A"/>
    <w:rsid w:val="00D92458"/>
    <w:rsid w:val="00D92818"/>
    <w:rsid w:val="00D92B2B"/>
    <w:rsid w:val="00D92B59"/>
    <w:rsid w:val="00D93326"/>
    <w:rsid w:val="00D938CE"/>
    <w:rsid w:val="00D939D5"/>
    <w:rsid w:val="00D93C2F"/>
    <w:rsid w:val="00D93F11"/>
    <w:rsid w:val="00D94200"/>
    <w:rsid w:val="00D944A1"/>
    <w:rsid w:val="00D94607"/>
    <w:rsid w:val="00D95046"/>
    <w:rsid w:val="00D95058"/>
    <w:rsid w:val="00D95071"/>
    <w:rsid w:val="00D952BA"/>
    <w:rsid w:val="00D9531F"/>
    <w:rsid w:val="00D956F9"/>
    <w:rsid w:val="00D95738"/>
    <w:rsid w:val="00D964D7"/>
    <w:rsid w:val="00D965FC"/>
    <w:rsid w:val="00D969C5"/>
    <w:rsid w:val="00D96CDD"/>
    <w:rsid w:val="00D9756A"/>
    <w:rsid w:val="00DA01FC"/>
    <w:rsid w:val="00DA085A"/>
    <w:rsid w:val="00DA0A8C"/>
    <w:rsid w:val="00DA0B24"/>
    <w:rsid w:val="00DA0E63"/>
    <w:rsid w:val="00DA1240"/>
    <w:rsid w:val="00DA1404"/>
    <w:rsid w:val="00DA15A7"/>
    <w:rsid w:val="00DA15B5"/>
    <w:rsid w:val="00DA1675"/>
    <w:rsid w:val="00DA16D7"/>
    <w:rsid w:val="00DA172F"/>
    <w:rsid w:val="00DA174A"/>
    <w:rsid w:val="00DA2153"/>
    <w:rsid w:val="00DA21BD"/>
    <w:rsid w:val="00DA2496"/>
    <w:rsid w:val="00DA25A0"/>
    <w:rsid w:val="00DA2B1F"/>
    <w:rsid w:val="00DA2E2C"/>
    <w:rsid w:val="00DA2FA5"/>
    <w:rsid w:val="00DA30D1"/>
    <w:rsid w:val="00DA3305"/>
    <w:rsid w:val="00DA3660"/>
    <w:rsid w:val="00DA378B"/>
    <w:rsid w:val="00DA3B4D"/>
    <w:rsid w:val="00DA43CD"/>
    <w:rsid w:val="00DA46A9"/>
    <w:rsid w:val="00DA4C65"/>
    <w:rsid w:val="00DA4D19"/>
    <w:rsid w:val="00DA4F56"/>
    <w:rsid w:val="00DA5B3B"/>
    <w:rsid w:val="00DA6372"/>
    <w:rsid w:val="00DA6507"/>
    <w:rsid w:val="00DA65DA"/>
    <w:rsid w:val="00DA6770"/>
    <w:rsid w:val="00DA6867"/>
    <w:rsid w:val="00DA6915"/>
    <w:rsid w:val="00DA6BDF"/>
    <w:rsid w:val="00DA6D48"/>
    <w:rsid w:val="00DA716F"/>
    <w:rsid w:val="00DA76F9"/>
    <w:rsid w:val="00DA7976"/>
    <w:rsid w:val="00DA79AA"/>
    <w:rsid w:val="00DA7C3B"/>
    <w:rsid w:val="00DB02F0"/>
    <w:rsid w:val="00DB03E2"/>
    <w:rsid w:val="00DB08C8"/>
    <w:rsid w:val="00DB0B02"/>
    <w:rsid w:val="00DB1037"/>
    <w:rsid w:val="00DB15D7"/>
    <w:rsid w:val="00DB17A9"/>
    <w:rsid w:val="00DB1B84"/>
    <w:rsid w:val="00DB1C13"/>
    <w:rsid w:val="00DB1CD0"/>
    <w:rsid w:val="00DB20A7"/>
    <w:rsid w:val="00DB2386"/>
    <w:rsid w:val="00DB24FC"/>
    <w:rsid w:val="00DB26A5"/>
    <w:rsid w:val="00DB2E81"/>
    <w:rsid w:val="00DB2FD7"/>
    <w:rsid w:val="00DB3460"/>
    <w:rsid w:val="00DB388C"/>
    <w:rsid w:val="00DB399F"/>
    <w:rsid w:val="00DB3D5C"/>
    <w:rsid w:val="00DB3E23"/>
    <w:rsid w:val="00DB3FE3"/>
    <w:rsid w:val="00DB43F2"/>
    <w:rsid w:val="00DB4739"/>
    <w:rsid w:val="00DB4A47"/>
    <w:rsid w:val="00DB4B73"/>
    <w:rsid w:val="00DB4E12"/>
    <w:rsid w:val="00DB4E40"/>
    <w:rsid w:val="00DB4E63"/>
    <w:rsid w:val="00DB521C"/>
    <w:rsid w:val="00DB547E"/>
    <w:rsid w:val="00DB5781"/>
    <w:rsid w:val="00DB5985"/>
    <w:rsid w:val="00DB5CA0"/>
    <w:rsid w:val="00DB5DFF"/>
    <w:rsid w:val="00DB618D"/>
    <w:rsid w:val="00DB6192"/>
    <w:rsid w:val="00DB6260"/>
    <w:rsid w:val="00DB6A1E"/>
    <w:rsid w:val="00DB6B11"/>
    <w:rsid w:val="00DB6B4A"/>
    <w:rsid w:val="00DB7573"/>
    <w:rsid w:val="00DB7849"/>
    <w:rsid w:val="00DB7E64"/>
    <w:rsid w:val="00DC04B2"/>
    <w:rsid w:val="00DC0804"/>
    <w:rsid w:val="00DC0C5D"/>
    <w:rsid w:val="00DC0D6C"/>
    <w:rsid w:val="00DC0DF8"/>
    <w:rsid w:val="00DC114B"/>
    <w:rsid w:val="00DC1249"/>
    <w:rsid w:val="00DC1696"/>
    <w:rsid w:val="00DC2A44"/>
    <w:rsid w:val="00DC312D"/>
    <w:rsid w:val="00DC3131"/>
    <w:rsid w:val="00DC3F3A"/>
    <w:rsid w:val="00DC44D4"/>
    <w:rsid w:val="00DC4558"/>
    <w:rsid w:val="00DC4859"/>
    <w:rsid w:val="00DC4B6B"/>
    <w:rsid w:val="00DC529F"/>
    <w:rsid w:val="00DC5340"/>
    <w:rsid w:val="00DC5978"/>
    <w:rsid w:val="00DC5CD8"/>
    <w:rsid w:val="00DC619B"/>
    <w:rsid w:val="00DC65B0"/>
    <w:rsid w:val="00DC665B"/>
    <w:rsid w:val="00DC684F"/>
    <w:rsid w:val="00DC6885"/>
    <w:rsid w:val="00DC68D8"/>
    <w:rsid w:val="00DC6D02"/>
    <w:rsid w:val="00DC6E42"/>
    <w:rsid w:val="00DC7402"/>
    <w:rsid w:val="00DC7939"/>
    <w:rsid w:val="00DC7A69"/>
    <w:rsid w:val="00DC7CBB"/>
    <w:rsid w:val="00DC7E4A"/>
    <w:rsid w:val="00DD088D"/>
    <w:rsid w:val="00DD099B"/>
    <w:rsid w:val="00DD0DF1"/>
    <w:rsid w:val="00DD131C"/>
    <w:rsid w:val="00DD156E"/>
    <w:rsid w:val="00DD16EF"/>
    <w:rsid w:val="00DD179F"/>
    <w:rsid w:val="00DD1CA7"/>
    <w:rsid w:val="00DD1EBD"/>
    <w:rsid w:val="00DD23B2"/>
    <w:rsid w:val="00DD2402"/>
    <w:rsid w:val="00DD2BBE"/>
    <w:rsid w:val="00DD32DC"/>
    <w:rsid w:val="00DD33A0"/>
    <w:rsid w:val="00DD3482"/>
    <w:rsid w:val="00DD37AC"/>
    <w:rsid w:val="00DD3886"/>
    <w:rsid w:val="00DD429F"/>
    <w:rsid w:val="00DD4A40"/>
    <w:rsid w:val="00DD4B99"/>
    <w:rsid w:val="00DD4C5F"/>
    <w:rsid w:val="00DD4E42"/>
    <w:rsid w:val="00DD5479"/>
    <w:rsid w:val="00DD57D5"/>
    <w:rsid w:val="00DD58EC"/>
    <w:rsid w:val="00DD5A83"/>
    <w:rsid w:val="00DD5CF2"/>
    <w:rsid w:val="00DD6070"/>
    <w:rsid w:val="00DD6256"/>
    <w:rsid w:val="00DD627B"/>
    <w:rsid w:val="00DD6364"/>
    <w:rsid w:val="00DD649F"/>
    <w:rsid w:val="00DD65CD"/>
    <w:rsid w:val="00DD66C2"/>
    <w:rsid w:val="00DD6BD8"/>
    <w:rsid w:val="00DD72ED"/>
    <w:rsid w:val="00DD731D"/>
    <w:rsid w:val="00DD75C9"/>
    <w:rsid w:val="00DD7650"/>
    <w:rsid w:val="00DD7828"/>
    <w:rsid w:val="00DE0080"/>
    <w:rsid w:val="00DE06B7"/>
    <w:rsid w:val="00DE09B9"/>
    <w:rsid w:val="00DE0E77"/>
    <w:rsid w:val="00DE0FD2"/>
    <w:rsid w:val="00DE1A3B"/>
    <w:rsid w:val="00DE1C22"/>
    <w:rsid w:val="00DE1E12"/>
    <w:rsid w:val="00DE1FB0"/>
    <w:rsid w:val="00DE2BDD"/>
    <w:rsid w:val="00DE308A"/>
    <w:rsid w:val="00DE3243"/>
    <w:rsid w:val="00DE335E"/>
    <w:rsid w:val="00DE3526"/>
    <w:rsid w:val="00DE3D27"/>
    <w:rsid w:val="00DE3FF8"/>
    <w:rsid w:val="00DE4080"/>
    <w:rsid w:val="00DE45A4"/>
    <w:rsid w:val="00DE463B"/>
    <w:rsid w:val="00DE50E8"/>
    <w:rsid w:val="00DE51F9"/>
    <w:rsid w:val="00DE5305"/>
    <w:rsid w:val="00DE53B7"/>
    <w:rsid w:val="00DE575A"/>
    <w:rsid w:val="00DE6008"/>
    <w:rsid w:val="00DE6076"/>
    <w:rsid w:val="00DE615C"/>
    <w:rsid w:val="00DE62C0"/>
    <w:rsid w:val="00DE6315"/>
    <w:rsid w:val="00DE669D"/>
    <w:rsid w:val="00DE6806"/>
    <w:rsid w:val="00DE71C1"/>
    <w:rsid w:val="00DE7663"/>
    <w:rsid w:val="00DE786D"/>
    <w:rsid w:val="00DE7F0F"/>
    <w:rsid w:val="00DF0271"/>
    <w:rsid w:val="00DF02A2"/>
    <w:rsid w:val="00DF03BA"/>
    <w:rsid w:val="00DF0569"/>
    <w:rsid w:val="00DF0755"/>
    <w:rsid w:val="00DF0AE1"/>
    <w:rsid w:val="00DF0B2B"/>
    <w:rsid w:val="00DF0C65"/>
    <w:rsid w:val="00DF0D83"/>
    <w:rsid w:val="00DF0EE4"/>
    <w:rsid w:val="00DF1178"/>
    <w:rsid w:val="00DF13B2"/>
    <w:rsid w:val="00DF172D"/>
    <w:rsid w:val="00DF1C44"/>
    <w:rsid w:val="00DF23B1"/>
    <w:rsid w:val="00DF23B3"/>
    <w:rsid w:val="00DF2741"/>
    <w:rsid w:val="00DF2C61"/>
    <w:rsid w:val="00DF2C9A"/>
    <w:rsid w:val="00DF2E67"/>
    <w:rsid w:val="00DF2E8E"/>
    <w:rsid w:val="00DF302F"/>
    <w:rsid w:val="00DF3163"/>
    <w:rsid w:val="00DF326F"/>
    <w:rsid w:val="00DF3302"/>
    <w:rsid w:val="00DF338D"/>
    <w:rsid w:val="00DF3930"/>
    <w:rsid w:val="00DF39D8"/>
    <w:rsid w:val="00DF3AA8"/>
    <w:rsid w:val="00DF3D3B"/>
    <w:rsid w:val="00DF3E8B"/>
    <w:rsid w:val="00DF3FFB"/>
    <w:rsid w:val="00DF4489"/>
    <w:rsid w:val="00DF470C"/>
    <w:rsid w:val="00DF47CE"/>
    <w:rsid w:val="00DF4819"/>
    <w:rsid w:val="00DF4F3D"/>
    <w:rsid w:val="00DF5751"/>
    <w:rsid w:val="00DF58DF"/>
    <w:rsid w:val="00DF5BD6"/>
    <w:rsid w:val="00DF5FFD"/>
    <w:rsid w:val="00DF64A0"/>
    <w:rsid w:val="00DF64CC"/>
    <w:rsid w:val="00DF652F"/>
    <w:rsid w:val="00DF656A"/>
    <w:rsid w:val="00DF65E8"/>
    <w:rsid w:val="00DF6DF7"/>
    <w:rsid w:val="00DF6F69"/>
    <w:rsid w:val="00DF7135"/>
    <w:rsid w:val="00DF721E"/>
    <w:rsid w:val="00DF784C"/>
    <w:rsid w:val="00DF797B"/>
    <w:rsid w:val="00DF7C34"/>
    <w:rsid w:val="00DF7F91"/>
    <w:rsid w:val="00E0042D"/>
    <w:rsid w:val="00E00900"/>
    <w:rsid w:val="00E010BD"/>
    <w:rsid w:val="00E0110D"/>
    <w:rsid w:val="00E0117C"/>
    <w:rsid w:val="00E0132A"/>
    <w:rsid w:val="00E01669"/>
    <w:rsid w:val="00E017E7"/>
    <w:rsid w:val="00E01BD4"/>
    <w:rsid w:val="00E01F9D"/>
    <w:rsid w:val="00E01FB7"/>
    <w:rsid w:val="00E02AD6"/>
    <w:rsid w:val="00E02D18"/>
    <w:rsid w:val="00E0370F"/>
    <w:rsid w:val="00E03A42"/>
    <w:rsid w:val="00E03DC8"/>
    <w:rsid w:val="00E03F67"/>
    <w:rsid w:val="00E04032"/>
    <w:rsid w:val="00E04391"/>
    <w:rsid w:val="00E0451D"/>
    <w:rsid w:val="00E045D8"/>
    <w:rsid w:val="00E04760"/>
    <w:rsid w:val="00E04934"/>
    <w:rsid w:val="00E04D0A"/>
    <w:rsid w:val="00E04EF6"/>
    <w:rsid w:val="00E056ED"/>
    <w:rsid w:val="00E05FE4"/>
    <w:rsid w:val="00E06282"/>
    <w:rsid w:val="00E063FC"/>
    <w:rsid w:val="00E06C7C"/>
    <w:rsid w:val="00E07A7B"/>
    <w:rsid w:val="00E07E04"/>
    <w:rsid w:val="00E10587"/>
    <w:rsid w:val="00E1100D"/>
    <w:rsid w:val="00E11013"/>
    <w:rsid w:val="00E1131F"/>
    <w:rsid w:val="00E11904"/>
    <w:rsid w:val="00E11BDC"/>
    <w:rsid w:val="00E11BEA"/>
    <w:rsid w:val="00E11CBF"/>
    <w:rsid w:val="00E126F5"/>
    <w:rsid w:val="00E12835"/>
    <w:rsid w:val="00E12B6E"/>
    <w:rsid w:val="00E12BAC"/>
    <w:rsid w:val="00E1311E"/>
    <w:rsid w:val="00E13B91"/>
    <w:rsid w:val="00E13E3B"/>
    <w:rsid w:val="00E1450B"/>
    <w:rsid w:val="00E1494B"/>
    <w:rsid w:val="00E14E19"/>
    <w:rsid w:val="00E15291"/>
    <w:rsid w:val="00E15429"/>
    <w:rsid w:val="00E156B3"/>
    <w:rsid w:val="00E15AF3"/>
    <w:rsid w:val="00E15C66"/>
    <w:rsid w:val="00E15D69"/>
    <w:rsid w:val="00E15E58"/>
    <w:rsid w:val="00E16030"/>
    <w:rsid w:val="00E1612C"/>
    <w:rsid w:val="00E164E7"/>
    <w:rsid w:val="00E167A6"/>
    <w:rsid w:val="00E168B1"/>
    <w:rsid w:val="00E16C64"/>
    <w:rsid w:val="00E17575"/>
    <w:rsid w:val="00E177B4"/>
    <w:rsid w:val="00E2033A"/>
    <w:rsid w:val="00E20A7F"/>
    <w:rsid w:val="00E210AB"/>
    <w:rsid w:val="00E21116"/>
    <w:rsid w:val="00E212CE"/>
    <w:rsid w:val="00E21D49"/>
    <w:rsid w:val="00E2295A"/>
    <w:rsid w:val="00E22A68"/>
    <w:rsid w:val="00E23052"/>
    <w:rsid w:val="00E24120"/>
    <w:rsid w:val="00E24524"/>
    <w:rsid w:val="00E248DF"/>
    <w:rsid w:val="00E248F5"/>
    <w:rsid w:val="00E24C24"/>
    <w:rsid w:val="00E24D95"/>
    <w:rsid w:val="00E24F0E"/>
    <w:rsid w:val="00E24F16"/>
    <w:rsid w:val="00E2571A"/>
    <w:rsid w:val="00E257A0"/>
    <w:rsid w:val="00E258B2"/>
    <w:rsid w:val="00E25937"/>
    <w:rsid w:val="00E25C75"/>
    <w:rsid w:val="00E26091"/>
    <w:rsid w:val="00E26124"/>
    <w:rsid w:val="00E26126"/>
    <w:rsid w:val="00E266CC"/>
    <w:rsid w:val="00E26706"/>
    <w:rsid w:val="00E26B16"/>
    <w:rsid w:val="00E27332"/>
    <w:rsid w:val="00E273A3"/>
    <w:rsid w:val="00E2761E"/>
    <w:rsid w:val="00E2767A"/>
    <w:rsid w:val="00E27ABE"/>
    <w:rsid w:val="00E27BF9"/>
    <w:rsid w:val="00E27CE8"/>
    <w:rsid w:val="00E303DE"/>
    <w:rsid w:val="00E30555"/>
    <w:rsid w:val="00E306E1"/>
    <w:rsid w:val="00E307E5"/>
    <w:rsid w:val="00E307FE"/>
    <w:rsid w:val="00E30894"/>
    <w:rsid w:val="00E308EE"/>
    <w:rsid w:val="00E30A84"/>
    <w:rsid w:val="00E31084"/>
    <w:rsid w:val="00E320A5"/>
    <w:rsid w:val="00E32254"/>
    <w:rsid w:val="00E323BF"/>
    <w:rsid w:val="00E32556"/>
    <w:rsid w:val="00E32589"/>
    <w:rsid w:val="00E325BB"/>
    <w:rsid w:val="00E327BE"/>
    <w:rsid w:val="00E32832"/>
    <w:rsid w:val="00E33150"/>
    <w:rsid w:val="00E331CB"/>
    <w:rsid w:val="00E33346"/>
    <w:rsid w:val="00E33863"/>
    <w:rsid w:val="00E33E90"/>
    <w:rsid w:val="00E34B59"/>
    <w:rsid w:val="00E34C64"/>
    <w:rsid w:val="00E34F78"/>
    <w:rsid w:val="00E3512C"/>
    <w:rsid w:val="00E35449"/>
    <w:rsid w:val="00E35B2B"/>
    <w:rsid w:val="00E35B74"/>
    <w:rsid w:val="00E364F2"/>
    <w:rsid w:val="00E36660"/>
    <w:rsid w:val="00E368BE"/>
    <w:rsid w:val="00E36D82"/>
    <w:rsid w:val="00E37148"/>
    <w:rsid w:val="00E400F5"/>
    <w:rsid w:val="00E40128"/>
    <w:rsid w:val="00E402B3"/>
    <w:rsid w:val="00E402CF"/>
    <w:rsid w:val="00E40548"/>
    <w:rsid w:val="00E4055E"/>
    <w:rsid w:val="00E408D5"/>
    <w:rsid w:val="00E409D4"/>
    <w:rsid w:val="00E40A1D"/>
    <w:rsid w:val="00E40A3D"/>
    <w:rsid w:val="00E40D43"/>
    <w:rsid w:val="00E4149F"/>
    <w:rsid w:val="00E4199B"/>
    <w:rsid w:val="00E419CC"/>
    <w:rsid w:val="00E4210F"/>
    <w:rsid w:val="00E42224"/>
    <w:rsid w:val="00E42358"/>
    <w:rsid w:val="00E428D0"/>
    <w:rsid w:val="00E431F4"/>
    <w:rsid w:val="00E4340D"/>
    <w:rsid w:val="00E435FA"/>
    <w:rsid w:val="00E4406B"/>
    <w:rsid w:val="00E44374"/>
    <w:rsid w:val="00E444D2"/>
    <w:rsid w:val="00E4464F"/>
    <w:rsid w:val="00E44759"/>
    <w:rsid w:val="00E44C76"/>
    <w:rsid w:val="00E44E07"/>
    <w:rsid w:val="00E44FB1"/>
    <w:rsid w:val="00E45184"/>
    <w:rsid w:val="00E45551"/>
    <w:rsid w:val="00E45618"/>
    <w:rsid w:val="00E45735"/>
    <w:rsid w:val="00E45B5A"/>
    <w:rsid w:val="00E46708"/>
    <w:rsid w:val="00E46935"/>
    <w:rsid w:val="00E469C4"/>
    <w:rsid w:val="00E46C6D"/>
    <w:rsid w:val="00E46CAD"/>
    <w:rsid w:val="00E46FE0"/>
    <w:rsid w:val="00E47315"/>
    <w:rsid w:val="00E47398"/>
    <w:rsid w:val="00E47912"/>
    <w:rsid w:val="00E5025D"/>
    <w:rsid w:val="00E50D34"/>
    <w:rsid w:val="00E5118F"/>
    <w:rsid w:val="00E51372"/>
    <w:rsid w:val="00E513B1"/>
    <w:rsid w:val="00E519AB"/>
    <w:rsid w:val="00E51C4C"/>
    <w:rsid w:val="00E51D1C"/>
    <w:rsid w:val="00E51DF4"/>
    <w:rsid w:val="00E51FB3"/>
    <w:rsid w:val="00E520B5"/>
    <w:rsid w:val="00E52104"/>
    <w:rsid w:val="00E52153"/>
    <w:rsid w:val="00E52A84"/>
    <w:rsid w:val="00E52A87"/>
    <w:rsid w:val="00E52C59"/>
    <w:rsid w:val="00E52EAF"/>
    <w:rsid w:val="00E530B0"/>
    <w:rsid w:val="00E53140"/>
    <w:rsid w:val="00E533F6"/>
    <w:rsid w:val="00E53511"/>
    <w:rsid w:val="00E53825"/>
    <w:rsid w:val="00E53D3D"/>
    <w:rsid w:val="00E5401F"/>
    <w:rsid w:val="00E54087"/>
    <w:rsid w:val="00E5455E"/>
    <w:rsid w:val="00E54A09"/>
    <w:rsid w:val="00E54EB4"/>
    <w:rsid w:val="00E55116"/>
    <w:rsid w:val="00E55388"/>
    <w:rsid w:val="00E55480"/>
    <w:rsid w:val="00E55538"/>
    <w:rsid w:val="00E55683"/>
    <w:rsid w:val="00E55A4A"/>
    <w:rsid w:val="00E5652F"/>
    <w:rsid w:val="00E565AA"/>
    <w:rsid w:val="00E56AF0"/>
    <w:rsid w:val="00E56BA9"/>
    <w:rsid w:val="00E5739F"/>
    <w:rsid w:val="00E575B5"/>
    <w:rsid w:val="00E5771C"/>
    <w:rsid w:val="00E578FD"/>
    <w:rsid w:val="00E57F7F"/>
    <w:rsid w:val="00E6060F"/>
    <w:rsid w:val="00E6089D"/>
    <w:rsid w:val="00E60B16"/>
    <w:rsid w:val="00E60B33"/>
    <w:rsid w:val="00E60BB2"/>
    <w:rsid w:val="00E60E4A"/>
    <w:rsid w:val="00E61367"/>
    <w:rsid w:val="00E61798"/>
    <w:rsid w:val="00E61804"/>
    <w:rsid w:val="00E6186D"/>
    <w:rsid w:val="00E62156"/>
    <w:rsid w:val="00E62A7C"/>
    <w:rsid w:val="00E62E5B"/>
    <w:rsid w:val="00E632FA"/>
    <w:rsid w:val="00E6348D"/>
    <w:rsid w:val="00E6363E"/>
    <w:rsid w:val="00E638BD"/>
    <w:rsid w:val="00E638DA"/>
    <w:rsid w:val="00E63B2E"/>
    <w:rsid w:val="00E63C8D"/>
    <w:rsid w:val="00E64275"/>
    <w:rsid w:val="00E64ADA"/>
    <w:rsid w:val="00E64C01"/>
    <w:rsid w:val="00E652B8"/>
    <w:rsid w:val="00E6538C"/>
    <w:rsid w:val="00E6549C"/>
    <w:rsid w:val="00E659FE"/>
    <w:rsid w:val="00E662A7"/>
    <w:rsid w:val="00E662E0"/>
    <w:rsid w:val="00E66524"/>
    <w:rsid w:val="00E670A3"/>
    <w:rsid w:val="00E671FC"/>
    <w:rsid w:val="00E6750B"/>
    <w:rsid w:val="00E675B2"/>
    <w:rsid w:val="00E676D4"/>
    <w:rsid w:val="00E679CD"/>
    <w:rsid w:val="00E67B5F"/>
    <w:rsid w:val="00E70240"/>
    <w:rsid w:val="00E7056C"/>
    <w:rsid w:val="00E70700"/>
    <w:rsid w:val="00E7078E"/>
    <w:rsid w:val="00E709E4"/>
    <w:rsid w:val="00E71070"/>
    <w:rsid w:val="00E7177B"/>
    <w:rsid w:val="00E71831"/>
    <w:rsid w:val="00E7187A"/>
    <w:rsid w:val="00E71D37"/>
    <w:rsid w:val="00E71F45"/>
    <w:rsid w:val="00E7216F"/>
    <w:rsid w:val="00E726F5"/>
    <w:rsid w:val="00E72EF0"/>
    <w:rsid w:val="00E73126"/>
    <w:rsid w:val="00E7315A"/>
    <w:rsid w:val="00E731B7"/>
    <w:rsid w:val="00E7363E"/>
    <w:rsid w:val="00E739BF"/>
    <w:rsid w:val="00E73A81"/>
    <w:rsid w:val="00E73C83"/>
    <w:rsid w:val="00E73D41"/>
    <w:rsid w:val="00E73E31"/>
    <w:rsid w:val="00E73FC6"/>
    <w:rsid w:val="00E745A5"/>
    <w:rsid w:val="00E74B38"/>
    <w:rsid w:val="00E74C01"/>
    <w:rsid w:val="00E74C34"/>
    <w:rsid w:val="00E751C0"/>
    <w:rsid w:val="00E752DD"/>
    <w:rsid w:val="00E75718"/>
    <w:rsid w:val="00E75835"/>
    <w:rsid w:val="00E758A3"/>
    <w:rsid w:val="00E75C40"/>
    <w:rsid w:val="00E75D1E"/>
    <w:rsid w:val="00E76114"/>
    <w:rsid w:val="00E761A8"/>
    <w:rsid w:val="00E76DD9"/>
    <w:rsid w:val="00E76FA6"/>
    <w:rsid w:val="00E773B4"/>
    <w:rsid w:val="00E77635"/>
    <w:rsid w:val="00E77824"/>
    <w:rsid w:val="00E779E6"/>
    <w:rsid w:val="00E8065A"/>
    <w:rsid w:val="00E80D80"/>
    <w:rsid w:val="00E80EB7"/>
    <w:rsid w:val="00E81283"/>
    <w:rsid w:val="00E8142C"/>
    <w:rsid w:val="00E81AE1"/>
    <w:rsid w:val="00E81BC1"/>
    <w:rsid w:val="00E81CA7"/>
    <w:rsid w:val="00E81DEC"/>
    <w:rsid w:val="00E82117"/>
    <w:rsid w:val="00E82559"/>
    <w:rsid w:val="00E829EE"/>
    <w:rsid w:val="00E82A6A"/>
    <w:rsid w:val="00E82EB3"/>
    <w:rsid w:val="00E82EC3"/>
    <w:rsid w:val="00E83118"/>
    <w:rsid w:val="00E83991"/>
    <w:rsid w:val="00E83A5B"/>
    <w:rsid w:val="00E83B49"/>
    <w:rsid w:val="00E83C39"/>
    <w:rsid w:val="00E83CDC"/>
    <w:rsid w:val="00E83E14"/>
    <w:rsid w:val="00E83E38"/>
    <w:rsid w:val="00E843E6"/>
    <w:rsid w:val="00E8442A"/>
    <w:rsid w:val="00E84448"/>
    <w:rsid w:val="00E845C1"/>
    <w:rsid w:val="00E84943"/>
    <w:rsid w:val="00E84B10"/>
    <w:rsid w:val="00E84C10"/>
    <w:rsid w:val="00E84E3B"/>
    <w:rsid w:val="00E8507D"/>
    <w:rsid w:val="00E858DC"/>
    <w:rsid w:val="00E85A64"/>
    <w:rsid w:val="00E85C84"/>
    <w:rsid w:val="00E86323"/>
    <w:rsid w:val="00E86419"/>
    <w:rsid w:val="00E866DB"/>
    <w:rsid w:val="00E868EF"/>
    <w:rsid w:val="00E86997"/>
    <w:rsid w:val="00E86BB4"/>
    <w:rsid w:val="00E86CDA"/>
    <w:rsid w:val="00E877E6"/>
    <w:rsid w:val="00E877ED"/>
    <w:rsid w:val="00E8795C"/>
    <w:rsid w:val="00E87E5D"/>
    <w:rsid w:val="00E90576"/>
    <w:rsid w:val="00E907C8"/>
    <w:rsid w:val="00E909E9"/>
    <w:rsid w:val="00E90F65"/>
    <w:rsid w:val="00E9148C"/>
    <w:rsid w:val="00E917DD"/>
    <w:rsid w:val="00E91C69"/>
    <w:rsid w:val="00E91E00"/>
    <w:rsid w:val="00E91E07"/>
    <w:rsid w:val="00E92556"/>
    <w:rsid w:val="00E926D8"/>
    <w:rsid w:val="00E92E59"/>
    <w:rsid w:val="00E930A6"/>
    <w:rsid w:val="00E930D5"/>
    <w:rsid w:val="00E93459"/>
    <w:rsid w:val="00E93A6E"/>
    <w:rsid w:val="00E93C63"/>
    <w:rsid w:val="00E94176"/>
    <w:rsid w:val="00E942B7"/>
    <w:rsid w:val="00E94671"/>
    <w:rsid w:val="00E94999"/>
    <w:rsid w:val="00E951C1"/>
    <w:rsid w:val="00E95314"/>
    <w:rsid w:val="00E9580A"/>
    <w:rsid w:val="00E95A99"/>
    <w:rsid w:val="00E96172"/>
    <w:rsid w:val="00E96B61"/>
    <w:rsid w:val="00E96E08"/>
    <w:rsid w:val="00E97058"/>
    <w:rsid w:val="00E9729E"/>
    <w:rsid w:val="00E975A3"/>
    <w:rsid w:val="00E97EEE"/>
    <w:rsid w:val="00EA1117"/>
    <w:rsid w:val="00EA123B"/>
    <w:rsid w:val="00EA12CC"/>
    <w:rsid w:val="00EA1482"/>
    <w:rsid w:val="00EA1490"/>
    <w:rsid w:val="00EA14B5"/>
    <w:rsid w:val="00EA173A"/>
    <w:rsid w:val="00EA1985"/>
    <w:rsid w:val="00EA1BAD"/>
    <w:rsid w:val="00EA1C23"/>
    <w:rsid w:val="00EA21E6"/>
    <w:rsid w:val="00EA2252"/>
    <w:rsid w:val="00EA29E6"/>
    <w:rsid w:val="00EA39F3"/>
    <w:rsid w:val="00EA3BBA"/>
    <w:rsid w:val="00EA3BF1"/>
    <w:rsid w:val="00EA3DB5"/>
    <w:rsid w:val="00EA3ED8"/>
    <w:rsid w:val="00EA4129"/>
    <w:rsid w:val="00EA435B"/>
    <w:rsid w:val="00EA4759"/>
    <w:rsid w:val="00EA5065"/>
    <w:rsid w:val="00EA572B"/>
    <w:rsid w:val="00EA5846"/>
    <w:rsid w:val="00EA6A62"/>
    <w:rsid w:val="00EA6B2F"/>
    <w:rsid w:val="00EA6BCF"/>
    <w:rsid w:val="00EA6CE2"/>
    <w:rsid w:val="00EA6DE8"/>
    <w:rsid w:val="00EA6DF6"/>
    <w:rsid w:val="00EA6FA9"/>
    <w:rsid w:val="00EA713E"/>
    <w:rsid w:val="00EA7293"/>
    <w:rsid w:val="00EA74E6"/>
    <w:rsid w:val="00EA7745"/>
    <w:rsid w:val="00EA7862"/>
    <w:rsid w:val="00EB041A"/>
    <w:rsid w:val="00EB05A6"/>
    <w:rsid w:val="00EB06CE"/>
    <w:rsid w:val="00EB096D"/>
    <w:rsid w:val="00EB09BB"/>
    <w:rsid w:val="00EB0AD4"/>
    <w:rsid w:val="00EB0BDD"/>
    <w:rsid w:val="00EB175C"/>
    <w:rsid w:val="00EB1F3D"/>
    <w:rsid w:val="00EB221C"/>
    <w:rsid w:val="00EB27E3"/>
    <w:rsid w:val="00EB2A3E"/>
    <w:rsid w:val="00EB2C08"/>
    <w:rsid w:val="00EB33BF"/>
    <w:rsid w:val="00EB36DE"/>
    <w:rsid w:val="00EB3BDB"/>
    <w:rsid w:val="00EB3F4D"/>
    <w:rsid w:val="00EB43E4"/>
    <w:rsid w:val="00EB44A1"/>
    <w:rsid w:val="00EB4597"/>
    <w:rsid w:val="00EB467F"/>
    <w:rsid w:val="00EB46A6"/>
    <w:rsid w:val="00EB492B"/>
    <w:rsid w:val="00EB4DA4"/>
    <w:rsid w:val="00EB5BDE"/>
    <w:rsid w:val="00EB5CDC"/>
    <w:rsid w:val="00EB5EFA"/>
    <w:rsid w:val="00EB6031"/>
    <w:rsid w:val="00EB608E"/>
    <w:rsid w:val="00EB64BF"/>
    <w:rsid w:val="00EB6CDA"/>
    <w:rsid w:val="00EB7534"/>
    <w:rsid w:val="00EB7728"/>
    <w:rsid w:val="00EB7890"/>
    <w:rsid w:val="00EB793E"/>
    <w:rsid w:val="00EB7EDC"/>
    <w:rsid w:val="00EC02FF"/>
    <w:rsid w:val="00EC04EA"/>
    <w:rsid w:val="00EC057B"/>
    <w:rsid w:val="00EC0766"/>
    <w:rsid w:val="00EC07C9"/>
    <w:rsid w:val="00EC09B8"/>
    <w:rsid w:val="00EC0B8F"/>
    <w:rsid w:val="00EC0E6F"/>
    <w:rsid w:val="00EC0EA9"/>
    <w:rsid w:val="00EC16C8"/>
    <w:rsid w:val="00EC1713"/>
    <w:rsid w:val="00EC1B53"/>
    <w:rsid w:val="00EC236C"/>
    <w:rsid w:val="00EC238A"/>
    <w:rsid w:val="00EC3133"/>
    <w:rsid w:val="00EC3216"/>
    <w:rsid w:val="00EC3316"/>
    <w:rsid w:val="00EC3411"/>
    <w:rsid w:val="00EC3587"/>
    <w:rsid w:val="00EC3898"/>
    <w:rsid w:val="00EC3909"/>
    <w:rsid w:val="00EC4810"/>
    <w:rsid w:val="00EC4865"/>
    <w:rsid w:val="00EC4AE9"/>
    <w:rsid w:val="00EC4B1C"/>
    <w:rsid w:val="00EC4D0D"/>
    <w:rsid w:val="00EC4F0C"/>
    <w:rsid w:val="00EC5001"/>
    <w:rsid w:val="00EC53E5"/>
    <w:rsid w:val="00EC5436"/>
    <w:rsid w:val="00EC56ED"/>
    <w:rsid w:val="00EC57B0"/>
    <w:rsid w:val="00EC5DEE"/>
    <w:rsid w:val="00EC6565"/>
    <w:rsid w:val="00EC6C54"/>
    <w:rsid w:val="00EC6C9F"/>
    <w:rsid w:val="00EC70D9"/>
    <w:rsid w:val="00EC72F8"/>
    <w:rsid w:val="00EC7404"/>
    <w:rsid w:val="00EC788A"/>
    <w:rsid w:val="00EC788B"/>
    <w:rsid w:val="00EC79DF"/>
    <w:rsid w:val="00EC7C8A"/>
    <w:rsid w:val="00ED0558"/>
    <w:rsid w:val="00ED0650"/>
    <w:rsid w:val="00ED06E6"/>
    <w:rsid w:val="00ED07AE"/>
    <w:rsid w:val="00ED0D50"/>
    <w:rsid w:val="00ED10FE"/>
    <w:rsid w:val="00ED114B"/>
    <w:rsid w:val="00ED135F"/>
    <w:rsid w:val="00ED144E"/>
    <w:rsid w:val="00ED1839"/>
    <w:rsid w:val="00ED2990"/>
    <w:rsid w:val="00ED311C"/>
    <w:rsid w:val="00ED313C"/>
    <w:rsid w:val="00ED394E"/>
    <w:rsid w:val="00ED3F32"/>
    <w:rsid w:val="00ED4098"/>
    <w:rsid w:val="00ED4AD6"/>
    <w:rsid w:val="00ED4AED"/>
    <w:rsid w:val="00ED4EDB"/>
    <w:rsid w:val="00ED5105"/>
    <w:rsid w:val="00ED51E6"/>
    <w:rsid w:val="00ED5408"/>
    <w:rsid w:val="00ED5846"/>
    <w:rsid w:val="00ED5D4A"/>
    <w:rsid w:val="00ED5DAD"/>
    <w:rsid w:val="00ED623B"/>
    <w:rsid w:val="00ED6264"/>
    <w:rsid w:val="00ED65B6"/>
    <w:rsid w:val="00ED662E"/>
    <w:rsid w:val="00ED6888"/>
    <w:rsid w:val="00ED6A3A"/>
    <w:rsid w:val="00ED6A46"/>
    <w:rsid w:val="00ED6FDC"/>
    <w:rsid w:val="00ED74F4"/>
    <w:rsid w:val="00ED7578"/>
    <w:rsid w:val="00ED7907"/>
    <w:rsid w:val="00ED7EFE"/>
    <w:rsid w:val="00ED7FF1"/>
    <w:rsid w:val="00EE0710"/>
    <w:rsid w:val="00EE0947"/>
    <w:rsid w:val="00EE0E3F"/>
    <w:rsid w:val="00EE148C"/>
    <w:rsid w:val="00EE158E"/>
    <w:rsid w:val="00EE2576"/>
    <w:rsid w:val="00EE271B"/>
    <w:rsid w:val="00EE2756"/>
    <w:rsid w:val="00EE27B3"/>
    <w:rsid w:val="00EE2875"/>
    <w:rsid w:val="00EE287F"/>
    <w:rsid w:val="00EE29CA"/>
    <w:rsid w:val="00EE2A41"/>
    <w:rsid w:val="00EE2CDE"/>
    <w:rsid w:val="00EE2F2E"/>
    <w:rsid w:val="00EE2FD5"/>
    <w:rsid w:val="00EE3072"/>
    <w:rsid w:val="00EE314C"/>
    <w:rsid w:val="00EE32A1"/>
    <w:rsid w:val="00EE3530"/>
    <w:rsid w:val="00EE37EE"/>
    <w:rsid w:val="00EE5201"/>
    <w:rsid w:val="00EE5D61"/>
    <w:rsid w:val="00EE6B46"/>
    <w:rsid w:val="00EE6CDB"/>
    <w:rsid w:val="00EE6D51"/>
    <w:rsid w:val="00EE6FA0"/>
    <w:rsid w:val="00EE72F8"/>
    <w:rsid w:val="00EE73CC"/>
    <w:rsid w:val="00EE76E4"/>
    <w:rsid w:val="00EE7B01"/>
    <w:rsid w:val="00EE7D92"/>
    <w:rsid w:val="00EE7F01"/>
    <w:rsid w:val="00EF0057"/>
    <w:rsid w:val="00EF08C4"/>
    <w:rsid w:val="00EF09D8"/>
    <w:rsid w:val="00EF0B9C"/>
    <w:rsid w:val="00EF0D69"/>
    <w:rsid w:val="00EF16E9"/>
    <w:rsid w:val="00EF1A8C"/>
    <w:rsid w:val="00EF1E5B"/>
    <w:rsid w:val="00EF237D"/>
    <w:rsid w:val="00EF2426"/>
    <w:rsid w:val="00EF245B"/>
    <w:rsid w:val="00EF274F"/>
    <w:rsid w:val="00EF2C9A"/>
    <w:rsid w:val="00EF30C7"/>
    <w:rsid w:val="00EF37D0"/>
    <w:rsid w:val="00EF3AC3"/>
    <w:rsid w:val="00EF3E77"/>
    <w:rsid w:val="00EF3EAC"/>
    <w:rsid w:val="00EF4E02"/>
    <w:rsid w:val="00EF4E9C"/>
    <w:rsid w:val="00EF5247"/>
    <w:rsid w:val="00EF5488"/>
    <w:rsid w:val="00EF58BA"/>
    <w:rsid w:val="00EF5992"/>
    <w:rsid w:val="00EF6568"/>
    <w:rsid w:val="00EF661D"/>
    <w:rsid w:val="00EF68C6"/>
    <w:rsid w:val="00EF698D"/>
    <w:rsid w:val="00EF698F"/>
    <w:rsid w:val="00EF69D6"/>
    <w:rsid w:val="00EF6A12"/>
    <w:rsid w:val="00EF6AA1"/>
    <w:rsid w:val="00EF6FD7"/>
    <w:rsid w:val="00EF7114"/>
    <w:rsid w:val="00EF7371"/>
    <w:rsid w:val="00EF74D6"/>
    <w:rsid w:val="00EF7FA7"/>
    <w:rsid w:val="00F00318"/>
    <w:rsid w:val="00F00B23"/>
    <w:rsid w:val="00F00F90"/>
    <w:rsid w:val="00F00FF6"/>
    <w:rsid w:val="00F011CD"/>
    <w:rsid w:val="00F0175A"/>
    <w:rsid w:val="00F0183B"/>
    <w:rsid w:val="00F01AB8"/>
    <w:rsid w:val="00F02618"/>
    <w:rsid w:val="00F027AC"/>
    <w:rsid w:val="00F02957"/>
    <w:rsid w:val="00F02981"/>
    <w:rsid w:val="00F02BAF"/>
    <w:rsid w:val="00F0344E"/>
    <w:rsid w:val="00F0381C"/>
    <w:rsid w:val="00F038F3"/>
    <w:rsid w:val="00F0391D"/>
    <w:rsid w:val="00F03B7A"/>
    <w:rsid w:val="00F04593"/>
    <w:rsid w:val="00F045D5"/>
    <w:rsid w:val="00F046FF"/>
    <w:rsid w:val="00F04D53"/>
    <w:rsid w:val="00F04FD0"/>
    <w:rsid w:val="00F05B19"/>
    <w:rsid w:val="00F05BD8"/>
    <w:rsid w:val="00F0604D"/>
    <w:rsid w:val="00F062A2"/>
    <w:rsid w:val="00F06573"/>
    <w:rsid w:val="00F06624"/>
    <w:rsid w:val="00F06B62"/>
    <w:rsid w:val="00F06C9E"/>
    <w:rsid w:val="00F06CCB"/>
    <w:rsid w:val="00F06D36"/>
    <w:rsid w:val="00F06F14"/>
    <w:rsid w:val="00F070AC"/>
    <w:rsid w:val="00F0753C"/>
    <w:rsid w:val="00F07BCC"/>
    <w:rsid w:val="00F07D1C"/>
    <w:rsid w:val="00F07EC6"/>
    <w:rsid w:val="00F07F22"/>
    <w:rsid w:val="00F10100"/>
    <w:rsid w:val="00F103D9"/>
    <w:rsid w:val="00F10B8F"/>
    <w:rsid w:val="00F10CC0"/>
    <w:rsid w:val="00F11135"/>
    <w:rsid w:val="00F11297"/>
    <w:rsid w:val="00F1158B"/>
    <w:rsid w:val="00F116AA"/>
    <w:rsid w:val="00F11816"/>
    <w:rsid w:val="00F11857"/>
    <w:rsid w:val="00F11BD3"/>
    <w:rsid w:val="00F11CF3"/>
    <w:rsid w:val="00F126CA"/>
    <w:rsid w:val="00F1279C"/>
    <w:rsid w:val="00F12B8D"/>
    <w:rsid w:val="00F12B9F"/>
    <w:rsid w:val="00F12E7B"/>
    <w:rsid w:val="00F13223"/>
    <w:rsid w:val="00F133EE"/>
    <w:rsid w:val="00F13A2A"/>
    <w:rsid w:val="00F13EB2"/>
    <w:rsid w:val="00F1407D"/>
    <w:rsid w:val="00F14444"/>
    <w:rsid w:val="00F1448A"/>
    <w:rsid w:val="00F14502"/>
    <w:rsid w:val="00F149E0"/>
    <w:rsid w:val="00F14F0F"/>
    <w:rsid w:val="00F151B6"/>
    <w:rsid w:val="00F15C4A"/>
    <w:rsid w:val="00F15C9E"/>
    <w:rsid w:val="00F16021"/>
    <w:rsid w:val="00F161CC"/>
    <w:rsid w:val="00F1677F"/>
    <w:rsid w:val="00F16873"/>
    <w:rsid w:val="00F16A19"/>
    <w:rsid w:val="00F174A9"/>
    <w:rsid w:val="00F1757E"/>
    <w:rsid w:val="00F17613"/>
    <w:rsid w:val="00F17917"/>
    <w:rsid w:val="00F17BC5"/>
    <w:rsid w:val="00F17D91"/>
    <w:rsid w:val="00F17E71"/>
    <w:rsid w:val="00F2011C"/>
    <w:rsid w:val="00F20706"/>
    <w:rsid w:val="00F20F69"/>
    <w:rsid w:val="00F219A6"/>
    <w:rsid w:val="00F21B34"/>
    <w:rsid w:val="00F21BA4"/>
    <w:rsid w:val="00F2224C"/>
    <w:rsid w:val="00F22329"/>
    <w:rsid w:val="00F22360"/>
    <w:rsid w:val="00F223B1"/>
    <w:rsid w:val="00F2240E"/>
    <w:rsid w:val="00F22931"/>
    <w:rsid w:val="00F229B0"/>
    <w:rsid w:val="00F22D11"/>
    <w:rsid w:val="00F22FA5"/>
    <w:rsid w:val="00F22FD4"/>
    <w:rsid w:val="00F230FF"/>
    <w:rsid w:val="00F231FE"/>
    <w:rsid w:val="00F23667"/>
    <w:rsid w:val="00F239C3"/>
    <w:rsid w:val="00F23A63"/>
    <w:rsid w:val="00F23FD0"/>
    <w:rsid w:val="00F24A78"/>
    <w:rsid w:val="00F24B1F"/>
    <w:rsid w:val="00F24B99"/>
    <w:rsid w:val="00F24F44"/>
    <w:rsid w:val="00F257B5"/>
    <w:rsid w:val="00F25963"/>
    <w:rsid w:val="00F259E2"/>
    <w:rsid w:val="00F25B77"/>
    <w:rsid w:val="00F25B7E"/>
    <w:rsid w:val="00F25C05"/>
    <w:rsid w:val="00F25DD9"/>
    <w:rsid w:val="00F25E15"/>
    <w:rsid w:val="00F265D8"/>
    <w:rsid w:val="00F2676A"/>
    <w:rsid w:val="00F26983"/>
    <w:rsid w:val="00F26A0C"/>
    <w:rsid w:val="00F303FE"/>
    <w:rsid w:val="00F3040E"/>
    <w:rsid w:val="00F3042E"/>
    <w:rsid w:val="00F3080B"/>
    <w:rsid w:val="00F3120B"/>
    <w:rsid w:val="00F3137A"/>
    <w:rsid w:val="00F313BA"/>
    <w:rsid w:val="00F31914"/>
    <w:rsid w:val="00F3246B"/>
    <w:rsid w:val="00F326F6"/>
    <w:rsid w:val="00F329EF"/>
    <w:rsid w:val="00F32A6D"/>
    <w:rsid w:val="00F32F06"/>
    <w:rsid w:val="00F33732"/>
    <w:rsid w:val="00F33C46"/>
    <w:rsid w:val="00F34AD6"/>
    <w:rsid w:val="00F34B0D"/>
    <w:rsid w:val="00F35059"/>
    <w:rsid w:val="00F353C6"/>
    <w:rsid w:val="00F35467"/>
    <w:rsid w:val="00F3577F"/>
    <w:rsid w:val="00F35DA1"/>
    <w:rsid w:val="00F36615"/>
    <w:rsid w:val="00F36A52"/>
    <w:rsid w:val="00F375DC"/>
    <w:rsid w:val="00F37940"/>
    <w:rsid w:val="00F37F59"/>
    <w:rsid w:val="00F400D3"/>
    <w:rsid w:val="00F40C4C"/>
    <w:rsid w:val="00F40D0B"/>
    <w:rsid w:val="00F415F6"/>
    <w:rsid w:val="00F41B74"/>
    <w:rsid w:val="00F41FAD"/>
    <w:rsid w:val="00F41FD7"/>
    <w:rsid w:val="00F42233"/>
    <w:rsid w:val="00F422D3"/>
    <w:rsid w:val="00F42651"/>
    <w:rsid w:val="00F42B08"/>
    <w:rsid w:val="00F42B56"/>
    <w:rsid w:val="00F434BB"/>
    <w:rsid w:val="00F4399A"/>
    <w:rsid w:val="00F44333"/>
    <w:rsid w:val="00F44CA8"/>
    <w:rsid w:val="00F44DC4"/>
    <w:rsid w:val="00F45200"/>
    <w:rsid w:val="00F45951"/>
    <w:rsid w:val="00F45C15"/>
    <w:rsid w:val="00F4659D"/>
    <w:rsid w:val="00F469A1"/>
    <w:rsid w:val="00F46AB6"/>
    <w:rsid w:val="00F46D31"/>
    <w:rsid w:val="00F47F8A"/>
    <w:rsid w:val="00F47FF7"/>
    <w:rsid w:val="00F5060E"/>
    <w:rsid w:val="00F5084C"/>
    <w:rsid w:val="00F5093C"/>
    <w:rsid w:val="00F50B9F"/>
    <w:rsid w:val="00F50D34"/>
    <w:rsid w:val="00F50FE4"/>
    <w:rsid w:val="00F5138D"/>
    <w:rsid w:val="00F514BC"/>
    <w:rsid w:val="00F519E1"/>
    <w:rsid w:val="00F51F5A"/>
    <w:rsid w:val="00F522AF"/>
    <w:rsid w:val="00F52E27"/>
    <w:rsid w:val="00F538AE"/>
    <w:rsid w:val="00F53B3B"/>
    <w:rsid w:val="00F53C54"/>
    <w:rsid w:val="00F54234"/>
    <w:rsid w:val="00F543A6"/>
    <w:rsid w:val="00F544BB"/>
    <w:rsid w:val="00F545E3"/>
    <w:rsid w:val="00F54CCC"/>
    <w:rsid w:val="00F54E05"/>
    <w:rsid w:val="00F5514B"/>
    <w:rsid w:val="00F55295"/>
    <w:rsid w:val="00F552D6"/>
    <w:rsid w:val="00F556A8"/>
    <w:rsid w:val="00F5571B"/>
    <w:rsid w:val="00F55B55"/>
    <w:rsid w:val="00F560D0"/>
    <w:rsid w:val="00F562D7"/>
    <w:rsid w:val="00F564C4"/>
    <w:rsid w:val="00F5664A"/>
    <w:rsid w:val="00F5667C"/>
    <w:rsid w:val="00F56B47"/>
    <w:rsid w:val="00F56B79"/>
    <w:rsid w:val="00F572C0"/>
    <w:rsid w:val="00F57623"/>
    <w:rsid w:val="00F57D6E"/>
    <w:rsid w:val="00F6000A"/>
    <w:rsid w:val="00F600FA"/>
    <w:rsid w:val="00F602B2"/>
    <w:rsid w:val="00F608DA"/>
    <w:rsid w:val="00F60DB7"/>
    <w:rsid w:val="00F61132"/>
    <w:rsid w:val="00F61571"/>
    <w:rsid w:val="00F616A2"/>
    <w:rsid w:val="00F616FB"/>
    <w:rsid w:val="00F61D9E"/>
    <w:rsid w:val="00F6281E"/>
    <w:rsid w:val="00F62969"/>
    <w:rsid w:val="00F62AA7"/>
    <w:rsid w:val="00F62C78"/>
    <w:rsid w:val="00F630C0"/>
    <w:rsid w:val="00F630D4"/>
    <w:rsid w:val="00F63951"/>
    <w:rsid w:val="00F63A1C"/>
    <w:rsid w:val="00F63D89"/>
    <w:rsid w:val="00F6410A"/>
    <w:rsid w:val="00F64285"/>
    <w:rsid w:val="00F642A5"/>
    <w:rsid w:val="00F64D49"/>
    <w:rsid w:val="00F64F07"/>
    <w:rsid w:val="00F64F2B"/>
    <w:rsid w:val="00F65A09"/>
    <w:rsid w:val="00F65F9F"/>
    <w:rsid w:val="00F663C1"/>
    <w:rsid w:val="00F665F7"/>
    <w:rsid w:val="00F66661"/>
    <w:rsid w:val="00F6692E"/>
    <w:rsid w:val="00F66992"/>
    <w:rsid w:val="00F66998"/>
    <w:rsid w:val="00F66CB9"/>
    <w:rsid w:val="00F66D61"/>
    <w:rsid w:val="00F66DA4"/>
    <w:rsid w:val="00F66E5A"/>
    <w:rsid w:val="00F66E9A"/>
    <w:rsid w:val="00F66FE1"/>
    <w:rsid w:val="00F671AB"/>
    <w:rsid w:val="00F67276"/>
    <w:rsid w:val="00F67C93"/>
    <w:rsid w:val="00F67E91"/>
    <w:rsid w:val="00F701B6"/>
    <w:rsid w:val="00F7034E"/>
    <w:rsid w:val="00F70451"/>
    <w:rsid w:val="00F706A9"/>
    <w:rsid w:val="00F70A19"/>
    <w:rsid w:val="00F71030"/>
    <w:rsid w:val="00F7114F"/>
    <w:rsid w:val="00F716C2"/>
    <w:rsid w:val="00F71B14"/>
    <w:rsid w:val="00F71C2D"/>
    <w:rsid w:val="00F71EE6"/>
    <w:rsid w:val="00F726E2"/>
    <w:rsid w:val="00F726FE"/>
    <w:rsid w:val="00F72A60"/>
    <w:rsid w:val="00F72B9E"/>
    <w:rsid w:val="00F73859"/>
    <w:rsid w:val="00F738E7"/>
    <w:rsid w:val="00F73BFE"/>
    <w:rsid w:val="00F73DD4"/>
    <w:rsid w:val="00F73ECC"/>
    <w:rsid w:val="00F746BD"/>
    <w:rsid w:val="00F74805"/>
    <w:rsid w:val="00F74917"/>
    <w:rsid w:val="00F74D59"/>
    <w:rsid w:val="00F74E38"/>
    <w:rsid w:val="00F74F37"/>
    <w:rsid w:val="00F759E0"/>
    <w:rsid w:val="00F75B57"/>
    <w:rsid w:val="00F75CB2"/>
    <w:rsid w:val="00F770CB"/>
    <w:rsid w:val="00F7711A"/>
    <w:rsid w:val="00F771A2"/>
    <w:rsid w:val="00F772DE"/>
    <w:rsid w:val="00F7769C"/>
    <w:rsid w:val="00F77B9F"/>
    <w:rsid w:val="00F77E37"/>
    <w:rsid w:val="00F800A7"/>
    <w:rsid w:val="00F801DD"/>
    <w:rsid w:val="00F804FA"/>
    <w:rsid w:val="00F8071D"/>
    <w:rsid w:val="00F807D9"/>
    <w:rsid w:val="00F80D57"/>
    <w:rsid w:val="00F81211"/>
    <w:rsid w:val="00F816C3"/>
    <w:rsid w:val="00F8194A"/>
    <w:rsid w:val="00F81B52"/>
    <w:rsid w:val="00F826E5"/>
    <w:rsid w:val="00F82A99"/>
    <w:rsid w:val="00F82AA1"/>
    <w:rsid w:val="00F82D68"/>
    <w:rsid w:val="00F82EC5"/>
    <w:rsid w:val="00F82F6A"/>
    <w:rsid w:val="00F838E4"/>
    <w:rsid w:val="00F83B1F"/>
    <w:rsid w:val="00F83C22"/>
    <w:rsid w:val="00F83C50"/>
    <w:rsid w:val="00F83DE1"/>
    <w:rsid w:val="00F83F52"/>
    <w:rsid w:val="00F84593"/>
    <w:rsid w:val="00F846F6"/>
    <w:rsid w:val="00F84719"/>
    <w:rsid w:val="00F84B85"/>
    <w:rsid w:val="00F84E11"/>
    <w:rsid w:val="00F85219"/>
    <w:rsid w:val="00F852AE"/>
    <w:rsid w:val="00F854C9"/>
    <w:rsid w:val="00F85E8E"/>
    <w:rsid w:val="00F8674D"/>
    <w:rsid w:val="00F869CE"/>
    <w:rsid w:val="00F86AD9"/>
    <w:rsid w:val="00F86B1E"/>
    <w:rsid w:val="00F86B69"/>
    <w:rsid w:val="00F86F16"/>
    <w:rsid w:val="00F8701E"/>
    <w:rsid w:val="00F87087"/>
    <w:rsid w:val="00F8722D"/>
    <w:rsid w:val="00F8745C"/>
    <w:rsid w:val="00F8779C"/>
    <w:rsid w:val="00F878C8"/>
    <w:rsid w:val="00F87A06"/>
    <w:rsid w:val="00F87A4C"/>
    <w:rsid w:val="00F902F4"/>
    <w:rsid w:val="00F90639"/>
    <w:rsid w:val="00F90808"/>
    <w:rsid w:val="00F90934"/>
    <w:rsid w:val="00F91199"/>
    <w:rsid w:val="00F917EB"/>
    <w:rsid w:val="00F91820"/>
    <w:rsid w:val="00F91C72"/>
    <w:rsid w:val="00F91E15"/>
    <w:rsid w:val="00F922A8"/>
    <w:rsid w:val="00F92BC9"/>
    <w:rsid w:val="00F92DD7"/>
    <w:rsid w:val="00F932D7"/>
    <w:rsid w:val="00F935D3"/>
    <w:rsid w:val="00F9374D"/>
    <w:rsid w:val="00F93A9E"/>
    <w:rsid w:val="00F94304"/>
    <w:rsid w:val="00F945C4"/>
    <w:rsid w:val="00F9478D"/>
    <w:rsid w:val="00F95A05"/>
    <w:rsid w:val="00F95A84"/>
    <w:rsid w:val="00F95B94"/>
    <w:rsid w:val="00F96102"/>
    <w:rsid w:val="00F961E6"/>
    <w:rsid w:val="00F96FBA"/>
    <w:rsid w:val="00F97531"/>
    <w:rsid w:val="00F97727"/>
    <w:rsid w:val="00FA0379"/>
    <w:rsid w:val="00FA0E7A"/>
    <w:rsid w:val="00FA1324"/>
    <w:rsid w:val="00FA13EC"/>
    <w:rsid w:val="00FA15CD"/>
    <w:rsid w:val="00FA15D7"/>
    <w:rsid w:val="00FA1EC9"/>
    <w:rsid w:val="00FA203D"/>
    <w:rsid w:val="00FA2124"/>
    <w:rsid w:val="00FA2126"/>
    <w:rsid w:val="00FA258C"/>
    <w:rsid w:val="00FA2A4D"/>
    <w:rsid w:val="00FA2C32"/>
    <w:rsid w:val="00FA3007"/>
    <w:rsid w:val="00FA312B"/>
    <w:rsid w:val="00FA3243"/>
    <w:rsid w:val="00FA33F1"/>
    <w:rsid w:val="00FA3604"/>
    <w:rsid w:val="00FA37EF"/>
    <w:rsid w:val="00FA3CC9"/>
    <w:rsid w:val="00FA3D59"/>
    <w:rsid w:val="00FA443C"/>
    <w:rsid w:val="00FA460D"/>
    <w:rsid w:val="00FA4C25"/>
    <w:rsid w:val="00FA4D9D"/>
    <w:rsid w:val="00FA4DD3"/>
    <w:rsid w:val="00FA505E"/>
    <w:rsid w:val="00FA50F6"/>
    <w:rsid w:val="00FA5488"/>
    <w:rsid w:val="00FA5704"/>
    <w:rsid w:val="00FA5A37"/>
    <w:rsid w:val="00FA5CEE"/>
    <w:rsid w:val="00FA5D37"/>
    <w:rsid w:val="00FA5E69"/>
    <w:rsid w:val="00FA622D"/>
    <w:rsid w:val="00FA6304"/>
    <w:rsid w:val="00FA65F9"/>
    <w:rsid w:val="00FA69C8"/>
    <w:rsid w:val="00FA69FC"/>
    <w:rsid w:val="00FA726C"/>
    <w:rsid w:val="00FA7507"/>
    <w:rsid w:val="00FA78C4"/>
    <w:rsid w:val="00FA790F"/>
    <w:rsid w:val="00FA7C1E"/>
    <w:rsid w:val="00FA7E7F"/>
    <w:rsid w:val="00FB00C5"/>
    <w:rsid w:val="00FB0785"/>
    <w:rsid w:val="00FB17CD"/>
    <w:rsid w:val="00FB1822"/>
    <w:rsid w:val="00FB1A1A"/>
    <w:rsid w:val="00FB20A2"/>
    <w:rsid w:val="00FB225A"/>
    <w:rsid w:val="00FB2485"/>
    <w:rsid w:val="00FB2AC1"/>
    <w:rsid w:val="00FB2AE1"/>
    <w:rsid w:val="00FB2D3A"/>
    <w:rsid w:val="00FB30A6"/>
    <w:rsid w:val="00FB33B2"/>
    <w:rsid w:val="00FB3464"/>
    <w:rsid w:val="00FB3693"/>
    <w:rsid w:val="00FB39FB"/>
    <w:rsid w:val="00FB3D44"/>
    <w:rsid w:val="00FB3D6F"/>
    <w:rsid w:val="00FB411C"/>
    <w:rsid w:val="00FB413B"/>
    <w:rsid w:val="00FB431F"/>
    <w:rsid w:val="00FB48B1"/>
    <w:rsid w:val="00FB4968"/>
    <w:rsid w:val="00FB4EBA"/>
    <w:rsid w:val="00FB5633"/>
    <w:rsid w:val="00FB606F"/>
    <w:rsid w:val="00FB66C2"/>
    <w:rsid w:val="00FB6876"/>
    <w:rsid w:val="00FB6912"/>
    <w:rsid w:val="00FB6E0F"/>
    <w:rsid w:val="00FB6E37"/>
    <w:rsid w:val="00FB763F"/>
    <w:rsid w:val="00FB7980"/>
    <w:rsid w:val="00FB7B22"/>
    <w:rsid w:val="00FB7D64"/>
    <w:rsid w:val="00FC0186"/>
    <w:rsid w:val="00FC03F1"/>
    <w:rsid w:val="00FC0540"/>
    <w:rsid w:val="00FC0ED2"/>
    <w:rsid w:val="00FC1AD8"/>
    <w:rsid w:val="00FC1C70"/>
    <w:rsid w:val="00FC1F77"/>
    <w:rsid w:val="00FC2AFD"/>
    <w:rsid w:val="00FC2B03"/>
    <w:rsid w:val="00FC2C29"/>
    <w:rsid w:val="00FC2E17"/>
    <w:rsid w:val="00FC3D12"/>
    <w:rsid w:val="00FC4214"/>
    <w:rsid w:val="00FC42AC"/>
    <w:rsid w:val="00FC434A"/>
    <w:rsid w:val="00FC434F"/>
    <w:rsid w:val="00FC46E6"/>
    <w:rsid w:val="00FC49A9"/>
    <w:rsid w:val="00FC4AEE"/>
    <w:rsid w:val="00FC4DA5"/>
    <w:rsid w:val="00FC4DB8"/>
    <w:rsid w:val="00FC4E90"/>
    <w:rsid w:val="00FC4F04"/>
    <w:rsid w:val="00FC51F9"/>
    <w:rsid w:val="00FC5621"/>
    <w:rsid w:val="00FC5927"/>
    <w:rsid w:val="00FC5BDD"/>
    <w:rsid w:val="00FC5E0E"/>
    <w:rsid w:val="00FC5EA2"/>
    <w:rsid w:val="00FC6344"/>
    <w:rsid w:val="00FC68F6"/>
    <w:rsid w:val="00FC6A34"/>
    <w:rsid w:val="00FC6ACF"/>
    <w:rsid w:val="00FC6DE8"/>
    <w:rsid w:val="00FC6DFB"/>
    <w:rsid w:val="00FC7764"/>
    <w:rsid w:val="00FC780F"/>
    <w:rsid w:val="00FC7ACE"/>
    <w:rsid w:val="00FC7BFD"/>
    <w:rsid w:val="00FC7D0A"/>
    <w:rsid w:val="00FC7E55"/>
    <w:rsid w:val="00FD00BF"/>
    <w:rsid w:val="00FD0850"/>
    <w:rsid w:val="00FD0F88"/>
    <w:rsid w:val="00FD102F"/>
    <w:rsid w:val="00FD1294"/>
    <w:rsid w:val="00FD12CD"/>
    <w:rsid w:val="00FD172C"/>
    <w:rsid w:val="00FD17AA"/>
    <w:rsid w:val="00FD18BF"/>
    <w:rsid w:val="00FD1A94"/>
    <w:rsid w:val="00FD22E1"/>
    <w:rsid w:val="00FD2450"/>
    <w:rsid w:val="00FD2926"/>
    <w:rsid w:val="00FD3059"/>
    <w:rsid w:val="00FD33EA"/>
    <w:rsid w:val="00FD36D9"/>
    <w:rsid w:val="00FD3BE8"/>
    <w:rsid w:val="00FD43AB"/>
    <w:rsid w:val="00FD454A"/>
    <w:rsid w:val="00FD4697"/>
    <w:rsid w:val="00FD4C61"/>
    <w:rsid w:val="00FD4E49"/>
    <w:rsid w:val="00FD5620"/>
    <w:rsid w:val="00FD58A6"/>
    <w:rsid w:val="00FD6108"/>
    <w:rsid w:val="00FD6ACF"/>
    <w:rsid w:val="00FD748B"/>
    <w:rsid w:val="00FD7732"/>
    <w:rsid w:val="00FD78EC"/>
    <w:rsid w:val="00FE0271"/>
    <w:rsid w:val="00FE084A"/>
    <w:rsid w:val="00FE0855"/>
    <w:rsid w:val="00FE09C8"/>
    <w:rsid w:val="00FE0AE2"/>
    <w:rsid w:val="00FE0E37"/>
    <w:rsid w:val="00FE1147"/>
    <w:rsid w:val="00FE1159"/>
    <w:rsid w:val="00FE1180"/>
    <w:rsid w:val="00FE1433"/>
    <w:rsid w:val="00FE1816"/>
    <w:rsid w:val="00FE1A40"/>
    <w:rsid w:val="00FE1B91"/>
    <w:rsid w:val="00FE1DD6"/>
    <w:rsid w:val="00FE20BB"/>
    <w:rsid w:val="00FE2265"/>
    <w:rsid w:val="00FE2896"/>
    <w:rsid w:val="00FE298D"/>
    <w:rsid w:val="00FE2DFE"/>
    <w:rsid w:val="00FE2E74"/>
    <w:rsid w:val="00FE2F66"/>
    <w:rsid w:val="00FE324B"/>
    <w:rsid w:val="00FE3417"/>
    <w:rsid w:val="00FE34FE"/>
    <w:rsid w:val="00FE4D6E"/>
    <w:rsid w:val="00FE51B3"/>
    <w:rsid w:val="00FE5B46"/>
    <w:rsid w:val="00FE5D85"/>
    <w:rsid w:val="00FE5E4B"/>
    <w:rsid w:val="00FE6187"/>
    <w:rsid w:val="00FE6A20"/>
    <w:rsid w:val="00FE6AC9"/>
    <w:rsid w:val="00FE6AEF"/>
    <w:rsid w:val="00FE6FA9"/>
    <w:rsid w:val="00FE72CF"/>
    <w:rsid w:val="00FE73E7"/>
    <w:rsid w:val="00FE7A26"/>
    <w:rsid w:val="00FE7A68"/>
    <w:rsid w:val="00FE7C5C"/>
    <w:rsid w:val="00FF0071"/>
    <w:rsid w:val="00FF0B34"/>
    <w:rsid w:val="00FF1020"/>
    <w:rsid w:val="00FF19AC"/>
    <w:rsid w:val="00FF1E1F"/>
    <w:rsid w:val="00FF1F10"/>
    <w:rsid w:val="00FF2C85"/>
    <w:rsid w:val="00FF32FC"/>
    <w:rsid w:val="00FF3714"/>
    <w:rsid w:val="00FF392E"/>
    <w:rsid w:val="00FF3DD9"/>
    <w:rsid w:val="00FF4270"/>
    <w:rsid w:val="00FF46C1"/>
    <w:rsid w:val="00FF4B92"/>
    <w:rsid w:val="00FF563A"/>
    <w:rsid w:val="00FF5C11"/>
    <w:rsid w:val="00FF5FF4"/>
    <w:rsid w:val="00FF630A"/>
    <w:rsid w:val="00FF632C"/>
    <w:rsid w:val="00FF6360"/>
    <w:rsid w:val="00FF6445"/>
    <w:rsid w:val="00FF6939"/>
    <w:rsid w:val="00FF6B77"/>
    <w:rsid w:val="00FF6E3F"/>
    <w:rsid w:val="00FF719A"/>
    <w:rsid w:val="01D36E9A"/>
    <w:rsid w:val="02C6235A"/>
    <w:rsid w:val="02D36386"/>
    <w:rsid w:val="044C5144"/>
    <w:rsid w:val="045B1AED"/>
    <w:rsid w:val="04750907"/>
    <w:rsid w:val="04B577D3"/>
    <w:rsid w:val="057B5380"/>
    <w:rsid w:val="057F5660"/>
    <w:rsid w:val="05997BC9"/>
    <w:rsid w:val="05D72D49"/>
    <w:rsid w:val="05E673C5"/>
    <w:rsid w:val="06B97951"/>
    <w:rsid w:val="07E55276"/>
    <w:rsid w:val="085D30B1"/>
    <w:rsid w:val="089C3D9E"/>
    <w:rsid w:val="08CA0530"/>
    <w:rsid w:val="09CE335D"/>
    <w:rsid w:val="0A0E239E"/>
    <w:rsid w:val="0A6D0CF4"/>
    <w:rsid w:val="0A9073F4"/>
    <w:rsid w:val="0ADE2B1A"/>
    <w:rsid w:val="0AF37EE6"/>
    <w:rsid w:val="0C4E1071"/>
    <w:rsid w:val="0C8605B8"/>
    <w:rsid w:val="0C9B7E27"/>
    <w:rsid w:val="0CFC06EA"/>
    <w:rsid w:val="0D31485F"/>
    <w:rsid w:val="0DE0437B"/>
    <w:rsid w:val="0E947AD5"/>
    <w:rsid w:val="0EFF1BA4"/>
    <w:rsid w:val="0F0E636B"/>
    <w:rsid w:val="116158D9"/>
    <w:rsid w:val="11E80DB7"/>
    <w:rsid w:val="148E26B5"/>
    <w:rsid w:val="16E7182D"/>
    <w:rsid w:val="16F506DF"/>
    <w:rsid w:val="19101059"/>
    <w:rsid w:val="193A6FE3"/>
    <w:rsid w:val="1A2C4569"/>
    <w:rsid w:val="1A4809F1"/>
    <w:rsid w:val="1A612D0E"/>
    <w:rsid w:val="1ACC7F06"/>
    <w:rsid w:val="1ADB1906"/>
    <w:rsid w:val="1C2D6F0F"/>
    <w:rsid w:val="1CAD0CD4"/>
    <w:rsid w:val="1DA679A2"/>
    <w:rsid w:val="1EAF3EF0"/>
    <w:rsid w:val="1EE80259"/>
    <w:rsid w:val="201D2299"/>
    <w:rsid w:val="21243296"/>
    <w:rsid w:val="214563DD"/>
    <w:rsid w:val="2171650A"/>
    <w:rsid w:val="21936A25"/>
    <w:rsid w:val="21CF0FDB"/>
    <w:rsid w:val="225C7A23"/>
    <w:rsid w:val="23BF55A2"/>
    <w:rsid w:val="25762F4F"/>
    <w:rsid w:val="25C323C4"/>
    <w:rsid w:val="25EE21DF"/>
    <w:rsid w:val="27A978E5"/>
    <w:rsid w:val="27AD6C12"/>
    <w:rsid w:val="28391DB4"/>
    <w:rsid w:val="28574519"/>
    <w:rsid w:val="28663CA6"/>
    <w:rsid w:val="298B040E"/>
    <w:rsid w:val="2A48670E"/>
    <w:rsid w:val="2DCA06B4"/>
    <w:rsid w:val="2E3D01D7"/>
    <w:rsid w:val="2E4A064A"/>
    <w:rsid w:val="2ED849B7"/>
    <w:rsid w:val="32496636"/>
    <w:rsid w:val="32EF2CAA"/>
    <w:rsid w:val="33725D40"/>
    <w:rsid w:val="33AA7B36"/>
    <w:rsid w:val="33E813B3"/>
    <w:rsid w:val="35204A00"/>
    <w:rsid w:val="35595C3C"/>
    <w:rsid w:val="36690342"/>
    <w:rsid w:val="36B15A72"/>
    <w:rsid w:val="36C951E0"/>
    <w:rsid w:val="371A142F"/>
    <w:rsid w:val="37514D45"/>
    <w:rsid w:val="37AF0766"/>
    <w:rsid w:val="38605562"/>
    <w:rsid w:val="392D274D"/>
    <w:rsid w:val="3A187925"/>
    <w:rsid w:val="3B303A3C"/>
    <w:rsid w:val="3BDF64F6"/>
    <w:rsid w:val="3BFE247B"/>
    <w:rsid w:val="3C267EA3"/>
    <w:rsid w:val="3D90320E"/>
    <w:rsid w:val="40BA35F2"/>
    <w:rsid w:val="41363E9B"/>
    <w:rsid w:val="433613DE"/>
    <w:rsid w:val="4344496E"/>
    <w:rsid w:val="43E667A7"/>
    <w:rsid w:val="44C36A95"/>
    <w:rsid w:val="45BC32AD"/>
    <w:rsid w:val="45CD7992"/>
    <w:rsid w:val="4644150D"/>
    <w:rsid w:val="46766EDE"/>
    <w:rsid w:val="469B7525"/>
    <w:rsid w:val="47ED7D19"/>
    <w:rsid w:val="47FC2BF5"/>
    <w:rsid w:val="48552EDF"/>
    <w:rsid w:val="486A1A66"/>
    <w:rsid w:val="48C33FCC"/>
    <w:rsid w:val="494D7397"/>
    <w:rsid w:val="49EC279E"/>
    <w:rsid w:val="4A623E46"/>
    <w:rsid w:val="4AA969D7"/>
    <w:rsid w:val="4BB2420B"/>
    <w:rsid w:val="4CDB37AA"/>
    <w:rsid w:val="4D12512E"/>
    <w:rsid w:val="4D427BDA"/>
    <w:rsid w:val="4DD06036"/>
    <w:rsid w:val="4DF03B28"/>
    <w:rsid w:val="4DF60ACC"/>
    <w:rsid w:val="4DF97105"/>
    <w:rsid w:val="4F1E7A2C"/>
    <w:rsid w:val="50262397"/>
    <w:rsid w:val="528F6D44"/>
    <w:rsid w:val="53A839B4"/>
    <w:rsid w:val="55C33536"/>
    <w:rsid w:val="567C2C8B"/>
    <w:rsid w:val="56C25ABC"/>
    <w:rsid w:val="56DE6A68"/>
    <w:rsid w:val="57BE2392"/>
    <w:rsid w:val="590D3432"/>
    <w:rsid w:val="5A056EB9"/>
    <w:rsid w:val="5A3C3F30"/>
    <w:rsid w:val="5A8E56A6"/>
    <w:rsid w:val="5ABD3326"/>
    <w:rsid w:val="5B5B47E9"/>
    <w:rsid w:val="5B6F710F"/>
    <w:rsid w:val="5BCD4850"/>
    <w:rsid w:val="5D9D6FD3"/>
    <w:rsid w:val="5D9E20DF"/>
    <w:rsid w:val="5DEA6BC1"/>
    <w:rsid w:val="5E034186"/>
    <w:rsid w:val="5F4B570B"/>
    <w:rsid w:val="5FB72C16"/>
    <w:rsid w:val="609C4E5F"/>
    <w:rsid w:val="60E9135C"/>
    <w:rsid w:val="60F14EFD"/>
    <w:rsid w:val="617D3840"/>
    <w:rsid w:val="6200766D"/>
    <w:rsid w:val="6311727A"/>
    <w:rsid w:val="63417736"/>
    <w:rsid w:val="656361A4"/>
    <w:rsid w:val="67495878"/>
    <w:rsid w:val="67A2715C"/>
    <w:rsid w:val="67D46102"/>
    <w:rsid w:val="686106A0"/>
    <w:rsid w:val="68A76469"/>
    <w:rsid w:val="68DB7CDF"/>
    <w:rsid w:val="68F302E8"/>
    <w:rsid w:val="6A040FF0"/>
    <w:rsid w:val="6A8C26E7"/>
    <w:rsid w:val="6A9A2601"/>
    <w:rsid w:val="6AD81151"/>
    <w:rsid w:val="6B335D5B"/>
    <w:rsid w:val="6BB7119B"/>
    <w:rsid w:val="6C952D46"/>
    <w:rsid w:val="6FD774E6"/>
    <w:rsid w:val="70256D1C"/>
    <w:rsid w:val="71364355"/>
    <w:rsid w:val="71706969"/>
    <w:rsid w:val="74033D54"/>
    <w:rsid w:val="765317D9"/>
    <w:rsid w:val="76F53E16"/>
    <w:rsid w:val="7AD71AD2"/>
    <w:rsid w:val="7AF62E50"/>
    <w:rsid w:val="7B200EFC"/>
    <w:rsid w:val="7C411BE7"/>
    <w:rsid w:val="7C496716"/>
    <w:rsid w:val="7EB21882"/>
    <w:rsid w:val="7F700EB4"/>
    <w:rsid w:val="7FC04D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qFormat="1" w:unhideWhenUsed="0" w:uiPriority="0" w:semiHidden="0"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qFormat="1" w:unhideWhenUsed="0" w:uiPriority="0" w:semiHidden="0"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qFormat="1" w:unhideWhenUsed="0" w:uiPriority="0" w:semiHidden="0"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qFormat="1" w:unhideWhenUsed="0" w:uiPriority="0" w:semiHidden="0" w:name="List Continue 2"/>
    <w:lsdException w:qFormat="1" w:unhideWhenUsed="0" w:uiPriority="0" w:semiHidden="0" w:name="List Continue 3"/>
    <w:lsdException w:uiPriority="99" w:name="List Continue 4"/>
    <w:lsdException w:qFormat="1" w:unhideWhenUsed="0" w:uiPriority="0" w:semiHidden="0"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nhideWhenUsed="0" w:uiPriority="99"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iPriority="0" w:semiHidden="0"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qFormat="1" w:unhideWhenUsed="0" w:uiPriority="0" w:name="Table Web 3"/>
    <w:lsdException w:qFormat="1"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3">
    <w:name w:val="heading 1"/>
    <w:basedOn w:val="1"/>
    <w:next w:val="1"/>
    <w:link w:val="83"/>
    <w:qFormat/>
    <w:uiPriority w:val="0"/>
    <w:pPr>
      <w:keepNext/>
      <w:keepLines/>
      <w:ind w:firstLine="0" w:firstLineChars="0"/>
      <w:jc w:val="center"/>
      <w:outlineLvl w:val="0"/>
    </w:pPr>
    <w:rPr>
      <w:rFonts w:eastAsia="黑体"/>
      <w:bCs/>
      <w:kern w:val="44"/>
      <w:sz w:val="32"/>
      <w:szCs w:val="44"/>
    </w:rPr>
  </w:style>
  <w:style w:type="paragraph" w:styleId="4">
    <w:name w:val="heading 2"/>
    <w:basedOn w:val="1"/>
    <w:next w:val="1"/>
    <w:link w:val="159"/>
    <w:qFormat/>
    <w:uiPriority w:val="0"/>
    <w:pPr>
      <w:keepNext/>
      <w:keepLines/>
      <w:ind w:firstLine="0" w:firstLineChars="0"/>
      <w:outlineLvl w:val="1"/>
    </w:pPr>
    <w:rPr>
      <w:rFonts w:eastAsia="黑体"/>
      <w:b/>
      <w:bCs/>
      <w:sz w:val="28"/>
      <w:szCs w:val="32"/>
    </w:rPr>
  </w:style>
  <w:style w:type="paragraph" w:styleId="5">
    <w:name w:val="heading 3"/>
    <w:basedOn w:val="1"/>
    <w:next w:val="1"/>
    <w:link w:val="138"/>
    <w:qFormat/>
    <w:uiPriority w:val="0"/>
    <w:pPr>
      <w:keepNext/>
      <w:keepLines/>
      <w:ind w:firstLine="0" w:firstLineChars="0"/>
      <w:outlineLvl w:val="2"/>
    </w:pPr>
    <w:rPr>
      <w:rFonts w:eastAsia="黑体"/>
      <w:b/>
      <w:bCs/>
      <w:szCs w:val="32"/>
    </w:rPr>
  </w:style>
  <w:style w:type="paragraph" w:styleId="6">
    <w:name w:val="heading 4"/>
    <w:basedOn w:val="1"/>
    <w:next w:val="1"/>
    <w:link w:val="97"/>
    <w:qFormat/>
    <w:uiPriority w:val="0"/>
    <w:pPr>
      <w:keepNext/>
      <w:keepLines/>
      <w:spacing w:before="280" w:after="290" w:line="376" w:lineRule="auto"/>
      <w:outlineLvl w:val="3"/>
    </w:pPr>
    <w:rPr>
      <w:rFonts w:ascii="Cambria" w:hAnsi="Cambria"/>
      <w:b/>
      <w:bCs/>
      <w:sz w:val="28"/>
      <w:szCs w:val="28"/>
    </w:rPr>
  </w:style>
  <w:style w:type="paragraph" w:styleId="7">
    <w:name w:val="heading 5"/>
    <w:basedOn w:val="1"/>
    <w:next w:val="1"/>
    <w:link w:val="144"/>
    <w:qFormat/>
    <w:uiPriority w:val="0"/>
    <w:pPr>
      <w:keepNext/>
      <w:keepLines/>
      <w:spacing w:before="280" w:after="290" w:line="376" w:lineRule="auto"/>
      <w:outlineLvl w:val="4"/>
    </w:pPr>
    <w:rPr>
      <w:b/>
      <w:bCs/>
      <w:sz w:val="28"/>
      <w:szCs w:val="28"/>
    </w:rPr>
  </w:style>
  <w:style w:type="paragraph" w:styleId="2">
    <w:name w:val="heading 6"/>
    <w:basedOn w:val="1"/>
    <w:next w:val="1"/>
    <w:link w:val="142"/>
    <w:qFormat/>
    <w:uiPriority w:val="0"/>
    <w:pPr>
      <w:keepNext/>
      <w:keepLines/>
      <w:spacing w:before="240" w:after="64" w:line="320" w:lineRule="auto"/>
      <w:outlineLvl w:val="5"/>
    </w:pPr>
    <w:rPr>
      <w:rFonts w:ascii="Arial" w:hAnsi="Arial" w:eastAsia="黑体"/>
      <w:b/>
      <w:bCs/>
      <w:szCs w:val="24"/>
    </w:rPr>
  </w:style>
  <w:style w:type="paragraph" w:styleId="8">
    <w:name w:val="heading 7"/>
    <w:basedOn w:val="1"/>
    <w:next w:val="1"/>
    <w:link w:val="126"/>
    <w:qFormat/>
    <w:uiPriority w:val="0"/>
    <w:pPr>
      <w:keepNext/>
      <w:keepLines/>
      <w:spacing w:before="240" w:after="64" w:line="320" w:lineRule="auto"/>
      <w:outlineLvl w:val="6"/>
    </w:pPr>
    <w:rPr>
      <w:b/>
      <w:bCs/>
      <w:szCs w:val="24"/>
    </w:rPr>
  </w:style>
  <w:style w:type="paragraph" w:styleId="9">
    <w:name w:val="heading 8"/>
    <w:basedOn w:val="1"/>
    <w:next w:val="1"/>
    <w:link w:val="125"/>
    <w:qFormat/>
    <w:uiPriority w:val="0"/>
    <w:pPr>
      <w:keepNext/>
      <w:keepLines/>
      <w:spacing w:before="240" w:after="64" w:line="320" w:lineRule="auto"/>
      <w:outlineLvl w:val="7"/>
    </w:pPr>
    <w:rPr>
      <w:rFonts w:ascii="Arial" w:hAnsi="Arial" w:eastAsia="黑体"/>
      <w:szCs w:val="24"/>
    </w:rPr>
  </w:style>
  <w:style w:type="paragraph" w:styleId="10">
    <w:name w:val="heading 9"/>
    <w:basedOn w:val="1"/>
    <w:next w:val="1"/>
    <w:link w:val="108"/>
    <w:qFormat/>
    <w:uiPriority w:val="0"/>
    <w:pPr>
      <w:keepNext/>
      <w:keepLines/>
      <w:spacing w:before="240" w:after="64" w:line="320" w:lineRule="auto"/>
      <w:outlineLvl w:val="8"/>
    </w:pPr>
    <w:rPr>
      <w:rFonts w:ascii="Arial" w:hAnsi="Arial" w:eastAsia="黑体"/>
      <w:szCs w:val="24"/>
    </w:rPr>
  </w:style>
  <w:style w:type="character" w:default="1" w:styleId="66">
    <w:name w:val="Default Paragraph Font"/>
    <w:semiHidden/>
    <w:unhideWhenUsed/>
    <w:qFormat/>
    <w:uiPriority w:val="1"/>
  </w:style>
  <w:style w:type="table" w:default="1" w:styleId="61">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rPr>
      <w:szCs w:val="20"/>
    </w:rPr>
  </w:style>
  <w:style w:type="paragraph" w:styleId="12">
    <w:name w:val="toc 7"/>
    <w:basedOn w:val="1"/>
    <w:next w:val="1"/>
    <w:unhideWhenUsed/>
    <w:qFormat/>
    <w:uiPriority w:val="39"/>
    <w:pPr>
      <w:ind w:left="1260"/>
      <w:jc w:val="left"/>
    </w:pPr>
    <w:rPr>
      <w:rFonts w:ascii="Calibri" w:hAnsi="Calibri"/>
      <w:sz w:val="18"/>
      <w:szCs w:val="18"/>
    </w:rPr>
  </w:style>
  <w:style w:type="paragraph" w:styleId="13">
    <w:name w:val="Note Heading"/>
    <w:basedOn w:val="1"/>
    <w:next w:val="1"/>
    <w:link w:val="552"/>
    <w:qFormat/>
    <w:uiPriority w:val="0"/>
    <w:pPr>
      <w:adjustRightInd w:val="0"/>
      <w:snapToGrid w:val="0"/>
      <w:spacing w:before="100" w:beforeAutospacing="1" w:after="100" w:afterAutospacing="1"/>
      <w:jc w:val="center"/>
    </w:pPr>
    <w:rPr>
      <w:snapToGrid w:val="0"/>
      <w:szCs w:val="24"/>
    </w:rPr>
  </w:style>
  <w:style w:type="paragraph" w:styleId="14">
    <w:name w:val="List Bullet 4"/>
    <w:basedOn w:val="1"/>
    <w:qFormat/>
    <w:uiPriority w:val="0"/>
    <w:pPr>
      <w:tabs>
        <w:tab w:val="left" w:pos="480"/>
      </w:tabs>
      <w:spacing w:line="240" w:lineRule="auto"/>
      <w:ind w:left="480" w:hanging="480" w:firstLineChars="0"/>
    </w:pPr>
    <w:rPr>
      <w:sz w:val="21"/>
      <w:szCs w:val="20"/>
    </w:rPr>
  </w:style>
  <w:style w:type="paragraph" w:styleId="15">
    <w:name w:val="Normal Indent"/>
    <w:basedOn w:val="1"/>
    <w:link w:val="160"/>
    <w:qFormat/>
    <w:uiPriority w:val="99"/>
    <w:pPr>
      <w:spacing w:line="324" w:lineRule="auto"/>
      <w:ind w:firstLine="420"/>
    </w:pPr>
    <w:rPr>
      <w:szCs w:val="24"/>
    </w:rPr>
  </w:style>
  <w:style w:type="paragraph" w:styleId="16">
    <w:name w:val="caption"/>
    <w:basedOn w:val="1"/>
    <w:next w:val="1"/>
    <w:link w:val="518"/>
    <w:qFormat/>
    <w:uiPriority w:val="0"/>
    <w:pPr>
      <w:spacing w:line="240" w:lineRule="auto"/>
      <w:ind w:firstLine="0" w:firstLineChars="0"/>
      <w:jc w:val="center"/>
    </w:pPr>
    <w:rPr>
      <w:rFonts w:ascii="Arial" w:hAnsi="Arial" w:cs="Arial"/>
      <w:szCs w:val="20"/>
    </w:rPr>
  </w:style>
  <w:style w:type="paragraph" w:styleId="17">
    <w:name w:val="List Bullet"/>
    <w:basedOn w:val="1"/>
    <w:qFormat/>
    <w:uiPriority w:val="0"/>
    <w:pPr>
      <w:adjustRightInd w:val="0"/>
      <w:snapToGrid w:val="0"/>
    </w:pPr>
    <w:rPr>
      <w:snapToGrid w:val="0"/>
      <w:kern w:val="0"/>
      <w:szCs w:val="24"/>
    </w:rPr>
  </w:style>
  <w:style w:type="paragraph" w:styleId="18">
    <w:name w:val="envelope address"/>
    <w:basedOn w:val="1"/>
    <w:qFormat/>
    <w:uiPriority w:val="0"/>
    <w:pPr>
      <w:framePr w:w="7920" w:h="1980" w:hRule="exact" w:hSpace="180" w:wrap="around" w:vAnchor="margin" w:hAnchor="page" w:xAlign="center" w:yAlign="bottom"/>
      <w:snapToGrid w:val="0"/>
      <w:ind w:left="100" w:leftChars="1400"/>
    </w:pPr>
    <w:rPr>
      <w:rFonts w:ascii="Arial" w:hAnsi="Arial" w:cs="Arial"/>
      <w:szCs w:val="21"/>
    </w:rPr>
  </w:style>
  <w:style w:type="paragraph" w:styleId="19">
    <w:name w:val="Document Map"/>
    <w:basedOn w:val="1"/>
    <w:link w:val="96"/>
    <w:unhideWhenUsed/>
    <w:qFormat/>
    <w:uiPriority w:val="0"/>
    <w:rPr>
      <w:rFonts w:ascii="宋体"/>
      <w:sz w:val="18"/>
      <w:szCs w:val="18"/>
    </w:rPr>
  </w:style>
  <w:style w:type="paragraph" w:styleId="20">
    <w:name w:val="annotation text"/>
    <w:basedOn w:val="1"/>
    <w:link w:val="87"/>
    <w:unhideWhenUsed/>
    <w:qFormat/>
    <w:uiPriority w:val="0"/>
    <w:pPr>
      <w:jc w:val="left"/>
    </w:pPr>
  </w:style>
  <w:style w:type="paragraph" w:styleId="21">
    <w:name w:val="Body Text 3"/>
    <w:basedOn w:val="1"/>
    <w:link w:val="131"/>
    <w:qFormat/>
    <w:uiPriority w:val="0"/>
    <w:pPr>
      <w:spacing w:after="120" w:line="240" w:lineRule="auto"/>
      <w:ind w:firstLine="0" w:firstLineChars="0"/>
    </w:pPr>
    <w:rPr>
      <w:sz w:val="16"/>
      <w:szCs w:val="16"/>
    </w:rPr>
  </w:style>
  <w:style w:type="paragraph" w:styleId="22">
    <w:name w:val="List Bullet 3"/>
    <w:basedOn w:val="1"/>
    <w:qFormat/>
    <w:uiPriority w:val="0"/>
    <w:pPr>
      <w:tabs>
        <w:tab w:val="left" w:pos="840"/>
      </w:tabs>
      <w:spacing w:line="240" w:lineRule="auto"/>
      <w:ind w:left="840" w:hanging="360" w:firstLineChars="0"/>
    </w:pPr>
    <w:rPr>
      <w:sz w:val="21"/>
      <w:szCs w:val="20"/>
    </w:rPr>
  </w:style>
  <w:style w:type="paragraph" w:styleId="23">
    <w:name w:val="Body Text"/>
    <w:basedOn w:val="1"/>
    <w:link w:val="82"/>
    <w:qFormat/>
    <w:uiPriority w:val="0"/>
    <w:pPr>
      <w:spacing w:after="120"/>
    </w:pPr>
    <w:rPr>
      <w:szCs w:val="24"/>
    </w:rPr>
  </w:style>
  <w:style w:type="paragraph" w:styleId="24">
    <w:name w:val="Body Text Indent"/>
    <w:basedOn w:val="1"/>
    <w:link w:val="149"/>
    <w:unhideWhenUsed/>
    <w:qFormat/>
    <w:uiPriority w:val="0"/>
    <w:pPr>
      <w:spacing w:after="120"/>
      <w:ind w:left="420" w:leftChars="200"/>
    </w:pPr>
  </w:style>
  <w:style w:type="paragraph" w:styleId="25">
    <w:name w:val="List 2"/>
    <w:basedOn w:val="1"/>
    <w:qFormat/>
    <w:uiPriority w:val="0"/>
    <w:pPr>
      <w:spacing w:line="240" w:lineRule="auto"/>
      <w:ind w:left="100" w:leftChars="200" w:hanging="200" w:hangingChars="200"/>
    </w:pPr>
    <w:rPr>
      <w:sz w:val="21"/>
      <w:szCs w:val="24"/>
    </w:rPr>
  </w:style>
  <w:style w:type="paragraph" w:styleId="26">
    <w:name w:val="Block Text"/>
    <w:basedOn w:val="1"/>
    <w:qFormat/>
    <w:uiPriority w:val="0"/>
    <w:pPr>
      <w:spacing w:line="300" w:lineRule="exact"/>
      <w:ind w:left="-105" w:leftChars="-50" w:right="-105" w:rightChars="-50" w:firstLine="0" w:firstLineChars="0"/>
      <w:jc w:val="center"/>
    </w:pPr>
    <w:rPr>
      <w:rFonts w:ascii="宋体" w:hAnsi="宋体"/>
      <w:kern w:val="0"/>
      <w:sz w:val="18"/>
      <w:szCs w:val="21"/>
    </w:rPr>
  </w:style>
  <w:style w:type="paragraph" w:styleId="27">
    <w:name w:val="List Bullet 2"/>
    <w:basedOn w:val="1"/>
    <w:qFormat/>
    <w:uiPriority w:val="0"/>
    <w:pPr>
      <w:tabs>
        <w:tab w:val="left" w:pos="840"/>
      </w:tabs>
      <w:spacing w:line="240" w:lineRule="auto"/>
      <w:ind w:left="840" w:hanging="360" w:firstLineChars="0"/>
    </w:pPr>
    <w:rPr>
      <w:sz w:val="21"/>
      <w:szCs w:val="20"/>
    </w:rPr>
  </w:style>
  <w:style w:type="paragraph" w:styleId="28">
    <w:name w:val="index 4"/>
    <w:basedOn w:val="1"/>
    <w:next w:val="1"/>
    <w:qFormat/>
    <w:uiPriority w:val="0"/>
    <w:pPr>
      <w:spacing w:line="240" w:lineRule="auto"/>
      <w:ind w:left="600" w:leftChars="600" w:firstLine="0" w:firstLineChars="0"/>
    </w:pPr>
    <w:rPr>
      <w:sz w:val="21"/>
      <w:szCs w:val="24"/>
    </w:rPr>
  </w:style>
  <w:style w:type="paragraph" w:styleId="29">
    <w:name w:val="toc 5"/>
    <w:basedOn w:val="1"/>
    <w:next w:val="1"/>
    <w:unhideWhenUsed/>
    <w:qFormat/>
    <w:uiPriority w:val="39"/>
    <w:pPr>
      <w:ind w:left="840"/>
      <w:jc w:val="left"/>
    </w:pPr>
    <w:rPr>
      <w:rFonts w:ascii="Calibri" w:hAnsi="Calibri"/>
      <w:sz w:val="18"/>
      <w:szCs w:val="18"/>
    </w:rPr>
  </w:style>
  <w:style w:type="paragraph" w:styleId="30">
    <w:name w:val="toc 3"/>
    <w:basedOn w:val="1"/>
    <w:next w:val="1"/>
    <w:unhideWhenUsed/>
    <w:qFormat/>
    <w:uiPriority w:val="39"/>
    <w:pPr>
      <w:ind w:left="420"/>
      <w:jc w:val="left"/>
    </w:pPr>
    <w:rPr>
      <w:rFonts w:ascii="Calibri" w:hAnsi="Calibri"/>
      <w:i/>
      <w:iCs/>
      <w:sz w:val="20"/>
      <w:szCs w:val="20"/>
    </w:rPr>
  </w:style>
  <w:style w:type="paragraph" w:styleId="31">
    <w:name w:val="Plain Text"/>
    <w:basedOn w:val="1"/>
    <w:link w:val="112"/>
    <w:qFormat/>
    <w:uiPriority w:val="0"/>
    <w:pPr>
      <w:spacing w:line="240" w:lineRule="auto"/>
      <w:ind w:firstLine="0" w:firstLineChars="0"/>
    </w:pPr>
    <w:rPr>
      <w:rFonts w:ascii="宋体" w:hAnsi="Courier New"/>
      <w:sz w:val="21"/>
      <w:szCs w:val="24"/>
    </w:rPr>
  </w:style>
  <w:style w:type="paragraph" w:styleId="32">
    <w:name w:val="toc 8"/>
    <w:basedOn w:val="1"/>
    <w:next w:val="1"/>
    <w:unhideWhenUsed/>
    <w:qFormat/>
    <w:uiPriority w:val="39"/>
    <w:pPr>
      <w:ind w:left="1470"/>
      <w:jc w:val="left"/>
    </w:pPr>
    <w:rPr>
      <w:rFonts w:ascii="Calibri" w:hAnsi="Calibri"/>
      <w:sz w:val="18"/>
      <w:szCs w:val="18"/>
    </w:rPr>
  </w:style>
  <w:style w:type="paragraph" w:styleId="33">
    <w:name w:val="index 3"/>
    <w:basedOn w:val="1"/>
    <w:next w:val="1"/>
    <w:qFormat/>
    <w:uiPriority w:val="0"/>
    <w:pPr>
      <w:spacing w:line="240" w:lineRule="auto"/>
      <w:ind w:left="400" w:leftChars="400" w:firstLine="0" w:firstLineChars="0"/>
    </w:pPr>
    <w:rPr>
      <w:sz w:val="21"/>
      <w:szCs w:val="21"/>
    </w:rPr>
  </w:style>
  <w:style w:type="paragraph" w:styleId="34">
    <w:name w:val="Date"/>
    <w:basedOn w:val="1"/>
    <w:next w:val="1"/>
    <w:link w:val="107"/>
    <w:unhideWhenUsed/>
    <w:qFormat/>
    <w:uiPriority w:val="0"/>
    <w:pPr>
      <w:ind w:left="100" w:leftChars="2500"/>
    </w:pPr>
  </w:style>
  <w:style w:type="paragraph" w:styleId="35">
    <w:name w:val="Body Text Indent 2"/>
    <w:basedOn w:val="1"/>
    <w:link w:val="403"/>
    <w:qFormat/>
    <w:uiPriority w:val="0"/>
    <w:pPr>
      <w:spacing w:after="120" w:line="480" w:lineRule="auto"/>
      <w:ind w:left="420" w:leftChars="200"/>
    </w:pPr>
  </w:style>
  <w:style w:type="paragraph" w:styleId="36">
    <w:name w:val="List Continue 5"/>
    <w:basedOn w:val="1"/>
    <w:qFormat/>
    <w:uiPriority w:val="0"/>
    <w:pPr>
      <w:spacing w:after="120"/>
      <w:ind w:left="2100" w:leftChars="1000"/>
    </w:pPr>
    <w:rPr>
      <w:szCs w:val="20"/>
    </w:rPr>
  </w:style>
  <w:style w:type="paragraph" w:styleId="37">
    <w:name w:val="Balloon Text"/>
    <w:basedOn w:val="1"/>
    <w:link w:val="74"/>
    <w:unhideWhenUsed/>
    <w:qFormat/>
    <w:uiPriority w:val="0"/>
    <w:rPr>
      <w:sz w:val="18"/>
      <w:szCs w:val="18"/>
    </w:rPr>
  </w:style>
  <w:style w:type="paragraph" w:styleId="38">
    <w:name w:val="footer"/>
    <w:basedOn w:val="1"/>
    <w:link w:val="164"/>
    <w:unhideWhenUsed/>
    <w:qFormat/>
    <w:uiPriority w:val="99"/>
    <w:pPr>
      <w:tabs>
        <w:tab w:val="center" w:pos="4153"/>
        <w:tab w:val="right" w:pos="8306"/>
      </w:tabs>
      <w:snapToGrid w:val="0"/>
      <w:jc w:val="left"/>
    </w:pPr>
    <w:rPr>
      <w:sz w:val="18"/>
      <w:szCs w:val="18"/>
    </w:rPr>
  </w:style>
  <w:style w:type="paragraph" w:styleId="39">
    <w:name w:val="header"/>
    <w:basedOn w:val="1"/>
    <w:link w:val="113"/>
    <w:unhideWhenUsed/>
    <w:qFormat/>
    <w:uiPriority w:val="0"/>
    <w:pPr>
      <w:pBdr>
        <w:bottom w:val="single" w:color="auto" w:sz="6" w:space="1"/>
      </w:pBdr>
      <w:tabs>
        <w:tab w:val="center" w:pos="4153"/>
        <w:tab w:val="right" w:pos="8306"/>
      </w:tabs>
      <w:snapToGrid w:val="0"/>
      <w:jc w:val="center"/>
    </w:pPr>
    <w:rPr>
      <w:sz w:val="18"/>
      <w:szCs w:val="18"/>
    </w:rPr>
  </w:style>
  <w:style w:type="paragraph" w:styleId="40">
    <w:name w:val="toc 1"/>
    <w:basedOn w:val="1"/>
    <w:next w:val="1"/>
    <w:unhideWhenUsed/>
    <w:qFormat/>
    <w:uiPriority w:val="39"/>
    <w:pPr>
      <w:spacing w:before="120" w:after="120"/>
      <w:jc w:val="left"/>
    </w:pPr>
    <w:rPr>
      <w:rFonts w:ascii="Calibri" w:hAnsi="Calibri"/>
      <w:b/>
      <w:bCs/>
      <w:caps/>
      <w:sz w:val="20"/>
      <w:szCs w:val="20"/>
    </w:rPr>
  </w:style>
  <w:style w:type="paragraph" w:styleId="41">
    <w:name w:val="toc 4"/>
    <w:basedOn w:val="1"/>
    <w:next w:val="1"/>
    <w:unhideWhenUsed/>
    <w:qFormat/>
    <w:uiPriority w:val="39"/>
    <w:pPr>
      <w:ind w:left="630"/>
      <w:jc w:val="left"/>
    </w:pPr>
    <w:rPr>
      <w:rFonts w:ascii="Calibri" w:hAnsi="Calibri"/>
      <w:sz w:val="18"/>
      <w:szCs w:val="18"/>
    </w:rPr>
  </w:style>
  <w:style w:type="paragraph" w:styleId="42">
    <w:name w:val="Subtitle"/>
    <w:basedOn w:val="1"/>
    <w:next w:val="1"/>
    <w:link w:val="153"/>
    <w:qFormat/>
    <w:uiPriority w:val="11"/>
    <w:pPr>
      <w:spacing w:before="240" w:after="60" w:line="312" w:lineRule="auto"/>
      <w:jc w:val="center"/>
      <w:outlineLvl w:val="1"/>
    </w:pPr>
    <w:rPr>
      <w:rFonts w:ascii="Cambria" w:hAnsi="Cambria"/>
      <w:b/>
      <w:bCs/>
      <w:kern w:val="28"/>
      <w:sz w:val="32"/>
      <w:szCs w:val="32"/>
    </w:rPr>
  </w:style>
  <w:style w:type="paragraph" w:styleId="43">
    <w:name w:val="List"/>
    <w:basedOn w:val="1"/>
    <w:qFormat/>
    <w:uiPriority w:val="0"/>
    <w:pPr>
      <w:adjustRightInd w:val="0"/>
      <w:snapToGrid w:val="0"/>
      <w:ind w:left="200" w:hanging="200" w:hangingChars="200"/>
    </w:pPr>
    <w:rPr>
      <w:szCs w:val="24"/>
    </w:rPr>
  </w:style>
  <w:style w:type="paragraph" w:styleId="44">
    <w:name w:val="footnote text"/>
    <w:basedOn w:val="1"/>
    <w:link w:val="526"/>
    <w:qFormat/>
    <w:uiPriority w:val="0"/>
    <w:pPr>
      <w:widowControl/>
      <w:snapToGrid w:val="0"/>
      <w:jc w:val="left"/>
    </w:pPr>
    <w:rPr>
      <w:rFonts w:ascii="宋体" w:hAnsi="宋体" w:cs="宋体"/>
      <w:kern w:val="0"/>
      <w:sz w:val="18"/>
      <w:szCs w:val="18"/>
    </w:rPr>
  </w:style>
  <w:style w:type="paragraph" w:styleId="45">
    <w:name w:val="toc 6"/>
    <w:basedOn w:val="1"/>
    <w:next w:val="1"/>
    <w:unhideWhenUsed/>
    <w:qFormat/>
    <w:uiPriority w:val="39"/>
    <w:pPr>
      <w:ind w:left="1050"/>
      <w:jc w:val="left"/>
    </w:pPr>
    <w:rPr>
      <w:rFonts w:ascii="Calibri" w:hAnsi="Calibri"/>
      <w:sz w:val="18"/>
      <w:szCs w:val="18"/>
    </w:rPr>
  </w:style>
  <w:style w:type="paragraph" w:styleId="46">
    <w:name w:val="List 5"/>
    <w:basedOn w:val="1"/>
    <w:qFormat/>
    <w:uiPriority w:val="0"/>
    <w:pPr>
      <w:spacing w:line="240" w:lineRule="auto"/>
      <w:ind w:left="100" w:leftChars="800" w:hanging="200" w:hangingChars="200"/>
    </w:pPr>
    <w:rPr>
      <w:sz w:val="21"/>
      <w:szCs w:val="20"/>
    </w:rPr>
  </w:style>
  <w:style w:type="paragraph" w:styleId="47">
    <w:name w:val="Body Text Indent 3"/>
    <w:basedOn w:val="1"/>
    <w:link w:val="150"/>
    <w:unhideWhenUsed/>
    <w:qFormat/>
    <w:uiPriority w:val="0"/>
    <w:pPr>
      <w:spacing w:after="120"/>
      <w:ind w:left="420" w:leftChars="200"/>
    </w:pPr>
    <w:rPr>
      <w:sz w:val="16"/>
      <w:szCs w:val="16"/>
    </w:rPr>
  </w:style>
  <w:style w:type="paragraph" w:styleId="48">
    <w:name w:val="toc 2"/>
    <w:basedOn w:val="1"/>
    <w:next w:val="1"/>
    <w:link w:val="990"/>
    <w:unhideWhenUsed/>
    <w:qFormat/>
    <w:uiPriority w:val="39"/>
    <w:pPr>
      <w:ind w:left="210"/>
      <w:jc w:val="left"/>
    </w:pPr>
    <w:rPr>
      <w:rFonts w:ascii="Calibri" w:hAnsi="Calibri"/>
      <w:smallCaps/>
      <w:sz w:val="20"/>
      <w:szCs w:val="20"/>
    </w:rPr>
  </w:style>
  <w:style w:type="paragraph" w:styleId="49">
    <w:name w:val="toc 9"/>
    <w:basedOn w:val="1"/>
    <w:next w:val="1"/>
    <w:unhideWhenUsed/>
    <w:qFormat/>
    <w:uiPriority w:val="39"/>
    <w:pPr>
      <w:ind w:left="1680"/>
      <w:jc w:val="left"/>
    </w:pPr>
    <w:rPr>
      <w:rFonts w:ascii="Calibri" w:hAnsi="Calibri"/>
      <w:sz w:val="18"/>
      <w:szCs w:val="18"/>
    </w:rPr>
  </w:style>
  <w:style w:type="paragraph" w:styleId="50">
    <w:name w:val="Body Text 2"/>
    <w:basedOn w:val="1"/>
    <w:link w:val="357"/>
    <w:qFormat/>
    <w:uiPriority w:val="0"/>
    <w:pPr>
      <w:spacing w:after="120" w:line="480" w:lineRule="auto"/>
    </w:pPr>
  </w:style>
  <w:style w:type="paragraph" w:styleId="51">
    <w:name w:val="List 4"/>
    <w:basedOn w:val="1"/>
    <w:qFormat/>
    <w:uiPriority w:val="0"/>
    <w:pPr>
      <w:ind w:left="100" w:leftChars="600" w:hanging="200" w:hangingChars="200"/>
    </w:pPr>
    <w:rPr>
      <w:szCs w:val="20"/>
    </w:rPr>
  </w:style>
  <w:style w:type="paragraph" w:styleId="52">
    <w:name w:val="List Continue 2"/>
    <w:basedOn w:val="1"/>
    <w:qFormat/>
    <w:uiPriority w:val="0"/>
    <w:pPr>
      <w:spacing w:after="120"/>
      <w:ind w:left="840" w:leftChars="400"/>
    </w:pPr>
    <w:rPr>
      <w:szCs w:val="20"/>
    </w:rPr>
  </w:style>
  <w:style w:type="paragraph" w:styleId="53">
    <w:name w:val="HTML Preformatted"/>
    <w:basedOn w:val="1"/>
    <w:link w:val="91"/>
    <w:qFormat/>
    <w:uiPriority w:val="99"/>
    <w:pPr>
      <w:spacing w:line="240" w:lineRule="auto"/>
      <w:ind w:firstLine="0" w:firstLineChars="0"/>
    </w:pPr>
    <w:rPr>
      <w:rFonts w:ascii="Courier New" w:hAnsi="Courier New" w:cs="Courier New"/>
      <w:sz w:val="20"/>
      <w:szCs w:val="20"/>
    </w:rPr>
  </w:style>
  <w:style w:type="paragraph" w:styleId="54">
    <w:name w:val="Normal (Web)"/>
    <w:basedOn w:val="1"/>
    <w:qFormat/>
    <w:uiPriority w:val="99"/>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55">
    <w:name w:val="List Continue 3"/>
    <w:basedOn w:val="1"/>
    <w:qFormat/>
    <w:uiPriority w:val="0"/>
    <w:pPr>
      <w:spacing w:after="120"/>
      <w:ind w:left="1260" w:leftChars="600"/>
    </w:pPr>
    <w:rPr>
      <w:szCs w:val="20"/>
    </w:rPr>
  </w:style>
  <w:style w:type="paragraph" w:styleId="56">
    <w:name w:val="index 1"/>
    <w:basedOn w:val="1"/>
    <w:next w:val="1"/>
    <w:qFormat/>
    <w:uiPriority w:val="0"/>
    <w:pPr>
      <w:spacing w:line="240" w:lineRule="auto"/>
      <w:ind w:firstLine="0" w:firstLineChars="0"/>
      <w:jc w:val="center"/>
    </w:pPr>
    <w:rPr>
      <w:rFonts w:ascii="宋体" w:hAnsi="宋体"/>
      <w:sz w:val="18"/>
      <w:szCs w:val="18"/>
    </w:rPr>
  </w:style>
  <w:style w:type="paragraph" w:styleId="57">
    <w:name w:val="Title"/>
    <w:basedOn w:val="1"/>
    <w:next w:val="1"/>
    <w:link w:val="135"/>
    <w:qFormat/>
    <w:uiPriority w:val="0"/>
    <w:pPr>
      <w:spacing w:before="240" w:after="60" w:line="240" w:lineRule="auto"/>
      <w:ind w:firstLine="0" w:firstLineChars="0"/>
      <w:jc w:val="center"/>
      <w:outlineLvl w:val="0"/>
    </w:pPr>
    <w:rPr>
      <w:rFonts w:ascii="Cambria" w:hAnsi="Cambria" w:cs="黑体"/>
      <w:b/>
      <w:bCs/>
      <w:sz w:val="32"/>
      <w:szCs w:val="32"/>
    </w:rPr>
  </w:style>
  <w:style w:type="paragraph" w:styleId="58">
    <w:name w:val="annotation subject"/>
    <w:basedOn w:val="20"/>
    <w:next w:val="20"/>
    <w:link w:val="156"/>
    <w:unhideWhenUsed/>
    <w:qFormat/>
    <w:uiPriority w:val="0"/>
    <w:rPr>
      <w:b/>
      <w:bCs/>
    </w:rPr>
  </w:style>
  <w:style w:type="paragraph" w:styleId="59">
    <w:name w:val="Body Text First Indent"/>
    <w:basedOn w:val="23"/>
    <w:link w:val="81"/>
    <w:qFormat/>
    <w:uiPriority w:val="99"/>
    <w:pPr>
      <w:spacing w:line="240" w:lineRule="auto"/>
      <w:ind w:firstLine="420" w:firstLineChars="100"/>
    </w:pPr>
    <w:rPr>
      <w:sz w:val="21"/>
    </w:rPr>
  </w:style>
  <w:style w:type="paragraph" w:styleId="60">
    <w:name w:val="Body Text First Indent 2"/>
    <w:basedOn w:val="24"/>
    <w:link w:val="161"/>
    <w:qFormat/>
    <w:uiPriority w:val="0"/>
    <w:pPr>
      <w:spacing w:line="240" w:lineRule="auto"/>
      <w:ind w:firstLine="420"/>
    </w:pPr>
    <w:rPr>
      <w:sz w:val="21"/>
      <w:szCs w:val="24"/>
    </w:rPr>
  </w:style>
  <w:style w:type="table" w:styleId="62">
    <w:name w:val="Table Grid"/>
    <w:basedOn w:val="61"/>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3">
    <w:name w:val="Table Grid 1"/>
    <w:basedOn w:val="61"/>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4">
    <w:name w:val="Table Web 3"/>
    <w:basedOn w:val="61"/>
    <w:semiHidden/>
    <w:qFormat/>
    <w:uiPriority w:val="0"/>
    <w:pPr>
      <w:widowControl w:val="0"/>
      <w:spacing w:line="360" w:lineRule="auto"/>
      <w:ind w:firstLine="449" w:firstLineChars="187"/>
      <w:jc w:val="both"/>
    </w:pPr>
    <w:rPr>
      <w:rFonts w:ascii="Times New Roman" w:hAnsi="Times New Roman"/>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65">
    <w:name w:val="Light Shading Accent 2"/>
    <w:basedOn w:val="61"/>
    <w:qFormat/>
    <w:uiPriority w:val="60"/>
    <w:rPr>
      <w:rFonts w:ascii="Times New Roman" w:hAnsi="Times New Roman"/>
      <w:color w:val="943634"/>
    </w:rPr>
    <w:tblPr>
      <w:tblBorders>
        <w:top w:val="single" w:color="C0504D" w:sz="8" w:space="0"/>
        <w:bottom w:val="single" w:color="C0504D"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sz="8" w:space="0"/>
          <w:left w:val="nil"/>
          <w:bottom w:val="single" w:color="C0504D" w:sz="8" w:space="0"/>
          <w:right w:val="nil"/>
          <w:insideH w:val="nil"/>
          <w:insideV w:val="nil"/>
          <w:tl2br w:val="nil"/>
          <w:tr2bl w:val="nil"/>
        </w:tcBorders>
      </w:tcPr>
    </w:tblStylePr>
    <w:tblStylePr w:type="lastRow">
      <w:pPr>
        <w:spacing w:before="0" w:after="0" w:line="240" w:lineRule="auto"/>
      </w:pPr>
      <w:rPr>
        <w:b/>
        <w:bCs/>
      </w:rPr>
      <w:tblPr/>
      <w:tcPr>
        <w:tcBorders>
          <w:top w:val="single" w:color="C0504D" w:sz="8" w:space="0"/>
          <w:left w:val="nil"/>
          <w:bottom w:val="single" w:color="C0504D" w:sz="8" w:space="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FD3D2"/>
      </w:tcPr>
    </w:tblStylePr>
    <w:tblStylePr w:type="band1Horz">
      <w:tblPr/>
      <w:tcPr>
        <w:tcBorders>
          <w:top w:val="nil"/>
          <w:left w:val="nil"/>
          <w:bottom w:val="nil"/>
          <w:right w:val="nil"/>
          <w:insideH w:val="nil"/>
          <w:insideV w:val="nil"/>
          <w:tl2br w:val="nil"/>
          <w:tr2bl w:val="nil"/>
        </w:tcBorders>
        <w:shd w:val="clear" w:color="auto" w:fill="EFD3D2"/>
      </w:tcPr>
    </w:tblStylePr>
  </w:style>
  <w:style w:type="character" w:styleId="67">
    <w:name w:val="Strong"/>
    <w:qFormat/>
    <w:uiPriority w:val="22"/>
    <w:rPr>
      <w:b/>
      <w:bCs/>
    </w:rPr>
  </w:style>
  <w:style w:type="character" w:styleId="68">
    <w:name w:val="page number"/>
    <w:qFormat/>
    <w:uiPriority w:val="0"/>
  </w:style>
  <w:style w:type="character" w:styleId="69">
    <w:name w:val="FollowedHyperlink"/>
    <w:unhideWhenUsed/>
    <w:qFormat/>
    <w:uiPriority w:val="99"/>
    <w:rPr>
      <w:color w:val="800080"/>
      <w:u w:val="single"/>
    </w:rPr>
  </w:style>
  <w:style w:type="character" w:styleId="70">
    <w:name w:val="Emphasis"/>
    <w:qFormat/>
    <w:uiPriority w:val="20"/>
    <w:rPr>
      <w:color w:val="CC0000"/>
    </w:rPr>
  </w:style>
  <w:style w:type="character" w:styleId="71">
    <w:name w:val="Hyperlink"/>
    <w:unhideWhenUsed/>
    <w:qFormat/>
    <w:uiPriority w:val="99"/>
    <w:rPr>
      <w:color w:val="0000FF"/>
      <w:u w:val="single"/>
    </w:rPr>
  </w:style>
  <w:style w:type="character" w:styleId="72">
    <w:name w:val="annotation reference"/>
    <w:unhideWhenUsed/>
    <w:qFormat/>
    <w:uiPriority w:val="0"/>
    <w:rPr>
      <w:sz w:val="21"/>
      <w:szCs w:val="21"/>
    </w:rPr>
  </w:style>
  <w:style w:type="character" w:customStyle="1" w:styleId="73">
    <w:name w:val="font101"/>
    <w:qFormat/>
    <w:uiPriority w:val="0"/>
    <w:rPr>
      <w:rFonts w:hint="default" w:ascii="Times New Roman" w:hAnsi="Times New Roman" w:cs="Times New Roman"/>
      <w:color w:val="000000"/>
      <w:sz w:val="20"/>
      <w:szCs w:val="20"/>
      <w:u w:val="none"/>
      <w:vertAlign w:val="superscript"/>
    </w:rPr>
  </w:style>
  <w:style w:type="character" w:customStyle="1" w:styleId="74">
    <w:name w:val="批注框文本 Char"/>
    <w:link w:val="37"/>
    <w:qFormat/>
    <w:uiPriority w:val="0"/>
    <w:rPr>
      <w:kern w:val="2"/>
      <w:sz w:val="18"/>
      <w:szCs w:val="18"/>
    </w:rPr>
  </w:style>
  <w:style w:type="character" w:customStyle="1" w:styleId="75">
    <w:name w:val="Plain Text Char Char"/>
    <w:link w:val="76"/>
    <w:qFormat/>
    <w:uiPriority w:val="0"/>
    <w:rPr>
      <w:rFonts w:ascii="宋体" w:hAnsi="Courier New"/>
      <w:kern w:val="2"/>
      <w:sz w:val="21"/>
      <w:szCs w:val="21"/>
      <w:lang w:bidi="ar-SA"/>
    </w:rPr>
  </w:style>
  <w:style w:type="paragraph" w:customStyle="1" w:styleId="76">
    <w:name w:val="纯文本1"/>
    <w:basedOn w:val="1"/>
    <w:link w:val="75"/>
    <w:qFormat/>
    <w:uiPriority w:val="0"/>
    <w:rPr>
      <w:rFonts w:ascii="宋体" w:hAnsi="Courier New"/>
      <w:sz w:val="21"/>
      <w:szCs w:val="21"/>
    </w:rPr>
  </w:style>
  <w:style w:type="character" w:customStyle="1" w:styleId="77">
    <w:name w:val="font31"/>
    <w:qFormat/>
    <w:uiPriority w:val="0"/>
    <w:rPr>
      <w:rFonts w:hint="default" w:ascii="Times New Roman" w:hAnsi="Times New Roman" w:cs="Times New Roman"/>
      <w:b/>
      <w:bCs/>
      <w:color w:val="000000"/>
      <w:sz w:val="21"/>
      <w:szCs w:val="21"/>
      <w:u w:val="none"/>
    </w:rPr>
  </w:style>
  <w:style w:type="character" w:customStyle="1" w:styleId="78">
    <w:name w:val="Char Char Char"/>
    <w:link w:val="79"/>
    <w:qFormat/>
    <w:uiPriority w:val="0"/>
    <w:rPr>
      <w:rFonts w:ascii="宋体" w:hAnsi="宋体" w:cs="宋体"/>
      <w:kern w:val="2"/>
      <w:sz w:val="24"/>
      <w:szCs w:val="24"/>
    </w:rPr>
  </w:style>
  <w:style w:type="paragraph" w:customStyle="1" w:styleId="79">
    <w:name w:val="Char Char"/>
    <w:basedOn w:val="1"/>
    <w:link w:val="78"/>
    <w:qFormat/>
    <w:uiPriority w:val="0"/>
    <w:rPr>
      <w:rFonts w:ascii="宋体" w:hAnsi="宋体" w:cs="宋体"/>
      <w:szCs w:val="24"/>
    </w:rPr>
  </w:style>
  <w:style w:type="character" w:customStyle="1" w:styleId="80">
    <w:name w:val="表号 Char"/>
    <w:qFormat/>
    <w:uiPriority w:val="0"/>
    <w:rPr>
      <w:rFonts w:eastAsia="宋体"/>
      <w:kern w:val="2"/>
      <w:sz w:val="21"/>
      <w:lang w:val="en-US" w:eastAsia="zh-CN" w:bidi="ar-SA"/>
    </w:rPr>
  </w:style>
  <w:style w:type="character" w:customStyle="1" w:styleId="81">
    <w:name w:val="正文首行缩进 Char"/>
    <w:basedOn w:val="82"/>
    <w:link w:val="59"/>
    <w:qFormat/>
    <w:uiPriority w:val="99"/>
    <w:rPr>
      <w:rFonts w:ascii="Times New Roman" w:hAnsi="Times New Roman"/>
      <w:kern w:val="2"/>
      <w:sz w:val="21"/>
      <w:szCs w:val="24"/>
    </w:rPr>
  </w:style>
  <w:style w:type="character" w:customStyle="1" w:styleId="82">
    <w:name w:val="正文文本 Char"/>
    <w:link w:val="23"/>
    <w:qFormat/>
    <w:uiPriority w:val="0"/>
    <w:rPr>
      <w:rFonts w:ascii="Times New Roman" w:hAnsi="Times New Roman"/>
      <w:kern w:val="2"/>
      <w:sz w:val="21"/>
      <w:szCs w:val="24"/>
    </w:rPr>
  </w:style>
  <w:style w:type="character" w:customStyle="1" w:styleId="83">
    <w:name w:val="标题 1 Char"/>
    <w:link w:val="3"/>
    <w:qFormat/>
    <w:uiPriority w:val="0"/>
    <w:rPr>
      <w:rFonts w:ascii="Times New Roman" w:hAnsi="Times New Roman" w:eastAsia="黑体"/>
      <w:bCs/>
      <w:kern w:val="44"/>
      <w:sz w:val="32"/>
      <w:szCs w:val="44"/>
    </w:rPr>
  </w:style>
  <w:style w:type="character" w:customStyle="1" w:styleId="84">
    <w:name w:val="font16"/>
    <w:qFormat/>
    <w:uiPriority w:val="0"/>
    <w:rPr>
      <w:rFonts w:hint="default" w:ascii="Times New Roman" w:hAnsi="Times New Roman" w:cs="Times New Roman"/>
      <w:color w:val="000000"/>
      <w:sz w:val="15"/>
      <w:szCs w:val="15"/>
      <w:u w:val="single"/>
    </w:rPr>
  </w:style>
  <w:style w:type="character" w:customStyle="1" w:styleId="85">
    <w:name w:val="正文部分 Char"/>
    <w:link w:val="86"/>
    <w:qFormat/>
    <w:uiPriority w:val="0"/>
    <w:rPr>
      <w:rFonts w:ascii="宋体" w:hAnsi="宋体" w:cs="宋体"/>
      <w:bCs/>
      <w:sz w:val="28"/>
      <w:szCs w:val="32"/>
    </w:rPr>
  </w:style>
  <w:style w:type="paragraph" w:customStyle="1" w:styleId="86">
    <w:name w:val="正文部分"/>
    <w:basedOn w:val="1"/>
    <w:link w:val="85"/>
    <w:qFormat/>
    <w:uiPriority w:val="0"/>
    <w:pPr>
      <w:spacing w:line="500" w:lineRule="exact"/>
      <w:jc w:val="left"/>
    </w:pPr>
    <w:rPr>
      <w:rFonts w:ascii="宋体" w:hAnsi="宋体" w:cs="宋体"/>
      <w:bCs/>
      <w:kern w:val="0"/>
      <w:sz w:val="28"/>
      <w:szCs w:val="32"/>
    </w:rPr>
  </w:style>
  <w:style w:type="character" w:customStyle="1" w:styleId="87">
    <w:name w:val="批注文字 Char"/>
    <w:link w:val="20"/>
    <w:qFormat/>
    <w:uiPriority w:val="0"/>
    <w:rPr>
      <w:kern w:val="2"/>
      <w:sz w:val="21"/>
      <w:szCs w:val="22"/>
    </w:rPr>
  </w:style>
  <w:style w:type="character" w:customStyle="1" w:styleId="88">
    <w:name w:val="apple-style-span"/>
    <w:basedOn w:val="66"/>
    <w:qFormat/>
    <w:uiPriority w:val="0"/>
  </w:style>
  <w:style w:type="character" w:customStyle="1" w:styleId="89">
    <w:name w:val="正文缩进（自定义） Char Char Char Char"/>
    <w:link w:val="90"/>
    <w:qFormat/>
    <w:locked/>
    <w:uiPriority w:val="0"/>
    <w:rPr>
      <w:rFonts w:ascii="Century Gothic" w:hAnsi="Century Gothic" w:cs="宋体"/>
      <w:sz w:val="24"/>
      <w:szCs w:val="24"/>
    </w:rPr>
  </w:style>
  <w:style w:type="paragraph" w:customStyle="1" w:styleId="90">
    <w:name w:val="正文缩进（自定义） Char Char Char"/>
    <w:basedOn w:val="1"/>
    <w:link w:val="89"/>
    <w:qFormat/>
    <w:uiPriority w:val="0"/>
    <w:pPr>
      <w:spacing w:before="120" w:after="120"/>
      <w:ind w:firstLine="480"/>
    </w:pPr>
    <w:rPr>
      <w:rFonts w:ascii="Century Gothic" w:hAnsi="Century Gothic" w:cs="宋体"/>
      <w:kern w:val="0"/>
      <w:szCs w:val="24"/>
    </w:rPr>
  </w:style>
  <w:style w:type="character" w:customStyle="1" w:styleId="91">
    <w:name w:val="HTML 预设格式 Char"/>
    <w:link w:val="53"/>
    <w:qFormat/>
    <w:uiPriority w:val="99"/>
    <w:rPr>
      <w:rFonts w:ascii="Courier New" w:hAnsi="Courier New" w:cs="Courier New"/>
      <w:kern w:val="2"/>
    </w:rPr>
  </w:style>
  <w:style w:type="character" w:customStyle="1" w:styleId="92">
    <w:name w:val="font41"/>
    <w:qFormat/>
    <w:uiPriority w:val="0"/>
    <w:rPr>
      <w:rFonts w:hint="default" w:ascii="Times New Roman" w:hAnsi="Times New Roman" w:cs="Times New Roman"/>
      <w:b/>
      <w:bCs/>
      <w:color w:val="000000"/>
      <w:sz w:val="18"/>
      <w:szCs w:val="18"/>
      <w:u w:val="none"/>
    </w:rPr>
  </w:style>
  <w:style w:type="character" w:customStyle="1" w:styleId="93">
    <w:name w:val="正文 文本 Char"/>
    <w:link w:val="94"/>
    <w:qFormat/>
    <w:uiPriority w:val="0"/>
    <w:rPr>
      <w:rFonts w:ascii="Times New Roman" w:hAnsi="Times New Roman" w:cs="宋体"/>
      <w:kern w:val="2"/>
      <w:sz w:val="24"/>
    </w:rPr>
  </w:style>
  <w:style w:type="paragraph" w:customStyle="1" w:styleId="94">
    <w:name w:val="正文 文本"/>
    <w:basedOn w:val="1"/>
    <w:link w:val="93"/>
    <w:qFormat/>
    <w:uiPriority w:val="0"/>
    <w:pPr>
      <w:ind w:firstLine="480"/>
    </w:pPr>
    <w:rPr>
      <w:rFonts w:cs="宋体"/>
      <w:szCs w:val="20"/>
    </w:rPr>
  </w:style>
  <w:style w:type="character" w:customStyle="1" w:styleId="95">
    <w:name w:val="font51"/>
    <w:qFormat/>
    <w:uiPriority w:val="0"/>
    <w:rPr>
      <w:rFonts w:hint="eastAsia" w:ascii="宋体" w:hAnsi="宋体" w:eastAsia="宋体"/>
      <w:b/>
      <w:bCs/>
      <w:color w:val="000000"/>
      <w:sz w:val="21"/>
      <w:szCs w:val="21"/>
      <w:u w:val="none"/>
    </w:rPr>
  </w:style>
  <w:style w:type="character" w:customStyle="1" w:styleId="96">
    <w:name w:val="文档结构图 Char"/>
    <w:link w:val="19"/>
    <w:qFormat/>
    <w:uiPriority w:val="0"/>
    <w:rPr>
      <w:rFonts w:ascii="宋体"/>
      <w:kern w:val="2"/>
      <w:sz w:val="18"/>
      <w:szCs w:val="18"/>
    </w:rPr>
  </w:style>
  <w:style w:type="character" w:customStyle="1" w:styleId="97">
    <w:name w:val="标题 4 Char"/>
    <w:link w:val="6"/>
    <w:qFormat/>
    <w:uiPriority w:val="0"/>
    <w:rPr>
      <w:rFonts w:ascii="Cambria" w:hAnsi="Cambria" w:eastAsia="宋体" w:cs="Times New Roman"/>
      <w:b/>
      <w:bCs/>
      <w:kern w:val="2"/>
      <w:sz w:val="28"/>
      <w:szCs w:val="28"/>
    </w:rPr>
  </w:style>
  <w:style w:type="character" w:customStyle="1" w:styleId="98">
    <w:name w:val="font61"/>
    <w:qFormat/>
    <w:uiPriority w:val="0"/>
    <w:rPr>
      <w:rFonts w:hint="eastAsia" w:ascii="宋体" w:hAnsi="宋体" w:eastAsia="宋体"/>
      <w:b/>
      <w:bCs/>
      <w:color w:val="000000"/>
      <w:sz w:val="21"/>
      <w:szCs w:val="21"/>
      <w:u w:val="none"/>
    </w:rPr>
  </w:style>
  <w:style w:type="character" w:customStyle="1" w:styleId="99">
    <w:name w:val="number"/>
    <w:qFormat/>
    <w:uiPriority w:val="0"/>
  </w:style>
  <w:style w:type="character" w:customStyle="1" w:styleId="100">
    <w:name w:val="font81"/>
    <w:qFormat/>
    <w:uiPriority w:val="0"/>
    <w:rPr>
      <w:rFonts w:hint="eastAsia" w:ascii="宋体" w:hAnsi="宋体" w:eastAsia="宋体"/>
      <w:b/>
      <w:bCs/>
      <w:color w:val="000000"/>
      <w:sz w:val="21"/>
      <w:szCs w:val="21"/>
      <w:u w:val="none"/>
    </w:rPr>
  </w:style>
  <w:style w:type="character" w:customStyle="1" w:styleId="101">
    <w:name w:val="正文缩进 Char1"/>
    <w:qFormat/>
    <w:uiPriority w:val="0"/>
    <w:rPr>
      <w:rFonts w:eastAsia="宋体"/>
      <w:kern w:val="2"/>
      <w:sz w:val="24"/>
      <w:szCs w:val="24"/>
      <w:lang w:val="en-US" w:eastAsia="zh-CN" w:bidi="ar-SA"/>
    </w:rPr>
  </w:style>
  <w:style w:type="character" w:customStyle="1" w:styleId="102">
    <w:name w:val="font01"/>
    <w:qFormat/>
    <w:uiPriority w:val="0"/>
    <w:rPr>
      <w:rFonts w:hint="eastAsia" w:ascii="宋体" w:hAnsi="宋体" w:eastAsia="宋体"/>
      <w:b/>
      <w:bCs/>
      <w:color w:val="000000"/>
      <w:sz w:val="18"/>
      <w:szCs w:val="18"/>
      <w:u w:val="none"/>
    </w:rPr>
  </w:style>
  <w:style w:type="character" w:customStyle="1" w:styleId="103">
    <w:name w:val="二级标题 Char"/>
    <w:link w:val="104"/>
    <w:qFormat/>
    <w:uiPriority w:val="0"/>
    <w:rPr>
      <w:rFonts w:ascii="Times New Roman" w:hAnsi="Times New Roman" w:eastAsia="黑体"/>
      <w:kern w:val="2"/>
      <w:sz w:val="30"/>
      <w:szCs w:val="24"/>
    </w:rPr>
  </w:style>
  <w:style w:type="paragraph" w:customStyle="1" w:styleId="104">
    <w:name w:val="二级标题"/>
    <w:next w:val="1"/>
    <w:link w:val="103"/>
    <w:qFormat/>
    <w:uiPriority w:val="0"/>
    <w:pPr>
      <w:spacing w:beforeLines="20" w:afterLines="20"/>
      <w:outlineLvl w:val="2"/>
    </w:pPr>
    <w:rPr>
      <w:rFonts w:ascii="Times New Roman" w:hAnsi="Times New Roman" w:eastAsia="黑体" w:cs="Times New Roman"/>
      <w:kern w:val="2"/>
      <w:sz w:val="30"/>
      <w:szCs w:val="24"/>
      <w:lang w:val="en-US" w:eastAsia="zh-CN" w:bidi="ar-SA"/>
    </w:rPr>
  </w:style>
  <w:style w:type="character" w:customStyle="1" w:styleId="105">
    <w:name w:val="表格图片标题 Char"/>
    <w:link w:val="106"/>
    <w:qFormat/>
    <w:uiPriority w:val="0"/>
    <w:rPr>
      <w:rFonts w:ascii="Times New Roman" w:hAnsi="Times New Roman" w:cs="宋体"/>
      <w:b/>
      <w:bCs/>
      <w:kern w:val="2"/>
      <w:sz w:val="24"/>
    </w:rPr>
  </w:style>
  <w:style w:type="paragraph" w:customStyle="1" w:styleId="106">
    <w:name w:val="表格图片标题"/>
    <w:basedOn w:val="1"/>
    <w:link w:val="105"/>
    <w:qFormat/>
    <w:uiPriority w:val="0"/>
    <w:pPr>
      <w:spacing w:line="240" w:lineRule="auto"/>
      <w:ind w:firstLine="0" w:firstLineChars="0"/>
      <w:jc w:val="center"/>
    </w:pPr>
    <w:rPr>
      <w:rFonts w:cs="宋体"/>
      <w:b/>
      <w:bCs/>
      <w:szCs w:val="20"/>
    </w:rPr>
  </w:style>
  <w:style w:type="character" w:customStyle="1" w:styleId="107">
    <w:name w:val="日期 Char"/>
    <w:link w:val="34"/>
    <w:qFormat/>
    <w:uiPriority w:val="0"/>
    <w:rPr>
      <w:kern w:val="2"/>
      <w:sz w:val="21"/>
      <w:szCs w:val="22"/>
    </w:rPr>
  </w:style>
  <w:style w:type="character" w:customStyle="1" w:styleId="108">
    <w:name w:val="标题 9 Char"/>
    <w:link w:val="10"/>
    <w:qFormat/>
    <w:uiPriority w:val="0"/>
    <w:rPr>
      <w:rFonts w:ascii="Arial" w:hAnsi="Arial" w:eastAsia="黑体"/>
      <w:kern w:val="2"/>
      <w:sz w:val="24"/>
      <w:szCs w:val="24"/>
    </w:rPr>
  </w:style>
  <w:style w:type="character" w:customStyle="1" w:styleId="109">
    <w:name w:val="description"/>
    <w:qFormat/>
    <w:uiPriority w:val="0"/>
  </w:style>
  <w:style w:type="character" w:customStyle="1" w:styleId="110">
    <w:name w:val="font91"/>
    <w:qFormat/>
    <w:uiPriority w:val="0"/>
    <w:rPr>
      <w:rFonts w:hint="default" w:ascii="Times New Roman" w:hAnsi="Times New Roman" w:cs="Times New Roman"/>
      <w:b/>
      <w:bCs/>
      <w:color w:val="000000"/>
      <w:sz w:val="18"/>
      <w:szCs w:val="18"/>
      <w:u w:val="none"/>
    </w:rPr>
  </w:style>
  <w:style w:type="character" w:customStyle="1" w:styleId="111">
    <w:name w:val="font21"/>
    <w:qFormat/>
    <w:uiPriority w:val="0"/>
    <w:rPr>
      <w:rFonts w:hint="default" w:ascii="Times New Roman" w:hAnsi="Times New Roman" w:cs="Times New Roman"/>
      <w:b/>
      <w:bCs/>
      <w:color w:val="000000"/>
      <w:sz w:val="21"/>
      <w:szCs w:val="21"/>
      <w:u w:val="none"/>
    </w:rPr>
  </w:style>
  <w:style w:type="character" w:customStyle="1" w:styleId="112">
    <w:name w:val="纯文本 Char"/>
    <w:link w:val="31"/>
    <w:qFormat/>
    <w:uiPriority w:val="0"/>
    <w:rPr>
      <w:rFonts w:ascii="宋体" w:hAnsi="Courier New" w:eastAsia="宋体"/>
      <w:kern w:val="2"/>
      <w:sz w:val="21"/>
      <w:szCs w:val="24"/>
      <w:lang w:val="en-US" w:eastAsia="zh-CN" w:bidi="ar-SA"/>
    </w:rPr>
  </w:style>
  <w:style w:type="character" w:customStyle="1" w:styleId="113">
    <w:name w:val="页眉 Char"/>
    <w:link w:val="39"/>
    <w:qFormat/>
    <w:uiPriority w:val="0"/>
    <w:rPr>
      <w:sz w:val="18"/>
      <w:szCs w:val="18"/>
    </w:rPr>
  </w:style>
  <w:style w:type="character" w:customStyle="1" w:styleId="114">
    <w:name w:val="font121"/>
    <w:qFormat/>
    <w:uiPriority w:val="0"/>
    <w:rPr>
      <w:rFonts w:hint="eastAsia" w:ascii="宋体" w:hAnsi="宋体" w:eastAsia="宋体"/>
      <w:color w:val="000000"/>
      <w:sz w:val="15"/>
      <w:szCs w:val="15"/>
      <w:u w:val="none"/>
    </w:rPr>
  </w:style>
  <w:style w:type="character" w:customStyle="1" w:styleId="115">
    <w:name w:val="批注文字 Char1"/>
    <w:semiHidden/>
    <w:qFormat/>
    <w:uiPriority w:val="99"/>
    <w:rPr>
      <w:rFonts w:ascii="Times New Roman" w:hAnsi="Times New Roman" w:eastAsia="宋体" w:cs="Times New Roman"/>
      <w:sz w:val="24"/>
    </w:rPr>
  </w:style>
  <w:style w:type="character" w:customStyle="1" w:styleId="116">
    <w:name w:val="报告书正文 Char"/>
    <w:link w:val="117"/>
    <w:qFormat/>
    <w:uiPriority w:val="0"/>
    <w:rPr>
      <w:rFonts w:eastAsia="宋体"/>
      <w:color w:val="FF0000"/>
      <w:sz w:val="24"/>
      <w:szCs w:val="24"/>
      <w:lang w:bidi="ar-SA"/>
    </w:rPr>
  </w:style>
  <w:style w:type="paragraph" w:customStyle="1" w:styleId="117">
    <w:name w:val="报告书正文"/>
    <w:basedOn w:val="1"/>
    <w:link w:val="116"/>
    <w:qFormat/>
    <w:uiPriority w:val="0"/>
    <w:pPr>
      <w:tabs>
        <w:tab w:val="left" w:pos="180"/>
      </w:tabs>
      <w:adjustRightInd w:val="0"/>
      <w:snapToGrid w:val="0"/>
      <w:ind w:firstLine="480"/>
      <w:textAlignment w:val="baseline"/>
    </w:pPr>
    <w:rPr>
      <w:color w:val="FF0000"/>
      <w:kern w:val="0"/>
      <w:szCs w:val="24"/>
    </w:rPr>
  </w:style>
  <w:style w:type="character" w:customStyle="1" w:styleId="118">
    <w:name w:val="font151"/>
    <w:qFormat/>
    <w:uiPriority w:val="0"/>
    <w:rPr>
      <w:rFonts w:hint="eastAsia" w:ascii="宋体" w:hAnsi="宋体" w:eastAsia="宋体"/>
      <w:i/>
      <w:iCs/>
      <w:color w:val="000000"/>
      <w:sz w:val="15"/>
      <w:szCs w:val="15"/>
      <w:u w:val="single"/>
    </w:rPr>
  </w:style>
  <w:style w:type="character" w:customStyle="1" w:styleId="119">
    <w:name w:val="样式7 Char Char"/>
    <w:qFormat/>
    <w:uiPriority w:val="0"/>
    <w:rPr>
      <w:rFonts w:eastAsia="宋体"/>
      <w:kern w:val="2"/>
      <w:sz w:val="21"/>
      <w:szCs w:val="21"/>
      <w:lang w:val="en-US" w:eastAsia="zh-CN"/>
    </w:rPr>
  </w:style>
  <w:style w:type="character" w:customStyle="1" w:styleId="120">
    <w:name w:val="二章正文 Char Char Char"/>
    <w:link w:val="121"/>
    <w:qFormat/>
    <w:uiPriority w:val="0"/>
    <w:rPr>
      <w:rFonts w:ascii="Times New Roman" w:hAnsi="宋体"/>
      <w:kern w:val="2"/>
      <w:sz w:val="24"/>
      <w:szCs w:val="24"/>
    </w:rPr>
  </w:style>
  <w:style w:type="paragraph" w:customStyle="1" w:styleId="121">
    <w:name w:val="二章正文 Char Char"/>
    <w:basedOn w:val="1"/>
    <w:link w:val="120"/>
    <w:qFormat/>
    <w:uiPriority w:val="0"/>
    <w:pPr>
      <w:adjustRightInd w:val="0"/>
      <w:snapToGrid w:val="0"/>
      <w:spacing w:line="600" w:lineRule="exact"/>
      <w:ind w:firstLine="540" w:firstLineChars="225"/>
    </w:pPr>
    <w:rPr>
      <w:rFonts w:hAnsi="宋体"/>
      <w:szCs w:val="24"/>
    </w:rPr>
  </w:style>
  <w:style w:type="character" w:customStyle="1" w:styleId="122">
    <w:name w:val="表格文字 Char Char"/>
    <w:link w:val="123"/>
    <w:qFormat/>
    <w:uiPriority w:val="0"/>
    <w:rPr>
      <w:rFonts w:ascii="Times New Roman" w:hAnsi="Times New Roman"/>
      <w:sz w:val="18"/>
      <w:szCs w:val="18"/>
      <w:lang w:val="en-US" w:eastAsia="zh-CN"/>
    </w:rPr>
  </w:style>
  <w:style w:type="paragraph" w:customStyle="1" w:styleId="123">
    <w:name w:val="表格文字 Char"/>
    <w:basedOn w:val="50"/>
    <w:link w:val="122"/>
    <w:qFormat/>
    <w:uiPriority w:val="0"/>
    <w:pPr>
      <w:suppressAutoHyphens/>
      <w:adjustRightInd w:val="0"/>
      <w:spacing w:after="0" w:line="240" w:lineRule="auto"/>
      <w:ind w:firstLine="0" w:firstLineChars="0"/>
      <w:jc w:val="center"/>
      <w:textAlignment w:val="center"/>
    </w:pPr>
    <w:rPr>
      <w:kern w:val="0"/>
      <w:sz w:val="18"/>
      <w:szCs w:val="18"/>
    </w:rPr>
  </w:style>
  <w:style w:type="character" w:customStyle="1" w:styleId="124">
    <w:name w:val="明显强调1"/>
    <w:qFormat/>
    <w:uiPriority w:val="21"/>
    <w:rPr>
      <w:b/>
      <w:bCs/>
      <w:i/>
      <w:iCs/>
      <w:color w:val="4F81BD"/>
    </w:rPr>
  </w:style>
  <w:style w:type="character" w:customStyle="1" w:styleId="125">
    <w:name w:val="标题 8 Char"/>
    <w:link w:val="9"/>
    <w:qFormat/>
    <w:uiPriority w:val="0"/>
    <w:rPr>
      <w:rFonts w:ascii="Arial" w:hAnsi="Arial" w:eastAsia="黑体"/>
      <w:kern w:val="2"/>
      <w:sz w:val="24"/>
      <w:szCs w:val="24"/>
    </w:rPr>
  </w:style>
  <w:style w:type="character" w:customStyle="1" w:styleId="126">
    <w:name w:val="标题 7 Char"/>
    <w:link w:val="8"/>
    <w:qFormat/>
    <w:uiPriority w:val="0"/>
    <w:rPr>
      <w:rFonts w:ascii="Times New Roman" w:hAnsi="Times New Roman"/>
      <w:b/>
      <w:bCs/>
      <w:kern w:val="2"/>
      <w:sz w:val="24"/>
      <w:szCs w:val="24"/>
    </w:rPr>
  </w:style>
  <w:style w:type="character" w:customStyle="1" w:styleId="127">
    <w:name w:val="xyb自建正文 Char Char Char Char"/>
    <w:link w:val="128"/>
    <w:qFormat/>
    <w:uiPriority w:val="0"/>
    <w:rPr>
      <w:rFonts w:ascii="宋体" w:hAnsi="宋体"/>
      <w:kern w:val="2"/>
      <w:sz w:val="24"/>
      <w:szCs w:val="24"/>
    </w:rPr>
  </w:style>
  <w:style w:type="paragraph" w:customStyle="1" w:styleId="128">
    <w:name w:val="xyb自建正文 Char Char Char"/>
    <w:basedOn w:val="1"/>
    <w:link w:val="127"/>
    <w:qFormat/>
    <w:uiPriority w:val="0"/>
    <w:pPr>
      <w:tabs>
        <w:tab w:val="left" w:pos="7920"/>
      </w:tabs>
      <w:spacing w:beforeLines="50" w:afterLines="50"/>
      <w:ind w:firstLine="480"/>
    </w:pPr>
    <w:rPr>
      <w:rFonts w:ascii="宋体" w:hAnsi="宋体"/>
      <w:szCs w:val="24"/>
    </w:rPr>
  </w:style>
  <w:style w:type="character" w:customStyle="1" w:styleId="129">
    <w:name w:val="正文 宋体 小四 Char"/>
    <w:link w:val="130"/>
    <w:qFormat/>
    <w:uiPriority w:val="0"/>
    <w:rPr>
      <w:rFonts w:ascii="宋体" w:hAnsi="宋体"/>
      <w:kern w:val="2"/>
      <w:sz w:val="24"/>
      <w:szCs w:val="24"/>
    </w:rPr>
  </w:style>
  <w:style w:type="paragraph" w:customStyle="1" w:styleId="130">
    <w:name w:val="正文 宋体 小四"/>
    <w:basedOn w:val="1"/>
    <w:link w:val="129"/>
    <w:qFormat/>
    <w:uiPriority w:val="0"/>
    <w:pPr>
      <w:ind w:firstLine="480" w:firstLineChars="0"/>
    </w:pPr>
    <w:rPr>
      <w:rFonts w:ascii="宋体" w:hAnsi="宋体"/>
      <w:szCs w:val="24"/>
    </w:rPr>
  </w:style>
  <w:style w:type="character" w:customStyle="1" w:styleId="131">
    <w:name w:val="正文文本 3 Char"/>
    <w:link w:val="21"/>
    <w:qFormat/>
    <w:uiPriority w:val="0"/>
    <w:rPr>
      <w:rFonts w:ascii="Times New Roman" w:hAnsi="Times New Roman"/>
      <w:kern w:val="2"/>
      <w:sz w:val="16"/>
      <w:szCs w:val="16"/>
    </w:rPr>
  </w:style>
  <w:style w:type="character" w:customStyle="1" w:styleId="132">
    <w:name w:val="样式1 Char"/>
    <w:link w:val="133"/>
    <w:qFormat/>
    <w:uiPriority w:val="0"/>
    <w:rPr>
      <w:kern w:val="2"/>
      <w:sz w:val="18"/>
      <w:szCs w:val="18"/>
    </w:rPr>
  </w:style>
  <w:style w:type="paragraph" w:customStyle="1" w:styleId="133">
    <w:name w:val="样式1"/>
    <w:basedOn w:val="39"/>
    <w:link w:val="132"/>
    <w:qFormat/>
    <w:uiPriority w:val="0"/>
    <w:pPr>
      <w:pBdr>
        <w:bottom w:val="single" w:color="auto" w:sz="4" w:space="1"/>
      </w:pBdr>
    </w:pPr>
  </w:style>
  <w:style w:type="character" w:customStyle="1" w:styleId="134">
    <w:name w:val="ncnjw01"/>
    <w:qFormat/>
    <w:uiPriority w:val="0"/>
  </w:style>
  <w:style w:type="character" w:customStyle="1" w:styleId="135">
    <w:name w:val="标题 Char"/>
    <w:link w:val="57"/>
    <w:qFormat/>
    <w:uiPriority w:val="0"/>
    <w:rPr>
      <w:rFonts w:ascii="Cambria" w:hAnsi="Cambria" w:cs="黑体"/>
      <w:b/>
      <w:bCs/>
      <w:kern w:val="2"/>
      <w:sz w:val="32"/>
      <w:szCs w:val="32"/>
    </w:rPr>
  </w:style>
  <w:style w:type="character" w:customStyle="1" w:styleId="136">
    <w:name w:val="Char Char16"/>
    <w:qFormat/>
    <w:locked/>
    <w:uiPriority w:val="0"/>
    <w:rPr>
      <w:sz w:val="24"/>
    </w:rPr>
  </w:style>
  <w:style w:type="character" w:customStyle="1" w:styleId="137">
    <w:name w:val="样式5 Char Char"/>
    <w:qFormat/>
    <w:uiPriority w:val="0"/>
    <w:rPr>
      <w:rFonts w:eastAsia="宋体"/>
      <w:kern w:val="2"/>
      <w:sz w:val="24"/>
      <w:szCs w:val="24"/>
      <w:lang w:val="en-US" w:eastAsia="zh-CN"/>
    </w:rPr>
  </w:style>
  <w:style w:type="character" w:customStyle="1" w:styleId="138">
    <w:name w:val="标题 3 Char"/>
    <w:link w:val="5"/>
    <w:qFormat/>
    <w:uiPriority w:val="0"/>
    <w:rPr>
      <w:rFonts w:ascii="Times New Roman" w:hAnsi="Times New Roman" w:eastAsia="黑体"/>
      <w:b/>
      <w:bCs/>
      <w:kern w:val="2"/>
      <w:sz w:val="24"/>
      <w:szCs w:val="32"/>
    </w:rPr>
  </w:style>
  <w:style w:type="character" w:customStyle="1" w:styleId="139">
    <w:name w:val="font141"/>
    <w:qFormat/>
    <w:uiPriority w:val="0"/>
    <w:rPr>
      <w:rFonts w:hint="default" w:ascii="Times New Roman" w:hAnsi="Times New Roman" w:cs="Times New Roman"/>
      <w:i/>
      <w:iCs/>
      <w:color w:val="000000"/>
      <w:sz w:val="15"/>
      <w:szCs w:val="15"/>
      <w:u w:val="single"/>
    </w:rPr>
  </w:style>
  <w:style w:type="character" w:customStyle="1" w:styleId="140">
    <w:name w:val="apple-converted-space"/>
    <w:qFormat/>
    <w:uiPriority w:val="0"/>
  </w:style>
  <w:style w:type="character" w:customStyle="1" w:styleId="141">
    <w:name w:val="font131"/>
    <w:qFormat/>
    <w:uiPriority w:val="0"/>
    <w:rPr>
      <w:rFonts w:hint="default" w:ascii="Times New Roman" w:hAnsi="Times New Roman" w:cs="Times New Roman"/>
      <w:color w:val="000000"/>
      <w:sz w:val="15"/>
      <w:szCs w:val="15"/>
      <w:u w:val="none"/>
      <w:vertAlign w:val="superscript"/>
    </w:rPr>
  </w:style>
  <w:style w:type="character" w:customStyle="1" w:styleId="142">
    <w:name w:val="标题 6 Char"/>
    <w:link w:val="2"/>
    <w:qFormat/>
    <w:uiPriority w:val="0"/>
    <w:rPr>
      <w:rFonts w:ascii="Arial" w:hAnsi="Arial" w:eastAsia="黑体"/>
      <w:b/>
      <w:bCs/>
      <w:kern w:val="2"/>
      <w:sz w:val="24"/>
      <w:szCs w:val="24"/>
    </w:rPr>
  </w:style>
  <w:style w:type="character" w:customStyle="1" w:styleId="143">
    <w:name w:val="表格文字 Char1"/>
    <w:qFormat/>
    <w:uiPriority w:val="0"/>
    <w:rPr>
      <w:rFonts w:ascii="宋体" w:hAnsi="宋体" w:eastAsia="宋体" w:cs="宋体"/>
      <w:sz w:val="18"/>
      <w:szCs w:val="18"/>
      <w:lang w:val="en-US" w:eastAsia="zh-CN" w:bidi="ar-SA"/>
    </w:rPr>
  </w:style>
  <w:style w:type="character" w:customStyle="1" w:styleId="144">
    <w:name w:val="标题 5 Char"/>
    <w:link w:val="7"/>
    <w:qFormat/>
    <w:uiPriority w:val="0"/>
    <w:rPr>
      <w:rFonts w:ascii="Times New Roman" w:hAnsi="Times New Roman"/>
      <w:b/>
      <w:bCs/>
      <w:kern w:val="2"/>
      <w:sz w:val="28"/>
      <w:szCs w:val="28"/>
    </w:rPr>
  </w:style>
  <w:style w:type="character" w:customStyle="1" w:styleId="145">
    <w:name w:val="纯文本 Char2"/>
    <w:qFormat/>
    <w:uiPriority w:val="0"/>
    <w:rPr>
      <w:rFonts w:ascii="宋体" w:hAnsi="Courier New" w:eastAsia="宋体" w:cs="Courier New"/>
      <w:kern w:val="2"/>
      <w:sz w:val="21"/>
      <w:szCs w:val="21"/>
      <w:lang w:val="en-US" w:eastAsia="zh-CN" w:bidi="ar-SA"/>
    </w:rPr>
  </w:style>
  <w:style w:type="character" w:customStyle="1" w:styleId="146">
    <w:name w:val="font71"/>
    <w:qFormat/>
    <w:uiPriority w:val="0"/>
    <w:rPr>
      <w:rFonts w:hint="default" w:ascii="Times New Roman" w:hAnsi="Times New Roman" w:cs="Times New Roman"/>
      <w:b/>
      <w:bCs/>
      <w:color w:val="000000"/>
      <w:sz w:val="18"/>
      <w:szCs w:val="18"/>
      <w:u w:val="none"/>
    </w:rPr>
  </w:style>
  <w:style w:type="character" w:customStyle="1" w:styleId="147">
    <w:name w:val="二章正文 Char"/>
    <w:link w:val="148"/>
    <w:qFormat/>
    <w:uiPriority w:val="0"/>
    <w:rPr>
      <w:rFonts w:ascii="Times New Roman" w:hAnsi="宋体"/>
      <w:kern w:val="2"/>
      <w:sz w:val="24"/>
      <w:szCs w:val="24"/>
    </w:rPr>
  </w:style>
  <w:style w:type="paragraph" w:customStyle="1" w:styleId="148">
    <w:name w:val="二章正文"/>
    <w:basedOn w:val="1"/>
    <w:link w:val="147"/>
    <w:qFormat/>
    <w:uiPriority w:val="0"/>
    <w:pPr>
      <w:ind w:firstLine="480"/>
    </w:pPr>
    <w:rPr>
      <w:rFonts w:hAnsi="宋体"/>
      <w:szCs w:val="24"/>
    </w:rPr>
  </w:style>
  <w:style w:type="character" w:customStyle="1" w:styleId="149">
    <w:name w:val="正文文本缩进 Char"/>
    <w:link w:val="24"/>
    <w:qFormat/>
    <w:uiPriority w:val="0"/>
    <w:rPr>
      <w:kern w:val="2"/>
      <w:sz w:val="21"/>
      <w:szCs w:val="22"/>
    </w:rPr>
  </w:style>
  <w:style w:type="character" w:customStyle="1" w:styleId="150">
    <w:name w:val="正文文本缩进 3 Char"/>
    <w:link w:val="47"/>
    <w:qFormat/>
    <w:uiPriority w:val="0"/>
    <w:rPr>
      <w:rFonts w:ascii="Times New Roman" w:hAnsi="Times New Roman"/>
      <w:kern w:val="2"/>
      <w:sz w:val="16"/>
      <w:szCs w:val="16"/>
    </w:rPr>
  </w:style>
  <w:style w:type="character" w:customStyle="1" w:styleId="151">
    <w:name w:val="样式 样式 小四 蓝色 行距: 固定值 30 磅 + 行距: 1.5 倍行距 Char"/>
    <w:link w:val="152"/>
    <w:qFormat/>
    <w:uiPriority w:val="0"/>
    <w:rPr>
      <w:rFonts w:ascii="Times New Roman" w:hAnsi="Times New Roman"/>
      <w:color w:val="0000FF"/>
      <w:kern w:val="2"/>
      <w:sz w:val="24"/>
    </w:rPr>
  </w:style>
  <w:style w:type="paragraph" w:customStyle="1" w:styleId="152">
    <w:name w:val="样式 样式 小四 蓝色 行距: 固定值 30 磅 + 行距: 1.5 倍行距"/>
    <w:basedOn w:val="1"/>
    <w:link w:val="151"/>
    <w:qFormat/>
    <w:uiPriority w:val="0"/>
    <w:pPr>
      <w:ind w:firstLine="480"/>
    </w:pPr>
    <w:rPr>
      <w:color w:val="0000FF"/>
      <w:szCs w:val="20"/>
    </w:rPr>
  </w:style>
  <w:style w:type="character" w:customStyle="1" w:styleId="153">
    <w:name w:val="副标题 Char"/>
    <w:link w:val="42"/>
    <w:qFormat/>
    <w:uiPriority w:val="11"/>
    <w:rPr>
      <w:rFonts w:ascii="Cambria" w:hAnsi="Cambria" w:cs="Times New Roman"/>
      <w:b/>
      <w:bCs/>
      <w:kern w:val="28"/>
      <w:sz w:val="32"/>
      <w:szCs w:val="32"/>
    </w:rPr>
  </w:style>
  <w:style w:type="character" w:customStyle="1" w:styleId="154">
    <w:name w:val="表格 Char"/>
    <w:link w:val="155"/>
    <w:qFormat/>
    <w:uiPriority w:val="0"/>
    <w:rPr>
      <w:rFonts w:ascii="宋体" w:hAnsi="Times New Roman"/>
      <w:snapToGrid/>
      <w:color w:val="000000"/>
      <w:kern w:val="21"/>
      <w:sz w:val="21"/>
      <w:szCs w:val="24"/>
    </w:rPr>
  </w:style>
  <w:style w:type="paragraph" w:customStyle="1" w:styleId="155">
    <w:name w:val="表格"/>
    <w:basedOn w:val="1"/>
    <w:link w:val="154"/>
    <w:qFormat/>
    <w:uiPriority w:val="0"/>
    <w:pPr>
      <w:overflowPunct w:val="0"/>
      <w:adjustRightInd w:val="0"/>
      <w:snapToGrid w:val="0"/>
      <w:spacing w:line="320" w:lineRule="atLeast"/>
      <w:ind w:firstLine="0" w:firstLineChars="0"/>
      <w:jc w:val="center"/>
    </w:pPr>
    <w:rPr>
      <w:rFonts w:ascii="宋体"/>
      <w:snapToGrid w:val="0"/>
      <w:color w:val="000000"/>
      <w:kern w:val="21"/>
      <w:sz w:val="21"/>
      <w:szCs w:val="24"/>
    </w:rPr>
  </w:style>
  <w:style w:type="character" w:customStyle="1" w:styleId="156">
    <w:name w:val="批注主题 Char"/>
    <w:link w:val="58"/>
    <w:qFormat/>
    <w:uiPriority w:val="0"/>
    <w:rPr>
      <w:b/>
      <w:bCs/>
      <w:kern w:val="2"/>
      <w:sz w:val="21"/>
      <w:szCs w:val="22"/>
    </w:rPr>
  </w:style>
  <w:style w:type="character" w:customStyle="1" w:styleId="157">
    <w:name w:val="font111"/>
    <w:qFormat/>
    <w:uiPriority w:val="0"/>
    <w:rPr>
      <w:rFonts w:hint="default" w:ascii="Times New Roman" w:hAnsi="Times New Roman" w:cs="Times New Roman"/>
      <w:color w:val="000000"/>
      <w:sz w:val="15"/>
      <w:szCs w:val="15"/>
      <w:u w:val="none"/>
    </w:rPr>
  </w:style>
  <w:style w:type="character" w:customStyle="1" w:styleId="158">
    <w:name w:val="t1"/>
    <w:qFormat/>
    <w:uiPriority w:val="0"/>
  </w:style>
  <w:style w:type="character" w:customStyle="1" w:styleId="159">
    <w:name w:val="标题 2 Char"/>
    <w:link w:val="4"/>
    <w:qFormat/>
    <w:uiPriority w:val="0"/>
    <w:rPr>
      <w:rFonts w:ascii="Times New Roman" w:hAnsi="Times New Roman" w:eastAsia="黑体"/>
      <w:b/>
      <w:bCs/>
      <w:kern w:val="2"/>
      <w:sz w:val="28"/>
      <w:szCs w:val="32"/>
    </w:rPr>
  </w:style>
  <w:style w:type="character" w:customStyle="1" w:styleId="160">
    <w:name w:val="正文缩进 Char"/>
    <w:link w:val="15"/>
    <w:qFormat/>
    <w:uiPriority w:val="0"/>
    <w:rPr>
      <w:rFonts w:ascii="Times New Roman" w:hAnsi="Times New Roman"/>
      <w:kern w:val="2"/>
      <w:sz w:val="24"/>
      <w:szCs w:val="24"/>
    </w:rPr>
  </w:style>
  <w:style w:type="character" w:customStyle="1" w:styleId="161">
    <w:name w:val="正文首行缩进 2 Char"/>
    <w:link w:val="60"/>
    <w:qFormat/>
    <w:uiPriority w:val="0"/>
    <w:rPr>
      <w:rFonts w:ascii="Times New Roman" w:hAnsi="Times New Roman"/>
      <w:kern w:val="2"/>
      <w:sz w:val="21"/>
      <w:szCs w:val="24"/>
    </w:rPr>
  </w:style>
  <w:style w:type="character" w:customStyle="1" w:styleId="162">
    <w:name w:val="xyb自建表格名称 Char Char Char"/>
    <w:link w:val="163"/>
    <w:qFormat/>
    <w:uiPriority w:val="0"/>
    <w:rPr>
      <w:rFonts w:ascii="宋体" w:hAnsi="宋体"/>
      <w:kern w:val="2"/>
      <w:sz w:val="24"/>
      <w:szCs w:val="24"/>
    </w:rPr>
  </w:style>
  <w:style w:type="paragraph" w:customStyle="1" w:styleId="163">
    <w:name w:val="xyb自建表格名称 Char Char"/>
    <w:basedOn w:val="1"/>
    <w:link w:val="162"/>
    <w:qFormat/>
    <w:uiPriority w:val="0"/>
    <w:pPr>
      <w:ind w:firstLine="0" w:firstLineChars="0"/>
      <w:jc w:val="center"/>
    </w:pPr>
    <w:rPr>
      <w:rFonts w:ascii="宋体" w:hAnsi="宋体"/>
      <w:szCs w:val="24"/>
    </w:rPr>
  </w:style>
  <w:style w:type="character" w:customStyle="1" w:styleId="164">
    <w:name w:val="页脚 Char"/>
    <w:link w:val="38"/>
    <w:qFormat/>
    <w:uiPriority w:val="99"/>
    <w:rPr>
      <w:sz w:val="18"/>
      <w:szCs w:val="18"/>
    </w:rPr>
  </w:style>
  <w:style w:type="paragraph" w:customStyle="1" w:styleId="165">
    <w:name w:val="font13"/>
    <w:basedOn w:val="1"/>
    <w:qFormat/>
    <w:uiPriority w:val="0"/>
    <w:pPr>
      <w:widowControl/>
      <w:spacing w:before="100" w:beforeAutospacing="1" w:after="100" w:afterAutospacing="1" w:line="240" w:lineRule="auto"/>
      <w:ind w:firstLine="0" w:firstLineChars="0"/>
      <w:jc w:val="left"/>
    </w:pPr>
    <w:rPr>
      <w:rFonts w:hint="eastAsia" w:ascii="宋体" w:hAnsi="宋体" w:cs="Arial Unicode MS"/>
      <w:color w:val="FF6600"/>
      <w:kern w:val="0"/>
      <w:szCs w:val="24"/>
    </w:rPr>
  </w:style>
  <w:style w:type="paragraph" w:customStyle="1" w:styleId="166">
    <w:name w:val="xl66"/>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textAlignment w:val="top"/>
    </w:pPr>
    <w:rPr>
      <w:rFonts w:ascii="Arial Unicode MS" w:hAnsi="Arial Unicode MS" w:eastAsia="Arial Unicode MS" w:cs="Arial Unicode MS"/>
      <w:kern w:val="0"/>
      <w:sz w:val="18"/>
      <w:szCs w:val="18"/>
    </w:rPr>
  </w:style>
  <w:style w:type="paragraph" w:customStyle="1" w:styleId="167">
    <w:name w:val="XCHG论文节"/>
    <w:basedOn w:val="1"/>
    <w:qFormat/>
    <w:uiPriority w:val="0"/>
    <w:pPr>
      <w:tabs>
        <w:tab w:val="left" w:pos="750"/>
      </w:tabs>
      <w:spacing w:beforeLines="100" w:afterLines="100" w:line="240" w:lineRule="auto"/>
      <w:ind w:firstLine="0" w:firstLineChars="0"/>
    </w:pPr>
    <w:rPr>
      <w:rFonts w:ascii="方正姚体" w:eastAsia="方正姚体"/>
      <w:b/>
      <w:bCs/>
      <w:sz w:val="36"/>
      <w:szCs w:val="24"/>
    </w:rPr>
  </w:style>
  <w:style w:type="paragraph" w:customStyle="1" w:styleId="168">
    <w:name w:val="xl62"/>
    <w:basedOn w:val="1"/>
    <w:qFormat/>
    <w:uiPriority w:val="0"/>
    <w:pPr>
      <w:widowControl/>
      <w:pBdr>
        <w:top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169">
    <w:name w:val="样式16"/>
    <w:basedOn w:val="1"/>
    <w:qFormat/>
    <w:uiPriority w:val="0"/>
    <w:pPr>
      <w:spacing w:line="240" w:lineRule="auto"/>
      <w:ind w:firstLine="0" w:firstLineChars="0"/>
      <w:jc w:val="center"/>
    </w:pPr>
    <w:rPr>
      <w:rFonts w:eastAsia="黑体"/>
      <w:szCs w:val="24"/>
    </w:rPr>
  </w:style>
  <w:style w:type="paragraph" w:customStyle="1" w:styleId="17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71">
    <w:name w:val="表样"/>
    <w:basedOn w:val="1"/>
    <w:qFormat/>
    <w:uiPriority w:val="0"/>
    <w:pPr>
      <w:adjustRightInd w:val="0"/>
      <w:snapToGrid w:val="0"/>
      <w:ind w:firstLine="0" w:firstLineChars="0"/>
      <w:jc w:val="center"/>
      <w:textAlignment w:val="baseline"/>
    </w:pPr>
    <w:rPr>
      <w:kern w:val="0"/>
      <w:sz w:val="21"/>
      <w:szCs w:val="21"/>
    </w:rPr>
  </w:style>
  <w:style w:type="paragraph" w:customStyle="1" w:styleId="172">
    <w:name w:val="xl80"/>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20"/>
      <w:szCs w:val="20"/>
    </w:rPr>
  </w:style>
  <w:style w:type="paragraph" w:customStyle="1" w:styleId="173">
    <w:name w:val="xl41"/>
    <w:basedOn w:val="1"/>
    <w:qFormat/>
    <w:uiPriority w:val="0"/>
    <w:pPr>
      <w:widowControl/>
      <w:pBdr>
        <w:right w:val="single" w:color="auto" w:sz="4" w:space="0"/>
      </w:pBdr>
      <w:spacing w:before="100" w:beforeAutospacing="1" w:after="100" w:afterAutospacing="1" w:line="240" w:lineRule="auto"/>
      <w:ind w:firstLine="0" w:firstLineChars="0"/>
      <w:jc w:val="center"/>
    </w:pPr>
    <w:rPr>
      <w:rFonts w:eastAsia="Arial Unicode MS"/>
      <w:kern w:val="0"/>
      <w:sz w:val="18"/>
      <w:szCs w:val="18"/>
    </w:rPr>
  </w:style>
  <w:style w:type="paragraph" w:customStyle="1" w:styleId="174">
    <w:name w:val="xl49"/>
    <w:basedOn w:val="1"/>
    <w:qFormat/>
    <w:uiPriority w:val="0"/>
    <w:pPr>
      <w:widowControl/>
      <w:pBdr>
        <w:bottom w:val="single" w:color="auto" w:sz="4" w:space="0"/>
      </w:pBdr>
      <w:spacing w:before="100" w:beforeAutospacing="1" w:after="100" w:afterAutospacing="1" w:line="240" w:lineRule="auto"/>
      <w:ind w:firstLine="0" w:firstLineChars="0"/>
      <w:jc w:val="center"/>
    </w:pPr>
    <w:rPr>
      <w:rFonts w:hint="eastAsia" w:ascii="新宋体" w:hAnsi="新宋体" w:eastAsia="新宋体" w:cs="Arial Unicode MS"/>
      <w:kern w:val="0"/>
      <w:sz w:val="15"/>
      <w:szCs w:val="15"/>
    </w:rPr>
  </w:style>
  <w:style w:type="paragraph" w:customStyle="1" w:styleId="175">
    <w:name w:val="xl47"/>
    <w:basedOn w:val="1"/>
    <w:qFormat/>
    <w:uiPriority w:val="0"/>
    <w:pPr>
      <w:widowControl/>
      <w:pBdr>
        <w:left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176">
    <w:name w:val="xl28"/>
    <w:basedOn w:val="1"/>
    <w:qFormat/>
    <w:uiPriority w:val="0"/>
    <w:pPr>
      <w:widowControl/>
      <w:pBdr>
        <w:bottom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color w:val="000000"/>
      <w:kern w:val="0"/>
      <w:sz w:val="18"/>
      <w:szCs w:val="18"/>
    </w:rPr>
  </w:style>
  <w:style w:type="paragraph" w:customStyle="1" w:styleId="177">
    <w:name w:val="表格 + 两端对齐1"/>
    <w:basedOn w:val="155"/>
    <w:qFormat/>
    <w:uiPriority w:val="0"/>
    <w:pPr>
      <w:tabs>
        <w:tab w:val="left" w:pos="1746"/>
      </w:tabs>
      <w:adjustRightInd/>
      <w:snapToGrid/>
      <w:spacing w:line="240" w:lineRule="auto"/>
      <w:jc w:val="both"/>
    </w:pPr>
    <w:rPr>
      <w:rFonts w:hAnsi="宋体" w:cs="宋体"/>
      <w:color w:val="auto"/>
      <w:kern w:val="2"/>
      <w:sz w:val="24"/>
      <w:szCs w:val="20"/>
    </w:rPr>
  </w:style>
  <w:style w:type="paragraph" w:customStyle="1" w:styleId="178">
    <w:name w:val="font8"/>
    <w:basedOn w:val="1"/>
    <w:qFormat/>
    <w:uiPriority w:val="0"/>
    <w:pPr>
      <w:widowControl/>
      <w:spacing w:before="100" w:beforeAutospacing="1" w:after="100" w:afterAutospacing="1" w:line="240" w:lineRule="auto"/>
      <w:ind w:firstLine="0" w:firstLineChars="0"/>
      <w:jc w:val="left"/>
    </w:pPr>
    <w:rPr>
      <w:rFonts w:hint="eastAsia" w:ascii="新宋体" w:hAnsi="新宋体" w:eastAsia="新宋体" w:cs="Arial Unicode MS"/>
      <w:kern w:val="0"/>
      <w:sz w:val="15"/>
      <w:szCs w:val="15"/>
    </w:rPr>
  </w:style>
  <w:style w:type="paragraph" w:customStyle="1" w:styleId="179">
    <w:name w:val="小表文居中"/>
    <w:basedOn w:val="1"/>
    <w:qFormat/>
    <w:uiPriority w:val="0"/>
    <w:pPr>
      <w:autoSpaceDE w:val="0"/>
      <w:autoSpaceDN w:val="0"/>
      <w:adjustRightInd w:val="0"/>
      <w:spacing w:before="20" w:line="500" w:lineRule="exact"/>
      <w:jc w:val="center"/>
      <w:textAlignment w:val="baseline"/>
    </w:pPr>
    <w:rPr>
      <w:rFonts w:ascii="Times" w:hAnsi="Times"/>
      <w:kern w:val="0"/>
      <w:sz w:val="18"/>
      <w:szCs w:val="20"/>
    </w:rPr>
  </w:style>
  <w:style w:type="paragraph" w:customStyle="1" w:styleId="180">
    <w:name w:val="表名"/>
    <w:basedOn w:val="1"/>
    <w:link w:val="475"/>
    <w:qFormat/>
    <w:uiPriority w:val="0"/>
    <w:pPr>
      <w:overflowPunct w:val="0"/>
      <w:topLinePunct/>
      <w:ind w:firstLine="482" w:firstLineChars="0"/>
      <w:jc w:val="center"/>
      <w:outlineLvl w:val="4"/>
    </w:pPr>
    <w:rPr>
      <w:rFonts w:ascii="华文楷体" w:hAnsi="华文楷体" w:eastAsia="华文楷体"/>
      <w:b/>
      <w:bCs/>
      <w:szCs w:val="24"/>
    </w:rPr>
  </w:style>
  <w:style w:type="paragraph" w:customStyle="1" w:styleId="181">
    <w:name w:val="xl58"/>
    <w:basedOn w:val="1"/>
    <w:qFormat/>
    <w:uiPriority w:val="0"/>
    <w:pPr>
      <w:widowControl/>
      <w:pBdr>
        <w:top w:val="single" w:color="auto" w:sz="8" w:space="0"/>
        <w:bottom w:val="single" w:color="auto" w:sz="4" w:space="0"/>
      </w:pBdr>
      <w:spacing w:before="100" w:beforeAutospacing="1" w:after="100" w:afterAutospacing="1" w:line="240" w:lineRule="auto"/>
      <w:ind w:firstLine="0" w:firstLineChars="0"/>
      <w:jc w:val="center"/>
    </w:pPr>
    <w:rPr>
      <w:rFonts w:hint="eastAsia" w:ascii="新宋体" w:hAnsi="新宋体" w:eastAsia="新宋体" w:cs="Arial Unicode MS"/>
      <w:kern w:val="0"/>
      <w:sz w:val="18"/>
      <w:szCs w:val="18"/>
    </w:rPr>
  </w:style>
  <w:style w:type="paragraph" w:customStyle="1" w:styleId="182">
    <w:name w:val="报告正文"/>
    <w:basedOn w:val="60"/>
    <w:link w:val="466"/>
    <w:qFormat/>
    <w:uiPriority w:val="0"/>
    <w:pPr>
      <w:spacing w:before="240" w:line="360" w:lineRule="auto"/>
      <w:ind w:left="902" w:leftChars="0" w:firstLine="200" w:firstLineChars="0"/>
    </w:pPr>
    <w:rPr>
      <w:rFonts w:eastAsia="华文中宋"/>
      <w:sz w:val="24"/>
    </w:rPr>
  </w:style>
  <w:style w:type="paragraph" w:customStyle="1" w:styleId="183">
    <w:name w:val="样式 小四 段前: 7.8 磅 段后: 7.8 磅 行距: 1.5 倍行距"/>
    <w:basedOn w:val="1"/>
    <w:qFormat/>
    <w:uiPriority w:val="0"/>
    <w:pPr>
      <w:ind w:firstLine="480"/>
    </w:pPr>
    <w:rPr>
      <w:color w:val="FF0000"/>
    </w:rPr>
  </w:style>
  <w:style w:type="paragraph" w:customStyle="1" w:styleId="184">
    <w:name w:val="样式5 Char"/>
    <w:basedOn w:val="1"/>
    <w:qFormat/>
    <w:uiPriority w:val="0"/>
    <w:pPr>
      <w:spacing w:line="460" w:lineRule="exact"/>
      <w:ind w:firstLine="480"/>
    </w:pPr>
    <w:rPr>
      <w:szCs w:val="24"/>
    </w:rPr>
  </w:style>
  <w:style w:type="paragraph" w:customStyle="1" w:styleId="185">
    <w:name w:val="标题1"/>
    <w:basedOn w:val="40"/>
    <w:qFormat/>
    <w:uiPriority w:val="0"/>
    <w:pPr>
      <w:tabs>
        <w:tab w:val="right" w:leader="dot" w:pos="9016"/>
      </w:tabs>
      <w:overflowPunct w:val="0"/>
      <w:topLinePunct/>
      <w:spacing w:line="324" w:lineRule="auto"/>
      <w:ind w:firstLine="0" w:firstLineChars="0"/>
      <w:jc w:val="center"/>
      <w:outlineLvl w:val="0"/>
    </w:pPr>
    <w:rPr>
      <w:rFonts w:ascii="Times New Roman" w:hAnsi="Times New Roman" w:eastAsia="黑体"/>
      <w:b w:val="0"/>
      <w:caps w:val="0"/>
      <w:sz w:val="32"/>
      <w:szCs w:val="32"/>
    </w:rPr>
  </w:style>
  <w:style w:type="paragraph" w:customStyle="1" w:styleId="186">
    <w:name w:val="xl45"/>
    <w:basedOn w:val="1"/>
    <w:qFormat/>
    <w:uiPriority w:val="0"/>
    <w:pPr>
      <w:widowControl/>
      <w:pBdr>
        <w:left w:val="single" w:color="auto" w:sz="8" w:space="0"/>
        <w:bottom w:val="single" w:color="auto" w:sz="8"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187">
    <w:name w:val="样式 小四 加粗 黑色 行距: 1.5 倍行距"/>
    <w:basedOn w:val="5"/>
    <w:qFormat/>
    <w:uiPriority w:val="0"/>
    <w:pPr>
      <w:spacing w:before="260" w:after="260"/>
    </w:pPr>
    <w:rPr>
      <w:rFonts w:eastAsia="宋体" w:cs="宋体"/>
      <w:bCs w:val="0"/>
      <w:color w:val="000000"/>
      <w:kern w:val="0"/>
      <w:szCs w:val="20"/>
    </w:rPr>
  </w:style>
  <w:style w:type="paragraph" w:customStyle="1" w:styleId="188">
    <w:name w:val="xl59"/>
    <w:basedOn w:val="1"/>
    <w:qFormat/>
    <w:uiPriority w:val="0"/>
    <w:pPr>
      <w:widowControl/>
      <w:pBdr>
        <w:bottom w:val="single" w:color="auto" w:sz="8" w:space="0"/>
      </w:pBdr>
      <w:spacing w:before="100" w:beforeAutospacing="1" w:after="100" w:afterAutospacing="1" w:line="240" w:lineRule="auto"/>
      <w:ind w:firstLine="0" w:firstLineChars="0"/>
      <w:jc w:val="center"/>
    </w:pPr>
    <w:rPr>
      <w:rFonts w:eastAsia="Arial Unicode MS"/>
      <w:kern w:val="0"/>
      <w:sz w:val="21"/>
      <w:szCs w:val="21"/>
    </w:rPr>
  </w:style>
  <w:style w:type="paragraph" w:customStyle="1" w:styleId="189">
    <w:name w:val="样式5"/>
    <w:basedOn w:val="1"/>
    <w:link w:val="331"/>
    <w:qFormat/>
    <w:uiPriority w:val="0"/>
    <w:pPr>
      <w:spacing w:line="460" w:lineRule="exact"/>
      <w:ind w:firstLine="480"/>
    </w:pPr>
    <w:rPr>
      <w:szCs w:val="24"/>
    </w:rPr>
  </w:style>
  <w:style w:type="paragraph" w:customStyle="1" w:styleId="190">
    <w:name w:val="xl60"/>
    <w:basedOn w:val="1"/>
    <w:qFormat/>
    <w:uiPriority w:val="0"/>
    <w:pPr>
      <w:widowControl/>
      <w:pBdr>
        <w:top w:val="single" w:color="auto" w:sz="8" w:space="0"/>
        <w:bottom w:val="single" w:color="auto" w:sz="4" w:space="0"/>
      </w:pBdr>
      <w:spacing w:before="100" w:beforeAutospacing="1" w:after="100" w:afterAutospacing="1" w:line="240" w:lineRule="auto"/>
      <w:ind w:firstLine="0" w:firstLineChars="0"/>
      <w:jc w:val="center"/>
    </w:pPr>
    <w:rPr>
      <w:rFonts w:eastAsia="Arial Unicode MS"/>
      <w:kern w:val="0"/>
      <w:sz w:val="21"/>
      <w:szCs w:val="21"/>
    </w:rPr>
  </w:style>
  <w:style w:type="paragraph" w:customStyle="1" w:styleId="191">
    <w:name w:val="xl69"/>
    <w:basedOn w:val="1"/>
    <w:qFormat/>
    <w:uiPriority w:val="0"/>
    <w:pPr>
      <w:widowControl/>
      <w:pBdr>
        <w:bottom w:val="single" w:color="auto" w:sz="8" w:space="0"/>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192">
    <w:name w:val="xl3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eastAsia="Arial Unicode MS"/>
      <w:kern w:val="0"/>
      <w:sz w:val="18"/>
      <w:szCs w:val="18"/>
    </w:rPr>
  </w:style>
  <w:style w:type="paragraph" w:customStyle="1" w:styleId="193">
    <w:name w:val="xl2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194">
    <w:name w:val="xl50"/>
    <w:basedOn w:val="1"/>
    <w:qFormat/>
    <w:uiPriority w:val="0"/>
    <w:pPr>
      <w:widowControl/>
      <w:pBdr>
        <w:bottom w:val="single" w:color="auto" w:sz="8" w:space="0"/>
        <w:right w:val="single" w:color="auto" w:sz="4" w:space="0"/>
      </w:pBdr>
      <w:spacing w:before="100" w:beforeAutospacing="1" w:after="100" w:afterAutospacing="1" w:line="240" w:lineRule="auto"/>
      <w:ind w:firstLine="0" w:firstLineChars="0"/>
    </w:pPr>
    <w:rPr>
      <w:rFonts w:ascii="Arial Unicode MS" w:hAnsi="Arial Unicode MS" w:eastAsia="Arial Unicode MS" w:cs="Arial Unicode MS"/>
      <w:kern w:val="0"/>
      <w:sz w:val="18"/>
      <w:szCs w:val="18"/>
    </w:rPr>
  </w:style>
  <w:style w:type="paragraph" w:customStyle="1" w:styleId="195">
    <w:name w:val="xl57"/>
    <w:basedOn w:val="1"/>
    <w:qFormat/>
    <w:uiPriority w:val="0"/>
    <w:pPr>
      <w:widowControl/>
      <w:pBdr>
        <w:top w:val="single" w:color="auto" w:sz="8" w:space="0"/>
        <w:bottom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196">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197">
    <w:name w:val="样式 首行缩进:  2 字符"/>
    <w:basedOn w:val="1"/>
    <w:qFormat/>
    <w:uiPriority w:val="0"/>
    <w:rPr>
      <w:rFonts w:cs="宋体"/>
      <w:szCs w:val="20"/>
    </w:rPr>
  </w:style>
  <w:style w:type="paragraph" w:customStyle="1" w:styleId="198">
    <w:name w:val="正文修改"/>
    <w:qFormat/>
    <w:uiPriority w:val="0"/>
    <w:pPr>
      <w:spacing w:line="40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99">
    <w:name w:val="pic-info"/>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00">
    <w:name w:val="Char Char Char Char Char Char Char"/>
    <w:basedOn w:val="1"/>
    <w:qFormat/>
    <w:uiPriority w:val="0"/>
    <w:pPr>
      <w:spacing w:line="240" w:lineRule="auto"/>
      <w:ind w:firstLine="0" w:firstLineChars="0"/>
    </w:pPr>
    <w:rPr>
      <w:sz w:val="21"/>
      <w:szCs w:val="21"/>
    </w:rPr>
  </w:style>
  <w:style w:type="paragraph" w:customStyle="1" w:styleId="201">
    <w:name w:val="xl83"/>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top"/>
    </w:pPr>
    <w:rPr>
      <w:rFonts w:ascii="Arial Unicode MS" w:hAnsi="Arial Unicode MS" w:eastAsia="Arial Unicode MS" w:cs="Arial Unicode MS"/>
      <w:kern w:val="0"/>
      <w:sz w:val="20"/>
      <w:szCs w:val="20"/>
    </w:rPr>
  </w:style>
  <w:style w:type="paragraph" w:customStyle="1" w:styleId="202">
    <w:name w:val="标题4"/>
    <w:basedOn w:val="28"/>
    <w:qFormat/>
    <w:uiPriority w:val="0"/>
    <w:pPr>
      <w:overflowPunct w:val="0"/>
      <w:topLinePunct/>
      <w:spacing w:line="324" w:lineRule="auto"/>
      <w:ind w:left="0" w:leftChars="0"/>
      <w:outlineLvl w:val="3"/>
    </w:pPr>
    <w:rPr>
      <w:b/>
      <w:bCs/>
      <w:sz w:val="24"/>
    </w:rPr>
  </w:style>
  <w:style w:type="paragraph" w:customStyle="1" w:styleId="203">
    <w:name w:val="font5"/>
    <w:basedOn w:val="1"/>
    <w:qFormat/>
    <w:uiPriority w:val="0"/>
    <w:pPr>
      <w:widowControl/>
      <w:spacing w:before="100" w:beforeAutospacing="1" w:after="100" w:afterAutospacing="1" w:line="240" w:lineRule="auto"/>
      <w:ind w:firstLine="0" w:firstLineChars="0"/>
      <w:jc w:val="left"/>
    </w:pPr>
    <w:rPr>
      <w:rFonts w:hint="eastAsia" w:ascii="宋体" w:hAnsi="宋体" w:cs="Arial Unicode MS"/>
      <w:kern w:val="0"/>
      <w:sz w:val="18"/>
      <w:szCs w:val="18"/>
    </w:rPr>
  </w:style>
  <w:style w:type="paragraph" w:customStyle="1" w:styleId="204">
    <w:name w:val="正文缩进（自定义） Char Char"/>
    <w:basedOn w:val="1"/>
    <w:qFormat/>
    <w:uiPriority w:val="0"/>
    <w:pPr>
      <w:spacing w:before="120" w:after="120"/>
      <w:ind w:firstLine="480"/>
    </w:pPr>
    <w:rPr>
      <w:rFonts w:ascii="Century Gothic" w:hAnsi="Century Gothic" w:cs="宋体"/>
      <w:kern w:val="0"/>
      <w:szCs w:val="24"/>
    </w:rPr>
  </w:style>
  <w:style w:type="paragraph" w:customStyle="1" w:styleId="205">
    <w:name w:val="xl31"/>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206">
    <w:name w:val="修订2"/>
    <w:semiHidden/>
    <w:qFormat/>
    <w:uiPriority w:val="0"/>
    <w:rPr>
      <w:rFonts w:ascii="Times New Roman" w:hAnsi="Times New Roman" w:eastAsia="宋体" w:cs="Times New Roman"/>
      <w:kern w:val="2"/>
      <w:sz w:val="24"/>
      <w:szCs w:val="22"/>
      <w:lang w:val="en-US" w:eastAsia="zh-CN" w:bidi="ar-SA"/>
    </w:rPr>
  </w:style>
  <w:style w:type="paragraph" w:customStyle="1" w:styleId="207">
    <w:name w:val="Char Char Char2"/>
    <w:basedOn w:val="1"/>
    <w:qFormat/>
    <w:uiPriority w:val="0"/>
    <w:pPr>
      <w:spacing w:line="240" w:lineRule="auto"/>
      <w:ind w:firstLine="0" w:firstLineChars="0"/>
    </w:pPr>
    <w:rPr>
      <w:rFonts w:ascii="宋体" w:cs="宋体"/>
      <w:sz w:val="21"/>
      <w:szCs w:val="21"/>
    </w:rPr>
  </w:style>
  <w:style w:type="paragraph" w:customStyle="1" w:styleId="208">
    <w:name w:val="样式13"/>
    <w:basedOn w:val="1"/>
    <w:qFormat/>
    <w:uiPriority w:val="0"/>
    <w:pPr>
      <w:spacing w:line="240" w:lineRule="auto"/>
      <w:ind w:firstLine="475"/>
    </w:pPr>
    <w:rPr>
      <w:rFonts w:eastAsia="华文中宋"/>
      <w:color w:val="000000"/>
      <w:szCs w:val="24"/>
    </w:rPr>
  </w:style>
  <w:style w:type="paragraph" w:customStyle="1" w:styleId="209">
    <w:name w:val="Char Char Char Char1"/>
    <w:basedOn w:val="1"/>
    <w:link w:val="492"/>
    <w:qFormat/>
    <w:uiPriority w:val="0"/>
    <w:pPr>
      <w:spacing w:line="240" w:lineRule="auto"/>
      <w:ind w:firstLine="0" w:firstLineChars="0"/>
    </w:pPr>
    <w:rPr>
      <w:rFonts w:ascii="宋体" w:cs="宋体"/>
      <w:sz w:val="21"/>
      <w:szCs w:val="21"/>
    </w:rPr>
  </w:style>
  <w:style w:type="paragraph" w:customStyle="1" w:styleId="210">
    <w:name w:val="标题5"/>
    <w:basedOn w:val="1"/>
    <w:qFormat/>
    <w:uiPriority w:val="0"/>
    <w:pPr>
      <w:spacing w:line="324" w:lineRule="auto"/>
      <w:ind w:firstLine="480"/>
      <w:outlineLvl w:val="4"/>
    </w:pPr>
    <w:rPr>
      <w:rFonts w:ascii="宋体" w:hAnsi="宋体"/>
      <w:szCs w:val="24"/>
    </w:rPr>
  </w:style>
  <w:style w:type="paragraph" w:customStyle="1" w:styleId="211">
    <w:name w:val="xl34"/>
    <w:basedOn w:val="1"/>
    <w:qFormat/>
    <w:uiPriority w:val="0"/>
    <w:pPr>
      <w:widowControl/>
      <w:pBdr>
        <w:bottom w:val="single" w:color="auto" w:sz="8" w:space="0"/>
        <w:right w:val="single" w:color="auto" w:sz="8"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212">
    <w:name w:val="xl22"/>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top"/>
    </w:pPr>
    <w:rPr>
      <w:rFonts w:ascii="宋体" w:hAnsi="宋体"/>
      <w:kern w:val="0"/>
      <w:szCs w:val="24"/>
    </w:rPr>
  </w:style>
  <w:style w:type="paragraph" w:customStyle="1" w:styleId="213">
    <w:name w:val="font9"/>
    <w:basedOn w:val="1"/>
    <w:qFormat/>
    <w:uiPriority w:val="0"/>
    <w:pPr>
      <w:widowControl/>
      <w:spacing w:before="100" w:beforeAutospacing="1" w:after="100" w:afterAutospacing="1" w:line="240" w:lineRule="auto"/>
      <w:ind w:firstLine="0" w:firstLineChars="0"/>
      <w:jc w:val="left"/>
    </w:pPr>
    <w:rPr>
      <w:rFonts w:eastAsia="Arial Unicode MS"/>
      <w:kern w:val="0"/>
      <w:sz w:val="15"/>
      <w:szCs w:val="15"/>
    </w:rPr>
  </w:style>
  <w:style w:type="paragraph" w:customStyle="1" w:styleId="214">
    <w:name w:val="3"/>
    <w:basedOn w:val="1"/>
    <w:next w:val="35"/>
    <w:qFormat/>
    <w:uiPriority w:val="0"/>
    <w:pPr>
      <w:spacing w:line="100" w:lineRule="atLeast"/>
      <w:ind w:firstLine="560"/>
    </w:pPr>
    <w:rPr>
      <w:sz w:val="28"/>
      <w:szCs w:val="24"/>
    </w:rPr>
  </w:style>
  <w:style w:type="paragraph" w:customStyle="1" w:styleId="215">
    <w:name w:val="5"/>
    <w:basedOn w:val="1"/>
    <w:qFormat/>
    <w:uiPriority w:val="0"/>
    <w:pPr>
      <w:spacing w:line="460" w:lineRule="exact"/>
      <w:ind w:firstLine="480"/>
    </w:pPr>
    <w:rPr>
      <w:szCs w:val="24"/>
    </w:rPr>
  </w:style>
  <w:style w:type="paragraph" w:customStyle="1" w:styleId="216">
    <w:name w:val="标题11"/>
    <w:basedOn w:val="1"/>
    <w:qFormat/>
    <w:uiPriority w:val="0"/>
    <w:pPr>
      <w:tabs>
        <w:tab w:val="left" w:pos="1301"/>
      </w:tabs>
      <w:adjustRightInd w:val="0"/>
      <w:snapToGrid w:val="0"/>
      <w:ind w:left="1301" w:hanging="420" w:firstLineChars="0"/>
    </w:pPr>
    <w:rPr>
      <w:sz w:val="28"/>
      <w:szCs w:val="20"/>
    </w:rPr>
  </w:style>
  <w:style w:type="paragraph" w:customStyle="1" w:styleId="217">
    <w:name w:val="xl24"/>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kern w:val="0"/>
      <w:sz w:val="21"/>
      <w:szCs w:val="21"/>
    </w:rPr>
  </w:style>
  <w:style w:type="paragraph" w:customStyle="1" w:styleId="218">
    <w:name w:val="xl32"/>
    <w:basedOn w:val="1"/>
    <w:qFormat/>
    <w:uiPriority w:val="0"/>
    <w:pPr>
      <w:widowControl/>
      <w:pBdr>
        <w:left w:val="single" w:color="auto" w:sz="8" w:space="0"/>
        <w:bottom w:val="single" w:color="auto" w:sz="8" w:space="0"/>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219">
    <w:name w:val="表体"/>
    <w:basedOn w:val="1"/>
    <w:qFormat/>
    <w:uiPriority w:val="0"/>
    <w:pPr>
      <w:spacing w:line="240" w:lineRule="auto"/>
      <w:ind w:firstLine="0" w:firstLineChars="0"/>
      <w:jc w:val="center"/>
    </w:pPr>
    <w:rPr>
      <w:color w:val="000000"/>
      <w:sz w:val="21"/>
      <w:szCs w:val="21"/>
    </w:rPr>
  </w:style>
  <w:style w:type="paragraph" w:customStyle="1" w:styleId="220">
    <w:name w:val="xl48"/>
    <w:basedOn w:val="1"/>
    <w:qFormat/>
    <w:uiPriority w:val="0"/>
    <w:pPr>
      <w:widowControl/>
      <w:spacing w:before="100" w:beforeAutospacing="1" w:after="100" w:afterAutospacing="1" w:line="240" w:lineRule="auto"/>
      <w:ind w:firstLine="0" w:firstLineChars="0"/>
      <w:jc w:val="center"/>
    </w:pPr>
    <w:rPr>
      <w:rFonts w:eastAsia="Arial Unicode MS"/>
      <w:kern w:val="0"/>
      <w:sz w:val="15"/>
      <w:szCs w:val="15"/>
    </w:rPr>
  </w:style>
  <w:style w:type="paragraph" w:customStyle="1" w:styleId="221">
    <w:name w:val="默认段落字体 Para Char Char Char Char"/>
    <w:basedOn w:val="1"/>
    <w:qFormat/>
    <w:uiPriority w:val="0"/>
    <w:pPr>
      <w:spacing w:line="240" w:lineRule="auto"/>
      <w:ind w:firstLine="0" w:firstLineChars="0"/>
    </w:pPr>
    <w:rPr>
      <w:szCs w:val="24"/>
    </w:rPr>
  </w:style>
  <w:style w:type="paragraph" w:customStyle="1" w:styleId="222">
    <w:name w:val="样式14"/>
    <w:basedOn w:val="1"/>
    <w:qFormat/>
    <w:uiPriority w:val="0"/>
    <w:pPr>
      <w:spacing w:line="240" w:lineRule="auto"/>
      <w:ind w:firstLine="0" w:firstLineChars="0"/>
      <w:jc w:val="center"/>
    </w:pPr>
    <w:rPr>
      <w:rFonts w:eastAsia="黑体"/>
      <w:kern w:val="0"/>
      <w:szCs w:val="24"/>
    </w:rPr>
  </w:style>
  <w:style w:type="paragraph" w:customStyle="1" w:styleId="223">
    <w:name w:val="xl39"/>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Arial Unicode MS"/>
      <w:kern w:val="0"/>
      <w:sz w:val="18"/>
      <w:szCs w:val="18"/>
    </w:rPr>
  </w:style>
  <w:style w:type="paragraph" w:customStyle="1" w:styleId="224">
    <w:name w:val="Char Char Char Char Char Char Char3"/>
    <w:basedOn w:val="1"/>
    <w:qFormat/>
    <w:uiPriority w:val="0"/>
    <w:pPr>
      <w:widowControl/>
      <w:spacing w:after="160" w:line="240" w:lineRule="exact"/>
      <w:ind w:firstLine="0" w:firstLineChars="0"/>
      <w:jc w:val="left"/>
    </w:pPr>
    <w:rPr>
      <w:rFonts w:ascii="Arial" w:hAnsi="Arial" w:eastAsia="Times New Roman" w:cs="Verdana"/>
      <w:b/>
      <w:kern w:val="0"/>
      <w:szCs w:val="24"/>
      <w:lang w:eastAsia="en-US"/>
    </w:rPr>
  </w:style>
  <w:style w:type="paragraph" w:customStyle="1" w:styleId="225">
    <w:name w:val="xl37"/>
    <w:basedOn w:val="1"/>
    <w:qFormat/>
    <w:uiPriority w:val="0"/>
    <w:pPr>
      <w:widowControl/>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226">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eastAsia="Arial Unicode MS"/>
      <w:kern w:val="0"/>
      <w:sz w:val="21"/>
      <w:szCs w:val="21"/>
    </w:rPr>
  </w:style>
  <w:style w:type="paragraph" w:customStyle="1" w:styleId="227">
    <w:name w:val="样式18"/>
    <w:basedOn w:val="1"/>
    <w:qFormat/>
    <w:uiPriority w:val="0"/>
    <w:pPr>
      <w:tabs>
        <w:tab w:val="left" w:pos="480"/>
      </w:tabs>
      <w:spacing w:line="300" w:lineRule="exact"/>
      <w:ind w:left="-120" w:leftChars="-50" w:right="-120" w:rightChars="-50" w:firstLine="0" w:firstLineChars="0"/>
      <w:jc w:val="center"/>
    </w:pPr>
    <w:rPr>
      <w:rFonts w:eastAsia="华文中宋"/>
      <w:color w:val="000000"/>
      <w:sz w:val="21"/>
      <w:szCs w:val="24"/>
    </w:rPr>
  </w:style>
  <w:style w:type="paragraph" w:customStyle="1" w:styleId="228">
    <w:name w:val="xl7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Arial Unicode MS" w:hAnsi="Arial Unicode MS" w:eastAsia="Arial Unicode MS"/>
      <w:color w:val="FF00FF"/>
      <w:kern w:val="0"/>
      <w:sz w:val="20"/>
      <w:szCs w:val="20"/>
    </w:rPr>
  </w:style>
  <w:style w:type="paragraph" w:customStyle="1" w:styleId="229">
    <w:name w:val="表中"/>
    <w:qFormat/>
    <w:uiPriority w:val="0"/>
    <w:pPr>
      <w:spacing w:line="240" w:lineRule="atLeast"/>
      <w:jc w:val="center"/>
    </w:pPr>
    <w:rPr>
      <w:rFonts w:ascii="Times New Roman" w:hAnsi="Times New Roman" w:eastAsia="宋体" w:cs="Times New Roman"/>
      <w:sz w:val="24"/>
      <w:lang w:val="en-US" w:eastAsia="zh-CN" w:bidi="ar-SA"/>
    </w:rPr>
  </w:style>
  <w:style w:type="paragraph" w:customStyle="1" w:styleId="230">
    <w:name w:val="样式9"/>
    <w:basedOn w:val="184"/>
    <w:link w:val="988"/>
    <w:qFormat/>
    <w:uiPriority w:val="0"/>
  </w:style>
  <w:style w:type="paragraph" w:customStyle="1" w:styleId="231">
    <w:name w:val="xl33"/>
    <w:basedOn w:val="1"/>
    <w:qFormat/>
    <w:uiPriority w:val="0"/>
    <w:pPr>
      <w:widowControl/>
      <w:pBdr>
        <w:bottom w:val="single" w:color="auto" w:sz="8" w:space="0"/>
        <w:right w:val="single" w:color="auto" w:sz="4" w:space="0"/>
      </w:pBdr>
      <w:spacing w:before="100" w:beforeAutospacing="1" w:after="100" w:afterAutospacing="1" w:line="240" w:lineRule="auto"/>
      <w:ind w:firstLine="0" w:firstLineChars="0"/>
      <w:jc w:val="center"/>
    </w:pPr>
    <w:rPr>
      <w:rFonts w:eastAsia="Arial Unicode MS"/>
      <w:kern w:val="0"/>
      <w:sz w:val="18"/>
      <w:szCs w:val="18"/>
    </w:rPr>
  </w:style>
  <w:style w:type="paragraph" w:customStyle="1" w:styleId="232">
    <w:name w:val="表文"/>
    <w:basedOn w:val="1"/>
    <w:next w:val="1"/>
    <w:qFormat/>
    <w:uiPriority w:val="0"/>
    <w:pPr>
      <w:overflowPunct w:val="0"/>
      <w:topLinePunct/>
      <w:spacing w:line="320" w:lineRule="exact"/>
      <w:ind w:firstLine="0" w:firstLineChars="0"/>
      <w:jc w:val="center"/>
      <w:outlineLvl w:val="6"/>
    </w:pPr>
    <w:rPr>
      <w:sz w:val="18"/>
      <w:szCs w:val="18"/>
    </w:rPr>
  </w:style>
  <w:style w:type="paragraph" w:customStyle="1" w:styleId="233">
    <w:name w:val="xl27"/>
    <w:basedOn w:val="1"/>
    <w:qFormat/>
    <w:uiPriority w:val="0"/>
    <w:pPr>
      <w:widowControl/>
      <w:pBdr>
        <w:left w:val="single" w:color="auto" w:sz="8" w:space="0"/>
        <w:right w:val="single" w:color="auto" w:sz="4" w:space="0"/>
      </w:pBdr>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234">
    <w:name w:val="xyb自建四级标题"/>
    <w:basedOn w:val="1"/>
    <w:qFormat/>
    <w:uiPriority w:val="0"/>
    <w:pPr>
      <w:tabs>
        <w:tab w:val="left" w:pos="8280"/>
      </w:tabs>
      <w:spacing w:before="100" w:after="100" w:line="415" w:lineRule="auto"/>
      <w:ind w:firstLine="0" w:firstLineChars="0"/>
      <w:outlineLvl w:val="3"/>
    </w:pPr>
    <w:rPr>
      <w:rFonts w:ascii="楷体_GB2312" w:hAnsi="宋体" w:eastAsia="楷体_GB2312"/>
      <w:b/>
      <w:bCs/>
      <w:szCs w:val="24"/>
    </w:rPr>
  </w:style>
  <w:style w:type="paragraph" w:customStyle="1" w:styleId="235">
    <w:name w:val="样式2"/>
    <w:basedOn w:val="34"/>
    <w:link w:val="967"/>
    <w:qFormat/>
    <w:uiPriority w:val="0"/>
    <w:pPr>
      <w:spacing w:beforeLines="50" w:afterLines="50" w:line="240" w:lineRule="auto"/>
      <w:ind w:left="0" w:leftChars="0" w:firstLine="0" w:firstLineChars="0"/>
    </w:pPr>
    <w:rPr>
      <w:rFonts w:eastAsia="华文中宋"/>
      <w:b/>
      <w:bCs/>
      <w:sz w:val="28"/>
      <w:szCs w:val="28"/>
    </w:rPr>
  </w:style>
  <w:style w:type="paragraph" w:customStyle="1" w:styleId="236">
    <w:name w:val="默认段落字体 Para Char"/>
    <w:basedOn w:val="1"/>
    <w:link w:val="493"/>
    <w:qFormat/>
    <w:uiPriority w:val="0"/>
    <w:pPr>
      <w:spacing w:line="240" w:lineRule="auto"/>
      <w:ind w:firstLine="0" w:firstLineChars="0"/>
    </w:pPr>
    <w:rPr>
      <w:sz w:val="21"/>
      <w:szCs w:val="20"/>
    </w:rPr>
  </w:style>
  <w:style w:type="paragraph" w:customStyle="1" w:styleId="237">
    <w:name w:val="xl71"/>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eastAsia="Arial Unicode MS"/>
      <w:kern w:val="0"/>
      <w:sz w:val="18"/>
      <w:szCs w:val="18"/>
    </w:rPr>
  </w:style>
  <w:style w:type="paragraph" w:customStyle="1" w:styleId="238">
    <w:name w:val="样式4"/>
    <w:basedOn w:val="1"/>
    <w:link w:val="406"/>
    <w:qFormat/>
    <w:uiPriority w:val="0"/>
    <w:pPr>
      <w:spacing w:line="240" w:lineRule="auto"/>
      <w:ind w:firstLine="475"/>
    </w:pPr>
    <w:rPr>
      <w:rFonts w:eastAsia="华文中宋"/>
      <w:szCs w:val="24"/>
    </w:rPr>
  </w:style>
  <w:style w:type="paragraph" w:customStyle="1" w:styleId="239">
    <w:name w:val="xl25"/>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color w:val="000000"/>
      <w:kern w:val="0"/>
      <w:sz w:val="21"/>
      <w:szCs w:val="21"/>
    </w:rPr>
  </w:style>
  <w:style w:type="paragraph" w:customStyle="1" w:styleId="240">
    <w:name w:val="xl26"/>
    <w:basedOn w:val="1"/>
    <w:qFormat/>
    <w:uiPriority w:val="0"/>
    <w:pPr>
      <w:widowControl/>
      <w:spacing w:before="100" w:beforeAutospacing="1" w:after="100" w:afterAutospacing="1" w:line="240" w:lineRule="auto"/>
      <w:ind w:firstLine="0" w:firstLineChars="0"/>
      <w:jc w:val="left"/>
    </w:pPr>
    <w:rPr>
      <w:rFonts w:eastAsia="Arial Unicode MS"/>
      <w:kern w:val="0"/>
      <w:sz w:val="20"/>
      <w:szCs w:val="20"/>
    </w:rPr>
  </w:style>
  <w:style w:type="paragraph" w:customStyle="1" w:styleId="241">
    <w:name w:val="xl42"/>
    <w:basedOn w:val="1"/>
    <w:qFormat/>
    <w:uiPriority w:val="0"/>
    <w:pPr>
      <w:widowControl/>
      <w:pBdr>
        <w:bottom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color w:val="000000"/>
      <w:kern w:val="0"/>
      <w:szCs w:val="24"/>
    </w:rPr>
  </w:style>
  <w:style w:type="paragraph" w:customStyle="1" w:styleId="242">
    <w:name w:val="图表头2"/>
    <w:basedOn w:val="243"/>
    <w:qFormat/>
    <w:uiPriority w:val="0"/>
    <w:pPr>
      <w:spacing w:beforeLines="50"/>
      <w:ind w:right="42" w:rightChars="20"/>
    </w:pPr>
    <w:rPr>
      <w:rFonts w:ascii="黑体" w:eastAsia="黑体"/>
      <w:spacing w:val="5"/>
      <w:szCs w:val="21"/>
    </w:rPr>
  </w:style>
  <w:style w:type="paragraph" w:customStyle="1" w:styleId="243">
    <w:name w:val="图表头"/>
    <w:basedOn w:val="1"/>
    <w:qFormat/>
    <w:uiPriority w:val="0"/>
    <w:pPr>
      <w:adjustRightInd w:val="0"/>
      <w:spacing w:line="312" w:lineRule="atLeast"/>
      <w:ind w:firstLine="0" w:firstLineChars="0"/>
      <w:textAlignment w:val="baseline"/>
    </w:pPr>
    <w:rPr>
      <w:bCs/>
      <w:spacing w:val="-10"/>
      <w:szCs w:val="24"/>
    </w:rPr>
  </w:style>
  <w:style w:type="paragraph" w:customStyle="1" w:styleId="244">
    <w:name w:val="Char"/>
    <w:basedOn w:val="1"/>
    <w:semiHidden/>
    <w:qFormat/>
    <w:uiPriority w:val="0"/>
    <w:rPr>
      <w:szCs w:val="24"/>
    </w:rPr>
  </w:style>
  <w:style w:type="paragraph" w:customStyle="1" w:styleId="245">
    <w:name w:val="Char Char Char Char"/>
    <w:basedOn w:val="1"/>
    <w:link w:val="484"/>
    <w:qFormat/>
    <w:uiPriority w:val="0"/>
    <w:pPr>
      <w:spacing w:line="240" w:lineRule="auto"/>
      <w:ind w:firstLine="0" w:firstLineChars="0"/>
    </w:pPr>
    <w:rPr>
      <w:rFonts w:ascii="宋体" w:cs="宋体"/>
      <w:sz w:val="21"/>
      <w:szCs w:val="21"/>
    </w:rPr>
  </w:style>
  <w:style w:type="paragraph" w:customStyle="1" w:styleId="246">
    <w:name w:val="样式6"/>
    <w:basedOn w:val="1"/>
    <w:qFormat/>
    <w:uiPriority w:val="0"/>
    <w:pPr>
      <w:spacing w:line="460" w:lineRule="exact"/>
      <w:ind w:firstLine="0" w:firstLineChars="0"/>
      <w:jc w:val="center"/>
    </w:pPr>
    <w:rPr>
      <w:rFonts w:ascii="黑体" w:eastAsia="黑体"/>
      <w:szCs w:val="24"/>
    </w:rPr>
  </w:style>
  <w:style w:type="paragraph" w:customStyle="1" w:styleId="247">
    <w:name w:val="xl43"/>
    <w:basedOn w:val="1"/>
    <w:qFormat/>
    <w:uiPriority w:val="0"/>
    <w:pPr>
      <w:widowControl/>
      <w:pBdr>
        <w:bottom w:val="single" w:color="auto" w:sz="8" w:space="0"/>
        <w:right w:val="single" w:color="auto" w:sz="4" w:space="0"/>
      </w:pBdr>
      <w:spacing w:before="100" w:beforeAutospacing="1" w:after="100" w:afterAutospacing="1" w:line="240" w:lineRule="auto"/>
      <w:ind w:firstLine="0" w:firstLineChars="0"/>
      <w:jc w:val="center"/>
    </w:pPr>
    <w:rPr>
      <w:rFonts w:eastAsia="Arial Unicode MS"/>
      <w:kern w:val="0"/>
      <w:sz w:val="18"/>
      <w:szCs w:val="18"/>
    </w:rPr>
  </w:style>
  <w:style w:type="paragraph" w:customStyle="1" w:styleId="248">
    <w:name w:val="Char Char Char Char Char Char Char Char Char Char Char Char Char Char Char Char Char Char1 Char Char Char Char"/>
    <w:basedOn w:val="1"/>
    <w:qFormat/>
    <w:uiPriority w:val="0"/>
    <w:pPr>
      <w:spacing w:line="240" w:lineRule="auto"/>
      <w:ind w:firstLine="0" w:firstLineChars="0"/>
    </w:pPr>
    <w:rPr>
      <w:sz w:val="21"/>
      <w:szCs w:val="24"/>
    </w:rPr>
  </w:style>
  <w:style w:type="paragraph" w:customStyle="1" w:styleId="249">
    <w:name w:val="xl38"/>
    <w:basedOn w:val="1"/>
    <w:qFormat/>
    <w:uiPriority w:val="0"/>
    <w:pPr>
      <w:widowControl/>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250">
    <w:name w:val="表5号字"/>
    <w:qFormat/>
    <w:uiPriority w:val="0"/>
    <w:pPr>
      <w:keepNext/>
      <w:widowControl w:val="0"/>
      <w:adjustRightInd w:val="0"/>
      <w:spacing w:before="120" w:line="60" w:lineRule="atLeast"/>
      <w:jc w:val="center"/>
    </w:pPr>
    <w:rPr>
      <w:rFonts w:ascii="Times New Roman" w:hAnsi="Times New Roman" w:eastAsia="宋体" w:cs="Times New Roman"/>
      <w:sz w:val="21"/>
      <w:szCs w:val="21"/>
      <w:lang w:val="en-US" w:eastAsia="zh-CN" w:bidi="ar-SA"/>
    </w:rPr>
  </w:style>
  <w:style w:type="paragraph" w:customStyle="1" w:styleId="251">
    <w:name w:val="xl44"/>
    <w:basedOn w:val="1"/>
    <w:qFormat/>
    <w:uiPriority w:val="0"/>
    <w:pPr>
      <w:widowControl/>
      <w:pBdr>
        <w:top w:val="single" w:color="auto" w:sz="8" w:space="0"/>
        <w:left w:val="single" w:color="auto" w:sz="8"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252">
    <w:name w:val="xl56"/>
    <w:basedOn w:val="1"/>
    <w:qFormat/>
    <w:uiPriority w:val="0"/>
    <w:pPr>
      <w:widowControl/>
      <w:pBdr>
        <w:top w:val="single" w:color="auto" w:sz="8" w:space="0"/>
        <w:bottom w:val="single" w:color="auto" w:sz="4" w:space="0"/>
        <w:right w:val="single" w:color="auto" w:sz="4" w:space="0"/>
      </w:pBdr>
      <w:spacing w:before="100" w:beforeAutospacing="1" w:after="100" w:afterAutospacing="1" w:line="240" w:lineRule="auto"/>
      <w:ind w:firstLine="0" w:firstLineChars="0"/>
    </w:pPr>
    <w:rPr>
      <w:rFonts w:ascii="Arial Unicode MS" w:hAnsi="Arial Unicode MS" w:eastAsia="Arial Unicode MS" w:cs="Arial Unicode MS"/>
      <w:kern w:val="0"/>
      <w:sz w:val="18"/>
      <w:szCs w:val="18"/>
    </w:rPr>
  </w:style>
  <w:style w:type="paragraph" w:customStyle="1" w:styleId="253">
    <w:name w:val="表题"/>
    <w:basedOn w:val="1"/>
    <w:qFormat/>
    <w:uiPriority w:val="0"/>
    <w:pPr>
      <w:tabs>
        <w:tab w:val="left" w:pos="720"/>
      </w:tabs>
      <w:adjustRightInd w:val="0"/>
      <w:snapToGrid w:val="0"/>
      <w:spacing w:line="280" w:lineRule="exact"/>
      <w:ind w:left="-105" w:leftChars="-50" w:right="-105" w:rightChars="-50" w:firstLine="0" w:firstLineChars="0"/>
      <w:jc w:val="center"/>
    </w:pPr>
    <w:rPr>
      <w:color w:val="000000"/>
      <w:szCs w:val="24"/>
    </w:rPr>
  </w:style>
  <w:style w:type="paragraph" w:customStyle="1" w:styleId="254">
    <w:name w:val="样式 样式 小四 段前: 7.8 磅 段后: 7.8 磅 行距: 1.5 倍行距 + 首行缩进:  2 字符"/>
    <w:basedOn w:val="183"/>
    <w:link w:val="1105"/>
    <w:qFormat/>
    <w:uiPriority w:val="0"/>
    <w:pPr>
      <w:spacing w:before="156" w:beforeLines="50" w:after="156" w:afterLines="50" w:line="240" w:lineRule="auto"/>
      <w:ind w:firstLine="0" w:firstLineChars="0"/>
      <w:jc w:val="center"/>
    </w:pPr>
    <w:rPr>
      <w:b/>
      <w:color w:val="000000"/>
      <w:szCs w:val="24"/>
    </w:rPr>
  </w:style>
  <w:style w:type="paragraph" w:customStyle="1" w:styleId="255">
    <w:name w:val="表格名称"/>
    <w:basedOn w:val="1"/>
    <w:qFormat/>
    <w:uiPriority w:val="0"/>
    <w:pPr>
      <w:spacing w:line="240" w:lineRule="auto"/>
      <w:ind w:firstLine="0" w:firstLineChars="0"/>
      <w:jc w:val="center"/>
    </w:pPr>
    <w:rPr>
      <w:rFonts w:eastAsia="黑体"/>
      <w:sz w:val="21"/>
      <w:szCs w:val="20"/>
    </w:rPr>
  </w:style>
  <w:style w:type="paragraph" w:customStyle="1" w:styleId="256">
    <w:name w:val="xl35"/>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pPr>
    <w:rPr>
      <w:rFonts w:eastAsia="Arial Unicode MS"/>
      <w:kern w:val="0"/>
      <w:sz w:val="18"/>
      <w:szCs w:val="18"/>
    </w:rPr>
  </w:style>
  <w:style w:type="paragraph" w:customStyle="1" w:styleId="257">
    <w:name w:val="xl64"/>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top"/>
    </w:pPr>
    <w:rPr>
      <w:rFonts w:eastAsia="Arial Unicode MS"/>
      <w:kern w:val="0"/>
      <w:sz w:val="21"/>
      <w:szCs w:val="21"/>
    </w:rPr>
  </w:style>
  <w:style w:type="paragraph" w:customStyle="1" w:styleId="258">
    <w:name w:val="三章正文"/>
    <w:basedOn w:val="23"/>
    <w:qFormat/>
    <w:uiPriority w:val="0"/>
    <w:pPr>
      <w:spacing w:after="0"/>
    </w:pPr>
    <w:rPr>
      <w:szCs w:val="20"/>
    </w:rPr>
  </w:style>
  <w:style w:type="paragraph" w:customStyle="1" w:styleId="259">
    <w:name w:val="reader-word-layer"/>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60">
    <w:name w:val="标题2"/>
    <w:basedOn w:val="1"/>
    <w:qFormat/>
    <w:uiPriority w:val="0"/>
    <w:pPr>
      <w:tabs>
        <w:tab w:val="left" w:pos="1260"/>
      </w:tabs>
      <w:ind w:firstLine="0" w:firstLineChars="0"/>
      <w:outlineLvl w:val="1"/>
    </w:pPr>
    <w:rPr>
      <w:rFonts w:eastAsia="黑体"/>
      <w:b/>
      <w:bCs/>
      <w:sz w:val="30"/>
      <w:szCs w:val="30"/>
    </w:rPr>
  </w:style>
  <w:style w:type="paragraph" w:customStyle="1" w:styleId="261">
    <w:name w:val="font1"/>
    <w:basedOn w:val="1"/>
    <w:qFormat/>
    <w:uiPriority w:val="0"/>
    <w:pPr>
      <w:widowControl/>
      <w:spacing w:before="100" w:beforeAutospacing="1" w:after="100" w:afterAutospacing="1" w:line="240" w:lineRule="auto"/>
      <w:ind w:firstLine="0" w:firstLineChars="0"/>
      <w:jc w:val="left"/>
    </w:pPr>
    <w:rPr>
      <w:rFonts w:hint="eastAsia" w:ascii="宋体" w:hAnsi="宋体" w:cs="Arial Unicode MS"/>
      <w:kern w:val="0"/>
      <w:szCs w:val="24"/>
    </w:rPr>
  </w:style>
  <w:style w:type="paragraph" w:customStyle="1" w:styleId="262">
    <w:name w:val="xl36"/>
    <w:basedOn w:val="1"/>
    <w:qFormat/>
    <w:uiPriority w:val="0"/>
    <w:pPr>
      <w:widowControl/>
      <w:pBdr>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263">
    <w:name w:val="xl63"/>
    <w:basedOn w:val="1"/>
    <w:qFormat/>
    <w:uiPriority w:val="0"/>
    <w:pPr>
      <w:widowControl/>
      <w:pBdr>
        <w:top w:val="single" w:color="auto" w:sz="8" w:space="0"/>
        <w:bottom w:val="single" w:color="auto" w:sz="4" w:space="0"/>
        <w:right w:val="single" w:color="auto" w:sz="4" w:space="0"/>
      </w:pBdr>
      <w:spacing w:before="100" w:beforeAutospacing="1" w:after="100" w:afterAutospacing="1" w:line="240" w:lineRule="auto"/>
      <w:ind w:firstLine="0" w:firstLineChars="0"/>
    </w:pPr>
    <w:rPr>
      <w:rFonts w:eastAsia="Arial Unicode MS"/>
      <w:kern w:val="0"/>
      <w:sz w:val="18"/>
      <w:szCs w:val="18"/>
    </w:rPr>
  </w:style>
  <w:style w:type="paragraph" w:customStyle="1" w:styleId="264">
    <w:name w:val="表芯"/>
    <w:basedOn w:val="1"/>
    <w:next w:val="1"/>
    <w:qFormat/>
    <w:uiPriority w:val="0"/>
    <w:pPr>
      <w:keepNext/>
      <w:adjustRightInd w:val="0"/>
      <w:spacing w:before="20" w:line="0" w:lineRule="atLeast"/>
      <w:ind w:firstLine="0" w:firstLineChars="0"/>
      <w:jc w:val="center"/>
      <w:textAlignment w:val="baseline"/>
    </w:pPr>
    <w:rPr>
      <w:kern w:val="21"/>
      <w:sz w:val="21"/>
      <w:szCs w:val="20"/>
    </w:rPr>
  </w:style>
  <w:style w:type="paragraph" w:customStyle="1" w:styleId="265">
    <w:name w:val="样式7"/>
    <w:basedOn w:val="1"/>
    <w:link w:val="996"/>
    <w:qFormat/>
    <w:uiPriority w:val="0"/>
    <w:pPr>
      <w:spacing w:line="460" w:lineRule="exact"/>
      <w:ind w:firstLine="0" w:firstLineChars="0"/>
    </w:pPr>
    <w:rPr>
      <w:sz w:val="21"/>
      <w:szCs w:val="21"/>
    </w:rPr>
  </w:style>
  <w:style w:type="paragraph" w:customStyle="1" w:styleId="266">
    <w:name w:val="表格内容"/>
    <w:basedOn w:val="1"/>
    <w:qFormat/>
    <w:uiPriority w:val="0"/>
    <w:pPr>
      <w:adjustRightInd w:val="0"/>
      <w:snapToGrid w:val="0"/>
      <w:spacing w:line="240" w:lineRule="auto"/>
      <w:ind w:firstLine="0" w:firstLineChars="0"/>
      <w:jc w:val="center"/>
    </w:pPr>
    <w:rPr>
      <w:rFonts w:ascii="宋体" w:hAnsi="宋体"/>
      <w:snapToGrid w:val="0"/>
      <w:kern w:val="0"/>
      <w:sz w:val="21"/>
      <w:szCs w:val="24"/>
    </w:rPr>
  </w:style>
  <w:style w:type="paragraph" w:customStyle="1" w:styleId="267">
    <w:name w:val="4"/>
    <w:basedOn w:val="1"/>
    <w:next w:val="35"/>
    <w:qFormat/>
    <w:uiPriority w:val="0"/>
    <w:pPr>
      <w:spacing w:line="100" w:lineRule="atLeast"/>
      <w:ind w:firstLine="560"/>
    </w:pPr>
    <w:rPr>
      <w:sz w:val="28"/>
      <w:szCs w:val="24"/>
    </w:rPr>
  </w:style>
  <w:style w:type="paragraph" w:customStyle="1" w:styleId="268">
    <w:name w:val="样式7 Char"/>
    <w:basedOn w:val="184"/>
    <w:qFormat/>
    <w:uiPriority w:val="0"/>
  </w:style>
  <w:style w:type="paragraph" w:customStyle="1" w:styleId="269">
    <w:name w:val="表格1"/>
    <w:basedOn w:val="1"/>
    <w:qFormat/>
    <w:uiPriority w:val="0"/>
    <w:pPr>
      <w:adjustRightInd w:val="0"/>
      <w:spacing w:line="20" w:lineRule="atLeast"/>
      <w:ind w:firstLine="0" w:firstLineChars="0"/>
      <w:jc w:val="center"/>
      <w:textAlignment w:val="center"/>
    </w:pPr>
    <w:rPr>
      <w:rFonts w:ascii="宋体"/>
      <w:kern w:val="0"/>
      <w:sz w:val="21"/>
      <w:szCs w:val="20"/>
    </w:rPr>
  </w:style>
  <w:style w:type="paragraph" w:customStyle="1" w:styleId="270">
    <w:name w:val="xl67"/>
    <w:basedOn w:val="1"/>
    <w:qFormat/>
    <w:uiPriority w:val="0"/>
    <w:pPr>
      <w:widowControl/>
      <w:pBdr>
        <w:bottom w:val="single" w:color="auto" w:sz="8" w:space="0"/>
        <w:right w:val="single" w:color="auto" w:sz="4" w:space="0"/>
      </w:pBdr>
      <w:spacing w:before="100" w:beforeAutospacing="1" w:after="100" w:afterAutospacing="1" w:line="240" w:lineRule="auto"/>
      <w:ind w:firstLine="0" w:firstLineChars="0"/>
      <w:textAlignment w:val="top"/>
    </w:pPr>
    <w:rPr>
      <w:rFonts w:ascii="Arial Unicode MS" w:hAnsi="Arial Unicode MS" w:eastAsia="Arial Unicode MS" w:cs="Arial Unicode MS"/>
      <w:kern w:val="0"/>
      <w:sz w:val="18"/>
      <w:szCs w:val="18"/>
    </w:rPr>
  </w:style>
  <w:style w:type="paragraph" w:customStyle="1" w:styleId="271">
    <w:name w:val="xl55"/>
    <w:basedOn w:val="1"/>
    <w:qFormat/>
    <w:uiPriority w:val="0"/>
    <w:pPr>
      <w:widowControl/>
      <w:pBdr>
        <w:top w:val="single" w:color="auto" w:sz="8" w:space="0"/>
        <w:bottom w:val="single" w:color="auto" w:sz="4" w:space="0"/>
        <w:right w:val="single" w:color="auto" w:sz="4" w:space="0"/>
      </w:pBdr>
      <w:spacing w:before="100" w:beforeAutospacing="1" w:after="100" w:afterAutospacing="1" w:line="240" w:lineRule="auto"/>
      <w:ind w:firstLine="0" w:firstLineChars="0"/>
      <w:jc w:val="center"/>
    </w:pPr>
    <w:rPr>
      <w:rFonts w:eastAsia="Arial Unicode MS"/>
      <w:kern w:val="0"/>
      <w:sz w:val="18"/>
      <w:szCs w:val="18"/>
    </w:rPr>
  </w:style>
  <w:style w:type="paragraph" w:customStyle="1" w:styleId="272">
    <w:name w:val="w正文"/>
    <w:basedOn w:val="1"/>
    <w:qFormat/>
    <w:uiPriority w:val="0"/>
    <w:pPr>
      <w:ind w:firstLine="496"/>
    </w:pPr>
    <w:rPr>
      <w:spacing w:val="4"/>
      <w:szCs w:val="20"/>
    </w:rPr>
  </w:style>
  <w:style w:type="paragraph" w:customStyle="1" w:styleId="273">
    <w:name w:val="表号"/>
    <w:basedOn w:val="1"/>
    <w:link w:val="390"/>
    <w:qFormat/>
    <w:uiPriority w:val="0"/>
    <w:pPr>
      <w:overflowPunct w:val="0"/>
      <w:topLinePunct/>
      <w:spacing w:line="240" w:lineRule="auto"/>
      <w:ind w:firstLine="420"/>
      <w:outlineLvl w:val="5"/>
    </w:pPr>
    <w:rPr>
      <w:sz w:val="21"/>
      <w:szCs w:val="24"/>
    </w:rPr>
  </w:style>
  <w:style w:type="paragraph" w:customStyle="1" w:styleId="274">
    <w:name w:val="xl4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eastAsia="Arial Unicode MS"/>
      <w:kern w:val="0"/>
      <w:sz w:val="18"/>
      <w:szCs w:val="18"/>
    </w:rPr>
  </w:style>
  <w:style w:type="paragraph" w:customStyle="1" w:styleId="275">
    <w:name w:val="_Style 72"/>
    <w:next w:val="1"/>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276">
    <w:name w:val="xl68"/>
    <w:basedOn w:val="1"/>
    <w:qFormat/>
    <w:uiPriority w:val="0"/>
    <w:pPr>
      <w:widowControl/>
      <w:pBdr>
        <w:top w:val="single" w:color="auto" w:sz="8" w:space="0"/>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277">
    <w:name w:val="Char6"/>
    <w:basedOn w:val="1"/>
    <w:qFormat/>
    <w:uiPriority w:val="0"/>
    <w:pPr>
      <w:spacing w:line="240" w:lineRule="auto"/>
      <w:ind w:firstLine="0" w:firstLineChars="0"/>
      <w:jc w:val="left"/>
    </w:pPr>
    <w:rPr>
      <w:rFonts w:ascii="宋体" w:hAnsi="宋体" w:eastAsia="仿宋_GB2312" w:cs="宋体"/>
      <w:b/>
      <w:sz w:val="44"/>
      <w:szCs w:val="44"/>
    </w:rPr>
  </w:style>
  <w:style w:type="paragraph" w:customStyle="1" w:styleId="278">
    <w:name w:val="Char Char Char Char Char Char1 Char Char Char Char"/>
    <w:basedOn w:val="1"/>
    <w:qFormat/>
    <w:uiPriority w:val="0"/>
    <w:rPr>
      <w:rFonts w:ascii="宋体" w:hAnsi="宋体" w:cs="宋体"/>
      <w:szCs w:val="24"/>
    </w:rPr>
  </w:style>
  <w:style w:type="paragraph" w:customStyle="1" w:styleId="279">
    <w:name w:val="（1）"/>
    <w:basedOn w:val="1"/>
    <w:qFormat/>
    <w:uiPriority w:val="0"/>
    <w:pPr>
      <w:spacing w:beforeLines="50" w:afterLines="50" w:line="400" w:lineRule="exact"/>
    </w:pPr>
    <w:rPr>
      <w:rFonts w:ascii="仿宋_GB2312" w:eastAsia="楷体_GB2312"/>
      <w:b/>
      <w:bCs/>
      <w:sz w:val="28"/>
      <w:szCs w:val="28"/>
    </w:rPr>
  </w:style>
  <w:style w:type="paragraph" w:customStyle="1" w:styleId="280">
    <w:name w:val="正文1"/>
    <w:basedOn w:val="1"/>
    <w:link w:val="724"/>
    <w:qFormat/>
    <w:uiPriority w:val="0"/>
    <w:pPr>
      <w:autoSpaceDE w:val="0"/>
      <w:autoSpaceDN w:val="0"/>
      <w:adjustRightInd w:val="0"/>
      <w:snapToGrid w:val="0"/>
      <w:ind w:firstLine="422"/>
      <w:jc w:val="center"/>
    </w:pPr>
    <w:rPr>
      <w:b/>
      <w:sz w:val="21"/>
      <w:szCs w:val="21"/>
    </w:rPr>
  </w:style>
  <w:style w:type="paragraph" w:customStyle="1" w:styleId="281">
    <w:name w:val="xl23"/>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kern w:val="0"/>
      <w:sz w:val="18"/>
      <w:szCs w:val="18"/>
    </w:rPr>
  </w:style>
  <w:style w:type="paragraph" w:customStyle="1" w:styleId="282">
    <w:name w:val="1 Char"/>
    <w:basedOn w:val="1"/>
    <w:semiHidden/>
    <w:qFormat/>
    <w:uiPriority w:val="0"/>
    <w:pPr>
      <w:spacing w:line="240" w:lineRule="auto"/>
      <w:ind w:firstLine="0" w:firstLineChars="0"/>
    </w:pPr>
    <w:rPr>
      <w:sz w:val="21"/>
      <w:szCs w:val="24"/>
    </w:rPr>
  </w:style>
  <w:style w:type="paragraph" w:styleId="283">
    <w:name w:val="List Paragraph"/>
    <w:basedOn w:val="1"/>
    <w:qFormat/>
    <w:uiPriority w:val="34"/>
    <w:pPr>
      <w:spacing w:line="240" w:lineRule="auto"/>
      <w:ind w:firstLine="420"/>
    </w:pPr>
    <w:rPr>
      <w:sz w:val="21"/>
      <w:szCs w:val="24"/>
    </w:rPr>
  </w:style>
  <w:style w:type="paragraph" w:customStyle="1" w:styleId="284">
    <w:name w:val="xl72"/>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top"/>
    </w:pPr>
    <w:rPr>
      <w:rFonts w:ascii="Arial Unicode MS" w:hAnsi="Arial Unicode MS" w:eastAsia="Arial Unicode MS" w:cs="Arial Unicode MS"/>
      <w:kern w:val="0"/>
      <w:sz w:val="18"/>
      <w:szCs w:val="18"/>
    </w:rPr>
  </w:style>
  <w:style w:type="paragraph" w:customStyle="1" w:styleId="285">
    <w:name w:val="1"/>
    <w:basedOn w:val="1"/>
    <w:qFormat/>
    <w:uiPriority w:val="0"/>
    <w:pPr>
      <w:spacing w:beforeLines="100" w:afterLines="50" w:line="500" w:lineRule="exact"/>
      <w:ind w:firstLine="0" w:firstLineChars="0"/>
      <w:jc w:val="center"/>
    </w:pPr>
    <w:rPr>
      <w:rFonts w:ascii="方正姚体" w:eastAsia="方正姚体"/>
      <w:b/>
      <w:bCs/>
      <w:kern w:val="0"/>
      <w:sz w:val="36"/>
      <w:szCs w:val="36"/>
    </w:rPr>
  </w:style>
  <w:style w:type="paragraph" w:customStyle="1" w:styleId="286">
    <w:name w:val="正文缩进（自定义） Char"/>
    <w:basedOn w:val="1"/>
    <w:qFormat/>
    <w:uiPriority w:val="0"/>
    <w:pPr>
      <w:spacing w:before="120" w:after="120"/>
      <w:ind w:firstLine="480"/>
    </w:pPr>
    <w:rPr>
      <w:rFonts w:ascii="Century Gothic" w:hAnsi="Century Gothic" w:cs="宋体"/>
      <w:kern w:val="0"/>
      <w:szCs w:val="24"/>
    </w:rPr>
  </w:style>
  <w:style w:type="paragraph" w:customStyle="1" w:styleId="287">
    <w:name w:val="图表文字"/>
    <w:basedOn w:val="1"/>
    <w:next w:val="1"/>
    <w:qFormat/>
    <w:uiPriority w:val="0"/>
    <w:pPr>
      <w:adjustRightInd w:val="0"/>
      <w:snapToGrid w:val="0"/>
      <w:spacing w:line="240" w:lineRule="auto"/>
      <w:ind w:firstLine="0" w:firstLineChars="0"/>
      <w:jc w:val="center"/>
    </w:pPr>
    <w:rPr>
      <w:rFonts w:eastAsia="仿宋_GB2312"/>
      <w:szCs w:val="24"/>
    </w:rPr>
  </w:style>
  <w:style w:type="paragraph" w:customStyle="1" w:styleId="288">
    <w:name w:val="样式8"/>
    <w:basedOn w:val="232"/>
    <w:qFormat/>
    <w:uiPriority w:val="0"/>
    <w:pPr>
      <w:spacing w:line="300" w:lineRule="exact"/>
      <w:outlineLvl w:val="9"/>
    </w:pPr>
    <w:rPr>
      <w:sz w:val="21"/>
      <w:szCs w:val="21"/>
    </w:rPr>
  </w:style>
  <w:style w:type="paragraph" w:customStyle="1" w:styleId="289">
    <w:name w:val="font7"/>
    <w:basedOn w:val="1"/>
    <w:qFormat/>
    <w:uiPriority w:val="0"/>
    <w:pPr>
      <w:widowControl/>
      <w:spacing w:before="100" w:beforeAutospacing="1" w:after="100" w:afterAutospacing="1" w:line="240" w:lineRule="auto"/>
      <w:ind w:firstLine="0" w:firstLineChars="0"/>
      <w:jc w:val="left"/>
    </w:pPr>
    <w:rPr>
      <w:rFonts w:eastAsia="Arial Unicode MS"/>
      <w:kern w:val="0"/>
      <w:sz w:val="20"/>
      <w:szCs w:val="20"/>
    </w:rPr>
  </w:style>
  <w:style w:type="paragraph" w:customStyle="1" w:styleId="290">
    <w:name w:val="Char Char Char Char Char Char Char Char Char"/>
    <w:basedOn w:val="1"/>
    <w:qFormat/>
    <w:uiPriority w:val="0"/>
    <w:pPr>
      <w:spacing w:line="240" w:lineRule="auto"/>
      <w:ind w:firstLine="0" w:firstLineChars="0"/>
    </w:pPr>
    <w:rPr>
      <w:rFonts w:eastAsia="仿宋_GB2312"/>
      <w:sz w:val="32"/>
      <w:szCs w:val="32"/>
    </w:rPr>
  </w:style>
  <w:style w:type="paragraph" w:customStyle="1" w:styleId="291">
    <w:name w:val="标题3"/>
    <w:basedOn w:val="1"/>
    <w:qFormat/>
    <w:uiPriority w:val="0"/>
    <w:pPr>
      <w:ind w:firstLine="0" w:firstLineChars="0"/>
      <w:outlineLvl w:val="2"/>
    </w:pPr>
    <w:rPr>
      <w:rFonts w:eastAsia="黑体"/>
      <w:b/>
      <w:bCs/>
      <w:kern w:val="10"/>
      <w:sz w:val="28"/>
      <w:szCs w:val="28"/>
    </w:rPr>
  </w:style>
  <w:style w:type="paragraph" w:customStyle="1" w:styleId="292">
    <w:name w:val="xl46"/>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textAlignment w:val="top"/>
    </w:pPr>
    <w:rPr>
      <w:rFonts w:ascii="Arial Unicode MS" w:hAnsi="Arial Unicode MS" w:eastAsia="Arial Unicode MS" w:cs="Arial Unicode MS"/>
      <w:color w:val="000000"/>
      <w:kern w:val="0"/>
      <w:szCs w:val="24"/>
    </w:rPr>
  </w:style>
  <w:style w:type="paragraph" w:customStyle="1" w:styleId="293">
    <w:name w:val="xyb自建正文"/>
    <w:basedOn w:val="1"/>
    <w:link w:val="450"/>
    <w:qFormat/>
    <w:uiPriority w:val="0"/>
    <w:pPr>
      <w:adjustRightInd w:val="0"/>
      <w:snapToGrid w:val="0"/>
      <w:spacing w:line="620" w:lineRule="exact"/>
      <w:ind w:firstLine="1400" w:firstLineChars="500"/>
      <w:textAlignment w:val="baseline"/>
    </w:pPr>
    <w:rPr>
      <w:rFonts w:ascii="宋体" w:hAnsi="宋体"/>
      <w:i/>
      <w:kern w:val="0"/>
      <w:sz w:val="28"/>
      <w:szCs w:val="28"/>
    </w:rPr>
  </w:style>
  <w:style w:type="paragraph" w:customStyle="1" w:styleId="294">
    <w:name w:val="font10"/>
    <w:basedOn w:val="1"/>
    <w:qFormat/>
    <w:uiPriority w:val="0"/>
    <w:pPr>
      <w:widowControl/>
      <w:spacing w:before="100" w:beforeAutospacing="1" w:after="100" w:afterAutospacing="1" w:line="240" w:lineRule="auto"/>
      <w:ind w:firstLine="0" w:firstLineChars="0"/>
      <w:jc w:val="left"/>
    </w:pPr>
    <w:rPr>
      <w:rFonts w:eastAsia="Arial Unicode MS"/>
      <w:kern w:val="0"/>
      <w:sz w:val="18"/>
      <w:szCs w:val="18"/>
    </w:rPr>
  </w:style>
  <w:style w:type="paragraph" w:customStyle="1" w:styleId="295">
    <w:name w:val="一、"/>
    <w:basedOn w:val="1"/>
    <w:qFormat/>
    <w:uiPriority w:val="0"/>
    <w:pPr>
      <w:spacing w:beforeLines="50" w:afterLines="50" w:line="480" w:lineRule="exact"/>
      <w:ind w:firstLine="562"/>
      <w:jc w:val="center"/>
    </w:pPr>
    <w:rPr>
      <w:rFonts w:ascii="仿宋_GB2312" w:eastAsia="黑体"/>
      <w:b/>
      <w:bCs/>
      <w:sz w:val="28"/>
      <w:szCs w:val="28"/>
    </w:rPr>
  </w:style>
  <w:style w:type="paragraph" w:customStyle="1" w:styleId="296">
    <w:name w:val="Char Char Char1 Char"/>
    <w:basedOn w:val="1"/>
    <w:qFormat/>
    <w:uiPriority w:val="0"/>
    <w:rPr>
      <w:rFonts w:ascii="宋体" w:hAnsi="宋体" w:cs="宋体"/>
      <w:szCs w:val="24"/>
    </w:rPr>
  </w:style>
  <w:style w:type="paragraph" w:customStyle="1" w:styleId="297">
    <w:name w:val="xl54"/>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Arial Unicode MS" w:hAnsi="Arial Unicode MS" w:eastAsia="Arial Unicode MS" w:cs="Arial Unicode MS"/>
      <w:kern w:val="0"/>
      <w:sz w:val="18"/>
      <w:szCs w:val="18"/>
    </w:rPr>
  </w:style>
  <w:style w:type="paragraph" w:customStyle="1" w:styleId="298">
    <w:name w:val="Char Char Char Char Char Char1 Char Char Char1 Char Char Char Char Char Char Char"/>
    <w:basedOn w:val="1"/>
    <w:qFormat/>
    <w:uiPriority w:val="0"/>
    <w:rPr>
      <w:rFonts w:ascii="宋体" w:hAnsi="宋体" w:cs="宋体"/>
      <w:szCs w:val="24"/>
    </w:rPr>
  </w:style>
  <w:style w:type="paragraph" w:customStyle="1" w:styleId="299">
    <w:name w:val="正文一"/>
    <w:basedOn w:val="1"/>
    <w:qFormat/>
    <w:uiPriority w:val="0"/>
    <w:pPr>
      <w:adjustRightInd w:val="0"/>
      <w:spacing w:line="520" w:lineRule="exact"/>
      <w:textAlignment w:val="baseline"/>
    </w:pPr>
    <w:rPr>
      <w:rFonts w:ascii="宋体" w:hAnsi="宋体"/>
      <w:kern w:val="0"/>
      <w:szCs w:val="24"/>
    </w:rPr>
  </w:style>
  <w:style w:type="paragraph" w:customStyle="1" w:styleId="300">
    <w:name w:val="font0"/>
    <w:basedOn w:val="1"/>
    <w:qFormat/>
    <w:uiPriority w:val="0"/>
    <w:pPr>
      <w:widowControl/>
      <w:spacing w:before="100" w:beforeAutospacing="1" w:after="100" w:afterAutospacing="1" w:line="240" w:lineRule="auto"/>
      <w:ind w:firstLine="0" w:firstLineChars="0"/>
      <w:jc w:val="left"/>
    </w:pPr>
    <w:rPr>
      <w:rFonts w:hint="eastAsia" w:ascii="宋体" w:hAnsi="宋体"/>
      <w:kern w:val="0"/>
      <w:szCs w:val="24"/>
    </w:rPr>
  </w:style>
  <w:style w:type="paragraph" w:customStyle="1" w:styleId="301">
    <w:name w:val="列出段落1"/>
    <w:basedOn w:val="1"/>
    <w:next w:val="1"/>
    <w:qFormat/>
    <w:uiPriority w:val="0"/>
    <w:pPr>
      <w:spacing w:line="240" w:lineRule="auto"/>
      <w:ind w:firstLine="0" w:firstLineChars="0"/>
      <w:jc w:val="center"/>
    </w:pPr>
    <w:rPr>
      <w:b/>
      <w:sz w:val="21"/>
    </w:rPr>
  </w:style>
  <w:style w:type="paragraph" w:customStyle="1" w:styleId="302">
    <w:name w:val="xl61"/>
    <w:basedOn w:val="1"/>
    <w:qFormat/>
    <w:uiPriority w:val="0"/>
    <w:pPr>
      <w:widowControl/>
      <w:pBdr>
        <w:bottom w:val="single" w:color="auto" w:sz="4" w:space="0"/>
      </w:pBdr>
      <w:spacing w:before="100" w:beforeAutospacing="1" w:after="100" w:afterAutospacing="1" w:line="240" w:lineRule="auto"/>
      <w:ind w:firstLine="0" w:firstLineChars="0"/>
      <w:jc w:val="center"/>
    </w:pPr>
    <w:rPr>
      <w:rFonts w:eastAsia="Arial Unicode MS"/>
      <w:kern w:val="0"/>
      <w:sz w:val="15"/>
      <w:szCs w:val="15"/>
    </w:rPr>
  </w:style>
  <w:style w:type="paragraph" w:styleId="303">
    <w:name w:val="No Spacing"/>
    <w:qFormat/>
    <w:uiPriority w:val="0"/>
    <w:pPr>
      <w:keepNext/>
      <w:widowControl w:val="0"/>
      <w:spacing w:line="360" w:lineRule="auto"/>
      <w:jc w:val="center"/>
    </w:pPr>
    <w:rPr>
      <w:rFonts w:ascii="Times New Roman" w:hAnsi="Times New Roman" w:eastAsia="宋体" w:cs="Times New Roman"/>
      <w:b/>
      <w:kern w:val="2"/>
      <w:sz w:val="21"/>
      <w:szCs w:val="22"/>
      <w:lang w:val="en-US" w:eastAsia="zh-CN" w:bidi="ar-SA"/>
    </w:rPr>
  </w:style>
  <w:style w:type="paragraph" w:customStyle="1" w:styleId="304">
    <w:name w:val="font6"/>
    <w:basedOn w:val="1"/>
    <w:qFormat/>
    <w:uiPriority w:val="0"/>
    <w:pPr>
      <w:widowControl/>
      <w:spacing w:before="100" w:beforeAutospacing="1" w:after="100" w:afterAutospacing="1" w:line="240" w:lineRule="auto"/>
      <w:ind w:firstLine="0" w:firstLineChars="0"/>
      <w:jc w:val="left"/>
    </w:pPr>
    <w:rPr>
      <w:rFonts w:hint="eastAsia" w:ascii="宋体" w:hAnsi="宋体" w:cs="Arial Unicode MS"/>
      <w:kern w:val="0"/>
      <w:sz w:val="20"/>
      <w:szCs w:val="20"/>
    </w:rPr>
  </w:style>
  <w:style w:type="paragraph" w:customStyle="1" w:styleId="305">
    <w:name w:val="xyb自建表格名称"/>
    <w:basedOn w:val="1"/>
    <w:qFormat/>
    <w:uiPriority w:val="0"/>
    <w:pPr>
      <w:ind w:firstLine="0" w:firstLineChars="0"/>
      <w:jc w:val="center"/>
    </w:pPr>
    <w:rPr>
      <w:rFonts w:ascii="宋体" w:hAnsi="宋体"/>
      <w:szCs w:val="24"/>
    </w:rPr>
  </w:style>
  <w:style w:type="paragraph" w:customStyle="1" w:styleId="306">
    <w:name w:val="Char Char Char1"/>
    <w:basedOn w:val="1"/>
    <w:qFormat/>
    <w:uiPriority w:val="0"/>
    <w:rPr>
      <w:rFonts w:ascii="宋体" w:hAnsi="宋体" w:cs="宋体"/>
      <w:szCs w:val="24"/>
    </w:rPr>
  </w:style>
  <w:style w:type="paragraph" w:customStyle="1" w:styleId="307">
    <w:name w:val="font11"/>
    <w:basedOn w:val="1"/>
    <w:qFormat/>
    <w:uiPriority w:val="0"/>
    <w:pPr>
      <w:widowControl/>
      <w:spacing w:before="100" w:beforeAutospacing="1" w:after="100" w:afterAutospacing="1" w:line="240" w:lineRule="auto"/>
      <w:ind w:firstLine="0" w:firstLineChars="0"/>
      <w:jc w:val="left"/>
    </w:pPr>
    <w:rPr>
      <w:rFonts w:hint="eastAsia" w:ascii="宋体" w:hAnsi="宋体" w:cs="Arial Unicode MS"/>
      <w:color w:val="000000"/>
      <w:kern w:val="0"/>
      <w:sz w:val="22"/>
    </w:rPr>
  </w:style>
  <w:style w:type="paragraph" w:customStyle="1" w:styleId="308">
    <w:name w:val="可研正文"/>
    <w:basedOn w:val="1"/>
    <w:qFormat/>
    <w:uiPriority w:val="0"/>
    <w:pPr>
      <w:ind w:firstLine="560"/>
    </w:pPr>
    <w:rPr>
      <w:rFonts w:ascii="宋体" w:hAnsi="宋体" w:cs="宋体"/>
      <w:sz w:val="28"/>
      <w:szCs w:val="20"/>
    </w:rPr>
  </w:style>
  <w:style w:type="paragraph" w:customStyle="1" w:styleId="309">
    <w:name w:val="xl65"/>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top"/>
    </w:pPr>
    <w:rPr>
      <w:rFonts w:ascii="Arial Unicode MS" w:hAnsi="Arial Unicode MS" w:eastAsia="Arial Unicode MS" w:cs="Arial Unicode MS"/>
      <w:kern w:val="0"/>
      <w:sz w:val="18"/>
      <w:szCs w:val="18"/>
    </w:rPr>
  </w:style>
  <w:style w:type="paragraph" w:customStyle="1" w:styleId="310">
    <w:name w:val="xl51"/>
    <w:basedOn w:val="1"/>
    <w:qFormat/>
    <w:uiPriority w:val="0"/>
    <w:pPr>
      <w:widowControl/>
      <w:pBdr>
        <w:top w:val="single" w:color="auto" w:sz="4" w:space="0"/>
        <w:right w:val="single" w:color="auto" w:sz="4" w:space="0"/>
      </w:pBdr>
      <w:spacing w:before="100" w:beforeAutospacing="1" w:after="100" w:afterAutospacing="1" w:line="240" w:lineRule="auto"/>
      <w:ind w:firstLine="0" w:firstLineChars="0"/>
      <w:jc w:val="center"/>
    </w:pPr>
    <w:rPr>
      <w:rFonts w:hint="eastAsia" w:ascii="新宋体" w:hAnsi="新宋体" w:eastAsia="新宋体" w:cs="Arial Unicode MS"/>
      <w:kern w:val="0"/>
      <w:sz w:val="18"/>
      <w:szCs w:val="18"/>
    </w:rPr>
  </w:style>
  <w:style w:type="paragraph" w:customStyle="1" w:styleId="311">
    <w:name w:val="6"/>
    <w:basedOn w:val="1"/>
    <w:next w:val="35"/>
    <w:qFormat/>
    <w:uiPriority w:val="0"/>
    <w:pPr>
      <w:autoSpaceDE w:val="0"/>
      <w:autoSpaceDN w:val="0"/>
      <w:adjustRightInd w:val="0"/>
      <w:spacing w:line="440" w:lineRule="exact"/>
      <w:ind w:firstLine="482" w:firstLineChars="0"/>
      <w:textAlignment w:val="baseline"/>
    </w:pPr>
    <w:rPr>
      <w:rFonts w:ascii="宋体"/>
      <w:kern w:val="0"/>
      <w:szCs w:val="20"/>
    </w:rPr>
  </w:style>
  <w:style w:type="paragraph" w:customStyle="1" w:styleId="312">
    <w:name w:val="样式3"/>
    <w:basedOn w:val="4"/>
    <w:qFormat/>
    <w:uiPriority w:val="0"/>
    <w:pPr>
      <w:spacing w:beforeLines="50" w:afterLines="50" w:line="460" w:lineRule="exact"/>
      <w:jc w:val="center"/>
    </w:pPr>
    <w:rPr>
      <w:rFonts w:hAnsi="宋体" w:eastAsia="宋体"/>
      <w:szCs w:val="24"/>
    </w:rPr>
  </w:style>
  <w:style w:type="paragraph" w:customStyle="1" w:styleId="313">
    <w:name w:val="(1)"/>
    <w:basedOn w:val="1"/>
    <w:qFormat/>
    <w:uiPriority w:val="0"/>
    <w:pPr>
      <w:spacing w:line="500" w:lineRule="atLeast"/>
    </w:pPr>
    <w:rPr>
      <w:b/>
      <w:bCs/>
      <w:szCs w:val="24"/>
    </w:rPr>
  </w:style>
  <w:style w:type="paragraph" w:customStyle="1" w:styleId="314">
    <w:name w:val="xl5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pPr>
    <w:rPr>
      <w:rFonts w:ascii="Arial Unicode MS" w:hAnsi="Arial Unicode MS" w:eastAsia="Arial Unicode MS" w:cs="Arial Unicode MS"/>
      <w:kern w:val="0"/>
      <w:sz w:val="18"/>
      <w:szCs w:val="18"/>
    </w:rPr>
  </w:style>
  <w:style w:type="paragraph" w:customStyle="1" w:styleId="315">
    <w:name w:val="XCHG论文正文"/>
    <w:basedOn w:val="1"/>
    <w:qFormat/>
    <w:uiPriority w:val="0"/>
    <w:pPr>
      <w:tabs>
        <w:tab w:val="left" w:pos="1890"/>
      </w:tabs>
      <w:spacing w:line="288" w:lineRule="auto"/>
      <w:ind w:firstLine="480"/>
    </w:pPr>
    <w:rPr>
      <w:color w:val="000000"/>
      <w:szCs w:val="24"/>
    </w:rPr>
  </w:style>
  <w:style w:type="paragraph" w:customStyle="1" w:styleId="316">
    <w:name w:val="2"/>
    <w:basedOn w:val="1"/>
    <w:next w:val="35"/>
    <w:qFormat/>
    <w:uiPriority w:val="0"/>
    <w:pPr>
      <w:spacing w:line="240" w:lineRule="auto"/>
      <w:ind w:firstLine="560"/>
    </w:pPr>
    <w:rPr>
      <w:rFonts w:ascii="仿宋_GB2312" w:eastAsia="仿宋_GB2312"/>
      <w:kern w:val="30"/>
      <w:sz w:val="28"/>
      <w:szCs w:val="30"/>
    </w:rPr>
  </w:style>
  <w:style w:type="paragraph" w:customStyle="1" w:styleId="317">
    <w:name w:val="样式 四号 加粗 居中 行距: 1.5 倍行距"/>
    <w:basedOn w:val="1"/>
    <w:qFormat/>
    <w:uiPriority w:val="0"/>
    <w:pPr>
      <w:jc w:val="center"/>
    </w:pPr>
    <w:rPr>
      <w:rFonts w:cs="宋体"/>
      <w:b/>
      <w:bCs/>
      <w:sz w:val="28"/>
      <w:szCs w:val="20"/>
    </w:rPr>
  </w:style>
  <w:style w:type="paragraph" w:customStyle="1" w:styleId="318">
    <w:name w:val="xl53"/>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pPr>
    <w:rPr>
      <w:rFonts w:ascii="Arial Unicode MS" w:hAnsi="Arial Unicode MS" w:eastAsia="Arial Unicode MS" w:cs="Arial Unicode MS"/>
      <w:kern w:val="0"/>
      <w:sz w:val="18"/>
      <w:szCs w:val="18"/>
    </w:rPr>
  </w:style>
  <w:style w:type="paragraph" w:customStyle="1" w:styleId="319">
    <w:name w:val="五号 居中"/>
    <w:basedOn w:val="1"/>
    <w:qFormat/>
    <w:uiPriority w:val="0"/>
    <w:pPr>
      <w:adjustRightInd w:val="0"/>
      <w:spacing w:line="480" w:lineRule="exact"/>
      <w:ind w:right="113" w:firstLine="0" w:firstLineChars="0"/>
      <w:jc w:val="center"/>
      <w:outlineLvl w:val="5"/>
    </w:pPr>
    <w:rPr>
      <w:szCs w:val="21"/>
    </w:rPr>
  </w:style>
  <w:style w:type="character" w:customStyle="1" w:styleId="320">
    <w:name w:val="【正文】 Char"/>
    <w:link w:val="321"/>
    <w:qFormat/>
    <w:uiPriority w:val="0"/>
    <w:rPr>
      <w:kern w:val="2"/>
      <w:sz w:val="24"/>
    </w:rPr>
  </w:style>
  <w:style w:type="paragraph" w:customStyle="1" w:styleId="321">
    <w:name w:val="【正文】"/>
    <w:basedOn w:val="1"/>
    <w:link w:val="320"/>
    <w:qFormat/>
    <w:uiPriority w:val="0"/>
    <w:pPr>
      <w:spacing w:line="440" w:lineRule="exact"/>
      <w:ind w:firstLine="544"/>
    </w:pPr>
    <w:rPr>
      <w:rFonts w:ascii="Calibri" w:hAnsi="Calibri"/>
      <w:szCs w:val="20"/>
    </w:rPr>
  </w:style>
  <w:style w:type="character" w:customStyle="1" w:styleId="322">
    <w:name w:val="表格样式 Char"/>
    <w:link w:val="323"/>
    <w:qFormat/>
    <w:uiPriority w:val="0"/>
    <w:rPr>
      <w:rFonts w:ascii="宋体" w:hAnsi="宋体"/>
      <w:kern w:val="2"/>
      <w:sz w:val="24"/>
      <w:szCs w:val="21"/>
    </w:rPr>
  </w:style>
  <w:style w:type="paragraph" w:customStyle="1" w:styleId="323">
    <w:name w:val="表格样式"/>
    <w:link w:val="322"/>
    <w:qFormat/>
    <w:uiPriority w:val="0"/>
    <w:pPr>
      <w:wordWrap w:val="0"/>
      <w:snapToGrid w:val="0"/>
      <w:jc w:val="center"/>
      <w:textAlignment w:val="center"/>
    </w:pPr>
    <w:rPr>
      <w:rFonts w:ascii="宋体" w:hAnsi="宋体" w:eastAsia="宋体" w:cs="Times New Roman"/>
      <w:kern w:val="2"/>
      <w:sz w:val="24"/>
      <w:szCs w:val="21"/>
      <w:lang w:val="en-US" w:eastAsia="zh-CN" w:bidi="ar-SA"/>
    </w:rPr>
  </w:style>
  <w:style w:type="character" w:customStyle="1" w:styleId="324">
    <w:name w:val="表头-水保 Char"/>
    <w:link w:val="325"/>
    <w:qFormat/>
    <w:uiPriority w:val="1"/>
    <w:rPr>
      <w:b/>
      <w:color w:val="000000"/>
      <w:sz w:val="21"/>
    </w:rPr>
  </w:style>
  <w:style w:type="paragraph" w:customStyle="1" w:styleId="325">
    <w:name w:val="表头-水保"/>
    <w:link w:val="324"/>
    <w:qFormat/>
    <w:uiPriority w:val="1"/>
    <w:pPr>
      <w:keepNext/>
      <w:jc w:val="center"/>
    </w:pPr>
    <w:rPr>
      <w:rFonts w:ascii="Calibri" w:hAnsi="Calibri" w:eastAsia="宋体" w:cs="Times New Roman"/>
      <w:b/>
      <w:color w:val="000000"/>
      <w:sz w:val="21"/>
      <w:lang w:val="en-US" w:eastAsia="zh-CN" w:bidi="ar-SA"/>
    </w:rPr>
  </w:style>
  <w:style w:type="character" w:customStyle="1" w:styleId="326">
    <w:name w:val="标题 3 Char Char Char3"/>
    <w:qFormat/>
    <w:uiPriority w:val="0"/>
    <w:rPr>
      <w:rFonts w:eastAsia="黑体"/>
      <w:snapToGrid w:val="0"/>
      <w:sz w:val="28"/>
      <w:szCs w:val="24"/>
      <w:lang w:val="en-US" w:eastAsia="zh-CN" w:bidi="ar-SA"/>
    </w:rPr>
  </w:style>
  <w:style w:type="character" w:customStyle="1" w:styleId="327">
    <w:name w:val="标题 3 Char Char"/>
    <w:qFormat/>
    <w:uiPriority w:val="0"/>
  </w:style>
  <w:style w:type="character" w:customStyle="1" w:styleId="328">
    <w:name w:val="表号 Char Char1"/>
    <w:semiHidden/>
    <w:qFormat/>
    <w:uiPriority w:val="0"/>
    <w:rPr>
      <w:rFonts w:ascii="宋体" w:hAnsi="宋体" w:eastAsia="宋体"/>
      <w:snapToGrid w:val="0"/>
      <w:kern w:val="2"/>
      <w:sz w:val="18"/>
      <w:szCs w:val="21"/>
      <w:lang w:val="en-US" w:eastAsia="zh-CN" w:bidi="ar-SA"/>
    </w:rPr>
  </w:style>
  <w:style w:type="character" w:customStyle="1" w:styleId="329">
    <w:name w:val="样式19 Char"/>
    <w:link w:val="330"/>
    <w:qFormat/>
    <w:uiPriority w:val="0"/>
    <w:rPr>
      <w:rFonts w:eastAsia="黑体"/>
      <w:b/>
      <w:bCs/>
      <w:kern w:val="2"/>
      <w:sz w:val="21"/>
      <w:szCs w:val="32"/>
    </w:rPr>
  </w:style>
  <w:style w:type="paragraph" w:customStyle="1" w:styleId="330">
    <w:name w:val="样式19"/>
    <w:basedOn w:val="133"/>
    <w:link w:val="329"/>
    <w:qFormat/>
    <w:uiPriority w:val="0"/>
    <w:pPr>
      <w:tabs>
        <w:tab w:val="clear" w:pos="4153"/>
        <w:tab w:val="clear" w:pos="8306"/>
      </w:tabs>
      <w:snapToGrid/>
      <w:spacing w:line="240" w:lineRule="auto"/>
      <w:ind w:firstLine="0" w:firstLineChars="0"/>
    </w:pPr>
    <w:rPr>
      <w:rFonts w:ascii="Calibri" w:hAnsi="Calibri" w:eastAsia="黑体"/>
      <w:b/>
      <w:bCs/>
      <w:sz w:val="21"/>
      <w:szCs w:val="32"/>
    </w:rPr>
  </w:style>
  <w:style w:type="character" w:customStyle="1" w:styleId="331">
    <w:name w:val="样式5 Char1"/>
    <w:link w:val="189"/>
    <w:qFormat/>
    <w:uiPriority w:val="0"/>
    <w:rPr>
      <w:rFonts w:ascii="Times New Roman" w:hAnsi="Times New Roman"/>
      <w:kern w:val="2"/>
      <w:sz w:val="24"/>
      <w:szCs w:val="24"/>
    </w:rPr>
  </w:style>
  <w:style w:type="character" w:customStyle="1" w:styleId="332">
    <w:name w:val="表名 Char Char Char Char Char Char"/>
    <w:qFormat/>
    <w:uiPriority w:val="0"/>
    <w:rPr>
      <w:rFonts w:eastAsia="黑体"/>
      <w:spacing w:val="6"/>
      <w:sz w:val="21"/>
      <w:lang w:val="en-US" w:eastAsia="zh-CN" w:bidi="ar-SA"/>
    </w:rPr>
  </w:style>
  <w:style w:type="character" w:customStyle="1" w:styleId="333">
    <w:name w:val="页脚2 Char Char"/>
    <w:qFormat/>
    <w:uiPriority w:val="0"/>
    <w:rPr>
      <w:rFonts w:eastAsia="宋体"/>
      <w:sz w:val="18"/>
      <w:szCs w:val="18"/>
      <w:lang w:val="en-US" w:eastAsia="zh-CN" w:bidi="ar-SA"/>
    </w:rPr>
  </w:style>
  <w:style w:type="character" w:customStyle="1" w:styleId="334">
    <w:name w:val="表号 Char3"/>
    <w:qFormat/>
    <w:uiPriority w:val="0"/>
    <w:rPr>
      <w:rFonts w:eastAsia="宋体"/>
      <w:kern w:val="2"/>
      <w:sz w:val="18"/>
      <w:lang w:val="en-US" w:eastAsia="zh-CN" w:bidi="ar-SA"/>
    </w:rPr>
  </w:style>
  <w:style w:type="character" w:customStyle="1" w:styleId="335">
    <w:name w:val="副标题 Char1"/>
    <w:qFormat/>
    <w:uiPriority w:val="11"/>
    <w:rPr>
      <w:rFonts w:ascii="Cambria" w:hAnsi="Cambria" w:cs="Times New Roman"/>
      <w:b/>
      <w:bCs/>
      <w:kern w:val="28"/>
      <w:sz w:val="32"/>
      <w:szCs w:val="32"/>
    </w:rPr>
  </w:style>
  <w:style w:type="character" w:customStyle="1" w:styleId="336">
    <w:name w:val="F防洪评价 Char"/>
    <w:link w:val="337"/>
    <w:qFormat/>
    <w:uiPriority w:val="0"/>
    <w:rPr>
      <w:rFonts w:ascii="宋体"/>
      <w:sz w:val="24"/>
      <w:lang w:val="zh-CN"/>
    </w:rPr>
  </w:style>
  <w:style w:type="paragraph" w:customStyle="1" w:styleId="337">
    <w:name w:val="F防洪评价"/>
    <w:basedOn w:val="1"/>
    <w:next w:val="1"/>
    <w:link w:val="336"/>
    <w:qFormat/>
    <w:uiPriority w:val="0"/>
    <w:pPr>
      <w:tabs>
        <w:tab w:val="right" w:pos="8925"/>
      </w:tabs>
      <w:autoSpaceDE w:val="0"/>
      <w:autoSpaceDN w:val="0"/>
      <w:adjustRightInd w:val="0"/>
      <w:snapToGrid w:val="0"/>
      <w:spacing w:beforeLines="50" w:afterLines="50"/>
      <w:ind w:firstLine="497" w:firstLineChars="207"/>
    </w:pPr>
    <w:rPr>
      <w:rFonts w:ascii="宋体" w:hAnsi="Calibri"/>
      <w:kern w:val="0"/>
      <w:szCs w:val="20"/>
      <w:lang w:val="zh-CN"/>
    </w:rPr>
  </w:style>
  <w:style w:type="character" w:customStyle="1" w:styleId="338">
    <w:name w:val="表头样式1 Char"/>
    <w:link w:val="339"/>
    <w:qFormat/>
    <w:uiPriority w:val="0"/>
    <w:rPr>
      <w:rFonts w:ascii="宋体" w:hAnsi="宋体" w:eastAsia="黑体"/>
      <w:b/>
      <w:sz w:val="24"/>
    </w:rPr>
  </w:style>
  <w:style w:type="paragraph" w:customStyle="1" w:styleId="339">
    <w:name w:val="表头样式1"/>
    <w:basedOn w:val="1"/>
    <w:link w:val="338"/>
    <w:qFormat/>
    <w:uiPriority w:val="0"/>
    <w:pPr>
      <w:widowControl/>
      <w:spacing w:after="80" w:line="480" w:lineRule="atLeast"/>
      <w:jc w:val="center"/>
    </w:pPr>
    <w:rPr>
      <w:rFonts w:ascii="宋体" w:hAnsi="宋体" w:eastAsia="黑体"/>
      <w:b/>
      <w:kern w:val="0"/>
      <w:szCs w:val="20"/>
    </w:rPr>
  </w:style>
  <w:style w:type="character" w:customStyle="1" w:styleId="340">
    <w:name w:val="表名 Char1 Char Char Char Char"/>
    <w:qFormat/>
    <w:uiPriority w:val="0"/>
    <w:rPr>
      <w:rFonts w:ascii="Arial" w:hAnsi="Arial" w:eastAsia="黑体"/>
      <w:snapToGrid w:val="0"/>
      <w:kern w:val="2"/>
      <w:sz w:val="21"/>
      <w:szCs w:val="24"/>
      <w:lang w:val="en-US" w:eastAsia="zh-CN" w:bidi="ar-SA"/>
    </w:rPr>
  </w:style>
  <w:style w:type="character" w:customStyle="1" w:styleId="341">
    <w:name w:val="文本正文专用 Char"/>
    <w:link w:val="342"/>
    <w:qFormat/>
    <w:uiPriority w:val="0"/>
    <w:rPr>
      <w:rFonts w:cs="宋体"/>
      <w:kern w:val="2"/>
      <w:sz w:val="24"/>
      <w:szCs w:val="24"/>
    </w:rPr>
  </w:style>
  <w:style w:type="paragraph" w:customStyle="1" w:styleId="342">
    <w:name w:val="文本正文专用"/>
    <w:basedOn w:val="1"/>
    <w:link w:val="341"/>
    <w:qFormat/>
    <w:uiPriority w:val="0"/>
    <w:pPr>
      <w:ind w:firstLine="480"/>
    </w:pPr>
    <w:rPr>
      <w:rFonts w:ascii="Calibri" w:hAnsi="Calibri" w:cs="宋体"/>
      <w:szCs w:val="24"/>
    </w:rPr>
  </w:style>
  <w:style w:type="character" w:customStyle="1" w:styleId="343">
    <w:name w:val="样式 (中文) 楷体_GB2312 三号 黑色"/>
    <w:qFormat/>
    <w:uiPriority w:val="0"/>
    <w:rPr>
      <w:rFonts w:eastAsia="楷体_GB2312"/>
      <w:color w:val="000000"/>
      <w:sz w:val="32"/>
    </w:rPr>
  </w:style>
  <w:style w:type="character" w:customStyle="1" w:styleId="344">
    <w:name w:val="样式 宋体 小四"/>
    <w:qFormat/>
    <w:uiPriority w:val="0"/>
    <w:rPr>
      <w:rFonts w:ascii="宋体" w:hAnsi="宋体"/>
      <w:sz w:val="24"/>
    </w:rPr>
  </w:style>
  <w:style w:type="character" w:customStyle="1" w:styleId="345">
    <w:name w:val="标题 51"/>
    <w:semiHidden/>
    <w:qFormat/>
    <w:uiPriority w:val="0"/>
    <w:rPr>
      <w:rFonts w:eastAsia="宋体"/>
      <w:snapToGrid w:val="0"/>
      <w:sz w:val="24"/>
      <w:szCs w:val="24"/>
      <w:lang w:val="en-US" w:eastAsia="zh-CN" w:bidi="ar-SA"/>
    </w:rPr>
  </w:style>
  <w:style w:type="character" w:customStyle="1" w:styleId="346">
    <w:name w:val="表编号 Char Char Char"/>
    <w:qFormat/>
    <w:uiPriority w:val="0"/>
    <w:rPr>
      <w:rFonts w:ascii="黑体" w:hAnsi="黑体" w:eastAsia="宋体" w:cs="宋体"/>
      <w:kern w:val="2"/>
      <w:sz w:val="21"/>
      <w:lang w:val="en-US" w:eastAsia="zh-CN" w:bidi="ar-SA"/>
    </w:rPr>
  </w:style>
  <w:style w:type="character" w:customStyle="1" w:styleId="347">
    <w:name w:val="表文 Char Char Char Char1 Char"/>
    <w:qFormat/>
    <w:uiPriority w:val="0"/>
    <w:rPr>
      <w:rFonts w:eastAsia="宋体"/>
      <w:kern w:val="2"/>
      <w:sz w:val="21"/>
      <w:szCs w:val="21"/>
      <w:lang w:val="en-US" w:eastAsia="zh-CN" w:bidi="ar-SA"/>
    </w:rPr>
  </w:style>
  <w:style w:type="character" w:customStyle="1" w:styleId="348">
    <w:name w:val="正文A Char2"/>
    <w:link w:val="349"/>
    <w:qFormat/>
    <w:uiPriority w:val="0"/>
    <w:rPr>
      <w:rFonts w:eastAsia="Times New Roman"/>
      <w:kern w:val="2"/>
      <w:sz w:val="24"/>
      <w:szCs w:val="22"/>
    </w:rPr>
  </w:style>
  <w:style w:type="paragraph" w:customStyle="1" w:styleId="349">
    <w:name w:val="正文A"/>
    <w:link w:val="348"/>
    <w:qFormat/>
    <w:uiPriority w:val="0"/>
    <w:pPr>
      <w:tabs>
        <w:tab w:val="left" w:pos="0"/>
      </w:tabs>
      <w:adjustRightInd w:val="0"/>
      <w:spacing w:before="120" w:line="360" w:lineRule="auto"/>
      <w:ind w:firstLine="488"/>
      <w:jc w:val="both"/>
    </w:pPr>
    <w:rPr>
      <w:rFonts w:ascii="Calibri" w:hAnsi="Calibri" w:eastAsia="Times New Roman" w:cs="Times New Roman"/>
      <w:kern w:val="2"/>
      <w:sz w:val="24"/>
      <w:szCs w:val="22"/>
      <w:lang w:val="en-US" w:eastAsia="zh-CN" w:bidi="ar-SA"/>
    </w:rPr>
  </w:style>
  <w:style w:type="character" w:customStyle="1" w:styleId="350">
    <w:name w:val="样式 Arial"/>
    <w:qFormat/>
    <w:uiPriority w:val="0"/>
    <w:rPr>
      <w:rFonts w:ascii="Arial" w:hAnsi="Arial"/>
    </w:rPr>
  </w:style>
  <w:style w:type="character" w:customStyle="1" w:styleId="351">
    <w:name w:val="我的正文 Char"/>
    <w:link w:val="352"/>
    <w:qFormat/>
    <w:uiPriority w:val="0"/>
    <w:rPr>
      <w:kern w:val="2"/>
      <w:sz w:val="24"/>
      <w:szCs w:val="24"/>
    </w:rPr>
  </w:style>
  <w:style w:type="paragraph" w:customStyle="1" w:styleId="352">
    <w:name w:val="我的正文"/>
    <w:basedOn w:val="1"/>
    <w:link w:val="351"/>
    <w:qFormat/>
    <w:uiPriority w:val="0"/>
    <w:rPr>
      <w:rFonts w:ascii="Calibri" w:hAnsi="Calibri"/>
      <w:szCs w:val="24"/>
    </w:rPr>
  </w:style>
  <w:style w:type="character" w:customStyle="1" w:styleId="353">
    <w:name w:val="报告正文 Char"/>
    <w:qFormat/>
    <w:uiPriority w:val="0"/>
    <w:rPr>
      <w:rFonts w:ascii="宋体" w:hAnsi="Courier New" w:eastAsia="宋体"/>
      <w:kern w:val="2"/>
      <w:sz w:val="24"/>
      <w:lang w:val="en-US" w:eastAsia="zh-CN" w:bidi="ar-SA"/>
    </w:rPr>
  </w:style>
  <w:style w:type="character" w:customStyle="1" w:styleId="354">
    <w:name w:val="三级标题-水保 Char"/>
    <w:link w:val="355"/>
    <w:qFormat/>
    <w:uiPriority w:val="0"/>
    <w:rPr>
      <w:rFonts w:ascii="TimesNewRomanPSMT" w:hAnsi="TimesNewRomanPSMT"/>
      <w:b/>
      <w:bCs/>
      <w:color w:val="000000"/>
      <w:sz w:val="24"/>
      <w:szCs w:val="22"/>
      <w:lang w:val="zh-CN" w:bidi="en-US"/>
    </w:rPr>
  </w:style>
  <w:style w:type="paragraph" w:customStyle="1" w:styleId="355">
    <w:name w:val="三级标题-水保"/>
    <w:basedOn w:val="5"/>
    <w:next w:val="1"/>
    <w:link w:val="354"/>
    <w:qFormat/>
    <w:uiPriority w:val="0"/>
    <w:pPr>
      <w:keepLines w:val="0"/>
      <w:widowControl/>
      <w:tabs>
        <w:tab w:val="left" w:pos="360"/>
      </w:tabs>
      <w:spacing w:beforeLines="50"/>
    </w:pPr>
    <w:rPr>
      <w:rFonts w:ascii="TimesNewRomanPSMT" w:hAnsi="TimesNewRomanPSMT" w:eastAsia="宋体"/>
      <w:color w:val="000000"/>
      <w:kern w:val="0"/>
      <w:szCs w:val="22"/>
      <w:lang w:val="zh-CN" w:bidi="en-US"/>
    </w:rPr>
  </w:style>
  <w:style w:type="character" w:customStyle="1" w:styleId="356">
    <w:name w:val="表编号 Char Char Char1"/>
    <w:qFormat/>
    <w:uiPriority w:val="0"/>
    <w:rPr>
      <w:rFonts w:ascii="黑体" w:hAnsi="黑体" w:eastAsia="宋体" w:cs="宋体"/>
      <w:kern w:val="2"/>
      <w:sz w:val="18"/>
      <w:lang w:val="en-US" w:eastAsia="zh-CN" w:bidi="ar-SA"/>
    </w:rPr>
  </w:style>
  <w:style w:type="character" w:customStyle="1" w:styleId="357">
    <w:name w:val="正文文本 2 Char"/>
    <w:link w:val="50"/>
    <w:qFormat/>
    <w:uiPriority w:val="0"/>
    <w:rPr>
      <w:rFonts w:ascii="Times New Roman" w:hAnsi="Times New Roman"/>
      <w:kern w:val="2"/>
      <w:sz w:val="24"/>
      <w:szCs w:val="22"/>
    </w:rPr>
  </w:style>
  <w:style w:type="character" w:customStyle="1" w:styleId="358">
    <w:name w:val="批注主题 Char1"/>
    <w:semiHidden/>
    <w:qFormat/>
    <w:uiPriority w:val="99"/>
    <w:rPr>
      <w:b/>
      <w:bCs/>
      <w:kern w:val="2"/>
      <w:sz w:val="24"/>
      <w:szCs w:val="24"/>
    </w:rPr>
  </w:style>
  <w:style w:type="character" w:customStyle="1" w:styleId="359">
    <w:name w:val="标题 Char1"/>
    <w:qFormat/>
    <w:uiPriority w:val="10"/>
    <w:rPr>
      <w:rFonts w:ascii="Cambria" w:hAnsi="Cambria" w:cs="Times New Roman"/>
      <w:b/>
      <w:bCs/>
      <w:kern w:val="2"/>
      <w:sz w:val="32"/>
      <w:szCs w:val="32"/>
    </w:rPr>
  </w:style>
  <w:style w:type="character" w:customStyle="1" w:styleId="360">
    <w:name w:val="content Char"/>
    <w:link w:val="361"/>
    <w:qFormat/>
    <w:uiPriority w:val="0"/>
    <w:rPr>
      <w:rFonts w:hAnsi="宋体"/>
      <w:sz w:val="24"/>
      <w:szCs w:val="24"/>
      <w:lang w:bidi="en-US"/>
    </w:rPr>
  </w:style>
  <w:style w:type="paragraph" w:customStyle="1" w:styleId="361">
    <w:name w:val="content"/>
    <w:link w:val="360"/>
    <w:qFormat/>
    <w:uiPriority w:val="0"/>
    <w:pPr>
      <w:adjustRightInd w:val="0"/>
      <w:spacing w:line="360" w:lineRule="auto"/>
      <w:ind w:firstLine="480" w:firstLineChars="200"/>
      <w:jc w:val="center"/>
    </w:pPr>
    <w:rPr>
      <w:rFonts w:ascii="Calibri" w:hAnsi="宋体" w:eastAsia="宋体" w:cs="Times New Roman"/>
      <w:sz w:val="24"/>
      <w:szCs w:val="24"/>
      <w:lang w:val="en-US" w:eastAsia="zh-CN" w:bidi="en-US"/>
    </w:rPr>
  </w:style>
  <w:style w:type="character" w:customStyle="1" w:styleId="362">
    <w:name w:val="正文+ 首行缩进:  2 字符 Char"/>
    <w:qFormat/>
    <w:uiPriority w:val="0"/>
    <w:rPr>
      <w:rFonts w:ascii="宋体" w:hAnsi="宋体" w:eastAsia="宋体" w:cs="宋体"/>
      <w:sz w:val="24"/>
      <w:szCs w:val="24"/>
      <w:lang w:val="en-US" w:eastAsia="zh-CN" w:bidi="ar-SA"/>
    </w:rPr>
  </w:style>
  <w:style w:type="character" w:customStyle="1" w:styleId="363">
    <w:name w:val="内容 Char"/>
    <w:link w:val="364"/>
    <w:qFormat/>
    <w:uiPriority w:val="0"/>
    <w:rPr>
      <w:sz w:val="22"/>
      <w:szCs w:val="22"/>
      <w:lang w:eastAsia="en-US" w:bidi="en-US"/>
    </w:rPr>
  </w:style>
  <w:style w:type="paragraph" w:customStyle="1" w:styleId="364">
    <w:name w:val="内容"/>
    <w:link w:val="363"/>
    <w:qFormat/>
    <w:uiPriority w:val="0"/>
    <w:pPr>
      <w:spacing w:after="200" w:line="276" w:lineRule="auto"/>
      <w:jc w:val="center"/>
    </w:pPr>
    <w:rPr>
      <w:rFonts w:ascii="Calibri" w:hAnsi="Calibri" w:eastAsia="宋体" w:cs="Times New Roman"/>
      <w:sz w:val="22"/>
      <w:szCs w:val="22"/>
      <w:lang w:val="en-US" w:eastAsia="en-US" w:bidi="en-US"/>
    </w:rPr>
  </w:style>
  <w:style w:type="character" w:customStyle="1" w:styleId="365">
    <w:name w:val="question-title2"/>
    <w:qFormat/>
    <w:uiPriority w:val="0"/>
  </w:style>
  <w:style w:type="character" w:customStyle="1" w:styleId="366">
    <w:name w:val="表正文 Char1 Char Char"/>
    <w:qFormat/>
    <w:uiPriority w:val="0"/>
    <w:rPr>
      <w:rFonts w:eastAsia="宋体"/>
      <w:sz w:val="28"/>
      <w:lang w:val="en-US" w:eastAsia="zh-CN" w:bidi="ar-SA"/>
    </w:rPr>
  </w:style>
  <w:style w:type="character" w:customStyle="1" w:styleId="367">
    <w:name w:val="样式 正文+ 首行缩进:  2 字符 + 宋体 Char"/>
    <w:qFormat/>
    <w:uiPriority w:val="0"/>
  </w:style>
  <w:style w:type="character" w:customStyle="1" w:styleId="368">
    <w:name w:val="表号 Char Char Char1"/>
    <w:qFormat/>
    <w:uiPriority w:val="0"/>
    <w:rPr>
      <w:rFonts w:ascii="宋体" w:hAnsi="宋体" w:eastAsia="宋体"/>
      <w:bCs/>
      <w:snapToGrid w:val="0"/>
      <w:sz w:val="21"/>
      <w:szCs w:val="21"/>
      <w:lang w:val="en-US" w:eastAsia="zh-CN" w:bidi="ar-SA"/>
    </w:rPr>
  </w:style>
  <w:style w:type="character" w:customStyle="1" w:styleId="369">
    <w:name w:val="特点标题 Char Char"/>
    <w:qFormat/>
    <w:uiPriority w:val="0"/>
    <w:rPr>
      <w:rFonts w:eastAsia="宋体"/>
      <w:kern w:val="2"/>
      <w:sz w:val="21"/>
      <w:szCs w:val="24"/>
      <w:lang w:val="en-US" w:eastAsia="zh-CN" w:bidi="ar-SA"/>
    </w:rPr>
  </w:style>
  <w:style w:type="character" w:customStyle="1" w:styleId="370">
    <w:name w:val="页眉2 Char1"/>
    <w:qFormat/>
    <w:uiPriority w:val="0"/>
    <w:rPr>
      <w:rFonts w:eastAsia="宋体"/>
      <w:sz w:val="18"/>
      <w:szCs w:val="18"/>
      <w:lang w:val="en-US" w:eastAsia="zh-CN" w:bidi="ar-SA"/>
    </w:rPr>
  </w:style>
  <w:style w:type="character" w:customStyle="1" w:styleId="371">
    <w:name w:val="批注框文本 Char1"/>
    <w:semiHidden/>
    <w:qFormat/>
    <w:uiPriority w:val="99"/>
    <w:rPr>
      <w:kern w:val="2"/>
      <w:sz w:val="18"/>
      <w:szCs w:val="18"/>
    </w:rPr>
  </w:style>
  <w:style w:type="character" w:customStyle="1" w:styleId="372">
    <w:name w:val="表内文字 Char"/>
    <w:qFormat/>
    <w:uiPriority w:val="0"/>
    <w:rPr>
      <w:sz w:val="21"/>
      <w:szCs w:val="21"/>
      <w:lang w:val="en-US" w:eastAsia="zh-CN" w:bidi="ar-SA"/>
    </w:rPr>
  </w:style>
  <w:style w:type="character" w:customStyle="1" w:styleId="373">
    <w:name w:val="zhengwen Char1"/>
    <w:link w:val="374"/>
    <w:qFormat/>
    <w:uiPriority w:val="0"/>
    <w:rPr>
      <w:rFonts w:ascii="Arial" w:hAnsi="Arial"/>
      <w:kern w:val="2"/>
      <w:sz w:val="24"/>
    </w:rPr>
  </w:style>
  <w:style w:type="paragraph" w:customStyle="1" w:styleId="374">
    <w:name w:val="zhengwen"/>
    <w:basedOn w:val="1"/>
    <w:link w:val="373"/>
    <w:qFormat/>
    <w:uiPriority w:val="0"/>
    <w:rPr>
      <w:rFonts w:ascii="Arial" w:hAnsi="Arial"/>
      <w:szCs w:val="20"/>
    </w:rPr>
  </w:style>
  <w:style w:type="character" w:customStyle="1" w:styleId="375">
    <w:name w:val="Char Char5"/>
    <w:qFormat/>
    <w:uiPriority w:val="0"/>
  </w:style>
  <w:style w:type="character" w:customStyle="1" w:styleId="376">
    <w:name w:val="正文文字 Char"/>
    <w:qFormat/>
    <w:uiPriority w:val="0"/>
    <w:rPr>
      <w:rFonts w:eastAsia="宋体"/>
      <w:szCs w:val="24"/>
      <w:lang w:bidi="ar-SA"/>
    </w:rPr>
  </w:style>
  <w:style w:type="character" w:customStyle="1" w:styleId="377">
    <w:name w:val="样式 小四"/>
    <w:qFormat/>
    <w:uiPriority w:val="0"/>
    <w:rPr>
      <w:sz w:val="24"/>
    </w:rPr>
  </w:style>
  <w:style w:type="character" w:customStyle="1" w:styleId="378">
    <w:name w:val="样式12 Char"/>
    <w:link w:val="379"/>
    <w:qFormat/>
    <w:uiPriority w:val="0"/>
    <w:rPr>
      <w:kern w:val="2"/>
      <w:sz w:val="18"/>
      <w:szCs w:val="18"/>
    </w:rPr>
  </w:style>
  <w:style w:type="paragraph" w:customStyle="1" w:styleId="379">
    <w:name w:val="样式12"/>
    <w:basedOn w:val="39"/>
    <w:link w:val="378"/>
    <w:qFormat/>
    <w:uiPriority w:val="0"/>
    <w:pPr>
      <w:pBdr>
        <w:bottom w:val="none" w:color="auto" w:sz="0" w:space="0"/>
      </w:pBdr>
    </w:pPr>
    <w:rPr>
      <w:rFonts w:ascii="Calibri" w:hAnsi="Calibri"/>
    </w:rPr>
  </w:style>
  <w:style w:type="character" w:customStyle="1" w:styleId="380">
    <w:name w:val="页眉 Char1"/>
    <w:semiHidden/>
    <w:qFormat/>
    <w:uiPriority w:val="99"/>
    <w:rPr>
      <w:kern w:val="2"/>
      <w:sz w:val="18"/>
      <w:szCs w:val="18"/>
    </w:rPr>
  </w:style>
  <w:style w:type="character" w:customStyle="1" w:styleId="381">
    <w:name w:val="样式 首行缩进:  2 字符 Char"/>
    <w:qFormat/>
    <w:uiPriority w:val="0"/>
    <w:rPr>
      <w:rFonts w:eastAsia="宋体" w:cs="宋体"/>
      <w:sz w:val="24"/>
      <w:lang w:val="zh-CN" w:eastAsia="zh-CN" w:bidi="ar-SA"/>
    </w:rPr>
  </w:style>
  <w:style w:type="character" w:customStyle="1" w:styleId="382">
    <w:name w:val="表内文字 Char Char"/>
    <w:qFormat/>
    <w:uiPriority w:val="0"/>
    <w:rPr>
      <w:rFonts w:ascii="宋体" w:hAnsi="Courier New" w:eastAsia="宋体" w:cs="Courier New"/>
      <w:kern w:val="2"/>
      <w:sz w:val="21"/>
      <w:szCs w:val="21"/>
      <w:lang w:val="en-US" w:eastAsia="zh-CN" w:bidi="ar-SA"/>
    </w:rPr>
  </w:style>
  <w:style w:type="character" w:customStyle="1" w:styleId="383">
    <w:name w:val="表文居中 Char"/>
    <w:link w:val="384"/>
    <w:qFormat/>
    <w:uiPriority w:val="0"/>
    <w:rPr>
      <w:color w:val="000000"/>
      <w:kern w:val="2"/>
      <w:sz w:val="18"/>
    </w:rPr>
  </w:style>
  <w:style w:type="paragraph" w:customStyle="1" w:styleId="384">
    <w:name w:val="表文居中"/>
    <w:basedOn w:val="385"/>
    <w:link w:val="383"/>
    <w:qFormat/>
    <w:uiPriority w:val="0"/>
    <w:pPr>
      <w:overflowPunct w:val="0"/>
      <w:spacing w:line="240" w:lineRule="auto"/>
    </w:pPr>
    <w:rPr>
      <w:rFonts w:ascii="Calibri" w:hAnsi="Calibri"/>
      <w:color w:val="000000"/>
      <w:kern w:val="2"/>
    </w:rPr>
  </w:style>
  <w:style w:type="paragraph" w:customStyle="1" w:styleId="385">
    <w:name w:val="表文 Char Char"/>
    <w:basedOn w:val="1"/>
    <w:link w:val="386"/>
    <w:qFormat/>
    <w:uiPriority w:val="0"/>
    <w:pPr>
      <w:autoSpaceDE w:val="0"/>
      <w:autoSpaceDN w:val="0"/>
      <w:adjustRightInd w:val="0"/>
      <w:spacing w:line="300" w:lineRule="exact"/>
      <w:jc w:val="center"/>
      <w:textAlignment w:val="baseline"/>
    </w:pPr>
    <w:rPr>
      <w:kern w:val="0"/>
      <w:sz w:val="18"/>
      <w:szCs w:val="20"/>
    </w:rPr>
  </w:style>
  <w:style w:type="character" w:customStyle="1" w:styleId="386">
    <w:name w:val="表文 Char Char Char1"/>
    <w:link w:val="385"/>
    <w:qFormat/>
    <w:uiPriority w:val="0"/>
    <w:rPr>
      <w:rFonts w:ascii="Times New Roman" w:hAnsi="Times New Roman"/>
      <w:sz w:val="18"/>
    </w:rPr>
  </w:style>
  <w:style w:type="character" w:customStyle="1" w:styleId="387">
    <w:name w:val="小表文 Char"/>
    <w:link w:val="388"/>
    <w:qFormat/>
    <w:uiPriority w:val="0"/>
    <w:rPr>
      <w:sz w:val="18"/>
    </w:rPr>
  </w:style>
  <w:style w:type="paragraph" w:customStyle="1" w:styleId="388">
    <w:name w:val="小表文"/>
    <w:basedOn w:val="1"/>
    <w:link w:val="387"/>
    <w:qFormat/>
    <w:uiPriority w:val="0"/>
    <w:pPr>
      <w:autoSpaceDE w:val="0"/>
      <w:autoSpaceDN w:val="0"/>
      <w:adjustRightInd w:val="0"/>
      <w:spacing w:before="20"/>
      <w:textAlignment w:val="baseline"/>
    </w:pPr>
    <w:rPr>
      <w:rFonts w:ascii="Calibri" w:hAnsi="Calibri"/>
      <w:kern w:val="0"/>
      <w:sz w:val="18"/>
      <w:szCs w:val="20"/>
    </w:rPr>
  </w:style>
  <w:style w:type="character" w:customStyle="1" w:styleId="389">
    <w:name w:val="ask-title"/>
    <w:qFormat/>
    <w:uiPriority w:val="0"/>
  </w:style>
  <w:style w:type="character" w:customStyle="1" w:styleId="390">
    <w:name w:val="表号 Char Char"/>
    <w:link w:val="273"/>
    <w:qFormat/>
    <w:uiPriority w:val="0"/>
    <w:rPr>
      <w:rFonts w:ascii="Times New Roman" w:hAnsi="Times New Roman"/>
      <w:kern w:val="2"/>
      <w:sz w:val="21"/>
      <w:szCs w:val="24"/>
    </w:rPr>
  </w:style>
  <w:style w:type="character" w:customStyle="1" w:styleId="391">
    <w:name w:val="正文文本 Char1"/>
    <w:semiHidden/>
    <w:qFormat/>
    <w:uiPriority w:val="99"/>
    <w:rPr>
      <w:kern w:val="2"/>
      <w:sz w:val="24"/>
      <w:szCs w:val="24"/>
    </w:rPr>
  </w:style>
  <w:style w:type="character" w:customStyle="1" w:styleId="392">
    <w:name w:val="正文首行缩进 Char1"/>
    <w:semiHidden/>
    <w:qFormat/>
    <w:uiPriority w:val="99"/>
  </w:style>
  <w:style w:type="character" w:customStyle="1" w:styleId="393">
    <w:name w:val="文档结构图 Char1"/>
    <w:semiHidden/>
    <w:qFormat/>
    <w:uiPriority w:val="99"/>
    <w:rPr>
      <w:rFonts w:ascii="宋体"/>
      <w:kern w:val="2"/>
      <w:sz w:val="18"/>
      <w:szCs w:val="18"/>
    </w:rPr>
  </w:style>
  <w:style w:type="character" w:customStyle="1" w:styleId="394">
    <w:name w:val="表名 Char5"/>
    <w:qFormat/>
    <w:uiPriority w:val="0"/>
    <w:rPr>
      <w:rFonts w:ascii="Arial" w:hAnsi="Arial" w:eastAsia="黑体"/>
      <w:sz w:val="21"/>
      <w:lang w:val="en-US" w:eastAsia="zh-CN" w:bidi="ar-SA"/>
    </w:rPr>
  </w:style>
  <w:style w:type="character" w:customStyle="1" w:styleId="395">
    <w:name w:val="样式 右侧:  0 厘米 段前: 0.5 行 Char"/>
    <w:qFormat/>
    <w:uiPriority w:val="0"/>
    <w:rPr>
      <w:rFonts w:eastAsia="宋体" w:cs="宋体"/>
      <w:kern w:val="2"/>
      <w:sz w:val="24"/>
      <w:szCs w:val="24"/>
      <w:lang w:val="en-US" w:eastAsia="zh-CN" w:bidi="ar-SA"/>
    </w:rPr>
  </w:style>
  <w:style w:type="character" w:customStyle="1" w:styleId="396">
    <w:name w:val="正文缩进 Char Char1"/>
    <w:qFormat/>
    <w:uiPriority w:val="0"/>
    <w:rPr>
      <w:rFonts w:eastAsia="宋体"/>
      <w:sz w:val="24"/>
      <w:lang w:val="en-US" w:eastAsia="zh-CN" w:bidi="ar-SA"/>
    </w:rPr>
  </w:style>
  <w:style w:type="character" w:customStyle="1" w:styleId="397">
    <w:name w:val="表内格式 Char"/>
    <w:link w:val="398"/>
    <w:qFormat/>
    <w:uiPriority w:val="0"/>
    <w:rPr>
      <w:rFonts w:ascii="宋体" w:hAnsi="宋体"/>
      <w:sz w:val="18"/>
    </w:rPr>
  </w:style>
  <w:style w:type="paragraph" w:customStyle="1" w:styleId="398">
    <w:name w:val="表内格式"/>
    <w:basedOn w:val="1"/>
    <w:link w:val="397"/>
    <w:qFormat/>
    <w:uiPriority w:val="0"/>
    <w:pPr>
      <w:widowControl/>
      <w:spacing w:line="280" w:lineRule="exact"/>
      <w:jc w:val="center"/>
    </w:pPr>
    <w:rPr>
      <w:rFonts w:ascii="宋体" w:hAnsi="宋体"/>
      <w:kern w:val="0"/>
      <w:sz w:val="18"/>
      <w:szCs w:val="20"/>
    </w:rPr>
  </w:style>
  <w:style w:type="character" w:customStyle="1" w:styleId="399">
    <w:name w:val="四级标题 Char Char"/>
    <w:qFormat/>
    <w:uiPriority w:val="0"/>
    <w:rPr>
      <w:rFonts w:ascii="Times New Roman" w:hAnsi="Times New Roman" w:eastAsia="黑体" w:cs="Times New Roman"/>
      <w:b/>
      <w:bCs/>
      <w:kern w:val="2"/>
      <w:sz w:val="24"/>
      <w:szCs w:val="32"/>
    </w:rPr>
  </w:style>
  <w:style w:type="character" w:customStyle="1" w:styleId="400">
    <w:name w:val="样式11 Char"/>
    <w:link w:val="401"/>
    <w:qFormat/>
    <w:uiPriority w:val="0"/>
    <w:rPr>
      <w:kern w:val="2"/>
      <w:sz w:val="18"/>
      <w:szCs w:val="18"/>
    </w:rPr>
  </w:style>
  <w:style w:type="paragraph" w:customStyle="1" w:styleId="401">
    <w:name w:val="样式11"/>
    <w:basedOn w:val="39"/>
    <w:link w:val="400"/>
    <w:qFormat/>
    <w:uiPriority w:val="0"/>
    <w:pPr>
      <w:pBdr>
        <w:bottom w:val="none" w:color="auto" w:sz="0" w:space="0"/>
      </w:pBdr>
    </w:pPr>
    <w:rPr>
      <w:rFonts w:ascii="Calibri" w:hAnsi="Calibri"/>
    </w:rPr>
  </w:style>
  <w:style w:type="character" w:customStyle="1" w:styleId="402">
    <w:name w:val="grame"/>
    <w:qFormat/>
    <w:uiPriority w:val="0"/>
  </w:style>
  <w:style w:type="character" w:customStyle="1" w:styleId="403">
    <w:name w:val="正文文本缩进 2 Char"/>
    <w:link w:val="35"/>
    <w:qFormat/>
    <w:uiPriority w:val="0"/>
    <w:rPr>
      <w:rFonts w:ascii="Times New Roman" w:hAnsi="Times New Roman"/>
      <w:kern w:val="2"/>
      <w:sz w:val="24"/>
      <w:szCs w:val="22"/>
    </w:rPr>
  </w:style>
  <w:style w:type="character" w:customStyle="1" w:styleId="404">
    <w:name w:val="正文文本缩进 2 Char1"/>
    <w:semiHidden/>
    <w:qFormat/>
    <w:uiPriority w:val="99"/>
    <w:rPr>
      <w:kern w:val="2"/>
      <w:sz w:val="24"/>
      <w:szCs w:val="24"/>
    </w:rPr>
  </w:style>
  <w:style w:type="character" w:customStyle="1" w:styleId="405">
    <w:name w:val="正文文字缩进 Char Char Char"/>
    <w:qFormat/>
    <w:uiPriority w:val="0"/>
    <w:rPr>
      <w:rFonts w:ascii="Calibri" w:hAnsi="Calibri" w:eastAsia="宋体"/>
      <w:sz w:val="22"/>
      <w:szCs w:val="22"/>
      <w:lang w:val="en-US" w:eastAsia="en-US" w:bidi="en-US"/>
    </w:rPr>
  </w:style>
  <w:style w:type="character" w:customStyle="1" w:styleId="406">
    <w:name w:val="样式4 Char4"/>
    <w:link w:val="238"/>
    <w:qFormat/>
    <w:uiPriority w:val="0"/>
    <w:rPr>
      <w:rFonts w:ascii="Times New Roman" w:hAnsi="Times New Roman" w:eastAsia="华文中宋"/>
      <w:kern w:val="2"/>
      <w:sz w:val="24"/>
      <w:szCs w:val="24"/>
    </w:rPr>
  </w:style>
  <w:style w:type="character" w:customStyle="1" w:styleId="407">
    <w:name w:val="样式 标题 3小节 + Times New Roman Char"/>
    <w:link w:val="408"/>
    <w:qFormat/>
    <w:uiPriority w:val="0"/>
    <w:rPr>
      <w:rFonts w:ascii="Arial" w:hAnsi="Arial" w:eastAsia="黑体"/>
      <w:b/>
      <w:bCs/>
      <w:sz w:val="24"/>
      <w:szCs w:val="24"/>
      <w:lang w:val="zh-CN"/>
    </w:rPr>
  </w:style>
  <w:style w:type="paragraph" w:customStyle="1" w:styleId="408">
    <w:name w:val="样式 标题 3小节 + Times New Roman"/>
    <w:basedOn w:val="5"/>
    <w:link w:val="407"/>
    <w:qFormat/>
    <w:uiPriority w:val="0"/>
    <w:pPr>
      <w:spacing w:before="260" w:after="260"/>
    </w:pPr>
    <w:rPr>
      <w:rFonts w:ascii="Arial" w:hAnsi="Arial"/>
      <w:kern w:val="0"/>
      <w:szCs w:val="24"/>
      <w:lang w:val="zh-CN"/>
    </w:rPr>
  </w:style>
  <w:style w:type="character" w:customStyle="1" w:styleId="409">
    <w:name w:val="纯文本 Char1"/>
    <w:semiHidden/>
    <w:qFormat/>
    <w:uiPriority w:val="99"/>
    <w:rPr>
      <w:rFonts w:ascii="宋体" w:hAnsi="Courier New" w:cs="Courier New"/>
      <w:kern w:val="2"/>
      <w:sz w:val="21"/>
      <w:szCs w:val="21"/>
    </w:rPr>
  </w:style>
  <w:style w:type="character" w:customStyle="1" w:styleId="410">
    <w:name w:val="引用 Char"/>
    <w:link w:val="411"/>
    <w:qFormat/>
    <w:uiPriority w:val="0"/>
    <w:rPr>
      <w:iCs/>
      <w:sz w:val="18"/>
    </w:rPr>
  </w:style>
  <w:style w:type="paragraph" w:customStyle="1" w:styleId="411">
    <w:name w:val="引用1"/>
    <w:basedOn w:val="155"/>
    <w:next w:val="412"/>
    <w:link w:val="410"/>
    <w:qFormat/>
    <w:uiPriority w:val="0"/>
    <w:pPr>
      <w:keepLines/>
      <w:widowControl/>
      <w:overflowPunct/>
      <w:spacing w:line="240" w:lineRule="auto"/>
    </w:pPr>
    <w:rPr>
      <w:rFonts w:ascii="Calibri" w:hAnsi="Calibri"/>
      <w:iCs/>
      <w:snapToGrid/>
      <w:color w:val="auto"/>
      <w:kern w:val="0"/>
      <w:sz w:val="18"/>
      <w:szCs w:val="20"/>
    </w:rPr>
  </w:style>
  <w:style w:type="paragraph" w:customStyle="1" w:styleId="412">
    <w:name w:val="表格10号"/>
    <w:basedOn w:val="1"/>
    <w:link w:val="413"/>
    <w:qFormat/>
    <w:uiPriority w:val="0"/>
    <w:pPr>
      <w:keepLines/>
      <w:adjustRightInd w:val="0"/>
      <w:snapToGrid w:val="0"/>
      <w:spacing w:line="240" w:lineRule="auto"/>
      <w:ind w:firstLine="0" w:firstLineChars="0"/>
      <w:jc w:val="center"/>
    </w:pPr>
    <w:rPr>
      <w:bCs/>
      <w:sz w:val="20"/>
      <w:szCs w:val="28"/>
    </w:rPr>
  </w:style>
  <w:style w:type="character" w:customStyle="1" w:styleId="413">
    <w:name w:val="表格10号 Char"/>
    <w:link w:val="412"/>
    <w:qFormat/>
    <w:uiPriority w:val="0"/>
    <w:rPr>
      <w:rFonts w:ascii="Times New Roman" w:hAnsi="Times New Roman"/>
      <w:bCs/>
      <w:kern w:val="2"/>
      <w:szCs w:val="28"/>
    </w:rPr>
  </w:style>
  <w:style w:type="character" w:customStyle="1" w:styleId="414">
    <w:name w:val="三级标题 Char Char"/>
    <w:qFormat/>
    <w:uiPriority w:val="0"/>
    <w:rPr>
      <w:rFonts w:ascii="Times New Roman" w:hAnsi="Times New Roman" w:eastAsia="黑体"/>
      <w:b/>
      <w:bCs/>
      <w:kern w:val="2"/>
      <w:sz w:val="24"/>
      <w:szCs w:val="32"/>
    </w:rPr>
  </w:style>
  <w:style w:type="character" w:customStyle="1" w:styleId="415">
    <w:name w:val="lefter2"/>
    <w:qFormat/>
    <w:uiPriority w:val="0"/>
  </w:style>
  <w:style w:type="character" w:customStyle="1" w:styleId="416">
    <w:name w:val="doc-desc-all2"/>
    <w:qFormat/>
    <w:uiPriority w:val="0"/>
  </w:style>
  <w:style w:type="character" w:customStyle="1" w:styleId="417">
    <w:name w:val="标题 11"/>
    <w:qFormat/>
    <w:uiPriority w:val="0"/>
    <w:rPr>
      <w:kern w:val="44"/>
    </w:rPr>
  </w:style>
  <w:style w:type="character" w:customStyle="1" w:styleId="418">
    <w:name w:val="样式 正文（首行缩进两字） + 首行缩进:  2 字符 Char"/>
    <w:link w:val="419"/>
    <w:qFormat/>
    <w:uiPriority w:val="0"/>
    <w:rPr>
      <w:rFonts w:cs="宋体"/>
      <w:kern w:val="2"/>
      <w:sz w:val="24"/>
    </w:rPr>
  </w:style>
  <w:style w:type="paragraph" w:customStyle="1" w:styleId="419">
    <w:name w:val="样式 正文（首行缩进两字） + 首行缩进:  2 字符"/>
    <w:basedOn w:val="15"/>
    <w:link w:val="418"/>
    <w:qFormat/>
    <w:uiPriority w:val="0"/>
    <w:pPr>
      <w:spacing w:line="360" w:lineRule="auto"/>
      <w:ind w:firstLine="480"/>
    </w:pPr>
    <w:rPr>
      <w:rFonts w:ascii="Calibri" w:hAnsi="Calibri" w:cs="宋体"/>
      <w:szCs w:val="20"/>
    </w:rPr>
  </w:style>
  <w:style w:type="character" w:customStyle="1" w:styleId="420">
    <w:name w:val="表号 Char2"/>
    <w:qFormat/>
    <w:uiPriority w:val="0"/>
    <w:rPr>
      <w:rFonts w:eastAsia="宋体"/>
      <w:b/>
      <w:spacing w:val="6"/>
      <w:sz w:val="30"/>
      <w:lang w:val="en-US" w:eastAsia="zh-CN" w:bidi="ar-SA"/>
    </w:rPr>
  </w:style>
  <w:style w:type="character" w:customStyle="1" w:styleId="421">
    <w:name w:val="样式 正文1 Char + 仿宋_GB2312 四号 首行缩进:  2 字符 Char Char Char Char Char Char"/>
    <w:link w:val="422"/>
    <w:qFormat/>
    <w:uiPriority w:val="0"/>
    <w:rPr>
      <w:sz w:val="24"/>
      <w:szCs w:val="24"/>
    </w:rPr>
  </w:style>
  <w:style w:type="paragraph" w:customStyle="1" w:styleId="422">
    <w:name w:val="样式 正文1 Char + 仿宋_GB2312 四号 首行缩进:  2 字符 Char Char Char Char Char"/>
    <w:basedOn w:val="1"/>
    <w:link w:val="421"/>
    <w:qFormat/>
    <w:uiPriority w:val="0"/>
    <w:pPr>
      <w:suppressLineNumbers/>
      <w:suppressAutoHyphens/>
      <w:topLinePunct/>
      <w:adjustRightInd w:val="0"/>
      <w:snapToGrid w:val="0"/>
    </w:pPr>
    <w:rPr>
      <w:rFonts w:ascii="Calibri" w:hAnsi="Calibri"/>
      <w:kern w:val="0"/>
      <w:szCs w:val="24"/>
    </w:rPr>
  </w:style>
  <w:style w:type="character" w:customStyle="1" w:styleId="423">
    <w:name w:val="无间隔 Char"/>
    <w:qFormat/>
    <w:uiPriority w:val="1"/>
    <w:rPr>
      <w:rFonts w:hAnsi="Cambria"/>
      <w:b/>
      <w:bCs/>
      <w:sz w:val="21"/>
      <w:szCs w:val="28"/>
      <w:lang w:bidi="ar-SA"/>
    </w:rPr>
  </w:style>
  <w:style w:type="character" w:customStyle="1" w:styleId="424">
    <w:name w:val="鲍伟 正文 Char"/>
    <w:link w:val="425"/>
    <w:qFormat/>
    <w:uiPriority w:val="0"/>
    <w:rPr>
      <w:rFonts w:ascii="宋体" w:hAnsi="宋体" w:eastAsia="Times New Roman"/>
      <w:kern w:val="2"/>
      <w:sz w:val="24"/>
      <w:szCs w:val="22"/>
    </w:rPr>
  </w:style>
  <w:style w:type="paragraph" w:customStyle="1" w:styleId="425">
    <w:name w:val="鲍伟 正文"/>
    <w:link w:val="424"/>
    <w:qFormat/>
    <w:uiPriority w:val="0"/>
    <w:pPr>
      <w:spacing w:line="360" w:lineRule="auto"/>
      <w:ind w:left="-4" w:leftChars="-2" w:firstLine="480" w:firstLineChars="200"/>
      <w:jc w:val="both"/>
    </w:pPr>
    <w:rPr>
      <w:rFonts w:ascii="宋体" w:hAnsi="宋体" w:eastAsia="Times New Roman" w:cs="Times New Roman"/>
      <w:kern w:val="2"/>
      <w:sz w:val="24"/>
      <w:szCs w:val="22"/>
      <w:lang w:val="en-US" w:eastAsia="zh-CN" w:bidi="ar-SA"/>
    </w:rPr>
  </w:style>
  <w:style w:type="character" w:customStyle="1" w:styleId="426">
    <w:name w:val="Char2 Char Char1"/>
    <w:qFormat/>
    <w:uiPriority w:val="0"/>
    <w:rPr>
      <w:rFonts w:eastAsia="宋体"/>
      <w:kern w:val="2"/>
      <w:sz w:val="18"/>
      <w:szCs w:val="18"/>
      <w:lang w:val="en-US" w:eastAsia="zh-CN" w:bidi="ar-SA"/>
    </w:rPr>
  </w:style>
  <w:style w:type="character" w:customStyle="1" w:styleId="427">
    <w:name w:val="表号 Char1"/>
    <w:qFormat/>
    <w:uiPriority w:val="0"/>
    <w:rPr>
      <w:rFonts w:eastAsia="宋体"/>
      <w:kern w:val="2"/>
      <w:sz w:val="18"/>
      <w:lang w:val="en-US" w:eastAsia="zh-CN" w:bidi="ar-SA"/>
    </w:rPr>
  </w:style>
  <w:style w:type="character" w:customStyle="1" w:styleId="428">
    <w:name w:val="明显引用 Char"/>
    <w:link w:val="429"/>
    <w:qFormat/>
    <w:uiPriority w:val="0"/>
    <w:rPr>
      <w:bCs/>
      <w:iCs/>
      <w:kern w:val="2"/>
      <w:sz w:val="24"/>
      <w:szCs w:val="22"/>
    </w:rPr>
  </w:style>
  <w:style w:type="paragraph" w:customStyle="1" w:styleId="429">
    <w:name w:val="明显引用1"/>
    <w:basedOn w:val="1"/>
    <w:next w:val="1"/>
    <w:link w:val="428"/>
    <w:qFormat/>
    <w:uiPriority w:val="0"/>
    <w:pPr>
      <w:pBdr>
        <w:bottom w:val="single" w:color="4F81BD" w:sz="4" w:space="4"/>
      </w:pBdr>
      <w:spacing w:before="200" w:after="280"/>
      <w:ind w:left="936" w:right="936"/>
    </w:pPr>
    <w:rPr>
      <w:rFonts w:ascii="Calibri" w:hAnsi="Calibri"/>
      <w:bCs/>
      <w:iCs/>
    </w:rPr>
  </w:style>
  <w:style w:type="character" w:customStyle="1" w:styleId="430">
    <w:name w:val="一级标题 Char Char"/>
    <w:qFormat/>
    <w:uiPriority w:val="0"/>
    <w:rPr>
      <w:rFonts w:ascii="Times New Roman" w:hAnsi="Times New Roman" w:eastAsia="黑体"/>
      <w:b/>
      <w:bCs/>
      <w:kern w:val="44"/>
      <w:sz w:val="32"/>
      <w:szCs w:val="44"/>
    </w:rPr>
  </w:style>
  <w:style w:type="character" w:customStyle="1" w:styleId="431">
    <w:name w:val="纯文本 Char Char Char Char Char Char Char"/>
    <w:qFormat/>
    <w:uiPriority w:val="0"/>
    <w:rPr>
      <w:rFonts w:ascii="宋体" w:hAnsi="Courier New" w:eastAsia="宋体" w:cs="Courier New"/>
      <w:kern w:val="2"/>
      <w:sz w:val="21"/>
      <w:szCs w:val="21"/>
      <w:lang w:val="en-US" w:eastAsia="zh-CN" w:bidi="ar-SA"/>
    </w:rPr>
  </w:style>
  <w:style w:type="character" w:customStyle="1" w:styleId="432">
    <w:name w:val="样式 正文+首行缩进2字符 + 黑色 Char Char"/>
    <w:qFormat/>
    <w:uiPriority w:val="0"/>
    <w:rPr>
      <w:rFonts w:ascii="宋体" w:hAnsi="宋体" w:eastAsia="宋体" w:cs="宋体"/>
      <w:color w:val="000000"/>
      <w:sz w:val="24"/>
      <w:szCs w:val="24"/>
      <w:lang w:val="en-US" w:eastAsia="zh-CN" w:bidi="ar-SA"/>
    </w:rPr>
  </w:style>
  <w:style w:type="character" w:customStyle="1" w:styleId="433">
    <w:name w:val="样式 标题 5标题 5 Char + 宋体 Char"/>
    <w:semiHidden/>
    <w:qFormat/>
    <w:uiPriority w:val="0"/>
    <w:rPr>
      <w:rFonts w:ascii="宋体" w:hAnsi="宋体" w:eastAsia="宋体"/>
      <w:snapToGrid w:val="0"/>
      <w:sz w:val="24"/>
      <w:szCs w:val="24"/>
      <w:lang w:val="en-US" w:eastAsia="zh-CN" w:bidi="ar-SA"/>
    </w:rPr>
  </w:style>
  <w:style w:type="character" w:customStyle="1" w:styleId="434">
    <w:name w:val="正文+首行缩进2字符 Char"/>
    <w:qFormat/>
    <w:uiPriority w:val="0"/>
    <w:rPr>
      <w:rFonts w:ascii="宋体" w:hAnsi="宋体" w:eastAsia="宋体" w:cs="宋体"/>
      <w:sz w:val="24"/>
      <w:lang w:val="en-US" w:eastAsia="zh-CN" w:bidi="ar-SA"/>
    </w:rPr>
  </w:style>
  <w:style w:type="character" w:customStyle="1" w:styleId="435">
    <w:name w:val="表头 Char Char Char Char"/>
    <w:qFormat/>
    <w:uiPriority w:val="0"/>
    <w:rPr>
      <w:rFonts w:ascii="宋体" w:hAnsi="Courier New" w:eastAsia="宋体" w:cs="宋体"/>
      <w:b/>
      <w:bCs/>
      <w:snapToGrid w:val="0"/>
      <w:kern w:val="2"/>
      <w:sz w:val="21"/>
      <w:szCs w:val="21"/>
      <w:lang w:val="en-US" w:eastAsia="zh-CN" w:bidi="ar-SA"/>
    </w:rPr>
  </w:style>
  <w:style w:type="character" w:customStyle="1" w:styleId="436">
    <w:name w:val="标题 4 Char Char2"/>
    <w:qFormat/>
    <w:uiPriority w:val="0"/>
    <w:rPr>
      <w:rFonts w:eastAsia="宋体"/>
      <w:sz w:val="24"/>
      <w:lang w:val="en-US" w:eastAsia="zh-CN" w:bidi="ar-SA"/>
    </w:rPr>
  </w:style>
  <w:style w:type="character" w:customStyle="1" w:styleId="437">
    <w:name w:val="四级标题-水保 Char"/>
    <w:link w:val="438"/>
    <w:qFormat/>
    <w:uiPriority w:val="1"/>
    <w:rPr>
      <w:b/>
      <w:sz w:val="24"/>
    </w:rPr>
  </w:style>
  <w:style w:type="paragraph" w:customStyle="1" w:styleId="438">
    <w:name w:val="四级标题-水保"/>
    <w:link w:val="437"/>
    <w:qFormat/>
    <w:uiPriority w:val="1"/>
    <w:pPr>
      <w:keepNext/>
      <w:spacing w:line="360" w:lineRule="auto"/>
      <w:jc w:val="both"/>
      <w:outlineLvl w:val="3"/>
    </w:pPr>
    <w:rPr>
      <w:rFonts w:ascii="Calibri" w:hAnsi="Calibri" w:eastAsia="宋体" w:cs="Times New Roman"/>
      <w:b/>
      <w:sz w:val="24"/>
      <w:lang w:val="en-US" w:eastAsia="zh-CN" w:bidi="ar-SA"/>
    </w:rPr>
  </w:style>
  <w:style w:type="character" w:customStyle="1" w:styleId="439">
    <w:name w:val="正文01 Char"/>
    <w:link w:val="440"/>
    <w:qFormat/>
    <w:uiPriority w:val="0"/>
    <w:rPr>
      <w:rFonts w:ascii="Arial" w:hAnsi="Arial" w:cs="Arial"/>
      <w:kern w:val="2"/>
      <w:sz w:val="24"/>
      <w:szCs w:val="24"/>
    </w:rPr>
  </w:style>
  <w:style w:type="paragraph" w:customStyle="1" w:styleId="440">
    <w:name w:val="正文01"/>
    <w:basedOn w:val="24"/>
    <w:link w:val="439"/>
    <w:qFormat/>
    <w:uiPriority w:val="0"/>
    <w:pPr>
      <w:spacing w:after="0" w:line="400" w:lineRule="exact"/>
      <w:ind w:left="0" w:leftChars="0"/>
    </w:pPr>
    <w:rPr>
      <w:rFonts w:ascii="Arial" w:hAnsi="Arial" w:cs="Arial"/>
      <w:szCs w:val="24"/>
    </w:rPr>
  </w:style>
  <w:style w:type="character" w:customStyle="1" w:styleId="441">
    <w:name w:val="10.2.2 Char Char"/>
    <w:link w:val="442"/>
    <w:qFormat/>
    <w:uiPriority w:val="0"/>
    <w:rPr>
      <w:rFonts w:ascii="宋体" w:hAnsi="宋体"/>
      <w:bCs/>
      <w:sz w:val="28"/>
      <w:szCs w:val="28"/>
    </w:rPr>
  </w:style>
  <w:style w:type="paragraph" w:customStyle="1" w:styleId="442">
    <w:name w:val="10.2.2"/>
    <w:basedOn w:val="15"/>
    <w:link w:val="441"/>
    <w:qFormat/>
    <w:uiPriority w:val="0"/>
    <w:pPr>
      <w:adjustRightInd w:val="0"/>
      <w:snapToGrid w:val="0"/>
      <w:spacing w:line="336" w:lineRule="auto"/>
      <w:ind w:firstLine="200"/>
    </w:pPr>
    <w:rPr>
      <w:rFonts w:ascii="宋体" w:hAnsi="宋体"/>
      <w:bCs/>
      <w:kern w:val="0"/>
      <w:sz w:val="28"/>
      <w:szCs w:val="28"/>
    </w:rPr>
  </w:style>
  <w:style w:type="character" w:customStyle="1" w:styleId="443">
    <w:name w:val="正文文本 3 Char1"/>
    <w:semiHidden/>
    <w:qFormat/>
    <w:uiPriority w:val="99"/>
    <w:rPr>
      <w:kern w:val="2"/>
      <w:sz w:val="16"/>
      <w:szCs w:val="16"/>
    </w:rPr>
  </w:style>
  <w:style w:type="character" w:customStyle="1" w:styleId="444">
    <w:name w:val="样式 标题 3标题 3 Char Char Char Char标题 3 Char Char Char + Times New... Char"/>
    <w:qFormat/>
    <w:uiPriority w:val="0"/>
    <w:rPr>
      <w:rFonts w:eastAsia="黑体"/>
      <w:bCs/>
      <w:snapToGrid w:val="0"/>
      <w:color w:val="000000"/>
      <w:sz w:val="24"/>
      <w:szCs w:val="24"/>
      <w:lang w:val="en-US" w:eastAsia="zh-CN" w:bidi="ar-SA"/>
    </w:rPr>
  </w:style>
  <w:style w:type="character" w:customStyle="1" w:styleId="445">
    <w:name w:val="表名 Char3"/>
    <w:qFormat/>
    <w:uiPriority w:val="0"/>
    <w:rPr>
      <w:rFonts w:eastAsia="黑体"/>
      <w:sz w:val="21"/>
      <w:szCs w:val="21"/>
      <w:lang w:val="en-US" w:eastAsia="zh-CN" w:bidi="ar-SA"/>
    </w:rPr>
  </w:style>
  <w:style w:type="character" w:customStyle="1" w:styleId="446">
    <w:name w:val="二级标题-水保 Char"/>
    <w:link w:val="447"/>
    <w:qFormat/>
    <w:uiPriority w:val="0"/>
    <w:rPr>
      <w:rFonts w:eastAsia="黑体"/>
      <w:b/>
      <w:kern w:val="2"/>
      <w:sz w:val="28"/>
      <w:szCs w:val="24"/>
    </w:rPr>
  </w:style>
  <w:style w:type="paragraph" w:customStyle="1" w:styleId="447">
    <w:name w:val="二级标题-水保"/>
    <w:next w:val="1"/>
    <w:link w:val="446"/>
    <w:qFormat/>
    <w:uiPriority w:val="0"/>
    <w:pPr>
      <w:keepNext/>
      <w:spacing w:line="360" w:lineRule="auto"/>
      <w:jc w:val="both"/>
      <w:outlineLvl w:val="1"/>
    </w:pPr>
    <w:rPr>
      <w:rFonts w:ascii="Calibri" w:hAnsi="Calibri" w:eastAsia="黑体" w:cs="Times New Roman"/>
      <w:b/>
      <w:kern w:val="2"/>
      <w:sz w:val="28"/>
      <w:szCs w:val="24"/>
      <w:lang w:val="en-US" w:eastAsia="zh-CN" w:bidi="ar-SA"/>
    </w:rPr>
  </w:style>
  <w:style w:type="character" w:customStyle="1" w:styleId="448">
    <w:name w:val="表名称 Char"/>
    <w:qFormat/>
    <w:uiPriority w:val="0"/>
    <w:rPr>
      <w:rFonts w:ascii="黑体" w:hAnsi="黑体" w:eastAsia="黑体" w:cs="宋体"/>
      <w:kern w:val="2"/>
      <w:sz w:val="21"/>
      <w:lang w:val="en-US" w:eastAsia="zh-CN" w:bidi="ar-SA"/>
    </w:rPr>
  </w:style>
  <w:style w:type="character" w:customStyle="1" w:styleId="449">
    <w:name w:val="日期 Char1"/>
    <w:semiHidden/>
    <w:qFormat/>
    <w:uiPriority w:val="99"/>
    <w:rPr>
      <w:kern w:val="2"/>
      <w:sz w:val="24"/>
      <w:szCs w:val="24"/>
    </w:rPr>
  </w:style>
  <w:style w:type="character" w:customStyle="1" w:styleId="450">
    <w:name w:val="xyb自建正文 Char"/>
    <w:link w:val="293"/>
    <w:qFormat/>
    <w:uiPriority w:val="0"/>
    <w:rPr>
      <w:rFonts w:ascii="宋体" w:hAnsi="宋体"/>
      <w:i/>
      <w:sz w:val="28"/>
      <w:szCs w:val="28"/>
    </w:rPr>
  </w:style>
  <w:style w:type="character" w:customStyle="1" w:styleId="451">
    <w:name w:val="表文 Char Char Char"/>
    <w:qFormat/>
    <w:uiPriority w:val="0"/>
    <w:rPr>
      <w:rFonts w:eastAsia="宋体"/>
      <w:kern w:val="2"/>
      <w:sz w:val="21"/>
      <w:lang w:val="en-US" w:eastAsia="zh-CN" w:bidi="ar-SA"/>
    </w:rPr>
  </w:style>
  <w:style w:type="character" w:customStyle="1" w:styleId="452">
    <w:name w:val="表文 Char Char1"/>
    <w:link w:val="453"/>
    <w:qFormat/>
    <w:uiPriority w:val="0"/>
    <w:rPr>
      <w:snapToGrid w:val="0"/>
      <w:sz w:val="21"/>
      <w:szCs w:val="21"/>
    </w:rPr>
  </w:style>
  <w:style w:type="paragraph" w:customStyle="1" w:styleId="453">
    <w:name w:val="表文 Char"/>
    <w:basedOn w:val="1"/>
    <w:link w:val="452"/>
    <w:qFormat/>
    <w:uiPriority w:val="0"/>
    <w:pPr>
      <w:autoSpaceDE w:val="0"/>
      <w:autoSpaceDN w:val="0"/>
      <w:adjustRightInd w:val="0"/>
      <w:spacing w:line="300" w:lineRule="exact"/>
      <w:jc w:val="center"/>
      <w:textAlignment w:val="baseline"/>
    </w:pPr>
    <w:rPr>
      <w:rFonts w:ascii="Calibri" w:hAnsi="Calibri"/>
      <w:snapToGrid w:val="0"/>
      <w:kern w:val="0"/>
      <w:sz w:val="21"/>
      <w:szCs w:val="21"/>
    </w:rPr>
  </w:style>
  <w:style w:type="character" w:customStyle="1" w:styleId="454">
    <w:name w:val="图下文字 Char"/>
    <w:link w:val="455"/>
    <w:qFormat/>
    <w:uiPriority w:val="0"/>
    <w:rPr>
      <w:b/>
      <w:sz w:val="21"/>
      <w:szCs w:val="21"/>
      <w:lang w:bidi="en-US"/>
    </w:rPr>
  </w:style>
  <w:style w:type="paragraph" w:customStyle="1" w:styleId="455">
    <w:name w:val="图下文字"/>
    <w:link w:val="454"/>
    <w:qFormat/>
    <w:uiPriority w:val="0"/>
    <w:pPr>
      <w:adjustRightInd w:val="0"/>
      <w:snapToGrid w:val="0"/>
      <w:spacing w:after="200" w:line="360" w:lineRule="auto"/>
      <w:jc w:val="center"/>
    </w:pPr>
    <w:rPr>
      <w:rFonts w:ascii="Calibri" w:hAnsi="Calibri" w:eastAsia="宋体" w:cs="Times New Roman"/>
      <w:b/>
      <w:sz w:val="21"/>
      <w:szCs w:val="21"/>
      <w:lang w:val="en-US" w:eastAsia="zh-CN" w:bidi="en-US"/>
    </w:rPr>
  </w:style>
  <w:style w:type="character" w:customStyle="1" w:styleId="456">
    <w:name w:val="样式 黑色"/>
    <w:qFormat/>
    <w:uiPriority w:val="0"/>
    <w:rPr>
      <w:rFonts w:eastAsia="宋体"/>
      <w:color w:val="auto"/>
      <w:sz w:val="28"/>
      <w:szCs w:val="28"/>
    </w:rPr>
  </w:style>
  <w:style w:type="character" w:customStyle="1" w:styleId="457">
    <w:name w:val="页脚 Char1"/>
    <w:semiHidden/>
    <w:qFormat/>
    <w:uiPriority w:val="99"/>
    <w:rPr>
      <w:kern w:val="2"/>
      <w:sz w:val="18"/>
      <w:szCs w:val="18"/>
    </w:rPr>
  </w:style>
  <w:style w:type="character" w:customStyle="1" w:styleId="458">
    <w:name w:val="样式 标题 3 + 小四 非加粗 Char Char Char Char Char Char Char Char Char Char Char Char Char Char Char Char Char Char Char"/>
    <w:qFormat/>
    <w:uiPriority w:val="0"/>
    <w:rPr>
      <w:rFonts w:eastAsia="黑体"/>
      <w:b/>
      <w:bCs/>
      <w:snapToGrid w:val="0"/>
      <w:kern w:val="2"/>
      <w:sz w:val="24"/>
      <w:szCs w:val="32"/>
      <w:lang w:val="en-US" w:eastAsia="zh-CN" w:bidi="ar-SA"/>
    </w:rPr>
  </w:style>
  <w:style w:type="character" w:customStyle="1" w:styleId="459">
    <w:name w:val="表文 Char2"/>
    <w:qFormat/>
    <w:uiPriority w:val="0"/>
    <w:rPr>
      <w:rFonts w:eastAsia="宋体"/>
      <w:sz w:val="18"/>
      <w:lang w:val="en-US" w:eastAsia="zh-CN" w:bidi="ar-SA"/>
    </w:rPr>
  </w:style>
  <w:style w:type="character" w:customStyle="1" w:styleId="460">
    <w:name w:val="样式 正文 Char"/>
    <w:link w:val="461"/>
    <w:qFormat/>
    <w:uiPriority w:val="0"/>
    <w:rPr>
      <w:rFonts w:ascii="宋体"/>
      <w:sz w:val="24"/>
      <w:szCs w:val="24"/>
    </w:rPr>
  </w:style>
  <w:style w:type="paragraph" w:customStyle="1" w:styleId="461">
    <w:name w:val="样式 正文"/>
    <w:basedOn w:val="1"/>
    <w:link w:val="460"/>
    <w:qFormat/>
    <w:uiPriority w:val="0"/>
    <w:pPr>
      <w:adjustRightInd w:val="0"/>
      <w:spacing w:line="560" w:lineRule="exact"/>
      <w:ind w:firstLine="480"/>
    </w:pPr>
    <w:rPr>
      <w:rFonts w:ascii="宋体" w:hAnsi="Calibri"/>
      <w:kern w:val="0"/>
      <w:szCs w:val="24"/>
    </w:rPr>
  </w:style>
  <w:style w:type="character" w:customStyle="1" w:styleId="462">
    <w:name w:val="样式 左侧:  0.98 厘米 Char1"/>
    <w:link w:val="463"/>
    <w:qFormat/>
    <w:uiPriority w:val="0"/>
    <w:rPr>
      <w:rFonts w:eastAsia="仿宋_GB2312"/>
      <w:sz w:val="28"/>
    </w:rPr>
  </w:style>
  <w:style w:type="paragraph" w:customStyle="1" w:styleId="463">
    <w:name w:val="样式 左侧:  0.98 厘米"/>
    <w:basedOn w:val="1"/>
    <w:link w:val="462"/>
    <w:qFormat/>
    <w:uiPriority w:val="0"/>
    <w:pPr>
      <w:adjustRightInd w:val="0"/>
      <w:snapToGrid w:val="0"/>
      <w:spacing w:line="490" w:lineRule="exact"/>
      <w:ind w:firstLine="560"/>
    </w:pPr>
    <w:rPr>
      <w:rFonts w:ascii="Calibri" w:hAnsi="Calibri" w:eastAsia="仿宋_GB2312"/>
      <w:kern w:val="0"/>
      <w:sz w:val="28"/>
      <w:szCs w:val="20"/>
    </w:rPr>
  </w:style>
  <w:style w:type="character" w:customStyle="1" w:styleId="464">
    <w:name w:val="图表标题 Char Char"/>
    <w:qFormat/>
    <w:uiPriority w:val="0"/>
    <w:rPr>
      <w:rFonts w:eastAsia="宋体"/>
      <w:kern w:val="2"/>
      <w:sz w:val="21"/>
      <w:lang w:val="en-US" w:eastAsia="zh-CN" w:bidi="ar-SA"/>
    </w:rPr>
  </w:style>
  <w:style w:type="character" w:customStyle="1" w:styleId="465">
    <w:name w:val="标题 5 Char Char1"/>
    <w:qFormat/>
    <w:uiPriority w:val="0"/>
    <w:rPr>
      <w:rFonts w:eastAsia="宋体"/>
      <w:sz w:val="24"/>
      <w:lang w:val="en-US" w:eastAsia="zh-CN" w:bidi="ar-SA"/>
    </w:rPr>
  </w:style>
  <w:style w:type="character" w:customStyle="1" w:styleId="466">
    <w:name w:val="报告正文 Char2"/>
    <w:link w:val="182"/>
    <w:qFormat/>
    <w:uiPriority w:val="0"/>
    <w:rPr>
      <w:rFonts w:ascii="Times New Roman" w:hAnsi="Times New Roman" w:eastAsia="华文中宋"/>
      <w:kern w:val="2"/>
      <w:sz w:val="24"/>
      <w:szCs w:val="24"/>
    </w:rPr>
  </w:style>
  <w:style w:type="character" w:customStyle="1" w:styleId="467">
    <w:name w:val="正文3 Char"/>
    <w:link w:val="468"/>
    <w:qFormat/>
    <w:uiPriority w:val="0"/>
    <w:rPr>
      <w:rFonts w:ascii="宋体"/>
      <w:color w:val="000000"/>
      <w:kern w:val="2"/>
      <w:sz w:val="24"/>
      <w:szCs w:val="24"/>
    </w:rPr>
  </w:style>
  <w:style w:type="paragraph" w:customStyle="1" w:styleId="468">
    <w:name w:val="正文3"/>
    <w:next w:val="1"/>
    <w:link w:val="467"/>
    <w:qFormat/>
    <w:uiPriority w:val="0"/>
    <w:pPr>
      <w:widowControl w:val="0"/>
      <w:tabs>
        <w:tab w:val="left" w:pos="6660"/>
      </w:tabs>
      <w:spacing w:line="360" w:lineRule="auto"/>
      <w:ind w:firstLine="449" w:firstLineChars="187"/>
      <w:jc w:val="center"/>
    </w:pPr>
    <w:rPr>
      <w:rFonts w:ascii="宋体" w:hAnsi="Calibri" w:eastAsia="宋体" w:cs="Times New Roman"/>
      <w:color w:val="000000"/>
      <w:kern w:val="2"/>
      <w:sz w:val="24"/>
      <w:szCs w:val="24"/>
      <w:lang w:val="en-US" w:eastAsia="zh-CN" w:bidi="ar-SA"/>
    </w:rPr>
  </w:style>
  <w:style w:type="character" w:customStyle="1" w:styleId="469">
    <w:name w:val="君邦正文 Char1"/>
    <w:link w:val="470"/>
    <w:qFormat/>
    <w:uiPriority w:val="0"/>
    <w:rPr>
      <w:rFonts w:ascii="宋体" w:hAnsi="宋体" w:eastAsia="Times New Roman"/>
      <w:kern w:val="2"/>
      <w:sz w:val="24"/>
      <w:szCs w:val="22"/>
    </w:rPr>
  </w:style>
  <w:style w:type="paragraph" w:customStyle="1" w:styleId="470">
    <w:name w:val="君邦正文"/>
    <w:link w:val="469"/>
    <w:qFormat/>
    <w:uiPriority w:val="0"/>
    <w:pPr>
      <w:spacing w:line="360" w:lineRule="auto"/>
      <w:ind w:left="-4" w:leftChars="-2" w:firstLine="480" w:firstLineChars="200"/>
      <w:jc w:val="both"/>
    </w:pPr>
    <w:rPr>
      <w:rFonts w:ascii="宋体" w:hAnsi="宋体" w:eastAsia="Times New Roman" w:cs="Times New Roman"/>
      <w:kern w:val="2"/>
      <w:sz w:val="24"/>
      <w:szCs w:val="22"/>
      <w:lang w:val="en-US" w:eastAsia="zh-CN" w:bidi="ar-SA"/>
    </w:rPr>
  </w:style>
  <w:style w:type="character" w:customStyle="1" w:styleId="471">
    <w:name w:val="样式17 Char"/>
    <w:link w:val="472"/>
    <w:qFormat/>
    <w:uiPriority w:val="0"/>
    <w:rPr>
      <w:kern w:val="2"/>
      <w:sz w:val="18"/>
      <w:szCs w:val="18"/>
    </w:rPr>
  </w:style>
  <w:style w:type="paragraph" w:customStyle="1" w:styleId="472">
    <w:name w:val="样式17"/>
    <w:basedOn w:val="39"/>
    <w:link w:val="471"/>
    <w:qFormat/>
    <w:uiPriority w:val="0"/>
    <w:pPr>
      <w:pBdr>
        <w:bottom w:val="none" w:color="auto" w:sz="0" w:space="0"/>
      </w:pBdr>
    </w:pPr>
    <w:rPr>
      <w:rFonts w:ascii="Calibri" w:hAnsi="Calibri"/>
    </w:rPr>
  </w:style>
  <w:style w:type="character" w:customStyle="1" w:styleId="473">
    <w:name w:val="0水保正文 Char Char"/>
    <w:link w:val="474"/>
    <w:qFormat/>
    <w:uiPriority w:val="0"/>
    <w:rPr>
      <w:rFonts w:ascii="宋体" w:hAnsi="宋体"/>
      <w:color w:val="000000"/>
      <w:sz w:val="24"/>
      <w:szCs w:val="24"/>
    </w:rPr>
  </w:style>
  <w:style w:type="paragraph" w:customStyle="1" w:styleId="474">
    <w:name w:val="0水保正文"/>
    <w:basedOn w:val="1"/>
    <w:link w:val="473"/>
    <w:qFormat/>
    <w:uiPriority w:val="0"/>
    <w:pPr>
      <w:ind w:firstLine="480"/>
    </w:pPr>
    <w:rPr>
      <w:rFonts w:ascii="宋体" w:hAnsi="宋体"/>
      <w:color w:val="000000"/>
      <w:kern w:val="0"/>
      <w:szCs w:val="24"/>
    </w:rPr>
  </w:style>
  <w:style w:type="character" w:customStyle="1" w:styleId="475">
    <w:name w:val="表名 Char"/>
    <w:link w:val="180"/>
    <w:qFormat/>
    <w:uiPriority w:val="0"/>
    <w:rPr>
      <w:rFonts w:ascii="华文楷体" w:hAnsi="华文楷体" w:eastAsia="华文楷体"/>
      <w:b/>
      <w:bCs/>
      <w:kern w:val="2"/>
      <w:sz w:val="24"/>
      <w:szCs w:val="24"/>
    </w:rPr>
  </w:style>
  <w:style w:type="character" w:customStyle="1" w:styleId="476">
    <w:name w:val="9 Char"/>
    <w:link w:val="477"/>
    <w:qFormat/>
    <w:uiPriority w:val="0"/>
    <w:rPr>
      <w:sz w:val="24"/>
    </w:rPr>
  </w:style>
  <w:style w:type="paragraph" w:customStyle="1" w:styleId="477">
    <w:name w:val="9"/>
    <w:basedOn w:val="1"/>
    <w:link w:val="476"/>
    <w:qFormat/>
    <w:uiPriority w:val="0"/>
    <w:pPr>
      <w:spacing w:beforeLines="30" w:afterLines="30"/>
      <w:ind w:firstLine="540" w:firstLineChars="225"/>
    </w:pPr>
    <w:rPr>
      <w:rFonts w:ascii="Calibri" w:hAnsi="Calibri"/>
      <w:kern w:val="0"/>
      <w:szCs w:val="20"/>
    </w:rPr>
  </w:style>
  <w:style w:type="character" w:customStyle="1" w:styleId="478">
    <w:name w:val="表号 Char Char Char Char Char"/>
    <w:qFormat/>
    <w:uiPriority w:val="0"/>
    <w:rPr>
      <w:rFonts w:ascii="宋体" w:hAnsi="宋体" w:eastAsia="宋体"/>
      <w:bCs/>
      <w:snapToGrid w:val="0"/>
      <w:sz w:val="21"/>
      <w:szCs w:val="21"/>
      <w:lang w:val="en-US" w:eastAsia="zh-CN" w:bidi="ar-SA"/>
    </w:rPr>
  </w:style>
  <w:style w:type="character" w:customStyle="1" w:styleId="479">
    <w:name w:val="样式 样式 正文（首行缩进两字） + 首行缩进:  2 字符 + Char"/>
    <w:link w:val="480"/>
    <w:qFormat/>
    <w:uiPriority w:val="0"/>
    <w:rPr>
      <w:rFonts w:cs="宋体"/>
      <w:sz w:val="24"/>
    </w:rPr>
  </w:style>
  <w:style w:type="paragraph" w:customStyle="1" w:styleId="480">
    <w:name w:val="样式 样式 正文（首行缩进两字） + 首行缩进:  2 字符 +"/>
    <w:basedOn w:val="419"/>
    <w:link w:val="479"/>
    <w:qFormat/>
    <w:uiPriority w:val="0"/>
    <w:pPr>
      <w:spacing w:before="100" w:beforeAutospacing="1" w:after="100" w:afterAutospacing="1"/>
      <w:ind w:firstLine="200"/>
    </w:pPr>
    <w:rPr>
      <w:kern w:val="0"/>
    </w:rPr>
  </w:style>
  <w:style w:type="character" w:customStyle="1" w:styleId="481">
    <w:name w:val="表文 Char Char Char Char Char"/>
    <w:qFormat/>
    <w:uiPriority w:val="0"/>
    <w:rPr>
      <w:rFonts w:eastAsia="宋体"/>
      <w:snapToGrid w:val="0"/>
      <w:kern w:val="2"/>
      <w:sz w:val="18"/>
      <w:szCs w:val="24"/>
      <w:lang w:val="en-US" w:eastAsia="zh-CN" w:bidi="ar-SA"/>
    </w:rPr>
  </w:style>
  <w:style w:type="character" w:customStyle="1" w:styleId="482">
    <w:name w:val="报告正文 Char Char"/>
    <w:qFormat/>
    <w:uiPriority w:val="0"/>
    <w:rPr>
      <w:rFonts w:ascii="宋体" w:hAnsi="Courier New" w:eastAsia="宋体"/>
      <w:kern w:val="2"/>
      <w:sz w:val="24"/>
      <w:lang w:val="en-US" w:eastAsia="zh-CN" w:bidi="ar-SA"/>
    </w:rPr>
  </w:style>
  <w:style w:type="character" w:customStyle="1" w:styleId="483">
    <w:name w:val="标题 4 Char Char"/>
    <w:qFormat/>
    <w:uiPriority w:val="0"/>
    <w:rPr>
      <w:rFonts w:eastAsia="宋体"/>
      <w:b/>
      <w:bCs/>
      <w:sz w:val="24"/>
      <w:lang w:val="en-US" w:eastAsia="zh-CN" w:bidi="ar-SA"/>
    </w:rPr>
  </w:style>
  <w:style w:type="character" w:customStyle="1" w:styleId="484">
    <w:name w:val="Char Char Char Char Char"/>
    <w:link w:val="245"/>
    <w:qFormat/>
    <w:uiPriority w:val="0"/>
    <w:rPr>
      <w:rFonts w:ascii="宋体" w:hAnsi="Times New Roman" w:cs="宋体"/>
      <w:kern w:val="2"/>
      <w:sz w:val="21"/>
      <w:szCs w:val="21"/>
    </w:rPr>
  </w:style>
  <w:style w:type="character" w:customStyle="1" w:styleId="485">
    <w:name w:val="标书正文 Char"/>
    <w:link w:val="486"/>
    <w:qFormat/>
    <w:uiPriority w:val="0"/>
    <w:rPr>
      <w:rFonts w:ascii="宋体" w:hAnsi="宋体"/>
      <w:kern w:val="32"/>
      <w:sz w:val="28"/>
      <w:szCs w:val="28"/>
    </w:rPr>
  </w:style>
  <w:style w:type="paragraph" w:customStyle="1" w:styleId="486">
    <w:name w:val="标书正文"/>
    <w:basedOn w:val="1"/>
    <w:link w:val="485"/>
    <w:qFormat/>
    <w:uiPriority w:val="0"/>
    <w:rPr>
      <w:rFonts w:ascii="宋体" w:hAnsi="宋体"/>
      <w:kern w:val="32"/>
      <w:sz w:val="28"/>
      <w:szCs w:val="28"/>
    </w:rPr>
  </w:style>
  <w:style w:type="character" w:customStyle="1" w:styleId="487">
    <w:name w:val="二级标题 Char Char"/>
    <w:qFormat/>
    <w:uiPriority w:val="0"/>
    <w:rPr>
      <w:rFonts w:ascii="Times New Roman" w:hAnsi="Times New Roman" w:eastAsia="黑体" w:cs="Times New Roman"/>
      <w:b/>
      <w:bCs/>
      <w:kern w:val="2"/>
      <w:sz w:val="28"/>
      <w:szCs w:val="32"/>
    </w:rPr>
  </w:style>
  <w:style w:type="character" w:customStyle="1" w:styleId="488">
    <w:name w:val="123YJ Char1"/>
    <w:qFormat/>
    <w:uiPriority w:val="0"/>
    <w:rPr>
      <w:rFonts w:eastAsia="宋体"/>
      <w:kern w:val="2"/>
      <w:sz w:val="18"/>
      <w:szCs w:val="18"/>
      <w:lang w:val="en-US" w:eastAsia="zh-CN" w:bidi="ar-SA"/>
    </w:rPr>
  </w:style>
  <w:style w:type="character" w:customStyle="1" w:styleId="489">
    <w:name w:val="Char Char162"/>
    <w:qFormat/>
    <w:locked/>
    <w:uiPriority w:val="0"/>
    <w:rPr>
      <w:sz w:val="24"/>
    </w:rPr>
  </w:style>
  <w:style w:type="character" w:customStyle="1" w:styleId="490">
    <w:name w:val="正文文本缩进 3 Char1"/>
    <w:semiHidden/>
    <w:qFormat/>
    <w:uiPriority w:val="99"/>
    <w:rPr>
      <w:kern w:val="2"/>
      <w:sz w:val="16"/>
      <w:szCs w:val="16"/>
    </w:rPr>
  </w:style>
  <w:style w:type="character" w:customStyle="1" w:styleId="491">
    <w:name w:val="HTML 预设格式 Char1"/>
    <w:semiHidden/>
    <w:qFormat/>
    <w:uiPriority w:val="99"/>
    <w:rPr>
      <w:rFonts w:ascii="Courier New" w:hAnsi="Courier New" w:cs="Courier New"/>
      <w:kern w:val="2"/>
    </w:rPr>
  </w:style>
  <w:style w:type="character" w:customStyle="1" w:styleId="492">
    <w:name w:val="Char Char Char Char Char1"/>
    <w:link w:val="209"/>
    <w:qFormat/>
    <w:uiPriority w:val="0"/>
    <w:rPr>
      <w:rFonts w:ascii="宋体" w:hAnsi="Times New Roman" w:cs="宋体"/>
      <w:kern w:val="2"/>
      <w:sz w:val="21"/>
      <w:szCs w:val="21"/>
    </w:rPr>
  </w:style>
  <w:style w:type="character" w:customStyle="1" w:styleId="493">
    <w:name w:val="默认段落字体 Para Char Char"/>
    <w:link w:val="236"/>
    <w:qFormat/>
    <w:uiPriority w:val="0"/>
    <w:rPr>
      <w:rFonts w:ascii="Times New Roman" w:hAnsi="Times New Roman"/>
      <w:kern w:val="2"/>
      <w:sz w:val="21"/>
    </w:rPr>
  </w:style>
  <w:style w:type="character" w:customStyle="1" w:styleId="494">
    <w:name w:val="样式10 Char"/>
    <w:link w:val="495"/>
    <w:qFormat/>
    <w:uiPriority w:val="0"/>
    <w:rPr>
      <w:kern w:val="2"/>
      <w:sz w:val="18"/>
      <w:szCs w:val="21"/>
    </w:rPr>
  </w:style>
  <w:style w:type="paragraph" w:customStyle="1" w:styleId="495">
    <w:name w:val="样式10"/>
    <w:basedOn w:val="39"/>
    <w:link w:val="494"/>
    <w:qFormat/>
    <w:uiPriority w:val="0"/>
    <w:pPr>
      <w:pBdr>
        <w:bottom w:val="none" w:color="auto" w:sz="0" w:space="0"/>
      </w:pBdr>
    </w:pPr>
    <w:rPr>
      <w:rFonts w:ascii="Calibri" w:hAnsi="Calibri"/>
      <w:szCs w:val="21"/>
    </w:rPr>
  </w:style>
  <w:style w:type="character" w:customStyle="1" w:styleId="496">
    <w:name w:val="表名 Char Char Char"/>
    <w:qFormat/>
    <w:uiPriority w:val="0"/>
    <w:rPr>
      <w:rFonts w:ascii="Arial" w:hAnsi="Arial" w:eastAsia="黑体"/>
      <w:kern w:val="2"/>
      <w:sz w:val="21"/>
      <w:lang w:val="en-US" w:eastAsia="zh-CN" w:bidi="ar-SA"/>
    </w:rPr>
  </w:style>
  <w:style w:type="character" w:customStyle="1" w:styleId="497">
    <w:name w:val="表标题 Char"/>
    <w:link w:val="498"/>
    <w:qFormat/>
    <w:uiPriority w:val="0"/>
    <w:rPr>
      <w:rFonts w:hAnsi="宋体"/>
      <w:b/>
      <w:bCs/>
      <w:color w:val="000000"/>
      <w:kern w:val="28"/>
      <w:sz w:val="21"/>
      <w:szCs w:val="21"/>
    </w:rPr>
  </w:style>
  <w:style w:type="paragraph" w:customStyle="1" w:styleId="498">
    <w:name w:val="表标题"/>
    <w:basedOn w:val="1"/>
    <w:next w:val="1"/>
    <w:link w:val="497"/>
    <w:qFormat/>
    <w:uiPriority w:val="0"/>
    <w:pPr>
      <w:topLinePunct/>
      <w:autoSpaceDE w:val="0"/>
      <w:spacing w:before="120" w:after="48"/>
      <w:ind w:firstLine="0" w:firstLineChars="0"/>
      <w:jc w:val="center"/>
      <w:textAlignment w:val="baseline"/>
    </w:pPr>
    <w:rPr>
      <w:rFonts w:ascii="Calibri" w:hAnsi="宋体"/>
      <w:b/>
      <w:bCs/>
      <w:color w:val="000000"/>
      <w:kern w:val="28"/>
      <w:sz w:val="21"/>
      <w:szCs w:val="21"/>
    </w:rPr>
  </w:style>
  <w:style w:type="paragraph" w:customStyle="1" w:styleId="499">
    <w:name w:val="样式 样式 样式 样式 样式 宋体 小四 行距: 1.5 倍行距 + 首行缩进:  2 字符 + 首行缩进:  2 字符 段前:...2"/>
    <w:basedOn w:val="1"/>
    <w:qFormat/>
    <w:uiPriority w:val="0"/>
    <w:pPr>
      <w:adjustRightInd w:val="0"/>
      <w:snapToGrid w:val="0"/>
    </w:pPr>
    <w:rPr>
      <w:rFonts w:cs="宋体"/>
      <w:szCs w:val="20"/>
    </w:rPr>
  </w:style>
  <w:style w:type="paragraph" w:customStyle="1" w:styleId="500">
    <w:name w:val="样式 样式 样式 样式 小四 蓝色 行距: 固定值 30 磅 + 行距: 1.5 倍行距 + 自动设置 + 蓝色"/>
    <w:basedOn w:val="1"/>
    <w:qFormat/>
    <w:uiPriority w:val="0"/>
    <w:pPr>
      <w:ind w:firstLine="480"/>
    </w:pPr>
    <w:rPr>
      <w:rFonts w:cs="宋体"/>
      <w:color w:val="0000FF"/>
      <w:szCs w:val="20"/>
    </w:rPr>
  </w:style>
  <w:style w:type="paragraph" w:customStyle="1" w:styleId="501">
    <w:name w:val="xl152"/>
    <w:basedOn w:val="1"/>
    <w:qFormat/>
    <w:uiPriority w:val="0"/>
    <w:pPr>
      <w:widowControl/>
      <w:spacing w:before="100" w:beforeAutospacing="1" w:after="100" w:afterAutospacing="1"/>
      <w:jc w:val="center"/>
      <w:textAlignment w:val="center"/>
    </w:pPr>
    <w:rPr>
      <w:rFonts w:ascii="宋体" w:hAnsi="宋体" w:cs="宋体"/>
      <w:kern w:val="0"/>
      <w:szCs w:val="21"/>
    </w:rPr>
  </w:style>
  <w:style w:type="paragraph" w:customStyle="1" w:styleId="502">
    <w:name w:val="报告表格"/>
    <w:basedOn w:val="1"/>
    <w:next w:val="1"/>
    <w:qFormat/>
    <w:uiPriority w:val="0"/>
    <w:pPr>
      <w:adjustRightInd w:val="0"/>
      <w:snapToGrid w:val="0"/>
      <w:ind w:firstLine="630" w:firstLineChars="300"/>
      <w:jc w:val="center"/>
    </w:pPr>
    <w:rPr>
      <w:rFonts w:ascii="黑体" w:eastAsia="黑体"/>
      <w:szCs w:val="21"/>
    </w:rPr>
  </w:style>
  <w:style w:type="paragraph" w:customStyle="1" w:styleId="503">
    <w:name w:val="xl89"/>
    <w:basedOn w:val="1"/>
    <w:qFormat/>
    <w:uiPriority w:val="0"/>
    <w:pPr>
      <w:widowControl/>
      <w:spacing w:before="100" w:beforeAutospacing="1" w:after="100" w:afterAutospacing="1"/>
      <w:jc w:val="center"/>
      <w:textAlignment w:val="top"/>
    </w:pPr>
    <w:rPr>
      <w:rFonts w:ascii="宋体" w:hAnsi="宋体" w:cs="宋体"/>
      <w:kern w:val="0"/>
      <w:szCs w:val="21"/>
    </w:rPr>
  </w:style>
  <w:style w:type="paragraph" w:customStyle="1" w:styleId="504">
    <w:name w:val="水保4级"/>
    <w:basedOn w:val="6"/>
    <w:qFormat/>
    <w:uiPriority w:val="0"/>
    <w:pPr>
      <w:spacing w:line="360" w:lineRule="auto"/>
    </w:pPr>
    <w:rPr>
      <w:rFonts w:ascii="Arial" w:hAnsi="Arial"/>
      <w:b w:val="0"/>
      <w:sz w:val="24"/>
    </w:rPr>
  </w:style>
  <w:style w:type="paragraph" w:customStyle="1" w:styleId="505">
    <w:name w:val="标题四"/>
    <w:basedOn w:val="1"/>
    <w:next w:val="6"/>
    <w:semiHidden/>
    <w:qFormat/>
    <w:uiPriority w:val="0"/>
    <w:pPr>
      <w:keepNext/>
      <w:jc w:val="left"/>
    </w:pPr>
    <w:rPr>
      <w:b/>
      <w:color w:val="FF0000"/>
      <w:szCs w:val="24"/>
    </w:rPr>
  </w:style>
  <w:style w:type="paragraph" w:customStyle="1" w:styleId="506">
    <w:name w:val="标题二"/>
    <w:basedOn w:val="4"/>
    <w:qFormat/>
    <w:uiPriority w:val="0"/>
    <w:pPr>
      <w:jc w:val="left"/>
    </w:pPr>
  </w:style>
  <w:style w:type="paragraph" w:customStyle="1" w:styleId="507">
    <w:name w:val="xl79"/>
    <w:basedOn w:val="1"/>
    <w:qFormat/>
    <w:uiPriority w:val="0"/>
    <w:pPr>
      <w:widowControl/>
      <w:spacing w:before="100" w:beforeAutospacing="1" w:after="100" w:afterAutospacing="1"/>
      <w:jc w:val="center"/>
    </w:pPr>
    <w:rPr>
      <w:rFonts w:ascii="宋体" w:hAnsi="宋体" w:cs="宋体"/>
      <w:color w:val="000000"/>
      <w:kern w:val="0"/>
      <w:szCs w:val="24"/>
    </w:rPr>
  </w:style>
  <w:style w:type="paragraph" w:customStyle="1" w:styleId="508">
    <w:name w:val="样式 标题 1一级标题 CharCharChar Char Char Char + (中文) 黑体 三号 居中 段..."/>
    <w:basedOn w:val="3"/>
    <w:qFormat/>
    <w:uiPriority w:val="0"/>
    <w:pPr>
      <w:keepNext w:val="0"/>
      <w:keepLines w:val="0"/>
      <w:pageBreakBefore/>
      <w:tabs>
        <w:tab w:val="left" w:pos="840"/>
      </w:tabs>
      <w:autoSpaceDE w:val="0"/>
      <w:autoSpaceDN w:val="0"/>
      <w:adjustRightInd w:val="0"/>
      <w:spacing w:before="240" w:after="180"/>
      <w:textAlignment w:val="baseline"/>
    </w:pPr>
    <w:rPr>
      <w:rFonts w:cs="宋体"/>
      <w:b/>
      <w:bCs w:val="0"/>
      <w:kern w:val="0"/>
      <w:szCs w:val="20"/>
    </w:rPr>
  </w:style>
  <w:style w:type="paragraph" w:customStyle="1" w:styleId="509">
    <w:name w:val="表名 Char Char Char Char"/>
    <w:basedOn w:val="1"/>
    <w:qFormat/>
    <w:uiPriority w:val="0"/>
    <w:pPr>
      <w:autoSpaceDE w:val="0"/>
      <w:autoSpaceDN w:val="0"/>
      <w:adjustRightInd w:val="0"/>
      <w:snapToGrid w:val="0"/>
      <w:spacing w:before="163"/>
      <w:jc w:val="center"/>
      <w:textAlignment w:val="baseline"/>
    </w:pPr>
    <w:rPr>
      <w:rFonts w:ascii="Arial" w:hAnsi="Arial" w:eastAsia="黑体"/>
      <w:szCs w:val="21"/>
    </w:rPr>
  </w:style>
  <w:style w:type="paragraph" w:customStyle="1" w:styleId="510">
    <w:name w:val="样式 标题 4 + 段前: 1 行 段后: 3 磅1"/>
    <w:basedOn w:val="6"/>
    <w:qFormat/>
    <w:uiPriority w:val="0"/>
    <w:pPr>
      <w:tabs>
        <w:tab w:val="left" w:pos="864"/>
      </w:tabs>
      <w:adjustRightInd w:val="0"/>
      <w:spacing w:before="100" w:beforeAutospacing="1" w:after="100" w:afterAutospacing="1" w:line="360" w:lineRule="auto"/>
      <w:ind w:left="864" w:hanging="864"/>
    </w:pPr>
    <w:rPr>
      <w:rFonts w:ascii="Times New Roman" w:hAnsi="Times New Roman" w:cs="宋体"/>
      <w:sz w:val="24"/>
      <w:szCs w:val="20"/>
    </w:rPr>
  </w:style>
  <w:style w:type="paragraph" w:customStyle="1" w:styleId="511">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Cs w:val="21"/>
    </w:rPr>
  </w:style>
  <w:style w:type="paragraph" w:customStyle="1" w:styleId="512">
    <w:name w:val="样式 首行缩进:  1.69 字符"/>
    <w:basedOn w:val="1"/>
    <w:semiHidden/>
    <w:qFormat/>
    <w:uiPriority w:val="0"/>
    <w:pPr>
      <w:adjustRightInd w:val="0"/>
      <w:snapToGrid w:val="0"/>
      <w:ind w:firstLine="380"/>
      <w:textAlignment w:val="baseline"/>
    </w:pPr>
    <w:rPr>
      <w:snapToGrid w:val="0"/>
      <w:kern w:val="0"/>
      <w:szCs w:val="24"/>
    </w:rPr>
  </w:style>
  <w:style w:type="paragraph" w:customStyle="1" w:styleId="513">
    <w:name w:val="样式 宋体 小四 两端对齐 行距: 1.5 倍行距 首行缩进:  2 字符"/>
    <w:basedOn w:val="1"/>
    <w:qFormat/>
    <w:uiPriority w:val="0"/>
    <w:pPr>
      <w:widowControl/>
      <w:ind w:firstLine="480"/>
    </w:pPr>
    <w:rPr>
      <w:kern w:val="0"/>
      <w:szCs w:val="24"/>
    </w:rPr>
  </w:style>
  <w:style w:type="paragraph" w:customStyle="1" w:styleId="514">
    <w:name w:val="样式 表格 + 左侧:  0.98 厘米"/>
    <w:basedOn w:val="1"/>
    <w:qFormat/>
    <w:uiPriority w:val="0"/>
    <w:pPr>
      <w:adjustRightInd w:val="0"/>
      <w:snapToGrid w:val="0"/>
      <w:spacing w:before="100" w:beforeAutospacing="1" w:after="100" w:afterAutospacing="1" w:line="300" w:lineRule="auto"/>
    </w:pPr>
    <w:rPr>
      <w:rFonts w:ascii="Arial" w:hAnsi="Arial"/>
      <w:snapToGrid w:val="0"/>
      <w:kern w:val="0"/>
      <w:szCs w:val="20"/>
    </w:rPr>
  </w:style>
  <w:style w:type="paragraph" w:customStyle="1" w:styleId="515">
    <w:name w:val="样式 正文缩进正文（首行缩进两字） Char正文（首行缩进两字） Char Chars4正文缩进 Chars4 Cha...1"/>
    <w:basedOn w:val="15"/>
    <w:qFormat/>
    <w:uiPriority w:val="0"/>
    <w:pPr>
      <w:spacing w:line="360" w:lineRule="auto"/>
      <w:ind w:firstLine="200"/>
    </w:pPr>
    <w:rPr>
      <w:rFonts w:cs="宋体"/>
      <w:kern w:val="0"/>
      <w:sz w:val="20"/>
    </w:rPr>
  </w:style>
  <w:style w:type="paragraph" w:customStyle="1" w:styleId="516">
    <w:name w:val="Char2 Char Char Char Char Char Char1 Char Char Char Char Char Char"/>
    <w:basedOn w:val="1"/>
    <w:qFormat/>
    <w:uiPriority w:val="0"/>
    <w:rPr>
      <w:rFonts w:ascii="宋体" w:hAnsi="宋体" w:cs="宋体"/>
      <w:szCs w:val="24"/>
    </w:rPr>
  </w:style>
  <w:style w:type="paragraph" w:customStyle="1" w:styleId="517">
    <w:name w:val="xl1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Cs w:val="21"/>
    </w:rPr>
  </w:style>
  <w:style w:type="character" w:customStyle="1" w:styleId="518">
    <w:name w:val="题注 Char"/>
    <w:link w:val="16"/>
    <w:qFormat/>
    <w:uiPriority w:val="0"/>
    <w:rPr>
      <w:rFonts w:ascii="Arial" w:hAnsi="Arial" w:cs="Arial"/>
      <w:kern w:val="2"/>
      <w:sz w:val="24"/>
    </w:rPr>
  </w:style>
  <w:style w:type="paragraph" w:customStyle="1" w:styleId="519">
    <w:name w:val="标准"/>
    <w:basedOn w:val="1"/>
    <w:qFormat/>
    <w:uiPriority w:val="0"/>
    <w:pPr>
      <w:adjustRightInd w:val="0"/>
      <w:spacing w:line="308" w:lineRule="atLeast"/>
      <w:jc w:val="center"/>
      <w:textAlignment w:val="baseline"/>
    </w:pPr>
    <w:rPr>
      <w:rFonts w:eastAsia="仿宋_GB2312"/>
      <w:kern w:val="0"/>
      <w:szCs w:val="20"/>
    </w:rPr>
  </w:style>
  <w:style w:type="paragraph" w:customStyle="1" w:styleId="520">
    <w:name w:val="样式 标题 3 + 首行缩进:  0 厘米"/>
    <w:basedOn w:val="5"/>
    <w:qFormat/>
    <w:uiPriority w:val="0"/>
    <w:pPr>
      <w:tabs>
        <w:tab w:val="left" w:leader="dot" w:pos="284"/>
      </w:tabs>
      <w:spacing w:line="240" w:lineRule="auto"/>
      <w:ind w:firstLine="100" w:firstLineChars="100"/>
    </w:pPr>
    <w:rPr>
      <w:rFonts w:eastAsia="宋体" w:cs="宋体"/>
      <w:b w:val="0"/>
      <w:bCs w:val="0"/>
      <w:sz w:val="28"/>
      <w:szCs w:val="20"/>
      <w:lang w:val="zh-CN"/>
    </w:rPr>
  </w:style>
  <w:style w:type="paragraph" w:customStyle="1" w:styleId="521">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522">
    <w:name w:val="表编号 Char"/>
    <w:basedOn w:val="1"/>
    <w:qFormat/>
    <w:uiPriority w:val="0"/>
    <w:pPr>
      <w:snapToGrid w:val="0"/>
      <w:spacing w:line="0" w:lineRule="atLeast"/>
      <w:jc w:val="left"/>
    </w:pPr>
    <w:rPr>
      <w:szCs w:val="24"/>
    </w:rPr>
  </w:style>
  <w:style w:type="paragraph" w:customStyle="1" w:styleId="523">
    <w:name w:val="font14"/>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524">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Cs w:val="24"/>
    </w:rPr>
  </w:style>
  <w:style w:type="paragraph" w:customStyle="1" w:styleId="525">
    <w:name w:val="xl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Cs w:val="24"/>
    </w:rPr>
  </w:style>
  <w:style w:type="character" w:customStyle="1" w:styleId="526">
    <w:name w:val="脚注文本 Char"/>
    <w:link w:val="44"/>
    <w:qFormat/>
    <w:uiPriority w:val="0"/>
    <w:rPr>
      <w:rFonts w:ascii="宋体" w:hAnsi="宋体" w:cs="宋体"/>
      <w:sz w:val="18"/>
      <w:szCs w:val="18"/>
    </w:rPr>
  </w:style>
  <w:style w:type="paragraph" w:customStyle="1" w:styleId="527">
    <w:name w:val="样式 样式8 + 段前: 0.5 行 段后: 0.5 行"/>
    <w:basedOn w:val="288"/>
    <w:qFormat/>
    <w:uiPriority w:val="0"/>
    <w:pPr>
      <w:overflowPunct/>
      <w:topLinePunct w:val="0"/>
      <w:spacing w:beforeLines="50" w:afterLines="50" w:line="240" w:lineRule="auto"/>
      <w:ind w:firstLine="200" w:firstLineChars="200"/>
      <w:jc w:val="both"/>
    </w:pPr>
    <w:rPr>
      <w:rFonts w:eastAsia="黑体" w:cs="宋体"/>
      <w:sz w:val="28"/>
      <w:szCs w:val="20"/>
    </w:rPr>
  </w:style>
  <w:style w:type="paragraph" w:customStyle="1" w:styleId="528">
    <w:name w:val="Char Char Char Char Char Char Char Char Char Char Char Char Char Char Char Char Char Char Char Char Char Char"/>
    <w:basedOn w:val="1"/>
    <w:semiHidden/>
    <w:qFormat/>
    <w:uiPriority w:val="0"/>
    <w:pPr>
      <w:spacing w:beforeLines="50" w:afterLines="50"/>
    </w:pPr>
    <w:rPr>
      <w:rFonts w:ascii="宋体" w:hAnsi="宋体" w:cs="宋体"/>
      <w:b/>
      <w:szCs w:val="24"/>
    </w:rPr>
  </w:style>
  <w:style w:type="paragraph" w:customStyle="1" w:styleId="529">
    <w:name w:val="样式 样式 (符号) 宋体 左侧:  0.74 厘米 首行缩进:  0 厘米 + 左侧:  0.74 厘米 首行缩进:  0 ..."/>
    <w:basedOn w:val="59"/>
    <w:qFormat/>
    <w:uiPriority w:val="0"/>
    <w:pPr>
      <w:adjustRightInd w:val="0"/>
      <w:snapToGrid w:val="0"/>
      <w:spacing w:before="100" w:beforeAutospacing="1" w:after="0" w:line="360" w:lineRule="auto"/>
      <w:ind w:firstLine="200" w:firstLineChars="200"/>
    </w:pPr>
    <w:rPr>
      <w:snapToGrid w:val="0"/>
      <w:sz w:val="28"/>
      <w:szCs w:val="20"/>
    </w:rPr>
  </w:style>
  <w:style w:type="paragraph" w:customStyle="1" w:styleId="530">
    <w:name w:val="样式 标题 4 + 段前: 1 行"/>
    <w:basedOn w:val="6"/>
    <w:qFormat/>
    <w:uiPriority w:val="0"/>
    <w:pPr>
      <w:tabs>
        <w:tab w:val="left" w:pos="1125"/>
      </w:tabs>
      <w:adjustRightInd w:val="0"/>
      <w:spacing w:before="0" w:after="0" w:line="360" w:lineRule="auto"/>
      <w:ind w:left="1125" w:hanging="1125"/>
    </w:pPr>
    <w:rPr>
      <w:rFonts w:ascii="Times New Roman" w:hAnsi="Times New Roman"/>
      <w:b w:val="0"/>
      <w:bCs w:val="0"/>
      <w:sz w:val="24"/>
      <w:szCs w:val="20"/>
    </w:rPr>
  </w:style>
  <w:style w:type="paragraph" w:customStyle="1" w:styleId="531">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532">
    <w:name w:val="8"/>
    <w:basedOn w:val="1"/>
    <w:qFormat/>
    <w:uiPriority w:val="0"/>
    <w:pPr>
      <w:ind w:firstLine="480"/>
    </w:pPr>
    <w:rPr>
      <w:kern w:val="10"/>
      <w:szCs w:val="24"/>
    </w:rPr>
  </w:style>
  <w:style w:type="paragraph" w:customStyle="1" w:styleId="533">
    <w:name w:val="Char Char Char Char Char Char Char Char Char Char"/>
    <w:basedOn w:val="1"/>
    <w:qFormat/>
    <w:uiPriority w:val="0"/>
    <w:rPr>
      <w:szCs w:val="24"/>
    </w:rPr>
  </w:style>
  <w:style w:type="paragraph" w:customStyle="1" w:styleId="534">
    <w:name w:val="样式 左侧:  0.85 厘米 首行缩进:  0 字符"/>
    <w:basedOn w:val="1"/>
    <w:qFormat/>
    <w:uiPriority w:val="0"/>
    <w:pPr>
      <w:ind w:firstLine="480"/>
    </w:pPr>
    <w:rPr>
      <w:szCs w:val="24"/>
    </w:rPr>
  </w:style>
  <w:style w:type="paragraph" w:customStyle="1" w:styleId="535">
    <w:name w:val="xl112"/>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textAlignment w:val="center"/>
    </w:pPr>
    <w:rPr>
      <w:rFonts w:ascii="宋体" w:hAnsi="宋体" w:cs="宋体"/>
      <w:kern w:val="0"/>
      <w:sz w:val="18"/>
      <w:szCs w:val="18"/>
    </w:rPr>
  </w:style>
  <w:style w:type="paragraph" w:customStyle="1" w:styleId="536">
    <w:name w:val="笔格标注"/>
    <w:basedOn w:val="1"/>
    <w:qFormat/>
    <w:uiPriority w:val="0"/>
    <w:pPr>
      <w:adjustRightInd w:val="0"/>
      <w:snapToGrid w:val="0"/>
    </w:pPr>
    <w:rPr>
      <w:color w:val="FF0000"/>
      <w:kern w:val="0"/>
      <w:szCs w:val="21"/>
    </w:rPr>
  </w:style>
  <w:style w:type="paragraph" w:customStyle="1" w:styleId="537">
    <w:name w:val="样式 小五 居中 行距: 固定值 12 磅"/>
    <w:basedOn w:val="1"/>
    <w:qFormat/>
    <w:uiPriority w:val="0"/>
    <w:pPr>
      <w:spacing w:before="60" w:after="60" w:line="240" w:lineRule="exact"/>
      <w:jc w:val="center"/>
    </w:pPr>
    <w:rPr>
      <w:rFonts w:cs="宋体"/>
      <w:sz w:val="18"/>
      <w:szCs w:val="20"/>
    </w:rPr>
  </w:style>
  <w:style w:type="paragraph" w:customStyle="1" w:styleId="538">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6"/>
      <w:szCs w:val="16"/>
    </w:rPr>
  </w:style>
  <w:style w:type="paragraph" w:customStyle="1" w:styleId="539">
    <w:name w:val="样式 正文文本 + 首行缩进:  2 字符"/>
    <w:basedOn w:val="23"/>
    <w:qFormat/>
    <w:uiPriority w:val="0"/>
    <w:pPr>
      <w:spacing w:after="0"/>
      <w:ind w:firstLine="420"/>
    </w:pPr>
    <w:rPr>
      <w:rFonts w:eastAsia="仿宋_GB2312" w:cs="宋体"/>
      <w:sz w:val="28"/>
      <w:szCs w:val="20"/>
    </w:rPr>
  </w:style>
  <w:style w:type="paragraph" w:customStyle="1" w:styleId="540">
    <w:name w:val="Char Char2 Char Char Char1 Char Char Char1 Char"/>
    <w:basedOn w:val="1"/>
    <w:semiHidden/>
    <w:qFormat/>
    <w:uiPriority w:val="0"/>
    <w:rPr>
      <w:szCs w:val="24"/>
    </w:rPr>
  </w:style>
  <w:style w:type="paragraph" w:customStyle="1" w:styleId="541">
    <w:name w:val="样式 表内容 + (中文) 黑体 加粗 段前: 7.8 磅 段后: 7.8 磅"/>
    <w:basedOn w:val="429"/>
    <w:qFormat/>
    <w:uiPriority w:val="0"/>
    <w:pPr>
      <w:pBdr>
        <w:bottom w:val="none" w:color="auto" w:sz="0" w:space="0"/>
      </w:pBdr>
      <w:spacing w:before="100" w:beforeAutospacing="1" w:after="100" w:afterAutospacing="1" w:line="0" w:lineRule="atLeast"/>
      <w:ind w:left="0" w:right="0"/>
      <w:jc w:val="center"/>
    </w:pPr>
    <w:rPr>
      <w:rFonts w:ascii="宋体" w:hAnsi="宋体" w:eastAsia="黑体" w:cs="宋体"/>
      <w:iCs w:val="0"/>
      <w:sz w:val="18"/>
      <w:szCs w:val="20"/>
    </w:rPr>
  </w:style>
  <w:style w:type="paragraph" w:customStyle="1" w:styleId="542">
    <w:name w:val="样式 标题 4标题 4 Char标题 41标题 4 Char Char1标题 4 Char Char Char标题 4...5"/>
    <w:basedOn w:val="6"/>
    <w:qFormat/>
    <w:uiPriority w:val="0"/>
    <w:pPr>
      <w:keepNext w:val="0"/>
      <w:keepLines w:val="0"/>
      <w:tabs>
        <w:tab w:val="left" w:pos="2160"/>
      </w:tabs>
      <w:autoSpaceDE w:val="0"/>
      <w:autoSpaceDN w:val="0"/>
      <w:adjustRightInd w:val="0"/>
      <w:spacing w:before="60" w:after="60" w:line="360" w:lineRule="auto"/>
      <w:ind w:left="2160" w:hanging="420"/>
    </w:pPr>
    <w:rPr>
      <w:rFonts w:ascii="Times New Roman" w:hAnsi="Times New Roman" w:cs="宋体"/>
      <w:kern w:val="0"/>
      <w:sz w:val="24"/>
      <w:szCs w:val="20"/>
    </w:rPr>
  </w:style>
  <w:style w:type="paragraph" w:customStyle="1" w:styleId="543">
    <w:name w:val="样式15"/>
    <w:basedOn w:val="1"/>
    <w:qFormat/>
    <w:uiPriority w:val="0"/>
    <w:pPr>
      <w:ind w:firstLine="420"/>
    </w:pPr>
    <w:rPr>
      <w:rFonts w:eastAsia="华文中宋"/>
      <w:kern w:val="0"/>
      <w:szCs w:val="21"/>
    </w:rPr>
  </w:style>
  <w:style w:type="paragraph" w:customStyle="1" w:styleId="544">
    <w:name w:val="Char5"/>
    <w:basedOn w:val="19"/>
    <w:qFormat/>
    <w:uiPriority w:val="0"/>
    <w:pPr>
      <w:shd w:val="clear" w:color="auto" w:fill="000080"/>
      <w:adjustRightInd w:val="0"/>
      <w:spacing w:line="436" w:lineRule="exact"/>
      <w:ind w:left="357" w:firstLine="0" w:firstLineChars="0"/>
      <w:jc w:val="left"/>
      <w:outlineLvl w:val="3"/>
    </w:pPr>
    <w:rPr>
      <w:rFonts w:ascii="Tahoma" w:hAnsi="Tahoma"/>
      <w:b/>
      <w:sz w:val="21"/>
      <w:szCs w:val="28"/>
    </w:rPr>
  </w:style>
  <w:style w:type="paragraph" w:customStyle="1" w:styleId="545">
    <w:name w:val="Char Char Char1 Char Char Char Char Char Char Char Char Char Char Char Char Char Char Char Char Char Char Char Char Char Char Char Char Char Char Char Char Char Char Char Char Char Char"/>
    <w:basedOn w:val="1"/>
    <w:qFormat/>
    <w:uiPriority w:val="0"/>
    <w:pPr>
      <w:snapToGrid w:val="0"/>
      <w:spacing w:line="440" w:lineRule="exact"/>
    </w:pPr>
    <w:rPr>
      <w:szCs w:val="24"/>
    </w:rPr>
  </w:style>
  <w:style w:type="paragraph" w:customStyle="1" w:styleId="546">
    <w:name w:val="正文首行缩进 Char Char1"/>
    <w:basedOn w:val="1"/>
    <w:qFormat/>
    <w:uiPriority w:val="0"/>
    <w:rPr>
      <w:rFonts w:eastAsia="仿宋_GB2312"/>
      <w:sz w:val="32"/>
      <w:szCs w:val="32"/>
    </w:rPr>
  </w:style>
  <w:style w:type="paragraph" w:customStyle="1" w:styleId="547">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Cs w:val="24"/>
    </w:rPr>
  </w:style>
  <w:style w:type="paragraph" w:customStyle="1" w:styleId="548">
    <w:name w:val="7"/>
    <w:basedOn w:val="1"/>
    <w:next w:val="31"/>
    <w:qFormat/>
    <w:uiPriority w:val="0"/>
    <w:rPr>
      <w:rFonts w:ascii="宋体" w:hAnsi="Courier New" w:cs="Courier New"/>
      <w:szCs w:val="21"/>
    </w:rPr>
  </w:style>
  <w:style w:type="paragraph" w:customStyle="1" w:styleId="549">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550">
    <w:name w:val="表头1"/>
    <w:basedOn w:val="1"/>
    <w:qFormat/>
    <w:uiPriority w:val="0"/>
    <w:pPr>
      <w:adjustRightInd w:val="0"/>
      <w:snapToGrid w:val="0"/>
      <w:spacing w:before="100" w:beforeAutospacing="1" w:after="100" w:afterAutospacing="1"/>
      <w:jc w:val="center"/>
    </w:pPr>
    <w:rPr>
      <w:b/>
      <w:snapToGrid w:val="0"/>
      <w:szCs w:val="24"/>
    </w:rPr>
  </w:style>
  <w:style w:type="paragraph" w:customStyle="1" w:styleId="551">
    <w:name w:val="hichaf0dbchf15cgrid snex"/>
    <w:qFormat/>
    <w:uiPriority w:val="0"/>
    <w:pPr>
      <w:widowControl w:val="0"/>
      <w:adjustRightInd w:val="0"/>
      <w:jc w:val="center"/>
      <w:textAlignment w:val="baseline"/>
    </w:pPr>
    <w:rPr>
      <w:rFonts w:ascii="宋体" w:hAnsi="Times New Roman" w:eastAsia="宋体" w:cs="Times New Roman"/>
      <w:lang w:val="en-US" w:eastAsia="zh-CN" w:bidi="ar-SA"/>
    </w:rPr>
  </w:style>
  <w:style w:type="character" w:customStyle="1" w:styleId="552">
    <w:name w:val="注释标题 Char"/>
    <w:link w:val="13"/>
    <w:qFormat/>
    <w:uiPriority w:val="0"/>
    <w:rPr>
      <w:rFonts w:ascii="Times New Roman" w:hAnsi="Times New Roman"/>
      <w:snapToGrid w:val="0"/>
      <w:kern w:val="2"/>
      <w:sz w:val="24"/>
      <w:szCs w:val="24"/>
    </w:rPr>
  </w:style>
  <w:style w:type="paragraph" w:customStyle="1" w:styleId="553">
    <w:name w:val="无间隔1"/>
    <w:qFormat/>
    <w:uiPriority w:val="1"/>
    <w:pPr>
      <w:keepNext/>
      <w:widowControl w:val="0"/>
      <w:spacing w:line="360" w:lineRule="auto"/>
      <w:jc w:val="center"/>
    </w:pPr>
    <w:rPr>
      <w:rFonts w:ascii="Times New Roman" w:hAnsi="Times New Roman" w:eastAsia="宋体" w:cs="Times New Roman"/>
      <w:b/>
      <w:kern w:val="2"/>
      <w:sz w:val="21"/>
      <w:szCs w:val="22"/>
      <w:lang w:val="en-US" w:eastAsia="zh-CN" w:bidi="ar-SA"/>
    </w:rPr>
  </w:style>
  <w:style w:type="paragraph" w:customStyle="1" w:styleId="554">
    <w:name w:val="样式 样式1 + 段前: 0.5 行"/>
    <w:basedOn w:val="133"/>
    <w:qFormat/>
    <w:uiPriority w:val="0"/>
    <w:pPr>
      <w:pBdr>
        <w:bottom w:val="none" w:color="auto" w:sz="0" w:space="0"/>
      </w:pBdr>
      <w:tabs>
        <w:tab w:val="clear" w:pos="4153"/>
        <w:tab w:val="clear" w:pos="8306"/>
      </w:tabs>
      <w:adjustRightInd w:val="0"/>
      <w:snapToGrid/>
      <w:spacing w:beforeAutospacing="1" w:afterAutospacing="1"/>
      <w:ind w:firstLine="560"/>
      <w:jc w:val="left"/>
    </w:pPr>
    <w:rPr>
      <w:rFonts w:ascii="宋体" w:hAnsi="宋体"/>
      <w:bCs/>
      <w:snapToGrid w:val="0"/>
      <w:color w:val="000000"/>
      <w:sz w:val="24"/>
      <w:szCs w:val="20"/>
    </w:rPr>
  </w:style>
  <w:style w:type="paragraph" w:customStyle="1" w:styleId="555">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Cs w:val="24"/>
    </w:rPr>
  </w:style>
  <w:style w:type="paragraph" w:customStyle="1" w:styleId="556">
    <w:name w:val="样式 标题 1 + 首行缩进:  2 字符1"/>
    <w:basedOn w:val="3"/>
    <w:qFormat/>
    <w:uiPriority w:val="0"/>
    <w:pPr>
      <w:tabs>
        <w:tab w:val="left" w:pos="360"/>
      </w:tabs>
      <w:spacing w:before="360" w:after="240"/>
      <w:ind w:left="360" w:hanging="360" w:hangingChars="200"/>
      <w:jc w:val="left"/>
      <w:textAlignment w:val="baseline"/>
    </w:pPr>
    <w:rPr>
      <w:rFonts w:cs="宋体"/>
      <w:b/>
      <w:bCs w:val="0"/>
      <w:szCs w:val="32"/>
    </w:rPr>
  </w:style>
  <w:style w:type="paragraph" w:customStyle="1" w:styleId="557">
    <w:name w:val="正文(加宽0.3磅) Char"/>
    <w:basedOn w:val="1"/>
    <w:qFormat/>
    <w:uiPriority w:val="0"/>
    <w:pPr>
      <w:autoSpaceDE w:val="0"/>
      <w:autoSpaceDN w:val="0"/>
      <w:adjustRightInd w:val="0"/>
      <w:spacing w:line="307" w:lineRule="auto"/>
      <w:ind w:firstLine="482"/>
      <w:textAlignment w:val="baseline"/>
    </w:pPr>
    <w:rPr>
      <w:spacing w:val="6"/>
      <w:kern w:val="0"/>
      <w:szCs w:val="20"/>
    </w:rPr>
  </w:style>
  <w:style w:type="paragraph" w:customStyle="1" w:styleId="558">
    <w:name w:val="表格间"/>
    <w:basedOn w:val="1"/>
    <w:qFormat/>
    <w:uiPriority w:val="0"/>
    <w:pPr>
      <w:spacing w:line="240" w:lineRule="auto"/>
    </w:pPr>
    <w:rPr>
      <w:color w:val="000000"/>
      <w:sz w:val="22"/>
      <w:szCs w:val="28"/>
    </w:rPr>
  </w:style>
  <w:style w:type="paragraph" w:customStyle="1" w:styleId="559">
    <w:name w:val="图形中文字"/>
    <w:basedOn w:val="1"/>
    <w:qFormat/>
    <w:uiPriority w:val="0"/>
    <w:pPr>
      <w:widowControl/>
      <w:autoSpaceDE w:val="0"/>
      <w:autoSpaceDN w:val="0"/>
      <w:adjustRightInd w:val="0"/>
      <w:jc w:val="center"/>
    </w:pPr>
    <w:rPr>
      <w:rFonts w:ascii="宋体" w:hAnsi="Tms Rmn" w:cs="宋体"/>
      <w:kern w:val="0"/>
      <w:szCs w:val="20"/>
    </w:rPr>
  </w:style>
  <w:style w:type="paragraph" w:customStyle="1" w:styleId="560">
    <w:name w:val="报告题目"/>
    <w:basedOn w:val="3"/>
    <w:qFormat/>
    <w:uiPriority w:val="0"/>
    <w:pPr>
      <w:autoSpaceDE w:val="0"/>
      <w:autoSpaceDN w:val="0"/>
      <w:adjustRightInd w:val="0"/>
      <w:spacing w:before="480"/>
      <w:ind w:firstLine="425"/>
      <w:textAlignment w:val="baseline"/>
      <w:outlineLvl w:val="9"/>
    </w:pPr>
    <w:rPr>
      <w:bCs w:val="0"/>
      <w:sz w:val="30"/>
      <w:szCs w:val="32"/>
    </w:rPr>
  </w:style>
  <w:style w:type="paragraph" w:customStyle="1" w:styleId="561">
    <w:name w:val="大岗山图标题"/>
    <w:basedOn w:val="1"/>
    <w:qFormat/>
    <w:uiPriority w:val="0"/>
    <w:pPr>
      <w:ind w:left="200" w:hanging="200" w:hangingChars="200"/>
      <w:jc w:val="center"/>
    </w:pPr>
    <w:rPr>
      <w:rFonts w:eastAsia="华文中宋"/>
      <w:szCs w:val="20"/>
    </w:rPr>
  </w:style>
  <w:style w:type="paragraph" w:customStyle="1" w:styleId="562">
    <w:name w:val="样式 样式 样式 样式 正文首行缩进 + 首行缩进:  2 字符 + 首行缩进:  2 字符 + 首行缩进:  2 字符 +"/>
    <w:basedOn w:val="1"/>
    <w:qFormat/>
    <w:uiPriority w:val="0"/>
    <w:pPr>
      <w:widowControl/>
      <w:topLinePunct/>
      <w:adjustRightInd w:val="0"/>
      <w:spacing w:line="480" w:lineRule="exact"/>
      <w:ind w:firstLine="560"/>
      <w:jc w:val="left"/>
    </w:pPr>
    <w:rPr>
      <w:rFonts w:ascii="仿宋_GB2312" w:hAnsi="楷体_GB2312" w:eastAsia="仿宋_GB2312" w:cs="Arial"/>
      <w:kern w:val="0"/>
      <w:szCs w:val="28"/>
    </w:rPr>
  </w:style>
  <w:style w:type="paragraph" w:customStyle="1" w:styleId="563">
    <w:name w:val="样式 样式 正文文本缩进 2 + 首行缩进:  2 字符 + 首行缩进:  2 字符"/>
    <w:basedOn w:val="1"/>
    <w:qFormat/>
    <w:uiPriority w:val="0"/>
    <w:pPr>
      <w:widowControl/>
      <w:spacing w:after="120"/>
      <w:ind w:firstLine="480"/>
      <w:jc w:val="left"/>
    </w:pPr>
    <w:rPr>
      <w:rFonts w:ascii="宋体" w:hAnsi="宋体" w:cs="宋体"/>
      <w:kern w:val="0"/>
      <w:szCs w:val="20"/>
    </w:rPr>
  </w:style>
  <w:style w:type="paragraph" w:customStyle="1" w:styleId="564">
    <w:name w:val="样式 正文缩进"/>
    <w:basedOn w:val="15"/>
    <w:qFormat/>
    <w:uiPriority w:val="0"/>
    <w:pPr>
      <w:spacing w:line="360" w:lineRule="auto"/>
      <w:ind w:firstLine="480"/>
      <w:jc w:val="left"/>
    </w:pPr>
    <w:rPr>
      <w:rFonts w:cs="宋体"/>
      <w:kern w:val="0"/>
      <w:sz w:val="20"/>
    </w:rPr>
  </w:style>
  <w:style w:type="paragraph" w:customStyle="1" w:styleId="565">
    <w:name w:val="样式 表文居中 + 宋体"/>
    <w:basedOn w:val="384"/>
    <w:qFormat/>
    <w:uiPriority w:val="0"/>
    <w:pPr>
      <w:widowControl/>
      <w:overflowPunct/>
      <w:autoSpaceDE/>
      <w:autoSpaceDN/>
      <w:adjustRightInd/>
      <w:spacing w:line="240" w:lineRule="atLeast"/>
      <w:ind w:firstLine="360"/>
    </w:pPr>
    <w:rPr>
      <w:rFonts w:ascii="宋体" w:hAnsi="宋体" w:cs="宋体"/>
      <w:kern w:val="0"/>
    </w:rPr>
  </w:style>
  <w:style w:type="paragraph" w:customStyle="1" w:styleId="566">
    <w:name w:val="xl109"/>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kern w:val="0"/>
      <w:sz w:val="18"/>
      <w:szCs w:val="18"/>
    </w:rPr>
  </w:style>
  <w:style w:type="paragraph" w:customStyle="1" w:styleId="567">
    <w:name w:val="样式 标题 3 + 首行缩进:  0 厘米1"/>
    <w:basedOn w:val="5"/>
    <w:qFormat/>
    <w:uiPriority w:val="0"/>
    <w:pPr>
      <w:spacing w:line="240" w:lineRule="auto"/>
    </w:pPr>
    <w:rPr>
      <w:rFonts w:eastAsia="宋体" w:cs="宋体"/>
      <w:b w:val="0"/>
      <w:bCs w:val="0"/>
      <w:sz w:val="28"/>
      <w:szCs w:val="20"/>
      <w:lang w:val="zh-CN"/>
    </w:rPr>
  </w:style>
  <w:style w:type="paragraph" w:customStyle="1" w:styleId="568">
    <w:name w:val="样式 4 + 首行缩进:  2 字符2"/>
    <w:basedOn w:val="6"/>
    <w:qFormat/>
    <w:uiPriority w:val="0"/>
    <w:pPr>
      <w:spacing w:before="0" w:after="0" w:line="360" w:lineRule="auto"/>
    </w:pPr>
    <w:rPr>
      <w:rFonts w:ascii="宋体" w:hAnsi="宋体" w:cs="宋体"/>
      <w:color w:val="FF0000"/>
      <w:spacing w:val="-2"/>
      <w:sz w:val="24"/>
      <w:szCs w:val="20"/>
    </w:rPr>
  </w:style>
  <w:style w:type="paragraph" w:customStyle="1" w:styleId="569">
    <w:name w:val="正文+ 首行缩进:  2 字符"/>
    <w:basedOn w:val="570"/>
    <w:qFormat/>
    <w:uiPriority w:val="0"/>
    <w:pPr>
      <w:ind w:firstLine="480"/>
    </w:pPr>
    <w:rPr>
      <w:rFonts w:ascii="Times New Roman" w:hAnsi="Times New Roman"/>
      <w:szCs w:val="24"/>
    </w:rPr>
  </w:style>
  <w:style w:type="paragraph" w:customStyle="1" w:styleId="570">
    <w:name w:val="正文+首行缩进2字符"/>
    <w:basedOn w:val="1"/>
    <w:qFormat/>
    <w:uiPriority w:val="0"/>
    <w:pPr>
      <w:autoSpaceDE w:val="0"/>
      <w:autoSpaceDN w:val="0"/>
      <w:adjustRightInd w:val="0"/>
      <w:jc w:val="center"/>
    </w:pPr>
    <w:rPr>
      <w:rFonts w:ascii="宋体" w:hAnsi="宋体"/>
      <w:kern w:val="0"/>
      <w:sz w:val="32"/>
      <w:szCs w:val="20"/>
    </w:rPr>
  </w:style>
  <w:style w:type="paragraph" w:customStyle="1" w:styleId="571">
    <w:name w:val="样式0表换行"/>
    <w:basedOn w:val="1"/>
    <w:qFormat/>
    <w:uiPriority w:val="0"/>
    <w:pPr>
      <w:spacing w:line="300" w:lineRule="auto"/>
      <w:jc w:val="center"/>
    </w:pPr>
    <w:rPr>
      <w:szCs w:val="20"/>
    </w:rPr>
  </w:style>
  <w:style w:type="paragraph" w:customStyle="1" w:styleId="572">
    <w:name w:val="样式 样式 宋体 小四 行距: 1.5 倍行距 + 首行缩进:  2 字符"/>
    <w:basedOn w:val="1"/>
    <w:qFormat/>
    <w:uiPriority w:val="0"/>
    <w:pPr>
      <w:adjustRightInd w:val="0"/>
      <w:snapToGrid w:val="0"/>
    </w:pPr>
    <w:rPr>
      <w:rFonts w:cs="宋体"/>
      <w:szCs w:val="20"/>
    </w:rPr>
  </w:style>
  <w:style w:type="paragraph" w:customStyle="1" w:styleId="573">
    <w:name w:val="xl104"/>
    <w:basedOn w:val="1"/>
    <w:qFormat/>
    <w:uiPriority w:val="0"/>
    <w:pPr>
      <w:widowControl/>
      <w:spacing w:before="100" w:beforeAutospacing="1" w:after="100" w:afterAutospacing="1"/>
      <w:jc w:val="center"/>
      <w:textAlignment w:val="center"/>
    </w:pPr>
    <w:rPr>
      <w:rFonts w:ascii="宋体" w:hAnsi="宋体" w:cs="宋体"/>
      <w:b/>
      <w:bCs/>
      <w:kern w:val="0"/>
      <w:szCs w:val="24"/>
    </w:rPr>
  </w:style>
  <w:style w:type="paragraph" w:customStyle="1" w:styleId="574">
    <w:name w:val="样式 左侧:  1 字符 右侧:  1 字符"/>
    <w:basedOn w:val="1"/>
    <w:semiHidden/>
    <w:qFormat/>
    <w:uiPriority w:val="0"/>
    <w:pPr>
      <w:tabs>
        <w:tab w:val="left" w:pos="6660"/>
      </w:tabs>
      <w:ind w:left="-166" w:firstLine="540" w:firstLineChars="256"/>
    </w:pPr>
    <w:rPr>
      <w:rFonts w:cs="宋体"/>
      <w:color w:val="000000"/>
      <w:szCs w:val="24"/>
    </w:rPr>
  </w:style>
  <w:style w:type="paragraph" w:customStyle="1" w:styleId="575">
    <w:name w:val="表格文字居中"/>
    <w:qFormat/>
    <w:uiPriority w:val="0"/>
    <w:pPr>
      <w:widowControl w:val="0"/>
      <w:adjustRightInd w:val="0"/>
      <w:snapToGrid w:val="0"/>
      <w:spacing w:line="280" w:lineRule="exact"/>
      <w:jc w:val="center"/>
    </w:pPr>
    <w:rPr>
      <w:rFonts w:ascii="Times New Roman" w:hAnsi="Times New Roman" w:eastAsia="宋体" w:cs="Times New Roman"/>
      <w:bCs/>
      <w:sz w:val="21"/>
      <w:szCs w:val="21"/>
      <w:lang w:val="en-US" w:eastAsia="zh-CN" w:bidi="ar-SA"/>
    </w:rPr>
  </w:style>
  <w:style w:type="paragraph" w:customStyle="1" w:styleId="576">
    <w:name w:val="样式 表格 + 五号"/>
    <w:basedOn w:val="155"/>
    <w:qFormat/>
    <w:uiPriority w:val="0"/>
    <w:pPr>
      <w:widowControl/>
      <w:overflowPunct/>
      <w:adjustRightInd/>
      <w:snapToGrid/>
      <w:spacing w:line="240" w:lineRule="auto"/>
      <w:ind w:firstLine="200" w:firstLineChars="200"/>
    </w:pPr>
    <w:rPr>
      <w:rFonts w:ascii="Arial" w:hAnsi="Arial" w:eastAsia="楷体_GB2312" w:cs="Arial"/>
      <w:snapToGrid/>
      <w:color w:val="auto"/>
      <w:kern w:val="2"/>
      <w:sz w:val="24"/>
      <w:szCs w:val="22"/>
    </w:rPr>
  </w:style>
  <w:style w:type="paragraph" w:customStyle="1" w:styleId="577">
    <w:name w:val="样式 样式 表内容 + (中文) 黑体 加粗 段前: 7.8 磅 段后: 7.8 磅 + 加粗 段前: 自动 段后: 自动"/>
    <w:basedOn w:val="541"/>
    <w:qFormat/>
    <w:uiPriority w:val="0"/>
    <w:pPr>
      <w:spacing w:before="156" w:after="156"/>
    </w:pPr>
    <w:rPr>
      <w:rFonts w:eastAsia="宋体"/>
    </w:rPr>
  </w:style>
  <w:style w:type="paragraph" w:customStyle="1" w:styleId="578">
    <w:name w:val="表文 Char Char Char Char"/>
    <w:basedOn w:val="1"/>
    <w:semiHidden/>
    <w:qFormat/>
    <w:uiPriority w:val="0"/>
    <w:pPr>
      <w:overflowPunct w:val="0"/>
      <w:spacing w:line="192" w:lineRule="auto"/>
      <w:jc w:val="center"/>
      <w:textAlignment w:val="baseline"/>
    </w:pPr>
    <w:rPr>
      <w:snapToGrid w:val="0"/>
      <w:sz w:val="18"/>
      <w:szCs w:val="24"/>
    </w:rPr>
  </w:style>
  <w:style w:type="paragraph" w:customStyle="1" w:styleId="579">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580">
    <w:name w:val="论文样式1"/>
    <w:basedOn w:val="1"/>
    <w:qFormat/>
    <w:uiPriority w:val="0"/>
    <w:pPr>
      <w:jc w:val="center"/>
    </w:pPr>
    <w:rPr>
      <w:rFonts w:ascii="黑体"/>
      <w:szCs w:val="32"/>
    </w:rPr>
  </w:style>
  <w:style w:type="paragraph" w:customStyle="1" w:styleId="581">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582">
    <w:name w:val="表文2"/>
    <w:basedOn w:val="385"/>
    <w:qFormat/>
    <w:uiPriority w:val="0"/>
    <w:pPr>
      <w:overflowPunct w:val="0"/>
      <w:spacing w:line="140" w:lineRule="atLeast"/>
      <w:jc w:val="left"/>
    </w:pPr>
    <w:rPr>
      <w:color w:val="000000"/>
    </w:rPr>
  </w:style>
  <w:style w:type="paragraph" w:customStyle="1" w:styleId="583">
    <w:name w:val="样式 样式 样式 样式 标题 3 + 首行缩进:  0 厘米1 + 首行缩进:  0 厘米 + 首行缩进:  0 字符 + 首行..."/>
    <w:basedOn w:val="1"/>
    <w:qFormat/>
    <w:uiPriority w:val="0"/>
    <w:pPr>
      <w:keepNext/>
      <w:keepLines/>
      <w:outlineLvl w:val="2"/>
    </w:pPr>
    <w:rPr>
      <w:sz w:val="28"/>
      <w:szCs w:val="20"/>
    </w:rPr>
  </w:style>
  <w:style w:type="paragraph" w:customStyle="1" w:styleId="584">
    <w:name w:val="样式 表文 + 左侧:  -0.63 厘米"/>
    <w:basedOn w:val="385"/>
    <w:qFormat/>
    <w:uiPriority w:val="0"/>
    <w:pPr>
      <w:tabs>
        <w:tab w:val="left" w:pos="6660"/>
      </w:tabs>
      <w:autoSpaceDE/>
      <w:autoSpaceDN/>
      <w:spacing w:line="140" w:lineRule="atLeast"/>
    </w:pPr>
    <w:rPr>
      <w:snapToGrid w:val="0"/>
      <w:color w:val="FF0000"/>
      <w:szCs w:val="18"/>
    </w:rPr>
  </w:style>
  <w:style w:type="paragraph" w:customStyle="1" w:styleId="585">
    <w:name w:val="Char4"/>
    <w:basedOn w:val="1"/>
    <w:qFormat/>
    <w:uiPriority w:val="0"/>
    <w:rPr>
      <w:rFonts w:ascii="宋体" w:hAnsi="宋体" w:cs="宋体"/>
      <w:szCs w:val="24"/>
    </w:rPr>
  </w:style>
  <w:style w:type="paragraph" w:customStyle="1" w:styleId="586">
    <w:name w:val="报告标题"/>
    <w:basedOn w:val="1"/>
    <w:qFormat/>
    <w:uiPriority w:val="0"/>
    <w:pPr>
      <w:jc w:val="center"/>
    </w:pPr>
    <w:rPr>
      <w:b/>
      <w:sz w:val="36"/>
      <w:szCs w:val="36"/>
    </w:rPr>
  </w:style>
  <w:style w:type="paragraph" w:customStyle="1" w:styleId="587">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18"/>
      <w:szCs w:val="18"/>
    </w:rPr>
  </w:style>
  <w:style w:type="paragraph" w:customStyle="1" w:styleId="588">
    <w:name w:val="表格2"/>
    <w:basedOn w:val="1"/>
    <w:link w:val="1110"/>
    <w:qFormat/>
    <w:uiPriority w:val="0"/>
    <w:pPr>
      <w:spacing w:line="360" w:lineRule="atLeast"/>
      <w:jc w:val="center"/>
    </w:pPr>
    <w:rPr>
      <w:szCs w:val="21"/>
    </w:rPr>
  </w:style>
  <w:style w:type="paragraph" w:customStyle="1" w:styleId="589">
    <w:name w:val="表文＋两端分散"/>
    <w:basedOn w:val="590"/>
    <w:semiHidden/>
    <w:qFormat/>
    <w:uiPriority w:val="0"/>
    <w:pPr>
      <w:overflowPunct/>
      <w:jc w:val="both"/>
    </w:pPr>
    <w:rPr>
      <w:snapToGrid w:val="0"/>
      <w:kern w:val="0"/>
      <w:szCs w:val="21"/>
    </w:rPr>
  </w:style>
  <w:style w:type="paragraph" w:customStyle="1" w:styleId="590">
    <w:name w:val="表文 Char Char2"/>
    <w:basedOn w:val="1"/>
    <w:qFormat/>
    <w:uiPriority w:val="0"/>
    <w:pPr>
      <w:overflowPunct w:val="0"/>
      <w:adjustRightInd w:val="0"/>
      <w:snapToGrid w:val="0"/>
      <w:jc w:val="center"/>
      <w:textAlignment w:val="baseline"/>
    </w:pPr>
    <w:rPr>
      <w:szCs w:val="20"/>
    </w:rPr>
  </w:style>
  <w:style w:type="paragraph" w:customStyle="1" w:styleId="591">
    <w:name w:val="正文黑"/>
    <w:basedOn w:val="1"/>
    <w:qFormat/>
    <w:uiPriority w:val="0"/>
    <w:pPr>
      <w:widowControl/>
    </w:pPr>
    <w:rPr>
      <w:rFonts w:ascii="宋体" w:hAnsi="宋体"/>
      <w:b/>
      <w:color w:val="000000"/>
      <w:kern w:val="0"/>
      <w:szCs w:val="24"/>
    </w:rPr>
  </w:style>
  <w:style w:type="paragraph" w:customStyle="1" w:styleId="592">
    <w:name w:val="4级"/>
    <w:basedOn w:val="1"/>
    <w:next w:val="1"/>
    <w:qFormat/>
    <w:uiPriority w:val="0"/>
    <w:pPr>
      <w:keepNext/>
      <w:keepLines/>
      <w:adjustRightInd w:val="0"/>
      <w:snapToGrid w:val="0"/>
      <w:spacing w:before="120" w:after="120"/>
      <w:jc w:val="left"/>
      <w:textAlignment w:val="baseline"/>
      <w:outlineLvl w:val="3"/>
    </w:pPr>
    <w:rPr>
      <w:rFonts w:ascii="黑体" w:hAnsi="宋体" w:cs="黑体"/>
      <w:b/>
      <w:kern w:val="0"/>
      <w:szCs w:val="24"/>
    </w:rPr>
  </w:style>
  <w:style w:type="paragraph" w:customStyle="1" w:styleId="593">
    <w:name w:val="Char Char Char2 Char Char Char Char Char Char Char Char Char Char Char Char Char Char Char Char Char Char Char Char Char Char Char Char Char"/>
    <w:basedOn w:val="1"/>
    <w:qFormat/>
    <w:uiPriority w:val="0"/>
    <w:rPr>
      <w:rFonts w:ascii="宋体" w:hAnsi="宋体" w:cs="宋体"/>
      <w:szCs w:val="24"/>
    </w:rPr>
  </w:style>
  <w:style w:type="paragraph" w:customStyle="1" w:styleId="594">
    <w:name w:val="样式 样式 首行缩进:  2 字符1 + 首行缩进:  2 字符1"/>
    <w:basedOn w:val="1"/>
    <w:qFormat/>
    <w:uiPriority w:val="0"/>
    <w:pPr>
      <w:keepNext/>
    </w:pPr>
    <w:rPr>
      <w:rFonts w:cs="宋体"/>
      <w:szCs w:val="20"/>
    </w:rPr>
  </w:style>
  <w:style w:type="paragraph" w:customStyle="1" w:styleId="595">
    <w:name w:val="样式 标题 2标题 2 Char二级标题第一节标题 2XW标题 二级标题标题 2 Char Char Char Ch..."/>
    <w:basedOn w:val="4"/>
    <w:qFormat/>
    <w:uiPriority w:val="0"/>
    <w:pPr>
      <w:keepNext w:val="0"/>
      <w:keepLines w:val="0"/>
      <w:tabs>
        <w:tab w:val="left" w:pos="1320"/>
      </w:tabs>
      <w:autoSpaceDE w:val="0"/>
      <w:autoSpaceDN w:val="0"/>
      <w:adjustRightInd w:val="0"/>
      <w:spacing w:before="180" w:after="180"/>
      <w:ind w:left="1320" w:hanging="420"/>
      <w:textAlignment w:val="baseline"/>
    </w:pPr>
    <w:rPr>
      <w:rFonts w:cs="宋体"/>
      <w:b w:val="0"/>
      <w:bCs w:val="0"/>
      <w:kern w:val="0"/>
      <w:szCs w:val="20"/>
    </w:rPr>
  </w:style>
  <w:style w:type="paragraph" w:customStyle="1" w:styleId="596">
    <w:name w:val="Char1 Char Char Char"/>
    <w:basedOn w:val="1"/>
    <w:qFormat/>
    <w:uiPriority w:val="0"/>
    <w:rPr>
      <w:rFonts w:ascii="Tahoma" w:hAnsi="Tahoma"/>
      <w:szCs w:val="20"/>
    </w:rPr>
  </w:style>
  <w:style w:type="paragraph" w:customStyle="1" w:styleId="597">
    <w:name w:val="Char Char Char Char Char Char2"/>
    <w:basedOn w:val="1"/>
    <w:qFormat/>
    <w:uiPriority w:val="0"/>
    <w:rPr>
      <w:rFonts w:ascii="宋体" w:hAnsi="宋体" w:cs="宋体"/>
      <w:szCs w:val="24"/>
    </w:rPr>
  </w:style>
  <w:style w:type="paragraph" w:customStyle="1" w:styleId="598">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599">
    <w:name w:val="Char Char Char3 Char"/>
    <w:basedOn w:val="1"/>
    <w:qFormat/>
    <w:uiPriority w:val="0"/>
    <w:rPr>
      <w:rFonts w:ascii="宋体" w:hAnsi="宋体" w:cs="宋体"/>
      <w:szCs w:val="24"/>
    </w:rPr>
  </w:style>
  <w:style w:type="paragraph" w:customStyle="1" w:styleId="600">
    <w:name w:val="111"/>
    <w:basedOn w:val="1"/>
    <w:next w:val="60"/>
    <w:qFormat/>
    <w:uiPriority w:val="0"/>
    <w:pPr>
      <w:ind w:firstLine="360"/>
    </w:pPr>
    <w:rPr>
      <w:sz w:val="18"/>
      <w:szCs w:val="18"/>
    </w:rPr>
  </w:style>
  <w:style w:type="paragraph" w:customStyle="1" w:styleId="601">
    <w:name w:val="xl148"/>
    <w:basedOn w:val="1"/>
    <w:qFormat/>
    <w:uiPriority w:val="0"/>
    <w:pPr>
      <w:widowControl/>
      <w:pBdr>
        <w:bottom w:val="single" w:color="auto" w:sz="4" w:space="0"/>
      </w:pBdr>
      <w:spacing w:before="100" w:beforeAutospacing="1" w:after="100" w:afterAutospacing="1"/>
      <w:jc w:val="center"/>
      <w:textAlignment w:val="center"/>
    </w:pPr>
    <w:rPr>
      <w:rFonts w:ascii="宋体" w:hAnsi="宋体" w:cs="宋体"/>
      <w:b/>
      <w:bCs/>
      <w:kern w:val="0"/>
      <w:szCs w:val="24"/>
    </w:rPr>
  </w:style>
  <w:style w:type="paragraph" w:customStyle="1" w:styleId="602">
    <w:name w:val="水保2级"/>
    <w:basedOn w:val="4"/>
    <w:qFormat/>
    <w:uiPriority w:val="0"/>
    <w:pPr>
      <w:spacing w:before="260" w:after="260" w:line="415" w:lineRule="auto"/>
    </w:pPr>
    <w:rPr>
      <w:rFonts w:ascii="Arial" w:hAnsi="Arial" w:eastAsia="宋体"/>
      <w:b w:val="0"/>
    </w:rPr>
  </w:style>
  <w:style w:type="paragraph" w:customStyle="1" w:styleId="603">
    <w:name w:val="xl107"/>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textAlignment w:val="center"/>
    </w:pPr>
    <w:rPr>
      <w:rFonts w:ascii="宋体" w:hAnsi="宋体" w:cs="宋体"/>
      <w:b/>
      <w:bCs/>
      <w:kern w:val="0"/>
      <w:sz w:val="18"/>
      <w:szCs w:val="18"/>
    </w:rPr>
  </w:style>
  <w:style w:type="paragraph" w:customStyle="1" w:styleId="604">
    <w:name w:val="Char Char Char Char Char Char3 Char Char Char Char Char Char Char"/>
    <w:basedOn w:val="1"/>
    <w:qFormat/>
    <w:uiPriority w:val="0"/>
    <w:rPr>
      <w:rFonts w:ascii="宋体" w:hAnsi="宋体" w:cs="宋体"/>
      <w:szCs w:val="24"/>
    </w:rPr>
  </w:style>
  <w:style w:type="paragraph" w:customStyle="1" w:styleId="605">
    <w:name w:val="font12"/>
    <w:basedOn w:val="1"/>
    <w:qFormat/>
    <w:uiPriority w:val="0"/>
    <w:pPr>
      <w:widowControl/>
      <w:spacing w:before="100" w:after="100"/>
      <w:jc w:val="left"/>
    </w:pPr>
    <w:rPr>
      <w:rFonts w:ascii="宋体" w:hAnsi="宋体"/>
      <w:color w:val="000000"/>
      <w:kern w:val="0"/>
      <w:sz w:val="20"/>
      <w:szCs w:val="20"/>
    </w:rPr>
  </w:style>
  <w:style w:type="paragraph" w:customStyle="1" w:styleId="606">
    <w:name w:val="BG1"/>
    <w:basedOn w:val="1"/>
    <w:qFormat/>
    <w:uiPriority w:val="0"/>
    <w:pPr>
      <w:snapToGrid w:val="0"/>
      <w:jc w:val="center"/>
    </w:pPr>
    <w:rPr>
      <w:color w:val="000000"/>
      <w:szCs w:val="24"/>
    </w:rPr>
  </w:style>
  <w:style w:type="paragraph" w:customStyle="1" w:styleId="607">
    <w:name w:val="样式 标题 1 + 首行缩进:  2 字符"/>
    <w:basedOn w:val="3"/>
    <w:qFormat/>
    <w:uiPriority w:val="0"/>
    <w:pPr>
      <w:tabs>
        <w:tab w:val="left" w:pos="360"/>
      </w:tabs>
      <w:spacing w:before="360" w:after="240"/>
      <w:ind w:left="360" w:hanging="360" w:hangingChars="200"/>
      <w:jc w:val="left"/>
      <w:textAlignment w:val="baseline"/>
    </w:pPr>
    <w:rPr>
      <w:rFonts w:cs="宋体"/>
      <w:b/>
      <w:bCs w:val="0"/>
      <w:szCs w:val="32"/>
    </w:rPr>
  </w:style>
  <w:style w:type="paragraph" w:customStyle="1" w:styleId="608">
    <w:name w:val="样式 首行缩进:  1.19 厘米"/>
    <w:basedOn w:val="1"/>
    <w:qFormat/>
    <w:uiPriority w:val="0"/>
    <w:pPr>
      <w:ind w:firstLine="560"/>
    </w:pPr>
    <w:rPr>
      <w:sz w:val="28"/>
      <w:szCs w:val="28"/>
    </w:rPr>
  </w:style>
  <w:style w:type="paragraph" w:customStyle="1" w:styleId="609">
    <w:name w:val="样式 标题 1章 + (中文) 黑体 三号 居中 段前: 15 磅 段后: 16 磅 行距: 最小值 28 磅"/>
    <w:basedOn w:val="3"/>
    <w:qFormat/>
    <w:uiPriority w:val="0"/>
    <w:pPr>
      <w:adjustRightInd w:val="0"/>
      <w:spacing w:before="300" w:after="320" w:line="560" w:lineRule="atLeast"/>
      <w:textAlignment w:val="baseline"/>
    </w:pPr>
    <w:rPr>
      <w:rFonts w:ascii="Arial" w:hAnsi="Arial" w:cs="宋体"/>
      <w:szCs w:val="20"/>
    </w:rPr>
  </w:style>
  <w:style w:type="paragraph" w:customStyle="1" w:styleId="610">
    <w:name w:val="样式 标题 5标题（五） + 左侧:  0 厘米 首行缩进:  0 厘米"/>
    <w:basedOn w:val="7"/>
    <w:qFormat/>
    <w:uiPriority w:val="0"/>
    <w:pPr>
      <w:tabs>
        <w:tab w:val="left" w:pos="0"/>
      </w:tabs>
      <w:adjustRightInd w:val="0"/>
      <w:spacing w:line="376" w:lineRule="atLeast"/>
      <w:ind w:firstLine="0" w:firstLineChars="0"/>
      <w:jc w:val="left"/>
      <w:textAlignment w:val="baseline"/>
    </w:pPr>
    <w:rPr>
      <w:rFonts w:cs="宋体"/>
      <w:kern w:val="0"/>
      <w:szCs w:val="20"/>
    </w:rPr>
  </w:style>
  <w:style w:type="paragraph" w:customStyle="1" w:styleId="611">
    <w:name w:val="Char Char Char1 Char Char Char Char Char Char"/>
    <w:basedOn w:val="1"/>
    <w:qFormat/>
    <w:uiPriority w:val="0"/>
    <w:rPr>
      <w:szCs w:val="24"/>
    </w:rPr>
  </w:style>
  <w:style w:type="paragraph" w:customStyle="1" w:styleId="612">
    <w:name w:val="Char Char Char Char Char Char3 Char Char Char Char Char Char Char1"/>
    <w:basedOn w:val="1"/>
    <w:qFormat/>
    <w:uiPriority w:val="0"/>
    <w:rPr>
      <w:rFonts w:ascii="宋体" w:hAnsi="宋体" w:cs="宋体"/>
      <w:szCs w:val="24"/>
    </w:rPr>
  </w:style>
  <w:style w:type="paragraph" w:customStyle="1" w:styleId="613">
    <w:name w:val="Char Char2"/>
    <w:basedOn w:val="1"/>
    <w:qFormat/>
    <w:uiPriority w:val="0"/>
    <w:pPr>
      <w:autoSpaceDE w:val="0"/>
      <w:autoSpaceDN w:val="0"/>
      <w:adjustRightInd w:val="0"/>
      <w:snapToGrid w:val="0"/>
      <w:spacing w:before="50" w:after="50"/>
      <w:ind w:firstLine="560"/>
    </w:pPr>
    <w:rPr>
      <w:rFonts w:eastAsia="仿宋_GB2312"/>
      <w:color w:val="000000"/>
      <w:szCs w:val="24"/>
    </w:rPr>
  </w:style>
  <w:style w:type="paragraph" w:customStyle="1" w:styleId="614">
    <w:name w:val="Char Char21"/>
    <w:basedOn w:val="1"/>
    <w:qFormat/>
    <w:uiPriority w:val="0"/>
    <w:pPr>
      <w:tabs>
        <w:tab w:val="left" w:pos="3436"/>
      </w:tabs>
      <w:ind w:left="1984" w:hanging="708"/>
    </w:pPr>
    <w:rPr>
      <w:szCs w:val="24"/>
    </w:rPr>
  </w:style>
  <w:style w:type="paragraph" w:customStyle="1" w:styleId="615">
    <w:name w:val="样式 (符号) 宋体 五号 加粗 居中 段前: 0.5 行 行距: 单倍行距"/>
    <w:basedOn w:val="1"/>
    <w:qFormat/>
    <w:uiPriority w:val="0"/>
    <w:pPr>
      <w:snapToGrid w:val="0"/>
      <w:jc w:val="center"/>
    </w:pPr>
    <w:rPr>
      <w:rFonts w:hAnsi="宋体" w:cs="宋体"/>
      <w:b/>
      <w:bCs/>
      <w:kern w:val="0"/>
      <w:szCs w:val="20"/>
    </w:rPr>
  </w:style>
  <w:style w:type="paragraph" w:customStyle="1" w:styleId="616">
    <w:name w:val="xl82"/>
    <w:basedOn w:val="1"/>
    <w:qFormat/>
    <w:uiPriority w:val="0"/>
    <w:pPr>
      <w:widowControl/>
      <w:spacing w:before="100" w:beforeAutospacing="1" w:after="100" w:afterAutospacing="1"/>
      <w:jc w:val="center"/>
      <w:textAlignment w:val="center"/>
    </w:pPr>
    <w:rPr>
      <w:rFonts w:ascii="宋体" w:hAnsi="宋体" w:cs="宋体"/>
      <w:color w:val="000000"/>
      <w:kern w:val="0"/>
      <w:szCs w:val="24"/>
    </w:rPr>
  </w:style>
  <w:style w:type="paragraph" w:customStyle="1" w:styleId="617">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Cs w:val="24"/>
    </w:rPr>
  </w:style>
  <w:style w:type="paragraph" w:customStyle="1" w:styleId="618">
    <w:name w:val="3级标题"/>
    <w:basedOn w:val="1"/>
    <w:link w:val="619"/>
    <w:qFormat/>
    <w:uiPriority w:val="0"/>
    <w:pPr>
      <w:spacing w:before="200" w:line="400" w:lineRule="exact"/>
      <w:outlineLvl w:val="2"/>
    </w:pPr>
    <w:rPr>
      <w:b/>
      <w:kern w:val="0"/>
      <w:szCs w:val="20"/>
    </w:rPr>
  </w:style>
  <w:style w:type="character" w:customStyle="1" w:styleId="619">
    <w:name w:val="3级标题 Char"/>
    <w:link w:val="618"/>
    <w:qFormat/>
    <w:uiPriority w:val="0"/>
    <w:rPr>
      <w:rFonts w:ascii="Times New Roman" w:hAnsi="Times New Roman"/>
      <w:b/>
      <w:sz w:val="24"/>
    </w:rPr>
  </w:style>
  <w:style w:type="paragraph" w:customStyle="1" w:styleId="620">
    <w:name w:val="Char Char Char11"/>
    <w:basedOn w:val="1"/>
    <w:qFormat/>
    <w:uiPriority w:val="0"/>
    <w:rPr>
      <w:rFonts w:ascii="宋体" w:hAnsi="宋体" w:cs="宋体"/>
      <w:szCs w:val="24"/>
    </w:rPr>
  </w:style>
  <w:style w:type="paragraph" w:customStyle="1" w:styleId="621">
    <w:name w:val="样式 水保3级 + 首行缩进:  2 字符"/>
    <w:basedOn w:val="622"/>
    <w:qFormat/>
    <w:uiPriority w:val="0"/>
    <w:pPr>
      <w:ind w:firstLine="560"/>
    </w:pPr>
    <w:rPr>
      <w:rFonts w:cs="宋体"/>
      <w:bCs w:val="0"/>
      <w:szCs w:val="20"/>
    </w:rPr>
  </w:style>
  <w:style w:type="paragraph" w:customStyle="1" w:styleId="622">
    <w:name w:val="水保3级"/>
    <w:basedOn w:val="5"/>
    <w:qFormat/>
    <w:uiPriority w:val="0"/>
    <w:pPr>
      <w:spacing w:before="260" w:after="260" w:line="500" w:lineRule="exact"/>
      <w:ind w:firstLine="480" w:firstLineChars="200"/>
    </w:pPr>
    <w:rPr>
      <w:rFonts w:ascii="宋体" w:hAnsi="宋体" w:eastAsia="宋体"/>
      <w:b w:val="0"/>
      <w:sz w:val="28"/>
      <w:lang w:val="zh-CN"/>
    </w:rPr>
  </w:style>
  <w:style w:type="paragraph" w:customStyle="1" w:styleId="623">
    <w:name w:val="表名 Char1 Char Char Char"/>
    <w:basedOn w:val="1"/>
    <w:semiHidden/>
    <w:qFormat/>
    <w:uiPriority w:val="0"/>
    <w:pPr>
      <w:overflowPunct w:val="0"/>
      <w:spacing w:before="100" w:beforeAutospacing="1"/>
      <w:jc w:val="center"/>
      <w:textAlignment w:val="baseline"/>
    </w:pPr>
    <w:rPr>
      <w:rFonts w:ascii="Arial" w:hAnsi="Arial" w:eastAsia="黑体"/>
      <w:snapToGrid w:val="0"/>
      <w:szCs w:val="24"/>
    </w:rPr>
  </w:style>
  <w:style w:type="paragraph" w:customStyle="1" w:styleId="624">
    <w:name w:val="表名称"/>
    <w:basedOn w:val="1"/>
    <w:qFormat/>
    <w:uiPriority w:val="0"/>
    <w:pPr>
      <w:jc w:val="center"/>
    </w:pPr>
    <w:rPr>
      <w:rFonts w:ascii="黑体" w:hAnsi="黑体" w:eastAsia="黑体" w:cs="宋体"/>
      <w:szCs w:val="20"/>
    </w:rPr>
  </w:style>
  <w:style w:type="paragraph" w:customStyle="1" w:styleId="625">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626">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24"/>
    </w:rPr>
  </w:style>
  <w:style w:type="paragraph" w:customStyle="1" w:styleId="627">
    <w:name w:val="2标题"/>
    <w:next w:val="628"/>
    <w:qFormat/>
    <w:uiPriority w:val="0"/>
    <w:pPr>
      <w:spacing w:beforeLines="30" w:afterLines="30"/>
      <w:jc w:val="center"/>
      <w:outlineLvl w:val="1"/>
    </w:pPr>
    <w:rPr>
      <w:rFonts w:ascii="Times New Roman" w:hAnsi="Times New Roman" w:eastAsia="黑体" w:cs="Times New Roman"/>
      <w:kern w:val="2"/>
      <w:sz w:val="32"/>
      <w:szCs w:val="24"/>
      <w:lang w:val="en-US" w:eastAsia="zh-CN" w:bidi="ar-SA"/>
    </w:rPr>
  </w:style>
  <w:style w:type="paragraph" w:customStyle="1" w:styleId="628">
    <w:name w:val="3标题"/>
    <w:next w:val="629"/>
    <w:qFormat/>
    <w:uiPriority w:val="0"/>
    <w:pPr>
      <w:spacing w:beforeLines="20" w:afterLines="20"/>
      <w:jc w:val="center"/>
      <w:outlineLvl w:val="2"/>
    </w:pPr>
    <w:rPr>
      <w:rFonts w:ascii="Times New Roman" w:hAnsi="Times New Roman" w:eastAsia="黑体" w:cs="Times New Roman"/>
      <w:kern w:val="2"/>
      <w:sz w:val="30"/>
      <w:szCs w:val="24"/>
      <w:lang w:val="en-US" w:eastAsia="zh-CN" w:bidi="ar-SA"/>
    </w:rPr>
  </w:style>
  <w:style w:type="paragraph" w:customStyle="1" w:styleId="629">
    <w:name w:val="4标题"/>
    <w:next w:val="1"/>
    <w:qFormat/>
    <w:uiPriority w:val="0"/>
    <w:pPr>
      <w:spacing w:beforeLines="20" w:afterLines="20"/>
      <w:jc w:val="center"/>
      <w:outlineLvl w:val="3"/>
    </w:pPr>
    <w:rPr>
      <w:rFonts w:ascii="Times New Roman" w:hAnsi="Times New Roman" w:eastAsia="黑体" w:cs="Times New Roman"/>
      <w:kern w:val="2"/>
      <w:sz w:val="28"/>
      <w:szCs w:val="24"/>
      <w:lang w:val="en-US" w:eastAsia="zh-CN" w:bidi="ar-SA"/>
    </w:rPr>
  </w:style>
  <w:style w:type="paragraph" w:customStyle="1" w:styleId="630">
    <w:name w:val="1标题"/>
    <w:next w:val="627"/>
    <w:qFormat/>
    <w:uiPriority w:val="0"/>
    <w:pPr>
      <w:spacing w:beforeLines="50" w:afterLines="50"/>
      <w:jc w:val="center"/>
      <w:outlineLvl w:val="0"/>
    </w:pPr>
    <w:rPr>
      <w:rFonts w:ascii="Times New Roman" w:hAnsi="Times New Roman" w:eastAsia="黑体" w:cs="Times New Roman"/>
      <w:kern w:val="2"/>
      <w:sz w:val="36"/>
      <w:szCs w:val="24"/>
      <w:lang w:val="en-US" w:eastAsia="zh-CN" w:bidi="ar-SA"/>
    </w:rPr>
  </w:style>
  <w:style w:type="paragraph" w:customStyle="1" w:styleId="631">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 w:val="18"/>
      <w:szCs w:val="18"/>
    </w:rPr>
  </w:style>
  <w:style w:type="paragraph" w:customStyle="1" w:styleId="632">
    <w:name w:val="xl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kern w:val="0"/>
      <w:szCs w:val="21"/>
    </w:rPr>
  </w:style>
  <w:style w:type="paragraph" w:customStyle="1" w:styleId="633">
    <w:name w:val="样式 样式 标题 3 + 首行缩进:  2 字符 + 首行缩进:  0.85 厘米"/>
    <w:basedOn w:val="1"/>
    <w:qFormat/>
    <w:uiPriority w:val="0"/>
    <w:pPr>
      <w:keepNext/>
      <w:keepLines/>
      <w:widowControl/>
      <w:tabs>
        <w:tab w:val="left" w:pos="1860"/>
      </w:tabs>
      <w:ind w:left="1860" w:hanging="420"/>
      <w:outlineLvl w:val="2"/>
    </w:pPr>
    <w:rPr>
      <w:rFonts w:ascii="黑体" w:eastAsia="黑体" w:cs="宋体"/>
      <w:b/>
      <w:bCs/>
      <w:kern w:val="0"/>
      <w:szCs w:val="28"/>
    </w:rPr>
  </w:style>
  <w:style w:type="paragraph" w:customStyle="1" w:styleId="634">
    <w:name w:val="样式 标题 4 + 段前: 1 行 段后: 1 行2"/>
    <w:basedOn w:val="6"/>
    <w:qFormat/>
    <w:uiPriority w:val="0"/>
    <w:pPr>
      <w:tabs>
        <w:tab w:val="left" w:pos="1080"/>
      </w:tabs>
      <w:adjustRightInd w:val="0"/>
      <w:snapToGrid w:val="0"/>
      <w:spacing w:beforeLines="50" w:afterLines="50" w:line="360" w:lineRule="auto"/>
      <w:ind w:left="1080"/>
    </w:pPr>
    <w:rPr>
      <w:rFonts w:ascii="Times New Roman" w:hAnsi="Times New Roman" w:cs="宋体"/>
      <w:sz w:val="24"/>
      <w:szCs w:val="20"/>
    </w:rPr>
  </w:style>
  <w:style w:type="paragraph" w:customStyle="1" w:styleId="635">
    <w:name w:val="bgbt6插图标题"/>
    <w:basedOn w:val="1"/>
    <w:next w:val="1"/>
    <w:qFormat/>
    <w:uiPriority w:val="0"/>
    <w:pPr>
      <w:spacing w:after="60"/>
      <w:jc w:val="center"/>
      <w:outlineLvl w:val="5"/>
    </w:pPr>
    <w:rPr>
      <w:rFonts w:eastAsia="黑体"/>
      <w:szCs w:val="20"/>
    </w:rPr>
  </w:style>
  <w:style w:type="paragraph" w:customStyle="1" w:styleId="636">
    <w:name w:val="表头 Char Char Char"/>
    <w:basedOn w:val="31"/>
    <w:semiHidden/>
    <w:qFormat/>
    <w:uiPriority w:val="0"/>
    <w:pPr>
      <w:spacing w:line="360" w:lineRule="auto"/>
      <w:ind w:firstLine="510" w:firstLineChars="200"/>
      <w:jc w:val="center"/>
    </w:pPr>
    <w:rPr>
      <w:b/>
      <w:bCs/>
      <w:snapToGrid w:val="0"/>
      <w:szCs w:val="21"/>
    </w:rPr>
  </w:style>
  <w:style w:type="paragraph" w:customStyle="1" w:styleId="637">
    <w:name w:val="正文文本缩进 21"/>
    <w:basedOn w:val="1"/>
    <w:qFormat/>
    <w:uiPriority w:val="0"/>
    <w:pPr>
      <w:adjustRightInd w:val="0"/>
      <w:spacing w:line="312" w:lineRule="auto"/>
      <w:ind w:firstLine="570"/>
      <w:textAlignment w:val="baseline"/>
    </w:pPr>
    <w:rPr>
      <w:sz w:val="28"/>
      <w:szCs w:val="20"/>
    </w:rPr>
  </w:style>
  <w:style w:type="paragraph" w:customStyle="1" w:styleId="638">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Cs w:val="21"/>
    </w:rPr>
  </w:style>
  <w:style w:type="paragraph" w:customStyle="1" w:styleId="639">
    <w:name w:val="样式 首行缩进:  1.83 厘米"/>
    <w:basedOn w:val="1"/>
    <w:semiHidden/>
    <w:qFormat/>
    <w:uiPriority w:val="0"/>
    <w:pPr>
      <w:autoSpaceDE w:val="0"/>
      <w:autoSpaceDN w:val="0"/>
      <w:adjustRightInd w:val="0"/>
      <w:spacing w:line="324" w:lineRule="auto"/>
      <w:ind w:firstLine="480"/>
      <w:textAlignment w:val="baseline"/>
    </w:pPr>
    <w:rPr>
      <w:rFonts w:cs="宋体"/>
      <w:kern w:val="0"/>
      <w:szCs w:val="20"/>
    </w:rPr>
  </w:style>
  <w:style w:type="paragraph" w:customStyle="1" w:styleId="640">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18"/>
      <w:szCs w:val="18"/>
    </w:rPr>
  </w:style>
  <w:style w:type="paragraph" w:customStyle="1" w:styleId="641">
    <w:name w:val="bg"/>
    <w:basedOn w:val="1"/>
    <w:qFormat/>
    <w:uiPriority w:val="0"/>
    <w:pPr>
      <w:widowControl/>
      <w:snapToGrid w:val="0"/>
      <w:jc w:val="center"/>
    </w:pPr>
    <w:rPr>
      <w:rFonts w:cs="宋体"/>
      <w:snapToGrid w:val="0"/>
      <w:color w:val="000000"/>
      <w:sz w:val="18"/>
      <w:szCs w:val="18"/>
    </w:rPr>
  </w:style>
  <w:style w:type="paragraph" w:customStyle="1" w:styleId="642">
    <w:name w:val="样式 左侧:  1 字符 右侧:  1 字符1"/>
    <w:basedOn w:val="1"/>
    <w:semiHidden/>
    <w:qFormat/>
    <w:uiPriority w:val="0"/>
    <w:pPr>
      <w:tabs>
        <w:tab w:val="left" w:pos="6660"/>
        <w:tab w:val="left" w:pos="8370"/>
      </w:tabs>
      <w:adjustRightInd w:val="0"/>
      <w:ind w:left="-166" w:right="240" w:rightChars="100" w:firstLine="614" w:firstLineChars="256"/>
    </w:pPr>
    <w:rPr>
      <w:rFonts w:cs="宋体"/>
      <w:szCs w:val="20"/>
    </w:rPr>
  </w:style>
  <w:style w:type="paragraph" w:customStyle="1" w:styleId="643">
    <w:name w:val="样式 标题2　自动设置"/>
    <w:basedOn w:val="4"/>
    <w:qFormat/>
    <w:uiPriority w:val="0"/>
    <w:pPr>
      <w:tabs>
        <w:tab w:val="left" w:pos="1140"/>
      </w:tabs>
      <w:spacing w:beforeLines="50" w:afterLines="50"/>
      <w:ind w:left="1140" w:hanging="720"/>
    </w:pPr>
    <w:rPr>
      <w:rFonts w:ascii="宋体" w:hAnsi="宋体" w:eastAsia="宋体" w:cs="宋体"/>
      <w:kern w:val="0"/>
      <w:szCs w:val="20"/>
    </w:rPr>
  </w:style>
  <w:style w:type="paragraph" w:customStyle="1" w:styleId="644">
    <w:name w:val="正文文本缩进1"/>
    <w:basedOn w:val="1"/>
    <w:qFormat/>
    <w:uiPriority w:val="0"/>
    <w:pPr>
      <w:widowControl/>
      <w:ind w:firstLine="720"/>
    </w:pPr>
    <w:rPr>
      <w:kern w:val="0"/>
      <w:szCs w:val="24"/>
    </w:rPr>
  </w:style>
  <w:style w:type="paragraph" w:customStyle="1" w:styleId="645">
    <w:name w:val="标题三"/>
    <w:basedOn w:val="5"/>
    <w:qFormat/>
    <w:uiPriority w:val="0"/>
    <w:pPr>
      <w:jc w:val="left"/>
    </w:pPr>
  </w:style>
  <w:style w:type="paragraph" w:customStyle="1" w:styleId="646">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647">
    <w:name w:val="default paragraph font Char"/>
    <w:basedOn w:val="1"/>
    <w:qFormat/>
    <w:uiPriority w:val="0"/>
    <w:pPr>
      <w:spacing w:line="240" w:lineRule="atLeast"/>
      <w:ind w:left="420" w:firstLine="420"/>
    </w:pPr>
    <w:rPr>
      <w:rFonts w:eastAsia="仿宋_GB2312"/>
      <w:sz w:val="32"/>
      <w:szCs w:val="32"/>
    </w:rPr>
  </w:style>
  <w:style w:type="paragraph" w:customStyle="1" w:styleId="648">
    <w:name w:val="表5"/>
    <w:basedOn w:val="1"/>
    <w:qFormat/>
    <w:uiPriority w:val="0"/>
    <w:pPr>
      <w:adjustRightInd w:val="0"/>
      <w:snapToGrid w:val="0"/>
      <w:jc w:val="center"/>
    </w:pPr>
    <w:rPr>
      <w:szCs w:val="21"/>
    </w:rPr>
  </w:style>
  <w:style w:type="paragraph" w:customStyle="1" w:styleId="649">
    <w:name w:val="表号 Char Char Char Char"/>
    <w:basedOn w:val="1"/>
    <w:qFormat/>
    <w:uiPriority w:val="0"/>
    <w:pPr>
      <w:adjustRightInd w:val="0"/>
      <w:snapToGrid w:val="0"/>
      <w:spacing w:line="320" w:lineRule="exact"/>
      <w:ind w:firstLine="105" w:firstLineChars="50"/>
      <w:textAlignment w:val="baseline"/>
    </w:pPr>
    <w:rPr>
      <w:rFonts w:ascii="宋体" w:hAnsi="宋体"/>
      <w:bCs/>
      <w:snapToGrid w:val="0"/>
      <w:kern w:val="0"/>
      <w:szCs w:val="21"/>
    </w:rPr>
  </w:style>
  <w:style w:type="paragraph" w:customStyle="1" w:styleId="650">
    <w:name w:val="正文--小4"/>
    <w:basedOn w:val="1"/>
    <w:qFormat/>
    <w:uiPriority w:val="0"/>
    <w:pPr>
      <w:spacing w:line="384" w:lineRule="auto"/>
    </w:pPr>
    <w:rPr>
      <w:szCs w:val="24"/>
    </w:rPr>
  </w:style>
  <w:style w:type="paragraph" w:customStyle="1" w:styleId="651">
    <w:name w:val="样式 右侧:  0 厘米 段前: 0.5 行"/>
    <w:basedOn w:val="1"/>
    <w:qFormat/>
    <w:uiPriority w:val="0"/>
    <w:pPr>
      <w:adjustRightInd w:val="0"/>
      <w:snapToGrid w:val="0"/>
      <w:spacing w:beforeLines="50"/>
    </w:pPr>
    <w:rPr>
      <w:rFonts w:cs="宋体"/>
      <w:szCs w:val="24"/>
    </w:rPr>
  </w:style>
  <w:style w:type="paragraph" w:customStyle="1" w:styleId="652">
    <w:name w:val="大岗山正文样式"/>
    <w:basedOn w:val="1"/>
    <w:qFormat/>
    <w:uiPriority w:val="0"/>
    <w:pPr>
      <w:ind w:firstLine="560"/>
    </w:pPr>
    <w:rPr>
      <w:szCs w:val="20"/>
    </w:rPr>
  </w:style>
  <w:style w:type="paragraph" w:customStyle="1" w:styleId="653">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654">
    <w:name w:val="样式 表号 + 首行缩进:  2 字符"/>
    <w:basedOn w:val="273"/>
    <w:qFormat/>
    <w:uiPriority w:val="0"/>
    <w:pPr>
      <w:overflowPunct/>
      <w:topLinePunct w:val="0"/>
      <w:autoSpaceDE w:val="0"/>
      <w:autoSpaceDN w:val="0"/>
      <w:adjustRightInd w:val="0"/>
      <w:spacing w:line="240" w:lineRule="atLeast"/>
      <w:ind w:firstLine="384"/>
      <w:textAlignment w:val="baseline"/>
      <w:outlineLvl w:val="9"/>
    </w:pPr>
    <w:rPr>
      <w:rFonts w:cs="宋体"/>
      <w:spacing w:val="6"/>
      <w:kern w:val="0"/>
      <w:sz w:val="18"/>
      <w:szCs w:val="20"/>
    </w:rPr>
  </w:style>
  <w:style w:type="paragraph" w:customStyle="1" w:styleId="655">
    <w:name w:val="样式 表文 + Times New Roman"/>
    <w:basedOn w:val="590"/>
    <w:qFormat/>
    <w:uiPriority w:val="0"/>
    <w:pPr>
      <w:overflowPunct/>
      <w:autoSpaceDE w:val="0"/>
      <w:autoSpaceDN w:val="0"/>
    </w:pPr>
    <w:rPr>
      <w:sz w:val="18"/>
      <w:szCs w:val="21"/>
    </w:rPr>
  </w:style>
  <w:style w:type="paragraph" w:customStyle="1" w:styleId="656">
    <w:name w:val="样式 标题 4"/>
    <w:basedOn w:val="6"/>
    <w:semiHidden/>
    <w:qFormat/>
    <w:uiPriority w:val="0"/>
    <w:pPr>
      <w:tabs>
        <w:tab w:val="left" w:pos="1680"/>
      </w:tabs>
      <w:adjustRightInd w:val="0"/>
      <w:snapToGrid w:val="0"/>
      <w:spacing w:before="120" w:after="0" w:line="360" w:lineRule="auto"/>
      <w:ind w:left="1680" w:hanging="420"/>
    </w:pPr>
    <w:rPr>
      <w:rFonts w:ascii="Times New Roman" w:hAnsi="Times New Roman"/>
      <w:b w:val="0"/>
      <w:bCs w:val="0"/>
      <w:snapToGrid w:val="0"/>
      <w:sz w:val="24"/>
      <w:szCs w:val="24"/>
    </w:rPr>
  </w:style>
  <w:style w:type="paragraph" w:customStyle="1" w:styleId="657">
    <w:name w:val="11"/>
    <w:basedOn w:val="1"/>
    <w:qFormat/>
    <w:uiPriority w:val="0"/>
    <w:pPr>
      <w:adjustRightInd w:val="0"/>
      <w:spacing w:line="240" w:lineRule="atLeast"/>
      <w:jc w:val="center"/>
      <w:textAlignment w:val="baseline"/>
    </w:pPr>
    <w:rPr>
      <w:kern w:val="0"/>
      <w:szCs w:val="20"/>
    </w:rPr>
  </w:style>
  <w:style w:type="paragraph" w:customStyle="1" w:styleId="658">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659">
    <w:name w:val="xl129"/>
    <w:basedOn w:val="1"/>
    <w:qFormat/>
    <w:uiPriority w:val="0"/>
    <w:pPr>
      <w:widowControl/>
      <w:spacing w:before="100" w:beforeAutospacing="1" w:after="100" w:afterAutospacing="1"/>
      <w:jc w:val="center"/>
      <w:textAlignment w:val="center"/>
    </w:pPr>
    <w:rPr>
      <w:rFonts w:ascii="宋体" w:hAnsi="宋体" w:cs="宋体"/>
      <w:kern w:val="0"/>
      <w:szCs w:val="24"/>
    </w:rPr>
  </w:style>
  <w:style w:type="paragraph" w:customStyle="1" w:styleId="660">
    <w:name w:val="xl1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kern w:val="0"/>
      <w:szCs w:val="21"/>
    </w:rPr>
  </w:style>
  <w:style w:type="paragraph" w:customStyle="1" w:styleId="661">
    <w:name w:val="Char Char Char1 Char Char Char Char Char Char Char"/>
    <w:basedOn w:val="1"/>
    <w:qFormat/>
    <w:uiPriority w:val="0"/>
    <w:rPr>
      <w:szCs w:val="24"/>
    </w:rPr>
  </w:style>
  <w:style w:type="paragraph" w:customStyle="1" w:styleId="662">
    <w:name w:val="注释"/>
    <w:basedOn w:val="1"/>
    <w:qFormat/>
    <w:uiPriority w:val="0"/>
    <w:pPr>
      <w:snapToGrid w:val="0"/>
      <w:spacing w:before="60" w:after="60" w:line="480" w:lineRule="exact"/>
      <w:ind w:firstLine="360"/>
      <w:jc w:val="left"/>
      <w:outlineLvl w:val="0"/>
    </w:pPr>
    <w:rPr>
      <w:sz w:val="18"/>
      <w:szCs w:val="18"/>
    </w:rPr>
  </w:style>
  <w:style w:type="paragraph" w:customStyle="1" w:styleId="663">
    <w:name w:val="样式 表号 + 首行缩进:  2 字符2"/>
    <w:basedOn w:val="1"/>
    <w:qFormat/>
    <w:uiPriority w:val="0"/>
    <w:pPr>
      <w:autoSpaceDE w:val="0"/>
      <w:autoSpaceDN w:val="0"/>
      <w:adjustRightInd w:val="0"/>
      <w:spacing w:line="240" w:lineRule="atLeast"/>
      <w:textAlignment w:val="baseline"/>
      <w:outlineLvl w:val="6"/>
    </w:pPr>
    <w:rPr>
      <w:spacing w:val="6"/>
      <w:kern w:val="0"/>
      <w:szCs w:val="21"/>
    </w:rPr>
  </w:style>
  <w:style w:type="paragraph" w:customStyle="1" w:styleId="664">
    <w:name w:val="基文"/>
    <w:qFormat/>
    <w:uiPriority w:val="0"/>
    <w:pPr>
      <w:spacing w:line="360" w:lineRule="auto"/>
      <w:ind w:firstLine="480" w:firstLineChars="200"/>
      <w:jc w:val="center"/>
    </w:pPr>
    <w:rPr>
      <w:rFonts w:ascii="宋体" w:hAnsi="Courier New" w:eastAsia="宋体" w:cs="Courier New"/>
      <w:bCs/>
      <w:kern w:val="2"/>
      <w:sz w:val="24"/>
      <w:szCs w:val="24"/>
      <w:lang w:val="en-US" w:eastAsia="zh-CN" w:bidi="ar-SA"/>
    </w:rPr>
  </w:style>
  <w:style w:type="paragraph" w:customStyle="1" w:styleId="665">
    <w:name w:val="xl122"/>
    <w:basedOn w:val="1"/>
    <w:qFormat/>
    <w:uiPriority w:val="0"/>
    <w:pPr>
      <w:widowControl/>
      <w:spacing w:before="100" w:beforeAutospacing="1" w:after="100" w:afterAutospacing="1"/>
      <w:jc w:val="center"/>
      <w:textAlignment w:val="center"/>
    </w:pPr>
    <w:rPr>
      <w:rFonts w:ascii="宋体" w:hAnsi="宋体" w:cs="宋体"/>
      <w:kern w:val="0"/>
      <w:sz w:val="20"/>
      <w:szCs w:val="20"/>
    </w:rPr>
  </w:style>
  <w:style w:type="paragraph" w:customStyle="1" w:styleId="666">
    <w:name w:val="正文***"/>
    <w:basedOn w:val="1"/>
    <w:qFormat/>
    <w:uiPriority w:val="0"/>
    <w:rPr>
      <w:szCs w:val="20"/>
    </w:rPr>
  </w:style>
  <w:style w:type="paragraph" w:customStyle="1" w:styleId="667">
    <w:name w:val="layman"/>
    <w:basedOn w:val="1"/>
    <w:qFormat/>
    <w:uiPriority w:val="0"/>
    <w:pPr>
      <w:widowControl/>
      <w:tabs>
        <w:tab w:val="left" w:pos="5760"/>
      </w:tabs>
      <w:autoSpaceDE w:val="0"/>
      <w:autoSpaceDN w:val="0"/>
      <w:ind w:firstLine="420"/>
      <w:jc w:val="left"/>
    </w:pPr>
    <w:rPr>
      <w:color w:val="000000"/>
      <w:kern w:val="0"/>
      <w:szCs w:val="21"/>
    </w:rPr>
  </w:style>
  <w:style w:type="paragraph" w:customStyle="1" w:styleId="668">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669">
    <w:name w:val="样式 小四 两端对齐 行距: 1.5 倍行距"/>
    <w:basedOn w:val="1"/>
    <w:qFormat/>
    <w:uiPriority w:val="0"/>
    <w:pPr>
      <w:autoSpaceDE w:val="0"/>
      <w:autoSpaceDN w:val="0"/>
      <w:adjustRightInd w:val="0"/>
      <w:ind w:firstLine="480"/>
    </w:pPr>
    <w:rPr>
      <w:kern w:val="0"/>
      <w:szCs w:val="20"/>
      <w:lang w:val="zh-CN"/>
    </w:rPr>
  </w:style>
  <w:style w:type="paragraph" w:customStyle="1" w:styleId="670">
    <w:name w:val="样式 水保2级 + Times New Roman"/>
    <w:basedOn w:val="602"/>
    <w:qFormat/>
    <w:uiPriority w:val="0"/>
    <w:rPr>
      <w:rFonts w:ascii="Times New Roman" w:hAnsi="Times New Roman"/>
      <w:bCs w:val="0"/>
    </w:rPr>
  </w:style>
  <w:style w:type="paragraph" w:customStyle="1" w:styleId="671">
    <w:name w:val="Char Char Char Char Char Char Char Char Char Char Char Char Char1"/>
    <w:basedOn w:val="1"/>
    <w:qFormat/>
    <w:uiPriority w:val="0"/>
    <w:pPr>
      <w:snapToGrid w:val="0"/>
    </w:pPr>
    <w:rPr>
      <w:rFonts w:eastAsia="仿宋_GB2312"/>
      <w:szCs w:val="24"/>
    </w:rPr>
  </w:style>
  <w:style w:type="paragraph" w:customStyle="1" w:styleId="672">
    <w:name w:val="Char Char Char Char Char Char3 Char Char Char"/>
    <w:basedOn w:val="1"/>
    <w:qFormat/>
    <w:uiPriority w:val="0"/>
    <w:rPr>
      <w:rFonts w:ascii="宋体" w:hAnsi="宋体" w:cs="宋体"/>
      <w:szCs w:val="24"/>
    </w:rPr>
  </w:style>
  <w:style w:type="paragraph" w:customStyle="1" w:styleId="673">
    <w:name w:val="日期1"/>
    <w:basedOn w:val="1"/>
    <w:next w:val="1"/>
    <w:qFormat/>
    <w:uiPriority w:val="0"/>
    <w:pPr>
      <w:adjustRightInd w:val="0"/>
      <w:spacing w:after="100" w:afterAutospacing="1"/>
      <w:textAlignment w:val="baseline"/>
    </w:pPr>
    <w:rPr>
      <w:snapToGrid w:val="0"/>
      <w:szCs w:val="20"/>
    </w:rPr>
  </w:style>
  <w:style w:type="paragraph" w:customStyle="1" w:styleId="674">
    <w:name w:val="样式 正文+首行缩进2字符 + 首行缩进:  2 字符"/>
    <w:basedOn w:val="570"/>
    <w:qFormat/>
    <w:uiPriority w:val="0"/>
    <w:pPr>
      <w:ind w:firstLine="480"/>
      <w:jc w:val="both"/>
    </w:pPr>
    <w:rPr>
      <w:rFonts w:ascii="Times New Roman" w:hAnsi="Times New Roman"/>
      <w:sz w:val="24"/>
      <w:szCs w:val="24"/>
    </w:rPr>
  </w:style>
  <w:style w:type="paragraph" w:customStyle="1" w:styleId="675">
    <w:name w:val="xl111"/>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textAlignment w:val="center"/>
    </w:pPr>
    <w:rPr>
      <w:kern w:val="0"/>
      <w:sz w:val="18"/>
      <w:szCs w:val="18"/>
    </w:rPr>
  </w:style>
  <w:style w:type="paragraph" w:customStyle="1" w:styleId="676">
    <w:name w:val="Char1 Char Char Char1"/>
    <w:basedOn w:val="1"/>
    <w:qFormat/>
    <w:uiPriority w:val="0"/>
    <w:rPr>
      <w:rFonts w:ascii="宋体" w:hAnsi="宋体" w:cs="宋体"/>
      <w:szCs w:val="24"/>
    </w:rPr>
  </w:style>
  <w:style w:type="paragraph" w:customStyle="1" w:styleId="677">
    <w:name w:val="样式 标题 1 + 自动设置"/>
    <w:basedOn w:val="3"/>
    <w:qFormat/>
    <w:uiPriority w:val="0"/>
    <w:pPr>
      <w:tabs>
        <w:tab w:val="left" w:pos="700"/>
        <w:tab w:val="left" w:pos="964"/>
      </w:tabs>
      <w:autoSpaceDE w:val="0"/>
      <w:autoSpaceDN w:val="0"/>
      <w:adjustRightInd w:val="0"/>
      <w:ind w:left="510"/>
    </w:pPr>
    <w:rPr>
      <w:rFonts w:eastAsia="宋体"/>
      <w:sz w:val="28"/>
      <w:szCs w:val="20"/>
    </w:rPr>
  </w:style>
  <w:style w:type="paragraph" w:customStyle="1" w:styleId="678">
    <w:name w:val="正文0 Char Char Char Char"/>
    <w:basedOn w:val="1"/>
    <w:qFormat/>
    <w:uiPriority w:val="0"/>
    <w:pPr>
      <w:adjustRightInd w:val="0"/>
      <w:snapToGrid w:val="0"/>
      <w:ind w:firstLine="480"/>
    </w:pPr>
    <w:rPr>
      <w:szCs w:val="24"/>
    </w:rPr>
  </w:style>
  <w:style w:type="paragraph" w:customStyle="1" w:styleId="679">
    <w:name w:val="text1"/>
    <w:basedOn w:val="1"/>
    <w:qFormat/>
    <w:uiPriority w:val="0"/>
    <w:pPr>
      <w:widowControl/>
      <w:spacing w:before="100" w:beforeAutospacing="1" w:after="100" w:afterAutospacing="1"/>
      <w:jc w:val="left"/>
    </w:pPr>
    <w:rPr>
      <w:rFonts w:ascii="宋体" w:hAnsi="宋体" w:cs="宋体"/>
      <w:kern w:val="0"/>
      <w:szCs w:val="24"/>
    </w:rPr>
  </w:style>
  <w:style w:type="paragraph" w:customStyle="1" w:styleId="680">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Cs w:val="21"/>
    </w:rPr>
  </w:style>
  <w:style w:type="paragraph" w:customStyle="1" w:styleId="681">
    <w:name w:val="样式 标题 4 + 小四"/>
    <w:basedOn w:val="6"/>
    <w:qFormat/>
    <w:uiPriority w:val="0"/>
    <w:pPr>
      <w:spacing w:before="0" w:after="0" w:line="500" w:lineRule="exact"/>
      <w:ind w:firstLine="562"/>
    </w:pPr>
    <w:rPr>
      <w:rFonts w:ascii="Arial" w:hAnsi="Arial" w:eastAsia="仿宋_GB2312"/>
      <w:sz w:val="24"/>
    </w:rPr>
  </w:style>
  <w:style w:type="paragraph" w:customStyle="1" w:styleId="682">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kern w:val="0"/>
      <w:szCs w:val="21"/>
    </w:rPr>
  </w:style>
  <w:style w:type="paragraph" w:customStyle="1" w:styleId="683">
    <w:name w:val="我的正文 Char Char"/>
    <w:basedOn w:val="1"/>
    <w:qFormat/>
    <w:uiPriority w:val="0"/>
    <w:rPr>
      <w:szCs w:val="24"/>
    </w:rPr>
  </w:style>
  <w:style w:type="paragraph" w:customStyle="1" w:styleId="684">
    <w:name w:val="文章题目"/>
    <w:basedOn w:val="1"/>
    <w:next w:val="1"/>
    <w:qFormat/>
    <w:uiPriority w:val="0"/>
    <w:pPr>
      <w:adjustRightInd w:val="0"/>
      <w:snapToGrid w:val="0"/>
      <w:spacing w:before="100" w:beforeAutospacing="1" w:after="360"/>
      <w:jc w:val="center"/>
    </w:pPr>
    <w:rPr>
      <w:rFonts w:eastAsia="黑体"/>
      <w:b/>
      <w:bCs/>
      <w:sz w:val="32"/>
      <w:szCs w:val="32"/>
    </w:rPr>
  </w:style>
  <w:style w:type="paragraph" w:customStyle="1" w:styleId="685">
    <w:name w:val="前言"/>
    <w:qFormat/>
    <w:uiPriority w:val="0"/>
    <w:pPr>
      <w:spacing w:afterLines="100" w:line="600" w:lineRule="exact"/>
      <w:jc w:val="center"/>
    </w:pPr>
    <w:rPr>
      <w:rFonts w:ascii="宋体" w:hAnsi="宋体" w:eastAsia="黑体" w:cs="Times New Roman"/>
      <w:b/>
      <w:sz w:val="36"/>
      <w:lang w:val="en-US" w:eastAsia="zh-CN" w:bidi="ar-SA"/>
    </w:rPr>
  </w:style>
  <w:style w:type="paragraph" w:customStyle="1" w:styleId="686">
    <w:name w:val="样式 正文文本缩进 2 + 左侧:  0.98 厘米 首行缩进:  2 字符"/>
    <w:basedOn w:val="35"/>
    <w:qFormat/>
    <w:uiPriority w:val="0"/>
    <w:pPr>
      <w:adjustRightInd w:val="0"/>
      <w:snapToGrid w:val="0"/>
      <w:spacing w:after="0" w:line="360" w:lineRule="auto"/>
      <w:ind w:left="0" w:leftChars="0" w:firstLine="560"/>
    </w:pPr>
    <w:rPr>
      <w:rFonts w:eastAsia="仿宋_GB2312"/>
      <w:sz w:val="28"/>
      <w:szCs w:val="20"/>
    </w:rPr>
  </w:style>
  <w:style w:type="paragraph" w:customStyle="1" w:styleId="687">
    <w:name w:val="环科院正文"/>
    <w:basedOn w:val="1"/>
    <w:qFormat/>
    <w:uiPriority w:val="0"/>
    <w:pPr>
      <w:ind w:firstLine="480"/>
    </w:pPr>
    <w:rPr>
      <w:rFonts w:ascii="宋体" w:hAnsi="宋体"/>
      <w:szCs w:val="24"/>
      <w:u w:color="000000"/>
    </w:rPr>
  </w:style>
  <w:style w:type="paragraph" w:customStyle="1" w:styleId="688">
    <w:name w:val="Char1"/>
    <w:basedOn w:val="1"/>
    <w:qFormat/>
    <w:uiPriority w:val="0"/>
    <w:rPr>
      <w:szCs w:val="24"/>
    </w:rPr>
  </w:style>
  <w:style w:type="paragraph" w:customStyle="1" w:styleId="689">
    <w:name w:val="样式 宋体 首行缩进:  2 字符"/>
    <w:basedOn w:val="1"/>
    <w:next w:val="197"/>
    <w:qFormat/>
    <w:uiPriority w:val="0"/>
    <w:pPr>
      <w:ind w:firstLine="480"/>
      <w:jc w:val="left"/>
    </w:pPr>
    <w:rPr>
      <w:rFonts w:ascii="宋体" w:hAnsi="宋体" w:cs="宋体"/>
      <w:szCs w:val="20"/>
    </w:rPr>
  </w:style>
  <w:style w:type="paragraph" w:customStyle="1" w:styleId="690">
    <w:name w:val="图1"/>
    <w:basedOn w:val="1"/>
    <w:next w:val="1"/>
    <w:qFormat/>
    <w:uiPriority w:val="0"/>
    <w:pPr>
      <w:ind w:firstLine="480"/>
    </w:pPr>
    <w:rPr>
      <w:snapToGrid w:val="0"/>
      <w:color w:val="FF0000"/>
      <w:kern w:val="0"/>
      <w:szCs w:val="24"/>
    </w:rPr>
  </w:style>
  <w:style w:type="paragraph" w:customStyle="1" w:styleId="691">
    <w:name w:val="表名 Char Char Char Char1"/>
    <w:basedOn w:val="1"/>
    <w:semiHidden/>
    <w:qFormat/>
    <w:uiPriority w:val="0"/>
    <w:pPr>
      <w:autoSpaceDE w:val="0"/>
      <w:autoSpaceDN w:val="0"/>
      <w:adjustRightInd w:val="0"/>
      <w:snapToGrid w:val="0"/>
      <w:spacing w:beforeLines="50"/>
      <w:jc w:val="center"/>
      <w:textAlignment w:val="baseline"/>
    </w:pPr>
    <w:rPr>
      <w:rFonts w:ascii="Arial" w:hAnsi="Arial" w:eastAsia="黑体"/>
      <w:snapToGrid w:val="0"/>
      <w:szCs w:val="24"/>
    </w:rPr>
  </w:style>
  <w:style w:type="paragraph" w:customStyle="1" w:styleId="692">
    <w:name w:val="样式 表正文 + 首行缩进:  0.63 厘米"/>
    <w:basedOn w:val="15"/>
    <w:qFormat/>
    <w:uiPriority w:val="0"/>
    <w:pPr>
      <w:spacing w:line="240" w:lineRule="auto"/>
      <w:ind w:firstLine="0" w:firstLineChars="0"/>
      <w:jc w:val="center"/>
    </w:pPr>
    <w:rPr>
      <w:rFonts w:cs="宋体"/>
      <w:sz w:val="18"/>
      <w:szCs w:val="20"/>
    </w:rPr>
  </w:style>
  <w:style w:type="paragraph" w:customStyle="1" w:styleId="693">
    <w:name w:val="样式 标题 3 + (中文) 黑体 小四 非加粗 段前: 7.8 磅 段后: 0 磅 行距: 1.5 倍行距"/>
    <w:basedOn w:val="5"/>
    <w:qFormat/>
    <w:uiPriority w:val="0"/>
    <w:pPr>
      <w:spacing w:before="120" w:afterLines="50"/>
    </w:pPr>
    <w:rPr>
      <w:b w:val="0"/>
      <w:bCs w:val="0"/>
      <w:sz w:val="28"/>
      <w:szCs w:val="28"/>
      <w:lang w:val="zh-CN"/>
    </w:rPr>
  </w:style>
  <w:style w:type="paragraph" w:customStyle="1" w:styleId="694">
    <w:name w:val="xl92"/>
    <w:basedOn w:val="1"/>
    <w:qFormat/>
    <w:uiPriority w:val="0"/>
    <w:pPr>
      <w:widowControl/>
      <w:spacing w:before="100" w:beforeAutospacing="1" w:after="100" w:afterAutospacing="1"/>
      <w:jc w:val="center"/>
      <w:textAlignment w:val="top"/>
    </w:pPr>
    <w:rPr>
      <w:rFonts w:ascii="宋体" w:hAnsi="宋体" w:cs="宋体"/>
      <w:color w:val="0000FF"/>
      <w:kern w:val="0"/>
      <w:szCs w:val="21"/>
    </w:rPr>
  </w:style>
  <w:style w:type="paragraph" w:customStyle="1" w:styleId="695">
    <w:name w:val="表题与图题"/>
    <w:basedOn w:val="31"/>
    <w:next w:val="43"/>
    <w:qFormat/>
    <w:uiPriority w:val="0"/>
    <w:pPr>
      <w:spacing w:after="60" w:line="360" w:lineRule="exact"/>
      <w:ind w:firstLine="200" w:firstLineChars="200"/>
      <w:jc w:val="center"/>
    </w:pPr>
    <w:rPr>
      <w:rFonts w:ascii="Times New Roman" w:hAnsi="Times New Roman" w:eastAsia="黑体" w:cs="Courier New"/>
      <w:color w:val="FF0000"/>
      <w:kern w:val="0"/>
      <w:szCs w:val="21"/>
    </w:rPr>
  </w:style>
  <w:style w:type="paragraph" w:customStyle="1" w:styleId="696">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697">
    <w:name w:val="批注框文本1"/>
    <w:basedOn w:val="1"/>
    <w:qFormat/>
    <w:uiPriority w:val="0"/>
    <w:pPr>
      <w:snapToGrid w:val="0"/>
      <w:spacing w:beforeLines="50"/>
    </w:pPr>
    <w:rPr>
      <w:sz w:val="18"/>
      <w:szCs w:val="18"/>
    </w:rPr>
  </w:style>
  <w:style w:type="paragraph" w:customStyle="1" w:styleId="698">
    <w:name w:val="doc-desc"/>
    <w:basedOn w:val="1"/>
    <w:qFormat/>
    <w:uiPriority w:val="0"/>
    <w:pPr>
      <w:widowControl/>
      <w:spacing w:before="100" w:beforeAutospacing="1" w:after="100" w:afterAutospacing="1"/>
      <w:jc w:val="left"/>
    </w:pPr>
    <w:rPr>
      <w:rFonts w:ascii="宋体" w:hAnsi="宋体" w:cs="宋体"/>
      <w:kern w:val="0"/>
      <w:szCs w:val="24"/>
    </w:rPr>
  </w:style>
  <w:style w:type="paragraph" w:customStyle="1" w:styleId="699">
    <w:name w:val="样式 小四 首行缩进:  1.28 厘米"/>
    <w:basedOn w:val="1"/>
    <w:qFormat/>
    <w:uiPriority w:val="0"/>
    <w:pPr>
      <w:adjustRightInd w:val="0"/>
      <w:snapToGrid w:val="0"/>
      <w:ind w:firstLine="482"/>
    </w:pPr>
    <w:rPr>
      <w:rFonts w:cs="宋体"/>
      <w:kern w:val="0"/>
      <w:szCs w:val="20"/>
    </w:rPr>
  </w:style>
  <w:style w:type="paragraph" w:customStyle="1" w:styleId="700">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701">
    <w:name w:val="xl86"/>
    <w:basedOn w:val="1"/>
    <w:qFormat/>
    <w:uiPriority w:val="0"/>
    <w:pPr>
      <w:widowControl/>
      <w:spacing w:before="100" w:beforeAutospacing="1" w:after="100" w:afterAutospacing="1"/>
      <w:jc w:val="center"/>
      <w:textAlignment w:val="top"/>
    </w:pPr>
    <w:rPr>
      <w:rFonts w:ascii="宋体" w:hAnsi="宋体" w:cs="宋体"/>
      <w:kern w:val="0"/>
      <w:szCs w:val="21"/>
    </w:rPr>
  </w:style>
  <w:style w:type="paragraph" w:customStyle="1" w:styleId="702">
    <w:name w:val="表注释"/>
    <w:basedOn w:val="1"/>
    <w:next w:val="197"/>
    <w:qFormat/>
    <w:uiPriority w:val="0"/>
    <w:pPr>
      <w:snapToGrid w:val="0"/>
      <w:spacing w:before="60" w:after="60" w:line="480" w:lineRule="exact"/>
      <w:jc w:val="left"/>
      <w:outlineLvl w:val="0"/>
    </w:pPr>
    <w:rPr>
      <w:sz w:val="18"/>
      <w:szCs w:val="18"/>
    </w:rPr>
  </w:style>
  <w:style w:type="paragraph" w:customStyle="1" w:styleId="703">
    <w:name w:val="Char1 Char Char Char Char Char Char"/>
    <w:basedOn w:val="1"/>
    <w:qFormat/>
    <w:uiPriority w:val="0"/>
    <w:rPr>
      <w:rFonts w:ascii="宋体" w:hAnsi="宋体" w:cs="宋体"/>
      <w:szCs w:val="24"/>
    </w:rPr>
  </w:style>
  <w:style w:type="paragraph" w:customStyle="1" w:styleId="704">
    <w:name w:val="xl77"/>
    <w:basedOn w:val="1"/>
    <w:qFormat/>
    <w:uiPriority w:val="0"/>
    <w:pPr>
      <w:widowControl/>
      <w:spacing w:before="100" w:beforeAutospacing="1" w:after="100" w:afterAutospacing="1"/>
      <w:jc w:val="center"/>
    </w:pPr>
    <w:rPr>
      <w:kern w:val="0"/>
      <w:szCs w:val="21"/>
    </w:rPr>
  </w:style>
  <w:style w:type="paragraph" w:customStyle="1" w:styleId="705">
    <w:name w:val="xl74"/>
    <w:basedOn w:val="1"/>
    <w:qFormat/>
    <w:uiPriority w:val="0"/>
    <w:pPr>
      <w:widowControl/>
      <w:spacing w:before="100" w:beforeAutospacing="1" w:after="100" w:afterAutospacing="1"/>
      <w:jc w:val="left"/>
      <w:textAlignment w:val="center"/>
    </w:pPr>
    <w:rPr>
      <w:rFonts w:ascii="宋体" w:hAnsi="宋体" w:cs="宋体"/>
      <w:kern w:val="0"/>
      <w:szCs w:val="24"/>
    </w:rPr>
  </w:style>
  <w:style w:type="paragraph" w:customStyle="1" w:styleId="706">
    <w:name w:val="正文小标题"/>
    <w:basedOn w:val="1"/>
    <w:next w:val="1"/>
    <w:semiHidden/>
    <w:qFormat/>
    <w:uiPriority w:val="0"/>
    <w:pPr>
      <w:tabs>
        <w:tab w:val="left" w:pos="420"/>
        <w:tab w:val="left" w:pos="1174"/>
        <w:tab w:val="left" w:pos="6660"/>
      </w:tabs>
      <w:overflowPunct w:val="0"/>
      <w:autoSpaceDE w:val="0"/>
      <w:autoSpaceDN w:val="0"/>
      <w:adjustRightInd w:val="0"/>
      <w:ind w:left="85" w:firstLine="369"/>
      <w:textAlignment w:val="baseline"/>
    </w:pPr>
    <w:rPr>
      <w:color w:val="000000"/>
      <w:kern w:val="0"/>
      <w:szCs w:val="24"/>
    </w:rPr>
  </w:style>
  <w:style w:type="paragraph" w:customStyle="1" w:styleId="707">
    <w:name w:val="表内文字4"/>
    <w:basedOn w:val="1"/>
    <w:qFormat/>
    <w:uiPriority w:val="0"/>
    <w:pPr>
      <w:framePr w:wrap="around" w:vAnchor="margin" w:hAnchor="text" w:x="6" w:y="1"/>
      <w:spacing w:line="240" w:lineRule="atLeast"/>
      <w:jc w:val="left"/>
    </w:pPr>
    <w:rPr>
      <w:rFonts w:ascii="宋体" w:hAnsi="宋体"/>
      <w:color w:val="000000"/>
      <w:szCs w:val="24"/>
    </w:rPr>
  </w:style>
  <w:style w:type="paragraph" w:customStyle="1" w:styleId="708">
    <w:name w:val="Char Char Char Char Char Char1 Char Char Char"/>
    <w:basedOn w:val="1"/>
    <w:qFormat/>
    <w:uiPriority w:val="0"/>
    <w:rPr>
      <w:rFonts w:ascii="宋体" w:hAnsi="宋体" w:cs="宋体"/>
      <w:szCs w:val="24"/>
    </w:rPr>
  </w:style>
  <w:style w:type="paragraph" w:customStyle="1" w:styleId="709">
    <w:name w:val="小节标题"/>
    <w:basedOn w:val="1"/>
    <w:qFormat/>
    <w:uiPriority w:val="0"/>
    <w:pPr>
      <w:widowControl/>
      <w:spacing w:before="175" w:after="102" w:line="351" w:lineRule="atLeast"/>
      <w:textAlignment w:val="baseline"/>
    </w:pPr>
    <w:rPr>
      <w:rFonts w:eastAsia="黑体"/>
      <w:color w:val="000000"/>
      <w:kern w:val="0"/>
      <w:szCs w:val="20"/>
      <w:u w:color="000000"/>
    </w:rPr>
  </w:style>
  <w:style w:type="paragraph" w:customStyle="1" w:styleId="710">
    <w:name w:val="样式 标题 3 + 小四 非加粗 Char Char Char Char Char Char Char Char Char Char Char Char Char Char Char Char Char Char"/>
    <w:basedOn w:val="5"/>
    <w:qFormat/>
    <w:uiPriority w:val="0"/>
    <w:pPr>
      <w:spacing w:before="260" w:after="260" w:line="240" w:lineRule="auto"/>
    </w:pPr>
    <w:rPr>
      <w:snapToGrid w:val="0"/>
      <w:lang w:val="zh-CN"/>
    </w:rPr>
  </w:style>
  <w:style w:type="paragraph" w:customStyle="1" w:styleId="711">
    <w:name w:val="Char Char Char Char Char Char1 Char Char Char1 Char Char Char Char Char Char"/>
    <w:basedOn w:val="1"/>
    <w:qFormat/>
    <w:uiPriority w:val="0"/>
    <w:rPr>
      <w:rFonts w:ascii="宋体" w:hAnsi="宋体" w:cs="宋体"/>
      <w:szCs w:val="24"/>
    </w:rPr>
  </w:style>
  <w:style w:type="paragraph" w:customStyle="1" w:styleId="712">
    <w:name w:val="样式 样式 样式 标题 3 + 首行缩进:  0 厘米1 + 首行缩进:  0 厘米 + 首行缩进:  0 字符"/>
    <w:basedOn w:val="713"/>
    <w:qFormat/>
    <w:uiPriority w:val="0"/>
    <w:pPr>
      <w:ind w:firstLine="0"/>
    </w:pPr>
  </w:style>
  <w:style w:type="paragraph" w:customStyle="1" w:styleId="713">
    <w:name w:val="样式 样式 标题 3 + 首行缩进:  0 厘米1 + 首行缩进:  0 厘米"/>
    <w:basedOn w:val="1"/>
    <w:qFormat/>
    <w:uiPriority w:val="0"/>
    <w:pPr>
      <w:keepNext/>
      <w:keepLines/>
      <w:ind w:firstLine="100"/>
      <w:outlineLvl w:val="2"/>
    </w:pPr>
    <w:rPr>
      <w:rFonts w:cs="宋体"/>
      <w:sz w:val="28"/>
      <w:szCs w:val="20"/>
    </w:rPr>
  </w:style>
  <w:style w:type="paragraph" w:customStyle="1" w:styleId="714">
    <w:name w:val="Char Char Char Char Char Char Char Char Char3"/>
    <w:basedOn w:val="1"/>
    <w:qFormat/>
    <w:uiPriority w:val="0"/>
    <w:rPr>
      <w:rFonts w:eastAsia="仿宋_GB2312"/>
      <w:sz w:val="32"/>
      <w:szCs w:val="32"/>
    </w:rPr>
  </w:style>
  <w:style w:type="paragraph" w:customStyle="1" w:styleId="715">
    <w:name w:val="Char Char Char Char Char Char1 Char Char Char1 Char"/>
    <w:basedOn w:val="1"/>
    <w:qFormat/>
    <w:uiPriority w:val="0"/>
    <w:rPr>
      <w:rFonts w:ascii="宋体" w:hAnsi="宋体" w:cs="宋体"/>
      <w:szCs w:val="24"/>
    </w:rPr>
  </w:style>
  <w:style w:type="paragraph" w:customStyle="1" w:styleId="716">
    <w:name w:val="样式 正文文字缩进 + Times New Roman 小四 左 左侧:  0 厘米 段后: 5 磅 行距: 1.5 ..."/>
    <w:basedOn w:val="24"/>
    <w:qFormat/>
    <w:uiPriority w:val="0"/>
    <w:pPr>
      <w:spacing w:after="0"/>
      <w:ind w:left="0" w:leftChars="0"/>
      <w:jc w:val="left"/>
    </w:pPr>
    <w:rPr>
      <w:rFonts w:cs="宋体"/>
      <w:szCs w:val="20"/>
    </w:rPr>
  </w:style>
  <w:style w:type="paragraph" w:customStyle="1" w:styleId="717">
    <w:name w:val="工艺正文"/>
    <w:basedOn w:val="1"/>
    <w:qFormat/>
    <w:uiPriority w:val="0"/>
    <w:pPr>
      <w:adjustRightInd w:val="0"/>
      <w:snapToGrid w:val="0"/>
      <w:ind w:firstLine="578"/>
    </w:pPr>
    <w:rPr>
      <w:rFonts w:ascii="宋体"/>
      <w:szCs w:val="20"/>
    </w:rPr>
  </w:style>
  <w:style w:type="paragraph" w:customStyle="1" w:styleId="718">
    <w:name w:val="Char Char Char Char Char Char Char1"/>
    <w:basedOn w:val="1"/>
    <w:qFormat/>
    <w:uiPriority w:val="0"/>
    <w:pPr>
      <w:adjustRightInd w:val="0"/>
      <w:jc w:val="center"/>
      <w:textAlignment w:val="baseline"/>
    </w:pPr>
    <w:rPr>
      <w:rFonts w:ascii="宋体" w:hAnsi="宋体" w:cs="Arial Unicode MS"/>
      <w:snapToGrid w:val="0"/>
      <w:kern w:val="0"/>
      <w:szCs w:val="18"/>
    </w:rPr>
  </w:style>
  <w:style w:type="paragraph" w:customStyle="1" w:styleId="719">
    <w:name w:val="样式 小四 蓝色 行距: 固定值 30 磅"/>
    <w:basedOn w:val="1"/>
    <w:qFormat/>
    <w:uiPriority w:val="0"/>
    <w:pPr>
      <w:spacing w:line="600" w:lineRule="exact"/>
      <w:ind w:firstLine="540" w:firstLineChars="225"/>
    </w:pPr>
    <w:rPr>
      <w:rFonts w:cs="宋体"/>
      <w:color w:val="0000FF"/>
      <w:szCs w:val="20"/>
    </w:rPr>
  </w:style>
  <w:style w:type="paragraph" w:customStyle="1" w:styleId="720">
    <w:name w:val="样式 首行缩进:  0.85 厘米"/>
    <w:basedOn w:val="1"/>
    <w:qFormat/>
    <w:uiPriority w:val="0"/>
    <w:pPr>
      <w:autoSpaceDE w:val="0"/>
      <w:autoSpaceDN w:val="0"/>
      <w:adjustRightInd w:val="0"/>
      <w:snapToGrid w:val="0"/>
      <w:ind w:firstLine="482"/>
      <w:textAlignment w:val="top"/>
    </w:pPr>
    <w:rPr>
      <w:kern w:val="0"/>
      <w:szCs w:val="20"/>
    </w:rPr>
  </w:style>
  <w:style w:type="paragraph" w:customStyle="1" w:styleId="721">
    <w:name w:val="正文（首行缩进2字符）"/>
    <w:basedOn w:val="1"/>
    <w:qFormat/>
    <w:uiPriority w:val="0"/>
    <w:pPr>
      <w:topLinePunct/>
    </w:pPr>
    <w:rPr>
      <w:rFonts w:cs="宋体"/>
      <w:sz w:val="28"/>
      <w:szCs w:val="28"/>
    </w:rPr>
  </w:style>
  <w:style w:type="paragraph" w:customStyle="1" w:styleId="722">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723">
    <w:name w:val="样式 小四 首行缩进:  1 厘米"/>
    <w:basedOn w:val="1"/>
    <w:qFormat/>
    <w:uiPriority w:val="0"/>
    <w:pPr>
      <w:adjustRightInd w:val="0"/>
      <w:snapToGrid w:val="0"/>
      <w:ind w:firstLine="567"/>
    </w:pPr>
    <w:rPr>
      <w:rFonts w:cs="宋体"/>
      <w:spacing w:val="-4"/>
      <w:kern w:val="0"/>
      <w:szCs w:val="20"/>
    </w:rPr>
  </w:style>
  <w:style w:type="character" w:customStyle="1" w:styleId="724">
    <w:name w:val="正文 Char"/>
    <w:link w:val="280"/>
    <w:qFormat/>
    <w:uiPriority w:val="0"/>
    <w:rPr>
      <w:rFonts w:ascii="Times New Roman" w:hAnsi="Times New Roman"/>
      <w:b/>
      <w:kern w:val="2"/>
      <w:sz w:val="21"/>
      <w:szCs w:val="21"/>
      <w:lang w:val="en-US" w:eastAsia="zh-CN"/>
    </w:rPr>
  </w:style>
  <w:style w:type="paragraph" w:customStyle="1" w:styleId="725">
    <w:name w:val="Char Char Char Char Char Char Char Char Char Char Char Char Char Char Char Char Char Char Char Char Char Char Char Char Char Char Char Char Char Char Char Char Char Char Char Char Char Char Char Char Char Char Char Char Char Char"/>
    <w:basedOn w:val="1"/>
    <w:qFormat/>
    <w:uiPriority w:val="0"/>
    <w:rPr>
      <w:rFonts w:ascii="宋体" w:hAnsi="宋体" w:cs="宋体"/>
      <w:szCs w:val="24"/>
    </w:rPr>
  </w:style>
  <w:style w:type="paragraph" w:customStyle="1" w:styleId="726">
    <w:name w:val="大岗山正文文字"/>
    <w:basedOn w:val="23"/>
    <w:qFormat/>
    <w:uiPriority w:val="0"/>
    <w:pPr>
      <w:tabs>
        <w:tab w:val="left" w:pos="630"/>
        <w:tab w:val="left" w:pos="8925"/>
      </w:tabs>
      <w:spacing w:after="0"/>
      <w:ind w:firstLine="480"/>
    </w:pPr>
  </w:style>
  <w:style w:type="paragraph" w:customStyle="1" w:styleId="727">
    <w:name w:val="gg_body"/>
    <w:basedOn w:val="1"/>
    <w:qFormat/>
    <w:uiPriority w:val="0"/>
    <w:pPr>
      <w:spacing w:line="460" w:lineRule="exact"/>
    </w:pPr>
    <w:rPr>
      <w:rFonts w:ascii="宋体" w:hAnsi="宋体"/>
      <w:szCs w:val="20"/>
    </w:rPr>
  </w:style>
  <w:style w:type="paragraph" w:customStyle="1" w:styleId="728">
    <w:name w:val="xl87"/>
    <w:basedOn w:val="1"/>
    <w:qFormat/>
    <w:uiPriority w:val="0"/>
    <w:pPr>
      <w:widowControl/>
      <w:spacing w:before="100" w:beforeAutospacing="1" w:after="100" w:afterAutospacing="1"/>
      <w:jc w:val="center"/>
      <w:textAlignment w:val="center"/>
    </w:pPr>
    <w:rPr>
      <w:kern w:val="0"/>
      <w:szCs w:val="21"/>
    </w:rPr>
  </w:style>
  <w:style w:type="paragraph" w:customStyle="1" w:styleId="729">
    <w:name w:val="样式 样式 正文缩进s4 + 首行缩进:  2 字符 + 首行缩进:  2 字符"/>
    <w:basedOn w:val="1"/>
    <w:qFormat/>
    <w:uiPriority w:val="0"/>
    <w:pPr>
      <w:adjustRightInd w:val="0"/>
      <w:snapToGrid w:val="0"/>
      <w:ind w:firstLine="480"/>
    </w:pPr>
    <w:rPr>
      <w:rFonts w:eastAsia="仿宋_GB2312"/>
      <w:sz w:val="28"/>
      <w:szCs w:val="20"/>
    </w:rPr>
  </w:style>
  <w:style w:type="paragraph" w:customStyle="1" w:styleId="730">
    <w:name w:val="样式 标题 3 + 首行缩进:  2 字符"/>
    <w:basedOn w:val="5"/>
    <w:qFormat/>
    <w:uiPriority w:val="0"/>
    <w:pPr>
      <w:snapToGrid w:val="0"/>
      <w:spacing w:before="100" w:beforeAutospacing="1" w:after="100" w:afterAutospacing="1" w:line="440" w:lineRule="exact"/>
    </w:pPr>
    <w:rPr>
      <w:rFonts w:hAnsi="黑体" w:eastAsia="宋体"/>
      <w:bCs w:val="0"/>
      <w:snapToGrid w:val="0"/>
      <w:color w:val="000000"/>
      <w:sz w:val="28"/>
      <w:szCs w:val="20"/>
      <w:lang w:val="zh-CN"/>
    </w:rPr>
  </w:style>
  <w:style w:type="paragraph" w:customStyle="1" w:styleId="731">
    <w:name w:val="样式 样式 小四 蓝色 行距: 固定值 30 磅 + 行距: 1.5 倍行距1"/>
    <w:basedOn w:val="719"/>
    <w:qFormat/>
    <w:uiPriority w:val="0"/>
    <w:pPr>
      <w:spacing w:line="360" w:lineRule="auto"/>
    </w:pPr>
  </w:style>
  <w:style w:type="paragraph" w:customStyle="1" w:styleId="732">
    <w:name w:val="文章正文"/>
    <w:basedOn w:val="1"/>
    <w:qFormat/>
    <w:uiPriority w:val="0"/>
    <w:rPr>
      <w:rFonts w:eastAsia="仿宋_GB2312"/>
      <w:sz w:val="28"/>
      <w:szCs w:val="28"/>
    </w:rPr>
  </w:style>
  <w:style w:type="paragraph" w:customStyle="1" w:styleId="733">
    <w:name w:val="一级标题水保"/>
    <w:next w:val="1"/>
    <w:qFormat/>
    <w:uiPriority w:val="0"/>
    <w:pPr>
      <w:keepNext/>
      <w:widowControl w:val="0"/>
      <w:spacing w:line="360" w:lineRule="auto"/>
      <w:jc w:val="center"/>
      <w:outlineLvl w:val="0"/>
    </w:pPr>
    <w:rPr>
      <w:rFonts w:ascii="Times New Roman" w:hAnsi="Times New Roman" w:eastAsia="宋体" w:cs="Times New Roman"/>
      <w:b/>
      <w:kern w:val="2"/>
      <w:sz w:val="32"/>
      <w:szCs w:val="24"/>
      <w:lang w:val="en-US" w:eastAsia="zh-CN" w:bidi="ar-SA"/>
    </w:rPr>
  </w:style>
  <w:style w:type="paragraph" w:customStyle="1" w:styleId="734">
    <w:name w:val="表名1"/>
    <w:basedOn w:val="1"/>
    <w:semiHidden/>
    <w:qFormat/>
    <w:uiPriority w:val="0"/>
    <w:rPr>
      <w:rFonts w:eastAsia="黑体"/>
      <w:szCs w:val="20"/>
    </w:rPr>
  </w:style>
  <w:style w:type="paragraph" w:customStyle="1" w:styleId="735">
    <w:name w:val="样式 标题 2 + 非加粗"/>
    <w:basedOn w:val="4"/>
    <w:qFormat/>
    <w:uiPriority w:val="0"/>
    <w:pPr>
      <w:snapToGrid w:val="0"/>
      <w:spacing w:before="120" w:after="120" w:line="240" w:lineRule="atLeast"/>
      <w:jc w:val="left"/>
      <w:textAlignment w:val="baseline"/>
    </w:pPr>
    <w:rPr>
      <w:b w:val="0"/>
      <w:kern w:val="10"/>
      <w:szCs w:val="36"/>
    </w:rPr>
  </w:style>
  <w:style w:type="paragraph" w:customStyle="1" w:styleId="736">
    <w:name w:val="Char2"/>
    <w:basedOn w:val="1"/>
    <w:qFormat/>
    <w:uiPriority w:val="0"/>
    <w:rPr>
      <w:b/>
      <w:sz w:val="28"/>
      <w:szCs w:val="24"/>
    </w:rPr>
  </w:style>
  <w:style w:type="paragraph" w:customStyle="1" w:styleId="737">
    <w:name w:val="xl131"/>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textAlignment w:val="center"/>
    </w:pPr>
    <w:rPr>
      <w:kern w:val="0"/>
      <w:sz w:val="18"/>
      <w:szCs w:val="18"/>
    </w:rPr>
  </w:style>
  <w:style w:type="paragraph" w:customStyle="1" w:styleId="738">
    <w:name w:val="Char Char Char Char Char Char3"/>
    <w:basedOn w:val="1"/>
    <w:qFormat/>
    <w:uiPriority w:val="0"/>
    <w:rPr>
      <w:rFonts w:ascii="宋体" w:hAnsi="宋体" w:cs="宋体"/>
      <w:szCs w:val="24"/>
    </w:rPr>
  </w:style>
  <w:style w:type="paragraph" w:customStyle="1" w:styleId="739">
    <w:name w:val="样式 标题 5标题 5 Char + 宋体"/>
    <w:basedOn w:val="7"/>
    <w:next w:val="1"/>
    <w:semiHidden/>
    <w:qFormat/>
    <w:uiPriority w:val="0"/>
    <w:pPr>
      <w:keepNext w:val="0"/>
      <w:keepLines w:val="0"/>
      <w:autoSpaceDE w:val="0"/>
      <w:autoSpaceDN w:val="0"/>
      <w:adjustRightInd w:val="0"/>
      <w:snapToGrid w:val="0"/>
      <w:spacing w:beforeLines="50" w:after="0" w:line="360" w:lineRule="auto"/>
      <w:ind w:firstLine="480"/>
      <w:textAlignment w:val="baseline"/>
    </w:pPr>
    <w:rPr>
      <w:rFonts w:ascii="宋体" w:hAnsi="宋体"/>
      <w:b w:val="0"/>
      <w:bCs w:val="0"/>
      <w:snapToGrid w:val="0"/>
      <w:kern w:val="0"/>
      <w:sz w:val="24"/>
      <w:szCs w:val="24"/>
    </w:rPr>
  </w:style>
  <w:style w:type="paragraph" w:customStyle="1" w:styleId="740">
    <w:name w:val="表123"/>
    <w:basedOn w:val="1"/>
    <w:next w:val="1"/>
    <w:qFormat/>
    <w:uiPriority w:val="0"/>
    <w:pPr>
      <w:adjustRightInd w:val="0"/>
      <w:snapToGrid w:val="0"/>
      <w:jc w:val="center"/>
      <w:textAlignment w:val="center"/>
    </w:pPr>
    <w:rPr>
      <w:spacing w:val="-12"/>
      <w:szCs w:val="20"/>
    </w:rPr>
  </w:style>
  <w:style w:type="paragraph" w:customStyle="1" w:styleId="741">
    <w:name w:val="11111"/>
    <w:basedOn w:val="1"/>
    <w:qFormat/>
    <w:uiPriority w:val="0"/>
    <w:rPr>
      <w:szCs w:val="24"/>
    </w:rPr>
  </w:style>
  <w:style w:type="paragraph" w:customStyle="1" w:styleId="742">
    <w:name w:val="xl93"/>
    <w:basedOn w:val="1"/>
    <w:qFormat/>
    <w:uiPriority w:val="0"/>
    <w:pPr>
      <w:widowControl/>
      <w:spacing w:before="100" w:beforeAutospacing="1" w:after="100" w:afterAutospacing="1"/>
      <w:jc w:val="center"/>
      <w:textAlignment w:val="top"/>
    </w:pPr>
    <w:rPr>
      <w:kern w:val="0"/>
      <w:szCs w:val="21"/>
    </w:rPr>
  </w:style>
  <w:style w:type="paragraph" w:customStyle="1" w:styleId="743">
    <w:name w:val="样式 表文 + 五号"/>
    <w:basedOn w:val="385"/>
    <w:qFormat/>
    <w:uiPriority w:val="0"/>
    <w:pPr>
      <w:snapToGrid w:val="0"/>
      <w:spacing w:line="240" w:lineRule="auto"/>
    </w:pPr>
    <w:rPr>
      <w:sz w:val="21"/>
      <w:szCs w:val="18"/>
    </w:rPr>
  </w:style>
  <w:style w:type="paragraph" w:customStyle="1" w:styleId="744">
    <w:name w:val="Char Char Char Char Char Char"/>
    <w:basedOn w:val="1"/>
    <w:qFormat/>
    <w:uiPriority w:val="0"/>
    <w:rPr>
      <w:rFonts w:ascii="宋体" w:hAnsi="宋体" w:cs="宋体"/>
      <w:szCs w:val="24"/>
    </w:rPr>
  </w:style>
  <w:style w:type="paragraph" w:customStyle="1" w:styleId="745">
    <w:name w:val="xl90"/>
    <w:basedOn w:val="1"/>
    <w:qFormat/>
    <w:uiPriority w:val="0"/>
    <w:pPr>
      <w:widowControl/>
      <w:spacing w:before="100" w:beforeAutospacing="1" w:after="100" w:afterAutospacing="1"/>
      <w:jc w:val="center"/>
      <w:textAlignment w:val="center"/>
    </w:pPr>
    <w:rPr>
      <w:rFonts w:ascii="宋体" w:hAnsi="宋体" w:cs="宋体"/>
      <w:color w:val="0000FF"/>
      <w:kern w:val="0"/>
      <w:szCs w:val="24"/>
    </w:rPr>
  </w:style>
  <w:style w:type="paragraph" w:customStyle="1" w:styleId="746">
    <w:name w:val="样式 正文缩进正文（首行缩进两字）文本s4表正文正文非缩进正文缩进 Char + 首行缩进:  2 字符"/>
    <w:basedOn w:val="15"/>
    <w:qFormat/>
    <w:uiPriority w:val="0"/>
    <w:pPr>
      <w:spacing w:line="360" w:lineRule="auto"/>
      <w:ind w:firstLine="200"/>
    </w:pPr>
    <w:rPr>
      <w:rFonts w:ascii="宋体"/>
      <w:spacing w:val="14"/>
      <w:kern w:val="0"/>
      <w:szCs w:val="20"/>
    </w:rPr>
  </w:style>
  <w:style w:type="paragraph" w:customStyle="1" w:styleId="747">
    <w:name w:val="表格文字-水保"/>
    <w:basedOn w:val="23"/>
    <w:next w:val="1"/>
    <w:qFormat/>
    <w:uiPriority w:val="0"/>
    <w:pPr>
      <w:tabs>
        <w:tab w:val="left" w:pos="3720"/>
      </w:tabs>
      <w:autoSpaceDE w:val="0"/>
      <w:autoSpaceDN w:val="0"/>
      <w:adjustRightInd w:val="0"/>
      <w:spacing w:after="0" w:line="240" w:lineRule="auto"/>
      <w:ind w:firstLine="0" w:firstLineChars="0"/>
      <w:jc w:val="center"/>
      <w:textAlignment w:val="bottom"/>
    </w:pPr>
    <w:rPr>
      <w:kern w:val="0"/>
      <w:sz w:val="18"/>
      <w:szCs w:val="20"/>
    </w:rPr>
  </w:style>
  <w:style w:type="paragraph" w:customStyle="1" w:styleId="748">
    <w:name w:val="1 Char Char Char Char Char Char Char Char Char Char Char"/>
    <w:basedOn w:val="1"/>
    <w:qFormat/>
    <w:uiPriority w:val="0"/>
    <w:pPr>
      <w:ind w:left="-449" w:leftChars="-187"/>
    </w:pPr>
    <w:rPr>
      <w:szCs w:val="21"/>
    </w:rPr>
  </w:style>
  <w:style w:type="paragraph" w:customStyle="1" w:styleId="749">
    <w:name w:val="样式 样式 样式 标题 2 + 段前: 1 行 段后: 0.5 行 + 段前: 1 行 段后: 0.5 行 + 黑色"/>
    <w:basedOn w:val="1"/>
    <w:qFormat/>
    <w:uiPriority w:val="0"/>
    <w:pPr>
      <w:keepNext/>
      <w:keepLines/>
      <w:spacing w:line="440" w:lineRule="exact"/>
      <w:jc w:val="left"/>
      <w:outlineLvl w:val="1"/>
    </w:pPr>
    <w:rPr>
      <w:rFonts w:ascii="宋体" w:hAnsi="宋体" w:eastAsia="黑体" w:cs="宋体"/>
      <w:b/>
      <w:color w:val="000000"/>
      <w:spacing w:val="4"/>
      <w:sz w:val="28"/>
      <w:szCs w:val="28"/>
    </w:rPr>
  </w:style>
  <w:style w:type="paragraph" w:customStyle="1" w:styleId="750">
    <w:name w:val="xl14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top"/>
    </w:pPr>
    <w:rPr>
      <w:rFonts w:ascii="宋体" w:hAnsi="宋体" w:cs="宋体"/>
      <w:kern w:val="0"/>
      <w:szCs w:val="21"/>
    </w:rPr>
  </w:style>
  <w:style w:type="paragraph" w:customStyle="1" w:styleId="751">
    <w:name w:val="样式 标题 2 + 首行缩进:  1.66 字符 段前: 0 磅 段后: 0 磅"/>
    <w:basedOn w:val="4"/>
    <w:semiHidden/>
    <w:qFormat/>
    <w:uiPriority w:val="0"/>
    <w:pPr>
      <w:adjustRightInd w:val="0"/>
      <w:snapToGrid w:val="0"/>
      <w:textAlignment w:val="baseline"/>
    </w:pPr>
    <w:rPr>
      <w:b w:val="0"/>
      <w:bCs w:val="0"/>
      <w:snapToGrid w:val="0"/>
      <w:kern w:val="0"/>
      <w:sz w:val="30"/>
      <w:szCs w:val="24"/>
    </w:rPr>
  </w:style>
  <w:style w:type="paragraph" w:customStyle="1" w:styleId="752">
    <w:name w:val="font15"/>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753">
    <w:name w:val="样式 表内容 + 首行缩进:  0.63 厘米"/>
    <w:basedOn w:val="429"/>
    <w:qFormat/>
    <w:uiPriority w:val="0"/>
    <w:pPr>
      <w:pBdr>
        <w:bottom w:val="none" w:color="auto" w:sz="0" w:space="0"/>
      </w:pBdr>
      <w:spacing w:before="0" w:after="0" w:line="0" w:lineRule="atLeast"/>
      <w:ind w:left="0" w:right="-108" w:rightChars="-45"/>
      <w:jc w:val="center"/>
    </w:pPr>
    <w:rPr>
      <w:rFonts w:ascii="宋体" w:hAnsi="宋体" w:cs="宋体"/>
      <w:bCs w:val="0"/>
      <w:iCs w:val="0"/>
      <w:sz w:val="18"/>
      <w:szCs w:val="20"/>
    </w:rPr>
  </w:style>
  <w:style w:type="paragraph" w:customStyle="1" w:styleId="754">
    <w:name w:val="3级"/>
    <w:basedOn w:val="5"/>
    <w:qFormat/>
    <w:uiPriority w:val="0"/>
    <w:pPr>
      <w:snapToGrid w:val="0"/>
      <w:spacing w:before="120" w:after="120"/>
      <w:jc w:val="left"/>
      <w:textAlignment w:val="baseline"/>
    </w:pPr>
    <w:rPr>
      <w:rFonts w:ascii="黑体" w:hAnsi="宋体" w:cs="黑体"/>
      <w:b w:val="0"/>
      <w:bCs w:val="0"/>
      <w:snapToGrid w:val="0"/>
      <w:kern w:val="0"/>
      <w:szCs w:val="24"/>
      <w:lang w:val="zh-CN"/>
    </w:rPr>
  </w:style>
  <w:style w:type="paragraph" w:customStyle="1" w:styleId="755">
    <w:name w:val="Char2 Char Char Char Char Char Char1 Char Char Char Char Char Char1"/>
    <w:basedOn w:val="1"/>
    <w:qFormat/>
    <w:uiPriority w:val="0"/>
    <w:rPr>
      <w:rFonts w:ascii="宋体" w:hAnsi="宋体" w:cs="宋体"/>
      <w:szCs w:val="24"/>
    </w:rPr>
  </w:style>
  <w:style w:type="paragraph" w:customStyle="1" w:styleId="756">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757">
    <w:name w:val="Char Char Char Char1 Char Char Char Char Char Char"/>
    <w:basedOn w:val="1"/>
    <w:qFormat/>
    <w:uiPriority w:val="0"/>
    <w:rPr>
      <w:szCs w:val="24"/>
    </w:rPr>
  </w:style>
  <w:style w:type="paragraph" w:customStyle="1" w:styleId="758">
    <w:name w:val="表格标题"/>
    <w:basedOn w:val="1"/>
    <w:next w:val="258"/>
    <w:qFormat/>
    <w:uiPriority w:val="0"/>
    <w:pPr>
      <w:spacing w:beforeLines="50"/>
      <w:jc w:val="center"/>
    </w:pPr>
    <w:rPr>
      <w:rFonts w:eastAsia="黑体" w:cs="宋体"/>
      <w:sz w:val="30"/>
      <w:szCs w:val="30"/>
    </w:rPr>
  </w:style>
  <w:style w:type="paragraph" w:customStyle="1" w:styleId="759">
    <w:name w:val="正文正文正文"/>
    <w:basedOn w:val="513"/>
    <w:qFormat/>
    <w:uiPriority w:val="0"/>
  </w:style>
  <w:style w:type="paragraph" w:customStyle="1" w:styleId="760">
    <w:name w:val="表格正文"/>
    <w:basedOn w:val="1"/>
    <w:qFormat/>
    <w:uiPriority w:val="0"/>
    <w:pPr>
      <w:adjustRightInd w:val="0"/>
      <w:snapToGrid w:val="0"/>
      <w:spacing w:before="60" w:after="60"/>
      <w:jc w:val="center"/>
    </w:pPr>
    <w:rPr>
      <w:rFonts w:ascii="宋体" w:hAnsi="宋体"/>
      <w:bCs/>
      <w:szCs w:val="24"/>
    </w:rPr>
  </w:style>
  <w:style w:type="paragraph" w:customStyle="1" w:styleId="761">
    <w:name w:val="样式 标题 2"/>
    <w:basedOn w:val="4"/>
    <w:next w:val="1"/>
    <w:semiHidden/>
    <w:qFormat/>
    <w:uiPriority w:val="0"/>
    <w:pPr>
      <w:tabs>
        <w:tab w:val="left" w:pos="1125"/>
      </w:tabs>
      <w:adjustRightInd w:val="0"/>
      <w:snapToGrid w:val="0"/>
      <w:spacing w:before="120" w:after="120"/>
      <w:ind w:left="1125" w:hanging="1125"/>
      <w:textAlignment w:val="baseline"/>
    </w:pPr>
    <w:rPr>
      <w:rFonts w:cs="宋体"/>
      <w:bCs w:val="0"/>
      <w:snapToGrid w:val="0"/>
      <w:kern w:val="0"/>
      <w:sz w:val="30"/>
      <w:szCs w:val="24"/>
    </w:rPr>
  </w:style>
  <w:style w:type="paragraph" w:customStyle="1" w:styleId="762">
    <w:name w:val="xl78"/>
    <w:basedOn w:val="1"/>
    <w:qFormat/>
    <w:uiPriority w:val="0"/>
    <w:pPr>
      <w:widowControl/>
      <w:spacing w:before="100" w:beforeAutospacing="1" w:after="100" w:afterAutospacing="1"/>
      <w:jc w:val="center"/>
    </w:pPr>
    <w:rPr>
      <w:color w:val="000000"/>
      <w:kern w:val="0"/>
      <w:szCs w:val="24"/>
    </w:rPr>
  </w:style>
  <w:style w:type="paragraph" w:customStyle="1" w:styleId="763">
    <w:name w:val="Char Char Char Char Char Char Char Char Char Char Char Char Char Char"/>
    <w:basedOn w:val="1"/>
    <w:qFormat/>
    <w:uiPriority w:val="0"/>
    <w:pPr>
      <w:tabs>
        <w:tab w:val="right" w:leader="dot" w:pos="9016"/>
      </w:tabs>
      <w:adjustRightInd w:val="0"/>
      <w:snapToGrid w:val="0"/>
      <w:spacing w:line="324" w:lineRule="auto"/>
      <w:jc w:val="center"/>
      <w:outlineLvl w:val="0"/>
    </w:pPr>
    <w:rPr>
      <w:rFonts w:eastAsia="黑体"/>
      <w:b/>
      <w:bCs/>
      <w:sz w:val="32"/>
      <w:szCs w:val="32"/>
    </w:rPr>
  </w:style>
  <w:style w:type="paragraph" w:customStyle="1" w:styleId="764">
    <w:name w:val="样式 标题 3标题 3 Char Char Char标题 31标题 3 Char Char1三级标题标题 3 Char..."/>
    <w:basedOn w:val="5"/>
    <w:qFormat/>
    <w:uiPriority w:val="0"/>
    <w:pPr>
      <w:keepNext w:val="0"/>
      <w:keepLines w:val="0"/>
      <w:tabs>
        <w:tab w:val="left" w:pos="1740"/>
      </w:tabs>
      <w:autoSpaceDE w:val="0"/>
      <w:autoSpaceDN w:val="0"/>
      <w:spacing w:before="120" w:after="120"/>
      <w:ind w:left="1740" w:hanging="420"/>
    </w:pPr>
    <w:rPr>
      <w:rFonts w:cs="宋体"/>
      <w:b w:val="0"/>
      <w:bCs w:val="0"/>
      <w:snapToGrid w:val="0"/>
      <w:kern w:val="0"/>
      <w:szCs w:val="20"/>
      <w:lang w:val="zh-CN"/>
    </w:rPr>
  </w:style>
  <w:style w:type="paragraph" w:customStyle="1" w:styleId="765">
    <w:name w:val="WPS Plain"/>
    <w:qFormat/>
    <w:uiPriority w:val="0"/>
    <w:pPr>
      <w:jc w:val="center"/>
    </w:pPr>
    <w:rPr>
      <w:rFonts w:ascii="Times New Roman" w:hAnsi="Times New Roman" w:eastAsia="宋体" w:cs="Times New Roman"/>
      <w:lang w:val="en-US" w:eastAsia="zh-CN" w:bidi="ar-SA"/>
    </w:rPr>
  </w:style>
  <w:style w:type="paragraph" w:customStyle="1" w:styleId="766">
    <w:name w:val="水保1级"/>
    <w:basedOn w:val="3"/>
    <w:qFormat/>
    <w:uiPriority w:val="0"/>
    <w:pPr>
      <w:tabs>
        <w:tab w:val="right" w:leader="dot" w:pos="8296"/>
      </w:tabs>
      <w:spacing w:before="340" w:afterLines="50" w:line="578" w:lineRule="auto"/>
    </w:pPr>
    <w:rPr>
      <w:rFonts w:eastAsia="宋体"/>
      <w:b/>
      <w:sz w:val="36"/>
    </w:rPr>
  </w:style>
  <w:style w:type="paragraph" w:customStyle="1" w:styleId="767">
    <w:name w:val="样式 正文+首行缩进2字符 + 黑色 Char"/>
    <w:basedOn w:val="1"/>
    <w:qFormat/>
    <w:uiPriority w:val="0"/>
    <w:pPr>
      <w:autoSpaceDE w:val="0"/>
      <w:autoSpaceDN w:val="0"/>
      <w:adjustRightInd w:val="0"/>
      <w:jc w:val="center"/>
    </w:pPr>
    <w:rPr>
      <w:color w:val="000000"/>
      <w:kern w:val="0"/>
      <w:sz w:val="32"/>
      <w:szCs w:val="24"/>
    </w:rPr>
  </w:style>
  <w:style w:type="paragraph" w:customStyle="1" w:styleId="768">
    <w:name w:val="正文文字标准"/>
    <w:basedOn w:val="59"/>
    <w:qFormat/>
    <w:uiPriority w:val="0"/>
    <w:pPr>
      <w:spacing w:after="0" w:line="480" w:lineRule="exact"/>
      <w:ind w:firstLine="200" w:firstLineChars="200"/>
    </w:pPr>
    <w:rPr>
      <w:sz w:val="28"/>
    </w:rPr>
  </w:style>
  <w:style w:type="paragraph" w:customStyle="1" w:styleId="769">
    <w:name w:val="表号 Char1 Char"/>
    <w:basedOn w:val="1"/>
    <w:semiHidden/>
    <w:qFormat/>
    <w:uiPriority w:val="0"/>
    <w:pPr>
      <w:autoSpaceDE w:val="0"/>
      <w:autoSpaceDN w:val="0"/>
      <w:adjustRightInd w:val="0"/>
      <w:spacing w:line="0" w:lineRule="atLeast"/>
      <w:ind w:firstLine="119"/>
      <w:textAlignment w:val="baseline"/>
    </w:pPr>
    <w:rPr>
      <w:spacing w:val="6"/>
      <w:kern w:val="0"/>
      <w:szCs w:val="20"/>
    </w:rPr>
  </w:style>
  <w:style w:type="paragraph" w:customStyle="1" w:styleId="770">
    <w:name w:val="Char Char Char Char Char Char1 Char Char Char1 Char Char Char"/>
    <w:basedOn w:val="1"/>
    <w:qFormat/>
    <w:uiPriority w:val="0"/>
    <w:rPr>
      <w:rFonts w:ascii="宋体" w:hAnsi="宋体" w:cs="宋体"/>
      <w:szCs w:val="24"/>
    </w:rPr>
  </w:style>
  <w:style w:type="paragraph" w:customStyle="1" w:styleId="771">
    <w:name w:val="说明书正文"/>
    <w:basedOn w:val="1"/>
    <w:qFormat/>
    <w:uiPriority w:val="0"/>
    <w:pPr>
      <w:spacing w:line="480" w:lineRule="exact"/>
      <w:ind w:firstLine="600"/>
    </w:pPr>
    <w:rPr>
      <w:rFonts w:eastAsia="仿宋_GB2312"/>
      <w:color w:val="000000"/>
      <w:sz w:val="30"/>
      <w:szCs w:val="24"/>
    </w:rPr>
  </w:style>
  <w:style w:type="paragraph" w:customStyle="1" w:styleId="772">
    <w:name w:val="样式 标题 44级标题标题 4 Char + 左 段前: 12 磅 段后: 12 磅 行距: 最小值 20 磅"/>
    <w:basedOn w:val="6"/>
    <w:qFormat/>
    <w:uiPriority w:val="0"/>
    <w:pPr>
      <w:tabs>
        <w:tab w:val="left" w:pos="420"/>
      </w:tabs>
      <w:spacing w:before="120" w:after="120" w:line="360" w:lineRule="auto"/>
      <w:ind w:left="-420" w:firstLine="420"/>
      <w:jc w:val="left"/>
    </w:pPr>
    <w:rPr>
      <w:rFonts w:ascii="Arial" w:hAnsi="Arial" w:cs="宋体"/>
      <w:sz w:val="24"/>
      <w:szCs w:val="20"/>
    </w:rPr>
  </w:style>
  <w:style w:type="paragraph" w:customStyle="1" w:styleId="773">
    <w:name w:val="xl1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Cs w:val="24"/>
    </w:rPr>
  </w:style>
  <w:style w:type="paragraph" w:customStyle="1" w:styleId="774">
    <w:name w:val="文本框5"/>
    <w:basedOn w:val="1"/>
    <w:qFormat/>
    <w:uiPriority w:val="0"/>
    <w:pPr>
      <w:snapToGrid w:val="0"/>
      <w:spacing w:line="340" w:lineRule="atLeast"/>
    </w:pPr>
    <w:rPr>
      <w:rFonts w:ascii="宋体" w:eastAsia="仿宋_GB2312"/>
      <w:snapToGrid w:val="0"/>
      <w:kern w:val="0"/>
      <w:szCs w:val="20"/>
    </w:rPr>
  </w:style>
  <w:style w:type="paragraph" w:customStyle="1" w:styleId="775">
    <w:name w:val="样式 首行缩进:  2 字符 段前: 0.5 行 段后: 0.5 行"/>
    <w:basedOn w:val="1"/>
    <w:qFormat/>
    <w:uiPriority w:val="0"/>
    <w:pPr>
      <w:adjustRightInd w:val="0"/>
      <w:snapToGrid w:val="0"/>
      <w:spacing w:before="120" w:after="120"/>
      <w:ind w:firstLine="480"/>
    </w:pPr>
    <w:rPr>
      <w:szCs w:val="20"/>
    </w:rPr>
  </w:style>
  <w:style w:type="paragraph" w:customStyle="1" w:styleId="776">
    <w:name w:val="Char Char Char1 Char1 Char Char Char"/>
    <w:basedOn w:val="1"/>
    <w:qFormat/>
    <w:uiPriority w:val="0"/>
    <w:rPr>
      <w:szCs w:val="24"/>
    </w:rPr>
  </w:style>
  <w:style w:type="paragraph" w:customStyle="1" w:styleId="777">
    <w:name w:val="xl115"/>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textAlignment w:val="center"/>
    </w:pPr>
    <w:rPr>
      <w:rFonts w:ascii="宋体" w:hAnsi="宋体" w:cs="宋体"/>
      <w:kern w:val="0"/>
      <w:sz w:val="18"/>
      <w:szCs w:val="18"/>
    </w:rPr>
  </w:style>
  <w:style w:type="paragraph" w:customStyle="1" w:styleId="778">
    <w:name w:val="样式 标题 3 + 加粗"/>
    <w:basedOn w:val="5"/>
    <w:qFormat/>
    <w:uiPriority w:val="0"/>
    <w:pPr>
      <w:snapToGrid w:val="0"/>
      <w:spacing w:beforeLines="50" w:afterLines="50" w:line="400" w:lineRule="atLeast"/>
      <w:ind w:left="1418" w:hanging="1418"/>
    </w:pPr>
    <w:rPr>
      <w:rFonts w:ascii="黑体"/>
      <w:b w:val="0"/>
      <w:color w:val="000000"/>
      <w:sz w:val="28"/>
      <w:szCs w:val="24"/>
      <w:lang w:val="zh-CN"/>
    </w:rPr>
  </w:style>
  <w:style w:type="paragraph" w:customStyle="1" w:styleId="779">
    <w:name w:val="首行缩进2字符 Char"/>
    <w:basedOn w:val="1"/>
    <w:qFormat/>
    <w:uiPriority w:val="0"/>
    <w:pPr>
      <w:ind w:firstLine="480"/>
    </w:pPr>
    <w:rPr>
      <w:szCs w:val="20"/>
    </w:rPr>
  </w:style>
  <w:style w:type="paragraph" w:customStyle="1" w:styleId="780">
    <w:name w:val="xl1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Cs w:val="24"/>
    </w:rPr>
  </w:style>
  <w:style w:type="paragraph" w:customStyle="1" w:styleId="781">
    <w:name w:val="样式 标题 4标题 4 Char标题 41标题 4 Char Char1标题 4 Char Char Char标题 4..."/>
    <w:basedOn w:val="6"/>
    <w:qFormat/>
    <w:uiPriority w:val="0"/>
    <w:pPr>
      <w:tabs>
        <w:tab w:val="left" w:pos="840"/>
      </w:tabs>
      <w:autoSpaceDE w:val="0"/>
      <w:autoSpaceDN w:val="0"/>
      <w:spacing w:before="0" w:after="0" w:line="360" w:lineRule="auto"/>
      <w:jc w:val="left"/>
      <w:textAlignment w:val="baseline"/>
    </w:pPr>
    <w:rPr>
      <w:rFonts w:ascii="Times New Roman" w:hAnsi="Times New Roman"/>
      <w:sz w:val="24"/>
      <w:szCs w:val="24"/>
    </w:rPr>
  </w:style>
  <w:style w:type="paragraph" w:customStyle="1" w:styleId="782">
    <w:name w:val="图号"/>
    <w:basedOn w:val="783"/>
    <w:semiHidden/>
    <w:qFormat/>
    <w:uiPriority w:val="0"/>
    <w:pPr>
      <w:ind w:firstLine="1711"/>
    </w:pPr>
  </w:style>
  <w:style w:type="paragraph" w:customStyle="1" w:styleId="783">
    <w:name w:val="样式 图号"/>
    <w:basedOn w:val="1"/>
    <w:semiHidden/>
    <w:qFormat/>
    <w:uiPriority w:val="0"/>
    <w:pPr>
      <w:adjustRightInd w:val="0"/>
      <w:snapToGrid w:val="0"/>
      <w:ind w:firstLine="1956" w:firstLineChars="815"/>
      <w:jc w:val="center"/>
      <w:textAlignment w:val="baseline"/>
    </w:pPr>
    <w:rPr>
      <w:snapToGrid w:val="0"/>
      <w:kern w:val="0"/>
      <w:szCs w:val="24"/>
    </w:rPr>
  </w:style>
  <w:style w:type="paragraph" w:customStyle="1" w:styleId="784">
    <w:name w:val="样式 表名 + 左侧:  -0.16 厘米"/>
    <w:basedOn w:val="180"/>
    <w:semiHidden/>
    <w:qFormat/>
    <w:uiPriority w:val="0"/>
    <w:pPr>
      <w:tabs>
        <w:tab w:val="left" w:pos="5670"/>
        <w:tab w:val="left" w:pos="5850"/>
        <w:tab w:val="left" w:pos="6660"/>
      </w:tabs>
      <w:overflowPunct/>
      <w:topLinePunct w:val="0"/>
      <w:autoSpaceDE w:val="0"/>
      <w:autoSpaceDN w:val="0"/>
      <w:adjustRightInd w:val="0"/>
      <w:ind w:left="-91" w:firstLine="0" w:firstLineChars="200"/>
      <w:outlineLvl w:val="9"/>
    </w:pPr>
    <w:rPr>
      <w:rFonts w:ascii="宋体" w:hAnsi="宋体" w:eastAsia="宋体" w:cs="宋体"/>
      <w:b w:val="0"/>
      <w:bCs w:val="0"/>
      <w:color w:val="000000"/>
      <w:sz w:val="21"/>
      <w:szCs w:val="20"/>
    </w:rPr>
  </w:style>
  <w:style w:type="paragraph" w:customStyle="1" w:styleId="785">
    <w:name w:val="表编号 Char Char"/>
    <w:basedOn w:val="624"/>
    <w:qFormat/>
    <w:uiPriority w:val="0"/>
    <w:pPr>
      <w:spacing w:after="78" w:line="0" w:lineRule="atLeast"/>
      <w:jc w:val="both"/>
    </w:pPr>
    <w:rPr>
      <w:rFonts w:hAnsi="Times New Roman" w:eastAsia="宋体"/>
    </w:rPr>
  </w:style>
  <w:style w:type="paragraph" w:customStyle="1" w:styleId="786">
    <w:name w:val="xl81"/>
    <w:basedOn w:val="1"/>
    <w:qFormat/>
    <w:uiPriority w:val="0"/>
    <w:pPr>
      <w:widowControl/>
      <w:spacing w:before="100" w:beforeAutospacing="1" w:after="100" w:afterAutospacing="1"/>
      <w:jc w:val="center"/>
      <w:textAlignment w:val="center"/>
    </w:pPr>
    <w:rPr>
      <w:rFonts w:ascii="宋体" w:hAnsi="宋体" w:cs="宋体"/>
      <w:kern w:val="0"/>
      <w:sz w:val="20"/>
      <w:szCs w:val="20"/>
    </w:rPr>
  </w:style>
  <w:style w:type="paragraph" w:customStyle="1" w:styleId="787">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18"/>
      <w:szCs w:val="18"/>
    </w:rPr>
  </w:style>
  <w:style w:type="paragraph" w:customStyle="1" w:styleId="788">
    <w:name w:val="表名 Char Char"/>
    <w:basedOn w:val="1"/>
    <w:qFormat/>
    <w:uiPriority w:val="0"/>
    <w:pPr>
      <w:overflowPunct w:val="0"/>
      <w:adjustRightInd w:val="0"/>
      <w:snapToGrid w:val="0"/>
      <w:jc w:val="center"/>
      <w:textAlignment w:val="baseline"/>
    </w:pPr>
    <w:rPr>
      <w:rFonts w:ascii="Arial" w:hAnsi="Arial" w:eastAsia="黑体"/>
      <w:szCs w:val="20"/>
    </w:rPr>
  </w:style>
  <w:style w:type="paragraph" w:customStyle="1" w:styleId="789">
    <w:name w:val="三级标题"/>
    <w:basedOn w:val="1"/>
    <w:link w:val="790"/>
    <w:qFormat/>
    <w:uiPriority w:val="0"/>
    <w:pPr>
      <w:keepNext/>
      <w:widowControl/>
      <w:ind w:firstLine="0" w:firstLineChars="0"/>
      <w:outlineLvl w:val="2"/>
    </w:pPr>
    <w:rPr>
      <w:b/>
      <w:szCs w:val="24"/>
    </w:rPr>
  </w:style>
  <w:style w:type="character" w:customStyle="1" w:styleId="790">
    <w:name w:val="三级标题 Char"/>
    <w:link w:val="789"/>
    <w:qFormat/>
    <w:uiPriority w:val="0"/>
    <w:rPr>
      <w:rFonts w:ascii="Times New Roman" w:hAnsi="Times New Roman"/>
      <w:b/>
      <w:kern w:val="2"/>
      <w:sz w:val="24"/>
      <w:szCs w:val="24"/>
    </w:rPr>
  </w:style>
  <w:style w:type="paragraph" w:customStyle="1" w:styleId="791">
    <w:name w:val="xl151"/>
    <w:basedOn w:val="1"/>
    <w:qFormat/>
    <w:uiPriority w:val="0"/>
    <w:pPr>
      <w:widowControl/>
      <w:spacing w:before="100" w:beforeAutospacing="1" w:after="100" w:afterAutospacing="1"/>
      <w:textAlignment w:val="center"/>
    </w:pPr>
    <w:rPr>
      <w:b/>
      <w:bCs/>
      <w:kern w:val="0"/>
      <w:szCs w:val="24"/>
    </w:rPr>
  </w:style>
  <w:style w:type="paragraph" w:customStyle="1" w:styleId="792">
    <w:name w:val="样式 标题 2 + Times New Roman 首行缩进:  2 字符"/>
    <w:basedOn w:val="4"/>
    <w:qFormat/>
    <w:uiPriority w:val="0"/>
    <w:pPr>
      <w:adjustRightInd w:val="0"/>
      <w:snapToGrid w:val="0"/>
      <w:spacing w:before="120"/>
    </w:pPr>
    <w:rPr>
      <w:rFonts w:eastAsia="宋体"/>
      <w:snapToGrid w:val="0"/>
      <w:szCs w:val="28"/>
    </w:rPr>
  </w:style>
  <w:style w:type="paragraph" w:customStyle="1" w:styleId="793">
    <w:name w:val="Char Char Char Char Char Char Char Char Char Char Char Char Char"/>
    <w:basedOn w:val="1"/>
    <w:qFormat/>
    <w:uiPriority w:val="0"/>
    <w:pPr>
      <w:snapToGrid w:val="0"/>
    </w:pPr>
    <w:rPr>
      <w:rFonts w:eastAsia="仿宋_GB2312"/>
      <w:szCs w:val="24"/>
    </w:rPr>
  </w:style>
  <w:style w:type="paragraph" w:customStyle="1" w:styleId="794">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795">
    <w:name w:val="样式 标题 2二级标题第一节标题 2XW标题 二级标题 + 自动设置"/>
    <w:basedOn w:val="4"/>
    <w:qFormat/>
    <w:uiPriority w:val="0"/>
    <w:pPr>
      <w:spacing w:before="120" w:after="120"/>
      <w:ind w:left="992" w:hanging="992"/>
      <w:textAlignment w:val="baseline"/>
    </w:pPr>
    <w:rPr>
      <w:b w:val="0"/>
      <w:szCs w:val="28"/>
    </w:rPr>
  </w:style>
  <w:style w:type="paragraph" w:customStyle="1" w:styleId="796">
    <w:name w:val="样式 样式 表格 + 左侧:  0.98 厘米 + 居中"/>
    <w:basedOn w:val="514"/>
    <w:qFormat/>
    <w:uiPriority w:val="0"/>
    <w:pPr>
      <w:jc w:val="center"/>
    </w:pPr>
  </w:style>
  <w:style w:type="paragraph" w:customStyle="1" w:styleId="797">
    <w:name w:val="3333"/>
    <w:basedOn w:val="4"/>
    <w:qFormat/>
    <w:uiPriority w:val="0"/>
    <w:pPr>
      <w:tabs>
        <w:tab w:val="left" w:pos="576"/>
      </w:tabs>
      <w:adjustRightInd w:val="0"/>
      <w:snapToGrid w:val="0"/>
      <w:ind w:left="576" w:hanging="576"/>
    </w:pPr>
  </w:style>
  <w:style w:type="paragraph" w:customStyle="1" w:styleId="798">
    <w:name w:val="Char Char Char Char Char Char Char Char Char1"/>
    <w:basedOn w:val="1"/>
    <w:qFormat/>
    <w:uiPriority w:val="0"/>
    <w:rPr>
      <w:rFonts w:eastAsia="仿宋_GB2312"/>
      <w:sz w:val="32"/>
      <w:szCs w:val="32"/>
    </w:rPr>
  </w:style>
  <w:style w:type="paragraph" w:customStyle="1" w:styleId="799">
    <w:name w:val="zz"/>
    <w:basedOn w:val="1"/>
    <w:qFormat/>
    <w:uiPriority w:val="0"/>
    <w:pPr>
      <w:adjustRightInd w:val="0"/>
      <w:ind w:firstLine="567"/>
      <w:textAlignment w:val="baseline"/>
    </w:pPr>
    <w:rPr>
      <w:rFonts w:ascii="宋体"/>
      <w:kern w:val="28"/>
      <w:sz w:val="28"/>
      <w:szCs w:val="20"/>
    </w:rPr>
  </w:style>
  <w:style w:type="paragraph" w:customStyle="1" w:styleId="800">
    <w:name w:val="正文+宋体"/>
    <w:basedOn w:val="1"/>
    <w:next w:val="1"/>
    <w:qFormat/>
    <w:uiPriority w:val="0"/>
    <w:pPr>
      <w:tabs>
        <w:tab w:val="left" w:pos="700"/>
      </w:tabs>
      <w:snapToGrid w:val="0"/>
      <w:spacing w:beforeLines="50"/>
      <w:ind w:firstLine="424"/>
      <w:jc w:val="left"/>
    </w:pPr>
    <w:rPr>
      <w:rFonts w:ascii="Verdana" w:hAnsi="Verdana" w:eastAsia="仿宋_GB2312"/>
      <w:b/>
      <w:kern w:val="0"/>
      <w:szCs w:val="20"/>
      <w:lang w:eastAsia="en-US"/>
    </w:rPr>
  </w:style>
  <w:style w:type="paragraph" w:customStyle="1" w:styleId="801">
    <w:name w:val="样式 标题 3样式　标题 3　自动设置标题 3 Char章 + Times New 表题3"/>
    <w:basedOn w:val="5"/>
    <w:qFormat/>
    <w:uiPriority w:val="0"/>
    <w:pPr>
      <w:tabs>
        <w:tab w:val="left" w:pos="1260"/>
        <w:tab w:val="left" w:pos="3800"/>
        <w:tab w:val="left" w:pos="5200"/>
      </w:tabs>
      <w:autoSpaceDE w:val="0"/>
      <w:autoSpaceDN w:val="0"/>
      <w:snapToGrid w:val="0"/>
      <w:spacing w:beforeLines="50" w:afterLines="50" w:line="240" w:lineRule="auto"/>
      <w:ind w:left="1260" w:hanging="420"/>
    </w:pPr>
    <w:rPr>
      <w:rFonts w:eastAsia="宋体" w:cs="宋体"/>
      <w:sz w:val="28"/>
      <w:szCs w:val="28"/>
      <w:lang w:val="zh-CN"/>
    </w:rPr>
  </w:style>
  <w:style w:type="paragraph" w:customStyle="1" w:styleId="802">
    <w:name w:val="样式 四号 左 行距: 1.5 倍行距"/>
    <w:basedOn w:val="1"/>
    <w:qFormat/>
    <w:uiPriority w:val="0"/>
    <w:pPr>
      <w:jc w:val="left"/>
    </w:pPr>
    <w:rPr>
      <w:rFonts w:cs="宋体"/>
      <w:szCs w:val="20"/>
    </w:rPr>
  </w:style>
  <w:style w:type="paragraph" w:customStyle="1" w:styleId="803">
    <w:name w:val="样式 黑体 五号 居中 首行缩进:  2 字符"/>
    <w:basedOn w:val="1"/>
    <w:qFormat/>
    <w:uiPriority w:val="0"/>
    <w:pPr>
      <w:jc w:val="center"/>
    </w:pPr>
    <w:rPr>
      <w:rFonts w:ascii="黑体" w:hAnsi="黑体" w:eastAsia="黑体" w:cs="宋体"/>
      <w:szCs w:val="20"/>
    </w:rPr>
  </w:style>
  <w:style w:type="paragraph" w:customStyle="1" w:styleId="804">
    <w:name w:val="样式 小四 两端对齐 首行缩进:  0.85 厘米 行距: 1.5 倍行距1"/>
    <w:basedOn w:val="1"/>
    <w:qFormat/>
    <w:uiPriority w:val="0"/>
    <w:pPr>
      <w:widowControl/>
      <w:ind w:firstLine="482"/>
    </w:pPr>
    <w:rPr>
      <w:rFonts w:cs="宋体"/>
      <w:kern w:val="0"/>
      <w:szCs w:val="20"/>
    </w:rPr>
  </w:style>
  <w:style w:type="paragraph" w:customStyle="1" w:styleId="805">
    <w:name w:val="一级标题"/>
    <w:basedOn w:val="789"/>
    <w:next w:val="104"/>
    <w:qFormat/>
    <w:uiPriority w:val="0"/>
    <w:pPr>
      <w:jc w:val="center"/>
      <w:outlineLvl w:val="0"/>
    </w:pPr>
    <w:rPr>
      <w:sz w:val="32"/>
      <w:szCs w:val="44"/>
    </w:rPr>
  </w:style>
  <w:style w:type="paragraph" w:customStyle="1" w:styleId="806">
    <w:name w:val="Char Char Char1 Char Char Char Char Char Char Char Char Char Char Char Char Char Char Char Char Char Char Char Char Char Char Char Char Char Char Char Char Char Char Char Char Char Char1"/>
    <w:basedOn w:val="1"/>
    <w:qFormat/>
    <w:uiPriority w:val="0"/>
    <w:pPr>
      <w:snapToGrid w:val="0"/>
      <w:spacing w:line="440" w:lineRule="exact"/>
    </w:pPr>
    <w:rPr>
      <w:szCs w:val="24"/>
    </w:rPr>
  </w:style>
  <w:style w:type="paragraph" w:customStyle="1" w:styleId="807">
    <w:name w:val="表格格式"/>
    <w:basedOn w:val="15"/>
    <w:qFormat/>
    <w:uiPriority w:val="0"/>
    <w:pPr>
      <w:spacing w:line="360" w:lineRule="auto"/>
      <w:ind w:firstLine="480"/>
    </w:pPr>
    <w:rPr>
      <w:rFonts w:ascii="宋体" w:hAnsi="宋体" w:cs="宋体"/>
      <w:kern w:val="0"/>
    </w:rPr>
  </w:style>
  <w:style w:type="paragraph" w:customStyle="1" w:styleId="808">
    <w:name w:val="样式 正文首行缩进正文首行缩进 Char Char Char Char Char正文首行缩进 Char Char Char ..."/>
    <w:basedOn w:val="59"/>
    <w:qFormat/>
    <w:uiPriority w:val="0"/>
    <w:pPr>
      <w:spacing w:after="0" w:line="360" w:lineRule="auto"/>
      <w:ind w:firstLine="480" w:firstLineChars="200"/>
    </w:pPr>
    <w:rPr>
      <w:rFonts w:cs="宋体"/>
      <w:sz w:val="24"/>
      <w:szCs w:val="20"/>
    </w:rPr>
  </w:style>
  <w:style w:type="paragraph" w:customStyle="1" w:styleId="809">
    <w:name w:val="xl88"/>
    <w:basedOn w:val="1"/>
    <w:qFormat/>
    <w:uiPriority w:val="0"/>
    <w:pPr>
      <w:widowControl/>
      <w:spacing w:before="100" w:beforeAutospacing="1" w:after="100" w:afterAutospacing="1"/>
      <w:jc w:val="center"/>
      <w:textAlignment w:val="top"/>
    </w:pPr>
    <w:rPr>
      <w:kern w:val="0"/>
      <w:szCs w:val="21"/>
    </w:rPr>
  </w:style>
  <w:style w:type="paragraph" w:customStyle="1" w:styleId="810">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Cs w:val="21"/>
    </w:rPr>
  </w:style>
  <w:style w:type="paragraph" w:customStyle="1" w:styleId="811">
    <w:name w:val="样式 居中 首行缩进:  2 字符"/>
    <w:basedOn w:val="1"/>
    <w:qFormat/>
    <w:uiPriority w:val="0"/>
    <w:pPr>
      <w:jc w:val="center"/>
    </w:pPr>
    <w:rPr>
      <w:rFonts w:cs="宋体"/>
      <w:szCs w:val="20"/>
    </w:rPr>
  </w:style>
  <w:style w:type="paragraph" w:customStyle="1" w:styleId="812">
    <w:name w:val="Char Char Char Char Char Char1 Char"/>
    <w:basedOn w:val="1"/>
    <w:qFormat/>
    <w:uiPriority w:val="0"/>
    <w:rPr>
      <w:rFonts w:ascii="宋体" w:hAnsi="宋体" w:cs="宋体"/>
      <w:szCs w:val="24"/>
    </w:rPr>
  </w:style>
  <w:style w:type="paragraph" w:customStyle="1" w:styleId="813">
    <w:name w:val="xl91"/>
    <w:basedOn w:val="1"/>
    <w:qFormat/>
    <w:uiPriority w:val="0"/>
    <w:pPr>
      <w:widowControl/>
      <w:spacing w:before="100" w:beforeAutospacing="1" w:after="100" w:afterAutospacing="1"/>
      <w:jc w:val="center"/>
      <w:textAlignment w:val="center"/>
    </w:pPr>
    <w:rPr>
      <w:kern w:val="0"/>
      <w:szCs w:val="24"/>
    </w:rPr>
  </w:style>
  <w:style w:type="paragraph" w:customStyle="1" w:styleId="814">
    <w:name w:val="正文文字1"/>
    <w:basedOn w:val="1"/>
    <w:qFormat/>
    <w:uiPriority w:val="0"/>
    <w:pPr>
      <w:adjustRightInd w:val="0"/>
      <w:snapToGrid w:val="0"/>
      <w:spacing w:line="324" w:lineRule="auto"/>
      <w:ind w:firstLine="472"/>
      <w:jc w:val="left"/>
    </w:pPr>
    <w:rPr>
      <w:spacing w:val="-2"/>
      <w:szCs w:val="24"/>
    </w:rPr>
  </w:style>
  <w:style w:type="paragraph" w:customStyle="1" w:styleId="815">
    <w:name w:val="样式 (符号) 宋体 四号 首行缩进:  2 字符"/>
    <w:basedOn w:val="1"/>
    <w:qFormat/>
    <w:uiPriority w:val="0"/>
    <w:pPr>
      <w:spacing w:before="120" w:after="120"/>
    </w:pPr>
    <w:rPr>
      <w:rFonts w:hAnsi="宋体" w:cs="宋体"/>
      <w:szCs w:val="20"/>
    </w:rPr>
  </w:style>
  <w:style w:type="paragraph" w:customStyle="1" w:styleId="816">
    <w:name w:val="style3"/>
    <w:basedOn w:val="1"/>
    <w:qFormat/>
    <w:uiPriority w:val="0"/>
    <w:pPr>
      <w:widowControl/>
      <w:spacing w:before="100" w:beforeAutospacing="1" w:after="100" w:afterAutospacing="1"/>
      <w:jc w:val="left"/>
    </w:pPr>
    <w:rPr>
      <w:rFonts w:ascii="宋体" w:hAnsi="宋体" w:cs="Arial"/>
      <w:color w:val="000000"/>
      <w:kern w:val="0"/>
      <w:szCs w:val="28"/>
    </w:rPr>
  </w:style>
  <w:style w:type="paragraph" w:customStyle="1" w:styleId="817">
    <w:name w:val="表文加粗"/>
    <w:basedOn w:val="590"/>
    <w:next w:val="590"/>
    <w:semiHidden/>
    <w:qFormat/>
    <w:uiPriority w:val="0"/>
    <w:pPr>
      <w:overflowPunct/>
      <w:jc w:val="both"/>
    </w:pPr>
    <w:rPr>
      <w:b/>
      <w:snapToGrid w:val="0"/>
      <w:kern w:val="0"/>
      <w:szCs w:val="21"/>
    </w:rPr>
  </w:style>
  <w:style w:type="paragraph" w:customStyle="1" w:styleId="818">
    <w:name w:val="Char Char Char1 Char Char Char1 Char Char Char Char Char Char1 Char Char Char Char Char Char Char"/>
    <w:basedOn w:val="1"/>
    <w:semiHidden/>
    <w:qFormat/>
    <w:uiPriority w:val="0"/>
    <w:rPr>
      <w:szCs w:val="24"/>
    </w:rPr>
  </w:style>
  <w:style w:type="paragraph" w:customStyle="1" w:styleId="819">
    <w:name w:val="TOC 标题1"/>
    <w:basedOn w:val="3"/>
    <w:next w:val="1"/>
    <w:qFormat/>
    <w:uiPriority w:val="0"/>
    <w:pPr>
      <w:widowControl/>
      <w:spacing w:before="480" w:line="276" w:lineRule="auto"/>
      <w:jc w:val="left"/>
      <w:outlineLvl w:val="9"/>
    </w:pPr>
    <w:rPr>
      <w:rFonts w:ascii="Cambria" w:hAnsi="Cambria" w:eastAsia="宋体"/>
      <w:color w:val="365F91"/>
      <w:kern w:val="0"/>
      <w:sz w:val="28"/>
      <w:szCs w:val="28"/>
    </w:rPr>
  </w:style>
  <w:style w:type="paragraph" w:customStyle="1" w:styleId="820">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ahoma" w:hAnsi="Tahoma" w:cs="Tahoma"/>
      <w:kern w:val="0"/>
      <w:sz w:val="18"/>
      <w:szCs w:val="18"/>
    </w:rPr>
  </w:style>
  <w:style w:type="paragraph" w:customStyle="1" w:styleId="821">
    <w:name w:val="五号字表格"/>
    <w:basedOn w:val="1"/>
    <w:qFormat/>
    <w:uiPriority w:val="0"/>
    <w:pPr>
      <w:adjustRightInd w:val="0"/>
      <w:jc w:val="center"/>
      <w:textAlignment w:val="baseline"/>
    </w:pPr>
    <w:rPr>
      <w:rFonts w:ascii="宋体"/>
      <w:kern w:val="0"/>
      <w:szCs w:val="20"/>
    </w:rPr>
  </w:style>
  <w:style w:type="paragraph" w:customStyle="1" w:styleId="822">
    <w:name w:val="图片"/>
    <w:basedOn w:val="1"/>
    <w:qFormat/>
    <w:uiPriority w:val="0"/>
    <w:pPr>
      <w:jc w:val="center"/>
    </w:pPr>
    <w:rPr>
      <w:rFonts w:cs="宋体"/>
      <w:szCs w:val="20"/>
    </w:rPr>
  </w:style>
  <w:style w:type="paragraph" w:customStyle="1" w:styleId="823">
    <w:name w:val="xl73"/>
    <w:basedOn w:val="1"/>
    <w:qFormat/>
    <w:uiPriority w:val="0"/>
    <w:pPr>
      <w:widowControl/>
      <w:spacing w:before="100" w:beforeAutospacing="1" w:after="100" w:afterAutospacing="1"/>
      <w:jc w:val="center"/>
      <w:textAlignment w:val="center"/>
    </w:pPr>
    <w:rPr>
      <w:rFonts w:ascii="宋体" w:hAnsi="宋体" w:cs="宋体"/>
      <w:kern w:val="0"/>
      <w:szCs w:val="24"/>
    </w:rPr>
  </w:style>
  <w:style w:type="paragraph" w:customStyle="1" w:styleId="824">
    <w:name w:val="样式 样式 样式 宋体 小四 行距: 1.5 倍行距 + 首行缩进:  2 字符 + 首行缩进:  2 字符"/>
    <w:basedOn w:val="1"/>
    <w:qFormat/>
    <w:uiPriority w:val="0"/>
    <w:pPr>
      <w:adjustRightInd w:val="0"/>
      <w:snapToGrid w:val="0"/>
    </w:pPr>
    <w:rPr>
      <w:rFonts w:cs="宋体"/>
      <w:szCs w:val="20"/>
    </w:rPr>
  </w:style>
  <w:style w:type="paragraph" w:customStyle="1" w:styleId="825">
    <w:name w:val="样式 (符号) 宋体 首行缩进:  2 字符"/>
    <w:basedOn w:val="1"/>
    <w:qFormat/>
    <w:uiPriority w:val="0"/>
    <w:pPr>
      <w:jc w:val="left"/>
      <w:textAlignment w:val="baseline"/>
    </w:pPr>
    <w:rPr>
      <w:rFonts w:ascii="宋体" w:hAnsi="宋体" w:cs="宋体"/>
      <w:kern w:val="0"/>
      <w:szCs w:val="20"/>
    </w:rPr>
  </w:style>
  <w:style w:type="paragraph" w:customStyle="1" w:styleId="826">
    <w:name w:val="样式 标题 4标题 4 Char标题 41标题 4 Char Char1标题 4 Char Char Char标题 4...1"/>
    <w:basedOn w:val="6"/>
    <w:qFormat/>
    <w:uiPriority w:val="0"/>
    <w:pPr>
      <w:tabs>
        <w:tab w:val="left" w:pos="840"/>
      </w:tabs>
      <w:autoSpaceDE w:val="0"/>
      <w:autoSpaceDN w:val="0"/>
      <w:adjustRightInd w:val="0"/>
      <w:spacing w:before="0" w:after="0" w:line="360" w:lineRule="auto"/>
      <w:textAlignment w:val="baseline"/>
    </w:pPr>
    <w:rPr>
      <w:rFonts w:ascii="Times New Roman" w:hAnsi="Times New Roman"/>
      <w:b w:val="0"/>
      <w:sz w:val="24"/>
      <w:szCs w:val="24"/>
    </w:rPr>
  </w:style>
  <w:style w:type="paragraph" w:customStyle="1" w:styleId="827">
    <w:name w:val="表中文字-水保"/>
    <w:basedOn w:val="1"/>
    <w:link w:val="1099"/>
    <w:qFormat/>
    <w:uiPriority w:val="0"/>
    <w:pPr>
      <w:ind w:firstLine="0" w:firstLineChars="0"/>
      <w:jc w:val="center"/>
    </w:pPr>
    <w:rPr>
      <w:rFonts w:cs="黑体"/>
      <w:sz w:val="18"/>
      <w:szCs w:val="21"/>
    </w:rPr>
  </w:style>
  <w:style w:type="paragraph" w:customStyle="1" w:styleId="828">
    <w:name w:val="样式 样式 正文文本 + 首行缩进:  2 字符 + 首行缩进:  2 字符"/>
    <w:basedOn w:val="1"/>
    <w:qFormat/>
    <w:uiPriority w:val="0"/>
    <w:rPr>
      <w:rFonts w:eastAsia="仿宋_GB2312" w:cs="宋体"/>
      <w:sz w:val="28"/>
      <w:szCs w:val="20"/>
    </w:rPr>
  </w:style>
  <w:style w:type="paragraph" w:customStyle="1" w:styleId="829">
    <w:name w:val="Char Char Char Char2"/>
    <w:basedOn w:val="1"/>
    <w:qFormat/>
    <w:uiPriority w:val="0"/>
    <w:rPr>
      <w:rFonts w:ascii="宋体" w:cs="宋体"/>
      <w:szCs w:val="21"/>
    </w:rPr>
  </w:style>
  <w:style w:type="paragraph" w:customStyle="1" w:styleId="830">
    <w:name w:val="正文B"/>
    <w:basedOn w:val="1"/>
    <w:qFormat/>
    <w:uiPriority w:val="0"/>
    <w:pPr>
      <w:widowControl/>
      <w:tabs>
        <w:tab w:val="left" w:pos="0"/>
      </w:tabs>
      <w:adjustRightInd w:val="0"/>
      <w:spacing w:before="120"/>
    </w:pPr>
    <w:rPr>
      <w:kern w:val="0"/>
      <w:szCs w:val="20"/>
    </w:rPr>
  </w:style>
  <w:style w:type="paragraph" w:customStyle="1" w:styleId="831">
    <w:name w:val="样式 标题 4标题 4 Char标题 41标题 4 Char Char1标题 4 Char Char Char标题 4...2"/>
    <w:basedOn w:val="6"/>
    <w:qFormat/>
    <w:uiPriority w:val="0"/>
    <w:pPr>
      <w:tabs>
        <w:tab w:val="left" w:pos="1080"/>
      </w:tabs>
      <w:autoSpaceDE w:val="0"/>
      <w:autoSpaceDN w:val="0"/>
      <w:adjustRightInd w:val="0"/>
      <w:spacing w:before="0" w:after="0" w:line="360" w:lineRule="auto"/>
      <w:ind w:left="1080"/>
      <w:textAlignment w:val="baseline"/>
    </w:pPr>
    <w:rPr>
      <w:rFonts w:ascii="Times" w:hAnsi="Times"/>
      <w:sz w:val="24"/>
      <w:szCs w:val="24"/>
    </w:rPr>
  </w:style>
  <w:style w:type="paragraph" w:customStyle="1" w:styleId="832">
    <w:name w:val="样式 标题 3标题 3 Char Char Char标题 31标题 3 Char Char1三级标题 + 黑色"/>
    <w:basedOn w:val="5"/>
    <w:qFormat/>
    <w:uiPriority w:val="0"/>
    <w:pPr>
      <w:autoSpaceDE w:val="0"/>
      <w:autoSpaceDN w:val="0"/>
      <w:spacing w:before="120" w:after="120"/>
      <w:textAlignment w:val="baseline"/>
    </w:pPr>
    <w:rPr>
      <w:b w:val="0"/>
      <w:bCs w:val="0"/>
      <w:snapToGrid w:val="0"/>
      <w:color w:val="000000"/>
      <w:kern w:val="0"/>
      <w:szCs w:val="24"/>
      <w:lang w:val="zh-CN"/>
    </w:rPr>
  </w:style>
  <w:style w:type="paragraph" w:customStyle="1" w:styleId="833">
    <w:name w:val="xl153"/>
    <w:basedOn w:val="1"/>
    <w:qFormat/>
    <w:uiPriority w:val="0"/>
    <w:pPr>
      <w:widowControl/>
      <w:spacing w:before="100" w:beforeAutospacing="1" w:after="100" w:afterAutospacing="1"/>
      <w:jc w:val="center"/>
      <w:textAlignment w:val="center"/>
    </w:pPr>
    <w:rPr>
      <w:rFonts w:ascii="宋体" w:hAnsi="宋体" w:cs="宋体"/>
      <w:kern w:val="0"/>
      <w:szCs w:val="21"/>
    </w:rPr>
  </w:style>
  <w:style w:type="paragraph" w:customStyle="1" w:styleId="834">
    <w:name w:val="目录3"/>
    <w:basedOn w:val="1"/>
    <w:qFormat/>
    <w:uiPriority w:val="0"/>
    <w:pPr>
      <w:ind w:firstLine="480"/>
    </w:pPr>
    <w:rPr>
      <w:szCs w:val="24"/>
    </w:rPr>
  </w:style>
  <w:style w:type="paragraph" w:customStyle="1" w:styleId="835">
    <w:name w:val="样式 样式 标题 2 + 段后: 12 磅"/>
    <w:basedOn w:val="1"/>
    <w:qFormat/>
    <w:uiPriority w:val="0"/>
    <w:pPr>
      <w:keepNext/>
      <w:keepLines/>
      <w:adjustRightInd w:val="0"/>
      <w:spacing w:before="240" w:after="240"/>
      <w:textAlignment w:val="baseline"/>
      <w:outlineLvl w:val="1"/>
    </w:pPr>
    <w:rPr>
      <w:rFonts w:ascii="Arial" w:hAnsi="Arial" w:eastAsia="黑体" w:cs="宋体"/>
      <w:b/>
      <w:bCs/>
      <w:spacing w:val="5"/>
      <w:kern w:val="0"/>
      <w:sz w:val="28"/>
      <w:szCs w:val="20"/>
    </w:rPr>
  </w:style>
  <w:style w:type="paragraph" w:customStyle="1" w:styleId="836">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18"/>
      <w:szCs w:val="18"/>
    </w:rPr>
  </w:style>
  <w:style w:type="paragraph" w:customStyle="1" w:styleId="837">
    <w:name w:val="样式 题注 + Times New Roman 五号 居中 首行缩进:  2 字符 段前: 0 磅 段后: 0 磅"/>
    <w:basedOn w:val="16"/>
    <w:qFormat/>
    <w:uiPriority w:val="0"/>
    <w:pPr>
      <w:spacing w:line="360" w:lineRule="auto"/>
      <w:ind w:firstLine="200" w:firstLineChars="200"/>
    </w:pPr>
    <w:rPr>
      <w:rFonts w:ascii="Times New Roman" w:hAnsi="Times New Roman" w:eastAsia="黑体" w:cs="宋体"/>
      <w:sz w:val="21"/>
    </w:rPr>
  </w:style>
  <w:style w:type="paragraph" w:customStyle="1" w:styleId="838">
    <w:name w:val="正文文字一"/>
    <w:basedOn w:val="1"/>
    <w:qFormat/>
    <w:uiPriority w:val="0"/>
    <w:pPr>
      <w:widowControl/>
      <w:spacing w:line="520" w:lineRule="exact"/>
      <w:ind w:firstLine="567"/>
      <w:jc w:val="left"/>
    </w:pPr>
    <w:rPr>
      <w:rFonts w:ascii="宋体" w:hAnsi="宋体" w:cs="宋体"/>
      <w:kern w:val="0"/>
      <w:szCs w:val="24"/>
    </w:rPr>
  </w:style>
  <w:style w:type="paragraph" w:customStyle="1" w:styleId="839">
    <w:name w:val="样式 标题 2 + 首行缩进:  2 字符"/>
    <w:basedOn w:val="4"/>
    <w:qFormat/>
    <w:uiPriority w:val="0"/>
    <w:pPr>
      <w:adjustRightInd w:val="0"/>
      <w:snapToGrid w:val="0"/>
      <w:spacing w:before="260" w:after="260"/>
      <w:ind w:firstLine="592" w:firstLineChars="200"/>
    </w:pPr>
    <w:rPr>
      <w:rFonts w:ascii="黑体" w:hAnsi="宋体" w:cs="宋体"/>
      <w:b w:val="0"/>
      <w:bCs w:val="0"/>
      <w:snapToGrid w:val="0"/>
      <w:kern w:val="0"/>
      <w:sz w:val="30"/>
      <w:szCs w:val="20"/>
    </w:rPr>
  </w:style>
  <w:style w:type="paragraph" w:customStyle="1" w:styleId="840">
    <w:name w:val="样式 正文缩进 + 左侧:  0.37 厘米 右侧:  0.37 厘米"/>
    <w:basedOn w:val="170"/>
    <w:next w:val="170"/>
    <w:qFormat/>
    <w:uiPriority w:val="0"/>
    <w:pPr>
      <w:jc w:val="center"/>
    </w:pPr>
    <w:rPr>
      <w:rFonts w:ascii="宋体"/>
      <w:color w:val="auto"/>
    </w:rPr>
  </w:style>
  <w:style w:type="paragraph" w:customStyle="1" w:styleId="841">
    <w:name w:val="样式 左侧:  1 字符 右侧:  1 字符2"/>
    <w:basedOn w:val="1"/>
    <w:semiHidden/>
    <w:qFormat/>
    <w:uiPriority w:val="0"/>
    <w:pPr>
      <w:tabs>
        <w:tab w:val="left" w:pos="6660"/>
      </w:tabs>
      <w:spacing w:line="312" w:lineRule="auto"/>
      <w:ind w:firstLine="540" w:firstLineChars="225"/>
    </w:pPr>
    <w:rPr>
      <w:color w:val="000000"/>
      <w:szCs w:val="20"/>
    </w:rPr>
  </w:style>
  <w:style w:type="paragraph" w:customStyle="1" w:styleId="842">
    <w:name w:val="样式gcrw 小四 首行缩进:  0.85 厘米 行距: 1.5 倍行距"/>
    <w:basedOn w:val="1"/>
    <w:qFormat/>
    <w:uiPriority w:val="0"/>
    <w:pPr>
      <w:ind w:firstLine="482"/>
      <w:jc w:val="left"/>
    </w:pPr>
    <w:rPr>
      <w:rFonts w:cs="宋体"/>
      <w:color w:val="FF0000"/>
      <w:szCs w:val="24"/>
    </w:rPr>
  </w:style>
  <w:style w:type="paragraph" w:customStyle="1" w:styleId="843">
    <w:name w:val="Char21"/>
    <w:basedOn w:val="1"/>
    <w:qFormat/>
    <w:uiPriority w:val="0"/>
    <w:rPr>
      <w:b/>
      <w:sz w:val="28"/>
      <w:szCs w:val="24"/>
    </w:rPr>
  </w:style>
  <w:style w:type="paragraph" w:customStyle="1" w:styleId="844">
    <w:name w:val="xl106"/>
    <w:basedOn w:val="1"/>
    <w:qFormat/>
    <w:uiPriority w:val="0"/>
    <w:pPr>
      <w:widowControl/>
      <w:spacing w:before="100" w:beforeAutospacing="1" w:after="100" w:afterAutospacing="1"/>
      <w:jc w:val="center"/>
      <w:textAlignment w:val="center"/>
    </w:pPr>
    <w:rPr>
      <w:rFonts w:ascii="宋体" w:hAnsi="宋体" w:cs="宋体"/>
      <w:kern w:val="0"/>
      <w:szCs w:val="24"/>
    </w:rPr>
  </w:style>
  <w:style w:type="paragraph" w:customStyle="1" w:styleId="845">
    <w:name w:val="Char Char Char Char Char Char1 Char Char Char1 Char Char Char Char Char Char Char1"/>
    <w:basedOn w:val="1"/>
    <w:qFormat/>
    <w:uiPriority w:val="0"/>
    <w:rPr>
      <w:rFonts w:ascii="宋体" w:hAnsi="宋体" w:cs="宋体"/>
      <w:szCs w:val="24"/>
    </w:rPr>
  </w:style>
  <w:style w:type="paragraph" w:customStyle="1" w:styleId="846">
    <w:name w:val="样式 标题 4 + 段后: 1 行"/>
    <w:basedOn w:val="6"/>
    <w:qFormat/>
    <w:uiPriority w:val="0"/>
    <w:pPr>
      <w:widowControl/>
      <w:spacing w:beforeLines="50" w:afterLines="50" w:line="360" w:lineRule="auto"/>
      <w:jc w:val="left"/>
    </w:pPr>
    <w:rPr>
      <w:rFonts w:ascii="Times New Roman" w:hAnsi="Times New Roman" w:cs="宋体"/>
      <w:bCs w:val="0"/>
      <w:sz w:val="24"/>
      <w:szCs w:val="20"/>
    </w:rPr>
  </w:style>
  <w:style w:type="paragraph" w:customStyle="1" w:styleId="847">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848">
    <w:name w:val="Char Char Char1 Char Char Char Char Char Char Char Char Char Char"/>
    <w:basedOn w:val="1"/>
    <w:qFormat/>
    <w:uiPriority w:val="0"/>
    <w:pPr>
      <w:snapToGrid w:val="0"/>
    </w:pPr>
    <w:rPr>
      <w:rFonts w:ascii="Arial" w:hAnsi="Arial" w:cs="Arial"/>
      <w:szCs w:val="21"/>
    </w:rPr>
  </w:style>
  <w:style w:type="paragraph" w:customStyle="1" w:styleId="849">
    <w:name w:val="范表格1"/>
    <w:basedOn w:val="1"/>
    <w:next w:val="1"/>
    <w:qFormat/>
    <w:uiPriority w:val="0"/>
    <w:pPr>
      <w:widowControl/>
      <w:spacing w:before="60" w:after="60"/>
      <w:jc w:val="center"/>
    </w:pPr>
    <w:rPr>
      <w:kern w:val="0"/>
      <w:szCs w:val="20"/>
    </w:rPr>
  </w:style>
  <w:style w:type="paragraph" w:customStyle="1" w:styleId="850">
    <w:name w:val="样式 标题 4 + 宋体 小四 行距: 1.5 倍行距"/>
    <w:basedOn w:val="6"/>
    <w:qFormat/>
    <w:uiPriority w:val="0"/>
    <w:pPr>
      <w:tabs>
        <w:tab w:val="left" w:pos="912"/>
      </w:tabs>
      <w:spacing w:line="360" w:lineRule="auto"/>
    </w:pPr>
    <w:rPr>
      <w:rFonts w:ascii="宋体" w:hAnsi="Times New Roman" w:cs="宋体"/>
      <w:bCs w:val="0"/>
      <w:sz w:val="24"/>
      <w:szCs w:val="20"/>
    </w:rPr>
  </w:style>
  <w:style w:type="paragraph" w:customStyle="1" w:styleId="851">
    <w:name w:val="图表目录2"/>
    <w:basedOn w:val="590"/>
    <w:next w:val="384"/>
    <w:qFormat/>
    <w:uiPriority w:val="0"/>
    <w:pPr>
      <w:tabs>
        <w:tab w:val="left" w:pos="658"/>
      </w:tabs>
      <w:overflowPunct/>
      <w:autoSpaceDE w:val="0"/>
      <w:autoSpaceDN w:val="0"/>
      <w:spacing w:line="220" w:lineRule="atLeast"/>
      <w:jc w:val="both"/>
      <w:textAlignment w:val="top"/>
    </w:pPr>
    <w:rPr>
      <w:kern w:val="0"/>
      <w:sz w:val="18"/>
      <w:szCs w:val="24"/>
    </w:rPr>
  </w:style>
  <w:style w:type="paragraph" w:customStyle="1" w:styleId="852">
    <w:name w:val="样式 题注 + 左侧:  0.98 厘米 首行缩进:  2 字符"/>
    <w:basedOn w:val="16"/>
    <w:qFormat/>
    <w:uiPriority w:val="0"/>
    <w:pPr>
      <w:adjustRightInd w:val="0"/>
      <w:snapToGrid w:val="0"/>
      <w:spacing w:before="120" w:line="300" w:lineRule="exact"/>
      <w:ind w:firstLine="480" w:firstLineChars="200"/>
    </w:pPr>
    <w:rPr>
      <w:rFonts w:eastAsia="黑体" w:cs="Times New Roman"/>
      <w:color w:val="000000"/>
    </w:rPr>
  </w:style>
  <w:style w:type="paragraph" w:customStyle="1" w:styleId="853">
    <w:name w:val="报告签署"/>
    <w:basedOn w:val="586"/>
    <w:qFormat/>
    <w:uiPriority w:val="0"/>
    <w:pPr>
      <w:jc w:val="left"/>
    </w:pPr>
    <w:rPr>
      <w:sz w:val="32"/>
    </w:rPr>
  </w:style>
  <w:style w:type="paragraph" w:customStyle="1" w:styleId="854">
    <w:name w:val="xl75"/>
    <w:basedOn w:val="1"/>
    <w:qFormat/>
    <w:uiPriority w:val="0"/>
    <w:pPr>
      <w:widowControl/>
      <w:spacing w:before="100" w:beforeAutospacing="1" w:after="100" w:afterAutospacing="1"/>
      <w:jc w:val="center"/>
    </w:pPr>
    <w:rPr>
      <w:rFonts w:ascii="宋体" w:hAnsi="宋体" w:cs="宋体"/>
      <w:kern w:val="0"/>
      <w:szCs w:val="21"/>
    </w:rPr>
  </w:style>
  <w:style w:type="paragraph" w:customStyle="1" w:styleId="855">
    <w:name w:val="xl100"/>
    <w:basedOn w:val="1"/>
    <w:qFormat/>
    <w:uiPriority w:val="0"/>
    <w:pPr>
      <w:widowControl/>
      <w:spacing w:before="100" w:beforeAutospacing="1" w:after="100" w:afterAutospacing="1"/>
      <w:jc w:val="center"/>
      <w:textAlignment w:val="center"/>
    </w:pPr>
    <w:rPr>
      <w:kern w:val="0"/>
      <w:szCs w:val="24"/>
    </w:rPr>
  </w:style>
  <w:style w:type="paragraph" w:customStyle="1" w:styleId="856">
    <w:name w:val="表号 Char Char Char"/>
    <w:basedOn w:val="1"/>
    <w:qFormat/>
    <w:uiPriority w:val="0"/>
    <w:pPr>
      <w:adjustRightInd w:val="0"/>
      <w:snapToGrid w:val="0"/>
      <w:spacing w:line="320" w:lineRule="exact"/>
      <w:ind w:firstLine="105" w:firstLineChars="50"/>
      <w:textAlignment w:val="baseline"/>
    </w:pPr>
    <w:rPr>
      <w:rFonts w:ascii="宋体" w:hAnsi="宋体"/>
      <w:bCs/>
      <w:snapToGrid w:val="0"/>
      <w:kern w:val="0"/>
      <w:szCs w:val="21"/>
    </w:rPr>
  </w:style>
  <w:style w:type="paragraph" w:customStyle="1" w:styleId="857">
    <w:name w:val="样式 样式 首行缩进:  2 字符 行距: 1.5 倍行距 + 首行缩进:  2 字符"/>
    <w:basedOn w:val="1"/>
    <w:qFormat/>
    <w:uiPriority w:val="0"/>
    <w:rPr>
      <w:szCs w:val="20"/>
    </w:rPr>
  </w:style>
  <w:style w:type="paragraph" w:customStyle="1" w:styleId="858">
    <w:name w:val="Char Char Char Char Char Char1 Char Char Char1"/>
    <w:basedOn w:val="1"/>
    <w:qFormat/>
    <w:uiPriority w:val="0"/>
    <w:rPr>
      <w:rFonts w:ascii="宋体" w:hAnsi="宋体" w:cs="宋体"/>
      <w:szCs w:val="24"/>
    </w:rPr>
  </w:style>
  <w:style w:type="paragraph" w:customStyle="1" w:styleId="859">
    <w:name w:val="样式 正文+ 首行缩进:  2 字符 + 宋体"/>
    <w:basedOn w:val="569"/>
    <w:qFormat/>
    <w:uiPriority w:val="0"/>
    <w:rPr>
      <w:rFonts w:ascii="宋体" w:hAnsi="宋体"/>
    </w:rPr>
  </w:style>
  <w:style w:type="paragraph" w:customStyle="1" w:styleId="860">
    <w:name w:val="样式 表 + 段前: 0.5 行"/>
    <w:basedOn w:val="1"/>
    <w:qFormat/>
    <w:uiPriority w:val="0"/>
    <w:pPr>
      <w:spacing w:beforeLines="50"/>
    </w:pPr>
    <w:rPr>
      <w:rFonts w:ascii="黑体" w:hAnsi="宋体" w:eastAsia="黑体" w:cs="宋体"/>
      <w:szCs w:val="20"/>
    </w:rPr>
  </w:style>
  <w:style w:type="paragraph" w:customStyle="1" w:styleId="861">
    <w:name w:val="Char Char Char Char Char Char3 Char Char Char Char Char Char"/>
    <w:basedOn w:val="1"/>
    <w:qFormat/>
    <w:uiPriority w:val="0"/>
    <w:rPr>
      <w:rFonts w:ascii="宋体" w:hAnsi="宋体" w:cs="宋体"/>
      <w:szCs w:val="24"/>
    </w:rPr>
  </w:style>
  <w:style w:type="paragraph" w:customStyle="1" w:styleId="862">
    <w:name w:val="样式 样式 表名 + (中文) 宋体 小五 两端对齐 段前: 7.8 磅 + Times New Roman 段前: 6 磅"/>
    <w:basedOn w:val="1"/>
    <w:qFormat/>
    <w:uiPriority w:val="0"/>
    <w:pPr>
      <w:tabs>
        <w:tab w:val="left" w:pos="1680"/>
      </w:tabs>
      <w:autoSpaceDE w:val="0"/>
      <w:autoSpaceDN w:val="0"/>
      <w:adjustRightInd w:val="0"/>
      <w:jc w:val="center"/>
      <w:textAlignment w:val="baseline"/>
    </w:pPr>
    <w:rPr>
      <w:rFonts w:ascii="Times" w:hAnsi="Times" w:eastAsia="黑体" w:cs="宋体"/>
      <w:bCs/>
      <w:kern w:val="0"/>
      <w:szCs w:val="21"/>
    </w:rPr>
  </w:style>
  <w:style w:type="paragraph" w:customStyle="1" w:styleId="863">
    <w:name w:val="表名 Char Char Char Char Char"/>
    <w:basedOn w:val="1"/>
    <w:qFormat/>
    <w:uiPriority w:val="0"/>
    <w:pPr>
      <w:autoSpaceDE w:val="0"/>
      <w:autoSpaceDN w:val="0"/>
      <w:adjustRightInd w:val="0"/>
      <w:spacing w:line="0" w:lineRule="atLeast"/>
      <w:ind w:firstLine="482"/>
      <w:jc w:val="center"/>
      <w:textAlignment w:val="baseline"/>
    </w:pPr>
    <w:rPr>
      <w:rFonts w:eastAsia="黑体"/>
      <w:spacing w:val="6"/>
      <w:kern w:val="0"/>
      <w:szCs w:val="20"/>
    </w:rPr>
  </w:style>
  <w:style w:type="paragraph" w:customStyle="1" w:styleId="864">
    <w:name w:val="标准样式1"/>
    <w:basedOn w:val="1"/>
    <w:qFormat/>
    <w:uiPriority w:val="0"/>
    <w:pPr>
      <w:spacing w:line="600" w:lineRule="exact"/>
      <w:ind w:firstLine="567"/>
    </w:pPr>
    <w:rPr>
      <w:szCs w:val="20"/>
    </w:rPr>
  </w:style>
  <w:style w:type="paragraph" w:customStyle="1" w:styleId="865">
    <w:name w:val="靖边至安塞"/>
    <w:basedOn w:val="1"/>
    <w:qFormat/>
    <w:uiPriority w:val="0"/>
    <w:pPr>
      <w:ind w:firstLine="560"/>
    </w:pPr>
    <w:rPr>
      <w:rFonts w:hint="eastAsia" w:ascii="仿宋_GB2312" w:eastAsia="仿宋_GB2312"/>
      <w:szCs w:val="24"/>
    </w:rPr>
  </w:style>
  <w:style w:type="paragraph" w:customStyle="1" w:styleId="866">
    <w:name w:val="表格文字2"/>
    <w:basedOn w:val="50"/>
    <w:qFormat/>
    <w:uiPriority w:val="0"/>
    <w:pPr>
      <w:spacing w:before="60" w:after="60" w:line="240" w:lineRule="atLeast"/>
      <w:jc w:val="center"/>
    </w:pPr>
    <w:rPr>
      <w:rFonts w:ascii="黑体" w:eastAsia="黑体"/>
      <w:sz w:val="21"/>
      <w:szCs w:val="28"/>
    </w:rPr>
  </w:style>
  <w:style w:type="paragraph" w:customStyle="1" w:styleId="867">
    <w:name w:val="表名 Char Char Char1"/>
    <w:basedOn w:val="1"/>
    <w:qFormat/>
    <w:uiPriority w:val="0"/>
    <w:pPr>
      <w:autoSpaceDE w:val="0"/>
      <w:autoSpaceDN w:val="0"/>
      <w:adjustRightInd w:val="0"/>
      <w:spacing w:line="0" w:lineRule="atLeast"/>
      <w:jc w:val="center"/>
      <w:textAlignment w:val="baseline"/>
    </w:pPr>
    <w:rPr>
      <w:rFonts w:eastAsia="黑体"/>
      <w:spacing w:val="6"/>
      <w:kern w:val="0"/>
      <w:szCs w:val="20"/>
    </w:rPr>
  </w:style>
  <w:style w:type="paragraph" w:customStyle="1" w:styleId="868">
    <w:name w:val="Char Char Char Char Char Char1"/>
    <w:basedOn w:val="1"/>
    <w:qFormat/>
    <w:uiPriority w:val="0"/>
    <w:rPr>
      <w:rFonts w:ascii="宋体" w:hAnsi="宋体" w:cs="宋体"/>
      <w:szCs w:val="24"/>
    </w:rPr>
  </w:style>
  <w:style w:type="paragraph" w:customStyle="1" w:styleId="869">
    <w:name w:val="工业统一表格文字"/>
    <w:basedOn w:val="1"/>
    <w:qFormat/>
    <w:uiPriority w:val="0"/>
    <w:pPr>
      <w:adjustRightInd w:val="0"/>
      <w:snapToGrid w:val="0"/>
      <w:spacing w:beforeLines="20" w:afterLines="20"/>
      <w:ind w:left="-20" w:leftChars="-20" w:right="-20" w:rightChars="-20"/>
      <w:jc w:val="center"/>
    </w:pPr>
    <w:rPr>
      <w:szCs w:val="20"/>
    </w:rPr>
  </w:style>
  <w:style w:type="paragraph" w:customStyle="1" w:styleId="870">
    <w:name w:val="样式 样式 表号 Char + 黑色 右侧:  -4.52 字符 + 右侧:  -4.52 字符"/>
    <w:basedOn w:val="1"/>
    <w:qFormat/>
    <w:uiPriority w:val="0"/>
    <w:pPr>
      <w:keepNext/>
      <w:tabs>
        <w:tab w:val="left" w:pos="3930"/>
      </w:tabs>
      <w:spacing w:line="320" w:lineRule="exact"/>
      <w:ind w:right="-1085" w:rightChars="-452"/>
      <w:outlineLvl w:val="3"/>
    </w:pPr>
    <w:rPr>
      <w:rFonts w:cs="宋体"/>
      <w:color w:val="000000"/>
      <w:spacing w:val="-4"/>
      <w:kern w:val="0"/>
      <w:sz w:val="18"/>
      <w:szCs w:val="20"/>
    </w:rPr>
  </w:style>
  <w:style w:type="paragraph" w:customStyle="1" w:styleId="871">
    <w:name w:val="305"/>
    <w:basedOn w:val="1"/>
    <w:qFormat/>
    <w:uiPriority w:val="0"/>
    <w:pPr>
      <w:widowControl/>
      <w:spacing w:before="100" w:beforeAutospacing="1" w:after="100" w:afterAutospacing="1"/>
      <w:jc w:val="left"/>
    </w:pPr>
    <w:rPr>
      <w:rFonts w:ascii="宋体" w:hAnsi="宋体"/>
      <w:kern w:val="0"/>
      <w:szCs w:val="24"/>
    </w:rPr>
  </w:style>
  <w:style w:type="paragraph" w:customStyle="1" w:styleId="872">
    <w:name w:val="样式 蓝色 首行缩进:  2 字符"/>
    <w:basedOn w:val="1"/>
    <w:qFormat/>
    <w:uiPriority w:val="0"/>
    <w:pPr>
      <w:ind w:firstLine="480"/>
      <w:jc w:val="left"/>
    </w:pPr>
    <w:rPr>
      <w:rFonts w:cs="宋体"/>
      <w:szCs w:val="24"/>
    </w:rPr>
  </w:style>
  <w:style w:type="paragraph" w:customStyle="1" w:styleId="873">
    <w:name w:val="1表格表头格式"/>
    <w:basedOn w:val="1"/>
    <w:qFormat/>
    <w:uiPriority w:val="0"/>
    <w:pPr>
      <w:spacing w:line="240" w:lineRule="auto"/>
      <w:ind w:firstLine="0" w:firstLineChars="0"/>
      <w:jc w:val="center"/>
    </w:pPr>
    <w:rPr>
      <w:rFonts w:hAnsi="宋体" w:cs="宋体"/>
      <w:b/>
      <w:bCs/>
      <w:sz w:val="21"/>
      <w:szCs w:val="20"/>
    </w:rPr>
  </w:style>
  <w:style w:type="paragraph" w:customStyle="1" w:styleId="874">
    <w:name w:val="_Style 1"/>
    <w:basedOn w:val="1"/>
    <w:qFormat/>
    <w:uiPriority w:val="0"/>
    <w:rPr>
      <w:szCs w:val="20"/>
    </w:rPr>
  </w:style>
  <w:style w:type="paragraph" w:customStyle="1" w:styleId="875">
    <w:name w:val="p0"/>
    <w:basedOn w:val="1"/>
    <w:qFormat/>
    <w:uiPriority w:val="0"/>
    <w:pPr>
      <w:widowControl/>
      <w:jc w:val="left"/>
    </w:pPr>
    <w:rPr>
      <w:rFonts w:ascii="inherit" w:hAnsi="inherit" w:cs="宋体"/>
      <w:kern w:val="0"/>
      <w:szCs w:val="24"/>
    </w:rPr>
  </w:style>
  <w:style w:type="paragraph" w:customStyle="1" w:styleId="876">
    <w:name w:val="样式 样式 标题 4 + + 段前: 1 行"/>
    <w:basedOn w:val="1"/>
    <w:qFormat/>
    <w:uiPriority w:val="0"/>
    <w:pPr>
      <w:keepNext/>
      <w:keepLines/>
      <w:tabs>
        <w:tab w:val="left" w:pos="1125"/>
      </w:tabs>
      <w:adjustRightInd w:val="0"/>
      <w:ind w:left="1125" w:hanging="1125"/>
      <w:outlineLvl w:val="3"/>
    </w:pPr>
    <w:rPr>
      <w:rFonts w:cs="宋体"/>
      <w:szCs w:val="20"/>
    </w:rPr>
  </w:style>
  <w:style w:type="paragraph" w:customStyle="1" w:styleId="877">
    <w:name w:val="Char Char1 Char Char Char Char Char Char Char Char Char1 Char"/>
    <w:basedOn w:val="1"/>
    <w:qFormat/>
    <w:uiPriority w:val="0"/>
    <w:rPr>
      <w:szCs w:val="24"/>
    </w:rPr>
  </w:style>
  <w:style w:type="paragraph" w:customStyle="1" w:styleId="878">
    <w:name w:val="xl113"/>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textAlignment w:val="center"/>
    </w:pPr>
    <w:rPr>
      <w:rFonts w:ascii="宋体" w:hAnsi="宋体" w:cs="宋体"/>
      <w:b/>
      <w:bCs/>
      <w:kern w:val="0"/>
      <w:sz w:val="18"/>
      <w:szCs w:val="18"/>
    </w:rPr>
  </w:style>
  <w:style w:type="paragraph" w:customStyle="1" w:styleId="879">
    <w:name w:val="样式 表内容 + (中文) 黑体 加粗 段前: 7.8 磅 段后: 7.8 磅1"/>
    <w:basedOn w:val="429"/>
    <w:qFormat/>
    <w:uiPriority w:val="0"/>
    <w:pPr>
      <w:pBdr>
        <w:bottom w:val="none" w:color="auto" w:sz="0" w:space="0"/>
      </w:pBdr>
      <w:spacing w:before="156" w:after="156" w:line="0" w:lineRule="atLeast"/>
      <w:ind w:left="0" w:right="-108" w:rightChars="-45"/>
      <w:jc w:val="center"/>
    </w:pPr>
    <w:rPr>
      <w:rFonts w:ascii="宋体" w:hAnsi="宋体" w:cs="宋体"/>
      <w:iCs w:val="0"/>
      <w:sz w:val="18"/>
      <w:szCs w:val="20"/>
    </w:rPr>
  </w:style>
  <w:style w:type="paragraph" w:customStyle="1" w:styleId="880">
    <w:name w:val="样式 左 首行缩进:  2 字符 行距: 1.5 倍行距"/>
    <w:basedOn w:val="1"/>
    <w:qFormat/>
    <w:uiPriority w:val="0"/>
    <w:pPr>
      <w:ind w:firstLine="360"/>
      <w:jc w:val="left"/>
    </w:pPr>
    <w:rPr>
      <w:szCs w:val="24"/>
    </w:rPr>
  </w:style>
  <w:style w:type="paragraph" w:customStyle="1" w:styleId="881">
    <w:name w:val="表号 Char Char2"/>
    <w:basedOn w:val="1"/>
    <w:qFormat/>
    <w:uiPriority w:val="0"/>
    <w:pPr>
      <w:adjustRightInd w:val="0"/>
      <w:snapToGrid w:val="0"/>
      <w:spacing w:line="320" w:lineRule="exact"/>
      <w:ind w:firstLine="105" w:firstLineChars="50"/>
      <w:textAlignment w:val="baseline"/>
    </w:pPr>
    <w:rPr>
      <w:rFonts w:ascii="宋体" w:hAnsi="宋体"/>
      <w:bCs/>
      <w:snapToGrid w:val="0"/>
      <w:kern w:val="0"/>
      <w:szCs w:val="21"/>
    </w:rPr>
  </w:style>
  <w:style w:type="paragraph" w:customStyle="1" w:styleId="882">
    <w:name w:val="Char Char Char Char Char Char Char Char Char Char1"/>
    <w:basedOn w:val="1"/>
    <w:qFormat/>
    <w:uiPriority w:val="0"/>
    <w:rPr>
      <w:rFonts w:ascii="宋体" w:hAnsi="宋体" w:cs="宋体"/>
      <w:szCs w:val="24"/>
    </w:rPr>
  </w:style>
  <w:style w:type="paragraph" w:customStyle="1" w:styleId="883">
    <w:name w:val="样式 表文居中 + 宋 体"/>
    <w:basedOn w:val="384"/>
    <w:qFormat/>
    <w:uiPriority w:val="0"/>
    <w:pPr>
      <w:widowControl/>
      <w:overflowPunct/>
      <w:autoSpaceDE/>
      <w:autoSpaceDN/>
      <w:adjustRightInd/>
      <w:spacing w:line="240" w:lineRule="atLeast"/>
      <w:ind w:firstLine="360"/>
    </w:pPr>
    <w:rPr>
      <w:rFonts w:ascii="宋体" w:hAnsi="宋体" w:cs="宋体"/>
      <w:kern w:val="0"/>
    </w:rPr>
  </w:style>
  <w:style w:type="paragraph" w:customStyle="1" w:styleId="884">
    <w:name w:val="样式 表名 + Times New Roman"/>
    <w:basedOn w:val="1"/>
    <w:qFormat/>
    <w:uiPriority w:val="0"/>
    <w:pPr>
      <w:spacing w:before="60" w:after="36" w:line="360" w:lineRule="exact"/>
      <w:jc w:val="center"/>
    </w:pPr>
    <w:rPr>
      <w:rFonts w:ascii="Times" w:hAnsi="Times" w:eastAsia="黑体"/>
      <w:color w:val="000000"/>
      <w:szCs w:val="20"/>
    </w:rPr>
  </w:style>
  <w:style w:type="paragraph" w:customStyle="1" w:styleId="885">
    <w:name w:val="bg正文首行缩进"/>
    <w:basedOn w:val="1"/>
    <w:qFormat/>
    <w:uiPriority w:val="0"/>
    <w:pPr>
      <w:spacing w:line="400" w:lineRule="exact"/>
      <w:ind w:firstLine="482"/>
    </w:pPr>
    <w:rPr>
      <w:szCs w:val="20"/>
    </w:rPr>
  </w:style>
  <w:style w:type="paragraph" w:customStyle="1" w:styleId="886">
    <w:name w:val="样式 标题 2 + 首行缩进:  0 厘米"/>
    <w:basedOn w:val="4"/>
    <w:qFormat/>
    <w:uiPriority w:val="0"/>
    <w:pPr>
      <w:tabs>
        <w:tab w:val="left" w:pos="0"/>
      </w:tabs>
      <w:spacing w:line="300" w:lineRule="auto"/>
      <w:ind w:left="113"/>
    </w:pPr>
    <w:rPr>
      <w:rFonts w:ascii="Arial" w:hAnsi="Arial" w:eastAsia="宋体" w:cs="宋体"/>
      <w:b w:val="0"/>
      <w:bCs w:val="0"/>
      <w:szCs w:val="20"/>
    </w:rPr>
  </w:style>
  <w:style w:type="paragraph" w:customStyle="1" w:styleId="887">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888">
    <w:name w:val="xl110"/>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textAlignment w:val="center"/>
    </w:pPr>
    <w:rPr>
      <w:rFonts w:ascii="宋体" w:hAnsi="宋体" w:cs="宋体"/>
      <w:kern w:val="0"/>
      <w:sz w:val="18"/>
      <w:szCs w:val="18"/>
    </w:rPr>
  </w:style>
  <w:style w:type="paragraph" w:customStyle="1" w:styleId="889">
    <w:name w:val="样式 题注 + 左"/>
    <w:basedOn w:val="16"/>
    <w:qFormat/>
    <w:uiPriority w:val="0"/>
    <w:pPr>
      <w:adjustRightInd w:val="0"/>
      <w:snapToGrid w:val="0"/>
      <w:ind w:left="200" w:leftChars="200" w:firstLine="200" w:firstLineChars="200"/>
      <w:jc w:val="left"/>
    </w:pPr>
    <w:rPr>
      <w:rFonts w:ascii="Times New Roman" w:hAnsi="Times New Roman" w:eastAsia="黑体" w:cs="宋体"/>
      <w:sz w:val="21"/>
      <w:szCs w:val="21"/>
    </w:rPr>
  </w:style>
  <w:style w:type="paragraph" w:customStyle="1" w:styleId="890">
    <w:name w:val="基准页眉样式"/>
    <w:basedOn w:val="23"/>
    <w:qFormat/>
    <w:uiPriority w:val="0"/>
    <w:pPr>
      <w:spacing w:after="0" w:line="300" w:lineRule="exact"/>
      <w:jc w:val="center"/>
    </w:pPr>
    <w:rPr>
      <w:spacing w:val="15"/>
      <w:sz w:val="21"/>
      <w:szCs w:val="20"/>
    </w:rPr>
  </w:style>
  <w:style w:type="paragraph" w:customStyle="1" w:styleId="891">
    <w:name w:val="工业统一题目"/>
    <w:basedOn w:val="1"/>
    <w:qFormat/>
    <w:uiPriority w:val="0"/>
    <w:pPr>
      <w:adjustRightInd w:val="0"/>
      <w:snapToGrid w:val="0"/>
      <w:jc w:val="left"/>
    </w:pPr>
    <w:rPr>
      <w:rFonts w:ascii="宋体"/>
      <w:b/>
      <w:szCs w:val="20"/>
    </w:rPr>
  </w:style>
  <w:style w:type="paragraph" w:customStyle="1" w:styleId="892">
    <w:name w:val="附图"/>
    <w:basedOn w:val="1"/>
    <w:semiHidden/>
    <w:qFormat/>
    <w:uiPriority w:val="0"/>
    <w:pPr>
      <w:jc w:val="center"/>
    </w:pPr>
    <w:rPr>
      <w:szCs w:val="24"/>
    </w:rPr>
  </w:style>
  <w:style w:type="paragraph" w:customStyle="1" w:styleId="893">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894">
    <w:name w:val="xl1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Cs w:val="24"/>
    </w:rPr>
  </w:style>
  <w:style w:type="paragraph" w:customStyle="1" w:styleId="895">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0000"/>
      <w:kern w:val="0"/>
      <w:sz w:val="18"/>
      <w:szCs w:val="18"/>
    </w:rPr>
  </w:style>
  <w:style w:type="paragraph" w:customStyle="1" w:styleId="896">
    <w:name w:val="样式 标题 3"/>
    <w:basedOn w:val="5"/>
    <w:semiHidden/>
    <w:qFormat/>
    <w:uiPriority w:val="0"/>
    <w:pPr>
      <w:snapToGrid w:val="0"/>
      <w:spacing w:before="120"/>
      <w:textAlignment w:val="baseline"/>
    </w:pPr>
    <w:rPr>
      <w:b w:val="0"/>
      <w:bCs w:val="0"/>
      <w:snapToGrid w:val="0"/>
      <w:kern w:val="0"/>
      <w:szCs w:val="24"/>
      <w:lang w:val="zh-CN"/>
    </w:rPr>
  </w:style>
  <w:style w:type="paragraph" w:customStyle="1" w:styleId="897">
    <w:name w:val="xl108"/>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cs="宋体"/>
      <w:b/>
      <w:bCs/>
      <w:kern w:val="0"/>
      <w:sz w:val="18"/>
      <w:szCs w:val="18"/>
    </w:rPr>
  </w:style>
  <w:style w:type="paragraph" w:customStyle="1" w:styleId="898">
    <w:name w:val="表名-水保"/>
    <w:qFormat/>
    <w:uiPriority w:val="1"/>
    <w:pPr>
      <w:keepNext/>
      <w:jc w:val="center"/>
    </w:pPr>
    <w:rPr>
      <w:rFonts w:ascii="Times New Roman" w:hAnsi="Times New Roman" w:eastAsia="宋体" w:cs="Times New Roman"/>
      <w:b/>
      <w:sz w:val="21"/>
      <w:szCs w:val="22"/>
      <w:lang w:val="en-US" w:eastAsia="zh-CN" w:bidi="ar-SA"/>
    </w:rPr>
  </w:style>
  <w:style w:type="paragraph" w:customStyle="1" w:styleId="899">
    <w:name w:val="Char3"/>
    <w:basedOn w:val="1"/>
    <w:qFormat/>
    <w:uiPriority w:val="0"/>
    <w:pPr>
      <w:spacing w:line="240" w:lineRule="auto"/>
      <w:ind w:firstLine="0" w:firstLineChars="0"/>
    </w:pPr>
    <w:rPr>
      <w:sz w:val="21"/>
      <w:szCs w:val="24"/>
    </w:rPr>
  </w:style>
  <w:style w:type="character" w:customStyle="1" w:styleId="900">
    <w:name w:val="明显参考1"/>
    <w:qFormat/>
    <w:uiPriority w:val="32"/>
    <w:rPr>
      <w:b/>
      <w:bCs/>
      <w:smallCaps/>
      <w:color w:val="C0504D"/>
      <w:spacing w:val="5"/>
      <w:u w:val="single"/>
    </w:rPr>
  </w:style>
  <w:style w:type="character" w:customStyle="1" w:styleId="901">
    <w:name w:val="书籍标题1"/>
    <w:qFormat/>
    <w:uiPriority w:val="33"/>
    <w:rPr>
      <w:b/>
      <w:bCs/>
      <w:smallCaps/>
      <w:spacing w:val="5"/>
    </w:rPr>
  </w:style>
  <w:style w:type="paragraph" w:styleId="902">
    <w:name w:val="Intense Quote"/>
    <w:basedOn w:val="1"/>
    <w:next w:val="1"/>
    <w:link w:val="903"/>
    <w:qFormat/>
    <w:uiPriority w:val="99"/>
    <w:pPr>
      <w:pBdr>
        <w:bottom w:val="single" w:color="4F81BD" w:sz="4" w:space="4"/>
      </w:pBdr>
      <w:spacing w:before="200" w:after="280"/>
      <w:ind w:left="936" w:right="936"/>
    </w:pPr>
    <w:rPr>
      <w:b/>
      <w:bCs/>
      <w:i/>
      <w:iCs/>
      <w:color w:val="4F81BD"/>
      <w:szCs w:val="24"/>
    </w:rPr>
  </w:style>
  <w:style w:type="character" w:customStyle="1" w:styleId="903">
    <w:name w:val="明显引用 Char1"/>
    <w:link w:val="902"/>
    <w:qFormat/>
    <w:uiPriority w:val="99"/>
    <w:rPr>
      <w:rFonts w:ascii="Times New Roman" w:hAnsi="Times New Roman"/>
      <w:b/>
      <w:bCs/>
      <w:i/>
      <w:iCs/>
      <w:color w:val="4F81BD"/>
      <w:kern w:val="2"/>
      <w:sz w:val="24"/>
      <w:szCs w:val="24"/>
    </w:rPr>
  </w:style>
  <w:style w:type="paragraph" w:styleId="904">
    <w:name w:val="Quote"/>
    <w:basedOn w:val="1"/>
    <w:next w:val="1"/>
    <w:link w:val="905"/>
    <w:qFormat/>
    <w:uiPriority w:val="0"/>
    <w:rPr>
      <w:i/>
      <w:iCs/>
      <w:color w:val="000000"/>
      <w:szCs w:val="24"/>
    </w:rPr>
  </w:style>
  <w:style w:type="character" w:customStyle="1" w:styleId="905">
    <w:name w:val="引用 Char1"/>
    <w:link w:val="904"/>
    <w:qFormat/>
    <w:uiPriority w:val="0"/>
    <w:rPr>
      <w:rFonts w:ascii="Times New Roman" w:hAnsi="Times New Roman"/>
      <w:i/>
      <w:iCs/>
      <w:color w:val="000000"/>
      <w:kern w:val="2"/>
      <w:sz w:val="24"/>
      <w:szCs w:val="24"/>
    </w:rPr>
  </w:style>
  <w:style w:type="character" w:customStyle="1" w:styleId="906">
    <w:name w:val="不明显参考1"/>
    <w:qFormat/>
    <w:uiPriority w:val="31"/>
    <w:rPr>
      <w:smallCaps/>
      <w:color w:val="C0504D"/>
      <w:u w:val="single"/>
    </w:rPr>
  </w:style>
  <w:style w:type="character" w:customStyle="1" w:styleId="907">
    <w:name w:val="不明显强调1"/>
    <w:qFormat/>
    <w:uiPriority w:val="19"/>
    <w:rPr>
      <w:i/>
      <w:iCs/>
      <w:color w:val="808080"/>
    </w:rPr>
  </w:style>
  <w:style w:type="character" w:customStyle="1" w:styleId="908">
    <w:name w:val="Char Char Char3"/>
    <w:link w:val="909"/>
    <w:qFormat/>
    <w:uiPriority w:val="0"/>
    <w:rPr>
      <w:rFonts w:ascii="宋体" w:hAnsi="宋体" w:cs="宋体"/>
      <w:kern w:val="2"/>
      <w:sz w:val="24"/>
      <w:szCs w:val="24"/>
    </w:rPr>
  </w:style>
  <w:style w:type="paragraph" w:customStyle="1" w:styleId="909">
    <w:name w:val="Char Char1"/>
    <w:basedOn w:val="1"/>
    <w:link w:val="908"/>
    <w:qFormat/>
    <w:uiPriority w:val="0"/>
    <w:rPr>
      <w:rFonts w:ascii="宋体" w:hAnsi="宋体" w:cs="宋体"/>
      <w:szCs w:val="24"/>
    </w:rPr>
  </w:style>
  <w:style w:type="character" w:customStyle="1" w:styleId="910">
    <w:name w:val="Char Char51"/>
    <w:qFormat/>
    <w:uiPriority w:val="0"/>
  </w:style>
  <w:style w:type="character" w:customStyle="1" w:styleId="911">
    <w:name w:val="Char2 Char Char11"/>
    <w:qFormat/>
    <w:uiPriority w:val="0"/>
    <w:rPr>
      <w:rFonts w:eastAsia="宋体"/>
      <w:kern w:val="2"/>
      <w:sz w:val="18"/>
      <w:szCs w:val="18"/>
      <w:lang w:val="en-US" w:eastAsia="zh-CN" w:bidi="ar-SA"/>
    </w:rPr>
  </w:style>
  <w:style w:type="character" w:customStyle="1" w:styleId="912">
    <w:name w:val="Char Char161"/>
    <w:qFormat/>
    <w:locked/>
    <w:uiPriority w:val="0"/>
    <w:rPr>
      <w:sz w:val="24"/>
    </w:rPr>
  </w:style>
  <w:style w:type="paragraph" w:customStyle="1" w:styleId="913">
    <w:name w:val="Char Char2 Char Char Char1 Char Char Char1 Char1"/>
    <w:basedOn w:val="1"/>
    <w:semiHidden/>
    <w:qFormat/>
    <w:uiPriority w:val="0"/>
    <w:rPr>
      <w:szCs w:val="24"/>
    </w:rPr>
  </w:style>
  <w:style w:type="paragraph" w:customStyle="1" w:styleId="914">
    <w:name w:val="Char51"/>
    <w:basedOn w:val="19"/>
    <w:qFormat/>
    <w:uiPriority w:val="0"/>
    <w:pPr>
      <w:shd w:val="clear" w:color="auto" w:fill="000080"/>
      <w:adjustRightInd w:val="0"/>
      <w:spacing w:line="436" w:lineRule="exact"/>
      <w:ind w:left="357" w:firstLine="0" w:firstLineChars="0"/>
      <w:jc w:val="left"/>
      <w:outlineLvl w:val="3"/>
    </w:pPr>
    <w:rPr>
      <w:rFonts w:ascii="Tahoma" w:hAnsi="Tahoma"/>
      <w:b/>
      <w:sz w:val="21"/>
      <w:szCs w:val="28"/>
    </w:rPr>
  </w:style>
  <w:style w:type="paragraph" w:customStyle="1" w:styleId="915">
    <w:name w:val="Char Char Char Char Char Char Char2"/>
    <w:basedOn w:val="1"/>
    <w:qFormat/>
    <w:uiPriority w:val="0"/>
    <w:pPr>
      <w:widowControl/>
      <w:spacing w:after="160" w:line="240" w:lineRule="exact"/>
      <w:jc w:val="left"/>
    </w:pPr>
    <w:rPr>
      <w:rFonts w:ascii="Arial" w:hAnsi="Arial" w:eastAsia="Times New Roman" w:cs="Verdana"/>
      <w:b/>
      <w:kern w:val="0"/>
      <w:szCs w:val="24"/>
      <w:lang w:eastAsia="en-US"/>
    </w:rPr>
  </w:style>
  <w:style w:type="paragraph" w:customStyle="1" w:styleId="916">
    <w:name w:val="Char Char Char1 Char1"/>
    <w:basedOn w:val="1"/>
    <w:qFormat/>
    <w:uiPriority w:val="0"/>
    <w:rPr>
      <w:rFonts w:ascii="宋体" w:hAnsi="宋体" w:cs="宋体"/>
      <w:szCs w:val="24"/>
    </w:rPr>
  </w:style>
  <w:style w:type="paragraph" w:customStyle="1" w:styleId="917">
    <w:name w:val="Char Char Char Char Char Char Char Char Char Char Char Char Char Char Char Char Char Char1 Char Char Char Char1"/>
    <w:basedOn w:val="1"/>
    <w:qFormat/>
    <w:uiPriority w:val="0"/>
    <w:rPr>
      <w:szCs w:val="24"/>
    </w:rPr>
  </w:style>
  <w:style w:type="paragraph" w:customStyle="1" w:styleId="918">
    <w:name w:val="Char41"/>
    <w:basedOn w:val="1"/>
    <w:qFormat/>
    <w:uiPriority w:val="0"/>
    <w:rPr>
      <w:rFonts w:ascii="宋体" w:hAnsi="宋体" w:cs="宋体"/>
      <w:szCs w:val="24"/>
    </w:rPr>
  </w:style>
  <w:style w:type="paragraph" w:customStyle="1" w:styleId="919">
    <w:name w:val="Char Char Char Char Char Char1 Char Char Char Char1"/>
    <w:basedOn w:val="1"/>
    <w:qFormat/>
    <w:uiPriority w:val="0"/>
    <w:rPr>
      <w:rFonts w:ascii="宋体" w:hAnsi="宋体" w:cs="宋体"/>
      <w:szCs w:val="24"/>
    </w:rPr>
  </w:style>
  <w:style w:type="paragraph" w:customStyle="1" w:styleId="920">
    <w:name w:val="Char Char Char2 Char Char Char Char Char Char Char Char Char Char Char Char Char Char Char Char Char Char Char Char Char Char Char Char Char1"/>
    <w:basedOn w:val="1"/>
    <w:qFormat/>
    <w:uiPriority w:val="0"/>
    <w:rPr>
      <w:rFonts w:ascii="宋体" w:hAnsi="宋体" w:cs="宋体"/>
      <w:szCs w:val="24"/>
    </w:rPr>
  </w:style>
  <w:style w:type="paragraph" w:customStyle="1" w:styleId="921">
    <w:name w:val="Char1 Char Char Char2"/>
    <w:basedOn w:val="1"/>
    <w:qFormat/>
    <w:uiPriority w:val="0"/>
    <w:rPr>
      <w:rFonts w:ascii="Tahoma" w:hAnsi="Tahoma"/>
      <w:szCs w:val="20"/>
    </w:rPr>
  </w:style>
  <w:style w:type="paragraph" w:customStyle="1" w:styleId="922">
    <w:name w:val="Char Char Char Char Char Char21"/>
    <w:basedOn w:val="1"/>
    <w:qFormat/>
    <w:uiPriority w:val="0"/>
    <w:rPr>
      <w:rFonts w:ascii="宋体" w:hAnsi="宋体" w:cs="宋体"/>
      <w:szCs w:val="24"/>
    </w:rPr>
  </w:style>
  <w:style w:type="paragraph" w:customStyle="1" w:styleId="923">
    <w:name w:val="Char Char Char3 Char1"/>
    <w:basedOn w:val="1"/>
    <w:qFormat/>
    <w:uiPriority w:val="0"/>
    <w:rPr>
      <w:rFonts w:ascii="宋体" w:hAnsi="宋体" w:cs="宋体"/>
      <w:szCs w:val="24"/>
    </w:rPr>
  </w:style>
  <w:style w:type="paragraph" w:customStyle="1" w:styleId="924">
    <w:name w:val="Char Char Char Char Char Char3 Char Char Char Char Char Char Char2"/>
    <w:basedOn w:val="1"/>
    <w:qFormat/>
    <w:uiPriority w:val="0"/>
    <w:rPr>
      <w:rFonts w:ascii="宋体" w:hAnsi="宋体" w:cs="宋体"/>
      <w:szCs w:val="24"/>
    </w:rPr>
  </w:style>
  <w:style w:type="paragraph" w:customStyle="1" w:styleId="925">
    <w:name w:val="Char Char Char1 Char Char Char Char Char Char1"/>
    <w:basedOn w:val="1"/>
    <w:qFormat/>
    <w:uiPriority w:val="0"/>
    <w:rPr>
      <w:szCs w:val="24"/>
    </w:rPr>
  </w:style>
  <w:style w:type="paragraph" w:customStyle="1" w:styleId="926">
    <w:name w:val="Char Char22"/>
    <w:basedOn w:val="1"/>
    <w:qFormat/>
    <w:uiPriority w:val="0"/>
    <w:pPr>
      <w:autoSpaceDE w:val="0"/>
      <w:autoSpaceDN w:val="0"/>
      <w:adjustRightInd w:val="0"/>
      <w:snapToGrid w:val="0"/>
      <w:spacing w:before="50" w:after="50"/>
      <w:ind w:firstLine="560"/>
    </w:pPr>
    <w:rPr>
      <w:rFonts w:eastAsia="仿宋_GB2312"/>
      <w:color w:val="000000"/>
      <w:szCs w:val="24"/>
    </w:rPr>
  </w:style>
  <w:style w:type="paragraph" w:customStyle="1" w:styleId="927">
    <w:name w:val="Char Char Char12"/>
    <w:basedOn w:val="1"/>
    <w:qFormat/>
    <w:uiPriority w:val="0"/>
    <w:rPr>
      <w:rFonts w:ascii="宋体" w:hAnsi="宋体" w:cs="宋体"/>
      <w:szCs w:val="24"/>
    </w:rPr>
  </w:style>
  <w:style w:type="paragraph" w:customStyle="1" w:styleId="928">
    <w:name w:val="正文文本缩进 22"/>
    <w:basedOn w:val="1"/>
    <w:qFormat/>
    <w:uiPriority w:val="0"/>
    <w:pPr>
      <w:adjustRightInd w:val="0"/>
      <w:spacing w:line="312" w:lineRule="auto"/>
      <w:ind w:firstLine="570"/>
      <w:textAlignment w:val="baseline"/>
    </w:pPr>
    <w:rPr>
      <w:sz w:val="28"/>
      <w:szCs w:val="20"/>
    </w:rPr>
  </w:style>
  <w:style w:type="paragraph" w:customStyle="1" w:styleId="929">
    <w:name w:val="正文文本缩进2"/>
    <w:basedOn w:val="1"/>
    <w:qFormat/>
    <w:uiPriority w:val="0"/>
    <w:pPr>
      <w:widowControl/>
      <w:ind w:firstLine="720"/>
    </w:pPr>
    <w:rPr>
      <w:kern w:val="0"/>
      <w:szCs w:val="24"/>
    </w:rPr>
  </w:style>
  <w:style w:type="paragraph" w:customStyle="1" w:styleId="930">
    <w:name w:val="Char Char Char1 Char Char Char Char Char Char Char1"/>
    <w:basedOn w:val="1"/>
    <w:qFormat/>
    <w:uiPriority w:val="0"/>
    <w:rPr>
      <w:szCs w:val="24"/>
    </w:rPr>
  </w:style>
  <w:style w:type="paragraph" w:customStyle="1" w:styleId="931">
    <w:name w:val="Char Char Char Char Char Char3 Char Char Char1"/>
    <w:basedOn w:val="1"/>
    <w:qFormat/>
    <w:uiPriority w:val="0"/>
    <w:rPr>
      <w:rFonts w:ascii="宋体" w:hAnsi="宋体" w:cs="宋体"/>
      <w:szCs w:val="24"/>
    </w:rPr>
  </w:style>
  <w:style w:type="paragraph" w:customStyle="1" w:styleId="932">
    <w:name w:val="日期2"/>
    <w:basedOn w:val="1"/>
    <w:next w:val="1"/>
    <w:qFormat/>
    <w:uiPriority w:val="0"/>
    <w:pPr>
      <w:adjustRightInd w:val="0"/>
      <w:spacing w:after="100" w:afterAutospacing="1"/>
      <w:textAlignment w:val="baseline"/>
    </w:pPr>
    <w:rPr>
      <w:snapToGrid w:val="0"/>
      <w:szCs w:val="20"/>
    </w:rPr>
  </w:style>
  <w:style w:type="paragraph" w:customStyle="1" w:styleId="933">
    <w:name w:val="Char11"/>
    <w:basedOn w:val="1"/>
    <w:qFormat/>
    <w:uiPriority w:val="0"/>
    <w:rPr>
      <w:szCs w:val="24"/>
    </w:rPr>
  </w:style>
  <w:style w:type="paragraph" w:customStyle="1" w:styleId="934">
    <w:name w:val="批注框文本2"/>
    <w:basedOn w:val="1"/>
    <w:qFormat/>
    <w:uiPriority w:val="0"/>
    <w:pPr>
      <w:snapToGrid w:val="0"/>
      <w:spacing w:beforeLines="50"/>
    </w:pPr>
    <w:rPr>
      <w:sz w:val="18"/>
      <w:szCs w:val="18"/>
    </w:rPr>
  </w:style>
  <w:style w:type="paragraph" w:customStyle="1" w:styleId="935">
    <w:name w:val="Char1 Char Char Char Char Char Char1"/>
    <w:basedOn w:val="1"/>
    <w:qFormat/>
    <w:uiPriority w:val="0"/>
    <w:rPr>
      <w:rFonts w:ascii="宋体" w:hAnsi="宋体" w:cs="宋体"/>
      <w:szCs w:val="24"/>
    </w:rPr>
  </w:style>
  <w:style w:type="paragraph" w:customStyle="1" w:styleId="936">
    <w:name w:val="Char Char Char Char Char Char1 Char Char Char2"/>
    <w:basedOn w:val="1"/>
    <w:qFormat/>
    <w:uiPriority w:val="0"/>
    <w:rPr>
      <w:rFonts w:ascii="宋体" w:hAnsi="宋体" w:cs="宋体"/>
      <w:szCs w:val="24"/>
    </w:rPr>
  </w:style>
  <w:style w:type="paragraph" w:customStyle="1" w:styleId="937">
    <w:name w:val="Char Char Char Char Char Char1 Char Char Char1 Char Char Char Char Char Char1"/>
    <w:basedOn w:val="1"/>
    <w:qFormat/>
    <w:uiPriority w:val="0"/>
    <w:rPr>
      <w:rFonts w:ascii="宋体" w:hAnsi="宋体" w:cs="宋体"/>
      <w:szCs w:val="24"/>
    </w:rPr>
  </w:style>
  <w:style w:type="paragraph" w:customStyle="1" w:styleId="938">
    <w:name w:val="Char Char Char Char Char Char Char Char Char2"/>
    <w:basedOn w:val="1"/>
    <w:qFormat/>
    <w:uiPriority w:val="0"/>
    <w:rPr>
      <w:rFonts w:eastAsia="仿宋_GB2312"/>
      <w:sz w:val="32"/>
      <w:szCs w:val="32"/>
    </w:rPr>
  </w:style>
  <w:style w:type="paragraph" w:customStyle="1" w:styleId="939">
    <w:name w:val="Char Char Char Char Char Char1 Char Char Char1 Char1"/>
    <w:basedOn w:val="1"/>
    <w:qFormat/>
    <w:uiPriority w:val="0"/>
    <w:rPr>
      <w:rFonts w:ascii="宋体" w:hAnsi="宋体" w:cs="宋体"/>
      <w:szCs w:val="24"/>
    </w:rPr>
  </w:style>
  <w:style w:type="paragraph" w:customStyle="1" w:styleId="940">
    <w:name w:val="纯文本2"/>
    <w:basedOn w:val="1"/>
    <w:qFormat/>
    <w:uiPriority w:val="0"/>
    <w:rPr>
      <w:rFonts w:ascii="宋体" w:hAnsi="Courier New"/>
      <w:sz w:val="21"/>
      <w:szCs w:val="21"/>
    </w:rPr>
  </w:style>
  <w:style w:type="paragraph" w:customStyle="1" w:styleId="941">
    <w:name w:val="Char Char Char Char Char Char Char Char Char Char Char Char Char Char Char Char Char Char Char Char Char Char Char Char Char Char Char Char Char Char Char Char Char Char Char Char Char Char Char Char Char Char Char Char Char Char1"/>
    <w:basedOn w:val="1"/>
    <w:qFormat/>
    <w:uiPriority w:val="0"/>
    <w:rPr>
      <w:rFonts w:ascii="宋体" w:hAnsi="宋体" w:cs="宋体"/>
      <w:szCs w:val="24"/>
    </w:rPr>
  </w:style>
  <w:style w:type="paragraph" w:customStyle="1" w:styleId="942">
    <w:name w:val="Char Char Char Char Char Char31"/>
    <w:basedOn w:val="1"/>
    <w:qFormat/>
    <w:uiPriority w:val="0"/>
    <w:rPr>
      <w:rFonts w:ascii="宋体" w:hAnsi="宋体" w:cs="宋体"/>
      <w:szCs w:val="24"/>
    </w:rPr>
  </w:style>
  <w:style w:type="paragraph" w:customStyle="1" w:styleId="943">
    <w:name w:val="Char Char Char Char Char Char4"/>
    <w:basedOn w:val="1"/>
    <w:qFormat/>
    <w:uiPriority w:val="0"/>
    <w:rPr>
      <w:rFonts w:ascii="宋体" w:hAnsi="宋体" w:cs="宋体"/>
      <w:szCs w:val="24"/>
    </w:rPr>
  </w:style>
  <w:style w:type="paragraph" w:customStyle="1" w:styleId="944">
    <w:name w:val="Char2 Char Char Char Char Char Char1 Char Char Char Char Char Char2"/>
    <w:basedOn w:val="1"/>
    <w:qFormat/>
    <w:uiPriority w:val="0"/>
    <w:rPr>
      <w:rFonts w:ascii="宋体" w:hAnsi="宋体" w:cs="宋体"/>
      <w:szCs w:val="24"/>
    </w:rPr>
  </w:style>
  <w:style w:type="paragraph" w:customStyle="1" w:styleId="945">
    <w:name w:val="Char Char Char Char Char Char1 Char Char Char1 Char Char Char1"/>
    <w:basedOn w:val="1"/>
    <w:qFormat/>
    <w:uiPriority w:val="0"/>
    <w:rPr>
      <w:rFonts w:ascii="宋体" w:hAnsi="宋体" w:cs="宋体"/>
      <w:szCs w:val="24"/>
    </w:rPr>
  </w:style>
  <w:style w:type="paragraph" w:customStyle="1" w:styleId="946">
    <w:name w:val="Char Char Char1 Char1 Char Char Char1"/>
    <w:basedOn w:val="1"/>
    <w:qFormat/>
    <w:uiPriority w:val="0"/>
    <w:rPr>
      <w:szCs w:val="24"/>
    </w:rPr>
  </w:style>
  <w:style w:type="paragraph" w:customStyle="1" w:styleId="947">
    <w:name w:val="Char Char Char1 Char Char Char Char Char Char Char Char Char Char Char Char Char Char Char Char Char Char Char Char Char Char Char Char Char Char Char Char Char Char Char Char Char Char2"/>
    <w:basedOn w:val="1"/>
    <w:qFormat/>
    <w:uiPriority w:val="0"/>
    <w:pPr>
      <w:snapToGrid w:val="0"/>
      <w:spacing w:line="440" w:lineRule="exact"/>
    </w:pPr>
    <w:rPr>
      <w:szCs w:val="24"/>
    </w:rPr>
  </w:style>
  <w:style w:type="paragraph" w:customStyle="1" w:styleId="948">
    <w:name w:val="Char Char Char Char Char Char1 Char1"/>
    <w:basedOn w:val="1"/>
    <w:qFormat/>
    <w:uiPriority w:val="0"/>
    <w:rPr>
      <w:rFonts w:ascii="宋体" w:hAnsi="宋体" w:cs="宋体"/>
      <w:szCs w:val="24"/>
    </w:rPr>
  </w:style>
  <w:style w:type="paragraph" w:customStyle="1" w:styleId="949">
    <w:name w:val="Char Char Char Char3"/>
    <w:basedOn w:val="1"/>
    <w:qFormat/>
    <w:uiPriority w:val="0"/>
    <w:rPr>
      <w:rFonts w:ascii="宋体" w:cs="宋体"/>
      <w:szCs w:val="21"/>
    </w:rPr>
  </w:style>
  <w:style w:type="paragraph" w:customStyle="1" w:styleId="950">
    <w:name w:val="Char22"/>
    <w:basedOn w:val="1"/>
    <w:qFormat/>
    <w:uiPriority w:val="0"/>
    <w:rPr>
      <w:b/>
      <w:sz w:val="28"/>
      <w:szCs w:val="24"/>
    </w:rPr>
  </w:style>
  <w:style w:type="paragraph" w:customStyle="1" w:styleId="951">
    <w:name w:val="Char Char Char Char Char Char1 Char Char Char1 Char Char Char Char Char Char Char2"/>
    <w:basedOn w:val="1"/>
    <w:qFormat/>
    <w:uiPriority w:val="0"/>
    <w:rPr>
      <w:rFonts w:ascii="宋体" w:hAnsi="宋体" w:cs="宋体"/>
      <w:szCs w:val="24"/>
    </w:rPr>
  </w:style>
  <w:style w:type="paragraph" w:customStyle="1" w:styleId="952">
    <w:name w:val="Char Char Char1 Char Char Char Char Char Char Char Char Char Char1"/>
    <w:basedOn w:val="1"/>
    <w:qFormat/>
    <w:uiPriority w:val="0"/>
    <w:pPr>
      <w:snapToGrid w:val="0"/>
    </w:pPr>
    <w:rPr>
      <w:rFonts w:ascii="Arial" w:hAnsi="Arial" w:cs="Arial"/>
      <w:szCs w:val="21"/>
    </w:rPr>
  </w:style>
  <w:style w:type="paragraph" w:customStyle="1" w:styleId="953">
    <w:name w:val="Char Char Char Char Char Char1 Char Char Char11"/>
    <w:basedOn w:val="1"/>
    <w:qFormat/>
    <w:uiPriority w:val="0"/>
    <w:rPr>
      <w:rFonts w:ascii="宋体" w:hAnsi="宋体" w:cs="宋体"/>
      <w:szCs w:val="24"/>
    </w:rPr>
  </w:style>
  <w:style w:type="paragraph" w:customStyle="1" w:styleId="954">
    <w:name w:val="Char Char Char Char Char Char3 Char Char Char Char Char Char1"/>
    <w:basedOn w:val="1"/>
    <w:qFormat/>
    <w:uiPriority w:val="0"/>
    <w:rPr>
      <w:rFonts w:ascii="宋体" w:hAnsi="宋体" w:cs="宋体"/>
      <w:szCs w:val="24"/>
    </w:rPr>
  </w:style>
  <w:style w:type="paragraph" w:customStyle="1" w:styleId="955">
    <w:name w:val="Char Char Char Char Char Char11"/>
    <w:basedOn w:val="1"/>
    <w:qFormat/>
    <w:uiPriority w:val="0"/>
    <w:rPr>
      <w:rFonts w:ascii="宋体" w:hAnsi="宋体" w:cs="宋体"/>
      <w:szCs w:val="24"/>
    </w:rPr>
  </w:style>
  <w:style w:type="paragraph" w:customStyle="1" w:styleId="956">
    <w:name w:val="Char Char Char Char Char Char Char Char Char Char2"/>
    <w:basedOn w:val="1"/>
    <w:qFormat/>
    <w:uiPriority w:val="0"/>
    <w:rPr>
      <w:rFonts w:ascii="宋体" w:hAnsi="宋体" w:cs="宋体"/>
      <w:szCs w:val="24"/>
    </w:rPr>
  </w:style>
  <w:style w:type="paragraph" w:customStyle="1" w:styleId="957">
    <w:name w:val="_Style 106"/>
    <w:basedOn w:val="19"/>
    <w:qFormat/>
    <w:uiPriority w:val="0"/>
    <w:pPr>
      <w:shd w:val="clear" w:color="auto" w:fill="000080"/>
      <w:adjustRightInd w:val="0"/>
      <w:spacing w:line="436" w:lineRule="exact"/>
      <w:ind w:left="357" w:firstLine="0" w:firstLineChars="0"/>
      <w:jc w:val="left"/>
      <w:outlineLvl w:val="3"/>
    </w:pPr>
    <w:rPr>
      <w:rFonts w:ascii="Tahoma" w:hAnsi="Tahoma"/>
      <w:b/>
      <w:sz w:val="24"/>
      <w:szCs w:val="28"/>
    </w:rPr>
  </w:style>
  <w:style w:type="character" w:customStyle="1" w:styleId="958">
    <w:name w:val="样式 宋体 小四 黑色"/>
    <w:qFormat/>
    <w:uiPriority w:val="0"/>
    <w:rPr>
      <w:rFonts w:ascii="Times New Roman" w:hAnsi="Times New Roman" w:eastAsia="宋体"/>
      <w:color w:val="000000"/>
      <w:sz w:val="24"/>
    </w:rPr>
  </w:style>
  <w:style w:type="paragraph" w:customStyle="1" w:styleId="959">
    <w:name w:val="样式 正文首行缩进 + 首行缩进:  1 字符"/>
    <w:link w:val="960"/>
    <w:qFormat/>
    <w:uiPriority w:val="0"/>
    <w:pPr>
      <w:adjustRightInd w:val="0"/>
      <w:spacing w:line="360" w:lineRule="auto"/>
      <w:ind w:firstLine="100" w:firstLineChars="200"/>
      <w:textAlignment w:val="baseline"/>
    </w:pPr>
    <w:rPr>
      <w:rFonts w:ascii="Times New Roman" w:hAnsi="Times New Roman" w:eastAsia="宋体" w:cs="宋体"/>
      <w:sz w:val="24"/>
      <w:lang w:val="en-US" w:eastAsia="zh-CN" w:bidi="ar-SA"/>
    </w:rPr>
  </w:style>
  <w:style w:type="character" w:customStyle="1" w:styleId="960">
    <w:name w:val="样式 正文首行缩进 + 首行缩进:  1 字符 Char"/>
    <w:link w:val="959"/>
    <w:qFormat/>
    <w:uiPriority w:val="0"/>
    <w:rPr>
      <w:rFonts w:ascii="Times New Roman" w:hAnsi="Times New Roman" w:cs="宋体"/>
      <w:sz w:val="24"/>
    </w:rPr>
  </w:style>
  <w:style w:type="character" w:customStyle="1" w:styleId="961">
    <w:name w:val="正文文本缩进 Char1"/>
    <w:semiHidden/>
    <w:qFormat/>
    <w:uiPriority w:val="99"/>
    <w:rPr>
      <w:rFonts w:ascii="Times New Roman" w:hAnsi="Times New Roman" w:eastAsia="宋体" w:cs="Times New Roman"/>
      <w:sz w:val="24"/>
      <w:szCs w:val="28"/>
    </w:rPr>
  </w:style>
  <w:style w:type="character" w:customStyle="1" w:styleId="962">
    <w:name w:val="正文文本 2 Char1"/>
    <w:semiHidden/>
    <w:qFormat/>
    <w:uiPriority w:val="99"/>
    <w:rPr>
      <w:rFonts w:ascii="Times New Roman" w:hAnsi="Times New Roman" w:eastAsia="宋体" w:cs="Times New Roman"/>
      <w:sz w:val="24"/>
      <w:szCs w:val="28"/>
    </w:rPr>
  </w:style>
  <w:style w:type="paragraph" w:customStyle="1" w:styleId="963">
    <w:name w:val="msonospacing"/>
    <w:qFormat/>
    <w:uiPriority w:val="0"/>
    <w:pPr>
      <w:widowControl w:val="0"/>
      <w:ind w:firstLine="200" w:firstLineChars="200"/>
      <w:jc w:val="both"/>
    </w:pPr>
    <w:rPr>
      <w:rFonts w:ascii="Times New Roman" w:hAnsi="Times New Roman" w:eastAsia="宋体" w:cs="Times New Roman"/>
      <w:kern w:val="2"/>
      <w:sz w:val="24"/>
      <w:szCs w:val="28"/>
      <w:lang w:val="en-US" w:eastAsia="zh-CN" w:bidi="ar-SA"/>
    </w:rPr>
  </w:style>
  <w:style w:type="paragraph" w:customStyle="1" w:styleId="964">
    <w:name w:val="msolistparagraph"/>
    <w:basedOn w:val="1"/>
    <w:qFormat/>
    <w:uiPriority w:val="0"/>
    <w:pPr>
      <w:ind w:firstLine="420"/>
    </w:pPr>
    <w:rPr>
      <w:szCs w:val="28"/>
    </w:rPr>
  </w:style>
  <w:style w:type="paragraph" w:customStyle="1" w:styleId="965">
    <w:name w:val="msoquote"/>
    <w:basedOn w:val="1"/>
    <w:next w:val="1"/>
    <w:qFormat/>
    <w:uiPriority w:val="0"/>
    <w:rPr>
      <w:i/>
      <w:iCs/>
      <w:color w:val="000000"/>
      <w:szCs w:val="28"/>
    </w:rPr>
  </w:style>
  <w:style w:type="paragraph" w:customStyle="1" w:styleId="966">
    <w:name w:val="msotocheading"/>
    <w:basedOn w:val="3"/>
    <w:next w:val="1"/>
    <w:qFormat/>
    <w:uiPriority w:val="0"/>
    <w:pPr>
      <w:widowControl/>
      <w:spacing w:before="480" w:line="276" w:lineRule="auto"/>
      <w:ind w:left="240" w:leftChars="100" w:right="240" w:rightChars="100"/>
      <w:jc w:val="left"/>
      <w:outlineLvl w:val="9"/>
    </w:pPr>
    <w:rPr>
      <w:rFonts w:ascii="Cambria" w:hAnsi="Cambria"/>
      <w:b/>
      <w:color w:val="365F91"/>
      <w:kern w:val="0"/>
      <w:sz w:val="28"/>
      <w:szCs w:val="28"/>
    </w:rPr>
  </w:style>
  <w:style w:type="character" w:customStyle="1" w:styleId="967">
    <w:name w:val="样式2 Char"/>
    <w:link w:val="235"/>
    <w:qFormat/>
    <w:locked/>
    <w:uiPriority w:val="0"/>
    <w:rPr>
      <w:rFonts w:ascii="Times New Roman" w:hAnsi="Times New Roman" w:eastAsia="华文中宋"/>
      <w:b/>
      <w:bCs/>
      <w:kern w:val="2"/>
      <w:sz w:val="28"/>
      <w:szCs w:val="28"/>
    </w:rPr>
  </w:style>
  <w:style w:type="paragraph" w:customStyle="1" w:styleId="968">
    <w:name w:val="正文用"/>
    <w:basedOn w:val="1"/>
    <w:qFormat/>
    <w:uiPriority w:val="0"/>
    <w:rPr>
      <w:rFonts w:ascii="Times" w:hAnsi="Times"/>
      <w:color w:val="000000"/>
      <w:sz w:val="28"/>
      <w:szCs w:val="24"/>
    </w:rPr>
  </w:style>
  <w:style w:type="paragraph" w:customStyle="1" w:styleId="969">
    <w:name w:val="高庆平正文"/>
    <w:basedOn w:val="1"/>
    <w:qFormat/>
    <w:uiPriority w:val="0"/>
    <w:pPr>
      <w:spacing w:line="240" w:lineRule="auto"/>
      <w:ind w:firstLine="567" w:firstLineChars="0"/>
    </w:pPr>
    <w:rPr>
      <w:sz w:val="28"/>
      <w:szCs w:val="24"/>
    </w:rPr>
  </w:style>
  <w:style w:type="character" w:customStyle="1" w:styleId="970">
    <w:name w:val="高庆平标题1. Char"/>
    <w:link w:val="971"/>
    <w:qFormat/>
    <w:locked/>
    <w:uiPriority w:val="0"/>
    <w:rPr>
      <w:rFonts w:eastAsia="楷体_GB2312"/>
      <w:bCs/>
      <w:sz w:val="28"/>
      <w:szCs w:val="28"/>
    </w:rPr>
  </w:style>
  <w:style w:type="paragraph" w:customStyle="1" w:styleId="971">
    <w:name w:val="高庆平标题1."/>
    <w:basedOn w:val="6"/>
    <w:link w:val="970"/>
    <w:qFormat/>
    <w:uiPriority w:val="0"/>
    <w:pPr>
      <w:keepNext w:val="0"/>
      <w:keepLines w:val="0"/>
      <w:spacing w:before="0" w:beforeLines="30" w:after="0" w:line="240" w:lineRule="auto"/>
      <w:ind w:firstLine="567" w:firstLineChars="0"/>
      <w:jc w:val="left"/>
    </w:pPr>
    <w:rPr>
      <w:rFonts w:ascii="Calibri" w:hAnsi="Calibri" w:eastAsia="楷体_GB2312"/>
      <w:b w:val="0"/>
      <w:kern w:val="0"/>
    </w:rPr>
  </w:style>
  <w:style w:type="paragraph" w:customStyle="1" w:styleId="972">
    <w:name w:val="declear"/>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973">
    <w:name w:val="高庆平表"/>
    <w:basedOn w:val="1"/>
    <w:qFormat/>
    <w:uiPriority w:val="0"/>
    <w:pPr>
      <w:snapToGrid w:val="0"/>
      <w:spacing w:line="240" w:lineRule="auto"/>
      <w:ind w:firstLine="0" w:firstLineChars="0"/>
      <w:jc w:val="center"/>
    </w:pPr>
    <w:rPr>
      <w:sz w:val="21"/>
      <w:szCs w:val="24"/>
    </w:rPr>
  </w:style>
  <w:style w:type="paragraph" w:customStyle="1" w:styleId="974">
    <w:name w:val="Char Char Char Char Char Char Char Char"/>
    <w:basedOn w:val="1"/>
    <w:qFormat/>
    <w:uiPriority w:val="0"/>
    <w:pPr>
      <w:spacing w:line="240" w:lineRule="auto"/>
      <w:ind w:firstLine="0" w:firstLineChars="0"/>
    </w:pPr>
    <w:rPr>
      <w:rFonts w:eastAsia="仿宋_GB2312"/>
      <w:sz w:val="32"/>
      <w:szCs w:val="32"/>
    </w:rPr>
  </w:style>
  <w:style w:type="character" w:customStyle="1" w:styleId="975">
    <w:name w:val="title11"/>
    <w:qFormat/>
    <w:uiPriority w:val="0"/>
  </w:style>
  <w:style w:type="paragraph" w:customStyle="1" w:styleId="976">
    <w:name w:val="4 Char"/>
    <w:basedOn w:val="1"/>
    <w:qFormat/>
    <w:uiPriority w:val="0"/>
    <w:pPr>
      <w:spacing w:line="240" w:lineRule="auto"/>
      <w:ind w:firstLine="0" w:firstLineChars="0"/>
    </w:pPr>
    <w:rPr>
      <w:rFonts w:eastAsia="仿宋_GB2312"/>
      <w:sz w:val="32"/>
      <w:szCs w:val="32"/>
    </w:rPr>
  </w:style>
  <w:style w:type="paragraph" w:customStyle="1" w:styleId="977">
    <w:name w:val="Char Char Char1 Char Char Char Char Char Char Char Char Char Char Char Char Char Char Char Char Char Char Char Char Char Char Char Char Char Char Char Char Char Char Char Char Char Char Char Char Char"/>
    <w:basedOn w:val="1"/>
    <w:qFormat/>
    <w:uiPriority w:val="0"/>
    <w:pPr>
      <w:snapToGrid w:val="0"/>
      <w:spacing w:line="440" w:lineRule="exact"/>
    </w:pPr>
    <w:rPr>
      <w:szCs w:val="24"/>
    </w:rPr>
  </w:style>
  <w:style w:type="character" w:customStyle="1" w:styleId="978">
    <w:name w:val="二章正文 Char Char Char Char"/>
    <w:qFormat/>
    <w:uiPriority w:val="0"/>
    <w:rPr>
      <w:color w:val="000000"/>
      <w:spacing w:val="10"/>
      <w:kern w:val="2"/>
      <w:sz w:val="24"/>
      <w:szCs w:val="24"/>
    </w:rPr>
  </w:style>
  <w:style w:type="paragraph" w:customStyle="1" w:styleId="979">
    <w:name w:val="(页眉)天科"/>
    <w:qFormat/>
    <w:uiPriority w:val="0"/>
    <w:rPr>
      <w:rFonts w:ascii="Arial" w:hAnsi="Arial" w:eastAsia="仿宋_GB2312" w:cs="Times New Roman"/>
      <w:sz w:val="21"/>
      <w:lang w:val="en-US" w:eastAsia="zh-CN" w:bidi="ar-SA"/>
    </w:rPr>
  </w:style>
  <w:style w:type="paragraph" w:customStyle="1" w:styleId="980">
    <w:name w:val="wj样式"/>
    <w:basedOn w:val="1"/>
    <w:next w:val="1"/>
    <w:qFormat/>
    <w:uiPriority w:val="0"/>
    <w:pPr>
      <w:widowControl/>
      <w:spacing w:line="240" w:lineRule="auto"/>
      <w:ind w:firstLine="0" w:firstLineChars="0"/>
      <w:jc w:val="left"/>
    </w:pPr>
    <w:rPr>
      <w:rFonts w:ascii="宋体" w:hAnsi="宋体" w:cs="宋体"/>
      <w:spacing w:val="14"/>
      <w:szCs w:val="24"/>
    </w:rPr>
  </w:style>
  <w:style w:type="paragraph" w:customStyle="1" w:styleId="981">
    <w:name w:val="页脚(科宏)"/>
    <w:qFormat/>
    <w:uiPriority w:val="0"/>
    <w:pPr>
      <w:jc w:val="center"/>
    </w:pPr>
    <w:rPr>
      <w:rFonts w:ascii="Arial" w:hAnsi="Arial" w:eastAsia="仿宋_GB2312" w:cs="Times New Roman"/>
      <w:sz w:val="21"/>
      <w:lang w:val="en-US" w:eastAsia="zh-CN" w:bidi="ar-SA"/>
    </w:rPr>
  </w:style>
  <w:style w:type="paragraph" w:customStyle="1" w:styleId="982">
    <w:name w:val="王勇"/>
    <w:basedOn w:val="1"/>
    <w:link w:val="989"/>
    <w:qFormat/>
    <w:uiPriority w:val="0"/>
    <w:pPr>
      <w:widowControl/>
      <w:spacing w:line="240" w:lineRule="auto"/>
      <w:ind w:firstLine="0" w:firstLineChars="0"/>
      <w:jc w:val="left"/>
    </w:pPr>
    <w:rPr>
      <w:rFonts w:ascii="宋体" w:hAnsi="宋体" w:cs="宋体"/>
      <w:szCs w:val="24"/>
    </w:rPr>
  </w:style>
  <w:style w:type="paragraph" w:customStyle="1" w:styleId="983">
    <w:name w:val="表格文字"/>
    <w:basedOn w:val="1"/>
    <w:link w:val="1097"/>
    <w:qFormat/>
    <w:uiPriority w:val="0"/>
    <w:pPr>
      <w:widowControl/>
      <w:adjustRightInd w:val="0"/>
      <w:snapToGrid w:val="0"/>
      <w:spacing w:line="240" w:lineRule="auto"/>
      <w:ind w:firstLine="0" w:firstLineChars="0"/>
      <w:jc w:val="center"/>
    </w:pPr>
    <w:rPr>
      <w:rFonts w:ascii="Arial" w:hAnsi="Arial" w:eastAsia="仿宋_GB2312" w:cs="Arial"/>
      <w:color w:val="000000"/>
      <w:spacing w:val="-20"/>
      <w:szCs w:val="24"/>
    </w:rPr>
  </w:style>
  <w:style w:type="paragraph" w:customStyle="1" w:styleId="984">
    <w:name w:val="w3"/>
    <w:basedOn w:val="1"/>
    <w:qFormat/>
    <w:uiPriority w:val="0"/>
    <w:pPr>
      <w:widowControl/>
      <w:ind w:firstLine="480"/>
      <w:jc w:val="left"/>
    </w:pPr>
    <w:rPr>
      <w:rFonts w:ascii="宋体" w:hAnsi="Calibri" w:eastAsia="仿宋_GB2312" w:cs="宋体"/>
    </w:rPr>
  </w:style>
  <w:style w:type="paragraph" w:customStyle="1" w:styleId="985">
    <w:name w:val="(页眉)科宏"/>
    <w:qFormat/>
    <w:uiPriority w:val="0"/>
    <w:rPr>
      <w:rFonts w:ascii="Arial" w:hAnsi="Arial" w:eastAsia="仿宋_GB2312" w:cs="Times New Roman"/>
      <w:sz w:val="21"/>
      <w:lang w:val="en-US" w:eastAsia="zh-CN" w:bidi="ar-SA"/>
    </w:rPr>
  </w:style>
  <w:style w:type="paragraph" w:customStyle="1" w:styleId="986">
    <w:name w:val="图表名"/>
    <w:basedOn w:val="1"/>
    <w:next w:val="1"/>
    <w:qFormat/>
    <w:uiPriority w:val="0"/>
    <w:pPr>
      <w:widowControl/>
      <w:adjustRightInd w:val="0"/>
      <w:snapToGrid w:val="0"/>
      <w:spacing w:line="240" w:lineRule="auto"/>
      <w:ind w:left="96" w:right="-80" w:rightChars="-38" w:firstLine="48" w:firstLineChars="0"/>
      <w:jc w:val="center"/>
    </w:pPr>
    <w:rPr>
      <w:rFonts w:ascii="Arial" w:hAnsi="Arial" w:eastAsia="仿宋_GB2312" w:cs="Arial"/>
      <w:szCs w:val="24"/>
    </w:rPr>
  </w:style>
  <w:style w:type="paragraph" w:customStyle="1" w:styleId="987">
    <w:name w:val="本册报告名称"/>
    <w:basedOn w:val="1"/>
    <w:qFormat/>
    <w:uiPriority w:val="0"/>
    <w:pPr>
      <w:widowControl/>
      <w:adjustRightInd w:val="0"/>
      <w:snapToGrid w:val="0"/>
      <w:ind w:firstLine="0" w:firstLineChars="0"/>
      <w:jc w:val="center"/>
    </w:pPr>
    <w:rPr>
      <w:rFonts w:ascii="文鼎大标宋简" w:hAnsi="宋体" w:eastAsia="文鼎大标宋简" w:cs="宋体"/>
      <w:kern w:val="0"/>
      <w:sz w:val="48"/>
      <w:szCs w:val="20"/>
    </w:rPr>
  </w:style>
  <w:style w:type="character" w:customStyle="1" w:styleId="988">
    <w:name w:val="样式9 Char"/>
    <w:link w:val="230"/>
    <w:qFormat/>
    <w:uiPriority w:val="0"/>
    <w:rPr>
      <w:rFonts w:ascii="Times New Roman" w:hAnsi="Times New Roman"/>
      <w:kern w:val="2"/>
      <w:sz w:val="24"/>
      <w:szCs w:val="24"/>
    </w:rPr>
  </w:style>
  <w:style w:type="character" w:customStyle="1" w:styleId="989">
    <w:name w:val="王勇 Char"/>
    <w:link w:val="982"/>
    <w:qFormat/>
    <w:uiPriority w:val="0"/>
    <w:rPr>
      <w:rFonts w:ascii="宋体" w:hAnsi="宋体" w:cs="宋体"/>
      <w:kern w:val="2"/>
      <w:sz w:val="24"/>
      <w:szCs w:val="24"/>
    </w:rPr>
  </w:style>
  <w:style w:type="character" w:customStyle="1" w:styleId="990">
    <w:name w:val="目录 2 Char"/>
    <w:link w:val="48"/>
    <w:qFormat/>
    <w:uiPriority w:val="39"/>
    <w:rPr>
      <w:smallCaps/>
      <w:kern w:val="2"/>
    </w:rPr>
  </w:style>
  <w:style w:type="paragraph" w:customStyle="1" w:styleId="991">
    <w:name w:val="y正文"/>
    <w:qFormat/>
    <w:uiPriority w:val="99"/>
    <w:pPr>
      <w:spacing w:line="360" w:lineRule="auto"/>
      <w:ind w:firstLine="480" w:firstLineChars="200"/>
      <w:jc w:val="both"/>
    </w:pPr>
    <w:rPr>
      <w:rFonts w:ascii="Times New Roman" w:hAnsi="Times New Roman" w:eastAsia="宋体" w:cs="Times New Roman"/>
      <w:kern w:val="2"/>
      <w:sz w:val="24"/>
      <w:lang w:val="en-US" w:eastAsia="zh-CN" w:bidi="ar-SA"/>
    </w:rPr>
  </w:style>
  <w:style w:type="character" w:customStyle="1" w:styleId="992">
    <w:name w:val="样式 样式 小四 蓝色 行距: 固定值 30 磅 + 行距: 1.5 倍行距 Char Char"/>
    <w:qFormat/>
    <w:uiPriority w:val="0"/>
    <w:rPr>
      <w:rFonts w:cs="宋体"/>
      <w:color w:val="0000FF"/>
      <w:kern w:val="2"/>
      <w:sz w:val="24"/>
    </w:rPr>
  </w:style>
  <w:style w:type="character" w:customStyle="1" w:styleId="993">
    <w:name w:val="样式4 Char7"/>
    <w:qFormat/>
    <w:uiPriority w:val="0"/>
    <w:rPr>
      <w:rFonts w:ascii="Times New Roman" w:hAnsi="Times New Roman"/>
      <w:kern w:val="2"/>
      <w:sz w:val="24"/>
      <w:szCs w:val="24"/>
    </w:rPr>
  </w:style>
  <w:style w:type="paragraph" w:customStyle="1" w:styleId="994">
    <w:name w:val="四号正文"/>
    <w:basedOn w:val="1"/>
    <w:link w:val="995"/>
    <w:qFormat/>
    <w:uiPriority w:val="0"/>
    <w:pPr>
      <w:spacing w:line="560" w:lineRule="exact"/>
    </w:pPr>
    <w:rPr>
      <w:rFonts w:ascii="仿宋_GB2312" w:hAnsi="仿宋_GB2312"/>
      <w:sz w:val="28"/>
      <w:szCs w:val="20"/>
    </w:rPr>
  </w:style>
  <w:style w:type="character" w:customStyle="1" w:styleId="995">
    <w:name w:val="四号正文 Char"/>
    <w:link w:val="994"/>
    <w:qFormat/>
    <w:uiPriority w:val="0"/>
    <w:rPr>
      <w:rFonts w:ascii="仿宋_GB2312" w:hAnsi="仿宋_GB2312"/>
      <w:kern w:val="2"/>
      <w:sz w:val="28"/>
    </w:rPr>
  </w:style>
  <w:style w:type="character" w:customStyle="1" w:styleId="996">
    <w:name w:val="样式7 Char2"/>
    <w:link w:val="265"/>
    <w:qFormat/>
    <w:uiPriority w:val="0"/>
    <w:rPr>
      <w:rFonts w:ascii="Times New Roman" w:hAnsi="Times New Roman"/>
      <w:kern w:val="2"/>
      <w:sz w:val="21"/>
      <w:szCs w:val="21"/>
    </w:rPr>
  </w:style>
  <w:style w:type="character" w:customStyle="1" w:styleId="997">
    <w:name w:val="样式10 Char3"/>
    <w:qFormat/>
    <w:uiPriority w:val="0"/>
    <w:rPr>
      <w:rFonts w:ascii="Times New Roman" w:hAnsi="Times New Roman" w:eastAsia="华文中宋"/>
      <w:kern w:val="2"/>
      <w:sz w:val="24"/>
      <w:szCs w:val="24"/>
    </w:rPr>
  </w:style>
  <w:style w:type="character" w:customStyle="1" w:styleId="998">
    <w:name w:val="表头 Char1"/>
    <w:qFormat/>
    <w:uiPriority w:val="0"/>
    <w:rPr>
      <w:rFonts w:ascii="宋体" w:hAnsi="宋体" w:eastAsia="宋体"/>
      <w:b/>
      <w:bCs/>
      <w:kern w:val="2"/>
      <w:sz w:val="24"/>
      <w:szCs w:val="21"/>
      <w:lang w:val="en-US" w:eastAsia="zh-CN" w:bidi="ar-SA"/>
    </w:rPr>
  </w:style>
  <w:style w:type="character" w:customStyle="1" w:styleId="999">
    <w:name w:val="样式4 Char3"/>
    <w:qFormat/>
    <w:uiPriority w:val="0"/>
    <w:rPr>
      <w:rFonts w:eastAsia="宋体"/>
      <w:kern w:val="2"/>
      <w:sz w:val="24"/>
      <w:szCs w:val="24"/>
      <w:lang w:val="en-US" w:eastAsia="zh-CN" w:bidi="ar-SA"/>
    </w:rPr>
  </w:style>
  <w:style w:type="paragraph" w:customStyle="1" w:styleId="1000">
    <w:name w:val="已访问的超级链接"/>
    <w:qFormat/>
    <w:uiPriority w:val="99"/>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001">
    <w:name w:val="日期3"/>
    <w:basedOn w:val="1"/>
    <w:next w:val="1"/>
    <w:qFormat/>
    <w:uiPriority w:val="0"/>
    <w:pPr>
      <w:adjustRightInd w:val="0"/>
      <w:spacing w:after="100" w:afterAutospacing="1"/>
      <w:textAlignment w:val="baseline"/>
    </w:pPr>
    <w:rPr>
      <w:snapToGrid w:val="0"/>
      <w:szCs w:val="20"/>
    </w:rPr>
  </w:style>
  <w:style w:type="paragraph" w:customStyle="1" w:styleId="1002">
    <w:name w:val="正文文本缩进 23"/>
    <w:basedOn w:val="1"/>
    <w:qFormat/>
    <w:uiPriority w:val="0"/>
    <w:pPr>
      <w:adjustRightInd w:val="0"/>
      <w:spacing w:line="312" w:lineRule="auto"/>
      <w:ind w:firstLine="570"/>
      <w:textAlignment w:val="baseline"/>
    </w:pPr>
    <w:rPr>
      <w:szCs w:val="20"/>
    </w:rPr>
  </w:style>
  <w:style w:type="paragraph" w:customStyle="1" w:styleId="1003">
    <w:name w:val="1.1"/>
    <w:basedOn w:val="1"/>
    <w:qFormat/>
    <w:uiPriority w:val="0"/>
    <w:pPr>
      <w:spacing w:before="156" w:beforeLines="50" w:after="156" w:afterLines="50" w:line="480" w:lineRule="exact"/>
      <w:jc w:val="left"/>
      <w:outlineLvl w:val="0"/>
    </w:pPr>
    <w:rPr>
      <w:rFonts w:eastAsia="黑体"/>
      <w:b/>
      <w:bCs/>
      <w:sz w:val="30"/>
      <w:szCs w:val="30"/>
    </w:rPr>
  </w:style>
  <w:style w:type="paragraph" w:customStyle="1" w:styleId="1004">
    <w:name w:val="章标题"/>
    <w:next w:val="3"/>
    <w:qFormat/>
    <w:uiPriority w:val="0"/>
    <w:pPr>
      <w:spacing w:before="312" w:beforeLines="100" w:after="312" w:afterLines="100"/>
      <w:jc w:val="center"/>
      <w:outlineLvl w:val="0"/>
    </w:pPr>
    <w:rPr>
      <w:rFonts w:ascii="Times New Roman" w:hAnsi="Times New Roman" w:eastAsia="黑体" w:cs="Times New Roman"/>
      <w:kern w:val="2"/>
      <w:sz w:val="44"/>
      <w:szCs w:val="24"/>
      <w:lang w:val="en-US" w:eastAsia="zh-CN" w:bidi="ar-SA"/>
    </w:rPr>
  </w:style>
  <w:style w:type="paragraph" w:customStyle="1" w:styleId="1005">
    <w:name w:val="正文文本 21"/>
    <w:basedOn w:val="1"/>
    <w:qFormat/>
    <w:uiPriority w:val="0"/>
    <w:pPr>
      <w:adjustRightInd w:val="0"/>
      <w:ind w:firstLine="540"/>
      <w:jc w:val="left"/>
      <w:textAlignment w:val="baseline"/>
    </w:pPr>
    <w:rPr>
      <w:rFonts w:ascii="宋体"/>
      <w:szCs w:val="20"/>
    </w:rPr>
  </w:style>
  <w:style w:type="paragraph" w:customStyle="1" w:styleId="1006">
    <w:name w:val="批注框文本3"/>
    <w:basedOn w:val="1"/>
    <w:qFormat/>
    <w:uiPriority w:val="0"/>
    <w:pPr>
      <w:snapToGrid w:val="0"/>
      <w:spacing w:before="156" w:beforeLines="50"/>
    </w:pPr>
    <w:rPr>
      <w:sz w:val="18"/>
      <w:szCs w:val="18"/>
    </w:rPr>
  </w:style>
  <w:style w:type="paragraph" w:customStyle="1" w:styleId="1007">
    <w:name w:val="1.1.1"/>
    <w:basedOn w:val="1"/>
    <w:qFormat/>
    <w:uiPriority w:val="0"/>
    <w:pPr>
      <w:spacing w:before="156" w:beforeLines="50" w:line="500" w:lineRule="atLeast"/>
    </w:pPr>
    <w:rPr>
      <w:rFonts w:eastAsia="黑体"/>
      <w:b/>
      <w:bCs/>
      <w:szCs w:val="28"/>
    </w:rPr>
  </w:style>
  <w:style w:type="paragraph" w:customStyle="1" w:styleId="1008">
    <w:name w:val="1.1.1.1"/>
    <w:basedOn w:val="1"/>
    <w:qFormat/>
    <w:uiPriority w:val="0"/>
    <w:pPr>
      <w:spacing w:line="500" w:lineRule="atLeast"/>
    </w:pPr>
    <w:rPr>
      <w:b/>
      <w:bCs/>
      <w:szCs w:val="24"/>
    </w:rPr>
  </w:style>
  <w:style w:type="paragraph" w:customStyle="1" w:styleId="1009">
    <w:name w:val="纯文本3"/>
    <w:basedOn w:val="1"/>
    <w:qFormat/>
    <w:uiPriority w:val="0"/>
    <w:pPr>
      <w:adjustRightInd w:val="0"/>
      <w:textAlignment w:val="baseline"/>
    </w:pPr>
    <w:rPr>
      <w:rFonts w:ascii="宋体" w:hAnsi="Courier New"/>
      <w:szCs w:val="20"/>
    </w:rPr>
  </w:style>
  <w:style w:type="paragraph" w:customStyle="1" w:styleId="1010">
    <w:name w:val="表格自用名称"/>
    <w:basedOn w:val="1"/>
    <w:next w:val="1"/>
    <w:qFormat/>
    <w:uiPriority w:val="0"/>
    <w:pPr>
      <w:widowControl/>
      <w:autoSpaceDE w:val="0"/>
      <w:autoSpaceDN w:val="0"/>
      <w:adjustRightInd w:val="0"/>
      <w:snapToGrid w:val="0"/>
      <w:ind w:firstLine="0" w:firstLineChars="0"/>
      <w:jc w:val="center"/>
    </w:pPr>
    <w:rPr>
      <w:rFonts w:ascii="宋体" w:hAnsi="宋体" w:eastAsia="黑体"/>
      <w:snapToGrid w:val="0"/>
      <w:kern w:val="0"/>
      <w:sz w:val="21"/>
      <w:szCs w:val="24"/>
    </w:rPr>
  </w:style>
  <w:style w:type="table" w:customStyle="1" w:styleId="1011">
    <w:name w:val="网格型1"/>
    <w:basedOn w:val="61"/>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2">
    <w:name w:val="样式 样式9 + 黑色 Char"/>
    <w:qFormat/>
    <w:uiPriority w:val="0"/>
    <w:rPr>
      <w:rFonts w:eastAsia="黑体"/>
      <w:color w:val="000000"/>
      <w:kern w:val="2"/>
      <w:sz w:val="28"/>
      <w:szCs w:val="28"/>
      <w:lang w:val="en-US" w:eastAsia="zh-CN" w:bidi="ar-SA"/>
    </w:rPr>
  </w:style>
  <w:style w:type="character" w:customStyle="1" w:styleId="1013">
    <w:name w:val="hei141"/>
    <w:qFormat/>
    <w:uiPriority w:val="0"/>
    <w:rPr>
      <w:color w:val="000000"/>
      <w:sz w:val="21"/>
      <w:szCs w:val="21"/>
    </w:rPr>
  </w:style>
  <w:style w:type="character" w:customStyle="1" w:styleId="1014">
    <w:name w:val="正文文本l Char Char"/>
    <w:link w:val="1015"/>
    <w:qFormat/>
    <w:uiPriority w:val="0"/>
    <w:rPr>
      <w:kern w:val="2"/>
      <w:sz w:val="24"/>
      <w:szCs w:val="21"/>
    </w:rPr>
  </w:style>
  <w:style w:type="paragraph" w:customStyle="1" w:styleId="1015">
    <w:name w:val="正文文本l"/>
    <w:basedOn w:val="1"/>
    <w:link w:val="1014"/>
    <w:qFormat/>
    <w:uiPriority w:val="0"/>
    <w:pPr>
      <w:jc w:val="left"/>
    </w:pPr>
    <w:rPr>
      <w:rFonts w:ascii="Calibri" w:hAnsi="Calibri"/>
      <w:szCs w:val="21"/>
    </w:rPr>
  </w:style>
  <w:style w:type="paragraph" w:customStyle="1" w:styleId="1016">
    <w:name w:val="朗达河正文"/>
    <w:basedOn w:val="1"/>
    <w:qFormat/>
    <w:uiPriority w:val="0"/>
    <w:pPr>
      <w:adjustRightInd w:val="0"/>
      <w:snapToGrid w:val="0"/>
    </w:pPr>
    <w:rPr>
      <w:rFonts w:cs="宋体"/>
      <w:szCs w:val="20"/>
    </w:rPr>
  </w:style>
  <w:style w:type="character" w:customStyle="1" w:styleId="1017">
    <w:name w:val="表头l Char Char"/>
    <w:link w:val="1018"/>
    <w:qFormat/>
    <w:uiPriority w:val="0"/>
    <w:rPr>
      <w:rFonts w:eastAsia="黑体"/>
      <w:b/>
      <w:kern w:val="2"/>
      <w:sz w:val="21"/>
      <w:szCs w:val="21"/>
    </w:rPr>
  </w:style>
  <w:style w:type="paragraph" w:customStyle="1" w:styleId="1018">
    <w:name w:val="表头l"/>
    <w:basedOn w:val="1"/>
    <w:link w:val="1017"/>
    <w:qFormat/>
    <w:uiPriority w:val="0"/>
    <w:pPr>
      <w:ind w:firstLine="0" w:firstLineChars="0"/>
      <w:jc w:val="center"/>
    </w:pPr>
    <w:rPr>
      <w:rFonts w:ascii="Calibri" w:hAnsi="Calibri" w:eastAsia="黑体"/>
      <w:b/>
      <w:sz w:val="21"/>
      <w:szCs w:val="21"/>
    </w:rPr>
  </w:style>
  <w:style w:type="paragraph" w:customStyle="1" w:styleId="1019">
    <w:name w:val="1正文文本"/>
    <w:basedOn w:val="15"/>
    <w:link w:val="1020"/>
    <w:qFormat/>
    <w:uiPriority w:val="0"/>
    <w:pPr>
      <w:spacing w:line="360" w:lineRule="auto"/>
      <w:ind w:firstLine="200"/>
      <w:jc w:val="left"/>
    </w:pPr>
    <w:rPr>
      <w:szCs w:val="20"/>
      <w:lang w:val="zh-CN"/>
    </w:rPr>
  </w:style>
  <w:style w:type="character" w:customStyle="1" w:styleId="1020">
    <w:name w:val="1正文文本 Char"/>
    <w:link w:val="1019"/>
    <w:qFormat/>
    <w:uiPriority w:val="0"/>
    <w:rPr>
      <w:rFonts w:ascii="Times New Roman" w:hAnsi="Times New Roman"/>
      <w:kern w:val="2"/>
      <w:sz w:val="24"/>
      <w:lang w:val="zh-CN" w:eastAsia="zh-CN"/>
    </w:rPr>
  </w:style>
  <w:style w:type="paragraph" w:customStyle="1" w:styleId="1021">
    <w:name w:val="00表格"/>
    <w:basedOn w:val="1"/>
    <w:qFormat/>
    <w:uiPriority w:val="0"/>
    <w:pPr>
      <w:adjustRightInd w:val="0"/>
      <w:snapToGrid w:val="0"/>
      <w:spacing w:line="240" w:lineRule="auto"/>
      <w:ind w:firstLine="0" w:firstLineChars="0"/>
      <w:jc w:val="center"/>
    </w:pPr>
    <w:rPr>
      <w:sz w:val="21"/>
    </w:rPr>
  </w:style>
  <w:style w:type="paragraph" w:customStyle="1" w:styleId="1022">
    <w:name w:val="00表头"/>
    <w:basedOn w:val="1021"/>
    <w:qFormat/>
    <w:uiPriority w:val="0"/>
    <w:pPr>
      <w:jc w:val="left"/>
    </w:pPr>
    <w:rPr>
      <w:rFonts w:eastAsia="黑体"/>
    </w:rPr>
  </w:style>
  <w:style w:type="character" w:customStyle="1" w:styleId="1023">
    <w:name w:val="首行缩进:  2 字符（清和） Char"/>
    <w:link w:val="1024"/>
    <w:qFormat/>
    <w:uiPriority w:val="0"/>
    <w:rPr>
      <w:rFonts w:cs="宋体"/>
      <w:sz w:val="24"/>
    </w:rPr>
  </w:style>
  <w:style w:type="paragraph" w:customStyle="1" w:styleId="1024">
    <w:name w:val="首行缩进:  2 字符（清和）"/>
    <w:basedOn w:val="1"/>
    <w:link w:val="1023"/>
    <w:qFormat/>
    <w:uiPriority w:val="0"/>
    <w:pPr>
      <w:spacing w:line="500" w:lineRule="exact"/>
      <w:ind w:firstLine="480"/>
    </w:pPr>
    <w:rPr>
      <w:rFonts w:ascii="Calibri" w:hAnsi="Calibri" w:cs="宋体"/>
      <w:kern w:val="0"/>
      <w:szCs w:val="20"/>
    </w:rPr>
  </w:style>
  <w:style w:type="table" w:customStyle="1" w:styleId="1025">
    <w:name w:val="表格内"/>
    <w:basedOn w:val="61"/>
    <w:qFormat/>
    <w:uiPriority w:val="99"/>
    <w:pPr>
      <w:adjustRightInd w:val="0"/>
      <w:snapToGrid w:val="0"/>
      <w:jc w:val="center"/>
    </w:pPr>
    <w:rPr>
      <w:rFonts w:ascii="Times New Roman" w:hAnsi="Times New Roman"/>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paragraph" w:customStyle="1" w:styleId="1026">
    <w:name w:val="表格23"/>
    <w:basedOn w:val="155"/>
    <w:qFormat/>
    <w:uiPriority w:val="0"/>
    <w:pPr>
      <w:overflowPunct/>
      <w:spacing w:line="240" w:lineRule="auto"/>
    </w:pPr>
    <w:rPr>
      <w:rFonts w:ascii="Times New Roman" w:eastAsia="黑体"/>
      <w:snapToGrid/>
      <w:color w:val="auto"/>
      <w:kern w:val="2"/>
      <w:sz w:val="24"/>
      <w:szCs w:val="22"/>
    </w:rPr>
  </w:style>
  <w:style w:type="paragraph" w:customStyle="1" w:styleId="1027">
    <w:name w:val="00表格标题"/>
    <w:basedOn w:val="1"/>
    <w:link w:val="1028"/>
    <w:qFormat/>
    <w:uiPriority w:val="0"/>
    <w:pPr>
      <w:adjustRightInd w:val="0"/>
      <w:snapToGrid w:val="0"/>
      <w:spacing w:line="240" w:lineRule="auto"/>
      <w:ind w:firstLine="0" w:firstLineChars="0"/>
      <w:jc w:val="center"/>
    </w:pPr>
    <w:rPr>
      <w:rFonts w:eastAsia="黑体"/>
    </w:rPr>
  </w:style>
  <w:style w:type="character" w:customStyle="1" w:styleId="1028">
    <w:name w:val="00表格标题 Char"/>
    <w:link w:val="1027"/>
    <w:qFormat/>
    <w:uiPriority w:val="0"/>
    <w:rPr>
      <w:rFonts w:ascii="Times New Roman" w:hAnsi="Times New Roman" w:eastAsia="黑体"/>
      <w:kern w:val="2"/>
      <w:sz w:val="24"/>
      <w:szCs w:val="22"/>
    </w:rPr>
  </w:style>
  <w:style w:type="paragraph" w:customStyle="1" w:styleId="1029">
    <w:name w:val="00式中"/>
    <w:basedOn w:val="1"/>
    <w:qFormat/>
    <w:uiPriority w:val="0"/>
    <w:pPr>
      <w:adjustRightInd w:val="0"/>
      <w:snapToGrid w:val="0"/>
      <w:ind w:firstLine="500" w:firstLineChars="500"/>
    </w:pPr>
  </w:style>
  <w:style w:type="paragraph" w:customStyle="1" w:styleId="1030">
    <w:name w:val="xl155"/>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1031">
    <w:name w:val="xl156"/>
    <w:basedOn w:val="1"/>
    <w:qFormat/>
    <w:uiPriority w:val="0"/>
    <w:pPr>
      <w:widowControl/>
      <w:pBdr>
        <w:top w:val="single" w:color="auto" w:sz="4" w:space="0"/>
        <w:left w:val="single" w:color="auto" w:sz="4" w:space="0"/>
        <w:bottom w:val="single" w:color="auto" w:sz="8" w:space="0"/>
      </w:pBdr>
      <w:spacing w:before="100" w:beforeAutospacing="1" w:after="100" w:afterAutospacing="1" w:line="240" w:lineRule="auto"/>
      <w:ind w:firstLine="0" w:firstLineChars="0"/>
      <w:jc w:val="left"/>
    </w:pPr>
    <w:rPr>
      <w:kern w:val="0"/>
      <w:sz w:val="20"/>
      <w:szCs w:val="20"/>
    </w:rPr>
  </w:style>
  <w:style w:type="paragraph" w:customStyle="1" w:styleId="1032">
    <w:name w:val="xl157"/>
    <w:basedOn w:val="1"/>
    <w:qFormat/>
    <w:uiPriority w:val="0"/>
    <w:pPr>
      <w:widowControl/>
      <w:pBdr>
        <w:left w:val="single" w:color="auto" w:sz="8" w:space="0"/>
        <w:bottom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1033">
    <w:name w:val="xl158"/>
    <w:basedOn w:val="1"/>
    <w:qFormat/>
    <w:uiPriority w:val="0"/>
    <w:pPr>
      <w:widowControl/>
      <w:pBdr>
        <w:bottom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1034">
    <w:name w:val="xl159"/>
    <w:basedOn w:val="1"/>
    <w:qFormat/>
    <w:uiPriority w:val="0"/>
    <w:pPr>
      <w:widowControl/>
      <w:pBdr>
        <w:bottom w:val="single" w:color="auto" w:sz="4" w:space="0"/>
        <w:right w:val="single" w:color="auto" w:sz="8" w:space="0"/>
      </w:pBdr>
      <w:spacing w:before="100" w:beforeAutospacing="1" w:after="100" w:afterAutospacing="1" w:line="240" w:lineRule="auto"/>
      <w:ind w:firstLine="0" w:firstLineChars="0"/>
      <w:jc w:val="left"/>
    </w:pPr>
    <w:rPr>
      <w:kern w:val="0"/>
      <w:sz w:val="20"/>
      <w:szCs w:val="20"/>
    </w:rPr>
  </w:style>
  <w:style w:type="paragraph" w:customStyle="1" w:styleId="1035">
    <w:name w:val="xl160"/>
    <w:basedOn w:val="1"/>
    <w:qFormat/>
    <w:uiPriority w:val="0"/>
    <w:pPr>
      <w:widowControl/>
      <w:pBdr>
        <w:left w:val="single" w:color="auto" w:sz="8" w:space="0"/>
        <w:bottom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1036">
    <w:name w:val="xl161"/>
    <w:basedOn w:val="1"/>
    <w:qFormat/>
    <w:uiPriority w:val="0"/>
    <w:pPr>
      <w:widowControl/>
      <w:pBdr>
        <w:bottom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1037">
    <w:name w:val="xl162"/>
    <w:basedOn w:val="1"/>
    <w:qFormat/>
    <w:uiPriority w:val="0"/>
    <w:pPr>
      <w:widowControl/>
      <w:pBdr>
        <w:bottom w:val="single" w:color="auto" w:sz="4" w:space="0"/>
        <w:right w:val="single" w:color="auto" w:sz="8" w:space="0"/>
      </w:pBdr>
      <w:spacing w:before="100" w:beforeAutospacing="1" w:after="100" w:afterAutospacing="1" w:line="240" w:lineRule="auto"/>
      <w:ind w:firstLine="0" w:firstLineChars="0"/>
      <w:jc w:val="left"/>
    </w:pPr>
    <w:rPr>
      <w:kern w:val="0"/>
      <w:sz w:val="20"/>
      <w:szCs w:val="20"/>
    </w:rPr>
  </w:style>
  <w:style w:type="paragraph" w:customStyle="1" w:styleId="1038">
    <w:name w:val="xl163"/>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1039">
    <w:name w:val="xl1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1040">
    <w:name w:val="xl16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1041">
    <w:name w:val="xl166"/>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ind w:firstLine="0" w:firstLineChars="0"/>
      <w:jc w:val="left"/>
    </w:pPr>
    <w:rPr>
      <w:kern w:val="0"/>
      <w:sz w:val="20"/>
      <w:szCs w:val="20"/>
    </w:rPr>
  </w:style>
  <w:style w:type="paragraph" w:customStyle="1" w:styleId="1042">
    <w:name w:val="xl167"/>
    <w:basedOn w:val="1"/>
    <w:qFormat/>
    <w:uiPriority w:val="0"/>
    <w:pPr>
      <w:widowControl/>
      <w:pBdr>
        <w:top w:val="single" w:color="auto" w:sz="12" w:space="0"/>
        <w:bottom w:val="single" w:color="auto" w:sz="4" w:space="0"/>
        <w:right w:val="single" w:color="auto" w:sz="4" w:space="0"/>
      </w:pBdr>
      <w:spacing w:before="100" w:beforeAutospacing="1" w:after="100" w:afterAutospacing="1" w:line="240" w:lineRule="auto"/>
      <w:ind w:firstLine="0" w:firstLineChars="0"/>
      <w:jc w:val="center"/>
    </w:pPr>
    <w:rPr>
      <w:kern w:val="0"/>
      <w:szCs w:val="24"/>
    </w:rPr>
  </w:style>
  <w:style w:type="paragraph" w:customStyle="1" w:styleId="1043">
    <w:name w:val="xl168"/>
    <w:basedOn w:val="1"/>
    <w:qFormat/>
    <w:uiPriority w:val="0"/>
    <w:pPr>
      <w:widowControl/>
      <w:pBdr>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color w:val="000000"/>
      <w:kern w:val="0"/>
      <w:sz w:val="18"/>
      <w:szCs w:val="18"/>
    </w:rPr>
  </w:style>
  <w:style w:type="paragraph" w:customStyle="1" w:styleId="1044">
    <w:name w:val="xl169"/>
    <w:basedOn w:val="1"/>
    <w:qFormat/>
    <w:uiPriority w:val="0"/>
    <w:pPr>
      <w:widowControl/>
      <w:pBdr>
        <w:left w:val="single" w:color="auto" w:sz="8" w:space="0"/>
        <w:bottom w:val="single" w:color="auto" w:sz="8" w:space="0"/>
      </w:pBdr>
      <w:spacing w:before="100" w:beforeAutospacing="1" w:after="100" w:afterAutospacing="1" w:line="240" w:lineRule="auto"/>
      <w:ind w:firstLine="0" w:firstLineChars="0"/>
      <w:jc w:val="center"/>
      <w:textAlignment w:val="center"/>
    </w:pPr>
    <w:rPr>
      <w:rFonts w:ascii="仿宋_GB2312" w:hAnsi="宋体" w:eastAsia="仿宋_GB2312" w:cs="宋体"/>
      <w:color w:val="000000"/>
      <w:kern w:val="0"/>
      <w:sz w:val="18"/>
      <w:szCs w:val="18"/>
    </w:rPr>
  </w:style>
  <w:style w:type="paragraph" w:customStyle="1" w:styleId="1045">
    <w:name w:val="xl170"/>
    <w:basedOn w:val="1"/>
    <w:qFormat/>
    <w:uiPriority w:val="0"/>
    <w:pPr>
      <w:widowControl/>
      <w:pBdr>
        <w:bottom w:val="single" w:color="auto" w:sz="8" w:space="0"/>
      </w:pBdr>
      <w:spacing w:before="100" w:beforeAutospacing="1" w:after="100" w:afterAutospacing="1" w:line="240" w:lineRule="auto"/>
      <w:ind w:firstLine="0" w:firstLineChars="0"/>
      <w:jc w:val="center"/>
      <w:textAlignment w:val="center"/>
    </w:pPr>
    <w:rPr>
      <w:rFonts w:ascii="仿宋_GB2312" w:hAnsi="宋体" w:eastAsia="仿宋_GB2312" w:cs="宋体"/>
      <w:color w:val="000000"/>
      <w:kern w:val="0"/>
      <w:sz w:val="18"/>
      <w:szCs w:val="18"/>
    </w:rPr>
  </w:style>
  <w:style w:type="paragraph" w:customStyle="1" w:styleId="1046">
    <w:name w:val="xl171"/>
    <w:basedOn w:val="1"/>
    <w:qFormat/>
    <w:uiPriority w:val="0"/>
    <w:pPr>
      <w:widowControl/>
      <w:pBdr>
        <w:bottom w:val="single" w:color="auto" w:sz="8"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color w:val="000000"/>
      <w:kern w:val="0"/>
      <w:sz w:val="18"/>
      <w:szCs w:val="18"/>
    </w:rPr>
  </w:style>
  <w:style w:type="paragraph" w:customStyle="1" w:styleId="1047">
    <w:name w:val="xl172"/>
    <w:basedOn w:val="1"/>
    <w:qFormat/>
    <w:uiPriority w:val="0"/>
    <w:pPr>
      <w:widowControl/>
      <w:pBdr>
        <w:top w:val="single" w:color="auto" w:sz="4" w:space="0"/>
        <w:left w:val="single" w:color="auto" w:sz="8" w:space="0"/>
        <w:bottom w:val="single" w:color="auto" w:sz="4" w:space="0"/>
      </w:pBdr>
      <w:spacing w:before="100" w:beforeAutospacing="1" w:after="100" w:afterAutospacing="1" w:line="240" w:lineRule="auto"/>
      <w:ind w:firstLine="0" w:firstLineChars="0"/>
      <w:jc w:val="center"/>
      <w:textAlignment w:val="center"/>
    </w:pPr>
    <w:rPr>
      <w:color w:val="000000"/>
      <w:kern w:val="0"/>
      <w:sz w:val="18"/>
      <w:szCs w:val="18"/>
    </w:rPr>
  </w:style>
  <w:style w:type="paragraph" w:customStyle="1" w:styleId="1048">
    <w:name w:val="xl173"/>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textAlignment w:val="center"/>
    </w:pPr>
    <w:rPr>
      <w:color w:val="000000"/>
      <w:kern w:val="0"/>
      <w:sz w:val="18"/>
      <w:szCs w:val="18"/>
    </w:rPr>
  </w:style>
  <w:style w:type="paragraph" w:customStyle="1" w:styleId="1049">
    <w:name w:val="xl174"/>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color w:val="000000"/>
      <w:kern w:val="0"/>
      <w:sz w:val="18"/>
      <w:szCs w:val="18"/>
    </w:rPr>
  </w:style>
  <w:style w:type="paragraph" w:customStyle="1" w:styleId="1050">
    <w:name w:val="xl175"/>
    <w:basedOn w:val="1"/>
    <w:qFormat/>
    <w:uiPriority w:val="0"/>
    <w:pPr>
      <w:widowControl/>
      <w:pBdr>
        <w:top w:val="single" w:color="auto" w:sz="4" w:space="0"/>
        <w:left w:val="single" w:color="auto" w:sz="8" w:space="0"/>
        <w:bottom w:val="single" w:color="auto" w:sz="4" w:space="0"/>
      </w:pBdr>
      <w:spacing w:before="100" w:beforeAutospacing="1" w:after="100" w:afterAutospacing="1" w:line="240" w:lineRule="auto"/>
      <w:ind w:firstLine="0" w:firstLineChars="0"/>
      <w:jc w:val="center"/>
      <w:textAlignment w:val="center"/>
    </w:pPr>
    <w:rPr>
      <w:kern w:val="0"/>
      <w:sz w:val="18"/>
      <w:szCs w:val="18"/>
    </w:rPr>
  </w:style>
  <w:style w:type="paragraph" w:customStyle="1" w:styleId="1051">
    <w:name w:val="xl17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sz w:val="18"/>
      <w:szCs w:val="18"/>
    </w:rPr>
  </w:style>
  <w:style w:type="paragraph" w:customStyle="1" w:styleId="1052">
    <w:name w:val="xl177"/>
    <w:basedOn w:val="1"/>
    <w:qFormat/>
    <w:uiPriority w:val="0"/>
    <w:pPr>
      <w:widowControl/>
      <w:pBdr>
        <w:top w:val="single" w:color="auto" w:sz="4" w:space="0"/>
        <w:left w:val="single" w:color="auto" w:sz="8" w:space="0"/>
        <w:bottom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color w:val="000000"/>
      <w:kern w:val="0"/>
      <w:sz w:val="18"/>
      <w:szCs w:val="18"/>
    </w:rPr>
  </w:style>
  <w:style w:type="paragraph" w:customStyle="1" w:styleId="1053">
    <w:name w:val="xl178"/>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color w:val="000000"/>
      <w:kern w:val="0"/>
      <w:sz w:val="18"/>
      <w:szCs w:val="18"/>
    </w:rPr>
  </w:style>
  <w:style w:type="paragraph" w:customStyle="1" w:styleId="1054">
    <w:name w:val="xl179"/>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color w:val="000000"/>
      <w:kern w:val="0"/>
      <w:sz w:val="18"/>
      <w:szCs w:val="18"/>
    </w:rPr>
  </w:style>
  <w:style w:type="paragraph" w:customStyle="1" w:styleId="1055">
    <w:name w:val="xl180"/>
    <w:basedOn w:val="1"/>
    <w:qFormat/>
    <w:uiPriority w:val="0"/>
    <w:pPr>
      <w:widowControl/>
      <w:pBdr>
        <w:top w:val="single" w:color="auto" w:sz="8"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56">
    <w:name w:val="xl181"/>
    <w:basedOn w:val="1"/>
    <w:qFormat/>
    <w:uiPriority w:val="0"/>
    <w:pPr>
      <w:widowControl/>
      <w:pBdr>
        <w:top w:val="single" w:color="auto" w:sz="8" w:space="0"/>
        <w:bottom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57">
    <w:name w:val="xl182"/>
    <w:basedOn w:val="1"/>
    <w:qFormat/>
    <w:uiPriority w:val="0"/>
    <w:pPr>
      <w:widowControl/>
      <w:pBdr>
        <w:top w:val="single" w:color="auto" w:sz="8"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58">
    <w:name w:val="xl183"/>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59">
    <w:name w:val="xl184"/>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60">
    <w:name w:val="xl18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61">
    <w:name w:val="xl1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62">
    <w:name w:val="xl187"/>
    <w:basedOn w:val="1"/>
    <w:qFormat/>
    <w:uiPriority w:val="0"/>
    <w:pPr>
      <w:widowControl/>
      <w:pBdr>
        <w:bottom w:val="single" w:color="auto" w:sz="8" w:space="0"/>
      </w:pBdr>
      <w:spacing w:before="100" w:beforeAutospacing="1" w:after="100" w:afterAutospacing="1" w:line="240" w:lineRule="auto"/>
      <w:ind w:firstLine="0" w:firstLineChars="0"/>
      <w:jc w:val="right"/>
      <w:textAlignment w:val="center"/>
    </w:pPr>
    <w:rPr>
      <w:rFonts w:ascii="仿宋_GB2312" w:hAnsi="宋体" w:eastAsia="仿宋_GB2312" w:cs="宋体"/>
      <w:b/>
      <w:bCs/>
      <w:kern w:val="0"/>
      <w:szCs w:val="24"/>
    </w:rPr>
  </w:style>
  <w:style w:type="paragraph" w:customStyle="1" w:styleId="1063">
    <w:name w:val="xl188"/>
    <w:basedOn w:val="1"/>
    <w:qFormat/>
    <w:uiPriority w:val="0"/>
    <w:pPr>
      <w:widowControl/>
      <w:pBdr>
        <w:top w:val="single" w:color="auto" w:sz="8" w:space="0"/>
        <w:left w:val="single" w:color="auto" w:sz="8"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64">
    <w:name w:val="xl189"/>
    <w:basedOn w:val="1"/>
    <w:qFormat/>
    <w:uiPriority w:val="0"/>
    <w:pPr>
      <w:widowControl/>
      <w:pBdr>
        <w:top w:val="single" w:color="auto" w:sz="8"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65">
    <w:name w:val="xl190"/>
    <w:basedOn w:val="1"/>
    <w:qFormat/>
    <w:uiPriority w:val="0"/>
    <w:pPr>
      <w:widowControl/>
      <w:pBdr>
        <w:top w:val="single" w:color="auto" w:sz="8"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66">
    <w:name w:val="xl191"/>
    <w:basedOn w:val="1"/>
    <w:qFormat/>
    <w:uiPriority w:val="0"/>
    <w:pPr>
      <w:widowControl/>
      <w:pBdr>
        <w:left w:val="single" w:color="auto" w:sz="8"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67">
    <w:name w:val="xl192"/>
    <w:basedOn w:val="1"/>
    <w:qFormat/>
    <w:uiPriority w:val="0"/>
    <w:pPr>
      <w:widowControl/>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68">
    <w:name w:val="xl193"/>
    <w:basedOn w:val="1"/>
    <w:qFormat/>
    <w:uiPriority w:val="0"/>
    <w:pPr>
      <w:widowControl/>
      <w:pBdr>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69">
    <w:name w:val="xl194"/>
    <w:basedOn w:val="1"/>
    <w:qFormat/>
    <w:uiPriority w:val="0"/>
    <w:pPr>
      <w:widowControl/>
      <w:pBdr>
        <w:left w:val="single" w:color="auto" w:sz="8" w:space="0"/>
        <w:bottom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70">
    <w:name w:val="xl195"/>
    <w:basedOn w:val="1"/>
    <w:qFormat/>
    <w:uiPriority w:val="0"/>
    <w:pPr>
      <w:widowControl/>
      <w:pBdr>
        <w:bottom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71">
    <w:name w:val="xl196"/>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72">
    <w:name w:val="xl19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73">
    <w:name w:val="xl198"/>
    <w:basedOn w:val="1"/>
    <w:qFormat/>
    <w:uiPriority w:val="0"/>
    <w:pPr>
      <w:widowControl/>
      <w:pBdr>
        <w:left w:val="single" w:color="auto" w:sz="4" w:space="0"/>
        <w:right w:val="single" w:color="auto" w:sz="8"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74">
    <w:name w:val="xl19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75">
    <w:name w:val="xl200"/>
    <w:basedOn w:val="1"/>
    <w:qFormat/>
    <w:uiPriority w:val="0"/>
    <w:pPr>
      <w:widowControl/>
      <w:pBdr>
        <w:top w:val="single" w:color="auto" w:sz="4" w:space="0"/>
        <w:bottom w:val="single" w:color="auto" w:sz="8" w:space="0"/>
        <w:right w:val="single" w:color="auto" w:sz="4" w:space="0"/>
      </w:pBdr>
      <w:spacing w:before="100" w:beforeAutospacing="1" w:after="100" w:afterAutospacing="1" w:line="240" w:lineRule="auto"/>
      <w:ind w:firstLine="0" w:firstLineChars="0"/>
      <w:jc w:val="center"/>
    </w:pPr>
    <w:rPr>
      <w:kern w:val="0"/>
      <w:sz w:val="18"/>
      <w:szCs w:val="18"/>
    </w:rPr>
  </w:style>
  <w:style w:type="paragraph" w:customStyle="1" w:styleId="1076">
    <w:name w:val="xl20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77">
    <w:name w:val="xl202"/>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78">
    <w:name w:val="xl203"/>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79">
    <w:name w:val="xl204"/>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80">
    <w:name w:val="xl2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81">
    <w:name w:val="xl20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82">
    <w:name w:val="xl207"/>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83">
    <w:name w:val="xl208"/>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color w:val="0D0D0D"/>
      <w:kern w:val="0"/>
      <w:sz w:val="18"/>
      <w:szCs w:val="18"/>
    </w:rPr>
  </w:style>
  <w:style w:type="paragraph" w:customStyle="1" w:styleId="1084">
    <w:name w:val="xl209"/>
    <w:basedOn w:val="1"/>
    <w:qFormat/>
    <w:uiPriority w:val="0"/>
    <w:pPr>
      <w:widowControl/>
      <w:pBdr>
        <w:top w:val="single" w:color="auto" w:sz="4" w:space="0"/>
        <w:left w:val="single" w:color="auto" w:sz="4" w:space="0"/>
        <w:bottom w:val="single" w:color="auto" w:sz="8" w:space="0"/>
      </w:pBdr>
      <w:spacing w:before="100" w:beforeAutospacing="1" w:after="100" w:afterAutospacing="1" w:line="240" w:lineRule="auto"/>
      <w:ind w:firstLine="0" w:firstLineChars="0"/>
      <w:jc w:val="center"/>
    </w:pPr>
    <w:rPr>
      <w:kern w:val="0"/>
      <w:sz w:val="18"/>
      <w:szCs w:val="18"/>
    </w:rPr>
  </w:style>
  <w:style w:type="paragraph" w:customStyle="1" w:styleId="1085">
    <w:name w:val="xl210"/>
    <w:basedOn w:val="1"/>
    <w:qFormat/>
    <w:uiPriority w:val="0"/>
    <w:pPr>
      <w:widowControl/>
      <w:pBdr>
        <w:top w:val="single" w:color="auto" w:sz="4" w:space="0"/>
        <w:bottom w:val="single" w:color="auto" w:sz="8" w:space="0"/>
        <w:right w:val="single" w:color="auto" w:sz="4" w:space="0"/>
      </w:pBdr>
      <w:spacing w:before="100" w:beforeAutospacing="1" w:after="100" w:afterAutospacing="1" w:line="240" w:lineRule="auto"/>
      <w:ind w:firstLine="0" w:firstLineChars="0"/>
      <w:jc w:val="center"/>
    </w:pPr>
    <w:rPr>
      <w:kern w:val="0"/>
      <w:sz w:val="18"/>
      <w:szCs w:val="18"/>
    </w:rPr>
  </w:style>
  <w:style w:type="paragraph" w:customStyle="1" w:styleId="1086">
    <w:name w:val="xl21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87">
    <w:name w:val="xl212"/>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88">
    <w:name w:val="xl213"/>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89">
    <w:name w:val="xl214"/>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90">
    <w:name w:val="xl2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91">
    <w:name w:val="xl21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92">
    <w:name w:val="xl217"/>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93">
    <w:name w:val="xl218"/>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kern w:val="0"/>
      <w:sz w:val="20"/>
      <w:szCs w:val="20"/>
    </w:rPr>
  </w:style>
  <w:style w:type="paragraph" w:customStyle="1" w:styleId="1094">
    <w:name w:val="xl219"/>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kern w:val="0"/>
      <w:sz w:val="20"/>
      <w:szCs w:val="20"/>
    </w:rPr>
  </w:style>
  <w:style w:type="paragraph" w:customStyle="1" w:styleId="1095">
    <w:name w:val="xl220"/>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sz w:val="20"/>
      <w:szCs w:val="20"/>
    </w:rPr>
  </w:style>
  <w:style w:type="character" w:customStyle="1" w:styleId="1096">
    <w:name w:val="show-img-bd"/>
    <w:qFormat/>
    <w:uiPriority w:val="0"/>
  </w:style>
  <w:style w:type="character" w:customStyle="1" w:styleId="1097">
    <w:name w:val="表格文字 Char4"/>
    <w:link w:val="983"/>
    <w:qFormat/>
    <w:uiPriority w:val="0"/>
    <w:rPr>
      <w:rFonts w:ascii="Arial" w:hAnsi="Arial" w:eastAsia="仿宋_GB2312" w:cs="Arial"/>
      <w:color w:val="000000"/>
      <w:spacing w:val="-20"/>
      <w:kern w:val="2"/>
      <w:sz w:val="24"/>
      <w:szCs w:val="24"/>
    </w:rPr>
  </w:style>
  <w:style w:type="paragraph" w:customStyle="1" w:styleId="1098">
    <w:name w:val="contentimageclass"/>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character" w:customStyle="1" w:styleId="1099">
    <w:name w:val="表中文字-水保 Char"/>
    <w:link w:val="827"/>
    <w:qFormat/>
    <w:uiPriority w:val="0"/>
    <w:rPr>
      <w:rFonts w:ascii="Times New Roman" w:hAnsi="Times New Roman" w:cs="黑体"/>
      <w:kern w:val="2"/>
      <w:sz w:val="18"/>
      <w:szCs w:val="21"/>
    </w:rPr>
  </w:style>
  <w:style w:type="character" w:customStyle="1" w:styleId="1100">
    <w:name w:val="图表标题 Char"/>
    <w:link w:val="1101"/>
    <w:qFormat/>
    <w:uiPriority w:val="0"/>
    <w:rPr>
      <w:b/>
      <w:sz w:val="21"/>
      <w:szCs w:val="24"/>
    </w:rPr>
  </w:style>
  <w:style w:type="paragraph" w:customStyle="1" w:styleId="1101">
    <w:name w:val="图表标题"/>
    <w:basedOn w:val="50"/>
    <w:next w:val="1"/>
    <w:link w:val="1100"/>
    <w:qFormat/>
    <w:uiPriority w:val="0"/>
    <w:pPr>
      <w:spacing w:before="50" w:beforeLines="50" w:after="60" w:line="360" w:lineRule="auto"/>
      <w:jc w:val="center"/>
      <w:outlineLvl w:val="4"/>
    </w:pPr>
    <w:rPr>
      <w:rFonts w:ascii="Calibri" w:hAnsi="Calibri"/>
      <w:b/>
      <w:kern w:val="0"/>
      <w:sz w:val="21"/>
      <w:szCs w:val="24"/>
    </w:rPr>
  </w:style>
  <w:style w:type="paragraph" w:customStyle="1" w:styleId="1102">
    <w:name w:val="*正文"/>
    <w:basedOn w:val="1"/>
    <w:qFormat/>
    <w:uiPriority w:val="0"/>
    <w:pPr>
      <w:adjustRightInd w:val="0"/>
      <w:snapToGrid w:val="0"/>
      <w:ind w:firstLine="480"/>
    </w:pPr>
    <w:rPr>
      <w:rFonts w:eastAsia="仿宋_GB2312"/>
      <w:szCs w:val="24"/>
    </w:rPr>
  </w:style>
  <w:style w:type="character" w:customStyle="1" w:styleId="1103">
    <w:name w:val="纯文本 字符"/>
    <w:qFormat/>
    <w:uiPriority w:val="0"/>
    <w:rPr>
      <w:rFonts w:ascii="宋体" w:hAnsi="Courier New" w:eastAsia="宋体" w:cs="Courier New"/>
      <w:kern w:val="2"/>
      <w:sz w:val="21"/>
      <w:szCs w:val="21"/>
      <w:lang w:val="en-US" w:eastAsia="zh-CN" w:bidi="ar-SA"/>
    </w:rPr>
  </w:style>
  <w:style w:type="paragraph" w:customStyle="1" w:styleId="1104">
    <w:name w:val="Char Char Char Char Char Char Char Char Char Char Char Char Char Char Char Char"/>
    <w:basedOn w:val="1"/>
    <w:uiPriority w:val="0"/>
    <w:pPr>
      <w:widowControl/>
      <w:spacing w:after="160" w:line="240" w:lineRule="exact"/>
      <w:ind w:firstLine="0" w:firstLineChars="0"/>
      <w:jc w:val="left"/>
    </w:pPr>
    <w:rPr>
      <w:rFonts w:eastAsia="仿宋_GB2312"/>
      <w:szCs w:val="20"/>
    </w:rPr>
  </w:style>
  <w:style w:type="character" w:customStyle="1" w:styleId="1105">
    <w:name w:val="样式 样式 小四 段前: 7.8 磅 段后: 7.8 磅 行距: 1.5 倍行距 + 首行缩进:  2 字符 Char Char"/>
    <w:link w:val="254"/>
    <w:qFormat/>
    <w:uiPriority w:val="0"/>
    <w:rPr>
      <w:rFonts w:ascii="Times New Roman" w:hAnsi="Times New Roman"/>
      <w:b/>
      <w:color w:val="000000"/>
      <w:kern w:val="2"/>
      <w:sz w:val="24"/>
      <w:szCs w:val="24"/>
    </w:rPr>
  </w:style>
  <w:style w:type="paragraph" w:customStyle="1" w:styleId="1106">
    <w:name w:val="Char Char Char Char Char Char Char Char Char Char Char Char Char Char Char Char1"/>
    <w:basedOn w:val="1"/>
    <w:qFormat/>
    <w:uiPriority w:val="0"/>
    <w:pPr>
      <w:widowControl/>
      <w:spacing w:after="160" w:line="240" w:lineRule="exact"/>
      <w:ind w:firstLine="0" w:firstLineChars="0"/>
      <w:jc w:val="left"/>
    </w:pPr>
    <w:rPr>
      <w:rFonts w:eastAsia="仿宋_GB2312"/>
      <w:szCs w:val="20"/>
    </w:rPr>
  </w:style>
  <w:style w:type="paragraph" w:customStyle="1" w:styleId="1107">
    <w:name w:val="Char Char Char Char Char Char Char Char Char Char Char Char Char Char Char Char Char Char Char Char Char Char Char Char Char Char Char Char Char Char Char Char Char Char Char Char Char Char Char Char Char Char Char Char Char Char2"/>
    <w:basedOn w:val="1"/>
    <w:next w:val="1"/>
    <w:qFormat/>
    <w:uiPriority w:val="0"/>
    <w:pPr>
      <w:pBdr>
        <w:right w:val="single" w:color="auto" w:sz="12" w:space="4"/>
      </w:pBdr>
    </w:pPr>
    <w:rPr>
      <w:rFonts w:eastAsia="仿宋"/>
    </w:rPr>
  </w:style>
  <w:style w:type="character" w:customStyle="1" w:styleId="1108">
    <w:name w:val="表格格式 Char"/>
    <w:qFormat/>
    <w:uiPriority w:val="0"/>
    <w:rPr>
      <w:rFonts w:eastAsia="宋体"/>
      <w:b/>
      <w:kern w:val="0"/>
      <w:sz w:val="24"/>
      <w:szCs w:val="21"/>
    </w:rPr>
  </w:style>
  <w:style w:type="character" w:customStyle="1" w:styleId="1109">
    <w:name w:val="表格文字 Char2"/>
    <w:qFormat/>
    <w:uiPriority w:val="0"/>
    <w:rPr>
      <w:rFonts w:ascii="宋体" w:hAnsi="宋体" w:eastAsia="宋体"/>
      <w:sz w:val="24"/>
      <w:lang w:val="en-US" w:eastAsia="zh-CN" w:bidi="ar-SA"/>
    </w:rPr>
  </w:style>
  <w:style w:type="character" w:customStyle="1" w:styleId="1110">
    <w:name w:val="表格2 Char"/>
    <w:link w:val="588"/>
    <w:locked/>
    <w:uiPriority w:val="0"/>
    <w:rPr>
      <w:rFonts w:ascii="Times New Roman" w:hAnsi="Times New Roman"/>
      <w:kern w:val="2"/>
      <w:sz w:val="24"/>
      <w:szCs w:val="21"/>
    </w:rPr>
  </w:style>
  <w:style w:type="paragraph" w:customStyle="1" w:styleId="1111">
    <w:name w:val="缩五"/>
    <w:basedOn w:val="1"/>
    <w:qFormat/>
    <w:uiPriority w:val="0"/>
    <w:pPr>
      <w:tabs>
        <w:tab w:val="right" w:pos="8320"/>
      </w:tabs>
      <w:spacing w:line="240" w:lineRule="auto"/>
      <w:ind w:firstLine="640"/>
    </w:pPr>
    <w:rPr>
      <w:sz w:val="32"/>
      <w:szCs w:val="32"/>
    </w:rPr>
  </w:style>
  <w:style w:type="paragraph" w:customStyle="1" w:styleId="1112">
    <w:name w:val="Char Char3"/>
    <w:basedOn w:val="1"/>
    <w:qFormat/>
    <w:uiPriority w:val="0"/>
    <w:pPr>
      <w:spacing w:line="240" w:lineRule="auto"/>
      <w:ind w:firstLine="0" w:firstLineChars="0"/>
    </w:pPr>
    <w:rPr>
      <w:szCs w:val="24"/>
    </w:rPr>
  </w:style>
  <w:style w:type="paragraph" w:customStyle="1" w:styleId="1113">
    <w:name w:val="Char Char31"/>
    <w:basedOn w:val="1"/>
    <w:qFormat/>
    <w:uiPriority w:val="0"/>
    <w:pPr>
      <w:spacing w:line="240" w:lineRule="auto"/>
      <w:ind w:firstLine="0" w:firstLineChars="0"/>
    </w:pPr>
    <w:rPr>
      <w:szCs w:val="24"/>
    </w:rPr>
  </w:style>
  <w:style w:type="paragraph" w:customStyle="1" w:styleId="1114">
    <w:name w:val="Char12"/>
    <w:basedOn w:val="1"/>
    <w:qFormat/>
    <w:uiPriority w:val="0"/>
    <w:pPr>
      <w:spacing w:line="240" w:lineRule="auto"/>
      <w:ind w:firstLine="0" w:firstLineChars="0"/>
    </w:pPr>
    <w:rPr>
      <w:sz w:val="21"/>
      <w:szCs w:val="24"/>
    </w:rPr>
  </w:style>
  <w:style w:type="character" w:customStyle="1" w:styleId="1115">
    <w:name w:val="真·正文 Char"/>
    <w:link w:val="1116"/>
    <w:qFormat/>
    <w:uiPriority w:val="0"/>
    <w:rPr>
      <w:rFonts w:ascii="Times New Roman" w:hAnsi="Times New Roman"/>
      <w:kern w:val="2"/>
      <w:sz w:val="24"/>
      <w:szCs w:val="21"/>
    </w:rPr>
  </w:style>
  <w:style w:type="paragraph" w:customStyle="1" w:styleId="1116">
    <w:name w:val="真·正文"/>
    <w:basedOn w:val="1"/>
    <w:next w:val="1"/>
    <w:link w:val="1115"/>
    <w:qFormat/>
    <w:uiPriority w:val="0"/>
    <w:pPr>
      <w:adjustRightInd w:val="0"/>
      <w:snapToGrid w:val="0"/>
      <w:jc w:val="left"/>
    </w:pPr>
    <w:rPr>
      <w:szCs w:val="21"/>
    </w:rPr>
  </w:style>
  <w:style w:type="character" w:customStyle="1" w:styleId="1117">
    <w:name w:val="表格 Char Char"/>
    <w:qFormat/>
    <w:locked/>
    <w:uiPriority w:val="0"/>
    <w:rPr>
      <w:rFonts w:ascii="宋体" w:hAnsi="宋体"/>
      <w:sz w:val="24"/>
    </w:rPr>
  </w:style>
  <w:style w:type="character" w:customStyle="1" w:styleId="1118">
    <w:name w:val="批注文字 字符"/>
    <w:qFormat/>
    <w:uiPriority w:val="0"/>
    <w:rPr>
      <w:rFonts w:ascii="宋体" w:hAnsi="宋体" w:cs="宋体"/>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customXml" Target="../customXml/item1.xml"/><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e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9.emf"/><Relationship Id="rId28" Type="http://schemas.openxmlformats.org/officeDocument/2006/relationships/oleObject" Target="embeddings/oleObject1.bin"/><Relationship Id="rId27" Type="http://schemas.openxmlformats.org/officeDocument/2006/relationships/image" Target="media/image8.jpeg"/><Relationship Id="rId26" Type="http://schemas.openxmlformats.org/officeDocument/2006/relationships/image" Target="media/image7.jpeg"/><Relationship Id="rId25" Type="http://schemas.openxmlformats.org/officeDocument/2006/relationships/image" Target="media/image6.png"/><Relationship Id="rId24" Type="http://schemas.openxmlformats.org/officeDocument/2006/relationships/image" Target="media/image5.jpeg"/><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header" Target="header11.xml"/><Relationship Id="rId17" Type="http://schemas.openxmlformats.org/officeDocument/2006/relationships/header" Target="header10.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8C56E7-2D7A-4452-B26D-A4FFA244C900}">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67</Pages>
  <Words>35386</Words>
  <Characters>40850</Characters>
  <Lines>314</Lines>
  <Paragraphs>88</Paragraphs>
  <TotalTime>1</TotalTime>
  <ScaleCrop>false</ScaleCrop>
  <LinksUpToDate>false</LinksUpToDate>
  <CharactersWithSpaces>42274</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2020-02-27T09:35:00Z</dcterms:created>
  <dc:creator>微软用户</dc:creator>
  <cp:lastModifiedBy>WPS_1591414255</cp:lastModifiedBy>
  <cp:lastPrinted>2020-05-13T01:04:00Z</cp:lastPrinted>
  <dcterms:modified xsi:type="dcterms:W3CDTF">2020-09-09T13:56:50Z</dcterms:modified>
  <cp:revision>802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