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240" w:beforeLines="100" w:after="240" w:afterLines="100"/>
        <w:ind w:firstLine="0" w:firstLineChars="0"/>
        <w:jc w:val="center"/>
        <w:rPr>
          <w:rFonts w:hint="default" w:ascii="Times New Roman" w:hAnsi="Times New Roman" w:cs="Times New Roman"/>
          <w:b/>
          <w:color w:val="auto"/>
          <w:kern w:val="0"/>
          <w:sz w:val="44"/>
          <w:szCs w:val="44"/>
        </w:rPr>
      </w:pPr>
    </w:p>
    <w:p>
      <w:pPr>
        <w:widowControl/>
        <w:spacing w:before="240" w:beforeLines="100" w:after="240" w:afterLines="100"/>
        <w:ind w:firstLine="0" w:firstLineChars="0"/>
        <w:jc w:val="center"/>
        <w:rPr>
          <w:rFonts w:hint="default" w:ascii="Times New Roman" w:hAnsi="Times New Roman" w:cs="Times New Roman"/>
          <w:b/>
          <w:color w:val="auto"/>
          <w:kern w:val="0"/>
          <w:sz w:val="44"/>
          <w:szCs w:val="44"/>
        </w:rPr>
      </w:pPr>
    </w:p>
    <w:p>
      <w:pPr>
        <w:widowControl/>
        <w:spacing w:before="240" w:beforeLines="100" w:after="240" w:afterLines="100" w:line="240" w:lineRule="auto"/>
        <w:ind w:firstLine="0" w:firstLineChars="0"/>
        <w:jc w:val="center"/>
        <w:rPr>
          <w:rFonts w:hint="default" w:ascii="Times New Roman" w:hAnsi="Times New Roman" w:eastAsia="黑体" w:cs="Times New Roman"/>
          <w:b/>
          <w:color w:val="auto"/>
          <w:kern w:val="0"/>
          <w:sz w:val="44"/>
          <w:szCs w:val="44"/>
        </w:rPr>
      </w:pPr>
      <w:r>
        <w:rPr>
          <w:rFonts w:hint="default" w:ascii="Times New Roman" w:hAnsi="Times New Roman" w:eastAsia="黑体" w:cs="Times New Roman"/>
          <w:b/>
          <w:color w:val="auto"/>
          <w:kern w:val="0"/>
          <w:sz w:val="44"/>
          <w:szCs w:val="44"/>
        </w:rPr>
        <w:t>红原县2015年薄弱学校改造（藏文中学）</w:t>
      </w:r>
    </w:p>
    <w:p>
      <w:pPr>
        <w:widowControl/>
        <w:spacing w:before="240" w:beforeLines="100" w:after="240" w:afterLines="100" w:line="240" w:lineRule="auto"/>
        <w:ind w:firstLine="0" w:firstLineChars="0"/>
        <w:jc w:val="center"/>
        <w:rPr>
          <w:rFonts w:hint="default" w:ascii="Times New Roman" w:hAnsi="Times New Roman" w:eastAsia="黑体" w:cs="Times New Roman"/>
          <w:b/>
          <w:color w:val="auto"/>
          <w:kern w:val="0"/>
          <w:sz w:val="44"/>
          <w:szCs w:val="44"/>
        </w:rPr>
      </w:pPr>
      <w:r>
        <w:rPr>
          <w:rFonts w:hint="default" w:ascii="Times New Roman" w:hAnsi="Times New Roman" w:eastAsia="黑体" w:cs="Times New Roman"/>
          <w:b/>
          <w:color w:val="auto"/>
          <w:kern w:val="0"/>
          <w:sz w:val="44"/>
          <w:szCs w:val="44"/>
        </w:rPr>
        <w:t>建设项目</w:t>
      </w:r>
    </w:p>
    <w:p>
      <w:pPr>
        <w:widowControl/>
        <w:spacing w:before="240" w:beforeLines="100" w:after="240" w:afterLines="100" w:line="240" w:lineRule="auto"/>
        <w:ind w:firstLine="0" w:firstLineChars="0"/>
        <w:jc w:val="center"/>
        <w:rPr>
          <w:rFonts w:hint="default" w:ascii="Times New Roman" w:hAnsi="Times New Roman" w:eastAsia="黑体" w:cs="Times New Roman"/>
          <w:b/>
          <w:color w:val="auto"/>
          <w:kern w:val="0"/>
          <w:sz w:val="44"/>
          <w:szCs w:val="44"/>
        </w:rPr>
      </w:pPr>
    </w:p>
    <w:p>
      <w:pPr>
        <w:widowControl/>
        <w:spacing w:before="240" w:beforeLines="100" w:after="240" w:afterLines="100" w:line="480" w:lineRule="auto"/>
        <w:ind w:firstLine="0" w:firstLineChars="0"/>
        <w:jc w:val="center"/>
        <w:rPr>
          <w:rFonts w:hint="default" w:ascii="Times New Roman" w:hAnsi="Times New Roman" w:eastAsia="黑体" w:cs="Times New Roman"/>
          <w:b/>
          <w:color w:val="auto"/>
          <w:w w:val="110"/>
          <w:kern w:val="0"/>
          <w:sz w:val="72"/>
          <w:szCs w:val="72"/>
          <w:lang w:val="en-US" w:eastAsia="zh-CN"/>
        </w:rPr>
      </w:pPr>
      <w:r>
        <w:rPr>
          <w:rFonts w:hint="default" w:ascii="Times New Roman" w:hAnsi="Times New Roman" w:eastAsia="黑体" w:cs="Times New Roman"/>
          <w:b/>
          <w:color w:val="auto"/>
          <w:w w:val="110"/>
          <w:kern w:val="0"/>
          <w:sz w:val="72"/>
          <w:szCs w:val="72"/>
        </w:rPr>
        <w:t>水土保持方案</w:t>
      </w:r>
      <w:r>
        <w:rPr>
          <w:rFonts w:hint="default" w:ascii="Times New Roman" w:hAnsi="Times New Roman" w:eastAsia="黑体" w:cs="Times New Roman"/>
          <w:b/>
          <w:color w:val="auto"/>
          <w:w w:val="110"/>
          <w:kern w:val="0"/>
          <w:sz w:val="72"/>
          <w:szCs w:val="72"/>
          <w:lang w:val="en-US" w:eastAsia="zh-CN"/>
        </w:rPr>
        <w:t>报告表</w:t>
      </w:r>
    </w:p>
    <w:p>
      <w:pPr>
        <w:ind w:firstLine="883"/>
        <w:jc w:val="center"/>
        <w:rPr>
          <w:rFonts w:hint="default" w:ascii="Times New Roman" w:hAnsi="Times New Roman" w:cs="Times New Roman"/>
          <w:b/>
          <w:color w:val="auto"/>
          <w:sz w:val="44"/>
          <w:szCs w:val="44"/>
        </w:rPr>
      </w:pPr>
    </w:p>
    <w:p>
      <w:pPr>
        <w:ind w:firstLine="0" w:firstLineChars="0"/>
        <w:jc w:val="center"/>
        <w:rPr>
          <w:rFonts w:hint="default" w:ascii="Times New Roman" w:hAnsi="Times New Roman" w:cs="Times New Roman"/>
          <w:b/>
          <w:color w:val="auto"/>
          <w:sz w:val="44"/>
          <w:szCs w:val="44"/>
        </w:rPr>
      </w:pPr>
      <w:r>
        <w:rPr>
          <w:rFonts w:hint="default" w:ascii="Times New Roman" w:hAnsi="Times New Roman" w:cs="Times New Roman"/>
          <w:b/>
          <w:color w:val="auto"/>
          <w:sz w:val="44"/>
          <w:szCs w:val="44"/>
        </w:rPr>
        <w:t>（</w:t>
      </w:r>
      <w:r>
        <w:rPr>
          <w:rFonts w:hint="default" w:ascii="Times New Roman" w:hAnsi="Times New Roman" w:cs="Times New Roman"/>
          <w:b/>
          <w:color w:val="auto"/>
          <w:sz w:val="44"/>
          <w:szCs w:val="44"/>
          <w:lang w:val="en-US" w:eastAsia="zh-CN"/>
        </w:rPr>
        <w:t>报批</w:t>
      </w:r>
      <w:r>
        <w:rPr>
          <w:rFonts w:hint="default" w:ascii="Times New Roman" w:hAnsi="Times New Roman" w:cs="Times New Roman"/>
          <w:b/>
          <w:color w:val="auto"/>
          <w:sz w:val="44"/>
          <w:szCs w:val="44"/>
        </w:rPr>
        <w:t>稿）</w:t>
      </w:r>
    </w:p>
    <w:p>
      <w:pPr>
        <w:ind w:firstLine="883"/>
        <w:jc w:val="center"/>
        <w:rPr>
          <w:rFonts w:hint="default" w:ascii="Times New Roman" w:hAnsi="Times New Roman" w:cs="Times New Roman"/>
          <w:b/>
          <w:color w:val="auto"/>
          <w:sz w:val="44"/>
          <w:szCs w:val="44"/>
        </w:rPr>
      </w:pPr>
    </w:p>
    <w:p>
      <w:pPr>
        <w:ind w:firstLine="883"/>
        <w:jc w:val="center"/>
        <w:rPr>
          <w:rFonts w:hint="default" w:ascii="Times New Roman" w:hAnsi="Times New Roman" w:cs="Times New Roman"/>
          <w:b/>
          <w:color w:val="auto"/>
          <w:sz w:val="44"/>
          <w:szCs w:val="44"/>
        </w:rPr>
      </w:pPr>
    </w:p>
    <w:p>
      <w:pPr>
        <w:ind w:firstLine="883"/>
        <w:jc w:val="center"/>
        <w:rPr>
          <w:rFonts w:hint="default" w:ascii="Times New Roman" w:hAnsi="Times New Roman" w:cs="Times New Roman"/>
          <w:b/>
          <w:color w:val="auto"/>
          <w:sz w:val="44"/>
          <w:szCs w:val="44"/>
        </w:rPr>
      </w:pPr>
    </w:p>
    <w:p>
      <w:pPr>
        <w:ind w:firstLine="883"/>
        <w:jc w:val="center"/>
        <w:rPr>
          <w:rFonts w:hint="default" w:ascii="Times New Roman" w:hAnsi="Times New Roman" w:cs="Times New Roman"/>
          <w:b/>
          <w:color w:val="auto"/>
          <w:sz w:val="44"/>
          <w:szCs w:val="44"/>
        </w:rPr>
      </w:pPr>
    </w:p>
    <w:tbl>
      <w:tblPr>
        <w:tblStyle w:val="61"/>
        <w:tblW w:w="3473" w:type="pct"/>
        <w:jc w:val="center"/>
        <w:tblLayout w:type="autofit"/>
        <w:tblCellMar>
          <w:top w:w="0" w:type="dxa"/>
          <w:left w:w="28" w:type="dxa"/>
          <w:bottom w:w="0" w:type="dxa"/>
          <w:right w:w="28" w:type="dxa"/>
        </w:tblCellMar>
      </w:tblPr>
      <w:tblGrid>
        <w:gridCol w:w="1557"/>
        <w:gridCol w:w="4503"/>
      </w:tblGrid>
      <w:tr>
        <w:tblPrEx>
          <w:tblCellMar>
            <w:top w:w="0" w:type="dxa"/>
            <w:left w:w="28" w:type="dxa"/>
            <w:bottom w:w="0" w:type="dxa"/>
            <w:right w:w="28" w:type="dxa"/>
          </w:tblCellMar>
        </w:tblPrEx>
        <w:trPr>
          <w:trHeight w:val="756" w:hRule="atLeast"/>
          <w:jc w:val="center"/>
        </w:trPr>
        <w:tc>
          <w:tcPr>
            <w:tcW w:w="1285" w:type="pct"/>
            <w:vAlign w:val="center"/>
          </w:tcPr>
          <w:p>
            <w:pPr>
              <w:pStyle w:val="31"/>
              <w:rPr>
                <w:rFonts w:hint="default" w:ascii="Times New Roman" w:hAnsi="Times New Roman" w:cs="Times New Roman"/>
                <w:b/>
                <w:bCs/>
                <w:color w:val="auto"/>
                <w:w w:val="90"/>
                <w:sz w:val="32"/>
                <w:szCs w:val="32"/>
              </w:rPr>
            </w:pPr>
            <w:r>
              <w:rPr>
                <w:rFonts w:hint="default" w:ascii="Times New Roman" w:hAnsi="Times New Roman" w:cs="Times New Roman"/>
                <w:b/>
                <w:bCs/>
                <w:color w:val="auto"/>
                <w:w w:val="90"/>
                <w:sz w:val="32"/>
                <w:szCs w:val="32"/>
              </w:rPr>
              <w:t>建设单位：</w:t>
            </w:r>
          </w:p>
        </w:tc>
        <w:tc>
          <w:tcPr>
            <w:tcW w:w="3715" w:type="pct"/>
            <w:vAlign w:val="center"/>
          </w:tcPr>
          <w:p>
            <w:pPr>
              <w:pStyle w:val="31"/>
              <w:rPr>
                <w:rFonts w:hint="default" w:ascii="Times New Roman" w:hAnsi="Times New Roman" w:cs="Times New Roman"/>
                <w:b/>
                <w:bCs/>
                <w:color w:val="auto"/>
                <w:w w:val="90"/>
                <w:sz w:val="32"/>
                <w:szCs w:val="32"/>
              </w:rPr>
            </w:pPr>
            <w:r>
              <w:rPr>
                <w:rFonts w:hint="default" w:ascii="Times New Roman" w:hAnsi="Times New Roman" w:cs="Times New Roman"/>
                <w:b/>
                <w:bCs/>
                <w:color w:val="auto"/>
                <w:w w:val="90"/>
                <w:sz w:val="32"/>
                <w:szCs w:val="32"/>
              </w:rPr>
              <w:t>红原县教育局</w:t>
            </w:r>
          </w:p>
        </w:tc>
      </w:tr>
      <w:tr>
        <w:tblPrEx>
          <w:tblCellMar>
            <w:top w:w="0" w:type="dxa"/>
            <w:left w:w="28" w:type="dxa"/>
            <w:bottom w:w="0" w:type="dxa"/>
            <w:right w:w="28" w:type="dxa"/>
          </w:tblCellMar>
        </w:tblPrEx>
        <w:trPr>
          <w:trHeight w:val="757" w:hRule="atLeast"/>
          <w:jc w:val="center"/>
        </w:trPr>
        <w:tc>
          <w:tcPr>
            <w:tcW w:w="1285" w:type="pct"/>
            <w:vAlign w:val="center"/>
          </w:tcPr>
          <w:p>
            <w:pPr>
              <w:pStyle w:val="31"/>
              <w:rPr>
                <w:rFonts w:hint="default" w:ascii="Times New Roman" w:hAnsi="Times New Roman" w:cs="Times New Roman"/>
                <w:b/>
                <w:bCs/>
                <w:color w:val="auto"/>
                <w:w w:val="90"/>
                <w:sz w:val="32"/>
                <w:szCs w:val="32"/>
              </w:rPr>
            </w:pPr>
            <w:r>
              <w:rPr>
                <w:rFonts w:hint="default" w:ascii="Times New Roman" w:hAnsi="Times New Roman" w:cs="Times New Roman"/>
                <w:b/>
                <w:bCs/>
                <w:color w:val="auto"/>
                <w:w w:val="90"/>
                <w:sz w:val="32"/>
                <w:szCs w:val="32"/>
              </w:rPr>
              <w:t>编制单位：</w:t>
            </w:r>
          </w:p>
        </w:tc>
        <w:tc>
          <w:tcPr>
            <w:tcW w:w="3715" w:type="pct"/>
            <w:vAlign w:val="center"/>
          </w:tcPr>
          <w:p>
            <w:pPr>
              <w:pStyle w:val="31"/>
              <w:rPr>
                <w:rFonts w:hint="default" w:ascii="Times New Roman" w:hAnsi="Times New Roman" w:cs="Times New Roman"/>
                <w:b/>
                <w:bCs/>
                <w:color w:val="auto"/>
                <w:w w:val="90"/>
                <w:sz w:val="32"/>
                <w:szCs w:val="32"/>
              </w:rPr>
            </w:pPr>
            <w:r>
              <w:rPr>
                <w:rFonts w:hint="default" w:ascii="Times New Roman" w:hAnsi="Times New Roman" w:cs="Times New Roman"/>
                <w:b/>
                <w:bCs/>
                <w:color w:val="auto"/>
                <w:w w:val="90"/>
                <w:sz w:val="32"/>
                <w:szCs w:val="32"/>
              </w:rPr>
              <w:t>四川星原环保科技有限责任公司</w:t>
            </w:r>
          </w:p>
        </w:tc>
      </w:tr>
    </w:tbl>
    <w:p>
      <w:pPr>
        <w:ind w:firstLine="0" w:firstLineChars="0"/>
        <w:jc w:val="center"/>
        <w:rPr>
          <w:rFonts w:hint="default" w:ascii="Times New Roman" w:hAnsi="Times New Roman" w:cs="Times New Roman"/>
          <w:b/>
          <w:bCs/>
          <w:color w:val="auto"/>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18" w:right="1440" w:bottom="1418" w:left="1797" w:header="851" w:footer="992" w:gutter="0"/>
          <w:cols w:space="720" w:num="1"/>
          <w:docGrid w:linePitch="312" w:charSpace="0"/>
        </w:sectPr>
      </w:pPr>
      <w:r>
        <w:rPr>
          <w:rFonts w:hint="default" w:ascii="Times New Roman" w:hAnsi="Times New Roman" w:cs="Times New Roman"/>
          <w:b/>
          <w:bCs/>
          <w:color w:val="auto"/>
          <w:sz w:val="32"/>
          <w:szCs w:val="32"/>
        </w:rPr>
        <w:t>二〇二〇年</w:t>
      </w:r>
      <w:r>
        <w:rPr>
          <w:rFonts w:hint="default" w:ascii="Times New Roman" w:hAnsi="Times New Roman" w:cs="Times New Roman"/>
          <w:b/>
          <w:bCs/>
          <w:color w:val="auto"/>
          <w:sz w:val="32"/>
          <w:szCs w:val="32"/>
          <w:lang w:val="en-US" w:eastAsia="zh-CN"/>
        </w:rPr>
        <w:t>九</w:t>
      </w:r>
      <w:r>
        <w:rPr>
          <w:rFonts w:hint="default" w:ascii="Times New Roman" w:hAnsi="Times New Roman" w:cs="Times New Roman"/>
          <w:b/>
          <w:bCs/>
          <w:color w:val="auto"/>
          <w:sz w:val="32"/>
          <w:szCs w:val="32"/>
        </w:rPr>
        <w:t>月</w:t>
      </w:r>
    </w:p>
    <w:p>
      <w:pPr>
        <w:ind w:firstLine="720"/>
        <w:jc w:val="both"/>
        <w:rPr>
          <w:rFonts w:hint="eastAsia" w:ascii="Times New Roman" w:hAnsi="Times New Roman" w:eastAsia="宋体" w:cs="Times New Roman"/>
          <w:color w:val="auto"/>
          <w:sz w:val="36"/>
          <w:szCs w:val="36"/>
          <w:lang w:eastAsia="zh-CN"/>
        </w:rPr>
      </w:pPr>
      <w:r>
        <w:rPr>
          <w:rFonts w:hint="eastAsia" w:ascii="Times New Roman" w:hAnsi="Times New Roman" w:eastAsia="宋体" w:cs="Times New Roman"/>
          <w:color w:val="auto"/>
          <w:sz w:val="36"/>
          <w:szCs w:val="36"/>
          <w:lang w:eastAsia="zh-CN"/>
        </w:rPr>
        <w:drawing>
          <wp:inline distT="0" distB="0" distL="114300" distR="114300">
            <wp:extent cx="7792720" cy="5660390"/>
            <wp:effectExtent l="0" t="0" r="5080" b="3810"/>
            <wp:docPr id="7" name="图片 7"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营业执照"/>
                    <pic:cNvPicPr>
                      <a:picLocks noChangeAspect="1"/>
                    </pic:cNvPicPr>
                  </pic:nvPicPr>
                  <pic:blipFill>
                    <a:blip r:embed="rId20"/>
                    <a:stretch>
                      <a:fillRect/>
                    </a:stretch>
                  </pic:blipFill>
                  <pic:spPr>
                    <a:xfrm>
                      <a:off x="0" y="0"/>
                      <a:ext cx="7792720" cy="5660390"/>
                    </a:xfrm>
                    <a:prstGeom prst="rect">
                      <a:avLst/>
                    </a:prstGeom>
                  </pic:spPr>
                </pic:pic>
              </a:graphicData>
            </a:graphic>
          </wp:inline>
        </w:drawing>
      </w:r>
    </w:p>
    <w:p>
      <w:pPr>
        <w:ind w:firstLine="720"/>
        <w:jc w:val="center"/>
        <w:rPr>
          <w:rFonts w:hint="default" w:ascii="Times New Roman" w:hAnsi="Times New Roman" w:cs="Times New Roman"/>
          <w:color w:val="auto"/>
          <w:sz w:val="36"/>
          <w:szCs w:val="36"/>
        </w:rPr>
        <w:sectPr>
          <w:pgSz w:w="16838" w:h="11906" w:orient="landscape"/>
          <w:pgMar w:top="1797" w:right="1418" w:bottom="1440" w:left="1418" w:header="851" w:footer="992" w:gutter="0"/>
          <w:cols w:space="720" w:num="1"/>
          <w:docGrid w:linePitch="312" w:charSpace="0"/>
        </w:sectPr>
      </w:pPr>
    </w:p>
    <w:p>
      <w:pPr>
        <w:ind w:left="31680" w:firstLine="480"/>
        <w:rPr>
          <w:rFonts w:hint="default" w:ascii="Times New Roman" w:hAnsi="Times New Roman" w:eastAsia="黑体" w:cs="Times New Roman"/>
          <w:color w:val="auto"/>
          <w:szCs w:val="24"/>
        </w:rPr>
      </w:pPr>
      <w:r>
        <w:rPr>
          <w:rFonts w:hint="default" w:ascii="Times New Roman" w:hAnsi="Times New Roman" w:cs="Times New Roman"/>
          <w:color w:val="auto"/>
        </w:rPr>
        <mc:AlternateContent>
          <mc:Choice Requires="wps">
            <w:drawing>
              <wp:anchor distT="0" distB="0" distL="114300" distR="114300" simplePos="0" relativeHeight="251649024" behindDoc="0" locked="0" layoutInCell="1" hidden="1" allowOverlap="1">
                <wp:simplePos x="0" y="0"/>
                <wp:positionH relativeFrom="column">
                  <wp:posOffset>0</wp:posOffset>
                </wp:positionH>
                <wp:positionV relativeFrom="paragraph">
                  <wp:posOffset>0</wp:posOffset>
                </wp:positionV>
                <wp:extent cx="635000" cy="635000"/>
                <wp:effectExtent l="9525" t="9525" r="12700" b="12700"/>
                <wp:wrapNone/>
                <wp:docPr id="9" name="文本框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ln>
                      </wps:spPr>
                      <wps:txbx>
                        <w:txbxContent>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0pt;height:50pt;width:50pt;visibility:hidden;z-index:251649024;mso-width-relative:page;mso-height-relative:page;" fillcolor="#FFFFFF" filled="t" stroked="t" coordsize="21600,21600" o:gfxdata="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Q/qy&#10;0AAAAAUBAAAPAAAAAAAAAAEAIAAAACIAAABkcnMvZG93bnJldi54bWxQSwECFAAUAAAACACHTuJA&#10;4I6LVSkCAABDBAAADgAAAAAAAAABACAAAAAfAQAAZHJzL2Uyb0RvYy54bWxQSwUGAAAAAAYABgBZ&#10;AQAAugUAAAAA&#10;">
                <v:fill on="t" focussize="0,0"/>
                <v:stroke color="#000000" joinstyle="round"/>
                <v:imagedata o:title=""/>
                <o:lock v:ext="edit" selection="t" aspectratio="f"/>
                <v:textbox>
                  <w:txbxContent>
                    <w:p/>
                  </w:txbxContent>
                </v:textbox>
              </v:shape>
            </w:pict>
          </mc:Fallback>
        </mc:AlternateContent>
      </w:r>
    </w:p>
    <w:p>
      <w:pPr>
        <w:widowControl/>
        <w:spacing w:before="312" w:beforeLines="100" w:after="312" w:afterLines="100"/>
        <w:ind w:firstLine="863"/>
        <w:jc w:val="center"/>
        <w:rPr>
          <w:rFonts w:hint="default" w:ascii="Times New Roman" w:hAnsi="Times New Roman" w:cs="Times New Roman"/>
          <w:color w:val="auto"/>
          <w:w w:val="90"/>
          <w:sz w:val="48"/>
        </w:rPr>
      </w:pPr>
      <w:r>
        <w:rPr>
          <w:rFonts w:hint="default" w:ascii="Times New Roman" w:hAnsi="Times New Roman" w:cs="Times New Roman"/>
          <w:color w:val="auto"/>
          <w:w w:val="90"/>
          <w:sz w:val="48"/>
        </w:rPr>
        <w:t>红原县2015年薄弱学校改造（藏文中学）建设项目</w:t>
      </w:r>
    </w:p>
    <w:p>
      <w:pPr>
        <w:widowControl/>
        <w:spacing w:before="312" w:beforeLines="100" w:after="312" w:afterLines="100"/>
        <w:ind w:firstLine="863"/>
        <w:jc w:val="center"/>
        <w:rPr>
          <w:rFonts w:hint="default" w:ascii="Times New Roman" w:hAnsi="Times New Roman" w:cs="Times New Roman"/>
          <w:b/>
          <w:color w:val="auto"/>
          <w:kern w:val="0"/>
          <w:sz w:val="36"/>
          <w:szCs w:val="36"/>
        </w:rPr>
      </w:pPr>
      <w:r>
        <w:rPr>
          <w:rFonts w:hint="default" w:ascii="Times New Roman" w:hAnsi="Times New Roman" w:cs="Times New Roman"/>
          <w:b/>
          <w:color w:val="auto"/>
          <w:kern w:val="0"/>
          <w:sz w:val="36"/>
          <w:szCs w:val="36"/>
        </w:rPr>
        <w:t>责任页</w:t>
      </w:r>
    </w:p>
    <w:p>
      <w:pPr>
        <w:widowControl/>
        <w:spacing w:before="312" w:beforeLines="100" w:after="312" w:afterLines="100"/>
        <w:ind w:firstLine="723"/>
        <w:jc w:val="center"/>
        <w:rPr>
          <w:rFonts w:hint="default" w:ascii="Times New Roman" w:hAnsi="Times New Roman" w:cs="Times New Roman"/>
          <w:b/>
          <w:color w:val="auto"/>
          <w:kern w:val="0"/>
          <w:sz w:val="36"/>
          <w:szCs w:val="36"/>
        </w:rPr>
      </w:pPr>
      <w:r>
        <w:rPr>
          <w:rFonts w:hint="default" w:ascii="Times New Roman" w:hAnsi="Times New Roman" w:cs="Times New Roman"/>
          <w:b/>
          <w:color w:val="auto"/>
          <w:kern w:val="0"/>
          <w:sz w:val="36"/>
          <w:szCs w:val="36"/>
        </w:rPr>
        <w:t>（四川星原环保科技有限责任公司）</w:t>
      </w:r>
    </w:p>
    <w:p>
      <w:pPr>
        <w:ind w:firstLine="562"/>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批  准：</w:t>
      </w:r>
      <w:r>
        <w:rPr>
          <w:rFonts w:hint="default" w:ascii="Times New Roman" w:hAnsi="Times New Roman" w:eastAsia="黑体" w:cs="Times New Roman"/>
          <w:b/>
          <w:color w:val="auto"/>
          <w:sz w:val="28"/>
          <w:szCs w:val="28"/>
          <w:lang w:val="en-US" w:eastAsia="zh-CN"/>
        </w:rPr>
        <w:t>沙万勤</w:t>
      </w:r>
      <w:r>
        <w:rPr>
          <w:rFonts w:hint="default" w:ascii="Times New Roman" w:hAnsi="Times New Roman" w:eastAsia="黑体" w:cs="Times New Roman"/>
          <w:color w:val="auto"/>
          <w:sz w:val="28"/>
          <w:szCs w:val="28"/>
        </w:rPr>
        <w:t>（总经理）</w:t>
      </w:r>
    </w:p>
    <w:p>
      <w:pPr>
        <w:ind w:firstLine="562"/>
        <w:rPr>
          <w:rFonts w:hint="default" w:ascii="Times New Roman" w:hAnsi="Times New Roman" w:eastAsia="黑体" w:cs="Times New Roman"/>
          <w:b/>
          <w:color w:val="auto"/>
          <w:sz w:val="28"/>
          <w:szCs w:val="28"/>
        </w:rPr>
      </w:pPr>
    </w:p>
    <w:p>
      <w:pPr>
        <w:ind w:firstLine="562"/>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核  定：</w:t>
      </w:r>
      <w:r>
        <w:rPr>
          <w:rFonts w:hint="default" w:ascii="Times New Roman" w:hAnsi="Times New Roman" w:eastAsia="黑体" w:cs="Times New Roman"/>
          <w:color w:val="auto"/>
          <w:sz w:val="28"/>
          <w:szCs w:val="28"/>
          <w:lang w:val="en-US" w:eastAsia="zh-CN"/>
        </w:rPr>
        <w:t>杨  周</w:t>
      </w:r>
      <w:r>
        <w:rPr>
          <w:rFonts w:hint="default" w:ascii="Times New Roman" w:hAnsi="Times New Roman" w:eastAsia="黑体" w:cs="Times New Roman"/>
          <w:color w:val="auto"/>
          <w:sz w:val="28"/>
          <w:szCs w:val="28"/>
        </w:rPr>
        <w:t>（工程师）</w:t>
      </w:r>
    </w:p>
    <w:p>
      <w:pPr>
        <w:ind w:firstLine="562"/>
        <w:rPr>
          <w:rFonts w:hint="default" w:ascii="Times New Roman" w:hAnsi="Times New Roman" w:eastAsia="黑体" w:cs="Times New Roman"/>
          <w:b/>
          <w:color w:val="auto"/>
          <w:sz w:val="28"/>
          <w:szCs w:val="28"/>
        </w:rPr>
      </w:pPr>
    </w:p>
    <w:p>
      <w:pPr>
        <w:ind w:firstLine="562"/>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审  查：</w:t>
      </w:r>
      <w:r>
        <w:rPr>
          <w:rFonts w:hint="default" w:ascii="Times New Roman" w:hAnsi="Times New Roman" w:eastAsia="黑体" w:cs="Times New Roman"/>
          <w:color w:val="auto"/>
          <w:sz w:val="28"/>
          <w:szCs w:val="28"/>
          <w:lang w:val="en-US" w:eastAsia="zh-CN"/>
        </w:rPr>
        <w:t>彭乔丹</w:t>
      </w:r>
      <w:r>
        <w:rPr>
          <w:rFonts w:hint="default" w:ascii="Times New Roman" w:hAnsi="Times New Roman" w:eastAsia="黑体" w:cs="Times New Roman"/>
          <w:color w:val="auto"/>
          <w:sz w:val="28"/>
          <w:szCs w:val="28"/>
        </w:rPr>
        <w:t>（工程师）</w:t>
      </w:r>
    </w:p>
    <w:p>
      <w:pPr>
        <w:ind w:firstLine="562"/>
        <w:rPr>
          <w:rFonts w:hint="default" w:ascii="Times New Roman" w:hAnsi="Times New Roman" w:eastAsia="黑体" w:cs="Times New Roman"/>
          <w:b/>
          <w:color w:val="auto"/>
          <w:sz w:val="28"/>
          <w:szCs w:val="28"/>
        </w:rPr>
      </w:pPr>
    </w:p>
    <w:p>
      <w:pPr>
        <w:ind w:firstLine="562"/>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校  核：</w:t>
      </w:r>
      <w:r>
        <w:rPr>
          <w:rFonts w:hint="default" w:ascii="Times New Roman" w:hAnsi="Times New Roman" w:eastAsia="黑体" w:cs="Times New Roman"/>
          <w:color w:val="auto"/>
          <w:sz w:val="28"/>
          <w:szCs w:val="28"/>
          <w:lang w:val="en-US" w:eastAsia="zh-CN"/>
        </w:rPr>
        <w:t>宁  萌</w:t>
      </w:r>
      <w:r>
        <w:rPr>
          <w:rFonts w:hint="default" w:ascii="Times New Roman" w:hAnsi="Times New Roman" w:eastAsia="黑体" w:cs="Times New Roman"/>
          <w:color w:val="auto"/>
          <w:sz w:val="28"/>
          <w:szCs w:val="28"/>
        </w:rPr>
        <w:t>（工程师）</w:t>
      </w:r>
    </w:p>
    <w:p>
      <w:pPr>
        <w:ind w:firstLine="981" w:firstLineChars="349"/>
        <w:rPr>
          <w:rFonts w:hint="default" w:ascii="Times New Roman" w:hAnsi="Times New Roman" w:eastAsia="黑体" w:cs="Times New Roman"/>
          <w:b/>
          <w:color w:val="auto"/>
          <w:sz w:val="28"/>
          <w:szCs w:val="28"/>
        </w:rPr>
      </w:pPr>
    </w:p>
    <w:p>
      <w:pPr>
        <w:ind w:firstLine="512" w:firstLineChars="182"/>
        <w:rPr>
          <w:rFonts w:hint="default" w:ascii="Times New Roman" w:hAnsi="Times New Roman" w:eastAsia="黑体" w:cs="Times New Roman"/>
          <w:color w:val="auto"/>
          <w:sz w:val="28"/>
          <w:szCs w:val="28"/>
        </w:rPr>
      </w:pPr>
      <w:r>
        <w:rPr>
          <w:rFonts w:hint="default" w:ascii="Times New Roman" w:hAnsi="Times New Roman" w:eastAsia="黑体" w:cs="Times New Roman"/>
          <w:b/>
          <w:color w:val="auto"/>
          <w:sz w:val="28"/>
          <w:szCs w:val="28"/>
        </w:rPr>
        <w:t>项目负责人：</w:t>
      </w:r>
      <w:r>
        <w:rPr>
          <w:rFonts w:hint="default" w:ascii="Times New Roman" w:hAnsi="Times New Roman" w:eastAsia="黑体" w:cs="Times New Roman"/>
          <w:color w:val="auto"/>
          <w:sz w:val="28"/>
          <w:szCs w:val="28"/>
          <w:lang w:val="en-US" w:eastAsia="zh-CN"/>
        </w:rPr>
        <w:t>郑  伟</w:t>
      </w:r>
      <w:r>
        <w:rPr>
          <w:rFonts w:hint="default" w:ascii="Times New Roman" w:hAnsi="Times New Roman" w:eastAsia="黑体" w:cs="Times New Roman"/>
          <w:color w:val="auto"/>
          <w:sz w:val="28"/>
          <w:szCs w:val="28"/>
        </w:rPr>
        <w:t>（工程师）</w:t>
      </w:r>
    </w:p>
    <w:p>
      <w:pPr>
        <w:ind w:firstLine="512" w:firstLineChars="182"/>
        <w:rPr>
          <w:rFonts w:hint="default" w:ascii="Times New Roman" w:hAnsi="Times New Roman" w:eastAsia="黑体" w:cs="Times New Roman"/>
          <w:b/>
          <w:color w:val="auto"/>
          <w:sz w:val="28"/>
          <w:szCs w:val="28"/>
        </w:rPr>
      </w:pPr>
    </w:p>
    <w:p>
      <w:pPr>
        <w:ind w:firstLine="512" w:firstLineChars="182"/>
        <w:rPr>
          <w:rFonts w:hint="default" w:ascii="Times New Roman" w:hAnsi="Times New Roman" w:eastAsia="黑体" w:cs="Times New Roman"/>
          <w:b/>
          <w:color w:val="auto"/>
          <w:sz w:val="28"/>
          <w:szCs w:val="28"/>
        </w:rPr>
      </w:pPr>
      <w:r>
        <w:rPr>
          <w:rFonts w:hint="default" w:ascii="Times New Roman" w:hAnsi="Times New Roman" w:eastAsia="黑体" w:cs="Times New Roman"/>
          <w:b/>
          <w:color w:val="auto"/>
          <w:sz w:val="28"/>
          <w:szCs w:val="28"/>
        </w:rPr>
        <w:t>参加人员：</w:t>
      </w:r>
    </w:p>
    <w:p>
      <w:pPr>
        <w:ind w:firstLine="512" w:firstLineChars="182"/>
        <w:rPr>
          <w:rFonts w:hint="default" w:ascii="Times New Roman" w:hAnsi="Times New Roman" w:eastAsia="黑体" w:cs="Times New Roman"/>
          <w:b/>
          <w:color w:val="auto"/>
          <w:sz w:val="28"/>
          <w:szCs w:val="28"/>
        </w:rPr>
      </w:pPr>
    </w:p>
    <w:p>
      <w:pPr>
        <w:ind w:firstLine="1960" w:firstLineChars="70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lang w:val="en-US" w:eastAsia="zh-CN"/>
        </w:rPr>
        <w:t>梁丽萍</w:t>
      </w:r>
      <w:r>
        <w:rPr>
          <w:rFonts w:hint="default" w:ascii="Times New Roman" w:hAnsi="Times New Roman" w:eastAsia="黑体" w:cs="Times New Roman"/>
          <w:color w:val="auto"/>
          <w:sz w:val="28"/>
          <w:szCs w:val="28"/>
        </w:rPr>
        <w:t>（工程师）</w:t>
      </w:r>
    </w:p>
    <w:p>
      <w:pPr>
        <w:adjustRightInd w:val="0"/>
        <w:snapToGrid w:val="0"/>
        <w:spacing w:line="240" w:lineRule="auto"/>
        <w:ind w:firstLine="466"/>
        <w:jc w:val="center"/>
        <w:rPr>
          <w:rFonts w:eastAsia="仿宋_GB2312"/>
          <w:b/>
          <w:bCs/>
          <w:spacing w:val="-4"/>
        </w:rPr>
      </w:pPr>
    </w:p>
    <w:p>
      <w:pPr>
        <w:adjustRightInd w:val="0"/>
        <w:snapToGrid w:val="0"/>
        <w:spacing w:line="240" w:lineRule="auto"/>
        <w:ind w:firstLine="466"/>
        <w:jc w:val="center"/>
        <w:rPr>
          <w:rFonts w:eastAsia="仿宋_GB2312"/>
          <w:b/>
          <w:bCs/>
          <w:spacing w:val="-4"/>
        </w:rPr>
      </w:pPr>
    </w:p>
    <w:p>
      <w:pPr>
        <w:adjustRightInd w:val="0"/>
        <w:snapToGrid w:val="0"/>
        <w:spacing w:line="240" w:lineRule="auto"/>
        <w:ind w:firstLine="466"/>
        <w:jc w:val="center"/>
        <w:rPr>
          <w:rFonts w:eastAsia="仿宋_GB2312"/>
          <w:b/>
          <w:bCs/>
          <w:spacing w:val="-4"/>
        </w:rPr>
      </w:pPr>
    </w:p>
    <w:p>
      <w:pPr>
        <w:adjustRightInd w:val="0"/>
        <w:snapToGrid w:val="0"/>
        <w:spacing w:line="240" w:lineRule="auto"/>
        <w:ind w:firstLine="466"/>
        <w:jc w:val="center"/>
        <w:rPr>
          <w:rFonts w:eastAsia="仿宋_GB2312"/>
          <w:b/>
          <w:bCs/>
          <w:spacing w:val="-4"/>
        </w:rPr>
      </w:pPr>
    </w:p>
    <w:p>
      <w:pPr>
        <w:adjustRightInd w:val="0"/>
        <w:snapToGrid w:val="0"/>
        <w:spacing w:line="240" w:lineRule="auto"/>
        <w:ind w:firstLine="466"/>
        <w:jc w:val="center"/>
        <w:rPr>
          <w:rFonts w:eastAsia="仿宋_GB2312"/>
          <w:b/>
          <w:bCs/>
          <w:spacing w:val="-4"/>
        </w:rPr>
      </w:pPr>
    </w:p>
    <w:p>
      <w:pPr>
        <w:adjustRightInd w:val="0"/>
        <w:snapToGrid w:val="0"/>
        <w:spacing w:line="240" w:lineRule="auto"/>
        <w:ind w:firstLine="466"/>
        <w:jc w:val="center"/>
        <w:rPr>
          <w:rFonts w:eastAsia="仿宋_GB2312"/>
          <w:b/>
          <w:bCs/>
          <w:spacing w:val="-4"/>
        </w:rPr>
      </w:pPr>
      <w:r>
        <w:rPr>
          <w:rFonts w:eastAsia="仿宋_GB2312"/>
          <w:b/>
          <w:bCs/>
          <w:spacing w:val="-4"/>
        </w:rPr>
        <w:t>依据《</w:t>
      </w:r>
      <w:r>
        <w:rPr>
          <w:rFonts w:hint="eastAsia" w:eastAsia="仿宋_GB2312"/>
          <w:b/>
          <w:bCs/>
          <w:spacing w:val="-4"/>
        </w:rPr>
        <w:t>红原县2015年薄弱学校改造（藏文中学）建设项目水土保持方案报告表技术评审意见</w:t>
      </w:r>
      <w:r>
        <w:rPr>
          <w:rFonts w:eastAsia="仿宋_GB2312"/>
          <w:b/>
          <w:bCs/>
          <w:spacing w:val="-4"/>
        </w:rPr>
        <w:t>》所做的修改</w:t>
      </w:r>
    </w:p>
    <w:tbl>
      <w:tblPr>
        <w:tblStyle w:val="6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150"/>
        <w:gridCol w:w="2863"/>
        <w:gridCol w:w="1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blHeader/>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
                <w:bCs/>
                <w:color w:val="auto"/>
                <w:spacing w:val="-4"/>
                <w:sz w:val="21"/>
                <w:szCs w:val="21"/>
              </w:rPr>
            </w:pPr>
            <w:r>
              <w:rPr>
                <w:rFonts w:hint="default" w:ascii="Times New Roman" w:hAnsi="Times New Roman" w:eastAsia="仿宋_GB2312" w:cs="Times New Roman"/>
                <w:b/>
                <w:bCs/>
                <w:color w:val="auto"/>
                <w:spacing w:val="-4"/>
                <w:sz w:val="21"/>
                <w:szCs w:val="21"/>
              </w:rPr>
              <w:t>序号</w:t>
            </w:r>
          </w:p>
        </w:tc>
        <w:tc>
          <w:tcPr>
            <w:tcW w:w="3150" w:type="dxa"/>
            <w:tcBorders>
              <w:top w:val="single" w:color="auto" w:sz="4" w:space="0"/>
              <w:left w:val="single" w:color="auto" w:sz="4" w:space="0"/>
              <w:bottom w:val="single" w:color="auto" w:sz="4" w:space="0"/>
              <w:right w:val="single" w:color="auto" w:sz="4" w:space="0"/>
            </w:tcBorders>
            <w:vAlign w:val="center"/>
          </w:tcPr>
          <w:p>
            <w:pPr>
              <w:ind w:firstLine="466"/>
              <w:rPr>
                <w:rFonts w:hint="default" w:ascii="Times New Roman" w:hAnsi="Times New Roman" w:eastAsia="仿宋_GB2312" w:cs="Times New Roman"/>
                <w:b/>
                <w:bCs/>
                <w:color w:val="auto"/>
                <w:spacing w:val="-4"/>
                <w:sz w:val="21"/>
                <w:szCs w:val="21"/>
              </w:rPr>
            </w:pPr>
            <w:r>
              <w:rPr>
                <w:rFonts w:hint="default" w:ascii="Times New Roman" w:hAnsi="Times New Roman" w:eastAsia="仿宋_GB2312" w:cs="Times New Roman"/>
                <w:b/>
                <w:bCs/>
                <w:color w:val="auto"/>
                <w:spacing w:val="-4"/>
                <w:sz w:val="21"/>
                <w:szCs w:val="21"/>
              </w:rPr>
              <w:t>专家意见</w:t>
            </w:r>
          </w:p>
        </w:tc>
        <w:tc>
          <w:tcPr>
            <w:tcW w:w="2863"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
                <w:bCs/>
                <w:color w:val="auto"/>
                <w:spacing w:val="-4"/>
                <w:sz w:val="21"/>
                <w:szCs w:val="21"/>
              </w:rPr>
            </w:pPr>
            <w:r>
              <w:rPr>
                <w:rFonts w:hint="default" w:ascii="Times New Roman" w:hAnsi="Times New Roman" w:eastAsia="仿宋_GB2312" w:cs="Times New Roman"/>
                <w:b/>
                <w:bCs/>
                <w:color w:val="auto"/>
                <w:spacing w:val="-4"/>
                <w:sz w:val="21"/>
                <w:szCs w:val="21"/>
              </w:rPr>
              <w:t>修改说明</w:t>
            </w:r>
          </w:p>
        </w:tc>
        <w:tc>
          <w:tcPr>
            <w:tcW w:w="1692" w:type="dxa"/>
            <w:tcBorders>
              <w:top w:val="single" w:color="auto" w:sz="4" w:space="0"/>
              <w:left w:val="single" w:color="auto" w:sz="4" w:space="0"/>
              <w:bottom w:val="single" w:color="auto" w:sz="4" w:space="0"/>
              <w:right w:val="single" w:color="auto" w:sz="4" w:space="0"/>
            </w:tcBorders>
            <w:vAlign w:val="center"/>
          </w:tcPr>
          <w:p>
            <w:pPr>
              <w:ind w:firstLine="0" w:firstLineChars="0"/>
              <w:rPr>
                <w:rFonts w:hint="default" w:ascii="Times New Roman" w:hAnsi="Times New Roman" w:eastAsia="仿宋_GB2312" w:cs="Times New Roman"/>
                <w:b/>
                <w:bCs/>
                <w:color w:val="auto"/>
                <w:spacing w:val="-4"/>
                <w:sz w:val="21"/>
                <w:szCs w:val="21"/>
              </w:rPr>
            </w:pPr>
            <w:r>
              <w:rPr>
                <w:rFonts w:hint="default" w:ascii="Times New Roman" w:hAnsi="Times New Roman" w:eastAsia="仿宋_GB2312" w:cs="Times New Roman"/>
                <w:b/>
                <w:bCs/>
                <w:color w:val="auto"/>
                <w:spacing w:val="-4"/>
                <w:sz w:val="21"/>
                <w:szCs w:val="21"/>
              </w:rPr>
              <w:t>修改后页码或章节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1</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本项目已于2017年11月完工，完善项目现场调查，水土保持措施实施情况、存在的水土流失问题等</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eastAsia="zh-CN"/>
              </w:rPr>
            </w:pPr>
            <w:r>
              <w:rPr>
                <w:rFonts w:hint="eastAsia" w:ascii="Times New Roman" w:hAnsi="Times New Roman" w:eastAsia="仿宋" w:cs="Times New Roman"/>
                <w:color w:val="auto"/>
                <w:sz w:val="21"/>
                <w:szCs w:val="21"/>
                <w:lang w:val="en-US" w:eastAsia="zh-CN"/>
              </w:rPr>
              <w:t>已完善现场调查，水土保持措施实施情况及防治效果；根据现状场地补充了水土流失现状问题调查情况</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第2章，P</w:t>
            </w:r>
            <w:r>
              <w:rPr>
                <w:rFonts w:hint="default" w:ascii="Times New Roman" w:hAnsi="Times New Roman" w:eastAsia="仿宋_GB2312" w:cs="Times New Roman"/>
                <w:bCs/>
                <w:color w:val="auto"/>
                <w:spacing w:val="-4"/>
                <w:sz w:val="21"/>
                <w:szCs w:val="21"/>
                <w:lang w:val="en-US" w:eastAsia="zh-CN"/>
              </w:rPr>
              <w:t>1</w:t>
            </w:r>
            <w:r>
              <w:rPr>
                <w:rFonts w:hint="eastAsia" w:eastAsia="仿宋_GB2312" w:cs="Times New Roman"/>
                <w:bCs/>
                <w:color w:val="auto"/>
                <w:spacing w:val="-4"/>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2</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完善项目地理位置和周围外环境情况（市政道路、管网等）</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已完善项目地理位置，</w:t>
            </w:r>
            <w:r>
              <w:rPr>
                <w:rFonts w:hint="eastAsia" w:ascii="Times New Roman" w:hAnsi="Times New Roman" w:eastAsia="仿宋" w:cs="Times New Roman"/>
                <w:color w:val="auto"/>
                <w:sz w:val="21"/>
                <w:szCs w:val="21"/>
                <w:lang w:val="en-US" w:eastAsia="zh-CN"/>
              </w:rPr>
              <w:t>周围外环境情况</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第2章，P</w:t>
            </w:r>
            <w:r>
              <w:rPr>
                <w:rFonts w:hint="default" w:ascii="Times New Roman" w:hAnsi="Times New Roman" w:eastAsia="仿宋_GB2312" w:cs="Times New Roman"/>
                <w:bCs/>
                <w:color w:val="auto"/>
                <w:spacing w:val="-4"/>
                <w:sz w:val="21"/>
                <w:szCs w:val="21"/>
                <w:lang w:val="en-US" w:eastAsia="zh-CN"/>
              </w:rPr>
              <w:t>1</w:t>
            </w:r>
            <w:r>
              <w:rPr>
                <w:rFonts w:hint="eastAsia" w:eastAsia="仿宋_GB2312" w:cs="Times New Roman"/>
                <w:bCs/>
                <w:color w:val="auto"/>
                <w:spacing w:val="-4"/>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3</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完善项目建设内容和规模、平面布置、竖向布置、施工临时场地和临时堆土场布置等，据此完善项目组成</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已完善工程建设内容和规模、施工布置介绍；已完善施工生产生活区和临时堆土场布置介绍，完善了项目组成</w:t>
            </w:r>
          </w:p>
        </w:tc>
        <w:tc>
          <w:tcPr>
            <w:tcW w:w="1692" w:type="dxa"/>
            <w:tcBorders>
              <w:top w:val="single" w:color="auto" w:sz="4" w:space="0"/>
              <w:left w:val="single" w:color="auto" w:sz="4" w:space="0"/>
              <w:bottom w:val="single" w:color="auto" w:sz="4" w:space="0"/>
              <w:right w:val="single" w:color="auto" w:sz="4" w:space="0"/>
            </w:tcBorders>
            <w:vAlign w:val="center"/>
          </w:tcPr>
          <w:p>
            <w:pPr>
              <w:numPr>
                <w:ilvl w:val="0"/>
                <w:numId w:val="1"/>
              </w:num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P</w:t>
            </w:r>
            <w:r>
              <w:rPr>
                <w:rFonts w:hint="default" w:ascii="Times New Roman" w:hAnsi="Times New Roman" w:eastAsia="仿宋_GB2312" w:cs="Times New Roman"/>
                <w:bCs/>
                <w:color w:val="auto"/>
                <w:spacing w:val="-4"/>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4</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完善主体设计场内雨污水收集与排水系统布设及与周围市政道路雨污水管网等衔接方案</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已明确场地原始地表高程，已补充完善施工临时排水系统和雨污水系统布置</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第2章，P</w:t>
            </w:r>
            <w:r>
              <w:rPr>
                <w:rFonts w:hint="eastAsia" w:eastAsia="仿宋_GB2312" w:cs="Times New Roman"/>
                <w:bCs/>
                <w:color w:val="auto"/>
                <w:spacing w:val="-4"/>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5</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根据土地利用现状分类，复核工程各部分占地面积、类型和性质</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已根据“GB/T21010-2017”和项目实际复核修改了项目用地类型；根据</w:t>
            </w:r>
            <w:r>
              <w:rPr>
                <w:rFonts w:hint="eastAsia" w:ascii="Times New Roman" w:hAnsi="Times New Roman" w:eastAsia="仿宋" w:cs="Times New Roman"/>
                <w:color w:val="auto"/>
                <w:sz w:val="21"/>
                <w:szCs w:val="21"/>
                <w:lang w:val="en-US" w:eastAsia="zh-CN"/>
              </w:rPr>
              <w:t>国土文件复核修改项目占地面积</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eastAsia"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第2章，P2</w:t>
            </w:r>
            <w:r>
              <w:rPr>
                <w:rFonts w:hint="eastAsia" w:eastAsia="仿宋_GB2312" w:cs="Times New Roman"/>
                <w:bCs/>
                <w:color w:val="auto"/>
                <w:spacing w:val="-4"/>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6</w:t>
            </w:r>
          </w:p>
        </w:tc>
        <w:tc>
          <w:tcPr>
            <w:tcW w:w="315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根据项目组成和施工时序，复核项目土石方开挖、回填、借方和余（弃）方量；完善余方摊平处置方案的合理性</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方案已根据结算资料复核了项目土石方开挖、回填、借方和余（弃）方量；</w:t>
            </w:r>
            <w:r>
              <w:rPr>
                <w:rFonts w:hint="eastAsia" w:ascii="Times New Roman" w:hAnsi="Times New Roman" w:eastAsia="仿宋" w:cs="Times New Roman"/>
                <w:color w:val="auto"/>
                <w:sz w:val="21"/>
                <w:szCs w:val="21"/>
                <w:lang w:val="en-US" w:eastAsia="zh-CN"/>
              </w:rPr>
              <w:t>已补充完善余方处置方案合理性</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第2章，P</w:t>
            </w:r>
            <w:r>
              <w:rPr>
                <w:rFonts w:hint="eastAsia" w:eastAsia="仿宋_GB2312" w:cs="Times New Roman"/>
                <w:bCs/>
                <w:color w:val="auto"/>
                <w:spacing w:val="-4"/>
                <w:sz w:val="21"/>
                <w:szCs w:val="21"/>
                <w:lang w:val="en-US" w:eastAsia="zh-CN"/>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7</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完善项目施工组织、施工布置和施工工艺等内容</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根据项目完工资料已完善施工组织、施工布置和施工工艺等内容</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w:t>
            </w:r>
            <w:r>
              <w:rPr>
                <w:rFonts w:hint="eastAsia" w:eastAsia="仿宋_GB2312" w:cs="Times New Roman"/>
                <w:bCs/>
                <w:color w:val="auto"/>
                <w:spacing w:val="-4"/>
                <w:sz w:val="21"/>
                <w:szCs w:val="21"/>
                <w:lang w:val="en-US" w:eastAsia="zh-CN"/>
              </w:rPr>
              <w:t>2</w:t>
            </w:r>
            <w:r>
              <w:rPr>
                <w:rFonts w:hint="default" w:ascii="Times New Roman" w:hAnsi="Times New Roman" w:eastAsia="仿宋_GB2312" w:cs="Times New Roman"/>
                <w:bCs/>
                <w:color w:val="auto"/>
                <w:spacing w:val="-4"/>
                <w:sz w:val="21"/>
                <w:szCs w:val="21"/>
              </w:rPr>
              <w:t>章，P</w:t>
            </w:r>
            <w:r>
              <w:rPr>
                <w:rFonts w:hint="eastAsia" w:eastAsia="仿宋_GB2312" w:cs="Times New Roman"/>
                <w:bCs/>
                <w:color w:val="auto"/>
                <w:spacing w:val="-4"/>
                <w:sz w:val="21"/>
                <w:szCs w:val="21"/>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8</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bookmarkStart w:id="0" w:name="_Hlk19425953"/>
            <w:r>
              <w:rPr>
                <w:rFonts w:hint="eastAsia" w:ascii="Times New Roman" w:hAnsi="Times New Roman" w:eastAsia="仿宋" w:cs="Times New Roman"/>
                <w:color w:val="auto"/>
                <w:sz w:val="21"/>
                <w:szCs w:val="21"/>
                <w:lang w:val="en-US" w:eastAsia="zh-CN"/>
              </w:rPr>
              <w:t>完善项目区地形地貌、气象（≥10℃积温值、典型频率暴雨特征值）、水文、植被、土壤等自然条件</w:t>
            </w:r>
            <w:bookmarkEnd w:id="0"/>
            <w:r>
              <w:rPr>
                <w:rFonts w:hint="eastAsia" w:ascii="Times New Roman" w:hAnsi="Times New Roman" w:eastAsia="仿宋" w:cs="Times New Roman"/>
                <w:color w:val="auto"/>
                <w:sz w:val="21"/>
                <w:szCs w:val="21"/>
                <w:lang w:val="en-US" w:eastAsia="zh-CN"/>
              </w:rPr>
              <w:t>和涉及水土保持敏感区情况</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已根据《红原县水土保持规划（2015-2030年）》完善项目地形地貌、气象等内容；补充完善水土保持敏感区调查结论</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w:t>
            </w:r>
            <w:r>
              <w:rPr>
                <w:rFonts w:hint="eastAsia" w:eastAsia="仿宋_GB2312" w:cs="Times New Roman"/>
                <w:bCs/>
                <w:color w:val="auto"/>
                <w:spacing w:val="-4"/>
                <w:sz w:val="21"/>
                <w:szCs w:val="21"/>
                <w:lang w:val="en-US" w:eastAsia="zh-CN"/>
              </w:rPr>
              <w:t>2</w:t>
            </w:r>
            <w:r>
              <w:rPr>
                <w:rFonts w:hint="default" w:ascii="Times New Roman" w:hAnsi="Times New Roman" w:eastAsia="仿宋_GB2312" w:cs="Times New Roman"/>
                <w:bCs/>
                <w:color w:val="auto"/>
                <w:spacing w:val="-4"/>
                <w:sz w:val="21"/>
                <w:szCs w:val="21"/>
              </w:rPr>
              <w:t>章，P</w:t>
            </w:r>
            <w:r>
              <w:rPr>
                <w:rFonts w:hint="eastAsia" w:eastAsia="仿宋_GB2312" w:cs="Times New Roman"/>
                <w:bCs/>
                <w:color w:val="auto"/>
                <w:spacing w:val="-4"/>
                <w:sz w:val="21"/>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9</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完善项目占地和土石方平衡的水土保持分析与评价</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已完善项目占地和土石方平衡分析评价</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w:t>
            </w:r>
            <w:r>
              <w:rPr>
                <w:rFonts w:hint="eastAsia" w:eastAsia="仿宋_GB2312" w:cs="Times New Roman"/>
                <w:bCs/>
                <w:color w:val="auto"/>
                <w:spacing w:val="-4"/>
                <w:sz w:val="21"/>
                <w:szCs w:val="21"/>
                <w:lang w:val="en-US" w:eastAsia="zh-CN"/>
              </w:rPr>
              <w:t>3</w:t>
            </w:r>
            <w:r>
              <w:rPr>
                <w:rFonts w:hint="default" w:ascii="Times New Roman" w:hAnsi="Times New Roman" w:eastAsia="仿宋_GB2312" w:cs="Times New Roman"/>
                <w:bCs/>
                <w:color w:val="auto"/>
                <w:spacing w:val="-4"/>
                <w:sz w:val="21"/>
                <w:szCs w:val="21"/>
              </w:rPr>
              <w:t>章，P</w:t>
            </w:r>
            <w:r>
              <w:rPr>
                <w:rFonts w:hint="eastAsia" w:eastAsia="仿宋_GB2312" w:cs="Times New Roman"/>
                <w:bCs/>
                <w:color w:val="auto"/>
                <w:spacing w:val="-4"/>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12</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完善主体工程中具有水保功能的措施界定</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已完善主体工程具有水土保持功能的措施界定</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第3章，P</w:t>
            </w:r>
            <w:r>
              <w:rPr>
                <w:rFonts w:hint="eastAsia" w:eastAsia="仿宋_GB2312" w:cs="Times New Roman"/>
                <w:bCs/>
                <w:color w:val="auto"/>
                <w:spacing w:val="-4"/>
                <w:sz w:val="21"/>
                <w:szCs w:val="21"/>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lang w:val="en-US" w:eastAsia="zh-CN"/>
              </w:rPr>
            </w:pPr>
            <w:r>
              <w:rPr>
                <w:rFonts w:hint="eastAsia" w:eastAsia="仿宋_GB2312" w:cs="Times New Roman"/>
                <w:bCs/>
                <w:color w:val="auto"/>
                <w:spacing w:val="-4"/>
                <w:sz w:val="21"/>
                <w:szCs w:val="21"/>
                <w:lang w:val="en-US" w:eastAsia="zh-CN"/>
              </w:rPr>
              <w:t>13</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复核主体工程中具有水土保持功能的水土保持措施工程量和投资</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根据主体</w:t>
            </w:r>
            <w:r>
              <w:rPr>
                <w:rFonts w:hint="eastAsia" w:ascii="Times New Roman" w:hAnsi="Times New Roman" w:eastAsia="仿宋" w:cs="Times New Roman"/>
                <w:color w:val="auto"/>
                <w:sz w:val="21"/>
                <w:szCs w:val="21"/>
                <w:lang w:val="en-US" w:eastAsia="zh-CN"/>
              </w:rPr>
              <w:t>工程完工结算资料复核主体工程中具有水土保持功能的水土保持工程量和投资</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第3章，P</w:t>
            </w:r>
            <w:r>
              <w:rPr>
                <w:rFonts w:hint="eastAsia" w:eastAsia="仿宋_GB2312" w:cs="Times New Roman"/>
                <w:bCs/>
                <w:color w:val="auto"/>
                <w:spacing w:val="-4"/>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lang w:val="en-US" w:eastAsia="zh-CN"/>
              </w:rPr>
            </w:pPr>
            <w:r>
              <w:rPr>
                <w:rFonts w:hint="eastAsia" w:eastAsia="仿宋_GB2312" w:cs="Times New Roman"/>
                <w:bCs/>
                <w:color w:val="auto"/>
                <w:spacing w:val="-4"/>
                <w:sz w:val="21"/>
                <w:szCs w:val="21"/>
                <w:lang w:val="en-US" w:eastAsia="zh-CN"/>
              </w:rPr>
              <w:t>14</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eastAsia"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根据2019年全国水土流失动态监测成果，完善项目区水土流失现状和背景值分析</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lang w:val="en-US" w:eastAsia="zh-CN"/>
              </w:rPr>
            </w:pPr>
            <w:r>
              <w:rPr>
                <w:rFonts w:hint="eastAsia" w:eastAsia="仿宋_GB2312" w:cs="Times New Roman"/>
                <w:bCs/>
                <w:color w:val="auto"/>
                <w:spacing w:val="-4"/>
                <w:sz w:val="21"/>
                <w:szCs w:val="21"/>
                <w:lang w:val="en-US" w:eastAsia="zh-CN"/>
              </w:rPr>
              <w:t>15</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复核调查和预测时段、范围；复核施工期土壤侵蚀模数取值和预测结果</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已复核水土流失调查和预测时段、范围以及土壤侵蚀模数和预测结果</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第4章</w:t>
            </w:r>
            <w:r>
              <w:rPr>
                <w:rFonts w:hint="eastAsia" w:eastAsia="仿宋_GB2312" w:cs="Times New Roman"/>
                <w:bCs/>
                <w:color w:val="auto"/>
                <w:spacing w:val="-4"/>
                <w:sz w:val="21"/>
                <w:szCs w:val="21"/>
                <w:lang w:eastAsia="zh-CN"/>
              </w:rPr>
              <w:t>，</w:t>
            </w:r>
            <w:r>
              <w:rPr>
                <w:rFonts w:hint="default" w:ascii="Times New Roman" w:hAnsi="Times New Roman" w:eastAsia="仿宋_GB2312" w:cs="Times New Roman"/>
                <w:bCs/>
                <w:color w:val="auto"/>
                <w:spacing w:val="-4"/>
                <w:sz w:val="21"/>
                <w:szCs w:val="21"/>
              </w:rPr>
              <w:t>P</w:t>
            </w:r>
            <w:r>
              <w:rPr>
                <w:rFonts w:hint="eastAsia" w:eastAsia="仿宋_GB2312" w:cs="Times New Roman"/>
                <w:bCs/>
                <w:color w:val="auto"/>
                <w:spacing w:val="-4"/>
                <w:sz w:val="21"/>
                <w:szCs w:val="21"/>
                <w:lang w:val="en-US" w:eastAsia="zh-CN"/>
              </w:rPr>
              <w:t>33-36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lang w:val="en-US" w:eastAsia="zh-CN"/>
              </w:rPr>
            </w:pPr>
            <w:r>
              <w:rPr>
                <w:rFonts w:hint="eastAsia" w:eastAsia="仿宋_GB2312" w:cs="Times New Roman"/>
                <w:bCs/>
                <w:color w:val="auto"/>
                <w:spacing w:val="-4"/>
                <w:sz w:val="21"/>
                <w:szCs w:val="21"/>
                <w:lang w:val="en-US" w:eastAsia="zh-CN"/>
              </w:rPr>
              <w:t>16</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bCs/>
                <w:color w:val="auto"/>
                <w:spacing w:val="-4"/>
                <w:sz w:val="21"/>
                <w:szCs w:val="21"/>
              </w:rPr>
            </w:pPr>
            <w:r>
              <w:rPr>
                <w:rFonts w:hint="eastAsia" w:ascii="Times New Roman" w:hAnsi="Times New Roman" w:eastAsia="仿宋" w:cs="Times New Roman"/>
                <w:color w:val="auto"/>
                <w:sz w:val="21"/>
                <w:szCs w:val="21"/>
              </w:rPr>
              <w:t>复核完善水土流失防治目标取值，明确表土保护率、林草植被恢复率和林草覆盖率</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已明确水土流失目标值</w:t>
            </w:r>
            <w:r>
              <w:rPr>
                <w:rFonts w:hint="default" w:ascii="Times New Roman" w:hAnsi="Times New Roman" w:eastAsia="仿宋" w:cs="Times New Roman"/>
                <w:color w:val="auto"/>
                <w:sz w:val="21"/>
                <w:szCs w:val="21"/>
                <w:lang w:val="en-US" w:eastAsia="zh-CN"/>
              </w:rPr>
              <w:t>析</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eastAsia" w:ascii="Times New Roman" w:hAnsi="Times New Roman" w:eastAsia="仿宋_GB2312" w:cs="Times New Roman"/>
                <w:bCs/>
                <w:color w:val="auto"/>
                <w:spacing w:val="-4"/>
                <w:sz w:val="21"/>
                <w:szCs w:val="21"/>
                <w:lang w:eastAsia="zh-CN"/>
              </w:rPr>
            </w:pPr>
            <w:r>
              <w:rPr>
                <w:rFonts w:hint="default" w:ascii="Times New Roman" w:hAnsi="Times New Roman" w:eastAsia="仿宋_GB2312" w:cs="Times New Roman"/>
                <w:bCs/>
                <w:color w:val="auto"/>
                <w:spacing w:val="-4"/>
                <w:sz w:val="21"/>
                <w:szCs w:val="21"/>
              </w:rPr>
              <w:t>第</w:t>
            </w:r>
            <w:r>
              <w:rPr>
                <w:rFonts w:hint="eastAsia" w:eastAsia="仿宋_GB2312" w:cs="Times New Roman"/>
                <w:bCs/>
                <w:color w:val="auto"/>
                <w:spacing w:val="-4"/>
                <w:sz w:val="21"/>
                <w:szCs w:val="21"/>
                <w:lang w:val="en-US" w:eastAsia="zh-CN"/>
              </w:rPr>
              <w:t>1</w:t>
            </w:r>
            <w:r>
              <w:rPr>
                <w:rFonts w:hint="default" w:ascii="Times New Roman" w:hAnsi="Times New Roman" w:eastAsia="仿宋_GB2312" w:cs="Times New Roman"/>
                <w:bCs/>
                <w:color w:val="auto"/>
                <w:spacing w:val="-4"/>
                <w:sz w:val="21"/>
                <w:szCs w:val="21"/>
              </w:rPr>
              <w:t>章</w:t>
            </w:r>
            <w:r>
              <w:rPr>
                <w:rFonts w:hint="eastAsia" w:eastAsia="仿宋_GB2312" w:cs="Times New Roman"/>
                <w:bCs/>
                <w:color w:val="auto"/>
                <w:spacing w:val="-4"/>
                <w:sz w:val="21"/>
                <w:szCs w:val="21"/>
                <w:lang w:eastAsia="zh-CN"/>
              </w:rPr>
              <w:t>，</w:t>
            </w:r>
            <w:r>
              <w:rPr>
                <w:rFonts w:hint="default" w:ascii="Times New Roman" w:hAnsi="Times New Roman" w:eastAsia="仿宋_GB2312" w:cs="Times New Roman"/>
                <w:bCs/>
                <w:color w:val="auto"/>
                <w:spacing w:val="-4"/>
                <w:sz w:val="21"/>
                <w:szCs w:val="21"/>
              </w:rPr>
              <w:t>P</w:t>
            </w:r>
            <w:r>
              <w:rPr>
                <w:rFonts w:hint="eastAsia" w:eastAsia="仿宋_GB2312" w:cs="Times New Roman"/>
                <w:bCs/>
                <w:color w:val="auto"/>
                <w:spacing w:val="-4"/>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lang w:val="en-US" w:eastAsia="zh-CN"/>
              </w:rPr>
            </w:pPr>
            <w:r>
              <w:rPr>
                <w:rFonts w:hint="eastAsia" w:eastAsia="仿宋_GB2312" w:cs="Times New Roman"/>
                <w:bCs/>
                <w:color w:val="auto"/>
                <w:spacing w:val="-4"/>
                <w:sz w:val="21"/>
                <w:szCs w:val="21"/>
                <w:lang w:val="en-US" w:eastAsia="zh-CN"/>
              </w:rPr>
              <w:t>17</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bCs/>
                <w:color w:val="auto"/>
                <w:spacing w:val="-4"/>
                <w:sz w:val="21"/>
                <w:szCs w:val="21"/>
              </w:rPr>
            </w:pPr>
            <w:r>
              <w:rPr>
                <w:rFonts w:hint="eastAsia" w:ascii="Times New Roman" w:hAnsi="Times New Roman" w:eastAsia="仿宋" w:cs="Times New Roman"/>
                <w:color w:val="auto"/>
                <w:sz w:val="21"/>
                <w:szCs w:val="21"/>
              </w:rPr>
              <w:t>完善各防治分区水土流失防治措施体系布局</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已完善水土流失防治措施体系布局表和防治体系框图；</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w:t>
            </w:r>
            <w:r>
              <w:rPr>
                <w:rFonts w:hint="default" w:ascii="Times New Roman" w:hAnsi="Times New Roman" w:eastAsia="仿宋_GB2312" w:cs="Times New Roman"/>
                <w:bCs/>
                <w:color w:val="auto"/>
                <w:spacing w:val="-4"/>
                <w:sz w:val="21"/>
                <w:szCs w:val="21"/>
                <w:lang w:val="en-US" w:eastAsia="zh-CN"/>
              </w:rPr>
              <w:t>5</w:t>
            </w:r>
            <w:r>
              <w:rPr>
                <w:rFonts w:hint="default" w:ascii="Times New Roman" w:hAnsi="Times New Roman" w:eastAsia="仿宋_GB2312" w:cs="Times New Roman"/>
                <w:bCs/>
                <w:color w:val="auto"/>
                <w:spacing w:val="-4"/>
                <w:sz w:val="21"/>
                <w:szCs w:val="21"/>
              </w:rPr>
              <w:t>章，P</w:t>
            </w:r>
            <w:r>
              <w:rPr>
                <w:rFonts w:hint="eastAsia" w:eastAsia="仿宋_GB2312" w:cs="Times New Roman"/>
                <w:bCs/>
                <w:color w:val="auto"/>
                <w:spacing w:val="-4"/>
                <w:sz w:val="21"/>
                <w:szCs w:val="21"/>
                <w:lang w:val="en-US" w:eastAsia="zh-CN"/>
              </w:rPr>
              <w:t>37-38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lang w:val="en-US" w:eastAsia="zh-CN"/>
              </w:rPr>
            </w:pPr>
            <w:r>
              <w:rPr>
                <w:rFonts w:hint="eastAsia" w:eastAsia="仿宋_GB2312" w:cs="Times New Roman"/>
                <w:bCs/>
                <w:color w:val="auto"/>
                <w:spacing w:val="-4"/>
                <w:sz w:val="21"/>
                <w:szCs w:val="21"/>
                <w:lang w:val="en-US" w:eastAsia="zh-CN"/>
              </w:rPr>
              <w:t>18</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bCs/>
                <w:color w:val="auto"/>
                <w:spacing w:val="-4"/>
                <w:sz w:val="21"/>
                <w:szCs w:val="21"/>
              </w:rPr>
            </w:pPr>
            <w:r>
              <w:rPr>
                <w:rFonts w:hint="eastAsia" w:ascii="Times New Roman" w:hAnsi="Times New Roman" w:eastAsia="仿宋" w:cs="Times New Roman"/>
                <w:color w:val="auto"/>
                <w:sz w:val="21"/>
                <w:szCs w:val="21"/>
              </w:rPr>
              <w:t>复核项目新增水土保持工程量</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由于项目已完工，方案不再新增水土保持措施</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jc w:val="center"/>
              <w:rPr>
                <w:rFonts w:hint="eastAsia" w:ascii="Times New Roman" w:hAnsi="Times New Roman" w:eastAsia="仿宋_GB2312" w:cs="Times New Roman"/>
                <w:bCs/>
                <w:color w:val="auto"/>
                <w:spacing w:val="-4"/>
                <w:sz w:val="21"/>
                <w:szCs w:val="21"/>
                <w:lang w:val="en-US" w:eastAsia="zh-CN"/>
              </w:rPr>
            </w:pPr>
            <w:r>
              <w:rPr>
                <w:rFonts w:hint="eastAsia" w:eastAsia="仿宋_GB2312" w:cs="Times New Roman"/>
                <w:bCs/>
                <w:color w:val="auto"/>
                <w:spacing w:val="-4"/>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lang w:val="en-US" w:eastAsia="zh-CN"/>
              </w:rPr>
            </w:pPr>
            <w:r>
              <w:rPr>
                <w:rFonts w:hint="eastAsia" w:eastAsia="仿宋_GB2312" w:cs="Times New Roman"/>
                <w:bCs/>
                <w:color w:val="auto"/>
                <w:spacing w:val="-4"/>
                <w:sz w:val="21"/>
                <w:szCs w:val="21"/>
                <w:lang w:val="en-US" w:eastAsia="zh-CN"/>
              </w:rPr>
              <w:t>19</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bCs/>
                <w:color w:val="auto"/>
                <w:spacing w:val="-4"/>
                <w:sz w:val="21"/>
                <w:szCs w:val="21"/>
              </w:rPr>
            </w:pPr>
            <w:r>
              <w:rPr>
                <w:rFonts w:hint="eastAsia" w:ascii="Times New Roman" w:hAnsi="Times New Roman" w:eastAsia="仿宋" w:cs="Times New Roman"/>
                <w:color w:val="auto"/>
                <w:sz w:val="21"/>
                <w:szCs w:val="21"/>
              </w:rPr>
              <w:t>完善水土流失防治责任范围、水土保持防治措施和监测点布设图。</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已完善、修改</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eastAsia" w:eastAsia="仿宋_GB2312" w:cs="Times New Roman"/>
                <w:bCs/>
                <w:color w:val="auto"/>
                <w:spacing w:val="-4"/>
                <w:sz w:val="21"/>
                <w:szCs w:val="21"/>
                <w:lang w:val="en-US" w:eastAsia="zh-CN"/>
              </w:rPr>
              <w:t>附图05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20</w:t>
            </w:r>
          </w:p>
        </w:tc>
        <w:tc>
          <w:tcPr>
            <w:tcW w:w="3150" w:type="dxa"/>
            <w:tcBorders>
              <w:top w:val="single" w:color="auto" w:sz="4" w:space="0"/>
              <w:left w:val="single" w:color="auto" w:sz="4" w:space="0"/>
              <w:bottom w:val="single" w:color="auto" w:sz="4" w:space="0"/>
              <w:right w:val="single" w:color="auto" w:sz="4" w:space="0"/>
            </w:tcBorders>
            <w:vAlign w:val="center"/>
          </w:tcPr>
          <w:p>
            <w:pPr>
              <w:pStyle w:val="814"/>
              <w:spacing w:line="360" w:lineRule="auto"/>
              <w:ind w:firstLine="510"/>
              <w:rPr>
                <w:rFonts w:hint="default" w:ascii="Times New Roman" w:hAnsi="Times New Roman" w:eastAsia="仿宋_GB2312" w:cs="Times New Roman"/>
                <w:bCs/>
                <w:color w:val="auto"/>
                <w:spacing w:val="-4"/>
                <w:sz w:val="21"/>
                <w:szCs w:val="21"/>
              </w:rPr>
            </w:pPr>
            <w:r>
              <w:rPr>
                <w:rFonts w:hint="eastAsia" w:ascii="Times New Roman" w:hAnsi="Times New Roman" w:eastAsia="仿宋" w:cs="Times New Roman"/>
                <w:color w:val="auto"/>
                <w:sz w:val="21"/>
                <w:szCs w:val="21"/>
              </w:rPr>
              <w:t>根据</w:t>
            </w:r>
            <w:r>
              <w:rPr>
                <w:rFonts w:ascii="Times New Roman" w:hAnsi="Times New Roman" w:eastAsia="仿宋" w:cs="Times New Roman"/>
                <w:color w:val="auto"/>
                <w:sz w:val="21"/>
                <w:szCs w:val="21"/>
              </w:rPr>
              <w:t>《生产建设项目水土保持监测与评价标准》（GB</w:t>
            </w:r>
            <w:r>
              <w:rPr>
                <w:rFonts w:hint="eastAsia" w:ascii="Times New Roman" w:hAnsi="Times New Roman" w:eastAsia="仿宋" w:cs="Times New Roman"/>
                <w:color w:val="auto"/>
                <w:sz w:val="21"/>
                <w:szCs w:val="21"/>
              </w:rPr>
              <w:t>/</w:t>
            </w:r>
            <w:r>
              <w:rPr>
                <w:rFonts w:ascii="Times New Roman" w:hAnsi="Times New Roman" w:eastAsia="仿宋" w:cs="Times New Roman"/>
                <w:color w:val="auto"/>
                <w:sz w:val="21"/>
                <w:szCs w:val="21"/>
              </w:rPr>
              <w:t>T 51240-2018）</w:t>
            </w:r>
            <w:r>
              <w:rPr>
                <w:rFonts w:hint="eastAsia" w:ascii="Times New Roman" w:hAnsi="Times New Roman" w:eastAsia="仿宋" w:cs="Times New Roman"/>
                <w:color w:val="auto"/>
                <w:sz w:val="21"/>
                <w:szCs w:val="21"/>
              </w:rPr>
              <w:t>和项目实际，复核监测时段（施工准备期至设计水平年）和频次，完善监测内容、方法（回顾调查），优化监测点位布设和仪器设备配置</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bCs/>
                <w:color w:val="auto"/>
                <w:spacing w:val="-4"/>
                <w:sz w:val="21"/>
                <w:szCs w:val="21"/>
                <w:lang w:eastAsia="zh-CN"/>
              </w:rPr>
            </w:pPr>
            <w:r>
              <w:rPr>
                <w:rFonts w:hint="default" w:ascii="Times New Roman" w:hAnsi="Times New Roman" w:eastAsia="仿宋_GB2312" w:cs="Times New Roman"/>
                <w:bCs/>
                <w:color w:val="auto"/>
                <w:spacing w:val="-4"/>
                <w:sz w:val="21"/>
                <w:szCs w:val="21"/>
                <w:lang w:eastAsia="zh-CN"/>
              </w:rPr>
              <w:t>已复核监测时段和频次，优化监测点位布设，完善了监测内容、方法以及监测仪器设备等</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w:t>
            </w:r>
            <w:r>
              <w:rPr>
                <w:rFonts w:hint="default" w:ascii="Times New Roman" w:hAnsi="Times New Roman" w:eastAsia="仿宋_GB2312" w:cs="Times New Roman"/>
                <w:bCs/>
                <w:color w:val="auto"/>
                <w:spacing w:val="-4"/>
                <w:sz w:val="21"/>
                <w:szCs w:val="21"/>
                <w:lang w:val="en-US" w:eastAsia="zh-CN"/>
              </w:rPr>
              <w:t>6</w:t>
            </w:r>
            <w:r>
              <w:rPr>
                <w:rFonts w:hint="default" w:ascii="Times New Roman" w:hAnsi="Times New Roman" w:eastAsia="仿宋_GB2312" w:cs="Times New Roman"/>
                <w:bCs/>
                <w:color w:val="auto"/>
                <w:spacing w:val="-4"/>
                <w:sz w:val="21"/>
                <w:szCs w:val="21"/>
              </w:rPr>
              <w:t>章，P</w:t>
            </w:r>
            <w:r>
              <w:rPr>
                <w:rFonts w:hint="eastAsia" w:eastAsia="仿宋_GB2312" w:cs="Times New Roman"/>
                <w:bCs/>
                <w:color w:val="auto"/>
                <w:spacing w:val="-4"/>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21</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bCs/>
                <w:color w:val="auto"/>
                <w:spacing w:val="-4"/>
                <w:sz w:val="21"/>
                <w:szCs w:val="21"/>
              </w:rPr>
            </w:pPr>
            <w:r>
              <w:rPr>
                <w:rFonts w:hint="eastAsia" w:ascii="Times New Roman" w:hAnsi="Times New Roman" w:eastAsia="仿宋" w:cs="Times New Roman"/>
                <w:color w:val="auto"/>
                <w:sz w:val="21"/>
                <w:szCs w:val="21"/>
              </w:rPr>
              <w:t>复核独立费用组成和名称（水保设施验收报告编制费）</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复核并修改</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第7章，P</w:t>
            </w:r>
            <w:r>
              <w:rPr>
                <w:rFonts w:hint="eastAsia" w:eastAsia="仿宋_GB2312" w:cs="Times New Roman"/>
                <w:bCs/>
                <w:color w:val="auto"/>
                <w:spacing w:val="-4"/>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22</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bCs/>
                <w:color w:val="auto"/>
                <w:spacing w:val="-4"/>
                <w:sz w:val="21"/>
                <w:szCs w:val="21"/>
              </w:rPr>
            </w:pPr>
            <w:r>
              <w:rPr>
                <w:rFonts w:hint="eastAsia" w:ascii="Times New Roman" w:hAnsi="Times New Roman" w:eastAsia="仿宋" w:cs="Times New Roman"/>
                <w:color w:val="auto"/>
                <w:sz w:val="21"/>
                <w:szCs w:val="21"/>
              </w:rPr>
              <w:t>本项目为公益性，水土保持补偿费符合免征条件</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本项目为公立学校，补偿费暂列，建设单位可想水务局申请免征</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第7章</w:t>
            </w:r>
            <w:r>
              <w:rPr>
                <w:rFonts w:hint="eastAsia" w:eastAsia="仿宋_GB2312" w:cs="Times New Roman"/>
                <w:bCs/>
                <w:color w:val="auto"/>
                <w:spacing w:val="-4"/>
                <w:sz w:val="21"/>
                <w:szCs w:val="21"/>
                <w:lang w:eastAsia="zh-CN"/>
              </w:rPr>
              <w:t>，</w:t>
            </w:r>
            <w:r>
              <w:rPr>
                <w:rFonts w:hint="eastAsia" w:eastAsia="仿宋_GB2312" w:cs="Times New Roman"/>
                <w:bCs/>
                <w:color w:val="auto"/>
                <w:spacing w:val="-4"/>
                <w:sz w:val="21"/>
                <w:szCs w:val="21"/>
                <w:lang w:val="en-US" w:eastAsia="zh-CN"/>
              </w:rPr>
              <w:t>P47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lang w:val="en-US" w:eastAsia="zh-CN"/>
              </w:rPr>
              <w:t>23</w:t>
            </w:r>
          </w:p>
        </w:tc>
        <w:tc>
          <w:tcPr>
            <w:tcW w:w="3150"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_GB2312" w:cs="Times New Roman"/>
                <w:color w:val="auto"/>
                <w:sz w:val="21"/>
                <w:szCs w:val="21"/>
              </w:rPr>
            </w:pPr>
            <w:r>
              <w:rPr>
                <w:rFonts w:hint="eastAsia" w:ascii="Times New Roman" w:hAnsi="Times New Roman" w:eastAsia="仿宋" w:cs="Times New Roman"/>
                <w:color w:val="auto"/>
                <w:sz w:val="21"/>
                <w:szCs w:val="21"/>
              </w:rPr>
              <w:t>根据水保工程量调整，复核水土保持总投资</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方案根据调整后的水土保持措施工程量，复核修改了水土保持措施</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rPr>
                <w:rFonts w:hint="default" w:ascii="Times New Roman" w:hAnsi="Times New Roman" w:eastAsia="仿宋_GB2312" w:cs="Times New Roman"/>
                <w:bCs/>
                <w:color w:val="auto"/>
                <w:spacing w:val="-4"/>
                <w:sz w:val="21"/>
                <w:szCs w:val="21"/>
                <w:lang w:val="en-US" w:eastAsia="zh-CN"/>
              </w:rPr>
            </w:pPr>
            <w:r>
              <w:rPr>
                <w:rFonts w:hint="default" w:ascii="Times New Roman" w:hAnsi="Times New Roman" w:eastAsia="仿宋_GB2312" w:cs="Times New Roman"/>
                <w:bCs/>
                <w:color w:val="auto"/>
                <w:spacing w:val="-4"/>
                <w:sz w:val="21"/>
                <w:szCs w:val="21"/>
              </w:rPr>
              <w:t>第7章</w:t>
            </w:r>
            <w:r>
              <w:rPr>
                <w:rFonts w:hint="eastAsia" w:eastAsia="仿宋_GB2312" w:cs="Times New Roman"/>
                <w:bCs/>
                <w:color w:val="auto"/>
                <w:spacing w:val="-4"/>
                <w:sz w:val="21"/>
                <w:szCs w:val="21"/>
                <w:lang w:eastAsia="zh-CN"/>
              </w:rPr>
              <w:t>，</w:t>
            </w:r>
            <w:r>
              <w:rPr>
                <w:rFonts w:hint="eastAsia" w:eastAsia="仿宋_GB2312" w:cs="Times New Roman"/>
                <w:bCs/>
                <w:color w:val="auto"/>
                <w:spacing w:val="-4"/>
                <w:sz w:val="21"/>
                <w:szCs w:val="21"/>
                <w:lang w:val="en-US" w:eastAsia="zh-CN"/>
              </w:rPr>
              <w:t>P48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817"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default" w:ascii="Times New Roman" w:hAnsi="Times New Roman" w:eastAsia="仿宋_GB2312" w:cs="Times New Roman"/>
                <w:bCs/>
                <w:color w:val="auto"/>
                <w:spacing w:val="-4"/>
                <w:sz w:val="21"/>
                <w:szCs w:val="21"/>
                <w:lang w:val="en-US" w:eastAsia="zh-CN"/>
              </w:rPr>
            </w:pPr>
            <w:r>
              <w:rPr>
                <w:rFonts w:hint="eastAsia" w:eastAsia="仿宋_GB2312" w:cs="Times New Roman"/>
                <w:bCs/>
                <w:color w:val="auto"/>
                <w:spacing w:val="-4"/>
                <w:sz w:val="21"/>
                <w:szCs w:val="21"/>
                <w:lang w:val="en-US" w:eastAsia="zh-CN"/>
              </w:rPr>
              <w:t>24</w:t>
            </w:r>
          </w:p>
        </w:tc>
        <w:tc>
          <w:tcPr>
            <w:tcW w:w="3150" w:type="dxa"/>
            <w:tcBorders>
              <w:top w:val="single" w:color="auto" w:sz="4" w:space="0"/>
              <w:left w:val="single" w:color="auto" w:sz="4" w:space="0"/>
              <w:bottom w:val="single" w:color="auto" w:sz="4" w:space="0"/>
              <w:right w:val="single" w:color="auto" w:sz="4" w:space="0"/>
            </w:tcBorders>
            <w:vAlign w:val="center"/>
          </w:tcPr>
          <w:p>
            <w:pPr>
              <w:spacing w:line="500" w:lineRule="exact"/>
              <w:ind w:firstLine="560"/>
              <w:rPr>
                <w:rFonts w:hint="eastAsia"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rPr>
              <w:t>根据水保[2019]160号、办水保[2019]172号，完善水土保持管理相关内容</w:t>
            </w:r>
          </w:p>
        </w:tc>
        <w:tc>
          <w:tcPr>
            <w:tcW w:w="2863"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464"/>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已完善相关内容</w:t>
            </w:r>
          </w:p>
        </w:tc>
        <w:tc>
          <w:tcPr>
            <w:tcW w:w="1692" w:type="dxa"/>
            <w:tcBorders>
              <w:top w:val="single" w:color="auto" w:sz="4" w:space="0"/>
              <w:left w:val="single" w:color="auto" w:sz="4" w:space="0"/>
              <w:bottom w:val="single" w:color="auto" w:sz="4" w:space="0"/>
              <w:right w:val="single" w:color="auto" w:sz="4" w:space="0"/>
            </w:tcBorders>
            <w:vAlign w:val="center"/>
          </w:tcPr>
          <w:p>
            <w:pPr>
              <w:tabs>
                <w:tab w:val="left" w:pos="6510"/>
              </w:tabs>
              <w:ind w:firstLine="0" w:firstLineChars="0"/>
              <w:jc w:val="center"/>
              <w:rPr>
                <w:rFonts w:hint="default" w:ascii="Times New Roman" w:hAnsi="Times New Roman" w:eastAsia="仿宋_GB2312" w:cs="Times New Roman"/>
                <w:bCs/>
                <w:color w:val="auto"/>
                <w:spacing w:val="-4"/>
                <w:sz w:val="21"/>
                <w:szCs w:val="21"/>
              </w:rPr>
            </w:pPr>
            <w:r>
              <w:rPr>
                <w:rFonts w:hint="default" w:ascii="Times New Roman" w:hAnsi="Times New Roman" w:eastAsia="仿宋_GB2312" w:cs="Times New Roman"/>
                <w:bCs/>
                <w:color w:val="auto"/>
                <w:spacing w:val="-4"/>
                <w:sz w:val="21"/>
                <w:szCs w:val="21"/>
              </w:rPr>
              <w:t>第</w:t>
            </w:r>
            <w:r>
              <w:rPr>
                <w:rFonts w:hint="eastAsia" w:eastAsia="仿宋_GB2312" w:cs="Times New Roman"/>
                <w:bCs/>
                <w:color w:val="auto"/>
                <w:spacing w:val="-4"/>
                <w:sz w:val="21"/>
                <w:szCs w:val="21"/>
                <w:lang w:val="en-US" w:eastAsia="zh-CN"/>
              </w:rPr>
              <w:t>8</w:t>
            </w:r>
            <w:r>
              <w:rPr>
                <w:rFonts w:hint="default" w:ascii="Times New Roman" w:hAnsi="Times New Roman" w:eastAsia="仿宋_GB2312" w:cs="Times New Roman"/>
                <w:bCs/>
                <w:color w:val="auto"/>
                <w:spacing w:val="-4"/>
                <w:sz w:val="21"/>
                <w:szCs w:val="21"/>
              </w:rPr>
              <w:t>章</w:t>
            </w:r>
          </w:p>
        </w:tc>
      </w:tr>
    </w:tbl>
    <w:p>
      <w:pPr>
        <w:ind w:firstLine="1960" w:firstLineChars="700"/>
        <w:rPr>
          <w:rFonts w:hint="default" w:ascii="Times New Roman" w:hAnsi="Times New Roman" w:eastAsia="黑体" w:cs="Times New Roman"/>
          <w:color w:val="auto"/>
          <w:sz w:val="28"/>
          <w:szCs w:val="28"/>
        </w:rPr>
      </w:pPr>
    </w:p>
    <w:p>
      <w:pPr>
        <w:ind w:firstLine="280" w:firstLineChars="100"/>
        <w:rPr>
          <w:rFonts w:hint="default" w:ascii="Times New Roman" w:hAnsi="Times New Roman" w:eastAsia="黑体" w:cs="Times New Roman"/>
          <w:color w:val="auto"/>
          <w:sz w:val="28"/>
          <w:szCs w:val="28"/>
        </w:rPr>
      </w:pPr>
    </w:p>
    <w:p>
      <w:pPr>
        <w:spacing w:line="240" w:lineRule="auto"/>
        <w:ind w:firstLine="0" w:firstLineChars="0"/>
        <w:jc w:val="center"/>
        <w:rPr>
          <w:rFonts w:hint="default" w:ascii="Times New Roman" w:hAnsi="Times New Roman" w:eastAsia="仿宋_GB2312" w:cs="Times New Roman"/>
          <w:b/>
          <w:bCs/>
          <w:color w:val="auto"/>
          <w:sz w:val="21"/>
          <w:szCs w:val="21"/>
          <w:lang w:val="en-US" w:eastAsia="zh-CN"/>
        </w:rPr>
      </w:pPr>
      <w:r>
        <w:rPr>
          <w:rFonts w:hint="default" w:ascii="Times New Roman" w:hAnsi="Times New Roman" w:eastAsia="仿宋_GB2312" w:cs="Times New Roman"/>
          <w:b/>
          <w:bCs/>
          <w:color w:val="auto"/>
          <w:sz w:val="21"/>
          <w:szCs w:val="21"/>
        </w:rPr>
        <w:t>红原县2015年薄弱学校改造（藏文中学）建设项目</w:t>
      </w:r>
      <w:r>
        <w:rPr>
          <w:rFonts w:hint="default" w:ascii="Times New Roman" w:hAnsi="Times New Roman" w:eastAsia="仿宋_GB2312" w:cs="Times New Roman"/>
          <w:b/>
          <w:bCs/>
          <w:color w:val="auto"/>
          <w:sz w:val="21"/>
          <w:szCs w:val="21"/>
          <w:lang w:val="en-US" w:eastAsia="zh-CN"/>
        </w:rPr>
        <w:t>水土保持方案特性表</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4"/>
        <w:gridCol w:w="993"/>
        <w:gridCol w:w="1134"/>
        <w:gridCol w:w="1562"/>
        <w:gridCol w:w="139"/>
        <w:gridCol w:w="856"/>
        <w:gridCol w:w="994"/>
        <w:gridCol w:w="21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项目概况</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位置</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四川省阿坝藏族羌族自治州红原县邛溪镇藏文中学内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建设内容</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1102"/>
              <w:spacing w:line="240" w:lineRule="auto"/>
              <w:ind w:firstLine="36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新建藏文图书馆及配套设施；项目净用地面积916.76m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，总建筑面积</w:t>
            </w:r>
            <w:r>
              <w:rPr>
                <w:rFonts w:hint="default" w:ascii="Times New Roman" w:hAnsi="Times New Roman" w:cs="Times New Roman"/>
                <w:bCs/>
                <w:color w:val="auto"/>
                <w:sz w:val="18"/>
                <w:szCs w:val="18"/>
              </w:rPr>
              <w:t>1796.03</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；建筑基底面积916.76m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，容积率1.95，建筑密度100%。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建设性质</w:t>
            </w:r>
          </w:p>
        </w:tc>
        <w:tc>
          <w:tcPr>
            <w:tcW w:w="15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新建、建设类</w:t>
            </w:r>
          </w:p>
        </w:tc>
        <w:tc>
          <w:tcPr>
            <w:tcW w:w="1989"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总投资（万元）</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土建投资（万元）</w:t>
            </w:r>
          </w:p>
        </w:tc>
        <w:tc>
          <w:tcPr>
            <w:tcW w:w="1562"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278</w:t>
            </w:r>
          </w:p>
        </w:tc>
        <w:tc>
          <w:tcPr>
            <w:tcW w:w="1989" w:type="dxa"/>
            <w:gridSpan w:val="3"/>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占地面积（hm</w:t>
            </w:r>
            <w:r>
              <w:rPr>
                <w:rFonts w:hint="default" w:ascii="Times New Roman" w:hAnsi="Times New Roman" w:eastAsia="仿宋_GB2312" w:cs="Times New Roman"/>
                <w:color w:val="auto"/>
                <w:sz w:val="18"/>
                <w:szCs w:val="18"/>
                <w:vertAlign w:val="superscript"/>
              </w:rPr>
              <w:t>2</w:t>
            </w:r>
            <w:r>
              <w:rPr>
                <w:rFonts w:hint="default" w:ascii="Times New Roman" w:hAnsi="Times New Roman" w:eastAsia="仿宋_GB2312" w:cs="Times New Roman"/>
                <w:color w:val="auto"/>
                <w:sz w:val="18"/>
                <w:szCs w:val="18"/>
              </w:rPr>
              <w:t>）</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rPr>
              <w:t>永久：0.</w:t>
            </w:r>
            <w:r>
              <w:rPr>
                <w:rFonts w:hint="default" w:ascii="Times New Roman" w:hAnsi="Times New Roman" w:eastAsia="仿宋_GB2312" w:cs="Times New Roman"/>
                <w:color w:val="auto"/>
                <w:sz w:val="18"/>
                <w:szCs w:val="18"/>
                <w:lang w:val="en-US" w:eastAsia="zh-CN"/>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1562"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1989" w:type="dxa"/>
            <w:gridSpan w:val="3"/>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临时：0.00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动工时间</w:t>
            </w:r>
          </w:p>
        </w:tc>
        <w:tc>
          <w:tcPr>
            <w:tcW w:w="2557"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2016年11月</w:t>
            </w:r>
          </w:p>
        </w:tc>
        <w:tc>
          <w:tcPr>
            <w:tcW w:w="9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完工时间</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2017年11月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土石方（万m</w:t>
            </w:r>
            <w:r>
              <w:rPr>
                <w:rFonts w:hint="default" w:ascii="Times New Roman" w:hAnsi="Times New Roman" w:eastAsia="仿宋_GB2312" w:cs="Times New Roman"/>
                <w:color w:val="auto"/>
                <w:sz w:val="18"/>
                <w:szCs w:val="18"/>
                <w:vertAlign w:val="superscript"/>
              </w:rPr>
              <w:t>3</w:t>
            </w:r>
            <w:r>
              <w:rPr>
                <w:rFonts w:hint="default" w:ascii="Times New Roman" w:hAnsi="Times New Roman" w:eastAsia="仿宋_GB2312" w:cs="Times New Roman"/>
                <w:color w:val="auto"/>
                <w:sz w:val="18"/>
                <w:szCs w:val="18"/>
              </w:rPr>
              <w:t>）</w:t>
            </w:r>
          </w:p>
        </w:tc>
        <w:tc>
          <w:tcPr>
            <w:tcW w:w="15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挖方</w:t>
            </w:r>
          </w:p>
        </w:tc>
        <w:tc>
          <w:tcPr>
            <w:tcW w:w="995"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填方</w:t>
            </w:r>
          </w:p>
        </w:tc>
        <w:tc>
          <w:tcPr>
            <w:tcW w:w="9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借方</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余（弃）方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156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0.15</w:t>
            </w:r>
          </w:p>
        </w:tc>
        <w:tc>
          <w:tcPr>
            <w:tcW w:w="995"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0.15</w:t>
            </w:r>
          </w:p>
        </w:tc>
        <w:tc>
          <w:tcPr>
            <w:tcW w:w="99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0.00</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取土（石、砂）场</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left="480" w:firstLine="360"/>
              <w:jc w:val="both"/>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不设置取土（石、砂）场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弃土（石、渣）场</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left="480" w:firstLine="360"/>
              <w:jc w:val="left"/>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不设置弃土（石、渣）场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项目区</w:t>
            </w:r>
          </w:p>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概况</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涉及重点防治区情况</w:t>
            </w:r>
          </w:p>
        </w:tc>
        <w:tc>
          <w:tcPr>
            <w:tcW w:w="2557" w:type="dxa"/>
            <w:gridSpan w:val="3"/>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994" w:type="dxa"/>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jc w:val="both"/>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地貌类型</w:t>
            </w:r>
          </w:p>
        </w:tc>
        <w:tc>
          <w:tcPr>
            <w:tcW w:w="2143" w:type="dxa"/>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丘状高原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jc w:val="both"/>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原地貌土壤侵蚀模数[t/(km</w:t>
            </w:r>
            <w:r>
              <w:rPr>
                <w:rFonts w:hint="default" w:ascii="Times New Roman" w:hAnsi="Times New Roman" w:eastAsia="仿宋_GB2312" w:cs="Times New Roman"/>
                <w:color w:val="auto"/>
                <w:sz w:val="18"/>
                <w:szCs w:val="18"/>
                <w:vertAlign w:val="superscript"/>
              </w:rPr>
              <w:t>2</w:t>
            </w:r>
            <w:r>
              <w:rPr>
                <w:rFonts w:hint="default" w:ascii="Times New Roman" w:hAnsi="Times New Roman" w:eastAsia="仿宋_GB2312" w:cs="Times New Roman"/>
                <w:color w:val="auto"/>
                <w:sz w:val="18"/>
                <w:szCs w:val="18"/>
              </w:rPr>
              <w:t>.a)]</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300</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容许土壤流失量[t/(km</w:t>
            </w:r>
            <w:r>
              <w:rPr>
                <w:rFonts w:hint="default" w:ascii="Times New Roman" w:hAnsi="Times New Roman" w:eastAsia="仿宋_GB2312" w:cs="Times New Roman"/>
                <w:color w:val="auto"/>
                <w:sz w:val="18"/>
                <w:szCs w:val="18"/>
                <w:vertAlign w:val="superscript"/>
              </w:rPr>
              <w:t>2</w:t>
            </w:r>
            <w:r>
              <w:rPr>
                <w:rFonts w:hint="default" w:ascii="Times New Roman" w:hAnsi="Times New Roman" w:eastAsia="仿宋_GB2312" w:cs="Times New Roman"/>
                <w:color w:val="auto"/>
                <w:sz w:val="18"/>
                <w:szCs w:val="18"/>
              </w:rPr>
              <w:t>.a)]</w:t>
            </w:r>
          </w:p>
        </w:tc>
        <w:tc>
          <w:tcPr>
            <w:tcW w:w="2143" w:type="dxa"/>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jc w:val="both"/>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项目选址（线）水土保持评价</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jc w:val="both"/>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主体工程选址除没无法避开金沙江岷江上游及三江并流国家级水土流失重点预防区，方案将提高防治目标，提高设计标准，加强水土保持；工程不涉及其他水土保持制约因素。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调查</w:t>
            </w:r>
            <w:r>
              <w:rPr>
                <w:rFonts w:hint="default" w:ascii="Times New Roman" w:hAnsi="Times New Roman" w:eastAsia="仿宋_GB2312" w:cs="Times New Roman"/>
                <w:color w:val="auto"/>
                <w:sz w:val="18"/>
                <w:szCs w:val="18"/>
              </w:rPr>
              <w:t>水土流失总量(t)</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left="480" w:firstLine="360"/>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4.75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2761" w:type="dxa"/>
            <w:gridSpan w:val="3"/>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防治责任范围（hm</w:t>
            </w:r>
            <w:r>
              <w:rPr>
                <w:rFonts w:hint="default" w:ascii="Times New Roman" w:hAnsi="Times New Roman" w:eastAsia="仿宋_GB2312" w:cs="Times New Roman"/>
                <w:color w:val="auto"/>
                <w:sz w:val="18"/>
                <w:szCs w:val="18"/>
                <w:vertAlign w:val="superscript"/>
              </w:rPr>
              <w:t>2</w:t>
            </w:r>
            <w:r>
              <w:rPr>
                <w:rFonts w:hint="default" w:ascii="Times New Roman" w:hAnsi="Times New Roman" w:eastAsia="仿宋_GB2312" w:cs="Times New Roman"/>
                <w:color w:val="auto"/>
                <w:sz w:val="18"/>
                <w:szCs w:val="18"/>
              </w:rPr>
              <w:t>）</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left="480" w:firstLine="360"/>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rPr>
              <w:t>0.</w:t>
            </w:r>
            <w:r>
              <w:rPr>
                <w:rFonts w:hint="default" w:ascii="Times New Roman" w:hAnsi="Times New Roman" w:eastAsia="仿宋_GB2312" w:cs="Times New Roman"/>
                <w:color w:val="auto"/>
                <w:sz w:val="18"/>
                <w:szCs w:val="18"/>
                <w:lang w:val="en-US" w:eastAsia="zh-CN"/>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防治标准等级及目标</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防治标准等级</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青藏高原区一级标准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水土流失治理度（%）</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85</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土壤流失控制比</w:t>
            </w:r>
          </w:p>
        </w:tc>
        <w:tc>
          <w:tcPr>
            <w:tcW w:w="2143" w:type="dxa"/>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渣土防护率（%）</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87</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表土保护率（%）</w:t>
            </w:r>
          </w:p>
        </w:tc>
        <w:tc>
          <w:tcPr>
            <w:tcW w:w="2143" w:type="dxa"/>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林草植被恢复率（%）</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林草覆盖率（%）</w:t>
            </w:r>
          </w:p>
        </w:tc>
        <w:tc>
          <w:tcPr>
            <w:tcW w:w="2143" w:type="dxa"/>
            <w:tcBorders>
              <w:top w:val="single" w:color="auto" w:sz="4" w:space="0"/>
              <w:left w:val="single" w:color="auto" w:sz="4" w:space="0"/>
              <w:bottom w:val="single" w:color="auto" w:sz="4" w:space="0"/>
              <w:right w:val="single" w:color="auto" w:sz="4" w:space="0"/>
            </w:tcBorders>
            <w:vAlign w:val="center"/>
          </w:tcPr>
          <w:p>
            <w:pPr>
              <w:widowControl/>
              <w:spacing w:before="40" w:after="40"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水土保持</w:t>
            </w:r>
          </w:p>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措施</w:t>
            </w:r>
          </w:p>
        </w:tc>
        <w:tc>
          <w:tcPr>
            <w:tcW w:w="7821" w:type="dxa"/>
            <w:gridSpan w:val="7"/>
            <w:tcBorders>
              <w:top w:val="single" w:color="auto" w:sz="4" w:space="0"/>
              <w:left w:val="single" w:color="auto" w:sz="4" w:space="0"/>
              <w:bottom w:val="single" w:color="auto" w:sz="4" w:space="0"/>
              <w:right w:val="single" w:color="auto" w:sz="4" w:space="0"/>
            </w:tcBorders>
            <w:vAlign w:val="center"/>
          </w:tcPr>
          <w:p>
            <w:pPr>
              <w:spacing w:line="240" w:lineRule="auto"/>
              <w:ind w:firstLine="360"/>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eastAsia="zh-CN"/>
              </w:rPr>
              <w:t>（</w:t>
            </w:r>
            <w:r>
              <w:rPr>
                <w:rFonts w:hint="default" w:ascii="Times New Roman" w:hAnsi="Times New Roman" w:eastAsia="仿宋_GB2312" w:cs="Times New Roman"/>
                <w:color w:val="auto"/>
                <w:kern w:val="0"/>
                <w:sz w:val="18"/>
                <w:szCs w:val="18"/>
                <w:lang w:val="en-US" w:eastAsia="zh-CN"/>
              </w:rPr>
              <w:t>1</w:t>
            </w:r>
            <w:r>
              <w:rPr>
                <w:rFonts w:hint="default" w:ascii="Times New Roman" w:hAnsi="Times New Roman" w:eastAsia="仿宋_GB2312" w:cs="Times New Roman"/>
                <w:color w:val="auto"/>
                <w:kern w:val="0"/>
                <w:sz w:val="18"/>
                <w:szCs w:val="18"/>
                <w:lang w:eastAsia="zh-CN"/>
              </w:rPr>
              <w:t>）</w:t>
            </w:r>
            <w:r>
              <w:rPr>
                <w:rFonts w:hint="default" w:ascii="Times New Roman" w:hAnsi="Times New Roman" w:eastAsia="仿宋_GB2312" w:cs="Times New Roman"/>
                <w:color w:val="auto"/>
                <w:kern w:val="0"/>
                <w:sz w:val="18"/>
                <w:szCs w:val="18"/>
                <w:lang w:val="en-US" w:eastAsia="zh-CN"/>
              </w:rPr>
              <w:t>主体工程区</w:t>
            </w:r>
          </w:p>
          <w:p>
            <w:pPr>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*1）工程措施：散水暗沟123.02m（主体已有，已实施）；</w:t>
            </w:r>
            <w:r>
              <w:rPr>
                <w:rFonts w:hint="default" w:ascii="Times New Roman" w:hAnsi="Times New Roman" w:eastAsia="仿宋_GB2312" w:cs="Times New Roman"/>
                <w:color w:val="auto"/>
                <w:sz w:val="18"/>
                <w:szCs w:val="18"/>
              </w:rPr>
              <w:t>散水暗沟设置在建筑周围；</w:t>
            </w:r>
            <w:r>
              <w:rPr>
                <w:rFonts w:hint="default" w:ascii="Times New Roman" w:hAnsi="Times New Roman" w:eastAsia="仿宋_GB2312" w:cs="Times New Roman"/>
                <w:color w:val="auto"/>
                <w:kern w:val="0"/>
                <w:sz w:val="18"/>
                <w:szCs w:val="18"/>
              </w:rPr>
              <w:t>散水暗沟净断面：0.40m（宽）×0.45m（深），采用150mm厚C20混凝土结构</w:t>
            </w:r>
            <w:r>
              <w:rPr>
                <w:rFonts w:hint="default" w:ascii="Times New Roman" w:hAnsi="Times New Roman" w:eastAsia="仿宋_GB2312" w:cs="Times New Roman"/>
                <w:color w:val="auto"/>
                <w:sz w:val="18"/>
                <w:szCs w:val="18"/>
              </w:rPr>
              <w:t>，成品盖板；于2017年7月～9月实施。</w:t>
            </w:r>
          </w:p>
          <w:p>
            <w:pPr>
              <w:widowControl/>
              <w:autoSpaceDN w:val="0"/>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r>
              <w:rPr>
                <w:rFonts w:hint="default" w:ascii="Times New Roman" w:hAnsi="Times New Roman" w:eastAsia="仿宋_GB2312" w:cs="Times New Roman"/>
                <w:color w:val="auto"/>
                <w:sz w:val="18"/>
                <w:szCs w:val="18"/>
              </w:rPr>
              <w:t>临时措施：</w:t>
            </w:r>
            <w:r>
              <w:rPr>
                <w:rFonts w:hint="default" w:ascii="Times New Roman" w:hAnsi="Times New Roman" w:eastAsia="仿宋_GB2312" w:cs="Times New Roman"/>
                <w:color w:val="auto"/>
                <w:kern w:val="0"/>
                <w:sz w:val="18"/>
                <w:szCs w:val="18"/>
              </w:rPr>
              <w:t>防雨布遮盖500m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（主体已有，已实施），对建构筑物基础挖方进行临时遮盖，于2016年11月～2017年6月实施。</w:t>
            </w:r>
          </w:p>
          <w:p>
            <w:pPr>
              <w:widowControl/>
              <w:autoSpaceDN w:val="0"/>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kern w:val="0"/>
                <w:sz w:val="18"/>
                <w:szCs w:val="18"/>
                <w:lang w:val="en-US" w:eastAsia="zh-CN"/>
              </w:rPr>
              <w:t>2</w:t>
            </w: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kern w:val="0"/>
                <w:sz w:val="18"/>
                <w:szCs w:val="18"/>
                <w:lang w:val="en-US" w:eastAsia="zh-CN"/>
              </w:rPr>
              <w:t>附属设施区</w:t>
            </w:r>
          </w:p>
          <w:p>
            <w:pPr>
              <w:widowControl/>
              <w:autoSpaceDN w:val="0"/>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r>
              <w:rPr>
                <w:rFonts w:hint="default" w:ascii="Times New Roman" w:hAnsi="Times New Roman" w:eastAsia="仿宋_GB2312" w:cs="Times New Roman"/>
                <w:color w:val="auto"/>
                <w:kern w:val="0"/>
                <w:sz w:val="18"/>
                <w:szCs w:val="18"/>
                <w:lang w:val="en-US" w:eastAsia="zh-CN"/>
              </w:rPr>
              <w:t>1</w:t>
            </w:r>
            <w:r>
              <w:rPr>
                <w:rFonts w:hint="default" w:ascii="Times New Roman" w:hAnsi="Times New Roman" w:eastAsia="仿宋_GB2312" w:cs="Times New Roman"/>
                <w:color w:val="auto"/>
                <w:kern w:val="0"/>
                <w:sz w:val="18"/>
                <w:szCs w:val="18"/>
              </w:rPr>
              <w:t>）临时措施：防雨布遮盖</w:t>
            </w:r>
            <w:r>
              <w:rPr>
                <w:rFonts w:hint="default" w:ascii="Times New Roman" w:hAnsi="Times New Roman" w:eastAsia="仿宋_GB2312" w:cs="Times New Roman"/>
                <w:color w:val="auto"/>
                <w:kern w:val="0"/>
                <w:sz w:val="18"/>
                <w:szCs w:val="18"/>
                <w:lang w:val="en-US" w:eastAsia="zh-CN"/>
              </w:rPr>
              <w:t>3</w:t>
            </w:r>
            <w:r>
              <w:rPr>
                <w:rFonts w:hint="default" w:ascii="Times New Roman" w:hAnsi="Times New Roman" w:eastAsia="仿宋_GB2312" w:cs="Times New Roman"/>
                <w:color w:val="auto"/>
                <w:kern w:val="0"/>
                <w:sz w:val="18"/>
                <w:szCs w:val="18"/>
              </w:rPr>
              <w:t>00m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（主体已有，已实施），对</w:t>
            </w:r>
            <w:r>
              <w:rPr>
                <w:rFonts w:hint="default" w:ascii="Times New Roman" w:hAnsi="Times New Roman" w:eastAsia="仿宋_GB2312" w:cs="Times New Roman"/>
                <w:color w:val="auto"/>
                <w:kern w:val="0"/>
                <w:sz w:val="18"/>
                <w:szCs w:val="18"/>
                <w:lang w:val="en-US" w:eastAsia="zh-CN"/>
              </w:rPr>
              <w:t>管线沟槽开挖的临时堆土进行遮盖</w:t>
            </w:r>
            <w:r>
              <w:rPr>
                <w:rFonts w:hint="default" w:ascii="Times New Roman" w:hAnsi="Times New Roman" w:eastAsia="仿宋_GB2312" w:cs="Times New Roman"/>
                <w:color w:val="auto"/>
                <w:kern w:val="0"/>
                <w:sz w:val="18"/>
                <w:szCs w:val="18"/>
              </w:rPr>
              <w:t>，于2016年11月～2017年6月实施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restart"/>
            <w:tcBorders>
              <w:top w:val="single" w:color="auto" w:sz="4" w:space="0"/>
              <w:left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水土保持投资估算</w:t>
            </w:r>
          </w:p>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（万元）</w:t>
            </w: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工程措施</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4.12</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植物措施</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临时措施</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0.25</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pStyle w:val="588"/>
              <w:tabs>
                <w:tab w:val="left" w:pos="598"/>
              </w:tabs>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水土保持补偿费</w:t>
            </w:r>
          </w:p>
        </w:tc>
        <w:tc>
          <w:tcPr>
            <w:tcW w:w="2143"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独立费用</w:t>
            </w:r>
          </w:p>
        </w:tc>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建设管理费</w:t>
            </w:r>
          </w:p>
        </w:tc>
        <w:tc>
          <w:tcPr>
            <w:tcW w:w="3993"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水土保持监理费</w:t>
            </w:r>
          </w:p>
        </w:tc>
        <w:tc>
          <w:tcPr>
            <w:tcW w:w="3993"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1701" w:type="dxa"/>
            <w:gridSpan w:val="2"/>
            <w:tcBorders>
              <w:top w:val="single" w:color="auto" w:sz="4" w:space="0"/>
              <w:left w:val="single" w:color="auto" w:sz="4" w:space="0"/>
              <w:right w:val="single" w:color="auto" w:sz="4" w:space="0"/>
            </w:tcBorders>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lang w:bidi="ar"/>
              </w:rPr>
              <w:t>设计费</w:t>
            </w:r>
          </w:p>
        </w:tc>
        <w:tc>
          <w:tcPr>
            <w:tcW w:w="3993"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left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基本预备费</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634" w:type="dxa"/>
            <w:vMerge w:val="continue"/>
            <w:tcBorders>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总投资</w:t>
            </w:r>
          </w:p>
        </w:tc>
        <w:tc>
          <w:tcPr>
            <w:tcW w:w="5694" w:type="dxa"/>
            <w:gridSpan w:val="5"/>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12.79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方案编制单位</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四川星原环保科技有限责任公司</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建设单位</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红原县教育局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法定代表人</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沙万勤</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法定代表人</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杨军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地址</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四川省</w:t>
            </w:r>
            <w:r>
              <w:rPr>
                <w:rFonts w:hint="default" w:ascii="Times New Roman" w:hAnsi="Times New Roman" w:eastAsia="仿宋_GB2312" w:cs="Times New Roman"/>
                <w:color w:val="auto"/>
                <w:sz w:val="18"/>
                <w:szCs w:val="18"/>
                <w:lang w:val="en-US" w:eastAsia="zh-CN"/>
              </w:rPr>
              <w:t>成都市</w:t>
            </w:r>
            <w:r>
              <w:rPr>
                <w:rFonts w:hint="default" w:ascii="Times New Roman" w:hAnsi="Times New Roman" w:eastAsia="仿宋_GB2312" w:cs="Times New Roman"/>
                <w:color w:val="auto"/>
                <w:sz w:val="18"/>
                <w:szCs w:val="18"/>
              </w:rPr>
              <w:t>锦江区城守东大街59-61号7层</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地址</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四川省阿坝藏族羌族自治州红原县邛溪镇霞穹中街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邮编</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610016</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邮编</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624400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联系人及电话</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沙万勤15982887547</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联系人及电话</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sz w:val="18"/>
                <w:szCs w:val="18"/>
                <w:lang w:val="en-US" w:eastAsia="zh-CN"/>
              </w:rPr>
            </w:pPr>
            <w:r>
              <w:rPr>
                <w:rFonts w:hint="eastAsia" w:eastAsia="仿宋_GB2312" w:cs="Times New Roman"/>
                <w:color w:val="auto"/>
                <w:sz w:val="18"/>
                <w:szCs w:val="18"/>
                <w:lang w:val="en-US" w:eastAsia="zh-CN"/>
              </w:rPr>
              <w:t>许富强0837-8995677</w:t>
            </w:r>
          </w:p>
        </w:tc>
      </w:tr>
      <w:bookmarkEnd w:id="226"/>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传真</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传真</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0837-2662051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 w:hRule="atLeast"/>
          <w:jc w:val="center"/>
        </w:trPr>
        <w:tc>
          <w:tcPr>
            <w:tcW w:w="1627"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bookmarkStart w:id="227" w:name="_GoBack" w:colFirst="5" w:colLast="5"/>
            <w:r>
              <w:rPr>
                <w:rFonts w:hint="default" w:ascii="Times New Roman" w:hAnsi="Times New Roman" w:eastAsia="仿宋_GB2312" w:cs="Times New Roman"/>
                <w:color w:val="auto"/>
                <w:sz w:val="18"/>
                <w:szCs w:val="18"/>
              </w:rPr>
              <w:t>电子信箱</w:t>
            </w:r>
          </w:p>
        </w:tc>
        <w:tc>
          <w:tcPr>
            <w:tcW w:w="2835" w:type="dxa"/>
            <w:gridSpan w:val="3"/>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479946875@qq.com</w:t>
            </w:r>
          </w:p>
        </w:tc>
        <w:tc>
          <w:tcPr>
            <w:tcW w:w="1850"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电子信箱</w:t>
            </w:r>
          </w:p>
        </w:tc>
        <w:tc>
          <w:tcPr>
            <w:tcW w:w="21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20" w:lineRule="exact"/>
              <w:ind w:firstLine="0" w:firstLineChars="0"/>
              <w:jc w:val="center"/>
              <w:rPr>
                <w:rFonts w:hint="default" w:ascii="Times New Roman" w:hAnsi="Times New Roman" w:eastAsia="仿宋_GB2312" w:cs="Times New Roman"/>
                <w:color w:val="auto"/>
                <w:sz w:val="18"/>
                <w:szCs w:val="18"/>
              </w:rPr>
            </w:pPr>
            <w:r>
              <w:rPr>
                <w:rFonts w:hint="eastAsia" w:eastAsia="仿宋_GB2312" w:cs="Times New Roman"/>
                <w:color w:val="auto"/>
                <w:sz w:val="18"/>
                <w:szCs w:val="18"/>
                <w:lang w:val="en-US" w:eastAsia="zh-CN"/>
              </w:rPr>
              <w:t>765455901</w:t>
            </w:r>
            <w:r>
              <w:rPr>
                <w:rFonts w:hint="default" w:ascii="Times New Roman" w:hAnsi="Times New Roman" w:eastAsia="仿宋_GB2312" w:cs="Times New Roman"/>
                <w:color w:val="auto"/>
                <w:sz w:val="18"/>
                <w:szCs w:val="18"/>
              </w:rPr>
              <w:t>@qq.com</w:t>
            </w:r>
          </w:p>
        </w:tc>
      </w:tr>
    </w:tbl>
    <w:p>
      <w:pPr>
        <w:ind w:firstLine="0" w:firstLineChars="0"/>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说    明</w:t>
      </w:r>
    </w:p>
    <w:p>
      <w:pPr>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1、本方案表格是参照中华人民共和国国家标准GB50433-2018编制。</w:t>
      </w:r>
    </w:p>
    <w:p>
      <w:pPr>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2、封面后应附责任页。</w:t>
      </w:r>
    </w:p>
    <w:p>
      <w:pPr>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3、报告表后应附项目支持性文件、地理位置图和总平面布置图。</w:t>
      </w:r>
    </w:p>
    <w:p>
      <w:pPr>
        <w:ind w:firstLine="42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4、用此表表达不清的事项，可用附件表述。</w:t>
      </w: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spacing w:line="480" w:lineRule="auto"/>
        <w:ind w:firstLine="480"/>
        <w:rPr>
          <w:rFonts w:hint="default" w:ascii="Times New Roman" w:hAnsi="Times New Roman" w:eastAsia="黑体" w:cs="Times New Roman"/>
          <w:color w:val="auto"/>
          <w:szCs w:val="24"/>
        </w:rPr>
      </w:pPr>
    </w:p>
    <w:p>
      <w:pPr>
        <w:widowControl/>
        <w:spacing w:line="240" w:lineRule="auto"/>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drawing>
          <wp:inline distT="0" distB="0" distL="114300" distR="114300">
            <wp:extent cx="5276215" cy="3957320"/>
            <wp:effectExtent l="0" t="0" r="6985" b="5080"/>
            <wp:docPr id="6" name="图片 6" descr="微信图片_2020080310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00803103435"/>
                    <pic:cNvPicPr>
                      <a:picLocks noChangeAspect="1"/>
                    </pic:cNvPicPr>
                  </pic:nvPicPr>
                  <pic:blipFill>
                    <a:blip r:embed="rId21"/>
                    <a:stretch>
                      <a:fillRect/>
                    </a:stretch>
                  </pic:blipFill>
                  <pic:spPr>
                    <a:xfrm>
                      <a:off x="0" y="0"/>
                      <a:ext cx="5276215" cy="3957320"/>
                    </a:xfrm>
                    <a:prstGeom prst="rect">
                      <a:avLst/>
                    </a:prstGeom>
                  </pic:spPr>
                </pic:pic>
              </a:graphicData>
            </a:graphic>
          </wp:inline>
        </w:drawing>
      </w:r>
    </w:p>
    <w:p>
      <w:pPr>
        <w:widowControl/>
        <w:spacing w:line="240" w:lineRule="auto"/>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图片1   红原县藏文中学校园（2020年7月拍摄）</w:t>
      </w:r>
    </w:p>
    <w:p>
      <w:pPr>
        <w:widowControl/>
        <w:spacing w:line="240" w:lineRule="auto"/>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drawing>
          <wp:inline distT="0" distB="0" distL="114300" distR="114300">
            <wp:extent cx="5276215" cy="3957320"/>
            <wp:effectExtent l="0" t="0" r="6985" b="5080"/>
            <wp:docPr id="8" name="图片 8" descr="微信图片_2020080310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0803103415"/>
                    <pic:cNvPicPr>
                      <a:picLocks noChangeAspect="1"/>
                    </pic:cNvPicPr>
                  </pic:nvPicPr>
                  <pic:blipFill>
                    <a:blip r:embed="rId22"/>
                    <a:stretch>
                      <a:fillRect/>
                    </a:stretch>
                  </pic:blipFill>
                  <pic:spPr>
                    <a:xfrm>
                      <a:off x="0" y="0"/>
                      <a:ext cx="5276215" cy="3957320"/>
                    </a:xfrm>
                    <a:prstGeom prst="rect">
                      <a:avLst/>
                    </a:prstGeom>
                  </pic:spPr>
                </pic:pic>
              </a:graphicData>
            </a:graphic>
          </wp:inline>
        </w:drawing>
      </w:r>
    </w:p>
    <w:p>
      <w:pPr>
        <w:widowControl/>
        <w:spacing w:line="240" w:lineRule="auto"/>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图片2    建筑外部装饰（2020年7月拍摄）</w:t>
      </w:r>
    </w:p>
    <w:p>
      <w:pPr>
        <w:widowControl/>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drawing>
          <wp:inline distT="0" distB="0" distL="114300" distR="114300">
            <wp:extent cx="5276215" cy="3957320"/>
            <wp:effectExtent l="0" t="0" r="6985" b="5080"/>
            <wp:docPr id="17" name="图片 17" descr="微信图片_2020080310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0803105921"/>
                    <pic:cNvPicPr>
                      <a:picLocks noChangeAspect="1"/>
                    </pic:cNvPicPr>
                  </pic:nvPicPr>
                  <pic:blipFill>
                    <a:blip r:embed="rId23"/>
                    <a:stretch>
                      <a:fillRect/>
                    </a:stretch>
                  </pic:blipFill>
                  <pic:spPr>
                    <a:xfrm>
                      <a:off x="0" y="0"/>
                      <a:ext cx="5276215" cy="3957320"/>
                    </a:xfrm>
                    <a:prstGeom prst="rect">
                      <a:avLst/>
                    </a:prstGeom>
                  </pic:spPr>
                </pic:pic>
              </a:graphicData>
            </a:graphic>
          </wp:inline>
        </w:drawing>
      </w:r>
    </w:p>
    <w:p>
      <w:pPr>
        <w:widowControl/>
        <w:spacing w:line="240" w:lineRule="auto"/>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图片3  建筑主体现状（2020年7月拍摄）</w:t>
      </w:r>
    </w:p>
    <w:p>
      <w:pPr>
        <w:spacing w:line="240" w:lineRule="auto"/>
        <w:ind w:firstLine="0" w:firstLineChars="0"/>
        <w:jc w:val="center"/>
        <w:rPr>
          <w:rFonts w:hint="default" w:ascii="Times New Roman" w:hAnsi="Times New Roman" w:eastAsia="仿宋_GB2312" w:cs="Times New Roman"/>
          <w:b/>
          <w:color w:val="auto"/>
          <w:szCs w:val="24"/>
        </w:rPr>
      </w:pPr>
      <w:r>
        <w:rPr>
          <w:rFonts w:hint="default" w:ascii="Times New Roman" w:hAnsi="Times New Roman" w:eastAsia="仿宋_GB2312" w:cs="Times New Roman"/>
          <w:b/>
          <w:color w:val="auto"/>
          <w:szCs w:val="24"/>
        </w:rPr>
        <w:drawing>
          <wp:inline distT="0" distB="0" distL="114300" distR="114300">
            <wp:extent cx="5276215" cy="3957320"/>
            <wp:effectExtent l="0" t="0" r="6985" b="5080"/>
            <wp:docPr id="30" name="图片 30" descr="微信图片_2020080310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0803105918"/>
                    <pic:cNvPicPr>
                      <a:picLocks noChangeAspect="1"/>
                    </pic:cNvPicPr>
                  </pic:nvPicPr>
                  <pic:blipFill>
                    <a:blip r:embed="rId24"/>
                    <a:stretch>
                      <a:fillRect/>
                    </a:stretch>
                  </pic:blipFill>
                  <pic:spPr>
                    <a:xfrm>
                      <a:off x="0" y="0"/>
                      <a:ext cx="5276215" cy="3957320"/>
                    </a:xfrm>
                    <a:prstGeom prst="rect">
                      <a:avLst/>
                    </a:prstGeom>
                  </pic:spPr>
                </pic:pic>
              </a:graphicData>
            </a:graphic>
          </wp:inline>
        </w:drawing>
      </w:r>
    </w:p>
    <w:p>
      <w:pPr>
        <w:widowControl/>
        <w:spacing w:line="240" w:lineRule="auto"/>
        <w:ind w:firstLine="0" w:firstLineChars="0"/>
        <w:jc w:val="center"/>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图片4   主体建筑现状（2020年7月拍摄）</w:t>
      </w:r>
    </w:p>
    <w:p>
      <w:pPr>
        <w:widowControl/>
        <w:spacing w:line="240" w:lineRule="auto"/>
        <w:ind w:firstLine="0" w:firstLineChars="0"/>
        <w:jc w:val="center"/>
        <w:rPr>
          <w:rFonts w:hint="default" w:ascii="Times New Roman" w:hAnsi="Times New Roman" w:eastAsia="黑体" w:cs="Times New Roman"/>
          <w:color w:val="auto"/>
          <w:kern w:val="0"/>
          <w:sz w:val="32"/>
          <w:szCs w:val="32"/>
        </w:rPr>
      </w:pPr>
    </w:p>
    <w:p>
      <w:pPr>
        <w:widowControl/>
        <w:spacing w:line="240" w:lineRule="auto"/>
        <w:ind w:firstLine="0" w:firstLineChars="0"/>
        <w:jc w:val="center"/>
        <w:rPr>
          <w:rFonts w:hint="default" w:ascii="Times New Roman" w:hAnsi="Times New Roman" w:eastAsia="黑体" w:cs="Times New Roman"/>
          <w:color w:val="auto"/>
          <w:kern w:val="0"/>
          <w:sz w:val="32"/>
          <w:szCs w:val="32"/>
        </w:rPr>
      </w:pPr>
      <w:r>
        <w:rPr>
          <w:rFonts w:hint="default" w:ascii="Times New Roman" w:hAnsi="Times New Roman" w:eastAsia="黑体" w:cs="Times New Roman"/>
          <w:color w:val="auto"/>
          <w:kern w:val="0"/>
          <w:sz w:val="32"/>
          <w:szCs w:val="32"/>
        </w:rPr>
        <w:t>目 录</w:t>
      </w:r>
    </w:p>
    <w:p>
      <w:pPr>
        <w:pStyle w:val="40"/>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TOC \o "1-2" \h \z \u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_Toc7268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1 综合说明</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_Toc7268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_Toc15201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1.1 项目简况</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_Toc15201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_Toc17355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1.2编制依据</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_Toc17355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_Toc601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1.3 设计水平年</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_Toc601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_Toc26490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1.4水土流失防治责任范围</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_Toc26490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_Toc7463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1.5水土流失防治目标</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_Toc7463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_Toc13989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1.6项目水土保持分析评价结论</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_Toc13989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7</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_Toc15757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1.7 水土流失调查结果</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_Toc15757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8</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_Toc26072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1.8水土保持措施布局结果</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_Toc26072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8</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_Toc20572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1.9水土保持监测方案</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_Toc20572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9</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_Toc22355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1.</w:t>
      </w:r>
      <w:r>
        <w:rPr>
          <w:rFonts w:hint="default" w:ascii="Times New Roman" w:hAnsi="Times New Roman" w:eastAsia="仿宋_GB2312" w:cs="Times New Roman"/>
          <w:color w:val="auto"/>
          <w:kern w:val="0"/>
          <w:sz w:val="28"/>
          <w:szCs w:val="28"/>
          <w:lang w:val="en-US" w:eastAsia="zh-CN"/>
        </w:rPr>
        <w:t>10</w:t>
      </w:r>
      <w:r>
        <w:rPr>
          <w:rFonts w:hint="default" w:ascii="Times New Roman" w:hAnsi="Times New Roman" w:eastAsia="仿宋_GB2312" w:cs="Times New Roman"/>
          <w:color w:val="auto"/>
          <w:kern w:val="0"/>
          <w:sz w:val="28"/>
          <w:szCs w:val="28"/>
        </w:rPr>
        <w:t>水土保持投资及效益分析成果</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_Toc22355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9</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_Toc23766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1.1</w:t>
      </w:r>
      <w:r>
        <w:rPr>
          <w:rFonts w:hint="default"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color w:val="auto"/>
          <w:kern w:val="0"/>
          <w:sz w:val="28"/>
          <w:szCs w:val="28"/>
        </w:rPr>
        <w:t>结论</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_Toc23766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10</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0"/>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_Toc29510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2项目概况</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_Toc29510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_Toc6268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2.1 项目组成及工程布置</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_Toc6268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_Toc5881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2.2 施工组织</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_Toc5881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18</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_Toc6682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2.3 工程占地</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_Toc6682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20</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_Toc31264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2.4土石方平衡</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_Toc31264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20</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_Toc11842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2.5 拆迁（移民）安置与专项设施改（迁）建</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_Toc11842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_Toc9199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2.6进度安排</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_Toc9199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_Toc8349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2.7自然概况</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_Toc8349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0"/>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_Toc5544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3项目水土保持评价</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_Toc5544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26</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_Toc10419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3.1 主体工程选址水土保持评价</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_Toc10419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26</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_Toc16057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3.2建设方案与布局水土保持评价</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_Toc16057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26</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_Toc24100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3.3 主体工程设计中水土保持措施界定</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_Toc24100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29</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0"/>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_Toc11936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4水土流失分析与调查</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_Toc11936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_Toc30559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4.1 水土流失现状</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_Toc30559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_Toc23353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4.2 水土流失影响因素分析</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_Toc23353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_Toc28507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4.3 土壤流失量调查</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_Toc28507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_Toc17945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4.4 水土流失危害分析</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_Toc17945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_Toc20964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4.5指导性意见</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_Toc20964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36</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0"/>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_Toc25123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5 水土保持措施</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_Toc25123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37</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_Toc11124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5.1 防治区划分</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_Toc11124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37</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_Toc25222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5.2措施总体布局</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_Toc25222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37</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_Toc16563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5.3 分区措施布设</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_Toc16563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38</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_Toc9906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5.4施工要求</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_Toc9906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41</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0"/>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_Toc4881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6水土保持监测</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_Toc4881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_Toc21268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6.1 范围与时段</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_Toc21268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_Toc8983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6.2内容和方法</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_Toc8983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42</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_Toc25753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6.3点位布设</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_Toc25753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_Toc9828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6.4实施条件和成果</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_Toc9828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0"/>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_Toc15678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7 水土保持投资概算及效益分析</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_Toc15678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_Toc22131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7.1 投资概算</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_Toc22131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45</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_Toc23101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7.2 效益分析</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_Toc23101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50</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0"/>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_Toc26260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8水土保持管理</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_Toc26260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_Toc10395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8.1 组织管理</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_Toc10395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_Toc25291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8.2 后续设计</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_Toc25291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_Toc21281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8.3 水土保持监理</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_Toc21281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53</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_Toc1635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8.4 水土保持施工</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_Toc1635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54</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pStyle w:val="48"/>
        <w:tabs>
          <w:tab w:val="right" w:leader="dot" w:pos="8312"/>
        </w:tabs>
        <w:spacing w:line="360" w:lineRule="auto"/>
        <w:rPr>
          <w:rFonts w:hint="default" w:ascii="Times New Roman" w:hAnsi="Times New Roman" w:cs="Times New Roman"/>
          <w:color w:val="auto"/>
        </w:rPr>
      </w:pPr>
      <w:r>
        <w:rPr>
          <w:rFonts w:hint="default" w:ascii="Times New Roman" w:hAnsi="Times New Roman" w:eastAsia="仿宋_GB2312" w:cs="Times New Roman"/>
          <w:color w:val="auto"/>
          <w:kern w:val="0"/>
          <w:sz w:val="28"/>
          <w:szCs w:val="28"/>
        </w:rPr>
        <w:fldChar w:fldCharType="begin"/>
      </w:r>
      <w:r>
        <w:rPr>
          <w:rFonts w:hint="default" w:ascii="Times New Roman" w:hAnsi="Times New Roman" w:eastAsia="仿宋_GB2312" w:cs="Times New Roman"/>
          <w:color w:val="auto"/>
          <w:kern w:val="0"/>
          <w:sz w:val="28"/>
          <w:szCs w:val="28"/>
        </w:rPr>
        <w:instrText xml:space="preserve"> HYPERLINK \l _Toc31995 </w:instrText>
      </w:r>
      <w:r>
        <w:rPr>
          <w:rFonts w:hint="default" w:ascii="Times New Roman" w:hAnsi="Times New Roman" w:eastAsia="仿宋_GB2312" w:cs="Times New Roman"/>
          <w:color w:val="auto"/>
          <w:kern w:val="0"/>
          <w:sz w:val="28"/>
          <w:szCs w:val="28"/>
        </w:rPr>
        <w:fldChar w:fldCharType="separate"/>
      </w:r>
      <w:r>
        <w:rPr>
          <w:rFonts w:hint="default" w:ascii="Times New Roman" w:hAnsi="Times New Roman" w:eastAsia="仿宋_GB2312" w:cs="Times New Roman"/>
          <w:color w:val="auto"/>
          <w:kern w:val="0"/>
          <w:sz w:val="28"/>
          <w:szCs w:val="28"/>
        </w:rPr>
        <w:t>8.5 水土保持设施验收</w:t>
      </w:r>
      <w:r>
        <w:rPr>
          <w:rFonts w:hint="default" w:ascii="Times New Roman" w:hAnsi="Times New Roman" w:eastAsia="仿宋_GB2312" w:cs="Times New Roman"/>
          <w:color w:val="auto"/>
          <w:sz w:val="28"/>
          <w:szCs w:val="28"/>
        </w:rPr>
        <w:tab/>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 PAGEREF _Toc31995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rPr>
        <w:t>54</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kern w:val="0"/>
          <w:sz w:val="28"/>
          <w:szCs w:val="28"/>
        </w:rPr>
        <w:fldChar w:fldCharType="end"/>
      </w:r>
    </w:p>
    <w:p>
      <w:pPr>
        <w:ind w:firstLine="0" w:firstLineChars="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szCs w:val="28"/>
        </w:rPr>
        <w:fldChar w:fldCharType="end"/>
      </w:r>
      <w:r>
        <w:rPr>
          <w:rFonts w:hint="default" w:ascii="Times New Roman" w:hAnsi="Times New Roman" w:eastAsia="仿宋_GB2312" w:cs="Times New Roman"/>
          <w:b/>
          <w:color w:val="auto"/>
        </w:rPr>
        <w:t>附件：</w:t>
      </w:r>
    </w:p>
    <w:p>
      <w:pPr>
        <w:pStyle w:val="1102"/>
        <w:rPr>
          <w:rFonts w:hint="default" w:ascii="Times New Roman" w:hAnsi="Times New Roman" w:cs="Times New Roman"/>
          <w:color w:val="auto"/>
        </w:rPr>
      </w:pPr>
      <w:r>
        <w:rPr>
          <w:rFonts w:hint="default" w:ascii="Times New Roman" w:hAnsi="Times New Roman" w:cs="Times New Roman"/>
          <w:color w:val="auto"/>
        </w:rPr>
        <w:t>附件1：委托书；</w:t>
      </w:r>
    </w:p>
    <w:p>
      <w:pPr>
        <w:pStyle w:val="1102"/>
        <w:rPr>
          <w:rFonts w:hint="default" w:ascii="Times New Roman" w:hAnsi="Times New Roman" w:cs="Times New Roman"/>
          <w:color w:val="auto"/>
        </w:rPr>
      </w:pPr>
      <w:r>
        <w:rPr>
          <w:rFonts w:hint="default" w:ascii="Times New Roman" w:hAnsi="Times New Roman" w:cs="Times New Roman"/>
          <w:color w:val="auto"/>
        </w:rPr>
        <w:t>附件2：《红原县发展改革和经济商务信息化局关于红原县2015年薄弱学校改造（藏文中学）建设项目的批复》（红发改经信【2016】136号）；</w:t>
      </w:r>
    </w:p>
    <w:p>
      <w:pPr>
        <w:pStyle w:val="1102"/>
        <w:rPr>
          <w:rFonts w:hint="default" w:ascii="Times New Roman" w:hAnsi="Times New Roman" w:cs="Times New Roman"/>
          <w:color w:val="auto"/>
        </w:rPr>
      </w:pPr>
      <w:r>
        <w:rPr>
          <w:rFonts w:hint="default" w:ascii="Times New Roman" w:hAnsi="Times New Roman" w:cs="Times New Roman"/>
          <w:color w:val="auto"/>
        </w:rPr>
        <w:t>附件3：</w:t>
      </w:r>
      <w:r>
        <w:rPr>
          <w:rFonts w:hint="default" w:ascii="Times New Roman" w:hAnsi="Times New Roman" w:cs="Times New Roman"/>
          <w:color w:val="auto"/>
          <w:w w:val="90"/>
        </w:rPr>
        <w:t>《中华人民共和国建设用地规划许可证》（地字第51323320170022号）</w:t>
      </w:r>
      <w:r>
        <w:rPr>
          <w:rFonts w:hint="default" w:ascii="Times New Roman" w:hAnsi="Times New Roman" w:cs="Times New Roman"/>
          <w:color w:val="auto"/>
        </w:rPr>
        <w:t>；</w:t>
      </w:r>
    </w:p>
    <w:p>
      <w:pPr>
        <w:pStyle w:val="1102"/>
        <w:rPr>
          <w:rFonts w:hint="default" w:ascii="Times New Roman" w:hAnsi="Times New Roman" w:cs="Times New Roman"/>
          <w:color w:val="auto"/>
        </w:rPr>
      </w:pPr>
      <w:r>
        <w:rPr>
          <w:rFonts w:hint="default" w:ascii="Times New Roman" w:hAnsi="Times New Roman" w:cs="Times New Roman"/>
          <w:color w:val="auto"/>
        </w:rPr>
        <w:t>附件4：</w:t>
      </w:r>
      <w:r>
        <w:rPr>
          <w:rFonts w:hint="default" w:ascii="Times New Roman" w:hAnsi="Times New Roman" w:cs="Times New Roman"/>
          <w:color w:val="auto"/>
          <w:w w:val="90"/>
        </w:rPr>
        <w:t>《中华人民共和国建设工程规划许可证》（建字第5132332017022号）</w:t>
      </w:r>
      <w:r>
        <w:rPr>
          <w:rFonts w:hint="default" w:ascii="Times New Roman" w:hAnsi="Times New Roman" w:cs="Times New Roman"/>
          <w:color w:val="auto"/>
        </w:rPr>
        <w:t>；</w:t>
      </w:r>
    </w:p>
    <w:p>
      <w:pPr>
        <w:pStyle w:val="1102"/>
        <w:rPr>
          <w:rFonts w:hint="default" w:ascii="Times New Roman" w:hAnsi="Times New Roman" w:cs="Times New Roman"/>
          <w:color w:val="auto"/>
        </w:rPr>
      </w:pPr>
      <w:r>
        <w:rPr>
          <w:rFonts w:hint="default" w:ascii="Times New Roman" w:hAnsi="Times New Roman" w:cs="Times New Roman"/>
          <w:color w:val="auto"/>
        </w:rPr>
        <w:t>附件5：《红原县国土资源局关于红原县2015年薄弱学校改造项目建设用地的预审意见》（红国土资源【2016】11号）；</w:t>
      </w:r>
    </w:p>
    <w:p>
      <w:pPr>
        <w:pStyle w:val="1102"/>
        <w:rPr>
          <w:rFonts w:hint="default" w:ascii="Times New Roman" w:hAnsi="Times New Roman" w:cs="Times New Roman"/>
          <w:color w:val="auto"/>
        </w:rPr>
      </w:pPr>
      <w:r>
        <w:rPr>
          <w:rFonts w:hint="default" w:ascii="Times New Roman" w:hAnsi="Times New Roman" w:cs="Times New Roman"/>
          <w:color w:val="auto"/>
        </w:rPr>
        <w:t>附件6：《中华人民共和国建筑施工许可证》（编号：513233201706140201）；</w:t>
      </w:r>
    </w:p>
    <w:p>
      <w:pPr>
        <w:pStyle w:val="1102"/>
        <w:rPr>
          <w:rFonts w:hint="default" w:ascii="Times New Roman" w:hAnsi="Times New Roman" w:cs="Times New Roman"/>
          <w:color w:val="auto"/>
          <w:lang w:eastAsia="zh-CN"/>
        </w:rPr>
      </w:pPr>
      <w:r>
        <w:rPr>
          <w:rFonts w:hint="default" w:ascii="Times New Roman" w:hAnsi="Times New Roman" w:cs="Times New Roman"/>
          <w:color w:val="auto"/>
        </w:rPr>
        <w:t>附件7：《中华人民共和国建设项目选址意见书》（选字第5132332016004号）</w:t>
      </w:r>
      <w:r>
        <w:rPr>
          <w:rFonts w:hint="default" w:ascii="Times New Roman" w:hAnsi="Times New Roman" w:cs="Times New Roman"/>
          <w:color w:val="auto"/>
          <w:lang w:eastAsia="zh-CN"/>
        </w:rPr>
        <w:t>；</w:t>
      </w:r>
    </w:p>
    <w:p>
      <w:pPr>
        <w:pStyle w:val="1102"/>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附件8：《红原县2015年薄弱学校改造（藏文中学）建设项目水土保持方案报告表技术评审意见》。</w:t>
      </w:r>
    </w:p>
    <w:p>
      <w:pPr>
        <w:ind w:firstLine="0" w:firstLineChars="0"/>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附图：</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附图1：项目地理位置图；</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附图2：项目区水系图；</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附图3：项目区土壤侵蚀分布图；</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附图4：总平面图；</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附图5：</w:t>
      </w:r>
      <w:r>
        <w:rPr>
          <w:rFonts w:hint="default" w:ascii="Times New Roman" w:hAnsi="Times New Roman" w:eastAsia="仿宋_GB2312" w:cs="Times New Roman"/>
          <w:color w:val="auto"/>
          <w:szCs w:val="24"/>
        </w:rPr>
        <w:t>分区防治措施总体布局及监测点位布设图</w:t>
      </w:r>
      <w:r>
        <w:rPr>
          <w:rFonts w:hint="default" w:ascii="Times New Roman" w:hAnsi="Times New Roman" w:eastAsia="仿宋_GB2312" w:cs="Times New Roman"/>
          <w:color w:val="auto"/>
          <w:kern w:val="0"/>
        </w:rPr>
        <w:t>；</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附图6：一层给排水总平面图；</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附图7：水土流失防治责任范围图。</w:t>
      </w:r>
    </w:p>
    <w:p>
      <w:pPr>
        <w:ind w:firstLine="480"/>
        <w:rPr>
          <w:rFonts w:hint="default" w:ascii="Times New Roman" w:hAnsi="Times New Roman" w:eastAsia="仿宋_GB2312" w:cs="Times New Roman"/>
          <w:color w:val="auto"/>
          <w:kern w:val="0"/>
        </w:rPr>
      </w:pPr>
    </w:p>
    <w:p>
      <w:pPr>
        <w:ind w:firstLine="199" w:firstLineChars="83"/>
        <w:rPr>
          <w:rFonts w:hint="default" w:ascii="Times New Roman" w:hAnsi="Times New Roman" w:cs="Times New Roman"/>
          <w:color w:val="auto"/>
          <w:kern w:val="0"/>
        </w:rPr>
        <w:sectPr>
          <w:footerReference r:id="rId9" w:type="default"/>
          <w:pgSz w:w="11906" w:h="16838"/>
          <w:pgMar w:top="1440" w:right="1797" w:bottom="1440" w:left="1797" w:header="851" w:footer="992" w:gutter="0"/>
          <w:pgNumType w:fmt="upperRoman" w:start="1"/>
          <w:cols w:space="720" w:num="1"/>
          <w:docGrid w:type="lines" w:linePitch="312" w:charSpace="0"/>
        </w:sectPr>
      </w:pPr>
    </w:p>
    <w:p>
      <w:pPr>
        <w:pStyle w:val="2"/>
        <w:rPr>
          <w:rFonts w:hint="default" w:ascii="Times New Roman" w:hAnsi="Times New Roman" w:cs="Times New Roman"/>
          <w:color w:val="auto"/>
          <w:kern w:val="0"/>
        </w:rPr>
      </w:pPr>
      <w:bookmarkStart w:id="1" w:name="_Toc7268"/>
      <w:r>
        <w:rPr>
          <w:rFonts w:hint="default" w:ascii="Times New Roman" w:hAnsi="Times New Roman" w:cs="Times New Roman"/>
          <w:color w:val="auto"/>
          <w:kern w:val="0"/>
        </w:rPr>
        <w:t>1 综合说明</w:t>
      </w:r>
      <w:bookmarkEnd w:id="1"/>
    </w:p>
    <w:p>
      <w:pPr>
        <w:pStyle w:val="3"/>
        <w:suppressAutoHyphens/>
        <w:spacing w:before="156" w:beforeLines="50" w:after="156" w:afterLines="50"/>
        <w:rPr>
          <w:rFonts w:hint="default" w:ascii="Times New Roman" w:hAnsi="Times New Roman" w:cs="Times New Roman"/>
          <w:color w:val="auto"/>
          <w:kern w:val="0"/>
        </w:rPr>
      </w:pPr>
      <w:bookmarkStart w:id="2" w:name="_Toc15201"/>
      <w:r>
        <w:rPr>
          <w:rFonts w:hint="default" w:ascii="Times New Roman" w:hAnsi="Times New Roman" w:cs="Times New Roman"/>
          <w:color w:val="auto"/>
          <w:kern w:val="0"/>
        </w:rPr>
        <w:t>1.1 项目简况</w:t>
      </w:r>
      <w:bookmarkEnd w:id="2"/>
    </w:p>
    <w:p>
      <w:pPr>
        <w:pStyle w:val="4"/>
        <w:rPr>
          <w:rFonts w:hint="default" w:ascii="Times New Roman" w:hAnsi="Times New Roman" w:cs="Times New Roman"/>
          <w:color w:val="auto"/>
          <w:kern w:val="0"/>
        </w:rPr>
      </w:pPr>
      <w:r>
        <w:rPr>
          <w:rFonts w:hint="default" w:ascii="Times New Roman" w:hAnsi="Times New Roman" w:cs="Times New Roman"/>
          <w:color w:val="auto"/>
          <w:kern w:val="0"/>
        </w:rPr>
        <w:t>1.1.1项目基本概况</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1.1.1.1项目建设必要性</w:t>
      </w:r>
    </w:p>
    <w:p>
      <w:pPr>
        <w:pStyle w:val="1102"/>
        <w:rPr>
          <w:rFonts w:hint="default" w:ascii="Times New Roman" w:hAnsi="Times New Roman" w:cs="Times New Roman"/>
          <w:color w:val="auto"/>
        </w:rPr>
      </w:pPr>
      <w:bookmarkStart w:id="3" w:name="_Toc336675198"/>
      <w:r>
        <w:rPr>
          <w:rFonts w:hint="default" w:ascii="Times New Roman" w:hAnsi="Times New Roman" w:cs="Times New Roman"/>
          <w:color w:val="auto"/>
        </w:rPr>
        <w:t>红原县2015年薄弱学校改造（藏文中学）建设项目（以下简称“本项目”），建设单位是红原县教育局；进入21世纪，国际竞争日趋激烈，竞争的焦点是全民素质的竞争、是人才的竞争，要实现中华民族的伟大复兴，教育肩负着重要的历史使命。近年来，在党中央、国务院的领导下，经过各级政府和全社会的共同努力，我国教育事业得到了迅速发展，为社会主义现代化建设提供了强有力的人才支持和知识贡献，教育正在成为促进我国经济、社会发展，推动科技进步，增强综合国力的重要力量。本项目的建设对提高全县教育质量和水平，提高人口素质，具有重要意义。</w:t>
      </w:r>
    </w:p>
    <w:p>
      <w:pPr>
        <w:pStyle w:val="1102"/>
        <w:rPr>
          <w:rFonts w:hint="default" w:ascii="Times New Roman" w:hAnsi="Times New Roman" w:cs="Times New Roman"/>
          <w:color w:val="auto"/>
        </w:rPr>
      </w:pPr>
      <w:r>
        <w:rPr>
          <w:rFonts w:hint="default" w:ascii="Times New Roman" w:hAnsi="Times New Roman" w:cs="Times New Roman"/>
          <w:color w:val="auto"/>
        </w:rPr>
        <w:t>根据《中华人民共和国建设项目选址意见书》（选字第5132332016004号）；项目建设符合崇州经开区规划。</w:t>
      </w:r>
    </w:p>
    <w:p>
      <w:pPr>
        <w:pStyle w:val="1102"/>
        <w:rPr>
          <w:rFonts w:hint="default" w:ascii="Times New Roman" w:hAnsi="Times New Roman" w:cs="Times New Roman"/>
          <w:color w:val="auto"/>
        </w:rPr>
      </w:pPr>
      <w:r>
        <w:rPr>
          <w:rFonts w:hint="default" w:ascii="Times New Roman" w:hAnsi="Times New Roman" w:cs="Times New Roman"/>
          <w:color w:val="auto"/>
        </w:rPr>
        <w:t>综上，建设项目是必要的。</w:t>
      </w:r>
    </w:p>
    <w:bookmarkEnd w:id="3"/>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1.1.1.2项目情况</w:t>
      </w:r>
    </w:p>
    <w:p>
      <w:pPr>
        <w:pStyle w:val="1102"/>
        <w:rPr>
          <w:rFonts w:hint="default" w:ascii="Times New Roman" w:hAnsi="Times New Roman" w:cs="Times New Roman"/>
          <w:color w:val="auto"/>
        </w:rPr>
      </w:pPr>
      <w:r>
        <w:rPr>
          <w:rFonts w:hint="default" w:ascii="Times New Roman" w:hAnsi="Times New Roman" w:cs="Times New Roman"/>
          <w:color w:val="auto"/>
        </w:rPr>
        <w:t>红原县2015年薄弱学校改造（藏文中学）建设项目位于四川省红原县邛溪镇藏文中学内</w:t>
      </w:r>
      <w:r>
        <w:rPr>
          <w:rFonts w:hint="default" w:ascii="Times New Roman" w:hAnsi="Times New Roman" w:cs="Times New Roman"/>
          <w:color w:val="auto"/>
          <w:kern w:val="0"/>
        </w:rPr>
        <w:t>，项目中心点地理坐标：102°32′25.08″E，32°47′9.37″N</w:t>
      </w:r>
      <w:r>
        <w:rPr>
          <w:rFonts w:hint="default" w:ascii="Times New Roman" w:hAnsi="Times New Roman" w:cs="Times New Roman"/>
          <w:color w:val="auto"/>
        </w:rPr>
        <w:t>。项目属新建、建设类项目。</w:t>
      </w:r>
    </w:p>
    <w:p>
      <w:pPr>
        <w:pStyle w:val="1102"/>
        <w:rPr>
          <w:rFonts w:hint="default" w:ascii="Times New Roman" w:hAnsi="Times New Roman" w:cs="Times New Roman"/>
          <w:color w:val="auto"/>
        </w:rPr>
      </w:pPr>
      <w:r>
        <w:rPr>
          <w:rFonts w:hint="default" w:ascii="Times New Roman" w:hAnsi="Times New Roman" w:cs="Times New Roman"/>
          <w:color w:val="auto"/>
          <w:szCs w:val="22"/>
        </w:rPr>
        <w:t>本</w:t>
      </w:r>
      <w:r>
        <w:rPr>
          <w:rFonts w:hint="default" w:ascii="Times New Roman" w:hAnsi="Times New Roman" w:cs="Times New Roman"/>
          <w:color w:val="auto"/>
        </w:rPr>
        <w:t>项目净用地面积</w:t>
      </w:r>
      <w:r>
        <w:rPr>
          <w:rFonts w:hint="default" w:ascii="Times New Roman" w:hAnsi="Times New Roman" w:cs="Times New Roman"/>
          <w:color w:val="auto"/>
          <w:lang w:val="en-US" w:eastAsia="zh-CN"/>
        </w:rPr>
        <w:t>4248</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，总建筑面积</w:t>
      </w:r>
      <w:r>
        <w:rPr>
          <w:rFonts w:hint="default" w:ascii="Times New Roman" w:hAnsi="Times New Roman" w:cs="Times New Roman"/>
          <w:bCs/>
          <w:color w:val="auto"/>
        </w:rPr>
        <w:t>1796.03</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；建筑基底面积916.76m</w:t>
      </w:r>
      <w:r>
        <w:rPr>
          <w:rFonts w:hint="default" w:ascii="Times New Roman" w:hAnsi="Times New Roman" w:cs="Times New Roman"/>
          <w:color w:val="auto"/>
          <w:vertAlign w:val="superscript"/>
        </w:rPr>
        <w:t>2</w:t>
      </w:r>
      <w:r>
        <w:rPr>
          <w:rFonts w:hint="default" w:ascii="Times New Roman" w:hAnsi="Times New Roman" w:cs="Times New Roman"/>
          <w:color w:val="auto"/>
        </w:rPr>
        <w:t>，容积率1.95，建筑密度100%。</w:t>
      </w:r>
    </w:p>
    <w:p>
      <w:pPr>
        <w:pStyle w:val="1102"/>
        <w:rPr>
          <w:rFonts w:hint="default" w:ascii="Times New Roman" w:hAnsi="Times New Roman" w:cs="Times New Roman"/>
          <w:color w:val="auto"/>
        </w:rPr>
      </w:pPr>
      <w:r>
        <w:rPr>
          <w:rFonts w:hint="default" w:ascii="Times New Roman" w:hAnsi="Times New Roman" w:cs="Times New Roman"/>
          <w:color w:val="auto"/>
        </w:rPr>
        <w:t>本项目建设内容：主体工程（藏文图书馆）；附属工程（给水系统、排水系统、供配电系统）。</w:t>
      </w:r>
    </w:p>
    <w:p>
      <w:pPr>
        <w:pStyle w:val="1102"/>
        <w:rPr>
          <w:rFonts w:hint="default" w:ascii="Times New Roman" w:hAnsi="Times New Roman" w:cs="Times New Roman"/>
          <w:color w:val="auto"/>
        </w:rPr>
      </w:pPr>
      <w:r>
        <w:rPr>
          <w:rFonts w:hint="default" w:ascii="Times New Roman" w:hAnsi="Times New Roman" w:cs="Times New Roman"/>
          <w:color w:val="auto"/>
          <w:kern w:val="0"/>
        </w:rPr>
        <w:t>本项目总占地0.</w:t>
      </w:r>
      <w:r>
        <w:rPr>
          <w:rFonts w:hint="default" w:ascii="Times New Roman" w:hAnsi="Times New Roman" w:cs="Times New Roman"/>
          <w:color w:val="auto"/>
          <w:kern w:val="0"/>
          <w:lang w:val="en-US" w:eastAsia="zh-CN"/>
        </w:rPr>
        <w:t>43</w:t>
      </w:r>
      <w:r>
        <w:rPr>
          <w:rFonts w:hint="default" w:ascii="Times New Roman" w:hAnsi="Times New Roman" w:cs="Times New Roman"/>
          <w:color w:val="auto"/>
          <w:kern w:val="0"/>
        </w:rPr>
        <w:t>hm</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，均为永久占地，不涉及代征、代建用地；占地类型为公共管理与公共服务用地</w:t>
      </w:r>
      <w:r>
        <w:rPr>
          <w:rFonts w:hint="default" w:ascii="Times New Roman" w:hAnsi="Times New Roman" w:cs="Times New Roman"/>
          <w:color w:val="auto"/>
        </w:rPr>
        <w:t>。</w:t>
      </w:r>
    </w:p>
    <w:p>
      <w:pPr>
        <w:pStyle w:val="1102"/>
        <w:rPr>
          <w:rFonts w:hint="default" w:ascii="Times New Roman" w:hAnsi="Times New Roman" w:cs="Times New Roman"/>
          <w:color w:val="auto"/>
          <w:kern w:val="0"/>
        </w:rPr>
      </w:pPr>
      <w:r>
        <w:rPr>
          <w:rFonts w:hint="default" w:ascii="Times New Roman" w:hAnsi="Times New Roman" w:cs="Times New Roman"/>
          <w:color w:val="auto"/>
          <w:kern w:val="0"/>
        </w:rPr>
        <w:t>本项目在原有校园内建设，项目区内无表土可剥离，建筑挖方临时堆放在建筑占地范围内，不涉及集中堆土区；临时办公用房及工人食宿均租用民房，没有在项目区内设置临建设施；施工道路依托市政道路银珠西路、霞穹西路等。</w:t>
      </w:r>
    </w:p>
    <w:p>
      <w:pPr>
        <w:pStyle w:val="1102"/>
        <w:rPr>
          <w:rFonts w:hint="default" w:ascii="Times New Roman" w:hAnsi="Times New Roman" w:cs="Times New Roman"/>
          <w:color w:val="auto"/>
        </w:rPr>
      </w:pPr>
      <w:r>
        <w:rPr>
          <w:rFonts w:hint="default" w:ascii="Times New Roman" w:hAnsi="Times New Roman" w:eastAsia="仿宋_GB2312" w:cs="Times New Roman"/>
          <w:color w:val="auto"/>
        </w:rPr>
        <w:t>本项目土石方总开挖量0.15万m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总回填方量0.</w:t>
      </w:r>
      <w:r>
        <w:rPr>
          <w:rFonts w:hint="default" w:ascii="Times New Roman" w:hAnsi="Times New Roman" w:eastAsia="仿宋_GB2312" w:cs="Times New Roman"/>
          <w:color w:val="auto"/>
          <w:lang w:val="en-US" w:eastAsia="zh-CN"/>
        </w:rPr>
        <w:t>09</w:t>
      </w:r>
      <w:r>
        <w:rPr>
          <w:rFonts w:hint="default" w:ascii="Times New Roman" w:hAnsi="Times New Roman" w:eastAsia="仿宋_GB2312" w:cs="Times New Roman"/>
          <w:color w:val="auto"/>
        </w:rPr>
        <w:t>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余方0.06</w:t>
      </w:r>
      <w:r>
        <w:rPr>
          <w:rFonts w:hint="default" w:ascii="Times New Roman" w:hAnsi="Times New Roman" w:eastAsia="仿宋_GB2312" w:cs="Times New Roman"/>
          <w:color w:val="auto"/>
        </w:rPr>
        <w:t>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vertAlign w:val="baseline"/>
          <w:lang w:eastAsia="zh-CN"/>
        </w:rPr>
        <w:t>，</w:t>
      </w:r>
      <w:r>
        <w:rPr>
          <w:rFonts w:hint="default" w:ascii="Times New Roman" w:hAnsi="Times New Roman" w:cs="Times New Roman"/>
          <w:color w:val="auto"/>
          <w:kern w:val="0"/>
          <w:vertAlign w:val="baseline"/>
          <w:lang w:val="en-US" w:eastAsia="zh-CN"/>
        </w:rPr>
        <w:t>图书馆周围在硬质铺装前需回填土方，建筑基础余方回填这些区域，经夯实后不影响室外设计高程，余方在场地回填处置合理</w:t>
      </w:r>
      <w:r>
        <w:rPr>
          <w:rFonts w:hint="default" w:ascii="Times New Roman" w:hAnsi="Times New Roman" w:eastAsia="仿宋_GB2312" w:cs="Times New Roman"/>
          <w:color w:val="auto"/>
          <w:kern w:val="0"/>
        </w:rPr>
        <w:t>。</w:t>
      </w:r>
      <w:r>
        <w:rPr>
          <w:rFonts w:hint="default" w:ascii="Times New Roman" w:hAnsi="Times New Roman" w:cs="Times New Roman"/>
          <w:color w:val="auto"/>
        </w:rPr>
        <w:t>（土石方均为自然方）。</w:t>
      </w:r>
    </w:p>
    <w:p>
      <w:pPr>
        <w:pStyle w:val="1102"/>
        <w:rPr>
          <w:rFonts w:hint="default" w:ascii="Times New Roman" w:hAnsi="Times New Roman" w:cs="Times New Roman"/>
          <w:color w:val="auto"/>
        </w:rPr>
      </w:pPr>
      <w:r>
        <w:rPr>
          <w:rFonts w:hint="default" w:ascii="Times New Roman" w:hAnsi="Times New Roman" w:cs="Times New Roman"/>
          <w:color w:val="auto"/>
        </w:rPr>
        <w:t>本项目已于2016年11月动工，2017年11月完工，工期13个月。</w:t>
      </w:r>
    </w:p>
    <w:p>
      <w:pPr>
        <w:pStyle w:val="1102"/>
        <w:rPr>
          <w:rFonts w:hint="default" w:ascii="Times New Roman" w:hAnsi="Times New Roman" w:cs="Times New Roman"/>
          <w:color w:val="auto"/>
        </w:rPr>
      </w:pPr>
      <w:r>
        <w:rPr>
          <w:rFonts w:hint="default" w:ascii="Times New Roman" w:hAnsi="Times New Roman" w:cs="Times New Roman"/>
          <w:color w:val="auto"/>
          <w:kern w:val="0"/>
        </w:rPr>
        <w:t>本项目在原有校园内建设，不涉及拆迁安置，专项设施迁建、改建等</w:t>
      </w:r>
      <w:r>
        <w:rPr>
          <w:rFonts w:hint="default" w:ascii="Times New Roman" w:hAnsi="Times New Roman" w:cs="Times New Roman"/>
          <w:color w:val="auto"/>
        </w:rPr>
        <w:t>。</w:t>
      </w:r>
    </w:p>
    <w:p>
      <w:pPr>
        <w:pStyle w:val="1102"/>
        <w:rPr>
          <w:rFonts w:hint="default" w:ascii="Times New Roman" w:hAnsi="Times New Roman" w:cs="Times New Roman"/>
          <w:color w:val="auto"/>
        </w:rPr>
      </w:pPr>
      <w:r>
        <w:rPr>
          <w:rFonts w:hint="default" w:ascii="Times New Roman" w:hAnsi="Times New Roman" w:cs="Times New Roman"/>
          <w:color w:val="auto"/>
        </w:rPr>
        <w:t>本项目总投资459万元，其中土建费用278万元，资金来源：2015年薄弱学校改造专项资金。</w:t>
      </w:r>
    </w:p>
    <w:p>
      <w:pPr>
        <w:pStyle w:val="4"/>
        <w:rPr>
          <w:rFonts w:hint="default" w:ascii="Times New Roman" w:hAnsi="Times New Roman" w:cs="Times New Roman"/>
          <w:color w:val="auto"/>
          <w:kern w:val="0"/>
        </w:rPr>
      </w:pPr>
      <w:r>
        <w:rPr>
          <w:rFonts w:hint="default" w:ascii="Times New Roman" w:hAnsi="Times New Roman" w:cs="Times New Roman"/>
          <w:color w:val="auto"/>
          <w:kern w:val="0"/>
        </w:rPr>
        <w:t>1.1.2项目前期工作进展情况</w:t>
      </w:r>
    </w:p>
    <w:p>
      <w:pPr>
        <w:pStyle w:val="1102"/>
        <w:rPr>
          <w:rFonts w:hint="default" w:ascii="Times New Roman" w:hAnsi="Times New Roman" w:cs="Times New Roman"/>
          <w:color w:val="auto"/>
          <w:kern w:val="0"/>
        </w:rPr>
      </w:pPr>
      <w:r>
        <w:rPr>
          <w:rFonts w:hint="default" w:ascii="Times New Roman" w:hAnsi="Times New Roman" w:cs="Times New Roman"/>
          <w:color w:val="auto"/>
        </w:rPr>
        <w:t>2016年5月4日，红原县城乡规划建设和住房保障局出具《中华人民共和国建设项目选址意见书》（选字第5132332016004号）</w:t>
      </w:r>
      <w:r>
        <w:rPr>
          <w:rFonts w:hint="default" w:ascii="Times New Roman" w:hAnsi="Times New Roman" w:cs="Times New Roman"/>
          <w:color w:val="auto"/>
          <w:kern w:val="0"/>
        </w:rPr>
        <w:t>；</w:t>
      </w:r>
    </w:p>
    <w:p>
      <w:pPr>
        <w:pStyle w:val="1102"/>
        <w:rPr>
          <w:rFonts w:hint="default" w:ascii="Times New Roman" w:hAnsi="Times New Roman" w:cs="Times New Roman"/>
          <w:color w:val="auto"/>
        </w:rPr>
      </w:pPr>
      <w:r>
        <w:rPr>
          <w:rFonts w:hint="default" w:ascii="Times New Roman" w:hAnsi="Times New Roman" w:cs="Times New Roman"/>
          <w:color w:val="auto"/>
        </w:rPr>
        <w:t>2016年6月，四川构想建筑工程设计有限公司完成《红原县2015年薄弱学校改造（藏文中学）建设项目施工图设计》；</w:t>
      </w:r>
    </w:p>
    <w:p>
      <w:pPr>
        <w:pStyle w:val="1102"/>
        <w:rPr>
          <w:rFonts w:hint="default" w:ascii="Times New Roman" w:hAnsi="Times New Roman" w:cs="Times New Roman"/>
          <w:color w:val="auto"/>
        </w:rPr>
      </w:pPr>
      <w:r>
        <w:rPr>
          <w:rFonts w:hint="default" w:ascii="Times New Roman" w:hAnsi="Times New Roman" w:cs="Times New Roman"/>
          <w:color w:val="auto"/>
        </w:rPr>
        <w:t>2016年8月2日，红原县发展改革和经济商务信息化局出具《红原县发展改革和经济商务信息化局关于红原县2015年薄弱学校改造（藏文中学）建设项目的批复》（红发改经信【2016】136号）；</w:t>
      </w:r>
    </w:p>
    <w:p>
      <w:pPr>
        <w:pStyle w:val="1102"/>
        <w:rPr>
          <w:rFonts w:hint="default" w:ascii="Times New Roman" w:hAnsi="Times New Roman" w:cs="Times New Roman"/>
          <w:color w:val="auto"/>
        </w:rPr>
      </w:pPr>
      <w:r>
        <w:rPr>
          <w:rFonts w:hint="default" w:ascii="Times New Roman" w:hAnsi="Times New Roman" w:cs="Times New Roman"/>
          <w:color w:val="auto"/>
        </w:rPr>
        <w:t>2016年10月20日，红原县国土资源局出具《红原县国土资源局关于红原县2015年薄弱学校改造项目建设用地的预审意见》（红国土资源【2016】11号）；</w:t>
      </w:r>
    </w:p>
    <w:p>
      <w:pPr>
        <w:pStyle w:val="1102"/>
        <w:rPr>
          <w:rFonts w:hint="default" w:ascii="Times New Roman" w:hAnsi="Times New Roman" w:cs="Times New Roman"/>
          <w:color w:val="auto"/>
        </w:rPr>
      </w:pPr>
      <w:r>
        <w:rPr>
          <w:rFonts w:hint="default" w:ascii="Times New Roman" w:hAnsi="Times New Roman" w:cs="Times New Roman"/>
          <w:color w:val="auto"/>
        </w:rPr>
        <w:t>2017年3月29日，红原县城乡规划建设和住房保障局出具</w:t>
      </w:r>
      <w:r>
        <w:rPr>
          <w:rFonts w:hint="default" w:ascii="Times New Roman" w:hAnsi="Times New Roman" w:cs="Times New Roman"/>
          <w:color w:val="auto"/>
          <w:w w:val="90"/>
        </w:rPr>
        <w:t>《中华人民共和国建设工程规划许可证》（建字第5132332017022号）</w:t>
      </w:r>
      <w:r>
        <w:rPr>
          <w:rFonts w:hint="default" w:ascii="Times New Roman" w:hAnsi="Times New Roman" w:cs="Times New Roman"/>
          <w:color w:val="auto"/>
        </w:rPr>
        <w:t>；</w:t>
      </w:r>
    </w:p>
    <w:p>
      <w:pPr>
        <w:pStyle w:val="1102"/>
        <w:rPr>
          <w:rFonts w:hint="default" w:ascii="Times New Roman" w:hAnsi="Times New Roman" w:cs="Times New Roman"/>
          <w:color w:val="auto"/>
        </w:rPr>
      </w:pPr>
      <w:r>
        <w:rPr>
          <w:rFonts w:hint="default" w:ascii="Times New Roman" w:hAnsi="Times New Roman" w:cs="Times New Roman"/>
          <w:color w:val="auto"/>
        </w:rPr>
        <w:t>2017年3月29日，红原县城乡规划建设和住房保障局出具</w:t>
      </w:r>
      <w:r>
        <w:rPr>
          <w:rFonts w:hint="default" w:ascii="Times New Roman" w:hAnsi="Times New Roman" w:cs="Times New Roman"/>
          <w:color w:val="auto"/>
          <w:w w:val="90"/>
        </w:rPr>
        <w:t>《中华人民共和国建设用地规划许可证》（地字第51323320170022号）</w:t>
      </w:r>
      <w:r>
        <w:rPr>
          <w:rFonts w:hint="default" w:ascii="Times New Roman" w:hAnsi="Times New Roman" w:cs="Times New Roman"/>
          <w:color w:val="auto"/>
        </w:rPr>
        <w:t>；</w:t>
      </w:r>
    </w:p>
    <w:p>
      <w:pPr>
        <w:pStyle w:val="1102"/>
        <w:rPr>
          <w:rFonts w:hint="default" w:ascii="Times New Roman" w:hAnsi="Times New Roman" w:cs="Times New Roman"/>
          <w:color w:val="auto"/>
        </w:rPr>
      </w:pPr>
      <w:r>
        <w:rPr>
          <w:rFonts w:hint="default" w:ascii="Times New Roman" w:hAnsi="Times New Roman" w:cs="Times New Roman"/>
          <w:color w:val="auto"/>
        </w:rPr>
        <w:t>2017年4月，四川枫雅建筑勘察设计有限责任公司完成《</w:t>
      </w:r>
      <w:r>
        <w:rPr>
          <w:rFonts w:hint="default" w:ascii="Times New Roman" w:hAnsi="Times New Roman" w:cs="Times New Roman"/>
          <w:color w:val="auto"/>
          <w:szCs w:val="22"/>
        </w:rPr>
        <w:t>红原县藏文中学图书馆建设项目岩土工程勘察报告【勘察阶段：详细勘察】</w:t>
      </w:r>
      <w:r>
        <w:rPr>
          <w:rFonts w:hint="default" w:ascii="Times New Roman" w:hAnsi="Times New Roman" w:cs="Times New Roman"/>
          <w:color w:val="auto"/>
        </w:rPr>
        <w:t>》；</w:t>
      </w:r>
    </w:p>
    <w:p>
      <w:pPr>
        <w:pStyle w:val="1102"/>
        <w:rPr>
          <w:rFonts w:hint="default" w:ascii="Times New Roman" w:hAnsi="Times New Roman" w:cs="Times New Roman"/>
          <w:color w:val="auto"/>
        </w:rPr>
      </w:pPr>
      <w:r>
        <w:rPr>
          <w:rFonts w:hint="default" w:ascii="Times New Roman" w:hAnsi="Times New Roman" w:cs="Times New Roman"/>
          <w:color w:val="auto"/>
        </w:rPr>
        <w:t>2017年6月14日，红原县城乡规划建设和住房保障局出具《中华人民共和国建筑施工许可证》（编号：513233201706140201）；</w:t>
      </w:r>
    </w:p>
    <w:p>
      <w:pPr>
        <w:pStyle w:val="1102"/>
        <w:rPr>
          <w:rFonts w:hint="default" w:ascii="Times New Roman" w:hAnsi="Times New Roman" w:cs="Times New Roman"/>
          <w:color w:val="auto"/>
          <w:kern w:val="0"/>
        </w:rPr>
      </w:pPr>
      <w:r>
        <w:rPr>
          <w:rFonts w:hint="default" w:ascii="Times New Roman" w:hAnsi="Times New Roman" w:cs="Times New Roman"/>
          <w:color w:val="auto"/>
          <w:kern w:val="0"/>
        </w:rPr>
        <w:t>2020年7月27日，红原县教育局委托四川星原环保科技有限责任公司（以下简称“我公司”）承担该项目水土保持方案编制工作（见附件1），我公司在接到任务后立即组织技术人员至工程建设场址进行现场踏勘，在主体设计资料的基础上，依照水土保持相关技术规范要求，于2020年</w:t>
      </w:r>
      <w:r>
        <w:rPr>
          <w:rFonts w:hint="default" w:ascii="Times New Roman" w:hAnsi="Times New Roman" w:cs="Times New Roman"/>
          <w:color w:val="auto"/>
          <w:kern w:val="0"/>
          <w:lang w:val="en-US" w:eastAsia="zh-CN"/>
        </w:rPr>
        <w:t>9</w:t>
      </w:r>
      <w:r>
        <w:rPr>
          <w:rFonts w:hint="default" w:ascii="Times New Roman" w:hAnsi="Times New Roman" w:cs="Times New Roman"/>
          <w:color w:val="auto"/>
          <w:kern w:val="0"/>
        </w:rPr>
        <w:t>月编制完成了《红原县2015年薄弱学校改造（藏文中学）建设项目水土保持方案报告表》（</w:t>
      </w:r>
      <w:r>
        <w:rPr>
          <w:rFonts w:hint="default" w:ascii="Times New Roman" w:hAnsi="Times New Roman" w:cs="Times New Roman"/>
          <w:color w:val="auto"/>
          <w:kern w:val="0"/>
          <w:lang w:val="en-US" w:eastAsia="zh-CN"/>
        </w:rPr>
        <w:t>报批</w:t>
      </w:r>
      <w:r>
        <w:rPr>
          <w:rFonts w:hint="default" w:ascii="Times New Roman" w:hAnsi="Times New Roman" w:cs="Times New Roman"/>
          <w:color w:val="auto"/>
          <w:kern w:val="0"/>
        </w:rPr>
        <w:t>稿）。</w:t>
      </w:r>
    </w:p>
    <w:p>
      <w:pPr>
        <w:pStyle w:val="4"/>
        <w:rPr>
          <w:rFonts w:hint="default" w:ascii="Times New Roman" w:hAnsi="Times New Roman" w:cs="Times New Roman"/>
          <w:color w:val="auto"/>
          <w:kern w:val="0"/>
        </w:rPr>
      </w:pPr>
      <w:r>
        <w:rPr>
          <w:rFonts w:hint="default" w:ascii="Times New Roman" w:hAnsi="Times New Roman" w:cs="Times New Roman"/>
          <w:color w:val="auto"/>
          <w:kern w:val="0"/>
        </w:rPr>
        <w:t>1.1.3自然简况</w:t>
      </w:r>
    </w:p>
    <w:p>
      <w:pPr>
        <w:pStyle w:val="1102"/>
        <w:rPr>
          <w:rFonts w:hint="default" w:ascii="Times New Roman" w:hAnsi="Times New Roman" w:cs="Times New Roman"/>
          <w:color w:val="auto"/>
          <w:szCs w:val="20"/>
        </w:rPr>
      </w:pPr>
      <w:r>
        <w:rPr>
          <w:rFonts w:hint="default" w:ascii="Times New Roman" w:hAnsi="Times New Roman" w:cs="Times New Roman"/>
          <w:color w:val="auto"/>
        </w:rPr>
        <w:t>项目所在属四川西部地槽区，地质构造由一系列呈北西—南东向展布的线状褶皱组成。项目区在大地构造单元上属松潘-甘孜褶皱系巴颜喀拉冒地槽皱褶带之阿坝斜带，本项目大构造区为三大断裂带围限，北为玛沁－玛曲－略阳断裂带，东为龙门山－锦屏山断裂带，西为甘孜－理塘断裂带</w:t>
      </w:r>
      <w:r>
        <w:rPr>
          <w:rFonts w:hint="default" w:ascii="Times New Roman" w:hAnsi="Times New Roman" w:cs="Times New Roman"/>
          <w:color w:val="auto"/>
          <w:szCs w:val="20"/>
        </w:rPr>
        <w:t>。</w:t>
      </w:r>
    </w:p>
    <w:p>
      <w:pPr>
        <w:pStyle w:val="1102"/>
        <w:rPr>
          <w:rFonts w:hint="default" w:ascii="Times New Roman" w:hAnsi="Times New Roman" w:cs="Times New Roman"/>
          <w:color w:val="auto"/>
        </w:rPr>
      </w:pPr>
      <w:r>
        <w:rPr>
          <w:rFonts w:hint="default" w:ascii="Times New Roman" w:hAnsi="Times New Roman" w:cs="Times New Roman"/>
          <w:color w:val="auto"/>
        </w:rPr>
        <w:t>根据《建筑抗震设计规范》（GB 50011-2010）附录A，该地区抗震设防烈度为Ⅵ度，设计基本地震加速度值为0.05g，设计地震分组为第三组，设计特征周期为0.45s。</w:t>
      </w:r>
    </w:p>
    <w:p>
      <w:pPr>
        <w:pStyle w:val="1102"/>
        <w:rPr>
          <w:rFonts w:hint="default" w:ascii="Times New Roman" w:hAnsi="Times New Roman" w:cs="Times New Roman"/>
          <w:color w:val="auto"/>
        </w:rPr>
      </w:pPr>
      <w:r>
        <w:rPr>
          <w:rFonts w:hint="default" w:ascii="Times New Roman" w:hAnsi="Times New Roman" w:cs="Times New Roman"/>
          <w:color w:val="auto"/>
        </w:rPr>
        <w:t>勘察场地位于红原县，视野较开阔，交通便利。本次勘察测得各勘探孔孔口高程介于3501.35～3501.60m之间，相对高差0.25m，地貌单一，场地地貌单元属红原白河冲洪积层一级阶地。</w:t>
      </w:r>
    </w:p>
    <w:p>
      <w:pPr>
        <w:pStyle w:val="1102"/>
        <w:rPr>
          <w:rFonts w:hint="default" w:ascii="Times New Roman" w:hAnsi="Times New Roman" w:cs="Times New Roman"/>
          <w:color w:val="auto"/>
        </w:rPr>
      </w:pPr>
      <w:r>
        <w:rPr>
          <w:rFonts w:hint="default" w:ascii="Times New Roman" w:hAnsi="Times New Roman" w:cs="Times New Roman"/>
          <w:color w:val="auto"/>
        </w:rPr>
        <w:t>项目区地处青藏高原东部，属高原寒温带半湿润季风气候，多年平均气温0.7</w:t>
      </w:r>
      <w:r>
        <w:rPr>
          <w:rFonts w:hint="default" w:ascii="Times New Roman" w:hAnsi="Times New Roman" w:cs="Times New Roman"/>
          <w:color w:val="auto"/>
          <w:kern w:val="0"/>
        </w:rPr>
        <w:t>°C</w:t>
      </w:r>
      <w:r>
        <w:rPr>
          <w:rFonts w:hint="default" w:ascii="Times New Roman" w:hAnsi="Times New Roman" w:cs="Times New Roman"/>
          <w:color w:val="auto"/>
        </w:rPr>
        <w:t>，气温日较差大，年平均气温日较差14.9</w:t>
      </w:r>
      <w:r>
        <w:rPr>
          <w:rFonts w:hint="default" w:ascii="Times New Roman" w:hAnsi="Times New Roman" w:cs="Times New Roman"/>
          <w:color w:val="auto"/>
          <w:kern w:val="0"/>
        </w:rPr>
        <w:t>°C</w:t>
      </w:r>
      <w:r>
        <w:rPr>
          <w:rFonts w:hint="default" w:ascii="Times New Roman" w:hAnsi="Times New Roman" w:cs="Times New Roman"/>
          <w:color w:val="auto"/>
        </w:rPr>
        <w:t>左右。多年极端最高气温24.4</w:t>
      </w:r>
      <w:r>
        <w:rPr>
          <w:rFonts w:hint="default" w:ascii="Times New Roman" w:hAnsi="Times New Roman" w:cs="Times New Roman"/>
          <w:color w:val="auto"/>
          <w:kern w:val="0"/>
        </w:rPr>
        <w:t>°C</w:t>
      </w:r>
      <w:r>
        <w:rPr>
          <w:rFonts w:hint="default" w:ascii="Times New Roman" w:hAnsi="Times New Roman" w:cs="Times New Roman"/>
          <w:color w:val="auto"/>
        </w:rPr>
        <w:t>，极端最低气温-33</w:t>
      </w:r>
      <w:r>
        <w:rPr>
          <w:rFonts w:hint="default" w:ascii="Times New Roman" w:hAnsi="Times New Roman" w:cs="Times New Roman"/>
          <w:color w:val="auto"/>
          <w:kern w:val="0"/>
        </w:rPr>
        <w:t>°C</w:t>
      </w:r>
      <w:r>
        <w:rPr>
          <w:rFonts w:hint="default" w:ascii="Times New Roman" w:hAnsi="Times New Roman" w:cs="Times New Roman"/>
          <w:color w:val="auto"/>
        </w:rPr>
        <w:t>，年平均相对湿度69%。年平均日照约2400小时，日照时间长，辐射强度</w:t>
      </w:r>
      <w:r>
        <w:rPr>
          <w:rFonts w:hint="default" w:ascii="Times New Roman" w:hAnsi="Times New Roman" w:cs="Times New Roman"/>
          <w:color w:val="auto"/>
          <w:sz w:val="24"/>
          <w:szCs w:val="24"/>
        </w:rPr>
        <w:t>大</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全年</w:t>
      </w:r>
      <w:r>
        <w:rPr>
          <w:rFonts w:hint="default" w:ascii="Times New Roman" w:hAnsi="Times New Roman" w:eastAsia="仿宋" w:cs="Times New Roman"/>
          <w:color w:val="auto"/>
          <w:sz w:val="24"/>
          <w:szCs w:val="24"/>
        </w:rPr>
        <w:t>≥10℃积温值</w:t>
      </w:r>
      <w:r>
        <w:rPr>
          <w:rFonts w:hint="default" w:ascii="Times New Roman" w:hAnsi="Times New Roman" w:eastAsia="仿宋" w:cs="Times New Roman"/>
          <w:color w:val="auto"/>
          <w:sz w:val="24"/>
          <w:szCs w:val="24"/>
          <w:lang w:val="en-US" w:eastAsia="zh-CN"/>
        </w:rPr>
        <w:t>322</w:t>
      </w:r>
      <w:r>
        <w:rPr>
          <w:rFonts w:hint="default" w:ascii="Times New Roman" w:hAnsi="Times New Roman" w:cs="Times New Roman"/>
          <w:color w:val="auto"/>
          <w:kern w:val="0"/>
          <w:sz w:val="24"/>
          <w:szCs w:val="24"/>
        </w:rPr>
        <w:t>°C</w:t>
      </w:r>
      <w:r>
        <w:rPr>
          <w:rFonts w:hint="default" w:ascii="Times New Roman" w:hAnsi="Times New Roman" w:cs="Times New Roman"/>
          <w:color w:val="auto"/>
        </w:rPr>
        <w:t>。测区地处内陆，但降水量却较多，尤以雨季为甚，多年平均降水量为663.6mm，且主要集中在5～10月，冬季干燥少雨</w:t>
      </w:r>
      <w:r>
        <w:rPr>
          <w:rFonts w:hint="default" w:ascii="Times New Roman" w:hAnsi="Times New Roman" w:cs="Times New Roman"/>
          <w:color w:val="auto"/>
          <w:lang w:eastAsia="zh-CN"/>
        </w:rPr>
        <w:t>；</w:t>
      </w:r>
      <w:r>
        <w:rPr>
          <w:rFonts w:hint="default" w:ascii="Times New Roman" w:hAnsi="Times New Roman" w:eastAsia="仿宋_GB2312" w:cs="Times New Roman"/>
          <w:color w:val="auto"/>
          <w:kern w:val="0"/>
          <w:sz w:val="24"/>
          <w:szCs w:val="24"/>
          <w:lang w:val="en-US" w:eastAsia="zh-CN" w:bidi="ar"/>
        </w:rPr>
        <w:t>5年一遇1h、6h、24h最大降雨量分别为：22mm、40mm、44.6mm；10年一遇1h、6h、24h最大降雨量分别为：24.4mm、40mm、45.1mm；20年一遇1h、6h、24h最大降雨量分别为：24.4mm、40mm、45.1mm</w:t>
      </w:r>
      <w:r>
        <w:rPr>
          <w:rFonts w:hint="default" w:ascii="Times New Roman" w:hAnsi="Times New Roman" w:cs="Times New Roman"/>
          <w:color w:val="auto"/>
        </w:rPr>
        <w:t>。项目区多年平均风速2.4m/s</w:t>
      </w:r>
      <w:r>
        <w:rPr>
          <w:rFonts w:hint="eastAsia" w:cs="Times New Roman"/>
          <w:color w:val="auto"/>
          <w:lang w:eastAsia="zh-CN"/>
        </w:rPr>
        <w:t>；</w:t>
      </w:r>
      <w:r>
        <w:rPr>
          <w:rFonts w:hint="default" w:ascii="Times New Roman" w:hAnsi="Times New Roman" w:cs="Times New Roman"/>
          <w:color w:val="auto"/>
        </w:rPr>
        <w:t>冬、春季多大风天气，历年最大风速18.3m/s。受高原地区复杂地形及热动力作用产生的大气对流作用影响，多在5-10月傍晚及上半夜产生雷雨及冰雹大风天气。场地土标准冻结深度为1.00m。</w:t>
      </w:r>
    </w:p>
    <w:p>
      <w:pPr>
        <w:pStyle w:val="1102"/>
        <w:rPr>
          <w:rFonts w:hint="default" w:ascii="Times New Roman" w:hAnsi="Times New Roman" w:eastAsia="仿宋_GB2312" w:cs="Times New Roman"/>
          <w:color w:val="auto"/>
          <w:lang w:eastAsia="zh-CN"/>
        </w:rPr>
      </w:pPr>
      <w:r>
        <w:rPr>
          <w:rFonts w:hint="default" w:ascii="Times New Roman" w:hAnsi="Times New Roman" w:cs="Times New Roman"/>
          <w:color w:val="auto"/>
        </w:rPr>
        <w:t>项目区土壤以</w:t>
      </w:r>
      <w:r>
        <w:rPr>
          <w:rFonts w:hint="default" w:ascii="Times New Roman" w:hAnsi="Times New Roman" w:cs="Times New Roman"/>
          <w:color w:val="auto"/>
          <w:lang w:val="en-US" w:eastAsia="zh-CN"/>
        </w:rPr>
        <w:t>亚高山草甸土</w:t>
      </w:r>
      <w:r>
        <w:rPr>
          <w:rFonts w:hint="default" w:ascii="Times New Roman" w:hAnsi="Times New Roman" w:cs="Times New Roman"/>
          <w:color w:val="auto"/>
        </w:rPr>
        <w:t>为主，表层土厚度0.2m；植被类型属</w:t>
      </w:r>
      <w:r>
        <w:rPr>
          <w:rFonts w:hint="default" w:ascii="Times New Roman" w:hAnsi="Times New Roman" w:cs="Times New Roman"/>
          <w:iCs/>
          <w:color w:val="auto"/>
        </w:rPr>
        <w:t>青藏高原高寒植被区</w:t>
      </w:r>
      <w:r>
        <w:rPr>
          <w:rFonts w:hint="default" w:ascii="Times New Roman" w:hAnsi="Times New Roman" w:cs="Times New Roman"/>
          <w:color w:val="auto"/>
        </w:rPr>
        <w:t>，项目区林草植被以杂草为主，植被覆盖率10%左右。红原县地处以水力侵蚀</w:t>
      </w:r>
      <w:r>
        <w:rPr>
          <w:rFonts w:hint="default" w:ascii="Times New Roman" w:hAnsi="Times New Roman" w:cs="Times New Roman"/>
          <w:color w:val="auto"/>
          <w:lang w:val="en-US" w:eastAsia="zh-CN"/>
        </w:rPr>
        <w:t>和风力侵蚀</w:t>
      </w:r>
      <w:r>
        <w:rPr>
          <w:rFonts w:hint="default" w:ascii="Times New Roman" w:hAnsi="Times New Roman" w:cs="Times New Roman"/>
          <w:color w:val="auto"/>
        </w:rPr>
        <w:t>为主的西南土石山区，其容许土壤流失量500t/km</w:t>
      </w:r>
      <w:r>
        <w:rPr>
          <w:rFonts w:hint="default" w:ascii="Times New Roman" w:hAnsi="Times New Roman" w:cs="Times New Roman"/>
          <w:color w:val="auto"/>
          <w:vertAlign w:val="superscript"/>
        </w:rPr>
        <w:t>2</w:t>
      </w:r>
      <w:r>
        <w:rPr>
          <w:rFonts w:hint="default" w:ascii="Times New Roman" w:hAnsi="Times New Roman" w:cs="Times New Roman"/>
          <w:color w:val="auto"/>
        </w:rPr>
        <w:t>·a，以微度水力侵蚀为主，水土流失背景值300t/km</w:t>
      </w:r>
      <w:r>
        <w:rPr>
          <w:rFonts w:hint="default" w:ascii="Times New Roman" w:hAnsi="Times New Roman" w:cs="Times New Roman"/>
          <w:color w:val="auto"/>
          <w:vertAlign w:val="superscript"/>
        </w:rPr>
        <w:t>2</w:t>
      </w:r>
      <w:r>
        <w:rPr>
          <w:rFonts w:hint="default" w:ascii="Times New Roman" w:hAnsi="Times New Roman" w:cs="Times New Roman"/>
          <w:color w:val="auto"/>
        </w:rPr>
        <w:t>·a。</w:t>
      </w:r>
      <w:r>
        <w:rPr>
          <w:rFonts w:hint="default" w:ascii="Times New Roman" w:hAnsi="Times New Roman" w:cs="Times New Roman"/>
          <w:color w:val="auto"/>
          <w:kern w:val="0"/>
        </w:rPr>
        <w:t>红原县属于金沙江岷江上游及三江并流国家级水土流失重点预防区</w:t>
      </w:r>
      <w:r>
        <w:rPr>
          <w:rFonts w:hint="default" w:ascii="Times New Roman" w:hAnsi="Times New Roman" w:cs="Times New Roman"/>
          <w:color w:val="auto"/>
          <w:kern w:val="0"/>
          <w:lang w:eastAsia="zh-CN"/>
        </w:rPr>
        <w:t>，</w:t>
      </w:r>
      <w:r>
        <w:rPr>
          <w:rFonts w:hint="default" w:ascii="Times New Roman" w:hAnsi="Times New Roman" w:cs="Times New Roman"/>
          <w:color w:val="auto"/>
          <w:kern w:val="0"/>
        </w:rPr>
        <w:t>全国水土保持一级区划中的青藏高原区</w:t>
      </w:r>
      <w:r>
        <w:rPr>
          <w:rFonts w:hint="default" w:ascii="Times New Roman" w:hAnsi="Times New Roman" w:cs="Times New Roman"/>
          <w:color w:val="auto"/>
          <w:kern w:val="0"/>
          <w:lang w:eastAsia="zh-CN"/>
        </w:rPr>
        <w:t>。</w:t>
      </w:r>
    </w:p>
    <w:p>
      <w:pPr>
        <w:pStyle w:val="3"/>
        <w:suppressAutoHyphens/>
        <w:spacing w:before="156" w:beforeLines="50" w:after="156" w:afterLines="50"/>
        <w:rPr>
          <w:rFonts w:hint="default" w:ascii="Times New Roman" w:hAnsi="Times New Roman" w:cs="Times New Roman"/>
          <w:color w:val="auto"/>
          <w:kern w:val="0"/>
        </w:rPr>
      </w:pPr>
      <w:bookmarkStart w:id="4" w:name="_Toc17355"/>
      <w:r>
        <w:rPr>
          <w:rFonts w:hint="default" w:ascii="Times New Roman" w:hAnsi="Times New Roman" w:cs="Times New Roman"/>
          <w:color w:val="auto"/>
          <w:kern w:val="0"/>
        </w:rPr>
        <w:t>1.2编制依据</w:t>
      </w:r>
      <w:bookmarkEnd w:id="4"/>
    </w:p>
    <w:p>
      <w:pPr>
        <w:pStyle w:val="4"/>
        <w:rPr>
          <w:rFonts w:hint="default" w:ascii="Times New Roman" w:hAnsi="Times New Roman" w:cs="Times New Roman"/>
          <w:color w:val="auto"/>
        </w:rPr>
      </w:pPr>
      <w:r>
        <w:rPr>
          <w:rFonts w:hint="default" w:ascii="Times New Roman" w:hAnsi="Times New Roman" w:cs="Times New Roman"/>
          <w:color w:val="auto"/>
        </w:rPr>
        <w:t>1.2.1 法律法规</w:t>
      </w:r>
    </w:p>
    <w:p>
      <w:pPr>
        <w:ind w:firstLine="480"/>
        <w:rPr>
          <w:rFonts w:hint="default" w:ascii="Times New Roman" w:hAnsi="Times New Roman" w:eastAsia="仿宋_GB2312" w:cs="Times New Roman"/>
          <w:color w:val="auto"/>
          <w:szCs w:val="24"/>
        </w:rPr>
      </w:pPr>
      <w:bookmarkStart w:id="5" w:name="_Toc96309352"/>
      <w:bookmarkStart w:id="6" w:name="_Toc139096517"/>
      <w:bookmarkStart w:id="7" w:name="_Toc139096405"/>
      <w:bookmarkStart w:id="8" w:name="_Toc98642109"/>
      <w:bookmarkStart w:id="9" w:name="_Toc181096699"/>
      <w:bookmarkStart w:id="10" w:name="_Toc139422903"/>
      <w:bookmarkStart w:id="11" w:name="_Toc143579007"/>
      <w:bookmarkStart w:id="12" w:name="_Toc181114279"/>
      <w:bookmarkStart w:id="13" w:name="_Toc181113909"/>
      <w:bookmarkStart w:id="14" w:name="_Toc181478136"/>
      <w:bookmarkStart w:id="15" w:name="_Toc103329048"/>
      <w:bookmarkStart w:id="16" w:name="_Toc181501973"/>
      <w:r>
        <w:rPr>
          <w:rFonts w:hint="default" w:ascii="Times New Roman" w:hAnsi="Times New Roman" w:eastAsia="仿宋_GB2312" w:cs="Times New Roman"/>
          <w:color w:val="auto"/>
          <w:szCs w:val="24"/>
        </w:rPr>
        <w:t>（1）《中华人民共和国水土保持法》（中华人民共和国主席令第39号，</w:t>
      </w:r>
      <w:r>
        <w:rPr>
          <w:rFonts w:hint="default" w:ascii="Times New Roman" w:hAnsi="Times New Roman" w:eastAsia="仿宋_GB2312" w:cs="Times New Roman"/>
          <w:color w:val="auto"/>
        </w:rPr>
        <w:t>1991年6月29日颁布，2010年12月25日修订，2011年3月1日起施行</w:t>
      </w:r>
      <w:r>
        <w:rPr>
          <w:rFonts w:hint="default" w:ascii="Times New Roman" w:hAnsi="Times New Roman" w:eastAsia="仿宋_GB2312" w:cs="Times New Roman"/>
          <w:color w:val="auto"/>
          <w:szCs w:val="24"/>
        </w:rPr>
        <w:t>）；</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4"/>
        </w:rPr>
        <w:t>（2）《四川省〈中华人民共和国水土保持法〉实施办法》（</w:t>
      </w:r>
      <w:r>
        <w:rPr>
          <w:rFonts w:hint="default" w:ascii="Times New Roman" w:hAnsi="Times New Roman" w:eastAsia="仿宋_GB2312" w:cs="Times New Roman"/>
          <w:color w:val="auto"/>
        </w:rPr>
        <w:t>1993年12月15日通过，1997年10月17日修正，2012年9月21日修订，自2012年12月1日起施行</w:t>
      </w:r>
      <w:r>
        <w:rPr>
          <w:rFonts w:hint="default" w:ascii="Times New Roman" w:hAnsi="Times New Roman" w:eastAsia="仿宋_GB2312" w:cs="Times New Roman"/>
          <w:color w:val="auto"/>
          <w:szCs w:val="24"/>
        </w:rPr>
        <w:t>）</w:t>
      </w:r>
      <w:r>
        <w:rPr>
          <w:rFonts w:hint="default" w:ascii="Times New Roman" w:hAnsi="Times New Roman" w:eastAsia="仿宋_GB2312" w:cs="Times New Roman"/>
          <w:color w:val="auto"/>
        </w:rPr>
        <w:t>。</w:t>
      </w:r>
    </w:p>
    <w:bookmarkEnd w:id="5"/>
    <w:bookmarkEnd w:id="6"/>
    <w:bookmarkEnd w:id="7"/>
    <w:bookmarkEnd w:id="8"/>
    <w:bookmarkEnd w:id="9"/>
    <w:bookmarkEnd w:id="10"/>
    <w:bookmarkEnd w:id="11"/>
    <w:bookmarkEnd w:id="12"/>
    <w:bookmarkEnd w:id="13"/>
    <w:bookmarkEnd w:id="14"/>
    <w:bookmarkEnd w:id="15"/>
    <w:bookmarkEnd w:id="16"/>
    <w:p>
      <w:pPr>
        <w:pStyle w:val="4"/>
        <w:rPr>
          <w:rFonts w:hint="default" w:ascii="Times New Roman" w:hAnsi="Times New Roman" w:cs="Times New Roman"/>
          <w:color w:val="auto"/>
        </w:rPr>
      </w:pPr>
      <w:bookmarkStart w:id="17" w:name="_Toc143579009"/>
      <w:bookmarkStart w:id="18" w:name="_Toc181501975"/>
      <w:bookmarkStart w:id="19" w:name="_Toc181114281"/>
      <w:bookmarkStart w:id="20" w:name="_Toc98642111"/>
      <w:bookmarkStart w:id="21" w:name="_Toc139096407"/>
      <w:bookmarkStart w:id="22" w:name="_Toc103329050"/>
      <w:bookmarkStart w:id="23" w:name="_Toc181113911"/>
      <w:bookmarkStart w:id="24" w:name="_Toc139096519"/>
      <w:bookmarkStart w:id="25" w:name="_Toc96309354"/>
      <w:bookmarkStart w:id="26" w:name="_Toc181478138"/>
      <w:bookmarkStart w:id="27" w:name="_Toc181096701"/>
      <w:bookmarkStart w:id="28" w:name="_Toc139422905"/>
      <w:r>
        <w:rPr>
          <w:rFonts w:hint="default" w:ascii="Times New Roman" w:hAnsi="Times New Roman" w:cs="Times New Roman"/>
          <w:color w:val="auto"/>
        </w:rPr>
        <w:t>1.2.2技术规范与标准</w:t>
      </w:r>
      <w:bookmarkEnd w:id="17"/>
      <w:bookmarkEnd w:id="18"/>
      <w:bookmarkEnd w:id="19"/>
      <w:bookmarkEnd w:id="20"/>
      <w:bookmarkEnd w:id="21"/>
      <w:bookmarkEnd w:id="22"/>
      <w:bookmarkEnd w:id="23"/>
      <w:bookmarkEnd w:id="24"/>
      <w:bookmarkEnd w:id="25"/>
      <w:bookmarkEnd w:id="26"/>
      <w:bookmarkEnd w:id="27"/>
      <w:bookmarkEnd w:id="28"/>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（1）《生产建设项目水土保持技术标准》（GB50433-2018）；</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（2）《生产建设项目水土流失防治标准》（GB/T50434-2018）；</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（3）《水土保持工程设计规范》（GB51018-2014）；</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（4）《土壤侵蚀分类分级标准》（SL190-2007）；</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（5）《水利水电工程制图标准水土保持图》（SL73.6-2015）；</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（6）</w:t>
      </w:r>
      <w:r>
        <w:rPr>
          <w:rFonts w:hint="default" w:ascii="Times New Roman" w:hAnsi="Times New Roman" w:eastAsia="仿宋_GB2312" w:cs="Times New Roman"/>
          <w:color w:val="auto"/>
          <w:szCs w:val="24"/>
        </w:rPr>
        <w:t>《生产建设项目水土保持监测与评价标准》（GB/T51240-2018）</w:t>
      </w:r>
      <w:r>
        <w:rPr>
          <w:rFonts w:hint="default" w:ascii="Times New Roman" w:hAnsi="Times New Roman" w:eastAsia="仿宋_GB2312" w:cs="Times New Roman"/>
          <w:color w:val="auto"/>
        </w:rPr>
        <w:t>；</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（7）《土地利用现状分类》（GB/T21010-2017）；</w:t>
      </w:r>
    </w:p>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（8）《生产建设项目水土保持监测技术规程》（试行）。</w:t>
      </w:r>
    </w:p>
    <w:p>
      <w:pPr>
        <w:pStyle w:val="4"/>
        <w:rPr>
          <w:rFonts w:hint="default" w:ascii="Times New Roman" w:hAnsi="Times New Roman" w:cs="Times New Roman"/>
          <w:color w:val="auto"/>
        </w:rPr>
      </w:pPr>
      <w:r>
        <w:rPr>
          <w:rFonts w:hint="default" w:ascii="Times New Roman" w:hAnsi="Times New Roman" w:cs="Times New Roman"/>
          <w:color w:val="auto"/>
        </w:rPr>
        <w:t>1.2.3技术资料</w:t>
      </w:r>
    </w:p>
    <w:p>
      <w:pPr>
        <w:pStyle w:val="1102"/>
        <w:rPr>
          <w:rFonts w:hint="default" w:ascii="Times New Roman" w:hAnsi="Times New Roman" w:cs="Times New Roman"/>
          <w:color w:val="auto"/>
        </w:rPr>
      </w:pPr>
      <w:r>
        <w:rPr>
          <w:rFonts w:hint="default" w:ascii="Times New Roman" w:hAnsi="Times New Roman" w:cs="Times New Roman"/>
          <w:color w:val="auto"/>
        </w:rPr>
        <w:t>（1）《红原县2015年薄弱学校改造（藏文中学）建设项目施工图设计》（2016年6月，四川构想建筑工程设计有限公司）；</w:t>
      </w:r>
    </w:p>
    <w:p>
      <w:pPr>
        <w:pStyle w:val="1102"/>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szCs w:val="22"/>
        </w:rPr>
        <w:t>红原县藏文中学图书馆建设项目岩土工程勘察报告【勘察阶段：详细勘察】</w:t>
      </w:r>
      <w:r>
        <w:rPr>
          <w:rFonts w:hint="default" w:ascii="Times New Roman" w:hAnsi="Times New Roman" w:cs="Times New Roman"/>
          <w:color w:val="auto"/>
        </w:rPr>
        <w:t>》（2017年4月，四川枫雅建筑勘察设计有限责任公司）；</w:t>
      </w:r>
    </w:p>
    <w:p>
      <w:pPr>
        <w:pStyle w:val="1102"/>
        <w:rPr>
          <w:rFonts w:hint="default" w:ascii="Times New Roman" w:hAnsi="Times New Roman" w:cs="Times New Roman"/>
          <w:color w:val="auto"/>
        </w:rPr>
      </w:pPr>
      <w:r>
        <w:rPr>
          <w:rFonts w:hint="default" w:ascii="Times New Roman" w:hAnsi="Times New Roman" w:cs="Times New Roman"/>
          <w:color w:val="auto"/>
        </w:rPr>
        <w:t>（3）红原县土壤侵蚀分布图、水系图等；</w:t>
      </w:r>
    </w:p>
    <w:p>
      <w:pPr>
        <w:pStyle w:val="1102"/>
        <w:rPr>
          <w:rFonts w:hint="default" w:ascii="Times New Roman" w:hAnsi="Times New Roman" w:cs="Times New Roman"/>
          <w:color w:val="auto"/>
        </w:rPr>
      </w:pPr>
      <w:r>
        <w:rPr>
          <w:rFonts w:hint="default" w:ascii="Times New Roman" w:hAnsi="Times New Roman" w:cs="Times New Roman"/>
          <w:color w:val="auto"/>
        </w:rPr>
        <w:t>（4）《红原县水土保持规划（2015-2030年）》（报批稿）。</w:t>
      </w:r>
    </w:p>
    <w:p>
      <w:pPr>
        <w:pStyle w:val="3"/>
        <w:suppressAutoHyphens/>
        <w:spacing w:before="156" w:beforeLines="50" w:after="156" w:afterLines="50"/>
        <w:rPr>
          <w:rFonts w:hint="default" w:ascii="Times New Roman" w:hAnsi="Times New Roman" w:cs="Times New Roman"/>
          <w:color w:val="auto"/>
          <w:kern w:val="0"/>
        </w:rPr>
      </w:pPr>
      <w:bookmarkStart w:id="29" w:name="_Toc601"/>
      <w:r>
        <w:rPr>
          <w:rFonts w:hint="default" w:ascii="Times New Roman" w:hAnsi="Times New Roman" w:cs="Times New Roman"/>
          <w:color w:val="auto"/>
          <w:kern w:val="0"/>
        </w:rPr>
        <w:t>1.3 设计水平年</w:t>
      </w:r>
      <w:bookmarkEnd w:id="29"/>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rPr>
        <w:t>本项目已于2016年11月动工建设，2017年11月完工。根据《生产建设项</w:t>
      </w:r>
      <w:r>
        <w:rPr>
          <w:rFonts w:hint="default" w:ascii="Times New Roman" w:hAnsi="Times New Roman" w:eastAsia="仿宋_GB2312" w:cs="Times New Roman"/>
          <w:color w:val="auto"/>
        </w:rPr>
        <w:t>目水土保持技术标准》（GB50433-2018）4.1.3的规定；设计水平年应为主体工程完工后当年或后一年，根据主体工程完工时间和水土保持措施实施进度安排等综合确定；方案设计水平年确定为2020年。</w:t>
      </w:r>
    </w:p>
    <w:p>
      <w:pPr>
        <w:pStyle w:val="3"/>
        <w:suppressAutoHyphens/>
        <w:spacing w:before="156" w:beforeLines="50" w:after="156" w:afterLines="50"/>
        <w:rPr>
          <w:rFonts w:hint="default" w:ascii="Times New Roman" w:hAnsi="Times New Roman" w:cs="Times New Roman"/>
          <w:color w:val="auto"/>
          <w:kern w:val="0"/>
        </w:rPr>
      </w:pPr>
      <w:bookmarkStart w:id="30" w:name="_Toc26490"/>
      <w:r>
        <w:rPr>
          <w:rFonts w:hint="default" w:ascii="Times New Roman" w:hAnsi="Times New Roman" w:cs="Times New Roman"/>
          <w:color w:val="auto"/>
          <w:kern w:val="0"/>
        </w:rPr>
        <w:t>1.4水土流失防治责任范围</w:t>
      </w:r>
      <w:bookmarkEnd w:id="30"/>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根据《生产建设项目水土保持技术标准》（GB50433-2018）4.4.1的规定，生产建设项目水土流失防治责任范围应包括项目永久征地、临时占地（含租赁土地）以及其他使用与管辖区域。</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本项目建设场地位于阿坝藏族羌族自治州红原县，水土流失防治责任范围面积0.</w:t>
      </w:r>
      <w:r>
        <w:rPr>
          <w:rFonts w:hint="default" w:ascii="Times New Roman" w:hAnsi="Times New Roman" w:eastAsia="仿宋_GB2312" w:cs="Times New Roman"/>
          <w:color w:val="auto"/>
          <w:lang w:val="en-US" w:eastAsia="zh-CN"/>
        </w:rPr>
        <w:t>43</w:t>
      </w:r>
      <w:r>
        <w:rPr>
          <w:rFonts w:hint="default" w:ascii="Times New Roman" w:hAnsi="Times New Roman" w:eastAsia="仿宋_GB2312" w:cs="Times New Roman"/>
          <w:color w:val="auto"/>
        </w:rPr>
        <w:t>hm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w:t>
      </w:r>
    </w:p>
    <w:p>
      <w:pPr>
        <w:spacing w:line="240" w:lineRule="auto"/>
        <w:ind w:firstLine="422"/>
        <w:jc w:val="center"/>
        <w:rPr>
          <w:rFonts w:hint="default" w:ascii="Times New Roman" w:hAnsi="Times New Roman" w:eastAsia="仿宋_GB2312" w:cs="Times New Roman"/>
          <w:b/>
          <w:color w:val="auto"/>
          <w:sz w:val="21"/>
          <w:szCs w:val="21"/>
          <w:lang w:val="zh-CN"/>
        </w:rPr>
      </w:pPr>
      <w:r>
        <w:rPr>
          <w:rFonts w:hint="default" w:ascii="Times New Roman" w:hAnsi="Times New Roman" w:eastAsia="仿宋_GB2312" w:cs="Times New Roman"/>
          <w:b/>
          <w:color w:val="auto"/>
          <w:sz w:val="21"/>
          <w:szCs w:val="21"/>
          <w:lang w:val="zh-CN"/>
        </w:rPr>
        <w:t>表1-1  水土流失防治分区表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2"/>
        <w:gridCol w:w="1700"/>
        <w:gridCol w:w="55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分区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项目建设区（hm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275"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涉及范围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327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藏文图书馆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附属设施区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0.34</w:t>
            </w:r>
          </w:p>
        </w:tc>
        <w:tc>
          <w:tcPr>
            <w:tcW w:w="327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附属设施工程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43</w:t>
            </w:r>
          </w:p>
        </w:tc>
        <w:tc>
          <w:tcPr>
            <w:tcW w:w="3275"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bl>
    <w:p>
      <w:pPr>
        <w:spacing w:line="240" w:lineRule="auto"/>
        <w:ind w:firstLine="480"/>
        <w:rPr>
          <w:rFonts w:hint="default" w:ascii="Times New Roman" w:hAnsi="Times New Roman" w:eastAsia="仿宋_GB2312" w:cs="Times New Roman"/>
          <w:color w:val="auto"/>
        </w:rPr>
      </w:pPr>
    </w:p>
    <w:p>
      <w:pPr>
        <w:pStyle w:val="3"/>
        <w:suppressAutoHyphens/>
        <w:spacing w:before="156" w:beforeLines="50" w:after="156" w:afterLines="50"/>
        <w:rPr>
          <w:rFonts w:hint="default" w:ascii="Times New Roman" w:hAnsi="Times New Roman" w:cs="Times New Roman"/>
          <w:color w:val="auto"/>
          <w:kern w:val="0"/>
        </w:rPr>
      </w:pPr>
      <w:bookmarkStart w:id="31" w:name="_Toc7463"/>
      <w:r>
        <w:rPr>
          <w:rFonts w:hint="default" w:ascii="Times New Roman" w:hAnsi="Times New Roman" w:cs="Times New Roman"/>
          <w:color w:val="auto"/>
          <w:kern w:val="0"/>
        </w:rPr>
        <w:t>1.5水土流失防治目标</w:t>
      </w:r>
      <w:bookmarkEnd w:id="31"/>
    </w:p>
    <w:p>
      <w:pPr>
        <w:pStyle w:val="4"/>
        <w:rPr>
          <w:rFonts w:hint="default" w:ascii="Times New Roman" w:hAnsi="Times New Roman" w:cs="Times New Roman"/>
          <w:color w:val="auto"/>
        </w:rPr>
      </w:pPr>
      <w:r>
        <w:rPr>
          <w:rFonts w:hint="default" w:ascii="Times New Roman" w:hAnsi="Times New Roman" w:cs="Times New Roman"/>
          <w:color w:val="auto"/>
        </w:rPr>
        <w:t>1.5.1执行标准等级</w:t>
      </w:r>
    </w:p>
    <w:p>
      <w:pPr>
        <w:pStyle w:val="20"/>
        <w:ind w:firstLine="480"/>
        <w:jc w:val="both"/>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根据《水利部办公厅关于印发&lt;全国水土保持规划国家级水土流失重点预防区和重点治理区复核划分成果&gt;的通知》(办水保〔2013〕188号)，项目所在的红原县属于金沙江岷江上游及三江并流国家级水土流失重点预防区。根据《水利部办公厅关于印发&lt;全国水土保持区划(试行)&gt;的通知》(办水保〔2012〕512号)，红原县属于全国水土保持一级区划的青藏高原区；按照《生产建设项目水土流失防治标准》(GB/T50434-2018)规定，项目水土流失防治标准执行青藏高原区一级标准。</w:t>
      </w:r>
    </w:p>
    <w:p>
      <w:pPr>
        <w:pStyle w:val="4"/>
        <w:rPr>
          <w:rFonts w:hint="default" w:ascii="Times New Roman" w:hAnsi="Times New Roman" w:cs="Times New Roman"/>
          <w:color w:val="auto"/>
        </w:rPr>
      </w:pPr>
      <w:r>
        <w:rPr>
          <w:rFonts w:hint="default" w:ascii="Times New Roman" w:hAnsi="Times New Roman" w:cs="Times New Roman"/>
          <w:color w:val="auto"/>
        </w:rPr>
        <w:t>1.5.2防治目标</w:t>
      </w:r>
    </w:p>
    <w:p>
      <w:pPr>
        <w:pStyle w:val="20"/>
        <w:ind w:firstLine="480"/>
        <w:jc w:val="both"/>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根据《生产建设项目水土流失防治标准》(GB/T50434-2018)规定，项目区原地貌土壤侵蚀强度为微度，土壤流失控制比不应小于1.0；项目无法避让国家级水土流失重点预防区，林草覆盖率应提高1～2%；项目区地形为丘状高原，渣土防护率可减少3%～5%，方案不做调整。</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（1）项目区干旱程度</w:t>
      </w:r>
    </w:p>
    <w:p>
      <w:pPr>
        <w:ind w:firstLine="480"/>
        <w:rPr>
          <w:rFonts w:hint="default" w:ascii="Times New Roman" w:hAnsi="Times New Roman" w:eastAsia="仿宋_GB2312" w:cs="Times New Roman"/>
          <w:color w:val="auto"/>
          <w:kern w:val="0"/>
          <w:szCs w:val="24"/>
          <w:lang w:val="en-US" w:eastAsia="zh-CN"/>
        </w:rPr>
      </w:pPr>
      <w:r>
        <w:rPr>
          <w:rFonts w:hint="default" w:ascii="Times New Roman" w:hAnsi="Times New Roman" w:eastAsia="仿宋_GB2312" w:cs="Times New Roman"/>
          <w:color w:val="auto"/>
          <w:kern w:val="0"/>
          <w:szCs w:val="24"/>
        </w:rPr>
        <w:t>项目区多年平均降水量</w:t>
      </w:r>
      <w:r>
        <w:rPr>
          <w:rFonts w:hint="default" w:ascii="Times New Roman" w:hAnsi="Times New Roman" w:eastAsia="仿宋_GB2312" w:cs="Times New Roman"/>
          <w:color w:val="auto"/>
          <w:szCs w:val="20"/>
        </w:rPr>
        <w:t>663.6</w:t>
      </w:r>
      <w:r>
        <w:rPr>
          <w:rFonts w:hint="default" w:ascii="Times New Roman" w:hAnsi="Times New Roman" w:eastAsia="仿宋_GB2312" w:cs="Times New Roman"/>
          <w:color w:val="auto"/>
          <w:kern w:val="0"/>
          <w:szCs w:val="24"/>
        </w:rPr>
        <w:t>mm、多年平均蒸发量1262mm（干旱指数r=</w:t>
      </w:r>
      <w:r>
        <w:rPr>
          <w:rFonts w:hint="default" w:ascii="Times New Roman" w:hAnsi="Times New Roman" w:eastAsia="仿宋_GB2312" w:cs="Times New Roman"/>
          <w:color w:val="auto"/>
        </w:rPr>
        <w:t>1262mm/663.6mm=1.90</w:t>
      </w:r>
      <w:r>
        <w:rPr>
          <w:rFonts w:hint="default" w:ascii="Times New Roman" w:hAnsi="Times New Roman" w:eastAsia="仿宋_GB2312" w:cs="Times New Roman"/>
          <w:color w:val="auto"/>
          <w:kern w:val="0"/>
          <w:szCs w:val="24"/>
        </w:rPr>
        <w:t>），项目区属亚干旱地区，按照《生产建设项目水土流失防治标准》（GB/T50434-2018）第4.0.6条的规定，水土流失治理度、林草植被恢复率、林草覆盖率可降低3%。</w:t>
      </w:r>
      <w:r>
        <w:rPr>
          <w:rFonts w:hint="default" w:ascii="Times New Roman" w:hAnsi="Times New Roman" w:eastAsia="仿宋_GB2312" w:cs="Times New Roman"/>
          <w:color w:val="auto"/>
          <w:kern w:val="0"/>
          <w:szCs w:val="24"/>
          <w:lang w:val="en-US" w:eastAsia="zh-CN"/>
        </w:rPr>
        <w:t>考虑到红原县处于高原地区，生态较脆弱，</w:t>
      </w:r>
      <w:r>
        <w:rPr>
          <w:rFonts w:hint="default" w:ascii="Times New Roman" w:hAnsi="Times New Roman" w:eastAsia="仿宋_GB2312" w:cs="Times New Roman"/>
          <w:color w:val="auto"/>
          <w:kern w:val="0"/>
          <w:szCs w:val="24"/>
        </w:rPr>
        <w:t>水土流失治理度、林草植被恢复率、林草覆盖率</w:t>
      </w:r>
      <w:r>
        <w:rPr>
          <w:rFonts w:hint="default" w:ascii="Times New Roman" w:hAnsi="Times New Roman" w:eastAsia="仿宋_GB2312" w:cs="Times New Roman"/>
          <w:color w:val="auto"/>
          <w:kern w:val="0"/>
          <w:szCs w:val="24"/>
          <w:lang w:val="en-US" w:eastAsia="zh-CN"/>
        </w:rPr>
        <w:t>不作调整。</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（2）土壤侵蚀强度修正值</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项目区背景土壤侵蚀强度表现为轻度侵蚀，按照《生产建设项目水土流失防治标准》（GB/T50434-2018）第4.0.7条的规定，土壤流失控制提高0.2。</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（3）地形地貌修正值</w:t>
      </w:r>
    </w:p>
    <w:p>
      <w:pPr>
        <w:pStyle w:val="20"/>
        <w:ind w:firstLine="480"/>
        <w:jc w:val="both"/>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本项目地貌单元属丘状高原；按照《生产建设项目水土流失防治标准》（GB/T50434-2018）第4.0.8条的规定，项目区地形为丘状高原，渣土防护率可减少3%～5%，方案不作调整。</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（4）水土流失重点预防区</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红原县属于金沙江岷江上游及三江并流国家级水土流失重点预防区，项目区无法避让国家级水土流失重点预防区，林草覆盖率提高2%。</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（5）城市区域</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本项目没有在城市区域内，因此渣土防护率和林草覆盖率不做调整。</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综合考虑，本项目设计水平年水土流失防治目标值确定为水土流失治理度</w:t>
      </w:r>
      <w:r>
        <w:rPr>
          <w:rFonts w:hint="default" w:ascii="Times New Roman" w:hAnsi="Times New Roman" w:eastAsia="仿宋_GB2312" w:cs="Times New Roman"/>
          <w:color w:val="auto"/>
          <w:kern w:val="0"/>
          <w:lang w:val="en-US" w:eastAsia="zh-CN"/>
        </w:rPr>
        <w:t>85</w:t>
      </w:r>
      <w:r>
        <w:rPr>
          <w:rFonts w:hint="default" w:ascii="Times New Roman" w:hAnsi="Times New Roman" w:eastAsia="仿宋_GB2312" w:cs="Times New Roman"/>
          <w:color w:val="auto"/>
          <w:kern w:val="0"/>
        </w:rPr>
        <w:t>%、土壤流失控制比1.0、渣土防护率</w:t>
      </w:r>
      <w:r>
        <w:rPr>
          <w:rFonts w:hint="default" w:ascii="Times New Roman" w:hAnsi="Times New Roman" w:eastAsia="仿宋_GB2312" w:cs="Times New Roman"/>
          <w:color w:val="auto"/>
          <w:kern w:val="0"/>
          <w:lang w:val="en-US" w:eastAsia="zh-CN"/>
        </w:rPr>
        <w:t>87</w:t>
      </w:r>
      <w:r>
        <w:rPr>
          <w:rFonts w:hint="default" w:ascii="Times New Roman" w:hAnsi="Times New Roman" w:eastAsia="仿宋_GB2312" w:cs="Times New Roman"/>
          <w:color w:val="auto"/>
          <w:kern w:val="0"/>
        </w:rPr>
        <w:t>%、表土保护率（项目区无表土可剥离，不计该值）、林草植被恢复率（项目不涉及绿化，不计该值）、林草覆盖率（项目不涉及绿化，不计该值）。</w:t>
      </w:r>
    </w:p>
    <w:p>
      <w:pPr>
        <w:suppressAutoHyphens/>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表1-1  项目区水土流失防治目标值表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71"/>
        <w:gridCol w:w="704"/>
        <w:gridCol w:w="853"/>
        <w:gridCol w:w="853"/>
        <w:gridCol w:w="851"/>
        <w:gridCol w:w="994"/>
        <w:gridCol w:w="1134"/>
        <w:gridCol w:w="711"/>
        <w:gridCol w:w="7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0" w:type="pct"/>
            <w:vMerge w:val="restart"/>
            <w:vAlign w:val="center"/>
          </w:tcPr>
          <w:p>
            <w:pPr>
              <w:pStyle w:val="827"/>
              <w:spacing w:line="240" w:lineRule="auto"/>
              <w:ind w:firstLine="482"/>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防治指标</w:t>
            </w:r>
          </w:p>
        </w:tc>
        <w:tc>
          <w:tcPr>
            <w:tcW w:w="912" w:type="pct"/>
            <w:gridSpan w:val="2"/>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一级标准</w:t>
            </w:r>
          </w:p>
        </w:tc>
        <w:tc>
          <w:tcPr>
            <w:tcW w:w="2247" w:type="pct"/>
            <w:gridSpan w:val="4"/>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修正值</w:t>
            </w:r>
          </w:p>
        </w:tc>
        <w:tc>
          <w:tcPr>
            <w:tcW w:w="861" w:type="pct"/>
            <w:gridSpan w:val="2"/>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采用标准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0" w:type="pct"/>
            <w:vMerge w:val="continue"/>
            <w:vAlign w:val="center"/>
          </w:tcPr>
          <w:p>
            <w:pPr>
              <w:pStyle w:val="827"/>
              <w:spacing w:line="240" w:lineRule="auto"/>
              <w:ind w:firstLine="422"/>
              <w:rPr>
                <w:rFonts w:hint="default" w:ascii="Times New Roman" w:hAnsi="Times New Roman" w:eastAsia="仿宋_GB2312" w:cs="Times New Roman"/>
                <w:b/>
                <w:color w:val="auto"/>
                <w:szCs w:val="18"/>
              </w:rPr>
            </w:pPr>
          </w:p>
        </w:tc>
        <w:tc>
          <w:tcPr>
            <w:tcW w:w="413"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施工期</w:t>
            </w:r>
          </w:p>
        </w:tc>
        <w:tc>
          <w:tcPr>
            <w:tcW w:w="500"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设计水平年</w:t>
            </w:r>
          </w:p>
        </w:tc>
        <w:tc>
          <w:tcPr>
            <w:tcW w:w="500" w:type="pct"/>
            <w:vAlign w:val="center"/>
          </w:tcPr>
          <w:p>
            <w:pPr>
              <w:pStyle w:val="827"/>
              <w:spacing w:line="240" w:lineRule="auto"/>
              <w:jc w:val="both"/>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干旱程度</w:t>
            </w:r>
          </w:p>
        </w:tc>
        <w:tc>
          <w:tcPr>
            <w:tcW w:w="499"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土壤侵蚀强度</w:t>
            </w:r>
          </w:p>
        </w:tc>
        <w:tc>
          <w:tcPr>
            <w:tcW w:w="583"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地形地貌</w:t>
            </w:r>
          </w:p>
        </w:tc>
        <w:tc>
          <w:tcPr>
            <w:tcW w:w="665"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水土流失重点预防区</w:t>
            </w:r>
          </w:p>
        </w:tc>
        <w:tc>
          <w:tcPr>
            <w:tcW w:w="417"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施工期</w:t>
            </w:r>
          </w:p>
        </w:tc>
        <w:tc>
          <w:tcPr>
            <w:tcW w:w="444" w:type="pct"/>
            <w:vAlign w:val="center"/>
          </w:tcPr>
          <w:p>
            <w:pPr>
              <w:pStyle w:val="827"/>
              <w:spacing w:line="240" w:lineRule="auto"/>
              <w:rPr>
                <w:rFonts w:hint="default" w:ascii="Times New Roman" w:hAnsi="Times New Roman" w:eastAsia="仿宋_GB2312" w:cs="Times New Roman"/>
                <w:b/>
                <w:color w:val="auto"/>
                <w:szCs w:val="18"/>
              </w:rPr>
            </w:pPr>
            <w:r>
              <w:rPr>
                <w:rFonts w:hint="default" w:ascii="Times New Roman" w:hAnsi="Times New Roman" w:eastAsia="仿宋_GB2312" w:cs="Times New Roman"/>
                <w:b/>
                <w:color w:val="auto"/>
                <w:szCs w:val="18"/>
              </w:rPr>
              <w:t>设计水平年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1 水土流失治理度(%)</w:t>
            </w:r>
          </w:p>
        </w:tc>
        <w:tc>
          <w:tcPr>
            <w:tcW w:w="413"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50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85</w:t>
            </w:r>
          </w:p>
        </w:tc>
        <w:tc>
          <w:tcPr>
            <w:tcW w:w="500" w:type="pct"/>
            <w:vAlign w:val="center"/>
          </w:tcPr>
          <w:p>
            <w:pPr>
              <w:pStyle w:val="827"/>
              <w:spacing w:line="240" w:lineRule="auto"/>
              <w:rPr>
                <w:rFonts w:hint="default" w:ascii="Times New Roman" w:hAnsi="Times New Roman" w:eastAsia="仿宋_GB2312" w:cs="Times New Roman"/>
                <w:color w:val="auto"/>
                <w:szCs w:val="18"/>
              </w:rPr>
            </w:pPr>
          </w:p>
        </w:tc>
        <w:tc>
          <w:tcPr>
            <w:tcW w:w="499" w:type="pct"/>
            <w:vAlign w:val="center"/>
          </w:tcPr>
          <w:p>
            <w:pPr>
              <w:pStyle w:val="827"/>
              <w:spacing w:line="240" w:lineRule="auto"/>
              <w:rPr>
                <w:rFonts w:hint="default" w:ascii="Times New Roman" w:hAnsi="Times New Roman" w:eastAsia="仿宋_GB2312" w:cs="Times New Roman"/>
                <w:color w:val="auto"/>
                <w:szCs w:val="18"/>
              </w:rPr>
            </w:pPr>
          </w:p>
        </w:tc>
        <w:tc>
          <w:tcPr>
            <w:tcW w:w="583" w:type="pct"/>
            <w:vAlign w:val="center"/>
          </w:tcPr>
          <w:p>
            <w:pPr>
              <w:pStyle w:val="827"/>
              <w:spacing w:line="240" w:lineRule="auto"/>
              <w:rPr>
                <w:rFonts w:hint="default" w:ascii="Times New Roman" w:hAnsi="Times New Roman" w:eastAsia="仿宋_GB2312" w:cs="Times New Roman"/>
                <w:color w:val="auto"/>
                <w:szCs w:val="18"/>
              </w:rPr>
            </w:pPr>
          </w:p>
        </w:tc>
        <w:tc>
          <w:tcPr>
            <w:tcW w:w="665" w:type="pct"/>
            <w:vAlign w:val="center"/>
          </w:tcPr>
          <w:p>
            <w:pPr>
              <w:pStyle w:val="827"/>
              <w:spacing w:line="240" w:lineRule="auto"/>
              <w:rPr>
                <w:rFonts w:hint="default" w:ascii="Times New Roman" w:hAnsi="Times New Roman" w:eastAsia="仿宋_GB2312" w:cs="Times New Roman"/>
                <w:color w:val="auto"/>
                <w:szCs w:val="18"/>
              </w:rPr>
            </w:pPr>
          </w:p>
        </w:tc>
        <w:tc>
          <w:tcPr>
            <w:tcW w:w="417"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444" w:type="pct"/>
            <w:vAlign w:val="center"/>
          </w:tcPr>
          <w:p>
            <w:pPr>
              <w:pStyle w:val="827"/>
              <w:spacing w:line="240" w:lineRule="auto"/>
              <w:rPr>
                <w:rFonts w:hint="default" w:ascii="Times New Roman" w:hAnsi="Times New Roman" w:eastAsia="仿宋_GB2312" w:cs="Times New Roman"/>
                <w:color w:val="auto"/>
                <w:szCs w:val="18"/>
                <w:lang w:val="en-US" w:eastAsia="zh-CN"/>
              </w:rPr>
            </w:pPr>
            <w:r>
              <w:rPr>
                <w:rFonts w:hint="default" w:ascii="Times New Roman" w:hAnsi="Times New Roman" w:eastAsia="仿宋_GB2312" w:cs="Times New Roman"/>
                <w:color w:val="auto"/>
                <w:szCs w:val="18"/>
                <w:lang w:val="en-US" w:eastAsia="zh-CN"/>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2 土壤流失控制比</w:t>
            </w:r>
          </w:p>
        </w:tc>
        <w:tc>
          <w:tcPr>
            <w:tcW w:w="413"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50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0.80</w:t>
            </w:r>
          </w:p>
        </w:tc>
        <w:tc>
          <w:tcPr>
            <w:tcW w:w="500" w:type="pct"/>
            <w:vAlign w:val="center"/>
          </w:tcPr>
          <w:p>
            <w:pPr>
              <w:pStyle w:val="827"/>
              <w:spacing w:line="240" w:lineRule="auto"/>
              <w:rPr>
                <w:rFonts w:hint="default" w:ascii="Times New Roman" w:hAnsi="Times New Roman" w:eastAsia="仿宋_GB2312" w:cs="Times New Roman"/>
                <w:color w:val="auto"/>
                <w:szCs w:val="18"/>
              </w:rPr>
            </w:pPr>
          </w:p>
        </w:tc>
        <w:tc>
          <w:tcPr>
            <w:tcW w:w="499"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+0.2</w:t>
            </w:r>
          </w:p>
        </w:tc>
        <w:tc>
          <w:tcPr>
            <w:tcW w:w="583" w:type="pct"/>
            <w:vAlign w:val="center"/>
          </w:tcPr>
          <w:p>
            <w:pPr>
              <w:pStyle w:val="827"/>
              <w:spacing w:line="240" w:lineRule="auto"/>
              <w:rPr>
                <w:rFonts w:hint="default" w:ascii="Times New Roman" w:hAnsi="Times New Roman" w:eastAsia="仿宋_GB2312" w:cs="Times New Roman"/>
                <w:color w:val="auto"/>
                <w:szCs w:val="18"/>
              </w:rPr>
            </w:pPr>
          </w:p>
        </w:tc>
        <w:tc>
          <w:tcPr>
            <w:tcW w:w="665" w:type="pct"/>
            <w:vAlign w:val="center"/>
          </w:tcPr>
          <w:p>
            <w:pPr>
              <w:pStyle w:val="827"/>
              <w:spacing w:line="240" w:lineRule="auto"/>
              <w:rPr>
                <w:rFonts w:hint="default" w:ascii="Times New Roman" w:hAnsi="Times New Roman" w:eastAsia="仿宋_GB2312" w:cs="Times New Roman"/>
                <w:color w:val="auto"/>
                <w:szCs w:val="18"/>
              </w:rPr>
            </w:pPr>
          </w:p>
        </w:tc>
        <w:tc>
          <w:tcPr>
            <w:tcW w:w="417"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444"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3 渣土防护率(%)</w:t>
            </w:r>
          </w:p>
        </w:tc>
        <w:tc>
          <w:tcPr>
            <w:tcW w:w="413"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85</w:t>
            </w:r>
          </w:p>
        </w:tc>
        <w:tc>
          <w:tcPr>
            <w:tcW w:w="50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87</w:t>
            </w:r>
          </w:p>
        </w:tc>
        <w:tc>
          <w:tcPr>
            <w:tcW w:w="500" w:type="pct"/>
            <w:vAlign w:val="center"/>
          </w:tcPr>
          <w:p>
            <w:pPr>
              <w:pStyle w:val="827"/>
              <w:spacing w:line="240" w:lineRule="auto"/>
              <w:rPr>
                <w:rFonts w:hint="default" w:ascii="Times New Roman" w:hAnsi="Times New Roman" w:eastAsia="仿宋_GB2312" w:cs="Times New Roman"/>
                <w:color w:val="auto"/>
                <w:szCs w:val="18"/>
              </w:rPr>
            </w:pPr>
          </w:p>
        </w:tc>
        <w:tc>
          <w:tcPr>
            <w:tcW w:w="499" w:type="pct"/>
            <w:vAlign w:val="center"/>
          </w:tcPr>
          <w:p>
            <w:pPr>
              <w:pStyle w:val="827"/>
              <w:spacing w:line="240" w:lineRule="auto"/>
              <w:rPr>
                <w:rFonts w:hint="default" w:ascii="Times New Roman" w:hAnsi="Times New Roman" w:eastAsia="仿宋_GB2312" w:cs="Times New Roman"/>
                <w:color w:val="auto"/>
                <w:szCs w:val="18"/>
              </w:rPr>
            </w:pPr>
          </w:p>
        </w:tc>
        <w:tc>
          <w:tcPr>
            <w:tcW w:w="583" w:type="pct"/>
            <w:vAlign w:val="center"/>
          </w:tcPr>
          <w:p>
            <w:pPr>
              <w:pStyle w:val="827"/>
              <w:spacing w:line="240" w:lineRule="auto"/>
              <w:rPr>
                <w:rFonts w:hint="default" w:ascii="Times New Roman" w:hAnsi="Times New Roman" w:eastAsia="仿宋_GB2312" w:cs="Times New Roman"/>
                <w:color w:val="auto"/>
                <w:szCs w:val="18"/>
              </w:rPr>
            </w:pPr>
          </w:p>
        </w:tc>
        <w:tc>
          <w:tcPr>
            <w:tcW w:w="665" w:type="pct"/>
            <w:vAlign w:val="center"/>
          </w:tcPr>
          <w:p>
            <w:pPr>
              <w:pStyle w:val="827"/>
              <w:spacing w:line="240" w:lineRule="auto"/>
              <w:rPr>
                <w:rFonts w:hint="default" w:ascii="Times New Roman" w:hAnsi="Times New Roman" w:eastAsia="仿宋_GB2312" w:cs="Times New Roman"/>
                <w:color w:val="auto"/>
                <w:szCs w:val="18"/>
              </w:rPr>
            </w:pPr>
          </w:p>
        </w:tc>
        <w:tc>
          <w:tcPr>
            <w:tcW w:w="417"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85</w:t>
            </w:r>
          </w:p>
        </w:tc>
        <w:tc>
          <w:tcPr>
            <w:tcW w:w="444" w:type="pct"/>
            <w:vAlign w:val="center"/>
          </w:tcPr>
          <w:p>
            <w:pPr>
              <w:pStyle w:val="827"/>
              <w:spacing w:line="240" w:lineRule="auto"/>
              <w:rPr>
                <w:rFonts w:hint="default" w:ascii="Times New Roman" w:hAnsi="Times New Roman" w:eastAsia="仿宋_GB2312" w:cs="Times New Roman"/>
                <w:color w:val="auto"/>
                <w:szCs w:val="18"/>
                <w:lang w:val="en-US" w:eastAsia="zh-CN"/>
              </w:rPr>
            </w:pPr>
            <w:r>
              <w:rPr>
                <w:rFonts w:hint="default" w:ascii="Times New Roman" w:hAnsi="Times New Roman" w:eastAsia="仿宋_GB2312" w:cs="Times New Roman"/>
                <w:color w:val="auto"/>
                <w:szCs w:val="18"/>
                <w:lang w:val="en-US" w:eastAsia="zh-CN"/>
              </w:rPr>
              <w:t>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4 表土保护率(%)</w:t>
            </w:r>
          </w:p>
        </w:tc>
        <w:tc>
          <w:tcPr>
            <w:tcW w:w="413"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90</w:t>
            </w:r>
          </w:p>
        </w:tc>
        <w:tc>
          <w:tcPr>
            <w:tcW w:w="50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90</w:t>
            </w:r>
          </w:p>
        </w:tc>
        <w:tc>
          <w:tcPr>
            <w:tcW w:w="500" w:type="pct"/>
            <w:vAlign w:val="center"/>
          </w:tcPr>
          <w:p>
            <w:pPr>
              <w:pStyle w:val="827"/>
              <w:spacing w:line="240" w:lineRule="auto"/>
              <w:rPr>
                <w:rFonts w:hint="default" w:ascii="Times New Roman" w:hAnsi="Times New Roman" w:eastAsia="仿宋_GB2312" w:cs="Times New Roman"/>
                <w:color w:val="auto"/>
                <w:szCs w:val="18"/>
              </w:rPr>
            </w:pPr>
          </w:p>
        </w:tc>
        <w:tc>
          <w:tcPr>
            <w:tcW w:w="499" w:type="pct"/>
            <w:vAlign w:val="center"/>
          </w:tcPr>
          <w:p>
            <w:pPr>
              <w:pStyle w:val="827"/>
              <w:spacing w:line="240" w:lineRule="auto"/>
              <w:rPr>
                <w:rFonts w:hint="default" w:ascii="Times New Roman" w:hAnsi="Times New Roman" w:eastAsia="仿宋_GB2312" w:cs="Times New Roman"/>
                <w:color w:val="auto"/>
                <w:szCs w:val="18"/>
              </w:rPr>
            </w:pPr>
          </w:p>
        </w:tc>
        <w:tc>
          <w:tcPr>
            <w:tcW w:w="583" w:type="pct"/>
            <w:vAlign w:val="center"/>
          </w:tcPr>
          <w:p>
            <w:pPr>
              <w:pStyle w:val="827"/>
              <w:spacing w:line="240" w:lineRule="auto"/>
              <w:rPr>
                <w:rFonts w:hint="default" w:ascii="Times New Roman" w:hAnsi="Times New Roman" w:eastAsia="仿宋_GB2312" w:cs="Times New Roman"/>
                <w:color w:val="auto"/>
                <w:szCs w:val="18"/>
              </w:rPr>
            </w:pPr>
          </w:p>
        </w:tc>
        <w:tc>
          <w:tcPr>
            <w:tcW w:w="665" w:type="pct"/>
            <w:vAlign w:val="center"/>
          </w:tcPr>
          <w:p>
            <w:pPr>
              <w:pStyle w:val="827"/>
              <w:spacing w:line="240" w:lineRule="auto"/>
              <w:rPr>
                <w:rFonts w:hint="default" w:ascii="Times New Roman" w:hAnsi="Times New Roman" w:eastAsia="仿宋_GB2312" w:cs="Times New Roman"/>
                <w:color w:val="auto"/>
                <w:szCs w:val="18"/>
              </w:rPr>
            </w:pPr>
          </w:p>
        </w:tc>
        <w:tc>
          <w:tcPr>
            <w:tcW w:w="711" w:type="dxa"/>
            <w:vAlign w:val="center"/>
          </w:tcPr>
          <w:p>
            <w:pPr>
              <w:pStyle w:val="827"/>
              <w:spacing w:line="240" w:lineRule="auto"/>
              <w:ind w:firstLine="0" w:firstLineChars="0"/>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757" w:type="dxa"/>
            <w:vAlign w:val="center"/>
          </w:tcPr>
          <w:p>
            <w:pPr>
              <w:pStyle w:val="827"/>
              <w:spacing w:line="240" w:lineRule="auto"/>
              <w:ind w:firstLine="0" w:firstLineChars="0"/>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5林草植被恢复率(%)</w:t>
            </w:r>
          </w:p>
        </w:tc>
        <w:tc>
          <w:tcPr>
            <w:tcW w:w="413"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50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95</w:t>
            </w:r>
          </w:p>
        </w:tc>
        <w:tc>
          <w:tcPr>
            <w:tcW w:w="500" w:type="pct"/>
            <w:vAlign w:val="center"/>
          </w:tcPr>
          <w:p>
            <w:pPr>
              <w:pStyle w:val="827"/>
              <w:spacing w:line="240" w:lineRule="auto"/>
              <w:rPr>
                <w:rFonts w:hint="default" w:ascii="Times New Roman" w:hAnsi="Times New Roman" w:eastAsia="仿宋_GB2312" w:cs="Times New Roman"/>
                <w:color w:val="auto"/>
                <w:szCs w:val="18"/>
              </w:rPr>
            </w:pPr>
          </w:p>
        </w:tc>
        <w:tc>
          <w:tcPr>
            <w:tcW w:w="499" w:type="pct"/>
            <w:vAlign w:val="center"/>
          </w:tcPr>
          <w:p>
            <w:pPr>
              <w:pStyle w:val="827"/>
              <w:spacing w:line="240" w:lineRule="auto"/>
              <w:rPr>
                <w:rFonts w:hint="default" w:ascii="Times New Roman" w:hAnsi="Times New Roman" w:eastAsia="仿宋_GB2312" w:cs="Times New Roman"/>
                <w:color w:val="auto"/>
                <w:szCs w:val="18"/>
              </w:rPr>
            </w:pPr>
          </w:p>
        </w:tc>
        <w:tc>
          <w:tcPr>
            <w:tcW w:w="583" w:type="pct"/>
            <w:vAlign w:val="center"/>
          </w:tcPr>
          <w:p>
            <w:pPr>
              <w:pStyle w:val="827"/>
              <w:spacing w:line="240" w:lineRule="auto"/>
              <w:rPr>
                <w:rFonts w:hint="default" w:ascii="Times New Roman" w:hAnsi="Times New Roman" w:eastAsia="仿宋_GB2312" w:cs="Times New Roman"/>
                <w:color w:val="auto"/>
                <w:szCs w:val="18"/>
              </w:rPr>
            </w:pPr>
          </w:p>
        </w:tc>
        <w:tc>
          <w:tcPr>
            <w:tcW w:w="665" w:type="pct"/>
            <w:vAlign w:val="center"/>
          </w:tcPr>
          <w:p>
            <w:pPr>
              <w:pStyle w:val="827"/>
              <w:spacing w:line="240" w:lineRule="auto"/>
              <w:rPr>
                <w:rFonts w:hint="default" w:ascii="Times New Roman" w:hAnsi="Times New Roman" w:eastAsia="仿宋_GB2312" w:cs="Times New Roman"/>
                <w:color w:val="auto"/>
                <w:szCs w:val="18"/>
              </w:rPr>
            </w:pPr>
          </w:p>
        </w:tc>
        <w:tc>
          <w:tcPr>
            <w:tcW w:w="417"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444"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8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6 林草覆盖率(%)</w:t>
            </w:r>
          </w:p>
        </w:tc>
        <w:tc>
          <w:tcPr>
            <w:tcW w:w="413"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500"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16</w:t>
            </w:r>
          </w:p>
        </w:tc>
        <w:tc>
          <w:tcPr>
            <w:tcW w:w="500" w:type="pct"/>
            <w:vAlign w:val="center"/>
          </w:tcPr>
          <w:p>
            <w:pPr>
              <w:pStyle w:val="827"/>
              <w:spacing w:line="240" w:lineRule="auto"/>
              <w:rPr>
                <w:rFonts w:hint="default" w:ascii="Times New Roman" w:hAnsi="Times New Roman" w:eastAsia="仿宋_GB2312" w:cs="Times New Roman"/>
                <w:color w:val="auto"/>
                <w:szCs w:val="18"/>
              </w:rPr>
            </w:pPr>
          </w:p>
        </w:tc>
        <w:tc>
          <w:tcPr>
            <w:tcW w:w="499" w:type="pct"/>
            <w:vAlign w:val="center"/>
          </w:tcPr>
          <w:p>
            <w:pPr>
              <w:pStyle w:val="827"/>
              <w:spacing w:line="240" w:lineRule="auto"/>
              <w:rPr>
                <w:rFonts w:hint="default" w:ascii="Times New Roman" w:hAnsi="Times New Roman" w:eastAsia="仿宋_GB2312" w:cs="Times New Roman"/>
                <w:color w:val="auto"/>
                <w:szCs w:val="18"/>
              </w:rPr>
            </w:pPr>
          </w:p>
        </w:tc>
        <w:tc>
          <w:tcPr>
            <w:tcW w:w="583" w:type="pct"/>
            <w:vAlign w:val="center"/>
          </w:tcPr>
          <w:p>
            <w:pPr>
              <w:pStyle w:val="827"/>
              <w:spacing w:line="240" w:lineRule="auto"/>
              <w:rPr>
                <w:rFonts w:hint="default" w:ascii="Times New Roman" w:hAnsi="Times New Roman" w:eastAsia="仿宋_GB2312" w:cs="Times New Roman"/>
                <w:color w:val="auto"/>
                <w:szCs w:val="18"/>
              </w:rPr>
            </w:pPr>
          </w:p>
        </w:tc>
        <w:tc>
          <w:tcPr>
            <w:tcW w:w="665"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+2</w:t>
            </w:r>
          </w:p>
        </w:tc>
        <w:tc>
          <w:tcPr>
            <w:tcW w:w="417"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c>
          <w:tcPr>
            <w:tcW w:w="444" w:type="pct"/>
            <w:vAlign w:val="center"/>
          </w:tcPr>
          <w:p>
            <w:pPr>
              <w:pStyle w:val="827"/>
              <w:spacing w:line="240" w:lineRule="auto"/>
              <w:rPr>
                <w:rFonts w:hint="default" w:ascii="Times New Roman" w:hAnsi="Times New Roman" w:eastAsia="仿宋_GB2312" w:cs="Times New Roman"/>
                <w:color w:val="auto"/>
                <w:szCs w:val="18"/>
              </w:rPr>
            </w:pPr>
            <w:r>
              <w:rPr>
                <w:rFonts w:hint="default" w:ascii="Times New Roman" w:hAnsi="Times New Roman" w:eastAsia="仿宋_GB2312" w:cs="Times New Roman"/>
                <w:color w:val="auto"/>
                <w:szCs w:val="18"/>
              </w:rPr>
              <w:t>/</w:t>
            </w:r>
          </w:p>
        </w:tc>
      </w:tr>
    </w:tbl>
    <w:p>
      <w:pPr>
        <w:pStyle w:val="1102"/>
        <w:spacing w:line="240" w:lineRule="auto"/>
        <w:rPr>
          <w:rFonts w:hint="default" w:ascii="Times New Roman" w:hAnsi="Times New Roman" w:cs="Times New Roman"/>
          <w:color w:val="auto"/>
        </w:rPr>
      </w:pPr>
    </w:p>
    <w:p>
      <w:pPr>
        <w:pStyle w:val="3"/>
        <w:suppressAutoHyphens/>
        <w:spacing w:before="156" w:beforeLines="50" w:after="156" w:afterLines="50"/>
        <w:rPr>
          <w:rFonts w:hint="default" w:ascii="Times New Roman" w:hAnsi="Times New Roman" w:cs="Times New Roman"/>
          <w:color w:val="auto"/>
          <w:kern w:val="0"/>
        </w:rPr>
      </w:pPr>
      <w:bookmarkStart w:id="32" w:name="_Toc13989"/>
      <w:r>
        <w:rPr>
          <w:rFonts w:hint="default" w:ascii="Times New Roman" w:hAnsi="Times New Roman" w:cs="Times New Roman"/>
          <w:color w:val="auto"/>
          <w:kern w:val="0"/>
        </w:rPr>
        <w:t>1.6项目水土保持分析评价结论</w:t>
      </w:r>
      <w:bookmarkEnd w:id="32"/>
    </w:p>
    <w:p>
      <w:pPr>
        <w:pStyle w:val="4"/>
        <w:rPr>
          <w:rFonts w:hint="default" w:ascii="Times New Roman" w:hAnsi="Times New Roman" w:cs="Times New Roman"/>
          <w:color w:val="auto"/>
        </w:rPr>
      </w:pPr>
      <w:r>
        <w:rPr>
          <w:rFonts w:hint="default" w:ascii="Times New Roman" w:hAnsi="Times New Roman" w:cs="Times New Roman"/>
          <w:color w:val="auto"/>
        </w:rPr>
        <w:t>1.6.1主体工程选址评价</w:t>
      </w:r>
    </w:p>
    <w:p>
      <w:pPr>
        <w:pStyle w:val="1102"/>
        <w:rPr>
          <w:rFonts w:hint="default" w:ascii="Times New Roman" w:hAnsi="Times New Roman" w:cs="Times New Roman"/>
          <w:color w:val="auto"/>
        </w:rPr>
      </w:pPr>
      <w:r>
        <w:rPr>
          <w:rFonts w:hint="default" w:ascii="Times New Roman" w:hAnsi="Times New Roman" w:cs="Times New Roman"/>
          <w:color w:val="auto"/>
        </w:rPr>
        <w:t>根据《水利部办公厅关于印发&lt;全国水土保持规划国家级水土流失重点预防区和重点治理区复核划分成果&gt;的通知》(办水保〔2013〕188号)，项目所在的阿坝藏族羌族自治州红原县属于金沙江岷江上游及三江并流国家级水土流失重点预防区。</w:t>
      </w:r>
    </w:p>
    <w:p>
      <w:pPr>
        <w:pStyle w:val="1102"/>
        <w:rPr>
          <w:rFonts w:hint="default" w:ascii="Times New Roman" w:hAnsi="Times New Roman" w:cs="Times New Roman"/>
          <w:color w:val="auto"/>
        </w:rPr>
      </w:pPr>
      <w:r>
        <w:rPr>
          <w:rFonts w:hint="default" w:ascii="Times New Roman" w:hAnsi="Times New Roman" w:cs="Times New Roman"/>
          <w:color w:val="auto"/>
        </w:rPr>
        <w:t>经现场调查，项目建设不涉及河流两岸、湖泊和水库周边的植物保护带；建设区内没有全国水土保持监测网络中的水土保持监测站点和重点试验区，不涉及自然保护区、森林公园、风景名胜区、水源地保护区等。</w:t>
      </w:r>
    </w:p>
    <w:p>
      <w:pPr>
        <w:pStyle w:val="1102"/>
        <w:rPr>
          <w:rFonts w:hint="default" w:ascii="Times New Roman" w:hAnsi="Times New Roman" w:cs="Times New Roman"/>
          <w:color w:val="auto"/>
        </w:rPr>
      </w:pPr>
      <w:r>
        <w:rPr>
          <w:rFonts w:hint="default" w:ascii="Times New Roman" w:hAnsi="Times New Roman" w:cs="Times New Roman"/>
          <w:color w:val="auto"/>
        </w:rPr>
        <w:t>通过分析评价，可知主体工程选址无法避让金沙江岷江上游及三江并流国家级水土流失重点预防区，方案将提高防治目标，提高设计标准，加强水土保持，项目不涉及其他水土保持制约因素。</w:t>
      </w:r>
    </w:p>
    <w:p>
      <w:pPr>
        <w:pStyle w:val="4"/>
        <w:rPr>
          <w:rFonts w:hint="default" w:ascii="Times New Roman" w:hAnsi="Times New Roman" w:cs="Times New Roman"/>
          <w:color w:val="auto"/>
        </w:rPr>
      </w:pPr>
      <w:r>
        <w:rPr>
          <w:rFonts w:hint="default" w:ascii="Times New Roman" w:hAnsi="Times New Roman" w:cs="Times New Roman"/>
          <w:color w:val="auto"/>
        </w:rPr>
        <w:t>1.6.2建设方案与布局评价</w:t>
      </w:r>
    </w:p>
    <w:p>
      <w:pPr>
        <w:pStyle w:val="1102"/>
        <w:rPr>
          <w:rFonts w:hint="default" w:ascii="Times New Roman" w:hAnsi="Times New Roman" w:cs="Times New Roman"/>
          <w:color w:val="auto"/>
        </w:rPr>
      </w:pPr>
      <w:r>
        <w:rPr>
          <w:rFonts w:hint="default" w:ascii="Times New Roman" w:hAnsi="Times New Roman" w:cs="Times New Roman"/>
          <w:color w:val="auto"/>
        </w:rPr>
        <w:t>（1）主体建设方案评价</w:t>
      </w:r>
    </w:p>
    <w:p>
      <w:pPr>
        <w:pStyle w:val="1102"/>
        <w:rPr>
          <w:rFonts w:hint="default" w:ascii="Times New Roman" w:hAnsi="Times New Roman" w:cs="Times New Roman"/>
          <w:color w:val="auto"/>
        </w:rPr>
      </w:pPr>
      <w:r>
        <w:rPr>
          <w:rFonts w:hint="default" w:ascii="Times New Roman" w:hAnsi="Times New Roman" w:cs="Times New Roman"/>
          <w:color w:val="auto"/>
        </w:rPr>
        <w:t>本项目属建设类项目。主体工程仅设计，且实施了1栋建筑（藏文图书馆），图书馆的建设工期较短，土建施工避开雨季，有利于水土保持；现状建筑已完工，项目区不具备产生水土流失的条件。根据主体设计及报建资料，工程不涉及道路硬化及园林绿化工程。项目区地表径流通过建筑周围散水暗沟进行径流导流、排泄。总体而言，项目建设方案与布局符合水土保持要求。</w:t>
      </w:r>
    </w:p>
    <w:p>
      <w:pPr>
        <w:pStyle w:val="1102"/>
        <w:rPr>
          <w:rFonts w:hint="default" w:ascii="Times New Roman" w:hAnsi="Times New Roman" w:cs="Times New Roman"/>
          <w:color w:val="auto"/>
        </w:rPr>
      </w:pPr>
      <w:r>
        <w:rPr>
          <w:rFonts w:hint="default" w:ascii="Times New Roman" w:hAnsi="Times New Roman" w:cs="Times New Roman"/>
          <w:color w:val="auto"/>
        </w:rPr>
        <w:t>（2）工程占地</w:t>
      </w:r>
    </w:p>
    <w:p>
      <w:pPr>
        <w:pStyle w:val="1102"/>
        <w:rPr>
          <w:rFonts w:hint="default" w:ascii="Times New Roman" w:hAnsi="Times New Roman" w:cs="Times New Roman"/>
          <w:color w:val="auto"/>
        </w:rPr>
      </w:pPr>
      <w:r>
        <w:rPr>
          <w:rFonts w:hint="default" w:ascii="Times New Roman" w:hAnsi="Times New Roman" w:cs="Times New Roman"/>
          <w:color w:val="auto"/>
        </w:rPr>
        <w:t>工程总占地0.</w:t>
      </w:r>
      <w:r>
        <w:rPr>
          <w:rFonts w:hint="default" w:ascii="Times New Roman" w:hAnsi="Times New Roman" w:cs="Times New Roman"/>
          <w:color w:val="auto"/>
          <w:lang w:val="en-US" w:eastAsia="zh-CN"/>
        </w:rPr>
        <w:t>43</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，均为永久占地，施工场地布置不涉及新增临时占地，从水土保持的角度上看，工程占地符合节约用地和减少扰动的要求，临时占地满足施工要求。</w:t>
      </w:r>
    </w:p>
    <w:p>
      <w:pPr>
        <w:pStyle w:val="1102"/>
        <w:rPr>
          <w:rFonts w:hint="default" w:ascii="Times New Roman" w:hAnsi="Times New Roman" w:cs="Times New Roman"/>
          <w:color w:val="auto"/>
        </w:rPr>
      </w:pPr>
      <w:r>
        <w:rPr>
          <w:rFonts w:hint="default" w:ascii="Times New Roman" w:hAnsi="Times New Roman" w:cs="Times New Roman"/>
          <w:color w:val="auto"/>
        </w:rPr>
        <w:t>（3）土石方平衡</w:t>
      </w:r>
    </w:p>
    <w:p>
      <w:pPr>
        <w:pStyle w:val="1102"/>
        <w:rPr>
          <w:rFonts w:hint="default" w:ascii="Times New Roman" w:hAnsi="Times New Roman" w:cs="Times New Roman"/>
          <w:color w:val="auto"/>
        </w:rPr>
      </w:pPr>
      <w:r>
        <w:rPr>
          <w:rFonts w:hint="default" w:ascii="Times New Roman" w:hAnsi="Times New Roman" w:cs="Times New Roman"/>
          <w:color w:val="auto"/>
        </w:rPr>
        <w:t>项目建构筑物基础挖方较小，挖方均在基坑及周围回填；综合管线挖方在沟槽及周围回填；建筑基础挖方均在项目区回填利用，项目土石方挖填数量符合最优化原则；土石方调运节点、调运时序、运距合理。</w:t>
      </w:r>
    </w:p>
    <w:p>
      <w:pPr>
        <w:pStyle w:val="1102"/>
        <w:rPr>
          <w:rFonts w:hint="default" w:ascii="Times New Roman" w:hAnsi="Times New Roman" w:cs="Times New Roman"/>
          <w:color w:val="auto"/>
        </w:rPr>
      </w:pPr>
      <w:r>
        <w:rPr>
          <w:rFonts w:hint="default" w:ascii="Times New Roman" w:hAnsi="Times New Roman" w:cs="Times New Roman"/>
          <w:color w:val="auto"/>
        </w:rPr>
        <w:t>（4）施工方法和工艺</w:t>
      </w:r>
    </w:p>
    <w:p>
      <w:pPr>
        <w:pStyle w:val="1102"/>
        <w:rPr>
          <w:rFonts w:hint="default" w:ascii="Times New Roman" w:hAnsi="Times New Roman" w:cs="Times New Roman"/>
          <w:color w:val="auto"/>
        </w:rPr>
      </w:pPr>
      <w:r>
        <w:rPr>
          <w:rFonts w:hint="default" w:ascii="Times New Roman" w:hAnsi="Times New Roman" w:cs="Times New Roman"/>
          <w:color w:val="auto"/>
        </w:rPr>
        <w:t>本项目土建施工动土量较小，土石方堆放时间较短，挖方能基本做到随填、随压，没有进行多次倒运。总体而言，项目施工方法和工艺满足水土保持要求。</w:t>
      </w:r>
    </w:p>
    <w:p>
      <w:pPr>
        <w:pStyle w:val="1102"/>
        <w:rPr>
          <w:rFonts w:hint="default" w:ascii="Times New Roman" w:hAnsi="Times New Roman" w:cs="Times New Roman"/>
          <w:color w:val="auto"/>
        </w:rPr>
      </w:pPr>
      <w:r>
        <w:rPr>
          <w:rFonts w:hint="default" w:ascii="Times New Roman" w:hAnsi="Times New Roman" w:cs="Times New Roman"/>
          <w:color w:val="auto"/>
        </w:rPr>
        <w:t>（5）具有水土保持功能工程的评价</w:t>
      </w:r>
    </w:p>
    <w:p>
      <w:pPr>
        <w:pStyle w:val="1102"/>
        <w:rPr>
          <w:rFonts w:hint="default" w:ascii="Times New Roman" w:hAnsi="Times New Roman" w:cs="Times New Roman"/>
          <w:color w:val="auto"/>
        </w:rPr>
      </w:pPr>
      <w:r>
        <w:rPr>
          <w:rFonts w:hint="default" w:ascii="Times New Roman" w:hAnsi="Times New Roman" w:cs="Times New Roman"/>
          <w:color w:val="auto"/>
        </w:rPr>
        <w:t>本项目建设内容单一，土建施工安排避开雨季，主体工程在基础施工期间已实施有防雨布遮盖措施；工程后期主体工程在建筑周围实施有散水暗沟，该措施为建筑周围的主要排水设施，符合水土保持要求。主体工程实施的水土保持措施能有效防止项目区水土流失，且项目已完工多年，方案不再新增其他的水保措施。</w:t>
      </w:r>
    </w:p>
    <w:p>
      <w:pPr>
        <w:pStyle w:val="3"/>
        <w:suppressAutoHyphens/>
        <w:spacing w:before="156" w:beforeLines="50" w:after="156" w:afterLines="50"/>
        <w:rPr>
          <w:rFonts w:hint="default" w:ascii="Times New Roman" w:hAnsi="Times New Roman" w:cs="Times New Roman"/>
          <w:color w:val="auto"/>
          <w:kern w:val="0"/>
        </w:rPr>
      </w:pPr>
      <w:bookmarkStart w:id="33" w:name="_Toc15757"/>
      <w:r>
        <w:rPr>
          <w:rFonts w:hint="default" w:ascii="Times New Roman" w:hAnsi="Times New Roman" w:cs="Times New Roman"/>
          <w:color w:val="auto"/>
          <w:kern w:val="0"/>
        </w:rPr>
        <w:t>1.7 水土流失调查结果</w:t>
      </w:r>
      <w:bookmarkEnd w:id="33"/>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kern w:val="0"/>
          <w:szCs w:val="24"/>
        </w:rPr>
        <w:t>本项目扰动原地貌</w:t>
      </w:r>
      <w:r>
        <w:rPr>
          <w:rFonts w:hint="default" w:ascii="Times New Roman" w:hAnsi="Times New Roman" w:eastAsia="仿宋_GB2312" w:cs="Times New Roman"/>
          <w:color w:val="auto"/>
          <w:kern w:val="0"/>
        </w:rPr>
        <w:t>面积0.</w:t>
      </w:r>
      <w:r>
        <w:rPr>
          <w:rFonts w:hint="default" w:ascii="Times New Roman" w:hAnsi="Times New Roman" w:eastAsia="仿宋_GB2312" w:cs="Times New Roman"/>
          <w:color w:val="auto"/>
          <w:kern w:val="0"/>
          <w:lang w:val="en-US" w:eastAsia="zh-CN"/>
        </w:rPr>
        <w:t>43</w:t>
      </w:r>
      <w:r>
        <w:rPr>
          <w:rFonts w:hint="default" w:ascii="Times New Roman" w:hAnsi="Times New Roman" w:eastAsia="仿宋_GB2312" w:cs="Times New Roman"/>
          <w:color w:val="auto"/>
          <w:kern w:val="0"/>
        </w:rPr>
        <w:t>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；损坏具有水土保持功能面积0.</w:t>
      </w:r>
      <w:r>
        <w:rPr>
          <w:rFonts w:hint="default" w:ascii="Times New Roman" w:hAnsi="Times New Roman" w:eastAsia="仿宋_GB2312" w:cs="Times New Roman"/>
          <w:color w:val="auto"/>
          <w:kern w:val="0"/>
          <w:lang w:val="en-US" w:eastAsia="zh-CN"/>
        </w:rPr>
        <w:t>43</w:t>
      </w:r>
      <w:r>
        <w:rPr>
          <w:rFonts w:hint="default" w:ascii="Times New Roman" w:hAnsi="Times New Roman" w:eastAsia="仿宋_GB2312" w:cs="Times New Roman"/>
          <w:color w:val="auto"/>
          <w:kern w:val="0"/>
        </w:rPr>
        <w:t>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szCs w:val="24"/>
        </w:rPr>
        <w:t>。调查</w:t>
      </w:r>
      <w:r>
        <w:rPr>
          <w:rFonts w:hint="default" w:ascii="Times New Roman" w:hAnsi="Times New Roman" w:eastAsia="仿宋_GB2312" w:cs="Times New Roman"/>
          <w:color w:val="auto"/>
          <w:kern w:val="0"/>
          <w:szCs w:val="24"/>
        </w:rPr>
        <w:t>土壤流失总量</w:t>
      </w:r>
      <w:r>
        <w:rPr>
          <w:rFonts w:hint="default" w:ascii="Times New Roman" w:hAnsi="Times New Roman" w:eastAsia="仿宋_GB2312" w:cs="Times New Roman"/>
          <w:color w:val="auto"/>
          <w:kern w:val="0"/>
          <w:szCs w:val="24"/>
          <w:lang w:val="en-US" w:eastAsia="zh-CN"/>
        </w:rPr>
        <w:t>4.75</w:t>
      </w:r>
      <w:r>
        <w:rPr>
          <w:rFonts w:hint="default" w:ascii="Times New Roman" w:hAnsi="Times New Roman" w:eastAsia="仿宋_GB2312" w:cs="Times New Roman"/>
          <w:color w:val="auto"/>
          <w:kern w:val="0"/>
          <w:szCs w:val="24"/>
        </w:rPr>
        <w:t>t，其中背景土壤流失量</w:t>
      </w:r>
      <w:r>
        <w:rPr>
          <w:rFonts w:hint="default" w:ascii="Times New Roman" w:hAnsi="Times New Roman" w:eastAsia="仿宋_GB2312" w:cs="Times New Roman"/>
          <w:color w:val="auto"/>
          <w:kern w:val="0"/>
          <w:szCs w:val="24"/>
          <w:lang w:val="en-US" w:eastAsia="zh-CN"/>
        </w:rPr>
        <w:t>1.29</w:t>
      </w:r>
      <w:r>
        <w:rPr>
          <w:rFonts w:hint="default" w:ascii="Times New Roman" w:hAnsi="Times New Roman" w:eastAsia="仿宋_GB2312" w:cs="Times New Roman"/>
          <w:color w:val="auto"/>
          <w:kern w:val="0"/>
          <w:szCs w:val="24"/>
        </w:rPr>
        <w:t>t，调查新增土壤流失量</w:t>
      </w:r>
      <w:r>
        <w:rPr>
          <w:rFonts w:hint="default" w:ascii="Times New Roman" w:hAnsi="Times New Roman" w:eastAsia="仿宋_GB2312" w:cs="Times New Roman"/>
          <w:color w:val="auto"/>
          <w:kern w:val="0"/>
          <w:szCs w:val="24"/>
          <w:lang w:val="en-US" w:eastAsia="zh-CN"/>
        </w:rPr>
        <w:t>3.46</w:t>
      </w:r>
      <w:r>
        <w:rPr>
          <w:rFonts w:hint="default" w:ascii="Times New Roman" w:hAnsi="Times New Roman" w:eastAsia="仿宋_GB2312" w:cs="Times New Roman"/>
          <w:color w:val="auto"/>
          <w:kern w:val="0"/>
          <w:szCs w:val="24"/>
        </w:rPr>
        <w:t>t；新增土壤流失集中在施工期，自然恢复期场地已硬化，不在统计土壤流失量；故施工期是水土流失防治的重点时段。</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施工期预测新增土壤流失总量</w:t>
      </w:r>
      <w:r>
        <w:rPr>
          <w:rFonts w:hint="default" w:ascii="Times New Roman" w:hAnsi="Times New Roman" w:eastAsia="仿宋_GB2312" w:cs="Times New Roman"/>
          <w:color w:val="auto"/>
          <w:kern w:val="0"/>
          <w:szCs w:val="24"/>
          <w:lang w:val="en-US" w:eastAsia="zh-CN"/>
        </w:rPr>
        <w:t>3.46</w:t>
      </w:r>
      <w:r>
        <w:rPr>
          <w:rFonts w:hint="default" w:ascii="Times New Roman" w:hAnsi="Times New Roman" w:eastAsia="仿宋_GB2312" w:cs="Times New Roman"/>
          <w:color w:val="auto"/>
          <w:kern w:val="0"/>
          <w:szCs w:val="24"/>
        </w:rPr>
        <w:t>t，其中主体工程新增土壤流失量1.08t</w:t>
      </w:r>
      <w:r>
        <w:rPr>
          <w:rFonts w:hint="default" w:ascii="Times New Roman" w:hAnsi="Times New Roman" w:eastAsia="仿宋_GB2312" w:cs="Times New Roman"/>
          <w:color w:val="auto"/>
          <w:kern w:val="0"/>
          <w:szCs w:val="24"/>
          <w:lang w:val="en-US" w:eastAsia="zh-CN"/>
        </w:rPr>
        <w:t>,</w:t>
      </w:r>
      <w:r>
        <w:rPr>
          <w:rFonts w:hint="default" w:ascii="Times New Roman" w:hAnsi="Times New Roman" w:eastAsia="仿宋_GB2312" w:cs="Times New Roman"/>
          <w:color w:val="auto"/>
          <w:kern w:val="0"/>
          <w:szCs w:val="24"/>
        </w:rPr>
        <w:t>占施工期新增总量的</w:t>
      </w:r>
      <w:r>
        <w:rPr>
          <w:rFonts w:hint="default" w:ascii="Times New Roman" w:hAnsi="Times New Roman" w:eastAsia="仿宋_GB2312" w:cs="Times New Roman"/>
          <w:color w:val="auto"/>
          <w:kern w:val="0"/>
          <w:szCs w:val="24"/>
          <w:lang w:val="en-US" w:eastAsia="zh-CN"/>
        </w:rPr>
        <w:t>31</w:t>
      </w:r>
      <w:r>
        <w:rPr>
          <w:rFonts w:hint="default" w:ascii="Times New Roman" w:hAnsi="Times New Roman" w:eastAsia="仿宋_GB2312" w:cs="Times New Roman"/>
          <w:color w:val="auto"/>
          <w:kern w:val="0"/>
          <w:szCs w:val="24"/>
        </w:rPr>
        <w:t>%；</w:t>
      </w:r>
      <w:r>
        <w:rPr>
          <w:rFonts w:hint="default" w:ascii="Times New Roman" w:hAnsi="Times New Roman" w:eastAsia="仿宋_GB2312" w:cs="Times New Roman"/>
          <w:color w:val="auto"/>
          <w:kern w:val="0"/>
          <w:szCs w:val="24"/>
          <w:lang w:val="en-US" w:eastAsia="zh-CN"/>
        </w:rPr>
        <w:t>附属工程新增土壤流失量2.38t</w:t>
      </w:r>
      <w:r>
        <w:rPr>
          <w:rFonts w:hint="default" w:ascii="Times New Roman" w:hAnsi="Times New Roman" w:eastAsia="仿宋_GB2312" w:cs="Times New Roman"/>
          <w:color w:val="auto"/>
          <w:kern w:val="0"/>
          <w:szCs w:val="24"/>
        </w:rPr>
        <w:t>，占施工期新增总量的</w:t>
      </w:r>
      <w:r>
        <w:rPr>
          <w:rFonts w:hint="default" w:ascii="Times New Roman" w:hAnsi="Times New Roman" w:eastAsia="仿宋_GB2312" w:cs="Times New Roman"/>
          <w:color w:val="auto"/>
          <w:kern w:val="0"/>
          <w:szCs w:val="24"/>
          <w:lang w:val="en-US" w:eastAsia="zh-CN"/>
        </w:rPr>
        <w:t>69</w:t>
      </w:r>
      <w:r>
        <w:rPr>
          <w:rFonts w:hint="default" w:ascii="Times New Roman" w:hAnsi="Times New Roman" w:eastAsia="仿宋_GB2312" w:cs="Times New Roman"/>
          <w:color w:val="auto"/>
          <w:kern w:val="0"/>
          <w:szCs w:val="24"/>
        </w:rPr>
        <w:t>%；故</w:t>
      </w:r>
      <w:r>
        <w:rPr>
          <w:rFonts w:hint="default" w:ascii="Times New Roman" w:hAnsi="Times New Roman" w:eastAsia="仿宋_GB2312" w:cs="Times New Roman"/>
          <w:color w:val="auto"/>
          <w:kern w:val="0"/>
          <w:szCs w:val="24"/>
          <w:lang w:val="en-US" w:eastAsia="zh-CN"/>
        </w:rPr>
        <w:t>附属设施区</w:t>
      </w:r>
      <w:r>
        <w:rPr>
          <w:rFonts w:hint="default" w:ascii="Times New Roman" w:hAnsi="Times New Roman" w:eastAsia="仿宋_GB2312" w:cs="Times New Roman"/>
          <w:color w:val="auto"/>
          <w:kern w:val="0"/>
          <w:szCs w:val="24"/>
        </w:rPr>
        <w:t>是水土流失重点防治区域。</w:t>
      </w:r>
    </w:p>
    <w:p>
      <w:pPr>
        <w:pStyle w:val="3"/>
        <w:suppressAutoHyphens/>
        <w:spacing w:before="156" w:beforeLines="50" w:after="156" w:afterLines="50"/>
        <w:rPr>
          <w:rFonts w:hint="default" w:ascii="Times New Roman" w:hAnsi="Times New Roman" w:cs="Times New Roman"/>
          <w:color w:val="auto"/>
          <w:kern w:val="0"/>
        </w:rPr>
      </w:pPr>
      <w:bookmarkStart w:id="34" w:name="_Toc26072"/>
      <w:r>
        <w:rPr>
          <w:rFonts w:hint="default" w:ascii="Times New Roman" w:hAnsi="Times New Roman" w:cs="Times New Roman"/>
          <w:color w:val="auto"/>
          <w:kern w:val="0"/>
        </w:rPr>
        <w:t>1.8水土保持措施布局结果</w:t>
      </w:r>
      <w:bookmarkEnd w:id="34"/>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本项目水土流失防治分区划分为</w:t>
      </w:r>
      <w:r>
        <w:rPr>
          <w:rFonts w:hint="default" w:ascii="Times New Roman" w:hAnsi="Times New Roman" w:eastAsia="仿宋_GB2312" w:cs="Times New Roman"/>
          <w:color w:val="auto"/>
          <w:kern w:val="0"/>
          <w:szCs w:val="24"/>
        </w:rPr>
        <w:t>主体工程区</w:t>
      </w:r>
      <w:r>
        <w:rPr>
          <w:rFonts w:hint="default" w:ascii="Times New Roman" w:hAnsi="Times New Roman" w:eastAsia="仿宋_GB2312" w:cs="Times New Roman"/>
          <w:color w:val="auto"/>
          <w:kern w:val="0"/>
          <w:szCs w:val="24"/>
          <w:lang w:eastAsia="zh-CN"/>
        </w:rPr>
        <w:t>、</w:t>
      </w:r>
      <w:r>
        <w:rPr>
          <w:rFonts w:hint="default" w:ascii="Times New Roman" w:hAnsi="Times New Roman" w:eastAsia="仿宋_GB2312" w:cs="Times New Roman"/>
          <w:color w:val="auto"/>
          <w:kern w:val="0"/>
          <w:szCs w:val="24"/>
          <w:lang w:val="en-US" w:eastAsia="zh-CN"/>
        </w:rPr>
        <w:t>附属工程2个</w:t>
      </w:r>
      <w:r>
        <w:rPr>
          <w:rFonts w:hint="default" w:ascii="Times New Roman" w:hAnsi="Times New Roman" w:eastAsia="仿宋_GB2312" w:cs="Times New Roman"/>
          <w:color w:val="auto"/>
          <w:kern w:val="0"/>
          <w:szCs w:val="24"/>
        </w:rPr>
        <w:t>一级区</w:t>
      </w:r>
      <w:r>
        <w:rPr>
          <w:rFonts w:hint="default" w:ascii="Times New Roman" w:hAnsi="Times New Roman" w:eastAsia="仿宋_GB2312" w:cs="Times New Roman"/>
          <w:color w:val="auto"/>
        </w:rPr>
        <w:t>；针对各防治区的不同实际情况，主体工程采取了相应的措施以防治水土流失；方案现从措施名称、布设位置、实施时段等方面简述：</w:t>
      </w:r>
    </w:p>
    <w:p>
      <w:pPr>
        <w:widowControl/>
        <w:autoSpaceDN w:val="0"/>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（1）主体工程区</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*1）工程措施：</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1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①</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rPr>
        <w:t>散水暗沟123.02m（主体已有，已实施）；</w:t>
      </w:r>
      <w:r>
        <w:rPr>
          <w:rFonts w:hint="default" w:ascii="Times New Roman" w:hAnsi="Times New Roman" w:eastAsia="仿宋_GB2312" w:cs="Times New Roman"/>
          <w:color w:val="auto"/>
        </w:rPr>
        <w:t>散水暗沟设置在建筑周围；</w:t>
      </w:r>
      <w:r>
        <w:rPr>
          <w:rFonts w:hint="default" w:ascii="Times New Roman" w:hAnsi="Times New Roman" w:eastAsia="仿宋_GB2312" w:cs="Times New Roman"/>
          <w:color w:val="auto"/>
          <w:kern w:val="0"/>
        </w:rPr>
        <w:t>散水暗沟净断面：0.40m（宽）×0.45m（深），采用150mm厚C20混凝土结构</w:t>
      </w:r>
      <w:r>
        <w:rPr>
          <w:rFonts w:hint="default" w:ascii="Times New Roman" w:hAnsi="Times New Roman" w:eastAsia="仿宋_GB2312" w:cs="Times New Roman"/>
          <w:color w:val="auto"/>
        </w:rPr>
        <w:t>，成品盖板；于2017年7月～9月实施。</w:t>
      </w:r>
    </w:p>
    <w:p>
      <w:pPr>
        <w:widowControl/>
        <w:autoSpaceDN w:val="0"/>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kern w:val="0"/>
        </w:rPr>
        <w:t>*2）</w:t>
      </w:r>
      <w:r>
        <w:rPr>
          <w:rFonts w:hint="default" w:ascii="Times New Roman" w:hAnsi="Times New Roman" w:eastAsia="仿宋_GB2312" w:cs="Times New Roman"/>
          <w:color w:val="auto"/>
          <w:szCs w:val="24"/>
        </w:rPr>
        <w:t>临时措施：</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1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①</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szCs w:val="24"/>
        </w:rPr>
        <w:t>防雨布遮盖500m</w:t>
      </w:r>
      <w:r>
        <w:rPr>
          <w:rFonts w:hint="default" w:ascii="Times New Roman" w:hAnsi="Times New Roman" w:eastAsia="仿宋_GB2312" w:cs="Times New Roman"/>
          <w:color w:val="auto"/>
          <w:kern w:val="0"/>
          <w:szCs w:val="24"/>
          <w:vertAlign w:val="superscript"/>
        </w:rPr>
        <w:t>2</w:t>
      </w:r>
      <w:r>
        <w:rPr>
          <w:rFonts w:hint="default" w:ascii="Times New Roman" w:hAnsi="Times New Roman" w:eastAsia="仿宋_GB2312" w:cs="Times New Roman"/>
          <w:color w:val="auto"/>
          <w:kern w:val="0"/>
          <w:szCs w:val="24"/>
        </w:rPr>
        <w:t>（</w:t>
      </w:r>
      <w:r>
        <w:rPr>
          <w:rFonts w:hint="default" w:ascii="Times New Roman" w:hAnsi="Times New Roman" w:eastAsia="仿宋_GB2312" w:cs="Times New Roman"/>
          <w:color w:val="auto"/>
          <w:kern w:val="0"/>
        </w:rPr>
        <w:t>主体已有，已实施</w:t>
      </w:r>
      <w:r>
        <w:rPr>
          <w:rFonts w:hint="default" w:ascii="Times New Roman" w:hAnsi="Times New Roman" w:eastAsia="仿宋_GB2312" w:cs="Times New Roman"/>
          <w:color w:val="auto"/>
          <w:kern w:val="0"/>
          <w:szCs w:val="24"/>
        </w:rPr>
        <w:t>），对建构筑物基础挖方进行临时遮盖，于2016年11月～2017年6月实施。</w:t>
      </w:r>
    </w:p>
    <w:p>
      <w:pPr>
        <w:ind w:firstLine="480"/>
        <w:rPr>
          <w:rFonts w:hint="default" w:ascii="Times New Roman" w:hAnsi="Times New Roman" w:eastAsia="仿宋_GB2312" w:cs="Times New Roman"/>
          <w:color w:val="auto"/>
          <w:kern w:val="0"/>
          <w:szCs w:val="24"/>
        </w:rPr>
      </w:pPr>
    </w:p>
    <w:p>
      <w:pPr>
        <w:ind w:firstLine="480"/>
        <w:rPr>
          <w:rFonts w:hint="default" w:ascii="Times New Roman" w:hAnsi="Times New Roman" w:eastAsia="仿宋_GB2312" w:cs="Times New Roman"/>
          <w:color w:val="auto"/>
          <w:kern w:val="0"/>
          <w:szCs w:val="24"/>
        </w:rPr>
      </w:pPr>
    </w:p>
    <w:p>
      <w:pPr>
        <w:widowControl/>
        <w:autoSpaceDN w:val="0"/>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w:t>
      </w:r>
      <w:r>
        <w:rPr>
          <w:rFonts w:hint="default" w:ascii="Times New Roman" w:hAnsi="Times New Roman" w:eastAsia="仿宋_GB2312" w:cs="Times New Roman"/>
          <w:b/>
          <w:color w:val="auto"/>
          <w:lang w:val="en-US" w:eastAsia="zh-CN"/>
        </w:rPr>
        <w:t>2</w:t>
      </w:r>
      <w:r>
        <w:rPr>
          <w:rFonts w:hint="default" w:ascii="Times New Roman" w:hAnsi="Times New Roman" w:eastAsia="仿宋_GB2312" w:cs="Times New Roman"/>
          <w:b/>
          <w:color w:val="auto"/>
        </w:rPr>
        <w:t>）</w:t>
      </w:r>
      <w:r>
        <w:rPr>
          <w:rFonts w:hint="default" w:ascii="Times New Roman" w:hAnsi="Times New Roman" w:eastAsia="仿宋_GB2312" w:cs="Times New Roman"/>
          <w:b/>
          <w:color w:val="auto"/>
          <w:lang w:val="en-US" w:eastAsia="zh-CN"/>
        </w:rPr>
        <w:t>附属设施区</w:t>
      </w:r>
    </w:p>
    <w:p>
      <w:pPr>
        <w:widowControl/>
        <w:autoSpaceDN w:val="0"/>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lang w:val="en-US" w:eastAsia="zh-CN"/>
        </w:rPr>
        <w:t>1</w:t>
      </w: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szCs w:val="24"/>
        </w:rPr>
        <w:t>临时措施：</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1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①</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szCs w:val="24"/>
        </w:rPr>
        <w:t>防雨布遮盖</w:t>
      </w:r>
      <w:r>
        <w:rPr>
          <w:rFonts w:hint="default" w:ascii="Times New Roman" w:hAnsi="Times New Roman" w:eastAsia="仿宋_GB2312" w:cs="Times New Roman"/>
          <w:color w:val="auto"/>
          <w:kern w:val="0"/>
          <w:szCs w:val="24"/>
          <w:lang w:val="en-US" w:eastAsia="zh-CN"/>
        </w:rPr>
        <w:t>3</w:t>
      </w:r>
      <w:r>
        <w:rPr>
          <w:rFonts w:hint="default" w:ascii="Times New Roman" w:hAnsi="Times New Roman" w:eastAsia="仿宋_GB2312" w:cs="Times New Roman"/>
          <w:color w:val="auto"/>
          <w:kern w:val="0"/>
          <w:szCs w:val="24"/>
        </w:rPr>
        <w:t>00m</w:t>
      </w:r>
      <w:r>
        <w:rPr>
          <w:rFonts w:hint="default" w:ascii="Times New Roman" w:hAnsi="Times New Roman" w:eastAsia="仿宋_GB2312" w:cs="Times New Roman"/>
          <w:color w:val="auto"/>
          <w:kern w:val="0"/>
          <w:szCs w:val="24"/>
          <w:vertAlign w:val="superscript"/>
        </w:rPr>
        <w:t>2</w:t>
      </w:r>
      <w:r>
        <w:rPr>
          <w:rFonts w:hint="default" w:ascii="Times New Roman" w:hAnsi="Times New Roman" w:eastAsia="仿宋_GB2312" w:cs="Times New Roman"/>
          <w:color w:val="auto"/>
          <w:kern w:val="0"/>
          <w:szCs w:val="24"/>
        </w:rPr>
        <w:t>（</w:t>
      </w:r>
      <w:r>
        <w:rPr>
          <w:rFonts w:hint="default" w:ascii="Times New Roman" w:hAnsi="Times New Roman" w:eastAsia="仿宋_GB2312" w:cs="Times New Roman"/>
          <w:color w:val="auto"/>
          <w:kern w:val="0"/>
        </w:rPr>
        <w:t>主体已有，已实施</w:t>
      </w:r>
      <w:r>
        <w:rPr>
          <w:rFonts w:hint="default" w:ascii="Times New Roman" w:hAnsi="Times New Roman" w:eastAsia="仿宋_GB2312" w:cs="Times New Roman"/>
          <w:color w:val="auto"/>
          <w:kern w:val="0"/>
          <w:szCs w:val="24"/>
        </w:rPr>
        <w:t>），对</w:t>
      </w:r>
      <w:r>
        <w:rPr>
          <w:rFonts w:hint="default" w:ascii="Times New Roman" w:hAnsi="Times New Roman" w:eastAsia="仿宋_GB2312" w:cs="Times New Roman"/>
          <w:color w:val="auto"/>
          <w:kern w:val="0"/>
          <w:szCs w:val="24"/>
          <w:lang w:val="en-US" w:eastAsia="zh-CN"/>
        </w:rPr>
        <w:t>管线沟槽开挖的临时堆土进行遮盖</w:t>
      </w:r>
      <w:r>
        <w:rPr>
          <w:rFonts w:hint="default" w:ascii="Times New Roman" w:hAnsi="Times New Roman" w:eastAsia="仿宋_GB2312" w:cs="Times New Roman"/>
          <w:color w:val="auto"/>
          <w:kern w:val="0"/>
          <w:szCs w:val="24"/>
        </w:rPr>
        <w:t>，于2016年11月～2017年6月实施。</w:t>
      </w:r>
    </w:p>
    <w:p>
      <w:pPr>
        <w:pStyle w:val="3"/>
        <w:suppressAutoHyphens/>
        <w:spacing w:before="156" w:beforeLines="50" w:after="156" w:afterLines="50"/>
        <w:rPr>
          <w:rFonts w:hint="default" w:ascii="Times New Roman" w:hAnsi="Times New Roman" w:cs="Times New Roman"/>
          <w:color w:val="auto"/>
          <w:kern w:val="0"/>
        </w:rPr>
      </w:pPr>
      <w:bookmarkStart w:id="35" w:name="_Toc20572"/>
      <w:bookmarkStart w:id="36" w:name="_Toc36571658"/>
      <w:r>
        <w:rPr>
          <w:rFonts w:hint="default" w:ascii="Times New Roman" w:hAnsi="Times New Roman" w:cs="Times New Roman"/>
          <w:color w:val="auto"/>
          <w:kern w:val="0"/>
        </w:rPr>
        <w:t>1.9水土保持监测方案</w:t>
      </w:r>
      <w:bookmarkEnd w:id="35"/>
      <w:bookmarkEnd w:id="36"/>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rPr>
        <w:t>监测时段：</w:t>
      </w:r>
      <w:r>
        <w:rPr>
          <w:rFonts w:hint="default" w:ascii="Times New Roman" w:hAnsi="Times New Roman" w:eastAsia="仿宋_GB2312" w:cs="Times New Roman"/>
          <w:color w:val="auto"/>
          <w:szCs w:val="24"/>
        </w:rPr>
        <w:t>从施工准备期开始至设计水平年结束。</w:t>
      </w:r>
      <w:r>
        <w:rPr>
          <w:rFonts w:hint="default" w:ascii="Times New Roman" w:hAnsi="Times New Roman" w:eastAsia="仿宋_GB2312" w:cs="Times New Roman"/>
          <w:color w:val="auto"/>
          <w:szCs w:val="24"/>
          <w:lang w:val="en-US" w:eastAsia="zh-CN"/>
        </w:rPr>
        <w:t>即</w:t>
      </w:r>
      <w:r>
        <w:rPr>
          <w:rFonts w:hint="default" w:ascii="Times New Roman" w:hAnsi="Times New Roman" w:eastAsia="仿宋_GB2312" w:cs="Times New Roman"/>
          <w:color w:val="auto"/>
          <w:szCs w:val="24"/>
        </w:rPr>
        <w:t>2016年11月～2020年12月。</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监测区域：项目水土流失防治责任范围，面积</w:t>
      </w:r>
      <w:r>
        <w:rPr>
          <w:rFonts w:hint="default" w:ascii="Times New Roman" w:hAnsi="Times New Roman" w:eastAsia="仿宋_GB2312" w:cs="Times New Roman"/>
          <w:color w:val="auto"/>
          <w:lang w:val="en-US" w:eastAsia="zh-CN"/>
        </w:rPr>
        <w:t>0.43</w:t>
      </w:r>
      <w:r>
        <w:rPr>
          <w:rFonts w:hint="default" w:ascii="Times New Roman" w:hAnsi="Times New Roman" w:eastAsia="仿宋_GB2312" w:cs="Times New Roman"/>
          <w:color w:val="auto"/>
        </w:rPr>
        <w:t>hm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监测点位：根据项目实际情况布设水土保持监测点位。</w:t>
      </w:r>
      <w:r>
        <w:rPr>
          <w:rFonts w:hint="default" w:ascii="Times New Roman" w:hAnsi="Times New Roman" w:eastAsia="仿宋_GB2312" w:cs="Times New Roman"/>
          <w:color w:val="auto"/>
          <w:szCs w:val="24"/>
          <w:lang w:val="en-US" w:eastAsia="zh-CN"/>
        </w:rPr>
        <w:t>主体工程区</w:t>
      </w:r>
      <w:r>
        <w:rPr>
          <w:rFonts w:hint="default" w:ascii="Times New Roman" w:hAnsi="Times New Roman" w:eastAsia="仿宋_GB2312" w:cs="Times New Roman"/>
          <w:color w:val="auto"/>
          <w:szCs w:val="24"/>
        </w:rPr>
        <w:t>布设1个监测点。</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rPr>
        <w:t>监测内容：</w:t>
      </w:r>
      <w:r>
        <w:rPr>
          <w:rFonts w:hint="default" w:ascii="Times New Roman" w:hAnsi="Times New Roman" w:eastAsia="仿宋_GB2312" w:cs="Times New Roman"/>
          <w:color w:val="auto"/>
          <w:szCs w:val="24"/>
        </w:rPr>
        <w:t>已实施的水土保持措施效果、遗留水土流失问题等；植物措施的种类、面积、分布、生长状况、成活率、保存率和林草覆盖率；工程措施的类型、数量、分布和完好程度等。</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监测方法：实地调查法、</w:t>
      </w:r>
      <w:r>
        <w:rPr>
          <w:rFonts w:hint="default" w:ascii="Times New Roman" w:hAnsi="Times New Roman" w:eastAsia="仿宋_GB2312" w:cs="Times New Roman"/>
          <w:color w:val="auto"/>
          <w:lang w:val="en-US" w:eastAsia="zh-CN"/>
        </w:rPr>
        <w:t>回顾性调查法</w:t>
      </w:r>
      <w:r>
        <w:rPr>
          <w:rFonts w:hint="default" w:ascii="Times New Roman" w:hAnsi="Times New Roman" w:eastAsia="仿宋_GB2312" w:cs="Times New Roman"/>
          <w:color w:val="auto"/>
        </w:rPr>
        <w:t>等。</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监测频次：</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（1）水土流失影响因素监测：</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 1 \* GB3 </w:instrText>
      </w:r>
      <w:r>
        <w:rPr>
          <w:rFonts w:hint="default" w:ascii="Times New Roman" w:hAnsi="Times New Roman" w:eastAsia="仿宋_GB2312" w:cs="Times New Roman"/>
          <w:color w:val="auto"/>
        </w:rPr>
        <w:fldChar w:fldCharType="separate"/>
      </w:r>
      <w:r>
        <w:rPr>
          <w:rFonts w:hint="default" w:ascii="Times New Roman" w:hAnsi="Times New Roman" w:cs="Times New Roman"/>
          <w:color w:val="auto"/>
        </w:rPr>
        <w:t>①</w:t>
      </w:r>
      <w:r>
        <w:rPr>
          <w:rFonts w:hint="default" w:ascii="Times New Roman" w:hAnsi="Times New Roman" w:eastAsia="仿宋_GB2312" w:cs="Times New Roman"/>
          <w:color w:val="auto"/>
        </w:rPr>
        <w:fldChar w:fldCharType="end"/>
      </w:r>
      <w:r>
        <w:rPr>
          <w:rFonts w:hint="default" w:ascii="Times New Roman" w:hAnsi="Times New Roman" w:eastAsia="仿宋_GB2312" w:cs="Times New Roman"/>
          <w:color w:val="auto"/>
        </w:rPr>
        <w:t>地形地貌状况整个监测期应监测1次；</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 2 \* GB3 </w:instrText>
      </w:r>
      <w:r>
        <w:rPr>
          <w:rFonts w:hint="default" w:ascii="Times New Roman" w:hAnsi="Times New Roman" w:eastAsia="仿宋_GB2312" w:cs="Times New Roman"/>
          <w:color w:val="auto"/>
        </w:rPr>
        <w:fldChar w:fldCharType="separate"/>
      </w:r>
      <w:r>
        <w:rPr>
          <w:rFonts w:hint="default" w:ascii="Times New Roman" w:hAnsi="Times New Roman" w:cs="Times New Roman"/>
          <w:color w:val="auto"/>
        </w:rPr>
        <w:t>②</w:t>
      </w:r>
      <w:r>
        <w:rPr>
          <w:rFonts w:hint="default" w:ascii="Times New Roman" w:hAnsi="Times New Roman" w:eastAsia="仿宋_GB2312" w:cs="Times New Roman"/>
          <w:color w:val="auto"/>
        </w:rPr>
        <w:fldChar w:fldCharType="end"/>
      </w:r>
      <w:r>
        <w:rPr>
          <w:rFonts w:hint="default" w:ascii="Times New Roman" w:hAnsi="Times New Roman" w:eastAsia="仿宋_GB2312" w:cs="Times New Roman"/>
          <w:color w:val="auto"/>
        </w:rPr>
        <w:t>地表组成物质施工准备期前和试运行期各监测1次；</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 3 \* GB3 </w:instrText>
      </w:r>
      <w:r>
        <w:rPr>
          <w:rFonts w:hint="default" w:ascii="Times New Roman" w:hAnsi="Times New Roman" w:eastAsia="仿宋_GB2312" w:cs="Times New Roman"/>
          <w:color w:val="auto"/>
        </w:rPr>
        <w:fldChar w:fldCharType="separate"/>
      </w:r>
      <w:r>
        <w:rPr>
          <w:rFonts w:hint="default" w:ascii="Times New Roman" w:hAnsi="Times New Roman" w:cs="Times New Roman"/>
          <w:color w:val="auto"/>
        </w:rPr>
        <w:t>③</w:t>
      </w:r>
      <w:r>
        <w:rPr>
          <w:rFonts w:hint="default" w:ascii="Times New Roman" w:hAnsi="Times New Roman" w:eastAsia="仿宋_GB2312" w:cs="Times New Roman"/>
          <w:color w:val="auto"/>
        </w:rPr>
        <w:fldChar w:fldCharType="end"/>
      </w:r>
      <w:r>
        <w:rPr>
          <w:rFonts w:hint="default" w:ascii="Times New Roman" w:hAnsi="Times New Roman" w:eastAsia="仿宋_GB2312" w:cs="Times New Roman"/>
          <w:color w:val="auto"/>
        </w:rPr>
        <w:t>植被状况施工准备期前测定1次。</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（2）水土流失状况监测：</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 1 \* GB3 </w:instrText>
      </w:r>
      <w:r>
        <w:rPr>
          <w:rFonts w:hint="default" w:ascii="Times New Roman" w:hAnsi="Times New Roman" w:eastAsia="仿宋_GB2312" w:cs="Times New Roman"/>
          <w:color w:val="auto"/>
        </w:rPr>
        <w:fldChar w:fldCharType="separate"/>
      </w:r>
      <w:r>
        <w:rPr>
          <w:rFonts w:hint="default" w:ascii="Times New Roman" w:hAnsi="Times New Roman" w:cs="Times New Roman"/>
          <w:color w:val="auto"/>
        </w:rPr>
        <w:t>①</w:t>
      </w:r>
      <w:r>
        <w:rPr>
          <w:rFonts w:hint="default" w:ascii="Times New Roman" w:hAnsi="Times New Roman" w:eastAsia="仿宋_GB2312" w:cs="Times New Roman"/>
          <w:color w:val="auto"/>
        </w:rPr>
        <w:fldChar w:fldCharType="end"/>
      </w:r>
      <w:r>
        <w:rPr>
          <w:rFonts w:hint="default" w:ascii="Times New Roman" w:hAnsi="Times New Roman" w:eastAsia="仿宋_GB2312" w:cs="Times New Roman"/>
          <w:color w:val="auto"/>
        </w:rPr>
        <w:t>水土流失类型每年不应少于1次。</w:t>
      </w: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 2 \* GB3 </w:instrText>
      </w:r>
      <w:r>
        <w:rPr>
          <w:rFonts w:hint="default" w:ascii="Times New Roman" w:hAnsi="Times New Roman" w:eastAsia="仿宋_GB2312" w:cs="Times New Roman"/>
          <w:color w:val="auto"/>
        </w:rPr>
        <w:fldChar w:fldCharType="separate"/>
      </w:r>
      <w:r>
        <w:rPr>
          <w:rFonts w:hint="default" w:ascii="Times New Roman" w:hAnsi="Times New Roman" w:cs="Times New Roman"/>
          <w:color w:val="auto"/>
        </w:rPr>
        <w:t>②</w:t>
      </w:r>
      <w:r>
        <w:rPr>
          <w:rFonts w:hint="default" w:ascii="Times New Roman" w:hAnsi="Times New Roman" w:eastAsia="仿宋_GB2312" w:cs="Times New Roman"/>
          <w:color w:val="auto"/>
        </w:rPr>
        <w:fldChar w:fldCharType="end"/>
      </w:r>
      <w:r>
        <w:rPr>
          <w:rFonts w:hint="default" w:ascii="Times New Roman" w:hAnsi="Times New Roman" w:eastAsia="仿宋_GB2312" w:cs="Times New Roman"/>
          <w:color w:val="auto"/>
        </w:rPr>
        <w:t>土壤侵蚀强度施工准备期和监测末期各1次，施工期每年不应少于1次。</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（3）水土保持措施监测：植物类型及面积应每季度调查1次。</w:t>
      </w:r>
    </w:p>
    <w:p>
      <w:pPr>
        <w:pStyle w:val="3"/>
        <w:suppressAutoHyphens/>
        <w:spacing w:before="156" w:beforeLines="50" w:after="156" w:afterLines="50"/>
        <w:rPr>
          <w:rFonts w:hint="default" w:ascii="Times New Roman" w:hAnsi="Times New Roman" w:cs="Times New Roman"/>
          <w:color w:val="auto"/>
          <w:kern w:val="0"/>
        </w:rPr>
      </w:pPr>
      <w:bookmarkStart w:id="37" w:name="_Toc22355"/>
      <w:r>
        <w:rPr>
          <w:rFonts w:hint="default" w:ascii="Times New Roman" w:hAnsi="Times New Roman" w:cs="Times New Roman"/>
          <w:color w:val="auto"/>
          <w:kern w:val="0"/>
        </w:rPr>
        <w:t>1.</w:t>
      </w:r>
      <w:r>
        <w:rPr>
          <w:rFonts w:hint="default" w:ascii="Times New Roman" w:hAnsi="Times New Roman" w:cs="Times New Roman"/>
          <w:color w:val="auto"/>
          <w:kern w:val="0"/>
          <w:lang w:val="en-US" w:eastAsia="zh-CN"/>
        </w:rPr>
        <w:t>10</w:t>
      </w:r>
      <w:r>
        <w:rPr>
          <w:rFonts w:hint="default" w:ascii="Times New Roman" w:hAnsi="Times New Roman" w:cs="Times New Roman"/>
          <w:color w:val="auto"/>
          <w:kern w:val="0"/>
        </w:rPr>
        <w:t>水土保持投资及效益分析成果</w:t>
      </w:r>
      <w:bookmarkEnd w:id="37"/>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本项目水土保持工程总投资</w:t>
      </w:r>
      <w:r>
        <w:rPr>
          <w:rFonts w:hint="default" w:ascii="Times New Roman" w:hAnsi="Times New Roman" w:eastAsia="仿宋_GB2312" w:cs="Times New Roman"/>
          <w:color w:val="auto"/>
          <w:szCs w:val="24"/>
          <w:lang w:eastAsia="zh-CN"/>
        </w:rPr>
        <w:t>12.79</w:t>
      </w:r>
      <w:r>
        <w:rPr>
          <w:rFonts w:hint="default" w:ascii="Times New Roman" w:hAnsi="Times New Roman" w:eastAsia="仿宋_GB2312" w:cs="Times New Roman"/>
          <w:color w:val="auto"/>
          <w:szCs w:val="24"/>
        </w:rPr>
        <w:t>万元（主体工程已有水保措施投资</w:t>
      </w:r>
      <w:r>
        <w:rPr>
          <w:rFonts w:hint="default" w:ascii="Times New Roman" w:hAnsi="Times New Roman" w:eastAsia="仿宋_GB2312" w:cs="Times New Roman"/>
          <w:color w:val="auto"/>
          <w:szCs w:val="24"/>
          <w:lang w:eastAsia="zh-CN"/>
        </w:rPr>
        <w:t>4.52</w:t>
      </w:r>
      <w:r>
        <w:rPr>
          <w:rFonts w:hint="default" w:ascii="Times New Roman" w:hAnsi="Times New Roman" w:eastAsia="仿宋_GB2312" w:cs="Times New Roman"/>
          <w:color w:val="auto"/>
          <w:szCs w:val="24"/>
        </w:rPr>
        <w:t>万元，方案新增水土保持投资</w:t>
      </w:r>
      <w:r>
        <w:rPr>
          <w:rFonts w:hint="default" w:ascii="Times New Roman" w:hAnsi="Times New Roman" w:eastAsia="仿宋_GB2312" w:cs="Times New Roman"/>
          <w:color w:val="auto"/>
          <w:szCs w:val="24"/>
          <w:lang w:val="en-US" w:eastAsia="zh-CN"/>
        </w:rPr>
        <w:t>8.27</w:t>
      </w:r>
      <w:r>
        <w:rPr>
          <w:rFonts w:hint="default" w:ascii="Times New Roman" w:hAnsi="Times New Roman" w:eastAsia="仿宋_GB2312" w:cs="Times New Roman"/>
          <w:color w:val="auto"/>
          <w:szCs w:val="24"/>
        </w:rPr>
        <w:t>万元），其中工程措施费4.12万元，监测措施费2.00万元，临时措施费0.</w:t>
      </w:r>
      <w:r>
        <w:rPr>
          <w:rFonts w:hint="default" w:ascii="Times New Roman" w:hAnsi="Times New Roman" w:eastAsia="仿宋_GB2312" w:cs="Times New Roman"/>
          <w:color w:val="auto"/>
          <w:szCs w:val="24"/>
          <w:lang w:val="en-US" w:eastAsia="zh-CN"/>
        </w:rPr>
        <w:t>40</w:t>
      </w:r>
      <w:r>
        <w:rPr>
          <w:rFonts w:hint="default" w:ascii="Times New Roman" w:hAnsi="Times New Roman" w:eastAsia="仿宋_GB2312" w:cs="Times New Roman"/>
          <w:color w:val="auto"/>
          <w:szCs w:val="24"/>
        </w:rPr>
        <w:t>万元，独立费用5.13万元，基本预备费0.5</w:t>
      </w:r>
      <w:r>
        <w:rPr>
          <w:rFonts w:hint="default" w:ascii="Times New Roman" w:hAnsi="Times New Roman" w:eastAsia="仿宋_GB2312" w:cs="Times New Roman"/>
          <w:color w:val="auto"/>
          <w:szCs w:val="24"/>
          <w:lang w:val="en-US" w:eastAsia="zh-CN"/>
        </w:rPr>
        <w:t>8</w:t>
      </w:r>
      <w:r>
        <w:rPr>
          <w:rFonts w:hint="default" w:ascii="Times New Roman" w:hAnsi="Times New Roman" w:eastAsia="仿宋_GB2312" w:cs="Times New Roman"/>
          <w:color w:val="auto"/>
          <w:szCs w:val="24"/>
        </w:rPr>
        <w:t>万元，水土保持补偿费0.</w:t>
      </w:r>
      <w:r>
        <w:rPr>
          <w:rFonts w:hint="default" w:ascii="Times New Roman" w:hAnsi="Times New Roman" w:eastAsia="仿宋_GB2312" w:cs="Times New Roman"/>
          <w:color w:val="auto"/>
          <w:szCs w:val="24"/>
          <w:lang w:val="en-US" w:eastAsia="zh-CN"/>
        </w:rPr>
        <w:t>56</w:t>
      </w:r>
      <w:r>
        <w:rPr>
          <w:rFonts w:hint="default" w:ascii="Times New Roman" w:hAnsi="Times New Roman" w:eastAsia="仿宋_GB2312" w:cs="Times New Roman"/>
          <w:color w:val="auto"/>
          <w:szCs w:val="24"/>
        </w:rPr>
        <w:t>万元。</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至设计水平年，落实相关水保措施后，水土流失治理度100.0%（目标值8</w:t>
      </w:r>
      <w:r>
        <w:rPr>
          <w:rFonts w:hint="default" w:ascii="Times New Roman" w:hAnsi="Times New Roman" w:eastAsia="仿宋_GB2312" w:cs="Times New Roman"/>
          <w:color w:val="auto"/>
          <w:kern w:val="0"/>
          <w:lang w:val="en-US" w:eastAsia="zh-CN"/>
        </w:rPr>
        <w:t>5</w:t>
      </w:r>
      <w:r>
        <w:rPr>
          <w:rFonts w:hint="default" w:ascii="Times New Roman" w:hAnsi="Times New Roman" w:eastAsia="仿宋_GB2312" w:cs="Times New Roman"/>
          <w:color w:val="auto"/>
          <w:kern w:val="0"/>
        </w:rPr>
        <w:t>%）、土壤流失控制比1.11（目标值1.0）、渣土防护率96.6%（目标值8</w:t>
      </w:r>
      <w:r>
        <w:rPr>
          <w:rFonts w:hint="default" w:ascii="Times New Roman" w:hAnsi="Times New Roman" w:eastAsia="仿宋_GB2312" w:cs="Times New Roman"/>
          <w:color w:val="auto"/>
          <w:kern w:val="0"/>
          <w:lang w:val="en-US" w:eastAsia="zh-CN"/>
        </w:rPr>
        <w:t>7</w:t>
      </w:r>
      <w:r>
        <w:rPr>
          <w:rFonts w:hint="default" w:ascii="Times New Roman" w:hAnsi="Times New Roman" w:eastAsia="仿宋_GB2312" w:cs="Times New Roman"/>
          <w:color w:val="auto"/>
          <w:kern w:val="0"/>
        </w:rPr>
        <w:t>%）、表土保护率（项目区无表土可剥离，该值不计列），林草植被恢复率（本项目不涉及园林绿化，该值不计列）、林草覆盖率（本项目不涉及园林绿化，该值不计列）；水土流失防治指标均能够满足水保方案提出的目标值。</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水土保持方案实施后，水土流失治理面积0.</w:t>
      </w:r>
      <w:r>
        <w:rPr>
          <w:rFonts w:hint="default" w:ascii="Times New Roman" w:hAnsi="Times New Roman" w:eastAsia="仿宋_GB2312" w:cs="Times New Roman"/>
          <w:color w:val="auto"/>
          <w:kern w:val="0"/>
          <w:lang w:val="en-US" w:eastAsia="zh-CN"/>
        </w:rPr>
        <w:t>43</w:t>
      </w:r>
      <w:r>
        <w:rPr>
          <w:rFonts w:hint="default" w:ascii="Times New Roman" w:hAnsi="Times New Roman" w:eastAsia="仿宋_GB2312" w:cs="Times New Roman"/>
          <w:color w:val="auto"/>
          <w:kern w:val="0"/>
        </w:rPr>
        <w:t>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，可减少土壤流失量1t。</w:t>
      </w:r>
    </w:p>
    <w:p>
      <w:pPr>
        <w:pStyle w:val="3"/>
        <w:suppressAutoHyphens/>
        <w:spacing w:before="156" w:beforeLines="50" w:after="156" w:afterLines="50"/>
        <w:rPr>
          <w:rFonts w:hint="default" w:ascii="Times New Roman" w:hAnsi="Times New Roman" w:cs="Times New Roman"/>
          <w:color w:val="auto"/>
          <w:kern w:val="0"/>
        </w:rPr>
      </w:pPr>
      <w:bookmarkStart w:id="38" w:name="_Toc23766"/>
      <w:bookmarkStart w:id="39" w:name="_Toc336086568"/>
      <w:r>
        <w:rPr>
          <w:rFonts w:hint="default" w:ascii="Times New Roman" w:hAnsi="Times New Roman" w:cs="Times New Roman"/>
          <w:color w:val="auto"/>
          <w:kern w:val="0"/>
        </w:rPr>
        <w:t>1.1</w:t>
      </w:r>
      <w:r>
        <w:rPr>
          <w:rFonts w:hint="default" w:ascii="Times New Roman" w:hAnsi="Times New Roman" w:cs="Times New Roman"/>
          <w:color w:val="auto"/>
          <w:kern w:val="0"/>
          <w:lang w:val="en-US" w:eastAsia="zh-CN"/>
        </w:rPr>
        <w:t>1</w:t>
      </w:r>
      <w:r>
        <w:rPr>
          <w:rFonts w:hint="default" w:ascii="Times New Roman" w:hAnsi="Times New Roman" w:cs="Times New Roman"/>
          <w:color w:val="auto"/>
          <w:kern w:val="0"/>
        </w:rPr>
        <w:t>结论</w:t>
      </w:r>
      <w:bookmarkEnd w:id="38"/>
    </w:p>
    <w:p>
      <w:pPr>
        <w:pStyle w:val="1102"/>
        <w:rPr>
          <w:rFonts w:hint="default" w:ascii="Times New Roman" w:hAnsi="Times New Roman" w:cs="Times New Roman"/>
          <w:color w:val="auto"/>
        </w:rPr>
      </w:pPr>
      <w:r>
        <w:rPr>
          <w:rFonts w:hint="default" w:ascii="Times New Roman" w:hAnsi="Times New Roman" w:cs="Times New Roman"/>
          <w:color w:val="auto"/>
        </w:rPr>
        <w:t>项目建设不涉及河流两岸、湖泊和水库周边的植物保护带等水土保持敏感区。主体工程选址无法避开</w:t>
      </w:r>
      <w:r>
        <w:rPr>
          <w:rFonts w:hint="default" w:ascii="Times New Roman" w:hAnsi="Times New Roman" w:cs="Times New Roman"/>
          <w:color w:val="auto"/>
          <w:kern w:val="0"/>
        </w:rPr>
        <w:t>金沙江岷江上游及三江并流国家级水土流失重点预防区，不涉及其他</w:t>
      </w:r>
      <w:r>
        <w:rPr>
          <w:rFonts w:hint="default" w:ascii="Times New Roman" w:hAnsi="Times New Roman" w:cs="Times New Roman"/>
          <w:color w:val="auto"/>
        </w:rPr>
        <w:t>水土保持制约因素。</w:t>
      </w:r>
      <w:r>
        <w:rPr>
          <w:rFonts w:hint="default" w:ascii="Times New Roman" w:hAnsi="Times New Roman" w:cs="Times New Roman"/>
          <w:color w:val="auto"/>
          <w:kern w:val="0"/>
        </w:rPr>
        <w:t>主体工程设置的临建设施在满足施工要求的前提下，布置项目用地红线内，没有扰动红线外的土地；主体工程施工方法、施工组织设计等建设方案满足水土保持相关要求。</w:t>
      </w:r>
    </w:p>
    <w:p>
      <w:pPr>
        <w:pStyle w:val="1102"/>
        <w:rPr>
          <w:rFonts w:hint="default" w:ascii="Times New Roman" w:hAnsi="Times New Roman" w:cs="Times New Roman"/>
          <w:color w:val="auto"/>
        </w:rPr>
      </w:pPr>
      <w:r>
        <w:rPr>
          <w:rFonts w:hint="default" w:ascii="Times New Roman" w:hAnsi="Times New Roman" w:cs="Times New Roman"/>
          <w:color w:val="auto"/>
        </w:rPr>
        <w:t>总体而言，从水土保持角度来看，项目选址、建设方案、水土流失防治措施等符合水土保持法律法规、技术标准的规定。</w:t>
      </w:r>
    </w:p>
    <w:p>
      <w:pPr>
        <w:pStyle w:val="1102"/>
        <w:rPr>
          <w:rFonts w:hint="default" w:ascii="Times New Roman" w:hAnsi="Times New Roman" w:cs="Times New Roman"/>
          <w:color w:val="auto"/>
        </w:rPr>
      </w:pPr>
      <w:r>
        <w:rPr>
          <w:rFonts w:hint="default" w:ascii="Times New Roman" w:hAnsi="Times New Roman" w:cs="Times New Roman"/>
          <w:color w:val="auto"/>
        </w:rPr>
        <w:t>从水土保持角度，方案提出如下要求：</w:t>
      </w:r>
    </w:p>
    <w:p>
      <w:pPr>
        <w:pStyle w:val="1102"/>
        <w:rPr>
          <w:rFonts w:hint="default" w:ascii="Times New Roman" w:hAnsi="Times New Roman" w:cs="Times New Roman"/>
          <w:color w:val="auto"/>
        </w:rPr>
      </w:pPr>
      <w:bookmarkStart w:id="40" w:name="_Toc314579936"/>
      <w:r>
        <w:rPr>
          <w:rFonts w:hint="default" w:ascii="Times New Roman" w:hAnsi="Times New Roman" w:cs="Times New Roman"/>
          <w:color w:val="auto"/>
        </w:rPr>
        <w:t>（1）对水土保持工程监理的</w:t>
      </w:r>
      <w:bookmarkEnd w:id="40"/>
      <w:r>
        <w:rPr>
          <w:rFonts w:hint="default" w:ascii="Times New Roman" w:hAnsi="Times New Roman" w:cs="Times New Roman"/>
          <w:color w:val="auto"/>
        </w:rPr>
        <w:t>要求</w:t>
      </w:r>
    </w:p>
    <w:p>
      <w:pPr>
        <w:pStyle w:val="1102"/>
        <w:rPr>
          <w:rFonts w:hint="default" w:ascii="Times New Roman" w:hAnsi="Times New Roman" w:cs="Times New Roman"/>
          <w:color w:val="auto"/>
        </w:rPr>
      </w:pPr>
      <w:bookmarkStart w:id="41" w:name="_Toc314579937"/>
      <w:r>
        <w:rPr>
          <w:rFonts w:hint="default" w:ascii="Times New Roman" w:hAnsi="Times New Roman" w:cs="Times New Roman"/>
          <w:color w:val="auto"/>
        </w:rPr>
        <w:t>根据水利部文件《水利部关于进一步深化“放管服”改革全面加强水土保持监管的意见》（水保</w:t>
      </w:r>
      <w:r>
        <w:rPr>
          <w:rFonts w:hint="default" w:ascii="Times New Roman" w:hAnsi="Times New Roman" w:eastAsia="仿宋_GB2312" w:cs="Times New Roman"/>
          <w:color w:val="auto"/>
          <w:szCs w:val="24"/>
        </w:rPr>
        <w:t>〔2019〕</w:t>
      </w:r>
      <w:r>
        <w:rPr>
          <w:rFonts w:hint="default" w:ascii="Times New Roman" w:hAnsi="Times New Roman" w:cs="Times New Roman"/>
          <w:color w:val="auto"/>
        </w:rPr>
        <w:t>160号），凡主体工程开展监理工作的项目，应当按照水土保持监理标准和规范开展水土保持施工监理。其中，征占地面积在20公顷以上或者挖填土石方总量在20万立方米以上的项目，应当配备具有水土保持专业监理资格的工程师；征占地面积在200公顷以上或者挖填土石方总量在200万立方米以上的项目，应当由具有水土保持监理专业资质的单位承担监理任务。</w:t>
      </w:r>
    </w:p>
    <w:bookmarkEnd w:id="41"/>
    <w:p>
      <w:pPr>
        <w:pStyle w:val="1102"/>
        <w:rPr>
          <w:rFonts w:hint="default" w:ascii="Times New Roman" w:hAnsi="Times New Roman" w:cs="Times New Roman"/>
          <w:color w:val="auto"/>
        </w:rPr>
      </w:pPr>
      <w:r>
        <w:rPr>
          <w:rFonts w:hint="default" w:ascii="Times New Roman" w:hAnsi="Times New Roman" w:cs="Times New Roman"/>
          <w:color w:val="auto"/>
        </w:rPr>
        <w:t>本项目总占地面积0.</w:t>
      </w:r>
      <w:r>
        <w:rPr>
          <w:rFonts w:hint="default" w:ascii="Times New Roman" w:hAnsi="Times New Roman" w:cs="Times New Roman"/>
          <w:color w:val="auto"/>
          <w:lang w:val="en-US" w:eastAsia="zh-CN"/>
        </w:rPr>
        <w:t>43</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，挖填方总量0.30万m</w:t>
      </w:r>
      <w:r>
        <w:rPr>
          <w:rFonts w:hint="default" w:ascii="Times New Roman" w:hAnsi="Times New Roman" w:cs="Times New Roman"/>
          <w:color w:val="auto"/>
          <w:vertAlign w:val="superscript"/>
        </w:rPr>
        <w:t>3</w:t>
      </w:r>
      <w:r>
        <w:rPr>
          <w:rFonts w:hint="default" w:ascii="Times New Roman" w:hAnsi="Times New Roman" w:cs="Times New Roman"/>
          <w:color w:val="auto"/>
        </w:rPr>
        <w:t>，项目占地面积、土石方挖填总量未达到上述规定；水土保持监理由主体工程监理四川鼎立建设项目管理有限公司一并负责、实施。</w:t>
      </w:r>
    </w:p>
    <w:p>
      <w:pPr>
        <w:pStyle w:val="1102"/>
        <w:rPr>
          <w:rFonts w:hint="default" w:ascii="Times New Roman" w:hAnsi="Times New Roman" w:cs="Times New Roman"/>
          <w:color w:val="auto"/>
        </w:rPr>
      </w:pPr>
      <w:r>
        <w:rPr>
          <w:rFonts w:hint="default" w:ascii="Times New Roman" w:hAnsi="Times New Roman" w:cs="Times New Roman"/>
          <w:color w:val="auto"/>
        </w:rPr>
        <w:t>（2）对建设单位相关管理工作的建议</w:t>
      </w:r>
    </w:p>
    <w:p>
      <w:pPr>
        <w:pStyle w:val="1102"/>
        <w:rPr>
          <w:rFonts w:hint="default" w:ascii="Times New Roman" w:hAnsi="Times New Roman" w:cs="Times New Roman"/>
          <w:color w:val="auto"/>
        </w:rPr>
      </w:pPr>
      <w:r>
        <w:rPr>
          <w:rFonts w:hint="default" w:ascii="Times New Roman" w:hAnsi="Times New Roman" w:cs="Times New Roman"/>
          <w:color w:val="auto"/>
        </w:rPr>
        <w:t>水土保持方案经水行政管理部门批复后，如有重大变更则按规定程序另行编制水土保持方案。水利部办公厅文件《水利部办公厅关于印发生产建设项目水土保持监督管理办法的通知》（办水保</w:t>
      </w:r>
      <w:r>
        <w:rPr>
          <w:rFonts w:hint="default" w:ascii="Times New Roman" w:hAnsi="Times New Roman" w:eastAsia="仿宋_GB2312" w:cs="Times New Roman"/>
          <w:color w:val="auto"/>
          <w:szCs w:val="24"/>
        </w:rPr>
        <w:t>〔2019〕</w:t>
      </w:r>
      <w:r>
        <w:rPr>
          <w:rFonts w:hint="default" w:ascii="Times New Roman" w:hAnsi="Times New Roman" w:cs="Times New Roman"/>
          <w:color w:val="auto"/>
        </w:rPr>
        <w:t>172号）、《四川省水利厅转发水利部关于加强事中事后监管规范生产建设项目水土保持设施自主验收的通知》（川水函</w:t>
      </w:r>
      <w:r>
        <w:rPr>
          <w:rFonts w:hint="default" w:ascii="Times New Roman" w:hAnsi="Times New Roman" w:eastAsia="仿宋_GB2312" w:cs="Times New Roman"/>
          <w:color w:val="auto"/>
          <w:szCs w:val="24"/>
        </w:rPr>
        <w:t>〔201</w:t>
      </w:r>
      <w:r>
        <w:rPr>
          <w:rFonts w:hint="default" w:ascii="Times New Roman" w:hAnsi="Times New Roman" w:cs="Times New Roman"/>
          <w:color w:val="auto"/>
          <w:szCs w:val="24"/>
          <w:lang w:val="en-US" w:eastAsia="zh-CN"/>
        </w:rPr>
        <w:t>8</w:t>
      </w:r>
      <w:r>
        <w:rPr>
          <w:rFonts w:hint="default" w:ascii="Times New Roman" w:hAnsi="Times New Roman" w:eastAsia="仿宋_GB2312" w:cs="Times New Roman"/>
          <w:color w:val="auto"/>
          <w:szCs w:val="24"/>
        </w:rPr>
        <w:t>〕</w:t>
      </w:r>
      <w:r>
        <w:rPr>
          <w:rFonts w:hint="default" w:ascii="Times New Roman" w:hAnsi="Times New Roman" w:cs="Times New Roman"/>
          <w:color w:val="auto"/>
        </w:rPr>
        <w:t>887号），生产建设是生产建设项目水土保护设施验收的责任主体，自主开展水土保持设施验收，完成报备并取得报备回执。</w:t>
      </w:r>
    </w:p>
    <w:p>
      <w:pPr>
        <w:ind w:firstLine="199" w:firstLineChars="83"/>
        <w:rPr>
          <w:rFonts w:hint="default" w:ascii="Times New Roman" w:hAnsi="Times New Roman" w:cs="Times New Roman"/>
          <w:color w:val="auto"/>
        </w:rPr>
        <w:sectPr>
          <w:headerReference r:id="rId10" w:type="default"/>
          <w:footerReference r:id="rId11" w:type="default"/>
          <w:pgSz w:w="11906" w:h="16838"/>
          <w:pgMar w:top="1440" w:right="1797" w:bottom="1440" w:left="1797" w:header="851" w:footer="992" w:gutter="0"/>
          <w:pgNumType w:start="1"/>
          <w:cols w:space="720" w:num="1"/>
          <w:docGrid w:type="lines" w:linePitch="312" w:charSpace="0"/>
        </w:sectPr>
      </w:pPr>
    </w:p>
    <w:p>
      <w:pPr>
        <w:pStyle w:val="2"/>
        <w:rPr>
          <w:rFonts w:hint="default" w:ascii="Times New Roman" w:hAnsi="Times New Roman" w:cs="Times New Roman"/>
          <w:color w:val="auto"/>
          <w:kern w:val="0"/>
        </w:rPr>
      </w:pPr>
      <w:bookmarkStart w:id="42" w:name="_Toc29510"/>
      <w:r>
        <w:rPr>
          <w:rFonts w:hint="default" w:ascii="Times New Roman" w:hAnsi="Times New Roman" w:cs="Times New Roman"/>
          <w:color w:val="auto"/>
          <w:kern w:val="0"/>
        </w:rPr>
        <w:t>2项目概况</w:t>
      </w:r>
      <w:bookmarkEnd w:id="39"/>
      <w:bookmarkEnd w:id="42"/>
    </w:p>
    <w:p>
      <w:pPr>
        <w:pStyle w:val="3"/>
        <w:suppressAutoHyphens/>
        <w:spacing w:before="156" w:beforeLines="50" w:after="156" w:afterLines="50"/>
        <w:rPr>
          <w:rFonts w:hint="default" w:ascii="Times New Roman" w:hAnsi="Times New Roman" w:cs="Times New Roman"/>
          <w:color w:val="auto"/>
          <w:kern w:val="0"/>
        </w:rPr>
      </w:pPr>
      <w:bookmarkStart w:id="43" w:name="_Toc336086569"/>
      <w:bookmarkStart w:id="44" w:name="_Toc6268"/>
      <w:r>
        <w:rPr>
          <w:rFonts w:hint="default" w:ascii="Times New Roman" w:hAnsi="Times New Roman" w:cs="Times New Roman"/>
          <w:color w:val="auto"/>
          <w:kern w:val="0"/>
        </w:rPr>
        <w:t>2.1 项目</w:t>
      </w:r>
      <w:bookmarkEnd w:id="43"/>
      <w:r>
        <w:rPr>
          <w:rFonts w:hint="default" w:ascii="Times New Roman" w:hAnsi="Times New Roman" w:cs="Times New Roman"/>
          <w:color w:val="auto"/>
          <w:kern w:val="0"/>
        </w:rPr>
        <w:t>组成及工程布置</w:t>
      </w:r>
      <w:bookmarkEnd w:id="44"/>
    </w:p>
    <w:p>
      <w:pPr>
        <w:pStyle w:val="4"/>
        <w:spacing w:before="156" w:beforeLines="50"/>
        <w:rPr>
          <w:rFonts w:hint="default" w:ascii="Times New Roman" w:hAnsi="Times New Roman" w:cs="Times New Roman"/>
          <w:color w:val="auto"/>
        </w:rPr>
      </w:pPr>
      <w:bookmarkStart w:id="45" w:name="_Toc336086575"/>
      <w:r>
        <w:rPr>
          <w:rFonts w:hint="default" w:ascii="Times New Roman" w:hAnsi="Times New Roman" w:cs="Times New Roman"/>
          <w:color w:val="auto"/>
        </w:rPr>
        <w:t>2.1.1 工程特性</w:t>
      </w:r>
    </w:p>
    <w:p>
      <w:pPr>
        <w:pStyle w:val="1102"/>
        <w:rPr>
          <w:rFonts w:hint="default" w:ascii="Times New Roman" w:hAnsi="Times New Roman" w:cs="Times New Roman"/>
          <w:color w:val="auto"/>
        </w:rPr>
      </w:pPr>
      <w:r>
        <w:rPr>
          <w:rFonts w:hint="default" w:ascii="Times New Roman" w:hAnsi="Times New Roman" w:cs="Times New Roman"/>
          <w:color w:val="auto"/>
        </w:rPr>
        <w:t>项目名称：红原县2015年薄弱学校改造（藏文中学）建设项目</w:t>
      </w:r>
    </w:p>
    <w:p>
      <w:pPr>
        <w:pStyle w:val="1102"/>
        <w:rPr>
          <w:rFonts w:hint="default" w:ascii="Times New Roman" w:hAnsi="Times New Roman" w:cs="Times New Roman"/>
          <w:color w:val="auto"/>
        </w:rPr>
      </w:pPr>
      <w:r>
        <w:rPr>
          <w:rFonts w:hint="default" w:ascii="Times New Roman" w:hAnsi="Times New Roman" w:cs="Times New Roman"/>
          <w:color w:val="auto"/>
        </w:rPr>
        <w:t>建设单位：红原县教育局</w:t>
      </w:r>
    </w:p>
    <w:p>
      <w:pPr>
        <w:pStyle w:val="1102"/>
        <w:rPr>
          <w:rFonts w:hint="default" w:ascii="Times New Roman" w:hAnsi="Times New Roman" w:cs="Times New Roman"/>
          <w:color w:val="auto"/>
        </w:rPr>
      </w:pPr>
      <w:r>
        <w:rPr>
          <w:rFonts w:hint="default" w:ascii="Times New Roman" w:hAnsi="Times New Roman" w:cs="Times New Roman"/>
          <w:color w:val="auto"/>
        </w:rPr>
        <w:t>建设地点：四川省阿坝藏族羌族自治州红原县邛溪镇藏文中学内</w:t>
      </w:r>
    </w:p>
    <w:p>
      <w:pPr>
        <w:pStyle w:val="1102"/>
        <w:rPr>
          <w:rFonts w:hint="default" w:ascii="Times New Roman" w:hAnsi="Times New Roman" w:cs="Times New Roman"/>
          <w:color w:val="auto"/>
        </w:rPr>
      </w:pPr>
      <w:r>
        <w:rPr>
          <w:rFonts w:hint="default" w:ascii="Times New Roman" w:hAnsi="Times New Roman" w:cs="Times New Roman"/>
          <w:color w:val="auto"/>
        </w:rPr>
        <w:t>建设性质：新建，建设类项目</w:t>
      </w:r>
    </w:p>
    <w:p>
      <w:pPr>
        <w:pStyle w:val="1102"/>
        <w:rPr>
          <w:rFonts w:hint="default" w:ascii="Times New Roman" w:hAnsi="Times New Roman" w:cs="Times New Roman"/>
          <w:color w:val="auto"/>
        </w:rPr>
      </w:pPr>
      <w:r>
        <w:rPr>
          <w:rFonts w:hint="default" w:ascii="Times New Roman" w:hAnsi="Times New Roman" w:cs="Times New Roman"/>
          <w:color w:val="auto"/>
        </w:rPr>
        <w:t>所属流域：黄河流域</w:t>
      </w:r>
    </w:p>
    <w:p>
      <w:pPr>
        <w:pStyle w:val="1102"/>
        <w:rPr>
          <w:rFonts w:hint="default" w:ascii="Times New Roman" w:hAnsi="Times New Roman" w:cs="Times New Roman"/>
          <w:bCs/>
          <w:color w:val="auto"/>
        </w:rPr>
      </w:pPr>
      <w:r>
        <w:rPr>
          <w:rFonts w:hint="default" w:ascii="Times New Roman" w:hAnsi="Times New Roman" w:cs="Times New Roman"/>
          <w:color w:val="auto"/>
        </w:rPr>
        <w:t>工程占地：项目总占地面积0.</w:t>
      </w:r>
      <w:r>
        <w:rPr>
          <w:rFonts w:hint="default" w:ascii="Times New Roman" w:hAnsi="Times New Roman" w:cs="Times New Roman"/>
          <w:color w:val="auto"/>
          <w:lang w:val="en-US" w:eastAsia="zh-CN"/>
        </w:rPr>
        <w:t>43</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，均为永久占地；占地类型为公共管理与公共服务用地。</w:t>
      </w:r>
    </w:p>
    <w:p>
      <w:pPr>
        <w:pStyle w:val="1102"/>
        <w:rPr>
          <w:rFonts w:hint="default" w:ascii="Times New Roman" w:hAnsi="Times New Roman" w:cs="Times New Roman"/>
          <w:color w:val="auto"/>
        </w:rPr>
      </w:pPr>
      <w:r>
        <w:rPr>
          <w:rFonts w:hint="default" w:ascii="Times New Roman" w:hAnsi="Times New Roman" w:cs="Times New Roman"/>
          <w:color w:val="auto"/>
        </w:rPr>
        <w:t>建设规模：项目净用地面积</w:t>
      </w:r>
      <w:r>
        <w:rPr>
          <w:rFonts w:hint="default" w:ascii="Times New Roman" w:hAnsi="Times New Roman" w:cs="Times New Roman"/>
          <w:color w:val="auto"/>
          <w:lang w:val="en-US" w:eastAsia="zh-CN"/>
        </w:rPr>
        <w:t>4248</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，总建筑面积</w:t>
      </w:r>
      <w:r>
        <w:rPr>
          <w:rFonts w:hint="default" w:ascii="Times New Roman" w:hAnsi="Times New Roman" w:cs="Times New Roman"/>
          <w:bCs/>
          <w:color w:val="auto"/>
        </w:rPr>
        <w:t>1796.03</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；建筑基底面积916.76m</w:t>
      </w:r>
      <w:r>
        <w:rPr>
          <w:rFonts w:hint="default" w:ascii="Times New Roman" w:hAnsi="Times New Roman" w:cs="Times New Roman"/>
          <w:color w:val="auto"/>
          <w:vertAlign w:val="superscript"/>
        </w:rPr>
        <w:t>2</w:t>
      </w:r>
      <w:r>
        <w:rPr>
          <w:rFonts w:hint="default" w:ascii="Times New Roman" w:hAnsi="Times New Roman" w:cs="Times New Roman"/>
          <w:color w:val="auto"/>
        </w:rPr>
        <w:t>，容积率1.95，建筑密度100%。</w:t>
      </w:r>
    </w:p>
    <w:p>
      <w:pPr>
        <w:pStyle w:val="1102"/>
        <w:rPr>
          <w:rFonts w:hint="default" w:ascii="Times New Roman" w:hAnsi="Times New Roman" w:cs="Times New Roman"/>
          <w:color w:val="auto"/>
        </w:rPr>
      </w:pPr>
      <w:r>
        <w:rPr>
          <w:rFonts w:hint="default" w:ascii="Times New Roman" w:hAnsi="Times New Roman" w:cs="Times New Roman"/>
          <w:color w:val="auto"/>
        </w:rPr>
        <w:t>建设内容：主体工程（藏文图书馆）；附属工程（给水系统、排水系统、供配电系统）。</w:t>
      </w:r>
    </w:p>
    <w:p>
      <w:pPr>
        <w:pStyle w:val="1102"/>
        <w:rPr>
          <w:rFonts w:hint="default" w:ascii="Times New Roman" w:hAnsi="Times New Roman" w:cs="Times New Roman"/>
          <w:color w:val="auto"/>
        </w:rPr>
      </w:pPr>
      <w:r>
        <w:rPr>
          <w:rFonts w:hint="default" w:ascii="Times New Roman" w:hAnsi="Times New Roman" w:cs="Times New Roman"/>
          <w:color w:val="auto"/>
        </w:rPr>
        <w:t>工期安排：已于2016年11月动工，2017年11月完工，</w:t>
      </w:r>
      <w:r>
        <w:rPr>
          <w:rFonts w:hint="default" w:ascii="Times New Roman" w:hAnsi="Times New Roman" w:cs="Times New Roman"/>
          <w:color w:val="auto"/>
          <w:lang w:val="en-US" w:eastAsia="zh-CN"/>
        </w:rPr>
        <w:t>总</w:t>
      </w:r>
      <w:r>
        <w:rPr>
          <w:rFonts w:hint="default" w:ascii="Times New Roman" w:hAnsi="Times New Roman" w:cs="Times New Roman"/>
          <w:color w:val="auto"/>
        </w:rPr>
        <w:t>工期13个月。</w:t>
      </w:r>
    </w:p>
    <w:p>
      <w:pPr>
        <w:pStyle w:val="1102"/>
        <w:rPr>
          <w:rFonts w:hint="default" w:ascii="Times New Roman" w:hAnsi="Times New Roman" w:cs="Times New Roman"/>
          <w:color w:val="auto"/>
        </w:rPr>
      </w:pPr>
      <w:bookmarkStart w:id="46" w:name="OLE_LINK4"/>
      <w:r>
        <w:rPr>
          <w:rFonts w:hint="default" w:ascii="Times New Roman" w:hAnsi="Times New Roman" w:cs="Times New Roman"/>
          <w:color w:val="auto"/>
        </w:rPr>
        <w:t>工程总投资：总投资459万元，其中土建费用278万元，资金来源：2015年薄弱学校改造专项资金。</w:t>
      </w:r>
    </w:p>
    <w:p>
      <w:pPr>
        <w:autoSpaceDE w:val="0"/>
        <w:autoSpaceDN w:val="0"/>
        <w:adjustRightInd w:val="0"/>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工程特性及主要技术指标见表2-1。</w:t>
      </w:r>
    </w:p>
    <w:p>
      <w:pPr>
        <w:autoSpaceDE w:val="0"/>
        <w:autoSpaceDN w:val="0"/>
        <w:adjustRightInd w:val="0"/>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表2-1  工程特性及主要技术指标表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8"/>
        <w:gridCol w:w="2170"/>
        <w:gridCol w:w="774"/>
        <w:gridCol w:w="974"/>
        <w:gridCol w:w="776"/>
        <w:gridCol w:w="923"/>
        <w:gridCol w:w="150"/>
        <w:gridCol w:w="931"/>
        <w:gridCol w:w="12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4655" w:type="pct"/>
            <w:gridSpan w:val="8"/>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一、项目的基本情况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序号</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项目情况</w:t>
            </w:r>
          </w:p>
        </w:tc>
        <w:tc>
          <w:tcPr>
            <w:tcW w:w="3383" w:type="pct"/>
            <w:gridSpan w:val="7"/>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272"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项目名称</w:t>
            </w:r>
          </w:p>
        </w:tc>
        <w:tc>
          <w:tcPr>
            <w:tcW w:w="3383" w:type="pct"/>
            <w:gridSpan w:val="7"/>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红原县2015年薄弱学校改造（藏文中学）建设项目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建设地点</w:t>
            </w:r>
          </w:p>
        </w:tc>
        <w:tc>
          <w:tcPr>
            <w:tcW w:w="3383" w:type="pct"/>
            <w:gridSpan w:val="7"/>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红原县邛溪镇藏文中学内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建设单位</w:t>
            </w:r>
          </w:p>
        </w:tc>
        <w:tc>
          <w:tcPr>
            <w:tcW w:w="3383" w:type="pct"/>
            <w:gridSpan w:val="7"/>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红原县教育局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w:t>
            </w:r>
          </w:p>
        </w:tc>
        <w:tc>
          <w:tcPr>
            <w:tcW w:w="1272" w:type="pct"/>
            <w:vAlign w:val="center"/>
          </w:tcPr>
          <w:p>
            <w:pPr>
              <w:adjustRightInd w:val="0"/>
              <w:snapToGrid w:val="0"/>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项目投资及其来源</w:t>
            </w:r>
          </w:p>
        </w:tc>
        <w:tc>
          <w:tcPr>
            <w:tcW w:w="3383" w:type="pct"/>
            <w:gridSpan w:val="7"/>
            <w:vAlign w:val="center"/>
          </w:tcPr>
          <w:p>
            <w:pPr>
              <w:adjustRightInd w:val="0"/>
              <w:snapToGrid w:val="0"/>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总投资459万元，其中土建投资278万元，资金来源：2015年薄弱学校改造专项资金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建设工期</w:t>
            </w:r>
          </w:p>
        </w:tc>
        <w:tc>
          <w:tcPr>
            <w:tcW w:w="3383" w:type="pct"/>
            <w:gridSpan w:val="7"/>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12个月（2016年11月至2017年11月）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4655" w:type="pct"/>
            <w:gridSpan w:val="8"/>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二、项目组成及主要技术指标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1272"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　　　　目</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单  位</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数  量</w:t>
            </w:r>
          </w:p>
        </w:tc>
        <w:tc>
          <w:tcPr>
            <w:tcW w:w="1362" w:type="pct"/>
            <w:gridSpan w:val="3"/>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272"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项目净用地面积</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r>
              <w:rPr>
                <w:rFonts w:hint="default" w:ascii="Times New Roman" w:hAnsi="Times New Roman" w:eastAsia="仿宋_GB2312" w:cs="Times New Roman"/>
                <w:color w:val="auto"/>
                <w:kern w:val="0"/>
                <w:sz w:val="18"/>
                <w:szCs w:val="18"/>
                <w:vertAlign w:val="superscript"/>
              </w:rPr>
              <w:t>2</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916.76</w:t>
            </w:r>
          </w:p>
        </w:tc>
        <w:tc>
          <w:tcPr>
            <w:tcW w:w="1362" w:type="pct"/>
            <w:gridSpan w:val="3"/>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约合1.38亩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建筑基底面积</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vertAlign w:val="superscript"/>
              </w:rPr>
            </w:pPr>
            <w:r>
              <w:rPr>
                <w:rFonts w:hint="default" w:ascii="Times New Roman" w:hAnsi="Times New Roman" w:eastAsia="仿宋_GB2312" w:cs="Times New Roman"/>
                <w:color w:val="auto"/>
                <w:kern w:val="0"/>
                <w:sz w:val="18"/>
                <w:szCs w:val="18"/>
              </w:rPr>
              <w:t>m</w:t>
            </w:r>
            <w:r>
              <w:rPr>
                <w:rFonts w:hint="default" w:ascii="Times New Roman" w:hAnsi="Times New Roman" w:eastAsia="仿宋_GB2312" w:cs="Times New Roman"/>
                <w:color w:val="auto"/>
                <w:kern w:val="0"/>
                <w:sz w:val="18"/>
                <w:szCs w:val="18"/>
                <w:vertAlign w:val="superscript"/>
              </w:rPr>
              <w:t>2</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916.76</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规划总建筑面积</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r>
              <w:rPr>
                <w:rFonts w:hint="default" w:ascii="Times New Roman" w:hAnsi="Times New Roman" w:eastAsia="仿宋_GB2312" w:cs="Times New Roman"/>
                <w:color w:val="auto"/>
                <w:kern w:val="0"/>
                <w:sz w:val="18"/>
                <w:szCs w:val="18"/>
                <w:vertAlign w:val="superscript"/>
              </w:rPr>
              <w:t>2</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1796.03</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藏文图书建筑面积</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r>
              <w:rPr>
                <w:rFonts w:hint="default" w:ascii="Times New Roman" w:hAnsi="Times New Roman" w:eastAsia="仿宋_GB2312" w:cs="Times New Roman"/>
                <w:color w:val="auto"/>
                <w:kern w:val="0"/>
                <w:sz w:val="18"/>
                <w:szCs w:val="18"/>
                <w:vertAlign w:val="superscript"/>
              </w:rPr>
              <w:t>2</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1796.03</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w:t>
            </w:r>
          </w:p>
        </w:tc>
        <w:tc>
          <w:tcPr>
            <w:tcW w:w="127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建筑密度</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100.00</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w:t>
            </w:r>
          </w:p>
        </w:tc>
        <w:tc>
          <w:tcPr>
            <w:tcW w:w="1272" w:type="pct"/>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容积率</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w:t>
            </w:r>
          </w:p>
        </w:tc>
        <w:tc>
          <w:tcPr>
            <w:tcW w:w="996" w:type="pct"/>
            <w:gridSpan w:val="2"/>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1.95</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6</w:t>
            </w:r>
          </w:p>
        </w:tc>
        <w:tc>
          <w:tcPr>
            <w:tcW w:w="1272" w:type="pct"/>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绿地率</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7</w:t>
            </w:r>
          </w:p>
        </w:tc>
        <w:tc>
          <w:tcPr>
            <w:tcW w:w="1272" w:type="pct"/>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停车位</w:t>
            </w:r>
          </w:p>
        </w:tc>
        <w:tc>
          <w:tcPr>
            <w:tcW w:w="1025"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个</w:t>
            </w:r>
          </w:p>
        </w:tc>
        <w:tc>
          <w:tcPr>
            <w:tcW w:w="99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w:t>
            </w:r>
          </w:p>
        </w:tc>
        <w:tc>
          <w:tcPr>
            <w:tcW w:w="1362"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4655" w:type="pct"/>
            <w:gridSpan w:val="8"/>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三、项目土石方工程量（万m</w:t>
            </w:r>
            <w:r>
              <w:rPr>
                <w:rFonts w:hint="default" w:ascii="Times New Roman" w:hAnsi="Times New Roman" w:eastAsia="仿宋_GB2312" w:cs="Times New Roman"/>
                <w:color w:val="auto"/>
                <w:kern w:val="0"/>
                <w:sz w:val="18"/>
                <w:szCs w:val="18"/>
                <w:vertAlign w:val="superscript"/>
              </w:rPr>
              <w:t>3</w:t>
            </w:r>
            <w:r>
              <w:rPr>
                <w:rFonts w:hint="default" w:ascii="Times New Roman" w:hAnsi="Times New Roman" w:eastAsia="仿宋_GB2312"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序号</w:t>
            </w:r>
          </w:p>
        </w:tc>
        <w:tc>
          <w:tcPr>
            <w:tcW w:w="1726" w:type="pct"/>
            <w:gridSpan w:val="2"/>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项目组成</w:t>
            </w:r>
          </w:p>
        </w:tc>
        <w:tc>
          <w:tcPr>
            <w:tcW w:w="10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挖方</w:t>
            </w:r>
          </w:p>
        </w:tc>
        <w:tc>
          <w:tcPr>
            <w:tcW w:w="629"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填方</w:t>
            </w:r>
          </w:p>
        </w:tc>
        <w:tc>
          <w:tcPr>
            <w:tcW w:w="54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外借</w:t>
            </w:r>
          </w:p>
        </w:tc>
        <w:tc>
          <w:tcPr>
            <w:tcW w:w="728" w:type="pct"/>
            <w:vAlign w:val="center"/>
          </w:tcPr>
          <w:p>
            <w:pPr>
              <w:widowControl/>
              <w:spacing w:line="240" w:lineRule="auto"/>
              <w:ind w:firstLineChars="111"/>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余方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7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w:t>
            </w:r>
          </w:p>
        </w:tc>
        <w:tc>
          <w:tcPr>
            <w:tcW w:w="10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0.10</w:t>
            </w:r>
          </w:p>
        </w:tc>
        <w:tc>
          <w:tcPr>
            <w:tcW w:w="629"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0.10</w:t>
            </w:r>
          </w:p>
        </w:tc>
        <w:tc>
          <w:tcPr>
            <w:tcW w:w="54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2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7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附属工程</w:t>
            </w:r>
          </w:p>
        </w:tc>
        <w:tc>
          <w:tcPr>
            <w:tcW w:w="10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0.05</w:t>
            </w:r>
          </w:p>
        </w:tc>
        <w:tc>
          <w:tcPr>
            <w:tcW w:w="629"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0.05</w:t>
            </w:r>
          </w:p>
        </w:tc>
        <w:tc>
          <w:tcPr>
            <w:tcW w:w="54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2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2071" w:type="pct"/>
            <w:gridSpan w:val="3"/>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102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1.95</w:t>
            </w:r>
          </w:p>
        </w:tc>
        <w:tc>
          <w:tcPr>
            <w:tcW w:w="629"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0.15</w:t>
            </w:r>
          </w:p>
        </w:tc>
        <w:tc>
          <w:tcPr>
            <w:tcW w:w="54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2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bl>
    <w:p>
      <w:pPr>
        <w:pStyle w:val="1102"/>
        <w:rPr>
          <w:rFonts w:hint="default" w:ascii="Times New Roman" w:hAnsi="Times New Roman" w:cs="Times New Roman"/>
          <w:color w:val="auto"/>
        </w:rPr>
      </w:pPr>
    </w:p>
    <w:bookmarkEnd w:id="46"/>
    <w:p>
      <w:pPr>
        <w:pStyle w:val="4"/>
        <w:spacing w:before="156" w:beforeLines="50"/>
        <w:rPr>
          <w:rFonts w:hint="default" w:ascii="Times New Roman" w:hAnsi="Times New Roman" w:cs="Times New Roman"/>
          <w:color w:val="auto"/>
        </w:rPr>
      </w:pPr>
      <w:r>
        <w:rPr>
          <w:rFonts w:hint="default" w:ascii="Times New Roman" w:hAnsi="Times New Roman" w:cs="Times New Roman"/>
          <w:color w:val="auto"/>
        </w:rPr>
        <w:t>2.1.2 地理位置</w:t>
      </w:r>
    </w:p>
    <w:p>
      <w:pPr>
        <w:autoSpaceDE w:val="0"/>
        <w:autoSpaceDN w:val="0"/>
        <w:adjustRightInd w:val="0"/>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项目位于四川省阿坝藏族羌族自治州红原县邛溪镇藏文中学内，项目中心点地理坐标：102°32′25.08″E，32°47′9.37″N；</w:t>
      </w:r>
      <w:r>
        <w:rPr>
          <w:rFonts w:hint="default" w:ascii="Times New Roman" w:hAnsi="Times New Roman" w:eastAsia="仿宋_GB2312" w:cs="Times New Roman"/>
          <w:color w:val="auto"/>
          <w:kern w:val="0"/>
          <w:lang w:val="en-US" w:eastAsia="zh-CN"/>
        </w:rPr>
        <w:t>红原藏文中学西侧有降熙中街，南侧为银珠东街，东侧为霞穹中街，北侧为阳嘎中街；</w:t>
      </w:r>
      <w:r>
        <w:rPr>
          <w:rFonts w:hint="default" w:ascii="Times New Roman" w:hAnsi="Times New Roman" w:eastAsia="仿宋_GB2312" w:cs="Times New Roman"/>
          <w:color w:val="auto"/>
          <w:kern w:val="0"/>
        </w:rPr>
        <w:t>见图2.1项目地理位置图。</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表2-2   项目区主要拐点坐标一览表</w:t>
      </w:r>
    </w:p>
    <w:tbl>
      <w:tblPr>
        <w:tblStyle w:val="6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79"/>
        <w:gridCol w:w="2210"/>
        <w:gridCol w:w="3160"/>
        <w:gridCol w:w="15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6" w:type="pct"/>
            <w:tcBorders>
              <w:top w:val="single" w:color="auto" w:sz="12" w:space="0"/>
              <w:left w:val="single" w:color="auto" w:sz="12" w:space="0"/>
              <w:bottom w:val="single" w:color="auto" w:sz="6" w:space="0"/>
              <w:right w:val="single" w:color="auto" w:sz="6" w:space="0"/>
            </w:tcBorders>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序号</w:t>
            </w:r>
          </w:p>
        </w:tc>
        <w:tc>
          <w:tcPr>
            <w:tcW w:w="1296" w:type="pct"/>
            <w:tcBorders>
              <w:top w:val="single" w:color="auto" w:sz="12"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E</w:t>
            </w:r>
          </w:p>
        </w:tc>
        <w:tc>
          <w:tcPr>
            <w:tcW w:w="1853" w:type="pct"/>
            <w:tcBorders>
              <w:top w:val="single" w:color="auto" w:sz="12"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N</w:t>
            </w:r>
          </w:p>
        </w:tc>
        <w:tc>
          <w:tcPr>
            <w:tcW w:w="925" w:type="pct"/>
            <w:tcBorders>
              <w:top w:val="single" w:color="auto" w:sz="12" w:space="0"/>
              <w:left w:val="single" w:color="auto" w:sz="6" w:space="0"/>
              <w:bottom w:val="single" w:color="auto" w:sz="6" w:space="0"/>
              <w:right w:val="single" w:color="auto" w:sz="12" w:space="0"/>
            </w:tcBorders>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6"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1296"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102°32′25.32″</w:t>
            </w:r>
          </w:p>
        </w:tc>
        <w:tc>
          <w:tcPr>
            <w:tcW w:w="1853"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32°47′10.03″</w:t>
            </w:r>
          </w:p>
        </w:tc>
        <w:tc>
          <w:tcPr>
            <w:tcW w:w="925" w:type="pct"/>
            <w:tcBorders>
              <w:top w:val="single" w:color="auto" w:sz="6" w:space="0"/>
              <w:left w:val="single" w:color="auto" w:sz="6" w:space="0"/>
              <w:bottom w:val="single" w:color="auto" w:sz="6" w:space="0"/>
              <w:right w:val="single" w:color="auto" w:sz="12" w:space="0"/>
            </w:tcBorders>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拐点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6"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1296"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102°32′25.71″</w:t>
            </w:r>
          </w:p>
        </w:tc>
        <w:tc>
          <w:tcPr>
            <w:tcW w:w="1853"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32°47′9.80″</w:t>
            </w:r>
          </w:p>
        </w:tc>
        <w:tc>
          <w:tcPr>
            <w:tcW w:w="925" w:type="pct"/>
            <w:tcBorders>
              <w:top w:val="single" w:color="auto" w:sz="6" w:space="0"/>
              <w:left w:val="single" w:color="auto" w:sz="6" w:space="0"/>
              <w:bottom w:val="single" w:color="auto" w:sz="6" w:space="0"/>
              <w:right w:val="single" w:color="auto" w:sz="12" w:space="0"/>
            </w:tcBorders>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拐点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6"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w:t>
            </w:r>
          </w:p>
        </w:tc>
        <w:tc>
          <w:tcPr>
            <w:tcW w:w="1296"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102°32′24.98″</w:t>
            </w:r>
          </w:p>
        </w:tc>
        <w:tc>
          <w:tcPr>
            <w:tcW w:w="1853"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32°47′8.71″</w:t>
            </w:r>
          </w:p>
        </w:tc>
        <w:tc>
          <w:tcPr>
            <w:tcW w:w="925" w:type="pct"/>
            <w:tcBorders>
              <w:top w:val="single" w:color="auto" w:sz="6" w:space="0"/>
              <w:left w:val="single" w:color="auto" w:sz="6" w:space="0"/>
              <w:bottom w:val="single" w:color="auto" w:sz="6" w:space="0"/>
              <w:right w:val="single" w:color="auto" w:sz="12" w:space="0"/>
            </w:tcBorders>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拐点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6" w:type="pct"/>
            <w:tcBorders>
              <w:top w:val="single" w:color="auto" w:sz="6" w:space="0"/>
              <w:left w:val="single" w:color="auto" w:sz="12" w:space="0"/>
              <w:bottom w:val="single" w:color="auto" w:sz="6" w:space="0"/>
              <w:right w:val="single" w:color="auto" w:sz="6"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w:t>
            </w:r>
          </w:p>
        </w:tc>
        <w:tc>
          <w:tcPr>
            <w:tcW w:w="1296"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102°32′24.24″</w:t>
            </w:r>
          </w:p>
        </w:tc>
        <w:tc>
          <w:tcPr>
            <w:tcW w:w="1853" w:type="pct"/>
            <w:tcBorders>
              <w:top w:val="single" w:color="auto" w:sz="6" w:space="0"/>
              <w:left w:val="single" w:color="auto" w:sz="6" w:space="0"/>
              <w:bottom w:val="single" w:color="auto" w:sz="6"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32°47′9.10″</w:t>
            </w:r>
          </w:p>
        </w:tc>
        <w:tc>
          <w:tcPr>
            <w:tcW w:w="925" w:type="pct"/>
            <w:tcBorders>
              <w:top w:val="single" w:color="auto" w:sz="6" w:space="0"/>
              <w:left w:val="single" w:color="auto" w:sz="6" w:space="0"/>
              <w:bottom w:val="single" w:color="auto" w:sz="6" w:space="0"/>
              <w:right w:val="single" w:color="auto" w:sz="12" w:space="0"/>
            </w:tcBorders>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拐点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6" w:type="pct"/>
            <w:tcBorders>
              <w:top w:val="single" w:color="auto" w:sz="6" w:space="0"/>
              <w:left w:val="single" w:color="auto" w:sz="12" w:space="0"/>
              <w:bottom w:val="single" w:color="auto" w:sz="12" w:space="0"/>
              <w:right w:val="single" w:color="auto" w:sz="6"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w:t>
            </w:r>
          </w:p>
        </w:tc>
        <w:tc>
          <w:tcPr>
            <w:tcW w:w="1296" w:type="pct"/>
            <w:tcBorders>
              <w:top w:val="single" w:color="auto" w:sz="6" w:space="0"/>
              <w:left w:val="single" w:color="auto" w:sz="6" w:space="0"/>
              <w:bottom w:val="single" w:color="auto" w:sz="12"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102°32′24.13″</w:t>
            </w:r>
          </w:p>
        </w:tc>
        <w:tc>
          <w:tcPr>
            <w:tcW w:w="1853" w:type="pct"/>
            <w:tcBorders>
              <w:top w:val="single" w:color="auto" w:sz="6" w:space="0"/>
              <w:left w:val="single" w:color="auto" w:sz="6" w:space="0"/>
              <w:bottom w:val="single" w:color="auto" w:sz="12" w:space="0"/>
              <w:right w:val="single" w:color="auto" w:sz="6" w:space="0"/>
            </w:tcBorders>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32°47′9.37″</w:t>
            </w:r>
          </w:p>
        </w:tc>
        <w:tc>
          <w:tcPr>
            <w:tcW w:w="925" w:type="pct"/>
            <w:tcBorders>
              <w:top w:val="single" w:color="auto" w:sz="6" w:space="0"/>
              <w:left w:val="single" w:color="auto" w:sz="6" w:space="0"/>
              <w:bottom w:val="single" w:color="auto" w:sz="12" w:space="0"/>
              <w:right w:val="single" w:color="auto" w:sz="12" w:space="0"/>
            </w:tcBorders>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拐点</w:t>
            </w:r>
          </w:p>
        </w:tc>
      </w:tr>
    </w:tbl>
    <w:p>
      <w:pPr>
        <w:spacing w:line="240" w:lineRule="auto"/>
        <w:ind w:firstLine="0" w:firstLineChars="0"/>
        <w:jc w:val="center"/>
        <w:rPr>
          <w:rFonts w:hint="default" w:ascii="Times New Roman" w:hAnsi="Times New Roman" w:cs="Times New Roman"/>
          <w:color w:val="auto"/>
        </w:rPr>
      </w:pPr>
    </w:p>
    <w:p>
      <w:pPr>
        <w:spacing w:line="240" w:lineRule="auto"/>
        <w:ind w:firstLine="0" w:firstLineChars="0"/>
        <w:jc w:val="center"/>
        <w:rPr>
          <w:rFonts w:hint="default" w:ascii="Times New Roman" w:hAnsi="Times New Roman" w:eastAsia="仿宋_GB2312"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2001280" behindDoc="0" locked="0" layoutInCell="1" allowOverlap="1">
                <wp:simplePos x="0" y="0"/>
                <wp:positionH relativeFrom="column">
                  <wp:posOffset>890905</wp:posOffset>
                </wp:positionH>
                <wp:positionV relativeFrom="paragraph">
                  <wp:posOffset>1104900</wp:posOffset>
                </wp:positionV>
                <wp:extent cx="241300" cy="33655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241300" cy="33655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15pt;margin-top:87pt;height:26.5pt;width:19pt;z-index:252001280;mso-width-relative:page;mso-height-relative:page;" filled="f" stroked="t" coordsize="21600,21600" o:gfxdata="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USWMtsAAAALAQAADwAAAAAAAAABACAA&#10;AAAiAAAAZHJzL2Rvd25yZXYueG1sUEsBAhQAFAAAAAgAh07iQJ2ZAyxDAgAAbAQAAA4AAAAAAAAA&#10;AQAgAAAAKgEAAGRycy9lMm9Eb2MueG1sUEsFBgAAAAAGAAYAWQEAAN8FA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5</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99232" behindDoc="0" locked="0" layoutInCell="1" allowOverlap="1">
                <wp:simplePos x="0" y="0"/>
                <wp:positionH relativeFrom="column">
                  <wp:posOffset>1081405</wp:posOffset>
                </wp:positionH>
                <wp:positionV relativeFrom="paragraph">
                  <wp:posOffset>1625600</wp:posOffset>
                </wp:positionV>
                <wp:extent cx="241300" cy="28575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241300" cy="28575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15pt;margin-top:128pt;height:22.5pt;width:19pt;z-index:251999232;mso-width-relative:page;mso-height-relative:page;" filled="f" stroked="t" coordsize="21600,21600" o:gfxdata="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tQ0/S2wAAAAsBAAAPAAAAAAAAAAEA&#10;IAAAACIAAABkcnMvZG93bnJldi54bWxQSwECFAAUAAAACACHTuJASHHvEkUCAABsBAAADgAAAAAA&#10;AAABACAAAAAqAQAAZHJzL2Uyb0RvYy54bWxQSwUGAAAAAAYABgBZAQAA4QU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4</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95136" behindDoc="0" locked="0" layoutInCell="1" allowOverlap="1">
                <wp:simplePos x="0" y="0"/>
                <wp:positionH relativeFrom="column">
                  <wp:posOffset>2757805</wp:posOffset>
                </wp:positionH>
                <wp:positionV relativeFrom="paragraph">
                  <wp:posOffset>762000</wp:posOffset>
                </wp:positionV>
                <wp:extent cx="241300" cy="3429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241300" cy="34290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15pt;margin-top:60pt;height:27pt;width:19pt;z-index:251995136;mso-width-relative:page;mso-height-relative:page;" filled="f" stroked="t" coordsize="21600,21600" o:gfxdata="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WIkdoAAAALAQAADwAAAAAAAAABACAA&#10;AAAiAAAAZHJzL2Rvd25yZXYueG1sUEsBAhQAFAAAAAgAh07iQKJWjvtEAgAAbAQAAA4AAAAAAAAA&#10;AQAgAAAAKQEAAGRycy9lMm9Eb2MueG1sUEsFBgAAAAAGAAYAWQEAAN8FA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2</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97184" behindDoc="0" locked="0" layoutInCell="1" allowOverlap="1">
                <wp:simplePos x="0" y="0"/>
                <wp:positionH relativeFrom="column">
                  <wp:posOffset>1957705</wp:posOffset>
                </wp:positionH>
                <wp:positionV relativeFrom="paragraph">
                  <wp:posOffset>1911350</wp:posOffset>
                </wp:positionV>
                <wp:extent cx="241300" cy="3302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241300" cy="33020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15pt;margin-top:150.5pt;height:26pt;width:19pt;z-index:251997184;mso-width-relative:page;mso-height-relative:page;" filled="f" stroked="t" coordsize="21600,21600" o:gfxdata="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wBkXL2wAAAAsBAAAPAAAAAAAAAAEAIAAA&#10;ACIAAABkcnMvZG93bnJldi54bWxQSwECFAAUAAAACACHTuJAR7/ia0ICAABsBAAADgAAAAAAAAAB&#10;ACAAAAAqAQAAZHJzL2Uyb0RvYy54bWxQSwUGAAAAAAYABgBZAQAA3gU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3</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993088" behindDoc="0" locked="0" layoutInCell="1" allowOverlap="1">
                <wp:simplePos x="0" y="0"/>
                <wp:positionH relativeFrom="column">
                  <wp:posOffset>2199005</wp:posOffset>
                </wp:positionH>
                <wp:positionV relativeFrom="paragraph">
                  <wp:posOffset>323850</wp:posOffset>
                </wp:positionV>
                <wp:extent cx="241300" cy="28575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241300" cy="285750"/>
                        </a:xfrm>
                        <a:prstGeom prst="rect">
                          <a:avLst/>
                        </a:prstGeom>
                        <a:noFill/>
                        <a:ln w="6350">
                          <a:solidFill>
                            <a:prstClr val="black">
                              <a:alpha val="0"/>
                            </a:prstClr>
                          </a:solidFill>
                        </a:ln>
                        <a:effectLst/>
                      </wps:spPr>
                      <wps:style>
                        <a:lnRef idx="0">
                          <a:schemeClr val="accent1"/>
                        </a:lnRef>
                        <a:fillRef idx="0">
                          <a:schemeClr val="accent1"/>
                        </a:fillRef>
                        <a:effectRef idx="0">
                          <a:schemeClr val="accent1"/>
                        </a:effectRef>
                        <a:fontRef idx="minor">
                          <a:schemeClr val="dk1"/>
                        </a:fontRef>
                      </wps:style>
                      <wps:txbx>
                        <w:txbxContent>
                          <w:p>
                            <w:pPr>
                              <w:ind w:firstLine="0" w:firstLineChars="0"/>
                              <w:rPr>
                                <w:color w:val="FF0000"/>
                              </w:rPr>
                            </w:pPr>
                            <w:r>
                              <w:rPr>
                                <w:rFonts w:hint="eastAsia"/>
                                <w:color w:val="FF0000"/>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15pt;margin-top:25.5pt;height:22.5pt;width:19pt;z-index:251993088;mso-width-relative:page;mso-height-relative:page;" filled="f" stroked="t" coordsize="21600,21600" o:gfxdata="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sA9EtoAAAAJAQAADwAAAAAAAAABACAA&#10;AAAiAAAAZHJzL2Rvd25yZXYueG1sUEsBAhQAFAAAAAgAh07iQCgx56REAgAAbAQAAA4AAAAAAAAA&#10;AQAgAAAAKQEAAGRycy9lMm9Eb2MueG1sUEsFBgAAAAAGAAYAWQEAAN8FAAAAAA==&#10;">
                <v:fill on="f" focussize="0,0"/>
                <v:stroke weight="0.5pt" color="#000000 [3204]" opacity="0f" joinstyle="round"/>
                <v:imagedata o:title=""/>
                <o:lock v:ext="edit" aspectratio="f"/>
                <v:textbox>
                  <w:txbxContent>
                    <w:p>
                      <w:pPr>
                        <w:ind w:firstLine="0" w:firstLineChars="0"/>
                        <w:rPr>
                          <w:color w:val="FF0000"/>
                        </w:rPr>
                      </w:pPr>
                      <w:r>
                        <w:rPr>
                          <w:rFonts w:hint="eastAsia"/>
                          <w:color w:val="FF0000"/>
                        </w:rPr>
                        <w:t>1</w:t>
                      </w:r>
                    </w:p>
                  </w:txbxContent>
                </v:textbox>
              </v:shape>
            </w:pict>
          </mc:Fallback>
        </mc:AlternateContent>
      </w:r>
      <w:r>
        <w:rPr>
          <w:rFonts w:hint="default" w:ascii="Times New Roman" w:hAnsi="Times New Roman" w:cs="Times New Roman"/>
          <w:color w:val="auto"/>
        </w:rPr>
        <w:drawing>
          <wp:inline distT="0" distB="0" distL="0" distR="0">
            <wp:extent cx="5278120" cy="328422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5"/>
                    <a:stretch>
                      <a:fillRect/>
                    </a:stretch>
                  </pic:blipFill>
                  <pic:spPr>
                    <a:xfrm>
                      <a:off x="0" y="0"/>
                      <a:ext cx="5278120" cy="3284774"/>
                    </a:xfrm>
                    <a:prstGeom prst="rect">
                      <a:avLst/>
                    </a:prstGeom>
                  </pic:spPr>
                </pic:pic>
              </a:graphicData>
            </a:graphic>
          </wp:inline>
        </w:drawing>
      </w:r>
    </w:p>
    <w:p>
      <w:pPr>
        <w:spacing w:line="240" w:lineRule="auto"/>
        <w:ind w:firstLine="0" w:firstLineChars="0"/>
        <w:jc w:val="center"/>
        <w:rPr>
          <w:rFonts w:hint="default" w:ascii="Times New Roman" w:hAnsi="Times New Roman" w:eastAsia="仿宋_GB2312" w:cs="Times New Roman"/>
          <w:b/>
          <w:color w:val="auto"/>
          <w:sz w:val="21"/>
        </w:rPr>
      </w:pPr>
      <w:r>
        <w:rPr>
          <w:rFonts w:hint="default" w:ascii="Times New Roman" w:hAnsi="Times New Roman" w:eastAsia="仿宋_GB2312" w:cs="Times New Roman"/>
          <w:b/>
          <w:color w:val="auto"/>
          <w:sz w:val="21"/>
        </w:rPr>
        <w:t>图2.1   项目地理位置示意图</w:t>
      </w:r>
    </w:p>
    <w:p>
      <w:pPr>
        <w:pStyle w:val="4"/>
        <w:spacing w:before="156" w:beforeLines="50"/>
        <w:rPr>
          <w:rFonts w:hint="default" w:ascii="Times New Roman" w:hAnsi="Times New Roman" w:cs="Times New Roman"/>
          <w:color w:val="auto"/>
        </w:rPr>
      </w:pPr>
      <w:r>
        <w:rPr>
          <w:rFonts w:hint="default" w:ascii="Times New Roman" w:hAnsi="Times New Roman" w:cs="Times New Roman"/>
          <w:color w:val="auto"/>
        </w:rPr>
        <w:t>2.1.3项目建设现状及水土保持开展情况介绍</w:t>
      </w:r>
    </w:p>
    <w:p>
      <w:pPr>
        <w:pStyle w:val="1102"/>
        <w:rPr>
          <w:rFonts w:hint="default" w:ascii="Times New Roman" w:hAnsi="Times New Roman" w:cs="Times New Roman"/>
          <w:color w:val="auto"/>
        </w:rPr>
      </w:pPr>
      <w:r>
        <w:rPr>
          <w:rFonts w:hint="default" w:ascii="Times New Roman" w:hAnsi="Times New Roman" w:cs="Times New Roman"/>
          <w:color w:val="auto"/>
          <w:lang w:val="en-US" w:eastAsia="zh-CN"/>
        </w:rPr>
        <w:t>本</w:t>
      </w:r>
      <w:r>
        <w:rPr>
          <w:rFonts w:hint="default" w:ascii="Times New Roman" w:hAnsi="Times New Roman" w:cs="Times New Roman"/>
          <w:color w:val="auto"/>
        </w:rPr>
        <w:t>项目</w:t>
      </w:r>
      <w:r>
        <w:rPr>
          <w:rFonts w:hint="default" w:ascii="Times New Roman" w:hAnsi="Times New Roman" w:cs="Times New Roman"/>
          <w:color w:val="auto"/>
          <w:lang w:val="en-US" w:eastAsia="zh-CN"/>
        </w:rPr>
        <w:t>于2016年11月动工建设，</w:t>
      </w:r>
      <w:r>
        <w:rPr>
          <w:rFonts w:hint="default" w:ascii="Times New Roman" w:hAnsi="Times New Roman" w:cs="Times New Roman"/>
          <w:color w:val="auto"/>
        </w:rPr>
        <w:t>于2017年11月完工</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总工期13个月</w:t>
      </w:r>
      <w:r>
        <w:rPr>
          <w:rFonts w:hint="default" w:ascii="Times New Roman" w:hAnsi="Times New Roman" w:cs="Times New Roman"/>
          <w:color w:val="auto"/>
        </w:rPr>
        <w:t>；</w:t>
      </w:r>
      <w:r>
        <w:rPr>
          <w:rFonts w:hint="default" w:ascii="Times New Roman" w:hAnsi="Times New Roman" w:cs="Times New Roman"/>
          <w:color w:val="auto"/>
          <w:lang w:val="en-US" w:eastAsia="zh-CN"/>
        </w:rPr>
        <w:t>根据施工图设计及项目立项文件，</w:t>
      </w:r>
      <w:r>
        <w:rPr>
          <w:rFonts w:hint="default" w:ascii="Times New Roman" w:hAnsi="Times New Roman" w:cs="Times New Roman"/>
          <w:color w:val="auto"/>
        </w:rPr>
        <w:t>项目仅建设1栋藏文图书馆，工程规模小，土建工程工期较短，且土建施工避开雨季；主体工程仅针对基础挖方实施有防雨布遮盖措施，临时遮盖面积500m</w:t>
      </w:r>
      <w:r>
        <w:rPr>
          <w:rFonts w:hint="default" w:ascii="Times New Roman" w:hAnsi="Times New Roman" w:cs="Times New Roman"/>
          <w:color w:val="auto"/>
          <w:vertAlign w:val="superscript"/>
        </w:rPr>
        <w:t>2</w:t>
      </w:r>
      <w:r>
        <w:rPr>
          <w:rFonts w:hint="default" w:ascii="Times New Roman" w:hAnsi="Times New Roman" w:cs="Times New Roman"/>
          <w:color w:val="auto"/>
          <w:vertAlign w:val="baseline"/>
          <w:lang w:eastAsia="zh-CN"/>
        </w:rPr>
        <w:t>；</w:t>
      </w:r>
      <w:r>
        <w:rPr>
          <w:rFonts w:hint="default" w:ascii="Times New Roman" w:hAnsi="Times New Roman" w:cs="Times New Roman"/>
          <w:color w:val="auto"/>
          <w:vertAlign w:val="baseline"/>
          <w:lang w:val="en-US" w:eastAsia="zh-CN"/>
        </w:rPr>
        <w:t>场地内综合管线沟槽开挖、回填期间主体工程实施有防雨布遮盖措施，临时遮盖面积约300m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vertAlign w:val="baseline"/>
          <w:lang w:val="en-US" w:eastAsia="zh-CN"/>
        </w:rPr>
        <w:t>；主体工程实施的防雨布遮盖满足施工期水土流失防止要求。</w:t>
      </w:r>
      <w:r>
        <w:rPr>
          <w:rFonts w:hint="default" w:ascii="Times New Roman" w:hAnsi="Times New Roman" w:cs="Times New Roman"/>
          <w:color w:val="auto"/>
        </w:rPr>
        <w:t>参建单位：设计单位四川构想建筑工程设计有限公司、施工单位四川成果建设工程有限公司、监理单位四川鼎立建设项目管理有限公司。</w:t>
      </w:r>
    </w:p>
    <w:p>
      <w:pPr>
        <w:pStyle w:val="1102"/>
        <w:rPr>
          <w:rFonts w:hint="default" w:ascii="Times New Roman" w:hAnsi="Times New Roman" w:cs="Times New Roman"/>
          <w:color w:val="auto"/>
          <w:kern w:val="0"/>
        </w:rPr>
      </w:pPr>
      <w:r>
        <w:rPr>
          <w:rFonts w:hint="default" w:ascii="Times New Roman" w:hAnsi="Times New Roman" w:cs="Times New Roman"/>
          <w:color w:val="auto"/>
          <w:lang w:val="en-US" w:eastAsia="zh-CN"/>
        </w:rPr>
        <w:t>主体工程于</w:t>
      </w:r>
      <w:r>
        <w:rPr>
          <w:rFonts w:hint="default" w:ascii="Times New Roman" w:hAnsi="Times New Roman" w:eastAsia="仿宋_GB2312" w:cs="Times New Roman"/>
          <w:color w:val="auto"/>
        </w:rPr>
        <w:t>2017年7月～9月</w:t>
      </w:r>
      <w:r>
        <w:rPr>
          <w:rFonts w:hint="default" w:ascii="Times New Roman" w:hAnsi="Times New Roman" w:cs="Times New Roman"/>
          <w:color w:val="auto"/>
          <w:kern w:val="0"/>
          <w:lang w:val="en-US" w:eastAsia="zh-CN"/>
        </w:rPr>
        <w:t>在</w:t>
      </w:r>
      <w:r>
        <w:rPr>
          <w:rFonts w:hint="default" w:ascii="Times New Roman" w:hAnsi="Times New Roman" w:cs="Times New Roman"/>
          <w:color w:val="auto"/>
          <w:kern w:val="0"/>
        </w:rPr>
        <w:t>建构筑物周围实施有散水暗沟123.02m（散水暗沟净断面：0.30m宽×0.45m深，采用150mm厚C20混凝土结构</w:t>
      </w:r>
      <w:r>
        <w:rPr>
          <w:rFonts w:hint="default" w:ascii="Times New Roman" w:hAnsi="Times New Roman" w:cs="Times New Roman"/>
          <w:color w:val="auto"/>
        </w:rPr>
        <w:t>，成品盖板）</w:t>
      </w:r>
      <w:r>
        <w:rPr>
          <w:rFonts w:hint="default" w:ascii="Times New Roman" w:hAnsi="Times New Roman" w:cs="Times New Roman"/>
          <w:color w:val="auto"/>
          <w:kern w:val="0"/>
        </w:rPr>
        <w:t>，屋面雨水及建筑周围的径流经散水暗沟收集后排入市政雨水检查井；厂区地表径流以散水暗沟的方式排泄，具有较好的水土保持功能。</w:t>
      </w:r>
    </w:p>
    <w:p>
      <w:pPr>
        <w:pStyle w:val="1102"/>
        <w:rPr>
          <w:rFonts w:hint="default" w:ascii="Times New Roman" w:hAnsi="Times New Roman" w:eastAsia="仿宋_GB2312" w:cs="Times New Roman"/>
          <w:color w:val="auto"/>
          <w:kern w:val="0"/>
          <w:lang w:val="en-US" w:eastAsia="zh-CN"/>
        </w:rPr>
      </w:pPr>
      <w:r>
        <w:rPr>
          <w:rFonts w:hint="default" w:ascii="Times New Roman" w:hAnsi="Times New Roman" w:cs="Times New Roman"/>
          <w:color w:val="auto"/>
        </w:rPr>
        <w:t>根据2020年7月份现场踏勘、调查，</w:t>
      </w:r>
      <w:r>
        <w:rPr>
          <w:rFonts w:hint="default" w:ascii="Times New Roman" w:hAnsi="Times New Roman" w:cs="Times New Roman"/>
          <w:color w:val="auto"/>
          <w:lang w:val="en-US" w:eastAsia="zh-CN"/>
        </w:rPr>
        <w:t>建筑工程已完工，且周围场地均已硬化，潜在土壤流失量较小；方案不再新增水土保持措施。</w:t>
      </w:r>
    </w:p>
    <w:p>
      <w:pPr>
        <w:autoSpaceDE w:val="0"/>
        <w:autoSpaceDN w:val="0"/>
        <w:adjustRightInd w:val="0"/>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表2-3    项目建设进度及相关水保措施一览表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9"/>
        <w:gridCol w:w="1701"/>
        <w:gridCol w:w="2553"/>
        <w:gridCol w:w="1840"/>
        <w:gridCol w:w="14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562"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建设区域</w:t>
            </w:r>
          </w:p>
        </w:tc>
        <w:tc>
          <w:tcPr>
            <w:tcW w:w="997"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临时防护措施情况</w:t>
            </w:r>
          </w:p>
        </w:tc>
        <w:tc>
          <w:tcPr>
            <w:tcW w:w="1496"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工程措施实施情况</w:t>
            </w:r>
          </w:p>
        </w:tc>
        <w:tc>
          <w:tcPr>
            <w:tcW w:w="1078"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植物措施实施情况</w:t>
            </w:r>
          </w:p>
        </w:tc>
        <w:tc>
          <w:tcPr>
            <w:tcW w:w="864"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形象进度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建筑工程</w:t>
            </w:r>
          </w:p>
        </w:tc>
        <w:tc>
          <w:tcPr>
            <w:tcW w:w="99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vertAlign w:val="baseline"/>
                <w:lang w:val="en-US" w:eastAsia="zh-CN"/>
              </w:rPr>
            </w:pPr>
            <w:r>
              <w:rPr>
                <w:rFonts w:hint="default" w:ascii="Times New Roman" w:hAnsi="Times New Roman" w:eastAsia="仿宋_GB2312" w:cs="Times New Roman"/>
                <w:color w:val="auto"/>
                <w:kern w:val="0"/>
                <w:sz w:val="18"/>
                <w:szCs w:val="18"/>
              </w:rPr>
              <w:t>防雨布遮盖</w:t>
            </w:r>
            <w:r>
              <w:rPr>
                <w:rFonts w:hint="default" w:ascii="Times New Roman" w:hAnsi="Times New Roman" w:eastAsia="仿宋_GB2312" w:cs="Times New Roman"/>
                <w:color w:val="auto"/>
                <w:kern w:val="0"/>
                <w:sz w:val="18"/>
                <w:szCs w:val="18"/>
                <w:lang w:val="en-US" w:eastAsia="zh-CN"/>
              </w:rPr>
              <w:t>500m</w:t>
            </w:r>
            <w:r>
              <w:rPr>
                <w:rFonts w:hint="default" w:ascii="Times New Roman" w:hAnsi="Times New Roman" w:eastAsia="仿宋_GB2312" w:cs="Times New Roman"/>
                <w:color w:val="auto"/>
                <w:kern w:val="0"/>
                <w:sz w:val="18"/>
                <w:szCs w:val="18"/>
                <w:vertAlign w:val="superscript"/>
                <w:lang w:val="en-US" w:eastAsia="zh-CN"/>
              </w:rPr>
              <w:t>2</w:t>
            </w:r>
            <w:r>
              <w:rPr>
                <w:rFonts w:hint="default" w:ascii="Times New Roman" w:hAnsi="Times New Roman" w:eastAsia="仿宋_GB2312" w:cs="Times New Roman"/>
                <w:color w:val="auto"/>
                <w:kern w:val="0"/>
                <w:sz w:val="18"/>
                <w:szCs w:val="18"/>
                <w:vertAlign w:val="baseline"/>
                <w:lang w:val="en-US" w:eastAsia="zh-CN"/>
              </w:rPr>
              <w:t>（已实施）</w:t>
            </w:r>
          </w:p>
        </w:tc>
        <w:tc>
          <w:tcPr>
            <w:tcW w:w="149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散水暗沟123.02m（已实施）</w:t>
            </w:r>
          </w:p>
        </w:tc>
        <w:tc>
          <w:tcPr>
            <w:tcW w:w="107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86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已完工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56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附属工程</w:t>
            </w:r>
          </w:p>
        </w:tc>
        <w:tc>
          <w:tcPr>
            <w:tcW w:w="99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r>
              <w:rPr>
                <w:rFonts w:hint="default" w:ascii="Times New Roman" w:hAnsi="Times New Roman" w:eastAsia="仿宋_GB2312" w:cs="Times New Roman"/>
                <w:color w:val="auto"/>
                <w:kern w:val="0"/>
                <w:sz w:val="18"/>
                <w:szCs w:val="18"/>
                <w:lang w:val="en-US" w:eastAsia="zh-CN"/>
              </w:rPr>
              <w:t>300m</w:t>
            </w:r>
            <w:r>
              <w:rPr>
                <w:rFonts w:hint="default" w:ascii="Times New Roman" w:hAnsi="Times New Roman" w:eastAsia="仿宋_GB2312" w:cs="Times New Roman"/>
                <w:color w:val="auto"/>
                <w:kern w:val="0"/>
                <w:sz w:val="18"/>
                <w:szCs w:val="18"/>
                <w:vertAlign w:val="superscript"/>
                <w:lang w:val="en-US" w:eastAsia="zh-CN"/>
              </w:rPr>
              <w:t>2</w:t>
            </w:r>
            <w:r>
              <w:rPr>
                <w:rFonts w:hint="default" w:ascii="Times New Roman" w:hAnsi="Times New Roman" w:eastAsia="仿宋_GB2312" w:cs="Times New Roman"/>
                <w:color w:val="auto"/>
                <w:kern w:val="0"/>
                <w:sz w:val="18"/>
                <w:szCs w:val="18"/>
                <w:vertAlign w:val="baseline"/>
                <w:lang w:val="en-US" w:eastAsia="zh-CN"/>
              </w:rPr>
              <w:t>（已实施）</w:t>
            </w:r>
          </w:p>
        </w:tc>
        <w:tc>
          <w:tcPr>
            <w:tcW w:w="149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107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86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已完工</w:t>
            </w:r>
          </w:p>
        </w:tc>
      </w:tr>
    </w:tbl>
    <w:p>
      <w:pPr>
        <w:pStyle w:val="1102"/>
        <w:jc w:val="left"/>
        <w:rPr>
          <w:rFonts w:hint="default" w:ascii="Times New Roman" w:hAnsi="Times New Roman" w:cs="Times New Roman"/>
          <w:color w:val="auto"/>
        </w:rPr>
      </w:pPr>
    </w:p>
    <w:p>
      <w:pPr>
        <w:pStyle w:val="1102"/>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drawing>
          <wp:inline distT="0" distB="0" distL="0" distR="0">
            <wp:extent cx="4723765" cy="6298565"/>
            <wp:effectExtent l="0" t="0" r="635" b="698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725520" cy="6300884"/>
                    </a:xfrm>
                    <a:prstGeom prst="rect">
                      <a:avLst/>
                    </a:prstGeom>
                  </pic:spPr>
                </pic:pic>
              </a:graphicData>
            </a:graphic>
          </wp:inline>
        </w:drawing>
      </w:r>
    </w:p>
    <w:p>
      <w:pPr>
        <w:pStyle w:val="1102"/>
        <w:ind w:firstLine="0" w:firstLineChars="0"/>
        <w:jc w:val="center"/>
        <w:rPr>
          <w:rFonts w:hint="default" w:ascii="Times New Roman" w:hAnsi="Times New Roman" w:eastAsia="仿宋_GB2312" w:cs="Times New Roman"/>
          <w:b/>
          <w:color w:val="auto"/>
          <w:sz w:val="21"/>
          <w:lang w:val="en-US" w:eastAsia="zh-CN"/>
        </w:rPr>
      </w:pPr>
      <w:r>
        <w:rPr>
          <w:rFonts w:hint="default" w:ascii="Times New Roman" w:hAnsi="Times New Roman" w:cs="Times New Roman"/>
          <w:b/>
          <w:color w:val="auto"/>
          <w:sz w:val="21"/>
        </w:rPr>
        <w:t xml:space="preserve">图2.2   </w:t>
      </w:r>
      <w:r>
        <w:rPr>
          <w:rFonts w:hint="default" w:ascii="Times New Roman" w:hAnsi="Times New Roman" w:cs="Times New Roman"/>
          <w:b/>
          <w:color w:val="auto"/>
          <w:sz w:val="21"/>
          <w:lang w:val="en-US" w:eastAsia="zh-CN"/>
        </w:rPr>
        <w:t>图书馆周围盖板排水沟</w:t>
      </w:r>
    </w:p>
    <w:p>
      <w:pPr>
        <w:pStyle w:val="4"/>
        <w:spacing w:before="156" w:beforeLines="50"/>
        <w:rPr>
          <w:rFonts w:hint="default" w:ascii="Times New Roman" w:hAnsi="Times New Roman" w:cs="Times New Roman"/>
          <w:color w:val="auto"/>
        </w:rPr>
      </w:pPr>
      <w:r>
        <w:rPr>
          <w:rFonts w:hint="default" w:ascii="Times New Roman" w:hAnsi="Times New Roman" w:cs="Times New Roman"/>
          <w:color w:val="auto"/>
        </w:rPr>
        <w:t>2.1.</w:t>
      </w:r>
      <w:r>
        <w:rPr>
          <w:rFonts w:hint="default" w:ascii="Times New Roman" w:hAnsi="Times New Roman" w:cs="Times New Roman"/>
          <w:color w:val="auto"/>
          <w:lang w:val="en-US" w:eastAsia="zh-CN"/>
        </w:rPr>
        <w:t>4</w:t>
      </w:r>
      <w:r>
        <w:rPr>
          <w:rFonts w:hint="default" w:ascii="Times New Roman" w:hAnsi="Times New Roman" w:cs="Times New Roman"/>
          <w:color w:val="auto"/>
        </w:rPr>
        <w:t>平面布置</w:t>
      </w:r>
    </w:p>
    <w:p>
      <w:pPr>
        <w:ind w:firstLine="460" w:firstLineChars="192"/>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在原有校园内建设，项目区内无表土可剥离，建筑挖方临时堆放在建筑占地范围内，不涉及集中堆土区；临时办公用房及工人食宿均租用民房，没有在项目区内设置临建设施；施工道路依托市政道路银珠西路、霞穹西路等。</w:t>
      </w:r>
    </w:p>
    <w:p>
      <w:pPr>
        <w:ind w:firstLine="460" w:firstLineChars="192"/>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根据主体平面布置，此次建设的藏文图书馆位于藏文中学西北角；靠近霞穹西街。藏文图书馆周围实施有散水暗沟，以汇集屋面及周围径流；此次改造建设不涉及道路硬化及景观绿化工程。</w:t>
      </w:r>
    </w:p>
    <w:p>
      <w:pPr>
        <w:tabs>
          <w:tab w:val="left" w:pos="6173"/>
        </w:tabs>
        <w:adjustRightInd w:val="0"/>
        <w:snapToGrid w:val="0"/>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根据给排水设计，项目1路给水接市政给水管网，1路接校园内高位水池；场地内的雨水经过盖板暗沟收集后排入市政雨水检查井；项目污水汇集成1路排至霞穹西街市政污水检查井。</w:t>
      </w:r>
    </w:p>
    <w:p>
      <w:pPr>
        <w:pStyle w:val="4"/>
        <w:spacing w:before="156" w:beforeLines="50"/>
        <w:rPr>
          <w:rFonts w:hint="default" w:ascii="Times New Roman" w:hAnsi="Times New Roman" w:cs="Times New Roman"/>
          <w:color w:val="auto"/>
        </w:rPr>
      </w:pPr>
      <w:r>
        <w:rPr>
          <w:rFonts w:hint="default" w:ascii="Times New Roman" w:hAnsi="Times New Roman" w:cs="Times New Roman"/>
          <w:color w:val="auto"/>
        </w:rPr>
        <w:t>2.1.</w:t>
      </w:r>
      <w:r>
        <w:rPr>
          <w:rFonts w:hint="default" w:ascii="Times New Roman" w:hAnsi="Times New Roman" w:cs="Times New Roman"/>
          <w:color w:val="auto"/>
          <w:lang w:val="en-US" w:eastAsia="zh-CN"/>
        </w:rPr>
        <w:t>5</w:t>
      </w:r>
      <w:r>
        <w:rPr>
          <w:rFonts w:hint="default" w:ascii="Times New Roman" w:hAnsi="Times New Roman" w:cs="Times New Roman"/>
          <w:color w:val="auto"/>
        </w:rPr>
        <w:t>竖向布置</w:t>
      </w:r>
    </w:p>
    <w:p>
      <w:pPr>
        <w:tabs>
          <w:tab w:val="left" w:pos="6173"/>
        </w:tabs>
        <w:adjustRightInd w:val="0"/>
        <w:snapToGrid w:val="0"/>
        <w:ind w:firstLine="480"/>
        <w:rPr>
          <w:rFonts w:hint="default" w:ascii="Times New Roman" w:hAnsi="Times New Roman" w:eastAsia="仿宋_GB2312" w:cs="Times New Roman"/>
          <w:color w:val="auto"/>
          <w:szCs w:val="24"/>
        </w:rPr>
      </w:pPr>
      <w:bookmarkStart w:id="47" w:name="_Toc32623"/>
      <w:r>
        <w:rPr>
          <w:rFonts w:hint="default" w:ascii="Times New Roman" w:hAnsi="Times New Roman" w:eastAsia="仿宋_GB2312" w:cs="Times New Roman"/>
          <w:color w:val="auto"/>
          <w:szCs w:val="24"/>
        </w:rPr>
        <w:t>根据《地勘</w:t>
      </w:r>
      <w:r>
        <w:rPr>
          <w:rFonts w:hint="default" w:ascii="Times New Roman" w:hAnsi="Times New Roman" w:eastAsia="仿宋_GB2312" w:cs="Times New Roman"/>
          <w:iCs/>
          <w:color w:val="auto"/>
        </w:rPr>
        <w:t>报告》，本次勘察测得各勘探孔孔口高程介于3501.35～3501.60m之间，相对高差0.25m，地貌单一。根据施工图设计，藏文图书馆±0.00（3502.00m）。</w:t>
      </w:r>
    </w:p>
    <w:p>
      <w:pPr>
        <w:pStyle w:val="1102"/>
        <w:rPr>
          <w:rFonts w:hint="default" w:ascii="Times New Roman" w:hAnsi="Times New Roman" w:cs="Times New Roman"/>
          <w:color w:val="auto"/>
        </w:rPr>
      </w:pPr>
      <w:r>
        <w:rPr>
          <w:rFonts w:hint="default" w:ascii="Times New Roman" w:hAnsi="Times New Roman" w:cs="Times New Roman"/>
          <w:color w:val="auto"/>
        </w:rPr>
        <w:t>根据“一层给排水总平面图”项目给水、污水、雨水沟挖深1.5m～1.70m。</w:t>
      </w:r>
    </w:p>
    <w:bookmarkEnd w:id="47"/>
    <w:p>
      <w:pPr>
        <w:pStyle w:val="4"/>
        <w:spacing w:before="156" w:beforeLines="50"/>
        <w:rPr>
          <w:rFonts w:hint="default" w:ascii="Times New Roman" w:hAnsi="Times New Roman" w:cs="Times New Roman"/>
          <w:color w:val="auto"/>
        </w:rPr>
      </w:pPr>
      <w:r>
        <w:rPr>
          <w:rFonts w:hint="default" w:ascii="Times New Roman" w:hAnsi="Times New Roman" w:cs="Times New Roman"/>
          <w:color w:val="auto"/>
        </w:rPr>
        <w:t>2.1.</w:t>
      </w:r>
      <w:r>
        <w:rPr>
          <w:rFonts w:hint="default" w:ascii="Times New Roman" w:hAnsi="Times New Roman" w:cs="Times New Roman"/>
          <w:color w:val="auto"/>
          <w:lang w:val="en-US" w:eastAsia="zh-CN"/>
        </w:rPr>
        <w:t>6</w:t>
      </w:r>
      <w:r>
        <w:rPr>
          <w:rFonts w:hint="default" w:ascii="Times New Roman" w:hAnsi="Times New Roman" w:cs="Times New Roman"/>
          <w:color w:val="auto"/>
        </w:rPr>
        <w:t>项目组成</w:t>
      </w:r>
    </w:p>
    <w:p>
      <w:pPr>
        <w:autoSpaceDE w:val="0"/>
        <w:autoSpaceDN w:val="0"/>
        <w:adjustRightInd w:val="0"/>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szCs w:val="24"/>
        </w:rPr>
        <w:t>本项目建设内容包括主体工程（藏文图书馆）；附属工程（给水系统、排水系统、供配电系统）</w:t>
      </w:r>
      <w:r>
        <w:rPr>
          <w:rFonts w:hint="default" w:ascii="Times New Roman" w:hAnsi="Times New Roman" w:eastAsia="仿宋_GB2312" w:cs="Times New Roman"/>
          <w:color w:val="auto"/>
          <w:kern w:val="0"/>
        </w:rPr>
        <w:t>等。</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表2-4   项目组成表</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7"/>
        <w:gridCol w:w="852"/>
        <w:gridCol w:w="6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7" w:hRule="atLeast"/>
          <w:tblHeader/>
          <w:jc w:val="center"/>
        </w:trPr>
        <w:tc>
          <w:tcPr>
            <w:tcW w:w="1588" w:type="dxa"/>
            <w:gridSpan w:val="2"/>
            <w:vAlign w:val="center"/>
          </w:tcPr>
          <w:p>
            <w:pPr>
              <w:widowControl/>
              <w:autoSpaceDN w:val="0"/>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工程项目</w:t>
            </w:r>
          </w:p>
        </w:tc>
        <w:tc>
          <w:tcPr>
            <w:tcW w:w="6780" w:type="dxa"/>
            <w:vAlign w:val="center"/>
          </w:tcPr>
          <w:p>
            <w:pPr>
              <w:widowControl/>
              <w:autoSpaceDN w:val="0"/>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项目组成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9" w:hRule="atLeast"/>
          <w:jc w:val="center"/>
        </w:trPr>
        <w:tc>
          <w:tcPr>
            <w:tcW w:w="737" w:type="dxa"/>
            <w:vAlign w:val="center"/>
          </w:tcPr>
          <w:p>
            <w:pPr>
              <w:widowControl/>
              <w:autoSpaceDN w:val="0"/>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主体工程</w:t>
            </w:r>
          </w:p>
        </w:tc>
        <w:tc>
          <w:tcPr>
            <w:tcW w:w="851"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藏文图书馆</w:t>
            </w:r>
          </w:p>
        </w:tc>
        <w:tc>
          <w:tcPr>
            <w:tcW w:w="6780" w:type="dxa"/>
            <w:vAlign w:val="center"/>
          </w:tcPr>
          <w:p>
            <w:pPr>
              <w:widowControl/>
              <w:autoSpaceDN w:val="0"/>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总建筑面积1796.03</w:t>
            </w:r>
            <w:r>
              <w:rPr>
                <w:rFonts w:hint="default" w:ascii="Times New Roman" w:hAnsi="Times New Roman" w:eastAsia="仿宋_GB2312" w:cs="Times New Roman"/>
                <w:color w:val="auto"/>
                <w:kern w:val="0"/>
                <w:sz w:val="18"/>
                <w:szCs w:val="18"/>
              </w:rPr>
              <w:t>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、建筑基底面积916.76m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、建筑总层数2层、建筑高度12.2m；结构类型及抗震设防烈度：框架结构，抗震设防烈度为Ⅵ度。建筑耐久年限：设计使用年限50年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7" w:hRule="atLeast"/>
          <w:jc w:val="center"/>
        </w:trPr>
        <w:tc>
          <w:tcPr>
            <w:tcW w:w="736" w:type="dxa"/>
            <w:vMerge w:val="restart"/>
            <w:vAlign w:val="center"/>
          </w:tcPr>
          <w:p>
            <w:pPr>
              <w:autoSpaceDN w:val="0"/>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附属工程</w:t>
            </w:r>
          </w:p>
        </w:tc>
        <w:tc>
          <w:tcPr>
            <w:tcW w:w="852" w:type="dxa"/>
            <w:vAlign w:val="center"/>
          </w:tcPr>
          <w:p>
            <w:pPr>
              <w:widowControl/>
              <w:autoSpaceDN w:val="0"/>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给水系统</w:t>
            </w:r>
          </w:p>
        </w:tc>
        <w:tc>
          <w:tcPr>
            <w:tcW w:w="6780" w:type="dxa"/>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项目室内给水系统采用由市政给水管网直接供水，市政供水压力为0.45MPa，在入口处设置加压阀，加压阀出口压力0.35MPa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7" w:hRule="atLeast"/>
          <w:jc w:val="center"/>
        </w:trPr>
        <w:tc>
          <w:tcPr>
            <w:tcW w:w="736" w:type="dxa"/>
            <w:vMerge w:val="continue"/>
            <w:vAlign w:val="center"/>
          </w:tcPr>
          <w:p>
            <w:pPr>
              <w:widowControl/>
              <w:autoSpaceDN w:val="0"/>
              <w:spacing w:line="240" w:lineRule="auto"/>
              <w:ind w:firstLine="0" w:firstLineChars="0"/>
              <w:jc w:val="center"/>
              <w:rPr>
                <w:rFonts w:hint="default" w:ascii="Times New Roman" w:hAnsi="Times New Roman" w:eastAsia="仿宋_GB2312" w:cs="Times New Roman"/>
                <w:color w:val="auto"/>
                <w:sz w:val="18"/>
                <w:szCs w:val="18"/>
              </w:rPr>
            </w:pPr>
          </w:p>
        </w:tc>
        <w:tc>
          <w:tcPr>
            <w:tcW w:w="852" w:type="dxa"/>
            <w:vAlign w:val="center"/>
          </w:tcPr>
          <w:p>
            <w:pPr>
              <w:widowControl/>
              <w:autoSpaceDN w:val="0"/>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排水系统</w:t>
            </w:r>
          </w:p>
        </w:tc>
        <w:tc>
          <w:tcPr>
            <w:tcW w:w="6780" w:type="dxa"/>
            <w:vAlign w:val="center"/>
          </w:tcPr>
          <w:p>
            <w:pPr>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fldChar w:fldCharType="begin"/>
            </w:r>
            <w:r>
              <w:rPr>
                <w:rFonts w:hint="default" w:ascii="Times New Roman" w:hAnsi="Times New Roman" w:eastAsia="仿宋_GB2312" w:cs="Times New Roman"/>
                <w:color w:val="auto"/>
                <w:sz w:val="18"/>
                <w:szCs w:val="18"/>
              </w:rPr>
              <w:instrText xml:space="preserve"> = 1 \* GB3 </w:instrText>
            </w:r>
            <w:r>
              <w:rPr>
                <w:rFonts w:hint="default" w:ascii="Times New Roman" w:hAnsi="Times New Roman" w:eastAsia="仿宋_GB2312" w:cs="Times New Roman"/>
                <w:color w:val="auto"/>
                <w:sz w:val="18"/>
                <w:szCs w:val="18"/>
              </w:rPr>
              <w:fldChar w:fldCharType="separate"/>
            </w:r>
            <w:r>
              <w:rPr>
                <w:rFonts w:hint="default" w:ascii="Times New Roman" w:hAnsi="Times New Roman" w:cs="Times New Roman"/>
                <w:color w:val="auto"/>
                <w:sz w:val="18"/>
                <w:szCs w:val="18"/>
              </w:rPr>
              <w:t>①</w:t>
            </w:r>
            <w:r>
              <w:rPr>
                <w:rFonts w:hint="default" w:ascii="Times New Roman" w:hAnsi="Times New Roman" w:eastAsia="仿宋_GB2312" w:cs="Times New Roman"/>
                <w:color w:val="auto"/>
                <w:sz w:val="18"/>
                <w:szCs w:val="18"/>
              </w:rPr>
              <w:fldChar w:fldCharType="end"/>
            </w:r>
            <w:r>
              <w:rPr>
                <w:rFonts w:hint="default" w:ascii="Times New Roman" w:hAnsi="Times New Roman" w:eastAsia="仿宋_GB2312" w:cs="Times New Roman"/>
                <w:color w:val="auto"/>
                <w:sz w:val="18"/>
                <w:szCs w:val="18"/>
              </w:rPr>
              <w:t>污水：室内采用分流制排水系统，卫生间污水设置排出管。室内污水重力自然流排至室外检查井，汇集至化粪池处理后排入市政污水管网。</w:t>
            </w:r>
          </w:p>
          <w:p>
            <w:pPr>
              <w:spacing w:line="240" w:lineRule="auto"/>
              <w:ind w:firstLine="360"/>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color w:val="auto"/>
                <w:sz w:val="18"/>
                <w:szCs w:val="18"/>
              </w:rPr>
              <w:fldChar w:fldCharType="begin"/>
            </w:r>
            <w:r>
              <w:rPr>
                <w:rFonts w:hint="default" w:ascii="Times New Roman" w:hAnsi="Times New Roman" w:eastAsia="仿宋_GB2312" w:cs="Times New Roman"/>
                <w:color w:val="auto"/>
                <w:sz w:val="18"/>
                <w:szCs w:val="18"/>
              </w:rPr>
              <w:instrText xml:space="preserve"> = 2 \* GB3 </w:instrText>
            </w:r>
            <w:r>
              <w:rPr>
                <w:rFonts w:hint="default" w:ascii="Times New Roman" w:hAnsi="Times New Roman" w:eastAsia="仿宋_GB2312" w:cs="Times New Roman"/>
                <w:color w:val="auto"/>
                <w:sz w:val="18"/>
                <w:szCs w:val="18"/>
              </w:rPr>
              <w:fldChar w:fldCharType="separate"/>
            </w:r>
            <w:r>
              <w:rPr>
                <w:rFonts w:hint="default" w:ascii="Times New Roman" w:hAnsi="Times New Roman" w:cs="Times New Roman"/>
                <w:color w:val="auto"/>
                <w:sz w:val="18"/>
                <w:szCs w:val="18"/>
              </w:rPr>
              <w:t>②</w:t>
            </w:r>
            <w:r>
              <w:rPr>
                <w:rFonts w:hint="default" w:ascii="Times New Roman" w:hAnsi="Times New Roman" w:eastAsia="仿宋_GB2312" w:cs="Times New Roman"/>
                <w:color w:val="auto"/>
                <w:sz w:val="18"/>
                <w:szCs w:val="18"/>
              </w:rPr>
              <w:fldChar w:fldCharType="end"/>
            </w:r>
            <w:r>
              <w:rPr>
                <w:rFonts w:hint="default" w:ascii="Times New Roman" w:hAnsi="Times New Roman" w:eastAsia="仿宋_GB2312" w:cs="Times New Roman"/>
                <w:color w:val="auto"/>
                <w:sz w:val="18"/>
                <w:szCs w:val="18"/>
              </w:rPr>
              <w:t>雨水：项目图书馆周围实施散水暗沟123.02m，散水暗沟净断面：0.40m（宽）×0.45m（深），150mm厚C20混凝土结构，成品盖板。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7" w:hRule="atLeast"/>
          <w:jc w:val="center"/>
        </w:trPr>
        <w:tc>
          <w:tcPr>
            <w:tcW w:w="736" w:type="dxa"/>
            <w:vMerge w:val="continue"/>
            <w:vAlign w:val="center"/>
          </w:tcPr>
          <w:p>
            <w:pPr>
              <w:widowControl/>
              <w:autoSpaceDN w:val="0"/>
              <w:spacing w:line="240" w:lineRule="auto"/>
              <w:ind w:firstLine="0" w:firstLineChars="0"/>
              <w:jc w:val="center"/>
              <w:rPr>
                <w:rFonts w:hint="default" w:ascii="Times New Roman" w:hAnsi="Times New Roman" w:eastAsia="仿宋_GB2312" w:cs="Times New Roman"/>
                <w:color w:val="auto"/>
                <w:sz w:val="18"/>
                <w:szCs w:val="18"/>
              </w:rPr>
            </w:pPr>
          </w:p>
        </w:tc>
        <w:tc>
          <w:tcPr>
            <w:tcW w:w="852" w:type="dxa"/>
            <w:vAlign w:val="center"/>
          </w:tcPr>
          <w:p>
            <w:pPr>
              <w:widowControl/>
              <w:autoSpaceDN w:val="0"/>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供配电系统</w:t>
            </w:r>
          </w:p>
        </w:tc>
        <w:tc>
          <w:tcPr>
            <w:tcW w:w="6780" w:type="dxa"/>
            <w:vAlign w:val="center"/>
          </w:tcPr>
          <w:p>
            <w:pPr>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电源由室外厢变引入，采用三相电源，50Hz，380/220V，三级负荷。采用TN-S接地形式，采用放射式供电。电源引入处进线设置隔离开关及保护电器。主要通道照明为二级负荷，集中设置蓄电池作为第二电源</w:t>
            </w:r>
          </w:p>
        </w:tc>
      </w:tr>
    </w:tbl>
    <w:p>
      <w:pPr>
        <w:pStyle w:val="1102"/>
        <w:spacing w:line="240" w:lineRule="auto"/>
        <w:rPr>
          <w:rFonts w:hint="default" w:ascii="Times New Roman" w:hAnsi="Times New Roman" w:cs="Times New Roman"/>
          <w:color w:val="auto"/>
        </w:rPr>
      </w:pPr>
    </w:p>
    <w:p>
      <w:pPr>
        <w:ind w:firstLine="0" w:firstLineChars="0"/>
        <w:jc w:val="left"/>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2.1.</w:t>
      </w:r>
      <w:r>
        <w:rPr>
          <w:rFonts w:hint="default" w:ascii="Times New Roman" w:hAnsi="Times New Roman" w:cs="Times New Roman"/>
          <w:b/>
          <w:color w:val="auto"/>
          <w:kern w:val="0"/>
          <w:lang w:val="en-US" w:eastAsia="zh-CN"/>
        </w:rPr>
        <w:t>6</w:t>
      </w:r>
      <w:r>
        <w:rPr>
          <w:rFonts w:hint="default" w:ascii="Times New Roman" w:hAnsi="Times New Roman" w:cs="Times New Roman"/>
          <w:b/>
          <w:color w:val="auto"/>
          <w:kern w:val="0"/>
        </w:rPr>
        <w:t>.1主体工程</w:t>
      </w:r>
    </w:p>
    <w:p>
      <w:pPr>
        <w:autoSpaceDE w:val="0"/>
        <w:autoSpaceDN w:val="0"/>
        <w:adjustRightInd w:val="0"/>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rPr>
        <w:t>本</w:t>
      </w:r>
      <w:r>
        <w:rPr>
          <w:rFonts w:hint="default" w:ascii="Times New Roman" w:hAnsi="Times New Roman" w:eastAsia="仿宋_GB2312" w:cs="Times New Roman"/>
          <w:color w:val="auto"/>
          <w:kern w:val="0"/>
          <w:szCs w:val="24"/>
        </w:rPr>
        <w:t>项目主体工程指</w:t>
      </w:r>
      <w:r>
        <w:rPr>
          <w:rFonts w:hint="default" w:ascii="Times New Roman" w:hAnsi="Times New Roman" w:eastAsia="仿宋_GB2312" w:cs="Times New Roman"/>
          <w:color w:val="auto"/>
        </w:rPr>
        <w:t>藏文图书馆：总建筑面积1796.03</w:t>
      </w:r>
      <w:r>
        <w:rPr>
          <w:rFonts w:hint="default" w:ascii="Times New Roman" w:hAnsi="Times New Roman" w:eastAsia="仿宋_GB2312" w:cs="Times New Roman"/>
          <w:color w:val="auto"/>
          <w:kern w:val="0"/>
          <w:szCs w:val="24"/>
        </w:rPr>
        <w:t>m</w:t>
      </w:r>
      <w:r>
        <w:rPr>
          <w:rFonts w:hint="default" w:ascii="Times New Roman" w:hAnsi="Times New Roman" w:eastAsia="仿宋_GB2312" w:cs="Times New Roman"/>
          <w:color w:val="auto"/>
          <w:kern w:val="0"/>
          <w:szCs w:val="24"/>
          <w:vertAlign w:val="superscript"/>
        </w:rPr>
        <w:t>2</w:t>
      </w:r>
      <w:r>
        <w:rPr>
          <w:rFonts w:hint="default" w:ascii="Times New Roman" w:hAnsi="Times New Roman" w:eastAsia="仿宋_GB2312" w:cs="Times New Roman"/>
          <w:color w:val="auto"/>
          <w:kern w:val="0"/>
          <w:szCs w:val="24"/>
        </w:rPr>
        <w:t>、建筑基底面积916.76m</w:t>
      </w:r>
      <w:r>
        <w:rPr>
          <w:rFonts w:hint="default" w:ascii="Times New Roman" w:hAnsi="Times New Roman" w:eastAsia="仿宋_GB2312" w:cs="Times New Roman"/>
          <w:color w:val="auto"/>
          <w:kern w:val="0"/>
          <w:szCs w:val="24"/>
          <w:vertAlign w:val="superscript"/>
        </w:rPr>
        <w:t>2</w:t>
      </w:r>
      <w:r>
        <w:rPr>
          <w:rFonts w:hint="default" w:ascii="Times New Roman" w:hAnsi="Times New Roman" w:eastAsia="仿宋_GB2312" w:cs="Times New Roman"/>
          <w:color w:val="auto"/>
          <w:kern w:val="0"/>
          <w:szCs w:val="24"/>
        </w:rPr>
        <w:t>、建筑总层数2层、建筑高度12.2m；结构类型及抗震设防烈度：框架结构，抗震设防烈度为Ⅵ度。建筑耐久年限：设计使用年限50年。</w:t>
      </w:r>
      <w:r>
        <w:rPr>
          <w:rFonts w:hint="default" w:ascii="Times New Roman" w:hAnsi="Times New Roman" w:eastAsia="仿宋_GB2312" w:cs="Times New Roman"/>
          <w:color w:val="auto"/>
          <w:kern w:val="0"/>
        </w:rPr>
        <w:t>详见下表：</w:t>
      </w:r>
    </w:p>
    <w:p>
      <w:pPr>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表2-5   建构筑物一览表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3"/>
        <w:gridCol w:w="1099"/>
        <w:gridCol w:w="618"/>
        <w:gridCol w:w="943"/>
        <w:gridCol w:w="943"/>
        <w:gridCol w:w="931"/>
        <w:gridCol w:w="1054"/>
        <w:gridCol w:w="1054"/>
        <w:gridCol w:w="8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5"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建物名称</w:t>
            </w:r>
          </w:p>
        </w:tc>
        <w:tc>
          <w:tcPr>
            <w:tcW w:w="644" w:type="pct"/>
            <w:vAlign w:val="center"/>
          </w:tcPr>
          <w:p>
            <w:pPr>
              <w:widowControl/>
              <w:spacing w:line="240" w:lineRule="auto"/>
              <w:ind w:firstLine="0" w:firstLineChars="0"/>
              <w:jc w:val="center"/>
              <w:textAlignment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基底面积（m</w:t>
            </w:r>
            <w:r>
              <w:rPr>
                <w:rFonts w:hint="default" w:ascii="Times New Roman" w:hAnsi="Times New Roman" w:eastAsia="仿宋_GB2312" w:cs="Times New Roman"/>
                <w:b/>
                <w:color w:val="auto"/>
                <w:kern w:val="0"/>
                <w:sz w:val="18"/>
                <w:szCs w:val="18"/>
                <w:vertAlign w:val="superscript"/>
              </w:rPr>
              <w:t>2</w:t>
            </w:r>
            <w:r>
              <w:rPr>
                <w:rFonts w:hint="default" w:ascii="Times New Roman" w:hAnsi="Times New Roman" w:eastAsia="仿宋_GB2312" w:cs="Times New Roman"/>
                <w:b/>
                <w:color w:val="auto"/>
                <w:kern w:val="0"/>
                <w:sz w:val="18"/>
                <w:szCs w:val="18"/>
              </w:rPr>
              <w:t>）</w:t>
            </w:r>
          </w:p>
        </w:tc>
        <w:tc>
          <w:tcPr>
            <w:tcW w:w="362"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层数</w:t>
            </w:r>
          </w:p>
        </w:tc>
        <w:tc>
          <w:tcPr>
            <w:tcW w:w="553"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建筑高度（m）</w:t>
            </w:r>
          </w:p>
        </w:tc>
        <w:tc>
          <w:tcPr>
            <w:tcW w:w="553"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基础形式</w:t>
            </w:r>
          </w:p>
        </w:tc>
        <w:tc>
          <w:tcPr>
            <w:tcW w:w="546"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建筑面积（m</w:t>
            </w:r>
            <w:r>
              <w:rPr>
                <w:rFonts w:hint="default" w:ascii="Times New Roman" w:hAnsi="Times New Roman" w:eastAsia="仿宋_GB2312" w:cs="Times New Roman"/>
                <w:b/>
                <w:color w:val="auto"/>
                <w:sz w:val="18"/>
                <w:szCs w:val="18"/>
                <w:vertAlign w:val="superscript"/>
              </w:rPr>
              <w:t>2</w:t>
            </w:r>
            <w:r>
              <w:rPr>
                <w:rFonts w:hint="default" w:ascii="Times New Roman" w:hAnsi="Times New Roman" w:eastAsia="仿宋_GB2312" w:cs="Times New Roman"/>
                <w:b/>
                <w:color w:val="auto"/>
                <w:sz w:val="18"/>
                <w:szCs w:val="18"/>
              </w:rPr>
              <w:t>）</w:t>
            </w:r>
          </w:p>
        </w:tc>
        <w:tc>
          <w:tcPr>
            <w:tcW w:w="618"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基础埋深（m）</w:t>
            </w:r>
          </w:p>
        </w:tc>
        <w:tc>
          <w:tcPr>
            <w:tcW w:w="618"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结构形式</w:t>
            </w:r>
          </w:p>
        </w:tc>
        <w:tc>
          <w:tcPr>
            <w:tcW w:w="470"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5"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藏文图书馆</w:t>
            </w:r>
          </w:p>
        </w:tc>
        <w:tc>
          <w:tcPr>
            <w:tcW w:w="644" w:type="pct"/>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916.76</w:t>
            </w:r>
          </w:p>
        </w:tc>
        <w:tc>
          <w:tcPr>
            <w:tcW w:w="362"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2F</w:t>
            </w:r>
          </w:p>
        </w:tc>
        <w:tc>
          <w:tcPr>
            <w:tcW w:w="553"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12.2</w:t>
            </w:r>
          </w:p>
        </w:tc>
        <w:tc>
          <w:tcPr>
            <w:tcW w:w="553"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独立基础</w:t>
            </w:r>
          </w:p>
        </w:tc>
        <w:tc>
          <w:tcPr>
            <w:tcW w:w="546" w:type="pct"/>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1796.03</w:t>
            </w:r>
          </w:p>
        </w:tc>
        <w:tc>
          <w:tcPr>
            <w:tcW w:w="618"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618"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框架结构</w:t>
            </w:r>
          </w:p>
        </w:tc>
        <w:tc>
          <w:tcPr>
            <w:tcW w:w="470"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3502.00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35"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合计</w:t>
            </w:r>
          </w:p>
        </w:tc>
        <w:tc>
          <w:tcPr>
            <w:tcW w:w="644"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916.76</w:t>
            </w:r>
          </w:p>
        </w:tc>
        <w:tc>
          <w:tcPr>
            <w:tcW w:w="362"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553"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553"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546" w:type="pct"/>
            <w:vAlign w:val="center"/>
          </w:tcPr>
          <w:p>
            <w:pPr>
              <w:widowControl/>
              <w:spacing w:line="240" w:lineRule="auto"/>
              <w:ind w:firstLine="0" w:firstLineChars="0"/>
              <w:jc w:val="center"/>
              <w:textAlignment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1796.03</w:t>
            </w:r>
          </w:p>
        </w:tc>
        <w:tc>
          <w:tcPr>
            <w:tcW w:w="618"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618"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c>
          <w:tcPr>
            <w:tcW w:w="470"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p>
        </w:tc>
      </w:tr>
    </w:tbl>
    <w:p>
      <w:pPr>
        <w:pStyle w:val="1102"/>
        <w:spacing w:line="240" w:lineRule="auto"/>
        <w:rPr>
          <w:rFonts w:hint="default" w:ascii="Times New Roman" w:hAnsi="Times New Roman" w:cs="Times New Roman"/>
          <w:color w:val="auto"/>
        </w:rPr>
      </w:pPr>
    </w:p>
    <w:p>
      <w:pPr>
        <w:ind w:firstLine="0" w:firstLineChars="0"/>
        <w:jc w:val="left"/>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2.1.</w:t>
      </w:r>
      <w:r>
        <w:rPr>
          <w:rFonts w:hint="default" w:ascii="Times New Roman" w:hAnsi="Times New Roman" w:cs="Times New Roman"/>
          <w:b/>
          <w:color w:val="auto"/>
          <w:kern w:val="0"/>
          <w:lang w:val="en-US" w:eastAsia="zh-CN"/>
        </w:rPr>
        <w:t>6</w:t>
      </w:r>
      <w:r>
        <w:rPr>
          <w:rFonts w:hint="default" w:ascii="Times New Roman" w:hAnsi="Times New Roman" w:cs="Times New Roman"/>
          <w:b/>
          <w:color w:val="auto"/>
          <w:kern w:val="0"/>
        </w:rPr>
        <w:t>.2附属工程</w:t>
      </w:r>
    </w:p>
    <w:p>
      <w:pPr>
        <w:tabs>
          <w:tab w:val="left" w:pos="6173"/>
        </w:tabs>
        <w:adjustRightInd w:val="0"/>
        <w:snapToGrid w:val="0"/>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lang w:val="en-US" w:eastAsia="zh-CN"/>
        </w:rPr>
        <w:t>经现场调查，此次图书馆在既有校园内建设，图书馆周边雨水系统、给水系统、污水系统均接入校园既有管网；再经校园雨污管道排至市政雨污管网系统。</w:t>
      </w:r>
      <w:r>
        <w:rPr>
          <w:rFonts w:hint="default" w:ascii="Times New Roman" w:hAnsi="Times New Roman" w:eastAsia="仿宋_GB2312" w:cs="Times New Roman"/>
          <w:color w:val="auto"/>
          <w:szCs w:val="24"/>
        </w:rPr>
        <w:t>根据给排水设计，项目1路给水接市政给水管网，1路接校园内高位水池；场地内的雨水经过盖板暗沟收集后排入市政雨水检查井；项目污水汇集成1路排至霞穹西街市政污水检查井。</w:t>
      </w:r>
    </w:p>
    <w:p>
      <w:pPr>
        <w:tabs>
          <w:tab w:val="left" w:pos="6173"/>
        </w:tabs>
        <w:adjustRightInd w:val="0"/>
        <w:snapToGrid w:val="0"/>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（1）给水系统</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*1）给水：本项目室内给水系统采用由市政给水管网直接供水，市政供水压力为0.45MPa，在入口处设置加压阀，加压阀出口压力0.35MPa。</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*2）用水量：用水定额为40L/(人*天)，小时变化系数为1.5，用水时间9小时，人数为180人；最高日生活用水量为：7.2m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/d；最大小时用水量为1.2m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/h；最高日生活污水量为：6.48m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/d。</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*3）管材：室内的给水（冷）干管采用衬塑复合钢管（内衬聚乙烯PE材料）丝扣连接，给水（冷、热）支管采用PP-R塑料管热熔连接。给水阀门的除特别说明外均采用不锈钢材质，丝扣连接。</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4）管道敷设：给水横干管设有0.002～0.005的坡度坡向泄水口。给水管地下室、屋面、混凝土水池壁板或地板时设置防水套管。明设的给水立管穿越楼板时，应采用防水措施。室内梁下吊装的给水横干管做保温防结露措施，采用外包保温石棉厚度不小于5mm。</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*5）消防：本项目室内消火栓系统采用2路独立市政官网供水，供水压力0.45MPa，本建筑所需的室内消火栓用水量为15L/s，室外消火栓用水量为 25L/s。消火栓给水管道的设计流速不大于2.5m/s，持续用水时间为2小时。</w:t>
      </w:r>
    </w:p>
    <w:p>
      <w:pPr>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（2）排水系统</w:t>
      </w:r>
    </w:p>
    <w:p>
      <w:pPr>
        <w:pStyle w:val="1102"/>
        <w:rPr>
          <w:rFonts w:hint="default" w:ascii="Times New Roman" w:hAnsi="Times New Roman" w:cs="Times New Roman"/>
          <w:color w:val="auto"/>
        </w:rPr>
      </w:pPr>
      <w:r>
        <w:rPr>
          <w:rFonts w:hint="default" w:ascii="Times New Roman" w:hAnsi="Times New Roman" w:cs="Times New Roman"/>
          <w:color w:val="auto"/>
        </w:rPr>
        <w:t>本项目采用污、废合流和雨、污分流的排水体制。</w:t>
      </w:r>
    </w:p>
    <w:p>
      <w:pPr>
        <w:pStyle w:val="1102"/>
        <w:rPr>
          <w:rFonts w:hint="default" w:ascii="Times New Roman" w:hAnsi="Times New Roman" w:cs="Times New Roman"/>
          <w:color w:val="auto"/>
        </w:rPr>
      </w:pPr>
      <w:r>
        <w:rPr>
          <w:rFonts w:hint="default" w:ascii="Times New Roman" w:hAnsi="Times New Roman" w:cs="Times New Roman"/>
          <w:color w:val="auto"/>
        </w:rPr>
        <w:t>*1）污水：</w:t>
      </w:r>
    </w:p>
    <w:p>
      <w:pPr>
        <w:pStyle w:val="1102"/>
        <w:rPr>
          <w:rFonts w:hint="default" w:ascii="Times New Roman" w:hAnsi="Times New Roman" w:cs="Times New Roman"/>
          <w:color w:val="auto"/>
        </w:rPr>
      </w:pPr>
      <w:r>
        <w:rPr>
          <w:rFonts w:hint="default" w:ascii="Times New Roman" w:hAnsi="Times New Roman" w:cs="Times New Roman"/>
          <w:color w:val="auto"/>
        </w:rPr>
        <w:t>排水方式：室内采用分流制排水系统，卫生间污水设置排出管。室内污水重力自然流排至室外检查井，汇集至化粪池处理后排入市政污水管网。</w:t>
      </w:r>
    </w:p>
    <w:p>
      <w:pPr>
        <w:pStyle w:val="1102"/>
        <w:rPr>
          <w:rFonts w:hint="default" w:ascii="Times New Roman" w:hAnsi="Times New Roman" w:cs="Times New Roman"/>
          <w:color w:val="auto"/>
        </w:rPr>
      </w:pPr>
      <w:r>
        <w:rPr>
          <w:rFonts w:hint="default" w:ascii="Times New Roman" w:hAnsi="Times New Roman" w:cs="Times New Roman"/>
          <w:color w:val="auto"/>
        </w:rPr>
        <w:t>存水弯：当构造内无存水弯的卫生器具的排水支管上应设存水弯；当构造内有存水弯的卫生器具的排水支管上不应设存水弯。存水弯的水封深度不得小于50mm，严禁采用活动机械密封替代水封。</w:t>
      </w:r>
    </w:p>
    <w:p>
      <w:pPr>
        <w:pStyle w:val="1102"/>
        <w:rPr>
          <w:rFonts w:hint="default" w:ascii="Times New Roman" w:hAnsi="Times New Roman" w:cs="Times New Roman"/>
          <w:color w:val="auto"/>
        </w:rPr>
      </w:pPr>
      <w:r>
        <w:rPr>
          <w:rFonts w:hint="default" w:ascii="Times New Roman" w:hAnsi="Times New Roman" w:cs="Times New Roman"/>
          <w:color w:val="auto"/>
        </w:rPr>
        <w:t>地漏：地漏应安装在地面最低处，篦子顶面应比地面低0.005~0.01，地面应有不小于0.01的坡度坡向地漏。除特别注明外，地漏采用密封防涸功能的地漏。当地漏自带存水弯时，需取消支管上的存水弯，要求存水弯的水封深度不得小于50mm，严禁采用钟罩(扣碗)式地漏。</w:t>
      </w:r>
    </w:p>
    <w:p>
      <w:pPr>
        <w:pStyle w:val="1102"/>
        <w:rPr>
          <w:rFonts w:hint="default" w:ascii="Times New Roman" w:hAnsi="Times New Roman" w:cs="Times New Roman"/>
          <w:color w:val="auto"/>
        </w:rPr>
      </w:pPr>
      <w:r>
        <w:rPr>
          <w:rFonts w:hint="default" w:ascii="Times New Roman" w:hAnsi="Times New Roman" w:cs="Times New Roman"/>
          <w:color w:val="auto"/>
        </w:rPr>
        <w:t>管材：污水管采用硬质聚氯乙烯(UPVC)排水管，粘结连接，引出建筑处采用承压式硬质聚氯乙烯(UPVC)排水管。</w:t>
      </w:r>
    </w:p>
    <w:p>
      <w:pPr>
        <w:pStyle w:val="1102"/>
        <w:rPr>
          <w:rFonts w:hint="default" w:ascii="Times New Roman" w:hAnsi="Times New Roman" w:cs="Times New Roman"/>
          <w:color w:val="auto"/>
        </w:rPr>
      </w:pPr>
      <w:r>
        <w:rPr>
          <w:rFonts w:hint="default" w:ascii="Times New Roman" w:hAnsi="Times New Roman" w:cs="Times New Roman"/>
          <w:color w:val="auto"/>
        </w:rPr>
        <w:t>*2）雨水：</w:t>
      </w:r>
    </w:p>
    <w:p>
      <w:pPr>
        <w:pStyle w:val="1102"/>
        <w:rPr>
          <w:rFonts w:hint="default" w:ascii="Times New Roman" w:hAnsi="Times New Roman" w:cs="Times New Roman"/>
          <w:color w:val="auto"/>
        </w:rPr>
      </w:pPr>
      <w:r>
        <w:rPr>
          <w:rFonts w:hint="default" w:ascii="Times New Roman" w:hAnsi="Times New Roman" w:cs="Times New Roman"/>
          <w:color w:val="auto"/>
        </w:rPr>
        <w:t>排水方式：屋面雨水独立设置立管排至室外雨水沟。</w:t>
      </w:r>
    </w:p>
    <w:p>
      <w:pPr>
        <w:pStyle w:val="1102"/>
        <w:rPr>
          <w:rFonts w:hint="default" w:ascii="Times New Roman" w:hAnsi="Times New Roman" w:cs="Times New Roman"/>
          <w:color w:val="auto"/>
        </w:rPr>
      </w:pPr>
      <w:r>
        <w:rPr>
          <w:rFonts w:hint="default" w:ascii="Times New Roman" w:hAnsi="Times New Roman" w:cs="Times New Roman"/>
          <w:color w:val="auto"/>
        </w:rPr>
        <w:t>雨水量：根据当地暴雨强度计算公式：i=44.594(1+0.651lgP)/(t+27.346)^0.953[(lgP)^-0.017]计算。重现期5年；降雨历时5分钟；径流系数为1。计算暴雨强度为385L/s*ha，汇水面积为：934m</w:t>
      </w:r>
      <w:r>
        <w:rPr>
          <w:rFonts w:hint="default" w:ascii="Times New Roman" w:hAnsi="Times New Roman" w:cs="Times New Roman"/>
          <w:color w:val="auto"/>
          <w:vertAlign w:val="superscript"/>
        </w:rPr>
        <w:t>2</w:t>
      </w:r>
      <w:r>
        <w:rPr>
          <w:rFonts w:hint="default" w:ascii="Times New Roman" w:hAnsi="Times New Roman" w:cs="Times New Roman"/>
          <w:color w:val="auto"/>
        </w:rPr>
        <w:t>，计算雨水流量为36L/s。设置的溢流管及雨水管总排水能力不小于50年重现期的雨水量。</w:t>
      </w:r>
    </w:p>
    <w:p>
      <w:pPr>
        <w:pStyle w:val="1102"/>
        <w:rPr>
          <w:rFonts w:hint="default" w:ascii="Times New Roman" w:hAnsi="Times New Roman" w:cs="Times New Roman"/>
          <w:color w:val="auto"/>
        </w:rPr>
      </w:pPr>
      <w:r>
        <w:rPr>
          <w:rFonts w:hint="default" w:ascii="Times New Roman" w:hAnsi="Times New Roman" w:cs="Times New Roman"/>
          <w:color w:val="auto"/>
        </w:rPr>
        <w:t>管材：雨水管采用硬质聚氯乙烯(UPVC)排水管，粘结连接。</w:t>
      </w:r>
    </w:p>
    <w:p>
      <w:pPr>
        <w:pStyle w:val="1102"/>
        <w:ind w:firstLine="482"/>
        <w:rPr>
          <w:rFonts w:hint="default" w:ascii="Times New Roman" w:hAnsi="Times New Roman" w:cs="Times New Roman"/>
          <w:b/>
          <w:color w:val="auto"/>
        </w:rPr>
      </w:pPr>
      <w:r>
        <w:rPr>
          <w:rFonts w:hint="default" w:ascii="Times New Roman" w:hAnsi="Times New Roman" w:cs="Times New Roman"/>
          <w:b/>
          <w:color w:val="auto"/>
        </w:rPr>
        <w:t>散水暗沟：</w:t>
      </w:r>
      <w:r>
        <w:rPr>
          <w:rFonts w:hint="default" w:ascii="Times New Roman" w:hAnsi="Times New Roman" w:cs="Times New Roman"/>
          <w:color w:val="auto"/>
        </w:rPr>
        <w:t>项目图书馆周围实施散水暗沟123.02m，散水暗沟净断面：0.40m（宽）×0.45m（深），150mm厚C20混凝土结构，成品盖板。</w:t>
      </w:r>
    </w:p>
    <w:p>
      <w:pPr>
        <w:pStyle w:val="1102"/>
        <w:ind w:firstLine="482"/>
        <w:rPr>
          <w:rFonts w:hint="default" w:ascii="Times New Roman" w:hAnsi="Times New Roman" w:cs="Times New Roman"/>
          <w:b/>
          <w:color w:val="auto"/>
        </w:rPr>
      </w:pPr>
      <w:r>
        <w:rPr>
          <w:rFonts w:hint="default" w:ascii="Times New Roman" w:hAnsi="Times New Roman" w:cs="Times New Roman"/>
          <w:b/>
          <w:color w:val="auto"/>
        </w:rPr>
        <w:t>（3）供配电系统</w:t>
      </w:r>
    </w:p>
    <w:p>
      <w:pPr>
        <w:pStyle w:val="1102"/>
        <w:rPr>
          <w:rFonts w:hint="default" w:ascii="Times New Roman" w:hAnsi="Times New Roman" w:cs="Times New Roman"/>
          <w:color w:val="auto"/>
          <w:szCs w:val="22"/>
        </w:rPr>
      </w:pPr>
      <w:r>
        <w:rPr>
          <w:rFonts w:hint="default" w:ascii="Times New Roman" w:hAnsi="Times New Roman" w:cs="Times New Roman"/>
          <w:color w:val="auto"/>
          <w:szCs w:val="22"/>
        </w:rPr>
        <w:t>本项目电源由室外厢变引入，采用三相电源，50Hz，380/220V，三级负荷。采用TN-S接地形式，采用放射式供电。电源引入处进线设置隔离开关及保护电器。主要通道照明为二级负荷，集中设置蓄电池作为第二电源。</w:t>
      </w:r>
    </w:p>
    <w:p>
      <w:pPr>
        <w:pStyle w:val="3"/>
        <w:suppressAutoHyphens/>
        <w:spacing w:before="156" w:beforeLines="50" w:after="156" w:afterLines="50"/>
        <w:rPr>
          <w:rFonts w:hint="default" w:ascii="Times New Roman" w:hAnsi="Times New Roman" w:cs="Times New Roman"/>
          <w:color w:val="auto"/>
          <w:kern w:val="0"/>
        </w:rPr>
      </w:pPr>
      <w:bookmarkStart w:id="48" w:name="_Toc415927819"/>
      <w:bookmarkStart w:id="49" w:name="_Toc5881"/>
      <w:r>
        <w:rPr>
          <w:rFonts w:hint="default" w:ascii="Times New Roman" w:hAnsi="Times New Roman" w:cs="Times New Roman"/>
          <w:color w:val="auto"/>
          <w:kern w:val="0"/>
        </w:rPr>
        <w:t>2.2 施工组织</w:t>
      </w:r>
      <w:bookmarkEnd w:id="48"/>
      <w:bookmarkEnd w:id="49"/>
    </w:p>
    <w:p>
      <w:pPr>
        <w:pStyle w:val="4"/>
        <w:spacing w:before="156" w:beforeLines="50"/>
        <w:rPr>
          <w:rFonts w:hint="default" w:ascii="Times New Roman" w:hAnsi="Times New Roman" w:cs="Times New Roman"/>
          <w:color w:val="auto"/>
        </w:rPr>
      </w:pPr>
      <w:r>
        <w:rPr>
          <w:rFonts w:hint="default" w:ascii="Times New Roman" w:hAnsi="Times New Roman" w:cs="Times New Roman"/>
          <w:color w:val="auto"/>
        </w:rPr>
        <w:t>2.2.1 施工组织</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2.2.1.1 交通运输</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本项目对外运输道路依托既有市政道路（霞穹西街、银珠西路），工程区交通便利。</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2.2.1.2 建筑材料</w:t>
      </w:r>
    </w:p>
    <w:p>
      <w:pPr>
        <w:widowControl/>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rPr>
        <w:t>项目所需的砾石、碎石、中粗砂可从阿木乡阿木柯河料场购买，用料时需试验检测。水泥、钢筋均从成都建材市场购买，均有公路直接通往，运输方便。</w:t>
      </w:r>
      <w:r>
        <w:rPr>
          <w:rFonts w:hint="default" w:ascii="Times New Roman" w:hAnsi="Times New Roman" w:eastAsia="仿宋_GB2312" w:cs="Times New Roman"/>
          <w:color w:val="auto"/>
        </w:rPr>
        <w:t>施工材料供应过程中产生的水土流失由供应商负责。</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2.2.</w:t>
      </w:r>
      <w:r>
        <w:rPr>
          <w:rFonts w:hint="default" w:ascii="Times New Roman" w:hAnsi="Times New Roman" w:cs="Times New Roman"/>
          <w:b/>
          <w:color w:val="auto"/>
          <w:kern w:val="0"/>
          <w:lang w:val="en-US" w:eastAsia="zh-CN"/>
        </w:rPr>
        <w:t>1</w:t>
      </w:r>
      <w:r>
        <w:rPr>
          <w:rFonts w:hint="default" w:ascii="Times New Roman" w:hAnsi="Times New Roman" w:cs="Times New Roman"/>
          <w:b/>
          <w:color w:val="auto"/>
          <w:kern w:val="0"/>
        </w:rPr>
        <w:t>.3 施工用水、用电</w:t>
      </w:r>
    </w:p>
    <w:p>
      <w:pPr>
        <w:ind w:firstLine="480"/>
        <w:rPr>
          <w:rFonts w:hint="default" w:ascii="Times New Roman" w:hAnsi="Times New Roman" w:eastAsia="仿宋_GB2312" w:cs="Times New Roman"/>
          <w:color w:val="auto"/>
          <w:kern w:val="0"/>
          <w:szCs w:val="24"/>
          <w:lang w:bidi="en-US"/>
        </w:rPr>
      </w:pPr>
      <w:r>
        <w:rPr>
          <w:rFonts w:hint="default" w:ascii="Times New Roman" w:hAnsi="Times New Roman" w:eastAsia="仿宋_GB2312" w:cs="Times New Roman"/>
          <w:color w:val="auto"/>
          <w:kern w:val="0"/>
          <w:szCs w:val="24"/>
          <w:lang w:bidi="en-US"/>
        </w:rPr>
        <w:t>经调查可知，项目施工用水来自市政水源；施工电源从霞穹西街市政电源接入，施工供电可靠有保障。</w:t>
      </w:r>
    </w:p>
    <w:p>
      <w:pPr>
        <w:adjustRightInd w:val="0"/>
        <w:snapToGrid w:val="0"/>
        <w:ind w:firstLine="0" w:firstLineChars="0"/>
        <w:outlineLvl w:val="3"/>
        <w:rPr>
          <w:rFonts w:hint="default" w:ascii="Times New Roman" w:hAnsi="Times New Roman" w:cs="Times New Roman"/>
          <w:b/>
          <w:i/>
          <w:color w:val="auto"/>
          <w:kern w:val="0"/>
        </w:rPr>
      </w:pPr>
      <w:r>
        <w:rPr>
          <w:rFonts w:hint="default" w:ascii="Times New Roman" w:hAnsi="Times New Roman" w:cs="Times New Roman"/>
          <w:b/>
          <w:color w:val="auto"/>
          <w:kern w:val="0"/>
        </w:rPr>
        <w:t>2.2.1.4 施工生产生活区</w:t>
      </w:r>
    </w:p>
    <w:p>
      <w:pPr>
        <w:ind w:firstLine="460" w:firstLineChars="192"/>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本项目临时办公用房及工人食宿均租用民房，没有在项目区内设置临建设施；施工道路依托市政道路银珠西路、霞穹西路等。</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2.2.1.5 临时堆土方案</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rPr>
        <w:t>本项目在原有校园内建设，原始占地类型为公共管理与公共服务用地，项目区内无表土可剥离；建筑挖方临时堆放在建筑占地范围内，不涉及集中堆土区</w:t>
      </w:r>
      <w:r>
        <w:rPr>
          <w:rFonts w:hint="default" w:ascii="Times New Roman" w:hAnsi="Times New Roman" w:eastAsia="仿宋_GB2312" w:cs="Times New Roman"/>
          <w:color w:val="auto"/>
          <w:kern w:val="0"/>
          <w:szCs w:val="24"/>
        </w:rPr>
        <w:t>。</w:t>
      </w:r>
    </w:p>
    <w:p>
      <w:pPr>
        <w:pStyle w:val="4"/>
        <w:spacing w:before="156" w:beforeLines="50"/>
        <w:rPr>
          <w:rFonts w:hint="default" w:ascii="Times New Roman" w:hAnsi="Times New Roman" w:cs="Times New Roman"/>
          <w:color w:val="auto"/>
        </w:rPr>
      </w:pPr>
      <w:bookmarkStart w:id="50" w:name="_Toc199906839"/>
      <w:r>
        <w:rPr>
          <w:rFonts w:hint="default" w:ascii="Times New Roman" w:hAnsi="Times New Roman" w:cs="Times New Roman"/>
          <w:color w:val="auto"/>
        </w:rPr>
        <w:t>2.2.</w:t>
      </w:r>
      <w:r>
        <w:rPr>
          <w:rFonts w:hint="default" w:ascii="Times New Roman" w:hAnsi="Times New Roman" w:cs="Times New Roman"/>
          <w:color w:val="auto"/>
          <w:lang w:val="en-US" w:eastAsia="zh-CN"/>
        </w:rPr>
        <w:t>2</w:t>
      </w:r>
      <w:r>
        <w:rPr>
          <w:rFonts w:hint="default" w:ascii="Times New Roman" w:hAnsi="Times New Roman" w:cs="Times New Roman"/>
          <w:color w:val="auto"/>
        </w:rPr>
        <w:t>施工工艺</w:t>
      </w:r>
      <w:bookmarkEnd w:id="50"/>
    </w:p>
    <w:p>
      <w:pPr>
        <w:pStyle w:val="1102"/>
        <w:rPr>
          <w:rFonts w:hint="default" w:ascii="Times New Roman" w:hAnsi="Times New Roman" w:cs="Times New Roman"/>
          <w:color w:val="auto"/>
        </w:rPr>
      </w:pPr>
      <w:r>
        <w:rPr>
          <w:rFonts w:hint="default" w:ascii="Times New Roman" w:hAnsi="Times New Roman" w:cs="Times New Roman"/>
          <w:color w:val="auto"/>
        </w:rPr>
        <w:t>（1）建筑工程</w:t>
      </w:r>
    </w:p>
    <w:p>
      <w:pPr>
        <w:pStyle w:val="1102"/>
        <w:rPr>
          <w:rFonts w:hint="default" w:ascii="Times New Roman" w:hAnsi="Times New Roman" w:cs="Times New Roman"/>
          <w:color w:val="auto"/>
          <w:szCs w:val="22"/>
        </w:rPr>
      </w:pPr>
      <w:r>
        <w:rPr>
          <w:rFonts w:hint="default" w:ascii="Times New Roman" w:hAnsi="Times New Roman" w:cs="Times New Roman"/>
          <w:color w:val="auto"/>
          <w:szCs w:val="22"/>
        </w:rPr>
        <w:t>独立基础：定位放大样，土方开挖，察看及检验地基承载力是否与设计相符，复合</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"http://www.so.com/s?q=%E8%BD%B4%E7%BA%BF&amp;ie=utf-8&amp;src=internal_wenda_recommend_textn"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轴线</w:t>
      </w:r>
      <w:r>
        <w:rPr>
          <w:rFonts w:hint="default" w:ascii="Times New Roman" w:hAnsi="Times New Roman" w:cs="Times New Roman"/>
          <w:color w:val="auto"/>
        </w:rPr>
        <w:fldChar w:fldCharType="end"/>
      </w:r>
      <w:r>
        <w:rPr>
          <w:rFonts w:hint="default" w:ascii="Times New Roman" w:hAnsi="Times New Roman" w:cs="Times New Roman"/>
          <w:color w:val="auto"/>
          <w:szCs w:val="22"/>
        </w:rPr>
        <w:t>方位、底</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"http://www.so.com/s?q=%E6%A0%87%E9%AB%98&amp;ie=utf-8&amp;src=internal_wenda_recommend_textn"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标高</w:t>
      </w:r>
      <w:r>
        <w:rPr>
          <w:rFonts w:hint="default" w:ascii="Times New Roman" w:hAnsi="Times New Roman" w:cs="Times New Roman"/>
          <w:color w:val="auto"/>
        </w:rPr>
        <w:fldChar w:fldCharType="end"/>
      </w:r>
      <w:r>
        <w:rPr>
          <w:rFonts w:hint="default" w:ascii="Times New Roman" w:hAnsi="Times New Roman" w:cs="Times New Roman"/>
          <w:color w:val="auto"/>
          <w:szCs w:val="22"/>
        </w:rPr>
        <w:t>，倒</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"http://www.so.com/s?q=%E5%9E%AB%E5%B1%82&amp;ie=utf-8&amp;src=internal_wenda_recommend_textn"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垫层</w:t>
      </w:r>
      <w:r>
        <w:rPr>
          <w:rFonts w:hint="default" w:ascii="Times New Roman" w:hAnsi="Times New Roman" w:cs="Times New Roman"/>
          <w:color w:val="auto"/>
        </w:rPr>
        <w:fldChar w:fldCharType="end"/>
      </w:r>
      <w:r>
        <w:rPr>
          <w:rFonts w:hint="default" w:ascii="Times New Roman" w:hAnsi="Times New Roman" w:cs="Times New Roman"/>
          <w:color w:val="auto"/>
          <w:szCs w:val="22"/>
        </w:rPr>
        <w:t>，轴线放样，装</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"http://www.so.com/s?q=%E6%A8%A1%E6%9D%BF&amp;ie=utf-8&amp;src=internal_wenda_recommend_textn"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模板</w:t>
      </w:r>
      <w:r>
        <w:rPr>
          <w:rFonts w:hint="default" w:ascii="Times New Roman" w:hAnsi="Times New Roman" w:cs="Times New Roman"/>
          <w:color w:val="auto"/>
        </w:rPr>
        <w:fldChar w:fldCharType="end"/>
      </w:r>
      <w:r>
        <w:rPr>
          <w:rFonts w:hint="default" w:ascii="Times New Roman" w:hAnsi="Times New Roman" w:cs="Times New Roman"/>
          <w:color w:val="auto"/>
          <w:szCs w:val="22"/>
        </w:rPr>
        <w:t>，安装钢筋，倒</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"http://www.so.com/s?q=%E5%9F%BA%E7%A1%80&amp;ie=utf-8&amp;src=internal_wenda_recommend_textn"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基础</w:t>
      </w:r>
      <w:r>
        <w:rPr>
          <w:rFonts w:hint="default" w:ascii="Times New Roman" w:hAnsi="Times New Roman" w:cs="Times New Roman"/>
          <w:color w:val="auto"/>
        </w:rPr>
        <w:fldChar w:fldCharType="end"/>
      </w:r>
      <w:r>
        <w:rPr>
          <w:rFonts w:hint="default" w:ascii="Times New Roman" w:hAnsi="Times New Roman" w:cs="Times New Roman"/>
          <w:color w:val="auto"/>
          <w:szCs w:val="22"/>
        </w:rPr>
        <w:t>混凝土，技术复核，</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"http://www.so.com/s?q=%E8%B4%A8%E9%87%8F&amp;ie=utf-8&amp;src=internal_wenda_recommend_textn"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质量</w:t>
      </w:r>
      <w:r>
        <w:rPr>
          <w:rFonts w:hint="default" w:ascii="Times New Roman" w:hAnsi="Times New Roman" w:cs="Times New Roman"/>
          <w:color w:val="auto"/>
        </w:rPr>
        <w:fldChar w:fldCharType="end"/>
      </w:r>
      <w:r>
        <w:rPr>
          <w:rFonts w:hint="default" w:ascii="Times New Roman" w:hAnsi="Times New Roman" w:cs="Times New Roman"/>
          <w:color w:val="auto"/>
          <w:szCs w:val="22"/>
        </w:rPr>
        <w:t>检查。</w:t>
      </w:r>
    </w:p>
    <w:p>
      <w:pPr>
        <w:pStyle w:val="1102"/>
        <w:rPr>
          <w:rFonts w:hint="default" w:ascii="Times New Roman" w:hAnsi="Times New Roman" w:cs="Times New Roman"/>
          <w:color w:val="auto"/>
        </w:rPr>
      </w:pPr>
      <w:r>
        <w:rPr>
          <w:rFonts w:hint="default" w:ascii="Times New Roman" w:hAnsi="Times New Roman" w:cs="Times New Roman"/>
          <w:color w:val="auto"/>
        </w:rPr>
        <w:t>（2）管线工程施工工艺</w:t>
      </w:r>
    </w:p>
    <w:p>
      <w:pPr>
        <w:pStyle w:val="1102"/>
        <w:rPr>
          <w:rFonts w:hint="default" w:ascii="Times New Roman" w:hAnsi="Times New Roman" w:cs="Times New Roman"/>
          <w:color w:val="auto"/>
        </w:rPr>
      </w:pPr>
      <w:r>
        <w:rPr>
          <w:rFonts w:hint="default" w:ascii="Times New Roman" w:hAnsi="Times New Roman" w:cs="Times New Roman"/>
          <w:color w:val="auto"/>
        </w:rPr>
        <w:t>无压管采用U-PVC双壁波纹管（环刚度为8kN/m</w:t>
      </w:r>
      <w:r>
        <w:rPr>
          <w:rFonts w:hint="default" w:ascii="Times New Roman" w:hAnsi="Times New Roman" w:cs="Times New Roman"/>
          <w:color w:val="auto"/>
          <w:vertAlign w:val="superscript"/>
        </w:rPr>
        <w:t>2</w:t>
      </w:r>
      <w:r>
        <w:rPr>
          <w:rFonts w:hint="default" w:ascii="Times New Roman" w:hAnsi="Times New Roman" w:cs="Times New Roman"/>
          <w:color w:val="auto"/>
        </w:rPr>
        <w:t>），弹性密封圈柔性承插连接。U-PVC双壁波纹管管材应符合《埋地聚乙烯排水管管道工程技术规程》（CECS164:2004）的要求。</w:t>
      </w:r>
    </w:p>
    <w:p>
      <w:pPr>
        <w:pStyle w:val="1102"/>
        <w:rPr>
          <w:rFonts w:hint="default" w:ascii="Times New Roman" w:hAnsi="Times New Roman" w:cs="Times New Roman"/>
          <w:color w:val="auto"/>
        </w:rPr>
      </w:pPr>
      <w:r>
        <w:rPr>
          <w:rFonts w:hint="default" w:ascii="Times New Roman" w:hAnsi="Times New Roman" w:cs="Times New Roman"/>
          <w:color w:val="auto"/>
        </w:rPr>
        <w:t>管基采用砂砾垫层基础，不得采用刚性基础，并坐落在良好原状土层上，地基土若被扰动，应采取处理措施：扰动150mm以内，可原状土夯实，压实系数≥0.95，扰动150mm以上，可用3:7灰土、卵石、碎石、毛石等填充夯实，压实系数≥0.95，管槽回填土不得回填块石、碎石砖块等带棱角的杂硬物体，并应夯实。埋地塑料排水管应直线敷设，当遇到特殊情况需折线敷设时，应采用柔性连接，其允许偏转角应满足要求。雨水口至雨水井管道管径均为Ф200，坡度为0.01。</w:t>
      </w:r>
    </w:p>
    <w:p>
      <w:pPr>
        <w:pStyle w:val="1102"/>
        <w:rPr>
          <w:rFonts w:hint="default" w:ascii="Times New Roman" w:hAnsi="Times New Roman" w:cs="Times New Roman"/>
          <w:color w:val="auto"/>
        </w:rPr>
      </w:pPr>
      <w:r>
        <w:rPr>
          <w:rFonts w:hint="default" w:ascii="Times New Roman" w:hAnsi="Times New Roman" w:cs="Times New Roman"/>
          <w:color w:val="auto"/>
        </w:rPr>
        <w:t>室外压力排水管采用内外热浸锌镀锌钢管，&gt;DN80卡箍、法兰连接，≤DN80螺纹连接；工作压力为1.60MPa。</w:t>
      </w:r>
    </w:p>
    <w:p>
      <w:pPr>
        <w:pStyle w:val="1102"/>
        <w:rPr>
          <w:rFonts w:hint="default" w:ascii="Times New Roman" w:hAnsi="Times New Roman" w:cs="Times New Roman"/>
          <w:color w:val="auto"/>
        </w:rPr>
      </w:pPr>
      <w:r>
        <w:rPr>
          <w:rFonts w:hint="default" w:ascii="Times New Roman" w:hAnsi="Times New Roman" w:cs="Times New Roman"/>
          <w:color w:val="auto"/>
        </w:rPr>
        <w:t>管道保护：所有车行道下排水管道覆土厚度均不得低于700mm，不满足的，应设钢套管或管沟保护。</w:t>
      </w:r>
    </w:p>
    <w:p>
      <w:pPr>
        <w:pStyle w:val="1102"/>
        <w:rPr>
          <w:rFonts w:hint="default" w:ascii="Times New Roman" w:hAnsi="Times New Roman" w:cs="Times New Roman"/>
          <w:color w:val="auto"/>
        </w:rPr>
      </w:pPr>
      <w:r>
        <w:rPr>
          <w:rFonts w:hint="default" w:ascii="Times New Roman" w:hAnsi="Times New Roman" w:cs="Times New Roman"/>
          <w:color w:val="auto"/>
        </w:rPr>
        <w:t>管沟开挖出的土方临时堆存于管沟一侧或两侧，验槽、下管检查后及时回填。</w:t>
      </w:r>
    </w:p>
    <w:p>
      <w:pPr>
        <w:pStyle w:val="3"/>
        <w:suppressAutoHyphens/>
        <w:spacing w:before="156" w:beforeLines="50" w:after="156" w:afterLines="50"/>
        <w:rPr>
          <w:rFonts w:hint="default" w:ascii="Times New Roman" w:hAnsi="Times New Roman" w:cs="Times New Roman"/>
          <w:color w:val="auto"/>
          <w:kern w:val="0"/>
        </w:rPr>
      </w:pPr>
      <w:bookmarkStart w:id="51" w:name="_Toc6682"/>
      <w:bookmarkStart w:id="52" w:name="_Toc415927820"/>
      <w:r>
        <w:rPr>
          <w:rFonts w:hint="default" w:ascii="Times New Roman" w:hAnsi="Times New Roman" w:cs="Times New Roman"/>
          <w:color w:val="auto"/>
          <w:kern w:val="0"/>
        </w:rPr>
        <w:t>2.3 工程占地</w:t>
      </w:r>
      <w:bookmarkEnd w:id="51"/>
      <w:bookmarkEnd w:id="52"/>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根据施工图设计</w:t>
      </w:r>
      <w:r>
        <w:rPr>
          <w:rFonts w:hint="default" w:ascii="Times New Roman" w:hAnsi="Times New Roman" w:eastAsia="仿宋_GB2312" w:cs="Times New Roman"/>
          <w:color w:val="auto"/>
          <w:kern w:val="0"/>
          <w:lang w:val="en-US" w:eastAsia="zh-CN"/>
        </w:rPr>
        <w:t>及</w:t>
      </w:r>
      <w:r>
        <w:rPr>
          <w:rFonts w:hint="default" w:ascii="Times New Roman" w:hAnsi="Times New Roman" w:eastAsia="仿宋_GB2312" w:cs="Times New Roman"/>
          <w:color w:val="auto"/>
          <w:kern w:val="0"/>
        </w:rPr>
        <w:t>《红原县国土资源局关于红原县2015年薄弱学校改造项目建设用地的预审意见》（红国土资源【2016】11号），项目总占地0.</w:t>
      </w:r>
      <w:r>
        <w:rPr>
          <w:rFonts w:hint="default" w:ascii="Times New Roman" w:hAnsi="Times New Roman" w:eastAsia="仿宋_GB2312" w:cs="Times New Roman"/>
          <w:color w:val="auto"/>
          <w:kern w:val="0"/>
          <w:lang w:val="en-US" w:eastAsia="zh-CN"/>
        </w:rPr>
        <w:t>43</w:t>
      </w:r>
      <w:r>
        <w:rPr>
          <w:rFonts w:hint="default" w:ascii="Times New Roman" w:hAnsi="Times New Roman" w:eastAsia="仿宋_GB2312" w:cs="Times New Roman"/>
          <w:color w:val="auto"/>
          <w:kern w:val="0"/>
        </w:rPr>
        <w:t>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，均为永久占地，不涉及代征、代建用地</w:t>
      </w:r>
      <w:r>
        <w:rPr>
          <w:rFonts w:hint="default" w:ascii="Times New Roman" w:hAnsi="Times New Roman" w:eastAsia="仿宋_GB2312" w:cs="Times New Roman"/>
          <w:color w:val="auto"/>
          <w:kern w:val="0"/>
          <w:lang w:eastAsia="zh-CN"/>
        </w:rPr>
        <w:t>，</w:t>
      </w:r>
      <w:r>
        <w:rPr>
          <w:rFonts w:hint="default" w:ascii="Times New Roman" w:hAnsi="Times New Roman" w:eastAsia="仿宋_GB2312" w:cs="Times New Roman"/>
          <w:color w:val="auto"/>
          <w:kern w:val="0"/>
          <w:lang w:val="en-US" w:eastAsia="zh-CN"/>
        </w:rPr>
        <w:t>其中建筑占地0.09</w:t>
      </w:r>
      <w:r>
        <w:rPr>
          <w:rFonts w:hint="default" w:ascii="Times New Roman" w:hAnsi="Times New Roman" w:eastAsia="仿宋_GB2312" w:cs="Times New Roman"/>
          <w:color w:val="auto"/>
          <w:kern w:val="0"/>
        </w:rPr>
        <w:t>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vertAlign w:val="baseline"/>
          <w:lang w:eastAsia="zh-CN"/>
        </w:rPr>
        <w:t>、</w:t>
      </w:r>
      <w:r>
        <w:rPr>
          <w:rFonts w:hint="default" w:ascii="Times New Roman" w:hAnsi="Times New Roman" w:eastAsia="仿宋_GB2312" w:cs="Times New Roman"/>
          <w:color w:val="auto"/>
          <w:kern w:val="0"/>
          <w:vertAlign w:val="baseline"/>
          <w:lang w:val="en-US" w:eastAsia="zh-CN"/>
        </w:rPr>
        <w:t>周边管线施工扰动面积0.34</w:t>
      </w:r>
      <w:r>
        <w:rPr>
          <w:rFonts w:hint="default" w:ascii="Times New Roman" w:hAnsi="Times New Roman" w:eastAsia="仿宋_GB2312" w:cs="Times New Roman"/>
          <w:color w:val="auto"/>
          <w:kern w:val="0"/>
        </w:rPr>
        <w:t>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；占地类型为公共管理与公共服务用地</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kern w:val="0"/>
        </w:rPr>
        <w:t>占地类型情况见表2-6。</w:t>
      </w:r>
    </w:p>
    <w:p>
      <w:pPr>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表2-6   项目占地情况表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99"/>
        <w:gridCol w:w="1233"/>
        <w:gridCol w:w="2691"/>
        <w:gridCol w:w="29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96" w:type="pct"/>
            <w:vMerge w:val="restart"/>
            <w:vAlign w:val="center"/>
          </w:tcPr>
          <w:p>
            <w:pPr>
              <w:widowControl/>
              <w:spacing w:line="240" w:lineRule="auto"/>
              <w:ind w:firstLine="0" w:firstLineChars="0"/>
              <w:jc w:val="center"/>
              <w:rPr>
                <w:rFonts w:hint="default" w:ascii="Times New Roman" w:hAnsi="Times New Roman" w:cs="Times New Roman"/>
                <w:color w:val="auto"/>
                <w:kern w:val="0"/>
                <w:sz w:val="18"/>
                <w:szCs w:val="18"/>
              </w:rPr>
            </w:pPr>
            <w:bookmarkStart w:id="53" w:name="_Toc415927821"/>
            <w:r>
              <w:rPr>
                <w:rFonts w:hint="default" w:ascii="Times New Roman" w:hAnsi="Times New Roman" w:eastAsia="仿宋_GB2312" w:cs="Times New Roman"/>
                <w:color w:val="auto"/>
                <w:kern w:val="0"/>
                <w:sz w:val="18"/>
                <w:szCs w:val="18"/>
              </w:rPr>
              <w:t>工程组成</w:t>
            </w:r>
          </w:p>
        </w:tc>
        <w:tc>
          <w:tcPr>
            <w:tcW w:w="723" w:type="pct"/>
            <w:vMerge w:val="restar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合计（hm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1578" w:type="pct"/>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占地类型（hm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1704" w:type="pct"/>
            <w:vMerge w:val="restar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占地性质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96" w:type="pct"/>
            <w:vMerge w:val="continue"/>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723" w:type="pct"/>
            <w:vMerge w:val="continue"/>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157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rPr>
              <w:t>公共管理与公共服务用地</w:t>
            </w:r>
          </w:p>
        </w:tc>
        <w:tc>
          <w:tcPr>
            <w:tcW w:w="1704"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9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w:t>
            </w:r>
          </w:p>
        </w:tc>
        <w:tc>
          <w:tcPr>
            <w:tcW w:w="72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157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170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永久占地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9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附属工程</w:t>
            </w:r>
          </w:p>
        </w:tc>
        <w:tc>
          <w:tcPr>
            <w:tcW w:w="72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0.34</w:t>
            </w:r>
          </w:p>
        </w:tc>
        <w:tc>
          <w:tcPr>
            <w:tcW w:w="157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0.34</w:t>
            </w:r>
          </w:p>
        </w:tc>
        <w:tc>
          <w:tcPr>
            <w:tcW w:w="170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永久占地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99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72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43</w:t>
            </w:r>
          </w:p>
        </w:tc>
        <w:tc>
          <w:tcPr>
            <w:tcW w:w="157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43</w:t>
            </w:r>
          </w:p>
        </w:tc>
        <w:tc>
          <w:tcPr>
            <w:tcW w:w="170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bl>
    <w:p>
      <w:pPr>
        <w:pStyle w:val="1102"/>
        <w:spacing w:line="240" w:lineRule="auto"/>
        <w:rPr>
          <w:rFonts w:hint="default" w:ascii="Times New Roman" w:hAnsi="Times New Roman" w:cs="Times New Roman"/>
          <w:color w:val="auto"/>
        </w:rPr>
      </w:pPr>
    </w:p>
    <w:p>
      <w:pPr>
        <w:pStyle w:val="3"/>
        <w:suppressAutoHyphens/>
        <w:spacing w:before="156" w:beforeLines="50" w:after="156" w:afterLines="50"/>
        <w:rPr>
          <w:rFonts w:hint="default" w:ascii="Times New Roman" w:hAnsi="Times New Roman" w:cs="Times New Roman"/>
          <w:color w:val="auto"/>
          <w:kern w:val="0"/>
        </w:rPr>
      </w:pPr>
      <w:bookmarkStart w:id="54" w:name="_Toc31264"/>
      <w:r>
        <w:rPr>
          <w:rFonts w:hint="default" w:ascii="Times New Roman" w:hAnsi="Times New Roman" w:cs="Times New Roman"/>
          <w:color w:val="auto"/>
          <w:kern w:val="0"/>
        </w:rPr>
        <w:t>2.4土石方平衡</w:t>
      </w:r>
      <w:bookmarkEnd w:id="53"/>
      <w:bookmarkEnd w:id="54"/>
    </w:p>
    <w:p>
      <w:pPr>
        <w:pStyle w:val="1102"/>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本项目土石方总开挖量0.15万m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总回填方量0.</w:t>
      </w:r>
      <w:r>
        <w:rPr>
          <w:rFonts w:hint="default" w:ascii="Times New Roman" w:hAnsi="Times New Roman" w:eastAsia="仿宋_GB2312" w:cs="Times New Roman"/>
          <w:color w:val="auto"/>
          <w:lang w:val="en-US" w:eastAsia="zh-CN"/>
        </w:rPr>
        <w:t>09</w:t>
      </w:r>
      <w:r>
        <w:rPr>
          <w:rFonts w:hint="default" w:ascii="Times New Roman" w:hAnsi="Times New Roman" w:eastAsia="仿宋_GB2312" w:cs="Times New Roman"/>
          <w:color w:val="auto"/>
        </w:rPr>
        <w:t>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余方0.06</w:t>
      </w:r>
      <w:r>
        <w:rPr>
          <w:rFonts w:hint="default" w:ascii="Times New Roman" w:hAnsi="Times New Roman" w:eastAsia="仿宋_GB2312" w:cs="Times New Roman"/>
          <w:color w:val="auto"/>
        </w:rPr>
        <w:t>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vertAlign w:val="baseline"/>
          <w:lang w:eastAsia="zh-CN"/>
        </w:rPr>
        <w:t>，</w:t>
      </w:r>
      <w:r>
        <w:rPr>
          <w:rFonts w:hint="default" w:ascii="Times New Roman" w:hAnsi="Times New Roman" w:cs="Times New Roman"/>
          <w:color w:val="auto"/>
          <w:kern w:val="0"/>
          <w:vertAlign w:val="baseline"/>
          <w:lang w:val="en-US" w:eastAsia="zh-CN"/>
        </w:rPr>
        <w:t>图书馆周围在硬质铺装前需回填土方，建筑基础余方回填这些区域，经夯实后不影响室外设计高程，余方在场地回填处置合理</w:t>
      </w: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rPr>
        <w:t>（土石方均为自然方）。</w:t>
      </w:r>
    </w:p>
    <w:p>
      <w:pPr>
        <w:pStyle w:val="4"/>
        <w:spacing w:before="156" w:beforeLines="50"/>
        <w:rPr>
          <w:rFonts w:hint="default" w:ascii="Times New Roman" w:hAnsi="Times New Roman" w:cs="Times New Roman"/>
          <w:color w:val="auto"/>
        </w:rPr>
      </w:pPr>
      <w:r>
        <w:rPr>
          <w:rFonts w:hint="default" w:ascii="Times New Roman" w:hAnsi="Times New Roman" w:cs="Times New Roman"/>
          <w:color w:val="auto"/>
        </w:rPr>
        <w:t>2.4.1表土剥离及回铺</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kern w:val="0"/>
        </w:rPr>
        <w:t>本项目在原有校园内建设，原始占地类型为公共管理与公共服务用地，项目区内无表土可剥离</w:t>
      </w:r>
      <w:r>
        <w:rPr>
          <w:rFonts w:hint="default" w:ascii="Times New Roman" w:hAnsi="Times New Roman" w:eastAsia="仿宋_GB2312" w:cs="Times New Roman"/>
          <w:color w:val="auto"/>
        </w:rPr>
        <w:t>。</w:t>
      </w:r>
    </w:p>
    <w:p>
      <w:pPr>
        <w:pStyle w:val="4"/>
        <w:spacing w:before="156" w:beforeLines="50"/>
        <w:rPr>
          <w:rFonts w:hint="default" w:ascii="Times New Roman" w:hAnsi="Times New Roman" w:cs="Times New Roman"/>
          <w:color w:val="auto"/>
        </w:rPr>
      </w:pPr>
      <w:r>
        <w:rPr>
          <w:rFonts w:hint="default" w:ascii="Times New Roman" w:hAnsi="Times New Roman" w:cs="Times New Roman"/>
          <w:color w:val="auto"/>
        </w:rPr>
        <w:t>2.4.2土石方平衡</w:t>
      </w:r>
      <w:r>
        <w:rPr>
          <w:rFonts w:hint="default" w:ascii="Times New Roman" w:hAnsi="Times New Roman" w:cs="Times New Roman"/>
          <w:color w:val="auto"/>
        </w:rPr>
        <w:tab/>
      </w:r>
    </w:p>
    <w:p>
      <w:pPr>
        <w:pStyle w:val="1102"/>
        <w:ind w:firstLine="482"/>
        <w:rPr>
          <w:rFonts w:hint="default" w:ascii="Times New Roman" w:hAnsi="Times New Roman" w:cs="Times New Roman"/>
          <w:b/>
          <w:color w:val="auto"/>
        </w:rPr>
      </w:pPr>
      <w:r>
        <w:rPr>
          <w:rFonts w:hint="default" w:ascii="Times New Roman" w:hAnsi="Times New Roman" w:cs="Times New Roman"/>
          <w:b/>
          <w:color w:val="auto"/>
        </w:rPr>
        <w:t>（1）主体工程（建筑工程）：</w:t>
      </w:r>
    </w:p>
    <w:p>
      <w:pPr>
        <w:pStyle w:val="1102"/>
        <w:rPr>
          <w:rFonts w:hint="default" w:ascii="Times New Roman" w:hAnsi="Times New Roman" w:cs="Times New Roman"/>
          <w:color w:val="auto"/>
        </w:rPr>
      </w:pPr>
      <w:r>
        <w:rPr>
          <w:rFonts w:hint="default" w:ascii="Times New Roman" w:hAnsi="Times New Roman" w:cs="Times New Roman"/>
          <w:color w:val="auto"/>
        </w:rPr>
        <w:t>根据主体工程施工图设计，项目建设不涉地下室，藏文图书馆采用独立基础，基础挖深2.0m。</w:t>
      </w:r>
      <w:r>
        <w:rPr>
          <w:rFonts w:hint="default" w:ascii="Times New Roman" w:hAnsi="Times New Roman" w:cs="Times New Roman"/>
          <w:color w:val="auto"/>
          <w:kern w:val="0"/>
        </w:rPr>
        <w:t>挖方量0.10万m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，基坑回填0.04万m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rPr>
        <w:t>，余方0.06万m</w:t>
      </w:r>
      <w:r>
        <w:rPr>
          <w:rFonts w:hint="default" w:ascii="Times New Roman" w:hAnsi="Times New Roman" w:cs="Times New Roman"/>
          <w:color w:val="auto"/>
          <w:kern w:val="0"/>
          <w:vertAlign w:val="superscript"/>
        </w:rPr>
        <w:t>3</w:t>
      </w:r>
      <w:r>
        <w:rPr>
          <w:rFonts w:hint="default" w:ascii="Times New Roman" w:hAnsi="Times New Roman" w:cs="Times New Roman"/>
          <w:color w:val="auto"/>
          <w:kern w:val="0"/>
          <w:vertAlign w:val="baseline"/>
          <w:lang w:eastAsia="zh-CN"/>
        </w:rPr>
        <w:t>；</w:t>
      </w:r>
      <w:r>
        <w:rPr>
          <w:rFonts w:hint="default" w:ascii="Times New Roman" w:hAnsi="Times New Roman" w:cs="Times New Roman"/>
          <w:color w:val="auto"/>
          <w:kern w:val="0"/>
          <w:vertAlign w:val="baseline"/>
          <w:lang w:val="en-US" w:eastAsia="zh-CN"/>
        </w:rPr>
        <w:t>图书馆周围在硬质铺装前需回填土方，建筑基础余方回填这些区域，经夯实后不影响室外设计高程，余方在场地回填处置合理。</w:t>
      </w:r>
    </w:p>
    <w:p>
      <w:pPr>
        <w:pStyle w:val="1102"/>
        <w:ind w:firstLine="482"/>
        <w:rPr>
          <w:rFonts w:hint="default" w:ascii="Times New Roman" w:hAnsi="Times New Roman" w:cs="Times New Roman"/>
          <w:b/>
          <w:color w:val="auto"/>
        </w:rPr>
      </w:pPr>
      <w:r>
        <w:rPr>
          <w:rFonts w:hint="default" w:ascii="Times New Roman" w:hAnsi="Times New Roman" w:cs="Times New Roman"/>
          <w:b/>
          <w:color w:val="auto"/>
        </w:rPr>
        <w:t>（2）附属工程：</w:t>
      </w:r>
    </w:p>
    <w:p>
      <w:pPr>
        <w:pStyle w:val="1102"/>
        <w:rPr>
          <w:rFonts w:hint="default" w:ascii="Times New Roman" w:hAnsi="Times New Roman" w:cs="Times New Roman"/>
          <w:color w:val="auto"/>
          <w:kern w:val="0"/>
        </w:rPr>
      </w:pPr>
      <w:r>
        <w:rPr>
          <w:rFonts w:hint="default" w:ascii="Times New Roman" w:hAnsi="Times New Roman" w:cs="Times New Roman"/>
          <w:color w:val="auto"/>
        </w:rPr>
        <w:t>附属工程（综合管线）：根据完工结算量，综合管线挖方0.05万m</w:t>
      </w:r>
      <w:r>
        <w:rPr>
          <w:rFonts w:hint="default" w:ascii="Times New Roman" w:hAnsi="Times New Roman" w:cs="Times New Roman"/>
          <w:color w:val="auto"/>
          <w:vertAlign w:val="superscript"/>
        </w:rPr>
        <w:t>3</w:t>
      </w:r>
      <w:r>
        <w:rPr>
          <w:rFonts w:hint="default" w:ascii="Times New Roman" w:hAnsi="Times New Roman" w:cs="Times New Roman"/>
          <w:color w:val="auto"/>
        </w:rPr>
        <w:t>，管线沟槽及周边回填0.05万m</w:t>
      </w:r>
      <w:r>
        <w:rPr>
          <w:rFonts w:hint="default" w:ascii="Times New Roman" w:hAnsi="Times New Roman" w:cs="Times New Roman"/>
          <w:color w:val="auto"/>
          <w:vertAlign w:val="superscript"/>
        </w:rPr>
        <w:t>3</w:t>
      </w:r>
      <w:r>
        <w:rPr>
          <w:rFonts w:hint="default" w:ascii="Times New Roman" w:hAnsi="Times New Roman" w:cs="Times New Roman"/>
          <w:color w:val="auto"/>
          <w:kern w:val="0"/>
        </w:rPr>
        <w:t>。土石方平衡见表2-7，土石方流向图2.3。</w:t>
      </w:r>
    </w:p>
    <w:p>
      <w:pPr>
        <w:pStyle w:val="1102"/>
        <w:bidi w:val="0"/>
        <w:rPr>
          <w:rFonts w:hint="default" w:ascii="Times New Roman" w:hAnsi="Times New Roman" w:cs="Times New Roman"/>
          <w:color w:val="auto"/>
        </w:rPr>
      </w:pPr>
    </w:p>
    <w:p>
      <w:pPr>
        <w:pStyle w:val="1102"/>
        <w:bidi w:val="0"/>
        <w:rPr>
          <w:rFonts w:hint="default" w:ascii="Times New Roman" w:hAnsi="Times New Roman" w:cs="Times New Roman"/>
          <w:color w:val="auto"/>
        </w:rPr>
      </w:pPr>
    </w:p>
    <w:p>
      <w:pPr>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表2-7   工程土石方平衡一览表（单位：万m</w:t>
      </w:r>
      <w:r>
        <w:rPr>
          <w:rFonts w:hint="default" w:ascii="Times New Roman" w:hAnsi="Times New Roman" w:eastAsia="仿宋_GB2312" w:cs="Times New Roman"/>
          <w:b/>
          <w:color w:val="auto"/>
          <w:kern w:val="0"/>
          <w:sz w:val="21"/>
          <w:szCs w:val="21"/>
          <w:vertAlign w:val="superscript"/>
        </w:rPr>
        <w:t>3</w:t>
      </w:r>
      <w:r>
        <w:rPr>
          <w:rFonts w:hint="default" w:ascii="Times New Roman" w:hAnsi="Times New Roman" w:eastAsia="仿宋_GB2312" w:cs="Times New Roman"/>
          <w:b/>
          <w:color w:val="auto"/>
          <w:kern w:val="0"/>
          <w:sz w:val="21"/>
          <w:szCs w:val="21"/>
        </w:rPr>
        <w:t>）</w:t>
      </w:r>
    </w:p>
    <w:tbl>
      <w:tblPr>
        <w:tblStyle w:val="61"/>
        <w:tblpPr w:leftFromText="180" w:rightFromText="180" w:vertAnchor="text" w:horzAnchor="margin" w:tblpXSpec="center" w:tblpY="66"/>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6"/>
        <w:gridCol w:w="587"/>
        <w:gridCol w:w="584"/>
        <w:gridCol w:w="584"/>
        <w:gridCol w:w="597"/>
        <w:gridCol w:w="587"/>
        <w:gridCol w:w="744"/>
        <w:gridCol w:w="427"/>
        <w:gridCol w:w="463"/>
        <w:gridCol w:w="539"/>
        <w:gridCol w:w="541"/>
        <w:gridCol w:w="589"/>
        <w:gridCol w:w="7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blHeader/>
        </w:trPr>
        <w:tc>
          <w:tcPr>
            <w:tcW w:w="894"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工程组成</w:t>
            </w: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挖方</w:t>
            </w:r>
          </w:p>
        </w:tc>
        <w:tc>
          <w:tcPr>
            <w:tcW w:w="1034" w:type="pct"/>
            <w:gridSpan w:val="3"/>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回填</w:t>
            </w:r>
          </w:p>
        </w:tc>
        <w:tc>
          <w:tcPr>
            <w:tcW w:w="780"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调入</w:t>
            </w:r>
          </w:p>
        </w:tc>
        <w:tc>
          <w:tcPr>
            <w:tcW w:w="521"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调出</w:t>
            </w:r>
          </w:p>
        </w:tc>
        <w:tc>
          <w:tcPr>
            <w:tcW w:w="633"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外借</w:t>
            </w:r>
          </w:p>
        </w:tc>
        <w:tc>
          <w:tcPr>
            <w:tcW w:w="790"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余方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blHeader/>
        </w:trPr>
        <w:tc>
          <w:tcPr>
            <w:tcW w:w="894" w:type="pct"/>
            <w:vMerge w:val="continue"/>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344"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基础</w:t>
            </w:r>
          </w:p>
        </w:tc>
        <w:tc>
          <w:tcPr>
            <w:tcW w:w="34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场平</w:t>
            </w:r>
          </w:p>
        </w:tc>
        <w:tc>
          <w:tcPr>
            <w:tcW w:w="34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基础</w:t>
            </w:r>
          </w:p>
        </w:tc>
        <w:tc>
          <w:tcPr>
            <w:tcW w:w="350"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小计</w:t>
            </w: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数量</w:t>
            </w:r>
          </w:p>
        </w:tc>
        <w:tc>
          <w:tcPr>
            <w:tcW w:w="43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来源</w:t>
            </w:r>
          </w:p>
        </w:tc>
        <w:tc>
          <w:tcPr>
            <w:tcW w:w="25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数量</w:t>
            </w:r>
          </w:p>
        </w:tc>
        <w:tc>
          <w:tcPr>
            <w:tcW w:w="27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去向</w:t>
            </w:r>
          </w:p>
        </w:tc>
        <w:tc>
          <w:tcPr>
            <w:tcW w:w="31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数量</w:t>
            </w:r>
          </w:p>
        </w:tc>
        <w:tc>
          <w:tcPr>
            <w:tcW w:w="31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来源</w:t>
            </w:r>
          </w:p>
        </w:tc>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数量</w:t>
            </w:r>
          </w:p>
        </w:tc>
        <w:tc>
          <w:tcPr>
            <w:tcW w:w="4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89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（1）主体工程</w:t>
            </w: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0.10</w:t>
            </w:r>
          </w:p>
        </w:tc>
        <w:tc>
          <w:tcPr>
            <w:tcW w:w="34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04</w:t>
            </w:r>
          </w:p>
        </w:tc>
        <w:tc>
          <w:tcPr>
            <w:tcW w:w="35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04</w:t>
            </w:r>
          </w:p>
        </w:tc>
        <w:tc>
          <w:tcPr>
            <w:tcW w:w="344"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43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5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7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1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1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0.06</w:t>
            </w:r>
          </w:p>
        </w:tc>
        <w:tc>
          <w:tcPr>
            <w:tcW w:w="4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项目区摊铺回填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89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（2）附属工程</w:t>
            </w: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0.05</w:t>
            </w:r>
          </w:p>
        </w:tc>
        <w:tc>
          <w:tcPr>
            <w:tcW w:w="34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0.05</w:t>
            </w:r>
          </w:p>
        </w:tc>
        <w:tc>
          <w:tcPr>
            <w:tcW w:w="35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0.05</w:t>
            </w:r>
          </w:p>
        </w:tc>
        <w:tc>
          <w:tcPr>
            <w:tcW w:w="344"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436"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25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7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1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1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45"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89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
                <w:color w:val="auto"/>
                <w:kern w:val="0"/>
                <w:sz w:val="18"/>
                <w:szCs w:val="18"/>
              </w:rPr>
              <w:t>0.15</w:t>
            </w:r>
          </w:p>
        </w:tc>
        <w:tc>
          <w:tcPr>
            <w:tcW w:w="34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09</w:t>
            </w:r>
          </w:p>
        </w:tc>
        <w:tc>
          <w:tcPr>
            <w:tcW w:w="350"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rPr>
              <w:t>0.</w:t>
            </w:r>
            <w:r>
              <w:rPr>
                <w:rFonts w:hint="default" w:ascii="Times New Roman" w:hAnsi="Times New Roman" w:eastAsia="仿宋_GB2312" w:cs="Times New Roman"/>
                <w:b/>
                <w:color w:val="auto"/>
                <w:kern w:val="0"/>
                <w:sz w:val="18"/>
                <w:szCs w:val="18"/>
                <w:lang w:val="en-US" w:eastAsia="zh-CN"/>
              </w:rPr>
              <w:t>09</w:t>
            </w:r>
          </w:p>
        </w:tc>
        <w:tc>
          <w:tcPr>
            <w:tcW w:w="344"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36"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25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71"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316"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31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4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0.06</w:t>
            </w:r>
          </w:p>
        </w:tc>
        <w:tc>
          <w:tcPr>
            <w:tcW w:w="445" w:type="pct"/>
            <w:vAlign w:val="center"/>
          </w:tcPr>
          <w:p>
            <w:pPr>
              <w:widowControl/>
              <w:spacing w:line="240" w:lineRule="auto"/>
              <w:ind w:left="0" w:leftChars="0" w:firstLine="0" w:firstLineChars="0"/>
              <w:jc w:val="both"/>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项目区摊铺回填</w:t>
            </w:r>
          </w:p>
        </w:tc>
      </w:tr>
    </w:tbl>
    <w:p>
      <w:pPr>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注：土石方均为自然方。“开挖+调入+外购=回填+调出+废弃”</w:t>
      </w:r>
    </w:p>
    <w:p>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object>
          <v:shape id="_x0000_i1025" o:spt="75" type="#_x0000_t75" style="height:152.5pt;width:405.5pt;" o:ole="t" filled="f" o:preferrelative="t" stroked="f" coordsize="21600,21600">
            <v:path/>
            <v:fill on="f" focussize="0,0"/>
            <v:stroke on="f"/>
            <v:imagedata r:id="rId28" o:title=""/>
            <o:lock v:ext="edit" aspectratio="f"/>
            <w10:wrap type="none"/>
            <w10:anchorlock/>
          </v:shape>
          <o:OLEObject Type="Embed" ProgID="Visio.Drawing.11" ShapeID="_x0000_i1025" DrawAspect="Content" ObjectID="_1468075725" r:id="rId27">
            <o:LockedField>false</o:LockedField>
          </o:OLEObject>
        </w:object>
      </w:r>
    </w:p>
    <w:p>
      <w:pPr>
        <w:spacing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图2.3   土石方流向框图（单位：万m</w:t>
      </w:r>
      <w:r>
        <w:rPr>
          <w:rFonts w:hint="default" w:ascii="Times New Roman" w:hAnsi="Times New Roman" w:eastAsia="仿宋_GB2312" w:cs="Times New Roman"/>
          <w:b/>
          <w:color w:val="auto"/>
          <w:sz w:val="21"/>
          <w:szCs w:val="21"/>
          <w:vertAlign w:val="superscript"/>
        </w:rPr>
        <w:t>3</w:t>
      </w:r>
      <w:r>
        <w:rPr>
          <w:rFonts w:hint="default" w:ascii="Times New Roman" w:hAnsi="Times New Roman" w:eastAsia="仿宋_GB2312" w:cs="Times New Roman"/>
          <w:b/>
          <w:color w:val="auto"/>
          <w:sz w:val="21"/>
          <w:szCs w:val="21"/>
        </w:rPr>
        <w:t>，自然方）</w:t>
      </w:r>
    </w:p>
    <w:p>
      <w:pPr>
        <w:pStyle w:val="3"/>
        <w:suppressAutoHyphens/>
        <w:spacing w:before="156" w:beforeLines="50" w:after="156" w:afterLines="50"/>
        <w:rPr>
          <w:rFonts w:hint="default" w:ascii="Times New Roman" w:hAnsi="Times New Roman" w:cs="Times New Roman"/>
          <w:color w:val="auto"/>
          <w:kern w:val="0"/>
        </w:rPr>
      </w:pPr>
      <w:bookmarkStart w:id="55" w:name="_Toc11842"/>
      <w:bookmarkStart w:id="56" w:name="_Toc197707976"/>
      <w:bookmarkStart w:id="57" w:name="_Toc207619396"/>
      <w:bookmarkStart w:id="58" w:name="_Toc205281465"/>
      <w:bookmarkStart w:id="59" w:name="_Toc415927822"/>
      <w:bookmarkStart w:id="60" w:name="_Toc199906840"/>
      <w:r>
        <w:rPr>
          <w:rFonts w:hint="default" w:ascii="Times New Roman" w:hAnsi="Times New Roman" w:cs="Times New Roman"/>
          <w:color w:val="auto"/>
          <w:kern w:val="0"/>
        </w:rPr>
        <w:t>2.5 拆迁（移民）安置与专项设施改（迁）建</w:t>
      </w:r>
      <w:bookmarkEnd w:id="55"/>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本项目在原有校园内建设，不涉及拆迁安置，专项设施迁建、改建等。</w:t>
      </w:r>
    </w:p>
    <w:p>
      <w:pPr>
        <w:pStyle w:val="3"/>
        <w:suppressAutoHyphens/>
        <w:spacing w:before="156" w:beforeLines="50" w:after="156" w:afterLines="50"/>
        <w:ind w:firstLine="281" w:firstLineChars="100"/>
        <w:rPr>
          <w:rFonts w:hint="default" w:ascii="Times New Roman" w:hAnsi="Times New Roman" w:cs="Times New Roman"/>
          <w:color w:val="auto"/>
          <w:kern w:val="0"/>
        </w:rPr>
      </w:pPr>
      <w:bookmarkStart w:id="61" w:name="_Toc9199"/>
      <w:bookmarkStart w:id="62" w:name="_Toc336086578"/>
      <w:r>
        <w:rPr>
          <w:rFonts w:hint="default" w:ascii="Times New Roman" w:hAnsi="Times New Roman" w:cs="Times New Roman"/>
          <w:color w:val="auto"/>
          <w:kern w:val="0"/>
        </w:rPr>
        <w:t>2.6进度安排</w:t>
      </w:r>
      <w:bookmarkEnd w:id="61"/>
      <w:bookmarkEnd w:id="62"/>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本项目已于2016年11月动工，</w:t>
      </w:r>
      <w:r>
        <w:rPr>
          <w:rFonts w:hint="default" w:ascii="Times New Roman" w:hAnsi="Times New Roman" w:eastAsia="仿宋_GB2312" w:cs="Times New Roman"/>
          <w:color w:val="auto"/>
          <w:kern w:val="0"/>
        </w:rPr>
        <w:t>2017年11月完工，总工期13个月。</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主体工程（建筑工程）：2016年11月～2017年7月；</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附属工程：2017年7月～11月。工程施工进度详见表2-8。</w:t>
      </w:r>
    </w:p>
    <w:p>
      <w:pPr>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表2-8   工程施工进度安排表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60"/>
        <w:gridCol w:w="525"/>
        <w:gridCol w:w="525"/>
        <w:gridCol w:w="524"/>
        <w:gridCol w:w="524"/>
        <w:gridCol w:w="488"/>
        <w:gridCol w:w="491"/>
        <w:gridCol w:w="617"/>
        <w:gridCol w:w="547"/>
        <w:gridCol w:w="691"/>
        <w:gridCol w:w="611"/>
        <w:gridCol w:w="611"/>
        <w:gridCol w:w="609"/>
        <w:gridCol w:w="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80"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项目名称</w:t>
            </w:r>
          </w:p>
        </w:tc>
        <w:tc>
          <w:tcPr>
            <w:tcW w:w="61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2016年</w:t>
            </w:r>
          </w:p>
        </w:tc>
        <w:tc>
          <w:tcPr>
            <w:tcW w:w="3704" w:type="pct"/>
            <w:gridSpan w:val="11"/>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2017年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80"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11月</w:t>
            </w:r>
          </w:p>
        </w:tc>
        <w:tc>
          <w:tcPr>
            <w:tcW w:w="3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12月</w:t>
            </w:r>
          </w:p>
        </w:tc>
        <w:tc>
          <w:tcPr>
            <w:tcW w:w="30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1月</w:t>
            </w:r>
          </w:p>
        </w:tc>
        <w:tc>
          <w:tcPr>
            <w:tcW w:w="30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2月</w:t>
            </w:r>
          </w:p>
        </w:tc>
        <w:tc>
          <w:tcPr>
            <w:tcW w:w="28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3月</w:t>
            </w:r>
          </w:p>
        </w:tc>
        <w:tc>
          <w:tcPr>
            <w:tcW w:w="28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4月</w:t>
            </w:r>
          </w:p>
        </w:tc>
        <w:tc>
          <w:tcPr>
            <w:tcW w:w="36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5月</w:t>
            </w:r>
          </w:p>
        </w:tc>
        <w:tc>
          <w:tcPr>
            <w:tcW w:w="32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6月</w:t>
            </w:r>
          </w:p>
        </w:tc>
        <w:tc>
          <w:tcPr>
            <w:tcW w:w="4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7月</w:t>
            </w:r>
          </w:p>
        </w:tc>
        <w:tc>
          <w:tcPr>
            <w:tcW w:w="35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8月</w:t>
            </w:r>
          </w:p>
        </w:tc>
        <w:tc>
          <w:tcPr>
            <w:tcW w:w="35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9月</w:t>
            </w:r>
          </w:p>
        </w:tc>
        <w:tc>
          <w:tcPr>
            <w:tcW w:w="35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10月</w:t>
            </w:r>
          </w:p>
        </w:tc>
        <w:tc>
          <w:tcPr>
            <w:tcW w:w="35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11月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8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w:t>
            </w:r>
          </w:p>
        </w:tc>
        <w:tc>
          <w:tcPr>
            <w:tcW w:w="2892" w:type="pct"/>
            <w:gridSpan w:val="9"/>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mc:AlternateContent>
                <mc:Choice Requires="wps">
                  <w:drawing>
                    <wp:anchor distT="0" distB="0" distL="114300" distR="114300" simplePos="0" relativeHeight="252017664" behindDoc="0" locked="0" layoutInCell="1" allowOverlap="1">
                      <wp:simplePos x="0" y="0"/>
                      <wp:positionH relativeFrom="column">
                        <wp:posOffset>-11430</wp:posOffset>
                      </wp:positionH>
                      <wp:positionV relativeFrom="paragraph">
                        <wp:posOffset>78740</wp:posOffset>
                      </wp:positionV>
                      <wp:extent cx="3060700" cy="0"/>
                      <wp:effectExtent l="0" t="19050" r="6350" b="19050"/>
                      <wp:wrapNone/>
                      <wp:docPr id="5" name="自选图形 1252"/>
                      <wp:cNvGraphicFramePr/>
                      <a:graphic xmlns:a="http://schemas.openxmlformats.org/drawingml/2006/main">
                        <a:graphicData uri="http://schemas.microsoft.com/office/word/2010/wordprocessingShape">
                          <wps:wsp>
                            <wps:cNvCnPr>
                              <a:cxnSpLocks noChangeShapeType="1"/>
                            </wps:cNvCnPr>
                            <wps:spPr bwMode="auto">
                              <a:xfrm>
                                <a:off x="0" y="0"/>
                                <a:ext cx="3060700" cy="0"/>
                              </a:xfrm>
                              <a:prstGeom prst="straightConnector1">
                                <a:avLst/>
                              </a:prstGeom>
                              <a:noFill/>
                              <a:ln w="28575">
                                <a:solidFill>
                                  <a:srgbClr val="000000"/>
                                </a:solidFill>
                                <a:round/>
                              </a:ln>
                            </wps:spPr>
                            <wps:bodyPr/>
                          </wps:wsp>
                        </a:graphicData>
                      </a:graphic>
                    </wp:anchor>
                  </w:drawing>
                </mc:Choice>
                <mc:Fallback>
                  <w:pict>
                    <v:shape id="自选图形 1252" o:spid="_x0000_s1026" o:spt="32" type="#_x0000_t32" style="position:absolute;left:0pt;margin-left:-0.9pt;margin-top:6.2pt;height:0pt;width:241pt;z-index:252017664;mso-width-relative:page;mso-height-relative:page;" filled="f" stroked="t" coordsize="21600,21600" o:gfxdata="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lOLq1gAAAAgBAAAPAAAAAAAAAAEAIAAA&#10;ACIAAABkcnMvZG93bnJldi54bWxQSwECFAAUAAAACACHTuJAmzTmZdUBAABrAwAADgAAAAAAAAAB&#10;ACAAAAAlAQAAZHJzL2Uyb0RvYy54bWxQSwUGAAAAAAYABgBZAQAAbAUAAAAA&#10;">
                      <v:fill on="f" focussize="0,0"/>
                      <v:stroke weight="2.25pt" color="#000000" joinstyle="round"/>
                      <v:imagedata o:title=""/>
                      <o:lock v:ext="edit" aspectratio="f"/>
                    </v:shape>
                  </w:pict>
                </mc:Fallback>
              </mc:AlternateContent>
            </w:r>
          </w:p>
        </w:tc>
        <w:tc>
          <w:tcPr>
            <w:tcW w:w="35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5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5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5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68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附属工程</w:t>
            </w:r>
          </w:p>
        </w:tc>
        <w:tc>
          <w:tcPr>
            <w:tcW w:w="3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0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0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0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8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28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6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2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 w:type="pct"/>
            <w:gridSpan w:val="5"/>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mc:AlternateContent>
                <mc:Choice Requires="wps">
                  <w:drawing>
                    <wp:anchor distT="0" distB="0" distL="114300" distR="114300" simplePos="0" relativeHeight="252019712" behindDoc="0" locked="0" layoutInCell="1" allowOverlap="1">
                      <wp:simplePos x="0" y="0"/>
                      <wp:positionH relativeFrom="column">
                        <wp:posOffset>-17780</wp:posOffset>
                      </wp:positionH>
                      <wp:positionV relativeFrom="paragraph">
                        <wp:posOffset>105410</wp:posOffset>
                      </wp:positionV>
                      <wp:extent cx="1930400" cy="0"/>
                      <wp:effectExtent l="0" t="19050" r="12700" b="19050"/>
                      <wp:wrapNone/>
                      <wp:docPr id="66" name="自选图形 1252"/>
                      <wp:cNvGraphicFramePr/>
                      <a:graphic xmlns:a="http://schemas.openxmlformats.org/drawingml/2006/main">
                        <a:graphicData uri="http://schemas.microsoft.com/office/word/2010/wordprocessingShape">
                          <wps:wsp>
                            <wps:cNvCnPr>
                              <a:cxnSpLocks noChangeShapeType="1"/>
                            </wps:cNvCnPr>
                            <wps:spPr bwMode="auto">
                              <a:xfrm>
                                <a:off x="0" y="0"/>
                                <a:ext cx="1930400" cy="0"/>
                              </a:xfrm>
                              <a:prstGeom prst="straightConnector1">
                                <a:avLst/>
                              </a:prstGeom>
                              <a:noFill/>
                              <a:ln w="28575">
                                <a:solidFill>
                                  <a:srgbClr val="000000"/>
                                </a:solidFill>
                                <a:round/>
                              </a:ln>
                            </wps:spPr>
                            <wps:bodyPr/>
                          </wps:wsp>
                        </a:graphicData>
                      </a:graphic>
                    </wp:anchor>
                  </w:drawing>
                </mc:Choice>
                <mc:Fallback>
                  <w:pict>
                    <v:shape id="自选图形 1252" o:spid="_x0000_s1026" o:spt="32" type="#_x0000_t32" style="position:absolute;left:0pt;margin-left:-1.4pt;margin-top:8.3pt;height:0pt;width:152pt;z-index:252019712;mso-width-relative:page;mso-height-relative:page;" filled="f" stroked="t" coordsize="21600,21600" o:gfxdata="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b/hq1gAAAAgBAAAPAAAAAAAAAAEAIAAA&#10;ACIAAABkcnMvZG93bnJldi54bWxQSwECFAAUAAAACACHTuJArZphT9UBAABsAwAADgAAAAAAAAAB&#10;ACAAAAAlAQAAZHJzL2Uyb0RvYy54bWxQSwUGAAAAAAYABgBZAQAAbAUAAAAA&#10;">
                      <v:fill on="f" focussize="0,0"/>
                      <v:stroke weight="2.25pt" color="#000000" joinstyle="round"/>
                      <v:imagedata o:title=""/>
                      <o:lock v:ext="edit" aspectratio="f"/>
                    </v:shape>
                  </w:pict>
                </mc:Fallback>
              </mc:AlternateContent>
            </w:r>
          </w:p>
        </w:tc>
      </w:tr>
    </w:tbl>
    <w:p>
      <w:pPr>
        <w:pStyle w:val="1102"/>
        <w:spacing w:line="240" w:lineRule="auto"/>
        <w:rPr>
          <w:rFonts w:hint="default" w:ascii="Times New Roman" w:hAnsi="Times New Roman" w:cs="Times New Roman"/>
          <w:color w:val="auto"/>
        </w:rPr>
      </w:pPr>
    </w:p>
    <w:bookmarkEnd w:id="45"/>
    <w:bookmarkEnd w:id="56"/>
    <w:bookmarkEnd w:id="57"/>
    <w:bookmarkEnd w:id="58"/>
    <w:bookmarkEnd w:id="59"/>
    <w:bookmarkEnd w:id="60"/>
    <w:p>
      <w:pPr>
        <w:pStyle w:val="3"/>
        <w:suppressAutoHyphens/>
        <w:spacing w:before="156" w:beforeLines="50" w:after="156" w:afterLines="50"/>
        <w:rPr>
          <w:rFonts w:hint="default" w:ascii="Times New Roman" w:hAnsi="Times New Roman" w:cs="Times New Roman"/>
          <w:color w:val="auto"/>
          <w:kern w:val="0"/>
        </w:rPr>
      </w:pPr>
      <w:bookmarkStart w:id="63" w:name="_Toc12137965"/>
      <w:bookmarkStart w:id="64" w:name="_Toc8349"/>
      <w:r>
        <w:rPr>
          <w:rFonts w:hint="default" w:ascii="Times New Roman" w:hAnsi="Times New Roman" w:cs="Times New Roman"/>
          <w:color w:val="auto"/>
          <w:kern w:val="0"/>
        </w:rPr>
        <w:t>2.7自然概况</w:t>
      </w:r>
      <w:bookmarkEnd w:id="63"/>
      <w:bookmarkEnd w:id="64"/>
    </w:p>
    <w:p>
      <w:pPr>
        <w:pStyle w:val="4"/>
        <w:rPr>
          <w:rFonts w:hint="default" w:ascii="Times New Roman" w:hAnsi="Times New Roman" w:cs="Times New Roman"/>
          <w:color w:val="auto"/>
        </w:rPr>
      </w:pPr>
      <w:r>
        <w:rPr>
          <w:rFonts w:hint="default" w:ascii="Times New Roman" w:hAnsi="Times New Roman" w:cs="Times New Roman"/>
          <w:color w:val="auto"/>
        </w:rPr>
        <w:t>2.7.1项目区自然概况</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2.7.1.1 地质</w:t>
      </w:r>
    </w:p>
    <w:p>
      <w:pPr>
        <w:pStyle w:val="1102"/>
        <w:rPr>
          <w:rFonts w:hint="default" w:ascii="Times New Roman" w:hAnsi="Times New Roman" w:cs="Times New Roman"/>
          <w:color w:val="auto"/>
        </w:rPr>
      </w:pPr>
      <w:bookmarkStart w:id="65" w:name="_Toc361991708"/>
      <w:bookmarkStart w:id="66" w:name="OLE_LINK11"/>
      <w:bookmarkStart w:id="67" w:name="_Toc391804280"/>
      <w:bookmarkStart w:id="68" w:name="_Toc297299999"/>
      <w:bookmarkStart w:id="69" w:name="_Toc19629"/>
      <w:bookmarkStart w:id="70" w:name="_Toc390408951"/>
      <w:bookmarkStart w:id="71" w:name="_Toc409680976"/>
      <w:bookmarkStart w:id="72" w:name="_Toc6593"/>
      <w:r>
        <w:rPr>
          <w:rFonts w:hint="default" w:ascii="Times New Roman" w:hAnsi="Times New Roman" w:cs="Times New Roman"/>
          <w:color w:val="auto"/>
        </w:rPr>
        <w:t>项目所在属四川西部地槽区，地质构造由一系列呈北西—南东向展布的线状褶皱组成。项目区在大地构造单元上属松潘-甘孜褶皱系巴颜喀拉冒地槽皱褶带之阿坝斜带，本项目大构造区为三大断裂带围限，北为玛沁－玛曲－略阳断裂带，东为龙门山－锦屏山断裂带，西为甘孜－理塘断裂带。其间发育有岷江－虎牙大断裂、玛曲－荷叶大断裂、阿坝断裂、金木达－南木达断裂、鲜水河深断裂等。工程区位于甘孜—松潘地槽褶皱系内之二级构造单元巴颜喀拉冒地槽褶皱带的东南部，鲜水河断裂带与龙门山断裂带所挟持的地区。区内发育有“较场坝弧”，“小金弧”、“金汤弧”等一系列弧形构造褶皱构造，而断裂构造不甚发育。</w:t>
      </w:r>
    </w:p>
    <w:p>
      <w:pPr>
        <w:pStyle w:val="1102"/>
        <w:rPr>
          <w:rFonts w:hint="default" w:ascii="Times New Roman" w:hAnsi="Times New Roman" w:cs="Times New Roman"/>
          <w:color w:val="auto"/>
        </w:rPr>
      </w:pPr>
      <w:r>
        <w:rPr>
          <w:rFonts w:hint="default" w:ascii="Times New Roman" w:hAnsi="Times New Roman" w:cs="Times New Roman"/>
          <w:color w:val="auto"/>
        </w:rPr>
        <w:t>根据《建筑抗震设计规范》（GB 50011-2010）附录A，该地区抗震设防烈度为</w:t>
      </w:r>
      <w:r>
        <w:rPr>
          <w:rFonts w:hint="default" w:ascii="Times New Roman" w:hAnsi="Times New Roman" w:cs="Times New Roman"/>
          <w:color w:val="auto"/>
          <w:lang w:eastAsia="zh-CN"/>
        </w:rPr>
        <w:t>Ⅶ</w:t>
      </w:r>
      <w:r>
        <w:rPr>
          <w:rFonts w:hint="default" w:ascii="Times New Roman" w:hAnsi="Times New Roman" w:cs="Times New Roman"/>
          <w:color w:val="auto"/>
        </w:rPr>
        <w:t>度，设计基本地震加速度值为0.05g，设计地震分组为第三组，设计特征周期为0.45s。</w:t>
      </w:r>
    </w:p>
    <w:p>
      <w:pPr>
        <w:pStyle w:val="1102"/>
        <w:ind w:firstLine="482"/>
        <w:rPr>
          <w:rFonts w:hint="default" w:ascii="Times New Roman" w:hAnsi="Times New Roman" w:cs="Times New Roman"/>
          <w:b/>
          <w:color w:val="auto"/>
        </w:rPr>
      </w:pPr>
      <w:r>
        <w:rPr>
          <w:rFonts w:hint="default" w:ascii="Times New Roman" w:hAnsi="Times New Roman" w:cs="Times New Roman"/>
          <w:b/>
          <w:color w:val="auto"/>
        </w:rPr>
        <w:t>（1）水文地质</w:t>
      </w:r>
    </w:p>
    <w:p>
      <w:pPr>
        <w:pStyle w:val="1102"/>
        <w:rPr>
          <w:rFonts w:hint="default" w:ascii="Times New Roman" w:hAnsi="Times New Roman" w:cs="Times New Roman"/>
          <w:color w:val="auto"/>
        </w:rPr>
      </w:pPr>
      <w:r>
        <w:rPr>
          <w:rFonts w:hint="default" w:ascii="Times New Roman" w:hAnsi="Times New Roman" w:cs="Times New Roman"/>
          <w:color w:val="auto"/>
        </w:rPr>
        <w:t>本次勘探为平水期，勘察期间所测得的地下水位均分布于中部卵石层中，其水位埋深为1.70m。根据区域水文地质资料，场地地下水位丰、枯水期年变幅为1.00～2.00m，历史最高水位标高为3501.50m（假设标高）。场地卵石层渗透系数K值可取20m/d，场地环境为Ⅰ类。基坑开挖之前应进一步核实地下水稳定水位，为基坑降水的设计和施工提供可靠依据。</w:t>
      </w:r>
    </w:p>
    <w:p>
      <w:pPr>
        <w:pStyle w:val="1102"/>
        <w:ind w:firstLine="482"/>
        <w:rPr>
          <w:rFonts w:hint="default" w:ascii="Times New Roman" w:hAnsi="Times New Roman" w:cs="Times New Roman"/>
          <w:b/>
          <w:color w:val="auto"/>
        </w:rPr>
      </w:pPr>
      <w:r>
        <w:rPr>
          <w:rFonts w:hint="default" w:ascii="Times New Roman" w:hAnsi="Times New Roman" w:cs="Times New Roman"/>
          <w:b/>
          <w:color w:val="auto"/>
        </w:rPr>
        <w:t>（2）地层岩性</w:t>
      </w:r>
    </w:p>
    <w:p>
      <w:pPr>
        <w:pStyle w:val="1102"/>
        <w:rPr>
          <w:rFonts w:hint="default" w:ascii="Times New Roman" w:hAnsi="Times New Roman" w:cs="Times New Roman"/>
          <w:color w:val="auto"/>
        </w:rPr>
      </w:pPr>
      <w:r>
        <w:rPr>
          <w:rFonts w:hint="default" w:ascii="Times New Roman" w:hAnsi="Times New Roman" w:cs="Times New Roman"/>
          <w:color w:val="auto"/>
        </w:rPr>
        <w:t>根据现场钻探揭露，结合场地附近已有工程地质资料，将本次勘探深度范围内的地基土层由上至下按时代成因划分为：</w:t>
      </w:r>
      <w:r>
        <w:rPr>
          <w:rFonts w:hint="default" w:ascii="Times New Roman" w:hAnsi="Times New Roman" w:cs="Times New Roman"/>
          <w:color w:val="auto"/>
          <w:lang w:val="zh-CN"/>
        </w:rPr>
        <w:t>第四系全新统填土层</w:t>
      </w:r>
      <w:r>
        <w:rPr>
          <w:rFonts w:hint="default" w:ascii="Times New Roman" w:hAnsi="Times New Roman" w:cs="Times New Roman"/>
          <w:color w:val="auto"/>
        </w:rPr>
        <w:t>（Q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 xml:space="preserve"> ml</w:t>
      </w:r>
      <w:r>
        <w:rPr>
          <w:rFonts w:hint="default" w:ascii="Times New Roman" w:hAnsi="Times New Roman" w:cs="Times New Roman"/>
          <w:color w:val="auto"/>
        </w:rPr>
        <w:t>）和</w:t>
      </w:r>
      <w:r>
        <w:rPr>
          <w:rFonts w:hint="default" w:ascii="Times New Roman" w:hAnsi="Times New Roman" w:cs="Times New Roman"/>
          <w:color w:val="auto"/>
          <w:lang w:val="zh-CN"/>
        </w:rPr>
        <w:t>冲洪积层</w:t>
      </w:r>
      <w:r>
        <w:rPr>
          <w:rFonts w:hint="default" w:ascii="Times New Roman" w:hAnsi="Times New Roman" w:cs="Times New Roman"/>
          <w:color w:val="auto"/>
        </w:rPr>
        <w:t>（Q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 xml:space="preserve"> al+pl</w:t>
      </w:r>
      <w:r>
        <w:rPr>
          <w:rFonts w:hint="default" w:ascii="Times New Roman" w:hAnsi="Times New Roman" w:cs="Times New Roman"/>
          <w:color w:val="auto"/>
        </w:rPr>
        <w:t>）的卵石组成，现自上而下分述如下：</w:t>
      </w:r>
    </w:p>
    <w:p>
      <w:pPr>
        <w:pStyle w:val="1102"/>
        <w:rPr>
          <w:rFonts w:hint="default" w:ascii="Times New Roman" w:hAnsi="Times New Roman" w:cs="Times New Roman"/>
          <w:color w:val="auto"/>
        </w:rPr>
      </w:pPr>
      <w:r>
        <w:rPr>
          <w:rFonts w:hint="default" w:ascii="Times New Roman" w:hAnsi="Times New Roman" w:cs="Times New Roman"/>
          <w:color w:val="auto"/>
        </w:rPr>
        <w:t>*1）素填土：褐色，灰褐色，松散，稍湿，以粘性土为主，含少许砾石及植物根须，该层在场地内连续分布，层厚1.10～1.70m。</w:t>
      </w:r>
    </w:p>
    <w:p>
      <w:pPr>
        <w:pStyle w:val="1102"/>
        <w:rPr>
          <w:rFonts w:hint="default" w:ascii="Times New Roman" w:hAnsi="Times New Roman" w:cs="Times New Roman"/>
          <w:color w:val="auto"/>
        </w:rPr>
      </w:pPr>
      <w:r>
        <w:rPr>
          <w:rFonts w:hint="default" w:ascii="Times New Roman" w:hAnsi="Times New Roman" w:cs="Times New Roman"/>
          <w:color w:val="auto"/>
        </w:rPr>
        <w:t>*2）卵石：灰黄～灰褐色，松散～稍密，湿。卵石成分主要由灰岩、石英岩、砂岩、花岗岩等岩浆岩组成，一般粒径2～20mm，局部含少量碎石土。卵石磨圆度较差，多呈亚圆形，分选性较差，级配较差，多呈中～微风化，充填物主要为粘粒及砂粒。该卵石层顶板埋深1.10～1.70m，本次勘察未揭穿此层。根据该层的密实程度及土质类别划分成以下2个亚层：</w:t>
      </w:r>
    </w:p>
    <w:p>
      <w:pPr>
        <w:pStyle w:val="1102"/>
        <w:rPr>
          <w:rFonts w:hint="default" w:ascii="Times New Roman" w:hAnsi="Times New Roman" w:cs="Times New Roman"/>
          <w:color w:val="auto"/>
        </w:rPr>
      </w:pPr>
      <w:r>
        <w:rPr>
          <w:rFonts w:hint="default" w:ascii="Times New Roman" w:hAnsi="Times New Roman" w:cs="Times New Roman"/>
          <w:color w:val="auto"/>
        </w:rPr>
        <w:t>圆砾：主要分布于卵石层上部，卵石含量20～40%，大部分不接触，N</w:t>
      </w:r>
      <w:r>
        <w:rPr>
          <w:rFonts w:hint="default" w:ascii="Times New Roman" w:hAnsi="Times New Roman" w:cs="Times New Roman"/>
          <w:color w:val="auto"/>
          <w:vertAlign w:val="subscript"/>
        </w:rPr>
        <w:t>120</w:t>
      </w:r>
      <w:r>
        <w:rPr>
          <w:rFonts w:hint="default" w:ascii="Times New Roman" w:hAnsi="Times New Roman" w:cs="Times New Roman"/>
          <w:color w:val="auto"/>
        </w:rPr>
        <w:t>锤击数2～4击/10cm。</w:t>
      </w:r>
    </w:p>
    <w:p>
      <w:pPr>
        <w:pStyle w:val="1102"/>
        <w:rPr>
          <w:rFonts w:hint="default" w:ascii="Times New Roman" w:hAnsi="Times New Roman" w:cs="Times New Roman"/>
          <w:color w:val="auto"/>
        </w:rPr>
      </w:pPr>
      <w:r>
        <w:rPr>
          <w:rFonts w:hint="default" w:ascii="Times New Roman" w:hAnsi="Times New Roman" w:cs="Times New Roman"/>
          <w:color w:val="auto"/>
        </w:rPr>
        <w:t>稍密卵石：主要分布于卵石层下部，卵石含量55～60%，大部分不接触，N</w:t>
      </w:r>
      <w:r>
        <w:rPr>
          <w:rFonts w:hint="default" w:ascii="Times New Roman" w:hAnsi="Times New Roman" w:cs="Times New Roman"/>
          <w:color w:val="auto"/>
          <w:vertAlign w:val="subscript"/>
        </w:rPr>
        <w:t>120</w:t>
      </w:r>
      <w:r>
        <w:rPr>
          <w:rFonts w:hint="default" w:ascii="Times New Roman" w:hAnsi="Times New Roman" w:cs="Times New Roman"/>
          <w:color w:val="auto"/>
        </w:rPr>
        <w:t>锤击数4～7击/10cm。</w:t>
      </w:r>
    </w:p>
    <w:bookmarkEnd w:id="65"/>
    <w:bookmarkEnd w:id="66"/>
    <w:bookmarkEnd w:id="67"/>
    <w:bookmarkEnd w:id="68"/>
    <w:bookmarkEnd w:id="69"/>
    <w:bookmarkEnd w:id="70"/>
    <w:bookmarkEnd w:id="71"/>
    <w:bookmarkEnd w:id="72"/>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2.7.1.2地形地貌</w:t>
      </w:r>
    </w:p>
    <w:p>
      <w:pPr>
        <w:pStyle w:val="31"/>
        <w:spacing w:line="360" w:lineRule="auto"/>
        <w:ind w:firstLine="480" w:firstLineChars="200"/>
        <w:rPr>
          <w:rFonts w:hint="default" w:ascii="Times New Roman" w:hAnsi="Times New Roman" w:eastAsia="仿宋_GB2312" w:cs="Times New Roman"/>
          <w:iCs/>
          <w:color w:val="auto"/>
          <w:sz w:val="24"/>
        </w:rPr>
      </w:pPr>
      <w:r>
        <w:rPr>
          <w:rFonts w:hint="default" w:ascii="Times New Roman" w:hAnsi="Times New Roman" w:eastAsia="仿宋_GB2312" w:cs="Times New Roman"/>
          <w:iCs/>
          <w:color w:val="auto"/>
          <w:sz w:val="24"/>
        </w:rPr>
        <w:t>红原县境区域似梧桐叶状，海拔最高处5141m，最低处2857m，相对高差2284m，平均海拔3999m。全县地势从西北向东南倾斜，不规则下降。按形态和相对切割深度可分为浅切割剥蚀高原丘陵（县境内东部，东北部，地形丘陵起伏，丘谷相间，丘顶平坦，谷地宽广，多沼泽）；中切割剥蚀侵蚀高原山峦（县境内中部、西部及东南部，地形山体连绵，内含断陷盆地）；深切割侵蚀高原山地（县境内西南部、西北部、属深切割高山峡谷地貌，河谷深切，地势崎岖）三大类型</w:t>
      </w:r>
    </w:p>
    <w:p>
      <w:pPr>
        <w:pStyle w:val="31"/>
        <w:spacing w:line="360" w:lineRule="auto"/>
        <w:ind w:firstLine="480" w:firstLineChars="200"/>
        <w:rPr>
          <w:rFonts w:hint="default" w:ascii="Times New Roman" w:hAnsi="Times New Roman" w:eastAsia="仿宋_GB2312" w:cs="Times New Roman"/>
          <w:iCs/>
          <w:color w:val="auto"/>
          <w:sz w:val="24"/>
        </w:rPr>
      </w:pPr>
      <w:r>
        <w:rPr>
          <w:rFonts w:hint="default" w:ascii="Times New Roman" w:hAnsi="Times New Roman" w:eastAsia="仿宋_GB2312" w:cs="Times New Roman"/>
          <w:iCs/>
          <w:color w:val="auto"/>
          <w:sz w:val="24"/>
        </w:rPr>
        <w:t>勘察场地位于红原县，视野较开阔，交通便利。本次勘察测得各勘探孔孔口高程介于3501.35～3501.60m之间，相对高差0.25m，地貌单一，场地地貌单元属红原白河冲洪积层一级阶地。</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2.7.1.3气象</w:t>
      </w:r>
    </w:p>
    <w:p>
      <w:pPr>
        <w:keepNext w:val="0"/>
        <w:keepLines w:val="0"/>
        <w:widowControl/>
        <w:suppressLineNumbers w:val="0"/>
        <w:jc w:val="both"/>
        <w:rPr>
          <w:rFonts w:hint="default" w:ascii="Times New Roman" w:hAnsi="Times New Roman" w:eastAsia="仿宋_GB2312" w:cs="Times New Roman"/>
          <w:iCs/>
          <w:color w:val="auto"/>
          <w:szCs w:val="24"/>
        </w:rPr>
      </w:pPr>
      <w:bookmarkStart w:id="73" w:name="_Toc244870582"/>
      <w:bookmarkStart w:id="74" w:name="_Toc244870429"/>
      <w:bookmarkStart w:id="75" w:name="_Toc245114715"/>
      <w:bookmarkStart w:id="76" w:name="_Toc244870251"/>
      <w:bookmarkStart w:id="77" w:name="_Toc261945318"/>
      <w:r>
        <w:rPr>
          <w:rFonts w:hint="default" w:ascii="Times New Roman" w:hAnsi="Times New Roman" w:eastAsia="仿宋_GB2312" w:cs="Times New Roman"/>
          <w:iCs/>
          <w:color w:val="auto"/>
          <w:szCs w:val="24"/>
        </w:rPr>
        <w:t>项目区地处青藏高原东部，属高原寒温带半湿润季风气候，具有冬长无夏，霜冻期长，干雨季明显等特点，气候温和，多年平均气温0.7</w:t>
      </w:r>
      <w:r>
        <w:rPr>
          <w:rFonts w:hint="default" w:ascii="Times New Roman" w:hAnsi="Times New Roman" w:eastAsia="仿宋_GB2312" w:cs="Times New Roman"/>
          <w:color w:val="auto"/>
          <w:kern w:val="0"/>
        </w:rPr>
        <w:t>°C</w:t>
      </w:r>
      <w:r>
        <w:rPr>
          <w:rFonts w:hint="default" w:ascii="Times New Roman" w:hAnsi="Times New Roman" w:eastAsia="仿宋_GB2312" w:cs="Times New Roman"/>
          <w:iCs/>
          <w:color w:val="auto"/>
          <w:szCs w:val="24"/>
        </w:rPr>
        <w:t>，气温日较差大，年平均气温日较差14.9</w:t>
      </w:r>
      <w:r>
        <w:rPr>
          <w:rFonts w:hint="default" w:ascii="Times New Roman" w:hAnsi="Times New Roman" w:eastAsia="仿宋_GB2312" w:cs="Times New Roman"/>
          <w:color w:val="auto"/>
          <w:kern w:val="0"/>
        </w:rPr>
        <w:t>°C</w:t>
      </w:r>
      <w:r>
        <w:rPr>
          <w:rFonts w:hint="default" w:ascii="Times New Roman" w:hAnsi="Times New Roman" w:eastAsia="仿宋_GB2312" w:cs="Times New Roman"/>
          <w:iCs/>
          <w:color w:val="auto"/>
          <w:szCs w:val="24"/>
        </w:rPr>
        <w:t>左右。多年极端最高气温24.4</w:t>
      </w:r>
      <w:r>
        <w:rPr>
          <w:rFonts w:hint="default" w:ascii="Times New Roman" w:hAnsi="Times New Roman" w:eastAsia="仿宋_GB2312" w:cs="Times New Roman"/>
          <w:color w:val="auto"/>
          <w:kern w:val="0"/>
        </w:rPr>
        <w:t>°C</w:t>
      </w:r>
      <w:r>
        <w:rPr>
          <w:rFonts w:hint="default" w:ascii="Times New Roman" w:hAnsi="Times New Roman" w:eastAsia="仿宋_GB2312" w:cs="Times New Roman"/>
          <w:iCs/>
          <w:color w:val="auto"/>
          <w:szCs w:val="24"/>
        </w:rPr>
        <w:t>（1969年7月30日），极端最低气温-33</w:t>
      </w:r>
      <w:r>
        <w:rPr>
          <w:rFonts w:hint="default" w:ascii="Times New Roman" w:hAnsi="Times New Roman" w:eastAsia="仿宋_GB2312" w:cs="Times New Roman"/>
          <w:color w:val="auto"/>
          <w:kern w:val="0"/>
        </w:rPr>
        <w:t>°C</w:t>
      </w:r>
      <w:r>
        <w:rPr>
          <w:rFonts w:hint="default" w:ascii="Times New Roman" w:hAnsi="Times New Roman" w:eastAsia="仿宋_GB2312" w:cs="Times New Roman"/>
          <w:iCs/>
          <w:color w:val="auto"/>
          <w:szCs w:val="24"/>
        </w:rPr>
        <w:t>（1959年12月31日），年平均相对湿度69%。年平均日照约2400小时，日照时间长，辐射强度大</w:t>
      </w:r>
      <w:r>
        <w:rPr>
          <w:rFonts w:hint="default" w:ascii="Times New Roman" w:hAnsi="Times New Roman" w:eastAsia="仿宋_GB2312" w:cs="Times New Roman"/>
          <w:iCs/>
          <w:color w:val="auto"/>
          <w:szCs w:val="24"/>
          <w:lang w:eastAsia="zh-CN"/>
        </w:rPr>
        <w:t>；</w:t>
      </w:r>
      <w:r>
        <w:rPr>
          <w:rFonts w:hint="default" w:ascii="Times New Roman" w:hAnsi="Times New Roman" w:eastAsia="仿宋_GB2312" w:cs="Times New Roman"/>
          <w:color w:val="auto"/>
          <w:sz w:val="24"/>
          <w:szCs w:val="24"/>
          <w:lang w:val="en-US" w:eastAsia="zh-CN"/>
        </w:rPr>
        <w:t>全年</w:t>
      </w:r>
      <w:r>
        <w:rPr>
          <w:rFonts w:hint="default" w:ascii="Times New Roman" w:hAnsi="Times New Roman" w:eastAsia="仿宋_GB2312" w:cs="Times New Roman"/>
          <w:color w:val="auto"/>
          <w:sz w:val="24"/>
          <w:szCs w:val="24"/>
        </w:rPr>
        <w:t>≥10℃积温值</w:t>
      </w:r>
      <w:r>
        <w:rPr>
          <w:rFonts w:hint="default" w:ascii="Times New Roman" w:hAnsi="Times New Roman" w:eastAsia="仿宋_GB2312" w:cs="Times New Roman"/>
          <w:color w:val="auto"/>
          <w:sz w:val="24"/>
          <w:szCs w:val="24"/>
          <w:lang w:val="en-US" w:eastAsia="zh-CN"/>
        </w:rPr>
        <w:t>4200</w:t>
      </w:r>
      <w:r>
        <w:rPr>
          <w:rFonts w:hint="default" w:ascii="Times New Roman" w:hAnsi="Times New Roman" w:eastAsia="仿宋_GB2312" w:cs="Times New Roman"/>
          <w:color w:val="auto"/>
          <w:kern w:val="0"/>
          <w:sz w:val="24"/>
          <w:szCs w:val="24"/>
        </w:rPr>
        <w:t>°C</w:t>
      </w:r>
      <w:r>
        <w:rPr>
          <w:rFonts w:hint="default" w:ascii="Times New Roman" w:hAnsi="Times New Roman" w:eastAsia="仿宋_GB2312" w:cs="Times New Roman"/>
          <w:color w:val="auto"/>
          <w:kern w:val="0"/>
          <w:sz w:val="24"/>
          <w:szCs w:val="24"/>
          <w:lang w:val="en-US" w:eastAsia="zh-CN"/>
        </w:rPr>
        <w:t>-6100</w:t>
      </w:r>
      <w:r>
        <w:rPr>
          <w:rFonts w:hint="default" w:ascii="Times New Roman" w:hAnsi="Times New Roman" w:eastAsia="仿宋_GB2312" w:cs="Times New Roman"/>
          <w:color w:val="auto"/>
          <w:kern w:val="0"/>
          <w:sz w:val="24"/>
          <w:szCs w:val="24"/>
        </w:rPr>
        <w:t>°C</w:t>
      </w:r>
      <w:r>
        <w:rPr>
          <w:rFonts w:hint="default" w:ascii="Times New Roman" w:hAnsi="Times New Roman" w:eastAsia="仿宋_GB2312" w:cs="Times New Roman"/>
          <w:iCs/>
          <w:color w:val="auto"/>
          <w:szCs w:val="24"/>
        </w:rPr>
        <w:t>。测区地处内陆，但降水量却较多，尤以雨季为甚，多年平均降水量为663.6mm，且主要集中在5～10月，冬季干燥少雨</w:t>
      </w:r>
      <w:r>
        <w:rPr>
          <w:rFonts w:hint="default" w:ascii="Times New Roman" w:hAnsi="Times New Roman" w:eastAsia="仿宋_GB2312" w:cs="Times New Roman"/>
          <w:iCs/>
          <w:color w:val="auto"/>
          <w:szCs w:val="24"/>
          <w:lang w:eastAsia="zh-CN"/>
        </w:rPr>
        <w:t>；</w:t>
      </w:r>
      <w:r>
        <w:rPr>
          <w:rFonts w:hint="default" w:ascii="Times New Roman" w:hAnsi="Times New Roman" w:eastAsia="仿宋_GB2312" w:cs="Times New Roman"/>
          <w:color w:val="auto"/>
          <w:kern w:val="0"/>
          <w:sz w:val="24"/>
          <w:szCs w:val="24"/>
          <w:lang w:val="en-US" w:eastAsia="zh-CN" w:bidi="ar"/>
        </w:rPr>
        <w:t>5年一遇1h、6h、24h最大降雨量分别为：22mm、40mm、44.6mm；10年一遇1h、6h、24h最大降雨量分别为：24.4mm、40mm、45.1mm；20年一遇1h、6h、24h最大降雨量分别为：24.4mm、40mm、45.1mm</w:t>
      </w:r>
      <w:r>
        <w:rPr>
          <w:rFonts w:hint="default" w:ascii="Times New Roman" w:hAnsi="Times New Roman" w:eastAsia="仿宋_GB2312" w:cs="Times New Roman"/>
          <w:iCs/>
          <w:color w:val="auto"/>
          <w:szCs w:val="24"/>
        </w:rPr>
        <w:t>。项目区多年平均风速2.4m/s，冬、春季多大风天气，历年最大风速18.3m/s。受高原地区复杂地形及热动力作用产生的大气对流作用影响，多在5-10月傍晚及上半夜产生雷雨及冰雹大风天气。场地土标准冻结深度为</w:t>
      </w:r>
      <w:r>
        <w:rPr>
          <w:rFonts w:hint="default" w:ascii="Times New Roman" w:hAnsi="Times New Roman" w:eastAsia="仿宋_GB2312" w:cs="Times New Roman"/>
          <w:iCs/>
          <w:color w:val="auto"/>
          <w:szCs w:val="24"/>
          <w:lang w:val="en-US" w:eastAsia="zh-CN"/>
        </w:rPr>
        <w:t>0.80</w:t>
      </w:r>
      <w:r>
        <w:rPr>
          <w:rFonts w:hint="default" w:ascii="Times New Roman" w:hAnsi="Times New Roman" w:eastAsia="仿宋_GB2312" w:cs="Times New Roman"/>
          <w:iCs/>
          <w:color w:val="auto"/>
          <w:szCs w:val="24"/>
        </w:rPr>
        <w:t>m</w:t>
      </w:r>
      <w:r>
        <w:rPr>
          <w:rFonts w:hint="default" w:ascii="Times New Roman" w:hAnsi="Times New Roman" w:eastAsia="仿宋_GB2312" w:cs="Times New Roman"/>
          <w:iCs/>
          <w:color w:val="auto"/>
          <w:szCs w:val="24"/>
          <w:lang w:eastAsia="zh-CN"/>
        </w:rPr>
        <w:t>、</w:t>
      </w:r>
      <w:r>
        <w:rPr>
          <w:rFonts w:hint="default" w:ascii="Times New Roman" w:hAnsi="Times New Roman" w:eastAsia="仿宋_GB2312" w:cs="Times New Roman"/>
          <w:iCs/>
          <w:color w:val="auto"/>
          <w:szCs w:val="24"/>
          <w:lang w:val="en-US" w:eastAsia="zh-CN"/>
        </w:rPr>
        <w:t>最大冻土深度1.0m</w:t>
      </w:r>
      <w:r>
        <w:rPr>
          <w:rFonts w:hint="default" w:ascii="Times New Roman" w:hAnsi="Times New Roman" w:eastAsia="仿宋_GB2312" w:cs="Times New Roman"/>
          <w:iCs/>
          <w:color w:val="auto"/>
          <w:szCs w:val="24"/>
        </w:rPr>
        <w:t>。</w:t>
      </w:r>
    </w:p>
    <w:bookmarkEnd w:id="73"/>
    <w:bookmarkEnd w:id="74"/>
    <w:bookmarkEnd w:id="75"/>
    <w:bookmarkEnd w:id="76"/>
    <w:bookmarkEnd w:id="77"/>
    <w:p>
      <w:pPr>
        <w:spacing w:line="240" w:lineRule="auto"/>
        <w:ind w:firstLine="422"/>
        <w:jc w:val="center"/>
        <w:rPr>
          <w:rFonts w:hint="default" w:ascii="Times New Roman" w:hAnsi="Times New Roman" w:eastAsia="仿宋_GB2312" w:cs="Times New Roman"/>
          <w:b/>
          <w:bCs/>
          <w:color w:val="auto"/>
          <w:sz w:val="21"/>
          <w:szCs w:val="21"/>
        </w:rPr>
      </w:pPr>
      <w:r>
        <w:rPr>
          <w:rFonts w:hint="default" w:ascii="Times New Roman" w:hAnsi="Times New Roman" w:eastAsia="仿宋_GB2312" w:cs="Times New Roman"/>
          <w:b/>
          <w:color w:val="auto"/>
          <w:sz w:val="21"/>
          <w:szCs w:val="21"/>
        </w:rPr>
        <w:t xml:space="preserve">表2-9   </w:t>
      </w:r>
      <w:r>
        <w:rPr>
          <w:rFonts w:hint="default" w:ascii="Times New Roman" w:hAnsi="Times New Roman" w:eastAsia="仿宋_GB2312" w:cs="Times New Roman"/>
          <w:b/>
          <w:bCs/>
          <w:color w:val="auto"/>
          <w:sz w:val="21"/>
          <w:szCs w:val="21"/>
        </w:rPr>
        <w:t>项目区域气象特征值统计表</w:t>
      </w:r>
    </w:p>
    <w:tbl>
      <w:tblPr>
        <w:tblStyle w:val="61"/>
        <w:tblW w:w="85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0"/>
        <w:gridCol w:w="3969"/>
        <w:gridCol w:w="1266"/>
        <w:gridCol w:w="20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序号</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气象因子</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单位</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特征值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年平均气温</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极端最高气温</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极端最低气温</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≥0℃的总积温</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865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多年平均降水量</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mm</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663.6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年平均日照时数</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小时</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2363.9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多年平均蒸发量</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mm</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1262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8</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多年平均无霜期</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天</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9</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多年平均风速</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m/s</w:t>
            </w: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70"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3969"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主导风向</w:t>
            </w:r>
          </w:p>
        </w:tc>
        <w:tc>
          <w:tcPr>
            <w:tcW w:w="1266"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2023" w:type="dxa"/>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西南</w:t>
            </w:r>
          </w:p>
        </w:tc>
      </w:tr>
    </w:tbl>
    <w:p>
      <w:pPr>
        <w:pStyle w:val="1102"/>
        <w:spacing w:line="240" w:lineRule="auto"/>
        <w:rPr>
          <w:rFonts w:hint="default" w:ascii="Times New Roman" w:hAnsi="Times New Roman" w:cs="Times New Roman"/>
          <w:color w:val="auto"/>
        </w:rPr>
      </w:pP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2.7.1.4水文</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红原县有两大水系：黄河水系和长江水系，以查针梁子为县境两大水系分水岭，北部为黄河流域白河、黑河水系，占全县面积的79%，东南为长江流域大渡河青衣江水系，占全县面积的21%。</w:t>
      </w:r>
    </w:p>
    <w:p>
      <w:pPr>
        <w:pStyle w:val="1102"/>
        <w:rPr>
          <w:rFonts w:hint="default" w:ascii="Times New Roman" w:hAnsi="Times New Roman" w:cs="Times New Roman"/>
          <w:color w:val="auto"/>
        </w:rPr>
      </w:pPr>
      <w:r>
        <w:rPr>
          <w:rFonts w:hint="default" w:ascii="Times New Roman" w:hAnsi="Times New Roman" w:cs="Times New Roman"/>
          <w:color w:val="auto"/>
        </w:rPr>
        <w:t>黄河流域的白河发源于查针梁子的北坡，流经龙日坝、瓦切到若尔盖县的唐克附近注入黄河，包括麦哇镇、色地镇、瓦切乡、邛溪镇、阿木乡、安曲镇、龙日乡的全部，江茸乡的部分区域，流域面积6553.58km</w:t>
      </w:r>
      <w:r>
        <w:rPr>
          <w:rFonts w:hint="default" w:ascii="Times New Roman" w:hAnsi="Times New Roman" w:cs="Times New Roman"/>
          <w:color w:val="auto"/>
          <w:vertAlign w:val="superscript"/>
        </w:rPr>
        <w:t>2</w:t>
      </w:r>
      <w:r>
        <w:rPr>
          <w:rFonts w:hint="default" w:ascii="Times New Roman" w:hAnsi="Times New Roman" w:cs="Times New Roman"/>
          <w:color w:val="auto"/>
        </w:rPr>
        <w:t>。主要河流有白河、阿木柯河、麦曲河、哈曲河、朗木曲河，河流天然落差在500m左右，水流平缓、宣泄不畅，河道迂曲。白河境内流长200km，黑河境内流长88km。项目水系图见附图2。</w:t>
      </w: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2.7.1.5土壤</w:t>
      </w:r>
    </w:p>
    <w:p>
      <w:pPr>
        <w:pStyle w:val="1102"/>
        <w:rPr>
          <w:rFonts w:hint="default" w:ascii="Times New Roman" w:hAnsi="Times New Roman" w:cs="Times New Roman"/>
          <w:color w:val="auto"/>
        </w:rPr>
      </w:pPr>
      <w:r>
        <w:rPr>
          <w:rFonts w:hint="default" w:ascii="Times New Roman" w:hAnsi="Times New Roman" w:cs="Times New Roman"/>
          <w:color w:val="auto"/>
        </w:rPr>
        <w:t>红原县土壤分为8个土类、16个亚土类，27个土属，土壤类型以呈垂直带谱分布亚高山草甸土和高山草甸土为主，土壤水平地带性不明显。土壤总特征为土层松厚、深厚；由于有机质分解缓慢，土层中积累大量粗腐殖质，其腐殖层厚达30cm以上，土壤潜在肥力高，并呈中性至酸性反应。</w:t>
      </w:r>
    </w:p>
    <w:p>
      <w:pPr>
        <w:pStyle w:val="1102"/>
        <w:rPr>
          <w:rFonts w:hint="default" w:ascii="Times New Roman" w:hAnsi="Times New Roman" w:cs="Times New Roman"/>
          <w:color w:val="auto"/>
        </w:rPr>
      </w:pPr>
      <w:r>
        <w:rPr>
          <w:rFonts w:hint="default" w:ascii="Times New Roman" w:hAnsi="Times New Roman" w:cs="Times New Roman"/>
          <w:color w:val="auto"/>
        </w:rPr>
        <w:t>红原县8个土类分别是草甸土、暗棕壤、亚高山草甸土、高山草甸土、高山寒漠土、沼泽土、石灰岩土、风沙土。</w:t>
      </w:r>
    </w:p>
    <w:p>
      <w:pPr>
        <w:pStyle w:val="1102"/>
        <w:rPr>
          <w:rFonts w:hint="default" w:ascii="Times New Roman" w:hAnsi="Times New Roman" w:cs="Times New Roman"/>
          <w:snapToGrid w:val="0"/>
          <w:color w:val="auto"/>
        </w:rPr>
      </w:pPr>
      <w:r>
        <w:rPr>
          <w:rFonts w:hint="default" w:ascii="Times New Roman" w:hAnsi="Times New Roman" w:cs="Times New Roman"/>
          <w:color w:val="auto"/>
        </w:rPr>
        <w:t>经现场踏勘，项目区土壤主要为</w:t>
      </w:r>
      <w:r>
        <w:rPr>
          <w:rFonts w:hint="default" w:ascii="Times New Roman" w:hAnsi="Times New Roman" w:cs="Times New Roman"/>
          <w:color w:val="auto"/>
          <w:lang w:val="en-US" w:eastAsia="zh-CN"/>
        </w:rPr>
        <w:t>亚高山草甸土</w:t>
      </w:r>
      <w:r>
        <w:rPr>
          <w:rFonts w:hint="default" w:ascii="Times New Roman" w:hAnsi="Times New Roman" w:cs="Times New Roman"/>
          <w:color w:val="auto"/>
        </w:rPr>
        <w:t>，红原县处于季节性冻土地区，场地土标准冻结深度为</w:t>
      </w:r>
      <w:r>
        <w:rPr>
          <w:rFonts w:hint="default" w:ascii="Times New Roman" w:hAnsi="Times New Roman" w:cs="Times New Roman"/>
          <w:color w:val="auto"/>
          <w:lang w:val="en-US" w:eastAsia="zh-CN"/>
        </w:rPr>
        <w:t>0.80</w:t>
      </w:r>
      <w:r>
        <w:rPr>
          <w:rFonts w:hint="default" w:ascii="Times New Roman" w:hAnsi="Times New Roman" w:cs="Times New Roman"/>
          <w:color w:val="auto"/>
        </w:rPr>
        <w:t>m</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最大冻土深度1.0m</w:t>
      </w:r>
      <w:r>
        <w:rPr>
          <w:rFonts w:hint="default" w:ascii="Times New Roman" w:hAnsi="Times New Roman" w:cs="Times New Roman"/>
          <w:snapToGrid w:val="0"/>
          <w:color w:val="auto"/>
        </w:rPr>
        <w:t>。</w:t>
      </w:r>
    </w:p>
    <w:p>
      <w:pPr>
        <w:pStyle w:val="1102"/>
        <w:rPr>
          <w:rFonts w:hint="default" w:ascii="Times New Roman" w:hAnsi="Times New Roman" w:cs="Times New Roman"/>
          <w:snapToGrid w:val="0"/>
          <w:color w:val="auto"/>
        </w:rPr>
      </w:pPr>
    </w:p>
    <w:p>
      <w:pPr>
        <w:pStyle w:val="1102"/>
        <w:rPr>
          <w:rFonts w:hint="default" w:ascii="Times New Roman" w:hAnsi="Times New Roman" w:cs="Times New Roman"/>
          <w:snapToGrid w:val="0"/>
          <w:color w:val="auto"/>
        </w:rPr>
      </w:pPr>
    </w:p>
    <w:p>
      <w:pPr>
        <w:adjustRightInd w:val="0"/>
        <w:snapToGrid w:val="0"/>
        <w:ind w:firstLine="0" w:firstLineChars="0"/>
        <w:outlineLvl w:val="3"/>
        <w:rPr>
          <w:rFonts w:hint="default" w:ascii="Times New Roman" w:hAnsi="Times New Roman" w:cs="Times New Roman"/>
          <w:b/>
          <w:color w:val="auto"/>
          <w:kern w:val="0"/>
        </w:rPr>
      </w:pPr>
      <w:r>
        <w:rPr>
          <w:rFonts w:hint="default" w:ascii="Times New Roman" w:hAnsi="Times New Roman" w:cs="Times New Roman"/>
          <w:b/>
          <w:color w:val="auto"/>
          <w:kern w:val="0"/>
        </w:rPr>
        <w:t>2.7.1.6植被</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iCs/>
          <w:color w:val="auto"/>
          <w:szCs w:val="24"/>
        </w:rPr>
        <w:t>红原县天然植被属于青藏高原高寒植被区，从东南向西北，由繁到简呈带状分布，并随着海拔高度不同而不同，具体划分为草甸、沼泽、灌丛、森林四大植被类型。红原县境内植物有1000余种，乔木类有山杨、杉木、高山柏、桦木、高山栎等，灌木主要有沙棘、高山柳、山麻柳等；草本有垂穗披碱草、忍冬等。</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表2-10    项目区绿化主要适生物种表</w:t>
      </w:r>
    </w:p>
    <w:tbl>
      <w:tblPr>
        <w:tblStyle w:val="6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1199"/>
        <w:gridCol w:w="3512"/>
        <w:gridCol w:w="30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类别</w:t>
            </w: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植物名称</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植物特征</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分布地区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restar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乔木</w:t>
            </w: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山杨</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强阳性树种，耐寒冷、耐干旱瘠薄土地</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较广，海拔3500-3800m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高山柏</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生长于高寒地带、立地条件严酷</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海拔3500-4000m高山地带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高山栎</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喜光，一般较耐寒</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海拔3500-4000m山坡山谷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restar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灌木</w:t>
            </w: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沙棘</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耐旱、耐寒及瘠薄土地</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海拔3500-4000m高海拔地区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高山柳</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叶片棕褐色、叶椭圆或倒卵状椭圆形</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海拔3500-4000m高海拔地区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restar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草本</w:t>
            </w: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披碱草</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耐旱、耐寒、耐盐碱等</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四川西北部高寒地区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忍冬</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耐贫瘠、适应性较强</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四川广植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79"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03"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沙蒿</w:t>
            </w:r>
          </w:p>
        </w:tc>
        <w:tc>
          <w:tcPr>
            <w:tcW w:w="20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耐贫瘠，耐旱，适应性强</w:t>
            </w:r>
          </w:p>
        </w:tc>
        <w:tc>
          <w:tcPr>
            <w:tcW w:w="1759" w:type="pct"/>
            <w:noWrap/>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西南3000-4000m地区</w:t>
            </w:r>
          </w:p>
        </w:tc>
      </w:tr>
    </w:tbl>
    <w:p>
      <w:pPr>
        <w:bidi w:val="0"/>
        <w:spacing w:line="240" w:lineRule="auto"/>
        <w:rPr>
          <w:rFonts w:hint="default" w:ascii="Times New Roman" w:hAnsi="Times New Roman" w:cs="Times New Roman"/>
          <w:color w:val="auto"/>
        </w:rPr>
      </w:pPr>
    </w:p>
    <w:p>
      <w:pPr>
        <w:pStyle w:val="4"/>
        <w:rPr>
          <w:rFonts w:hint="default" w:ascii="Times New Roman" w:hAnsi="Times New Roman" w:cs="Times New Roman"/>
          <w:color w:val="auto"/>
        </w:rPr>
      </w:pPr>
      <w:r>
        <w:rPr>
          <w:rFonts w:hint="default" w:ascii="Times New Roman" w:hAnsi="Times New Roman" w:cs="Times New Roman"/>
          <w:color w:val="auto"/>
        </w:rPr>
        <w:t>2.7.2水土保持敏感区调查</w:t>
      </w:r>
    </w:p>
    <w:p>
      <w:pPr>
        <w:pStyle w:val="1102"/>
        <w:spacing w:before="156"/>
        <w:rPr>
          <w:rFonts w:hint="default" w:ascii="Times New Roman" w:hAnsi="Times New Roman" w:cs="Times New Roman"/>
          <w:color w:val="auto"/>
          <w:szCs w:val="22"/>
        </w:rPr>
      </w:pPr>
      <w:r>
        <w:rPr>
          <w:rFonts w:hint="default" w:ascii="Times New Roman" w:hAnsi="Times New Roman" w:cs="Times New Roman"/>
          <w:color w:val="auto"/>
        </w:rPr>
        <w:t>根据水利部办公厅《关于印发全国水土保持规划国家级水土流失重点预防区和重点治理区复核划分成果》的通知（办水保[2013]188号），红原县属于金沙江岷江上游及三江并流国家级水土流失重点预防区</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lang w:val="en-US" w:eastAsia="zh-CN"/>
        </w:rPr>
        <w:t>经调查，</w:t>
      </w:r>
      <w:r>
        <w:rPr>
          <w:rFonts w:hint="default" w:ascii="Times New Roman" w:hAnsi="Times New Roman" w:cs="Times New Roman"/>
          <w:color w:val="auto"/>
          <w:szCs w:val="22"/>
        </w:rPr>
        <w:t>本项目建设区域不涉及饮水水源保护区，水功能一级区的保护区和保留区、自然保护区、世界文化和自然遗产地、风景名胜区、地质公园、森林公园等。</w:t>
      </w:r>
    </w:p>
    <w:p>
      <w:pPr>
        <w:pStyle w:val="1102"/>
        <w:rPr>
          <w:rFonts w:hint="default" w:ascii="Times New Roman" w:hAnsi="Times New Roman" w:eastAsia="仿宋_GB2312" w:cs="Times New Roman"/>
          <w:color w:val="auto"/>
          <w:szCs w:val="22"/>
          <w:lang w:eastAsia="zh-CN"/>
        </w:rPr>
      </w:pPr>
    </w:p>
    <w:p>
      <w:pPr>
        <w:spacing w:line="240" w:lineRule="auto"/>
        <w:ind w:firstLine="0" w:firstLineChars="0"/>
        <w:rPr>
          <w:rFonts w:hint="default" w:ascii="Times New Roman" w:hAnsi="Times New Roman" w:cs="Times New Roman"/>
          <w:b/>
          <w:color w:val="auto"/>
          <w:sz w:val="21"/>
          <w:szCs w:val="21"/>
        </w:rPr>
        <w:sectPr>
          <w:headerReference r:id="rId12" w:type="default"/>
          <w:pgSz w:w="11906" w:h="16838"/>
          <w:pgMar w:top="1440" w:right="1797" w:bottom="1440" w:left="1797" w:header="851" w:footer="992" w:gutter="0"/>
          <w:cols w:space="720" w:num="1"/>
          <w:docGrid w:type="lines" w:linePitch="312" w:charSpace="0"/>
        </w:sectPr>
      </w:pPr>
    </w:p>
    <w:p>
      <w:pPr>
        <w:pStyle w:val="2"/>
        <w:rPr>
          <w:rFonts w:hint="default" w:ascii="Times New Roman" w:hAnsi="Times New Roman" w:cs="Times New Roman"/>
          <w:color w:val="auto"/>
          <w:kern w:val="0"/>
        </w:rPr>
      </w:pPr>
      <w:bookmarkStart w:id="78" w:name="_Toc5544"/>
      <w:r>
        <w:rPr>
          <w:rFonts w:hint="default" w:ascii="Times New Roman" w:hAnsi="Times New Roman" w:cs="Times New Roman"/>
          <w:color w:val="auto"/>
          <w:kern w:val="0"/>
        </w:rPr>
        <w:t>3项目水土保持评价</w:t>
      </w:r>
      <w:bookmarkEnd w:id="78"/>
    </w:p>
    <w:p>
      <w:pPr>
        <w:pStyle w:val="3"/>
        <w:suppressAutoHyphens/>
        <w:spacing w:before="156" w:beforeLines="50" w:after="156" w:afterLines="50"/>
        <w:rPr>
          <w:rFonts w:hint="default" w:ascii="Times New Roman" w:hAnsi="Times New Roman" w:cs="Times New Roman"/>
          <w:color w:val="auto"/>
          <w:kern w:val="0"/>
        </w:rPr>
      </w:pPr>
      <w:bookmarkStart w:id="79" w:name="_Toc426534562"/>
      <w:bookmarkStart w:id="80" w:name="_Toc10419"/>
      <w:r>
        <w:rPr>
          <w:rFonts w:hint="default" w:ascii="Times New Roman" w:hAnsi="Times New Roman" w:cs="Times New Roman"/>
          <w:color w:val="auto"/>
          <w:kern w:val="0"/>
        </w:rPr>
        <w:t>3.1 主体工程选址水土保持评价</w:t>
      </w:r>
      <w:bookmarkEnd w:id="79"/>
      <w:bookmarkEnd w:id="80"/>
    </w:p>
    <w:p>
      <w:pPr>
        <w:ind w:firstLine="480"/>
        <w:rPr>
          <w:rFonts w:hint="default" w:ascii="Times New Roman" w:hAnsi="Times New Roman" w:eastAsia="仿宋_GB2312" w:cs="Times New Roman"/>
          <w:color w:val="auto"/>
          <w:szCs w:val="24"/>
        </w:rPr>
      </w:pPr>
      <w:bookmarkStart w:id="81" w:name="_Toc426534563"/>
      <w:r>
        <w:rPr>
          <w:rFonts w:hint="default" w:ascii="Times New Roman" w:hAnsi="Times New Roman" w:eastAsia="仿宋_GB2312" w:cs="Times New Roman"/>
          <w:color w:val="auto"/>
          <w:szCs w:val="24"/>
        </w:rPr>
        <w:t>根据《水利部办公厅关于印发&lt;全国水土保持规划国家级水土流失重点预防区和重点治理区复核划分成果&gt;的通知》(办水保〔2013〕188号)，项目所在的阿坝藏族羌族自治州红原县属于金沙江岷江上游及三江并流国家级水土流失重点预防区。</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经现场调查，项目建设不涉及河流两岸、湖泊和水库周边的植物保护带；建设区内没有全国水土保持监测网络中的水土保持监测站点和重点试验区，不涉及自然保护区、森林公园、风景名胜区、水源地保护区等。</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通过分析评价，可知主体工程选址无法避让金沙江岷江上游及三江并流国家级水土流失重点预防区，方案将提高防治目标，提高设计标准，加强水土保持，项目不涉及其他水土保持制约因素。主体工程选址制约性因素分析与评价详见下表：</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表3-1   工程选址分析与评价</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26"/>
        <w:gridCol w:w="4208"/>
        <w:gridCol w:w="27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2" w:hRule="atLeast"/>
          <w:tblHeader/>
          <w:jc w:val="center"/>
        </w:trPr>
        <w:tc>
          <w:tcPr>
            <w:tcW w:w="895" w:type="pct"/>
            <w:tcBorders>
              <w:top w:val="single" w:color="auto" w:sz="12" w:space="0"/>
              <w:left w:val="single" w:color="auto" w:sz="12" w:space="0"/>
              <w:bottom w:val="single" w:color="auto" w:sz="6" w:space="0"/>
              <w:right w:val="single" w:color="auto" w:sz="6" w:space="0"/>
            </w:tcBorders>
            <w:vAlign w:val="center"/>
          </w:tcPr>
          <w:p>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项目名称</w:t>
            </w:r>
          </w:p>
        </w:tc>
        <w:tc>
          <w:tcPr>
            <w:tcW w:w="2467" w:type="pct"/>
            <w:tcBorders>
              <w:top w:val="single" w:color="auto" w:sz="12" w:space="0"/>
              <w:left w:val="single" w:color="auto" w:sz="6" w:space="0"/>
              <w:bottom w:val="single" w:color="auto" w:sz="6" w:space="0"/>
              <w:right w:val="single" w:color="auto" w:sz="6" w:space="0"/>
            </w:tcBorders>
            <w:vAlign w:val="center"/>
          </w:tcPr>
          <w:p>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约束性规定</w:t>
            </w:r>
          </w:p>
        </w:tc>
        <w:tc>
          <w:tcPr>
            <w:tcW w:w="1638" w:type="pct"/>
            <w:tcBorders>
              <w:top w:val="single" w:color="auto" w:sz="12" w:space="0"/>
              <w:left w:val="single" w:color="auto" w:sz="6" w:space="0"/>
              <w:bottom w:val="single" w:color="auto" w:sz="6" w:space="0"/>
              <w:right w:val="single" w:color="auto" w:sz="12" w:space="0"/>
            </w:tcBorders>
            <w:vAlign w:val="center"/>
          </w:tcPr>
          <w:p>
            <w:pPr>
              <w:spacing w:line="240" w:lineRule="auto"/>
              <w:ind w:firstLine="0" w:firstLineChars="0"/>
              <w:jc w:val="center"/>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分析意见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3" w:hRule="atLeast"/>
          <w:jc w:val="center"/>
        </w:trPr>
        <w:tc>
          <w:tcPr>
            <w:tcW w:w="895" w:type="pct"/>
            <w:tcBorders>
              <w:top w:val="single" w:color="auto" w:sz="6" w:space="0"/>
              <w:left w:val="single" w:color="auto" w:sz="12" w:space="0"/>
              <w:bottom w:val="single" w:color="auto" w:sz="12" w:space="0"/>
              <w:right w:val="single" w:color="auto" w:sz="6" w:space="0"/>
            </w:tcBorders>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工程选址</w:t>
            </w:r>
          </w:p>
        </w:tc>
        <w:tc>
          <w:tcPr>
            <w:tcW w:w="2467" w:type="pct"/>
            <w:tcBorders>
              <w:top w:val="single" w:color="auto" w:sz="6" w:space="0"/>
              <w:left w:val="single" w:color="auto" w:sz="6" w:space="0"/>
              <w:bottom w:val="single" w:color="auto" w:sz="12" w:space="0"/>
              <w:right w:val="single" w:color="auto" w:sz="6" w:space="0"/>
            </w:tcBorders>
            <w:vAlign w:val="center"/>
          </w:tcPr>
          <w:p>
            <w:pPr>
              <w:spacing w:line="320" w:lineRule="exact"/>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主体工程选址（线）应避让下列区域：</w:t>
            </w:r>
          </w:p>
          <w:p>
            <w:pPr>
              <w:spacing w:line="320" w:lineRule="exact"/>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1.水土流失重点预防区和重点治理区；</w:t>
            </w:r>
          </w:p>
          <w:p>
            <w:pPr>
              <w:spacing w:line="320" w:lineRule="exact"/>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2.河流两岸、湖泊和水库周边的植物保护带；</w:t>
            </w:r>
          </w:p>
          <w:p>
            <w:pPr>
              <w:spacing w:line="320" w:lineRule="exact"/>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3.全国水土保持监测网络中的水土保持监测站点、重点试验区及国家确定的水土保持长期定位观测站。</w:t>
            </w:r>
          </w:p>
        </w:tc>
        <w:tc>
          <w:tcPr>
            <w:tcW w:w="1638" w:type="pct"/>
            <w:tcBorders>
              <w:top w:val="single" w:color="auto" w:sz="6" w:space="0"/>
              <w:left w:val="single" w:color="auto" w:sz="6" w:space="0"/>
              <w:bottom w:val="single" w:color="auto" w:sz="12" w:space="0"/>
              <w:right w:val="single" w:color="auto" w:sz="12" w:space="0"/>
            </w:tcBorders>
            <w:vAlign w:val="center"/>
          </w:tcPr>
          <w:p>
            <w:pPr>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1.红原县属于金沙江岷江上游及三江并流国家级水土流失重点预防区，方案将提高防治目标，提高设计标准，加强水土保持。</w:t>
            </w:r>
          </w:p>
          <w:p>
            <w:pPr>
              <w:spacing w:line="240" w:lineRule="auto"/>
              <w:ind w:firstLine="0" w:firstLineChars="0"/>
              <w:textAlignment w:val="baseline"/>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2.不涉及上述敏感区。</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3.项目建设场地不涉及上述区域</w:t>
            </w:r>
          </w:p>
        </w:tc>
      </w:tr>
    </w:tbl>
    <w:p>
      <w:pPr>
        <w:pStyle w:val="1102"/>
        <w:spacing w:line="240" w:lineRule="auto"/>
        <w:rPr>
          <w:rFonts w:hint="default" w:ascii="Times New Roman" w:hAnsi="Times New Roman" w:cs="Times New Roman"/>
          <w:color w:val="auto"/>
        </w:rPr>
      </w:pPr>
    </w:p>
    <w:p>
      <w:pPr>
        <w:pStyle w:val="3"/>
        <w:suppressAutoHyphens/>
        <w:spacing w:before="156" w:beforeLines="50" w:after="156" w:afterLines="50"/>
        <w:rPr>
          <w:rFonts w:hint="default" w:ascii="Times New Roman" w:hAnsi="Times New Roman" w:cs="Times New Roman"/>
          <w:color w:val="auto"/>
          <w:kern w:val="0"/>
        </w:rPr>
      </w:pPr>
      <w:bookmarkStart w:id="82" w:name="_Toc16057"/>
      <w:r>
        <w:rPr>
          <w:rFonts w:hint="default" w:ascii="Times New Roman" w:hAnsi="Times New Roman" w:cs="Times New Roman"/>
          <w:color w:val="auto"/>
          <w:kern w:val="0"/>
        </w:rPr>
        <w:t>3.2建设方案与布局水土保持评价</w:t>
      </w:r>
      <w:bookmarkEnd w:id="82"/>
    </w:p>
    <w:p>
      <w:pPr>
        <w:pStyle w:val="4"/>
        <w:rPr>
          <w:rFonts w:hint="default" w:ascii="Times New Roman" w:hAnsi="Times New Roman" w:cs="Times New Roman"/>
          <w:color w:val="auto"/>
        </w:rPr>
      </w:pPr>
      <w:r>
        <w:rPr>
          <w:rFonts w:hint="default" w:ascii="Times New Roman" w:hAnsi="Times New Roman" w:cs="Times New Roman"/>
          <w:color w:val="auto"/>
        </w:rPr>
        <w:t>3.2.1建设方案评价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项目属建设类项目。主体工程仅设计，且实施了1栋建筑（藏文图书馆），图书馆的建设工期较短，土建施工避开雨季，有利于水土保持；现状建筑已完工，项目区不具备产生水土流失的条件。根据主体设计及报建资料，工程不涉及道路硬化及园林绿化工程。</w:t>
      </w:r>
      <w:r>
        <w:rPr>
          <w:rFonts w:hint="default" w:ascii="Times New Roman" w:hAnsi="Times New Roman" w:eastAsia="仿宋_GB2312" w:cs="Times New Roman"/>
          <w:color w:val="auto"/>
          <w:kern w:val="0"/>
          <w:szCs w:val="24"/>
        </w:rPr>
        <w:t>。</w:t>
      </w:r>
      <w:r>
        <w:rPr>
          <w:rFonts w:hint="default" w:ascii="Times New Roman" w:hAnsi="Times New Roman" w:eastAsia="仿宋_GB2312" w:cs="Times New Roman"/>
          <w:color w:val="auto"/>
        </w:rPr>
        <w:t>项目区地表径流通过建筑周围散水暗沟进行径流导流、排泄</w:t>
      </w:r>
      <w:r>
        <w:rPr>
          <w:rFonts w:hint="default" w:ascii="Times New Roman" w:hAnsi="Times New Roman" w:eastAsia="仿宋_GB2312" w:cs="Times New Roman"/>
          <w:color w:val="auto"/>
          <w:szCs w:val="24"/>
        </w:rPr>
        <w:t>。</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工程施工组织设计、工程施工、城市区域项目水土保持分析评价详见下表。</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表3-2  工程制约因素分析与评价</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994"/>
        <w:gridCol w:w="4250"/>
        <w:gridCol w:w="2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blHeader/>
          <w:jc w:val="center"/>
        </w:trPr>
        <w:tc>
          <w:tcPr>
            <w:tcW w:w="396" w:type="pct"/>
            <w:vAlign w:val="center"/>
          </w:tcPr>
          <w:p>
            <w:pPr>
              <w:spacing w:line="240" w:lineRule="auto"/>
              <w:ind w:firstLine="0" w:firstLineChars="0"/>
              <w:jc w:val="center"/>
              <w:textAlignment w:val="baseline"/>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序号</w:t>
            </w:r>
          </w:p>
        </w:tc>
        <w:tc>
          <w:tcPr>
            <w:tcW w:w="583" w:type="pct"/>
            <w:vAlign w:val="center"/>
          </w:tcPr>
          <w:p>
            <w:pPr>
              <w:spacing w:line="240" w:lineRule="auto"/>
              <w:ind w:firstLine="0" w:firstLineChars="0"/>
              <w:jc w:val="center"/>
              <w:textAlignment w:val="baseline"/>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项目名称</w:t>
            </w:r>
          </w:p>
        </w:tc>
        <w:tc>
          <w:tcPr>
            <w:tcW w:w="2492" w:type="pct"/>
            <w:vAlign w:val="center"/>
          </w:tcPr>
          <w:p>
            <w:pPr>
              <w:spacing w:line="240" w:lineRule="auto"/>
              <w:ind w:firstLine="0" w:firstLineChars="0"/>
              <w:jc w:val="center"/>
              <w:textAlignment w:val="baseline"/>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约束性规定</w:t>
            </w:r>
          </w:p>
        </w:tc>
        <w:tc>
          <w:tcPr>
            <w:tcW w:w="1529" w:type="pct"/>
            <w:vAlign w:val="center"/>
          </w:tcPr>
          <w:p>
            <w:pPr>
              <w:spacing w:line="240" w:lineRule="auto"/>
              <w:ind w:firstLine="0" w:firstLineChars="0"/>
              <w:jc w:val="center"/>
              <w:textAlignment w:val="baseline"/>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分析意见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96"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583"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建设方案</w:t>
            </w:r>
          </w:p>
        </w:tc>
        <w:tc>
          <w:tcPr>
            <w:tcW w:w="2492" w:type="pct"/>
            <w:vAlign w:val="center"/>
          </w:tcPr>
          <w:p>
            <w:pPr>
              <w:spacing w:line="240" w:lineRule="auto"/>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1.城镇区的建设项目应提高植被建设标准，注重景观效果，配套建设灌溉、排水和雨水利用设施；</w:t>
            </w:r>
          </w:p>
          <w:p>
            <w:pPr>
              <w:spacing w:line="240" w:lineRule="auto"/>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2.对无法避让水土流失重点预防区和重点治理区的生产建设项目，建设方案应符合下列规定：</w:t>
            </w:r>
          </w:p>
          <w:p>
            <w:pPr>
              <w:spacing w:line="240" w:lineRule="auto"/>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2-1.应优化方案，减少工程占地和土石方量；公路、铁路等项目填高大于8m宜采用桥隧方案；管道工程穿越宜采用隧道、定向钻、顶管等方式；山丘区工业场地宜优先采取阶梯式布置；</w:t>
            </w:r>
          </w:p>
          <w:p>
            <w:pPr>
              <w:spacing w:line="240" w:lineRule="auto"/>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2-2.截排水工程、拦挡工程的工程等级和防洪标准应提高一级；</w:t>
            </w:r>
          </w:p>
          <w:p>
            <w:pPr>
              <w:spacing w:line="240" w:lineRule="auto"/>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2-3.宜布设雨洪集蓄、沉沙设施；</w:t>
            </w:r>
          </w:p>
          <w:p>
            <w:pPr>
              <w:spacing w:line="240" w:lineRule="auto"/>
              <w:ind w:firstLine="180" w:firstLineChars="10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2-4.提高植物措施标准，林草覆盖率应提高1个～2个百分点。</w:t>
            </w:r>
          </w:p>
        </w:tc>
        <w:tc>
          <w:tcPr>
            <w:tcW w:w="1529" w:type="pct"/>
            <w:vAlign w:val="center"/>
          </w:tcPr>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1.主体工程仅设计、建设1栋图书馆，不涉及景观及雨水回收利用设施。</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2.项目选址无法避让国家级水土流失重点预防区，方案提高防治标准，路基边沟已提高设计标准。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96"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583"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施工组织</w:t>
            </w:r>
          </w:p>
        </w:tc>
        <w:tc>
          <w:tcPr>
            <w:tcW w:w="2492"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1.应控制施工场地占地，避开植被相对良好的区域和基本农田区。</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2.应合理安排施工，防止重复开挖和多次倒运，减少裸露时间和范围。</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3.外借土石方应优先考虑利用其他工程废弃的土（石、渣），外购土（石、料）应选择合规的料场。</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4.工程标段划分应考虑合理调配土石方，减少取土（石）方、弃土（石、渣）方和临时占地数量。</w:t>
            </w:r>
          </w:p>
        </w:tc>
        <w:tc>
          <w:tcPr>
            <w:tcW w:w="1529" w:type="pct"/>
            <w:vAlign w:val="center"/>
          </w:tcPr>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1.项目施工临时设施区布置在红线内，不涉及植被良好区和基本农田。</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2.建筑基坑一次开挖成形，余方在场地内回填。</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3.项目土石方挖填平衡。</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4.项目竖向设计合理可行，使得挖方全部回填利用，同时也减少了挖方量，临时堆土在基坑周围散堆。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96"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w:t>
            </w:r>
          </w:p>
        </w:tc>
        <w:tc>
          <w:tcPr>
            <w:tcW w:w="583"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工程施工</w:t>
            </w:r>
          </w:p>
        </w:tc>
        <w:tc>
          <w:tcPr>
            <w:tcW w:w="2492"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1.施工活动应控制在设计的施工道路、施工场地内。</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2.施工开始时首先对表土进行剥离或保护，剥离的表土应集中堆放，并采取防护措施。</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3.裸露地表应及时防护，减少裸露时间；填筑土方时应随挖、随运、随填、随压。</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4.临时堆土（石、渣）应集中堆放，并采取临时拦挡、苫盖、排水、沉沙等措施。</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5.施工产生的泥浆应先通过泥浆沉砂池沉淀，再采取其他处置措施。</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6.土（石、料、渣、矸石）方在运输过程中应采取保护措施，防止沿途散溢</w:t>
            </w:r>
          </w:p>
        </w:tc>
        <w:tc>
          <w:tcPr>
            <w:tcW w:w="1529" w:type="pct"/>
            <w:vAlign w:val="center"/>
          </w:tcPr>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1.项目施工活动在用地红线内，没有扰动红线外的土地。</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2.项目区无表土可剥离。</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3.主体工程实施有防雨布遮盖措施。</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4.主体工程没有集中设置临时堆土场。</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5.项目土建施工不涉水，污泥产生。</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6.主体施工符合上述要求。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396"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w:t>
            </w:r>
          </w:p>
        </w:tc>
        <w:tc>
          <w:tcPr>
            <w:tcW w:w="583"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青藏高原区</w:t>
            </w:r>
          </w:p>
        </w:tc>
        <w:tc>
          <w:tcPr>
            <w:tcW w:w="2492" w:type="pct"/>
            <w:vAlign w:val="center"/>
          </w:tcPr>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1.应严格控制施工扰动范围，保护地表、植被；</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2.高山草甸区应注重草皮的剥离、保护和利用；</w:t>
            </w:r>
          </w:p>
          <w:p>
            <w:pPr>
              <w:spacing w:line="240" w:lineRule="auto"/>
              <w:ind w:firstLine="0" w:firstLineChars="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3.防护措施应考虑冻害影响。</w:t>
            </w:r>
          </w:p>
        </w:tc>
        <w:tc>
          <w:tcPr>
            <w:tcW w:w="1529" w:type="pct"/>
            <w:vAlign w:val="center"/>
          </w:tcPr>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1.主体施工均在打围范围内，严格控制扰动范围；</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2.项目在原有校园内建设，无草甸可剥离；</w:t>
            </w:r>
          </w:p>
          <w:p>
            <w:pPr>
              <w:spacing w:line="240" w:lineRule="auto"/>
              <w:ind w:firstLine="0" w:firstLineChars="0"/>
              <w:textAlignment w:val="baseline"/>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3.主体设计已考虑。</w:t>
            </w:r>
          </w:p>
        </w:tc>
      </w:tr>
    </w:tbl>
    <w:p>
      <w:pPr>
        <w:ind w:firstLine="480"/>
        <w:rPr>
          <w:rFonts w:hint="default" w:ascii="Times New Roman" w:hAnsi="Times New Roman" w:eastAsia="仿宋_GB2312" w:cs="Times New Roman"/>
          <w:color w:val="auto"/>
          <w:kern w:val="0"/>
          <w:szCs w:val="24"/>
        </w:rPr>
      </w:pPr>
    </w:p>
    <w:p>
      <w:pPr>
        <w:pStyle w:val="4"/>
        <w:rPr>
          <w:rFonts w:hint="default" w:ascii="Times New Roman" w:hAnsi="Times New Roman" w:cs="Times New Roman"/>
          <w:color w:val="auto"/>
        </w:rPr>
      </w:pPr>
      <w:r>
        <w:rPr>
          <w:rFonts w:hint="default" w:ascii="Times New Roman" w:hAnsi="Times New Roman" w:cs="Times New Roman"/>
          <w:color w:val="auto"/>
        </w:rPr>
        <w:t>3.2.2工程占地评价</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本项目总占地0.</w:t>
      </w:r>
      <w:r>
        <w:rPr>
          <w:rFonts w:hint="default" w:ascii="Times New Roman" w:hAnsi="Times New Roman" w:eastAsia="仿宋_GB2312" w:cs="Times New Roman"/>
          <w:color w:val="auto"/>
          <w:kern w:val="0"/>
          <w:lang w:val="en-US" w:eastAsia="zh-CN"/>
        </w:rPr>
        <w:t>43</w:t>
      </w:r>
      <w:r>
        <w:rPr>
          <w:rFonts w:hint="default" w:ascii="Times New Roman" w:hAnsi="Times New Roman" w:eastAsia="仿宋_GB2312" w:cs="Times New Roman"/>
          <w:color w:val="auto"/>
          <w:kern w:val="0"/>
        </w:rPr>
        <w:t>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，均为永久占地，</w:t>
      </w:r>
      <w:r>
        <w:rPr>
          <w:rFonts w:hint="default" w:ascii="Times New Roman" w:hAnsi="Times New Roman" w:eastAsia="仿宋_GB2312" w:cs="Times New Roman"/>
          <w:color w:val="auto"/>
          <w:kern w:val="0"/>
          <w:lang w:val="en-US" w:eastAsia="zh-CN"/>
        </w:rPr>
        <w:t>其中图书馆建筑基底面积0.09hm</w:t>
      </w:r>
      <w:r>
        <w:rPr>
          <w:rFonts w:hint="default" w:ascii="Times New Roman" w:hAnsi="Times New Roman" w:eastAsia="仿宋_GB2312" w:cs="Times New Roman"/>
          <w:color w:val="auto"/>
          <w:kern w:val="0"/>
          <w:vertAlign w:val="superscript"/>
          <w:lang w:val="en-US" w:eastAsia="zh-CN"/>
        </w:rPr>
        <w:t>2</w:t>
      </w:r>
      <w:r>
        <w:rPr>
          <w:rFonts w:hint="default" w:ascii="Times New Roman" w:hAnsi="Times New Roman" w:eastAsia="仿宋_GB2312" w:cs="Times New Roman"/>
          <w:color w:val="auto"/>
          <w:kern w:val="0"/>
          <w:vertAlign w:val="baseline"/>
          <w:lang w:val="en-US" w:eastAsia="zh-CN"/>
        </w:rPr>
        <w:t>、周边附属工程占地0.34</w:t>
      </w:r>
      <w:r>
        <w:rPr>
          <w:rFonts w:hint="default" w:ascii="Times New Roman" w:hAnsi="Times New Roman" w:eastAsia="仿宋_GB2312" w:cs="Times New Roman"/>
          <w:color w:val="auto"/>
          <w:kern w:val="0"/>
        </w:rPr>
        <w:t>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vertAlign w:val="baseline"/>
          <w:lang w:eastAsia="zh-CN"/>
        </w:rPr>
        <w:t>；</w:t>
      </w:r>
      <w:r>
        <w:rPr>
          <w:rFonts w:hint="default" w:ascii="Times New Roman" w:hAnsi="Times New Roman" w:eastAsia="仿宋_GB2312" w:cs="Times New Roman"/>
          <w:color w:val="auto"/>
          <w:kern w:val="0"/>
          <w:vertAlign w:val="baseline"/>
          <w:lang w:val="en-US" w:eastAsia="zh-CN"/>
        </w:rPr>
        <w:t>项目建设在既有校园内，</w:t>
      </w:r>
      <w:r>
        <w:rPr>
          <w:rFonts w:hint="default" w:ascii="Times New Roman" w:hAnsi="Times New Roman" w:eastAsia="仿宋_GB2312" w:cs="Times New Roman"/>
          <w:color w:val="auto"/>
          <w:kern w:val="0"/>
        </w:rPr>
        <w:t>不涉及代征、代建用地，占地类型为公共管理与公共服务用地</w:t>
      </w:r>
      <w:r>
        <w:rPr>
          <w:rFonts w:hint="default" w:ascii="Times New Roman" w:hAnsi="Times New Roman" w:eastAsia="仿宋_GB2312" w:cs="Times New Roman"/>
          <w:color w:val="auto"/>
        </w:rPr>
        <w:t>。</w:t>
      </w:r>
    </w:p>
    <w:p>
      <w:pPr>
        <w:ind w:firstLine="460" w:firstLineChars="192"/>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在原有校园内建设，项目区内无表土可剥离，建筑挖方临时堆放在建筑占地范围内，不涉及集中堆土区；临时办公用房及工人食宿均租用民房，没有在项目区内设置临建设施；施工道路依托市政道路银珠西路、霞穹西路等。综上，项目施工没有新增临时用地，符合水土保持要求。</w:t>
      </w:r>
    </w:p>
    <w:p>
      <w:pPr>
        <w:ind w:firstLine="460" w:firstLineChars="192"/>
        <w:rPr>
          <w:rFonts w:hint="default" w:ascii="Times New Roman" w:hAnsi="Times New Roman" w:eastAsia="仿宋_GB2312" w:cs="Times New Roman"/>
          <w:color w:val="auto"/>
          <w:kern w:val="0"/>
          <w:vertAlign w:val="baseline"/>
          <w:lang w:val="en-US" w:eastAsia="zh-CN"/>
        </w:rPr>
      </w:pPr>
      <w:r>
        <w:rPr>
          <w:rFonts w:hint="default" w:ascii="Times New Roman" w:hAnsi="Times New Roman" w:eastAsia="仿宋_GB2312" w:cs="Times New Roman"/>
          <w:color w:val="auto"/>
          <w:kern w:val="0"/>
          <w:lang w:val="en-US" w:eastAsia="zh-CN"/>
        </w:rPr>
        <w:t>藏文图书馆配套的给排水管道在场地内开槽埋深，扰动土地面积0.34</w:t>
      </w:r>
      <w:r>
        <w:rPr>
          <w:rFonts w:hint="default" w:ascii="Times New Roman" w:hAnsi="Times New Roman" w:eastAsia="仿宋_GB2312" w:cs="Times New Roman"/>
          <w:color w:val="auto"/>
          <w:kern w:val="0"/>
        </w:rPr>
        <w:t>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vertAlign w:val="baseline"/>
          <w:lang w:eastAsia="zh-CN"/>
        </w:rPr>
        <w:t>，</w:t>
      </w:r>
      <w:r>
        <w:rPr>
          <w:rFonts w:hint="default" w:ascii="Times New Roman" w:hAnsi="Times New Roman" w:eastAsia="仿宋_GB2312" w:cs="Times New Roman"/>
          <w:color w:val="auto"/>
          <w:kern w:val="0"/>
          <w:vertAlign w:val="baseline"/>
          <w:lang w:val="en-US" w:eastAsia="zh-CN"/>
        </w:rPr>
        <w:t>工程完工后进行硬质铺装，施工迹地完成恢复。</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从水土保持的角度上看，工程占地符合节约用地和减少扰动的要求，临时占地满足施工要求。</w:t>
      </w:r>
    </w:p>
    <w:p>
      <w:pPr>
        <w:pStyle w:val="4"/>
        <w:rPr>
          <w:rFonts w:hint="default" w:ascii="Times New Roman" w:hAnsi="Times New Roman" w:cs="Times New Roman"/>
          <w:color w:val="auto"/>
        </w:rPr>
      </w:pPr>
      <w:r>
        <w:rPr>
          <w:rFonts w:hint="default" w:ascii="Times New Roman" w:hAnsi="Times New Roman" w:cs="Times New Roman"/>
          <w:color w:val="auto"/>
        </w:rPr>
        <w:t>3.2.3土石方平衡评价</w:t>
      </w:r>
    </w:p>
    <w:p>
      <w:pPr>
        <w:pStyle w:val="342"/>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本项目土石方总开挖量0.15万m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总回填方量0.</w:t>
      </w:r>
      <w:r>
        <w:rPr>
          <w:rFonts w:hint="default" w:ascii="Times New Roman" w:hAnsi="Times New Roman" w:eastAsia="仿宋_GB2312" w:cs="Times New Roman"/>
          <w:color w:val="auto"/>
          <w:lang w:val="en-US" w:eastAsia="zh-CN"/>
        </w:rPr>
        <w:t>09</w:t>
      </w:r>
      <w:r>
        <w:rPr>
          <w:rFonts w:hint="default" w:ascii="Times New Roman" w:hAnsi="Times New Roman" w:eastAsia="仿宋_GB2312" w:cs="Times New Roman"/>
          <w:color w:val="auto"/>
        </w:rPr>
        <w:t>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余方0.06</w:t>
      </w:r>
      <w:r>
        <w:rPr>
          <w:rFonts w:hint="default" w:ascii="Times New Roman" w:hAnsi="Times New Roman" w:eastAsia="仿宋_GB2312" w:cs="Times New Roman"/>
          <w:color w:val="auto"/>
        </w:rPr>
        <w:t>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vertAlign w:val="baseline"/>
          <w:lang w:eastAsia="zh-CN"/>
        </w:rPr>
        <w:t>，</w:t>
      </w:r>
      <w:r>
        <w:rPr>
          <w:rFonts w:hint="default" w:ascii="Times New Roman" w:hAnsi="Times New Roman" w:eastAsia="仿宋_GB2312" w:cs="Times New Roman"/>
          <w:color w:val="auto"/>
          <w:kern w:val="0"/>
          <w:vertAlign w:val="baseline"/>
          <w:lang w:val="en-US" w:eastAsia="zh-CN"/>
        </w:rPr>
        <w:t>图书馆周围在硬质铺装前需回填土方，建筑基础余方回填这些区域，经夯实后不影响室外设计高程，余方在场地回填处置合理</w:t>
      </w:r>
      <w:r>
        <w:rPr>
          <w:rFonts w:hint="default" w:ascii="Times New Roman" w:hAnsi="Times New Roman" w:eastAsia="仿宋_GB2312" w:cs="Times New Roman"/>
          <w:color w:val="auto"/>
          <w:kern w:val="0"/>
        </w:rPr>
        <w:t>。</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经调查，此次图书馆在原有校园征地范围内实施；原始占地类型不具备表土剥离的条件。</w:t>
      </w:r>
    </w:p>
    <w:p>
      <w:pPr>
        <w:widowControl/>
        <w:ind w:firstLine="480"/>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Cs w:val="24"/>
        </w:rPr>
        <w:t>项目土石方集中在建筑基坑开挖与回填以及综合管线沟槽挖方与填方。图书馆基础挖方临时堆放在基坑旁，基础浇筑完成后进行回填，回填剩余土方在建筑内部及周围回填，没有外弃，有利于水土保持。</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4"/>
        </w:rPr>
        <w:t>从水土保持角度来看，本项目土石方挖填数量符合最优化原则；土石方调运节点符合工程实际、调运时序、运距合理；</w:t>
      </w:r>
      <w:r>
        <w:rPr>
          <w:rFonts w:hint="default" w:ascii="Times New Roman" w:hAnsi="Times New Roman" w:eastAsia="仿宋_GB2312" w:cs="Times New Roman"/>
          <w:color w:val="auto"/>
        </w:rPr>
        <w:t>余方处置符合综合利用要求。</w:t>
      </w:r>
    </w:p>
    <w:p>
      <w:pPr>
        <w:pStyle w:val="4"/>
        <w:rPr>
          <w:rFonts w:hint="default" w:ascii="Times New Roman" w:hAnsi="Times New Roman" w:cs="Times New Roman"/>
          <w:color w:val="auto"/>
        </w:rPr>
      </w:pPr>
      <w:r>
        <w:rPr>
          <w:rFonts w:hint="default" w:ascii="Times New Roman" w:hAnsi="Times New Roman" w:cs="Times New Roman"/>
          <w:color w:val="auto"/>
        </w:rPr>
        <w:t>3.2.4取土（石、砂）场设置评价</w:t>
      </w:r>
    </w:p>
    <w:p>
      <w:pPr>
        <w:ind w:firstLine="480"/>
        <w:rPr>
          <w:rFonts w:hint="default" w:ascii="Times New Roman" w:hAnsi="Times New Roman" w:eastAsia="仿宋_GB2312" w:cs="Times New Roman"/>
          <w:color w:val="auto"/>
          <w:szCs w:val="24"/>
        </w:rPr>
      </w:pPr>
      <w:bookmarkStart w:id="83" w:name="_Toc516589543"/>
      <w:r>
        <w:rPr>
          <w:rFonts w:hint="default" w:ascii="Times New Roman" w:hAnsi="Times New Roman" w:eastAsia="仿宋_GB2312" w:cs="Times New Roman"/>
          <w:color w:val="auto"/>
          <w:szCs w:val="24"/>
        </w:rPr>
        <w:t>本项目不涉及。</w:t>
      </w:r>
    </w:p>
    <w:p>
      <w:pPr>
        <w:pStyle w:val="4"/>
        <w:rPr>
          <w:rFonts w:hint="default" w:ascii="Times New Roman" w:hAnsi="Times New Roman" w:cs="Times New Roman"/>
          <w:color w:val="auto"/>
        </w:rPr>
      </w:pPr>
      <w:r>
        <w:rPr>
          <w:rFonts w:hint="default" w:ascii="Times New Roman" w:hAnsi="Times New Roman" w:cs="Times New Roman"/>
          <w:color w:val="auto"/>
        </w:rPr>
        <w:t>3.2.</w:t>
      </w:r>
      <w:bookmarkEnd w:id="83"/>
      <w:r>
        <w:rPr>
          <w:rFonts w:hint="default" w:ascii="Times New Roman" w:hAnsi="Times New Roman" w:cs="Times New Roman"/>
          <w:color w:val="auto"/>
        </w:rPr>
        <w:t>5弃土场设置评价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本项目不涉及。</w:t>
      </w:r>
    </w:p>
    <w:p>
      <w:pPr>
        <w:pStyle w:val="4"/>
        <w:rPr>
          <w:rFonts w:hint="default" w:ascii="Times New Roman" w:hAnsi="Times New Roman" w:cs="Times New Roman"/>
          <w:color w:val="auto"/>
        </w:rPr>
      </w:pPr>
      <w:r>
        <w:rPr>
          <w:rFonts w:hint="default" w:ascii="Times New Roman" w:hAnsi="Times New Roman" w:cs="Times New Roman"/>
          <w:color w:val="auto"/>
        </w:rPr>
        <w:t>3.2.6施工方法与工艺评价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本项目由建筑工程、附属设施组成，容易诱发水土流失的环节包括基础开挖与回填等。</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（1）建筑物基础施工方法评价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建筑工程基础采取钢筋砼基础，涉及土石方较少，其基础挖方均在基坑内及周围回填，没有长时间堆放，满足水土保持要求。</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（2）附属工程施工方法评价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综合管线在验槽后应及时下管、及时回填，管槽挖方临时堆放时间较短，水土流失危害甚微。</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从水土保持角度看，以上各项工程施工方法满足水土保持相关规定。</w:t>
      </w:r>
    </w:p>
    <w:p>
      <w:pPr>
        <w:pStyle w:val="4"/>
        <w:rPr>
          <w:rFonts w:hint="default" w:ascii="Times New Roman" w:hAnsi="Times New Roman" w:cs="Times New Roman"/>
          <w:color w:val="auto"/>
        </w:rPr>
      </w:pPr>
      <w:r>
        <w:rPr>
          <w:rFonts w:hint="default" w:ascii="Times New Roman" w:hAnsi="Times New Roman" w:cs="Times New Roman"/>
          <w:color w:val="auto"/>
        </w:rPr>
        <w:t>3.2.7主体设计中具有水土保持功能工程的评价</w:t>
      </w:r>
    </w:p>
    <w:p>
      <w:pPr>
        <w:ind w:firstLine="480"/>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eastAsia="zh-CN"/>
        </w:rPr>
        <w:t>（</w:t>
      </w:r>
      <w:r>
        <w:rPr>
          <w:rFonts w:hint="default" w:ascii="Times New Roman" w:hAnsi="Times New Roman" w:eastAsia="仿宋_GB2312" w:cs="Times New Roman"/>
          <w:b/>
          <w:bCs/>
          <w:color w:val="auto"/>
          <w:szCs w:val="24"/>
          <w:lang w:val="en-US" w:eastAsia="zh-CN"/>
        </w:rPr>
        <w:t>1</w:t>
      </w:r>
      <w:r>
        <w:rPr>
          <w:rFonts w:hint="default" w:ascii="Times New Roman" w:hAnsi="Times New Roman" w:eastAsia="仿宋_GB2312" w:cs="Times New Roman"/>
          <w:b/>
          <w:bCs/>
          <w:color w:val="auto"/>
          <w:szCs w:val="24"/>
          <w:lang w:eastAsia="zh-CN"/>
        </w:rPr>
        <w:t>）</w:t>
      </w:r>
      <w:r>
        <w:rPr>
          <w:rFonts w:hint="default" w:ascii="Times New Roman" w:hAnsi="Times New Roman" w:eastAsia="仿宋_GB2312" w:cs="Times New Roman"/>
          <w:b/>
          <w:bCs/>
          <w:color w:val="auto"/>
          <w:szCs w:val="24"/>
          <w:lang w:val="en-US" w:eastAsia="zh-CN"/>
        </w:rPr>
        <w:t>主体工程</w:t>
      </w:r>
    </w:p>
    <w:p>
      <w:pPr>
        <w:ind w:firstLine="480"/>
        <w:rPr>
          <w:rFonts w:hint="default" w:ascii="Times New Roman" w:hAnsi="Times New Roman" w:eastAsia="仿宋_GB2312" w:cs="Times New Roman"/>
          <w:b/>
          <w:color w:val="auto"/>
        </w:rPr>
      </w:pPr>
      <w:r>
        <w:rPr>
          <w:rFonts w:hint="default" w:ascii="Times New Roman" w:hAnsi="Times New Roman" w:eastAsia="仿宋_GB2312" w:cs="Times New Roman"/>
          <w:color w:val="auto"/>
          <w:szCs w:val="24"/>
        </w:rPr>
        <w:t>建筑工程包括</w:t>
      </w:r>
      <w:r>
        <w:rPr>
          <w:rFonts w:hint="default" w:ascii="Times New Roman" w:hAnsi="Times New Roman" w:eastAsia="仿宋_GB2312" w:cs="Times New Roman"/>
          <w:color w:val="auto"/>
        </w:rPr>
        <w:t>藏文图书馆</w:t>
      </w:r>
      <w:r>
        <w:rPr>
          <w:rFonts w:hint="default" w:ascii="Times New Roman" w:hAnsi="Times New Roman" w:eastAsia="仿宋_GB2312" w:cs="Times New Roman"/>
          <w:color w:val="auto"/>
          <w:szCs w:val="24"/>
        </w:rPr>
        <w:t>以主体工程施工功能为主，建构筑物占压的地表将不会产生水土流失；建筑工程以主体设计功能为主，不界定为水土保持措施。</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*1）散水暗沟（已实施）：</w:t>
      </w:r>
      <w:r>
        <w:rPr>
          <w:rFonts w:hint="default" w:ascii="Times New Roman" w:hAnsi="Times New Roman" w:eastAsia="仿宋_GB2312" w:cs="Times New Roman"/>
          <w:color w:val="auto"/>
          <w:kern w:val="0"/>
        </w:rPr>
        <w:t>据施工图设计，建筑周围设置散水暗沟123.02m（散水暗沟净断面：0.30m宽×0.45m深，采用150mm厚C20混凝土结构</w:t>
      </w:r>
      <w:r>
        <w:rPr>
          <w:rFonts w:hint="default" w:ascii="Times New Roman" w:hAnsi="Times New Roman" w:eastAsia="仿宋_GB2312" w:cs="Times New Roman"/>
          <w:color w:val="auto"/>
        </w:rPr>
        <w:t>，成品盖板）</w:t>
      </w:r>
      <w:r>
        <w:rPr>
          <w:rFonts w:hint="default" w:ascii="Times New Roman" w:hAnsi="Times New Roman" w:eastAsia="仿宋_GB2312" w:cs="Times New Roman"/>
          <w:color w:val="auto"/>
          <w:kern w:val="0"/>
        </w:rPr>
        <w:t>。建筑周围硬化区域，雨季降水不易下渗，容易形成地表径流，假如没有建筑周围的散水暗沟，易形成内涝；同时散水暗沟也能接收屋面雨水，其能有效排泄项目区径流，具有较好的水土保持功能。且根据《生产建设项目水土保持技术标准》（GB50433-2018）</w:t>
      </w:r>
      <w:r>
        <w:rPr>
          <w:rFonts w:hint="default" w:ascii="Times New Roman" w:hAnsi="Times New Roman" w:eastAsia="仿宋_GB2312" w:cs="Times New Roman"/>
          <w:color w:val="auto"/>
        </w:rPr>
        <w:t>，厂区、办公生活区排水管、排水沟等应界定为水保措施。</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*2）防雨布遮盖（已实施）：</w:t>
      </w:r>
      <w:r>
        <w:rPr>
          <w:rFonts w:hint="default" w:ascii="Times New Roman" w:hAnsi="Times New Roman" w:eastAsia="仿宋_GB2312" w:cs="Times New Roman"/>
          <w:color w:val="auto"/>
          <w:kern w:val="0"/>
        </w:rPr>
        <w:t>主体在图书馆基础施工期间，为防止基坑挖方造成水土流失，已实施防雨布遮盖措施，需防雨布约500m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w:t>
      </w:r>
    </w:p>
    <w:p>
      <w:pPr>
        <w:numPr>
          <w:ilvl w:val="0"/>
          <w:numId w:val="2"/>
        </w:numPr>
        <w:ind w:firstLine="480"/>
        <w:rPr>
          <w:rFonts w:hint="default" w:ascii="Times New Roman" w:hAnsi="Times New Roman" w:eastAsia="仿宋_GB2312" w:cs="Times New Roman"/>
          <w:b/>
          <w:bCs/>
          <w:color w:val="auto"/>
          <w:szCs w:val="24"/>
          <w:lang w:val="en-US" w:eastAsia="zh-CN"/>
        </w:rPr>
      </w:pPr>
      <w:r>
        <w:rPr>
          <w:rFonts w:hint="default" w:ascii="Times New Roman" w:hAnsi="Times New Roman" w:eastAsia="仿宋_GB2312" w:cs="Times New Roman"/>
          <w:b/>
          <w:bCs/>
          <w:color w:val="auto"/>
          <w:szCs w:val="24"/>
          <w:lang w:val="en-US" w:eastAsia="zh-CN"/>
        </w:rPr>
        <w:t>附属工程</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lang w:val="en-US" w:eastAsia="zh-CN"/>
        </w:rPr>
        <w:t>1</w:t>
      </w:r>
      <w:r>
        <w:rPr>
          <w:rFonts w:hint="default" w:ascii="Times New Roman" w:hAnsi="Times New Roman" w:eastAsia="仿宋_GB2312" w:cs="Times New Roman"/>
          <w:color w:val="auto"/>
          <w:kern w:val="0"/>
        </w:rPr>
        <w:t>）防雨布遮盖（</w:t>
      </w:r>
      <w:r>
        <w:rPr>
          <w:rFonts w:hint="default" w:ascii="Times New Roman" w:hAnsi="Times New Roman" w:eastAsia="仿宋_GB2312" w:cs="Times New Roman"/>
          <w:color w:val="auto"/>
          <w:kern w:val="0"/>
          <w:lang w:val="en-US" w:eastAsia="zh-CN"/>
        </w:rPr>
        <w:t>已</w:t>
      </w:r>
      <w:r>
        <w:rPr>
          <w:rFonts w:hint="default" w:ascii="Times New Roman" w:hAnsi="Times New Roman" w:eastAsia="仿宋_GB2312" w:cs="Times New Roman"/>
          <w:color w:val="auto"/>
          <w:kern w:val="0"/>
        </w:rPr>
        <w:t>实施）：</w:t>
      </w:r>
      <w:r>
        <w:rPr>
          <w:rFonts w:hint="default" w:ascii="Times New Roman" w:hAnsi="Times New Roman" w:eastAsia="仿宋_GB2312" w:cs="Times New Roman"/>
          <w:color w:val="auto"/>
          <w:kern w:val="0"/>
          <w:lang w:val="en-US" w:eastAsia="zh-CN"/>
        </w:rPr>
        <w:t>主体工程在</w:t>
      </w:r>
      <w:r>
        <w:rPr>
          <w:rFonts w:hint="default" w:ascii="Times New Roman" w:hAnsi="Times New Roman" w:eastAsia="仿宋_GB2312" w:cs="Times New Roman"/>
          <w:color w:val="auto"/>
          <w:kern w:val="0"/>
        </w:rPr>
        <w:t>综合管沟</w:t>
      </w:r>
      <w:r>
        <w:rPr>
          <w:rFonts w:hint="default" w:ascii="Times New Roman" w:hAnsi="Times New Roman" w:eastAsia="仿宋_GB2312" w:cs="Times New Roman"/>
          <w:color w:val="auto"/>
          <w:kern w:val="0"/>
          <w:lang w:val="en-US" w:eastAsia="zh-CN"/>
        </w:rPr>
        <w:t>开挖时实施有防雨布遮盖措施，实施</w:t>
      </w:r>
      <w:r>
        <w:rPr>
          <w:rFonts w:hint="default" w:ascii="Times New Roman" w:hAnsi="Times New Roman" w:eastAsia="仿宋_GB2312" w:cs="Times New Roman"/>
          <w:color w:val="auto"/>
          <w:kern w:val="0"/>
        </w:rPr>
        <w:t>防雨布约300m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w:t>
      </w:r>
    </w:p>
    <w:p>
      <w:pPr>
        <w:pStyle w:val="3"/>
        <w:suppressAutoHyphens/>
        <w:spacing w:before="156" w:beforeLines="50" w:after="156" w:afterLines="50"/>
        <w:rPr>
          <w:rFonts w:hint="default" w:ascii="Times New Roman" w:hAnsi="Times New Roman" w:cs="Times New Roman"/>
          <w:color w:val="auto"/>
          <w:kern w:val="0"/>
        </w:rPr>
      </w:pPr>
      <w:bookmarkStart w:id="84" w:name="_Toc24100"/>
      <w:r>
        <w:rPr>
          <w:rFonts w:hint="default" w:ascii="Times New Roman" w:hAnsi="Times New Roman" w:cs="Times New Roman"/>
          <w:color w:val="auto"/>
          <w:kern w:val="0"/>
        </w:rPr>
        <w:t>3.3 主体工程设计中水土保持措施界定</w:t>
      </w:r>
      <w:bookmarkEnd w:id="84"/>
    </w:p>
    <w:p>
      <w:pPr>
        <w:pStyle w:val="4"/>
        <w:rPr>
          <w:rFonts w:hint="default" w:ascii="Times New Roman" w:hAnsi="Times New Roman" w:cs="Times New Roman"/>
          <w:color w:val="auto"/>
        </w:rPr>
      </w:pPr>
      <w:r>
        <w:rPr>
          <w:rFonts w:hint="default" w:ascii="Times New Roman" w:hAnsi="Times New Roman" w:cs="Times New Roman"/>
          <w:color w:val="auto"/>
        </w:rPr>
        <w:t>3.3.1水土保持措施</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w:t>
      </w:r>
      <w:r>
        <w:rPr>
          <w:rFonts w:hint="default" w:ascii="Times New Roman" w:hAnsi="Times New Roman" w:eastAsia="仿宋_GB2312" w:cs="Times New Roman"/>
          <w:color w:val="auto"/>
          <w:kern w:val="0"/>
        </w:rPr>
        <w:t>《生产建设项目水土保持技术标准》（GB50433-2018）</w:t>
      </w:r>
      <w:r>
        <w:rPr>
          <w:rFonts w:hint="default" w:ascii="Times New Roman" w:hAnsi="Times New Roman" w:eastAsia="仿宋_GB2312" w:cs="Times New Roman"/>
          <w:color w:val="auto"/>
        </w:rPr>
        <w:t>，水土保持工程的界定原则为：应将主体设计中以水土保持功能为主的工程界定为水土保持措施；难以区分是否以水土保持功能为主的工程，可按破坏性试验的原则进行界定；即假定没有这些工程，主体设计功能仍然可以发挥作用，但会产生较大的水土流失，此类工程应界定水土保持措施。主体工程已具水土保持措施见表3-3。</w:t>
      </w:r>
    </w:p>
    <w:p>
      <w:pPr>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表3-3   主体工程已有水土保持措施投资汇总表</w:t>
      </w:r>
    </w:p>
    <w:tbl>
      <w:tblPr>
        <w:tblStyle w:val="61"/>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2"/>
        <w:gridCol w:w="1192"/>
        <w:gridCol w:w="2058"/>
        <w:gridCol w:w="769"/>
        <w:gridCol w:w="1202"/>
        <w:gridCol w:w="1161"/>
        <w:gridCol w:w="9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99"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工程组成</w:t>
            </w:r>
          </w:p>
        </w:tc>
        <w:tc>
          <w:tcPr>
            <w:tcW w:w="699"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措 施</w:t>
            </w:r>
          </w:p>
        </w:tc>
        <w:tc>
          <w:tcPr>
            <w:tcW w:w="1207"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措施名称</w:t>
            </w:r>
          </w:p>
        </w:tc>
        <w:tc>
          <w:tcPr>
            <w:tcW w:w="451"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单 位</w:t>
            </w:r>
          </w:p>
        </w:tc>
        <w:tc>
          <w:tcPr>
            <w:tcW w:w="705"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工程量</w:t>
            </w: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综合单价</w:t>
            </w:r>
          </w:p>
        </w:tc>
        <w:tc>
          <w:tcPr>
            <w:tcW w:w="55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投 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99"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99"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207"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51"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vMerge w:val="continue"/>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（元）</w:t>
            </w:r>
          </w:p>
        </w:tc>
        <w:tc>
          <w:tcPr>
            <w:tcW w:w="556"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99" w:type="pct"/>
            <w:vMerge w:val="restar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主体工程</w:t>
            </w:r>
          </w:p>
        </w:tc>
        <w:tc>
          <w:tcPr>
            <w:tcW w:w="699"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工程措施</w:t>
            </w:r>
          </w:p>
        </w:tc>
        <w:tc>
          <w:tcPr>
            <w:tcW w:w="120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散水暗沟</w:t>
            </w:r>
          </w:p>
        </w:tc>
        <w:tc>
          <w:tcPr>
            <w:tcW w:w="45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p>
        </w:tc>
        <w:tc>
          <w:tcPr>
            <w:tcW w:w="7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123.02</w:t>
            </w: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334.79</w:t>
            </w:r>
          </w:p>
        </w:tc>
        <w:tc>
          <w:tcPr>
            <w:tcW w:w="556"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99"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99"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临时措施</w:t>
            </w:r>
          </w:p>
        </w:tc>
        <w:tc>
          <w:tcPr>
            <w:tcW w:w="120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45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7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500</w:t>
            </w: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5.00</w:t>
            </w:r>
          </w:p>
        </w:tc>
        <w:tc>
          <w:tcPr>
            <w:tcW w:w="556"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99"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附属工程</w:t>
            </w:r>
          </w:p>
        </w:tc>
        <w:tc>
          <w:tcPr>
            <w:tcW w:w="699"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临时措施</w:t>
            </w:r>
          </w:p>
        </w:tc>
        <w:tc>
          <w:tcPr>
            <w:tcW w:w="120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防雨布遮盖</w:t>
            </w:r>
          </w:p>
        </w:tc>
        <w:tc>
          <w:tcPr>
            <w:tcW w:w="45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7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rPr>
              <w:t>3</w:t>
            </w:r>
            <w:r>
              <w:rPr>
                <w:rFonts w:hint="default" w:ascii="Times New Roman" w:hAnsi="Times New Roman" w:eastAsia="仿宋_GB2312" w:cs="Times New Roman"/>
                <w:color w:val="auto"/>
                <w:kern w:val="0"/>
                <w:sz w:val="18"/>
                <w:szCs w:val="18"/>
              </w:rPr>
              <w:t>00</w:t>
            </w: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5.00</w:t>
            </w:r>
          </w:p>
        </w:tc>
        <w:tc>
          <w:tcPr>
            <w:tcW w:w="556"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9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906" w:type="pct"/>
            <w:gridSpan w:val="2"/>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45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81"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56"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eastAsia="zh-CN"/>
              </w:rPr>
            </w:pPr>
            <w:r>
              <w:rPr>
                <w:rFonts w:hint="default" w:ascii="Times New Roman" w:hAnsi="Times New Roman" w:eastAsia="仿宋_GB2312" w:cs="Times New Roman"/>
                <w:b/>
                <w:color w:val="auto"/>
                <w:kern w:val="0"/>
                <w:sz w:val="18"/>
                <w:szCs w:val="18"/>
                <w:lang w:eastAsia="zh-CN"/>
              </w:rPr>
              <w:t>4.52</w:t>
            </w:r>
          </w:p>
        </w:tc>
      </w:tr>
    </w:tbl>
    <w:p>
      <w:pPr>
        <w:pStyle w:val="1102"/>
        <w:spacing w:line="240" w:lineRule="auto"/>
        <w:rPr>
          <w:rFonts w:hint="default" w:ascii="Times New Roman" w:hAnsi="Times New Roman" w:cs="Times New Roman"/>
          <w:color w:val="auto"/>
        </w:rPr>
      </w:pPr>
    </w:p>
    <w:p>
      <w:pPr>
        <w:pStyle w:val="4"/>
        <w:rPr>
          <w:rFonts w:hint="default" w:ascii="Times New Roman" w:hAnsi="Times New Roman" w:cs="Times New Roman"/>
          <w:color w:val="auto"/>
        </w:rPr>
      </w:pPr>
      <w:r>
        <w:rPr>
          <w:rFonts w:hint="default" w:ascii="Times New Roman" w:hAnsi="Times New Roman" w:cs="Times New Roman"/>
          <w:color w:val="auto"/>
        </w:rPr>
        <w:t>3.3.2结论</w:t>
      </w:r>
    </w:p>
    <w:p>
      <w:pPr>
        <w:pStyle w:val="1102"/>
        <w:rPr>
          <w:rFonts w:hint="default" w:ascii="Times New Roman" w:hAnsi="Times New Roman" w:cs="Times New Roman"/>
          <w:color w:val="auto"/>
        </w:rPr>
      </w:pPr>
      <w:r>
        <w:rPr>
          <w:rFonts w:hint="default" w:ascii="Times New Roman" w:hAnsi="Times New Roman" w:cs="Times New Roman"/>
          <w:color w:val="auto"/>
        </w:rPr>
        <w:t>（1）选址制约因素分析</w:t>
      </w:r>
      <w:r>
        <w:rPr>
          <w:rFonts w:hint="default" w:ascii="Times New Roman" w:hAnsi="Times New Roman" w:cs="Times New Roman"/>
          <w:color w:val="auto"/>
        </w:rPr>
        <w:tab/>
      </w:r>
    </w:p>
    <w:p>
      <w:pPr>
        <w:pStyle w:val="1102"/>
        <w:rPr>
          <w:rFonts w:hint="default" w:ascii="Times New Roman" w:hAnsi="Times New Roman" w:cs="Times New Roman"/>
          <w:color w:val="auto"/>
        </w:rPr>
      </w:pPr>
      <w:r>
        <w:rPr>
          <w:rFonts w:hint="default" w:ascii="Times New Roman" w:hAnsi="Times New Roman" w:cs="Times New Roman"/>
          <w:color w:val="auto"/>
        </w:rPr>
        <w:t>根据《水利部办公厅关于印发&lt;全国水土保持规划国家级水土流失重点预防区和重点治理区复核划分成果&gt;的通知》(办水保〔2013〕188号)，项目所在的阿坝藏族羌族自治州红原县属于金沙江岷江上游及三江并流国家级水土流失重点预防区。</w:t>
      </w:r>
    </w:p>
    <w:p>
      <w:pPr>
        <w:pStyle w:val="1102"/>
        <w:rPr>
          <w:rFonts w:hint="default" w:ascii="Times New Roman" w:hAnsi="Times New Roman" w:cs="Times New Roman"/>
          <w:color w:val="auto"/>
        </w:rPr>
      </w:pPr>
      <w:r>
        <w:rPr>
          <w:rFonts w:hint="default" w:ascii="Times New Roman" w:hAnsi="Times New Roman" w:cs="Times New Roman"/>
          <w:color w:val="auto"/>
        </w:rPr>
        <w:t>经现场调查，项目建设不涉及河流两岸、湖泊和水库周边的植物保护带；建设区内没有全国水土保持监测网络中的水土保持监测站点和重点试验区，不涉及自然保护区、森林公园、风景名胜区、水源地保护区等。</w:t>
      </w:r>
    </w:p>
    <w:p>
      <w:pPr>
        <w:pStyle w:val="1102"/>
        <w:rPr>
          <w:rFonts w:hint="default" w:ascii="Times New Roman" w:hAnsi="Times New Roman" w:cs="Times New Roman"/>
          <w:color w:val="auto"/>
        </w:rPr>
      </w:pPr>
      <w:r>
        <w:rPr>
          <w:rFonts w:hint="default" w:ascii="Times New Roman" w:hAnsi="Times New Roman" w:cs="Times New Roman"/>
          <w:color w:val="auto"/>
        </w:rPr>
        <w:t>通过分析评价，可知主体工程选址无法避让金沙江岷江上游及三江并流国家级水土流失重点预防区，方案将提高防治目标，提高设计标准，加强水土保持，项目不涉及其他水土保持制约因素。</w:t>
      </w:r>
    </w:p>
    <w:p>
      <w:pPr>
        <w:pStyle w:val="1102"/>
        <w:rPr>
          <w:rFonts w:hint="default" w:ascii="Times New Roman" w:hAnsi="Times New Roman" w:cs="Times New Roman"/>
          <w:color w:val="auto"/>
        </w:rPr>
      </w:pPr>
      <w:r>
        <w:rPr>
          <w:rFonts w:hint="default" w:ascii="Times New Roman" w:hAnsi="Times New Roman" w:cs="Times New Roman"/>
          <w:color w:val="auto"/>
        </w:rPr>
        <w:t>（2）主体建设方案评价</w:t>
      </w:r>
    </w:p>
    <w:p>
      <w:pPr>
        <w:pStyle w:val="1102"/>
        <w:rPr>
          <w:rFonts w:hint="default" w:ascii="Times New Roman" w:hAnsi="Times New Roman" w:cs="Times New Roman"/>
          <w:color w:val="auto"/>
        </w:rPr>
      </w:pPr>
      <w:r>
        <w:rPr>
          <w:rFonts w:hint="default" w:ascii="Times New Roman" w:hAnsi="Times New Roman" w:cs="Times New Roman"/>
          <w:color w:val="auto"/>
        </w:rPr>
        <w:t>本项目属建设类项目。主体工程仅设计，且实施了1栋建筑（藏文图书馆），图书馆的建设工期较短，土建施工避开雨季，有利于水土保持；现状建筑已完工，项目区不具备产生水土流失的条件。根据主体设计及报建资料，工程不涉及道路硬化及园林绿化工程。项目区地表径流通过建筑周围散水暗沟进行径流导流、排泄。总体而言，项目建设方案与布局符合水土保持要求。</w:t>
      </w:r>
    </w:p>
    <w:p>
      <w:pPr>
        <w:pStyle w:val="1102"/>
        <w:rPr>
          <w:rFonts w:hint="default" w:ascii="Times New Roman" w:hAnsi="Times New Roman" w:cs="Times New Roman"/>
          <w:color w:val="auto"/>
        </w:rPr>
      </w:pPr>
      <w:r>
        <w:rPr>
          <w:rFonts w:hint="default" w:ascii="Times New Roman" w:hAnsi="Times New Roman" w:cs="Times New Roman"/>
          <w:color w:val="auto"/>
        </w:rPr>
        <w:t>（3）工程占地</w:t>
      </w:r>
    </w:p>
    <w:p>
      <w:pPr>
        <w:pStyle w:val="1102"/>
        <w:rPr>
          <w:rFonts w:hint="default" w:ascii="Times New Roman" w:hAnsi="Times New Roman" w:cs="Times New Roman"/>
          <w:color w:val="auto"/>
        </w:rPr>
      </w:pPr>
      <w:r>
        <w:rPr>
          <w:rFonts w:hint="default" w:ascii="Times New Roman" w:hAnsi="Times New Roman" w:cs="Times New Roman"/>
          <w:color w:val="auto"/>
        </w:rPr>
        <w:t>工程总占地0.</w:t>
      </w:r>
      <w:r>
        <w:rPr>
          <w:rFonts w:hint="default" w:ascii="Times New Roman" w:hAnsi="Times New Roman" w:cs="Times New Roman"/>
          <w:color w:val="auto"/>
          <w:lang w:val="en-US" w:eastAsia="zh-CN"/>
        </w:rPr>
        <w:t>43</w:t>
      </w:r>
      <w:r>
        <w:rPr>
          <w:rFonts w:hint="default" w:ascii="Times New Roman" w:hAnsi="Times New Roman" w:cs="Times New Roman"/>
          <w:color w:val="auto"/>
        </w:rPr>
        <w:t>hm</w:t>
      </w:r>
      <w:r>
        <w:rPr>
          <w:rFonts w:hint="default" w:ascii="Times New Roman" w:hAnsi="Times New Roman" w:cs="Times New Roman"/>
          <w:color w:val="auto"/>
          <w:vertAlign w:val="superscript"/>
        </w:rPr>
        <w:t>2</w:t>
      </w:r>
      <w:r>
        <w:rPr>
          <w:rFonts w:hint="default" w:ascii="Times New Roman" w:hAnsi="Times New Roman" w:cs="Times New Roman"/>
          <w:color w:val="auto"/>
        </w:rPr>
        <w:t>，均为永久占地，施工场地布置不涉及新增临时占地，从水土保持的角度上看，工程占地符合节约用地和减少扰动的要求，临时占地满足施工要求。</w:t>
      </w:r>
    </w:p>
    <w:p>
      <w:pPr>
        <w:pStyle w:val="1102"/>
        <w:rPr>
          <w:rFonts w:hint="default" w:ascii="Times New Roman" w:hAnsi="Times New Roman" w:cs="Times New Roman"/>
          <w:color w:val="auto"/>
        </w:rPr>
      </w:pPr>
      <w:r>
        <w:rPr>
          <w:rFonts w:hint="default" w:ascii="Times New Roman" w:hAnsi="Times New Roman" w:cs="Times New Roman"/>
          <w:color w:val="auto"/>
        </w:rPr>
        <w:t>（4）土石方平衡</w:t>
      </w:r>
    </w:p>
    <w:p>
      <w:pPr>
        <w:pStyle w:val="1102"/>
        <w:rPr>
          <w:rFonts w:hint="default" w:ascii="Times New Roman" w:hAnsi="Times New Roman" w:cs="Times New Roman"/>
          <w:color w:val="auto"/>
        </w:rPr>
      </w:pPr>
      <w:r>
        <w:rPr>
          <w:rFonts w:hint="default" w:ascii="Times New Roman" w:hAnsi="Times New Roman" w:cs="Times New Roman"/>
          <w:color w:val="auto"/>
        </w:rPr>
        <w:t>项目建构筑物基础挖方较小，挖方均在基坑及周围回填；综合管线挖方在沟槽及周围回填；建筑基础挖方均在项目区回填利用，项目土石方挖填数量符合最优化原则；土石方调运节点、调运时序、运距合理。</w:t>
      </w:r>
    </w:p>
    <w:p>
      <w:pPr>
        <w:pStyle w:val="1102"/>
        <w:rPr>
          <w:rFonts w:hint="default" w:ascii="Times New Roman" w:hAnsi="Times New Roman" w:cs="Times New Roman"/>
          <w:color w:val="auto"/>
        </w:rPr>
      </w:pPr>
      <w:r>
        <w:rPr>
          <w:rFonts w:hint="default" w:ascii="Times New Roman" w:hAnsi="Times New Roman" w:cs="Times New Roman"/>
          <w:color w:val="auto"/>
        </w:rPr>
        <w:t>（5）施工方法和工艺</w:t>
      </w:r>
    </w:p>
    <w:p>
      <w:pPr>
        <w:pStyle w:val="1102"/>
        <w:rPr>
          <w:rFonts w:hint="default" w:ascii="Times New Roman" w:hAnsi="Times New Roman" w:cs="Times New Roman"/>
          <w:color w:val="auto"/>
        </w:rPr>
      </w:pPr>
      <w:r>
        <w:rPr>
          <w:rFonts w:hint="default" w:ascii="Times New Roman" w:hAnsi="Times New Roman" w:cs="Times New Roman"/>
          <w:color w:val="auto"/>
        </w:rPr>
        <w:t>本项目土建施工动土量较小，土石方堆放时间较短，挖方能基本做到随填、随压，没有进行多次倒运。总体而言，项目施工方法和工艺满足水土保持要求。</w:t>
      </w:r>
    </w:p>
    <w:p>
      <w:pPr>
        <w:pStyle w:val="1102"/>
        <w:rPr>
          <w:rFonts w:hint="default" w:ascii="Times New Roman" w:hAnsi="Times New Roman" w:cs="Times New Roman"/>
          <w:color w:val="auto"/>
        </w:rPr>
      </w:pPr>
      <w:r>
        <w:rPr>
          <w:rFonts w:hint="default" w:ascii="Times New Roman" w:hAnsi="Times New Roman" w:cs="Times New Roman"/>
          <w:color w:val="auto"/>
        </w:rPr>
        <w:t>（6）具有水土保持功能工程的评价</w:t>
      </w:r>
    </w:p>
    <w:p>
      <w:pPr>
        <w:pStyle w:val="1102"/>
        <w:rPr>
          <w:rFonts w:hint="default" w:ascii="Times New Roman" w:hAnsi="Times New Roman" w:cs="Times New Roman"/>
          <w:color w:val="auto"/>
        </w:rPr>
      </w:pPr>
      <w:r>
        <w:rPr>
          <w:rFonts w:hint="default" w:ascii="Times New Roman" w:hAnsi="Times New Roman" w:cs="Times New Roman"/>
          <w:color w:val="auto"/>
        </w:rPr>
        <w:t>本项目建设内容单一，土建施工安排避开雨季，主体工程在基础施工期间已实施有防雨布遮盖措施；工程后期主体工程在建筑周围实施有散水暗沟，该措施为建筑周围的主要排水设施，符合水土保持要求。主体工程实施的水土保持措施能有效防止项目区水土流失，且项目已完工多年，方案不再新增其他的水保措施。</w:t>
      </w:r>
    </w:p>
    <w:p>
      <w:pPr>
        <w:pStyle w:val="1102"/>
        <w:rPr>
          <w:rFonts w:hint="default" w:ascii="Times New Roman" w:hAnsi="Times New Roman" w:cs="Times New Roman"/>
          <w:color w:val="auto"/>
        </w:rPr>
        <w:sectPr>
          <w:headerReference r:id="rId13" w:type="default"/>
          <w:pgSz w:w="11906" w:h="16838"/>
          <w:pgMar w:top="1440" w:right="1797" w:bottom="1440" w:left="1797" w:header="851" w:footer="992" w:gutter="0"/>
          <w:cols w:space="720" w:num="1"/>
          <w:docGrid w:type="lines" w:linePitch="312" w:charSpace="0"/>
        </w:sectPr>
      </w:pPr>
    </w:p>
    <w:p>
      <w:pPr>
        <w:pStyle w:val="2"/>
        <w:rPr>
          <w:rFonts w:hint="default" w:ascii="Times New Roman" w:hAnsi="Times New Roman" w:cs="Times New Roman"/>
          <w:color w:val="auto"/>
          <w:kern w:val="0"/>
        </w:rPr>
      </w:pPr>
      <w:bookmarkStart w:id="85" w:name="_Toc6155989"/>
      <w:bookmarkStart w:id="86" w:name="_Toc11936"/>
      <w:r>
        <w:rPr>
          <w:rFonts w:hint="default" w:ascii="Times New Roman" w:hAnsi="Times New Roman" w:cs="Times New Roman"/>
          <w:color w:val="auto"/>
          <w:kern w:val="0"/>
        </w:rPr>
        <w:t>4水土流失分析与</w:t>
      </w:r>
      <w:bookmarkEnd w:id="85"/>
      <w:r>
        <w:rPr>
          <w:rFonts w:hint="default" w:ascii="Times New Roman" w:hAnsi="Times New Roman" w:cs="Times New Roman"/>
          <w:color w:val="auto"/>
          <w:kern w:val="0"/>
        </w:rPr>
        <w:t>调查</w:t>
      </w:r>
      <w:bookmarkEnd w:id="86"/>
    </w:p>
    <w:p>
      <w:pPr>
        <w:pStyle w:val="3"/>
        <w:suppressAutoHyphens/>
        <w:spacing w:before="156" w:beforeLines="50" w:after="156" w:afterLines="50"/>
        <w:rPr>
          <w:rFonts w:hint="default" w:ascii="Times New Roman" w:hAnsi="Times New Roman" w:cs="Times New Roman"/>
          <w:color w:val="auto"/>
          <w:kern w:val="0"/>
        </w:rPr>
      </w:pPr>
      <w:bookmarkStart w:id="87" w:name="_Toc425493405"/>
      <w:bookmarkStart w:id="88" w:name="_Toc6155990"/>
      <w:bookmarkStart w:id="89" w:name="_Toc30559"/>
      <w:r>
        <w:rPr>
          <w:rFonts w:hint="default" w:ascii="Times New Roman" w:hAnsi="Times New Roman" w:cs="Times New Roman"/>
          <w:color w:val="auto"/>
          <w:kern w:val="0"/>
        </w:rPr>
        <w:t xml:space="preserve">4.1 </w:t>
      </w:r>
      <w:bookmarkEnd w:id="87"/>
      <w:r>
        <w:rPr>
          <w:rFonts w:hint="default" w:ascii="Times New Roman" w:hAnsi="Times New Roman" w:cs="Times New Roman"/>
          <w:color w:val="auto"/>
          <w:kern w:val="0"/>
        </w:rPr>
        <w:t>水土流失现状</w:t>
      </w:r>
      <w:bookmarkEnd w:id="88"/>
      <w:bookmarkEnd w:id="89"/>
    </w:p>
    <w:p>
      <w:pPr>
        <w:pStyle w:val="4"/>
        <w:rPr>
          <w:rFonts w:hint="default" w:ascii="Times New Roman" w:hAnsi="Times New Roman" w:cs="Times New Roman"/>
          <w:color w:val="auto"/>
        </w:rPr>
      </w:pPr>
      <w:bookmarkStart w:id="90" w:name="_Toc254701627"/>
      <w:bookmarkStart w:id="91" w:name="_Toc210982122"/>
      <w:bookmarkStart w:id="92" w:name="_Toc210022666"/>
      <w:bookmarkStart w:id="93" w:name="_Toc232676898"/>
      <w:bookmarkStart w:id="94" w:name="_Toc328604138"/>
      <w:bookmarkStart w:id="95" w:name="_Toc336086582"/>
      <w:r>
        <w:rPr>
          <w:rFonts w:hint="default" w:ascii="Times New Roman" w:hAnsi="Times New Roman" w:cs="Times New Roman"/>
          <w:color w:val="auto"/>
        </w:rPr>
        <w:t xml:space="preserve">4.1.1 </w:t>
      </w:r>
      <w:bookmarkEnd w:id="90"/>
      <w:bookmarkEnd w:id="91"/>
      <w:bookmarkEnd w:id="92"/>
      <w:bookmarkEnd w:id="93"/>
      <w:bookmarkEnd w:id="94"/>
      <w:bookmarkEnd w:id="95"/>
      <w:bookmarkStart w:id="96" w:name="_Toc374018330"/>
      <w:r>
        <w:rPr>
          <w:rFonts w:hint="default" w:ascii="Times New Roman" w:hAnsi="Times New Roman" w:cs="Times New Roman"/>
          <w:color w:val="auto"/>
        </w:rPr>
        <w:t>项目所在区水土流失现状</w:t>
      </w:r>
      <w:bookmarkEnd w:id="96"/>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根据《水利部办公厅关于印发&lt;全国水土保持规划国家级水土流失重点预防区和重点治理区复核划分成果&gt;的通知》(办水保〔2013〕188号)，红原县属于金沙江岷江上游及三江并流国家级水土流失重点预防区；红原县属于青藏高原区，容许土壤流失量500t/k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·a。</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根据水利部第一次全国水利普查水土保持普查成果，结合实地补充调查，红原县水土流失总面积3426.08km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，包括水力侵蚀721.02km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，风力侵蚀2705.06km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（不含冻融侵蚀523.59km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4-1   红原县水土流失按侵蚀强度分级的情况表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7"/>
        <w:gridCol w:w="848"/>
        <w:gridCol w:w="848"/>
        <w:gridCol w:w="624"/>
        <w:gridCol w:w="848"/>
        <w:gridCol w:w="624"/>
        <w:gridCol w:w="735"/>
        <w:gridCol w:w="624"/>
        <w:gridCol w:w="626"/>
        <w:gridCol w:w="512"/>
        <w:gridCol w:w="626"/>
        <w:gridCol w:w="6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5" w:type="pct"/>
            <w:vMerge w:val="restar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行政区划</w:t>
            </w:r>
          </w:p>
        </w:tc>
        <w:tc>
          <w:tcPr>
            <w:tcW w:w="497" w:type="pct"/>
            <w:vMerge w:val="restar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侵蚀</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总面积</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862" w:type="pct"/>
            <w:gridSpan w:val="2"/>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轻度</w:t>
            </w:r>
          </w:p>
        </w:tc>
        <w:tc>
          <w:tcPr>
            <w:tcW w:w="863" w:type="pct"/>
            <w:gridSpan w:val="2"/>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中度</w:t>
            </w:r>
          </w:p>
        </w:tc>
        <w:tc>
          <w:tcPr>
            <w:tcW w:w="797" w:type="pct"/>
            <w:gridSpan w:val="2"/>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强烈</w:t>
            </w:r>
          </w:p>
        </w:tc>
        <w:tc>
          <w:tcPr>
            <w:tcW w:w="667" w:type="pct"/>
            <w:gridSpan w:val="2"/>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极强烈</w:t>
            </w:r>
          </w:p>
        </w:tc>
        <w:tc>
          <w:tcPr>
            <w:tcW w:w="729" w:type="pct"/>
            <w:gridSpan w:val="2"/>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剧烈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85" w:type="pct"/>
            <w:vMerge w:val="continue"/>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97" w:type="pct"/>
            <w:vMerge w:val="continue"/>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比例</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比例</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比例</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比例</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62"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比例</w:t>
            </w:r>
          </w:p>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邛溪镇</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22.98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19.99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87.0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2.86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12.4 </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0.11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0.5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0.02 </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0.1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0.00 </w:t>
            </w:r>
          </w:p>
        </w:tc>
        <w:tc>
          <w:tcPr>
            <w:tcW w:w="362"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刷经寺镇</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32.38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13.72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42.4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13.92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43.0 </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3.22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10.0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1.03 </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3.2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0.49 </w:t>
            </w:r>
          </w:p>
        </w:tc>
        <w:tc>
          <w:tcPr>
            <w:tcW w:w="362"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安曲镇</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26.50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22.96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86.7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3.38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12.8 </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0.13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0.5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0.02 </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0.1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0.00 </w:t>
            </w:r>
          </w:p>
        </w:tc>
        <w:tc>
          <w:tcPr>
            <w:tcW w:w="362"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瓦切镇</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25.68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24.30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94.6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1.35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5.3 </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0.02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0.1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0.00 </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0.00 </w:t>
            </w:r>
          </w:p>
        </w:tc>
        <w:tc>
          <w:tcPr>
            <w:tcW w:w="362"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色地镇</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29.44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26.76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90.9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2.65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9.0 </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0.03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0.1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0.00 </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0.00 </w:t>
            </w:r>
          </w:p>
        </w:tc>
        <w:tc>
          <w:tcPr>
            <w:tcW w:w="362"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麦洼乡</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14.44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13.91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96.3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0.51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3.6 </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0.02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0.1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0.00 </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0.00 </w:t>
            </w:r>
          </w:p>
        </w:tc>
        <w:tc>
          <w:tcPr>
            <w:tcW w:w="362"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阿木乡</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26.08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20.93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80.2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4.01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15.4 </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0.59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2.3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0.33 </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1.3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0.22 </w:t>
            </w:r>
          </w:p>
        </w:tc>
        <w:tc>
          <w:tcPr>
            <w:tcW w:w="362"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0.8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龙日乡</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16.25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14.91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91.8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1.24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7.6 </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0.03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0.2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0.02 </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0.1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0.05 </w:t>
            </w:r>
          </w:p>
        </w:tc>
        <w:tc>
          <w:tcPr>
            <w:tcW w:w="362"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壤口乡</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184.84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122.07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66.0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52.28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28.3 </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7.45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4.0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2.28 </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1.2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0.76 </w:t>
            </w:r>
          </w:p>
        </w:tc>
        <w:tc>
          <w:tcPr>
            <w:tcW w:w="362"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江茸乡</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29.66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24.36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82.1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4.95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16.7 </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0.28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0.9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0.07 </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0.2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0.01 </w:t>
            </w:r>
          </w:p>
        </w:tc>
        <w:tc>
          <w:tcPr>
            <w:tcW w:w="362"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0.04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查尔玛乡</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312.78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259.37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82.9 </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46.68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14.9 </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5.27 </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1.7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1.37 </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0.4 </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0.10 </w:t>
            </w:r>
          </w:p>
        </w:tc>
        <w:tc>
          <w:tcPr>
            <w:tcW w:w="362"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 xml:space="preserve">0.03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85"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红原县</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721.02</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563.27</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78.1</w:t>
            </w:r>
          </w:p>
        </w:tc>
        <w:tc>
          <w:tcPr>
            <w:tcW w:w="49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133.84</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18.6</w:t>
            </w:r>
          </w:p>
        </w:tc>
        <w:tc>
          <w:tcPr>
            <w:tcW w:w="431"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17.15</w:t>
            </w:r>
          </w:p>
        </w:tc>
        <w:tc>
          <w:tcPr>
            <w:tcW w:w="366"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2.4</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5.14</w:t>
            </w:r>
          </w:p>
        </w:tc>
        <w:tc>
          <w:tcPr>
            <w:tcW w:w="300"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0.7</w:t>
            </w:r>
          </w:p>
        </w:tc>
        <w:tc>
          <w:tcPr>
            <w:tcW w:w="367"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1.62</w:t>
            </w:r>
          </w:p>
        </w:tc>
        <w:tc>
          <w:tcPr>
            <w:tcW w:w="362" w:type="pct"/>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0.2</w:t>
            </w:r>
          </w:p>
        </w:tc>
      </w:tr>
    </w:tbl>
    <w:p>
      <w:pPr>
        <w:spacing w:line="240" w:lineRule="auto"/>
        <w:ind w:firstLine="360"/>
        <w:rPr>
          <w:rFonts w:hint="default" w:ascii="Times New Roman" w:hAnsi="Times New Roman" w:eastAsia="仿宋_GB2312" w:cs="Times New Roman"/>
          <w:color w:val="auto"/>
        </w:rPr>
      </w:pPr>
      <w:r>
        <w:rPr>
          <w:rFonts w:hint="default" w:ascii="Times New Roman" w:hAnsi="Times New Roman" w:eastAsia="仿宋_GB2312" w:cs="Times New Roman"/>
          <w:color w:val="auto"/>
          <w:sz w:val="18"/>
          <w:szCs w:val="18"/>
        </w:rPr>
        <w:t>注：资料来源于《红原县水土保持规划》（2015-2030）</w:t>
      </w:r>
    </w:p>
    <w:p>
      <w:pPr>
        <w:pStyle w:val="4"/>
        <w:rPr>
          <w:rFonts w:hint="default" w:ascii="Times New Roman" w:hAnsi="Times New Roman" w:cs="Times New Roman"/>
          <w:color w:val="auto"/>
        </w:rPr>
      </w:pPr>
      <w:r>
        <w:rPr>
          <w:rFonts w:hint="default" w:ascii="Times New Roman" w:hAnsi="Times New Roman" w:cs="Times New Roman"/>
          <w:color w:val="auto"/>
        </w:rPr>
        <w:t>4.1.2 项目区水土流失现状</w:t>
      </w:r>
    </w:p>
    <w:p>
      <w:pPr>
        <w:pStyle w:val="321"/>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根据区域土壤侵蚀分布图，项目区地地貌、土地利用现状、植被覆盖率等，结合土壤和气候特征，参照《土壤侵蚀分类分级标准》（SL190-2007）及《四川省水利厅关于印发&lt;四川省水土保持方案编制与审查若干技术问题暂行规定&gt;的函》（川水[2014]1723号）中对土壤侵蚀模数背景值的规定，推求各单元工程背景土壤流失量。</w:t>
      </w:r>
      <w:r>
        <w:rPr>
          <w:rFonts w:hint="default" w:ascii="Times New Roman" w:hAnsi="Times New Roman" w:eastAsia="仿宋_GB2312" w:cs="Times New Roman"/>
          <w:color w:val="auto"/>
          <w:kern w:val="0"/>
        </w:rPr>
        <w:t>详见表4-2。</w:t>
      </w:r>
    </w:p>
    <w:p>
      <w:pPr>
        <w:pStyle w:val="321"/>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表4-2   项目区水土流失背景流失量计算表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56"/>
        <w:gridCol w:w="1065"/>
        <w:gridCol w:w="1063"/>
        <w:gridCol w:w="1063"/>
        <w:gridCol w:w="824"/>
        <w:gridCol w:w="993"/>
        <w:gridCol w:w="1407"/>
        <w:gridCol w:w="10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jc w:val="center"/>
        </w:trPr>
        <w:tc>
          <w:tcPr>
            <w:tcW w:w="619" w:type="pct"/>
            <w:vMerge w:val="restar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工程组成</w:t>
            </w:r>
          </w:p>
        </w:tc>
        <w:tc>
          <w:tcPr>
            <w:tcW w:w="623" w:type="pct"/>
            <w:vMerge w:val="restar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地类</w:t>
            </w:r>
          </w:p>
        </w:tc>
        <w:tc>
          <w:tcPr>
            <w:tcW w:w="623" w:type="pct"/>
            <w:vMerge w:val="restar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面积（hm</w:t>
            </w:r>
            <w:r>
              <w:rPr>
                <w:rFonts w:hint="default" w:ascii="Times New Roman" w:hAnsi="Times New Roman" w:cs="Times New Roman"/>
                <w:color w:val="auto"/>
                <w:kern w:val="0"/>
                <w:sz w:val="18"/>
                <w:szCs w:val="18"/>
              </w:rPr>
              <w:t>²</w:t>
            </w:r>
            <w:r>
              <w:rPr>
                <w:rFonts w:hint="default" w:ascii="Times New Roman" w:hAnsi="Times New Roman" w:eastAsia="仿宋_GB2312" w:cs="Times New Roman"/>
                <w:color w:val="auto"/>
                <w:kern w:val="0"/>
                <w:sz w:val="18"/>
                <w:szCs w:val="18"/>
              </w:rPr>
              <w:t>）</w:t>
            </w:r>
          </w:p>
        </w:tc>
        <w:tc>
          <w:tcPr>
            <w:tcW w:w="623" w:type="pct"/>
            <w:vMerge w:val="restar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植被覆盖度（%）</w:t>
            </w:r>
          </w:p>
        </w:tc>
        <w:tc>
          <w:tcPr>
            <w:tcW w:w="483" w:type="pct"/>
            <w:vMerge w:val="restar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坡度（°）</w:t>
            </w:r>
          </w:p>
        </w:tc>
        <w:tc>
          <w:tcPr>
            <w:tcW w:w="582" w:type="pct"/>
            <w:vMerge w:val="restar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侵蚀强度</w:t>
            </w:r>
          </w:p>
        </w:tc>
        <w:tc>
          <w:tcPr>
            <w:tcW w:w="824"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平均侵蚀模数</w:t>
            </w:r>
          </w:p>
        </w:tc>
        <w:tc>
          <w:tcPr>
            <w:tcW w:w="619"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年流失量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19" w:type="pct"/>
            <w:vMerge w:val="continue"/>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623" w:type="pct"/>
            <w:vMerge w:val="continue"/>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623" w:type="pct"/>
            <w:vMerge w:val="continue"/>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623" w:type="pct"/>
            <w:vMerge w:val="continue"/>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483" w:type="pct"/>
            <w:vMerge w:val="continue"/>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582" w:type="pct"/>
            <w:vMerge w:val="continue"/>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824"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（t/km</w:t>
            </w:r>
            <w:r>
              <w:rPr>
                <w:rFonts w:hint="default" w:ascii="Times New Roman" w:hAnsi="Times New Roman" w:cs="Times New Roman"/>
                <w:color w:val="auto"/>
                <w:kern w:val="0"/>
                <w:sz w:val="18"/>
                <w:szCs w:val="18"/>
              </w:rPr>
              <w:t>²</w:t>
            </w:r>
            <w:r>
              <w:rPr>
                <w:rFonts w:hint="default" w:ascii="Times New Roman" w:hAnsi="Times New Roman" w:eastAsia="仿宋_GB2312" w:cs="Times New Roman"/>
                <w:color w:val="auto"/>
                <w:kern w:val="0"/>
                <w:sz w:val="18"/>
                <w:szCs w:val="18"/>
              </w:rPr>
              <w:t>·a）</w:t>
            </w:r>
          </w:p>
        </w:tc>
        <w:tc>
          <w:tcPr>
            <w:tcW w:w="619"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19" w:type="pct"/>
            <w:shd w:val="clear" w:color="auto" w:fill="auto"/>
            <w:vAlign w:val="center"/>
          </w:tcPr>
          <w:p>
            <w:pPr>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w:t>
            </w:r>
          </w:p>
        </w:tc>
        <w:tc>
          <w:tcPr>
            <w:tcW w:w="62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公共管理与公共服务用地</w:t>
            </w:r>
          </w:p>
        </w:tc>
        <w:tc>
          <w:tcPr>
            <w:tcW w:w="62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62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48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&lt;5</w:t>
            </w:r>
          </w:p>
        </w:tc>
        <w:tc>
          <w:tcPr>
            <w:tcW w:w="582"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微度</w:t>
            </w:r>
          </w:p>
        </w:tc>
        <w:tc>
          <w:tcPr>
            <w:tcW w:w="824"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619"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19" w:type="pct"/>
            <w:shd w:val="clear" w:color="auto" w:fill="auto"/>
            <w:vAlign w:val="center"/>
          </w:tcPr>
          <w:p>
            <w:pPr>
              <w:spacing w:line="240" w:lineRule="auto"/>
              <w:ind w:firstLine="0" w:firstLineChars="0"/>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附属工程</w:t>
            </w:r>
          </w:p>
        </w:tc>
        <w:tc>
          <w:tcPr>
            <w:tcW w:w="62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公共管理与公共服务用地</w:t>
            </w:r>
          </w:p>
        </w:tc>
        <w:tc>
          <w:tcPr>
            <w:tcW w:w="62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0.34</w:t>
            </w:r>
          </w:p>
        </w:tc>
        <w:tc>
          <w:tcPr>
            <w:tcW w:w="62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8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&lt;5</w:t>
            </w:r>
          </w:p>
        </w:tc>
        <w:tc>
          <w:tcPr>
            <w:tcW w:w="582"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微度</w:t>
            </w:r>
          </w:p>
        </w:tc>
        <w:tc>
          <w:tcPr>
            <w:tcW w:w="824"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619"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1.02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1243" w:type="pct"/>
            <w:gridSpan w:val="2"/>
            <w:shd w:val="clear" w:color="auto" w:fill="auto"/>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62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43</w:t>
            </w:r>
          </w:p>
        </w:tc>
        <w:tc>
          <w:tcPr>
            <w:tcW w:w="623"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483" w:type="pct"/>
            <w:shd w:val="clear" w:color="auto" w:fill="auto"/>
            <w:vAlign w:val="center"/>
          </w:tcPr>
          <w:p>
            <w:pPr>
              <w:pStyle w:val="321"/>
              <w:spacing w:line="240" w:lineRule="auto"/>
              <w:ind w:firstLine="360"/>
              <w:jc w:val="center"/>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微度</w:t>
            </w:r>
          </w:p>
        </w:tc>
        <w:tc>
          <w:tcPr>
            <w:tcW w:w="824"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color w:val="auto"/>
                <w:kern w:val="0"/>
                <w:sz w:val="18"/>
                <w:szCs w:val="18"/>
              </w:rPr>
              <w:t>300</w:t>
            </w:r>
          </w:p>
        </w:tc>
        <w:tc>
          <w:tcPr>
            <w:tcW w:w="619" w:type="pct"/>
            <w:shd w:val="clear" w:color="auto" w:fill="auto"/>
            <w:vAlign w:val="center"/>
          </w:tcPr>
          <w:p>
            <w:pPr>
              <w:pStyle w:val="321"/>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1.29</w:t>
            </w:r>
          </w:p>
        </w:tc>
      </w:tr>
    </w:tbl>
    <w:p>
      <w:pPr>
        <w:pStyle w:val="1102"/>
        <w:spacing w:line="240" w:lineRule="auto"/>
        <w:rPr>
          <w:rFonts w:hint="default" w:ascii="Times New Roman" w:hAnsi="Times New Roman" w:cs="Times New Roman"/>
          <w:color w:val="auto"/>
        </w:rPr>
      </w:pPr>
    </w:p>
    <w:p>
      <w:pPr>
        <w:pStyle w:val="3"/>
        <w:suppressAutoHyphens/>
        <w:spacing w:before="156" w:beforeLines="50" w:after="156" w:afterLines="50"/>
        <w:rPr>
          <w:rFonts w:hint="default" w:ascii="Times New Roman" w:hAnsi="Times New Roman" w:cs="Times New Roman"/>
          <w:color w:val="auto"/>
          <w:kern w:val="0"/>
        </w:rPr>
      </w:pPr>
      <w:bookmarkStart w:id="97" w:name="_Toc425493406"/>
      <w:bookmarkStart w:id="98" w:name="_Toc6155991"/>
      <w:bookmarkStart w:id="99" w:name="_Toc23353"/>
      <w:r>
        <w:rPr>
          <w:rFonts w:hint="default" w:ascii="Times New Roman" w:hAnsi="Times New Roman" w:cs="Times New Roman"/>
          <w:color w:val="auto"/>
          <w:kern w:val="0"/>
        </w:rPr>
        <w:t xml:space="preserve">4.2 </w:t>
      </w:r>
      <w:bookmarkEnd w:id="97"/>
      <w:r>
        <w:rPr>
          <w:rFonts w:hint="default" w:ascii="Times New Roman" w:hAnsi="Times New Roman" w:cs="Times New Roman"/>
          <w:color w:val="auto"/>
          <w:kern w:val="0"/>
        </w:rPr>
        <w:t>水土流失影响因素分析</w:t>
      </w:r>
      <w:bookmarkEnd w:id="98"/>
      <w:bookmarkEnd w:id="99"/>
    </w:p>
    <w:p>
      <w:pPr>
        <w:pStyle w:val="1102"/>
        <w:rPr>
          <w:rFonts w:hint="default" w:ascii="Times New Roman" w:hAnsi="Times New Roman" w:cs="Times New Roman"/>
          <w:color w:val="auto"/>
        </w:rPr>
      </w:pPr>
      <w:r>
        <w:rPr>
          <w:rFonts w:hint="default" w:ascii="Times New Roman" w:hAnsi="Times New Roman" w:cs="Times New Roman"/>
          <w:color w:val="auto"/>
        </w:rPr>
        <w:t>项目区所在的阿坝藏族羌族自治州红原县降水充沛，降水较集中，项目区原始地形起伏不大，属高原点型建设项目；项目土石方开挖集中在建筑基础；产生水土流失的主要环节是建筑基础挖方；因此在施工期实施有遮盖措施。</w:t>
      </w:r>
    </w:p>
    <w:p>
      <w:pPr>
        <w:pStyle w:val="1102"/>
        <w:rPr>
          <w:rFonts w:hint="default" w:ascii="Times New Roman" w:hAnsi="Times New Roman" w:cs="Times New Roman"/>
          <w:color w:val="auto"/>
        </w:rPr>
      </w:pPr>
      <w:r>
        <w:rPr>
          <w:rFonts w:hint="default" w:ascii="Times New Roman" w:hAnsi="Times New Roman" w:cs="Times New Roman"/>
          <w:color w:val="auto"/>
          <w:kern w:val="0"/>
        </w:rPr>
        <w:t>项目建设扰动原地貌面积0.</w:t>
      </w:r>
      <w:r>
        <w:rPr>
          <w:rFonts w:hint="default" w:ascii="Times New Roman" w:hAnsi="Times New Roman" w:cs="Times New Roman"/>
          <w:color w:val="auto"/>
          <w:kern w:val="0"/>
          <w:lang w:val="en-US" w:eastAsia="zh-CN"/>
        </w:rPr>
        <w:t>43</w:t>
      </w:r>
      <w:r>
        <w:rPr>
          <w:rFonts w:hint="default" w:ascii="Times New Roman" w:hAnsi="Times New Roman" w:cs="Times New Roman"/>
          <w:color w:val="auto"/>
          <w:kern w:val="0"/>
        </w:rPr>
        <w:t>hm</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；损毁林草植被面积0.01hm</w:t>
      </w:r>
      <w:r>
        <w:rPr>
          <w:rFonts w:hint="default" w:ascii="Times New Roman" w:hAnsi="Times New Roman" w:cs="Times New Roman"/>
          <w:color w:val="auto"/>
          <w:kern w:val="0"/>
          <w:vertAlign w:val="superscript"/>
        </w:rPr>
        <w:t>2</w:t>
      </w:r>
      <w:r>
        <w:rPr>
          <w:rFonts w:hint="default" w:ascii="Times New Roman" w:hAnsi="Times New Roman" w:cs="Times New Roman"/>
          <w:color w:val="auto"/>
        </w:rPr>
        <w:t>。</w:t>
      </w:r>
    </w:p>
    <w:p>
      <w:pPr>
        <w:pStyle w:val="1102"/>
        <w:rPr>
          <w:rFonts w:hint="default" w:ascii="Times New Roman" w:hAnsi="Times New Roman" w:cs="Times New Roman"/>
          <w:color w:val="auto"/>
          <w:kern w:val="0"/>
        </w:rPr>
      </w:pPr>
      <w:r>
        <w:rPr>
          <w:rFonts w:hint="default" w:ascii="Times New Roman" w:hAnsi="Times New Roman" w:eastAsia="仿宋_GB2312" w:cs="Times New Roman"/>
          <w:color w:val="auto"/>
        </w:rPr>
        <w:t>本项目土石方总开挖量0.15万m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总回填方量0.</w:t>
      </w:r>
      <w:r>
        <w:rPr>
          <w:rFonts w:hint="default" w:ascii="Times New Roman" w:hAnsi="Times New Roman" w:eastAsia="仿宋_GB2312" w:cs="Times New Roman"/>
          <w:color w:val="auto"/>
          <w:lang w:val="en-US" w:eastAsia="zh-CN"/>
        </w:rPr>
        <w:t>09</w:t>
      </w:r>
      <w:r>
        <w:rPr>
          <w:rFonts w:hint="default" w:ascii="Times New Roman" w:hAnsi="Times New Roman" w:eastAsia="仿宋_GB2312" w:cs="Times New Roman"/>
          <w:color w:val="auto"/>
        </w:rPr>
        <w:t>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lang w:val="en-US" w:eastAsia="zh-CN"/>
        </w:rPr>
        <w:t>余方0.06</w:t>
      </w:r>
      <w:r>
        <w:rPr>
          <w:rFonts w:hint="default" w:ascii="Times New Roman" w:hAnsi="Times New Roman" w:eastAsia="仿宋_GB2312" w:cs="Times New Roman"/>
          <w:color w:val="auto"/>
        </w:rPr>
        <w:t>万m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vertAlign w:val="baseline"/>
          <w:lang w:eastAsia="zh-CN"/>
        </w:rPr>
        <w:t>，</w:t>
      </w:r>
      <w:r>
        <w:rPr>
          <w:rFonts w:hint="default" w:ascii="Times New Roman" w:hAnsi="Times New Roman" w:cs="Times New Roman"/>
          <w:color w:val="auto"/>
          <w:kern w:val="0"/>
          <w:vertAlign w:val="baseline"/>
          <w:lang w:val="en-US" w:eastAsia="zh-CN"/>
        </w:rPr>
        <w:t>图书馆周围在硬质铺装前需回填土方，建筑基础余方回填这些区域，经夯实后不影响室外设计高程，余方在场地回填处置合理</w:t>
      </w:r>
      <w:r>
        <w:rPr>
          <w:rFonts w:hint="default" w:ascii="Times New Roman" w:hAnsi="Times New Roman" w:eastAsia="仿宋_GB2312" w:cs="Times New Roman"/>
          <w:color w:val="auto"/>
          <w:kern w:val="0"/>
        </w:rPr>
        <w:t>。</w:t>
      </w:r>
    </w:p>
    <w:p>
      <w:pPr>
        <w:pStyle w:val="3"/>
        <w:suppressAutoHyphens/>
        <w:spacing w:before="156" w:beforeLines="50" w:after="156" w:afterLines="50"/>
        <w:rPr>
          <w:rFonts w:hint="default" w:ascii="Times New Roman" w:hAnsi="Times New Roman" w:cs="Times New Roman"/>
          <w:color w:val="auto"/>
          <w:kern w:val="0"/>
        </w:rPr>
      </w:pPr>
      <w:bookmarkStart w:id="100" w:name="_Toc425493407"/>
      <w:bookmarkStart w:id="101" w:name="_Toc6155992"/>
      <w:bookmarkStart w:id="102" w:name="_Toc28507"/>
      <w:r>
        <w:rPr>
          <w:rFonts w:hint="default" w:ascii="Times New Roman" w:hAnsi="Times New Roman" w:cs="Times New Roman"/>
          <w:color w:val="auto"/>
          <w:kern w:val="0"/>
        </w:rPr>
        <w:t xml:space="preserve">4.3 </w:t>
      </w:r>
      <w:bookmarkEnd w:id="100"/>
      <w:r>
        <w:rPr>
          <w:rFonts w:hint="default" w:ascii="Times New Roman" w:hAnsi="Times New Roman" w:cs="Times New Roman"/>
          <w:color w:val="auto"/>
          <w:kern w:val="0"/>
        </w:rPr>
        <w:t>土壤流失量</w:t>
      </w:r>
      <w:bookmarkEnd w:id="101"/>
      <w:r>
        <w:rPr>
          <w:rFonts w:hint="default" w:ascii="Times New Roman" w:hAnsi="Times New Roman" w:cs="Times New Roman"/>
          <w:color w:val="auto"/>
          <w:kern w:val="0"/>
        </w:rPr>
        <w:t>调查</w:t>
      </w:r>
      <w:bookmarkEnd w:id="102"/>
    </w:p>
    <w:p>
      <w:pPr>
        <w:pStyle w:val="4"/>
        <w:suppressAutoHyphens/>
        <w:rPr>
          <w:rFonts w:hint="default" w:ascii="Times New Roman" w:hAnsi="Times New Roman" w:cs="Times New Roman"/>
          <w:color w:val="auto"/>
          <w:kern w:val="0"/>
        </w:rPr>
      </w:pPr>
      <w:bookmarkStart w:id="103" w:name="_Toc243205320"/>
      <w:bookmarkStart w:id="104" w:name="_Toc218870303"/>
      <w:bookmarkStart w:id="105" w:name="_Toc236457467"/>
      <w:bookmarkStart w:id="106" w:name="_Toc224382394"/>
      <w:bookmarkStart w:id="107" w:name="_Toc224374893"/>
      <w:bookmarkStart w:id="108" w:name="_Toc228006733"/>
      <w:bookmarkStart w:id="109" w:name="_Toc218869927"/>
      <w:bookmarkStart w:id="110" w:name="_Toc217099790"/>
      <w:r>
        <w:rPr>
          <w:rFonts w:hint="default" w:ascii="Times New Roman" w:hAnsi="Times New Roman" w:cs="Times New Roman"/>
          <w:color w:val="auto"/>
          <w:kern w:val="0"/>
        </w:rPr>
        <w:t>4.3.1 调查单元</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本项目预测单元确定应按照地形地貌、扰动方式、扰动后地表的物质组成、气象特征的相近的原则划分。项目水土流失预测单元最终确定为1个，即主体工程。</w:t>
      </w:r>
    </w:p>
    <w:p>
      <w:pPr>
        <w:pStyle w:val="4"/>
        <w:suppressAutoHyphens/>
        <w:rPr>
          <w:rFonts w:hint="default" w:ascii="Times New Roman" w:hAnsi="Times New Roman" w:cs="Times New Roman"/>
          <w:color w:val="auto"/>
          <w:kern w:val="0"/>
        </w:rPr>
      </w:pPr>
      <w:r>
        <w:rPr>
          <w:rFonts w:hint="default" w:ascii="Times New Roman" w:hAnsi="Times New Roman" w:cs="Times New Roman"/>
          <w:color w:val="auto"/>
          <w:kern w:val="0"/>
        </w:rPr>
        <w:t>4.3.2调查时段</w:t>
      </w:r>
    </w:p>
    <w:p>
      <w:pPr>
        <w:pStyle w:val="1102"/>
        <w:rPr>
          <w:rFonts w:hint="default" w:ascii="Times New Roman" w:hAnsi="Times New Roman" w:cs="Times New Roman"/>
          <w:color w:val="auto"/>
        </w:rPr>
      </w:pPr>
      <w:r>
        <w:rPr>
          <w:rFonts w:hint="default" w:ascii="Times New Roman" w:hAnsi="Times New Roman" w:cs="Times New Roman"/>
          <w:color w:val="auto"/>
        </w:rPr>
        <w:t>本项目水土流失调查时段分施工期（含施工准备期）和自然恢复期。</w:t>
      </w:r>
    </w:p>
    <w:p>
      <w:pPr>
        <w:pStyle w:val="1102"/>
        <w:rPr>
          <w:rFonts w:hint="default" w:ascii="Times New Roman" w:hAnsi="Times New Roman" w:cs="Times New Roman"/>
          <w:color w:val="auto"/>
        </w:rPr>
      </w:pPr>
      <w:r>
        <w:rPr>
          <w:rFonts w:hint="default" w:ascii="Times New Roman" w:hAnsi="Times New Roman" w:cs="Times New Roman"/>
          <w:color w:val="auto"/>
        </w:rPr>
        <w:t>（1）施工准备期与施工期</w:t>
      </w:r>
    </w:p>
    <w:p>
      <w:pPr>
        <w:pStyle w:val="1102"/>
        <w:rPr>
          <w:rFonts w:hint="default" w:ascii="Times New Roman" w:hAnsi="Times New Roman" w:cs="Times New Roman"/>
          <w:color w:val="auto"/>
        </w:rPr>
      </w:pPr>
      <w:r>
        <w:rPr>
          <w:rFonts w:hint="default" w:ascii="Times New Roman" w:hAnsi="Times New Roman" w:cs="Times New Roman"/>
          <w:color w:val="auto"/>
        </w:rPr>
        <w:t>由于施工准备期较短，故将施工准备期纳入施工期一起进行水土流失调查；红原县汛期集中在5月～10月；项目于2016年11月动工，2017年11月完工，工期13个月；故水土流失调查时段取1.0a。</w:t>
      </w:r>
    </w:p>
    <w:p>
      <w:pPr>
        <w:pStyle w:val="1102"/>
        <w:rPr>
          <w:rFonts w:hint="default" w:ascii="Times New Roman" w:hAnsi="Times New Roman" w:cs="Times New Roman"/>
          <w:color w:val="auto"/>
        </w:rPr>
      </w:pPr>
      <w:r>
        <w:rPr>
          <w:rFonts w:hint="default" w:ascii="Times New Roman" w:hAnsi="Times New Roman" w:cs="Times New Roman"/>
          <w:color w:val="auto"/>
        </w:rPr>
        <w:t>（2）自然恢复期</w:t>
      </w:r>
    </w:p>
    <w:p>
      <w:pPr>
        <w:pStyle w:val="1102"/>
        <w:rPr>
          <w:rFonts w:hint="default" w:ascii="Times New Roman" w:hAnsi="Times New Roman" w:cs="Times New Roman"/>
          <w:color w:val="auto"/>
        </w:rPr>
      </w:pPr>
      <w:r>
        <w:rPr>
          <w:rFonts w:hint="default" w:ascii="Times New Roman" w:hAnsi="Times New Roman" w:cs="Times New Roman"/>
          <w:color w:val="auto"/>
        </w:rPr>
        <w:t>自然恢复期为施工扰动结束后，不采取水土保持措施的情况下，土壤侵蚀强度自然恢复到扰动前土壤侵蚀强度所需要的时间，项目区属湿润区，水土流失预测时段取3年。</w:t>
      </w:r>
    </w:p>
    <w:p>
      <w:pPr>
        <w:suppressAutoHyphens/>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表4-3  水土流失调查范围及时段表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6"/>
        <w:gridCol w:w="1479"/>
        <w:gridCol w:w="1518"/>
        <w:gridCol w:w="1312"/>
        <w:gridCol w:w="1798"/>
        <w:gridCol w:w="11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Merge w:val="restart"/>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区域</w:t>
            </w:r>
          </w:p>
        </w:tc>
        <w:tc>
          <w:tcPr>
            <w:tcW w:w="1757" w:type="pct"/>
            <w:gridSpan w:val="2"/>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施工期</w:t>
            </w:r>
          </w:p>
        </w:tc>
        <w:tc>
          <w:tcPr>
            <w:tcW w:w="2494" w:type="pct"/>
            <w:gridSpan w:val="3"/>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自然恢复期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Merge w:val="continue"/>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p>
        </w:tc>
        <w:tc>
          <w:tcPr>
            <w:tcW w:w="1757" w:type="pct"/>
            <w:gridSpan w:val="2"/>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水土流失调查</w:t>
            </w:r>
          </w:p>
        </w:tc>
        <w:tc>
          <w:tcPr>
            <w:tcW w:w="2494" w:type="pct"/>
            <w:gridSpan w:val="3"/>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水土流失预测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Merge w:val="continue"/>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p>
        </w:tc>
        <w:tc>
          <w:tcPr>
            <w:tcW w:w="867" w:type="pct"/>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面 积（hm</w:t>
            </w:r>
            <w:r>
              <w:rPr>
                <w:rFonts w:hint="default" w:ascii="Times New Roman" w:hAnsi="Times New Roman" w:cs="Times New Roman"/>
                <w:bCs/>
                <w:color w:val="auto"/>
                <w:kern w:val="0"/>
                <w:sz w:val="18"/>
                <w:szCs w:val="21"/>
              </w:rPr>
              <w:t>²</w:t>
            </w:r>
            <w:r>
              <w:rPr>
                <w:rFonts w:hint="default" w:ascii="Times New Roman" w:hAnsi="Times New Roman" w:eastAsia="仿宋_GB2312" w:cs="Times New Roman"/>
                <w:bCs/>
                <w:color w:val="auto"/>
                <w:kern w:val="0"/>
                <w:sz w:val="18"/>
                <w:szCs w:val="21"/>
              </w:rPr>
              <w:t>）</w:t>
            </w:r>
          </w:p>
        </w:tc>
        <w:tc>
          <w:tcPr>
            <w:tcW w:w="890" w:type="pct"/>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时段（a）</w:t>
            </w:r>
          </w:p>
        </w:tc>
        <w:tc>
          <w:tcPr>
            <w:tcW w:w="769" w:type="pct"/>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面 积（hm</w:t>
            </w:r>
            <w:r>
              <w:rPr>
                <w:rFonts w:hint="default" w:ascii="Times New Roman" w:hAnsi="Times New Roman" w:cs="Times New Roman"/>
                <w:bCs/>
                <w:color w:val="auto"/>
                <w:kern w:val="0"/>
                <w:sz w:val="18"/>
                <w:szCs w:val="21"/>
              </w:rPr>
              <w:t>²</w:t>
            </w:r>
            <w:r>
              <w:rPr>
                <w:rFonts w:hint="default" w:ascii="Times New Roman" w:hAnsi="Times New Roman" w:eastAsia="仿宋_GB2312" w:cs="Times New Roman"/>
                <w:bCs/>
                <w:color w:val="auto"/>
                <w:kern w:val="0"/>
                <w:sz w:val="18"/>
                <w:szCs w:val="21"/>
              </w:rPr>
              <w:t>）</w:t>
            </w:r>
          </w:p>
        </w:tc>
        <w:tc>
          <w:tcPr>
            <w:tcW w:w="1054" w:type="pct"/>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预测时段</w:t>
            </w:r>
          </w:p>
        </w:tc>
        <w:tc>
          <w:tcPr>
            <w:tcW w:w="671" w:type="pct"/>
            <w:vAlign w:val="center"/>
          </w:tcPr>
          <w:p>
            <w:pPr>
              <w:suppressAutoHyphens/>
              <w:spacing w:line="240" w:lineRule="auto"/>
              <w:ind w:firstLine="0" w:firstLineChars="0"/>
              <w:jc w:val="center"/>
              <w:rPr>
                <w:rFonts w:hint="default" w:ascii="Times New Roman" w:hAnsi="Times New Roman" w:eastAsia="仿宋_GB2312" w:cs="Times New Roman"/>
                <w:bCs/>
                <w:color w:val="auto"/>
                <w:kern w:val="0"/>
                <w:sz w:val="18"/>
                <w:szCs w:val="21"/>
              </w:rPr>
            </w:pPr>
            <w:r>
              <w:rPr>
                <w:rFonts w:hint="default" w:ascii="Times New Roman" w:hAnsi="Times New Roman" w:eastAsia="仿宋_GB2312" w:cs="Times New Roman"/>
                <w:bCs/>
                <w:color w:val="auto"/>
                <w:kern w:val="0"/>
                <w:sz w:val="18"/>
                <w:szCs w:val="21"/>
              </w:rPr>
              <w:t>时间(a)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7" w:hRule="atLeast"/>
          <w:jc w:val="center"/>
        </w:trPr>
        <w:tc>
          <w:tcPr>
            <w:tcW w:w="7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w:t>
            </w:r>
          </w:p>
        </w:tc>
        <w:tc>
          <w:tcPr>
            <w:tcW w:w="86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890"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76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105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w:t>
            </w:r>
          </w:p>
        </w:tc>
        <w:tc>
          <w:tcPr>
            <w:tcW w:w="671"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附属工程</w:t>
            </w:r>
          </w:p>
        </w:tc>
        <w:tc>
          <w:tcPr>
            <w:tcW w:w="86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0.34</w:t>
            </w:r>
          </w:p>
        </w:tc>
        <w:tc>
          <w:tcPr>
            <w:tcW w:w="890"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76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w:t>
            </w:r>
          </w:p>
        </w:tc>
        <w:tc>
          <w:tcPr>
            <w:tcW w:w="1054"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21"/>
                <w:lang w:val="en-US" w:eastAsia="zh-CN" w:bidi="ar-SA"/>
              </w:rPr>
            </w:pPr>
            <w:r>
              <w:rPr>
                <w:rFonts w:hint="default" w:ascii="Times New Roman" w:hAnsi="Times New Roman" w:eastAsia="仿宋_GB2312" w:cs="Times New Roman"/>
                <w:color w:val="auto"/>
                <w:kern w:val="0"/>
                <w:sz w:val="18"/>
                <w:szCs w:val="21"/>
              </w:rPr>
              <w:t>/</w:t>
            </w:r>
          </w:p>
        </w:tc>
        <w:tc>
          <w:tcPr>
            <w:tcW w:w="671"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21"/>
                <w:lang w:val="en-US" w:eastAsia="zh-CN" w:bidi="ar-SA"/>
              </w:rPr>
            </w:pPr>
            <w:r>
              <w:rPr>
                <w:rFonts w:hint="default" w:ascii="Times New Roman" w:hAnsi="Times New Roman" w:eastAsia="仿宋_GB2312" w:cs="Times New Roman"/>
                <w:color w:val="auto"/>
                <w:kern w:val="0"/>
                <w:sz w:val="18"/>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748"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合计</w:t>
            </w:r>
          </w:p>
        </w:tc>
        <w:tc>
          <w:tcPr>
            <w:tcW w:w="867"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rPr>
              <w:t>0.</w:t>
            </w:r>
            <w:r>
              <w:rPr>
                <w:rFonts w:hint="default" w:ascii="Times New Roman" w:hAnsi="Times New Roman" w:eastAsia="仿宋_GB2312" w:cs="Times New Roman"/>
                <w:color w:val="auto"/>
                <w:sz w:val="18"/>
                <w:szCs w:val="18"/>
                <w:lang w:val="en-US" w:eastAsia="zh-CN"/>
              </w:rPr>
              <w:t>43</w:t>
            </w:r>
          </w:p>
        </w:tc>
        <w:tc>
          <w:tcPr>
            <w:tcW w:w="890"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769"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w:t>
            </w:r>
          </w:p>
        </w:tc>
        <w:tc>
          <w:tcPr>
            <w:tcW w:w="105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w:t>
            </w:r>
          </w:p>
        </w:tc>
        <w:tc>
          <w:tcPr>
            <w:tcW w:w="671"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r>
    </w:tbl>
    <w:p>
      <w:pPr>
        <w:pStyle w:val="321"/>
        <w:spacing w:line="240" w:lineRule="auto"/>
        <w:ind w:firstLine="480"/>
        <w:rPr>
          <w:rFonts w:hint="default" w:ascii="Times New Roman" w:hAnsi="Times New Roman" w:cs="Times New Roman"/>
          <w:color w:val="auto"/>
        </w:rPr>
      </w:pPr>
    </w:p>
    <w:bookmarkEnd w:id="103"/>
    <w:bookmarkEnd w:id="104"/>
    <w:bookmarkEnd w:id="105"/>
    <w:bookmarkEnd w:id="106"/>
    <w:bookmarkEnd w:id="107"/>
    <w:bookmarkEnd w:id="108"/>
    <w:bookmarkEnd w:id="109"/>
    <w:bookmarkEnd w:id="110"/>
    <w:p>
      <w:pPr>
        <w:pStyle w:val="4"/>
        <w:suppressAutoHyphens/>
        <w:rPr>
          <w:rFonts w:hint="default" w:ascii="Times New Roman" w:hAnsi="Times New Roman" w:cs="Times New Roman"/>
          <w:color w:val="auto"/>
          <w:kern w:val="0"/>
        </w:rPr>
      </w:pPr>
      <w:r>
        <w:rPr>
          <w:rFonts w:hint="default" w:ascii="Times New Roman" w:hAnsi="Times New Roman" w:cs="Times New Roman"/>
          <w:color w:val="auto"/>
          <w:kern w:val="0"/>
        </w:rPr>
        <w:t>4.3.3土壤侵蚀模数</w:t>
      </w:r>
    </w:p>
    <w:p>
      <w:pPr>
        <w:suppressAutoHyphens/>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（1）预测单元原地貌土壤侵蚀模数</w:t>
      </w:r>
    </w:p>
    <w:p>
      <w:pPr>
        <w:pStyle w:val="321"/>
        <w:spacing w:line="360" w:lineRule="auto"/>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项目区水土流失是在地形地貌、土壤植被等影响水土流失的自然因素调查和现场定性评价的基础上，参照《土壤侵蚀分类分级标准》（SL190－2007）中土壤侵蚀等级划分进行确定。</w:t>
      </w:r>
      <w:r>
        <w:rPr>
          <w:rFonts w:hint="default" w:ascii="Times New Roman" w:hAnsi="Times New Roman" w:eastAsia="仿宋_GB2312" w:cs="Times New Roman"/>
          <w:color w:val="auto"/>
        </w:rPr>
        <w:t>项目区水土流失以微度水力侵蚀为主，</w:t>
      </w:r>
      <w:bookmarkStart w:id="111" w:name="_Hlk535272450"/>
      <w:r>
        <w:rPr>
          <w:rFonts w:hint="default" w:ascii="Times New Roman" w:hAnsi="Times New Roman" w:eastAsia="仿宋_GB2312" w:cs="Times New Roman"/>
          <w:color w:val="auto"/>
        </w:rPr>
        <w:t>背景土壤侵蚀模数</w:t>
      </w:r>
      <w:bookmarkEnd w:id="111"/>
      <w:r>
        <w:rPr>
          <w:rFonts w:hint="default" w:ascii="Times New Roman" w:hAnsi="Times New Roman" w:eastAsia="仿宋_GB2312" w:cs="Times New Roman"/>
          <w:color w:val="auto"/>
        </w:rPr>
        <w:t>为300t/km</w:t>
      </w:r>
      <w:r>
        <w:rPr>
          <w:rFonts w:hint="default" w:ascii="Times New Roman" w:hAnsi="Times New Roman" w:cs="Times New Roman"/>
          <w:color w:val="auto"/>
        </w:rPr>
        <w:t>²•</w:t>
      </w:r>
      <w:r>
        <w:rPr>
          <w:rFonts w:hint="default" w:ascii="Times New Roman" w:hAnsi="Times New Roman" w:eastAsia="仿宋_GB2312" w:cs="Times New Roman"/>
          <w:color w:val="auto"/>
        </w:rPr>
        <w:t>a</w:t>
      </w:r>
      <w:r>
        <w:rPr>
          <w:rFonts w:hint="default" w:ascii="Times New Roman" w:hAnsi="Times New Roman" w:eastAsia="仿宋_GB2312" w:cs="Times New Roman"/>
          <w:color w:val="auto"/>
          <w:szCs w:val="24"/>
        </w:rPr>
        <w:t>。</w:t>
      </w:r>
    </w:p>
    <w:p>
      <w:pPr>
        <w:suppressAutoHyphens/>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（2）扰动后土壤侵蚀模数确定</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经调查，项目已于2016年11月动工，2017年11月完工，至方案编报已有2年之久；方案结合项目已实施的水保措施对项目区土壤流失情况进行调查：</w:t>
      </w:r>
      <w:r>
        <w:rPr>
          <w:rFonts w:hint="default" w:ascii="Times New Roman" w:hAnsi="Times New Roman" w:eastAsia="仿宋_GB2312" w:cs="Times New Roman"/>
          <w:color w:val="auto"/>
          <w:kern w:val="0"/>
        </w:rPr>
        <w:t>施工期已实施的水土保持措施主要有防雨布遮盖500m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、盖</w:t>
      </w:r>
      <w:r>
        <w:rPr>
          <w:rFonts w:hint="default" w:ascii="Times New Roman" w:hAnsi="Times New Roman" w:eastAsia="仿宋_GB2312" w:cs="Times New Roman"/>
          <w:color w:val="auto"/>
        </w:rPr>
        <w:t>板排水沟123.02m；现状场地已硬化。</w:t>
      </w:r>
    </w:p>
    <w:p>
      <w:pPr>
        <w:autoSpaceDE w:val="0"/>
        <w:autoSpaceDN w:val="0"/>
        <w:adjustRightInd w:val="0"/>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本项目典型扰动面土壤侵蚀模数确定见表4-3。</w:t>
      </w:r>
    </w:p>
    <w:p>
      <w:pPr>
        <w:ind w:firstLine="0" w:firstLineChars="0"/>
        <w:jc w:val="center"/>
        <w:rPr>
          <w:rFonts w:hint="default" w:ascii="Times New Roman" w:hAnsi="Times New Roman" w:eastAsia="仿宋_GB2312" w:cs="Times New Roman"/>
          <w:b/>
          <w:bCs/>
          <w:color w:val="auto"/>
          <w:kern w:val="0"/>
          <w:sz w:val="21"/>
          <w:szCs w:val="21"/>
        </w:rPr>
      </w:pPr>
      <w:r>
        <w:rPr>
          <w:rFonts w:hint="default" w:ascii="Times New Roman" w:hAnsi="Times New Roman" w:eastAsia="仿宋_GB2312" w:cs="Times New Roman"/>
          <w:b/>
          <w:bCs/>
          <w:color w:val="auto"/>
          <w:kern w:val="0"/>
          <w:sz w:val="21"/>
          <w:szCs w:val="21"/>
        </w:rPr>
        <w:t>表4-3   扰动后侵蚀模数汇总表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41"/>
        <w:gridCol w:w="1445"/>
        <w:gridCol w:w="1445"/>
        <w:gridCol w:w="1446"/>
        <w:gridCol w:w="16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89" w:type="pct"/>
            <w:vMerge w:val="restar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预测单元</w:t>
            </w:r>
          </w:p>
        </w:tc>
        <w:tc>
          <w:tcPr>
            <w:tcW w:w="847"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背景侵蚀模数t/（km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·a）</w:t>
            </w:r>
          </w:p>
        </w:tc>
        <w:tc>
          <w:tcPr>
            <w:tcW w:w="847" w:type="pct"/>
            <w:vMerge w:val="restar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施工期侵蚀模数t/（km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·a）</w:t>
            </w:r>
          </w:p>
        </w:tc>
        <w:tc>
          <w:tcPr>
            <w:tcW w:w="1814" w:type="pct"/>
            <w:gridSpan w:val="2"/>
            <w:vAlign w:val="center"/>
          </w:tcPr>
          <w:p>
            <w:pPr>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自然恢复期侵蚀模数t/（km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0" w:type="auto"/>
            <w:vMerge w:val="continue"/>
            <w:vAlign w:val="center"/>
          </w:tcPr>
          <w:p>
            <w:pPr>
              <w:widowControl/>
              <w:spacing w:line="240" w:lineRule="auto"/>
              <w:ind w:firstLine="0" w:firstLineChars="0"/>
              <w:jc w:val="left"/>
              <w:rPr>
                <w:rFonts w:hint="default" w:ascii="Times New Roman" w:hAnsi="Times New Roman" w:eastAsia="仿宋_GB2312" w:cs="Times New Roman"/>
                <w:color w:val="auto"/>
                <w:kern w:val="0"/>
                <w:sz w:val="18"/>
                <w:szCs w:val="18"/>
              </w:rPr>
            </w:pPr>
          </w:p>
        </w:tc>
        <w:tc>
          <w:tcPr>
            <w:tcW w:w="0" w:type="auto"/>
            <w:vMerge w:val="continue"/>
            <w:vAlign w:val="center"/>
          </w:tcPr>
          <w:p>
            <w:pPr>
              <w:widowControl/>
              <w:spacing w:line="240" w:lineRule="auto"/>
              <w:ind w:firstLine="0" w:firstLineChars="0"/>
              <w:jc w:val="left"/>
              <w:rPr>
                <w:rFonts w:hint="default" w:ascii="Times New Roman" w:hAnsi="Times New Roman" w:eastAsia="仿宋_GB2312" w:cs="Times New Roman"/>
                <w:color w:val="auto"/>
                <w:kern w:val="0"/>
                <w:sz w:val="18"/>
                <w:szCs w:val="18"/>
              </w:rPr>
            </w:pPr>
          </w:p>
        </w:tc>
        <w:tc>
          <w:tcPr>
            <w:tcW w:w="0" w:type="auto"/>
            <w:vMerge w:val="continue"/>
            <w:vAlign w:val="center"/>
          </w:tcPr>
          <w:p>
            <w:pPr>
              <w:widowControl/>
              <w:spacing w:line="240" w:lineRule="auto"/>
              <w:ind w:firstLine="0" w:firstLineChars="0"/>
              <w:jc w:val="left"/>
              <w:rPr>
                <w:rFonts w:hint="default" w:ascii="Times New Roman" w:hAnsi="Times New Roman" w:eastAsia="仿宋_GB2312" w:cs="Times New Roman"/>
                <w:color w:val="auto"/>
                <w:kern w:val="0"/>
                <w:sz w:val="18"/>
                <w:szCs w:val="18"/>
              </w:rPr>
            </w:pPr>
          </w:p>
        </w:tc>
        <w:tc>
          <w:tcPr>
            <w:tcW w:w="847"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裸露区域</w:t>
            </w:r>
          </w:p>
        </w:tc>
        <w:tc>
          <w:tcPr>
            <w:tcW w:w="966"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绿化区域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89"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主体工程</w:t>
            </w:r>
          </w:p>
        </w:tc>
        <w:tc>
          <w:tcPr>
            <w:tcW w:w="8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8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1500</w:t>
            </w:r>
          </w:p>
        </w:tc>
        <w:tc>
          <w:tcPr>
            <w:tcW w:w="8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96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489"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附属工程</w:t>
            </w:r>
          </w:p>
        </w:tc>
        <w:tc>
          <w:tcPr>
            <w:tcW w:w="8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300</w:t>
            </w:r>
          </w:p>
        </w:tc>
        <w:tc>
          <w:tcPr>
            <w:tcW w:w="8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1000</w:t>
            </w:r>
          </w:p>
        </w:tc>
        <w:tc>
          <w:tcPr>
            <w:tcW w:w="8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w:t>
            </w:r>
          </w:p>
        </w:tc>
        <w:tc>
          <w:tcPr>
            <w:tcW w:w="96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w:t>
            </w:r>
          </w:p>
        </w:tc>
      </w:tr>
    </w:tbl>
    <w:p>
      <w:pPr>
        <w:autoSpaceDE w:val="0"/>
        <w:autoSpaceDN w:val="0"/>
        <w:adjustRightInd w:val="0"/>
        <w:ind w:firstLine="480"/>
        <w:rPr>
          <w:rFonts w:hint="default" w:ascii="Times New Roman" w:hAnsi="Times New Roman" w:eastAsia="仿宋_GB2312" w:cs="Times New Roman"/>
          <w:color w:val="auto"/>
        </w:rPr>
      </w:pPr>
    </w:p>
    <w:p>
      <w:pPr>
        <w:autoSpaceDE w:val="0"/>
        <w:autoSpaceDN w:val="0"/>
        <w:adjustRightInd w:val="0"/>
        <w:ind w:firstLine="480"/>
        <w:rPr>
          <w:rFonts w:hint="default" w:ascii="Times New Roman" w:hAnsi="Times New Roman" w:eastAsia="仿宋_GB2312" w:cs="Times New Roman"/>
          <w:color w:val="auto"/>
        </w:rPr>
      </w:pPr>
    </w:p>
    <w:p>
      <w:pPr>
        <w:pStyle w:val="4"/>
        <w:suppressAutoHyphens/>
        <w:spacing w:before="156" w:beforeLines="50"/>
        <w:rPr>
          <w:rFonts w:hint="default" w:ascii="Times New Roman" w:hAnsi="Times New Roman" w:cs="Times New Roman"/>
          <w:color w:val="auto"/>
          <w:kern w:val="0"/>
        </w:rPr>
      </w:pPr>
      <w:r>
        <w:rPr>
          <w:rFonts w:hint="default" w:ascii="Times New Roman" w:hAnsi="Times New Roman" w:cs="Times New Roman"/>
          <w:color w:val="auto"/>
          <w:kern w:val="0"/>
        </w:rPr>
        <w:t>4.3.4调查结果</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土壤流失预测按下式计算：</w:t>
      </w:r>
    </w:p>
    <w:p>
      <w:pPr>
        <w:suppressAutoHyphens/>
        <w:ind w:firstLine="560"/>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i/>
          <w:color w:val="auto"/>
          <w:sz w:val="28"/>
          <w:szCs w:val="28"/>
        </w:rPr>
        <w:t>W=∑∑F</w:t>
      </w:r>
      <w:r>
        <w:rPr>
          <w:rFonts w:hint="default" w:ascii="Times New Roman" w:hAnsi="Times New Roman" w:eastAsia="仿宋_GB2312" w:cs="Times New Roman"/>
          <w:color w:val="auto"/>
          <w:sz w:val="28"/>
          <w:szCs w:val="28"/>
          <w:vertAlign w:val="subscript"/>
        </w:rPr>
        <w:t>ji</w:t>
      </w:r>
      <w:r>
        <w:rPr>
          <w:rFonts w:hint="default" w:ascii="Times New Roman" w:hAnsi="Times New Roman" w:eastAsia="仿宋_GB2312" w:cs="Times New Roman"/>
          <w:i/>
          <w:color w:val="auto"/>
          <w:sz w:val="28"/>
          <w:szCs w:val="28"/>
        </w:rPr>
        <w:t xml:space="preserve"> M</w:t>
      </w:r>
      <w:r>
        <w:rPr>
          <w:rFonts w:hint="default" w:ascii="Times New Roman" w:hAnsi="Times New Roman" w:eastAsia="仿宋_GB2312" w:cs="Times New Roman"/>
          <w:color w:val="auto"/>
          <w:sz w:val="28"/>
          <w:szCs w:val="28"/>
          <w:vertAlign w:val="subscript"/>
        </w:rPr>
        <w:t>ji</w:t>
      </w:r>
      <w:r>
        <w:rPr>
          <w:rFonts w:hint="default" w:ascii="Times New Roman" w:hAnsi="Times New Roman" w:eastAsia="仿宋_GB2312" w:cs="Times New Roman"/>
          <w:i/>
          <w:color w:val="auto"/>
          <w:sz w:val="28"/>
          <w:szCs w:val="28"/>
        </w:rPr>
        <w:t xml:space="preserve"> T</w:t>
      </w:r>
      <w:r>
        <w:rPr>
          <w:rFonts w:hint="default" w:ascii="Times New Roman" w:hAnsi="Times New Roman" w:eastAsia="仿宋_GB2312" w:cs="Times New Roman"/>
          <w:color w:val="auto"/>
          <w:sz w:val="28"/>
          <w:szCs w:val="28"/>
          <w:vertAlign w:val="subscript"/>
        </w:rPr>
        <w:t>ji</w:t>
      </w:r>
    </w:p>
    <w:p>
      <w:pPr>
        <w:suppressAutoHyphens/>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式中：</w:t>
      </w:r>
      <w:r>
        <w:rPr>
          <w:rFonts w:hint="default" w:ascii="Times New Roman" w:hAnsi="Times New Roman" w:eastAsia="仿宋_GB2312" w:cs="Times New Roman"/>
          <w:i/>
          <w:color w:val="auto"/>
        </w:rPr>
        <w:t>W—</w:t>
      </w:r>
      <w:r>
        <w:rPr>
          <w:rFonts w:hint="default" w:ascii="Times New Roman" w:hAnsi="Times New Roman" w:eastAsia="仿宋_GB2312" w:cs="Times New Roman"/>
          <w:color w:val="auto"/>
        </w:rPr>
        <w:t>土壤流失量（t）；</w:t>
      </w:r>
    </w:p>
    <w:p>
      <w:pPr>
        <w:suppressAutoHyphens/>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 xml:space="preserve">      j—预测时段，j=1，2，即指施工期（含施工准备期）和自然恢复期两个时段；</w:t>
      </w:r>
    </w:p>
    <w:p>
      <w:pPr>
        <w:suppressAutoHyphens/>
        <w:ind w:firstLine="1200" w:firstLineChars="5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i—预测单元，1，2，3，···，n-1，n；</w:t>
      </w:r>
    </w:p>
    <w:p>
      <w:pPr>
        <w:suppressAutoHyphens/>
        <w:ind w:firstLine="1200" w:firstLineChars="500"/>
        <w:jc w:val="left"/>
        <w:rPr>
          <w:rFonts w:hint="default" w:ascii="Times New Roman" w:hAnsi="Times New Roman" w:eastAsia="仿宋_GB2312" w:cs="Times New Roman"/>
          <w:color w:val="auto"/>
        </w:rPr>
      </w:pPr>
      <w:r>
        <w:rPr>
          <w:rFonts w:hint="default" w:ascii="Times New Roman" w:hAnsi="Times New Roman" w:eastAsia="仿宋_GB2312" w:cs="Times New Roman"/>
          <w:i/>
          <w:color w:val="auto"/>
        </w:rPr>
        <w:t>F</w:t>
      </w:r>
      <w:r>
        <w:rPr>
          <w:rFonts w:hint="default" w:ascii="Times New Roman" w:hAnsi="Times New Roman" w:eastAsia="仿宋_GB2312" w:cs="Times New Roman"/>
          <w:color w:val="auto"/>
          <w:vertAlign w:val="subscript"/>
        </w:rPr>
        <w:t>ji</w:t>
      </w:r>
      <w:r>
        <w:rPr>
          <w:rFonts w:hint="default" w:ascii="Times New Roman" w:hAnsi="Times New Roman" w:eastAsia="仿宋_GB2312" w:cs="Times New Roman"/>
          <w:color w:val="auto"/>
        </w:rPr>
        <w:t>—第j预测时段、第i预测单元的面积（km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w:t>
      </w:r>
    </w:p>
    <w:p>
      <w:pPr>
        <w:suppressAutoHyphens/>
        <w:ind w:firstLine="1200" w:firstLineChars="500"/>
        <w:jc w:val="left"/>
        <w:rPr>
          <w:rFonts w:hint="default" w:ascii="Times New Roman" w:hAnsi="Times New Roman" w:eastAsia="仿宋_GB2312" w:cs="Times New Roman"/>
          <w:color w:val="auto"/>
        </w:rPr>
      </w:pPr>
      <w:r>
        <w:rPr>
          <w:rFonts w:hint="default" w:ascii="Times New Roman" w:hAnsi="Times New Roman" w:eastAsia="仿宋_GB2312" w:cs="Times New Roman"/>
          <w:i/>
          <w:color w:val="auto"/>
        </w:rPr>
        <w:t>M</w:t>
      </w:r>
      <w:r>
        <w:rPr>
          <w:rFonts w:hint="default" w:ascii="Times New Roman" w:hAnsi="Times New Roman" w:eastAsia="仿宋_GB2312" w:cs="Times New Roman"/>
          <w:color w:val="auto"/>
          <w:vertAlign w:val="subscript"/>
        </w:rPr>
        <w:t>ji</w:t>
      </w:r>
      <w:r>
        <w:rPr>
          <w:rFonts w:hint="default" w:ascii="Times New Roman" w:hAnsi="Times New Roman" w:eastAsia="仿宋_GB2312" w:cs="Times New Roman"/>
          <w:color w:val="auto"/>
        </w:rPr>
        <w:t>—第j预测时段、第i预测单元的土壤侵蚀模数[t/（km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·a）；</w:t>
      </w:r>
    </w:p>
    <w:p>
      <w:pPr>
        <w:suppressAutoHyphens/>
        <w:ind w:firstLine="1200" w:firstLineChars="500"/>
        <w:jc w:val="left"/>
        <w:rPr>
          <w:rFonts w:hint="default" w:ascii="Times New Roman" w:hAnsi="Times New Roman" w:eastAsia="仿宋_GB2312" w:cs="Times New Roman"/>
          <w:color w:val="auto"/>
        </w:rPr>
      </w:pPr>
      <w:r>
        <w:rPr>
          <w:rFonts w:hint="default" w:ascii="Times New Roman" w:hAnsi="Times New Roman" w:eastAsia="仿宋_GB2312" w:cs="Times New Roman"/>
          <w:i/>
          <w:color w:val="auto"/>
        </w:rPr>
        <w:t>T</w:t>
      </w:r>
      <w:r>
        <w:rPr>
          <w:rFonts w:hint="default" w:ascii="Times New Roman" w:hAnsi="Times New Roman" w:eastAsia="仿宋_GB2312" w:cs="Times New Roman"/>
          <w:color w:val="auto"/>
          <w:vertAlign w:val="subscript"/>
        </w:rPr>
        <w:t>ji</w:t>
      </w:r>
      <w:r>
        <w:rPr>
          <w:rFonts w:hint="default" w:ascii="Times New Roman" w:hAnsi="Times New Roman" w:eastAsia="仿宋_GB2312" w:cs="Times New Roman"/>
          <w:color w:val="auto"/>
        </w:rPr>
        <w:t>—第j预测时段、第i预测单元的预测时段长（a）。</w:t>
      </w:r>
    </w:p>
    <w:p>
      <w:pPr>
        <w:suppressAutoHyphens/>
        <w:ind w:firstLine="1200" w:firstLineChars="5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预测水土流失量详见表4-5。</w:t>
      </w:r>
    </w:p>
    <w:p>
      <w:pPr>
        <w:suppressAutoHyphens/>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表4-5  水土流失预测表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4"/>
        <w:gridCol w:w="984"/>
        <w:gridCol w:w="900"/>
        <w:gridCol w:w="931"/>
        <w:gridCol w:w="931"/>
        <w:gridCol w:w="931"/>
        <w:gridCol w:w="931"/>
        <w:gridCol w:w="931"/>
        <w:gridCol w:w="8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47"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bookmarkStart w:id="112" w:name="_Toc425493408"/>
            <w:r>
              <w:rPr>
                <w:rFonts w:hint="default" w:ascii="Times New Roman" w:hAnsi="Times New Roman" w:eastAsia="仿宋_GB2312" w:cs="Times New Roman"/>
                <w:color w:val="auto"/>
                <w:kern w:val="0"/>
                <w:sz w:val="18"/>
                <w:szCs w:val="18"/>
              </w:rPr>
              <w:t>时段</w:t>
            </w:r>
          </w:p>
        </w:tc>
        <w:tc>
          <w:tcPr>
            <w:tcW w:w="57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预测单元</w:t>
            </w:r>
          </w:p>
        </w:tc>
        <w:tc>
          <w:tcPr>
            <w:tcW w:w="527"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面积（hm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背景侵蚀模数(t/km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·a)</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扰动后侵蚀模数(t/km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·a)</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预测时段（年）</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水土流失总量（t）</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背景水土流失总量（t）</w:t>
            </w:r>
          </w:p>
        </w:tc>
        <w:tc>
          <w:tcPr>
            <w:tcW w:w="518"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新增水土流失总量（t）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47" w:type="pct"/>
            <w:vMerge w:val="restar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施工期（调查）</w:t>
            </w:r>
          </w:p>
        </w:tc>
        <w:tc>
          <w:tcPr>
            <w:tcW w:w="57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w:t>
            </w:r>
          </w:p>
        </w:tc>
        <w:tc>
          <w:tcPr>
            <w:tcW w:w="52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bidi="ar"/>
              </w:rPr>
              <w:t>1500</w:t>
            </w:r>
          </w:p>
        </w:tc>
        <w:tc>
          <w:tcPr>
            <w:tcW w:w="545" w:type="pct"/>
            <w:shd w:val="clear" w:color="auto" w:fill="auto"/>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1.0</w:t>
            </w: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1.35</w:t>
            </w: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0.27</w:t>
            </w:r>
          </w:p>
        </w:tc>
        <w:tc>
          <w:tcPr>
            <w:tcW w:w="51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47" w:type="pct"/>
            <w:vMerge w:val="continue"/>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7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附属工程</w:t>
            </w:r>
          </w:p>
        </w:tc>
        <w:tc>
          <w:tcPr>
            <w:tcW w:w="52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0.34</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1000</w:t>
            </w:r>
          </w:p>
        </w:tc>
        <w:tc>
          <w:tcPr>
            <w:tcW w:w="545" w:type="pct"/>
            <w:shd w:val="clear" w:color="auto" w:fill="auto"/>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3.40</w:t>
            </w: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val="en-US" w:eastAsia="zh-CN" w:bidi="ar"/>
              </w:rPr>
              <w:t>1.02</w:t>
            </w:r>
          </w:p>
        </w:tc>
        <w:tc>
          <w:tcPr>
            <w:tcW w:w="51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
              </w:rPr>
            </w:pPr>
            <w:r>
              <w:rPr>
                <w:rFonts w:hint="default" w:ascii="Times New Roman" w:hAnsi="Times New Roman" w:eastAsia="仿宋_GB2312" w:cs="Times New Roman"/>
                <w:color w:val="auto"/>
                <w:kern w:val="0"/>
                <w:sz w:val="18"/>
                <w:szCs w:val="18"/>
                <w:lang w:val="en-US" w:eastAsia="zh-CN" w:bidi="ar"/>
              </w:rPr>
              <w:t>2.38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224" w:type="pct"/>
            <w:gridSpan w:val="2"/>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527" w:type="pct"/>
            <w:shd w:val="clear" w:color="auto" w:fill="auto"/>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rPr>
              <w:t>0.</w:t>
            </w:r>
            <w:r>
              <w:rPr>
                <w:rFonts w:hint="default" w:ascii="Times New Roman" w:hAnsi="Times New Roman" w:eastAsia="仿宋_GB2312" w:cs="Times New Roman"/>
                <w:color w:val="auto"/>
                <w:sz w:val="18"/>
                <w:szCs w:val="18"/>
                <w:lang w:val="en-US" w:eastAsia="zh-CN"/>
              </w:rPr>
              <w:t>43</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bidi="ar"/>
              </w:rPr>
            </w:pPr>
            <w:r>
              <w:rPr>
                <w:rFonts w:hint="default" w:ascii="Times New Roman" w:hAnsi="Times New Roman" w:eastAsia="仿宋_GB2312" w:cs="Times New Roman"/>
                <w:b/>
                <w:color w:val="auto"/>
                <w:kern w:val="0"/>
                <w:sz w:val="18"/>
                <w:szCs w:val="18"/>
                <w:lang w:val="en-US" w:eastAsia="zh-CN" w:bidi="ar"/>
              </w:rPr>
              <w:t>4.75</w:t>
            </w: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bidi="ar"/>
              </w:rPr>
            </w:pPr>
            <w:r>
              <w:rPr>
                <w:rFonts w:hint="default" w:ascii="Times New Roman" w:hAnsi="Times New Roman" w:eastAsia="仿宋_GB2312" w:cs="Times New Roman"/>
                <w:b/>
                <w:color w:val="auto"/>
                <w:kern w:val="0"/>
                <w:sz w:val="18"/>
                <w:szCs w:val="18"/>
                <w:lang w:val="en-US" w:eastAsia="zh-CN" w:bidi="ar"/>
              </w:rPr>
              <w:t>1.29</w:t>
            </w:r>
          </w:p>
        </w:tc>
        <w:tc>
          <w:tcPr>
            <w:tcW w:w="51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bidi="ar"/>
              </w:rPr>
            </w:pPr>
            <w:r>
              <w:rPr>
                <w:rFonts w:hint="default" w:ascii="Times New Roman" w:hAnsi="Times New Roman" w:eastAsia="仿宋_GB2312" w:cs="Times New Roman"/>
                <w:b/>
                <w:color w:val="auto"/>
                <w:kern w:val="0"/>
                <w:sz w:val="18"/>
                <w:szCs w:val="18"/>
                <w:lang w:val="en-US" w:eastAsia="zh-CN" w:bidi="ar"/>
              </w:rPr>
              <w:t>3.46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64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自然恢复期</w:t>
            </w:r>
          </w:p>
        </w:tc>
        <w:tc>
          <w:tcPr>
            <w:tcW w:w="576"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w:t>
            </w:r>
          </w:p>
        </w:tc>
        <w:tc>
          <w:tcPr>
            <w:tcW w:w="527" w:type="pct"/>
            <w:shd w:val="clear" w:color="auto" w:fill="auto"/>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w:t>
            </w: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bidi="ar"/>
              </w:rPr>
              <w:t>/</w:t>
            </w: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w:t>
            </w:r>
          </w:p>
        </w:tc>
        <w:tc>
          <w:tcPr>
            <w:tcW w:w="54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w:t>
            </w:r>
          </w:p>
        </w:tc>
        <w:tc>
          <w:tcPr>
            <w:tcW w:w="518" w:type="pct"/>
            <w:shd w:val="clear" w:color="auto" w:fill="auto"/>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lang w:bidi="ar"/>
              </w:rPr>
            </w:pPr>
            <w:r>
              <w:rPr>
                <w:rFonts w:hint="default" w:ascii="Times New Roman" w:hAnsi="Times New Roman" w:eastAsia="仿宋_GB2312" w:cs="Times New Roman"/>
                <w:color w:val="auto"/>
                <w:kern w:val="0"/>
                <w:sz w:val="18"/>
                <w:szCs w:val="18"/>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224" w:type="pct"/>
            <w:gridSpan w:val="2"/>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总计</w:t>
            </w:r>
          </w:p>
        </w:tc>
        <w:tc>
          <w:tcPr>
            <w:tcW w:w="527"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p>
        </w:tc>
        <w:tc>
          <w:tcPr>
            <w:tcW w:w="545" w:type="pct"/>
            <w:shd w:val="clear" w:color="auto" w:fill="auto"/>
            <w:vAlign w:val="center"/>
          </w:tcPr>
          <w:p>
            <w:pPr>
              <w:widowControl/>
              <w:tabs>
                <w:tab w:val="left" w:pos="3720"/>
              </w:tabs>
              <w:autoSpaceDE w:val="0"/>
              <w:autoSpaceDN w:val="0"/>
              <w:adjustRightInd w:val="0"/>
              <w:spacing w:line="240" w:lineRule="auto"/>
              <w:ind w:firstLine="0" w:firstLineChars="0"/>
              <w:jc w:val="center"/>
              <w:textAlignment w:val="bottom"/>
              <w:rPr>
                <w:rFonts w:hint="default" w:ascii="Times New Roman" w:hAnsi="Times New Roman" w:eastAsia="仿宋_GB2312" w:cs="Times New Roman"/>
                <w:color w:val="auto"/>
                <w:kern w:val="0"/>
                <w:sz w:val="18"/>
                <w:szCs w:val="18"/>
              </w:rPr>
            </w:pPr>
          </w:p>
        </w:tc>
        <w:tc>
          <w:tcPr>
            <w:tcW w:w="931" w:type="dxa"/>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bidi="ar"/>
              </w:rPr>
            </w:pPr>
            <w:r>
              <w:rPr>
                <w:rFonts w:hint="default" w:ascii="Times New Roman" w:hAnsi="Times New Roman" w:eastAsia="仿宋_GB2312" w:cs="Times New Roman"/>
                <w:b/>
                <w:color w:val="auto"/>
                <w:kern w:val="0"/>
                <w:sz w:val="18"/>
                <w:szCs w:val="18"/>
                <w:lang w:val="en-US" w:eastAsia="zh-CN" w:bidi="ar"/>
              </w:rPr>
              <w:t>4.75</w:t>
            </w:r>
          </w:p>
        </w:tc>
        <w:tc>
          <w:tcPr>
            <w:tcW w:w="931" w:type="dxa"/>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bidi="ar"/>
              </w:rPr>
            </w:pPr>
            <w:r>
              <w:rPr>
                <w:rFonts w:hint="default" w:ascii="Times New Roman" w:hAnsi="Times New Roman" w:eastAsia="仿宋_GB2312" w:cs="Times New Roman"/>
                <w:b/>
                <w:color w:val="auto"/>
                <w:kern w:val="0"/>
                <w:sz w:val="18"/>
                <w:szCs w:val="18"/>
                <w:lang w:val="en-US" w:eastAsia="zh-CN" w:bidi="ar"/>
              </w:rPr>
              <w:t>1.29</w:t>
            </w:r>
          </w:p>
        </w:tc>
        <w:tc>
          <w:tcPr>
            <w:tcW w:w="885" w:type="dxa"/>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bidi="ar"/>
              </w:rPr>
            </w:pPr>
            <w:r>
              <w:rPr>
                <w:rFonts w:hint="default" w:ascii="Times New Roman" w:hAnsi="Times New Roman" w:eastAsia="仿宋_GB2312" w:cs="Times New Roman"/>
                <w:b/>
                <w:color w:val="auto"/>
                <w:kern w:val="0"/>
                <w:sz w:val="18"/>
                <w:szCs w:val="18"/>
                <w:lang w:val="en-US" w:eastAsia="zh-CN" w:bidi="ar"/>
              </w:rPr>
              <w:t>3.46</w:t>
            </w:r>
          </w:p>
        </w:tc>
      </w:tr>
    </w:tbl>
    <w:p>
      <w:pPr>
        <w:pStyle w:val="1102"/>
        <w:spacing w:line="240" w:lineRule="auto"/>
        <w:rPr>
          <w:rFonts w:hint="default" w:ascii="Times New Roman" w:hAnsi="Times New Roman" w:cs="Times New Roman"/>
          <w:color w:val="auto"/>
        </w:rPr>
      </w:pP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kern w:val="0"/>
          <w:szCs w:val="24"/>
        </w:rPr>
        <w:t>本项目扰动原地貌</w:t>
      </w:r>
      <w:r>
        <w:rPr>
          <w:rFonts w:hint="default" w:ascii="Times New Roman" w:hAnsi="Times New Roman" w:eastAsia="仿宋_GB2312" w:cs="Times New Roman"/>
          <w:color w:val="auto"/>
          <w:kern w:val="0"/>
        </w:rPr>
        <w:t>面积0.</w:t>
      </w:r>
      <w:r>
        <w:rPr>
          <w:rFonts w:hint="default" w:ascii="Times New Roman" w:hAnsi="Times New Roman" w:eastAsia="仿宋_GB2312" w:cs="Times New Roman"/>
          <w:color w:val="auto"/>
          <w:kern w:val="0"/>
          <w:lang w:val="en-US" w:eastAsia="zh-CN"/>
        </w:rPr>
        <w:t>43</w:t>
      </w:r>
      <w:r>
        <w:rPr>
          <w:rFonts w:hint="default" w:ascii="Times New Roman" w:hAnsi="Times New Roman" w:eastAsia="仿宋_GB2312" w:cs="Times New Roman"/>
          <w:color w:val="auto"/>
          <w:kern w:val="0"/>
        </w:rPr>
        <w:t>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；损坏具有水土保持功能面积0.</w:t>
      </w:r>
      <w:r>
        <w:rPr>
          <w:rFonts w:hint="default" w:ascii="Times New Roman" w:hAnsi="Times New Roman" w:eastAsia="仿宋_GB2312" w:cs="Times New Roman"/>
          <w:color w:val="auto"/>
          <w:kern w:val="0"/>
          <w:lang w:val="en-US" w:eastAsia="zh-CN"/>
        </w:rPr>
        <w:t>43</w:t>
      </w:r>
      <w:r>
        <w:rPr>
          <w:rFonts w:hint="default" w:ascii="Times New Roman" w:hAnsi="Times New Roman" w:eastAsia="仿宋_GB2312" w:cs="Times New Roman"/>
          <w:color w:val="auto"/>
          <w:kern w:val="0"/>
        </w:rPr>
        <w:t>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szCs w:val="24"/>
        </w:rPr>
        <w:t>。调查</w:t>
      </w:r>
      <w:r>
        <w:rPr>
          <w:rFonts w:hint="default" w:ascii="Times New Roman" w:hAnsi="Times New Roman" w:eastAsia="仿宋_GB2312" w:cs="Times New Roman"/>
          <w:color w:val="auto"/>
          <w:kern w:val="0"/>
          <w:szCs w:val="24"/>
        </w:rPr>
        <w:t>土壤流失总量</w:t>
      </w:r>
      <w:r>
        <w:rPr>
          <w:rFonts w:hint="default" w:ascii="Times New Roman" w:hAnsi="Times New Roman" w:eastAsia="仿宋_GB2312" w:cs="Times New Roman"/>
          <w:color w:val="auto"/>
          <w:kern w:val="0"/>
          <w:szCs w:val="24"/>
          <w:lang w:val="en-US" w:eastAsia="zh-CN"/>
        </w:rPr>
        <w:t>3.46</w:t>
      </w:r>
      <w:r>
        <w:rPr>
          <w:rFonts w:hint="default" w:ascii="Times New Roman" w:hAnsi="Times New Roman" w:eastAsia="仿宋_GB2312" w:cs="Times New Roman"/>
          <w:color w:val="auto"/>
          <w:kern w:val="0"/>
          <w:szCs w:val="24"/>
        </w:rPr>
        <w:t>t，其中背景土壤流失量</w:t>
      </w:r>
      <w:r>
        <w:rPr>
          <w:rFonts w:hint="default" w:ascii="Times New Roman" w:hAnsi="Times New Roman" w:eastAsia="仿宋_GB2312" w:cs="Times New Roman"/>
          <w:color w:val="auto"/>
          <w:kern w:val="0"/>
          <w:szCs w:val="24"/>
          <w:lang w:val="en-US" w:eastAsia="zh-CN"/>
        </w:rPr>
        <w:t>1.29</w:t>
      </w:r>
      <w:r>
        <w:rPr>
          <w:rFonts w:hint="default" w:ascii="Times New Roman" w:hAnsi="Times New Roman" w:eastAsia="仿宋_GB2312" w:cs="Times New Roman"/>
          <w:color w:val="auto"/>
          <w:kern w:val="0"/>
          <w:szCs w:val="24"/>
        </w:rPr>
        <w:t>t，调查新增土壤流失量</w:t>
      </w:r>
      <w:r>
        <w:rPr>
          <w:rFonts w:hint="default" w:ascii="Times New Roman" w:hAnsi="Times New Roman" w:eastAsia="仿宋_GB2312" w:cs="Times New Roman"/>
          <w:color w:val="auto"/>
          <w:kern w:val="0"/>
          <w:szCs w:val="24"/>
          <w:lang w:val="en-US" w:eastAsia="zh-CN"/>
        </w:rPr>
        <w:t>3.46</w:t>
      </w:r>
      <w:r>
        <w:rPr>
          <w:rFonts w:hint="default" w:ascii="Times New Roman" w:hAnsi="Times New Roman" w:eastAsia="仿宋_GB2312" w:cs="Times New Roman"/>
          <w:color w:val="auto"/>
          <w:kern w:val="0"/>
          <w:szCs w:val="24"/>
        </w:rPr>
        <w:t>t；新增土壤流失集中在施工期，自然恢复期场地已硬化，不在统计土壤流失量；故施工期是水土流失防治的重点时段。</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施工期预测新增土壤流失总量</w:t>
      </w:r>
      <w:r>
        <w:rPr>
          <w:rFonts w:hint="default" w:ascii="Times New Roman" w:hAnsi="Times New Roman" w:eastAsia="仿宋_GB2312" w:cs="Times New Roman"/>
          <w:color w:val="auto"/>
          <w:kern w:val="0"/>
          <w:szCs w:val="24"/>
          <w:lang w:val="en-US" w:eastAsia="zh-CN"/>
        </w:rPr>
        <w:t>3.46</w:t>
      </w:r>
      <w:r>
        <w:rPr>
          <w:rFonts w:hint="default" w:ascii="Times New Roman" w:hAnsi="Times New Roman" w:eastAsia="仿宋_GB2312" w:cs="Times New Roman"/>
          <w:color w:val="auto"/>
          <w:kern w:val="0"/>
          <w:szCs w:val="24"/>
        </w:rPr>
        <w:t>t，其中主体工程新增土壤流失量1.08t</w:t>
      </w:r>
      <w:r>
        <w:rPr>
          <w:rFonts w:hint="default" w:ascii="Times New Roman" w:hAnsi="Times New Roman" w:eastAsia="仿宋_GB2312" w:cs="Times New Roman"/>
          <w:color w:val="auto"/>
          <w:kern w:val="0"/>
          <w:szCs w:val="24"/>
          <w:lang w:val="en-US" w:eastAsia="zh-CN"/>
        </w:rPr>
        <w:t>,</w:t>
      </w:r>
      <w:r>
        <w:rPr>
          <w:rFonts w:hint="default" w:ascii="Times New Roman" w:hAnsi="Times New Roman" w:eastAsia="仿宋_GB2312" w:cs="Times New Roman"/>
          <w:color w:val="auto"/>
          <w:kern w:val="0"/>
          <w:szCs w:val="24"/>
        </w:rPr>
        <w:t>占施工期新增总量的</w:t>
      </w:r>
      <w:r>
        <w:rPr>
          <w:rFonts w:hint="default" w:ascii="Times New Roman" w:hAnsi="Times New Roman" w:eastAsia="仿宋_GB2312" w:cs="Times New Roman"/>
          <w:color w:val="auto"/>
          <w:kern w:val="0"/>
          <w:szCs w:val="24"/>
          <w:lang w:val="en-US" w:eastAsia="zh-CN"/>
        </w:rPr>
        <w:t>31</w:t>
      </w:r>
      <w:r>
        <w:rPr>
          <w:rFonts w:hint="default" w:ascii="Times New Roman" w:hAnsi="Times New Roman" w:eastAsia="仿宋_GB2312" w:cs="Times New Roman"/>
          <w:color w:val="auto"/>
          <w:kern w:val="0"/>
          <w:szCs w:val="24"/>
        </w:rPr>
        <w:t>%；</w:t>
      </w:r>
      <w:r>
        <w:rPr>
          <w:rFonts w:hint="default" w:ascii="Times New Roman" w:hAnsi="Times New Roman" w:eastAsia="仿宋_GB2312" w:cs="Times New Roman"/>
          <w:color w:val="auto"/>
          <w:kern w:val="0"/>
          <w:szCs w:val="24"/>
          <w:lang w:val="en-US" w:eastAsia="zh-CN"/>
        </w:rPr>
        <w:t>附属工程新增土壤流失量2.38t</w:t>
      </w:r>
      <w:r>
        <w:rPr>
          <w:rFonts w:hint="default" w:ascii="Times New Roman" w:hAnsi="Times New Roman" w:eastAsia="仿宋_GB2312" w:cs="Times New Roman"/>
          <w:color w:val="auto"/>
          <w:kern w:val="0"/>
          <w:szCs w:val="24"/>
        </w:rPr>
        <w:t>，占施工期新增总量的</w:t>
      </w:r>
      <w:r>
        <w:rPr>
          <w:rFonts w:hint="default" w:ascii="Times New Roman" w:hAnsi="Times New Roman" w:eastAsia="仿宋_GB2312" w:cs="Times New Roman"/>
          <w:color w:val="auto"/>
          <w:kern w:val="0"/>
          <w:szCs w:val="24"/>
          <w:lang w:val="en-US" w:eastAsia="zh-CN"/>
        </w:rPr>
        <w:t>69</w:t>
      </w:r>
      <w:r>
        <w:rPr>
          <w:rFonts w:hint="default" w:ascii="Times New Roman" w:hAnsi="Times New Roman" w:eastAsia="仿宋_GB2312" w:cs="Times New Roman"/>
          <w:color w:val="auto"/>
          <w:kern w:val="0"/>
          <w:szCs w:val="24"/>
        </w:rPr>
        <w:t>%；故</w:t>
      </w:r>
      <w:r>
        <w:rPr>
          <w:rFonts w:hint="default" w:ascii="Times New Roman" w:hAnsi="Times New Roman" w:eastAsia="仿宋_GB2312" w:cs="Times New Roman"/>
          <w:color w:val="auto"/>
          <w:kern w:val="0"/>
          <w:szCs w:val="24"/>
          <w:lang w:val="en-US" w:eastAsia="zh-CN"/>
        </w:rPr>
        <w:t>附属设施区</w:t>
      </w:r>
      <w:r>
        <w:rPr>
          <w:rFonts w:hint="default" w:ascii="Times New Roman" w:hAnsi="Times New Roman" w:eastAsia="仿宋_GB2312" w:cs="Times New Roman"/>
          <w:color w:val="auto"/>
          <w:kern w:val="0"/>
          <w:szCs w:val="24"/>
        </w:rPr>
        <w:t>是水土流失重点防治区域。</w:t>
      </w:r>
    </w:p>
    <w:p>
      <w:pPr>
        <w:pStyle w:val="3"/>
        <w:suppressAutoHyphens/>
        <w:spacing w:before="156" w:beforeLines="50" w:after="156" w:afterLines="50"/>
        <w:rPr>
          <w:rFonts w:hint="default" w:ascii="Times New Roman" w:hAnsi="Times New Roman" w:cs="Times New Roman"/>
          <w:color w:val="auto"/>
          <w:kern w:val="0"/>
        </w:rPr>
      </w:pPr>
      <w:bookmarkStart w:id="113" w:name="_Toc6155993"/>
      <w:bookmarkStart w:id="114" w:name="_Toc17945"/>
      <w:r>
        <w:rPr>
          <w:rFonts w:hint="default" w:ascii="Times New Roman" w:hAnsi="Times New Roman" w:cs="Times New Roman"/>
          <w:color w:val="auto"/>
          <w:kern w:val="0"/>
        </w:rPr>
        <w:t>4.4 水土流失危害分析</w:t>
      </w:r>
      <w:bookmarkEnd w:id="112"/>
      <w:bookmarkEnd w:id="113"/>
      <w:bookmarkEnd w:id="114"/>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（1）施工期若临时防护实施不到位，容易引起场地内涝、泥泞，影响工程进度，甚至引起</w:t>
      </w:r>
      <w:r>
        <w:rPr>
          <w:rFonts w:hint="default" w:ascii="Times New Roman" w:hAnsi="Times New Roman" w:eastAsia="仿宋_GB2312" w:cs="Times New Roman"/>
          <w:color w:val="auto"/>
          <w:kern w:val="0"/>
        </w:rPr>
        <w:t>水土流失纠纷事件。</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（2）主体工程完工后裸露地表若得不到治理，造成水土流失，影响雨水设施功能。</w:t>
      </w:r>
    </w:p>
    <w:p>
      <w:pPr>
        <w:pStyle w:val="152"/>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（3）</w:t>
      </w:r>
      <w:r>
        <w:rPr>
          <w:rFonts w:hint="default" w:ascii="Times New Roman" w:hAnsi="Times New Roman" w:eastAsia="仿宋_GB2312" w:cs="Times New Roman"/>
          <w:color w:val="auto"/>
          <w:kern w:val="0"/>
          <w:szCs w:val="24"/>
          <w:lang w:val="en-US" w:eastAsia="zh-CN"/>
        </w:rPr>
        <w:t>项目区</w:t>
      </w:r>
      <w:r>
        <w:rPr>
          <w:rFonts w:hint="default" w:ascii="Times New Roman" w:hAnsi="Times New Roman" w:eastAsia="仿宋_GB2312" w:cs="Times New Roman"/>
          <w:color w:val="auto"/>
          <w:kern w:val="0"/>
          <w:szCs w:val="24"/>
        </w:rPr>
        <w:t>内的土壤由地表径流带入市政管网，从而造成管道淤积，缩短市政雨水管网使用寿命，增加城市基础设施维护费用。</w:t>
      </w:r>
    </w:p>
    <w:p>
      <w:pPr>
        <w:pStyle w:val="3"/>
        <w:suppressAutoHyphens/>
        <w:spacing w:before="156" w:beforeLines="50" w:after="156" w:afterLines="50"/>
        <w:rPr>
          <w:rFonts w:hint="default" w:ascii="Times New Roman" w:hAnsi="Times New Roman" w:cs="Times New Roman"/>
          <w:color w:val="auto"/>
          <w:kern w:val="0"/>
        </w:rPr>
      </w:pPr>
      <w:bookmarkStart w:id="115" w:name="_Toc425493409"/>
      <w:bookmarkStart w:id="116" w:name="_Toc6155994"/>
      <w:bookmarkStart w:id="117" w:name="_Toc20964"/>
      <w:r>
        <w:rPr>
          <w:rFonts w:hint="default" w:ascii="Times New Roman" w:hAnsi="Times New Roman" w:cs="Times New Roman"/>
          <w:color w:val="auto"/>
          <w:kern w:val="0"/>
        </w:rPr>
        <w:t>4.5指导性意见</w:t>
      </w:r>
      <w:bookmarkEnd w:id="115"/>
      <w:bookmarkEnd w:id="116"/>
      <w:bookmarkEnd w:id="117"/>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通过以上分析与预测，总结提出如下指导性意见：</w:t>
      </w:r>
    </w:p>
    <w:p>
      <w:pPr>
        <w:ind w:right="7" w:rightChars="3"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（1）将施工期列为水土流失防治和水土保持监测的重点时段，将</w:t>
      </w:r>
      <w:r>
        <w:rPr>
          <w:rFonts w:hint="default" w:ascii="Times New Roman" w:hAnsi="Times New Roman" w:eastAsia="仿宋_GB2312" w:cs="Times New Roman"/>
          <w:color w:val="auto"/>
          <w:kern w:val="0"/>
          <w:szCs w:val="24"/>
          <w:lang w:val="en-US" w:eastAsia="zh-CN"/>
        </w:rPr>
        <w:t>附属设施区</w:t>
      </w:r>
      <w:r>
        <w:rPr>
          <w:rFonts w:hint="default" w:ascii="Times New Roman" w:hAnsi="Times New Roman" w:eastAsia="仿宋_GB2312" w:cs="Times New Roman"/>
          <w:color w:val="auto"/>
          <w:kern w:val="0"/>
          <w:szCs w:val="24"/>
        </w:rPr>
        <w:t>列为水土保持监测的重点区域。</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kern w:val="0"/>
          <w:szCs w:val="24"/>
        </w:rPr>
        <w:t>（2）建设单位应根据批复方案做好水土保持设施自主验收工作。</w:t>
      </w:r>
    </w:p>
    <w:p>
      <w:pPr>
        <w:autoSpaceDE w:val="0"/>
        <w:autoSpaceDN w:val="0"/>
        <w:adjustRightInd w:val="0"/>
        <w:ind w:firstLine="199" w:firstLineChars="83"/>
        <w:rPr>
          <w:rFonts w:hint="default" w:ascii="Times New Roman" w:hAnsi="Times New Roman" w:eastAsia="仿宋_GB2312" w:cs="Times New Roman"/>
          <w:color w:val="auto"/>
          <w:kern w:val="0"/>
        </w:rPr>
        <w:sectPr>
          <w:headerReference r:id="rId14" w:type="default"/>
          <w:pgSz w:w="11906" w:h="16838"/>
          <w:pgMar w:top="1440" w:right="1797" w:bottom="1440" w:left="1797" w:header="851" w:footer="992" w:gutter="0"/>
          <w:cols w:space="720" w:num="1"/>
          <w:docGrid w:type="lines" w:linePitch="312" w:charSpace="0"/>
        </w:sectPr>
      </w:pPr>
    </w:p>
    <w:bookmarkEnd w:id="81"/>
    <w:p>
      <w:pPr>
        <w:pStyle w:val="2"/>
        <w:rPr>
          <w:rFonts w:hint="default" w:ascii="Times New Roman" w:hAnsi="Times New Roman" w:cs="Times New Roman"/>
          <w:color w:val="auto"/>
          <w:kern w:val="0"/>
        </w:rPr>
      </w:pPr>
      <w:bookmarkStart w:id="118" w:name="_Toc25123"/>
      <w:r>
        <w:rPr>
          <w:rFonts w:hint="default" w:ascii="Times New Roman" w:hAnsi="Times New Roman" w:cs="Times New Roman"/>
          <w:color w:val="auto"/>
          <w:kern w:val="0"/>
        </w:rPr>
        <w:t>5 水土保持措施</w:t>
      </w:r>
      <w:bookmarkEnd w:id="118"/>
    </w:p>
    <w:p>
      <w:pPr>
        <w:pStyle w:val="3"/>
        <w:suppressAutoHyphens/>
        <w:spacing w:before="163" w:beforeLines="50" w:after="163" w:afterLines="50"/>
        <w:rPr>
          <w:rFonts w:hint="default" w:ascii="Times New Roman" w:hAnsi="Times New Roman" w:cs="Times New Roman"/>
          <w:color w:val="auto"/>
          <w:kern w:val="0"/>
        </w:rPr>
      </w:pPr>
      <w:bookmarkStart w:id="119" w:name="_Toc11124"/>
      <w:r>
        <w:rPr>
          <w:rFonts w:hint="default" w:ascii="Times New Roman" w:hAnsi="Times New Roman" w:cs="Times New Roman"/>
          <w:color w:val="auto"/>
          <w:kern w:val="0"/>
        </w:rPr>
        <w:t>5.1 防治区划分</w:t>
      </w:r>
      <w:bookmarkEnd w:id="119"/>
    </w:p>
    <w:p>
      <w:pPr>
        <w:suppressAutoHyphens/>
        <w:ind w:firstLine="480"/>
        <w:rPr>
          <w:rFonts w:hint="default" w:ascii="Times New Roman" w:hAnsi="Times New Roman" w:eastAsia="仿宋_GB2312" w:cs="Times New Roman"/>
          <w:color w:val="auto"/>
          <w:kern w:val="0"/>
          <w:szCs w:val="24"/>
        </w:rPr>
      </w:pPr>
      <w:bookmarkStart w:id="120" w:name="_Toc497689161"/>
      <w:bookmarkStart w:id="121" w:name="_Toc377303766"/>
      <w:bookmarkStart w:id="122" w:name="_Toc490126447"/>
      <w:bookmarkStart w:id="123" w:name="_Toc491228184"/>
      <w:bookmarkStart w:id="124" w:name="_Toc491228327"/>
      <w:bookmarkStart w:id="125" w:name="_Toc516589554"/>
      <w:bookmarkStart w:id="126" w:name="_Toc376893522"/>
      <w:bookmarkStart w:id="127" w:name="_Toc272609511"/>
      <w:bookmarkStart w:id="128" w:name="_Toc272668374"/>
      <w:bookmarkStart w:id="129" w:name="_Toc490126445"/>
      <w:bookmarkStart w:id="130" w:name="_Toc491228182"/>
      <w:bookmarkStart w:id="131" w:name="_Toc497689159"/>
      <w:bookmarkStart w:id="132" w:name="_Toc491228325"/>
      <w:r>
        <w:rPr>
          <w:rFonts w:hint="default" w:ascii="Times New Roman" w:hAnsi="Times New Roman" w:eastAsia="仿宋_GB2312" w:cs="Times New Roman"/>
          <w:color w:val="auto"/>
          <w:kern w:val="0"/>
          <w:szCs w:val="24"/>
        </w:rPr>
        <w:t>根据“谁开发谁保护，谁造成水土流失谁负责治理”的原则，项目建设单位应负责对工程建设过程中造成的新增水土流失和原有水土流失进行治理。</w:t>
      </w:r>
      <w:bookmarkEnd w:id="120"/>
      <w:bookmarkEnd w:id="121"/>
      <w:bookmarkEnd w:id="122"/>
      <w:bookmarkEnd w:id="123"/>
      <w:bookmarkEnd w:id="124"/>
      <w:bookmarkEnd w:id="125"/>
      <w:bookmarkEnd w:id="126"/>
      <w:bookmarkStart w:id="133" w:name="_Toc516589552"/>
      <w:r>
        <w:rPr>
          <w:rFonts w:hint="default" w:ascii="Times New Roman" w:hAnsi="Times New Roman" w:eastAsia="仿宋_GB2312" w:cs="Times New Roman"/>
          <w:color w:val="auto"/>
          <w:kern w:val="0"/>
        </w:rPr>
        <w:t>水土流失防治责任范围指项目建设单位依法应承担水土流失防治义务的区域。本项目建设单位应承担的水土流失防治责任范围面积为0.</w:t>
      </w:r>
      <w:r>
        <w:rPr>
          <w:rFonts w:hint="default" w:ascii="Times New Roman" w:hAnsi="Times New Roman" w:eastAsia="仿宋_GB2312" w:cs="Times New Roman"/>
          <w:color w:val="auto"/>
          <w:kern w:val="0"/>
          <w:lang w:val="en-US" w:eastAsia="zh-CN"/>
        </w:rPr>
        <w:t>43</w:t>
      </w:r>
      <w:r>
        <w:rPr>
          <w:rFonts w:hint="default" w:ascii="Times New Roman" w:hAnsi="Times New Roman" w:eastAsia="仿宋_GB2312" w:cs="Times New Roman"/>
          <w:color w:val="auto"/>
          <w:kern w:val="0"/>
        </w:rPr>
        <w:t>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w:t>
      </w:r>
    </w:p>
    <w:bookmarkEnd w:id="127"/>
    <w:bookmarkEnd w:id="128"/>
    <w:bookmarkEnd w:id="129"/>
    <w:bookmarkEnd w:id="130"/>
    <w:bookmarkEnd w:id="131"/>
    <w:bookmarkEnd w:id="132"/>
    <w:bookmarkEnd w:id="133"/>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按《生产建设项目水土保持技术标准》（GB50433-2018）的规定，应根据实地调查（勘测）结果，在确定的防治责任范围内，依据工程布局、施工扰动特点、建设时序、地貌特征、自然竖向、水土流失影响等进行分区。</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分区的划定遵循以下原则：</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（1）各区之间应具有显著差异性。</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（2）同一区内造成水土流失的因子和防治措施应相近或相似。</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（3）根据项目的繁简程度和项目区自然情况，防治区可划分为一级或多级。</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（4）一级区应具有控制性、整体性、全局性，线型工程应按土壤侵蚀类型、地形地貌、气候类型等因素划分一级区，二级区及其以下分区应结合工程布局、项目组成、占地性质和扰动特点进行逐级分区。</w:t>
      </w:r>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（5）各级分区应层次分明，具有关联性和系统性</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按照防治分区原则和主体工程布局，将水土流失防治分区划分为主体工程区</w:t>
      </w:r>
      <w:r>
        <w:rPr>
          <w:rFonts w:hint="default" w:ascii="Times New Roman" w:hAnsi="Times New Roman" w:eastAsia="仿宋_GB2312" w:cs="Times New Roman"/>
          <w:color w:val="auto"/>
          <w:kern w:val="0"/>
          <w:szCs w:val="24"/>
          <w:lang w:eastAsia="zh-CN"/>
        </w:rPr>
        <w:t>、</w:t>
      </w:r>
      <w:r>
        <w:rPr>
          <w:rFonts w:hint="default" w:ascii="Times New Roman" w:hAnsi="Times New Roman" w:eastAsia="仿宋_GB2312" w:cs="Times New Roman"/>
          <w:color w:val="auto"/>
          <w:kern w:val="0"/>
          <w:szCs w:val="24"/>
          <w:lang w:val="en-US" w:eastAsia="zh-CN"/>
        </w:rPr>
        <w:t>附属设施区2个一级区</w:t>
      </w:r>
      <w:r>
        <w:rPr>
          <w:rFonts w:hint="default" w:ascii="Times New Roman" w:hAnsi="Times New Roman" w:eastAsia="仿宋_GB2312" w:cs="Times New Roman"/>
          <w:color w:val="auto"/>
          <w:kern w:val="0"/>
          <w:szCs w:val="24"/>
        </w:rPr>
        <w:t>。水土流失防治分区情况详见表5-1。</w:t>
      </w:r>
    </w:p>
    <w:p>
      <w:pPr>
        <w:spacing w:line="240" w:lineRule="auto"/>
        <w:ind w:firstLine="422"/>
        <w:jc w:val="center"/>
        <w:rPr>
          <w:rFonts w:hint="default" w:ascii="Times New Roman" w:hAnsi="Times New Roman" w:eastAsia="仿宋_GB2312" w:cs="Times New Roman"/>
          <w:b/>
          <w:color w:val="auto"/>
          <w:sz w:val="21"/>
          <w:szCs w:val="21"/>
          <w:lang w:val="zh-CN"/>
        </w:rPr>
      </w:pPr>
      <w:r>
        <w:rPr>
          <w:rFonts w:hint="default" w:ascii="Times New Roman" w:hAnsi="Times New Roman" w:eastAsia="仿宋_GB2312" w:cs="Times New Roman"/>
          <w:b/>
          <w:color w:val="auto"/>
          <w:sz w:val="21"/>
          <w:szCs w:val="21"/>
          <w:lang w:val="zh-CN"/>
        </w:rPr>
        <w:t>表5-1  水土流失防治分区表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2"/>
        <w:gridCol w:w="1700"/>
        <w:gridCol w:w="55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分区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项目建设区（hm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3275"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涉及范围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327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藏文图书馆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附属设施区</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0.34</w:t>
            </w:r>
          </w:p>
        </w:tc>
        <w:tc>
          <w:tcPr>
            <w:tcW w:w="327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附属设施工程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72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合计</w:t>
            </w:r>
          </w:p>
        </w:tc>
        <w:tc>
          <w:tcPr>
            <w:tcW w:w="997"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43</w:t>
            </w:r>
          </w:p>
        </w:tc>
        <w:tc>
          <w:tcPr>
            <w:tcW w:w="3275"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bl>
    <w:p>
      <w:pPr>
        <w:pStyle w:val="1102"/>
        <w:spacing w:line="240" w:lineRule="auto"/>
        <w:rPr>
          <w:rFonts w:hint="default" w:ascii="Times New Roman" w:hAnsi="Times New Roman" w:cs="Times New Roman"/>
          <w:color w:val="auto"/>
        </w:rPr>
      </w:pPr>
    </w:p>
    <w:p>
      <w:pPr>
        <w:pStyle w:val="3"/>
        <w:suppressAutoHyphens/>
        <w:spacing w:before="163" w:beforeLines="50" w:after="163" w:afterLines="50"/>
        <w:rPr>
          <w:rFonts w:hint="default" w:ascii="Times New Roman" w:hAnsi="Times New Roman" w:cs="Times New Roman"/>
          <w:color w:val="auto"/>
          <w:kern w:val="0"/>
        </w:rPr>
      </w:pPr>
      <w:bookmarkStart w:id="134" w:name="_Toc25222"/>
      <w:bookmarkStart w:id="135" w:name="_Toc425493412"/>
      <w:r>
        <w:rPr>
          <w:rFonts w:hint="default" w:ascii="Times New Roman" w:hAnsi="Times New Roman" w:cs="Times New Roman"/>
          <w:color w:val="auto"/>
          <w:kern w:val="0"/>
        </w:rPr>
        <w:t>5.2措施总体布局</w:t>
      </w:r>
      <w:bookmarkEnd w:id="134"/>
      <w:bookmarkEnd w:id="135"/>
    </w:p>
    <w:p>
      <w:pPr>
        <w:suppressAutoHyphens/>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本项目属点型、建设项目；根据设计资料，主体工程实施的散水暗沟、防雨布遮盖均有较好的水土保持功能；经第3章水土保持分析评价、第4章水土流失调查；主体工程实施的水土保持措施能有效防止项目区水土流失，且项目已完工多年，方案不再新增其他的水保措施。</w:t>
      </w:r>
    </w:p>
    <w:p>
      <w:pPr>
        <w:suppressAutoHyphens/>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表5-2  水土保持措施总体布局表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2"/>
        <w:gridCol w:w="1277"/>
        <w:gridCol w:w="1700"/>
        <w:gridCol w:w="2410"/>
        <w:gridCol w:w="993"/>
        <w:gridCol w:w="9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728"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防治分区</w:t>
            </w:r>
          </w:p>
        </w:tc>
        <w:tc>
          <w:tcPr>
            <w:tcW w:w="74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措施类型</w:t>
            </w:r>
          </w:p>
        </w:tc>
        <w:tc>
          <w:tcPr>
            <w:tcW w:w="99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防治措施</w:t>
            </w:r>
          </w:p>
        </w:tc>
        <w:tc>
          <w:tcPr>
            <w:tcW w:w="1412" w:type="pct"/>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实施部位</w:t>
            </w:r>
          </w:p>
        </w:tc>
        <w:tc>
          <w:tcPr>
            <w:tcW w:w="1113"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restar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主体工程区</w:t>
            </w:r>
          </w:p>
        </w:tc>
        <w:tc>
          <w:tcPr>
            <w:tcW w:w="748"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工程措施</w:t>
            </w:r>
          </w:p>
        </w:tc>
        <w:tc>
          <w:tcPr>
            <w:tcW w:w="996"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散水暗沟</w:t>
            </w:r>
          </w:p>
        </w:tc>
        <w:tc>
          <w:tcPr>
            <w:tcW w:w="1412" w:type="pct"/>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建筑周围</w:t>
            </w:r>
          </w:p>
        </w:tc>
        <w:tc>
          <w:tcPr>
            <w:tcW w:w="582"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主体已有</w:t>
            </w:r>
          </w:p>
        </w:tc>
        <w:tc>
          <w:tcPr>
            <w:tcW w:w="531"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Merge w:val="continue"/>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48"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临时措施</w:t>
            </w:r>
          </w:p>
        </w:tc>
        <w:tc>
          <w:tcPr>
            <w:tcW w:w="996"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1412" w:type="pct"/>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建筑基础挖方</w:t>
            </w:r>
          </w:p>
        </w:tc>
        <w:tc>
          <w:tcPr>
            <w:tcW w:w="582"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主体已有</w:t>
            </w:r>
          </w:p>
        </w:tc>
        <w:tc>
          <w:tcPr>
            <w:tcW w:w="531"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728"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附属设施区</w:t>
            </w:r>
          </w:p>
        </w:tc>
        <w:tc>
          <w:tcPr>
            <w:tcW w:w="748"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临时措施</w:t>
            </w:r>
          </w:p>
        </w:tc>
        <w:tc>
          <w:tcPr>
            <w:tcW w:w="996"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防雨布遮盖</w:t>
            </w:r>
          </w:p>
        </w:tc>
        <w:tc>
          <w:tcPr>
            <w:tcW w:w="1412" w:type="pct"/>
            <w:vAlign w:val="top"/>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rPr>
              <w:t>管线沟槽</w:t>
            </w:r>
          </w:p>
        </w:tc>
        <w:tc>
          <w:tcPr>
            <w:tcW w:w="582"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主体已有</w:t>
            </w:r>
          </w:p>
        </w:tc>
        <w:tc>
          <w:tcPr>
            <w:tcW w:w="531"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已实施</w:t>
            </w:r>
          </w:p>
        </w:tc>
      </w:tr>
    </w:tbl>
    <w:p>
      <w:pPr>
        <w:spacing w:line="240" w:lineRule="auto"/>
        <w:ind w:firstLine="0" w:firstLineChars="0"/>
        <w:jc w:val="center"/>
        <w:rPr>
          <w:rFonts w:hint="default" w:ascii="Times New Roman" w:hAnsi="Times New Roman" w:eastAsia="仿宋_GB2312" w:cs="Times New Roman"/>
          <w:b/>
          <w:color w:val="auto"/>
          <w:sz w:val="21"/>
          <w:szCs w:val="21"/>
        </w:rPr>
      </w:pPr>
    </w:p>
    <w:p>
      <w:pPr>
        <w:spacing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object>
          <v:shape id="_x0000_i1026" o:spt="75" type="#_x0000_t75" style="height:167.1pt;width:415.55pt;" o:ole="t" filled="f" o:preferrelative="t" stroked="f" coordsize="21600,21600">
            <v:path/>
            <v:fill on="f" focussize="0,0"/>
            <v:stroke on="f"/>
            <v:imagedata r:id="rId30" o:title=""/>
            <o:lock v:ext="edit" aspectratio="f"/>
            <w10:wrap type="none"/>
            <w10:anchorlock/>
          </v:shape>
          <o:OLEObject Type="Embed" ProgID="Visio.Drawing.11" ShapeID="_x0000_i1026" DrawAspect="Content" ObjectID="_1468075726" r:id="rId29">
            <o:LockedField>false</o:LockedField>
          </o:OLEObject>
        </w:object>
      </w:r>
    </w:p>
    <w:p>
      <w:pPr>
        <w:spacing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图5.1  水土流失防治体系框图</w:t>
      </w:r>
    </w:p>
    <w:p>
      <w:pPr>
        <w:pStyle w:val="3"/>
        <w:suppressAutoHyphens/>
        <w:spacing w:before="163" w:beforeLines="50" w:after="163" w:afterLines="50"/>
        <w:rPr>
          <w:rFonts w:hint="default" w:ascii="Times New Roman" w:hAnsi="Times New Roman" w:cs="Times New Roman"/>
          <w:color w:val="auto"/>
          <w:kern w:val="0"/>
        </w:rPr>
      </w:pPr>
      <w:bookmarkStart w:id="136" w:name="_Toc16563"/>
      <w:r>
        <w:rPr>
          <w:rFonts w:hint="default" w:ascii="Times New Roman" w:hAnsi="Times New Roman" w:cs="Times New Roman"/>
          <w:color w:val="auto"/>
          <w:kern w:val="0"/>
        </w:rPr>
        <w:t>5.3 分区措施布设</w:t>
      </w:r>
      <w:bookmarkEnd w:id="136"/>
    </w:p>
    <w:p>
      <w:pPr>
        <w:pStyle w:val="4"/>
        <w:suppressAutoHyphens/>
        <w:rPr>
          <w:rFonts w:hint="default" w:ascii="Times New Roman" w:hAnsi="Times New Roman" w:cs="Times New Roman"/>
          <w:color w:val="auto"/>
        </w:rPr>
      </w:pPr>
      <w:r>
        <w:rPr>
          <w:rFonts w:hint="default" w:ascii="Times New Roman" w:hAnsi="Times New Roman" w:cs="Times New Roman"/>
          <w:color w:val="auto"/>
        </w:rPr>
        <w:t>5.3.1主体工程区</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主体工程区已实施的水保措施是散水暗沟，施工期对基坑挖方用防雨布遮盖。</w:t>
      </w:r>
    </w:p>
    <w:p>
      <w:pPr>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（1）工程措施</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*1）散水暗沟（已实施）：</w:t>
      </w:r>
      <w:r>
        <w:rPr>
          <w:rFonts w:hint="default" w:ascii="Times New Roman" w:hAnsi="Times New Roman" w:eastAsia="仿宋_GB2312" w:cs="Times New Roman"/>
          <w:color w:val="auto"/>
          <w:kern w:val="0"/>
        </w:rPr>
        <w:t>据施工图设计，建筑周围设置散水暗沟123.02m（散水暗沟净断面：0.30m宽×0.45m深，采用150mm厚C20混凝土结构</w:t>
      </w:r>
      <w:r>
        <w:rPr>
          <w:rFonts w:hint="default" w:ascii="Times New Roman" w:hAnsi="Times New Roman" w:eastAsia="仿宋_GB2312" w:cs="Times New Roman"/>
          <w:color w:val="auto"/>
        </w:rPr>
        <w:t>，成品盖板）</w:t>
      </w:r>
      <w:r>
        <w:rPr>
          <w:rFonts w:hint="default" w:ascii="Times New Roman" w:hAnsi="Times New Roman" w:eastAsia="仿宋_GB2312" w:cs="Times New Roman"/>
          <w:color w:val="auto"/>
          <w:kern w:val="0"/>
        </w:rPr>
        <w:t>。</w:t>
      </w:r>
    </w:p>
    <w:p>
      <w:pPr>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（2）临时措施</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*1）防雨布遮盖（已实施）：</w:t>
      </w:r>
      <w:r>
        <w:rPr>
          <w:rFonts w:hint="default" w:ascii="Times New Roman" w:hAnsi="Times New Roman" w:eastAsia="仿宋_GB2312" w:cs="Times New Roman"/>
          <w:color w:val="auto"/>
          <w:kern w:val="0"/>
        </w:rPr>
        <w:t>主体在图书馆基础施工期间，为防止基坑挖方造成水土流失，已实施防雨布遮盖措施，需防雨布约500m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w:t>
      </w:r>
    </w:p>
    <w:p>
      <w:pPr>
        <w:ind w:firstLine="480"/>
        <w:rPr>
          <w:rFonts w:hint="default" w:ascii="Times New Roman" w:hAnsi="Times New Roman" w:eastAsia="仿宋_GB2312" w:cs="Times New Roman"/>
          <w:color w:val="auto"/>
          <w:kern w:val="0"/>
        </w:rPr>
      </w:pPr>
    </w:p>
    <w:p>
      <w:pPr>
        <w:ind w:firstLine="480"/>
        <w:rPr>
          <w:rFonts w:hint="default" w:ascii="Times New Roman" w:hAnsi="Times New Roman" w:eastAsia="仿宋_GB2312" w:cs="Times New Roman"/>
          <w:color w:val="auto"/>
          <w:kern w:val="0"/>
        </w:rPr>
      </w:pP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表5-3   主体工程区水土保持措施工程量表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41"/>
        <w:gridCol w:w="1238"/>
        <w:gridCol w:w="1448"/>
        <w:gridCol w:w="894"/>
        <w:gridCol w:w="1068"/>
        <w:gridCol w:w="24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4" w:type="pct"/>
            <w:vMerge w:val="restart"/>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防治分区</w:t>
            </w:r>
          </w:p>
        </w:tc>
        <w:tc>
          <w:tcPr>
            <w:tcW w:w="742" w:type="pct"/>
            <w:vMerge w:val="restar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措施类型</w:t>
            </w:r>
          </w:p>
        </w:tc>
        <w:tc>
          <w:tcPr>
            <w:tcW w:w="868" w:type="pct"/>
            <w:vMerge w:val="restar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措施名称</w:t>
            </w:r>
          </w:p>
        </w:tc>
        <w:tc>
          <w:tcPr>
            <w:tcW w:w="1176" w:type="pct"/>
            <w:gridSpan w:val="2"/>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工程量</w:t>
            </w:r>
          </w:p>
        </w:tc>
        <w:tc>
          <w:tcPr>
            <w:tcW w:w="1470" w:type="pct"/>
            <w:vMerge w:val="restart"/>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4"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742"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868"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单位</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数量</w:t>
            </w:r>
          </w:p>
        </w:tc>
        <w:tc>
          <w:tcPr>
            <w:tcW w:w="1470"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4"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主体工程区</w:t>
            </w: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工程措施</w:t>
            </w:r>
          </w:p>
        </w:tc>
        <w:tc>
          <w:tcPr>
            <w:tcW w:w="868"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散水暗沟</w:t>
            </w: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123.02</w:t>
            </w:r>
          </w:p>
        </w:tc>
        <w:tc>
          <w:tcPr>
            <w:tcW w:w="147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4"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临时措施</w:t>
            </w:r>
          </w:p>
        </w:tc>
        <w:tc>
          <w:tcPr>
            <w:tcW w:w="868"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防雨布遮盖</w:t>
            </w:r>
          </w:p>
        </w:tc>
        <w:tc>
          <w:tcPr>
            <w:tcW w:w="536"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500</w:t>
            </w:r>
          </w:p>
        </w:tc>
        <w:tc>
          <w:tcPr>
            <w:tcW w:w="147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主体已有，已实施</w:t>
            </w:r>
          </w:p>
        </w:tc>
      </w:tr>
    </w:tbl>
    <w:p>
      <w:pPr>
        <w:pStyle w:val="1102"/>
        <w:spacing w:line="240" w:lineRule="auto"/>
        <w:rPr>
          <w:rFonts w:hint="default" w:ascii="Times New Roman" w:hAnsi="Times New Roman" w:cs="Times New Roman"/>
          <w:color w:val="auto"/>
        </w:rPr>
      </w:pP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Ⅰ.雨水暗沟设计流量按下式计算：</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根据《水土保持工程设计规范》（GB51018-2014），采用如下公式进行计算：</w:t>
      </w:r>
    </w:p>
    <w:p>
      <w:pPr>
        <w:ind w:firstLine="480"/>
        <w:jc w:val="center"/>
        <w:rPr>
          <w:rFonts w:hint="default" w:ascii="Times New Roman" w:hAnsi="Times New Roman" w:eastAsia="仿宋_GB2312" w:cs="Times New Roman"/>
          <w:color w:val="auto"/>
          <w:position w:val="-12"/>
        </w:rPr>
      </w:pPr>
      <w:r>
        <w:rPr>
          <w:rFonts w:hint="default" w:ascii="Times New Roman" w:hAnsi="Times New Roman" w:eastAsia="仿宋_GB2312" w:cs="Times New Roman"/>
          <w:color w:val="auto"/>
          <w:position w:val="-12"/>
        </w:rPr>
        <w:drawing>
          <wp:inline distT="0" distB="0" distL="0" distR="0">
            <wp:extent cx="1001395" cy="231775"/>
            <wp:effectExtent l="0" t="0" r="825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01395" cy="231775"/>
                    </a:xfrm>
                    <a:prstGeom prst="rect">
                      <a:avLst/>
                    </a:prstGeom>
                    <a:noFill/>
                    <a:ln>
                      <a:noFill/>
                    </a:ln>
                  </pic:spPr>
                </pic:pic>
              </a:graphicData>
            </a:graphic>
          </wp:inline>
        </w:drawing>
      </w:r>
      <w:r>
        <w:rPr>
          <w:rFonts w:hint="default" w:ascii="Times New Roman" w:hAnsi="Times New Roman" w:eastAsia="仿宋_GB2312" w:cs="Times New Roman"/>
          <w:color w:val="auto"/>
          <w:position w:val="-12"/>
        </w:rPr>
        <w:t xml:space="preserve">   </w:t>
      </w:r>
      <w:r>
        <w:rPr>
          <w:rFonts w:hint="default" w:ascii="Times New Roman" w:hAnsi="Times New Roman" w:eastAsia="仿宋_GB2312" w:cs="Times New Roman"/>
          <w:color w:val="auto"/>
          <w:position w:val="-14"/>
        </w:rPr>
        <w:drawing>
          <wp:inline distT="0" distB="0" distL="0" distR="0">
            <wp:extent cx="850900" cy="243205"/>
            <wp:effectExtent l="0" t="0" r="635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50900" cy="243205"/>
                    </a:xfrm>
                    <a:prstGeom prst="rect">
                      <a:avLst/>
                    </a:prstGeom>
                    <a:noFill/>
                    <a:ln>
                      <a:noFill/>
                    </a:ln>
                  </pic:spPr>
                </pic:pic>
              </a:graphicData>
            </a:graphic>
          </wp:inline>
        </w:drawing>
      </w:r>
    </w:p>
    <w:p>
      <w:pPr>
        <w:ind w:firstLine="840" w:firstLineChars="350"/>
        <w:rPr>
          <w:rFonts w:hint="default" w:ascii="Times New Roman" w:hAnsi="Times New Roman" w:eastAsia="仿宋_GB2312" w:cs="Times New Roman"/>
          <w:color w:val="auto"/>
        </w:rPr>
      </w:pPr>
      <w:r>
        <w:rPr>
          <w:rFonts w:hint="default" w:ascii="Times New Roman" w:hAnsi="Times New Roman" w:eastAsia="仿宋_GB2312" w:cs="Times New Roman"/>
          <w:color w:val="auto"/>
        </w:rPr>
        <w:t>式中：Qm</w:t>
      </w:r>
      <w:r>
        <w:rPr>
          <w:rFonts w:hint="default" w:ascii="Times New Roman" w:hAnsi="Times New Roman" w:cs="Times New Roman"/>
          <w:color w:val="auto"/>
        </w:rPr>
        <w:t>―</w:t>
      </w:r>
      <w:r>
        <w:rPr>
          <w:rFonts w:hint="default" w:ascii="Times New Roman" w:hAnsi="Times New Roman" w:eastAsia="仿宋_GB2312" w:cs="Times New Roman"/>
          <w:color w:val="auto"/>
        </w:rPr>
        <w:t>设计洪峰流量，m</w:t>
      </w:r>
      <w:r>
        <w:rPr>
          <w:rFonts w:hint="default" w:ascii="Times New Roman" w:hAnsi="Times New Roman" w:eastAsia="仿宋_GB2312" w:cs="Times New Roman"/>
          <w:color w:val="auto"/>
          <w:vertAlign w:val="superscript"/>
        </w:rPr>
        <w:t>3</w:t>
      </w:r>
      <w:r>
        <w:rPr>
          <w:rFonts w:hint="default" w:ascii="Times New Roman" w:hAnsi="Times New Roman" w:eastAsia="仿宋_GB2312" w:cs="Times New Roman"/>
          <w:color w:val="auto"/>
        </w:rPr>
        <w:t>/s；</w:t>
      </w:r>
    </w:p>
    <w:p>
      <w:pPr>
        <w:ind w:firstLine="1560" w:firstLineChars="650"/>
        <w:rPr>
          <w:rFonts w:hint="default" w:ascii="Times New Roman" w:hAnsi="Times New Roman" w:eastAsia="仿宋_GB2312" w:cs="Times New Roman"/>
          <w:color w:val="auto"/>
        </w:rPr>
      </w:pPr>
      <w:r>
        <w:rPr>
          <w:rFonts w:hint="default" w:ascii="Times New Roman" w:hAnsi="Times New Roman" w:eastAsia="仿宋_GB2312" w:cs="Times New Roman"/>
          <w:color w:val="auto"/>
        </w:rPr>
        <w:t>q</w:t>
      </w:r>
      <w:r>
        <w:rPr>
          <w:rFonts w:hint="default" w:ascii="Times New Roman" w:hAnsi="Times New Roman" w:cs="Times New Roman"/>
          <w:color w:val="auto"/>
        </w:rPr>
        <w:t>―</w:t>
      </w:r>
      <w:r>
        <w:rPr>
          <w:rFonts w:hint="default" w:ascii="Times New Roman" w:hAnsi="Times New Roman" w:eastAsia="仿宋_GB2312" w:cs="Times New Roman"/>
          <w:color w:val="auto"/>
        </w:rPr>
        <w:t>设计重现期和降雨历时内的平均降雨强度，mm/min；</w:t>
      </w:r>
    </w:p>
    <w:p>
      <w:pPr>
        <w:ind w:left="482" w:leftChars="201"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 xml:space="preserve">     </w:t>
      </w:r>
      <w:r>
        <w:rPr>
          <w:rFonts w:hint="default" w:ascii="Times New Roman" w:hAnsi="Times New Roman" w:eastAsia="仿宋_GB2312" w:cs="Times New Roman"/>
          <w:color w:val="auto"/>
        </w:rPr>
        <w:drawing>
          <wp:inline distT="0" distB="0" distL="0" distR="0">
            <wp:extent cx="139065" cy="1619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39065" cy="161925"/>
                    </a:xfrm>
                    <a:prstGeom prst="rect">
                      <a:avLst/>
                    </a:prstGeom>
                    <a:noFill/>
                    <a:ln>
                      <a:noFill/>
                    </a:ln>
                  </pic:spPr>
                </pic:pic>
              </a:graphicData>
            </a:graphic>
          </wp:inline>
        </w:drawing>
      </w:r>
      <w:r>
        <w:rPr>
          <w:rFonts w:hint="default" w:ascii="Times New Roman" w:hAnsi="Times New Roman" w:cs="Times New Roman"/>
          <w:color w:val="auto"/>
        </w:rPr>
        <w:t>―</w:t>
      </w:r>
      <w:r>
        <w:rPr>
          <w:rFonts w:hint="default" w:ascii="Times New Roman" w:hAnsi="Times New Roman" w:eastAsia="仿宋_GB2312" w:cs="Times New Roman"/>
          <w:color w:val="auto"/>
        </w:rPr>
        <w:t>径流系数，取0.70；</w:t>
      </w:r>
    </w:p>
    <w:p>
      <w:pPr>
        <w:ind w:firstLine="1560" w:firstLineChars="650"/>
        <w:rPr>
          <w:rFonts w:hint="default" w:ascii="Times New Roman" w:hAnsi="Times New Roman" w:eastAsia="仿宋_GB2312" w:cs="Times New Roman"/>
          <w:color w:val="auto"/>
        </w:rPr>
      </w:pPr>
      <w:r>
        <w:rPr>
          <w:rFonts w:hint="default" w:ascii="Times New Roman" w:hAnsi="Times New Roman" w:eastAsia="仿宋_GB2312" w:cs="Times New Roman"/>
          <w:color w:val="auto"/>
        </w:rPr>
        <w:drawing>
          <wp:inline distT="0" distB="0" distL="0" distR="0">
            <wp:extent cx="161925" cy="1619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61925" cy="161925"/>
                    </a:xfrm>
                    <a:prstGeom prst="rect">
                      <a:avLst/>
                    </a:prstGeom>
                    <a:noFill/>
                    <a:ln>
                      <a:noFill/>
                    </a:ln>
                  </pic:spPr>
                </pic:pic>
              </a:graphicData>
            </a:graphic>
          </wp:inline>
        </w:drawing>
      </w:r>
      <w:r>
        <w:rPr>
          <w:rFonts w:hint="default" w:ascii="Times New Roman" w:hAnsi="Times New Roman" w:cs="Times New Roman"/>
          <w:color w:val="auto"/>
        </w:rPr>
        <w:t>―</w:t>
      </w:r>
      <w:r>
        <w:rPr>
          <w:rFonts w:hint="default" w:ascii="Times New Roman" w:hAnsi="Times New Roman" w:eastAsia="仿宋_GB2312" w:cs="Times New Roman"/>
          <w:color w:val="auto"/>
        </w:rPr>
        <w:t>汇水面积，km</w:t>
      </w:r>
      <w:r>
        <w:rPr>
          <w:rFonts w:hint="default" w:ascii="Times New Roman" w:hAnsi="Times New Roman" w:eastAsia="仿宋_GB2312" w:cs="Times New Roman"/>
          <w:color w:val="auto"/>
          <w:vertAlign w:val="superscript"/>
        </w:rPr>
        <w:t>2</w:t>
      </w:r>
      <w:r>
        <w:rPr>
          <w:rFonts w:hint="default" w:ascii="Times New Roman" w:hAnsi="Times New Roman" w:eastAsia="仿宋_GB2312" w:cs="Times New Roman"/>
          <w:color w:val="auto"/>
        </w:rPr>
        <w:t>；</w:t>
      </w:r>
    </w:p>
    <w:p>
      <w:pPr>
        <w:ind w:left="482" w:leftChars="201"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q</w:t>
      </w:r>
      <w:r>
        <w:rPr>
          <w:rFonts w:hint="default" w:ascii="Times New Roman" w:hAnsi="Times New Roman" w:eastAsia="仿宋_GB2312" w:cs="Times New Roman"/>
          <w:color w:val="auto"/>
          <w:vertAlign w:val="subscript"/>
        </w:rPr>
        <w:t>5,10</w:t>
      </w:r>
      <w:r>
        <w:rPr>
          <w:rFonts w:hint="default" w:ascii="Times New Roman" w:hAnsi="Times New Roman" w:cs="Times New Roman"/>
          <w:color w:val="auto"/>
        </w:rPr>
        <w:t>―</w:t>
      </w:r>
      <w:r>
        <w:rPr>
          <w:rFonts w:hint="default" w:ascii="Times New Roman" w:hAnsi="Times New Roman" w:eastAsia="仿宋_GB2312" w:cs="Times New Roman"/>
          <w:color w:val="auto"/>
        </w:rPr>
        <w:t>5年重现期和10分钟降雨历时的标准降雨强度，mm/min，根据《水土保持工程设计规范》（GB51018-2014）计算得项目区5年重现期10分钟平均降雨强度为2.0mm/min。</w:t>
      </w:r>
    </w:p>
    <w:p>
      <w:pPr>
        <w:ind w:left="482" w:leftChars="201"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C</w:t>
      </w:r>
      <w:r>
        <w:rPr>
          <w:rFonts w:hint="default" w:ascii="Times New Roman" w:hAnsi="Times New Roman" w:eastAsia="仿宋_GB2312" w:cs="Times New Roman"/>
          <w:color w:val="auto"/>
          <w:vertAlign w:val="subscript"/>
        </w:rPr>
        <w:t>p</w:t>
      </w:r>
      <w:r>
        <w:rPr>
          <w:rFonts w:hint="default" w:ascii="Times New Roman" w:hAnsi="Times New Roman" w:cs="Times New Roman"/>
          <w:color w:val="auto"/>
        </w:rPr>
        <w:t>―</w:t>
      </w:r>
      <w:r>
        <w:rPr>
          <w:rFonts w:hint="default" w:ascii="Times New Roman" w:hAnsi="Times New Roman" w:eastAsia="仿宋_GB2312" w:cs="Times New Roman"/>
          <w:color w:val="auto"/>
        </w:rPr>
        <w:t>重现期转换系数，本项目取1.22；</w:t>
      </w:r>
    </w:p>
    <w:p>
      <w:pPr>
        <w:ind w:left="482" w:leftChars="201"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C</w:t>
      </w:r>
      <w:r>
        <w:rPr>
          <w:rFonts w:hint="default" w:ascii="Times New Roman" w:hAnsi="Times New Roman" w:eastAsia="仿宋_GB2312" w:cs="Times New Roman"/>
          <w:color w:val="auto"/>
          <w:vertAlign w:val="subscript"/>
        </w:rPr>
        <w:t>t</w:t>
      </w:r>
      <w:r>
        <w:rPr>
          <w:rFonts w:hint="default" w:ascii="Times New Roman" w:hAnsi="Times New Roman" w:cs="Times New Roman"/>
          <w:color w:val="auto"/>
        </w:rPr>
        <w:t>―</w:t>
      </w:r>
      <w:r>
        <w:rPr>
          <w:rFonts w:hint="default" w:ascii="Times New Roman" w:hAnsi="Times New Roman" w:eastAsia="仿宋_GB2312" w:cs="Times New Roman"/>
          <w:color w:val="auto"/>
        </w:rPr>
        <w:t>降雨历时转换系数，降雨历时取汇流时间，汇流历时（t）按下式进行计算；</w:t>
      </w:r>
      <w:r>
        <w:rPr>
          <w:rFonts w:hint="default" w:ascii="Times New Roman" w:hAnsi="Times New Roman" w:eastAsia="仿宋_GB2312" w:cs="Times New Roman"/>
          <w:color w:val="auto"/>
          <w:position w:val="-10"/>
        </w:rPr>
        <w:drawing>
          <wp:inline distT="0" distB="0" distL="0" distR="0">
            <wp:extent cx="596265" cy="21399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6265" cy="213995"/>
                    </a:xfrm>
                    <a:prstGeom prst="rect">
                      <a:avLst/>
                    </a:prstGeom>
                    <a:noFill/>
                    <a:ln>
                      <a:noFill/>
                    </a:ln>
                  </pic:spPr>
                </pic:pic>
              </a:graphicData>
            </a:graphic>
          </wp:inline>
        </w:drawing>
      </w:r>
    </w:p>
    <w:p>
      <w:pPr>
        <w:ind w:firstLine="720" w:firstLineChars="3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position w:val="-36"/>
        </w:rPr>
        <w:drawing>
          <wp:inline distT="0" distB="0" distL="0" distR="0">
            <wp:extent cx="1123315" cy="487680"/>
            <wp:effectExtent l="0" t="0" r="698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123315" cy="487680"/>
                    </a:xfrm>
                    <a:prstGeom prst="rect">
                      <a:avLst/>
                    </a:prstGeom>
                    <a:noFill/>
                    <a:ln>
                      <a:noFill/>
                    </a:ln>
                  </pic:spPr>
                </pic:pic>
              </a:graphicData>
            </a:graphic>
          </wp:inline>
        </w:drawing>
      </w:r>
    </w:p>
    <w:p>
      <w:pPr>
        <w:ind w:firstLine="199" w:firstLineChars="83"/>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t</w:t>
      </w:r>
      <w:r>
        <w:rPr>
          <w:rFonts w:hint="default" w:ascii="Times New Roman" w:hAnsi="Times New Roman" w:eastAsia="仿宋_GB2312" w:cs="Times New Roman"/>
          <w:color w:val="auto"/>
          <w:vertAlign w:val="subscript"/>
        </w:rPr>
        <w:t>1</w:t>
      </w:r>
      <w:r>
        <w:rPr>
          <w:rFonts w:hint="default" w:ascii="Times New Roman" w:hAnsi="Times New Roman" w:cs="Times New Roman"/>
          <w:color w:val="auto"/>
        </w:rPr>
        <w:t>―</w:t>
      </w:r>
      <w:r>
        <w:rPr>
          <w:rFonts w:hint="default" w:ascii="Times New Roman" w:hAnsi="Times New Roman" w:eastAsia="仿宋_GB2312" w:cs="Times New Roman"/>
          <w:color w:val="auto"/>
        </w:rPr>
        <w:t>坡面汇流历时（min）；</w:t>
      </w:r>
    </w:p>
    <w:p>
      <w:pPr>
        <w:ind w:firstLine="199" w:firstLineChars="83"/>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Ls</w:t>
      </w:r>
      <w:r>
        <w:rPr>
          <w:rFonts w:hint="default" w:ascii="Times New Roman" w:hAnsi="Times New Roman" w:cs="Times New Roman"/>
          <w:color w:val="auto"/>
        </w:rPr>
        <w:t>―</w:t>
      </w:r>
      <w:r>
        <w:rPr>
          <w:rFonts w:hint="default" w:ascii="Times New Roman" w:hAnsi="Times New Roman" w:eastAsia="仿宋_GB2312" w:cs="Times New Roman"/>
          <w:color w:val="auto"/>
        </w:rPr>
        <w:t>坡面流的长度（m）；</w:t>
      </w:r>
    </w:p>
    <w:p>
      <w:pPr>
        <w:ind w:firstLine="199" w:firstLineChars="83"/>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is</w:t>
      </w:r>
      <w:r>
        <w:rPr>
          <w:rFonts w:hint="default" w:ascii="Times New Roman" w:hAnsi="Times New Roman" w:cs="Times New Roman"/>
          <w:color w:val="auto"/>
        </w:rPr>
        <w:t>―</w:t>
      </w:r>
      <w:r>
        <w:rPr>
          <w:rFonts w:hint="default" w:ascii="Times New Roman" w:hAnsi="Times New Roman" w:eastAsia="仿宋_GB2312" w:cs="Times New Roman"/>
          <w:color w:val="auto"/>
        </w:rPr>
        <w:t>坡面流的坡降，以小数计；</w:t>
      </w:r>
    </w:p>
    <w:p>
      <w:pPr>
        <w:ind w:firstLine="199" w:firstLineChars="83"/>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m</w:t>
      </w:r>
      <w:r>
        <w:rPr>
          <w:rFonts w:hint="default" w:ascii="Times New Roman" w:hAnsi="Times New Roman" w:eastAsia="仿宋_GB2312" w:cs="Times New Roman"/>
          <w:color w:val="auto"/>
          <w:vertAlign w:val="subscript"/>
        </w:rPr>
        <w:t>1</w:t>
      </w:r>
      <w:r>
        <w:rPr>
          <w:rFonts w:hint="default" w:ascii="Times New Roman" w:hAnsi="Times New Roman" w:cs="Times New Roman"/>
          <w:color w:val="auto"/>
        </w:rPr>
        <w:t>―</w:t>
      </w:r>
      <w:r>
        <w:rPr>
          <w:rFonts w:hint="default" w:ascii="Times New Roman" w:hAnsi="Times New Roman" w:eastAsia="仿宋_GB2312" w:cs="Times New Roman"/>
          <w:color w:val="auto"/>
        </w:rPr>
        <w:t>地面粗度系数；</w:t>
      </w:r>
    </w:p>
    <w:p>
      <w:pPr>
        <w:ind w:firstLine="2520" w:firstLineChars="105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position w:val="-32"/>
        </w:rPr>
        <w:drawing>
          <wp:inline distT="0" distB="0" distL="0" distR="0">
            <wp:extent cx="792480" cy="405765"/>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92621" cy="405977"/>
                    </a:xfrm>
                    <a:prstGeom prst="rect">
                      <a:avLst/>
                    </a:prstGeom>
                    <a:noFill/>
                    <a:ln>
                      <a:noFill/>
                    </a:ln>
                  </pic:spPr>
                </pic:pic>
              </a:graphicData>
            </a:graphic>
          </wp:inline>
        </w:drawing>
      </w:r>
      <w:r>
        <w:rPr>
          <w:rFonts w:hint="default" w:ascii="Times New Roman" w:hAnsi="Times New Roman" w:eastAsia="仿宋_GB2312" w:cs="Times New Roman"/>
          <w:color w:val="auto"/>
          <w:position w:val="-12"/>
        </w:rPr>
        <w:t xml:space="preserve">         </w:t>
      </w:r>
      <w:r>
        <w:rPr>
          <w:rFonts w:hint="default" w:ascii="Times New Roman" w:hAnsi="Times New Roman" w:eastAsia="仿宋_GB2312" w:cs="Times New Roman"/>
          <w:color w:val="auto"/>
          <w:position w:val="-12"/>
        </w:rPr>
        <w:drawing>
          <wp:inline distT="0" distB="0" distL="0" distR="0">
            <wp:extent cx="641985" cy="239395"/>
            <wp:effectExtent l="0" t="0" r="571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2114" cy="239523"/>
                    </a:xfrm>
                    <a:prstGeom prst="rect">
                      <a:avLst/>
                    </a:prstGeom>
                    <a:noFill/>
                    <a:ln>
                      <a:noFill/>
                    </a:ln>
                  </pic:spPr>
                </pic:pic>
              </a:graphicData>
            </a:graphic>
          </wp:inline>
        </w:drawing>
      </w:r>
    </w:p>
    <w:p>
      <w:pPr>
        <w:ind w:firstLine="199" w:firstLineChars="83"/>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t</w:t>
      </w:r>
      <w:r>
        <w:rPr>
          <w:rFonts w:hint="default" w:ascii="Times New Roman" w:hAnsi="Times New Roman" w:eastAsia="仿宋_GB2312" w:cs="Times New Roman"/>
          <w:color w:val="auto"/>
          <w:vertAlign w:val="subscript"/>
        </w:rPr>
        <w:t>2</w:t>
      </w:r>
      <w:r>
        <w:rPr>
          <w:rFonts w:hint="default" w:ascii="Times New Roman" w:hAnsi="Times New Roman" w:cs="Times New Roman"/>
          <w:color w:val="auto"/>
        </w:rPr>
        <w:t>―</w:t>
      </w:r>
      <w:r>
        <w:rPr>
          <w:rFonts w:hint="default" w:ascii="Times New Roman" w:hAnsi="Times New Roman" w:eastAsia="仿宋_GB2312" w:cs="Times New Roman"/>
          <w:color w:val="auto"/>
        </w:rPr>
        <w:t>沟内汇流历时（min）；</w:t>
      </w:r>
    </w:p>
    <w:p>
      <w:pPr>
        <w:ind w:firstLine="199" w:firstLineChars="83"/>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n、i</w:t>
      </w:r>
      <w:r>
        <w:rPr>
          <w:rFonts w:hint="default" w:ascii="Times New Roman" w:hAnsi="Times New Roman" w:cs="Times New Roman"/>
          <w:color w:val="auto"/>
        </w:rPr>
        <w:t>―</w:t>
      </w:r>
      <w:r>
        <w:rPr>
          <w:rFonts w:hint="default" w:ascii="Times New Roman" w:hAnsi="Times New Roman" w:eastAsia="仿宋_GB2312" w:cs="Times New Roman"/>
          <w:color w:val="auto"/>
        </w:rPr>
        <w:t>分段数和分段序号；</w:t>
      </w:r>
    </w:p>
    <w:p>
      <w:pPr>
        <w:ind w:firstLine="199" w:firstLineChars="83"/>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l</w:t>
      </w:r>
      <w:r>
        <w:rPr>
          <w:rFonts w:hint="default" w:ascii="Times New Roman" w:hAnsi="Times New Roman" w:eastAsia="仿宋_GB2312" w:cs="Times New Roman"/>
          <w:color w:val="auto"/>
          <w:vertAlign w:val="subscript"/>
        </w:rPr>
        <w:t>i</w:t>
      </w:r>
      <w:r>
        <w:rPr>
          <w:rFonts w:hint="default" w:ascii="Times New Roman" w:hAnsi="Times New Roman" w:cs="Times New Roman"/>
          <w:color w:val="auto"/>
        </w:rPr>
        <w:t>―</w:t>
      </w:r>
      <w:r>
        <w:rPr>
          <w:rFonts w:hint="default" w:ascii="Times New Roman" w:hAnsi="Times New Roman" w:eastAsia="仿宋_GB2312" w:cs="Times New Roman"/>
          <w:color w:val="auto"/>
        </w:rPr>
        <w:t>第i段长度（m）；</w:t>
      </w:r>
    </w:p>
    <w:p>
      <w:pPr>
        <w:ind w:firstLine="199" w:firstLineChars="83"/>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v</w:t>
      </w:r>
      <w:r>
        <w:rPr>
          <w:rFonts w:hint="default" w:ascii="Times New Roman" w:hAnsi="Times New Roman" w:eastAsia="仿宋_GB2312" w:cs="Times New Roman"/>
          <w:color w:val="auto"/>
          <w:vertAlign w:val="subscript"/>
        </w:rPr>
        <w:t>i</w:t>
      </w:r>
      <w:r>
        <w:rPr>
          <w:rFonts w:hint="default" w:ascii="Times New Roman" w:hAnsi="Times New Roman" w:cs="Times New Roman"/>
          <w:color w:val="auto"/>
        </w:rPr>
        <w:t>―</w:t>
      </w:r>
      <w:r>
        <w:rPr>
          <w:rFonts w:hint="default" w:ascii="Times New Roman" w:hAnsi="Times New Roman" w:eastAsia="仿宋_GB2312" w:cs="Times New Roman"/>
          <w:color w:val="auto"/>
        </w:rPr>
        <w:t>第i段平均流速（m/s）；</w:t>
      </w:r>
    </w:p>
    <w:p>
      <w:pPr>
        <w:ind w:firstLine="199" w:firstLineChars="83"/>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ig</w:t>
      </w:r>
      <w:r>
        <w:rPr>
          <w:rFonts w:hint="default" w:ascii="Times New Roman" w:hAnsi="Times New Roman" w:cs="Times New Roman"/>
          <w:color w:val="auto"/>
        </w:rPr>
        <w:t>―</w:t>
      </w:r>
      <w:r>
        <w:rPr>
          <w:rFonts w:hint="default" w:ascii="Times New Roman" w:hAnsi="Times New Roman" w:eastAsia="仿宋_GB2312" w:cs="Times New Roman"/>
          <w:color w:val="auto"/>
        </w:rPr>
        <w:t>第i段平均坡度，以小数计；经计算项目排水沟汇流历时约5分钟，查表降雨历时转换系数（Ct）取1.25。洪峰流量计算结果详见表5-4。</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表5-4   设计流量计算成果表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27"/>
        <w:gridCol w:w="1648"/>
        <w:gridCol w:w="1235"/>
        <w:gridCol w:w="1235"/>
        <w:gridCol w:w="1201"/>
        <w:gridCol w:w="872"/>
        <w:gridCol w:w="13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03" w:type="pct"/>
            <w:shd w:val="clear" w:color="auto" w:fill="auto"/>
            <w:vAlign w:val="center"/>
          </w:tcPr>
          <w:p>
            <w:pPr>
              <w:widowControl/>
              <w:spacing w:line="240" w:lineRule="auto"/>
              <w:ind w:right="-72" w:rightChars="-3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汇水面积（km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966" w:type="pct"/>
            <w:shd w:val="clear" w:color="auto" w:fill="auto"/>
            <w:vAlign w:val="center"/>
          </w:tcPr>
          <w:p>
            <w:pPr>
              <w:widowControl/>
              <w:spacing w:line="240" w:lineRule="auto"/>
              <w:ind w:right="-72" w:rightChars="-3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w:t>
            </w:r>
            <w:r>
              <w:rPr>
                <w:rFonts w:hint="default" w:ascii="Times New Roman" w:hAnsi="Times New Roman" w:eastAsia="仿宋_GB2312" w:cs="Times New Roman"/>
                <w:color w:val="auto"/>
                <w:kern w:val="0"/>
                <w:sz w:val="18"/>
                <w:szCs w:val="18"/>
                <w:vertAlign w:val="subscript"/>
              </w:rPr>
              <w:t>5,10</w:t>
            </w:r>
            <w:r>
              <w:rPr>
                <w:rFonts w:hint="default" w:ascii="Times New Roman" w:hAnsi="Times New Roman" w:eastAsia="仿宋_GB2312" w:cs="Times New Roman"/>
                <w:color w:val="auto"/>
                <w:kern w:val="0"/>
                <w:sz w:val="18"/>
                <w:szCs w:val="18"/>
              </w:rPr>
              <w:t>标准降雨强度（mm/min）</w:t>
            </w:r>
          </w:p>
        </w:tc>
        <w:tc>
          <w:tcPr>
            <w:tcW w:w="724" w:type="pct"/>
            <w:shd w:val="clear" w:color="auto" w:fill="auto"/>
            <w:vAlign w:val="center"/>
          </w:tcPr>
          <w:p>
            <w:pPr>
              <w:widowControl/>
              <w:spacing w:line="240" w:lineRule="auto"/>
              <w:ind w:right="-72" w:rightChars="-3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C</w:t>
            </w:r>
            <w:r>
              <w:rPr>
                <w:rFonts w:hint="default" w:ascii="Times New Roman" w:hAnsi="Times New Roman" w:eastAsia="仿宋_GB2312" w:cs="Times New Roman"/>
                <w:color w:val="auto"/>
                <w:kern w:val="0"/>
                <w:sz w:val="18"/>
                <w:szCs w:val="18"/>
                <w:vertAlign w:val="subscript"/>
              </w:rPr>
              <w:t>p</w:t>
            </w:r>
            <w:r>
              <w:rPr>
                <w:rFonts w:hint="default" w:ascii="Times New Roman" w:hAnsi="Times New Roman" w:eastAsia="仿宋_GB2312" w:cs="Times New Roman"/>
                <w:color w:val="auto"/>
                <w:kern w:val="0"/>
                <w:sz w:val="18"/>
                <w:szCs w:val="18"/>
              </w:rPr>
              <w:t>重现期转换系数</w:t>
            </w:r>
          </w:p>
        </w:tc>
        <w:tc>
          <w:tcPr>
            <w:tcW w:w="724" w:type="pct"/>
            <w:shd w:val="clear" w:color="auto" w:fill="auto"/>
            <w:vAlign w:val="center"/>
          </w:tcPr>
          <w:p>
            <w:pPr>
              <w:widowControl/>
              <w:spacing w:line="240" w:lineRule="auto"/>
              <w:ind w:right="-72" w:rightChars="-3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C</w:t>
            </w:r>
            <w:r>
              <w:rPr>
                <w:rFonts w:hint="default" w:ascii="Times New Roman" w:hAnsi="Times New Roman" w:eastAsia="仿宋_GB2312" w:cs="Times New Roman"/>
                <w:color w:val="auto"/>
                <w:kern w:val="0"/>
                <w:sz w:val="18"/>
                <w:szCs w:val="18"/>
                <w:vertAlign w:val="subscript"/>
              </w:rPr>
              <w:t>t</w:t>
            </w:r>
            <w:r>
              <w:rPr>
                <w:rFonts w:hint="default" w:ascii="Times New Roman" w:hAnsi="Times New Roman" w:eastAsia="仿宋_GB2312" w:cs="Times New Roman"/>
                <w:color w:val="auto"/>
                <w:kern w:val="0"/>
                <w:sz w:val="18"/>
                <w:szCs w:val="18"/>
              </w:rPr>
              <w:t>降雨历时转换系数</w:t>
            </w:r>
          </w:p>
        </w:tc>
        <w:tc>
          <w:tcPr>
            <w:tcW w:w="704" w:type="pct"/>
          </w:tcPr>
          <w:p>
            <w:pPr>
              <w:widowControl/>
              <w:spacing w:line="240" w:lineRule="auto"/>
              <w:ind w:left="-72" w:leftChars="-30" w:right="-72" w:rightChars="-3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q平均降雨强度（mm/min）</w:t>
            </w:r>
          </w:p>
        </w:tc>
        <w:tc>
          <w:tcPr>
            <w:tcW w:w="511" w:type="pct"/>
            <w:shd w:val="clear" w:color="auto" w:fill="auto"/>
            <w:vAlign w:val="center"/>
          </w:tcPr>
          <w:p>
            <w:pPr>
              <w:widowControl/>
              <w:spacing w:line="240" w:lineRule="auto"/>
              <w:ind w:left="-72" w:leftChars="-30" w:right="-72" w:rightChars="-3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径流系数</w:t>
            </w:r>
          </w:p>
        </w:tc>
        <w:tc>
          <w:tcPr>
            <w:tcW w:w="769" w:type="pct"/>
            <w:shd w:val="clear" w:color="auto" w:fill="auto"/>
            <w:vAlign w:val="center"/>
          </w:tcPr>
          <w:p>
            <w:pPr>
              <w:widowControl/>
              <w:spacing w:line="240" w:lineRule="auto"/>
              <w:ind w:right="-72" w:rightChars="-30"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坡面洪水流量</w:t>
            </w:r>
            <w:r>
              <w:rPr>
                <w:rFonts w:hint="default" w:ascii="Times New Roman" w:hAnsi="Times New Roman" w:eastAsia="仿宋_GB2312" w:cs="Times New Roman"/>
                <w:i/>
                <w:color w:val="auto"/>
                <w:kern w:val="0"/>
                <w:sz w:val="18"/>
                <w:szCs w:val="18"/>
              </w:rPr>
              <w:t>Q</w:t>
            </w:r>
            <w:r>
              <w:rPr>
                <w:rFonts w:hint="default" w:ascii="Times New Roman" w:hAnsi="Times New Roman" w:eastAsia="仿宋_GB2312" w:cs="Times New Roman"/>
                <w:color w:val="auto"/>
                <w:kern w:val="0"/>
                <w:sz w:val="18"/>
                <w:szCs w:val="18"/>
                <w:vertAlign w:val="subscript"/>
              </w:rPr>
              <w:t>m</w:t>
            </w:r>
            <w:r>
              <w:rPr>
                <w:rFonts w:hint="default" w:ascii="Times New Roman" w:hAnsi="Times New Roman" w:eastAsia="仿宋_GB2312" w:cs="Times New Roman"/>
                <w:color w:val="auto"/>
                <w:kern w:val="0"/>
                <w:sz w:val="18"/>
                <w:szCs w:val="18"/>
              </w:rPr>
              <w:t>（m</w:t>
            </w:r>
            <w:r>
              <w:rPr>
                <w:rFonts w:hint="default" w:ascii="Times New Roman" w:hAnsi="Times New Roman" w:eastAsia="仿宋_GB2312" w:cs="Times New Roman"/>
                <w:color w:val="auto"/>
                <w:kern w:val="0"/>
                <w:sz w:val="18"/>
                <w:szCs w:val="18"/>
                <w:vertAlign w:val="superscript"/>
              </w:rPr>
              <w:t>3</w:t>
            </w:r>
            <w:r>
              <w:rPr>
                <w:rFonts w:hint="default" w:ascii="Times New Roman" w:hAnsi="Times New Roman" w:eastAsia="仿宋_GB2312" w:cs="Times New Roman"/>
                <w:color w:val="auto"/>
                <w:kern w:val="0"/>
                <w:sz w:val="18"/>
                <w:szCs w:val="18"/>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0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0.0009</w:t>
            </w:r>
          </w:p>
        </w:tc>
        <w:tc>
          <w:tcPr>
            <w:tcW w:w="96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w:t>
            </w:r>
          </w:p>
        </w:tc>
        <w:tc>
          <w:tcPr>
            <w:tcW w:w="72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1.22</w:t>
            </w:r>
          </w:p>
        </w:tc>
        <w:tc>
          <w:tcPr>
            <w:tcW w:w="72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1.0</w:t>
            </w:r>
          </w:p>
        </w:tc>
        <w:tc>
          <w:tcPr>
            <w:tcW w:w="704" w:type="pct"/>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2.44</w:t>
            </w:r>
          </w:p>
        </w:tc>
        <w:tc>
          <w:tcPr>
            <w:tcW w:w="51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0.70</w:t>
            </w:r>
          </w:p>
        </w:tc>
        <w:tc>
          <w:tcPr>
            <w:tcW w:w="76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0.025</w:t>
            </w:r>
          </w:p>
        </w:tc>
      </w:tr>
    </w:tbl>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Ⅱ.排水沟过水能力校核：</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采用明渠均匀流公式计算，排水断面</w:t>
      </w:r>
      <w:r>
        <w:rPr>
          <w:rFonts w:hint="default" w:ascii="Times New Roman" w:hAnsi="Times New Roman" w:cs="Times New Roman"/>
          <w:color w:val="auto"/>
          <w:kern w:val="0"/>
        </w:rPr>
        <w:t>0.30m（宽）×0.45m（深）</w:t>
      </w:r>
      <w:r>
        <w:rPr>
          <w:rFonts w:hint="default" w:ascii="Times New Roman" w:hAnsi="Times New Roman" w:eastAsia="仿宋_GB2312" w:cs="Times New Roman"/>
          <w:color w:val="auto"/>
        </w:rPr>
        <w:t>：</w:t>
      </w:r>
    </w:p>
    <w:p>
      <w:pPr>
        <w:ind w:firstLine="480"/>
        <w:jc w:val="center"/>
        <w:rPr>
          <w:rFonts w:hint="default" w:ascii="Times New Roman" w:hAnsi="Times New Roman" w:eastAsia="仿宋_GB2312" w:cs="Times New Roman"/>
          <w:color w:val="auto"/>
          <w:spacing w:val="6"/>
        </w:rPr>
      </w:pPr>
      <w:r>
        <w:rPr>
          <w:rFonts w:hint="default" w:ascii="Times New Roman" w:hAnsi="Times New Roman" w:eastAsia="仿宋_GB2312" w:cs="Times New Roman"/>
          <w:color w:val="auto"/>
          <w:spacing w:val="6"/>
        </w:rPr>
        <w:object>
          <v:shape id="_x0000_i1027" o:spt="75" type="#_x0000_t75" style="height:16.65pt;width:57pt;" o:ole="t" filled="f" o:preferrelative="t" stroked="f" coordsize="21600,21600">
            <v:path/>
            <v:fill on="f" focussize="0,0"/>
            <v:stroke on="f"/>
            <v:imagedata r:id="rId39" o:title=""/>
            <o:lock v:ext="edit" aspectratio="t"/>
            <w10:wrap type="none"/>
            <w10:anchorlock/>
          </v:shape>
          <o:OLEObject Type="Embed" ProgID="Equation.DSMT4" ShapeID="_x0000_i1027" DrawAspect="Content" ObjectID="_1468075727">
            <o:LockedField>false</o:LockedField>
          </o:OLEObject>
        </w:object>
      </w:r>
    </w:p>
    <w:p>
      <w:pPr>
        <w:ind w:firstLine="504"/>
        <w:rPr>
          <w:rFonts w:hint="default" w:ascii="Times New Roman" w:hAnsi="Times New Roman" w:eastAsia="仿宋_GB2312" w:cs="Times New Roman"/>
          <w:color w:val="auto"/>
          <w:spacing w:val="6"/>
        </w:rPr>
      </w:pPr>
      <w:r>
        <w:rPr>
          <w:rFonts w:hint="default" w:ascii="Times New Roman" w:hAnsi="Times New Roman" w:eastAsia="仿宋_GB2312" w:cs="Times New Roman"/>
          <w:color w:val="auto"/>
          <w:spacing w:val="6"/>
        </w:rPr>
        <w:t>式中：</w:t>
      </w:r>
      <w:r>
        <w:rPr>
          <w:rFonts w:hint="default" w:ascii="Times New Roman" w:hAnsi="Times New Roman" w:eastAsia="仿宋_GB2312" w:cs="Times New Roman"/>
          <w:color w:val="auto"/>
          <w:spacing w:val="6"/>
        </w:rPr>
        <w:object>
          <v:shape id="_x0000_i1028" o:spt="75" type="#_x0000_t75" style="height:16.05pt;width:12.2pt;" o:ole="t" filled="f" o:preferrelative="t" stroked="f" coordsize="21600,21600">
            <v:path/>
            <v:fill on="f" focussize="0,0"/>
            <v:stroke on="f" joinstyle="miter"/>
            <v:imagedata r:id="rId41" o:title=""/>
            <o:lock v:ext="edit" aspectratio="t"/>
            <w10:wrap type="none"/>
            <w10:anchorlock/>
          </v:shape>
          <o:OLEObject Type="Embed" ProgID="Equation.3" ShapeID="_x0000_i1028" DrawAspect="Content" ObjectID="_1468075728" r:id="rId40">
            <o:LockedField>false</o:LockedField>
          </o:OLEObject>
        </w:object>
      </w:r>
      <w:r>
        <w:rPr>
          <w:rFonts w:hint="default" w:ascii="Times New Roman" w:hAnsi="Times New Roman" w:eastAsia="仿宋_GB2312" w:cs="Times New Roman"/>
          <w:color w:val="auto"/>
          <w:spacing w:val="6"/>
        </w:rPr>
        <w:t>－排水流量，m</w:t>
      </w:r>
      <w:r>
        <w:rPr>
          <w:rFonts w:hint="default" w:ascii="Times New Roman" w:hAnsi="Times New Roman" w:cs="Times New Roman"/>
          <w:color w:val="auto"/>
          <w:spacing w:val="6"/>
        </w:rPr>
        <w:t>³</w:t>
      </w:r>
      <w:r>
        <w:rPr>
          <w:rFonts w:hint="default" w:ascii="Times New Roman" w:hAnsi="Times New Roman" w:eastAsia="仿宋_GB2312" w:cs="Times New Roman"/>
          <w:color w:val="auto"/>
          <w:spacing w:val="6"/>
        </w:rPr>
        <w:t xml:space="preserve">/s； </w:t>
      </w:r>
    </w:p>
    <w:p>
      <w:pPr>
        <w:ind w:firstLine="504"/>
        <w:rPr>
          <w:rFonts w:hint="default" w:ascii="Times New Roman" w:hAnsi="Times New Roman" w:eastAsia="仿宋_GB2312" w:cs="Times New Roman"/>
          <w:color w:val="auto"/>
          <w:spacing w:val="6"/>
        </w:rPr>
      </w:pPr>
      <w:r>
        <w:rPr>
          <w:rFonts w:hint="default" w:ascii="Times New Roman" w:hAnsi="Times New Roman" w:eastAsia="仿宋_GB2312" w:cs="Times New Roman"/>
          <w:color w:val="auto"/>
          <w:spacing w:val="6"/>
        </w:rPr>
        <w:t xml:space="preserve">      </w:t>
      </w:r>
      <w:r>
        <w:rPr>
          <w:rFonts w:hint="default" w:ascii="Times New Roman" w:hAnsi="Times New Roman" w:eastAsia="仿宋_GB2312" w:cs="Times New Roman"/>
          <w:color w:val="auto"/>
          <w:spacing w:val="6"/>
        </w:rPr>
        <w:object>
          <v:shape id="_x0000_i1029" o:spt="75" type="#_x0000_t75" style="height:12.75pt;width:12.2pt;" o:ole="t" filled="f" o:preferrelative="t" stroked="f" coordsize="21600,21600">
            <v:path/>
            <v:fill on="f" focussize="0,0"/>
            <v:stroke on="f" joinstyle="miter"/>
            <v:imagedata r:id="rId42" o:title=""/>
            <o:lock v:ext="edit" aspectratio="t"/>
            <w10:wrap type="none"/>
            <w10:anchorlock/>
          </v:shape>
          <o:OLEObject Type="Embed" ProgID="Equation.DSMT4" ShapeID="_x0000_i1029" DrawAspect="Content" ObjectID="_1468075729">
            <o:LockedField>false</o:LockedField>
          </o:OLEObject>
        </w:object>
      </w:r>
      <w:r>
        <w:rPr>
          <w:rFonts w:hint="default" w:ascii="Times New Roman" w:hAnsi="Times New Roman" w:eastAsia="仿宋_GB2312" w:cs="Times New Roman"/>
          <w:color w:val="auto"/>
          <w:spacing w:val="6"/>
        </w:rPr>
        <w:t>－过水断面面积，m</w:t>
      </w:r>
      <w:r>
        <w:rPr>
          <w:rFonts w:hint="default" w:ascii="Times New Roman" w:hAnsi="Times New Roman" w:cs="Times New Roman"/>
          <w:color w:val="auto"/>
          <w:spacing w:val="6"/>
        </w:rPr>
        <w:t>²</w:t>
      </w:r>
      <w:r>
        <w:rPr>
          <w:rFonts w:hint="default" w:ascii="Times New Roman" w:hAnsi="Times New Roman" w:eastAsia="仿宋_GB2312" w:cs="Times New Roman"/>
          <w:color w:val="auto"/>
          <w:spacing w:val="6"/>
        </w:rPr>
        <w:t xml:space="preserve">； </w:t>
      </w:r>
    </w:p>
    <w:p>
      <w:pPr>
        <w:ind w:firstLine="1386" w:firstLineChars="550"/>
        <w:rPr>
          <w:rFonts w:hint="default" w:ascii="Times New Roman" w:hAnsi="Times New Roman" w:eastAsia="仿宋_GB2312" w:cs="Times New Roman"/>
          <w:color w:val="auto"/>
          <w:spacing w:val="6"/>
        </w:rPr>
      </w:pPr>
      <w:r>
        <w:rPr>
          <w:rFonts w:hint="default" w:ascii="Times New Roman" w:hAnsi="Times New Roman" w:eastAsia="仿宋_GB2312" w:cs="Times New Roman"/>
          <w:color w:val="auto"/>
          <w:spacing w:val="6"/>
        </w:rPr>
        <w:object>
          <v:shape id="_x0000_i1030" o:spt="75" type="#_x0000_t75" style="height:14.4pt;width:12.2pt;" o:ole="t" filled="f" o:preferrelative="t" stroked="f" coordsize="21600,21600">
            <v:path/>
            <v:fill on="f" focussize="0,0"/>
            <v:stroke on="f" joinstyle="miter"/>
            <v:imagedata r:id="rId44" o:title=""/>
            <o:lock v:ext="edit" aspectratio="t"/>
            <w10:wrap type="none"/>
            <w10:anchorlock/>
          </v:shape>
          <o:OLEObject Type="Embed" ProgID="Equation.3" ShapeID="_x0000_i1030" DrawAspect="Content" ObjectID="_1468075730" r:id="rId43">
            <o:LockedField>false</o:LockedField>
          </o:OLEObject>
        </w:object>
      </w:r>
      <w:r>
        <w:rPr>
          <w:rFonts w:hint="default" w:ascii="Times New Roman" w:hAnsi="Times New Roman" w:eastAsia="仿宋_GB2312" w:cs="Times New Roman"/>
          <w:color w:val="auto"/>
          <w:spacing w:val="6"/>
        </w:rPr>
        <w:t>－流速系数，</w:t>
      </w:r>
      <w:r>
        <w:rPr>
          <w:rFonts w:hint="default" w:ascii="Times New Roman" w:hAnsi="Times New Roman" w:eastAsia="仿宋_GB2312" w:cs="Times New Roman"/>
          <w:color w:val="auto"/>
          <w:spacing w:val="6"/>
        </w:rPr>
        <w:object>
          <v:shape id="_x0000_i1031" o:spt="75" type="#_x0000_t75" style="height:33.25pt;width:62.6pt;" o:ole="t" filled="f" o:preferrelative="t" stroked="f" coordsize="21600,21600">
            <v:path/>
            <v:fill on="f" focussize="0,0"/>
            <v:stroke on="f" joinstyle="miter"/>
            <v:imagedata r:id="rId45" o:title=""/>
            <o:lock v:ext="edit" aspectratio="t"/>
            <w10:wrap type="none"/>
            <w10:anchorlock/>
          </v:shape>
          <o:OLEObject Type="Embed" ProgID="Equation.DSMT4" ShapeID="_x0000_i1031" DrawAspect="Content" ObjectID="_1468075731">
            <o:LockedField>false</o:LockedField>
          </o:OLEObject>
        </w:object>
      </w:r>
      <w:r>
        <w:rPr>
          <w:rFonts w:hint="default" w:ascii="Times New Roman" w:hAnsi="Times New Roman" w:eastAsia="仿宋_GB2312" w:cs="Times New Roman"/>
          <w:color w:val="auto"/>
          <w:spacing w:val="6"/>
        </w:rPr>
        <w:t xml:space="preserve">； </w:t>
      </w:r>
    </w:p>
    <w:p>
      <w:pPr>
        <w:ind w:firstLine="1386" w:firstLineChars="550"/>
        <w:rPr>
          <w:rFonts w:hint="default" w:ascii="Times New Roman" w:hAnsi="Times New Roman" w:eastAsia="仿宋_GB2312" w:cs="Times New Roman"/>
          <w:color w:val="auto"/>
          <w:spacing w:val="6"/>
        </w:rPr>
      </w:pPr>
      <w:r>
        <w:rPr>
          <w:rFonts w:hint="default" w:ascii="Times New Roman" w:hAnsi="Times New Roman" w:eastAsia="仿宋_GB2312" w:cs="Times New Roman"/>
          <w:color w:val="auto"/>
          <w:spacing w:val="6"/>
        </w:rPr>
        <w:object>
          <v:shape id="_x0000_i1032" o:spt="75" type="#_x0000_t75" style="height:9.4pt;width:9.4pt;" o:ole="t" filled="f" o:preferrelative="t" stroked="f" coordsize="21600,21600">
            <v:path/>
            <v:fill on="f" focussize="0,0"/>
            <v:stroke on="f" joinstyle="miter"/>
            <v:imagedata r:id="rId47" o:title=""/>
            <o:lock v:ext="edit" aspectratio="t"/>
            <w10:wrap type="none"/>
            <w10:anchorlock/>
          </v:shape>
          <o:OLEObject Type="Embed" ProgID="Equation.3" ShapeID="_x0000_i1032" DrawAspect="Content" ObjectID="_1468075732" r:id="rId46">
            <o:LockedField>false</o:LockedField>
          </o:OLEObject>
        </w:object>
      </w:r>
      <w:r>
        <w:rPr>
          <w:rFonts w:hint="default" w:ascii="Times New Roman" w:hAnsi="Times New Roman" w:eastAsia="仿宋_GB2312" w:cs="Times New Roman"/>
          <w:color w:val="auto"/>
          <w:spacing w:val="6"/>
        </w:rPr>
        <w:t>－排水沟糙率；</w:t>
      </w:r>
    </w:p>
    <w:p>
      <w:pPr>
        <w:ind w:firstLine="1260" w:firstLineChars="500"/>
        <w:rPr>
          <w:rFonts w:hint="default" w:ascii="Times New Roman" w:hAnsi="Times New Roman" w:eastAsia="仿宋_GB2312" w:cs="Times New Roman"/>
          <w:color w:val="auto"/>
          <w:spacing w:val="6"/>
        </w:rPr>
      </w:pPr>
      <w:r>
        <w:rPr>
          <w:rFonts w:hint="default" w:ascii="Times New Roman" w:hAnsi="Times New Roman" w:eastAsia="仿宋_GB2312" w:cs="Times New Roman"/>
          <w:color w:val="auto"/>
          <w:spacing w:val="6"/>
        </w:rPr>
        <w:t>R－水力半径，m；</w:t>
      </w:r>
    </w:p>
    <w:p>
      <w:pPr>
        <w:ind w:firstLine="1260" w:firstLineChars="500"/>
        <w:rPr>
          <w:rFonts w:hint="default" w:ascii="Times New Roman" w:hAnsi="Times New Roman" w:eastAsia="仿宋_GB2312" w:cs="Times New Roman"/>
          <w:color w:val="auto"/>
          <w:spacing w:val="6"/>
        </w:rPr>
      </w:pPr>
      <w:r>
        <w:rPr>
          <w:rFonts w:hint="default" w:ascii="Times New Roman" w:hAnsi="Times New Roman" w:eastAsia="仿宋_GB2312" w:cs="Times New Roman"/>
          <w:color w:val="auto"/>
          <w:spacing w:val="6"/>
        </w:rPr>
        <w:t>i－纵坡比降。项目排水工程过水能力验证具体见表5-5。</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表5-5   排水沟过水能力验证表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0"/>
        <w:gridCol w:w="918"/>
        <w:gridCol w:w="919"/>
        <w:gridCol w:w="1086"/>
        <w:gridCol w:w="1086"/>
        <w:gridCol w:w="1204"/>
        <w:gridCol w:w="1286"/>
        <w:gridCol w:w="9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3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过水面积（m</w:t>
            </w:r>
            <w:r>
              <w:rPr>
                <w:rFonts w:hint="default" w:ascii="Times New Roman" w:hAnsi="Times New Roman" w:eastAsia="仿宋_GB2312" w:cs="Times New Roman"/>
                <w:color w:val="auto"/>
                <w:kern w:val="0"/>
                <w:sz w:val="18"/>
                <w:szCs w:val="18"/>
                <w:vertAlign w:val="superscript"/>
              </w:rPr>
              <w:t>2</w:t>
            </w:r>
            <w:r>
              <w:rPr>
                <w:rFonts w:hint="default" w:ascii="Times New Roman" w:hAnsi="Times New Roman" w:eastAsia="仿宋_GB2312" w:cs="Times New Roman"/>
                <w:color w:val="auto"/>
                <w:kern w:val="0"/>
                <w:sz w:val="18"/>
                <w:szCs w:val="18"/>
              </w:rPr>
              <w:t>）</w:t>
            </w:r>
          </w:p>
        </w:tc>
        <w:tc>
          <w:tcPr>
            <w:tcW w:w="53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湿周（m）</w:t>
            </w:r>
          </w:p>
        </w:tc>
        <w:tc>
          <w:tcPr>
            <w:tcW w:w="53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水力半径（m）</w:t>
            </w:r>
          </w:p>
        </w:tc>
        <w:tc>
          <w:tcPr>
            <w:tcW w:w="63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糙率（n）</w:t>
            </w:r>
          </w:p>
        </w:tc>
        <w:tc>
          <w:tcPr>
            <w:tcW w:w="63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沟纵坡降（i）</w:t>
            </w:r>
          </w:p>
        </w:tc>
        <w:tc>
          <w:tcPr>
            <w:tcW w:w="7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C流速系数</w:t>
            </w:r>
          </w:p>
        </w:tc>
        <w:tc>
          <w:tcPr>
            <w:tcW w:w="75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过流能力（m</w:t>
            </w:r>
            <w:r>
              <w:rPr>
                <w:rFonts w:hint="default" w:ascii="Times New Roman" w:hAnsi="Times New Roman" w:eastAsia="仿宋_GB2312" w:cs="Times New Roman"/>
                <w:color w:val="auto"/>
                <w:kern w:val="0"/>
                <w:sz w:val="18"/>
                <w:szCs w:val="18"/>
                <w:vertAlign w:val="superscript"/>
              </w:rPr>
              <w:t>3</w:t>
            </w:r>
            <w:r>
              <w:rPr>
                <w:rFonts w:hint="default" w:ascii="Times New Roman" w:hAnsi="Times New Roman" w:eastAsia="仿宋_GB2312" w:cs="Times New Roman"/>
                <w:color w:val="auto"/>
                <w:kern w:val="0"/>
                <w:sz w:val="18"/>
                <w:szCs w:val="18"/>
              </w:rPr>
              <w:t>/s）</w:t>
            </w:r>
          </w:p>
        </w:tc>
        <w:tc>
          <w:tcPr>
            <w:tcW w:w="55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能否过洪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63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0.12</w:t>
            </w:r>
          </w:p>
        </w:tc>
        <w:tc>
          <w:tcPr>
            <w:tcW w:w="53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1.10</w:t>
            </w:r>
          </w:p>
        </w:tc>
        <w:tc>
          <w:tcPr>
            <w:tcW w:w="538"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0.10</w:t>
            </w:r>
          </w:p>
        </w:tc>
        <w:tc>
          <w:tcPr>
            <w:tcW w:w="63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0.020</w:t>
            </w:r>
          </w:p>
        </w:tc>
        <w:tc>
          <w:tcPr>
            <w:tcW w:w="63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0.003</w:t>
            </w:r>
          </w:p>
        </w:tc>
        <w:tc>
          <w:tcPr>
            <w:tcW w:w="70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33.80</w:t>
            </w:r>
          </w:p>
        </w:tc>
        <w:tc>
          <w:tcPr>
            <w:tcW w:w="75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0.70</w:t>
            </w:r>
          </w:p>
        </w:tc>
        <w:tc>
          <w:tcPr>
            <w:tcW w:w="55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能</w:t>
            </w:r>
          </w:p>
        </w:tc>
      </w:tr>
    </w:tbl>
    <w:p>
      <w:pPr>
        <w:ind w:firstLine="48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rPr>
        <w:t>综上，</w:t>
      </w:r>
      <w:r>
        <w:rPr>
          <w:rFonts w:hint="default" w:ascii="Times New Roman" w:hAnsi="Times New Roman" w:eastAsia="仿宋_GB2312" w:cs="Times New Roman"/>
          <w:color w:val="auto"/>
          <w:lang w:val="en-US" w:eastAsia="zh-CN"/>
        </w:rPr>
        <w:t>设计</w:t>
      </w:r>
      <w:r>
        <w:rPr>
          <w:rFonts w:hint="default" w:ascii="Times New Roman" w:hAnsi="Times New Roman" w:eastAsia="仿宋_GB2312" w:cs="Times New Roman"/>
          <w:color w:val="auto"/>
        </w:rPr>
        <w:t>洪峰流量</w:t>
      </w:r>
      <w:r>
        <w:rPr>
          <w:rFonts w:hint="default" w:ascii="Times New Roman" w:hAnsi="Times New Roman" w:eastAsia="仿宋_GB2312" w:cs="Times New Roman"/>
          <w:i/>
          <w:color w:val="auto"/>
        </w:rPr>
        <w:t>Q</w:t>
      </w:r>
      <w:r>
        <w:rPr>
          <w:rFonts w:hint="default" w:ascii="Times New Roman" w:hAnsi="Times New Roman" w:eastAsia="仿宋_GB2312" w:cs="Times New Roman"/>
          <w:color w:val="auto"/>
          <w:vertAlign w:val="subscript"/>
        </w:rPr>
        <w:t>m</w:t>
      </w:r>
      <w:r>
        <w:rPr>
          <w:rFonts w:hint="default" w:ascii="Times New Roman" w:hAnsi="Times New Roman" w:eastAsia="仿宋_GB2312" w:cs="Times New Roman"/>
          <w:color w:val="auto"/>
        </w:rPr>
        <w:t>小于排水沟过流能力</w:t>
      </w:r>
      <w:r>
        <w:rPr>
          <w:rFonts w:hint="default" w:ascii="Times New Roman" w:hAnsi="Times New Roman" w:eastAsia="仿宋_GB2312" w:cs="Times New Roman"/>
          <w:i/>
          <w:color w:val="auto"/>
        </w:rPr>
        <w:t>Q</w:t>
      </w:r>
      <w:r>
        <w:rPr>
          <w:rFonts w:hint="default" w:ascii="Times New Roman" w:hAnsi="Times New Roman" w:eastAsia="仿宋_GB2312" w:cs="Times New Roman"/>
          <w:color w:val="auto"/>
        </w:rPr>
        <w:t>；排水沟过流能力满足要求。</w:t>
      </w:r>
    </w:p>
    <w:p>
      <w:pPr>
        <w:pStyle w:val="4"/>
        <w:suppressAutoHyphens/>
        <w:rPr>
          <w:rFonts w:hint="default" w:ascii="Times New Roman" w:hAnsi="Times New Roman" w:cs="Times New Roman"/>
          <w:color w:val="auto"/>
        </w:rPr>
      </w:pPr>
      <w:r>
        <w:rPr>
          <w:rFonts w:hint="default" w:ascii="Times New Roman" w:hAnsi="Times New Roman" w:cs="Times New Roman"/>
          <w:color w:val="auto"/>
        </w:rPr>
        <w:t>5.3.</w:t>
      </w:r>
      <w:r>
        <w:rPr>
          <w:rFonts w:hint="default" w:ascii="Times New Roman" w:hAnsi="Times New Roman" w:cs="Times New Roman"/>
          <w:color w:val="auto"/>
          <w:lang w:val="en-US" w:eastAsia="zh-CN"/>
        </w:rPr>
        <w:t>2附属设施区</w:t>
      </w:r>
    </w:p>
    <w:p>
      <w:pPr>
        <w:ind w:firstLine="482"/>
        <w:rPr>
          <w:rFonts w:hint="default" w:ascii="Times New Roman" w:hAnsi="Times New Roman" w:eastAsia="仿宋_GB2312" w:cs="Times New Roman"/>
          <w:b/>
          <w:color w:val="auto"/>
          <w:lang w:val="en-US" w:eastAsia="zh-CN"/>
        </w:rPr>
      </w:pPr>
      <w:r>
        <w:rPr>
          <w:rFonts w:hint="default" w:ascii="Times New Roman" w:hAnsi="Times New Roman" w:eastAsia="仿宋_GB2312" w:cs="Times New Roman"/>
          <w:b/>
          <w:color w:val="auto"/>
          <w:lang w:eastAsia="zh-CN"/>
        </w:rPr>
        <w:t>（</w:t>
      </w:r>
      <w:r>
        <w:rPr>
          <w:rFonts w:hint="default" w:ascii="Times New Roman" w:hAnsi="Times New Roman" w:eastAsia="仿宋_GB2312" w:cs="Times New Roman"/>
          <w:b/>
          <w:color w:val="auto"/>
          <w:lang w:val="en-US" w:eastAsia="zh-CN"/>
        </w:rPr>
        <w:t>1</w:t>
      </w:r>
      <w:r>
        <w:rPr>
          <w:rFonts w:hint="default" w:ascii="Times New Roman" w:hAnsi="Times New Roman" w:eastAsia="仿宋_GB2312" w:cs="Times New Roman"/>
          <w:b/>
          <w:color w:val="auto"/>
          <w:lang w:eastAsia="zh-CN"/>
        </w:rPr>
        <w:t>）</w:t>
      </w:r>
      <w:r>
        <w:rPr>
          <w:rFonts w:hint="default" w:ascii="Times New Roman" w:hAnsi="Times New Roman" w:eastAsia="仿宋_GB2312" w:cs="Times New Roman"/>
          <w:b/>
          <w:color w:val="auto"/>
          <w:lang w:val="en-US" w:eastAsia="zh-CN"/>
        </w:rPr>
        <w:t>临时措施</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w:t>
      </w:r>
      <w:r>
        <w:rPr>
          <w:rFonts w:hint="default" w:ascii="Times New Roman" w:hAnsi="Times New Roman" w:eastAsia="仿宋_GB2312" w:cs="Times New Roman"/>
          <w:color w:val="auto"/>
          <w:kern w:val="0"/>
          <w:lang w:val="en-US" w:eastAsia="zh-CN"/>
        </w:rPr>
        <w:t>1</w:t>
      </w:r>
      <w:r>
        <w:rPr>
          <w:rFonts w:hint="default" w:ascii="Times New Roman" w:hAnsi="Times New Roman" w:eastAsia="仿宋_GB2312" w:cs="Times New Roman"/>
          <w:color w:val="auto"/>
          <w:kern w:val="0"/>
        </w:rPr>
        <w:t>）防雨布遮盖（</w:t>
      </w:r>
      <w:r>
        <w:rPr>
          <w:rFonts w:hint="default" w:ascii="Times New Roman" w:hAnsi="Times New Roman" w:eastAsia="仿宋_GB2312" w:cs="Times New Roman"/>
          <w:color w:val="auto"/>
          <w:kern w:val="0"/>
          <w:lang w:val="en-US" w:eastAsia="zh-CN"/>
        </w:rPr>
        <w:t>已</w:t>
      </w:r>
      <w:r>
        <w:rPr>
          <w:rFonts w:hint="default" w:ascii="Times New Roman" w:hAnsi="Times New Roman" w:eastAsia="仿宋_GB2312" w:cs="Times New Roman"/>
          <w:color w:val="auto"/>
          <w:kern w:val="0"/>
        </w:rPr>
        <w:t>实施）：</w:t>
      </w:r>
      <w:r>
        <w:rPr>
          <w:rFonts w:hint="default" w:ascii="Times New Roman" w:hAnsi="Times New Roman" w:eastAsia="仿宋_GB2312" w:cs="Times New Roman"/>
          <w:color w:val="auto"/>
          <w:kern w:val="0"/>
          <w:lang w:val="en-US" w:eastAsia="zh-CN"/>
        </w:rPr>
        <w:t>主体工程在</w:t>
      </w:r>
      <w:r>
        <w:rPr>
          <w:rFonts w:hint="default" w:ascii="Times New Roman" w:hAnsi="Times New Roman" w:eastAsia="仿宋_GB2312" w:cs="Times New Roman"/>
          <w:color w:val="auto"/>
          <w:kern w:val="0"/>
        </w:rPr>
        <w:t>综合管沟</w:t>
      </w:r>
      <w:r>
        <w:rPr>
          <w:rFonts w:hint="default" w:ascii="Times New Roman" w:hAnsi="Times New Roman" w:eastAsia="仿宋_GB2312" w:cs="Times New Roman"/>
          <w:color w:val="auto"/>
          <w:kern w:val="0"/>
          <w:lang w:val="en-US" w:eastAsia="zh-CN"/>
        </w:rPr>
        <w:t>开挖时实施有防雨布遮盖措施，实施</w:t>
      </w:r>
      <w:r>
        <w:rPr>
          <w:rFonts w:hint="default" w:ascii="Times New Roman" w:hAnsi="Times New Roman" w:eastAsia="仿宋_GB2312" w:cs="Times New Roman"/>
          <w:color w:val="auto"/>
          <w:kern w:val="0"/>
        </w:rPr>
        <w:t>防雨布约300m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w:t>
      </w:r>
    </w:p>
    <w:p>
      <w:pPr>
        <w:ind w:firstLine="480"/>
        <w:rPr>
          <w:rFonts w:hint="default" w:ascii="Times New Roman" w:hAnsi="Times New Roman" w:eastAsia="仿宋_GB2312" w:cs="Times New Roman"/>
          <w:color w:val="auto"/>
          <w:kern w:val="0"/>
        </w:rPr>
      </w:pPr>
    </w:p>
    <w:p>
      <w:pPr>
        <w:ind w:firstLine="480"/>
        <w:rPr>
          <w:rFonts w:hint="default" w:ascii="Times New Roman" w:hAnsi="Times New Roman" w:eastAsia="仿宋_GB2312" w:cs="Times New Roman"/>
          <w:color w:val="auto"/>
          <w:kern w:val="0"/>
        </w:rPr>
      </w:pPr>
    </w:p>
    <w:p>
      <w:pPr>
        <w:spacing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 xml:space="preserve">表5-6   </w:t>
      </w:r>
      <w:r>
        <w:rPr>
          <w:rFonts w:hint="default" w:ascii="Times New Roman" w:hAnsi="Times New Roman" w:eastAsia="仿宋_GB2312" w:cs="Times New Roman"/>
          <w:b/>
          <w:color w:val="auto"/>
          <w:sz w:val="21"/>
          <w:szCs w:val="21"/>
          <w:lang w:val="en-US" w:eastAsia="zh-CN"/>
        </w:rPr>
        <w:t>附属设施区</w:t>
      </w:r>
      <w:r>
        <w:rPr>
          <w:rFonts w:hint="default" w:ascii="Times New Roman" w:hAnsi="Times New Roman" w:eastAsia="仿宋_GB2312" w:cs="Times New Roman"/>
          <w:b/>
          <w:color w:val="auto"/>
          <w:sz w:val="21"/>
          <w:szCs w:val="21"/>
        </w:rPr>
        <w:t>水土保持措施工程量表</w:t>
      </w:r>
    </w:p>
    <w:tbl>
      <w:tblPr>
        <w:tblStyle w:val="61"/>
        <w:tblW w:w="505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52"/>
        <w:gridCol w:w="1252"/>
        <w:gridCol w:w="1463"/>
        <w:gridCol w:w="903"/>
        <w:gridCol w:w="1080"/>
        <w:gridCol w:w="24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2" w:type="pct"/>
            <w:vMerge w:val="restart"/>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防治分区</w:t>
            </w:r>
          </w:p>
        </w:tc>
        <w:tc>
          <w:tcPr>
            <w:tcW w:w="742" w:type="pct"/>
            <w:vMerge w:val="restar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措施类型</w:t>
            </w:r>
          </w:p>
        </w:tc>
        <w:tc>
          <w:tcPr>
            <w:tcW w:w="867" w:type="pct"/>
            <w:vMerge w:val="restar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措施名称</w:t>
            </w:r>
          </w:p>
        </w:tc>
        <w:tc>
          <w:tcPr>
            <w:tcW w:w="1175" w:type="pct"/>
            <w:gridSpan w:val="2"/>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工程量</w:t>
            </w:r>
          </w:p>
        </w:tc>
        <w:tc>
          <w:tcPr>
            <w:tcW w:w="1471" w:type="pct"/>
            <w:vMerge w:val="restart"/>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2"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742"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867"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单位</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数量</w:t>
            </w:r>
          </w:p>
        </w:tc>
        <w:tc>
          <w:tcPr>
            <w:tcW w:w="1471"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2"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附属设施区</w:t>
            </w: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临时措施</w:t>
            </w:r>
          </w:p>
        </w:tc>
        <w:tc>
          <w:tcPr>
            <w:tcW w:w="867"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防雨布遮盖</w:t>
            </w: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rPr>
              <w:t>3</w:t>
            </w:r>
            <w:r>
              <w:rPr>
                <w:rFonts w:hint="default" w:ascii="Times New Roman" w:hAnsi="Times New Roman" w:eastAsia="仿宋_GB2312" w:cs="Times New Roman"/>
                <w:color w:val="auto"/>
                <w:kern w:val="0"/>
                <w:sz w:val="18"/>
                <w:szCs w:val="18"/>
              </w:rPr>
              <w:t>00</w:t>
            </w:r>
          </w:p>
        </w:tc>
        <w:tc>
          <w:tcPr>
            <w:tcW w:w="1471"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主体已有，已实施</w:t>
            </w:r>
          </w:p>
        </w:tc>
      </w:tr>
    </w:tbl>
    <w:p>
      <w:pPr>
        <w:pStyle w:val="4"/>
        <w:suppressAutoHyphens/>
        <w:rPr>
          <w:rFonts w:hint="default" w:ascii="Times New Roman" w:hAnsi="Times New Roman" w:cs="Times New Roman"/>
          <w:color w:val="auto"/>
        </w:rPr>
      </w:pPr>
      <w:r>
        <w:rPr>
          <w:rFonts w:hint="default" w:ascii="Times New Roman" w:hAnsi="Times New Roman" w:cs="Times New Roman"/>
          <w:color w:val="auto"/>
        </w:rPr>
        <w:t>5.3.</w:t>
      </w:r>
      <w:r>
        <w:rPr>
          <w:rFonts w:hint="default" w:ascii="Times New Roman" w:hAnsi="Times New Roman" w:cs="Times New Roman"/>
          <w:color w:val="auto"/>
          <w:lang w:val="en-US" w:eastAsia="zh-CN"/>
        </w:rPr>
        <w:t>3</w:t>
      </w:r>
      <w:r>
        <w:rPr>
          <w:rFonts w:hint="default" w:ascii="Times New Roman" w:hAnsi="Times New Roman" w:cs="Times New Roman"/>
          <w:color w:val="auto"/>
        </w:rPr>
        <w:t>水土保持措施汇总</w:t>
      </w:r>
    </w:p>
    <w:p>
      <w:pPr>
        <w:spacing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表5-6   本项目水土保持措施工程量汇总表</w:t>
      </w:r>
    </w:p>
    <w:tbl>
      <w:tblPr>
        <w:tblStyle w:val="61"/>
        <w:tblW w:w="503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248"/>
        <w:gridCol w:w="1248"/>
        <w:gridCol w:w="1458"/>
        <w:gridCol w:w="900"/>
        <w:gridCol w:w="1076"/>
        <w:gridCol w:w="24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3" w:type="pct"/>
            <w:vMerge w:val="restart"/>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防治分区</w:t>
            </w:r>
          </w:p>
        </w:tc>
        <w:tc>
          <w:tcPr>
            <w:tcW w:w="742" w:type="pct"/>
            <w:vMerge w:val="restar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措施类型</w:t>
            </w:r>
          </w:p>
        </w:tc>
        <w:tc>
          <w:tcPr>
            <w:tcW w:w="867" w:type="pct"/>
            <w:vMerge w:val="restart"/>
            <w:shd w:val="clear" w:color="auto" w:fill="auto"/>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措施名称</w:t>
            </w:r>
          </w:p>
        </w:tc>
        <w:tc>
          <w:tcPr>
            <w:tcW w:w="1175" w:type="pct"/>
            <w:gridSpan w:val="2"/>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工程量</w:t>
            </w:r>
          </w:p>
        </w:tc>
        <w:tc>
          <w:tcPr>
            <w:tcW w:w="1470" w:type="pct"/>
            <w:vMerge w:val="restart"/>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3"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742"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867"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单位</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数量</w:t>
            </w:r>
          </w:p>
        </w:tc>
        <w:tc>
          <w:tcPr>
            <w:tcW w:w="1470"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3"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主体工程区</w:t>
            </w: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工程措施</w:t>
            </w:r>
          </w:p>
        </w:tc>
        <w:tc>
          <w:tcPr>
            <w:tcW w:w="867"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散水暗沟</w:t>
            </w: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123.02</w:t>
            </w:r>
          </w:p>
        </w:tc>
        <w:tc>
          <w:tcPr>
            <w:tcW w:w="147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3"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临时措施</w:t>
            </w:r>
          </w:p>
        </w:tc>
        <w:tc>
          <w:tcPr>
            <w:tcW w:w="867"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防雨布遮盖</w:t>
            </w: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500</w:t>
            </w:r>
          </w:p>
        </w:tc>
        <w:tc>
          <w:tcPr>
            <w:tcW w:w="147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主体已有，已实施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0" w:hRule="atLeast"/>
          <w:jc w:val="center"/>
        </w:trPr>
        <w:tc>
          <w:tcPr>
            <w:tcW w:w="743"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附属设施区</w:t>
            </w:r>
          </w:p>
        </w:tc>
        <w:tc>
          <w:tcPr>
            <w:tcW w:w="742" w:type="pct"/>
            <w:shd w:val="clear" w:color="auto" w:fill="auto"/>
            <w:tcMar>
              <w:top w:w="13" w:type="dxa"/>
              <w:left w:w="13" w:type="dxa"/>
              <w:bottom w:w="0" w:type="dxa"/>
              <w:right w:w="13" w:type="dxa"/>
            </w:tcMar>
            <w:vAlign w:val="center"/>
          </w:tcPr>
          <w:p>
            <w:pPr>
              <w:suppressAutoHyphens/>
              <w:spacing w:line="240" w:lineRule="auto"/>
              <w:ind w:firstLine="0" w:firstLineChars="0"/>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临时措施</w:t>
            </w:r>
          </w:p>
        </w:tc>
        <w:tc>
          <w:tcPr>
            <w:tcW w:w="867"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防雨布遮盖</w:t>
            </w:r>
          </w:p>
        </w:tc>
        <w:tc>
          <w:tcPr>
            <w:tcW w:w="535"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640" w:type="pct"/>
            <w:shd w:val="clear" w:color="auto" w:fill="auto"/>
            <w:tcMar>
              <w:top w:w="13" w:type="dxa"/>
              <w:left w:w="13" w:type="dxa"/>
              <w:bottom w:w="0" w:type="dxa"/>
              <w:right w:w="13" w:type="dxa"/>
            </w:tcMar>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rPr>
              <w:t>3</w:t>
            </w:r>
            <w:r>
              <w:rPr>
                <w:rFonts w:hint="default" w:ascii="Times New Roman" w:hAnsi="Times New Roman" w:eastAsia="仿宋_GB2312" w:cs="Times New Roman"/>
                <w:color w:val="auto"/>
                <w:kern w:val="0"/>
                <w:sz w:val="18"/>
                <w:szCs w:val="18"/>
              </w:rPr>
              <w:t>00</w:t>
            </w:r>
          </w:p>
        </w:tc>
        <w:tc>
          <w:tcPr>
            <w:tcW w:w="147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sz w:val="18"/>
                <w:szCs w:val="18"/>
              </w:rPr>
              <w:t>主体已有，已实施</w:t>
            </w:r>
          </w:p>
        </w:tc>
      </w:tr>
    </w:tbl>
    <w:p>
      <w:pPr>
        <w:spacing w:line="240" w:lineRule="auto"/>
        <w:ind w:firstLine="0" w:firstLineChars="0"/>
        <w:jc w:val="center"/>
        <w:rPr>
          <w:rFonts w:hint="default" w:ascii="Times New Roman" w:hAnsi="Times New Roman" w:eastAsia="仿宋_GB2312" w:cs="Times New Roman"/>
          <w:b/>
          <w:color w:val="auto"/>
          <w:sz w:val="21"/>
          <w:szCs w:val="21"/>
        </w:rPr>
      </w:pPr>
    </w:p>
    <w:p>
      <w:pPr>
        <w:pStyle w:val="3"/>
        <w:suppressAutoHyphens/>
        <w:spacing w:before="163" w:beforeLines="50" w:after="163" w:afterLines="50"/>
        <w:rPr>
          <w:rFonts w:hint="default" w:ascii="Times New Roman" w:hAnsi="Times New Roman" w:cs="Times New Roman"/>
          <w:color w:val="auto"/>
          <w:kern w:val="0"/>
        </w:rPr>
      </w:pPr>
      <w:bookmarkStart w:id="137" w:name="_Toc9906"/>
      <w:r>
        <w:rPr>
          <w:rFonts w:hint="default" w:ascii="Times New Roman" w:hAnsi="Times New Roman" w:cs="Times New Roman"/>
          <w:color w:val="auto"/>
          <w:kern w:val="0"/>
        </w:rPr>
        <w:t>5.4施工要求</w:t>
      </w:r>
      <w:bookmarkEnd w:id="137"/>
    </w:p>
    <w:p>
      <w:pPr>
        <w:pStyle w:val="4"/>
        <w:suppressAutoHyphens/>
        <w:rPr>
          <w:rFonts w:hint="default" w:ascii="Times New Roman" w:hAnsi="Times New Roman" w:cs="Times New Roman"/>
          <w:color w:val="auto"/>
        </w:rPr>
      </w:pPr>
      <w:bookmarkStart w:id="138" w:name="_Toc197708005"/>
      <w:bookmarkStart w:id="139" w:name="_Toc205281498"/>
      <w:bookmarkStart w:id="140" w:name="_Toc207619426"/>
      <w:bookmarkStart w:id="141" w:name="_Toc261276938"/>
      <w:bookmarkStart w:id="142" w:name="_Toc199906911"/>
      <w:r>
        <w:rPr>
          <w:rFonts w:hint="default" w:ascii="Times New Roman" w:hAnsi="Times New Roman" w:cs="Times New Roman"/>
          <w:color w:val="auto"/>
        </w:rPr>
        <w:t>5.4.1 施工条件</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项目建设场地周边交通便利。该项目所需用水、用电等均由市政管网提供。水土保持工程所需植物苗木、防雨布等均可在当地市场购买，极为便利。</w:t>
      </w:r>
    </w:p>
    <w:p>
      <w:pPr>
        <w:pStyle w:val="4"/>
        <w:suppressAutoHyphens/>
        <w:rPr>
          <w:rFonts w:hint="default" w:ascii="Times New Roman" w:hAnsi="Times New Roman" w:cs="Times New Roman"/>
          <w:color w:val="auto"/>
        </w:rPr>
      </w:pPr>
      <w:r>
        <w:rPr>
          <w:rFonts w:hint="default" w:ascii="Times New Roman" w:hAnsi="Times New Roman" w:cs="Times New Roman"/>
          <w:color w:val="auto"/>
        </w:rPr>
        <w:t>5.4.2 施工方法</w:t>
      </w:r>
    </w:p>
    <w:p>
      <w:pPr>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（1）盖板排水沟：施工方样，放好边线后，人工挖掘，修整至设计尺寸；沟槽验收合格后，挂好横断面线及纵断面线，模板支护，混凝土浇筑；养护7d～14d。</w:t>
      </w:r>
    </w:p>
    <w:p>
      <w:pPr>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rPr>
        <w:t>（2）防雨布遮盖：要求全面压盖，并利用编织袋装土或石头等物对防雨布压实，施工结束后要求拆除、清理。</w:t>
      </w:r>
      <w:r>
        <w:rPr>
          <w:rFonts w:hint="default" w:ascii="Times New Roman" w:hAnsi="Times New Roman" w:eastAsia="仿宋_GB2312" w:cs="Times New Roman"/>
          <w:color w:val="auto"/>
          <w:kern w:val="0"/>
        </w:rPr>
        <w:t>水土保持措施施工进度双横道图见表5-7。</w:t>
      </w:r>
    </w:p>
    <w:p>
      <w:pPr>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表5-7   水土保持措施进度双横道图</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0"/>
        <w:gridCol w:w="1009"/>
        <w:gridCol w:w="1150"/>
        <w:gridCol w:w="820"/>
        <w:gridCol w:w="736"/>
        <w:gridCol w:w="1394"/>
        <w:gridCol w:w="807"/>
        <w:gridCol w:w="761"/>
        <w:gridCol w:w="10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tblHeader/>
          <w:jc w:val="center"/>
        </w:trPr>
        <w:tc>
          <w:tcPr>
            <w:tcW w:w="469"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工程组成</w:t>
            </w:r>
          </w:p>
        </w:tc>
        <w:tc>
          <w:tcPr>
            <w:tcW w:w="591"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措施类型</w:t>
            </w:r>
          </w:p>
        </w:tc>
        <w:tc>
          <w:tcPr>
            <w:tcW w:w="674"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措施内容</w:t>
            </w:r>
          </w:p>
        </w:tc>
        <w:tc>
          <w:tcPr>
            <w:tcW w:w="912" w:type="pct"/>
            <w:gridSpan w:val="2"/>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2016年</w:t>
            </w:r>
          </w:p>
        </w:tc>
        <w:tc>
          <w:tcPr>
            <w:tcW w:w="2352" w:type="pct"/>
            <w:gridSpan w:val="4"/>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2017年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tblHeader/>
          <w:jc w:val="center"/>
        </w:trPr>
        <w:tc>
          <w:tcPr>
            <w:tcW w:w="469"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91"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74"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80"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11月</w:t>
            </w:r>
          </w:p>
        </w:tc>
        <w:tc>
          <w:tcPr>
            <w:tcW w:w="431"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12月</w:t>
            </w:r>
          </w:p>
        </w:tc>
        <w:tc>
          <w:tcPr>
            <w:tcW w:w="817"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1-3月</w:t>
            </w:r>
          </w:p>
        </w:tc>
        <w:tc>
          <w:tcPr>
            <w:tcW w:w="473"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4-6月</w:t>
            </w:r>
          </w:p>
        </w:tc>
        <w:tc>
          <w:tcPr>
            <w:tcW w:w="44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7-9月</w:t>
            </w:r>
          </w:p>
        </w:tc>
        <w:tc>
          <w:tcPr>
            <w:tcW w:w="61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10-11月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69" w:type="pct"/>
            <w:vMerge w:val="restar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主体工程区</w:t>
            </w:r>
          </w:p>
        </w:tc>
        <w:tc>
          <w:tcPr>
            <w:tcW w:w="1265" w:type="pct"/>
            <w:gridSpan w:val="2"/>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w:t>
            </w:r>
          </w:p>
        </w:tc>
        <w:tc>
          <w:tcPr>
            <w:tcW w:w="2648" w:type="pct"/>
            <w:gridSpan w:val="5"/>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mc:AlternateContent>
                <mc:Choice Requires="wps">
                  <w:drawing>
                    <wp:anchor distT="0" distB="0" distL="114300" distR="114300" simplePos="0" relativeHeight="252030976" behindDoc="0" locked="0" layoutInCell="1" allowOverlap="1">
                      <wp:simplePos x="0" y="0"/>
                      <wp:positionH relativeFrom="column">
                        <wp:posOffset>63500</wp:posOffset>
                      </wp:positionH>
                      <wp:positionV relativeFrom="paragraph">
                        <wp:posOffset>92710</wp:posOffset>
                      </wp:positionV>
                      <wp:extent cx="2565400" cy="0"/>
                      <wp:effectExtent l="0" t="0" r="25400" b="19050"/>
                      <wp:wrapNone/>
                      <wp:docPr id="41" name="AutoShape 1911"/>
                      <wp:cNvGraphicFramePr/>
                      <a:graphic xmlns:a="http://schemas.openxmlformats.org/drawingml/2006/main">
                        <a:graphicData uri="http://schemas.microsoft.com/office/word/2010/wordprocessingShape">
                          <wps:wsp>
                            <wps:cNvCnPr>
                              <a:cxnSpLocks noChangeShapeType="1"/>
                            </wps:cNvCnPr>
                            <wps:spPr bwMode="auto">
                              <a:xfrm>
                                <a:off x="0" y="0"/>
                                <a:ext cx="2565400" cy="0"/>
                              </a:xfrm>
                              <a:prstGeom prst="straightConnector1">
                                <a:avLst/>
                              </a:prstGeom>
                              <a:noFill/>
                              <a:ln w="15875">
                                <a:solidFill>
                                  <a:srgbClr val="000000"/>
                                </a:solidFill>
                                <a:round/>
                              </a:ln>
                            </wps:spPr>
                            <wps:bodyPr/>
                          </wps:wsp>
                        </a:graphicData>
                      </a:graphic>
                    </wp:anchor>
                  </w:drawing>
                </mc:Choice>
                <mc:Fallback>
                  <w:pict>
                    <v:shape id="AutoShape 1911" o:spid="_x0000_s1026" o:spt="32" type="#_x0000_t32" style="position:absolute;left:0pt;margin-left:5pt;margin-top:7.3pt;height:0pt;width:202pt;z-index:252030976;mso-width-relative:page;mso-height-relative:page;" filled="f" stroked="t" coordsize="21600,21600" o:gfxdata="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7mXkI0wAAAAgBAAAPAAAAAAAAAAEAIAAAACIAAABkcnMvZG93bnJldi54bWxQSwECFAAU&#10;AAAACACHTuJAgeQDpL0BAABpAwAADgAAAAAAAAABACAAAAAiAQAAZHJzL2Uyb0RvYy54bWxQSwUG&#10;AAAAAAYABgBZAQAAUQUAAAAA&#10;">
                      <v:fill on="f" focussize="0,0"/>
                      <v:stroke weight="1.25pt" color="#000000" joinstyle="round"/>
                      <v:imagedata o:title=""/>
                      <o:lock v:ext="edit" aspectratio="f"/>
                    </v:shape>
                  </w:pict>
                </mc:Fallback>
              </mc:AlternateContent>
            </w:r>
          </w:p>
        </w:tc>
        <w:tc>
          <w:tcPr>
            <w:tcW w:w="61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69"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91"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工程措施</w:t>
            </w:r>
          </w:p>
        </w:tc>
        <w:tc>
          <w:tcPr>
            <w:tcW w:w="674"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散水暗沟</w:t>
            </w:r>
          </w:p>
        </w:tc>
        <w:tc>
          <w:tcPr>
            <w:tcW w:w="480"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31"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81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73"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4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rPr>
              <mc:AlternateContent>
                <mc:Choice Requires="wps">
                  <w:drawing>
                    <wp:anchor distT="0" distB="0" distL="114300" distR="114300" simplePos="0" relativeHeight="252028928" behindDoc="0" locked="0" layoutInCell="1" allowOverlap="1">
                      <wp:simplePos x="0" y="0"/>
                      <wp:positionH relativeFrom="character">
                        <wp:posOffset>-176530</wp:posOffset>
                      </wp:positionH>
                      <wp:positionV relativeFrom="line">
                        <wp:posOffset>230505</wp:posOffset>
                      </wp:positionV>
                      <wp:extent cx="381000" cy="0"/>
                      <wp:effectExtent l="0" t="19050" r="0" b="19050"/>
                      <wp:wrapNone/>
                      <wp:docPr id="28" name="自选图形 1028"/>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straightConnector1">
                                <a:avLst/>
                              </a:prstGeom>
                              <a:noFill/>
                              <a:ln w="38100">
                                <a:solidFill>
                                  <a:srgbClr val="000000"/>
                                </a:solidFill>
                                <a:prstDash val="sysDot"/>
                                <a:round/>
                              </a:ln>
                              <a:effectLst/>
                            </wps:spPr>
                            <wps:bodyPr/>
                          </wps:wsp>
                        </a:graphicData>
                      </a:graphic>
                    </wp:anchor>
                  </w:drawing>
                </mc:Choice>
                <mc:Fallback>
                  <w:pict>
                    <v:shape id="自选图形 1028" o:spid="_x0000_s1026" o:spt="32" type="#_x0000_t32" style="position:absolute;left:0pt;margin-left:-13.9pt;margin-top:18.15pt;height:0pt;width:30pt;mso-position-horizontal-relative:char;mso-position-vertical-relative:line;z-index:252028928;mso-width-relative:page;mso-height-relative:page;" filled="f" stroked="t" coordsize="21600,21600" o:gfxdata="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dNLGdYAAAAIAQAADwAA&#10;AAAAAAABACAAAAAiAAAAZHJzL2Rvd25yZXYueG1sUEsBAhQAFAAAAAgAh07iQHNTN4bfAQAAkwMA&#10;AA4AAAAAAAAAAQAgAAAAJQEAAGRycy9lMm9Eb2MueG1sUEsFBgAAAAAGAAYAWQEAAHYFAAAAAA==&#10;">
                      <v:fill on="f" focussize="0,0"/>
                      <v:stroke weight="3pt" color="#000000" joinstyle="round" dashstyle="1 1"/>
                      <v:imagedata o:title=""/>
                      <o:lock v:ext="edit" aspectratio="f"/>
                    </v:shape>
                  </w:pict>
                </mc:Fallback>
              </mc:AlternateContent>
            </w:r>
          </w:p>
        </w:tc>
        <w:tc>
          <w:tcPr>
            <w:tcW w:w="61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69" w:type="pct"/>
            <w:vMerge w:val="continue"/>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91"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临时措施</w:t>
            </w:r>
          </w:p>
        </w:tc>
        <w:tc>
          <w:tcPr>
            <w:tcW w:w="674"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480"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drawing>
                <wp:inline distT="0" distB="0" distL="0" distR="0">
                  <wp:extent cx="425450" cy="158750"/>
                  <wp:effectExtent l="0" t="0" r="6350" b="6350"/>
                  <wp:docPr id="2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5450" cy="158750"/>
                          </a:xfrm>
                          <a:prstGeom prst="rect">
                            <a:avLst/>
                          </a:prstGeom>
                          <a:noFill/>
                          <a:ln>
                            <a:noFill/>
                          </a:ln>
                        </pic:spPr>
                      </pic:pic>
                    </a:graphicData>
                  </a:graphic>
                </wp:inline>
              </w:drawing>
            </w:r>
          </w:p>
        </w:tc>
        <w:tc>
          <w:tcPr>
            <w:tcW w:w="431"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81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73"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4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1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0" w:hRule="atLeast"/>
          <w:jc w:val="center"/>
        </w:trPr>
        <w:tc>
          <w:tcPr>
            <w:tcW w:w="469"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附属设施区</w:t>
            </w:r>
          </w:p>
        </w:tc>
        <w:tc>
          <w:tcPr>
            <w:tcW w:w="591"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临时措施</w:t>
            </w:r>
          </w:p>
        </w:tc>
        <w:tc>
          <w:tcPr>
            <w:tcW w:w="674"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防雨布遮盖</w:t>
            </w:r>
          </w:p>
        </w:tc>
        <w:tc>
          <w:tcPr>
            <w:tcW w:w="480"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431" w:type="pct"/>
            <w:vAlign w:val="center"/>
          </w:tcPr>
          <w:p>
            <w:pPr>
              <w:suppressAutoHyphens/>
              <w:spacing w:line="240" w:lineRule="auto"/>
              <w:ind w:firstLine="0" w:firstLineChars="0"/>
              <w:jc w:val="center"/>
              <w:rPr>
                <w:rFonts w:hint="default" w:ascii="Times New Roman" w:hAnsi="Times New Roman" w:eastAsia="仿宋_GB2312" w:cs="Times New Roman"/>
                <w:color w:val="auto"/>
                <w:sz w:val="18"/>
                <w:szCs w:val="18"/>
              </w:rPr>
            </w:pPr>
          </w:p>
        </w:tc>
        <w:tc>
          <w:tcPr>
            <w:tcW w:w="817"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73"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4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drawing>
                <wp:inline distT="0" distB="0" distL="0" distR="0">
                  <wp:extent cx="324485" cy="158750"/>
                  <wp:effectExtent l="0" t="0" r="5715" b="6350"/>
                  <wp:docPr id="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24485" cy="158750"/>
                          </a:xfrm>
                          <a:prstGeom prst="rect">
                            <a:avLst/>
                          </a:prstGeom>
                          <a:noFill/>
                          <a:ln>
                            <a:noFill/>
                          </a:ln>
                        </pic:spPr>
                      </pic:pic>
                    </a:graphicData>
                  </a:graphic>
                </wp:inline>
              </w:drawing>
            </w:r>
          </w:p>
        </w:tc>
        <w:tc>
          <w:tcPr>
            <w:tcW w:w="616" w:type="pct"/>
            <w:vAlign w:val="center"/>
          </w:tcPr>
          <w:p>
            <w:pPr>
              <w:suppressAutoHyphens/>
              <w:spacing w:line="240" w:lineRule="auto"/>
              <w:ind w:firstLine="0" w:firstLineChars="0"/>
              <w:jc w:val="center"/>
              <w:rPr>
                <w:rFonts w:hint="default" w:ascii="Times New Roman" w:hAnsi="Times New Roman" w:eastAsia="仿宋_GB2312" w:cs="Times New Roman"/>
                <w:color w:val="auto"/>
                <w:kern w:val="0"/>
                <w:sz w:val="18"/>
                <w:szCs w:val="18"/>
              </w:rPr>
            </w:pPr>
          </w:p>
        </w:tc>
      </w:tr>
    </w:tbl>
    <w:p>
      <w:pPr>
        <w:tabs>
          <w:tab w:val="left" w:pos="5760"/>
        </w:tabs>
        <w:ind w:firstLine="0" w:firstLineChars="0"/>
        <w:jc w:val="center"/>
        <w:rPr>
          <w:rFonts w:hint="default" w:ascii="Times New Roman" w:hAnsi="Times New Roman" w:eastAsia="仿宋_GB2312" w:cs="Times New Roman"/>
          <w:color w:val="auto"/>
          <w:sz w:val="18"/>
          <w:szCs w:val="18"/>
        </w:rPr>
        <w:sectPr>
          <w:headerReference r:id="rId15" w:type="default"/>
          <w:pgSz w:w="11906" w:h="16838"/>
          <w:pgMar w:top="1440" w:right="1797" w:bottom="1440" w:left="1797" w:header="851" w:footer="992" w:gutter="0"/>
          <w:cols w:space="720" w:num="1"/>
          <w:docGrid w:type="lines" w:linePitch="326" w:charSpace="0"/>
        </w:sectPr>
      </w:pPr>
      <w:r>
        <w:rPr>
          <w:rFonts w:hint="default" w:ascii="Times New Roman" w:hAnsi="Times New Roman" w:eastAsia="仿宋_GB2312" w:cs="Times New Roman"/>
          <w:color w:val="auto"/>
          <w:kern w:val="0"/>
          <w:sz w:val="18"/>
          <w:szCs w:val="18"/>
        </w:rPr>
        <mc:AlternateContent>
          <mc:Choice Requires="wps">
            <w:drawing>
              <wp:anchor distT="0" distB="0" distL="114300" distR="114300" simplePos="0" relativeHeight="252033024" behindDoc="0" locked="0" layoutInCell="1" allowOverlap="1">
                <wp:simplePos x="0" y="0"/>
                <wp:positionH relativeFrom="column">
                  <wp:posOffset>1989455</wp:posOffset>
                </wp:positionH>
                <wp:positionV relativeFrom="paragraph">
                  <wp:posOffset>473710</wp:posOffset>
                </wp:positionV>
                <wp:extent cx="958850" cy="0"/>
                <wp:effectExtent l="0" t="0" r="12700" b="19050"/>
                <wp:wrapNone/>
                <wp:docPr id="3" name="AutoShape 1911"/>
                <wp:cNvGraphicFramePr/>
                <a:graphic xmlns:a="http://schemas.openxmlformats.org/drawingml/2006/main">
                  <a:graphicData uri="http://schemas.microsoft.com/office/word/2010/wordprocessingShape">
                    <wps:wsp>
                      <wps:cNvCnPr>
                        <a:cxnSpLocks noChangeShapeType="1"/>
                      </wps:cNvCnPr>
                      <wps:spPr bwMode="auto">
                        <a:xfrm>
                          <a:off x="0" y="0"/>
                          <a:ext cx="958850" cy="0"/>
                        </a:xfrm>
                        <a:prstGeom prst="straightConnector1">
                          <a:avLst/>
                        </a:prstGeom>
                        <a:noFill/>
                        <a:ln w="15875">
                          <a:solidFill>
                            <a:srgbClr val="000000"/>
                          </a:solidFill>
                          <a:round/>
                        </a:ln>
                      </wps:spPr>
                      <wps:bodyPr/>
                    </wps:wsp>
                  </a:graphicData>
                </a:graphic>
              </wp:anchor>
            </w:drawing>
          </mc:Choice>
          <mc:Fallback>
            <w:pict>
              <v:shape id="AutoShape 1911" o:spid="_x0000_s1026" o:spt="32" type="#_x0000_t32" style="position:absolute;left:0pt;margin-left:156.65pt;margin-top:37.3pt;height:0pt;width:75.5pt;z-index:252033024;mso-width-relative:page;mso-height-relative:page;" filled="f" stroked="t" coordsize="21600,21600" o:gfxdata="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GpNtYAAAAJAQAADwAAAAAAAAABACAAAAAiAAAAZHJzL2Rvd25yZXYueG1sUEsBAhQA&#10;FAAAAAgAh07iQJ+nOpO7AQAAZwMAAA4AAAAAAAAAAQAgAAAAJQEAAGRycy9lMm9Eb2MueG1sUEsF&#10;BgAAAAAGAAYAWQEAAFIFAAAAAA==&#10;">
                <v:fill on="f" focussize="0,0"/>
                <v:stroke weight="1.25pt" color="#000000" joinstyle="round"/>
                <v:imagedata o:title=""/>
                <o:lock v:ext="edit" aspectratio="f"/>
              </v:shape>
            </w:pict>
          </mc:Fallback>
        </mc:AlternateContent>
      </w:r>
      <w:r>
        <w:rPr>
          <w:rFonts w:hint="default" w:ascii="Times New Roman" w:hAnsi="Times New Roman" w:eastAsia="仿宋_GB2312" w:cs="Times New Roman"/>
          <w:bCs/>
          <w:color w:val="auto"/>
          <w:kern w:val="0"/>
          <w:sz w:val="18"/>
          <w:szCs w:val="18"/>
        </w:rPr>
        <mc:AlternateContent>
          <mc:Choice Requires="wps">
            <w:drawing>
              <wp:anchor distT="0" distB="0" distL="114300" distR="114300" simplePos="0" relativeHeight="251641856" behindDoc="0" locked="0" layoutInCell="1" allowOverlap="1">
                <wp:simplePos x="0" y="0"/>
                <wp:positionH relativeFrom="column">
                  <wp:posOffset>6594475</wp:posOffset>
                </wp:positionH>
                <wp:positionV relativeFrom="paragraph">
                  <wp:posOffset>173355</wp:posOffset>
                </wp:positionV>
                <wp:extent cx="793750" cy="0"/>
                <wp:effectExtent l="0" t="0" r="26035" b="19050"/>
                <wp:wrapNone/>
                <wp:docPr id="25" name="AutoShape 1823"/>
                <wp:cNvGraphicFramePr/>
                <a:graphic xmlns:a="http://schemas.openxmlformats.org/drawingml/2006/main">
                  <a:graphicData uri="http://schemas.microsoft.com/office/word/2010/wordprocessingShape">
                    <wps:wsp>
                      <wps:cNvCnPr>
                        <a:cxnSpLocks noChangeShapeType="1"/>
                      </wps:cNvCnPr>
                      <wps:spPr bwMode="auto">
                        <a:xfrm>
                          <a:off x="0" y="0"/>
                          <a:ext cx="793630" cy="0"/>
                        </a:xfrm>
                        <a:prstGeom prst="straightConnector1">
                          <a:avLst/>
                        </a:prstGeom>
                        <a:noFill/>
                        <a:ln w="15875">
                          <a:solidFill>
                            <a:srgbClr val="000000"/>
                          </a:solidFill>
                          <a:round/>
                        </a:ln>
                      </wps:spPr>
                      <wps:bodyPr/>
                    </wps:wsp>
                  </a:graphicData>
                </a:graphic>
              </wp:anchor>
            </w:drawing>
          </mc:Choice>
          <mc:Fallback>
            <w:pict>
              <v:shape id="AutoShape 1823" o:spid="_x0000_s1026" o:spt="32" type="#_x0000_t32" style="position:absolute;left:0pt;margin-left:519.25pt;margin-top:13.65pt;height:0pt;width:62.5pt;z-index:251641856;mso-width-relative:page;mso-height-relative:page;" filled="f" stroked="t" coordsize="21600,21600" o:gfxdata="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Zl83HXAAAACwEAAA8AAAAAAAAAAQAgAAAAIgAAAGRycy9kb3ducmV2LnhtbFBL&#10;AQIUABQAAAAIAIdO4kC4+xcOvgEAAGgDAAAOAAAAAAAAAAEAIAAAACYBAABkcnMvZTJvRG9jLnht&#10;bFBLBQYAAAAABgAGAFkBAABWBQAAAAA=&#10;">
                <v:fill on="f" focussize="0,0"/>
                <v:stroke weight="1.25pt" color="#000000" joinstyle="round"/>
                <v:imagedata o:title=""/>
                <o:lock v:ext="edit" aspectratio="f"/>
              </v:shape>
            </w:pict>
          </mc:Fallback>
        </mc:AlternateContent>
      </w:r>
      <w:r>
        <w:rPr>
          <w:rFonts w:hint="default" w:ascii="Times New Roman" w:hAnsi="Times New Roman" w:eastAsia="仿宋_GB2312" w:cs="Times New Roman"/>
          <w:bCs/>
          <w:color w:val="auto"/>
          <w:kern w:val="0"/>
          <w:sz w:val="18"/>
          <w:szCs w:val="18"/>
        </w:rPr>
        <w:t>注 “</w:t>
      </w:r>
      <w:r>
        <w:rPr>
          <w:rFonts w:hint="default" w:ascii="Times New Roman" w:hAnsi="Times New Roman" w:eastAsia="仿宋_GB2312" w:cs="Times New Roman"/>
          <w:color w:val="auto"/>
          <w:sz w:val="18"/>
          <w:szCs w:val="18"/>
        </w:rPr>
        <w:drawing>
          <wp:inline distT="0" distB="0" distL="0" distR="0">
            <wp:extent cx="683895" cy="158750"/>
            <wp:effectExtent l="0" t="0" r="0" b="0"/>
            <wp:docPr id="2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683895" cy="158750"/>
                    </a:xfrm>
                    <a:prstGeom prst="rect">
                      <a:avLst/>
                    </a:prstGeom>
                    <a:noFill/>
                    <a:ln>
                      <a:noFill/>
                    </a:ln>
                  </pic:spPr>
                </pic:pic>
              </a:graphicData>
            </a:graphic>
          </wp:inline>
        </w:drawing>
      </w:r>
      <w:r>
        <w:rPr>
          <w:rFonts w:hint="default" w:ascii="Times New Roman" w:hAnsi="Times New Roman" w:eastAsia="仿宋_GB2312" w:cs="Times New Roman"/>
          <w:color w:val="auto"/>
          <w:sz w:val="18"/>
          <w:szCs w:val="18"/>
        </w:rPr>
        <w:t>”表示临时措施进度；</w: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rPr>
        <mc:AlternateContent>
          <mc:Choice Requires="wps">
            <w:drawing>
              <wp:anchor distT="0" distB="0" distL="114300" distR="114300" simplePos="0" relativeHeight="251640832" behindDoc="0" locked="0" layoutInCell="1" allowOverlap="1">
                <wp:simplePos x="0" y="0"/>
                <wp:positionH relativeFrom="character">
                  <wp:posOffset>47625</wp:posOffset>
                </wp:positionH>
                <wp:positionV relativeFrom="line">
                  <wp:posOffset>178435</wp:posOffset>
                </wp:positionV>
                <wp:extent cx="814070" cy="0"/>
                <wp:effectExtent l="19050" t="26035" r="24130" b="21590"/>
                <wp:wrapNone/>
                <wp:docPr id="24" name="自选图形 1031"/>
                <wp:cNvGraphicFramePr/>
                <a:graphic xmlns:a="http://schemas.openxmlformats.org/drawingml/2006/main">
                  <a:graphicData uri="http://schemas.microsoft.com/office/word/2010/wordprocessingShape">
                    <wps:wsp>
                      <wps:cNvCnPr>
                        <a:cxnSpLocks noChangeShapeType="1"/>
                      </wps:cNvCnPr>
                      <wps:spPr bwMode="auto">
                        <a:xfrm>
                          <a:off x="0" y="0"/>
                          <a:ext cx="814070" cy="0"/>
                        </a:xfrm>
                        <a:prstGeom prst="straightConnector1">
                          <a:avLst/>
                        </a:prstGeom>
                        <a:noFill/>
                        <a:ln w="38100">
                          <a:solidFill>
                            <a:srgbClr val="000000"/>
                          </a:solidFill>
                          <a:prstDash val="sysDot"/>
                          <a:round/>
                        </a:ln>
                        <a:effectLst/>
                      </wps:spPr>
                      <wps:bodyPr/>
                    </wps:wsp>
                  </a:graphicData>
                </a:graphic>
              </wp:anchor>
            </w:drawing>
          </mc:Choice>
          <mc:Fallback>
            <w:pict>
              <v:shape id="自选图形 1031" o:spid="_x0000_s1026" o:spt="32" type="#_x0000_t32" style="position:absolute;left:0pt;margin-left:3.75pt;margin-top:14.05pt;height:0pt;width:64.1pt;mso-position-horizontal-relative:char;mso-position-vertical-relative:line;z-index:251640832;mso-width-relative:page;mso-height-relative:page;" filled="f" stroked="t" coordsize="21600,21600" o:gfxdata="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27VQbUAAAABwEA&#10;AA8AAAAAAAAAAQAgAAAAIgAAAGRycy9kb3ducmV2LnhtbFBLAQIUABQAAAAIAIdO4kC/Rk0+5QEA&#10;AJMDAAAOAAAAAAAAAAEAIAAAACMBAABkcnMvZTJvRG9jLnhtbFBLBQYAAAAABgAGAFkBAAB6BQAA&#10;AAA=&#10;">
                <v:fill on="f" focussize="0,0"/>
                <v:stroke weight="3pt" color="#000000" joinstyle="round" dashstyle="1 1"/>
                <v:imagedata o:title=""/>
                <o:lock v:ext="edit" aspectratio="f"/>
              </v:shape>
            </w:pict>
          </mc:Fallback>
        </mc:AlternateContent>
      </w:r>
      <w:r>
        <w:rPr>
          <w:rFonts w:hint="default" w:ascii="Times New Roman" w:hAnsi="Times New Roman" w:eastAsia="仿宋_GB2312" w:cs="Times New Roman"/>
          <w:color w:val="auto"/>
        </w:rPr>
        <mc:AlternateContent>
          <mc:Choice Requires="wps">
            <w:drawing>
              <wp:inline distT="0" distB="0" distL="0" distR="0">
                <wp:extent cx="810895" cy="8255"/>
                <wp:effectExtent l="0" t="0" r="0" b="0"/>
                <wp:docPr id="2"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10895" cy="8255"/>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AutoShape 24" o:spid="_x0000_s1026" o:spt="1" style="height:0.65pt;width:63.85pt;" filled="f" stroked="f" coordsize="21600,21600" o:gfxdata="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IyUnXU&#10;AAAAAwEAAA8AAAAAAAAAAQAgAAAAIgAAAGRycy9kb3ducmV2LnhtbFBLAQIUABQAAAAIAIdO4kB7&#10;Op476wEAAM4DAAAOAAAAAAAAAAEAIAAAACMBAABkcnMvZTJvRG9jLnhtbFBLBQYAAAAABgAGAFkB&#10;AACABQAAAAA=&#10;">
                <v:fill on="f" focussize="0,0"/>
                <v:stroke on="f"/>
                <v:imagedata o:title=""/>
                <o:lock v:ext="edit" aspectratio="t"/>
                <v:textbox>
                  <w:txbxContent>
                    <w:p>
                      <w:pPr>
                        <w:jc w:val="center"/>
                      </w:pPr>
                    </w:p>
                  </w:txbxContent>
                </v:textbox>
                <w10:wrap type="none"/>
                <w10:anchorlock/>
              </v:rect>
            </w:pict>
          </mc:Fallback>
        </mc:AlternateContent>
      </w:r>
      <w:r>
        <w:rPr>
          <w:rFonts w:hint="default" w:ascii="Times New Roman" w:hAnsi="Times New Roman" w:eastAsia="仿宋_GB2312" w:cs="Times New Roman"/>
          <w:color w:val="auto"/>
        </w:rPr>
        <w:t>”</w:t>
      </w:r>
      <w:r>
        <w:rPr>
          <w:rFonts w:hint="default" w:ascii="Times New Roman" w:hAnsi="Times New Roman" w:eastAsia="仿宋_GB2312" w:cs="Times New Roman"/>
          <w:color w:val="auto"/>
          <w:sz w:val="18"/>
          <w:szCs w:val="18"/>
        </w:rPr>
        <w:t>表示工程措施进度；“</w:t>
      </w:r>
      <w:r>
        <w:rPr>
          <w:rFonts w:hint="default" w:ascii="Times New Roman" w:hAnsi="Times New Roman" w:eastAsia="仿宋_GB2312" w:cs="Times New Roman"/>
          <w:color w:val="auto"/>
        </w:rPr>
        <mc:AlternateContent>
          <mc:Choice Requires="wps">
            <w:drawing>
              <wp:anchor distT="0" distB="0" distL="114300" distR="114300" simplePos="0" relativeHeight="251639808" behindDoc="0" locked="0" layoutInCell="1" allowOverlap="1">
                <wp:simplePos x="0" y="0"/>
                <wp:positionH relativeFrom="character">
                  <wp:posOffset>0</wp:posOffset>
                </wp:positionH>
                <wp:positionV relativeFrom="line">
                  <wp:posOffset>178435</wp:posOffset>
                </wp:positionV>
                <wp:extent cx="896620" cy="0"/>
                <wp:effectExtent l="19050" t="26035" r="27305" b="21590"/>
                <wp:wrapNone/>
                <wp:docPr id="18" name="自选图形 1028"/>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38100">
                          <a:solidFill>
                            <a:srgbClr val="000000"/>
                          </a:solidFill>
                          <a:prstDash val="dash"/>
                          <a:round/>
                        </a:ln>
                        <a:effectLst/>
                      </wps:spPr>
                      <wps:bodyPr/>
                    </wps:wsp>
                  </a:graphicData>
                </a:graphic>
              </wp:anchor>
            </w:drawing>
          </mc:Choice>
          <mc:Fallback>
            <w:pict>
              <v:shape id="自选图形 1028" o:spid="_x0000_s1026" o:spt="32" type="#_x0000_t32" style="position:absolute;left:0pt;margin-left:0pt;margin-top:14.05pt;height:0pt;width:70.6pt;mso-position-horizontal-relative:char;mso-position-vertical-relative:line;z-index:251639808;mso-width-relative:page;mso-height-relative:page;" filled="f" stroked="t" coordsize="21600,21600" o:gfxdata="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e9aMNYAAAAGAQAA&#10;DwAAAAAAAAABACAAAAAiAAAAZHJzL2Rvd25yZXYueG1sUEsBAhQAFAAAAAgAh07iQDXOUq/iAQAA&#10;kQMAAA4AAAAAAAAAAQAgAAAAJQEAAGRycy9lMm9Eb2MueG1sUEsFBgAAAAAGAAYAWQEAAHkFAAAA&#10;AA==&#10;">
                <v:fill on="f" focussize="0,0"/>
                <v:stroke weight="3pt" color="#000000" joinstyle="round" dashstyle="dash"/>
                <v:imagedata o:title=""/>
                <o:lock v:ext="edit" aspectratio="f"/>
              </v:shape>
            </w:pict>
          </mc:Fallback>
        </mc:AlternateContent>
      </w:r>
      <w:r>
        <w:rPr>
          <w:rFonts w:hint="default" w:ascii="Times New Roman" w:hAnsi="Times New Roman" w:eastAsia="仿宋_GB2312" w:cs="Times New Roman"/>
          <w:color w:val="auto"/>
        </w:rPr>
        <mc:AlternateContent>
          <mc:Choice Requires="wps">
            <w:drawing>
              <wp:inline distT="0" distB="0" distL="0" distR="0">
                <wp:extent cx="898525" cy="8255"/>
                <wp:effectExtent l="0" t="0" r="0" b="0"/>
                <wp:docPr id="1"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8525" cy="8255"/>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AutoShape 25" o:spid="_x0000_s1026" o:spt="1" style="height:0.65pt;width:70.75pt;" filled="f" stroked="f" coordsize="21600,21600" o:gfxdata="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Qq/dnUAAAA&#10;AwEAAA8AAAAAAAAAAQAgAAAAIgAAAGRycy9kb3ducmV2LnhtbFBLAQIUABQAAAAIAIdO4kAVx9rx&#10;6AEAAM4DAAAOAAAAAAAAAAEAIAAAACMBAABkcnMvZTJvRG9jLnhtbFBLBQYAAAAABgAGAFkBAAB9&#10;BQAAAAA=&#10;">
                <v:fill on="f" focussize="0,0"/>
                <v:stroke on="f"/>
                <v:imagedata o:title=""/>
                <o:lock v:ext="edit" aspectratio="t"/>
                <v:textbox>
                  <w:txbxContent>
                    <w:p>
                      <w:pPr>
                        <w:jc w:val="center"/>
                      </w:pPr>
                    </w:p>
                  </w:txbxContent>
                </v:textbox>
                <w10:wrap type="none"/>
                <w10:anchorlock/>
              </v:rect>
            </w:pict>
          </mc:Fallback>
        </mc:AlternateContent>
      </w:r>
      <w:r>
        <w:rPr>
          <w:rFonts w:hint="default" w:ascii="Times New Roman" w:hAnsi="Times New Roman" w:eastAsia="仿宋_GB2312" w:cs="Times New Roman"/>
          <w:color w:val="auto"/>
          <w:sz w:val="18"/>
          <w:szCs w:val="18"/>
        </w:rPr>
        <w:t>”表示植物措施进度；“               ”表示主体工施工进度</w:t>
      </w:r>
    </w:p>
    <w:bookmarkEnd w:id="138"/>
    <w:bookmarkEnd w:id="139"/>
    <w:bookmarkEnd w:id="140"/>
    <w:bookmarkEnd w:id="141"/>
    <w:bookmarkEnd w:id="142"/>
    <w:p>
      <w:pPr>
        <w:pStyle w:val="2"/>
        <w:rPr>
          <w:rFonts w:hint="default" w:ascii="Times New Roman" w:hAnsi="Times New Roman" w:cs="Times New Roman"/>
          <w:color w:val="auto"/>
          <w:kern w:val="0"/>
        </w:rPr>
      </w:pPr>
      <w:bookmarkStart w:id="143" w:name="_Toc12137981"/>
      <w:bookmarkStart w:id="144" w:name="_Toc33013303"/>
      <w:bookmarkStart w:id="145" w:name="_Toc4881"/>
      <w:bookmarkStart w:id="146" w:name="_Toc425493420"/>
      <w:r>
        <w:rPr>
          <w:rFonts w:hint="default" w:ascii="Times New Roman" w:hAnsi="Times New Roman" w:cs="Times New Roman"/>
          <w:color w:val="auto"/>
          <w:kern w:val="0"/>
        </w:rPr>
        <w:t>6水土保持监测</w:t>
      </w:r>
      <w:bookmarkEnd w:id="143"/>
      <w:bookmarkEnd w:id="144"/>
      <w:bookmarkEnd w:id="145"/>
    </w:p>
    <w:p>
      <w:pPr>
        <w:pStyle w:val="3"/>
        <w:suppressAutoHyphens/>
        <w:spacing w:before="156" w:beforeLines="50" w:after="156" w:afterLines="50"/>
        <w:rPr>
          <w:rFonts w:hint="default" w:ascii="Times New Roman" w:hAnsi="Times New Roman" w:cs="Times New Roman"/>
          <w:color w:val="auto"/>
          <w:kern w:val="0"/>
        </w:rPr>
      </w:pPr>
      <w:bookmarkStart w:id="147" w:name="_6_1_监测内容"/>
      <w:bookmarkEnd w:id="147"/>
      <w:bookmarkStart w:id="148" w:name="_Toc372908213"/>
      <w:bookmarkStart w:id="149" w:name="_Toc425234234"/>
      <w:bookmarkStart w:id="150" w:name="_Toc33013304"/>
      <w:bookmarkStart w:id="151" w:name="_Toc21268"/>
      <w:bookmarkStart w:id="152" w:name="_Toc12137982"/>
      <w:bookmarkStart w:id="153" w:name="_Toc8591338"/>
      <w:bookmarkStart w:id="154" w:name="_Toc427779239"/>
      <w:bookmarkStart w:id="155" w:name="_Toc427779238"/>
      <w:bookmarkStart w:id="156" w:name="_Toc425234233"/>
      <w:bookmarkStart w:id="157" w:name="_Toc372908212"/>
      <w:r>
        <w:rPr>
          <w:rFonts w:hint="default" w:ascii="Times New Roman" w:hAnsi="Times New Roman" w:cs="Times New Roman"/>
          <w:color w:val="auto"/>
          <w:kern w:val="0"/>
        </w:rPr>
        <w:t xml:space="preserve">6.1 </w:t>
      </w:r>
      <w:bookmarkEnd w:id="148"/>
      <w:bookmarkEnd w:id="149"/>
      <w:r>
        <w:rPr>
          <w:rFonts w:hint="default" w:ascii="Times New Roman" w:hAnsi="Times New Roman" w:cs="Times New Roman"/>
          <w:color w:val="auto"/>
          <w:kern w:val="0"/>
        </w:rPr>
        <w:t>范围与时段</w:t>
      </w:r>
      <w:bookmarkEnd w:id="150"/>
      <w:bookmarkEnd w:id="151"/>
      <w:bookmarkEnd w:id="152"/>
      <w:bookmarkEnd w:id="153"/>
      <w:bookmarkEnd w:id="154"/>
    </w:p>
    <w:p>
      <w:pPr>
        <w:pStyle w:val="4"/>
        <w:rPr>
          <w:rFonts w:hint="default" w:ascii="Times New Roman" w:hAnsi="Times New Roman" w:cs="Times New Roman"/>
          <w:color w:val="auto"/>
        </w:rPr>
      </w:pPr>
      <w:r>
        <w:rPr>
          <w:rFonts w:hint="default" w:ascii="Times New Roman" w:hAnsi="Times New Roman" w:cs="Times New Roman"/>
          <w:color w:val="auto"/>
        </w:rPr>
        <w:t>6.1.1 监测范围</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生产建设项目水土保持监测与评价标准》（GB/T51240-2018），生产建设项目水土保持监测范围包括水土保持方案确定的水土流失防治责任范围，以及项目建设与生产过程中扰动与危害的其他区域。经调查项目在既有围墙内施工，没有扰动项目区以外的地表，故水土保持监测范围面积为永久占地面积，即0.</w:t>
      </w:r>
      <w:r>
        <w:rPr>
          <w:rFonts w:hint="default" w:ascii="Times New Roman" w:hAnsi="Times New Roman" w:eastAsia="仿宋_GB2312" w:cs="Times New Roman"/>
          <w:color w:val="auto"/>
          <w:szCs w:val="24"/>
          <w:lang w:val="en-US" w:eastAsia="zh-CN"/>
        </w:rPr>
        <w:t>43</w:t>
      </w:r>
      <w:r>
        <w:rPr>
          <w:rFonts w:hint="default" w:ascii="Times New Roman" w:hAnsi="Times New Roman" w:eastAsia="仿宋_GB2312" w:cs="Times New Roman"/>
          <w:color w:val="auto"/>
          <w:szCs w:val="24"/>
        </w:rPr>
        <w:t>hm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w:t>
      </w:r>
    </w:p>
    <w:p>
      <w:pPr>
        <w:pStyle w:val="4"/>
        <w:rPr>
          <w:rFonts w:hint="default" w:ascii="Times New Roman" w:hAnsi="Times New Roman" w:cs="Times New Roman"/>
          <w:color w:val="auto"/>
        </w:rPr>
      </w:pPr>
      <w:bookmarkStart w:id="158" w:name="_Toc427779240"/>
      <w:bookmarkStart w:id="159" w:name="_Toc372908214"/>
      <w:r>
        <w:rPr>
          <w:rFonts w:hint="default" w:ascii="Times New Roman" w:hAnsi="Times New Roman" w:cs="Times New Roman"/>
          <w:color w:val="auto"/>
        </w:rPr>
        <w:t>6.1.2监测时段</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根据《生产建设项目水土保持监测与评价标准》（GB/T51240-2018），建设类项目水土保持监测应从施工准备期开始至设计水平年结束。</w:t>
      </w:r>
      <w:r>
        <w:rPr>
          <w:rFonts w:hint="default" w:ascii="Times New Roman" w:hAnsi="Times New Roman" w:eastAsia="仿宋_GB2312" w:cs="Times New Roman"/>
          <w:color w:val="auto"/>
          <w:szCs w:val="24"/>
          <w:lang w:val="en-US" w:eastAsia="zh-CN"/>
        </w:rPr>
        <w:t>即</w:t>
      </w:r>
      <w:r>
        <w:rPr>
          <w:rFonts w:hint="default" w:ascii="Times New Roman" w:hAnsi="Times New Roman" w:eastAsia="仿宋_GB2312" w:cs="Times New Roman"/>
          <w:color w:val="auto"/>
          <w:szCs w:val="24"/>
        </w:rPr>
        <w:t>2016年11月～2020年12月。</w:t>
      </w:r>
    </w:p>
    <w:p>
      <w:pPr>
        <w:pStyle w:val="3"/>
        <w:suppressAutoHyphens/>
        <w:spacing w:before="156" w:beforeLines="50" w:after="156" w:afterLines="50"/>
        <w:rPr>
          <w:rFonts w:hint="default" w:ascii="Times New Roman" w:hAnsi="Times New Roman" w:cs="Times New Roman"/>
          <w:color w:val="auto"/>
          <w:kern w:val="0"/>
        </w:rPr>
      </w:pPr>
      <w:bookmarkStart w:id="160" w:name="_Toc8983"/>
      <w:bookmarkStart w:id="161" w:name="_Toc33013305"/>
      <w:bookmarkStart w:id="162" w:name="_Toc8591339"/>
      <w:bookmarkStart w:id="163" w:name="_Toc12137983"/>
      <w:r>
        <w:rPr>
          <w:rFonts w:hint="default" w:ascii="Times New Roman" w:hAnsi="Times New Roman" w:cs="Times New Roman"/>
          <w:color w:val="auto"/>
          <w:kern w:val="0"/>
        </w:rPr>
        <w:t>6.2内容和方法</w:t>
      </w:r>
      <w:bookmarkEnd w:id="158"/>
      <w:bookmarkEnd w:id="160"/>
      <w:bookmarkEnd w:id="161"/>
      <w:bookmarkEnd w:id="162"/>
      <w:bookmarkEnd w:id="163"/>
    </w:p>
    <w:p>
      <w:pPr>
        <w:pStyle w:val="4"/>
        <w:rPr>
          <w:rFonts w:hint="default" w:ascii="Times New Roman" w:hAnsi="Times New Roman" w:cs="Times New Roman"/>
          <w:color w:val="auto"/>
        </w:rPr>
      </w:pPr>
      <w:r>
        <w:rPr>
          <w:rFonts w:hint="default" w:ascii="Times New Roman" w:hAnsi="Times New Roman" w:cs="Times New Roman"/>
          <w:color w:val="auto"/>
        </w:rPr>
        <w:t>6.2.1监测内容</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根据《生产建设项目水土保持监测与评价标准》（GB/T51240-2018）的规定，并结合项目的实际确定监测内容：</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（1）项目建设对原地表、水土保持设施的占压和损毁情况，项目征占地和水土流失防治责任范围变化情况；各监测分区及其重点对象的土壤流失量；水土流失危危害的方式、数量和程度等。</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（2）工程措施布设位置、数量、结构形式；工程措施的类型、数量、分布和完好程度；水土保持措施效果等。</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w:t>
      </w:r>
      <w:r>
        <w:rPr>
          <w:rFonts w:hint="default" w:ascii="Times New Roman" w:hAnsi="Times New Roman" w:eastAsia="仿宋_GB2312" w:cs="Times New Roman"/>
          <w:color w:val="auto"/>
          <w:szCs w:val="24"/>
          <w:lang w:val="en-US" w:eastAsia="zh-CN"/>
        </w:rPr>
        <w:t>3</w:t>
      </w:r>
      <w:r>
        <w:rPr>
          <w:rFonts w:hint="default" w:ascii="Times New Roman" w:hAnsi="Times New Roman" w:eastAsia="仿宋_GB2312" w:cs="Times New Roman"/>
          <w:color w:val="auto"/>
          <w:szCs w:val="24"/>
        </w:rPr>
        <w:t>）临时措施布设位置、数量，防治效果，实施影像资料等。</w:t>
      </w:r>
    </w:p>
    <w:p>
      <w:pPr>
        <w:pStyle w:val="4"/>
        <w:rPr>
          <w:rFonts w:hint="default" w:ascii="Times New Roman" w:hAnsi="Times New Roman" w:cs="Times New Roman"/>
          <w:color w:val="auto"/>
        </w:rPr>
      </w:pPr>
      <w:bookmarkStart w:id="164" w:name="_Toc425234236"/>
      <w:bookmarkStart w:id="165" w:name="_Toc372908215"/>
      <w:r>
        <w:rPr>
          <w:rFonts w:hint="default" w:ascii="Times New Roman" w:hAnsi="Times New Roman" w:cs="Times New Roman"/>
          <w:color w:val="auto"/>
        </w:rPr>
        <w:t>6.2.2监测方法</w:t>
      </w:r>
      <w:bookmarkEnd w:id="164"/>
      <w:bookmarkEnd w:id="165"/>
      <w:r>
        <w:rPr>
          <w:rFonts w:hint="default" w:ascii="Times New Roman" w:hAnsi="Times New Roman" w:cs="Times New Roman"/>
          <w:color w:val="auto"/>
        </w:rPr>
        <w:t>及频次</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监测方法按照《生产建设项目水土保持监测与评价标准》（GB/T51240-2018）的规定结合项目实际来确定：</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（1）监测方法：对水土流失危害、水土保持设施实施情况、重大水土流失等采用</w:t>
      </w:r>
      <w:r>
        <w:rPr>
          <w:rFonts w:hint="default" w:ascii="Times New Roman" w:hAnsi="Times New Roman" w:eastAsia="仿宋_GB2312" w:cs="Times New Roman"/>
          <w:color w:val="auto"/>
          <w:szCs w:val="24"/>
          <w:lang w:val="en-US" w:eastAsia="zh-CN"/>
        </w:rPr>
        <w:t>回顾性调查法</w:t>
      </w:r>
      <w:r>
        <w:rPr>
          <w:rFonts w:hint="default" w:ascii="Times New Roman" w:hAnsi="Times New Roman" w:eastAsia="仿宋_GB2312" w:cs="Times New Roman"/>
          <w:color w:val="auto"/>
          <w:szCs w:val="24"/>
        </w:rPr>
        <w:t>。</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工程措施采用实地量测法，并结合施工和监理资料，最终确定扰动面积、土石方量及水保措施实施数量。</w:t>
      </w:r>
    </w:p>
    <w:p>
      <w:pPr>
        <w:suppressAutoHyphens/>
        <w:ind w:firstLine="480"/>
        <w:rPr>
          <w:rFonts w:hint="default" w:ascii="Times New Roman" w:hAnsi="Times New Roman" w:eastAsia="仿宋_GB2312" w:cs="Times New Roman"/>
          <w:color w:val="auto"/>
        </w:rPr>
      </w:pPr>
      <w:bookmarkStart w:id="166" w:name="_Toc117073548"/>
      <w:bookmarkStart w:id="167" w:name="_Toc181502124"/>
      <w:bookmarkStart w:id="168" w:name="_Toc181114424"/>
      <w:bookmarkStart w:id="169" w:name="_Toc425234235"/>
      <w:bookmarkStart w:id="170" w:name="_Toc181096841"/>
      <w:bookmarkStart w:id="171" w:name="_Toc181114054"/>
      <w:bookmarkStart w:id="172" w:name="_Toc33013306"/>
      <w:bookmarkStart w:id="173" w:name="_Toc8591340"/>
      <w:bookmarkStart w:id="174" w:name="_Toc12137984"/>
      <w:r>
        <w:rPr>
          <w:rFonts w:hint="default" w:ascii="Times New Roman" w:hAnsi="Times New Roman" w:eastAsia="仿宋_GB2312" w:cs="Times New Roman"/>
          <w:color w:val="auto"/>
        </w:rPr>
        <w:t>（2）监测频次</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工程措施应每季度调查1次。</w:t>
      </w:r>
      <w:r>
        <w:rPr>
          <w:rFonts w:hint="default" w:ascii="Times New Roman" w:hAnsi="Times New Roman" w:eastAsia="仿宋_GB2312" w:cs="Times New Roman"/>
          <w:color w:val="auto"/>
          <w:szCs w:val="24"/>
        </w:rPr>
        <w:t>临时措施可在查阅工程施工、监理等资料的基础上，实地调查，并拍摄照片或录像等影响资料。应每季度统计1次。</w:t>
      </w:r>
    </w:p>
    <w:p>
      <w:pPr>
        <w:pStyle w:val="3"/>
        <w:suppressAutoHyphens/>
        <w:spacing w:before="156" w:beforeLines="50" w:after="156" w:afterLines="50"/>
        <w:rPr>
          <w:rFonts w:hint="default" w:ascii="Times New Roman" w:hAnsi="Times New Roman" w:cs="Times New Roman"/>
          <w:color w:val="auto"/>
          <w:kern w:val="0"/>
        </w:rPr>
      </w:pPr>
      <w:bookmarkStart w:id="175" w:name="_Toc25753"/>
      <w:r>
        <w:rPr>
          <w:rFonts w:hint="default" w:ascii="Times New Roman" w:hAnsi="Times New Roman" w:cs="Times New Roman"/>
          <w:color w:val="auto"/>
          <w:kern w:val="0"/>
        </w:rPr>
        <w:t>6.3点位</w:t>
      </w:r>
      <w:bookmarkEnd w:id="166"/>
      <w:bookmarkEnd w:id="167"/>
      <w:bookmarkEnd w:id="168"/>
      <w:bookmarkEnd w:id="169"/>
      <w:bookmarkEnd w:id="170"/>
      <w:bookmarkEnd w:id="171"/>
      <w:r>
        <w:rPr>
          <w:rFonts w:hint="default" w:ascii="Times New Roman" w:hAnsi="Times New Roman" w:cs="Times New Roman"/>
          <w:color w:val="auto"/>
          <w:kern w:val="0"/>
        </w:rPr>
        <w:t>布设</w:t>
      </w:r>
      <w:bookmarkEnd w:id="172"/>
      <w:bookmarkEnd w:id="173"/>
      <w:bookmarkEnd w:id="174"/>
      <w:bookmarkEnd w:id="175"/>
    </w:p>
    <w:p>
      <w:pPr>
        <w:widowControl/>
        <w:ind w:firstLine="480"/>
        <w:jc w:val="left"/>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监测点布设应遵循代表性、方便性、少受干扰的原则。每个监测区至少布设1个监测点。本次监测结合项目实际布设水土保持监测点位。同时兼顾自然恢复期林草植被的成活率、保存率，厂区排水设施的完整性、有效性等。</w:t>
      </w:r>
    </w:p>
    <w:p>
      <w:pPr>
        <w:widowControl/>
        <w:ind w:firstLine="480"/>
        <w:jc w:val="left"/>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水土保持监测点布设见表：</w:t>
      </w:r>
      <w:r>
        <w:rPr>
          <w:rFonts w:hint="default" w:ascii="Times New Roman" w:hAnsi="Times New Roman" w:eastAsia="仿宋_GB2312" w:cs="Times New Roman"/>
          <w:color w:val="auto"/>
          <w:szCs w:val="24"/>
        </w:rPr>
        <w:t>具体监测点位布设见表6-1。</w:t>
      </w:r>
    </w:p>
    <w:p>
      <w:pPr>
        <w:spacing w:line="240" w:lineRule="auto"/>
        <w:ind w:firstLine="38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bCs/>
          <w:color w:val="auto"/>
          <w:spacing w:val="-10"/>
          <w:kern w:val="0"/>
          <w:sz w:val="21"/>
          <w:szCs w:val="21"/>
        </w:rPr>
        <w:t xml:space="preserve">表6-1   </w:t>
      </w:r>
      <w:r>
        <w:rPr>
          <w:rFonts w:hint="default" w:ascii="Times New Roman" w:hAnsi="Times New Roman" w:eastAsia="仿宋_GB2312" w:cs="Times New Roman"/>
          <w:b/>
          <w:color w:val="auto"/>
          <w:sz w:val="21"/>
          <w:szCs w:val="21"/>
        </w:rPr>
        <w:t>水土保持监测分区及监测点位布设表</w:t>
      </w:r>
    </w:p>
    <w:tbl>
      <w:tblPr>
        <w:tblStyle w:val="61"/>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2552"/>
        <w:gridCol w:w="3184"/>
        <w:gridCol w:w="197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17"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序号</w:t>
            </w:r>
          </w:p>
        </w:tc>
        <w:tc>
          <w:tcPr>
            <w:tcW w:w="2552"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监测区域</w:t>
            </w:r>
          </w:p>
        </w:tc>
        <w:tc>
          <w:tcPr>
            <w:tcW w:w="3184"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监测点位（重点监测对象）</w:t>
            </w:r>
          </w:p>
        </w:tc>
        <w:tc>
          <w:tcPr>
            <w:tcW w:w="1975"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817"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2552" w:type="dxa"/>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主体工程区</w:t>
            </w:r>
          </w:p>
        </w:tc>
        <w:tc>
          <w:tcPr>
            <w:tcW w:w="3184"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1975" w:type="dxa"/>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监测至设计水平年</w:t>
            </w:r>
          </w:p>
        </w:tc>
      </w:tr>
    </w:tbl>
    <w:p>
      <w:pPr>
        <w:pStyle w:val="321"/>
        <w:spacing w:line="240" w:lineRule="auto"/>
        <w:ind w:firstLine="480"/>
        <w:rPr>
          <w:rFonts w:hint="default" w:ascii="Times New Roman" w:hAnsi="Times New Roman" w:eastAsia="仿宋_GB2312" w:cs="Times New Roman"/>
          <w:color w:val="auto"/>
        </w:rPr>
      </w:pPr>
    </w:p>
    <w:bookmarkEnd w:id="155"/>
    <w:bookmarkEnd w:id="156"/>
    <w:bookmarkEnd w:id="157"/>
    <w:bookmarkEnd w:id="159"/>
    <w:p>
      <w:pPr>
        <w:pStyle w:val="3"/>
        <w:suppressAutoHyphens/>
        <w:spacing w:before="156" w:beforeLines="50" w:after="156" w:afterLines="50"/>
        <w:rPr>
          <w:rFonts w:hint="default" w:ascii="Times New Roman" w:hAnsi="Times New Roman" w:cs="Times New Roman"/>
          <w:color w:val="auto"/>
          <w:kern w:val="0"/>
        </w:rPr>
      </w:pPr>
      <w:bookmarkStart w:id="176" w:name="_Toc427779241"/>
      <w:bookmarkStart w:id="177" w:name="_Toc12137985"/>
      <w:bookmarkStart w:id="178" w:name="_Toc9828"/>
      <w:bookmarkStart w:id="179" w:name="_Toc8591341"/>
      <w:bookmarkStart w:id="180" w:name="_Toc33013307"/>
      <w:bookmarkStart w:id="181" w:name="_Toc425234238"/>
      <w:r>
        <w:rPr>
          <w:rFonts w:hint="default" w:ascii="Times New Roman" w:hAnsi="Times New Roman" w:cs="Times New Roman"/>
          <w:color w:val="auto"/>
          <w:kern w:val="0"/>
        </w:rPr>
        <w:t>6.4</w:t>
      </w:r>
      <w:bookmarkEnd w:id="176"/>
      <w:r>
        <w:rPr>
          <w:rFonts w:hint="default" w:ascii="Times New Roman" w:hAnsi="Times New Roman" w:cs="Times New Roman"/>
          <w:color w:val="auto"/>
          <w:kern w:val="0"/>
        </w:rPr>
        <w:t>实施条件和成果</w:t>
      </w:r>
      <w:bookmarkEnd w:id="177"/>
      <w:bookmarkEnd w:id="178"/>
      <w:bookmarkEnd w:id="179"/>
      <w:bookmarkEnd w:id="180"/>
    </w:p>
    <w:p>
      <w:pPr>
        <w:pStyle w:val="4"/>
        <w:rPr>
          <w:rFonts w:hint="default" w:ascii="Times New Roman" w:hAnsi="Times New Roman" w:cs="Times New Roman"/>
          <w:color w:val="auto"/>
        </w:rPr>
      </w:pPr>
      <w:r>
        <w:rPr>
          <w:rFonts w:hint="default" w:ascii="Times New Roman" w:hAnsi="Times New Roman" w:cs="Times New Roman"/>
          <w:color w:val="auto"/>
        </w:rPr>
        <w:t>6.4.1监测人员</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本项目水土保持监测范围为0.</w:t>
      </w:r>
      <w:r>
        <w:rPr>
          <w:rFonts w:hint="default" w:ascii="Times New Roman" w:hAnsi="Times New Roman" w:eastAsia="仿宋_GB2312" w:cs="Times New Roman"/>
          <w:color w:val="auto"/>
          <w:kern w:val="0"/>
          <w:szCs w:val="24"/>
          <w:lang w:val="en-US" w:eastAsia="zh-CN"/>
        </w:rPr>
        <w:t>43</w:t>
      </w:r>
      <w:r>
        <w:rPr>
          <w:rFonts w:hint="default" w:ascii="Times New Roman" w:hAnsi="Times New Roman" w:eastAsia="仿宋_GB2312" w:cs="Times New Roman"/>
          <w:color w:val="auto"/>
          <w:kern w:val="0"/>
          <w:szCs w:val="24"/>
        </w:rPr>
        <w:t>hm</w:t>
      </w:r>
      <w:r>
        <w:rPr>
          <w:rFonts w:hint="default" w:ascii="Times New Roman" w:hAnsi="Times New Roman" w:eastAsia="仿宋_GB2312" w:cs="Times New Roman"/>
          <w:color w:val="auto"/>
          <w:kern w:val="0"/>
          <w:szCs w:val="24"/>
          <w:vertAlign w:val="superscript"/>
        </w:rPr>
        <w:t>2</w:t>
      </w:r>
      <w:r>
        <w:rPr>
          <w:rFonts w:hint="default" w:ascii="Times New Roman" w:hAnsi="Times New Roman" w:eastAsia="仿宋_GB2312" w:cs="Times New Roman"/>
          <w:color w:val="auto"/>
          <w:kern w:val="0"/>
          <w:szCs w:val="24"/>
        </w:rPr>
        <w:t>。方案建议配置2名监测人员，包括1名监测工程师、1名监测员。</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监测工程师为监测项目负责人，全面负责项目监测工作的组织、协调、实施和监测成果质量、负责监测数据的采集、整理、汇总、校核，编制监测实施方案、监测季度报告、监测年度报告、监测总结报告等。监测员协助监测工程师完成监测数据的采集和整理，并负责监测原始记录、文档、图件、成果的管理。</w:t>
      </w:r>
    </w:p>
    <w:p>
      <w:pPr>
        <w:pStyle w:val="4"/>
        <w:rPr>
          <w:rFonts w:hint="default" w:ascii="Times New Roman" w:hAnsi="Times New Roman" w:cs="Times New Roman"/>
          <w:color w:val="auto"/>
        </w:rPr>
      </w:pPr>
      <w:bookmarkStart w:id="182" w:name="_Toc181114426"/>
      <w:bookmarkStart w:id="183" w:name="_Toc181096843"/>
      <w:bookmarkStart w:id="184" w:name="_Toc181114056"/>
      <w:bookmarkStart w:id="185" w:name="_Toc181502126"/>
      <w:r>
        <w:rPr>
          <w:rFonts w:hint="default" w:ascii="Times New Roman" w:hAnsi="Times New Roman" w:cs="Times New Roman"/>
          <w:color w:val="auto"/>
        </w:rPr>
        <w:t>6.4.2监测</w:t>
      </w:r>
      <w:bookmarkEnd w:id="182"/>
      <w:bookmarkEnd w:id="183"/>
      <w:bookmarkEnd w:id="184"/>
      <w:bookmarkEnd w:id="185"/>
      <w:r>
        <w:rPr>
          <w:rFonts w:hint="default" w:ascii="Times New Roman" w:hAnsi="Times New Roman" w:cs="Times New Roman"/>
          <w:color w:val="auto"/>
        </w:rPr>
        <w:t>仪器</w:t>
      </w:r>
    </w:p>
    <w:p>
      <w:pPr>
        <w:ind w:firstLine="480"/>
        <w:rPr>
          <w:rFonts w:hint="default" w:ascii="Times New Roman" w:hAnsi="Times New Roman" w:eastAsia="仿宋_GB2312" w:cs="Times New Roman"/>
          <w:color w:val="auto"/>
          <w:kern w:val="0"/>
          <w:szCs w:val="24"/>
        </w:rPr>
      </w:pPr>
      <w:r>
        <w:rPr>
          <w:rFonts w:hint="default" w:ascii="Times New Roman" w:hAnsi="Times New Roman" w:eastAsia="仿宋_GB2312" w:cs="Times New Roman"/>
          <w:color w:val="auto"/>
          <w:kern w:val="0"/>
          <w:szCs w:val="24"/>
        </w:rPr>
        <w:t>项目水土保持监测拟采用现代技术与传统手段相结合的方法进行，借助一定的先进仪器设备，使监测方法更科学，监测结论更合理。监测设备原则上由监测单位解决。水土保持监测主要设备见表6-2。</w:t>
      </w:r>
    </w:p>
    <w:p>
      <w:pPr>
        <w:ind w:firstLine="480"/>
        <w:rPr>
          <w:rFonts w:hint="default" w:ascii="Times New Roman" w:hAnsi="Times New Roman" w:eastAsia="仿宋_GB2312" w:cs="Times New Roman"/>
          <w:color w:val="auto"/>
          <w:kern w:val="0"/>
          <w:szCs w:val="24"/>
        </w:rPr>
      </w:pPr>
    </w:p>
    <w:p>
      <w:pPr>
        <w:ind w:firstLine="480"/>
        <w:rPr>
          <w:rFonts w:hint="default" w:ascii="Times New Roman" w:hAnsi="Times New Roman" w:eastAsia="仿宋_GB2312" w:cs="Times New Roman"/>
          <w:color w:val="auto"/>
          <w:kern w:val="0"/>
          <w:szCs w:val="24"/>
        </w:rPr>
      </w:pPr>
    </w:p>
    <w:p>
      <w:pPr>
        <w:ind w:firstLine="480"/>
        <w:rPr>
          <w:rFonts w:hint="default" w:ascii="Times New Roman" w:hAnsi="Times New Roman" w:eastAsia="仿宋_GB2312" w:cs="Times New Roman"/>
          <w:color w:val="auto"/>
          <w:kern w:val="0"/>
          <w:szCs w:val="24"/>
        </w:rPr>
      </w:pP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表6-2   监测项目设施设备及耗材表</w:t>
      </w:r>
    </w:p>
    <w:tbl>
      <w:tblPr>
        <w:tblStyle w:val="6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1"/>
        <w:gridCol w:w="2674"/>
        <w:gridCol w:w="1951"/>
        <w:gridCol w:w="19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序号</w:t>
            </w:r>
          </w:p>
        </w:tc>
        <w:tc>
          <w:tcPr>
            <w:tcW w:w="1568"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设备及仪器</w:t>
            </w:r>
          </w:p>
        </w:tc>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单位</w:t>
            </w:r>
          </w:p>
        </w:tc>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1</w:t>
            </w:r>
          </w:p>
        </w:tc>
        <w:tc>
          <w:tcPr>
            <w:tcW w:w="1568"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测量设备</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钢卷尺</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个</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测绳</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套</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GPS定位仪</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件</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软皮尺</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件</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2</w:t>
            </w:r>
          </w:p>
        </w:tc>
        <w:tc>
          <w:tcPr>
            <w:tcW w:w="1568"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电子设备</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相机</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台</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笔记本电脑</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台</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3</w:t>
            </w:r>
          </w:p>
        </w:tc>
        <w:tc>
          <w:tcPr>
            <w:tcW w:w="1568"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耗材</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办公易耗品</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元/年</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4</w:t>
            </w:r>
          </w:p>
        </w:tc>
        <w:tc>
          <w:tcPr>
            <w:tcW w:w="1568" w:type="pct"/>
            <w:vAlign w:val="center"/>
          </w:tcPr>
          <w:p>
            <w:pPr>
              <w:widowControl/>
              <w:snapToGrid w:val="0"/>
              <w:spacing w:line="240" w:lineRule="auto"/>
              <w:ind w:firstLine="361"/>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其他设备</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568"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监测标识牌</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个</w:t>
            </w:r>
          </w:p>
        </w:tc>
        <w:tc>
          <w:tcPr>
            <w:tcW w:w="1144" w:type="pct"/>
            <w:vAlign w:val="center"/>
          </w:tcPr>
          <w:p>
            <w:pPr>
              <w:widowControl/>
              <w:snapToGrid w:val="0"/>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15</w:t>
            </w:r>
          </w:p>
        </w:tc>
      </w:tr>
    </w:tbl>
    <w:p>
      <w:pPr>
        <w:pStyle w:val="321"/>
        <w:spacing w:line="240" w:lineRule="auto"/>
        <w:ind w:firstLine="480"/>
        <w:rPr>
          <w:rFonts w:hint="default" w:ascii="Times New Roman" w:hAnsi="Times New Roman" w:eastAsia="仿宋_GB2312" w:cs="Times New Roman"/>
          <w:color w:val="auto"/>
        </w:rPr>
      </w:pPr>
    </w:p>
    <w:p>
      <w:pPr>
        <w:pStyle w:val="4"/>
        <w:rPr>
          <w:rFonts w:hint="default" w:ascii="Times New Roman" w:hAnsi="Times New Roman" w:cs="Times New Roman"/>
          <w:color w:val="auto"/>
        </w:rPr>
      </w:pPr>
      <w:r>
        <w:rPr>
          <w:rFonts w:hint="default" w:ascii="Times New Roman" w:hAnsi="Times New Roman" w:cs="Times New Roman"/>
          <w:color w:val="auto"/>
        </w:rPr>
        <w:t>6.4.3监测费用</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本方案监测设施的投资费用根据以前同类设施的经验单价计算，并参照当地材料计价进行调整。本项目水土保持监测具体费用见表6-3。</w:t>
      </w:r>
    </w:p>
    <w:p>
      <w:pPr>
        <w:spacing w:line="240" w:lineRule="auto"/>
        <w:ind w:firstLine="42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表6-3   监测设施、设备及人工费用估算表</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4"/>
        <w:gridCol w:w="3573"/>
        <w:gridCol w:w="31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84" w:type="dxa"/>
            <w:vAlign w:val="center"/>
          </w:tcPr>
          <w:p>
            <w:pPr>
              <w:spacing w:line="240" w:lineRule="auto"/>
              <w:ind w:firstLine="361"/>
              <w:jc w:val="center"/>
              <w:rPr>
                <w:rFonts w:hint="default" w:ascii="Times New Roman" w:hAnsi="Times New Roman" w:eastAsia="仿宋_GB2312" w:cs="Times New Roman"/>
                <w:b/>
                <w:color w:val="auto"/>
                <w:sz w:val="18"/>
                <w:szCs w:val="18"/>
              </w:rPr>
            </w:pPr>
            <w:bookmarkStart w:id="186" w:name="_Toc427779242"/>
            <w:r>
              <w:rPr>
                <w:rFonts w:hint="default" w:ascii="Times New Roman" w:hAnsi="Times New Roman" w:eastAsia="仿宋_GB2312" w:cs="Times New Roman"/>
                <w:b/>
                <w:color w:val="auto"/>
                <w:sz w:val="18"/>
                <w:szCs w:val="18"/>
              </w:rPr>
              <w:t>序号</w:t>
            </w:r>
          </w:p>
        </w:tc>
        <w:tc>
          <w:tcPr>
            <w:tcW w:w="3573" w:type="dxa"/>
            <w:vAlign w:val="center"/>
          </w:tcPr>
          <w:p>
            <w:pPr>
              <w:spacing w:line="240" w:lineRule="auto"/>
              <w:ind w:firstLine="361"/>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项目</w:t>
            </w:r>
          </w:p>
        </w:tc>
        <w:tc>
          <w:tcPr>
            <w:tcW w:w="3171" w:type="dxa"/>
            <w:vAlign w:val="center"/>
          </w:tcPr>
          <w:p>
            <w:pPr>
              <w:spacing w:line="240" w:lineRule="auto"/>
              <w:ind w:firstLine="361"/>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费用（万元）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84"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3573"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土建设施费</w:t>
            </w:r>
          </w:p>
        </w:tc>
        <w:tc>
          <w:tcPr>
            <w:tcW w:w="3171"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84"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3573"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设备及安装费</w:t>
            </w:r>
          </w:p>
        </w:tc>
        <w:tc>
          <w:tcPr>
            <w:tcW w:w="3171"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84"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w:t>
            </w:r>
          </w:p>
        </w:tc>
        <w:tc>
          <w:tcPr>
            <w:tcW w:w="3573"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建设期观测运行费</w:t>
            </w:r>
          </w:p>
        </w:tc>
        <w:tc>
          <w:tcPr>
            <w:tcW w:w="3171"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357" w:type="dxa"/>
            <w:gridSpan w:val="2"/>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合计</w:t>
            </w:r>
          </w:p>
        </w:tc>
        <w:tc>
          <w:tcPr>
            <w:tcW w:w="3171" w:type="dxa"/>
            <w:vAlign w:val="center"/>
          </w:tcPr>
          <w:p>
            <w:pPr>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w:t>
            </w:r>
          </w:p>
        </w:tc>
      </w:tr>
    </w:tbl>
    <w:p>
      <w:pPr>
        <w:pStyle w:val="321"/>
        <w:spacing w:line="240" w:lineRule="auto"/>
        <w:ind w:firstLine="480"/>
        <w:rPr>
          <w:rFonts w:hint="default" w:ascii="Times New Roman" w:hAnsi="Times New Roman" w:eastAsia="仿宋_GB2312" w:cs="Times New Roman"/>
          <w:color w:val="auto"/>
        </w:rPr>
      </w:pPr>
    </w:p>
    <w:bookmarkEnd w:id="181"/>
    <w:bookmarkEnd w:id="186"/>
    <w:p>
      <w:pPr>
        <w:pStyle w:val="4"/>
        <w:rPr>
          <w:rFonts w:hint="default" w:ascii="Times New Roman" w:hAnsi="Times New Roman" w:cs="Times New Roman"/>
          <w:color w:val="auto"/>
        </w:rPr>
      </w:pPr>
      <w:r>
        <w:rPr>
          <w:rFonts w:hint="default" w:ascii="Times New Roman" w:hAnsi="Times New Roman" w:cs="Times New Roman"/>
          <w:color w:val="auto"/>
        </w:rPr>
        <w:t>6.4.4一般规定</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水土保持监测任务完成后，整理、分析评价土壤流失情况和水土流失防治效果，编制监测总结报告。</w:t>
      </w:r>
    </w:p>
    <w:p>
      <w:pPr>
        <w:pStyle w:val="1102"/>
        <w:rPr>
          <w:rFonts w:hint="default" w:ascii="Times New Roman" w:hAnsi="Times New Roman" w:cs="Times New Roman"/>
          <w:color w:val="auto"/>
        </w:rPr>
        <w:sectPr>
          <w:headerReference r:id="rId16" w:type="default"/>
          <w:pgSz w:w="11906" w:h="16838"/>
          <w:pgMar w:top="1440" w:right="1797" w:bottom="1440" w:left="1797" w:header="851" w:footer="992" w:gutter="0"/>
          <w:cols w:space="720" w:num="1"/>
          <w:docGrid w:type="lines" w:linePitch="312" w:charSpace="0"/>
        </w:sectPr>
      </w:pPr>
      <w:r>
        <w:rPr>
          <w:rFonts w:hint="default" w:ascii="Times New Roman" w:hAnsi="Times New Roman" w:cs="Times New Roman"/>
          <w:color w:val="auto"/>
        </w:rPr>
        <w:t>对防治责任范围、扰动土地情况、水土流失情况、水土保持措施效果等重点评价。</w:t>
      </w:r>
    </w:p>
    <w:p>
      <w:pPr>
        <w:pStyle w:val="2"/>
        <w:rPr>
          <w:rFonts w:hint="default" w:ascii="Times New Roman" w:hAnsi="Times New Roman" w:cs="Times New Roman"/>
          <w:color w:val="auto"/>
          <w:kern w:val="0"/>
        </w:rPr>
      </w:pPr>
      <w:bookmarkStart w:id="187" w:name="_Toc15678"/>
      <w:r>
        <w:rPr>
          <w:rFonts w:hint="default" w:ascii="Times New Roman" w:hAnsi="Times New Roman" w:cs="Times New Roman"/>
          <w:color w:val="auto"/>
          <w:kern w:val="0"/>
        </w:rPr>
        <w:t>7 水土保持投资概算及效益分析</w:t>
      </w:r>
      <w:bookmarkEnd w:id="146"/>
      <w:bookmarkEnd w:id="187"/>
    </w:p>
    <w:p>
      <w:pPr>
        <w:pStyle w:val="3"/>
        <w:suppressAutoHyphens/>
        <w:spacing w:before="156" w:beforeLines="50" w:after="156" w:afterLines="50"/>
        <w:rPr>
          <w:rFonts w:hint="default" w:ascii="Times New Roman" w:hAnsi="Times New Roman" w:cs="Times New Roman"/>
          <w:color w:val="auto"/>
          <w:kern w:val="0"/>
        </w:rPr>
      </w:pPr>
      <w:bookmarkStart w:id="188" w:name="_Toc425493421"/>
      <w:bookmarkStart w:id="189" w:name="_Toc22131"/>
      <w:r>
        <w:rPr>
          <w:rFonts w:hint="default" w:ascii="Times New Roman" w:hAnsi="Times New Roman" w:cs="Times New Roman"/>
          <w:color w:val="auto"/>
          <w:kern w:val="0"/>
        </w:rPr>
        <w:t>7.1 投资</w:t>
      </w:r>
      <w:bookmarkEnd w:id="188"/>
      <w:r>
        <w:rPr>
          <w:rFonts w:hint="default" w:ascii="Times New Roman" w:hAnsi="Times New Roman" w:cs="Times New Roman"/>
          <w:color w:val="auto"/>
          <w:kern w:val="0"/>
        </w:rPr>
        <w:t>概算</w:t>
      </w:r>
      <w:bookmarkEnd w:id="189"/>
    </w:p>
    <w:p>
      <w:pPr>
        <w:pStyle w:val="4"/>
        <w:suppressAutoHyphens/>
        <w:rPr>
          <w:rFonts w:hint="default" w:ascii="Times New Roman" w:hAnsi="Times New Roman" w:cs="Times New Roman"/>
          <w:color w:val="auto"/>
        </w:rPr>
      </w:pPr>
      <w:r>
        <w:rPr>
          <w:rFonts w:hint="default" w:ascii="Times New Roman" w:hAnsi="Times New Roman" w:cs="Times New Roman"/>
          <w:color w:val="auto"/>
        </w:rPr>
        <w:t>7.1.1 编制原则及依据</w:t>
      </w:r>
    </w:p>
    <w:p>
      <w:pPr>
        <w:keepNext/>
        <w:widowControl/>
        <w:ind w:firstLine="0" w:firstLineChars="0"/>
        <w:outlineLvl w:val="3"/>
        <w:rPr>
          <w:rFonts w:hint="default" w:ascii="Times New Roman" w:hAnsi="Times New Roman" w:cs="Times New Roman"/>
          <w:b/>
          <w:color w:val="auto"/>
          <w:kern w:val="0"/>
          <w:szCs w:val="20"/>
        </w:rPr>
      </w:pPr>
      <w:r>
        <w:rPr>
          <w:rFonts w:hint="default" w:ascii="Times New Roman" w:hAnsi="Times New Roman" w:cs="Times New Roman"/>
          <w:b/>
          <w:color w:val="auto"/>
          <w:kern w:val="0"/>
          <w:szCs w:val="20"/>
        </w:rPr>
        <w:t>7.1.1.1编制原则</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水土保持投资概算的价格水平年、人工单价、主要材料价格、施工机械台时费、概算定额、取费项目及费率应与主体工程一致。不足部分按水利部（水总〔2003]〕67号）文《水土保持工程概（估）算编制规定及定额》和《四川省水利厅关于发布〈四川省水利水电工程概（估）算编制规定〉的通知》（川水发〔2015〕9号）进行编制。</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主要材料预算价格参照主体工程材料价格，不足部分按照市场调查价格进行计算。</w:t>
      </w:r>
    </w:p>
    <w:p>
      <w:pPr>
        <w:keepNext/>
        <w:widowControl/>
        <w:ind w:firstLine="0" w:firstLineChars="0"/>
        <w:outlineLvl w:val="3"/>
        <w:rPr>
          <w:rFonts w:hint="default" w:ascii="Times New Roman" w:hAnsi="Times New Roman" w:cs="Times New Roman"/>
          <w:b/>
          <w:color w:val="auto"/>
          <w:kern w:val="0"/>
          <w:szCs w:val="20"/>
        </w:rPr>
      </w:pPr>
      <w:r>
        <w:rPr>
          <w:rFonts w:hint="default" w:ascii="Times New Roman" w:hAnsi="Times New Roman" w:cs="Times New Roman"/>
          <w:b/>
          <w:color w:val="auto"/>
          <w:kern w:val="0"/>
          <w:szCs w:val="20"/>
        </w:rPr>
        <w:t>7.1.1.2编制依据</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（1）《水土保持工程概(估)算编制规定和定额》（水总〔2003〕67号）；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（2）《国家发展改革委关于进一步放开建设项目专业服务价格的通知》（发改价格〔2015〕299号）；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（3）《四川省水利厅关于发布〈四川省水利水电工程概（估）算编制规定〉的通知》（川水发〔2015〕9号）；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（4）四川省水利厅关于印发《增值税税率调整后&lt;四川省水利水电工程设计概（估）算编制规定&gt;相应调整办法》的通知（川水函〔2019〕610）；</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（5）《四川省发展和改革委员会 四川省财政厅关于制定水土保持补偿费收费标准的通知》（川发改价格〔2017〕347号）；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（6）《四川省财政厅  四川省发展和改革委员会  四川省水利厅  中国人民银行成都分行关于印发&lt;四川省水土保持补偿费征收使用管理实施办法&gt;的通知》(川财综〔2014〕6号)。</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（7）四川省建设工程造价总站关于对阿坝藏族羌族自治州等19个市、州2015年《四川省建设工程工程量清单计价定额》人工费调整的批复(川建价发〔2019〕16号)。</w:t>
      </w:r>
    </w:p>
    <w:p>
      <w:pPr>
        <w:keepNext/>
        <w:widowControl/>
        <w:tabs>
          <w:tab w:val="left" w:pos="360"/>
        </w:tabs>
        <w:ind w:firstLine="0" w:firstLineChars="0"/>
        <w:outlineLvl w:val="2"/>
        <w:rPr>
          <w:rFonts w:hint="default" w:ascii="Times New Roman" w:hAnsi="Times New Roman" w:cs="Times New Roman"/>
          <w:b/>
          <w:bCs/>
          <w:color w:val="auto"/>
          <w:kern w:val="0"/>
          <w:lang w:val="zh-CN" w:bidi="en-US"/>
        </w:rPr>
      </w:pPr>
      <w:r>
        <w:rPr>
          <w:rFonts w:hint="default" w:ascii="Times New Roman" w:hAnsi="Times New Roman" w:cs="Times New Roman"/>
          <w:b/>
          <w:bCs/>
          <w:color w:val="auto"/>
          <w:kern w:val="0"/>
          <w:lang w:val="zh-CN" w:bidi="en-US"/>
        </w:rPr>
        <w:t>7.1.2估算成果及说明</w:t>
      </w:r>
    </w:p>
    <w:p>
      <w:pPr>
        <w:keepNext/>
        <w:widowControl/>
        <w:ind w:firstLine="0" w:firstLineChars="0"/>
        <w:outlineLvl w:val="3"/>
        <w:rPr>
          <w:rFonts w:hint="default" w:ascii="Times New Roman" w:hAnsi="Times New Roman" w:cs="Times New Roman"/>
          <w:b/>
          <w:color w:val="auto"/>
          <w:kern w:val="0"/>
          <w:szCs w:val="20"/>
        </w:rPr>
      </w:pPr>
      <w:r>
        <w:rPr>
          <w:rFonts w:hint="default" w:ascii="Times New Roman" w:hAnsi="Times New Roman" w:cs="Times New Roman"/>
          <w:b/>
          <w:color w:val="auto"/>
          <w:kern w:val="0"/>
          <w:szCs w:val="20"/>
        </w:rPr>
        <w:t>7.1.2.1基础价格编制</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（1）人工预算单价</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水保工程人工单价与主体工程一致；根据四川省建设工程造价总站关于对阿坝藏族羌族自治州等19个市、州2015年《四川省建设工程工程量清单计价定额》人工费调整的批复(川建价发〔2019〕16号)，水保工程人工单价取107元/工日（13.375元/工时）。</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（2）材料预算单价：主要材料单价与主体工程保持一致，不足部分参照市场信息价格。</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（3）工程单价及费率</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1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①</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工程措施＝工程量×工程单价</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2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②</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植物措施＝工程量×工程单价</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3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③</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监测措施：分土建工程、设备及安装费、建设期观测运行费计算；土建工程=工程量×工程单价；设备安装费按设备费的5%计算；观测运行费按实际计列。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4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④</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临时措施</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临时防护措施费＝工程量×工程单价</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其他临时工程费按一至三部分之和的2%计算。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cs="Times New Roman"/>
          <w:color w:val="auto"/>
          <w:szCs w:val="24"/>
        </w:rPr>
        <w:t>⑤</w:t>
      </w:r>
      <w:r>
        <w:rPr>
          <w:rFonts w:hint="default" w:ascii="Times New Roman" w:hAnsi="Times New Roman" w:eastAsia="仿宋_GB2312" w:cs="Times New Roman"/>
          <w:color w:val="auto"/>
          <w:szCs w:val="24"/>
        </w:rPr>
        <w:t>水土保持工程费用的计算标准</w:t>
      </w:r>
    </w:p>
    <w:p>
      <w:pPr>
        <w:spacing w:line="240" w:lineRule="auto"/>
        <w:ind w:firstLine="405" w:firstLineChars="19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表7-1  工程措施及植物措施费率取值表</w:t>
      </w:r>
    </w:p>
    <w:tbl>
      <w:tblPr>
        <w:tblStyle w:val="61"/>
        <w:tblW w:w="5174" w:type="pct"/>
        <w:tblInd w:w="-129"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784"/>
        <w:gridCol w:w="2148"/>
        <w:gridCol w:w="2362"/>
        <w:gridCol w:w="23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03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序 号</w:t>
            </w:r>
          </w:p>
        </w:tc>
        <w:tc>
          <w:tcPr>
            <w:tcW w:w="124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费率名称</w:t>
            </w:r>
          </w:p>
        </w:tc>
        <w:tc>
          <w:tcPr>
            <w:tcW w:w="1368"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工程措施(%)</w:t>
            </w:r>
          </w:p>
        </w:tc>
        <w:tc>
          <w:tcPr>
            <w:tcW w:w="135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植物措施(%)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03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124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其他直接费</w:t>
            </w:r>
          </w:p>
        </w:tc>
        <w:tc>
          <w:tcPr>
            <w:tcW w:w="1368" w:type="pct"/>
            <w:shd w:val="clear" w:color="auto" w:fill="auto"/>
            <w:tcMar>
              <w:top w:w="13" w:type="dxa"/>
              <w:left w:w="13" w:type="dxa"/>
              <w:bottom w:w="0" w:type="dxa"/>
              <w:right w:w="13" w:type="dxa"/>
            </w:tcMar>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4.6</w:t>
            </w:r>
          </w:p>
        </w:tc>
        <w:tc>
          <w:tcPr>
            <w:tcW w:w="1354" w:type="pct"/>
            <w:shd w:val="clear" w:color="auto" w:fill="auto"/>
            <w:tcMar>
              <w:top w:w="13" w:type="dxa"/>
              <w:left w:w="13" w:type="dxa"/>
              <w:bottom w:w="0" w:type="dxa"/>
              <w:right w:w="13" w:type="dxa"/>
            </w:tcMar>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03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124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企业利润</w:t>
            </w:r>
          </w:p>
        </w:tc>
        <w:tc>
          <w:tcPr>
            <w:tcW w:w="1368" w:type="pct"/>
            <w:shd w:val="clear" w:color="auto" w:fill="auto"/>
            <w:tcMar>
              <w:top w:w="13" w:type="dxa"/>
              <w:left w:w="13" w:type="dxa"/>
              <w:bottom w:w="0" w:type="dxa"/>
              <w:right w:w="13" w:type="dxa"/>
            </w:tcMar>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w:t>
            </w:r>
          </w:p>
        </w:tc>
        <w:tc>
          <w:tcPr>
            <w:tcW w:w="1354" w:type="pct"/>
            <w:shd w:val="clear" w:color="auto" w:fill="auto"/>
            <w:tcMar>
              <w:top w:w="13" w:type="dxa"/>
              <w:left w:w="13" w:type="dxa"/>
              <w:bottom w:w="0" w:type="dxa"/>
              <w:right w:w="13" w:type="dxa"/>
            </w:tcMar>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trPr>
        <w:tc>
          <w:tcPr>
            <w:tcW w:w="103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w:t>
            </w:r>
          </w:p>
        </w:tc>
        <w:tc>
          <w:tcPr>
            <w:tcW w:w="1244" w:type="pct"/>
            <w:shd w:val="clear" w:color="auto" w:fill="auto"/>
            <w:tcMar>
              <w:top w:w="13" w:type="dxa"/>
              <w:left w:w="13" w:type="dxa"/>
              <w:bottom w:w="0" w:type="dxa"/>
              <w:right w:w="13" w:type="dxa"/>
            </w:tcMar>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税金</w:t>
            </w:r>
          </w:p>
        </w:tc>
        <w:tc>
          <w:tcPr>
            <w:tcW w:w="1368" w:type="pct"/>
            <w:shd w:val="clear" w:color="auto" w:fill="auto"/>
            <w:tcMar>
              <w:top w:w="13" w:type="dxa"/>
              <w:left w:w="13" w:type="dxa"/>
              <w:bottom w:w="0" w:type="dxa"/>
              <w:right w:w="13" w:type="dxa"/>
            </w:tcMar>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9</w:t>
            </w:r>
          </w:p>
        </w:tc>
        <w:tc>
          <w:tcPr>
            <w:tcW w:w="1354" w:type="pct"/>
            <w:shd w:val="clear" w:color="auto" w:fill="auto"/>
            <w:tcMar>
              <w:top w:w="13" w:type="dxa"/>
              <w:left w:w="13" w:type="dxa"/>
              <w:bottom w:w="0" w:type="dxa"/>
              <w:right w:w="13" w:type="dxa"/>
            </w:tcMar>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9</w:t>
            </w:r>
          </w:p>
        </w:tc>
      </w:tr>
    </w:tbl>
    <w:p>
      <w:pPr>
        <w:spacing w:line="240" w:lineRule="auto"/>
        <w:ind w:firstLine="405" w:firstLineChars="192"/>
        <w:jc w:val="center"/>
        <w:rPr>
          <w:rFonts w:hint="default" w:ascii="Times New Roman" w:hAnsi="Times New Roman" w:eastAsia="仿宋_GB2312" w:cs="Times New Roman"/>
          <w:b/>
          <w:color w:val="auto"/>
          <w:sz w:val="21"/>
          <w:szCs w:val="21"/>
        </w:rPr>
      </w:pPr>
    </w:p>
    <w:p>
      <w:pPr>
        <w:spacing w:line="240" w:lineRule="auto"/>
        <w:ind w:firstLine="405" w:firstLineChars="19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表7-2    间接费费率表</w:t>
      </w:r>
    </w:p>
    <w:tbl>
      <w:tblPr>
        <w:tblStyle w:val="61"/>
        <w:tblW w:w="505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78"/>
        <w:gridCol w:w="2272"/>
        <w:gridCol w:w="2239"/>
        <w:gridCol w:w="23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序号</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工程类别</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计算基础</w:t>
            </w:r>
          </w:p>
        </w:tc>
        <w:tc>
          <w:tcPr>
            <w:tcW w:w="134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间接费率（%）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（一）</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工程措施</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　</w:t>
            </w:r>
          </w:p>
        </w:tc>
        <w:tc>
          <w:tcPr>
            <w:tcW w:w="134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土石方工程</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混凝土工程</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3</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基础处理工程</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其他工程</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trPr>
        <w:tc>
          <w:tcPr>
            <w:tcW w:w="1032"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（二）</w:t>
            </w:r>
          </w:p>
        </w:tc>
        <w:tc>
          <w:tcPr>
            <w:tcW w:w="1319"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植物措施</w:t>
            </w:r>
          </w:p>
        </w:tc>
        <w:tc>
          <w:tcPr>
            <w:tcW w:w="1300" w:type="pct"/>
            <w:shd w:val="clear" w:color="auto" w:fill="auto"/>
            <w:noWrap/>
            <w:vAlign w:val="center"/>
          </w:tcPr>
          <w:p>
            <w:pPr>
              <w:spacing w:line="240" w:lineRule="auto"/>
              <w:ind w:firstLine="345" w:firstLineChars="192"/>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直接工程费</w:t>
            </w:r>
          </w:p>
        </w:tc>
        <w:tc>
          <w:tcPr>
            <w:tcW w:w="1349" w:type="pct"/>
            <w:shd w:val="clear" w:color="auto" w:fill="auto"/>
            <w:noWrap/>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5.5</w:t>
            </w:r>
          </w:p>
        </w:tc>
      </w:tr>
    </w:tbl>
    <w:p>
      <w:pPr>
        <w:pStyle w:val="1102"/>
        <w:rPr>
          <w:rFonts w:hint="default" w:ascii="Times New Roman" w:hAnsi="Times New Roman" w:cs="Times New Roman"/>
          <w:color w:val="auto"/>
        </w:rPr>
      </w:pPr>
    </w:p>
    <w:p>
      <w:pPr>
        <w:pStyle w:val="1102"/>
        <w:rPr>
          <w:rFonts w:hint="default" w:ascii="Times New Roman" w:hAnsi="Times New Roman" w:cs="Times New Roman"/>
          <w:color w:val="auto"/>
        </w:rPr>
      </w:pP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（4）独立费用</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1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①</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建设管理费：根据《水土保持工程概(估)算编制规定和定额》，按第一部分至第四部分之和的2%计取。</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2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②</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工程建设监理费：根据《建设工程监理与相关服务收费管理规定》的通知，同时结合本项目水土保持监理实际工作概算。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3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③</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科研勘测设计费：结合本项目实际情况概算。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4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④</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lang w:eastAsia="zh-CN"/>
        </w:rPr>
        <w:t>水保设施验收报告编制费</w:t>
      </w:r>
      <w:r>
        <w:rPr>
          <w:rFonts w:hint="default" w:ascii="Times New Roman" w:hAnsi="Times New Roman" w:eastAsia="仿宋_GB2312" w:cs="Times New Roman"/>
          <w:color w:val="auto"/>
          <w:szCs w:val="24"/>
        </w:rPr>
        <w:t>：结合项目水土保持竣工验收报告编制实际工作量计列。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5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⑤</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招标代理服务费：按工程招标代理服务收费参考计算标准计列。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cs="Times New Roman"/>
          <w:color w:val="auto"/>
          <w:szCs w:val="24"/>
        </w:rPr>
        <w:t>⑥</w:t>
      </w:r>
      <w:r>
        <w:rPr>
          <w:rFonts w:hint="default" w:ascii="Times New Roman" w:hAnsi="Times New Roman" w:eastAsia="仿宋_GB2312" w:cs="Times New Roman"/>
          <w:color w:val="auto"/>
          <w:szCs w:val="24"/>
        </w:rPr>
        <w:t>经济技术咨询费：以主体工程土建投资合计为计算基数，按标准计列。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（5）基本预备费：基本预备费按第一至第五投资合计的5～8%计取。</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（6）水土保持补偿费</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根据四川省发展和改革委员会 四川省财政厅关于制定《水土保持补偿费收费标准的通知》（川发改价格[2017]347号）文的规定，本项目水土保持补偿费按征占地面积1.3元/m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计，征收面积为</w:t>
      </w:r>
      <w:r>
        <w:rPr>
          <w:rFonts w:hint="default" w:ascii="Times New Roman" w:hAnsi="Times New Roman" w:eastAsia="仿宋_GB2312" w:cs="Times New Roman"/>
          <w:color w:val="auto"/>
          <w:lang w:val="en-US" w:eastAsia="zh-CN"/>
        </w:rPr>
        <w:t>4284</w:t>
      </w:r>
      <w:r>
        <w:rPr>
          <w:rFonts w:hint="default" w:ascii="Times New Roman" w:hAnsi="Times New Roman" w:eastAsia="仿宋_GB2312" w:cs="Times New Roman"/>
          <w:color w:val="auto"/>
          <w:szCs w:val="24"/>
        </w:rPr>
        <w:t>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，水土保持补偿费共计</w:t>
      </w:r>
      <w:r>
        <w:rPr>
          <w:rFonts w:hint="default" w:ascii="Times New Roman" w:hAnsi="Times New Roman" w:eastAsia="仿宋_GB2312" w:cs="Times New Roman"/>
          <w:color w:val="auto"/>
          <w:lang w:val="en-US" w:eastAsia="zh-CN"/>
        </w:rPr>
        <w:t>4284</w:t>
      </w:r>
      <w:r>
        <w:rPr>
          <w:rFonts w:hint="default" w:ascii="Times New Roman" w:hAnsi="Times New Roman" w:eastAsia="仿宋_GB2312" w:cs="Times New Roman"/>
          <w:color w:val="auto"/>
          <w:szCs w:val="24"/>
        </w:rPr>
        <w:t>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1.3元/m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w:t>
      </w:r>
      <w:r>
        <w:rPr>
          <w:rFonts w:hint="default" w:ascii="Times New Roman" w:hAnsi="Times New Roman" w:eastAsia="仿宋_GB2312" w:cs="Times New Roman"/>
          <w:color w:val="auto"/>
          <w:szCs w:val="24"/>
          <w:lang w:eastAsia="zh-CN"/>
        </w:rPr>
        <w:t>5569.20</w:t>
      </w:r>
      <w:r>
        <w:rPr>
          <w:rFonts w:hint="default" w:ascii="Times New Roman" w:hAnsi="Times New Roman" w:eastAsia="仿宋_GB2312" w:cs="Times New Roman"/>
          <w:color w:val="auto"/>
          <w:szCs w:val="24"/>
        </w:rPr>
        <w:t>元。结合《四川省财政厅  四川省发展和改革委员会  四川省水利厅  中国人民银行成都分行关于印发&lt;四川省水土保持补偿费征收使用管理实施办法&gt;的通知》(川财综〔2014〕6号)第十一条规定，建设学校、幼儿园、医院、养老服务设施、孤儿院、福利院等公益性工程项目的可免征水土保持补偿费。本方案按</w:t>
      </w:r>
      <w:r>
        <w:rPr>
          <w:rFonts w:hint="default" w:ascii="Times New Roman" w:hAnsi="Times New Roman" w:eastAsia="仿宋_GB2312" w:cs="Times New Roman"/>
          <w:color w:val="auto"/>
          <w:szCs w:val="24"/>
          <w:lang w:eastAsia="zh-CN"/>
        </w:rPr>
        <w:t>5569.20</w:t>
      </w:r>
      <w:r>
        <w:rPr>
          <w:rFonts w:hint="default" w:ascii="Times New Roman" w:hAnsi="Times New Roman" w:eastAsia="仿宋_GB2312" w:cs="Times New Roman"/>
          <w:color w:val="auto"/>
          <w:szCs w:val="24"/>
        </w:rPr>
        <w:t>元暂列水土保持补偿费，建设单位在取得批复后到红原县水利局依法办理缴费或者免征手续。</w:t>
      </w:r>
    </w:p>
    <w:p>
      <w:pPr>
        <w:spacing w:line="240" w:lineRule="auto"/>
        <w:ind w:firstLine="405" w:firstLineChars="192"/>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表7-3  水土保持补偿费计算表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16"/>
        <w:gridCol w:w="1570"/>
        <w:gridCol w:w="1575"/>
        <w:gridCol w:w="1580"/>
        <w:gridCol w:w="16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41"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工程或费用名称</w:t>
            </w:r>
          </w:p>
        </w:tc>
        <w:tc>
          <w:tcPr>
            <w:tcW w:w="920"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单位</w:t>
            </w:r>
          </w:p>
        </w:tc>
        <w:tc>
          <w:tcPr>
            <w:tcW w:w="923"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数量</w:t>
            </w:r>
          </w:p>
        </w:tc>
        <w:tc>
          <w:tcPr>
            <w:tcW w:w="926"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单价(元/m</w:t>
            </w:r>
            <w:r>
              <w:rPr>
                <w:rFonts w:hint="default" w:ascii="Times New Roman" w:hAnsi="Times New Roman" w:eastAsia="仿宋_GB2312" w:cs="Times New Roman"/>
                <w:b/>
                <w:color w:val="auto"/>
                <w:sz w:val="18"/>
                <w:szCs w:val="18"/>
                <w:vertAlign w:val="superscript"/>
              </w:rPr>
              <w:t>2</w:t>
            </w:r>
            <w:r>
              <w:rPr>
                <w:rFonts w:hint="default" w:ascii="Times New Roman" w:hAnsi="Times New Roman" w:eastAsia="仿宋_GB2312" w:cs="Times New Roman"/>
                <w:b/>
                <w:color w:val="auto"/>
                <w:sz w:val="18"/>
                <w:szCs w:val="18"/>
              </w:rPr>
              <w:t>）</w:t>
            </w:r>
          </w:p>
        </w:tc>
        <w:tc>
          <w:tcPr>
            <w:tcW w:w="989" w:type="pct"/>
            <w:vAlign w:val="center"/>
          </w:tcPr>
          <w:p>
            <w:pPr>
              <w:spacing w:line="240" w:lineRule="auto"/>
              <w:ind w:firstLine="0" w:firstLineChars="0"/>
              <w:jc w:val="center"/>
              <w:rPr>
                <w:rFonts w:hint="default" w:ascii="Times New Roman" w:hAnsi="Times New Roman" w:eastAsia="仿宋_GB2312" w:cs="Times New Roman"/>
                <w:b/>
                <w:color w:val="auto"/>
                <w:sz w:val="18"/>
                <w:szCs w:val="18"/>
              </w:rPr>
            </w:pPr>
            <w:r>
              <w:rPr>
                <w:rFonts w:hint="default" w:ascii="Times New Roman" w:hAnsi="Times New Roman" w:eastAsia="仿宋_GB2312" w:cs="Times New Roman"/>
                <w:b/>
                <w:color w:val="auto"/>
                <w:sz w:val="18"/>
                <w:szCs w:val="18"/>
              </w:rPr>
              <w:t>合计(元）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41"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水土保持补偿费</w:t>
            </w:r>
          </w:p>
        </w:tc>
        <w:tc>
          <w:tcPr>
            <w:tcW w:w="920"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m²</w:t>
            </w:r>
          </w:p>
        </w:tc>
        <w:tc>
          <w:tcPr>
            <w:tcW w:w="923"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916.76</w:t>
            </w:r>
          </w:p>
        </w:tc>
        <w:tc>
          <w:tcPr>
            <w:tcW w:w="926" w:type="pct"/>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1.30</w:t>
            </w:r>
          </w:p>
        </w:tc>
        <w:tc>
          <w:tcPr>
            <w:tcW w:w="989" w:type="pct"/>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5569.20</w:t>
            </w:r>
          </w:p>
          <w:p>
            <w:pPr>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1241" w:type="pct"/>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合计</w:t>
            </w:r>
          </w:p>
        </w:tc>
        <w:tc>
          <w:tcPr>
            <w:tcW w:w="920" w:type="pct"/>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p>
        </w:tc>
        <w:tc>
          <w:tcPr>
            <w:tcW w:w="923" w:type="pct"/>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p>
        </w:tc>
        <w:tc>
          <w:tcPr>
            <w:tcW w:w="926" w:type="pct"/>
            <w:vAlign w:val="center"/>
          </w:tcPr>
          <w:p>
            <w:pPr>
              <w:spacing w:line="240" w:lineRule="auto"/>
              <w:ind w:firstLine="345" w:firstLineChars="192"/>
              <w:jc w:val="center"/>
              <w:rPr>
                <w:rFonts w:hint="default" w:ascii="Times New Roman" w:hAnsi="Times New Roman" w:eastAsia="仿宋_GB2312" w:cs="Times New Roman"/>
                <w:color w:val="auto"/>
                <w:sz w:val="18"/>
                <w:szCs w:val="18"/>
              </w:rPr>
            </w:pPr>
          </w:p>
        </w:tc>
        <w:tc>
          <w:tcPr>
            <w:tcW w:w="989" w:type="pct"/>
            <w:vAlign w:val="center"/>
          </w:tcPr>
          <w:p>
            <w:pPr>
              <w:spacing w:line="240" w:lineRule="auto"/>
              <w:ind w:firstLine="0" w:firstLineChars="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5569.20</w:t>
            </w:r>
          </w:p>
          <w:p>
            <w:pPr>
              <w:spacing w:line="240" w:lineRule="auto"/>
              <w:ind w:firstLine="0" w:firstLineChars="0"/>
              <w:jc w:val="center"/>
              <w:rPr>
                <w:rFonts w:hint="default" w:ascii="Times New Roman" w:hAnsi="Times New Roman" w:eastAsia="仿宋_GB2312" w:cs="Times New Roman"/>
                <w:color w:val="auto"/>
                <w:sz w:val="18"/>
                <w:szCs w:val="18"/>
              </w:rPr>
            </w:pPr>
          </w:p>
        </w:tc>
      </w:tr>
    </w:tbl>
    <w:p>
      <w:pPr>
        <w:keepNext/>
        <w:widowControl/>
        <w:ind w:firstLine="0" w:firstLineChars="0"/>
        <w:outlineLvl w:val="3"/>
        <w:rPr>
          <w:rFonts w:hint="default" w:ascii="Times New Roman" w:hAnsi="Times New Roman" w:cs="Times New Roman"/>
          <w:b/>
          <w:color w:val="auto"/>
          <w:kern w:val="0"/>
          <w:szCs w:val="20"/>
        </w:rPr>
      </w:pPr>
      <w:r>
        <w:rPr>
          <w:rFonts w:hint="default" w:ascii="Times New Roman" w:hAnsi="Times New Roman" w:cs="Times New Roman"/>
          <w:b/>
          <w:color w:val="auto"/>
          <w:kern w:val="0"/>
          <w:szCs w:val="20"/>
        </w:rPr>
        <w:t>7.1.2.2编制方法</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四川省水利水电工程设计概（估）算编制规定》的要求，水保投资由工程措施费、植物措施费、监测措施费、施工临时工程费、独立费用以及预备费、水土保持补偿费等构成。各项工程单价和费用组成计算方法为：</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1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①</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工程措施、植物措施单价由直接工程费、间接费、企业利润、税金4部分组。</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2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②</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监测措施按土建设施、安装费和建设期观测费计列。</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3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③</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临时工程包括施工临时防护工程和其他临时工程。</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4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④</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独立费用由建设管理费、科研勘测设计费、工程建设监理费、</w:t>
      </w:r>
      <w:r>
        <w:rPr>
          <w:rFonts w:hint="default" w:ascii="Times New Roman" w:hAnsi="Times New Roman" w:eastAsia="仿宋_GB2312" w:cs="Times New Roman"/>
          <w:color w:val="auto"/>
          <w:szCs w:val="24"/>
          <w:lang w:eastAsia="zh-CN"/>
        </w:rPr>
        <w:t>水保设施验收报告编制费</w:t>
      </w:r>
      <w:r>
        <w:rPr>
          <w:rFonts w:hint="default" w:ascii="Times New Roman" w:hAnsi="Times New Roman" w:eastAsia="仿宋_GB2312" w:cs="Times New Roman"/>
          <w:color w:val="auto"/>
          <w:szCs w:val="24"/>
        </w:rPr>
        <w:t>、招标代理服务费、经济技术咨询费等组成。</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5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⑤</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预备费包括基本预备费，不考虑价差预备费。</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6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⑥</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水土保持补偿费按照《四川省发展和改革委员会 四川省财政厅关于制定水土保持补偿费收费标准的通知》（川发改价格[2017]347号）的有关规定执行。</w:t>
      </w:r>
    </w:p>
    <w:p>
      <w:pPr>
        <w:keepNext/>
        <w:widowControl/>
        <w:ind w:firstLine="0" w:firstLineChars="0"/>
        <w:outlineLvl w:val="3"/>
        <w:rPr>
          <w:rFonts w:hint="default" w:ascii="Times New Roman" w:hAnsi="Times New Roman" w:cs="Times New Roman"/>
          <w:b/>
          <w:color w:val="auto"/>
          <w:kern w:val="0"/>
          <w:szCs w:val="20"/>
        </w:rPr>
      </w:pPr>
      <w:r>
        <w:rPr>
          <w:rFonts w:hint="default" w:ascii="Times New Roman" w:hAnsi="Times New Roman" w:cs="Times New Roman"/>
          <w:b/>
          <w:color w:val="auto"/>
          <w:kern w:val="0"/>
          <w:szCs w:val="20"/>
        </w:rPr>
        <w:t>7.1.2.3水土保持方案总投资</w:t>
      </w:r>
    </w:p>
    <w:p>
      <w:pPr>
        <w:ind w:firstLine="460" w:firstLineChars="192"/>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本项目水土保持工程总投资</w:t>
      </w:r>
      <w:r>
        <w:rPr>
          <w:rFonts w:hint="default" w:ascii="Times New Roman" w:hAnsi="Times New Roman" w:eastAsia="仿宋_GB2312" w:cs="Times New Roman"/>
          <w:color w:val="auto"/>
          <w:szCs w:val="24"/>
          <w:lang w:eastAsia="zh-CN"/>
        </w:rPr>
        <w:t>12.79</w:t>
      </w:r>
      <w:r>
        <w:rPr>
          <w:rFonts w:hint="default" w:ascii="Times New Roman" w:hAnsi="Times New Roman" w:eastAsia="仿宋_GB2312" w:cs="Times New Roman"/>
          <w:color w:val="auto"/>
          <w:szCs w:val="24"/>
        </w:rPr>
        <w:t>万元（主体工程已有水保措施投资</w:t>
      </w:r>
      <w:r>
        <w:rPr>
          <w:rFonts w:hint="default" w:ascii="Times New Roman" w:hAnsi="Times New Roman" w:eastAsia="仿宋_GB2312" w:cs="Times New Roman"/>
          <w:color w:val="auto"/>
          <w:szCs w:val="24"/>
          <w:lang w:eastAsia="zh-CN"/>
        </w:rPr>
        <w:t>4.52</w:t>
      </w:r>
      <w:r>
        <w:rPr>
          <w:rFonts w:hint="default" w:ascii="Times New Roman" w:hAnsi="Times New Roman" w:eastAsia="仿宋_GB2312" w:cs="Times New Roman"/>
          <w:color w:val="auto"/>
          <w:szCs w:val="24"/>
        </w:rPr>
        <w:t>万元，方案新增水土保持投资</w:t>
      </w:r>
      <w:r>
        <w:rPr>
          <w:rFonts w:hint="default" w:ascii="Times New Roman" w:hAnsi="Times New Roman" w:eastAsia="仿宋_GB2312" w:cs="Times New Roman"/>
          <w:color w:val="auto"/>
          <w:szCs w:val="24"/>
          <w:lang w:val="en-US" w:eastAsia="zh-CN"/>
        </w:rPr>
        <w:t>8.27</w:t>
      </w:r>
      <w:r>
        <w:rPr>
          <w:rFonts w:hint="default" w:ascii="Times New Roman" w:hAnsi="Times New Roman" w:eastAsia="仿宋_GB2312" w:cs="Times New Roman"/>
          <w:color w:val="auto"/>
          <w:szCs w:val="24"/>
        </w:rPr>
        <w:t>万元），其中工程措施费4.12万元，监测措施费2.00万元，临时措施费0.</w:t>
      </w:r>
      <w:r>
        <w:rPr>
          <w:rFonts w:hint="default" w:ascii="Times New Roman" w:hAnsi="Times New Roman" w:eastAsia="仿宋_GB2312" w:cs="Times New Roman"/>
          <w:color w:val="auto"/>
          <w:szCs w:val="24"/>
          <w:lang w:val="en-US" w:eastAsia="zh-CN"/>
        </w:rPr>
        <w:t>40</w:t>
      </w:r>
      <w:r>
        <w:rPr>
          <w:rFonts w:hint="default" w:ascii="Times New Roman" w:hAnsi="Times New Roman" w:eastAsia="仿宋_GB2312" w:cs="Times New Roman"/>
          <w:color w:val="auto"/>
          <w:szCs w:val="24"/>
        </w:rPr>
        <w:t>万元，独立费用5.13万元，基本预备费0.5</w:t>
      </w:r>
      <w:r>
        <w:rPr>
          <w:rFonts w:hint="default" w:ascii="Times New Roman" w:hAnsi="Times New Roman" w:eastAsia="仿宋_GB2312" w:cs="Times New Roman"/>
          <w:color w:val="auto"/>
          <w:szCs w:val="24"/>
          <w:lang w:val="en-US" w:eastAsia="zh-CN"/>
        </w:rPr>
        <w:t>8</w:t>
      </w:r>
      <w:r>
        <w:rPr>
          <w:rFonts w:hint="default" w:ascii="Times New Roman" w:hAnsi="Times New Roman" w:eastAsia="仿宋_GB2312" w:cs="Times New Roman"/>
          <w:color w:val="auto"/>
          <w:szCs w:val="24"/>
        </w:rPr>
        <w:t>万元，水土保持补偿费0.</w:t>
      </w:r>
      <w:r>
        <w:rPr>
          <w:rFonts w:hint="default" w:ascii="Times New Roman" w:hAnsi="Times New Roman" w:eastAsia="仿宋_GB2312" w:cs="Times New Roman"/>
          <w:color w:val="auto"/>
          <w:szCs w:val="24"/>
          <w:lang w:val="en-US" w:eastAsia="zh-CN"/>
        </w:rPr>
        <w:t>56</w:t>
      </w:r>
      <w:r>
        <w:rPr>
          <w:rFonts w:hint="default" w:ascii="Times New Roman" w:hAnsi="Times New Roman" w:eastAsia="仿宋_GB2312" w:cs="Times New Roman"/>
          <w:color w:val="auto"/>
          <w:szCs w:val="24"/>
        </w:rPr>
        <w:t>万元。详见表7-4到表7-7。</w:t>
      </w:r>
    </w:p>
    <w:p>
      <w:pPr>
        <w:spacing w:before="156" w:beforeLines="50"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表7-4   水土保持投资总概算表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6"/>
        <w:gridCol w:w="2207"/>
        <w:gridCol w:w="991"/>
        <w:gridCol w:w="991"/>
        <w:gridCol w:w="778"/>
        <w:gridCol w:w="635"/>
        <w:gridCol w:w="709"/>
        <w:gridCol w:w="13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514" w:type="pct"/>
            <w:vMerge w:val="restart"/>
            <w:shd w:val="clear" w:color="auto" w:fill="auto"/>
            <w:vAlign w:val="center"/>
          </w:tcPr>
          <w:p>
            <w:pPr>
              <w:widowControl/>
              <w:spacing w:line="240" w:lineRule="auto"/>
              <w:ind w:firstLine="0" w:firstLineChars="0"/>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序号</w:t>
            </w:r>
          </w:p>
        </w:tc>
        <w:tc>
          <w:tcPr>
            <w:tcW w:w="1295" w:type="pct"/>
            <w:vMerge w:val="restart"/>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工程或费用名称</w:t>
            </w:r>
          </w:p>
        </w:tc>
        <w:tc>
          <w:tcPr>
            <w:tcW w:w="1164" w:type="pct"/>
            <w:gridSpan w:val="2"/>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建安工程费</w:t>
            </w:r>
          </w:p>
        </w:tc>
        <w:tc>
          <w:tcPr>
            <w:tcW w:w="457" w:type="pct"/>
            <w:vMerge w:val="restart"/>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设备费</w:t>
            </w:r>
          </w:p>
        </w:tc>
        <w:tc>
          <w:tcPr>
            <w:tcW w:w="373" w:type="pct"/>
            <w:vMerge w:val="restart"/>
            <w:shd w:val="clear" w:color="auto" w:fill="auto"/>
            <w:vAlign w:val="center"/>
          </w:tcPr>
          <w:p>
            <w:pPr>
              <w:widowControl/>
              <w:spacing w:line="240" w:lineRule="auto"/>
              <w:ind w:firstLine="0" w:firstLineChars="0"/>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植物措施</w:t>
            </w:r>
          </w:p>
        </w:tc>
        <w:tc>
          <w:tcPr>
            <w:tcW w:w="416" w:type="pct"/>
            <w:vMerge w:val="restart"/>
            <w:shd w:val="clear" w:color="auto" w:fill="auto"/>
            <w:vAlign w:val="center"/>
          </w:tcPr>
          <w:p>
            <w:pPr>
              <w:widowControl/>
              <w:spacing w:line="240" w:lineRule="auto"/>
              <w:ind w:firstLine="0" w:firstLineChars="0"/>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独立费用</w:t>
            </w:r>
          </w:p>
        </w:tc>
        <w:tc>
          <w:tcPr>
            <w:tcW w:w="781" w:type="pct"/>
            <w:vMerge w:val="restart"/>
            <w:shd w:val="clear" w:color="auto" w:fill="auto"/>
            <w:vAlign w:val="center"/>
          </w:tcPr>
          <w:p>
            <w:pPr>
              <w:widowControl/>
              <w:spacing w:line="240" w:lineRule="auto"/>
              <w:ind w:firstLine="0" w:firstLineChars="0"/>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合计（万元）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514" w:type="pct"/>
            <w:vMerge w:val="continue"/>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p>
        </w:tc>
        <w:tc>
          <w:tcPr>
            <w:tcW w:w="1295" w:type="pct"/>
            <w:vMerge w:val="continue"/>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p>
        </w:tc>
        <w:tc>
          <w:tcPr>
            <w:tcW w:w="582" w:type="pct"/>
            <w:shd w:val="clear" w:color="auto" w:fill="auto"/>
            <w:vAlign w:val="center"/>
          </w:tcPr>
          <w:p>
            <w:pPr>
              <w:widowControl/>
              <w:spacing w:line="240" w:lineRule="auto"/>
              <w:ind w:firstLine="0" w:firstLineChars="0"/>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方案新增</w:t>
            </w:r>
          </w:p>
        </w:tc>
        <w:tc>
          <w:tcPr>
            <w:tcW w:w="582" w:type="pct"/>
            <w:shd w:val="clear" w:color="auto" w:fill="auto"/>
            <w:vAlign w:val="center"/>
          </w:tcPr>
          <w:p>
            <w:pPr>
              <w:widowControl/>
              <w:spacing w:line="240" w:lineRule="auto"/>
              <w:ind w:firstLine="0" w:firstLineChars="0"/>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主体已有</w:t>
            </w:r>
          </w:p>
        </w:tc>
        <w:tc>
          <w:tcPr>
            <w:tcW w:w="457" w:type="pct"/>
            <w:vMerge w:val="continue"/>
          </w:tcPr>
          <w:p>
            <w:pPr>
              <w:widowControl/>
              <w:spacing w:line="240" w:lineRule="auto"/>
              <w:ind w:firstLine="361"/>
              <w:rPr>
                <w:rFonts w:hint="default" w:ascii="Times New Roman" w:hAnsi="Times New Roman" w:eastAsia="仿宋_GB2312" w:cs="Times New Roman"/>
                <w:b/>
                <w:bCs/>
                <w:color w:val="auto"/>
                <w:kern w:val="0"/>
                <w:sz w:val="18"/>
                <w:szCs w:val="18"/>
              </w:rPr>
            </w:pPr>
          </w:p>
        </w:tc>
        <w:tc>
          <w:tcPr>
            <w:tcW w:w="373" w:type="pct"/>
            <w:vMerge w:val="continue"/>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p>
        </w:tc>
        <w:tc>
          <w:tcPr>
            <w:tcW w:w="416" w:type="pct"/>
            <w:vMerge w:val="continue"/>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p>
        </w:tc>
        <w:tc>
          <w:tcPr>
            <w:tcW w:w="781" w:type="pct"/>
            <w:vMerge w:val="continue"/>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p>
        </w:tc>
        <w:tc>
          <w:tcPr>
            <w:tcW w:w="1295" w:type="pct"/>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第一部分 工程措施</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0.00</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4.12</w:t>
            </w:r>
          </w:p>
        </w:tc>
        <w:tc>
          <w:tcPr>
            <w:tcW w:w="457" w:type="pct"/>
          </w:tcPr>
          <w:p>
            <w:pPr>
              <w:widowControl/>
              <w:spacing w:line="240" w:lineRule="auto"/>
              <w:ind w:firstLine="0" w:firstLineChars="0"/>
              <w:rPr>
                <w:rFonts w:hint="default" w:ascii="Times New Roman" w:hAnsi="Times New Roman" w:eastAsia="仿宋_GB2312" w:cs="Times New Roman"/>
                <w:b/>
                <w:bCs/>
                <w:color w:val="auto"/>
                <w:kern w:val="0"/>
                <w:sz w:val="18"/>
                <w:szCs w:val="18"/>
              </w:rPr>
            </w:pPr>
          </w:p>
        </w:tc>
        <w:tc>
          <w:tcPr>
            <w:tcW w:w="373" w:type="pct"/>
            <w:shd w:val="clear" w:color="auto" w:fill="auto"/>
            <w:vAlign w:val="center"/>
          </w:tcPr>
          <w:p>
            <w:pPr>
              <w:widowControl/>
              <w:spacing w:line="240" w:lineRule="auto"/>
              <w:ind w:firstLine="0" w:firstLineChars="0"/>
              <w:rPr>
                <w:rFonts w:hint="default" w:ascii="Times New Roman" w:hAnsi="Times New Roman" w:eastAsia="仿宋_GB2312" w:cs="Times New Roman"/>
                <w:b/>
                <w:bCs/>
                <w:color w:val="auto"/>
                <w:kern w:val="0"/>
                <w:sz w:val="18"/>
                <w:szCs w:val="18"/>
              </w:rPr>
            </w:pPr>
          </w:p>
        </w:tc>
        <w:tc>
          <w:tcPr>
            <w:tcW w:w="416" w:type="pct"/>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4.12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295" w:type="pct"/>
            <w:shd w:val="clear" w:color="auto" w:fill="auto"/>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主体工程区</w:t>
            </w: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781"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29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散水暗沟</w:t>
            </w: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4.12</w:t>
            </w: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1295" w:type="pct"/>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第二部分 植物措施</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0.00</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457" w:type="pct"/>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p>
        </w:tc>
        <w:tc>
          <w:tcPr>
            <w:tcW w:w="37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color w:val="auto"/>
                <w:kern w:val="0"/>
                <w:sz w:val="18"/>
                <w:szCs w:val="18"/>
              </w:rPr>
              <w:t>0.00</w:t>
            </w:r>
          </w:p>
        </w:tc>
        <w:tc>
          <w:tcPr>
            <w:tcW w:w="416"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1295" w:type="pct"/>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第三部分 监测措施</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2.00</w:t>
            </w: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1295" w:type="pct"/>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第四部分 临时措施</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rPr>
              <w:t>0.</w:t>
            </w:r>
            <w:r>
              <w:rPr>
                <w:rFonts w:hint="default" w:ascii="Times New Roman" w:hAnsi="Times New Roman" w:eastAsia="仿宋_GB2312" w:cs="Times New Roman"/>
                <w:b/>
                <w:color w:val="auto"/>
                <w:kern w:val="0"/>
                <w:sz w:val="18"/>
                <w:szCs w:val="18"/>
                <w:lang w:val="en-US" w:eastAsia="zh-CN"/>
              </w:rPr>
              <w:t>40</w:t>
            </w:r>
          </w:p>
        </w:tc>
        <w:tc>
          <w:tcPr>
            <w:tcW w:w="457" w:type="pct"/>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lang w:val="en-US" w:eastAsia="zh-CN"/>
              </w:rPr>
            </w:pPr>
            <w:r>
              <w:rPr>
                <w:rFonts w:hint="default" w:ascii="Times New Roman" w:hAnsi="Times New Roman" w:eastAsia="仿宋_GB2312" w:cs="Times New Roman"/>
                <w:b/>
                <w:color w:val="auto"/>
                <w:kern w:val="0"/>
                <w:sz w:val="18"/>
                <w:szCs w:val="18"/>
              </w:rPr>
              <w:t>0.</w:t>
            </w:r>
            <w:r>
              <w:rPr>
                <w:rFonts w:hint="default" w:ascii="Times New Roman" w:hAnsi="Times New Roman" w:eastAsia="仿宋_GB2312" w:cs="Times New Roman"/>
                <w:b/>
                <w:color w:val="auto"/>
                <w:kern w:val="0"/>
                <w:sz w:val="18"/>
                <w:szCs w:val="18"/>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09" w:type="pct"/>
            <w:gridSpan w:val="2"/>
            <w:shd w:val="clear" w:color="auto" w:fill="auto"/>
            <w:vAlign w:val="center"/>
          </w:tcPr>
          <w:p>
            <w:pPr>
              <w:widowControl/>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临时防护工程</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295" w:type="pct"/>
            <w:shd w:val="clear" w:color="auto" w:fill="auto"/>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主体工程区</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781" w:type="pct"/>
            <w:shd w:val="clear" w:color="auto" w:fill="auto"/>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29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0.25</w:t>
            </w: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51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w:t>
            </w:r>
            <w:r>
              <w:rPr>
                <w:rFonts w:hint="default" w:ascii="Times New Roman" w:hAnsi="Times New Roman" w:eastAsia="仿宋_GB2312" w:cs="Times New Roman"/>
                <w:color w:val="auto"/>
                <w:kern w:val="0"/>
                <w:sz w:val="18"/>
                <w:szCs w:val="18"/>
                <w:lang w:val="en-US" w:eastAsia="zh-CN"/>
              </w:rPr>
              <w:t>二</w:t>
            </w:r>
            <w:r>
              <w:rPr>
                <w:rFonts w:hint="default" w:ascii="Times New Roman" w:hAnsi="Times New Roman" w:eastAsia="仿宋_GB2312" w:cs="Times New Roman"/>
                <w:color w:val="auto"/>
                <w:kern w:val="0"/>
                <w:sz w:val="18"/>
                <w:szCs w:val="18"/>
                <w:lang w:eastAsia="zh-CN"/>
              </w:rPr>
              <w:t>）</w:t>
            </w:r>
          </w:p>
        </w:tc>
        <w:tc>
          <w:tcPr>
            <w:tcW w:w="1295" w:type="pct"/>
            <w:shd w:val="clear" w:color="auto" w:fill="auto"/>
            <w:vAlign w:val="center"/>
          </w:tcPr>
          <w:p>
            <w:pPr>
              <w:widowControl/>
              <w:spacing w:line="240" w:lineRule="auto"/>
              <w:ind w:firstLine="0" w:firstLineChars="0"/>
              <w:jc w:val="left"/>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附属设施区</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1</w:t>
            </w:r>
          </w:p>
        </w:tc>
        <w:tc>
          <w:tcPr>
            <w:tcW w:w="129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防雨布遮盖</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0.15</w:t>
            </w: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 w:hRule="atLeast"/>
          <w:jc w:val="center"/>
        </w:trPr>
        <w:tc>
          <w:tcPr>
            <w:tcW w:w="1809"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其他临时工程</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
                <w:color w:val="auto"/>
                <w:kern w:val="0"/>
                <w:sz w:val="18"/>
                <w:szCs w:val="18"/>
              </w:rPr>
              <w:t>0.00</w:t>
            </w: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1295" w:type="pct"/>
            <w:shd w:val="clear" w:color="auto" w:fill="auto"/>
            <w:vAlign w:val="center"/>
          </w:tcPr>
          <w:p>
            <w:pPr>
              <w:widowControl/>
              <w:spacing w:line="240" w:lineRule="auto"/>
              <w:ind w:firstLine="361"/>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第五部分 独立费用</w:t>
            </w: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5.13</w:t>
            </w: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5.13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29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建设管理费</w:t>
            </w: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0.13</w:t>
            </w: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29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科研勘测设计费</w:t>
            </w: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514"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29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工程建设监理费</w:t>
            </w: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w:t>
            </w:r>
          </w:p>
        </w:tc>
        <w:tc>
          <w:tcPr>
            <w:tcW w:w="129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水保设施验收报告编制费</w:t>
            </w: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Ⅰ</w:t>
            </w:r>
          </w:p>
        </w:tc>
        <w:tc>
          <w:tcPr>
            <w:tcW w:w="1295"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第一至五部分合计</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c>
          <w:tcPr>
            <w:tcW w:w="58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4.52</w:t>
            </w:r>
          </w:p>
        </w:tc>
        <w:tc>
          <w:tcPr>
            <w:tcW w:w="457" w:type="pct"/>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w:t>
            </w:r>
          </w:p>
        </w:tc>
        <w:tc>
          <w:tcPr>
            <w:tcW w:w="416"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b/>
                <w:color w:val="auto"/>
                <w:kern w:val="0"/>
                <w:sz w:val="18"/>
                <w:szCs w:val="18"/>
              </w:rPr>
              <w:t>5.13</w:t>
            </w: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rPr>
              <w:t>11.</w:t>
            </w:r>
            <w:r>
              <w:rPr>
                <w:rFonts w:hint="default" w:ascii="Times New Roman" w:hAnsi="Times New Roman" w:eastAsia="仿宋_GB2312" w:cs="Times New Roman"/>
                <w:b/>
                <w:color w:val="auto"/>
                <w:kern w:val="0"/>
                <w:sz w:val="18"/>
                <w:szCs w:val="18"/>
                <w:lang w:val="en-US" w:eastAsia="zh-CN"/>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Ⅱ</w:t>
            </w:r>
          </w:p>
        </w:tc>
        <w:tc>
          <w:tcPr>
            <w:tcW w:w="1295"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基本预备费</w:t>
            </w: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1331" w:type="dxa"/>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0.5</w:t>
            </w:r>
            <w:r>
              <w:rPr>
                <w:rFonts w:hint="default" w:ascii="Times New Roman" w:hAnsi="Times New Roman" w:eastAsia="仿宋_GB2312" w:cs="Times New Roman"/>
                <w:color w:val="auto"/>
                <w:kern w:val="0"/>
                <w:sz w:val="18"/>
                <w:szCs w:val="18"/>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Ⅳ</w:t>
            </w:r>
          </w:p>
        </w:tc>
        <w:tc>
          <w:tcPr>
            <w:tcW w:w="1295"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水土保持补偿费</w:t>
            </w: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1331" w:type="dxa"/>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14"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1295"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总投资（</w:t>
            </w:r>
            <w:r>
              <w:rPr>
                <w:rFonts w:hint="default" w:ascii="Times New Roman" w:hAnsi="Times New Roman" w:cs="Times New Roman"/>
                <w:color w:val="auto"/>
                <w:kern w:val="0"/>
                <w:sz w:val="18"/>
                <w:szCs w:val="18"/>
              </w:rPr>
              <w:t>Ⅰ</w:t>
            </w:r>
            <w:r>
              <w:rPr>
                <w:rFonts w:hint="default" w:ascii="Times New Roman" w:hAnsi="Times New Roman" w:eastAsia="仿宋_GB2312" w:cs="Times New Roman"/>
                <w:color w:val="auto"/>
                <w:kern w:val="0"/>
                <w:sz w:val="18"/>
                <w:szCs w:val="18"/>
              </w:rPr>
              <w:t>+</w:t>
            </w:r>
            <w:r>
              <w:rPr>
                <w:rFonts w:hint="default" w:ascii="Times New Roman" w:hAnsi="Times New Roman" w:cs="Times New Roman"/>
                <w:color w:val="auto"/>
                <w:kern w:val="0"/>
                <w:sz w:val="18"/>
                <w:szCs w:val="18"/>
              </w:rPr>
              <w:t>Ⅱ</w:t>
            </w:r>
            <w:r>
              <w:rPr>
                <w:rFonts w:hint="default" w:ascii="Times New Roman" w:hAnsi="Times New Roman" w:eastAsia="仿宋_GB2312" w:cs="Times New Roman"/>
                <w:color w:val="auto"/>
                <w:kern w:val="0"/>
                <w:sz w:val="18"/>
                <w:szCs w:val="18"/>
              </w:rPr>
              <w:t>+</w:t>
            </w:r>
            <w:r>
              <w:rPr>
                <w:rFonts w:hint="default" w:ascii="Times New Roman" w:hAnsi="Times New Roman" w:cs="Times New Roman"/>
                <w:color w:val="auto"/>
                <w:kern w:val="0"/>
                <w:sz w:val="18"/>
                <w:szCs w:val="18"/>
              </w:rPr>
              <w:t>Ⅳ</w:t>
            </w:r>
            <w:r>
              <w:rPr>
                <w:rFonts w:hint="default" w:ascii="Times New Roman" w:hAnsi="Times New Roman" w:eastAsia="仿宋_GB2312" w:cs="Times New Roman"/>
                <w:color w:val="auto"/>
                <w:kern w:val="0"/>
                <w:sz w:val="18"/>
                <w:szCs w:val="18"/>
              </w:rPr>
              <w:t>）</w:t>
            </w: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582"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57" w:type="pct"/>
          </w:tcPr>
          <w:p>
            <w:pPr>
              <w:widowControl/>
              <w:spacing w:line="240" w:lineRule="auto"/>
              <w:ind w:firstLine="360"/>
              <w:rPr>
                <w:rFonts w:hint="default" w:ascii="Times New Roman" w:hAnsi="Times New Roman" w:eastAsia="仿宋_GB2312" w:cs="Times New Roman"/>
                <w:color w:val="auto"/>
                <w:kern w:val="0"/>
                <w:sz w:val="18"/>
                <w:szCs w:val="18"/>
              </w:rPr>
            </w:pPr>
          </w:p>
        </w:tc>
        <w:tc>
          <w:tcPr>
            <w:tcW w:w="373"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416" w:type="pct"/>
            <w:shd w:val="clear" w:color="auto" w:fill="auto"/>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c>
          <w:tcPr>
            <w:tcW w:w="78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eastAsia="zh-CN"/>
              </w:rPr>
            </w:pPr>
            <w:r>
              <w:rPr>
                <w:rFonts w:hint="default" w:ascii="Times New Roman" w:hAnsi="Times New Roman" w:eastAsia="仿宋_GB2312" w:cs="Times New Roman"/>
                <w:b/>
                <w:color w:val="auto"/>
                <w:kern w:val="0"/>
                <w:sz w:val="18"/>
                <w:szCs w:val="18"/>
                <w:lang w:eastAsia="zh-CN"/>
              </w:rPr>
              <w:t>12.79</w:t>
            </w:r>
          </w:p>
        </w:tc>
      </w:tr>
    </w:tbl>
    <w:p>
      <w:pPr>
        <w:spacing w:before="156" w:beforeLines="50"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sz w:val="21"/>
          <w:szCs w:val="21"/>
        </w:rPr>
        <w:t>表7-5   分区措施投资概算表（单位：元）</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56"/>
        <w:gridCol w:w="2405"/>
        <w:gridCol w:w="1775"/>
        <w:gridCol w:w="1058"/>
        <w:gridCol w:w="1203"/>
        <w:gridCol w:w="13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序号</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工程或费用名称</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单位</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数量</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单价(元）</w:t>
            </w: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合计(万元）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第一部分 工程措施</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4.12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主体工程区</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散水暗沟</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m</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123.02</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334.79</w:t>
            </w: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第二部分 植物措施</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第三部分 监测措施</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409"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土建设施费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noWrap/>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409"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设备及安装费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noWrap/>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409" w:type="pct"/>
            <w:shd w:val="clear" w:color="auto" w:fill="auto"/>
            <w:vAlign w:val="center"/>
          </w:tcPr>
          <w:p>
            <w:pPr>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建设期观测运行费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第四部分 临时措施</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rPr>
              <w:t>0.</w:t>
            </w:r>
            <w:r>
              <w:rPr>
                <w:rFonts w:hint="default" w:ascii="Times New Roman" w:hAnsi="Times New Roman" w:eastAsia="仿宋_GB2312" w:cs="Times New Roman"/>
                <w:b/>
                <w:color w:val="auto"/>
                <w:kern w:val="0"/>
                <w:sz w:val="18"/>
                <w:szCs w:val="18"/>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临时防护工程</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rPr>
              <w:t>0.</w:t>
            </w:r>
            <w:r>
              <w:rPr>
                <w:rFonts w:hint="default" w:ascii="Times New Roman" w:hAnsi="Times New Roman" w:eastAsia="仿宋_GB2312" w:cs="Times New Roman"/>
                <w:b/>
                <w:color w:val="auto"/>
                <w:kern w:val="0"/>
                <w:sz w:val="18"/>
                <w:szCs w:val="18"/>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主体工程区</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kern w:val="0"/>
                <w:sz w:val="18"/>
                <w:szCs w:val="18"/>
              </w:rPr>
              <w:t>防雨布遮盖</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500</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5.00</w:t>
            </w: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二</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附属设施区</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1</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2"/>
                <w:sz w:val="18"/>
                <w:szCs w:val="18"/>
                <w:lang w:val="en-US" w:eastAsia="zh-CN" w:bidi="ar-SA"/>
              </w:rPr>
            </w:pPr>
            <w:r>
              <w:rPr>
                <w:rFonts w:hint="default" w:ascii="Times New Roman" w:hAnsi="Times New Roman" w:eastAsia="仿宋_GB2312" w:cs="Times New Roman"/>
                <w:color w:val="auto"/>
                <w:kern w:val="0"/>
                <w:sz w:val="18"/>
                <w:szCs w:val="18"/>
              </w:rPr>
              <w:t>防雨布遮盖</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sz w:val="18"/>
                <w:szCs w:val="18"/>
              </w:rPr>
              <w:t>m</w:t>
            </w:r>
            <w:r>
              <w:rPr>
                <w:rFonts w:hint="default" w:ascii="Times New Roman" w:hAnsi="Times New Roman" w:eastAsia="仿宋_GB2312" w:cs="Times New Roman"/>
                <w:color w:val="auto"/>
                <w:sz w:val="18"/>
                <w:szCs w:val="18"/>
                <w:vertAlign w:val="superscript"/>
              </w:rPr>
              <w:t>2</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500</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5.00</w:t>
            </w: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1</w:t>
            </w:r>
            <w:r>
              <w:rPr>
                <w:rFonts w:hint="default" w:ascii="Times New Roman" w:hAnsi="Times New Roman" w:eastAsia="仿宋_GB2312" w:cs="Times New Roman"/>
                <w:color w:val="auto"/>
                <w:kern w:val="0"/>
                <w:sz w:val="18"/>
                <w:szCs w:val="18"/>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（二）</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其他临时工程</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第五部分 独立费用</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5.13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建设管理费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65200</w:t>
            </w: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二</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科研勘测设计费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三</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工程建设监理费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四</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水保设施验收报告编制费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Ⅰ</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第一至五部分合计</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rPr>
              <w:t>11.</w:t>
            </w:r>
            <w:r>
              <w:rPr>
                <w:rFonts w:hint="default" w:ascii="Times New Roman" w:hAnsi="Times New Roman" w:eastAsia="仿宋_GB2312" w:cs="Times New Roman"/>
                <w:b/>
                <w:color w:val="auto"/>
                <w:kern w:val="0"/>
                <w:sz w:val="18"/>
                <w:szCs w:val="18"/>
                <w:lang w:val="en-US" w:eastAsia="zh-CN"/>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Ⅱ</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基本预备费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5</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11.</w:t>
            </w:r>
            <w:r>
              <w:rPr>
                <w:rFonts w:hint="default" w:ascii="Times New Roman" w:hAnsi="Times New Roman" w:eastAsia="仿宋_GB2312" w:cs="Times New Roman"/>
                <w:color w:val="auto"/>
                <w:kern w:val="0"/>
                <w:sz w:val="18"/>
                <w:szCs w:val="18"/>
                <w:lang w:val="en-US" w:eastAsia="zh-CN"/>
              </w:rPr>
              <w:t>65</w:t>
            </w: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0.5</w:t>
            </w:r>
            <w:r>
              <w:rPr>
                <w:rFonts w:hint="default" w:ascii="Times New Roman" w:hAnsi="Times New Roman" w:eastAsia="仿宋_GB2312" w:cs="Times New Roman"/>
                <w:color w:val="auto"/>
                <w:kern w:val="0"/>
                <w:sz w:val="18"/>
                <w:szCs w:val="18"/>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Ⅳ</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水土保持补偿费</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vertAlign w:val="superscript"/>
              </w:rPr>
            </w:pPr>
            <w:r>
              <w:rPr>
                <w:rFonts w:hint="default" w:ascii="Times New Roman" w:hAnsi="Times New Roman" w:eastAsia="仿宋_GB2312" w:cs="Times New Roman"/>
                <w:color w:val="auto"/>
                <w:kern w:val="0"/>
                <w:sz w:val="18"/>
                <w:szCs w:val="18"/>
              </w:rPr>
              <w:t>hm</w:t>
            </w:r>
            <w:r>
              <w:rPr>
                <w:rFonts w:hint="default" w:ascii="Times New Roman" w:hAnsi="Times New Roman" w:eastAsia="仿宋_GB2312" w:cs="Times New Roman"/>
                <w:color w:val="auto"/>
                <w:kern w:val="0"/>
                <w:sz w:val="18"/>
                <w:szCs w:val="18"/>
                <w:vertAlign w:val="superscript"/>
              </w:rPr>
              <w:t>2</w:t>
            </w: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77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443"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Ⅴ</w:t>
            </w:r>
          </w:p>
        </w:tc>
        <w:tc>
          <w:tcPr>
            <w:tcW w:w="1409"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新增工程投资合计</w:t>
            </w:r>
          </w:p>
        </w:tc>
        <w:tc>
          <w:tcPr>
            <w:tcW w:w="104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620"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0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79" w:type="pct"/>
            <w:shd w:val="clear" w:color="auto" w:fill="auto"/>
            <w:noWrap/>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eastAsia="zh-CN"/>
              </w:rPr>
            </w:pPr>
            <w:r>
              <w:rPr>
                <w:rFonts w:hint="default" w:ascii="Times New Roman" w:hAnsi="Times New Roman" w:eastAsia="仿宋_GB2312" w:cs="Times New Roman"/>
                <w:b/>
                <w:color w:val="auto"/>
                <w:kern w:val="0"/>
                <w:sz w:val="18"/>
                <w:szCs w:val="18"/>
                <w:lang w:eastAsia="zh-CN"/>
              </w:rPr>
              <w:t>12.79</w:t>
            </w:r>
          </w:p>
        </w:tc>
      </w:tr>
    </w:tbl>
    <w:p>
      <w:pPr>
        <w:spacing w:before="156" w:beforeLines="50" w:line="240" w:lineRule="auto"/>
        <w:ind w:firstLine="0" w:firstLineChars="0"/>
        <w:jc w:val="center"/>
        <w:rPr>
          <w:rFonts w:hint="default" w:ascii="Times New Roman" w:hAnsi="Times New Roman" w:eastAsia="仿宋_GB2312" w:cs="Times New Roman"/>
          <w:b/>
          <w:color w:val="auto"/>
          <w:kern w:val="0"/>
          <w:sz w:val="21"/>
          <w:szCs w:val="21"/>
        </w:rPr>
      </w:pPr>
    </w:p>
    <w:p>
      <w:pPr>
        <w:spacing w:before="156" w:beforeLines="50" w:line="240" w:lineRule="auto"/>
        <w:ind w:firstLine="0" w:firstLineChars="0"/>
        <w:jc w:val="center"/>
        <w:rPr>
          <w:rFonts w:hint="default" w:ascii="Times New Roman" w:hAnsi="Times New Roman" w:eastAsia="仿宋_GB2312" w:cs="Times New Roman"/>
          <w:b/>
          <w:color w:val="auto"/>
          <w:sz w:val="21"/>
          <w:szCs w:val="21"/>
        </w:rPr>
      </w:pPr>
      <w:r>
        <w:rPr>
          <w:rFonts w:hint="default" w:ascii="Times New Roman" w:hAnsi="Times New Roman" w:eastAsia="仿宋_GB2312" w:cs="Times New Roman"/>
          <w:b/>
          <w:color w:val="auto"/>
          <w:kern w:val="0"/>
          <w:sz w:val="21"/>
          <w:szCs w:val="21"/>
        </w:rPr>
        <w:t>表7-6   独立费用计算表</w:t>
      </w:r>
      <w:r>
        <w:rPr>
          <w:rFonts w:hint="default" w:ascii="Times New Roman" w:hAnsi="Times New Roman" w:eastAsia="仿宋_GB2312" w:cs="Times New Roman"/>
          <w:b/>
          <w:color w:val="auto"/>
          <w:sz w:val="21"/>
          <w:szCs w:val="21"/>
        </w:rPr>
        <w:t>（单位：万元）</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3"/>
        <w:gridCol w:w="2311"/>
        <w:gridCol w:w="994"/>
        <w:gridCol w:w="45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编号</w:t>
            </w:r>
          </w:p>
        </w:tc>
        <w:tc>
          <w:tcPr>
            <w:tcW w:w="1355"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费用名称</w:t>
            </w:r>
          </w:p>
        </w:tc>
        <w:tc>
          <w:tcPr>
            <w:tcW w:w="583" w:type="pct"/>
            <w:vAlign w:val="center"/>
          </w:tcPr>
          <w:p>
            <w:pPr>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费用</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建设管理费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13</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第一部分至第四部分的2%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二</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科研勘测设计费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工程科学研究试验费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本方案不计列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工程勘测设计费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2692" w:type="pct"/>
            <w:vAlign w:val="center"/>
          </w:tcPr>
          <w:p>
            <w:pPr>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方案编制费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c>
          <w:tcPr>
            <w:tcW w:w="2692" w:type="pct"/>
            <w:vAlign w:val="center"/>
          </w:tcPr>
          <w:p>
            <w:pPr>
              <w:spacing w:line="240" w:lineRule="auto"/>
              <w:ind w:firstLine="360"/>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以实际发生费用计列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三</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工程建设监理费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四</w:t>
            </w:r>
          </w:p>
        </w:tc>
        <w:tc>
          <w:tcPr>
            <w:tcW w:w="135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水保设施验收报告编制费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五</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招标代理服务费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按工程实际计列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 w:hRule="atLeast"/>
          <w:jc w:val="center"/>
        </w:trPr>
        <w:tc>
          <w:tcPr>
            <w:tcW w:w="371"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六</w:t>
            </w:r>
          </w:p>
        </w:tc>
        <w:tc>
          <w:tcPr>
            <w:tcW w:w="1355" w:type="pct"/>
            <w:vAlign w:val="center"/>
          </w:tcPr>
          <w:p>
            <w:pPr>
              <w:widowControl/>
              <w:spacing w:line="240" w:lineRule="auto"/>
              <w:ind w:firstLine="0" w:firstLineChars="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经济技术咨询费</w:t>
            </w:r>
          </w:p>
        </w:tc>
        <w:tc>
          <w:tcPr>
            <w:tcW w:w="583"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2692" w:type="pct"/>
            <w:vAlign w:val="center"/>
          </w:tcPr>
          <w:p>
            <w:pPr>
              <w:widowControl/>
              <w:spacing w:line="240" w:lineRule="auto"/>
              <w:ind w:firstLine="360"/>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按工程实际计列</w:t>
            </w:r>
          </w:p>
        </w:tc>
      </w:tr>
    </w:tbl>
    <w:p>
      <w:pPr>
        <w:pStyle w:val="1102"/>
        <w:spacing w:line="240" w:lineRule="auto"/>
        <w:rPr>
          <w:rFonts w:hint="default" w:ascii="Times New Roman" w:hAnsi="Times New Roman" w:cs="Times New Roman"/>
          <w:color w:val="auto"/>
        </w:rPr>
      </w:pPr>
    </w:p>
    <w:p>
      <w:pPr>
        <w:spacing w:before="156" w:beforeLines="50" w:line="240" w:lineRule="auto"/>
        <w:ind w:firstLine="0" w:firstLineChars="0"/>
        <w:jc w:val="center"/>
        <w:rPr>
          <w:rFonts w:hint="default" w:ascii="Times New Roman" w:hAnsi="Times New Roman" w:eastAsia="仿宋_GB2312" w:cs="Times New Roman"/>
          <w:b/>
          <w:color w:val="auto"/>
          <w:kern w:val="0"/>
          <w:sz w:val="21"/>
          <w:szCs w:val="21"/>
        </w:rPr>
      </w:pPr>
    </w:p>
    <w:p>
      <w:pPr>
        <w:spacing w:before="156" w:beforeLines="50" w:line="240" w:lineRule="auto"/>
        <w:ind w:firstLine="0" w:firstLineChars="0"/>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表7-7    分年度投资概算表   单位：万元</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9"/>
        <w:gridCol w:w="2244"/>
        <w:gridCol w:w="1352"/>
        <w:gridCol w:w="1348"/>
        <w:gridCol w:w="1348"/>
        <w:gridCol w:w="13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tblHeader/>
          <w:jc w:val="center"/>
        </w:trPr>
        <w:tc>
          <w:tcPr>
            <w:tcW w:w="52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序号</w:t>
            </w:r>
          </w:p>
        </w:tc>
        <w:tc>
          <w:tcPr>
            <w:tcW w:w="1315" w:type="pct"/>
            <w:shd w:val="clear" w:color="auto" w:fill="auto"/>
            <w:vAlign w:val="center"/>
          </w:tcPr>
          <w:p>
            <w:pPr>
              <w:widowControl/>
              <w:spacing w:line="240" w:lineRule="auto"/>
              <w:ind w:firstLine="361"/>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工程或费用名称</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合计（万元）</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2016年</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2017年</w:t>
            </w: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2020年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361"/>
              <w:jc w:val="center"/>
              <w:rPr>
                <w:rFonts w:hint="default" w:ascii="Times New Roman" w:hAnsi="Times New Roman" w:eastAsia="仿宋_GB2312" w:cs="Times New Roman"/>
                <w:b/>
                <w:bCs/>
                <w:color w:val="auto"/>
                <w:kern w:val="0"/>
                <w:sz w:val="18"/>
                <w:szCs w:val="18"/>
              </w:rPr>
            </w:pPr>
          </w:p>
        </w:tc>
        <w:tc>
          <w:tcPr>
            <w:tcW w:w="1315" w:type="pct"/>
            <w:shd w:val="clear" w:color="auto" w:fill="auto"/>
            <w:vAlign w:val="center"/>
          </w:tcPr>
          <w:p>
            <w:pPr>
              <w:widowControl/>
              <w:spacing w:line="240" w:lineRule="auto"/>
              <w:ind w:firstLine="361"/>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第一部分 工程措施</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4.12</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31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主体工程区</w:t>
            </w:r>
          </w:p>
        </w:tc>
        <w:tc>
          <w:tcPr>
            <w:tcW w:w="792"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790"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790"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789" w:type="pct"/>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31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散水暗沟</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4.12</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4.12</w:t>
            </w: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1315" w:type="pct"/>
            <w:shd w:val="clear" w:color="auto" w:fill="auto"/>
            <w:vAlign w:val="center"/>
          </w:tcPr>
          <w:p>
            <w:pPr>
              <w:widowControl/>
              <w:spacing w:line="240" w:lineRule="auto"/>
              <w:ind w:firstLine="361"/>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第二部分 植物措施</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0.00</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1315" w:type="pct"/>
            <w:shd w:val="clear" w:color="auto" w:fill="auto"/>
            <w:vAlign w:val="center"/>
          </w:tcPr>
          <w:p>
            <w:pPr>
              <w:widowControl/>
              <w:spacing w:line="240" w:lineRule="auto"/>
              <w:ind w:firstLine="361"/>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第三部分 监测措施</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2.00</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1315" w:type="pct"/>
            <w:shd w:val="clear" w:color="auto" w:fill="auto"/>
            <w:vAlign w:val="center"/>
          </w:tcPr>
          <w:p>
            <w:pPr>
              <w:widowControl/>
              <w:spacing w:line="240" w:lineRule="auto"/>
              <w:ind w:firstLine="361"/>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第四部分 临时措施</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color w:val="auto"/>
                <w:kern w:val="0"/>
                <w:sz w:val="18"/>
                <w:szCs w:val="18"/>
              </w:rPr>
              <w:t>0.25</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36" w:type="pct"/>
            <w:gridSpan w:val="2"/>
            <w:shd w:val="clear" w:color="auto" w:fill="auto"/>
            <w:vAlign w:val="center"/>
          </w:tcPr>
          <w:p>
            <w:pPr>
              <w:widowControl/>
              <w:spacing w:line="240" w:lineRule="auto"/>
              <w:ind w:firstLine="360"/>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临时防护工程</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（一）</w:t>
            </w:r>
          </w:p>
        </w:tc>
        <w:tc>
          <w:tcPr>
            <w:tcW w:w="131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主体工程区</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31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防雨布遮盖</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0.25</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sz w:val="18"/>
                <w:szCs w:val="18"/>
              </w:rPr>
              <w:t>0.25</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w:t>
            </w:r>
            <w:r>
              <w:rPr>
                <w:rFonts w:hint="default" w:ascii="Times New Roman" w:hAnsi="Times New Roman" w:eastAsia="仿宋_GB2312" w:cs="Times New Roman"/>
                <w:color w:val="auto"/>
                <w:kern w:val="0"/>
                <w:sz w:val="18"/>
                <w:szCs w:val="18"/>
                <w:lang w:val="en-US" w:eastAsia="zh-CN"/>
              </w:rPr>
              <w:t>二</w:t>
            </w:r>
            <w:r>
              <w:rPr>
                <w:rFonts w:hint="default" w:ascii="Times New Roman" w:hAnsi="Times New Roman" w:eastAsia="仿宋_GB2312" w:cs="Times New Roman"/>
                <w:color w:val="auto"/>
                <w:kern w:val="0"/>
                <w:sz w:val="18"/>
                <w:szCs w:val="18"/>
                <w:lang w:eastAsia="zh-CN"/>
              </w:rPr>
              <w:t>）</w:t>
            </w:r>
          </w:p>
        </w:tc>
        <w:tc>
          <w:tcPr>
            <w:tcW w:w="131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附属设施区</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1</w:t>
            </w:r>
          </w:p>
        </w:tc>
        <w:tc>
          <w:tcPr>
            <w:tcW w:w="131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防雨布遮盖</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15</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0.15</w:t>
            </w: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 w:hRule="atLeast"/>
          <w:jc w:val="center"/>
        </w:trPr>
        <w:tc>
          <w:tcPr>
            <w:tcW w:w="1836" w:type="pct"/>
            <w:gridSpan w:val="2"/>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其他临时工程</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1315" w:type="pct"/>
            <w:shd w:val="clear" w:color="auto" w:fill="auto"/>
            <w:vAlign w:val="center"/>
          </w:tcPr>
          <w:p>
            <w:pPr>
              <w:widowControl/>
              <w:spacing w:line="240" w:lineRule="auto"/>
              <w:ind w:firstLine="361"/>
              <w:jc w:val="center"/>
              <w:rPr>
                <w:rFonts w:hint="default" w:ascii="Times New Roman" w:hAnsi="Times New Roman" w:eastAsia="仿宋_GB2312" w:cs="Times New Roman"/>
                <w:b/>
                <w:bCs/>
                <w:color w:val="auto"/>
                <w:kern w:val="0"/>
                <w:sz w:val="18"/>
                <w:szCs w:val="18"/>
              </w:rPr>
            </w:pPr>
            <w:r>
              <w:rPr>
                <w:rFonts w:hint="default" w:ascii="Times New Roman" w:hAnsi="Times New Roman" w:eastAsia="仿宋_GB2312" w:cs="Times New Roman"/>
                <w:b/>
                <w:bCs/>
                <w:color w:val="auto"/>
                <w:kern w:val="0"/>
                <w:sz w:val="18"/>
                <w:szCs w:val="18"/>
              </w:rPr>
              <w:t>第五部分 独立费用</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r>
              <w:rPr>
                <w:rFonts w:hint="default" w:ascii="Times New Roman" w:hAnsi="Times New Roman" w:eastAsia="仿宋_GB2312" w:cs="Times New Roman"/>
                <w:b/>
                <w:color w:val="auto"/>
                <w:kern w:val="0"/>
                <w:sz w:val="18"/>
                <w:szCs w:val="18"/>
              </w:rPr>
              <w:t>5.13</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w:t>
            </w:r>
          </w:p>
        </w:tc>
        <w:tc>
          <w:tcPr>
            <w:tcW w:w="131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建设管理费</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0.13</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w:t>
            </w:r>
          </w:p>
        </w:tc>
        <w:tc>
          <w:tcPr>
            <w:tcW w:w="131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科研勘测设计费</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 w:hRule="atLeast"/>
          <w:jc w:val="center"/>
        </w:trPr>
        <w:tc>
          <w:tcPr>
            <w:tcW w:w="521"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w:t>
            </w:r>
          </w:p>
        </w:tc>
        <w:tc>
          <w:tcPr>
            <w:tcW w:w="131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工程建设监理费</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4</w:t>
            </w:r>
          </w:p>
        </w:tc>
        <w:tc>
          <w:tcPr>
            <w:tcW w:w="1315"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eastAsia="zh-CN"/>
              </w:rPr>
            </w:pPr>
            <w:r>
              <w:rPr>
                <w:rFonts w:hint="default" w:ascii="Times New Roman" w:hAnsi="Times New Roman" w:eastAsia="仿宋_GB2312" w:cs="Times New Roman"/>
                <w:color w:val="auto"/>
                <w:kern w:val="0"/>
                <w:sz w:val="18"/>
                <w:szCs w:val="18"/>
                <w:lang w:eastAsia="zh-CN"/>
              </w:rPr>
              <w:t>水保设施验收报告编制费</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Ⅰ</w:t>
            </w:r>
          </w:p>
        </w:tc>
        <w:tc>
          <w:tcPr>
            <w:tcW w:w="1315"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第一至五部分合计</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val="en-US" w:eastAsia="zh-CN"/>
              </w:rPr>
            </w:pPr>
            <w:r>
              <w:rPr>
                <w:rFonts w:hint="default" w:ascii="Times New Roman" w:hAnsi="Times New Roman" w:eastAsia="仿宋_GB2312" w:cs="Times New Roman"/>
                <w:b/>
                <w:color w:val="auto"/>
                <w:kern w:val="0"/>
                <w:sz w:val="18"/>
                <w:szCs w:val="18"/>
              </w:rPr>
              <w:t>11.</w:t>
            </w:r>
            <w:r>
              <w:rPr>
                <w:rFonts w:hint="default" w:ascii="Times New Roman" w:hAnsi="Times New Roman" w:eastAsia="仿宋_GB2312" w:cs="Times New Roman"/>
                <w:b/>
                <w:color w:val="auto"/>
                <w:kern w:val="0"/>
                <w:sz w:val="18"/>
                <w:szCs w:val="18"/>
                <w:lang w:val="en-US" w:eastAsia="zh-CN"/>
              </w:rPr>
              <w:t>65</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c>
          <w:tcPr>
            <w:tcW w:w="789" w:type="pct"/>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Ⅱ</w:t>
            </w:r>
          </w:p>
        </w:tc>
        <w:tc>
          <w:tcPr>
            <w:tcW w:w="1315"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基本预备费</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0.5</w:t>
            </w:r>
            <w:r>
              <w:rPr>
                <w:rFonts w:hint="default" w:ascii="Times New Roman" w:hAnsi="Times New Roman" w:eastAsia="仿宋_GB2312" w:cs="Times New Roman"/>
                <w:color w:val="auto"/>
                <w:kern w:val="0"/>
                <w:sz w:val="18"/>
                <w:szCs w:val="18"/>
                <w:lang w:val="en-US" w:eastAsia="zh-CN"/>
              </w:rPr>
              <w:t>8</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347" w:type="dxa"/>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0.5</w:t>
            </w:r>
            <w:r>
              <w:rPr>
                <w:rFonts w:hint="default" w:ascii="Times New Roman" w:hAnsi="Times New Roman" w:eastAsia="仿宋_GB2312" w:cs="Times New Roman"/>
                <w:color w:val="auto"/>
                <w:kern w:val="0"/>
                <w:sz w:val="18"/>
                <w:szCs w:val="18"/>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cs="Times New Roman"/>
                <w:color w:val="auto"/>
                <w:kern w:val="0"/>
                <w:sz w:val="18"/>
                <w:szCs w:val="18"/>
              </w:rPr>
              <w:t>Ⅳ</w:t>
            </w:r>
          </w:p>
        </w:tc>
        <w:tc>
          <w:tcPr>
            <w:tcW w:w="1315"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水土保持补偿费</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56</w:t>
            </w: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79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p>
        </w:tc>
        <w:tc>
          <w:tcPr>
            <w:tcW w:w="1347" w:type="dxa"/>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1"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p>
        </w:tc>
        <w:tc>
          <w:tcPr>
            <w:tcW w:w="1315" w:type="pct"/>
            <w:shd w:val="clear" w:color="auto" w:fill="auto"/>
            <w:vAlign w:val="center"/>
          </w:tcPr>
          <w:p>
            <w:pPr>
              <w:widowControl/>
              <w:spacing w:line="240" w:lineRule="auto"/>
              <w:ind w:firstLine="36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总投资（</w:t>
            </w:r>
            <w:r>
              <w:rPr>
                <w:rFonts w:hint="default" w:ascii="Times New Roman" w:hAnsi="Times New Roman" w:cs="Times New Roman"/>
                <w:color w:val="auto"/>
                <w:kern w:val="0"/>
                <w:sz w:val="18"/>
                <w:szCs w:val="18"/>
              </w:rPr>
              <w:t>Ⅰ</w:t>
            </w:r>
            <w:r>
              <w:rPr>
                <w:rFonts w:hint="default" w:ascii="Times New Roman" w:hAnsi="Times New Roman" w:eastAsia="仿宋_GB2312" w:cs="Times New Roman"/>
                <w:color w:val="auto"/>
                <w:kern w:val="0"/>
                <w:sz w:val="18"/>
                <w:szCs w:val="18"/>
              </w:rPr>
              <w:t>+</w:t>
            </w:r>
            <w:r>
              <w:rPr>
                <w:rFonts w:hint="default" w:ascii="Times New Roman" w:hAnsi="Times New Roman" w:cs="Times New Roman"/>
                <w:color w:val="auto"/>
                <w:kern w:val="0"/>
                <w:sz w:val="18"/>
                <w:szCs w:val="18"/>
              </w:rPr>
              <w:t>Ⅱ</w:t>
            </w:r>
            <w:r>
              <w:rPr>
                <w:rFonts w:hint="default" w:ascii="Times New Roman" w:hAnsi="Times New Roman" w:eastAsia="仿宋_GB2312" w:cs="Times New Roman"/>
                <w:color w:val="auto"/>
                <w:kern w:val="0"/>
                <w:sz w:val="18"/>
                <w:szCs w:val="18"/>
              </w:rPr>
              <w:t>+</w:t>
            </w:r>
            <w:r>
              <w:rPr>
                <w:rFonts w:hint="default" w:ascii="Times New Roman" w:hAnsi="Times New Roman" w:cs="Times New Roman"/>
                <w:color w:val="auto"/>
                <w:kern w:val="0"/>
                <w:sz w:val="18"/>
                <w:szCs w:val="18"/>
              </w:rPr>
              <w:t>Ⅳ</w:t>
            </w:r>
            <w:r>
              <w:rPr>
                <w:rFonts w:hint="default" w:ascii="Times New Roman" w:hAnsi="Times New Roman" w:eastAsia="仿宋_GB2312" w:cs="Times New Roman"/>
                <w:color w:val="auto"/>
                <w:kern w:val="0"/>
                <w:sz w:val="18"/>
                <w:szCs w:val="18"/>
              </w:rPr>
              <w:t>）</w:t>
            </w:r>
          </w:p>
        </w:tc>
        <w:tc>
          <w:tcPr>
            <w:tcW w:w="792" w:type="pct"/>
            <w:shd w:val="clear" w:color="auto" w:fill="auto"/>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eastAsia="zh-CN"/>
              </w:rPr>
            </w:pPr>
            <w:r>
              <w:rPr>
                <w:rFonts w:hint="default" w:ascii="Times New Roman" w:hAnsi="Times New Roman" w:eastAsia="仿宋_GB2312" w:cs="Times New Roman"/>
                <w:b/>
                <w:color w:val="auto"/>
                <w:kern w:val="0"/>
                <w:sz w:val="18"/>
                <w:szCs w:val="18"/>
                <w:lang w:eastAsia="zh-CN"/>
              </w:rPr>
              <w:t>12.79</w:t>
            </w:r>
          </w:p>
        </w:tc>
        <w:tc>
          <w:tcPr>
            <w:tcW w:w="1348" w:type="dxa"/>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eastAsia="zh-CN"/>
              </w:rPr>
            </w:pPr>
            <w:r>
              <w:rPr>
                <w:rFonts w:hint="default" w:ascii="Times New Roman" w:hAnsi="Times New Roman" w:eastAsia="仿宋_GB2312" w:cs="Times New Roman"/>
                <w:b/>
                <w:color w:val="auto"/>
                <w:kern w:val="0"/>
                <w:sz w:val="18"/>
                <w:szCs w:val="18"/>
                <w:lang w:val="en-US" w:eastAsia="zh-CN"/>
              </w:rPr>
              <w:t>0.25</w:t>
            </w:r>
          </w:p>
        </w:tc>
        <w:tc>
          <w:tcPr>
            <w:tcW w:w="1348" w:type="dxa"/>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eastAsia="zh-CN"/>
              </w:rPr>
            </w:pPr>
            <w:r>
              <w:rPr>
                <w:rFonts w:hint="default" w:ascii="Times New Roman" w:hAnsi="Times New Roman" w:eastAsia="仿宋_GB2312" w:cs="Times New Roman"/>
                <w:b/>
                <w:color w:val="auto"/>
                <w:kern w:val="0"/>
                <w:sz w:val="18"/>
                <w:szCs w:val="18"/>
                <w:lang w:val="en-US" w:eastAsia="zh-CN"/>
              </w:rPr>
              <w:t>4.27</w:t>
            </w:r>
          </w:p>
        </w:tc>
        <w:tc>
          <w:tcPr>
            <w:tcW w:w="1347" w:type="dxa"/>
            <w:vAlign w:val="center"/>
          </w:tcPr>
          <w:p>
            <w:pPr>
              <w:widowControl/>
              <w:spacing w:line="240" w:lineRule="auto"/>
              <w:ind w:firstLine="0" w:firstLineChars="0"/>
              <w:jc w:val="center"/>
              <w:rPr>
                <w:rFonts w:hint="default" w:ascii="Times New Roman" w:hAnsi="Times New Roman" w:eastAsia="仿宋_GB2312" w:cs="Times New Roman"/>
                <w:b/>
                <w:color w:val="auto"/>
                <w:kern w:val="0"/>
                <w:sz w:val="18"/>
                <w:szCs w:val="18"/>
                <w:lang w:eastAsia="zh-CN"/>
              </w:rPr>
            </w:pPr>
            <w:r>
              <w:rPr>
                <w:rFonts w:hint="default" w:ascii="Times New Roman" w:hAnsi="Times New Roman" w:eastAsia="仿宋_GB2312" w:cs="Times New Roman"/>
                <w:b/>
                <w:color w:val="auto"/>
                <w:kern w:val="0"/>
                <w:sz w:val="18"/>
                <w:szCs w:val="18"/>
                <w:lang w:val="en-US" w:eastAsia="zh-CN"/>
              </w:rPr>
              <w:t>8.27</w:t>
            </w:r>
          </w:p>
        </w:tc>
      </w:tr>
    </w:tbl>
    <w:p>
      <w:pPr>
        <w:pStyle w:val="1102"/>
        <w:spacing w:line="240" w:lineRule="auto"/>
        <w:rPr>
          <w:rFonts w:hint="default" w:ascii="Times New Roman" w:hAnsi="Times New Roman" w:cs="Times New Roman"/>
          <w:color w:val="auto"/>
        </w:rPr>
      </w:pPr>
    </w:p>
    <w:p>
      <w:pPr>
        <w:pStyle w:val="3"/>
        <w:suppressAutoHyphens/>
        <w:spacing w:before="156" w:beforeLines="50" w:after="156" w:afterLines="50"/>
        <w:rPr>
          <w:rFonts w:hint="default" w:ascii="Times New Roman" w:hAnsi="Times New Roman" w:cs="Times New Roman"/>
          <w:color w:val="auto"/>
          <w:kern w:val="0"/>
        </w:rPr>
      </w:pPr>
      <w:bookmarkStart w:id="190" w:name="_Toc425493422"/>
      <w:bookmarkStart w:id="191" w:name="_Toc23101"/>
      <w:r>
        <w:rPr>
          <w:rFonts w:hint="default" w:ascii="Times New Roman" w:hAnsi="Times New Roman" w:cs="Times New Roman"/>
          <w:color w:val="auto"/>
          <w:kern w:val="0"/>
        </w:rPr>
        <w:t>7.2 效益分析</w:t>
      </w:r>
      <w:bookmarkEnd w:id="190"/>
      <w:bookmarkEnd w:id="191"/>
    </w:p>
    <w:p>
      <w:pPr>
        <w:suppressAutoHyphens/>
        <w:ind w:firstLine="482"/>
        <w:rPr>
          <w:rFonts w:hint="default" w:ascii="Times New Roman" w:hAnsi="Times New Roman" w:eastAsia="仿宋_GB2312" w:cs="Times New Roman"/>
          <w:b/>
          <w:color w:val="auto"/>
        </w:rPr>
      </w:pPr>
      <w:r>
        <w:rPr>
          <w:rFonts w:hint="default" w:ascii="Times New Roman" w:hAnsi="Times New Roman" w:eastAsia="仿宋_GB2312" w:cs="Times New Roman"/>
          <w:b/>
          <w:color w:val="auto"/>
        </w:rPr>
        <w:t>（1）六项水土流失防治指标</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1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①</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rPr>
        <w:t>表土保护率=项目水土流失防治责任范围内保护的表土数量占可剥离表土总量的百分比。</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2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②</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rPr>
        <w:t>水土流失治理度=项目水土流失防治责任范围内水土流失治理达标面积占水土流失总面积的百分比。</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3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③</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rPr>
        <w:t>土壤流失控制比＝项目水土流失防治责任范围内容许土壤流失量与治理后每平方公里平均土壤流失量之比。</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4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④</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rPr>
        <w:t>渣土防护率=项目水土流失防治责任范围内采取措施实际挡护的永久弃渣、临时堆土数量占永久弃渣和临时堆土总量的百分比。</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5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⑤</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rPr>
        <w:t>林草植被恢复率=项目水土流失防治责任范围内林草植被面积占可恢复林草植被面积的百分比。</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6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⑥</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rPr>
        <w:t>林草覆盖率=项目水土流失防治责任范围内林草类植被面积占总面积的百分比。上述6项统计结果见表7-8、7-12。</w:t>
      </w:r>
    </w:p>
    <w:p>
      <w:pPr>
        <w:suppressAutoHyphens/>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表7-8   土壤流失控制比一览表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41"/>
        <w:gridCol w:w="1156"/>
        <w:gridCol w:w="1426"/>
        <w:gridCol w:w="1429"/>
        <w:gridCol w:w="1269"/>
        <w:gridCol w:w="13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38" w:type="pct"/>
            <w:vMerge w:val="restart"/>
            <w:vAlign w:val="center"/>
          </w:tcPr>
          <w:p>
            <w:pPr>
              <w:suppressAutoHyphens/>
              <w:spacing w:line="240" w:lineRule="auto"/>
              <w:ind w:firstLine="36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调查单元</w:t>
            </w:r>
          </w:p>
        </w:tc>
        <w:tc>
          <w:tcPr>
            <w:tcW w:w="678" w:type="pct"/>
            <w:vMerge w:val="restart"/>
            <w:vAlign w:val="center"/>
          </w:tcPr>
          <w:p>
            <w:pPr>
              <w:suppressAutoHyphens/>
              <w:spacing w:line="240" w:lineRule="auto"/>
              <w:ind w:firstLine="36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扰动土地面积（hm</w:t>
            </w:r>
            <w:r>
              <w:rPr>
                <w:rFonts w:hint="default" w:ascii="Times New Roman" w:hAnsi="Times New Roman" w:eastAsia="仿宋_GB2312" w:cs="Times New Roman"/>
                <w:bCs/>
                <w:color w:val="auto"/>
                <w:sz w:val="18"/>
                <w:szCs w:val="18"/>
                <w:vertAlign w:val="superscript"/>
              </w:rPr>
              <w:t>2</w:t>
            </w:r>
            <w:r>
              <w:rPr>
                <w:rFonts w:hint="default" w:ascii="Times New Roman" w:hAnsi="Times New Roman" w:eastAsia="仿宋_GB2312" w:cs="Times New Roman"/>
                <w:bCs/>
                <w:color w:val="auto"/>
                <w:sz w:val="18"/>
                <w:szCs w:val="18"/>
              </w:rPr>
              <w:t>）</w:t>
            </w:r>
          </w:p>
        </w:tc>
        <w:tc>
          <w:tcPr>
            <w:tcW w:w="1674" w:type="pct"/>
            <w:gridSpan w:val="2"/>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治理达标面积（hm</w:t>
            </w:r>
            <w:r>
              <w:rPr>
                <w:rFonts w:hint="default" w:ascii="Times New Roman" w:hAnsi="Times New Roman" w:eastAsia="仿宋_GB2312" w:cs="Times New Roman"/>
                <w:bCs/>
                <w:color w:val="auto"/>
                <w:sz w:val="18"/>
                <w:szCs w:val="18"/>
                <w:vertAlign w:val="superscript"/>
              </w:rPr>
              <w:t>2</w:t>
            </w:r>
            <w:r>
              <w:rPr>
                <w:rFonts w:hint="default" w:ascii="Times New Roman" w:hAnsi="Times New Roman" w:eastAsia="仿宋_GB2312" w:cs="Times New Roman"/>
                <w:bCs/>
                <w:color w:val="auto"/>
                <w:sz w:val="18"/>
                <w:szCs w:val="18"/>
              </w:rPr>
              <w:t>）</w:t>
            </w:r>
          </w:p>
        </w:tc>
        <w:tc>
          <w:tcPr>
            <w:tcW w:w="744" w:type="pct"/>
            <w:vMerge w:val="restart"/>
            <w:vAlign w:val="center"/>
          </w:tcPr>
          <w:p>
            <w:pPr>
              <w:suppressAutoHyphens/>
              <w:spacing w:line="240" w:lineRule="auto"/>
              <w:ind w:firstLine="0" w:firstLineChars="0"/>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土壤侵蚀模数（t/km</w:t>
            </w:r>
            <w:r>
              <w:rPr>
                <w:rFonts w:hint="default" w:ascii="Times New Roman" w:hAnsi="Times New Roman" w:cs="Times New Roman"/>
                <w:color w:val="auto"/>
                <w:kern w:val="0"/>
                <w:sz w:val="18"/>
                <w:szCs w:val="21"/>
              </w:rPr>
              <w:t>²</w:t>
            </w:r>
            <w:r>
              <w:rPr>
                <w:rFonts w:hint="default" w:ascii="Times New Roman" w:hAnsi="Times New Roman" w:eastAsia="仿宋_GB2312" w:cs="Times New Roman"/>
                <w:color w:val="auto"/>
                <w:kern w:val="0"/>
                <w:sz w:val="18"/>
                <w:szCs w:val="21"/>
              </w:rPr>
              <w:t>·a）</w:t>
            </w:r>
          </w:p>
        </w:tc>
        <w:tc>
          <w:tcPr>
            <w:tcW w:w="766" w:type="pct"/>
            <w:vMerge w:val="restart"/>
            <w:vAlign w:val="center"/>
          </w:tcPr>
          <w:p>
            <w:pPr>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土壤流失控制比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38"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p>
        </w:tc>
        <w:tc>
          <w:tcPr>
            <w:tcW w:w="678"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p>
        </w:tc>
        <w:tc>
          <w:tcPr>
            <w:tcW w:w="836"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永久建筑占压面积</w:t>
            </w:r>
          </w:p>
        </w:tc>
        <w:tc>
          <w:tcPr>
            <w:tcW w:w="838"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水土保持措施面积</w:t>
            </w:r>
          </w:p>
        </w:tc>
        <w:tc>
          <w:tcPr>
            <w:tcW w:w="744"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p>
        </w:tc>
        <w:tc>
          <w:tcPr>
            <w:tcW w:w="766"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113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主体工程区</w:t>
            </w:r>
          </w:p>
        </w:tc>
        <w:tc>
          <w:tcPr>
            <w:tcW w:w="67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836"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0.08</w:t>
            </w:r>
          </w:p>
        </w:tc>
        <w:tc>
          <w:tcPr>
            <w:tcW w:w="838"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0.01</w:t>
            </w:r>
          </w:p>
        </w:tc>
        <w:tc>
          <w:tcPr>
            <w:tcW w:w="74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450</w:t>
            </w:r>
          </w:p>
        </w:tc>
        <w:tc>
          <w:tcPr>
            <w:tcW w:w="766"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1.11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 w:hRule="atLeast"/>
          <w:jc w:val="center"/>
        </w:trPr>
        <w:tc>
          <w:tcPr>
            <w:tcW w:w="113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附属设施区</w:t>
            </w:r>
          </w:p>
        </w:tc>
        <w:tc>
          <w:tcPr>
            <w:tcW w:w="67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0.34</w:t>
            </w:r>
          </w:p>
        </w:tc>
        <w:tc>
          <w:tcPr>
            <w:tcW w:w="836"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0.34</w:t>
            </w:r>
          </w:p>
        </w:tc>
        <w:tc>
          <w:tcPr>
            <w:tcW w:w="838"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0.00</w:t>
            </w:r>
          </w:p>
        </w:tc>
        <w:tc>
          <w:tcPr>
            <w:tcW w:w="74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450</w:t>
            </w:r>
          </w:p>
        </w:tc>
        <w:tc>
          <w:tcPr>
            <w:tcW w:w="766"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lang w:val="en-US" w:eastAsia="zh-CN"/>
              </w:rPr>
            </w:pPr>
            <w:r>
              <w:rPr>
                <w:rFonts w:hint="default" w:ascii="Times New Roman" w:hAnsi="Times New Roman" w:eastAsia="仿宋_GB2312" w:cs="Times New Roman"/>
                <w:color w:val="auto"/>
                <w:kern w:val="0"/>
                <w:sz w:val="18"/>
                <w:szCs w:val="21"/>
                <w:lang w:val="en-US" w:eastAsia="zh-CN"/>
              </w:rPr>
              <w:t>1.11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38"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    计</w:t>
            </w:r>
          </w:p>
        </w:tc>
        <w:tc>
          <w:tcPr>
            <w:tcW w:w="67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43</w:t>
            </w:r>
          </w:p>
        </w:tc>
        <w:tc>
          <w:tcPr>
            <w:tcW w:w="836"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42</w:t>
            </w:r>
          </w:p>
        </w:tc>
        <w:tc>
          <w:tcPr>
            <w:tcW w:w="838"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0.01</w:t>
            </w:r>
          </w:p>
        </w:tc>
        <w:tc>
          <w:tcPr>
            <w:tcW w:w="74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450</w:t>
            </w:r>
          </w:p>
        </w:tc>
        <w:tc>
          <w:tcPr>
            <w:tcW w:w="766"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1.11</w:t>
            </w:r>
          </w:p>
        </w:tc>
      </w:tr>
    </w:tbl>
    <w:p>
      <w:pPr>
        <w:suppressAutoHyphens/>
        <w:spacing w:line="240" w:lineRule="auto"/>
        <w:ind w:firstLine="422"/>
        <w:jc w:val="center"/>
        <w:rPr>
          <w:rFonts w:hint="default" w:ascii="Times New Roman" w:hAnsi="Times New Roman" w:eastAsia="仿宋_GB2312" w:cs="Times New Roman"/>
          <w:b/>
          <w:color w:val="auto"/>
          <w:kern w:val="0"/>
          <w:sz w:val="21"/>
          <w:szCs w:val="21"/>
        </w:rPr>
      </w:pPr>
    </w:p>
    <w:p>
      <w:pPr>
        <w:suppressAutoHyphens/>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表7-9     水土流失治理度计算表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43"/>
        <w:gridCol w:w="1155"/>
        <w:gridCol w:w="1426"/>
        <w:gridCol w:w="1428"/>
        <w:gridCol w:w="1270"/>
        <w:gridCol w:w="13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39" w:type="pct"/>
            <w:vMerge w:val="restart"/>
            <w:vAlign w:val="center"/>
          </w:tcPr>
          <w:p>
            <w:pPr>
              <w:suppressAutoHyphens/>
              <w:spacing w:line="240" w:lineRule="auto"/>
              <w:ind w:firstLine="36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调查单元</w:t>
            </w:r>
          </w:p>
        </w:tc>
        <w:tc>
          <w:tcPr>
            <w:tcW w:w="677" w:type="pct"/>
            <w:vMerge w:val="restart"/>
            <w:vAlign w:val="center"/>
          </w:tcPr>
          <w:p>
            <w:pPr>
              <w:suppressAutoHyphens/>
              <w:spacing w:line="240" w:lineRule="auto"/>
              <w:ind w:firstLine="36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扰动土地面积（hm</w:t>
            </w:r>
            <w:r>
              <w:rPr>
                <w:rFonts w:hint="default" w:ascii="Times New Roman" w:hAnsi="Times New Roman" w:eastAsia="仿宋_GB2312" w:cs="Times New Roman"/>
                <w:bCs/>
                <w:color w:val="auto"/>
                <w:sz w:val="18"/>
                <w:szCs w:val="18"/>
                <w:vertAlign w:val="superscript"/>
              </w:rPr>
              <w:t>2</w:t>
            </w:r>
            <w:r>
              <w:rPr>
                <w:rFonts w:hint="default" w:ascii="Times New Roman" w:hAnsi="Times New Roman" w:eastAsia="仿宋_GB2312" w:cs="Times New Roman"/>
                <w:bCs/>
                <w:color w:val="auto"/>
                <w:sz w:val="18"/>
                <w:szCs w:val="18"/>
              </w:rPr>
              <w:t>）</w:t>
            </w:r>
          </w:p>
        </w:tc>
        <w:tc>
          <w:tcPr>
            <w:tcW w:w="1673" w:type="pct"/>
            <w:gridSpan w:val="2"/>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治理达标面积（hm</w:t>
            </w:r>
            <w:r>
              <w:rPr>
                <w:rFonts w:hint="default" w:ascii="Times New Roman" w:hAnsi="Times New Roman" w:eastAsia="仿宋_GB2312" w:cs="Times New Roman"/>
                <w:bCs/>
                <w:color w:val="auto"/>
                <w:sz w:val="18"/>
                <w:szCs w:val="18"/>
                <w:vertAlign w:val="superscript"/>
              </w:rPr>
              <w:t>2</w:t>
            </w:r>
            <w:r>
              <w:rPr>
                <w:rFonts w:hint="default" w:ascii="Times New Roman" w:hAnsi="Times New Roman" w:eastAsia="仿宋_GB2312" w:cs="Times New Roman"/>
                <w:bCs/>
                <w:color w:val="auto"/>
                <w:sz w:val="18"/>
                <w:szCs w:val="18"/>
              </w:rPr>
              <w:t>）</w:t>
            </w:r>
          </w:p>
        </w:tc>
        <w:tc>
          <w:tcPr>
            <w:tcW w:w="744" w:type="pct"/>
            <w:vMerge w:val="restart"/>
            <w:vAlign w:val="center"/>
          </w:tcPr>
          <w:p>
            <w:pPr>
              <w:suppressAutoHyphens/>
              <w:spacing w:line="240" w:lineRule="auto"/>
              <w:ind w:firstLine="0" w:firstLineChars="0"/>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合计（hm</w:t>
            </w:r>
            <w:r>
              <w:rPr>
                <w:rFonts w:hint="default" w:ascii="Times New Roman" w:hAnsi="Times New Roman" w:eastAsia="仿宋_GB2312" w:cs="Times New Roman"/>
                <w:color w:val="auto"/>
                <w:kern w:val="0"/>
                <w:sz w:val="18"/>
                <w:szCs w:val="21"/>
                <w:vertAlign w:val="superscript"/>
              </w:rPr>
              <w:t>2</w:t>
            </w:r>
            <w:r>
              <w:rPr>
                <w:rFonts w:hint="default" w:ascii="Times New Roman" w:hAnsi="Times New Roman" w:eastAsia="仿宋_GB2312" w:cs="Times New Roman"/>
                <w:color w:val="auto"/>
                <w:kern w:val="0"/>
                <w:sz w:val="18"/>
                <w:szCs w:val="21"/>
              </w:rPr>
              <w:t>）</w:t>
            </w:r>
          </w:p>
        </w:tc>
        <w:tc>
          <w:tcPr>
            <w:tcW w:w="765" w:type="pct"/>
            <w:vMerge w:val="restart"/>
            <w:vAlign w:val="center"/>
          </w:tcPr>
          <w:p>
            <w:pPr>
              <w:suppressAutoHyphens/>
              <w:spacing w:line="240" w:lineRule="auto"/>
              <w:ind w:firstLine="0" w:firstLineChars="0"/>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水土流失治理度（%）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39"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p>
        </w:tc>
        <w:tc>
          <w:tcPr>
            <w:tcW w:w="677"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p>
        </w:tc>
        <w:tc>
          <w:tcPr>
            <w:tcW w:w="836"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永久建筑占压面积</w:t>
            </w:r>
          </w:p>
        </w:tc>
        <w:tc>
          <w:tcPr>
            <w:tcW w:w="837"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水土保持措施面积</w:t>
            </w:r>
          </w:p>
        </w:tc>
        <w:tc>
          <w:tcPr>
            <w:tcW w:w="744"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p>
        </w:tc>
        <w:tc>
          <w:tcPr>
            <w:tcW w:w="765" w:type="pct"/>
            <w:vMerge w:val="continue"/>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39"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（参数代号）</w:t>
            </w:r>
          </w:p>
        </w:tc>
        <w:tc>
          <w:tcPr>
            <w:tcW w:w="677"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a</w:t>
            </w:r>
          </w:p>
        </w:tc>
        <w:tc>
          <w:tcPr>
            <w:tcW w:w="836"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b</w:t>
            </w:r>
          </w:p>
        </w:tc>
        <w:tc>
          <w:tcPr>
            <w:tcW w:w="837"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c</w:t>
            </w:r>
          </w:p>
        </w:tc>
        <w:tc>
          <w:tcPr>
            <w:tcW w:w="744"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A</w:t>
            </w:r>
          </w:p>
        </w:tc>
        <w:tc>
          <w:tcPr>
            <w:tcW w:w="765"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bCs/>
                <w:color w:val="auto"/>
                <w:sz w:val="18"/>
                <w:szCs w:val="18"/>
              </w:rPr>
              <w:t>B</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3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主体工程区</w:t>
            </w:r>
          </w:p>
        </w:tc>
        <w:tc>
          <w:tcPr>
            <w:tcW w:w="67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836"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0.08</w:t>
            </w:r>
          </w:p>
        </w:tc>
        <w:tc>
          <w:tcPr>
            <w:tcW w:w="83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0.01</w:t>
            </w:r>
          </w:p>
        </w:tc>
        <w:tc>
          <w:tcPr>
            <w:tcW w:w="74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765"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3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rPr>
              <w:t>附属设施区</w:t>
            </w:r>
          </w:p>
        </w:tc>
        <w:tc>
          <w:tcPr>
            <w:tcW w:w="677"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rPr>
              <w:t>0.34</w:t>
            </w:r>
          </w:p>
        </w:tc>
        <w:tc>
          <w:tcPr>
            <w:tcW w:w="836"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rPr>
              <w:t>0.34</w:t>
            </w:r>
          </w:p>
        </w:tc>
        <w:tc>
          <w:tcPr>
            <w:tcW w:w="83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rPr>
              <w:t>0.00</w:t>
            </w:r>
          </w:p>
        </w:tc>
        <w:tc>
          <w:tcPr>
            <w:tcW w:w="74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0.34</w:t>
            </w:r>
          </w:p>
        </w:tc>
        <w:tc>
          <w:tcPr>
            <w:tcW w:w="765"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139"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合    计</w:t>
            </w:r>
          </w:p>
        </w:tc>
        <w:tc>
          <w:tcPr>
            <w:tcW w:w="67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43</w:t>
            </w:r>
          </w:p>
        </w:tc>
        <w:tc>
          <w:tcPr>
            <w:tcW w:w="1426" w:type="dxa"/>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42</w:t>
            </w:r>
          </w:p>
        </w:tc>
        <w:tc>
          <w:tcPr>
            <w:tcW w:w="1428" w:type="dxa"/>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0.01</w:t>
            </w:r>
          </w:p>
        </w:tc>
        <w:tc>
          <w:tcPr>
            <w:tcW w:w="74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43</w:t>
            </w:r>
          </w:p>
        </w:tc>
        <w:tc>
          <w:tcPr>
            <w:tcW w:w="765"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100.0</w:t>
            </w:r>
          </w:p>
        </w:tc>
      </w:tr>
    </w:tbl>
    <w:p>
      <w:pPr>
        <w:pStyle w:val="1102"/>
        <w:rPr>
          <w:rFonts w:hint="default" w:ascii="Times New Roman" w:hAnsi="Times New Roman" w:cs="Times New Roman"/>
          <w:color w:val="auto"/>
        </w:rPr>
      </w:pPr>
    </w:p>
    <w:p>
      <w:pPr>
        <w:suppressAutoHyphens/>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表7-10   林草植被恢复率计算一览表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126"/>
        <w:gridCol w:w="1340"/>
        <w:gridCol w:w="1377"/>
        <w:gridCol w:w="1372"/>
        <w:gridCol w:w="13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32"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项 目</w:t>
            </w:r>
          </w:p>
        </w:tc>
        <w:tc>
          <w:tcPr>
            <w:tcW w:w="785"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占地总面积（hm</w:t>
            </w:r>
            <w:r>
              <w:rPr>
                <w:rFonts w:hint="default" w:ascii="Times New Roman" w:hAnsi="Times New Roman" w:cs="Times New Roman"/>
                <w:color w:val="auto"/>
                <w:kern w:val="0"/>
                <w:sz w:val="18"/>
                <w:szCs w:val="21"/>
              </w:rPr>
              <w:t>²</w:t>
            </w:r>
            <w:r>
              <w:rPr>
                <w:rFonts w:hint="default" w:ascii="Times New Roman" w:hAnsi="Times New Roman" w:eastAsia="仿宋_GB2312" w:cs="Times New Roman"/>
                <w:color w:val="auto"/>
                <w:kern w:val="0"/>
                <w:sz w:val="18"/>
                <w:szCs w:val="21"/>
              </w:rPr>
              <w:t>）</w:t>
            </w:r>
          </w:p>
        </w:tc>
        <w:tc>
          <w:tcPr>
            <w:tcW w:w="80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植物措施面积（hm</w:t>
            </w:r>
            <w:r>
              <w:rPr>
                <w:rFonts w:hint="default" w:ascii="Times New Roman" w:hAnsi="Times New Roman" w:cs="Times New Roman"/>
                <w:color w:val="auto"/>
                <w:kern w:val="0"/>
                <w:sz w:val="18"/>
                <w:szCs w:val="21"/>
              </w:rPr>
              <w:t>²</w:t>
            </w:r>
            <w:r>
              <w:rPr>
                <w:rFonts w:hint="default" w:ascii="Times New Roman" w:hAnsi="Times New Roman" w:eastAsia="仿宋_GB2312" w:cs="Times New Roman"/>
                <w:color w:val="auto"/>
                <w:kern w:val="0"/>
                <w:sz w:val="18"/>
                <w:szCs w:val="21"/>
              </w:rPr>
              <w:t>）</w:t>
            </w:r>
          </w:p>
        </w:tc>
        <w:tc>
          <w:tcPr>
            <w:tcW w:w="80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可绿化面积（hm</w:t>
            </w:r>
            <w:r>
              <w:rPr>
                <w:rFonts w:hint="default" w:ascii="Times New Roman" w:hAnsi="Times New Roman" w:cs="Times New Roman"/>
                <w:color w:val="auto"/>
                <w:kern w:val="0"/>
                <w:sz w:val="18"/>
                <w:szCs w:val="21"/>
              </w:rPr>
              <w:t>²</w:t>
            </w:r>
            <w:r>
              <w:rPr>
                <w:rFonts w:hint="default" w:ascii="Times New Roman" w:hAnsi="Times New Roman" w:eastAsia="仿宋_GB2312" w:cs="Times New Roman"/>
                <w:color w:val="auto"/>
                <w:kern w:val="0"/>
                <w:sz w:val="18"/>
                <w:szCs w:val="21"/>
              </w:rPr>
              <w:t>）</w:t>
            </w:r>
          </w:p>
        </w:tc>
        <w:tc>
          <w:tcPr>
            <w:tcW w:w="769"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林草植被恢复率（%）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3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主体工程区</w:t>
            </w:r>
          </w:p>
        </w:tc>
        <w:tc>
          <w:tcPr>
            <w:tcW w:w="78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80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80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769"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32"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rPr>
              <w:t>附属设施区</w:t>
            </w:r>
          </w:p>
        </w:tc>
        <w:tc>
          <w:tcPr>
            <w:tcW w:w="785"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lang w:val="en-US" w:eastAsia="zh-CN" w:bidi="ar-SA"/>
              </w:rPr>
            </w:pPr>
            <w:r>
              <w:rPr>
                <w:rFonts w:hint="default" w:ascii="Times New Roman" w:hAnsi="Times New Roman" w:eastAsia="仿宋_GB2312" w:cs="Times New Roman"/>
                <w:color w:val="auto"/>
                <w:kern w:val="0"/>
                <w:sz w:val="18"/>
                <w:szCs w:val="18"/>
                <w:lang w:val="en-US" w:eastAsia="zh-CN"/>
              </w:rPr>
              <w:t>0.34</w:t>
            </w:r>
          </w:p>
        </w:tc>
        <w:tc>
          <w:tcPr>
            <w:tcW w:w="80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0.00</w:t>
            </w:r>
          </w:p>
        </w:tc>
        <w:tc>
          <w:tcPr>
            <w:tcW w:w="80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0.00</w:t>
            </w:r>
          </w:p>
        </w:tc>
        <w:tc>
          <w:tcPr>
            <w:tcW w:w="769"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lang w:val="en-US" w:eastAsia="zh-CN"/>
              </w:rPr>
            </w:pPr>
            <w:r>
              <w:rPr>
                <w:rFonts w:hint="default" w:ascii="Times New Roman" w:hAnsi="Times New Roman" w:eastAsia="仿宋_GB2312" w:cs="Times New Roman"/>
                <w:color w:val="auto"/>
                <w:kern w:val="0"/>
                <w:sz w:val="18"/>
                <w:szCs w:val="18"/>
                <w:lang w:val="en-US" w:eastAsia="zh-CN"/>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832"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合计</w:t>
            </w:r>
          </w:p>
        </w:tc>
        <w:tc>
          <w:tcPr>
            <w:tcW w:w="785"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43</w:t>
            </w:r>
          </w:p>
        </w:tc>
        <w:tc>
          <w:tcPr>
            <w:tcW w:w="807"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color w:val="auto"/>
                <w:kern w:val="0"/>
                <w:sz w:val="18"/>
                <w:szCs w:val="18"/>
              </w:rPr>
              <w:t>0.00</w:t>
            </w:r>
          </w:p>
        </w:tc>
        <w:tc>
          <w:tcPr>
            <w:tcW w:w="804"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color w:val="auto"/>
                <w:kern w:val="0"/>
                <w:sz w:val="18"/>
                <w:szCs w:val="18"/>
              </w:rPr>
              <w:t>0.00</w:t>
            </w:r>
          </w:p>
        </w:tc>
        <w:tc>
          <w:tcPr>
            <w:tcW w:w="769"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18"/>
              </w:rPr>
              <w:t>0.00</w:t>
            </w:r>
          </w:p>
        </w:tc>
      </w:tr>
    </w:tbl>
    <w:p>
      <w:pPr>
        <w:pStyle w:val="1102"/>
        <w:rPr>
          <w:rFonts w:hint="default" w:ascii="Times New Roman" w:hAnsi="Times New Roman" w:cs="Times New Roman"/>
          <w:color w:val="auto"/>
        </w:rPr>
      </w:pPr>
    </w:p>
    <w:p>
      <w:pPr>
        <w:suppressAutoHyphens/>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表7-11   林草覆盖率计算一览表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61"/>
        <w:gridCol w:w="1977"/>
        <w:gridCol w:w="2071"/>
        <w:gridCol w:w="17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618"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项 目</w:t>
            </w:r>
          </w:p>
        </w:tc>
        <w:tc>
          <w:tcPr>
            <w:tcW w:w="1159"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占地总面积（hm</w:t>
            </w:r>
            <w:r>
              <w:rPr>
                <w:rFonts w:hint="default" w:ascii="Times New Roman" w:hAnsi="Times New Roman" w:cs="Times New Roman"/>
                <w:color w:val="auto"/>
                <w:kern w:val="0"/>
                <w:sz w:val="18"/>
                <w:szCs w:val="21"/>
              </w:rPr>
              <w:t>²</w:t>
            </w:r>
            <w:r>
              <w:rPr>
                <w:rFonts w:hint="default" w:ascii="Times New Roman" w:hAnsi="Times New Roman" w:eastAsia="仿宋_GB2312" w:cs="Times New Roman"/>
                <w:color w:val="auto"/>
                <w:kern w:val="0"/>
                <w:sz w:val="18"/>
                <w:szCs w:val="21"/>
              </w:rPr>
              <w:t>）</w:t>
            </w:r>
          </w:p>
        </w:tc>
        <w:tc>
          <w:tcPr>
            <w:tcW w:w="121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植物措施面积（hm</w:t>
            </w:r>
            <w:r>
              <w:rPr>
                <w:rFonts w:hint="default" w:ascii="Times New Roman" w:hAnsi="Times New Roman" w:cs="Times New Roman"/>
                <w:color w:val="auto"/>
                <w:kern w:val="0"/>
                <w:sz w:val="18"/>
                <w:szCs w:val="21"/>
              </w:rPr>
              <w:t>²</w:t>
            </w:r>
            <w:r>
              <w:rPr>
                <w:rFonts w:hint="default" w:ascii="Times New Roman" w:hAnsi="Times New Roman" w:eastAsia="仿宋_GB2312" w:cs="Times New Roman"/>
                <w:color w:val="auto"/>
                <w:kern w:val="0"/>
                <w:sz w:val="18"/>
                <w:szCs w:val="21"/>
              </w:rPr>
              <w:t>）</w:t>
            </w:r>
          </w:p>
        </w:tc>
        <w:tc>
          <w:tcPr>
            <w:tcW w:w="100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林草覆盖率（%）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61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主体工程区</w:t>
            </w:r>
          </w:p>
        </w:tc>
        <w:tc>
          <w:tcPr>
            <w:tcW w:w="115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0.09</w:t>
            </w:r>
          </w:p>
        </w:tc>
        <w:tc>
          <w:tcPr>
            <w:tcW w:w="121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100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618"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附属设施区</w:t>
            </w:r>
          </w:p>
        </w:tc>
        <w:tc>
          <w:tcPr>
            <w:tcW w:w="1159"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lang w:val="en-US" w:eastAsia="zh-CN"/>
              </w:rPr>
              <w:t>0.34</w:t>
            </w:r>
          </w:p>
        </w:tc>
        <w:tc>
          <w:tcPr>
            <w:tcW w:w="1214"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c>
          <w:tcPr>
            <w:tcW w:w="100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1618"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合计</w:t>
            </w:r>
          </w:p>
        </w:tc>
        <w:tc>
          <w:tcPr>
            <w:tcW w:w="1159"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lang w:val="en-US" w:eastAsia="zh-CN"/>
              </w:rPr>
            </w:pPr>
            <w:r>
              <w:rPr>
                <w:rFonts w:hint="default" w:ascii="Times New Roman" w:hAnsi="Times New Roman" w:eastAsia="仿宋_GB2312" w:cs="Times New Roman"/>
                <w:color w:val="auto"/>
                <w:kern w:val="0"/>
                <w:sz w:val="18"/>
                <w:szCs w:val="18"/>
              </w:rPr>
              <w:t>0.</w:t>
            </w:r>
            <w:r>
              <w:rPr>
                <w:rFonts w:hint="default" w:ascii="Times New Roman" w:hAnsi="Times New Roman" w:eastAsia="仿宋_GB2312" w:cs="Times New Roman"/>
                <w:color w:val="auto"/>
                <w:kern w:val="0"/>
                <w:sz w:val="18"/>
                <w:szCs w:val="18"/>
                <w:lang w:val="en-US" w:eastAsia="zh-CN"/>
              </w:rPr>
              <w:t>43</w:t>
            </w:r>
          </w:p>
        </w:tc>
        <w:tc>
          <w:tcPr>
            <w:tcW w:w="1214"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color w:val="auto"/>
                <w:kern w:val="0"/>
                <w:sz w:val="18"/>
                <w:szCs w:val="18"/>
              </w:rPr>
              <w:t>0.00</w:t>
            </w:r>
          </w:p>
        </w:tc>
        <w:tc>
          <w:tcPr>
            <w:tcW w:w="100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18"/>
              </w:rPr>
              <w:t>0.00</w:t>
            </w:r>
          </w:p>
        </w:tc>
      </w:tr>
    </w:tbl>
    <w:p>
      <w:pPr>
        <w:suppressAutoHyphens/>
        <w:spacing w:line="240" w:lineRule="auto"/>
        <w:ind w:firstLine="422"/>
        <w:jc w:val="center"/>
        <w:rPr>
          <w:rFonts w:hint="default" w:ascii="Times New Roman" w:hAnsi="Times New Roman" w:eastAsia="仿宋_GB2312" w:cs="Times New Roman"/>
          <w:b/>
          <w:color w:val="auto"/>
          <w:kern w:val="0"/>
          <w:sz w:val="21"/>
          <w:szCs w:val="21"/>
        </w:rPr>
      </w:pPr>
    </w:p>
    <w:p>
      <w:pPr>
        <w:suppressAutoHyphens/>
        <w:spacing w:line="240" w:lineRule="auto"/>
        <w:ind w:firstLine="422"/>
        <w:jc w:val="center"/>
        <w:rPr>
          <w:rFonts w:hint="default" w:ascii="Times New Roman" w:hAnsi="Times New Roman" w:eastAsia="仿宋_GB2312" w:cs="Times New Roman"/>
          <w:b/>
          <w:color w:val="auto"/>
          <w:kern w:val="0"/>
          <w:sz w:val="21"/>
          <w:szCs w:val="21"/>
        </w:rPr>
      </w:pPr>
      <w:r>
        <w:rPr>
          <w:rFonts w:hint="default" w:ascii="Times New Roman" w:hAnsi="Times New Roman" w:eastAsia="仿宋_GB2312" w:cs="Times New Roman"/>
          <w:b/>
          <w:color w:val="auto"/>
          <w:kern w:val="0"/>
          <w:sz w:val="21"/>
          <w:szCs w:val="21"/>
        </w:rPr>
        <w:t>表7-12   渣土防护率计算一览表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07"/>
        <w:gridCol w:w="2183"/>
        <w:gridCol w:w="1463"/>
        <w:gridCol w:w="20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46"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项 目</w:t>
            </w:r>
          </w:p>
        </w:tc>
        <w:tc>
          <w:tcPr>
            <w:tcW w:w="1280"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项目区土石方量（m</w:t>
            </w:r>
            <w:r>
              <w:rPr>
                <w:rFonts w:hint="default" w:ascii="Times New Roman" w:hAnsi="Times New Roman" w:cs="Times New Roman"/>
                <w:color w:val="auto"/>
                <w:kern w:val="0"/>
                <w:sz w:val="18"/>
                <w:szCs w:val="21"/>
                <w:vertAlign w:val="superscript"/>
              </w:rPr>
              <w:t>3</w:t>
            </w:r>
            <w:r>
              <w:rPr>
                <w:rFonts w:hint="default" w:ascii="Times New Roman" w:hAnsi="Times New Roman" w:eastAsia="仿宋_GB2312" w:cs="Times New Roman"/>
                <w:color w:val="auto"/>
                <w:kern w:val="0"/>
                <w:sz w:val="18"/>
                <w:szCs w:val="21"/>
              </w:rPr>
              <w:t>）</w:t>
            </w:r>
          </w:p>
        </w:tc>
        <w:tc>
          <w:tcPr>
            <w:tcW w:w="858" w:type="pct"/>
            <w:vAlign w:val="center"/>
          </w:tcPr>
          <w:p>
            <w:pPr>
              <w:suppressAutoHyphens/>
              <w:spacing w:line="240" w:lineRule="auto"/>
              <w:ind w:firstLine="0" w:firstLineChars="0"/>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拦挡量（m</w:t>
            </w:r>
            <w:r>
              <w:rPr>
                <w:rFonts w:hint="default" w:ascii="Times New Roman" w:hAnsi="Times New Roman" w:cs="Times New Roman"/>
                <w:color w:val="auto"/>
                <w:kern w:val="0"/>
                <w:sz w:val="18"/>
                <w:szCs w:val="21"/>
                <w:vertAlign w:val="superscript"/>
              </w:rPr>
              <w:t>3</w:t>
            </w:r>
            <w:r>
              <w:rPr>
                <w:rFonts w:hint="default" w:ascii="Times New Roman" w:hAnsi="Times New Roman" w:eastAsia="仿宋_GB2312" w:cs="Times New Roman"/>
                <w:color w:val="auto"/>
                <w:kern w:val="0"/>
                <w:sz w:val="18"/>
                <w:szCs w:val="21"/>
              </w:rPr>
              <w:t>）</w:t>
            </w:r>
          </w:p>
        </w:tc>
        <w:tc>
          <w:tcPr>
            <w:tcW w:w="121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渣土防护率(%)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46"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防治责任范围</w:t>
            </w:r>
          </w:p>
        </w:tc>
        <w:tc>
          <w:tcPr>
            <w:tcW w:w="1280" w:type="pct"/>
            <w:vAlign w:val="center"/>
          </w:tcPr>
          <w:p>
            <w:pPr>
              <w:widowControl/>
              <w:spacing w:line="240" w:lineRule="auto"/>
              <w:ind w:firstLine="0" w:firstLineChars="0"/>
              <w:jc w:val="center"/>
              <w:rPr>
                <w:rFonts w:hint="default" w:ascii="Times New Roman" w:hAnsi="Times New Roman" w:eastAsia="仿宋_GB2312" w:cs="Times New Roman"/>
                <w:color w:val="auto"/>
                <w:kern w:val="0"/>
                <w:sz w:val="18"/>
                <w:szCs w:val="18"/>
              </w:rPr>
            </w:pPr>
            <w:r>
              <w:rPr>
                <w:rFonts w:hint="default" w:ascii="Times New Roman" w:hAnsi="Times New Roman" w:eastAsia="仿宋_GB2312" w:cs="Times New Roman"/>
                <w:color w:val="auto"/>
                <w:kern w:val="0"/>
                <w:sz w:val="18"/>
                <w:szCs w:val="18"/>
              </w:rPr>
              <w:t>1500</w:t>
            </w:r>
          </w:p>
        </w:tc>
        <w:tc>
          <w:tcPr>
            <w:tcW w:w="858"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1450</w:t>
            </w:r>
          </w:p>
        </w:tc>
        <w:tc>
          <w:tcPr>
            <w:tcW w:w="121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96.6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646"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合计</w:t>
            </w:r>
          </w:p>
        </w:tc>
        <w:tc>
          <w:tcPr>
            <w:tcW w:w="1280" w:type="pct"/>
            <w:vAlign w:val="center"/>
          </w:tcPr>
          <w:p>
            <w:pPr>
              <w:widowControl/>
              <w:suppressAutoHyphens/>
              <w:spacing w:line="240" w:lineRule="auto"/>
              <w:ind w:firstLine="0" w:firstLineChars="0"/>
              <w:jc w:val="center"/>
              <w:rPr>
                <w:rFonts w:hint="default" w:ascii="Times New Roman" w:hAnsi="Times New Roman" w:eastAsia="仿宋_GB2312" w:cs="Times New Roman"/>
                <w:bCs/>
                <w:color w:val="auto"/>
                <w:sz w:val="18"/>
                <w:szCs w:val="18"/>
              </w:rPr>
            </w:pPr>
            <w:r>
              <w:rPr>
                <w:rFonts w:hint="default" w:ascii="Times New Roman" w:hAnsi="Times New Roman" w:eastAsia="仿宋_GB2312" w:cs="Times New Roman"/>
                <w:color w:val="auto"/>
                <w:kern w:val="0"/>
                <w:sz w:val="18"/>
                <w:szCs w:val="18"/>
              </w:rPr>
              <w:t>1500</w:t>
            </w:r>
          </w:p>
        </w:tc>
        <w:tc>
          <w:tcPr>
            <w:tcW w:w="858"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1450</w:t>
            </w:r>
          </w:p>
        </w:tc>
        <w:tc>
          <w:tcPr>
            <w:tcW w:w="1217" w:type="pct"/>
            <w:vAlign w:val="center"/>
          </w:tcPr>
          <w:p>
            <w:pPr>
              <w:widowControl/>
              <w:suppressAutoHyphens/>
              <w:spacing w:line="240" w:lineRule="auto"/>
              <w:ind w:firstLine="0" w:firstLineChars="0"/>
              <w:jc w:val="center"/>
              <w:rPr>
                <w:rFonts w:hint="default" w:ascii="Times New Roman" w:hAnsi="Times New Roman" w:eastAsia="仿宋_GB2312" w:cs="Times New Roman"/>
                <w:color w:val="auto"/>
                <w:kern w:val="0"/>
                <w:sz w:val="18"/>
                <w:szCs w:val="21"/>
              </w:rPr>
            </w:pPr>
            <w:r>
              <w:rPr>
                <w:rFonts w:hint="default" w:ascii="Times New Roman" w:hAnsi="Times New Roman" w:eastAsia="仿宋_GB2312" w:cs="Times New Roman"/>
                <w:color w:val="auto"/>
                <w:kern w:val="0"/>
                <w:sz w:val="18"/>
                <w:szCs w:val="21"/>
              </w:rPr>
              <w:t>96.6</w:t>
            </w:r>
          </w:p>
        </w:tc>
      </w:tr>
    </w:tbl>
    <w:p>
      <w:pPr>
        <w:suppressAutoHyphens/>
        <w:spacing w:line="240" w:lineRule="auto"/>
        <w:ind w:firstLine="480"/>
        <w:rPr>
          <w:rFonts w:hint="default" w:ascii="Times New Roman" w:hAnsi="Times New Roman" w:eastAsia="仿宋_GB2312" w:cs="Times New Roman"/>
          <w:color w:val="auto"/>
          <w:kern w:val="0"/>
        </w:rPr>
      </w:pP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至设计水平年，落实相关水保措施后，水土流失治理度100.0%（目标值8</w:t>
      </w:r>
      <w:r>
        <w:rPr>
          <w:rFonts w:hint="default" w:ascii="Times New Roman" w:hAnsi="Times New Roman" w:eastAsia="仿宋_GB2312" w:cs="Times New Roman"/>
          <w:color w:val="auto"/>
          <w:kern w:val="0"/>
          <w:lang w:val="en-US" w:eastAsia="zh-CN"/>
        </w:rPr>
        <w:t>5</w:t>
      </w:r>
      <w:r>
        <w:rPr>
          <w:rFonts w:hint="default" w:ascii="Times New Roman" w:hAnsi="Times New Roman" w:eastAsia="仿宋_GB2312" w:cs="Times New Roman"/>
          <w:color w:val="auto"/>
          <w:kern w:val="0"/>
        </w:rPr>
        <w:t>%）、土壤流失控制比1.11（目标值1.0）、渣土防护率96.6%（目标值8</w:t>
      </w:r>
      <w:r>
        <w:rPr>
          <w:rFonts w:hint="default" w:ascii="Times New Roman" w:hAnsi="Times New Roman" w:eastAsia="仿宋_GB2312" w:cs="Times New Roman"/>
          <w:color w:val="auto"/>
          <w:kern w:val="0"/>
          <w:lang w:val="en-US" w:eastAsia="zh-CN"/>
        </w:rPr>
        <w:t>7</w:t>
      </w:r>
      <w:r>
        <w:rPr>
          <w:rFonts w:hint="default" w:ascii="Times New Roman" w:hAnsi="Times New Roman" w:eastAsia="仿宋_GB2312" w:cs="Times New Roman"/>
          <w:color w:val="auto"/>
          <w:kern w:val="0"/>
        </w:rPr>
        <w:t>%）、表土保护率（项目区无表土可剥离，该值不计列），林草植被恢复率（本项目不涉及园林绿化，该值不计列）、林草覆盖率（本项目不涉及园林绿化，该值不计列）；水土流失防治指标均能够满足水保方案提出的目标值。</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t>水土保持方案实施后，水土流失治理面积0.</w:t>
      </w:r>
      <w:r>
        <w:rPr>
          <w:rFonts w:hint="default" w:ascii="Times New Roman" w:hAnsi="Times New Roman" w:eastAsia="仿宋_GB2312" w:cs="Times New Roman"/>
          <w:color w:val="auto"/>
          <w:kern w:val="0"/>
          <w:lang w:val="en-US" w:eastAsia="zh-CN"/>
        </w:rPr>
        <w:t>43</w:t>
      </w:r>
      <w:r>
        <w:rPr>
          <w:rFonts w:hint="default" w:ascii="Times New Roman" w:hAnsi="Times New Roman" w:eastAsia="仿宋_GB2312" w:cs="Times New Roman"/>
          <w:color w:val="auto"/>
          <w:kern w:val="0"/>
        </w:rPr>
        <w:t>hm</w:t>
      </w:r>
      <w:r>
        <w:rPr>
          <w:rFonts w:hint="default" w:ascii="Times New Roman" w:hAnsi="Times New Roman" w:eastAsia="仿宋_GB2312" w:cs="Times New Roman"/>
          <w:color w:val="auto"/>
          <w:kern w:val="0"/>
          <w:vertAlign w:val="superscript"/>
        </w:rPr>
        <w:t>2</w:t>
      </w:r>
      <w:r>
        <w:rPr>
          <w:rFonts w:hint="default" w:ascii="Times New Roman" w:hAnsi="Times New Roman" w:eastAsia="仿宋_GB2312" w:cs="Times New Roman"/>
          <w:color w:val="auto"/>
          <w:kern w:val="0"/>
        </w:rPr>
        <w:t>，可减少土壤流失量1t。</w:t>
      </w:r>
    </w:p>
    <w:p>
      <w:pPr>
        <w:suppressAutoHyphens/>
        <w:ind w:firstLine="482"/>
        <w:rPr>
          <w:rFonts w:hint="default" w:ascii="Times New Roman" w:hAnsi="Times New Roman" w:eastAsia="仿宋_GB2312" w:cs="Times New Roman"/>
          <w:color w:val="auto"/>
          <w:kern w:val="0"/>
        </w:rPr>
      </w:pPr>
      <w:r>
        <w:rPr>
          <w:rFonts w:hint="default" w:ascii="Times New Roman" w:hAnsi="Times New Roman" w:eastAsia="仿宋_GB2312" w:cs="Times New Roman"/>
          <w:b/>
          <w:color w:val="auto"/>
        </w:rPr>
        <w:t>（2）水土保持效益分析</w:t>
      </w:r>
    </w:p>
    <w:p>
      <w:pPr>
        <w:suppressAutoHyphens/>
        <w:ind w:firstLine="480"/>
        <w:rPr>
          <w:rFonts w:hint="default" w:ascii="Times New Roman" w:hAnsi="Times New Roman" w:eastAsia="仿宋_GB2312" w:cs="Times New Roman"/>
          <w:color w:val="auto"/>
          <w:kern w:val="0"/>
        </w:rPr>
      </w:pPr>
      <w:r>
        <w:rPr>
          <w:rFonts w:hint="default" w:ascii="Times New Roman" w:hAnsi="Times New Roman" w:eastAsia="仿宋_GB2312" w:cs="Times New Roman"/>
          <w:color w:val="auto"/>
          <w:kern w:val="0"/>
        </w:rPr>
        <w:fldChar w:fldCharType="begin"/>
      </w:r>
      <w:r>
        <w:rPr>
          <w:rFonts w:hint="default" w:ascii="Times New Roman" w:hAnsi="Times New Roman" w:eastAsia="仿宋_GB2312" w:cs="Times New Roman"/>
          <w:color w:val="auto"/>
          <w:kern w:val="0"/>
        </w:rPr>
        <w:instrText xml:space="preserve"> = 1 \* GB3 </w:instrText>
      </w:r>
      <w:r>
        <w:rPr>
          <w:rFonts w:hint="default" w:ascii="Times New Roman" w:hAnsi="Times New Roman" w:eastAsia="仿宋_GB2312" w:cs="Times New Roman"/>
          <w:color w:val="auto"/>
          <w:kern w:val="0"/>
        </w:rPr>
        <w:fldChar w:fldCharType="separate"/>
      </w:r>
      <w:r>
        <w:rPr>
          <w:rFonts w:hint="default" w:ascii="Times New Roman" w:hAnsi="Times New Roman" w:cs="Times New Roman"/>
          <w:color w:val="auto"/>
          <w:kern w:val="0"/>
        </w:rPr>
        <w:t>①</w:t>
      </w:r>
      <w:r>
        <w:rPr>
          <w:rFonts w:hint="default" w:ascii="Times New Roman" w:hAnsi="Times New Roman" w:eastAsia="仿宋_GB2312" w:cs="Times New Roman"/>
          <w:color w:val="auto"/>
          <w:kern w:val="0"/>
        </w:rPr>
        <w:fldChar w:fldCharType="end"/>
      </w:r>
      <w:r>
        <w:rPr>
          <w:rFonts w:hint="default" w:ascii="Times New Roman" w:hAnsi="Times New Roman" w:eastAsia="仿宋_GB2312" w:cs="Times New Roman"/>
          <w:color w:val="auto"/>
          <w:kern w:val="0"/>
        </w:rPr>
        <w:t>生态效益</w:t>
      </w:r>
    </w:p>
    <w:p>
      <w:pPr>
        <w:snapToGrid w:val="0"/>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通过落实水土流失治理措施，工程完工后，水土保持设施逐步发挥功能，建设区侵蚀模数可低于500t/（km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·a）。</w:t>
      </w:r>
    </w:p>
    <w:p>
      <w:pPr>
        <w:snapToGrid w:val="0"/>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2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②</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社会效益</w:t>
      </w:r>
    </w:p>
    <w:p>
      <w:pPr>
        <w:widowControl/>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通过认真贯彻水土保持法规，因地制宜地采取水土保持预防措施、治理措施、监测检查督促等措施，使项目建设期可能造成的水土流失及危害降到最低限度，从而确保项目建设顺利进行，降低水土流失隐患，杜绝因水土流失而引起的群体投诉等社会问题；同时水土保持措施实施后将进一步提高、改善生态环境。</w:t>
      </w:r>
    </w:p>
    <w:p>
      <w:pPr>
        <w:snapToGrid w:val="0"/>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fldChar w:fldCharType="begin"/>
      </w:r>
      <w:r>
        <w:rPr>
          <w:rFonts w:hint="default" w:ascii="Times New Roman" w:hAnsi="Times New Roman" w:eastAsia="仿宋_GB2312" w:cs="Times New Roman"/>
          <w:color w:val="auto"/>
          <w:szCs w:val="24"/>
        </w:rPr>
        <w:instrText xml:space="preserve"> = 3 \* GB3 </w:instrText>
      </w:r>
      <w:r>
        <w:rPr>
          <w:rFonts w:hint="default" w:ascii="Times New Roman" w:hAnsi="Times New Roman" w:eastAsia="仿宋_GB2312" w:cs="Times New Roman"/>
          <w:color w:val="auto"/>
          <w:szCs w:val="24"/>
        </w:rPr>
        <w:fldChar w:fldCharType="separate"/>
      </w:r>
      <w:r>
        <w:rPr>
          <w:rFonts w:hint="default" w:ascii="Times New Roman" w:hAnsi="Times New Roman" w:cs="Times New Roman"/>
          <w:color w:val="auto"/>
          <w:szCs w:val="24"/>
        </w:rPr>
        <w:t>③</w:t>
      </w:r>
      <w:r>
        <w:rPr>
          <w:rFonts w:hint="default" w:ascii="Times New Roman" w:hAnsi="Times New Roman" w:eastAsia="仿宋_GB2312" w:cs="Times New Roman"/>
          <w:color w:val="auto"/>
          <w:szCs w:val="24"/>
        </w:rPr>
        <w:fldChar w:fldCharType="end"/>
      </w:r>
      <w:r>
        <w:rPr>
          <w:rFonts w:hint="default" w:ascii="Times New Roman" w:hAnsi="Times New Roman" w:eastAsia="仿宋_GB2312" w:cs="Times New Roman"/>
          <w:color w:val="auto"/>
          <w:szCs w:val="24"/>
        </w:rPr>
        <w:t>经济效益</w:t>
      </w:r>
    </w:p>
    <w:p>
      <w:pPr>
        <w:snapToGrid w:val="0"/>
        <w:ind w:firstLine="480"/>
        <w:rPr>
          <w:rFonts w:hint="default" w:ascii="Times New Roman" w:hAnsi="Times New Roman" w:eastAsia="仿宋_GB2312" w:cs="Times New Roman"/>
          <w:color w:val="auto"/>
          <w:szCs w:val="24"/>
        </w:rPr>
        <w:sectPr>
          <w:headerReference r:id="rId17" w:type="default"/>
          <w:pgSz w:w="11906" w:h="16838"/>
          <w:pgMar w:top="1440" w:right="1797" w:bottom="1440" w:left="1797" w:header="851" w:footer="992" w:gutter="0"/>
          <w:cols w:space="720" w:num="1"/>
          <w:docGrid w:type="lines" w:linePitch="312" w:charSpace="0"/>
        </w:sectPr>
      </w:pPr>
      <w:r>
        <w:rPr>
          <w:rFonts w:hint="default" w:ascii="Times New Roman" w:hAnsi="Times New Roman" w:eastAsia="仿宋_GB2312" w:cs="Times New Roman"/>
          <w:color w:val="auto"/>
          <w:szCs w:val="24"/>
        </w:rPr>
        <w:t>实施本方案中水土保持措施维护工程的安全运行，恢复改善工程建设破坏的土地，水保措施带了的直接经济效益不明显</w:t>
      </w:r>
      <w:r>
        <w:rPr>
          <w:rFonts w:hint="default" w:ascii="Times New Roman" w:hAnsi="Times New Roman" w:eastAsia="仿宋_GB2312" w:cs="Times New Roman"/>
          <w:color w:val="auto"/>
          <w:kern w:val="0"/>
        </w:rPr>
        <w:t>。</w:t>
      </w:r>
    </w:p>
    <w:p>
      <w:pPr>
        <w:pStyle w:val="2"/>
        <w:rPr>
          <w:rFonts w:hint="default" w:ascii="Times New Roman" w:hAnsi="Times New Roman" w:cs="Times New Roman"/>
          <w:color w:val="auto"/>
          <w:kern w:val="0"/>
        </w:rPr>
      </w:pPr>
      <w:bookmarkStart w:id="192" w:name="_Toc26260"/>
      <w:r>
        <w:rPr>
          <w:rFonts w:hint="default" w:ascii="Times New Roman" w:hAnsi="Times New Roman" w:cs="Times New Roman"/>
          <w:color w:val="auto"/>
          <w:kern w:val="0"/>
        </w:rPr>
        <w:t>8水土保持管理</w:t>
      </w:r>
      <w:bookmarkEnd w:id="192"/>
    </w:p>
    <w:p>
      <w:pPr>
        <w:suppressAutoHyphens/>
        <w:ind w:firstLine="480"/>
        <w:rPr>
          <w:rFonts w:hint="default" w:ascii="Times New Roman" w:hAnsi="Times New Roman" w:eastAsia="仿宋_GB2312" w:cs="Times New Roman"/>
          <w:color w:val="auto"/>
          <w:kern w:val="0"/>
        </w:rPr>
      </w:pPr>
      <w:bookmarkStart w:id="193" w:name="_Toc304708154"/>
      <w:bookmarkStart w:id="194" w:name="_Toc243974812"/>
      <w:bookmarkStart w:id="195" w:name="_Toc425493424"/>
      <w:r>
        <w:rPr>
          <w:rFonts w:hint="default" w:ascii="Times New Roman" w:hAnsi="Times New Roman" w:eastAsia="仿宋_GB2312" w:cs="Times New Roman"/>
          <w:color w:val="auto"/>
        </w:rPr>
        <w:t>为确保项目水土保持方案能够顺利、有效地实施，切实起到保护水土资源，防治水土流失的作用，使项目新增水土流失和项目区原有水土流失得到有效控制，确保各项水土保持措施得到实施，方案制定如下保障措施。</w:t>
      </w:r>
    </w:p>
    <w:p>
      <w:pPr>
        <w:pStyle w:val="3"/>
        <w:suppressAutoHyphens/>
        <w:spacing w:before="156" w:beforeLines="50" w:after="156" w:afterLines="50"/>
        <w:rPr>
          <w:rFonts w:hint="default" w:ascii="Times New Roman" w:hAnsi="Times New Roman" w:cs="Times New Roman"/>
          <w:color w:val="auto"/>
          <w:kern w:val="0"/>
        </w:rPr>
      </w:pPr>
      <w:bookmarkStart w:id="196" w:name="_Toc10395"/>
      <w:r>
        <w:rPr>
          <w:rFonts w:hint="default" w:ascii="Times New Roman" w:hAnsi="Times New Roman" w:cs="Times New Roman"/>
          <w:color w:val="auto"/>
          <w:kern w:val="0"/>
        </w:rPr>
        <w:t>8.</w:t>
      </w:r>
      <w:bookmarkEnd w:id="193"/>
      <w:bookmarkEnd w:id="194"/>
      <w:r>
        <w:rPr>
          <w:rFonts w:hint="default" w:ascii="Times New Roman" w:hAnsi="Times New Roman" w:cs="Times New Roman"/>
          <w:color w:val="auto"/>
          <w:kern w:val="0"/>
        </w:rPr>
        <w:t>1 组织管理</w:t>
      </w:r>
      <w:bookmarkEnd w:id="195"/>
      <w:bookmarkEnd w:id="196"/>
    </w:p>
    <w:p>
      <w:pPr>
        <w:suppressAutoHyphens/>
        <w:ind w:firstLine="480"/>
        <w:rPr>
          <w:rFonts w:hint="default" w:ascii="Times New Roman" w:hAnsi="Times New Roman" w:eastAsia="仿宋_GB2312" w:cs="Times New Roman"/>
          <w:color w:val="auto"/>
        </w:rPr>
      </w:pPr>
      <w:bookmarkStart w:id="197" w:name="_Toc425493425"/>
      <w:bookmarkStart w:id="198" w:name="_Toc243974808"/>
      <w:bookmarkStart w:id="199" w:name="_Toc304708150"/>
      <w:r>
        <w:rPr>
          <w:rFonts w:hint="default" w:ascii="Times New Roman" w:hAnsi="Times New Roman" w:eastAsia="仿宋_GB2312" w:cs="Times New Roman"/>
          <w:color w:val="auto"/>
        </w:rPr>
        <w:t>（1）本项目建设单位在施工期建立与水土保持相结合领导管理机构，由工程部主要负责人担任领导，有关技术人员参加进行组织、管理、实施水土流失防治措施；具体措施是在施工合同、监理合同中明确水土保持要求；由工程监理单位开展水土保持相关工作。</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（2）建设单位工程部负责人在项目施工中定期向施工单位相关人员宣讲水土保持要求，增强了施工人员水土保持意识，规范施工行为。</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（3）建设单位接受地方水行政主管部门的监督和指导，编报水土保持方案，履行水土保持法定义务；工程完工后，建设单位安排专人负责水土保持设施的维护工作。</w:t>
      </w:r>
    </w:p>
    <w:p>
      <w:pPr>
        <w:suppressAutoHyphens/>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4）建设单位设专人管理水土保持相关档案，设专柜存档，存档主要包括主体工程设计成果、施工过程影像资料、阶段结算资料、监理资料等。具体要求是材料按类别分年度装订成册，每卷封面要注明名称，建档日期，责任者等。</w:t>
      </w:r>
    </w:p>
    <w:p>
      <w:pPr>
        <w:pStyle w:val="3"/>
        <w:suppressAutoHyphens/>
        <w:spacing w:before="156" w:beforeLines="50" w:after="156" w:afterLines="50"/>
        <w:rPr>
          <w:rFonts w:hint="default" w:ascii="Times New Roman" w:hAnsi="Times New Roman" w:cs="Times New Roman"/>
          <w:color w:val="auto"/>
          <w:kern w:val="0"/>
        </w:rPr>
      </w:pPr>
      <w:bookmarkStart w:id="200" w:name="_Toc25291"/>
      <w:r>
        <w:rPr>
          <w:rFonts w:hint="default" w:ascii="Times New Roman" w:hAnsi="Times New Roman" w:cs="Times New Roman"/>
          <w:color w:val="auto"/>
          <w:kern w:val="0"/>
        </w:rPr>
        <w:t>8.2 后续设计</w:t>
      </w:r>
      <w:bookmarkEnd w:id="197"/>
      <w:bookmarkEnd w:id="198"/>
      <w:bookmarkEnd w:id="199"/>
      <w:bookmarkEnd w:id="200"/>
    </w:p>
    <w:p>
      <w:pPr>
        <w:suppressAutoHyphens/>
        <w:ind w:firstLine="480"/>
        <w:rPr>
          <w:rFonts w:hint="default" w:ascii="Times New Roman" w:hAnsi="Times New Roman" w:eastAsia="仿宋_GB2312" w:cs="Times New Roman"/>
          <w:color w:val="auto"/>
          <w:szCs w:val="24"/>
        </w:rPr>
      </w:pPr>
      <w:bookmarkStart w:id="201" w:name="_Toc196020313"/>
      <w:bookmarkStart w:id="202" w:name="_Toc243974809"/>
      <w:bookmarkStart w:id="203" w:name="_Toc87937807"/>
      <w:bookmarkStart w:id="204" w:name="_Toc425493426"/>
      <w:bookmarkStart w:id="205" w:name="_Toc304708151"/>
      <w:bookmarkStart w:id="206" w:name="_Toc90798231"/>
      <w:bookmarkStart w:id="207" w:name="_Toc90457111"/>
      <w:bookmarkStart w:id="208" w:name="_Toc90795484"/>
      <w:bookmarkStart w:id="209" w:name="_Toc91652009"/>
      <w:bookmarkStart w:id="210" w:name="_Toc188594646"/>
      <w:bookmarkStart w:id="211" w:name="_Toc122073121"/>
      <w:bookmarkStart w:id="212" w:name="_Toc88644826"/>
      <w:bookmarkStart w:id="213" w:name="_Toc90457599"/>
      <w:r>
        <w:rPr>
          <w:rFonts w:hint="default" w:ascii="Times New Roman" w:hAnsi="Times New Roman" w:eastAsia="仿宋_GB2312" w:cs="Times New Roman"/>
          <w:color w:val="auto"/>
          <w:szCs w:val="24"/>
        </w:rPr>
        <w:t>本项目水土保持方案批复后，主体设计单位应进一步细化各水保措施，主体设计成果将作为招投标的主要依据。后续设计应对新增水保措施重新设计招标，其设计图将做为施工依据。</w:t>
      </w:r>
    </w:p>
    <w:p>
      <w:pPr>
        <w:suppressAutoHyphens/>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本项目若水土保持措施等发生重大变更，原批复水保方案应按照《四川省水利厅关于印发四川省生产建设项目水土保持措施变更管理办法（试行）的通知》（川水函〔201</w:t>
      </w:r>
      <w:r>
        <w:rPr>
          <w:rFonts w:hint="default" w:ascii="Times New Roman" w:hAnsi="Times New Roman" w:eastAsia="仿宋_GB2312" w:cs="Times New Roman"/>
          <w:color w:val="auto"/>
          <w:szCs w:val="24"/>
          <w:lang w:val="en-US" w:eastAsia="zh-CN"/>
        </w:rPr>
        <w:t>5</w:t>
      </w:r>
      <w:r>
        <w:rPr>
          <w:rFonts w:hint="default" w:ascii="Times New Roman" w:hAnsi="Times New Roman" w:eastAsia="仿宋_GB2312" w:cs="Times New Roman"/>
          <w:color w:val="auto"/>
          <w:szCs w:val="24"/>
        </w:rPr>
        <w:t>〕1561号）的规定执行。</w:t>
      </w:r>
    </w:p>
    <w:p>
      <w:pPr>
        <w:pStyle w:val="3"/>
        <w:suppressAutoHyphens/>
        <w:spacing w:before="156" w:beforeLines="50" w:after="156" w:afterLines="50"/>
        <w:rPr>
          <w:rFonts w:hint="default" w:ascii="Times New Roman" w:hAnsi="Times New Roman" w:cs="Times New Roman"/>
          <w:color w:val="auto"/>
          <w:kern w:val="0"/>
        </w:rPr>
      </w:pPr>
      <w:bookmarkStart w:id="214" w:name="_Toc21281"/>
      <w:bookmarkStart w:id="215" w:name="_Toc425493427"/>
      <w:bookmarkStart w:id="216" w:name="_Toc243974810"/>
      <w:bookmarkStart w:id="217" w:name="_Toc304708152"/>
      <w:bookmarkStart w:id="218" w:name="_Toc243974811"/>
      <w:bookmarkStart w:id="219" w:name="_Toc304708153"/>
      <w:r>
        <w:rPr>
          <w:rFonts w:hint="default" w:ascii="Times New Roman" w:hAnsi="Times New Roman" w:cs="Times New Roman"/>
          <w:color w:val="auto"/>
          <w:kern w:val="0"/>
        </w:rPr>
        <w:t>8.3 水土保持监理</w:t>
      </w:r>
      <w:bookmarkEnd w:id="214"/>
      <w:bookmarkEnd w:id="215"/>
      <w:bookmarkEnd w:id="216"/>
      <w:bookmarkEnd w:id="217"/>
    </w:p>
    <w:p>
      <w:pPr>
        <w:suppressAutoHyphens/>
        <w:ind w:firstLine="480"/>
        <w:rPr>
          <w:rFonts w:hint="default" w:ascii="Times New Roman" w:hAnsi="Times New Roman" w:eastAsia="仿宋_GB2312" w:cs="Times New Roman"/>
          <w:color w:val="auto"/>
          <w:szCs w:val="24"/>
        </w:rPr>
      </w:pPr>
      <w:bookmarkStart w:id="220" w:name="_Toc425493428"/>
      <w:r>
        <w:rPr>
          <w:rFonts w:hint="default" w:ascii="Times New Roman" w:hAnsi="Times New Roman" w:eastAsia="仿宋_GB2312" w:cs="Times New Roman"/>
          <w:color w:val="auto"/>
          <w:szCs w:val="24"/>
        </w:rPr>
        <w:t>根据水利部文件《水利部关于进一步深化“放管服”改革全面加强水土保持监管的意见》（水保〔2019〕160号），凡主体工程开展监理工作的项目，应当按照水土保持监理标准和规范开展水土保持施工监理。其中，征占地面积在20公顷以上或者挖填土石方总量在20万立方米以上的项目，应当配备具有水土保持专业监理资格的工程师；征占地面积在200公顷以上或者挖填土石方总量在200万立方米以上的项目，应当由具有水土保持监理专业资质的单位承担监理任务。</w:t>
      </w:r>
    </w:p>
    <w:p>
      <w:pPr>
        <w:pStyle w:val="1102"/>
        <w:rPr>
          <w:rFonts w:hint="default" w:ascii="Times New Roman" w:hAnsi="Times New Roman" w:cs="Times New Roman"/>
          <w:color w:val="auto"/>
        </w:rPr>
      </w:pPr>
      <w:r>
        <w:rPr>
          <w:rFonts w:hint="default" w:ascii="Times New Roman" w:hAnsi="Times New Roman" w:cs="Times New Roman"/>
          <w:color w:val="auto"/>
        </w:rPr>
        <w:t>本项目占地面积及土石方挖填量均未达到上述要求，因此水土保持监理已纳入主体工程监理范畴，由工程监理单位履行水土保持监理职责。</w:t>
      </w:r>
    </w:p>
    <w:bookmarkEnd w:id="218"/>
    <w:bookmarkEnd w:id="219"/>
    <w:bookmarkEnd w:id="220"/>
    <w:p>
      <w:pPr>
        <w:pStyle w:val="3"/>
        <w:suppressAutoHyphens/>
        <w:spacing w:before="156" w:beforeLines="50" w:after="156" w:afterLines="50"/>
        <w:rPr>
          <w:rFonts w:hint="default" w:ascii="Times New Roman" w:hAnsi="Times New Roman" w:cs="Times New Roman"/>
          <w:color w:val="auto"/>
          <w:kern w:val="0"/>
        </w:rPr>
      </w:pPr>
      <w:bookmarkStart w:id="221" w:name="_Toc1635"/>
      <w:r>
        <w:rPr>
          <w:rFonts w:hint="default" w:ascii="Times New Roman" w:hAnsi="Times New Roman" w:cs="Times New Roman"/>
          <w:color w:val="auto"/>
          <w:kern w:val="0"/>
        </w:rPr>
        <w:t>8.4 水土保持施工</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21"/>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经调查，从项目筹建到建设，逐步落实了项目法人制、招投标制和施工监理制。水土保持措施由施工单位实施。经调查，本项目从筹建到建设，逐步落实了项目法人制、招投标制和施工监理制。施工合同中应明确施工单位应承担的水土流失责任、水土保持工程内容等。</w:t>
      </w:r>
    </w:p>
    <w:p>
      <w:pPr>
        <w:suppressAutoHyphens/>
        <w:ind w:firstLine="480"/>
        <w:rPr>
          <w:rFonts w:hint="default" w:ascii="Times New Roman" w:hAnsi="Times New Roman" w:eastAsia="仿宋_GB2312" w:cs="Times New Roman"/>
          <w:color w:val="auto"/>
        </w:rPr>
      </w:pPr>
      <w:r>
        <w:rPr>
          <w:rFonts w:hint="default" w:ascii="Times New Roman" w:hAnsi="Times New Roman" w:eastAsia="仿宋_GB2312" w:cs="Times New Roman"/>
          <w:color w:val="auto"/>
        </w:rPr>
        <w:t>明确承包商在基坑施工中，明确外运土石方去向及施工过程中的水土流失责任；外购砂砾石料等建筑材料应从合规、合法料场外购，并应在购买合同中明确水土流失防治责任。</w:t>
      </w:r>
    </w:p>
    <w:p>
      <w:pPr>
        <w:pStyle w:val="3"/>
        <w:suppressAutoHyphens/>
        <w:spacing w:before="156" w:beforeLines="50" w:after="156" w:afterLines="50"/>
        <w:rPr>
          <w:rFonts w:hint="default" w:ascii="Times New Roman" w:hAnsi="Times New Roman" w:cs="Times New Roman"/>
          <w:color w:val="auto"/>
          <w:kern w:val="0"/>
        </w:rPr>
      </w:pPr>
      <w:bookmarkStart w:id="222" w:name="_Toc304708156"/>
      <w:bookmarkStart w:id="223" w:name="_Toc243974814"/>
      <w:bookmarkStart w:id="224" w:name="_Toc425493429"/>
      <w:bookmarkStart w:id="225" w:name="_Toc31995"/>
      <w:r>
        <w:rPr>
          <w:rFonts w:hint="default" w:ascii="Times New Roman" w:hAnsi="Times New Roman" w:cs="Times New Roman"/>
          <w:color w:val="auto"/>
          <w:kern w:val="0"/>
        </w:rPr>
        <w:t xml:space="preserve">8.5 </w:t>
      </w:r>
      <w:bookmarkEnd w:id="222"/>
      <w:bookmarkEnd w:id="223"/>
      <w:r>
        <w:rPr>
          <w:rFonts w:hint="default" w:ascii="Times New Roman" w:hAnsi="Times New Roman" w:cs="Times New Roman"/>
          <w:color w:val="auto"/>
          <w:kern w:val="0"/>
        </w:rPr>
        <w:t>水土保持设施验收</w:t>
      </w:r>
      <w:bookmarkEnd w:id="224"/>
      <w:bookmarkEnd w:id="225"/>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水利部办公厅文件《水利部办公厅关于印发生产建设项目水土保持监督管理办法的通知》（办水保〔2019〕172号），生产建设单位是生产建设项目水土保护设施验收的责任主体，应当在生产建设项目使用或者竣工验收前，自主开展水土保持设施验收，完成报备并取得报备回执。</w:t>
      </w:r>
    </w:p>
    <w:p>
      <w:pPr>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根据《水利部关于进一步深化“放管服”改革全面加强水土保持监督的意见》（水保〔2019〕160号）的有关规定，水土保持设施自主验收报备应当提交水土保持设施验收鉴定书、水土保持设施验收报告和水土保持监测总结报告。其中，实行承若制或者备案制的项目，只需要提交水土保持设施验收鉴定书，其水土保持设施验收组中应当有至少一名省级水行政主管部门水土保持方案专家库专家</w:t>
      </w:r>
      <w:r>
        <w:rPr>
          <w:rFonts w:hint="default" w:ascii="Times New Roman" w:hAnsi="Times New Roman" w:eastAsia="仿宋_GB2312" w:cs="Times New Roman"/>
          <w:color w:val="auto"/>
        </w:rPr>
        <w:t>。</w:t>
      </w:r>
    </w:p>
    <w:sectPr>
      <w:headerReference r:id="rId18" w:type="default"/>
      <w:pgSz w:w="11906" w:h="16838"/>
      <w:pgMar w:top="1440" w:right="1797" w:bottom="1440" w:left="1797"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entury Gothic">
    <w:panose1 w:val="020B0502020202020204"/>
    <w:charset w:val="00"/>
    <w:family w:val="swiss"/>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方正姚体">
    <w:panose1 w:val="02010601030101010101"/>
    <w:charset w:val="86"/>
    <w:family w:val="auto"/>
    <w:pitch w:val="default"/>
    <w:sig w:usb0="00000003"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NewRomanPSMT">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inherit">
    <w:altName w:val="Times New Roman"/>
    <w:panose1 w:val="00000000000000000000"/>
    <w:charset w:val="00"/>
    <w:family w:val="roman"/>
    <w:pitch w:val="default"/>
    <w:sig w:usb0="00000000" w:usb1="00000000" w:usb2="00000000" w:usb3="00000000" w:csb0="00000000" w:csb1="00000000"/>
  </w:font>
  <w:font w:name="文鼎大标宋简">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center" w:y="1"/>
      <w:ind w:firstLine="360"/>
      <w:rPr>
        <w:rStyle w:val="68"/>
      </w:rPr>
    </w:pPr>
    <w:r>
      <w:fldChar w:fldCharType="begin"/>
    </w:r>
    <w:r>
      <w:rPr>
        <w:rStyle w:val="68"/>
      </w:rPr>
      <w:instrText xml:space="preserve">PAGE  </w:instrText>
    </w:r>
    <w:r>
      <w:fldChar w:fldCharType="end"/>
    </w:r>
  </w:p>
  <w:p>
    <w:pPr>
      <w:pStyle w:val="3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42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VIII</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spacing w:line="240" w:lineRule="auto"/>
      <w:ind w:firstLine="360"/>
      <w:jc w:val="center"/>
    </w:pPr>
    <w:r>
      <w:fldChar w:fldCharType="begin"/>
    </w:r>
    <w:r>
      <w:instrText xml:space="preserve"> PAGE   \* MERGEFORMAT </w:instrText>
    </w:r>
    <w:r>
      <w:fldChar w:fldCharType="separate"/>
    </w:r>
    <w:r>
      <w:rPr>
        <w:lang w:val="zh-CN"/>
      </w:rPr>
      <w:t>1</w:t>
    </w:r>
    <w:r>
      <w:fldChar w:fldCharType="end"/>
    </w:r>
  </w:p>
  <w:p>
    <w:pPr>
      <w:pStyle w:val="38"/>
      <w:spacing w:line="240" w:lineRule="auto"/>
      <w:ind w:firstLine="0" w:firstLineChars="0"/>
    </w:pPr>
    <w:r>
      <w:rPr>
        <w:rFonts w:hint="eastAsia"/>
      </w:rPr>
      <w:t>四川星原环保科技有限责任公司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7水土保持投资概算及效益分析</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8水土保持管理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1综合说明</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2项目概况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pBdr>
        <w:bottom w:val="single" w:color="auto" w:sz="4" w:space="0"/>
      </w:pBdr>
      <w:spacing w:line="240" w:lineRule="auto"/>
      <w:ind w:firstLine="0" w:firstLineChars="0"/>
    </w:pPr>
    <w:r>
      <w:rPr>
        <w:rFonts w:hint="eastAsia"/>
      </w:rPr>
      <w:t>3项目水土保持评价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pBdr>
        <w:bottom w:val="single" w:color="auto" w:sz="4" w:space="0"/>
      </w:pBdr>
      <w:spacing w:line="240" w:lineRule="auto"/>
      <w:ind w:firstLine="0" w:firstLineChars="0"/>
    </w:pPr>
    <w:r>
      <w:rPr>
        <w:rFonts w:hint="eastAsia"/>
      </w:rPr>
      <w:t>4水土流失分析与调查</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5水土保持措施</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3"/>
      <w:spacing w:line="240" w:lineRule="auto"/>
      <w:ind w:firstLine="0" w:firstLineChars="0"/>
    </w:pPr>
    <w:r>
      <w:rPr>
        <w:rFonts w:hint="eastAsia"/>
      </w:rPr>
      <w:t>6水土保持监测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45A598"/>
    <w:multiLevelType w:val="singleLevel"/>
    <w:tmpl w:val="8C45A598"/>
    <w:lvl w:ilvl="0" w:tentative="0">
      <w:start w:val="2"/>
      <w:numFmt w:val="decimal"/>
      <w:suff w:val="nothing"/>
      <w:lvlText w:val="（%1）"/>
      <w:lvlJc w:val="left"/>
    </w:lvl>
  </w:abstractNum>
  <w:abstractNum w:abstractNumId="1">
    <w:nsid w:val="535B0E24"/>
    <w:multiLevelType w:val="singleLevel"/>
    <w:tmpl w:val="535B0E24"/>
    <w:lvl w:ilvl="0" w:tentative="0">
      <w:start w:val="2"/>
      <w:numFmt w:val="decimal"/>
      <w:suff w:val="nothing"/>
      <w:lvlText w:val="第%1章，"/>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24C"/>
    <w:rsid w:val="0000006A"/>
    <w:rsid w:val="000005A5"/>
    <w:rsid w:val="00000F54"/>
    <w:rsid w:val="000011AC"/>
    <w:rsid w:val="00001303"/>
    <w:rsid w:val="0000138D"/>
    <w:rsid w:val="000016BA"/>
    <w:rsid w:val="0000184A"/>
    <w:rsid w:val="00001DEC"/>
    <w:rsid w:val="00002308"/>
    <w:rsid w:val="0000254A"/>
    <w:rsid w:val="000028FE"/>
    <w:rsid w:val="00002AB1"/>
    <w:rsid w:val="00002ACB"/>
    <w:rsid w:val="0000311A"/>
    <w:rsid w:val="00003447"/>
    <w:rsid w:val="000034B9"/>
    <w:rsid w:val="00003A42"/>
    <w:rsid w:val="00003C67"/>
    <w:rsid w:val="00003DC1"/>
    <w:rsid w:val="00003E94"/>
    <w:rsid w:val="00003FED"/>
    <w:rsid w:val="000047AD"/>
    <w:rsid w:val="00005453"/>
    <w:rsid w:val="00005BB5"/>
    <w:rsid w:val="00005C87"/>
    <w:rsid w:val="00005CA6"/>
    <w:rsid w:val="00005D75"/>
    <w:rsid w:val="00005E84"/>
    <w:rsid w:val="00005F17"/>
    <w:rsid w:val="00006168"/>
    <w:rsid w:val="000061E4"/>
    <w:rsid w:val="0000648A"/>
    <w:rsid w:val="00006BA0"/>
    <w:rsid w:val="00006CC1"/>
    <w:rsid w:val="00007309"/>
    <w:rsid w:val="000073F6"/>
    <w:rsid w:val="000075EE"/>
    <w:rsid w:val="00007AFA"/>
    <w:rsid w:val="00007D12"/>
    <w:rsid w:val="00010551"/>
    <w:rsid w:val="0001066D"/>
    <w:rsid w:val="00010833"/>
    <w:rsid w:val="000108A0"/>
    <w:rsid w:val="00010D18"/>
    <w:rsid w:val="00011465"/>
    <w:rsid w:val="0001187D"/>
    <w:rsid w:val="0001188D"/>
    <w:rsid w:val="00011AD0"/>
    <w:rsid w:val="00011DDA"/>
    <w:rsid w:val="00012079"/>
    <w:rsid w:val="00012271"/>
    <w:rsid w:val="00012849"/>
    <w:rsid w:val="00012A0F"/>
    <w:rsid w:val="00012A3C"/>
    <w:rsid w:val="00012C6D"/>
    <w:rsid w:val="000130E3"/>
    <w:rsid w:val="000131AD"/>
    <w:rsid w:val="000134E4"/>
    <w:rsid w:val="0001357B"/>
    <w:rsid w:val="00013A06"/>
    <w:rsid w:val="00013FF6"/>
    <w:rsid w:val="00014051"/>
    <w:rsid w:val="00014151"/>
    <w:rsid w:val="00014722"/>
    <w:rsid w:val="000147CD"/>
    <w:rsid w:val="00014830"/>
    <w:rsid w:val="00014B37"/>
    <w:rsid w:val="00014DD7"/>
    <w:rsid w:val="0001530D"/>
    <w:rsid w:val="00015502"/>
    <w:rsid w:val="0001595D"/>
    <w:rsid w:val="00015AA0"/>
    <w:rsid w:val="00016636"/>
    <w:rsid w:val="000178F6"/>
    <w:rsid w:val="00017A01"/>
    <w:rsid w:val="00017B65"/>
    <w:rsid w:val="00017F84"/>
    <w:rsid w:val="00020676"/>
    <w:rsid w:val="00020759"/>
    <w:rsid w:val="00020959"/>
    <w:rsid w:val="00020D12"/>
    <w:rsid w:val="00020DA9"/>
    <w:rsid w:val="00020F72"/>
    <w:rsid w:val="00021051"/>
    <w:rsid w:val="000213F8"/>
    <w:rsid w:val="00021C35"/>
    <w:rsid w:val="00022059"/>
    <w:rsid w:val="00022420"/>
    <w:rsid w:val="00023495"/>
    <w:rsid w:val="00023DCD"/>
    <w:rsid w:val="0002435C"/>
    <w:rsid w:val="000243C0"/>
    <w:rsid w:val="00024E3A"/>
    <w:rsid w:val="00024E9E"/>
    <w:rsid w:val="0002502C"/>
    <w:rsid w:val="0002528A"/>
    <w:rsid w:val="00025381"/>
    <w:rsid w:val="000257BE"/>
    <w:rsid w:val="00025EC0"/>
    <w:rsid w:val="000266F0"/>
    <w:rsid w:val="000268B9"/>
    <w:rsid w:val="00026BF1"/>
    <w:rsid w:val="00026F82"/>
    <w:rsid w:val="00026FC1"/>
    <w:rsid w:val="00027336"/>
    <w:rsid w:val="00027721"/>
    <w:rsid w:val="00027A03"/>
    <w:rsid w:val="00027AF5"/>
    <w:rsid w:val="00030347"/>
    <w:rsid w:val="00030475"/>
    <w:rsid w:val="00030B70"/>
    <w:rsid w:val="00030C20"/>
    <w:rsid w:val="00031133"/>
    <w:rsid w:val="000312FA"/>
    <w:rsid w:val="00031831"/>
    <w:rsid w:val="000321FD"/>
    <w:rsid w:val="00032442"/>
    <w:rsid w:val="00032918"/>
    <w:rsid w:val="00032C33"/>
    <w:rsid w:val="00032E53"/>
    <w:rsid w:val="00032F18"/>
    <w:rsid w:val="0003300A"/>
    <w:rsid w:val="000330F4"/>
    <w:rsid w:val="00033175"/>
    <w:rsid w:val="00033A4D"/>
    <w:rsid w:val="00033EE4"/>
    <w:rsid w:val="0003402B"/>
    <w:rsid w:val="000340C1"/>
    <w:rsid w:val="0003411C"/>
    <w:rsid w:val="00034309"/>
    <w:rsid w:val="000343BC"/>
    <w:rsid w:val="00034832"/>
    <w:rsid w:val="00034ECF"/>
    <w:rsid w:val="00035061"/>
    <w:rsid w:val="00035162"/>
    <w:rsid w:val="00035661"/>
    <w:rsid w:val="0003584E"/>
    <w:rsid w:val="00035A9B"/>
    <w:rsid w:val="00035F8C"/>
    <w:rsid w:val="00036B1F"/>
    <w:rsid w:val="00036D7F"/>
    <w:rsid w:val="00037046"/>
    <w:rsid w:val="00037E8B"/>
    <w:rsid w:val="000405B5"/>
    <w:rsid w:val="0004128E"/>
    <w:rsid w:val="0004177D"/>
    <w:rsid w:val="00041CC3"/>
    <w:rsid w:val="00041F31"/>
    <w:rsid w:val="000424CF"/>
    <w:rsid w:val="0004289B"/>
    <w:rsid w:val="00042A6B"/>
    <w:rsid w:val="00042A8A"/>
    <w:rsid w:val="00042C57"/>
    <w:rsid w:val="00042D1F"/>
    <w:rsid w:val="0004304C"/>
    <w:rsid w:val="0004377F"/>
    <w:rsid w:val="00043882"/>
    <w:rsid w:val="00043D57"/>
    <w:rsid w:val="00043E76"/>
    <w:rsid w:val="00043EF8"/>
    <w:rsid w:val="000442A0"/>
    <w:rsid w:val="00044731"/>
    <w:rsid w:val="00044A8D"/>
    <w:rsid w:val="00044AA7"/>
    <w:rsid w:val="00044CF1"/>
    <w:rsid w:val="00044F70"/>
    <w:rsid w:val="00045323"/>
    <w:rsid w:val="00045613"/>
    <w:rsid w:val="000457BD"/>
    <w:rsid w:val="00045BE0"/>
    <w:rsid w:val="000460CA"/>
    <w:rsid w:val="00046161"/>
    <w:rsid w:val="00046222"/>
    <w:rsid w:val="00046978"/>
    <w:rsid w:val="0004725F"/>
    <w:rsid w:val="000475B4"/>
    <w:rsid w:val="00050131"/>
    <w:rsid w:val="00050292"/>
    <w:rsid w:val="00050534"/>
    <w:rsid w:val="00050898"/>
    <w:rsid w:val="000509D2"/>
    <w:rsid w:val="00050FC2"/>
    <w:rsid w:val="00051484"/>
    <w:rsid w:val="00051662"/>
    <w:rsid w:val="000516E4"/>
    <w:rsid w:val="000520AA"/>
    <w:rsid w:val="000521AB"/>
    <w:rsid w:val="0005229E"/>
    <w:rsid w:val="00052321"/>
    <w:rsid w:val="00052406"/>
    <w:rsid w:val="000532ED"/>
    <w:rsid w:val="00053541"/>
    <w:rsid w:val="000537F7"/>
    <w:rsid w:val="00053E21"/>
    <w:rsid w:val="000540C9"/>
    <w:rsid w:val="00054292"/>
    <w:rsid w:val="00054B1D"/>
    <w:rsid w:val="00054C71"/>
    <w:rsid w:val="00054F87"/>
    <w:rsid w:val="00055003"/>
    <w:rsid w:val="00055261"/>
    <w:rsid w:val="0005543E"/>
    <w:rsid w:val="000555A4"/>
    <w:rsid w:val="0005578F"/>
    <w:rsid w:val="00055CF1"/>
    <w:rsid w:val="00055D03"/>
    <w:rsid w:val="00056413"/>
    <w:rsid w:val="00056870"/>
    <w:rsid w:val="00056B43"/>
    <w:rsid w:val="00056D71"/>
    <w:rsid w:val="00057E0F"/>
    <w:rsid w:val="00057EC7"/>
    <w:rsid w:val="00057FB5"/>
    <w:rsid w:val="000606B4"/>
    <w:rsid w:val="00060B47"/>
    <w:rsid w:val="00061428"/>
    <w:rsid w:val="000615D8"/>
    <w:rsid w:val="000615DD"/>
    <w:rsid w:val="000616B0"/>
    <w:rsid w:val="000617E7"/>
    <w:rsid w:val="00061A55"/>
    <w:rsid w:val="00061D0E"/>
    <w:rsid w:val="00061E01"/>
    <w:rsid w:val="00061F1B"/>
    <w:rsid w:val="00061F4C"/>
    <w:rsid w:val="000627E8"/>
    <w:rsid w:val="00062A27"/>
    <w:rsid w:val="00062C11"/>
    <w:rsid w:val="000632BD"/>
    <w:rsid w:val="0006385D"/>
    <w:rsid w:val="00063A7C"/>
    <w:rsid w:val="00063E73"/>
    <w:rsid w:val="00063FA1"/>
    <w:rsid w:val="00064758"/>
    <w:rsid w:val="00064BA6"/>
    <w:rsid w:val="0006555F"/>
    <w:rsid w:val="000662DD"/>
    <w:rsid w:val="000663CB"/>
    <w:rsid w:val="00066F8D"/>
    <w:rsid w:val="00067243"/>
    <w:rsid w:val="000673F0"/>
    <w:rsid w:val="00067CDE"/>
    <w:rsid w:val="00067FDF"/>
    <w:rsid w:val="0007002F"/>
    <w:rsid w:val="000700CA"/>
    <w:rsid w:val="0007014D"/>
    <w:rsid w:val="0007031B"/>
    <w:rsid w:val="0007051A"/>
    <w:rsid w:val="000707E2"/>
    <w:rsid w:val="00071087"/>
    <w:rsid w:val="000713E9"/>
    <w:rsid w:val="000715D9"/>
    <w:rsid w:val="00071871"/>
    <w:rsid w:val="00071A2B"/>
    <w:rsid w:val="00071A63"/>
    <w:rsid w:val="00071AAD"/>
    <w:rsid w:val="00071D1D"/>
    <w:rsid w:val="00071DC1"/>
    <w:rsid w:val="00071DCA"/>
    <w:rsid w:val="00071E3F"/>
    <w:rsid w:val="000721BC"/>
    <w:rsid w:val="000721FE"/>
    <w:rsid w:val="0007285C"/>
    <w:rsid w:val="00072A02"/>
    <w:rsid w:val="00072FBF"/>
    <w:rsid w:val="000739AB"/>
    <w:rsid w:val="00073D8F"/>
    <w:rsid w:val="00074413"/>
    <w:rsid w:val="0007443A"/>
    <w:rsid w:val="00074C79"/>
    <w:rsid w:val="00074D47"/>
    <w:rsid w:val="00075A98"/>
    <w:rsid w:val="0007600D"/>
    <w:rsid w:val="000763D5"/>
    <w:rsid w:val="00076621"/>
    <w:rsid w:val="0007670B"/>
    <w:rsid w:val="00076AFA"/>
    <w:rsid w:val="000773D7"/>
    <w:rsid w:val="00077A4F"/>
    <w:rsid w:val="0008009C"/>
    <w:rsid w:val="00080200"/>
    <w:rsid w:val="00080332"/>
    <w:rsid w:val="00080351"/>
    <w:rsid w:val="00080768"/>
    <w:rsid w:val="00080AC1"/>
    <w:rsid w:val="000816E6"/>
    <w:rsid w:val="000818CD"/>
    <w:rsid w:val="00081A7A"/>
    <w:rsid w:val="00081CC0"/>
    <w:rsid w:val="00081CC7"/>
    <w:rsid w:val="00081EAE"/>
    <w:rsid w:val="000820A6"/>
    <w:rsid w:val="000823AD"/>
    <w:rsid w:val="00082817"/>
    <w:rsid w:val="00082C71"/>
    <w:rsid w:val="000831F9"/>
    <w:rsid w:val="000836F5"/>
    <w:rsid w:val="0008395A"/>
    <w:rsid w:val="0008408F"/>
    <w:rsid w:val="00084F46"/>
    <w:rsid w:val="0008505B"/>
    <w:rsid w:val="00085069"/>
    <w:rsid w:val="000854F3"/>
    <w:rsid w:val="00085B88"/>
    <w:rsid w:val="00085E02"/>
    <w:rsid w:val="000862EE"/>
    <w:rsid w:val="0008642C"/>
    <w:rsid w:val="00086951"/>
    <w:rsid w:val="00087203"/>
    <w:rsid w:val="0008779A"/>
    <w:rsid w:val="000877FE"/>
    <w:rsid w:val="00087882"/>
    <w:rsid w:val="00087E0C"/>
    <w:rsid w:val="000901AD"/>
    <w:rsid w:val="00090314"/>
    <w:rsid w:val="00090616"/>
    <w:rsid w:val="00090C46"/>
    <w:rsid w:val="0009115C"/>
    <w:rsid w:val="000914C2"/>
    <w:rsid w:val="00091C9C"/>
    <w:rsid w:val="00091D07"/>
    <w:rsid w:val="00091EBE"/>
    <w:rsid w:val="000921F6"/>
    <w:rsid w:val="000923D4"/>
    <w:rsid w:val="0009257A"/>
    <w:rsid w:val="00092AEB"/>
    <w:rsid w:val="00092AF4"/>
    <w:rsid w:val="00092F4D"/>
    <w:rsid w:val="000932CA"/>
    <w:rsid w:val="00093956"/>
    <w:rsid w:val="00093A97"/>
    <w:rsid w:val="00094356"/>
    <w:rsid w:val="000945E0"/>
    <w:rsid w:val="00094799"/>
    <w:rsid w:val="0009538E"/>
    <w:rsid w:val="00095A1A"/>
    <w:rsid w:val="00096045"/>
    <w:rsid w:val="00096300"/>
    <w:rsid w:val="00096350"/>
    <w:rsid w:val="00096463"/>
    <w:rsid w:val="0009668B"/>
    <w:rsid w:val="00096710"/>
    <w:rsid w:val="0009693C"/>
    <w:rsid w:val="0009695D"/>
    <w:rsid w:val="00096B66"/>
    <w:rsid w:val="00096B99"/>
    <w:rsid w:val="00096C26"/>
    <w:rsid w:val="00096C5D"/>
    <w:rsid w:val="00097094"/>
    <w:rsid w:val="000970CA"/>
    <w:rsid w:val="000972DD"/>
    <w:rsid w:val="000973C8"/>
    <w:rsid w:val="000977E6"/>
    <w:rsid w:val="000977EC"/>
    <w:rsid w:val="000978EC"/>
    <w:rsid w:val="00097940"/>
    <w:rsid w:val="000A0395"/>
    <w:rsid w:val="000A05CC"/>
    <w:rsid w:val="000A065A"/>
    <w:rsid w:val="000A06B8"/>
    <w:rsid w:val="000A099C"/>
    <w:rsid w:val="000A09F8"/>
    <w:rsid w:val="000A0A37"/>
    <w:rsid w:val="000A0F16"/>
    <w:rsid w:val="000A11DB"/>
    <w:rsid w:val="000A157F"/>
    <w:rsid w:val="000A1A4D"/>
    <w:rsid w:val="000A1D55"/>
    <w:rsid w:val="000A1FEF"/>
    <w:rsid w:val="000A2457"/>
    <w:rsid w:val="000A251F"/>
    <w:rsid w:val="000A252C"/>
    <w:rsid w:val="000A26E6"/>
    <w:rsid w:val="000A27A6"/>
    <w:rsid w:val="000A28A6"/>
    <w:rsid w:val="000A2926"/>
    <w:rsid w:val="000A29EF"/>
    <w:rsid w:val="000A2A83"/>
    <w:rsid w:val="000A2BA3"/>
    <w:rsid w:val="000A2EB5"/>
    <w:rsid w:val="000A31F8"/>
    <w:rsid w:val="000A3282"/>
    <w:rsid w:val="000A381A"/>
    <w:rsid w:val="000A3C89"/>
    <w:rsid w:val="000A3D30"/>
    <w:rsid w:val="000A3FB3"/>
    <w:rsid w:val="000A4336"/>
    <w:rsid w:val="000A4D45"/>
    <w:rsid w:val="000A4F0F"/>
    <w:rsid w:val="000A5223"/>
    <w:rsid w:val="000A533E"/>
    <w:rsid w:val="000A56BF"/>
    <w:rsid w:val="000A5B1C"/>
    <w:rsid w:val="000A6555"/>
    <w:rsid w:val="000A67D5"/>
    <w:rsid w:val="000A6E12"/>
    <w:rsid w:val="000A74B9"/>
    <w:rsid w:val="000A7514"/>
    <w:rsid w:val="000A77CE"/>
    <w:rsid w:val="000B0A13"/>
    <w:rsid w:val="000B12B6"/>
    <w:rsid w:val="000B131D"/>
    <w:rsid w:val="000B1B52"/>
    <w:rsid w:val="000B1F19"/>
    <w:rsid w:val="000B2113"/>
    <w:rsid w:val="000B26EE"/>
    <w:rsid w:val="000B26FF"/>
    <w:rsid w:val="000B2D65"/>
    <w:rsid w:val="000B416F"/>
    <w:rsid w:val="000B4A84"/>
    <w:rsid w:val="000B4E09"/>
    <w:rsid w:val="000B55FA"/>
    <w:rsid w:val="000B5F1D"/>
    <w:rsid w:val="000B6163"/>
    <w:rsid w:val="000B618F"/>
    <w:rsid w:val="000B6306"/>
    <w:rsid w:val="000B64ED"/>
    <w:rsid w:val="000B685D"/>
    <w:rsid w:val="000B6C35"/>
    <w:rsid w:val="000B6D7E"/>
    <w:rsid w:val="000B6F8F"/>
    <w:rsid w:val="000B76EB"/>
    <w:rsid w:val="000C030D"/>
    <w:rsid w:val="000C0718"/>
    <w:rsid w:val="000C0BA4"/>
    <w:rsid w:val="000C151A"/>
    <w:rsid w:val="000C1528"/>
    <w:rsid w:val="000C1672"/>
    <w:rsid w:val="000C16AF"/>
    <w:rsid w:val="000C1D33"/>
    <w:rsid w:val="000C2550"/>
    <w:rsid w:val="000C2555"/>
    <w:rsid w:val="000C25A4"/>
    <w:rsid w:val="000C2C54"/>
    <w:rsid w:val="000C37D1"/>
    <w:rsid w:val="000C3BFD"/>
    <w:rsid w:val="000C4791"/>
    <w:rsid w:val="000C48BB"/>
    <w:rsid w:val="000C4AB1"/>
    <w:rsid w:val="000C4ADD"/>
    <w:rsid w:val="000C4D22"/>
    <w:rsid w:val="000C51D9"/>
    <w:rsid w:val="000C55DF"/>
    <w:rsid w:val="000C58E4"/>
    <w:rsid w:val="000C6137"/>
    <w:rsid w:val="000C62B1"/>
    <w:rsid w:val="000C63FD"/>
    <w:rsid w:val="000C65E0"/>
    <w:rsid w:val="000C6718"/>
    <w:rsid w:val="000C6904"/>
    <w:rsid w:val="000C6A98"/>
    <w:rsid w:val="000C6C85"/>
    <w:rsid w:val="000C7C32"/>
    <w:rsid w:val="000C7DED"/>
    <w:rsid w:val="000D0729"/>
    <w:rsid w:val="000D0BBB"/>
    <w:rsid w:val="000D1408"/>
    <w:rsid w:val="000D150C"/>
    <w:rsid w:val="000D1559"/>
    <w:rsid w:val="000D17B1"/>
    <w:rsid w:val="000D1A82"/>
    <w:rsid w:val="000D1DC9"/>
    <w:rsid w:val="000D1F01"/>
    <w:rsid w:val="000D21E1"/>
    <w:rsid w:val="000D2691"/>
    <w:rsid w:val="000D2DB3"/>
    <w:rsid w:val="000D3035"/>
    <w:rsid w:val="000D3886"/>
    <w:rsid w:val="000D4036"/>
    <w:rsid w:val="000D436D"/>
    <w:rsid w:val="000D46A3"/>
    <w:rsid w:val="000D46A9"/>
    <w:rsid w:val="000D509D"/>
    <w:rsid w:val="000D5154"/>
    <w:rsid w:val="000D5891"/>
    <w:rsid w:val="000D5A85"/>
    <w:rsid w:val="000D61F2"/>
    <w:rsid w:val="000D6615"/>
    <w:rsid w:val="000D6952"/>
    <w:rsid w:val="000D70C3"/>
    <w:rsid w:val="000D72E3"/>
    <w:rsid w:val="000D745B"/>
    <w:rsid w:val="000D7629"/>
    <w:rsid w:val="000D7680"/>
    <w:rsid w:val="000D76A8"/>
    <w:rsid w:val="000D7A3D"/>
    <w:rsid w:val="000D7EB7"/>
    <w:rsid w:val="000D7FAF"/>
    <w:rsid w:val="000E0138"/>
    <w:rsid w:val="000E01F2"/>
    <w:rsid w:val="000E0246"/>
    <w:rsid w:val="000E02C7"/>
    <w:rsid w:val="000E0698"/>
    <w:rsid w:val="000E0822"/>
    <w:rsid w:val="000E0D28"/>
    <w:rsid w:val="000E0F06"/>
    <w:rsid w:val="000E1162"/>
    <w:rsid w:val="000E11C0"/>
    <w:rsid w:val="000E12A6"/>
    <w:rsid w:val="000E188E"/>
    <w:rsid w:val="000E1A40"/>
    <w:rsid w:val="000E1A7C"/>
    <w:rsid w:val="000E1E68"/>
    <w:rsid w:val="000E2B68"/>
    <w:rsid w:val="000E2F7D"/>
    <w:rsid w:val="000E30EB"/>
    <w:rsid w:val="000E312A"/>
    <w:rsid w:val="000E36F2"/>
    <w:rsid w:val="000E393B"/>
    <w:rsid w:val="000E43CB"/>
    <w:rsid w:val="000E4768"/>
    <w:rsid w:val="000E47AC"/>
    <w:rsid w:val="000E49BB"/>
    <w:rsid w:val="000E49C7"/>
    <w:rsid w:val="000E4F08"/>
    <w:rsid w:val="000E4FCF"/>
    <w:rsid w:val="000E696E"/>
    <w:rsid w:val="000E713C"/>
    <w:rsid w:val="000E71AD"/>
    <w:rsid w:val="000E72E0"/>
    <w:rsid w:val="000E72EB"/>
    <w:rsid w:val="000E767D"/>
    <w:rsid w:val="000E76BD"/>
    <w:rsid w:val="000E78AF"/>
    <w:rsid w:val="000E7ADF"/>
    <w:rsid w:val="000E7AE0"/>
    <w:rsid w:val="000E7C23"/>
    <w:rsid w:val="000F0C70"/>
    <w:rsid w:val="000F1837"/>
    <w:rsid w:val="000F1B5B"/>
    <w:rsid w:val="000F1C56"/>
    <w:rsid w:val="000F1CF9"/>
    <w:rsid w:val="000F1D66"/>
    <w:rsid w:val="000F23BA"/>
    <w:rsid w:val="000F23DE"/>
    <w:rsid w:val="000F293E"/>
    <w:rsid w:val="000F2AFA"/>
    <w:rsid w:val="000F2CA7"/>
    <w:rsid w:val="000F3014"/>
    <w:rsid w:val="000F32D4"/>
    <w:rsid w:val="000F3367"/>
    <w:rsid w:val="000F3EC6"/>
    <w:rsid w:val="000F45FC"/>
    <w:rsid w:val="000F4C78"/>
    <w:rsid w:val="000F4CE8"/>
    <w:rsid w:val="000F4E43"/>
    <w:rsid w:val="000F52DC"/>
    <w:rsid w:val="000F65BF"/>
    <w:rsid w:val="000F6870"/>
    <w:rsid w:val="000F71EB"/>
    <w:rsid w:val="000F7438"/>
    <w:rsid w:val="000F74C6"/>
    <w:rsid w:val="000F74C8"/>
    <w:rsid w:val="000F756A"/>
    <w:rsid w:val="000F7A7C"/>
    <w:rsid w:val="000F7EEE"/>
    <w:rsid w:val="001000AB"/>
    <w:rsid w:val="001003F8"/>
    <w:rsid w:val="001004A3"/>
    <w:rsid w:val="00100C60"/>
    <w:rsid w:val="00100CBD"/>
    <w:rsid w:val="00100D40"/>
    <w:rsid w:val="00100F92"/>
    <w:rsid w:val="00101550"/>
    <w:rsid w:val="00101946"/>
    <w:rsid w:val="00101B4B"/>
    <w:rsid w:val="00101F81"/>
    <w:rsid w:val="00102236"/>
    <w:rsid w:val="00102301"/>
    <w:rsid w:val="001023C9"/>
    <w:rsid w:val="001026FB"/>
    <w:rsid w:val="0010276D"/>
    <w:rsid w:val="00103757"/>
    <w:rsid w:val="00103C81"/>
    <w:rsid w:val="00103D9C"/>
    <w:rsid w:val="00104341"/>
    <w:rsid w:val="00104382"/>
    <w:rsid w:val="00104745"/>
    <w:rsid w:val="001048CD"/>
    <w:rsid w:val="0010493F"/>
    <w:rsid w:val="00104C92"/>
    <w:rsid w:val="00105438"/>
    <w:rsid w:val="001056DE"/>
    <w:rsid w:val="0010571C"/>
    <w:rsid w:val="001058A3"/>
    <w:rsid w:val="0010633C"/>
    <w:rsid w:val="0010649F"/>
    <w:rsid w:val="00106855"/>
    <w:rsid w:val="001076F2"/>
    <w:rsid w:val="00107794"/>
    <w:rsid w:val="00107928"/>
    <w:rsid w:val="00110016"/>
    <w:rsid w:val="00110616"/>
    <w:rsid w:val="0011067E"/>
    <w:rsid w:val="00111286"/>
    <w:rsid w:val="00111456"/>
    <w:rsid w:val="00111531"/>
    <w:rsid w:val="00111600"/>
    <w:rsid w:val="001116FC"/>
    <w:rsid w:val="001118DB"/>
    <w:rsid w:val="00111DBF"/>
    <w:rsid w:val="00111F95"/>
    <w:rsid w:val="00111FC1"/>
    <w:rsid w:val="001121B7"/>
    <w:rsid w:val="00112226"/>
    <w:rsid w:val="0011226E"/>
    <w:rsid w:val="0011227A"/>
    <w:rsid w:val="00112663"/>
    <w:rsid w:val="0011283E"/>
    <w:rsid w:val="001129D2"/>
    <w:rsid w:val="00112D96"/>
    <w:rsid w:val="00113147"/>
    <w:rsid w:val="00113366"/>
    <w:rsid w:val="00113431"/>
    <w:rsid w:val="0011378C"/>
    <w:rsid w:val="001138C0"/>
    <w:rsid w:val="00114B07"/>
    <w:rsid w:val="00114B78"/>
    <w:rsid w:val="00114CC8"/>
    <w:rsid w:val="001150D6"/>
    <w:rsid w:val="00115198"/>
    <w:rsid w:val="00115224"/>
    <w:rsid w:val="001154E0"/>
    <w:rsid w:val="0011568E"/>
    <w:rsid w:val="001156BD"/>
    <w:rsid w:val="001156EF"/>
    <w:rsid w:val="00115716"/>
    <w:rsid w:val="00116824"/>
    <w:rsid w:val="00116C83"/>
    <w:rsid w:val="00116D28"/>
    <w:rsid w:val="00116DD8"/>
    <w:rsid w:val="001170C7"/>
    <w:rsid w:val="00117336"/>
    <w:rsid w:val="00117B9C"/>
    <w:rsid w:val="0012072C"/>
    <w:rsid w:val="00120894"/>
    <w:rsid w:val="00120AE5"/>
    <w:rsid w:val="00120E71"/>
    <w:rsid w:val="001216AD"/>
    <w:rsid w:val="00121A72"/>
    <w:rsid w:val="00121CC4"/>
    <w:rsid w:val="00121E7D"/>
    <w:rsid w:val="001220CF"/>
    <w:rsid w:val="00123302"/>
    <w:rsid w:val="00123428"/>
    <w:rsid w:val="00123594"/>
    <w:rsid w:val="00123742"/>
    <w:rsid w:val="00123EA6"/>
    <w:rsid w:val="00124309"/>
    <w:rsid w:val="001243C6"/>
    <w:rsid w:val="0012455C"/>
    <w:rsid w:val="001247DD"/>
    <w:rsid w:val="001249E1"/>
    <w:rsid w:val="00125456"/>
    <w:rsid w:val="0012567B"/>
    <w:rsid w:val="00125D94"/>
    <w:rsid w:val="00125FA2"/>
    <w:rsid w:val="00125FAC"/>
    <w:rsid w:val="00126070"/>
    <w:rsid w:val="00126508"/>
    <w:rsid w:val="00126627"/>
    <w:rsid w:val="00126B4B"/>
    <w:rsid w:val="00126C85"/>
    <w:rsid w:val="00126E17"/>
    <w:rsid w:val="00127619"/>
    <w:rsid w:val="00127AD8"/>
    <w:rsid w:val="00127BB8"/>
    <w:rsid w:val="00127DAF"/>
    <w:rsid w:val="001301BC"/>
    <w:rsid w:val="0013038B"/>
    <w:rsid w:val="0013054C"/>
    <w:rsid w:val="0013079C"/>
    <w:rsid w:val="00130A4A"/>
    <w:rsid w:val="00130E4B"/>
    <w:rsid w:val="0013122F"/>
    <w:rsid w:val="001314EC"/>
    <w:rsid w:val="001318FF"/>
    <w:rsid w:val="00131B2C"/>
    <w:rsid w:val="00131B4B"/>
    <w:rsid w:val="00131B9E"/>
    <w:rsid w:val="00131E90"/>
    <w:rsid w:val="00132020"/>
    <w:rsid w:val="00132149"/>
    <w:rsid w:val="00132260"/>
    <w:rsid w:val="00132524"/>
    <w:rsid w:val="001327E1"/>
    <w:rsid w:val="00132AE4"/>
    <w:rsid w:val="00132EB2"/>
    <w:rsid w:val="00133119"/>
    <w:rsid w:val="0013319A"/>
    <w:rsid w:val="001331E9"/>
    <w:rsid w:val="0013340C"/>
    <w:rsid w:val="001334C1"/>
    <w:rsid w:val="001334F9"/>
    <w:rsid w:val="0013354C"/>
    <w:rsid w:val="00133764"/>
    <w:rsid w:val="00133792"/>
    <w:rsid w:val="00133BF8"/>
    <w:rsid w:val="00133FE2"/>
    <w:rsid w:val="00134665"/>
    <w:rsid w:val="001346A3"/>
    <w:rsid w:val="00134803"/>
    <w:rsid w:val="001349B1"/>
    <w:rsid w:val="00134BD9"/>
    <w:rsid w:val="0013518B"/>
    <w:rsid w:val="001351E5"/>
    <w:rsid w:val="00135458"/>
    <w:rsid w:val="0013545C"/>
    <w:rsid w:val="001356AC"/>
    <w:rsid w:val="001356AD"/>
    <w:rsid w:val="00135738"/>
    <w:rsid w:val="001357FC"/>
    <w:rsid w:val="00135C31"/>
    <w:rsid w:val="00135CF4"/>
    <w:rsid w:val="00135ED1"/>
    <w:rsid w:val="001367FB"/>
    <w:rsid w:val="00136879"/>
    <w:rsid w:val="001368FF"/>
    <w:rsid w:val="00137041"/>
    <w:rsid w:val="0013724C"/>
    <w:rsid w:val="001373F7"/>
    <w:rsid w:val="00137402"/>
    <w:rsid w:val="0013775D"/>
    <w:rsid w:val="00137884"/>
    <w:rsid w:val="001378B3"/>
    <w:rsid w:val="00137992"/>
    <w:rsid w:val="00137B93"/>
    <w:rsid w:val="00137D48"/>
    <w:rsid w:val="00137D7D"/>
    <w:rsid w:val="00137E15"/>
    <w:rsid w:val="00137F91"/>
    <w:rsid w:val="00140AD0"/>
    <w:rsid w:val="00140DD0"/>
    <w:rsid w:val="00140E33"/>
    <w:rsid w:val="00140E5E"/>
    <w:rsid w:val="00141CDB"/>
    <w:rsid w:val="00141E4C"/>
    <w:rsid w:val="00141F6B"/>
    <w:rsid w:val="001420A1"/>
    <w:rsid w:val="0014217C"/>
    <w:rsid w:val="0014262D"/>
    <w:rsid w:val="001426E1"/>
    <w:rsid w:val="001427E6"/>
    <w:rsid w:val="00142963"/>
    <w:rsid w:val="00142998"/>
    <w:rsid w:val="00142E26"/>
    <w:rsid w:val="001433AB"/>
    <w:rsid w:val="00143E23"/>
    <w:rsid w:val="00143F07"/>
    <w:rsid w:val="00143FB3"/>
    <w:rsid w:val="0014405B"/>
    <w:rsid w:val="001441E8"/>
    <w:rsid w:val="00144455"/>
    <w:rsid w:val="001444F9"/>
    <w:rsid w:val="00144652"/>
    <w:rsid w:val="0014489D"/>
    <w:rsid w:val="00144992"/>
    <w:rsid w:val="00144A87"/>
    <w:rsid w:val="00144F22"/>
    <w:rsid w:val="0014557A"/>
    <w:rsid w:val="00145BF5"/>
    <w:rsid w:val="00145EC2"/>
    <w:rsid w:val="001462D9"/>
    <w:rsid w:val="00146688"/>
    <w:rsid w:val="00146AD2"/>
    <w:rsid w:val="00146C17"/>
    <w:rsid w:val="00146CC6"/>
    <w:rsid w:val="00146CDD"/>
    <w:rsid w:val="00146DDD"/>
    <w:rsid w:val="00147559"/>
    <w:rsid w:val="001477BA"/>
    <w:rsid w:val="00147A82"/>
    <w:rsid w:val="00147ACD"/>
    <w:rsid w:val="001501E4"/>
    <w:rsid w:val="0015137E"/>
    <w:rsid w:val="001514AA"/>
    <w:rsid w:val="001515A1"/>
    <w:rsid w:val="00151848"/>
    <w:rsid w:val="0015186F"/>
    <w:rsid w:val="001518C9"/>
    <w:rsid w:val="00151B29"/>
    <w:rsid w:val="001528EA"/>
    <w:rsid w:val="001529B6"/>
    <w:rsid w:val="00152C6F"/>
    <w:rsid w:val="0015310B"/>
    <w:rsid w:val="00153285"/>
    <w:rsid w:val="00153543"/>
    <w:rsid w:val="001538D4"/>
    <w:rsid w:val="00153930"/>
    <w:rsid w:val="00153963"/>
    <w:rsid w:val="00153A3C"/>
    <w:rsid w:val="00154318"/>
    <w:rsid w:val="00154A36"/>
    <w:rsid w:val="00154B59"/>
    <w:rsid w:val="00154F4E"/>
    <w:rsid w:val="00155085"/>
    <w:rsid w:val="0015524C"/>
    <w:rsid w:val="00155AC9"/>
    <w:rsid w:val="00155BB9"/>
    <w:rsid w:val="00155D13"/>
    <w:rsid w:val="00155EB2"/>
    <w:rsid w:val="00156102"/>
    <w:rsid w:val="001567D0"/>
    <w:rsid w:val="00156DAF"/>
    <w:rsid w:val="00157123"/>
    <w:rsid w:val="0015725B"/>
    <w:rsid w:val="00157546"/>
    <w:rsid w:val="001601EC"/>
    <w:rsid w:val="00160385"/>
    <w:rsid w:val="001609E8"/>
    <w:rsid w:val="00160B8C"/>
    <w:rsid w:val="00160FF6"/>
    <w:rsid w:val="0016137B"/>
    <w:rsid w:val="001614B1"/>
    <w:rsid w:val="001619BB"/>
    <w:rsid w:val="00161A15"/>
    <w:rsid w:val="00161A9F"/>
    <w:rsid w:val="00162304"/>
    <w:rsid w:val="00162850"/>
    <w:rsid w:val="00162D5C"/>
    <w:rsid w:val="00162E5B"/>
    <w:rsid w:val="00163346"/>
    <w:rsid w:val="001634CF"/>
    <w:rsid w:val="0016354B"/>
    <w:rsid w:val="00163D14"/>
    <w:rsid w:val="00163DB7"/>
    <w:rsid w:val="00163F76"/>
    <w:rsid w:val="0016427D"/>
    <w:rsid w:val="001647D2"/>
    <w:rsid w:val="0016557C"/>
    <w:rsid w:val="001659AC"/>
    <w:rsid w:val="00165AA6"/>
    <w:rsid w:val="00165CDC"/>
    <w:rsid w:val="00165F16"/>
    <w:rsid w:val="00166333"/>
    <w:rsid w:val="00166709"/>
    <w:rsid w:val="001668A4"/>
    <w:rsid w:val="00166971"/>
    <w:rsid w:val="00166A2D"/>
    <w:rsid w:val="00166E8E"/>
    <w:rsid w:val="001670AB"/>
    <w:rsid w:val="001670B5"/>
    <w:rsid w:val="001677C1"/>
    <w:rsid w:val="00167DFB"/>
    <w:rsid w:val="00167E9F"/>
    <w:rsid w:val="001701F4"/>
    <w:rsid w:val="0017035E"/>
    <w:rsid w:val="00170448"/>
    <w:rsid w:val="00170480"/>
    <w:rsid w:val="00170848"/>
    <w:rsid w:val="001708B1"/>
    <w:rsid w:val="0017094B"/>
    <w:rsid w:val="00170AAF"/>
    <w:rsid w:val="00171387"/>
    <w:rsid w:val="001719E1"/>
    <w:rsid w:val="00171BD6"/>
    <w:rsid w:val="00171FA2"/>
    <w:rsid w:val="0017234C"/>
    <w:rsid w:val="00172792"/>
    <w:rsid w:val="00172A5E"/>
    <w:rsid w:val="00172C05"/>
    <w:rsid w:val="00172DE9"/>
    <w:rsid w:val="00172F4B"/>
    <w:rsid w:val="00173257"/>
    <w:rsid w:val="0017327F"/>
    <w:rsid w:val="00173369"/>
    <w:rsid w:val="00173447"/>
    <w:rsid w:val="001734AF"/>
    <w:rsid w:val="00173835"/>
    <w:rsid w:val="001742AC"/>
    <w:rsid w:val="00174646"/>
    <w:rsid w:val="001746BA"/>
    <w:rsid w:val="001748DA"/>
    <w:rsid w:val="00174908"/>
    <w:rsid w:val="00174D34"/>
    <w:rsid w:val="00175074"/>
    <w:rsid w:val="00175077"/>
    <w:rsid w:val="00175343"/>
    <w:rsid w:val="001753B3"/>
    <w:rsid w:val="0017543F"/>
    <w:rsid w:val="0017544B"/>
    <w:rsid w:val="00175539"/>
    <w:rsid w:val="00175F63"/>
    <w:rsid w:val="00176170"/>
    <w:rsid w:val="001762D4"/>
    <w:rsid w:val="00176458"/>
    <w:rsid w:val="001766C4"/>
    <w:rsid w:val="00176A62"/>
    <w:rsid w:val="00176E58"/>
    <w:rsid w:val="00176E92"/>
    <w:rsid w:val="00176F37"/>
    <w:rsid w:val="00177090"/>
    <w:rsid w:val="00177179"/>
    <w:rsid w:val="0017733F"/>
    <w:rsid w:val="001774F7"/>
    <w:rsid w:val="001775DD"/>
    <w:rsid w:val="001778F0"/>
    <w:rsid w:val="00177E97"/>
    <w:rsid w:val="00177FA9"/>
    <w:rsid w:val="001804B3"/>
    <w:rsid w:val="00180550"/>
    <w:rsid w:val="00180B2C"/>
    <w:rsid w:val="00180BEF"/>
    <w:rsid w:val="00180C06"/>
    <w:rsid w:val="0018110B"/>
    <w:rsid w:val="0018132C"/>
    <w:rsid w:val="001813D0"/>
    <w:rsid w:val="0018178A"/>
    <w:rsid w:val="00181AE0"/>
    <w:rsid w:val="00181CCD"/>
    <w:rsid w:val="00181D33"/>
    <w:rsid w:val="00181F88"/>
    <w:rsid w:val="001821A1"/>
    <w:rsid w:val="001821B2"/>
    <w:rsid w:val="00182641"/>
    <w:rsid w:val="00182645"/>
    <w:rsid w:val="00182BF4"/>
    <w:rsid w:val="00182FCB"/>
    <w:rsid w:val="001832E2"/>
    <w:rsid w:val="0018335E"/>
    <w:rsid w:val="001836C0"/>
    <w:rsid w:val="00183782"/>
    <w:rsid w:val="0018379E"/>
    <w:rsid w:val="00183E15"/>
    <w:rsid w:val="00184258"/>
    <w:rsid w:val="00184469"/>
    <w:rsid w:val="00184BB2"/>
    <w:rsid w:val="00185C05"/>
    <w:rsid w:val="00185C72"/>
    <w:rsid w:val="00185CE7"/>
    <w:rsid w:val="0018635D"/>
    <w:rsid w:val="001865FA"/>
    <w:rsid w:val="00186B50"/>
    <w:rsid w:val="00186BCB"/>
    <w:rsid w:val="001872D1"/>
    <w:rsid w:val="001878D1"/>
    <w:rsid w:val="001879BB"/>
    <w:rsid w:val="00187A77"/>
    <w:rsid w:val="00187AE9"/>
    <w:rsid w:val="00187D9C"/>
    <w:rsid w:val="00190528"/>
    <w:rsid w:val="00190555"/>
    <w:rsid w:val="0019065B"/>
    <w:rsid w:val="001908F2"/>
    <w:rsid w:val="00190E3B"/>
    <w:rsid w:val="00190E98"/>
    <w:rsid w:val="00190EDC"/>
    <w:rsid w:val="00191362"/>
    <w:rsid w:val="0019145D"/>
    <w:rsid w:val="0019148B"/>
    <w:rsid w:val="001915DE"/>
    <w:rsid w:val="00191C1E"/>
    <w:rsid w:val="0019292B"/>
    <w:rsid w:val="00192E0C"/>
    <w:rsid w:val="0019345B"/>
    <w:rsid w:val="00193990"/>
    <w:rsid w:val="00193B62"/>
    <w:rsid w:val="001942A1"/>
    <w:rsid w:val="0019443E"/>
    <w:rsid w:val="001945E9"/>
    <w:rsid w:val="00194986"/>
    <w:rsid w:val="00194AF1"/>
    <w:rsid w:val="00194AF3"/>
    <w:rsid w:val="00194DF3"/>
    <w:rsid w:val="00195055"/>
    <w:rsid w:val="00195491"/>
    <w:rsid w:val="001959AE"/>
    <w:rsid w:val="00195C0B"/>
    <w:rsid w:val="001963C5"/>
    <w:rsid w:val="001963F6"/>
    <w:rsid w:val="001964C9"/>
    <w:rsid w:val="001965AD"/>
    <w:rsid w:val="0019694D"/>
    <w:rsid w:val="00196A1A"/>
    <w:rsid w:val="00196B8B"/>
    <w:rsid w:val="00196CC3"/>
    <w:rsid w:val="00197045"/>
    <w:rsid w:val="0019722D"/>
    <w:rsid w:val="0019770F"/>
    <w:rsid w:val="00197A80"/>
    <w:rsid w:val="00197B0E"/>
    <w:rsid w:val="00197CAB"/>
    <w:rsid w:val="001A0064"/>
    <w:rsid w:val="001A01E1"/>
    <w:rsid w:val="001A057E"/>
    <w:rsid w:val="001A05C6"/>
    <w:rsid w:val="001A0671"/>
    <w:rsid w:val="001A0A34"/>
    <w:rsid w:val="001A0D3F"/>
    <w:rsid w:val="001A12EE"/>
    <w:rsid w:val="001A14A2"/>
    <w:rsid w:val="001A1BA4"/>
    <w:rsid w:val="001A1C52"/>
    <w:rsid w:val="001A26F6"/>
    <w:rsid w:val="001A2F09"/>
    <w:rsid w:val="001A30B8"/>
    <w:rsid w:val="001A3635"/>
    <w:rsid w:val="001A39A3"/>
    <w:rsid w:val="001A3BAD"/>
    <w:rsid w:val="001A3BE7"/>
    <w:rsid w:val="001A3D72"/>
    <w:rsid w:val="001A3EF6"/>
    <w:rsid w:val="001A3F4B"/>
    <w:rsid w:val="001A4189"/>
    <w:rsid w:val="001A45EE"/>
    <w:rsid w:val="001A4B24"/>
    <w:rsid w:val="001A4F5D"/>
    <w:rsid w:val="001A5725"/>
    <w:rsid w:val="001A5A33"/>
    <w:rsid w:val="001A5CF0"/>
    <w:rsid w:val="001A5D06"/>
    <w:rsid w:val="001A5E94"/>
    <w:rsid w:val="001A600F"/>
    <w:rsid w:val="001A6179"/>
    <w:rsid w:val="001A623D"/>
    <w:rsid w:val="001A6460"/>
    <w:rsid w:val="001A6B2E"/>
    <w:rsid w:val="001A7072"/>
    <w:rsid w:val="001A749C"/>
    <w:rsid w:val="001A74FC"/>
    <w:rsid w:val="001A7541"/>
    <w:rsid w:val="001A79BC"/>
    <w:rsid w:val="001B0674"/>
    <w:rsid w:val="001B0785"/>
    <w:rsid w:val="001B0793"/>
    <w:rsid w:val="001B0E23"/>
    <w:rsid w:val="001B141E"/>
    <w:rsid w:val="001B15F0"/>
    <w:rsid w:val="001B165A"/>
    <w:rsid w:val="001B2009"/>
    <w:rsid w:val="001B201B"/>
    <w:rsid w:val="001B206E"/>
    <w:rsid w:val="001B2245"/>
    <w:rsid w:val="001B2546"/>
    <w:rsid w:val="001B292F"/>
    <w:rsid w:val="001B2A10"/>
    <w:rsid w:val="001B2B33"/>
    <w:rsid w:val="001B2F24"/>
    <w:rsid w:val="001B3193"/>
    <w:rsid w:val="001B36B2"/>
    <w:rsid w:val="001B3884"/>
    <w:rsid w:val="001B39C6"/>
    <w:rsid w:val="001B3B51"/>
    <w:rsid w:val="001B3BA7"/>
    <w:rsid w:val="001B44B6"/>
    <w:rsid w:val="001B4D89"/>
    <w:rsid w:val="001B50AB"/>
    <w:rsid w:val="001B53C1"/>
    <w:rsid w:val="001B5985"/>
    <w:rsid w:val="001B5A40"/>
    <w:rsid w:val="001B5F62"/>
    <w:rsid w:val="001B605B"/>
    <w:rsid w:val="001B6306"/>
    <w:rsid w:val="001B63E2"/>
    <w:rsid w:val="001B63F6"/>
    <w:rsid w:val="001B662D"/>
    <w:rsid w:val="001B69F2"/>
    <w:rsid w:val="001B6AC2"/>
    <w:rsid w:val="001B6ADC"/>
    <w:rsid w:val="001B6B55"/>
    <w:rsid w:val="001B6B72"/>
    <w:rsid w:val="001B6CA8"/>
    <w:rsid w:val="001B6D68"/>
    <w:rsid w:val="001B6DC8"/>
    <w:rsid w:val="001B7612"/>
    <w:rsid w:val="001B7845"/>
    <w:rsid w:val="001B79FA"/>
    <w:rsid w:val="001B7D94"/>
    <w:rsid w:val="001B7E85"/>
    <w:rsid w:val="001C0760"/>
    <w:rsid w:val="001C0797"/>
    <w:rsid w:val="001C0E14"/>
    <w:rsid w:val="001C0FEA"/>
    <w:rsid w:val="001C1658"/>
    <w:rsid w:val="001C1BBA"/>
    <w:rsid w:val="001C1C19"/>
    <w:rsid w:val="001C20E1"/>
    <w:rsid w:val="001C215F"/>
    <w:rsid w:val="001C2409"/>
    <w:rsid w:val="001C24F6"/>
    <w:rsid w:val="001C259F"/>
    <w:rsid w:val="001C26AD"/>
    <w:rsid w:val="001C2892"/>
    <w:rsid w:val="001C2999"/>
    <w:rsid w:val="001C2A72"/>
    <w:rsid w:val="001C2B19"/>
    <w:rsid w:val="001C2B56"/>
    <w:rsid w:val="001C2F8C"/>
    <w:rsid w:val="001C341B"/>
    <w:rsid w:val="001C3570"/>
    <w:rsid w:val="001C35CA"/>
    <w:rsid w:val="001C36CB"/>
    <w:rsid w:val="001C395C"/>
    <w:rsid w:val="001C4308"/>
    <w:rsid w:val="001C439B"/>
    <w:rsid w:val="001C449B"/>
    <w:rsid w:val="001C454E"/>
    <w:rsid w:val="001C46E6"/>
    <w:rsid w:val="001C48B7"/>
    <w:rsid w:val="001C49BE"/>
    <w:rsid w:val="001C4D02"/>
    <w:rsid w:val="001C4DE0"/>
    <w:rsid w:val="001C5180"/>
    <w:rsid w:val="001C55E2"/>
    <w:rsid w:val="001C57B6"/>
    <w:rsid w:val="001C5B71"/>
    <w:rsid w:val="001C6410"/>
    <w:rsid w:val="001C6593"/>
    <w:rsid w:val="001C72EA"/>
    <w:rsid w:val="001C738D"/>
    <w:rsid w:val="001C781F"/>
    <w:rsid w:val="001C78D6"/>
    <w:rsid w:val="001C793D"/>
    <w:rsid w:val="001D02B4"/>
    <w:rsid w:val="001D03BC"/>
    <w:rsid w:val="001D0B4E"/>
    <w:rsid w:val="001D1086"/>
    <w:rsid w:val="001D1620"/>
    <w:rsid w:val="001D16A4"/>
    <w:rsid w:val="001D16AB"/>
    <w:rsid w:val="001D17F6"/>
    <w:rsid w:val="001D1869"/>
    <w:rsid w:val="001D187D"/>
    <w:rsid w:val="001D1A90"/>
    <w:rsid w:val="001D1AFA"/>
    <w:rsid w:val="001D1D41"/>
    <w:rsid w:val="001D20D7"/>
    <w:rsid w:val="001D2516"/>
    <w:rsid w:val="001D2881"/>
    <w:rsid w:val="001D290D"/>
    <w:rsid w:val="001D2BAC"/>
    <w:rsid w:val="001D3375"/>
    <w:rsid w:val="001D361A"/>
    <w:rsid w:val="001D393F"/>
    <w:rsid w:val="001D3D39"/>
    <w:rsid w:val="001D3F07"/>
    <w:rsid w:val="001D429F"/>
    <w:rsid w:val="001D4688"/>
    <w:rsid w:val="001D504F"/>
    <w:rsid w:val="001D56CC"/>
    <w:rsid w:val="001D5AA4"/>
    <w:rsid w:val="001D5BE2"/>
    <w:rsid w:val="001D5F4D"/>
    <w:rsid w:val="001D5F97"/>
    <w:rsid w:val="001D64B4"/>
    <w:rsid w:val="001D68AC"/>
    <w:rsid w:val="001D6E89"/>
    <w:rsid w:val="001D70AC"/>
    <w:rsid w:val="001D7118"/>
    <w:rsid w:val="001D7129"/>
    <w:rsid w:val="001D729A"/>
    <w:rsid w:val="001D72C8"/>
    <w:rsid w:val="001D73E4"/>
    <w:rsid w:val="001D754C"/>
    <w:rsid w:val="001D7A68"/>
    <w:rsid w:val="001E11C5"/>
    <w:rsid w:val="001E17B8"/>
    <w:rsid w:val="001E196C"/>
    <w:rsid w:val="001E208C"/>
    <w:rsid w:val="001E243E"/>
    <w:rsid w:val="001E2A11"/>
    <w:rsid w:val="001E307F"/>
    <w:rsid w:val="001E3A46"/>
    <w:rsid w:val="001E3C69"/>
    <w:rsid w:val="001E4001"/>
    <w:rsid w:val="001E42CC"/>
    <w:rsid w:val="001E4611"/>
    <w:rsid w:val="001E46E7"/>
    <w:rsid w:val="001E4D11"/>
    <w:rsid w:val="001E53FB"/>
    <w:rsid w:val="001E54E3"/>
    <w:rsid w:val="001E5713"/>
    <w:rsid w:val="001E59D9"/>
    <w:rsid w:val="001E5AA0"/>
    <w:rsid w:val="001E5B79"/>
    <w:rsid w:val="001E6074"/>
    <w:rsid w:val="001E7310"/>
    <w:rsid w:val="001E7A79"/>
    <w:rsid w:val="001E7CD1"/>
    <w:rsid w:val="001F03DD"/>
    <w:rsid w:val="001F0817"/>
    <w:rsid w:val="001F0998"/>
    <w:rsid w:val="001F0A13"/>
    <w:rsid w:val="001F0E4C"/>
    <w:rsid w:val="001F110B"/>
    <w:rsid w:val="001F12A7"/>
    <w:rsid w:val="001F136A"/>
    <w:rsid w:val="001F14E9"/>
    <w:rsid w:val="001F18D5"/>
    <w:rsid w:val="001F1AAF"/>
    <w:rsid w:val="001F231F"/>
    <w:rsid w:val="001F2761"/>
    <w:rsid w:val="001F27D2"/>
    <w:rsid w:val="001F2BC2"/>
    <w:rsid w:val="001F2EB5"/>
    <w:rsid w:val="001F3821"/>
    <w:rsid w:val="001F3A4C"/>
    <w:rsid w:val="001F40B0"/>
    <w:rsid w:val="001F469A"/>
    <w:rsid w:val="001F4CC3"/>
    <w:rsid w:val="001F4E3C"/>
    <w:rsid w:val="001F5133"/>
    <w:rsid w:val="001F56B4"/>
    <w:rsid w:val="001F5B88"/>
    <w:rsid w:val="001F5BCC"/>
    <w:rsid w:val="001F65FF"/>
    <w:rsid w:val="001F67B7"/>
    <w:rsid w:val="001F6AC3"/>
    <w:rsid w:val="001F6E4B"/>
    <w:rsid w:val="001F70C1"/>
    <w:rsid w:val="001F7110"/>
    <w:rsid w:val="001F712A"/>
    <w:rsid w:val="001F7138"/>
    <w:rsid w:val="001F73DC"/>
    <w:rsid w:val="001F7503"/>
    <w:rsid w:val="001F754B"/>
    <w:rsid w:val="001F75AF"/>
    <w:rsid w:val="001F791E"/>
    <w:rsid w:val="001F7B0F"/>
    <w:rsid w:val="00200152"/>
    <w:rsid w:val="00200344"/>
    <w:rsid w:val="002004B2"/>
    <w:rsid w:val="00200952"/>
    <w:rsid w:val="00200E17"/>
    <w:rsid w:val="00200FF8"/>
    <w:rsid w:val="0020103B"/>
    <w:rsid w:val="00201601"/>
    <w:rsid w:val="00201C8B"/>
    <w:rsid w:val="0020282D"/>
    <w:rsid w:val="00202839"/>
    <w:rsid w:val="00202A28"/>
    <w:rsid w:val="00202A3A"/>
    <w:rsid w:val="00202BD7"/>
    <w:rsid w:val="00202E2E"/>
    <w:rsid w:val="00202ECD"/>
    <w:rsid w:val="00202F76"/>
    <w:rsid w:val="0020336F"/>
    <w:rsid w:val="0020378B"/>
    <w:rsid w:val="0020388F"/>
    <w:rsid w:val="0020391A"/>
    <w:rsid w:val="00203D02"/>
    <w:rsid w:val="00204060"/>
    <w:rsid w:val="00204271"/>
    <w:rsid w:val="00204339"/>
    <w:rsid w:val="0020445A"/>
    <w:rsid w:val="002044C5"/>
    <w:rsid w:val="00204C91"/>
    <w:rsid w:val="00205076"/>
    <w:rsid w:val="0020516E"/>
    <w:rsid w:val="0020517B"/>
    <w:rsid w:val="002051D2"/>
    <w:rsid w:val="002054FD"/>
    <w:rsid w:val="00205568"/>
    <w:rsid w:val="00205638"/>
    <w:rsid w:val="00205DC3"/>
    <w:rsid w:val="00205F4D"/>
    <w:rsid w:val="00206001"/>
    <w:rsid w:val="002060A1"/>
    <w:rsid w:val="00206A0E"/>
    <w:rsid w:val="00206B3E"/>
    <w:rsid w:val="00206B95"/>
    <w:rsid w:val="00206D2B"/>
    <w:rsid w:val="0020715C"/>
    <w:rsid w:val="0020727A"/>
    <w:rsid w:val="002074DA"/>
    <w:rsid w:val="002075AA"/>
    <w:rsid w:val="00207A0B"/>
    <w:rsid w:val="00207C5C"/>
    <w:rsid w:val="00207E65"/>
    <w:rsid w:val="0021008F"/>
    <w:rsid w:val="002107FA"/>
    <w:rsid w:val="002110FA"/>
    <w:rsid w:val="002117D2"/>
    <w:rsid w:val="00211C88"/>
    <w:rsid w:val="00212117"/>
    <w:rsid w:val="0021234E"/>
    <w:rsid w:val="00212684"/>
    <w:rsid w:val="00212A72"/>
    <w:rsid w:val="00212EBB"/>
    <w:rsid w:val="00212ECC"/>
    <w:rsid w:val="00212FFE"/>
    <w:rsid w:val="0021321A"/>
    <w:rsid w:val="002134B2"/>
    <w:rsid w:val="00213742"/>
    <w:rsid w:val="00213E4A"/>
    <w:rsid w:val="002148A0"/>
    <w:rsid w:val="002148DD"/>
    <w:rsid w:val="00214B69"/>
    <w:rsid w:val="00215129"/>
    <w:rsid w:val="002153C4"/>
    <w:rsid w:val="00215AF7"/>
    <w:rsid w:val="00215E91"/>
    <w:rsid w:val="00216C17"/>
    <w:rsid w:val="00216D05"/>
    <w:rsid w:val="00216FEC"/>
    <w:rsid w:val="00217B4C"/>
    <w:rsid w:val="00217C5E"/>
    <w:rsid w:val="00220293"/>
    <w:rsid w:val="002209D3"/>
    <w:rsid w:val="00220DEF"/>
    <w:rsid w:val="00221199"/>
    <w:rsid w:val="00221302"/>
    <w:rsid w:val="002218A0"/>
    <w:rsid w:val="00221E5D"/>
    <w:rsid w:val="00222006"/>
    <w:rsid w:val="0022213D"/>
    <w:rsid w:val="002225B3"/>
    <w:rsid w:val="0022318E"/>
    <w:rsid w:val="00223301"/>
    <w:rsid w:val="00223E9E"/>
    <w:rsid w:val="00224242"/>
    <w:rsid w:val="00224368"/>
    <w:rsid w:val="00224916"/>
    <w:rsid w:val="00224C18"/>
    <w:rsid w:val="00224D3A"/>
    <w:rsid w:val="00224E66"/>
    <w:rsid w:val="00224F4A"/>
    <w:rsid w:val="0022562C"/>
    <w:rsid w:val="00225A50"/>
    <w:rsid w:val="00225E39"/>
    <w:rsid w:val="00226414"/>
    <w:rsid w:val="002267C5"/>
    <w:rsid w:val="00227118"/>
    <w:rsid w:val="002279CC"/>
    <w:rsid w:val="00227F17"/>
    <w:rsid w:val="002302E4"/>
    <w:rsid w:val="00230458"/>
    <w:rsid w:val="002305EC"/>
    <w:rsid w:val="002306C4"/>
    <w:rsid w:val="00231107"/>
    <w:rsid w:val="0023124D"/>
    <w:rsid w:val="002313CC"/>
    <w:rsid w:val="0023157B"/>
    <w:rsid w:val="002316E2"/>
    <w:rsid w:val="002324A3"/>
    <w:rsid w:val="002326B9"/>
    <w:rsid w:val="00232D95"/>
    <w:rsid w:val="00232DDF"/>
    <w:rsid w:val="00232E22"/>
    <w:rsid w:val="00233420"/>
    <w:rsid w:val="0023353F"/>
    <w:rsid w:val="002335CD"/>
    <w:rsid w:val="002336C8"/>
    <w:rsid w:val="00233CCB"/>
    <w:rsid w:val="002340BB"/>
    <w:rsid w:val="002349F5"/>
    <w:rsid w:val="00235027"/>
    <w:rsid w:val="00235109"/>
    <w:rsid w:val="00235732"/>
    <w:rsid w:val="002357DC"/>
    <w:rsid w:val="00235962"/>
    <w:rsid w:val="00235DB1"/>
    <w:rsid w:val="00235FA4"/>
    <w:rsid w:val="00236001"/>
    <w:rsid w:val="0023622C"/>
    <w:rsid w:val="002363A9"/>
    <w:rsid w:val="0023687F"/>
    <w:rsid w:val="00236B6C"/>
    <w:rsid w:val="00236CCA"/>
    <w:rsid w:val="002374A6"/>
    <w:rsid w:val="002375E7"/>
    <w:rsid w:val="00237728"/>
    <w:rsid w:val="002379B0"/>
    <w:rsid w:val="00237B72"/>
    <w:rsid w:val="00240826"/>
    <w:rsid w:val="00240D21"/>
    <w:rsid w:val="0024118D"/>
    <w:rsid w:val="0024135F"/>
    <w:rsid w:val="00241517"/>
    <w:rsid w:val="00242040"/>
    <w:rsid w:val="00242154"/>
    <w:rsid w:val="00242240"/>
    <w:rsid w:val="00242BD5"/>
    <w:rsid w:val="00242C94"/>
    <w:rsid w:val="00243356"/>
    <w:rsid w:val="0024354B"/>
    <w:rsid w:val="00243D15"/>
    <w:rsid w:val="00243E0E"/>
    <w:rsid w:val="00243F6E"/>
    <w:rsid w:val="00244050"/>
    <w:rsid w:val="00244174"/>
    <w:rsid w:val="00244A7D"/>
    <w:rsid w:val="00244E11"/>
    <w:rsid w:val="00244E1B"/>
    <w:rsid w:val="00244F92"/>
    <w:rsid w:val="00245736"/>
    <w:rsid w:val="0024573E"/>
    <w:rsid w:val="00245A7F"/>
    <w:rsid w:val="00245ADB"/>
    <w:rsid w:val="00245F46"/>
    <w:rsid w:val="00245F92"/>
    <w:rsid w:val="0024623E"/>
    <w:rsid w:val="00246361"/>
    <w:rsid w:val="002463FC"/>
    <w:rsid w:val="00246890"/>
    <w:rsid w:val="0024771A"/>
    <w:rsid w:val="0024776E"/>
    <w:rsid w:val="00250038"/>
    <w:rsid w:val="002501FC"/>
    <w:rsid w:val="00250506"/>
    <w:rsid w:val="00250532"/>
    <w:rsid w:val="002507D1"/>
    <w:rsid w:val="002507FA"/>
    <w:rsid w:val="0025127F"/>
    <w:rsid w:val="002512DB"/>
    <w:rsid w:val="0025196E"/>
    <w:rsid w:val="00251A88"/>
    <w:rsid w:val="00251C92"/>
    <w:rsid w:val="0025201B"/>
    <w:rsid w:val="002524B3"/>
    <w:rsid w:val="0025288F"/>
    <w:rsid w:val="00252A16"/>
    <w:rsid w:val="00252B7E"/>
    <w:rsid w:val="00252C42"/>
    <w:rsid w:val="00252DDD"/>
    <w:rsid w:val="00252DE3"/>
    <w:rsid w:val="00253052"/>
    <w:rsid w:val="002530AB"/>
    <w:rsid w:val="002535FE"/>
    <w:rsid w:val="0025365C"/>
    <w:rsid w:val="002539F3"/>
    <w:rsid w:val="00253B97"/>
    <w:rsid w:val="0025445D"/>
    <w:rsid w:val="002544BC"/>
    <w:rsid w:val="00254514"/>
    <w:rsid w:val="00254D38"/>
    <w:rsid w:val="00255383"/>
    <w:rsid w:val="0025553F"/>
    <w:rsid w:val="0025565A"/>
    <w:rsid w:val="00255E07"/>
    <w:rsid w:val="002569A7"/>
    <w:rsid w:val="00256C01"/>
    <w:rsid w:val="00257B36"/>
    <w:rsid w:val="00257E48"/>
    <w:rsid w:val="0026031B"/>
    <w:rsid w:val="00260FB3"/>
    <w:rsid w:val="00260FC5"/>
    <w:rsid w:val="0026120C"/>
    <w:rsid w:val="002614DF"/>
    <w:rsid w:val="00261568"/>
    <w:rsid w:val="00261672"/>
    <w:rsid w:val="0026197E"/>
    <w:rsid w:val="0026241A"/>
    <w:rsid w:val="002627F6"/>
    <w:rsid w:val="00262873"/>
    <w:rsid w:val="0026291B"/>
    <w:rsid w:val="00262B18"/>
    <w:rsid w:val="00262BBF"/>
    <w:rsid w:val="00262C63"/>
    <w:rsid w:val="00262D52"/>
    <w:rsid w:val="00262DA7"/>
    <w:rsid w:val="00262F26"/>
    <w:rsid w:val="0026304A"/>
    <w:rsid w:val="0026311A"/>
    <w:rsid w:val="002633DC"/>
    <w:rsid w:val="00263BB8"/>
    <w:rsid w:val="00263FE8"/>
    <w:rsid w:val="00263FF4"/>
    <w:rsid w:val="0026407B"/>
    <w:rsid w:val="0026444F"/>
    <w:rsid w:val="002647DE"/>
    <w:rsid w:val="00264BBA"/>
    <w:rsid w:val="00264D6B"/>
    <w:rsid w:val="002651CA"/>
    <w:rsid w:val="00265334"/>
    <w:rsid w:val="002654D7"/>
    <w:rsid w:val="0026591B"/>
    <w:rsid w:val="00265B65"/>
    <w:rsid w:val="00265CA2"/>
    <w:rsid w:val="00265D53"/>
    <w:rsid w:val="00265D5A"/>
    <w:rsid w:val="00265D8D"/>
    <w:rsid w:val="002661AB"/>
    <w:rsid w:val="002662B8"/>
    <w:rsid w:val="002662C8"/>
    <w:rsid w:val="00266334"/>
    <w:rsid w:val="002665DD"/>
    <w:rsid w:val="00266752"/>
    <w:rsid w:val="002670AB"/>
    <w:rsid w:val="0026716D"/>
    <w:rsid w:val="00267EA3"/>
    <w:rsid w:val="00267EF4"/>
    <w:rsid w:val="0027000C"/>
    <w:rsid w:val="0027004C"/>
    <w:rsid w:val="0027010B"/>
    <w:rsid w:val="0027024F"/>
    <w:rsid w:val="00270866"/>
    <w:rsid w:val="00270876"/>
    <w:rsid w:val="00270F3B"/>
    <w:rsid w:val="00270FEC"/>
    <w:rsid w:val="0027117A"/>
    <w:rsid w:val="0027163F"/>
    <w:rsid w:val="002717AB"/>
    <w:rsid w:val="00271867"/>
    <w:rsid w:val="002718EB"/>
    <w:rsid w:val="00272049"/>
    <w:rsid w:val="002720C1"/>
    <w:rsid w:val="0027225E"/>
    <w:rsid w:val="002722C5"/>
    <w:rsid w:val="0027249B"/>
    <w:rsid w:val="00272CCE"/>
    <w:rsid w:val="00272D20"/>
    <w:rsid w:val="0027301F"/>
    <w:rsid w:val="00273185"/>
    <w:rsid w:val="00273268"/>
    <w:rsid w:val="00273274"/>
    <w:rsid w:val="00273729"/>
    <w:rsid w:val="00273CD8"/>
    <w:rsid w:val="00273D57"/>
    <w:rsid w:val="00274286"/>
    <w:rsid w:val="00274B57"/>
    <w:rsid w:val="00274BF5"/>
    <w:rsid w:val="00274EA9"/>
    <w:rsid w:val="00274FAC"/>
    <w:rsid w:val="00275229"/>
    <w:rsid w:val="0027542F"/>
    <w:rsid w:val="00275769"/>
    <w:rsid w:val="00275804"/>
    <w:rsid w:val="00275863"/>
    <w:rsid w:val="00275B06"/>
    <w:rsid w:val="00275CEF"/>
    <w:rsid w:val="00275FE3"/>
    <w:rsid w:val="0027619E"/>
    <w:rsid w:val="002764F8"/>
    <w:rsid w:val="0027698D"/>
    <w:rsid w:val="0027730C"/>
    <w:rsid w:val="0027763D"/>
    <w:rsid w:val="00277AA9"/>
    <w:rsid w:val="0028096A"/>
    <w:rsid w:val="00280C15"/>
    <w:rsid w:val="00280CF1"/>
    <w:rsid w:val="00280F71"/>
    <w:rsid w:val="00280FF0"/>
    <w:rsid w:val="00281058"/>
    <w:rsid w:val="00281196"/>
    <w:rsid w:val="002814A7"/>
    <w:rsid w:val="002814FF"/>
    <w:rsid w:val="00281C58"/>
    <w:rsid w:val="0028211C"/>
    <w:rsid w:val="002824FB"/>
    <w:rsid w:val="00282617"/>
    <w:rsid w:val="00282C16"/>
    <w:rsid w:val="00282DBA"/>
    <w:rsid w:val="00282EA9"/>
    <w:rsid w:val="00283AAA"/>
    <w:rsid w:val="002845DD"/>
    <w:rsid w:val="00284694"/>
    <w:rsid w:val="00284757"/>
    <w:rsid w:val="00284766"/>
    <w:rsid w:val="00284C68"/>
    <w:rsid w:val="00284CB1"/>
    <w:rsid w:val="00284E68"/>
    <w:rsid w:val="002850FF"/>
    <w:rsid w:val="00285664"/>
    <w:rsid w:val="00285B57"/>
    <w:rsid w:val="00285C8B"/>
    <w:rsid w:val="00285D96"/>
    <w:rsid w:val="002862A5"/>
    <w:rsid w:val="00286C8A"/>
    <w:rsid w:val="002873A9"/>
    <w:rsid w:val="002873E2"/>
    <w:rsid w:val="00287607"/>
    <w:rsid w:val="002876B5"/>
    <w:rsid w:val="00287812"/>
    <w:rsid w:val="002879B1"/>
    <w:rsid w:val="00287C18"/>
    <w:rsid w:val="00287DCC"/>
    <w:rsid w:val="00287EC3"/>
    <w:rsid w:val="002904CD"/>
    <w:rsid w:val="00290AFC"/>
    <w:rsid w:val="00290BCD"/>
    <w:rsid w:val="0029118B"/>
    <w:rsid w:val="0029155F"/>
    <w:rsid w:val="0029170D"/>
    <w:rsid w:val="002918E5"/>
    <w:rsid w:val="00291AAE"/>
    <w:rsid w:val="00291CA9"/>
    <w:rsid w:val="00291E0C"/>
    <w:rsid w:val="00291F2C"/>
    <w:rsid w:val="0029217A"/>
    <w:rsid w:val="00292364"/>
    <w:rsid w:val="00292434"/>
    <w:rsid w:val="002924E4"/>
    <w:rsid w:val="00292B38"/>
    <w:rsid w:val="00292BF7"/>
    <w:rsid w:val="00292ECA"/>
    <w:rsid w:val="002934C9"/>
    <w:rsid w:val="00294394"/>
    <w:rsid w:val="002945BB"/>
    <w:rsid w:val="0029465A"/>
    <w:rsid w:val="00294DAC"/>
    <w:rsid w:val="00294EA4"/>
    <w:rsid w:val="00294F1C"/>
    <w:rsid w:val="0029535E"/>
    <w:rsid w:val="00295819"/>
    <w:rsid w:val="00295C75"/>
    <w:rsid w:val="00296142"/>
    <w:rsid w:val="002961B4"/>
    <w:rsid w:val="0029709B"/>
    <w:rsid w:val="002971C3"/>
    <w:rsid w:val="0029747D"/>
    <w:rsid w:val="00297BE3"/>
    <w:rsid w:val="00297BEB"/>
    <w:rsid w:val="00297C87"/>
    <w:rsid w:val="002A02BB"/>
    <w:rsid w:val="002A0993"/>
    <w:rsid w:val="002A0A6B"/>
    <w:rsid w:val="002A0D9E"/>
    <w:rsid w:val="002A0FB9"/>
    <w:rsid w:val="002A17D7"/>
    <w:rsid w:val="002A182F"/>
    <w:rsid w:val="002A20F7"/>
    <w:rsid w:val="002A214F"/>
    <w:rsid w:val="002A28D5"/>
    <w:rsid w:val="002A2D18"/>
    <w:rsid w:val="002A3554"/>
    <w:rsid w:val="002A3BAA"/>
    <w:rsid w:val="002A3D30"/>
    <w:rsid w:val="002A4574"/>
    <w:rsid w:val="002A485A"/>
    <w:rsid w:val="002A4920"/>
    <w:rsid w:val="002A4B1D"/>
    <w:rsid w:val="002A4BEF"/>
    <w:rsid w:val="002A54BF"/>
    <w:rsid w:val="002A54CC"/>
    <w:rsid w:val="002A599A"/>
    <w:rsid w:val="002A59BE"/>
    <w:rsid w:val="002A5DDB"/>
    <w:rsid w:val="002A6251"/>
    <w:rsid w:val="002A67F3"/>
    <w:rsid w:val="002A68C4"/>
    <w:rsid w:val="002A7074"/>
    <w:rsid w:val="002A722B"/>
    <w:rsid w:val="002A7239"/>
    <w:rsid w:val="002A73D0"/>
    <w:rsid w:val="002A76A1"/>
    <w:rsid w:val="002A7D24"/>
    <w:rsid w:val="002B0276"/>
    <w:rsid w:val="002B084B"/>
    <w:rsid w:val="002B098E"/>
    <w:rsid w:val="002B147E"/>
    <w:rsid w:val="002B185E"/>
    <w:rsid w:val="002B1B00"/>
    <w:rsid w:val="002B1C3E"/>
    <w:rsid w:val="002B1F1B"/>
    <w:rsid w:val="002B2B4B"/>
    <w:rsid w:val="002B2CBD"/>
    <w:rsid w:val="002B300A"/>
    <w:rsid w:val="002B3C78"/>
    <w:rsid w:val="002B3FE0"/>
    <w:rsid w:val="002B4593"/>
    <w:rsid w:val="002B483F"/>
    <w:rsid w:val="002B4B55"/>
    <w:rsid w:val="002B4D45"/>
    <w:rsid w:val="002B4D53"/>
    <w:rsid w:val="002B5008"/>
    <w:rsid w:val="002B5519"/>
    <w:rsid w:val="002B5EF5"/>
    <w:rsid w:val="002B6492"/>
    <w:rsid w:val="002B65F5"/>
    <w:rsid w:val="002B6665"/>
    <w:rsid w:val="002B68A0"/>
    <w:rsid w:val="002B6C03"/>
    <w:rsid w:val="002B7B09"/>
    <w:rsid w:val="002C0025"/>
    <w:rsid w:val="002C0673"/>
    <w:rsid w:val="002C07E3"/>
    <w:rsid w:val="002C0C86"/>
    <w:rsid w:val="002C0E88"/>
    <w:rsid w:val="002C0F5E"/>
    <w:rsid w:val="002C1997"/>
    <w:rsid w:val="002C1E01"/>
    <w:rsid w:val="002C1FA4"/>
    <w:rsid w:val="002C2556"/>
    <w:rsid w:val="002C2961"/>
    <w:rsid w:val="002C2AFC"/>
    <w:rsid w:val="002C3146"/>
    <w:rsid w:val="002C322D"/>
    <w:rsid w:val="002C334F"/>
    <w:rsid w:val="002C336F"/>
    <w:rsid w:val="002C3383"/>
    <w:rsid w:val="002C35BD"/>
    <w:rsid w:val="002C36D6"/>
    <w:rsid w:val="002C3D1C"/>
    <w:rsid w:val="002C3DAA"/>
    <w:rsid w:val="002C3E70"/>
    <w:rsid w:val="002C4107"/>
    <w:rsid w:val="002C433E"/>
    <w:rsid w:val="002C4726"/>
    <w:rsid w:val="002C50BA"/>
    <w:rsid w:val="002C50D9"/>
    <w:rsid w:val="002C55AA"/>
    <w:rsid w:val="002C5750"/>
    <w:rsid w:val="002C5AFC"/>
    <w:rsid w:val="002C5F8F"/>
    <w:rsid w:val="002C6369"/>
    <w:rsid w:val="002C6B02"/>
    <w:rsid w:val="002C6B0A"/>
    <w:rsid w:val="002C6F6E"/>
    <w:rsid w:val="002C71F7"/>
    <w:rsid w:val="002C7385"/>
    <w:rsid w:val="002C76F0"/>
    <w:rsid w:val="002C7D76"/>
    <w:rsid w:val="002D05D6"/>
    <w:rsid w:val="002D0915"/>
    <w:rsid w:val="002D123C"/>
    <w:rsid w:val="002D1298"/>
    <w:rsid w:val="002D1F65"/>
    <w:rsid w:val="002D2133"/>
    <w:rsid w:val="002D27D6"/>
    <w:rsid w:val="002D2A5E"/>
    <w:rsid w:val="002D2E79"/>
    <w:rsid w:val="002D3148"/>
    <w:rsid w:val="002D32CE"/>
    <w:rsid w:val="002D4BAC"/>
    <w:rsid w:val="002D4C32"/>
    <w:rsid w:val="002D507A"/>
    <w:rsid w:val="002D5297"/>
    <w:rsid w:val="002D5652"/>
    <w:rsid w:val="002D5754"/>
    <w:rsid w:val="002D5AD5"/>
    <w:rsid w:val="002D5F9E"/>
    <w:rsid w:val="002D6197"/>
    <w:rsid w:val="002D63FB"/>
    <w:rsid w:val="002D662B"/>
    <w:rsid w:val="002D66C8"/>
    <w:rsid w:val="002D6990"/>
    <w:rsid w:val="002D6ACB"/>
    <w:rsid w:val="002D6B24"/>
    <w:rsid w:val="002D6BE4"/>
    <w:rsid w:val="002D6C71"/>
    <w:rsid w:val="002D6CA7"/>
    <w:rsid w:val="002D6E49"/>
    <w:rsid w:val="002D71AE"/>
    <w:rsid w:val="002D7BB7"/>
    <w:rsid w:val="002E0349"/>
    <w:rsid w:val="002E0920"/>
    <w:rsid w:val="002E0BBD"/>
    <w:rsid w:val="002E14A5"/>
    <w:rsid w:val="002E1644"/>
    <w:rsid w:val="002E16CD"/>
    <w:rsid w:val="002E17F7"/>
    <w:rsid w:val="002E19BF"/>
    <w:rsid w:val="002E1FDB"/>
    <w:rsid w:val="002E2485"/>
    <w:rsid w:val="002E24B6"/>
    <w:rsid w:val="002E278E"/>
    <w:rsid w:val="002E2FB6"/>
    <w:rsid w:val="002E32EE"/>
    <w:rsid w:val="002E3427"/>
    <w:rsid w:val="002E36A7"/>
    <w:rsid w:val="002E39E9"/>
    <w:rsid w:val="002E39EC"/>
    <w:rsid w:val="002E3BE5"/>
    <w:rsid w:val="002E411F"/>
    <w:rsid w:val="002E4A04"/>
    <w:rsid w:val="002E514F"/>
    <w:rsid w:val="002E52E0"/>
    <w:rsid w:val="002E53EA"/>
    <w:rsid w:val="002E56F3"/>
    <w:rsid w:val="002E5882"/>
    <w:rsid w:val="002E607C"/>
    <w:rsid w:val="002E6362"/>
    <w:rsid w:val="002E648C"/>
    <w:rsid w:val="002E67C5"/>
    <w:rsid w:val="002E6EA7"/>
    <w:rsid w:val="002E6FDD"/>
    <w:rsid w:val="002E7274"/>
    <w:rsid w:val="002E74D6"/>
    <w:rsid w:val="002F02BE"/>
    <w:rsid w:val="002F03BA"/>
    <w:rsid w:val="002F06D4"/>
    <w:rsid w:val="002F0935"/>
    <w:rsid w:val="002F0D0C"/>
    <w:rsid w:val="002F0DFB"/>
    <w:rsid w:val="002F1253"/>
    <w:rsid w:val="002F17CB"/>
    <w:rsid w:val="002F1EFE"/>
    <w:rsid w:val="002F1F53"/>
    <w:rsid w:val="002F1F83"/>
    <w:rsid w:val="002F1FE4"/>
    <w:rsid w:val="002F27AB"/>
    <w:rsid w:val="002F2BCE"/>
    <w:rsid w:val="002F2BF0"/>
    <w:rsid w:val="002F2CAE"/>
    <w:rsid w:val="002F2DE7"/>
    <w:rsid w:val="002F319F"/>
    <w:rsid w:val="002F4118"/>
    <w:rsid w:val="002F440B"/>
    <w:rsid w:val="002F498A"/>
    <w:rsid w:val="002F4A55"/>
    <w:rsid w:val="002F4B98"/>
    <w:rsid w:val="002F4BDA"/>
    <w:rsid w:val="002F4C8E"/>
    <w:rsid w:val="002F512D"/>
    <w:rsid w:val="002F5C82"/>
    <w:rsid w:val="002F62D8"/>
    <w:rsid w:val="002F6471"/>
    <w:rsid w:val="002F6BEC"/>
    <w:rsid w:val="002F6C1B"/>
    <w:rsid w:val="002F6D35"/>
    <w:rsid w:val="002F6D85"/>
    <w:rsid w:val="002F6E5F"/>
    <w:rsid w:val="002F7048"/>
    <w:rsid w:val="002F7132"/>
    <w:rsid w:val="002F71FF"/>
    <w:rsid w:val="002F75E9"/>
    <w:rsid w:val="003003A9"/>
    <w:rsid w:val="003007BC"/>
    <w:rsid w:val="00300856"/>
    <w:rsid w:val="00300A7B"/>
    <w:rsid w:val="00300AD3"/>
    <w:rsid w:val="00300B9D"/>
    <w:rsid w:val="00301A99"/>
    <w:rsid w:val="00301B74"/>
    <w:rsid w:val="00301C55"/>
    <w:rsid w:val="003020C7"/>
    <w:rsid w:val="003021AB"/>
    <w:rsid w:val="00302234"/>
    <w:rsid w:val="003022D9"/>
    <w:rsid w:val="003023E3"/>
    <w:rsid w:val="003028ED"/>
    <w:rsid w:val="00302FBA"/>
    <w:rsid w:val="0030343E"/>
    <w:rsid w:val="00303494"/>
    <w:rsid w:val="00303572"/>
    <w:rsid w:val="00303828"/>
    <w:rsid w:val="003038B6"/>
    <w:rsid w:val="0030390C"/>
    <w:rsid w:val="00303DCB"/>
    <w:rsid w:val="003041CC"/>
    <w:rsid w:val="0030440C"/>
    <w:rsid w:val="00304635"/>
    <w:rsid w:val="00304A96"/>
    <w:rsid w:val="00304BEF"/>
    <w:rsid w:val="00304DE2"/>
    <w:rsid w:val="00304EEA"/>
    <w:rsid w:val="0030548F"/>
    <w:rsid w:val="003059CD"/>
    <w:rsid w:val="00305A15"/>
    <w:rsid w:val="00305A41"/>
    <w:rsid w:val="00305F46"/>
    <w:rsid w:val="00306370"/>
    <w:rsid w:val="00306650"/>
    <w:rsid w:val="00306AFB"/>
    <w:rsid w:val="00306B7E"/>
    <w:rsid w:val="00306CFF"/>
    <w:rsid w:val="003070D9"/>
    <w:rsid w:val="00307D34"/>
    <w:rsid w:val="00307FF0"/>
    <w:rsid w:val="00310284"/>
    <w:rsid w:val="00310296"/>
    <w:rsid w:val="0031040E"/>
    <w:rsid w:val="003105F3"/>
    <w:rsid w:val="0031080D"/>
    <w:rsid w:val="00310929"/>
    <w:rsid w:val="00311191"/>
    <w:rsid w:val="00311853"/>
    <w:rsid w:val="00311B59"/>
    <w:rsid w:val="00311B77"/>
    <w:rsid w:val="00311D2A"/>
    <w:rsid w:val="00311DB3"/>
    <w:rsid w:val="003121AC"/>
    <w:rsid w:val="003123C5"/>
    <w:rsid w:val="0031249A"/>
    <w:rsid w:val="00312531"/>
    <w:rsid w:val="003125F5"/>
    <w:rsid w:val="0031267E"/>
    <w:rsid w:val="00312C13"/>
    <w:rsid w:val="00312D91"/>
    <w:rsid w:val="003132C9"/>
    <w:rsid w:val="003133B2"/>
    <w:rsid w:val="00314324"/>
    <w:rsid w:val="003143CA"/>
    <w:rsid w:val="0031444B"/>
    <w:rsid w:val="00314649"/>
    <w:rsid w:val="00314965"/>
    <w:rsid w:val="003149FE"/>
    <w:rsid w:val="00314DFF"/>
    <w:rsid w:val="00314E48"/>
    <w:rsid w:val="00314FD7"/>
    <w:rsid w:val="00315342"/>
    <w:rsid w:val="003159EE"/>
    <w:rsid w:val="00315ABE"/>
    <w:rsid w:val="00315E23"/>
    <w:rsid w:val="00315F86"/>
    <w:rsid w:val="00316119"/>
    <w:rsid w:val="00316145"/>
    <w:rsid w:val="003167ED"/>
    <w:rsid w:val="00316E0E"/>
    <w:rsid w:val="0031755C"/>
    <w:rsid w:val="003175A0"/>
    <w:rsid w:val="003178B0"/>
    <w:rsid w:val="00317A69"/>
    <w:rsid w:val="00317C66"/>
    <w:rsid w:val="0032053C"/>
    <w:rsid w:val="003207D5"/>
    <w:rsid w:val="00320C33"/>
    <w:rsid w:val="003210EC"/>
    <w:rsid w:val="00321435"/>
    <w:rsid w:val="00321C1D"/>
    <w:rsid w:val="00321EC2"/>
    <w:rsid w:val="00322186"/>
    <w:rsid w:val="0032258F"/>
    <w:rsid w:val="00322596"/>
    <w:rsid w:val="00322CD8"/>
    <w:rsid w:val="00322D9B"/>
    <w:rsid w:val="003232D9"/>
    <w:rsid w:val="003236BB"/>
    <w:rsid w:val="003236F9"/>
    <w:rsid w:val="003239C3"/>
    <w:rsid w:val="00324978"/>
    <w:rsid w:val="003254E9"/>
    <w:rsid w:val="00325806"/>
    <w:rsid w:val="003266F9"/>
    <w:rsid w:val="00326767"/>
    <w:rsid w:val="003267B9"/>
    <w:rsid w:val="00326866"/>
    <w:rsid w:val="00327088"/>
    <w:rsid w:val="0032734E"/>
    <w:rsid w:val="003275A2"/>
    <w:rsid w:val="00327708"/>
    <w:rsid w:val="003277FF"/>
    <w:rsid w:val="00327802"/>
    <w:rsid w:val="00327A5B"/>
    <w:rsid w:val="00327ADA"/>
    <w:rsid w:val="00327AE4"/>
    <w:rsid w:val="00327B11"/>
    <w:rsid w:val="00327C61"/>
    <w:rsid w:val="00327D4C"/>
    <w:rsid w:val="00327E4B"/>
    <w:rsid w:val="00327FDA"/>
    <w:rsid w:val="003302C4"/>
    <w:rsid w:val="00330510"/>
    <w:rsid w:val="0033051B"/>
    <w:rsid w:val="00330B5D"/>
    <w:rsid w:val="00330F12"/>
    <w:rsid w:val="003313A6"/>
    <w:rsid w:val="003317C5"/>
    <w:rsid w:val="00332227"/>
    <w:rsid w:val="003324E7"/>
    <w:rsid w:val="00332B63"/>
    <w:rsid w:val="00332C7E"/>
    <w:rsid w:val="00332F33"/>
    <w:rsid w:val="00333569"/>
    <w:rsid w:val="003335E2"/>
    <w:rsid w:val="003339B4"/>
    <w:rsid w:val="00333A05"/>
    <w:rsid w:val="00333B94"/>
    <w:rsid w:val="00333C16"/>
    <w:rsid w:val="00333D2F"/>
    <w:rsid w:val="00333F38"/>
    <w:rsid w:val="00334326"/>
    <w:rsid w:val="0033442F"/>
    <w:rsid w:val="00334909"/>
    <w:rsid w:val="00334B0C"/>
    <w:rsid w:val="00334BC4"/>
    <w:rsid w:val="00335050"/>
    <w:rsid w:val="0033524F"/>
    <w:rsid w:val="00335375"/>
    <w:rsid w:val="003356E4"/>
    <w:rsid w:val="003357A1"/>
    <w:rsid w:val="00335BCC"/>
    <w:rsid w:val="00335E3C"/>
    <w:rsid w:val="00335E45"/>
    <w:rsid w:val="00336317"/>
    <w:rsid w:val="003363F5"/>
    <w:rsid w:val="003367E9"/>
    <w:rsid w:val="003369EA"/>
    <w:rsid w:val="00336CC0"/>
    <w:rsid w:val="00337111"/>
    <w:rsid w:val="0033749D"/>
    <w:rsid w:val="0033778D"/>
    <w:rsid w:val="003377DF"/>
    <w:rsid w:val="00340753"/>
    <w:rsid w:val="00340C7F"/>
    <w:rsid w:val="00340CD6"/>
    <w:rsid w:val="00340EEE"/>
    <w:rsid w:val="00341137"/>
    <w:rsid w:val="00341448"/>
    <w:rsid w:val="00341502"/>
    <w:rsid w:val="00341BA9"/>
    <w:rsid w:val="00341FAC"/>
    <w:rsid w:val="00341FB1"/>
    <w:rsid w:val="003422A4"/>
    <w:rsid w:val="003422A6"/>
    <w:rsid w:val="0034231D"/>
    <w:rsid w:val="003425AE"/>
    <w:rsid w:val="003425B1"/>
    <w:rsid w:val="00342BE8"/>
    <w:rsid w:val="00342D2A"/>
    <w:rsid w:val="00342F62"/>
    <w:rsid w:val="0034379A"/>
    <w:rsid w:val="003437B7"/>
    <w:rsid w:val="00344195"/>
    <w:rsid w:val="00344231"/>
    <w:rsid w:val="0034479C"/>
    <w:rsid w:val="00344ED0"/>
    <w:rsid w:val="00345579"/>
    <w:rsid w:val="003459D2"/>
    <w:rsid w:val="00345F71"/>
    <w:rsid w:val="003463EA"/>
    <w:rsid w:val="003464C1"/>
    <w:rsid w:val="00346C63"/>
    <w:rsid w:val="00346D82"/>
    <w:rsid w:val="00347044"/>
    <w:rsid w:val="0034712A"/>
    <w:rsid w:val="003474C5"/>
    <w:rsid w:val="003476EC"/>
    <w:rsid w:val="003479DE"/>
    <w:rsid w:val="003479EC"/>
    <w:rsid w:val="00347B63"/>
    <w:rsid w:val="00350112"/>
    <w:rsid w:val="003502C7"/>
    <w:rsid w:val="00350746"/>
    <w:rsid w:val="003509DF"/>
    <w:rsid w:val="00350ED2"/>
    <w:rsid w:val="00350FA2"/>
    <w:rsid w:val="00351238"/>
    <w:rsid w:val="00351551"/>
    <w:rsid w:val="00351559"/>
    <w:rsid w:val="003515AA"/>
    <w:rsid w:val="003516AA"/>
    <w:rsid w:val="00351768"/>
    <w:rsid w:val="00351900"/>
    <w:rsid w:val="0035214E"/>
    <w:rsid w:val="0035236D"/>
    <w:rsid w:val="003524BD"/>
    <w:rsid w:val="00352792"/>
    <w:rsid w:val="00352841"/>
    <w:rsid w:val="00352CA4"/>
    <w:rsid w:val="00352CCC"/>
    <w:rsid w:val="00352F2A"/>
    <w:rsid w:val="003531FE"/>
    <w:rsid w:val="003533ED"/>
    <w:rsid w:val="00353490"/>
    <w:rsid w:val="00353A30"/>
    <w:rsid w:val="00353DF6"/>
    <w:rsid w:val="00353EC8"/>
    <w:rsid w:val="0035446F"/>
    <w:rsid w:val="0035448E"/>
    <w:rsid w:val="0035457E"/>
    <w:rsid w:val="00354E36"/>
    <w:rsid w:val="00354F84"/>
    <w:rsid w:val="003550A0"/>
    <w:rsid w:val="0035549C"/>
    <w:rsid w:val="00355EB5"/>
    <w:rsid w:val="00356742"/>
    <w:rsid w:val="003569A3"/>
    <w:rsid w:val="00356DC1"/>
    <w:rsid w:val="00357177"/>
    <w:rsid w:val="003577DB"/>
    <w:rsid w:val="00357901"/>
    <w:rsid w:val="0035794E"/>
    <w:rsid w:val="00357961"/>
    <w:rsid w:val="003579CB"/>
    <w:rsid w:val="003605C5"/>
    <w:rsid w:val="0036089E"/>
    <w:rsid w:val="00360B15"/>
    <w:rsid w:val="00360BFD"/>
    <w:rsid w:val="00360EC7"/>
    <w:rsid w:val="00360FDC"/>
    <w:rsid w:val="003610CF"/>
    <w:rsid w:val="0036117E"/>
    <w:rsid w:val="00361320"/>
    <w:rsid w:val="00361482"/>
    <w:rsid w:val="00361A6C"/>
    <w:rsid w:val="00362090"/>
    <w:rsid w:val="00362382"/>
    <w:rsid w:val="003623D4"/>
    <w:rsid w:val="0036246F"/>
    <w:rsid w:val="00362BEA"/>
    <w:rsid w:val="00363023"/>
    <w:rsid w:val="003631FF"/>
    <w:rsid w:val="00363338"/>
    <w:rsid w:val="00363A25"/>
    <w:rsid w:val="00363DC8"/>
    <w:rsid w:val="003640B6"/>
    <w:rsid w:val="003655C2"/>
    <w:rsid w:val="00365C48"/>
    <w:rsid w:val="00365C92"/>
    <w:rsid w:val="00365C9C"/>
    <w:rsid w:val="00365E47"/>
    <w:rsid w:val="00366086"/>
    <w:rsid w:val="003660F6"/>
    <w:rsid w:val="003664D4"/>
    <w:rsid w:val="00366EDB"/>
    <w:rsid w:val="0036704C"/>
    <w:rsid w:val="0036745E"/>
    <w:rsid w:val="00367551"/>
    <w:rsid w:val="00367809"/>
    <w:rsid w:val="00367AAA"/>
    <w:rsid w:val="00370208"/>
    <w:rsid w:val="00370330"/>
    <w:rsid w:val="0037074C"/>
    <w:rsid w:val="003707DC"/>
    <w:rsid w:val="00370DC3"/>
    <w:rsid w:val="00371614"/>
    <w:rsid w:val="003717B8"/>
    <w:rsid w:val="0037180C"/>
    <w:rsid w:val="00371D11"/>
    <w:rsid w:val="00371D40"/>
    <w:rsid w:val="00371D7D"/>
    <w:rsid w:val="003721FA"/>
    <w:rsid w:val="003724CC"/>
    <w:rsid w:val="003732BC"/>
    <w:rsid w:val="00373BC9"/>
    <w:rsid w:val="0037412C"/>
    <w:rsid w:val="00374793"/>
    <w:rsid w:val="00374821"/>
    <w:rsid w:val="00374BD6"/>
    <w:rsid w:val="00374D8B"/>
    <w:rsid w:val="00374EF8"/>
    <w:rsid w:val="003751E9"/>
    <w:rsid w:val="003751FC"/>
    <w:rsid w:val="00375370"/>
    <w:rsid w:val="0037553D"/>
    <w:rsid w:val="00375909"/>
    <w:rsid w:val="00375D65"/>
    <w:rsid w:val="00375D98"/>
    <w:rsid w:val="00375DAD"/>
    <w:rsid w:val="003763F0"/>
    <w:rsid w:val="00376661"/>
    <w:rsid w:val="003774DC"/>
    <w:rsid w:val="00377624"/>
    <w:rsid w:val="003779EC"/>
    <w:rsid w:val="003779ED"/>
    <w:rsid w:val="003779FB"/>
    <w:rsid w:val="00377C1F"/>
    <w:rsid w:val="00377DB3"/>
    <w:rsid w:val="00380220"/>
    <w:rsid w:val="003806E0"/>
    <w:rsid w:val="00380BD6"/>
    <w:rsid w:val="00380EF5"/>
    <w:rsid w:val="00381274"/>
    <w:rsid w:val="00381331"/>
    <w:rsid w:val="00381340"/>
    <w:rsid w:val="00381601"/>
    <w:rsid w:val="00382061"/>
    <w:rsid w:val="003823A1"/>
    <w:rsid w:val="003824E0"/>
    <w:rsid w:val="00382B30"/>
    <w:rsid w:val="00382BBE"/>
    <w:rsid w:val="0038351C"/>
    <w:rsid w:val="0038359F"/>
    <w:rsid w:val="0038444F"/>
    <w:rsid w:val="00384FB3"/>
    <w:rsid w:val="0038502A"/>
    <w:rsid w:val="00385386"/>
    <w:rsid w:val="00385654"/>
    <w:rsid w:val="003856DF"/>
    <w:rsid w:val="00385890"/>
    <w:rsid w:val="00385BF2"/>
    <w:rsid w:val="003863F3"/>
    <w:rsid w:val="00386875"/>
    <w:rsid w:val="00386975"/>
    <w:rsid w:val="003869AF"/>
    <w:rsid w:val="00386AA4"/>
    <w:rsid w:val="00387258"/>
    <w:rsid w:val="003879F2"/>
    <w:rsid w:val="00387CD5"/>
    <w:rsid w:val="00387E41"/>
    <w:rsid w:val="0039017F"/>
    <w:rsid w:val="00390953"/>
    <w:rsid w:val="00390B54"/>
    <w:rsid w:val="00390B6E"/>
    <w:rsid w:val="00390DB9"/>
    <w:rsid w:val="00390FC1"/>
    <w:rsid w:val="00391402"/>
    <w:rsid w:val="00391536"/>
    <w:rsid w:val="00391581"/>
    <w:rsid w:val="0039182B"/>
    <w:rsid w:val="00391EE0"/>
    <w:rsid w:val="00392685"/>
    <w:rsid w:val="003927AB"/>
    <w:rsid w:val="00392897"/>
    <w:rsid w:val="003933B2"/>
    <w:rsid w:val="00393C48"/>
    <w:rsid w:val="00393F71"/>
    <w:rsid w:val="003946C6"/>
    <w:rsid w:val="0039495A"/>
    <w:rsid w:val="00394A26"/>
    <w:rsid w:val="00394A27"/>
    <w:rsid w:val="003954CA"/>
    <w:rsid w:val="003959C3"/>
    <w:rsid w:val="00395DDF"/>
    <w:rsid w:val="00396490"/>
    <w:rsid w:val="00396809"/>
    <w:rsid w:val="003969E1"/>
    <w:rsid w:val="00396AF0"/>
    <w:rsid w:val="00396BA3"/>
    <w:rsid w:val="00397015"/>
    <w:rsid w:val="00397513"/>
    <w:rsid w:val="00397903"/>
    <w:rsid w:val="00397966"/>
    <w:rsid w:val="00397E03"/>
    <w:rsid w:val="00397FF9"/>
    <w:rsid w:val="003A0188"/>
    <w:rsid w:val="003A03F9"/>
    <w:rsid w:val="003A0938"/>
    <w:rsid w:val="003A099A"/>
    <w:rsid w:val="003A0A20"/>
    <w:rsid w:val="003A0AF9"/>
    <w:rsid w:val="003A0CB7"/>
    <w:rsid w:val="003A0F52"/>
    <w:rsid w:val="003A1509"/>
    <w:rsid w:val="003A16FF"/>
    <w:rsid w:val="003A17E4"/>
    <w:rsid w:val="003A180A"/>
    <w:rsid w:val="003A2005"/>
    <w:rsid w:val="003A20DD"/>
    <w:rsid w:val="003A238D"/>
    <w:rsid w:val="003A2F23"/>
    <w:rsid w:val="003A2F3C"/>
    <w:rsid w:val="003A2FB5"/>
    <w:rsid w:val="003A3319"/>
    <w:rsid w:val="003A3391"/>
    <w:rsid w:val="003A3991"/>
    <w:rsid w:val="003A402B"/>
    <w:rsid w:val="003A40A7"/>
    <w:rsid w:val="003A42D8"/>
    <w:rsid w:val="003A5088"/>
    <w:rsid w:val="003A5142"/>
    <w:rsid w:val="003A5176"/>
    <w:rsid w:val="003A6263"/>
    <w:rsid w:val="003A6351"/>
    <w:rsid w:val="003A6EE5"/>
    <w:rsid w:val="003A7108"/>
    <w:rsid w:val="003A724E"/>
    <w:rsid w:val="003A7341"/>
    <w:rsid w:val="003A74C2"/>
    <w:rsid w:val="003A7A8C"/>
    <w:rsid w:val="003A7CB5"/>
    <w:rsid w:val="003A7F29"/>
    <w:rsid w:val="003B010F"/>
    <w:rsid w:val="003B0505"/>
    <w:rsid w:val="003B0AC3"/>
    <w:rsid w:val="003B0C72"/>
    <w:rsid w:val="003B0DF7"/>
    <w:rsid w:val="003B0EFA"/>
    <w:rsid w:val="003B139F"/>
    <w:rsid w:val="003B15AA"/>
    <w:rsid w:val="003B1703"/>
    <w:rsid w:val="003B2253"/>
    <w:rsid w:val="003B243E"/>
    <w:rsid w:val="003B260C"/>
    <w:rsid w:val="003B26BB"/>
    <w:rsid w:val="003B293F"/>
    <w:rsid w:val="003B2F8C"/>
    <w:rsid w:val="003B3121"/>
    <w:rsid w:val="003B32A6"/>
    <w:rsid w:val="003B37E5"/>
    <w:rsid w:val="003B3960"/>
    <w:rsid w:val="003B3BE1"/>
    <w:rsid w:val="003B4693"/>
    <w:rsid w:val="003B473F"/>
    <w:rsid w:val="003B4C37"/>
    <w:rsid w:val="003B4C69"/>
    <w:rsid w:val="003B4CCA"/>
    <w:rsid w:val="003B4E03"/>
    <w:rsid w:val="003B4F47"/>
    <w:rsid w:val="003B4F54"/>
    <w:rsid w:val="003B5048"/>
    <w:rsid w:val="003B5134"/>
    <w:rsid w:val="003B52CC"/>
    <w:rsid w:val="003B5741"/>
    <w:rsid w:val="003B5A90"/>
    <w:rsid w:val="003B695B"/>
    <w:rsid w:val="003B6A0E"/>
    <w:rsid w:val="003B6F21"/>
    <w:rsid w:val="003B7149"/>
    <w:rsid w:val="003B7491"/>
    <w:rsid w:val="003B7553"/>
    <w:rsid w:val="003B7817"/>
    <w:rsid w:val="003B78D3"/>
    <w:rsid w:val="003B7C91"/>
    <w:rsid w:val="003C02F7"/>
    <w:rsid w:val="003C030F"/>
    <w:rsid w:val="003C0500"/>
    <w:rsid w:val="003C09A4"/>
    <w:rsid w:val="003C1176"/>
    <w:rsid w:val="003C1299"/>
    <w:rsid w:val="003C172C"/>
    <w:rsid w:val="003C1E70"/>
    <w:rsid w:val="003C2054"/>
    <w:rsid w:val="003C2F0F"/>
    <w:rsid w:val="003C2FF0"/>
    <w:rsid w:val="003C3507"/>
    <w:rsid w:val="003C4067"/>
    <w:rsid w:val="003C47E9"/>
    <w:rsid w:val="003C4EB3"/>
    <w:rsid w:val="003C518D"/>
    <w:rsid w:val="003C5680"/>
    <w:rsid w:val="003C5744"/>
    <w:rsid w:val="003C581C"/>
    <w:rsid w:val="003C5A4D"/>
    <w:rsid w:val="003C5C62"/>
    <w:rsid w:val="003C5DA4"/>
    <w:rsid w:val="003C5E00"/>
    <w:rsid w:val="003C6565"/>
    <w:rsid w:val="003C6AE5"/>
    <w:rsid w:val="003C7844"/>
    <w:rsid w:val="003C7A9B"/>
    <w:rsid w:val="003C7B62"/>
    <w:rsid w:val="003C7BEA"/>
    <w:rsid w:val="003C7C38"/>
    <w:rsid w:val="003D0251"/>
    <w:rsid w:val="003D0558"/>
    <w:rsid w:val="003D0DE2"/>
    <w:rsid w:val="003D1008"/>
    <w:rsid w:val="003D12BD"/>
    <w:rsid w:val="003D12FF"/>
    <w:rsid w:val="003D1315"/>
    <w:rsid w:val="003D1A68"/>
    <w:rsid w:val="003D1C46"/>
    <w:rsid w:val="003D1FDE"/>
    <w:rsid w:val="003D216F"/>
    <w:rsid w:val="003D2218"/>
    <w:rsid w:val="003D26F7"/>
    <w:rsid w:val="003D28D6"/>
    <w:rsid w:val="003D3699"/>
    <w:rsid w:val="003D38D5"/>
    <w:rsid w:val="003D38ED"/>
    <w:rsid w:val="003D396C"/>
    <w:rsid w:val="003D3A23"/>
    <w:rsid w:val="003D4594"/>
    <w:rsid w:val="003D45CC"/>
    <w:rsid w:val="003D49F7"/>
    <w:rsid w:val="003D4DC9"/>
    <w:rsid w:val="003D5298"/>
    <w:rsid w:val="003D5589"/>
    <w:rsid w:val="003D5DAF"/>
    <w:rsid w:val="003D62E7"/>
    <w:rsid w:val="003D62F8"/>
    <w:rsid w:val="003D6870"/>
    <w:rsid w:val="003D68ED"/>
    <w:rsid w:val="003D6A00"/>
    <w:rsid w:val="003D6CF4"/>
    <w:rsid w:val="003D7279"/>
    <w:rsid w:val="003D7450"/>
    <w:rsid w:val="003E06B0"/>
    <w:rsid w:val="003E092D"/>
    <w:rsid w:val="003E09CF"/>
    <w:rsid w:val="003E0AB8"/>
    <w:rsid w:val="003E0CEA"/>
    <w:rsid w:val="003E1154"/>
    <w:rsid w:val="003E1612"/>
    <w:rsid w:val="003E164C"/>
    <w:rsid w:val="003E16FA"/>
    <w:rsid w:val="003E1748"/>
    <w:rsid w:val="003E1C4E"/>
    <w:rsid w:val="003E1D3A"/>
    <w:rsid w:val="003E22DC"/>
    <w:rsid w:val="003E2ADC"/>
    <w:rsid w:val="003E2B1B"/>
    <w:rsid w:val="003E2E9D"/>
    <w:rsid w:val="003E2F71"/>
    <w:rsid w:val="003E316F"/>
    <w:rsid w:val="003E3ED0"/>
    <w:rsid w:val="003E3F0E"/>
    <w:rsid w:val="003E400B"/>
    <w:rsid w:val="003E426C"/>
    <w:rsid w:val="003E430D"/>
    <w:rsid w:val="003E479D"/>
    <w:rsid w:val="003E4A18"/>
    <w:rsid w:val="003E4D91"/>
    <w:rsid w:val="003E4EB2"/>
    <w:rsid w:val="003E5845"/>
    <w:rsid w:val="003E5931"/>
    <w:rsid w:val="003E5C08"/>
    <w:rsid w:val="003E62BD"/>
    <w:rsid w:val="003E677A"/>
    <w:rsid w:val="003E67ED"/>
    <w:rsid w:val="003E69D8"/>
    <w:rsid w:val="003E69E5"/>
    <w:rsid w:val="003E6BAF"/>
    <w:rsid w:val="003E73B9"/>
    <w:rsid w:val="003E7478"/>
    <w:rsid w:val="003E7A47"/>
    <w:rsid w:val="003F01C2"/>
    <w:rsid w:val="003F02C9"/>
    <w:rsid w:val="003F0C32"/>
    <w:rsid w:val="003F0C5C"/>
    <w:rsid w:val="003F0D03"/>
    <w:rsid w:val="003F11DB"/>
    <w:rsid w:val="003F1219"/>
    <w:rsid w:val="003F1345"/>
    <w:rsid w:val="003F1423"/>
    <w:rsid w:val="003F1A69"/>
    <w:rsid w:val="003F1F54"/>
    <w:rsid w:val="003F2176"/>
    <w:rsid w:val="003F23C7"/>
    <w:rsid w:val="003F24E9"/>
    <w:rsid w:val="003F2AD5"/>
    <w:rsid w:val="003F2CF1"/>
    <w:rsid w:val="003F2D83"/>
    <w:rsid w:val="003F2F4C"/>
    <w:rsid w:val="003F3030"/>
    <w:rsid w:val="003F31E9"/>
    <w:rsid w:val="003F3363"/>
    <w:rsid w:val="003F34C5"/>
    <w:rsid w:val="003F3A75"/>
    <w:rsid w:val="003F4220"/>
    <w:rsid w:val="003F4248"/>
    <w:rsid w:val="003F4503"/>
    <w:rsid w:val="003F4879"/>
    <w:rsid w:val="003F4A97"/>
    <w:rsid w:val="003F4DAA"/>
    <w:rsid w:val="003F50A6"/>
    <w:rsid w:val="003F5167"/>
    <w:rsid w:val="003F551A"/>
    <w:rsid w:val="003F5A16"/>
    <w:rsid w:val="003F5AD2"/>
    <w:rsid w:val="003F5CF6"/>
    <w:rsid w:val="003F6056"/>
    <w:rsid w:val="003F6AAB"/>
    <w:rsid w:val="003F6C00"/>
    <w:rsid w:val="003F6F64"/>
    <w:rsid w:val="003F727A"/>
    <w:rsid w:val="003F7404"/>
    <w:rsid w:val="003F7552"/>
    <w:rsid w:val="003F75A8"/>
    <w:rsid w:val="003F77D3"/>
    <w:rsid w:val="003F7D1F"/>
    <w:rsid w:val="00400320"/>
    <w:rsid w:val="004003BC"/>
    <w:rsid w:val="004006DC"/>
    <w:rsid w:val="004008F1"/>
    <w:rsid w:val="00400A6F"/>
    <w:rsid w:val="00400C5E"/>
    <w:rsid w:val="00401413"/>
    <w:rsid w:val="004019DD"/>
    <w:rsid w:val="0040209B"/>
    <w:rsid w:val="0040238E"/>
    <w:rsid w:val="00402736"/>
    <w:rsid w:val="00402838"/>
    <w:rsid w:val="004028F3"/>
    <w:rsid w:val="00402924"/>
    <w:rsid w:val="00402992"/>
    <w:rsid w:val="00403319"/>
    <w:rsid w:val="0040338F"/>
    <w:rsid w:val="00403755"/>
    <w:rsid w:val="00403AC4"/>
    <w:rsid w:val="00404052"/>
    <w:rsid w:val="0040417E"/>
    <w:rsid w:val="004042D2"/>
    <w:rsid w:val="00404870"/>
    <w:rsid w:val="00404BB6"/>
    <w:rsid w:val="00404E09"/>
    <w:rsid w:val="00405261"/>
    <w:rsid w:val="00405451"/>
    <w:rsid w:val="0040583D"/>
    <w:rsid w:val="00405DD2"/>
    <w:rsid w:val="0040616F"/>
    <w:rsid w:val="00406392"/>
    <w:rsid w:val="004070EB"/>
    <w:rsid w:val="004070F8"/>
    <w:rsid w:val="0040724A"/>
    <w:rsid w:val="004072B7"/>
    <w:rsid w:val="004073B9"/>
    <w:rsid w:val="004073F4"/>
    <w:rsid w:val="004076A1"/>
    <w:rsid w:val="004076CB"/>
    <w:rsid w:val="00407A9E"/>
    <w:rsid w:val="00410607"/>
    <w:rsid w:val="00410A19"/>
    <w:rsid w:val="00410E3A"/>
    <w:rsid w:val="004119C9"/>
    <w:rsid w:val="00411A70"/>
    <w:rsid w:val="00411ABF"/>
    <w:rsid w:val="00411E26"/>
    <w:rsid w:val="00411F28"/>
    <w:rsid w:val="0041208E"/>
    <w:rsid w:val="00412229"/>
    <w:rsid w:val="00412681"/>
    <w:rsid w:val="00412E3D"/>
    <w:rsid w:val="00412F0E"/>
    <w:rsid w:val="00412F36"/>
    <w:rsid w:val="004131C9"/>
    <w:rsid w:val="004132CF"/>
    <w:rsid w:val="004134D7"/>
    <w:rsid w:val="00413BE8"/>
    <w:rsid w:val="00413E94"/>
    <w:rsid w:val="0041402F"/>
    <w:rsid w:val="00414095"/>
    <w:rsid w:val="0041421E"/>
    <w:rsid w:val="004142A8"/>
    <w:rsid w:val="004144A1"/>
    <w:rsid w:val="0041456D"/>
    <w:rsid w:val="004145E6"/>
    <w:rsid w:val="00414680"/>
    <w:rsid w:val="004146D2"/>
    <w:rsid w:val="00414A60"/>
    <w:rsid w:val="00414C93"/>
    <w:rsid w:val="00414E20"/>
    <w:rsid w:val="004151EB"/>
    <w:rsid w:val="00415603"/>
    <w:rsid w:val="00415F2D"/>
    <w:rsid w:val="00416262"/>
    <w:rsid w:val="00416347"/>
    <w:rsid w:val="004170D1"/>
    <w:rsid w:val="00417188"/>
    <w:rsid w:val="004178DE"/>
    <w:rsid w:val="0042002B"/>
    <w:rsid w:val="004204CF"/>
    <w:rsid w:val="00420E2F"/>
    <w:rsid w:val="00421A04"/>
    <w:rsid w:val="00421F1A"/>
    <w:rsid w:val="004221EB"/>
    <w:rsid w:val="00422636"/>
    <w:rsid w:val="00422B39"/>
    <w:rsid w:val="00422DEF"/>
    <w:rsid w:val="00422FE1"/>
    <w:rsid w:val="0042305C"/>
    <w:rsid w:val="00423226"/>
    <w:rsid w:val="0042324F"/>
    <w:rsid w:val="0042348C"/>
    <w:rsid w:val="004234CE"/>
    <w:rsid w:val="00423A72"/>
    <w:rsid w:val="00423B91"/>
    <w:rsid w:val="004241B0"/>
    <w:rsid w:val="00424753"/>
    <w:rsid w:val="00424C3E"/>
    <w:rsid w:val="00424DA6"/>
    <w:rsid w:val="00424EB4"/>
    <w:rsid w:val="0042532F"/>
    <w:rsid w:val="00425473"/>
    <w:rsid w:val="00425555"/>
    <w:rsid w:val="004259ED"/>
    <w:rsid w:val="00425ABA"/>
    <w:rsid w:val="00425D4A"/>
    <w:rsid w:val="00426287"/>
    <w:rsid w:val="00426379"/>
    <w:rsid w:val="0042698E"/>
    <w:rsid w:val="00426DCA"/>
    <w:rsid w:val="00427102"/>
    <w:rsid w:val="00427697"/>
    <w:rsid w:val="00427D46"/>
    <w:rsid w:val="00430345"/>
    <w:rsid w:val="0043044D"/>
    <w:rsid w:val="00430848"/>
    <w:rsid w:val="004309AA"/>
    <w:rsid w:val="00430AF0"/>
    <w:rsid w:val="00430CD8"/>
    <w:rsid w:val="00431012"/>
    <w:rsid w:val="0043186E"/>
    <w:rsid w:val="00431899"/>
    <w:rsid w:val="004318EA"/>
    <w:rsid w:val="00431C7A"/>
    <w:rsid w:val="00431DED"/>
    <w:rsid w:val="00431F93"/>
    <w:rsid w:val="004320FD"/>
    <w:rsid w:val="00432312"/>
    <w:rsid w:val="004327C5"/>
    <w:rsid w:val="00432D2D"/>
    <w:rsid w:val="0043344B"/>
    <w:rsid w:val="004335A6"/>
    <w:rsid w:val="004335F2"/>
    <w:rsid w:val="004338A1"/>
    <w:rsid w:val="00434103"/>
    <w:rsid w:val="0043439D"/>
    <w:rsid w:val="00434E1B"/>
    <w:rsid w:val="00434FA9"/>
    <w:rsid w:val="00435665"/>
    <w:rsid w:val="00435812"/>
    <w:rsid w:val="00435CD2"/>
    <w:rsid w:val="00435E6A"/>
    <w:rsid w:val="00436276"/>
    <w:rsid w:val="00436E93"/>
    <w:rsid w:val="00437DF5"/>
    <w:rsid w:val="00440122"/>
    <w:rsid w:val="004401A4"/>
    <w:rsid w:val="004401CC"/>
    <w:rsid w:val="004402CA"/>
    <w:rsid w:val="004402E5"/>
    <w:rsid w:val="004414AA"/>
    <w:rsid w:val="004416D0"/>
    <w:rsid w:val="00441AFA"/>
    <w:rsid w:val="00441DFB"/>
    <w:rsid w:val="00442198"/>
    <w:rsid w:val="00442B86"/>
    <w:rsid w:val="00442CBE"/>
    <w:rsid w:val="00442F3F"/>
    <w:rsid w:val="00442FFE"/>
    <w:rsid w:val="0044301D"/>
    <w:rsid w:val="00443590"/>
    <w:rsid w:val="00443668"/>
    <w:rsid w:val="0044372F"/>
    <w:rsid w:val="004437C9"/>
    <w:rsid w:val="00443C83"/>
    <w:rsid w:val="00443D7B"/>
    <w:rsid w:val="00444163"/>
    <w:rsid w:val="004445CA"/>
    <w:rsid w:val="00444675"/>
    <w:rsid w:val="004450D9"/>
    <w:rsid w:val="004451E0"/>
    <w:rsid w:val="004452A7"/>
    <w:rsid w:val="004455A4"/>
    <w:rsid w:val="0044579B"/>
    <w:rsid w:val="00445A7E"/>
    <w:rsid w:val="00445BE7"/>
    <w:rsid w:val="00445D43"/>
    <w:rsid w:val="0044600F"/>
    <w:rsid w:val="00446D4A"/>
    <w:rsid w:val="004473A9"/>
    <w:rsid w:val="00447732"/>
    <w:rsid w:val="00447FB4"/>
    <w:rsid w:val="00450072"/>
    <w:rsid w:val="0045029B"/>
    <w:rsid w:val="004504AD"/>
    <w:rsid w:val="00450A9F"/>
    <w:rsid w:val="00451B5C"/>
    <w:rsid w:val="00451C7E"/>
    <w:rsid w:val="00451D47"/>
    <w:rsid w:val="00451E1B"/>
    <w:rsid w:val="00451E82"/>
    <w:rsid w:val="00451F08"/>
    <w:rsid w:val="0045201C"/>
    <w:rsid w:val="004520D1"/>
    <w:rsid w:val="00452673"/>
    <w:rsid w:val="00452BC2"/>
    <w:rsid w:val="00452D79"/>
    <w:rsid w:val="00452FE3"/>
    <w:rsid w:val="004535E3"/>
    <w:rsid w:val="00453953"/>
    <w:rsid w:val="00453ED0"/>
    <w:rsid w:val="00454871"/>
    <w:rsid w:val="004549E5"/>
    <w:rsid w:val="00454F98"/>
    <w:rsid w:val="0045544F"/>
    <w:rsid w:val="004554CE"/>
    <w:rsid w:val="00455B35"/>
    <w:rsid w:val="00455E9D"/>
    <w:rsid w:val="00455F10"/>
    <w:rsid w:val="0045600C"/>
    <w:rsid w:val="004560F5"/>
    <w:rsid w:val="00456214"/>
    <w:rsid w:val="0045628C"/>
    <w:rsid w:val="00456456"/>
    <w:rsid w:val="00456B92"/>
    <w:rsid w:val="00456C71"/>
    <w:rsid w:val="0045710C"/>
    <w:rsid w:val="0045726F"/>
    <w:rsid w:val="00457955"/>
    <w:rsid w:val="00457C0F"/>
    <w:rsid w:val="00457C4E"/>
    <w:rsid w:val="004602A5"/>
    <w:rsid w:val="004607B4"/>
    <w:rsid w:val="004607D9"/>
    <w:rsid w:val="00460C68"/>
    <w:rsid w:val="0046136A"/>
    <w:rsid w:val="00461476"/>
    <w:rsid w:val="00461478"/>
    <w:rsid w:val="00461747"/>
    <w:rsid w:val="00461783"/>
    <w:rsid w:val="0046216A"/>
    <w:rsid w:val="004623EF"/>
    <w:rsid w:val="004629CC"/>
    <w:rsid w:val="00463108"/>
    <w:rsid w:val="0046344E"/>
    <w:rsid w:val="004635FE"/>
    <w:rsid w:val="00463760"/>
    <w:rsid w:val="00463967"/>
    <w:rsid w:val="00464127"/>
    <w:rsid w:val="00464945"/>
    <w:rsid w:val="00464AD1"/>
    <w:rsid w:val="004656E1"/>
    <w:rsid w:val="004657C2"/>
    <w:rsid w:val="00465941"/>
    <w:rsid w:val="00465B12"/>
    <w:rsid w:val="00465BF7"/>
    <w:rsid w:val="00465C93"/>
    <w:rsid w:val="00465EF4"/>
    <w:rsid w:val="004663B8"/>
    <w:rsid w:val="00466408"/>
    <w:rsid w:val="00466F21"/>
    <w:rsid w:val="004670F0"/>
    <w:rsid w:val="004672AE"/>
    <w:rsid w:val="00467627"/>
    <w:rsid w:val="0046764D"/>
    <w:rsid w:val="00467958"/>
    <w:rsid w:val="00467BCA"/>
    <w:rsid w:val="00467BDE"/>
    <w:rsid w:val="00467CE6"/>
    <w:rsid w:val="00467E28"/>
    <w:rsid w:val="004703D5"/>
    <w:rsid w:val="0047041D"/>
    <w:rsid w:val="00470917"/>
    <w:rsid w:val="00470C62"/>
    <w:rsid w:val="00470E65"/>
    <w:rsid w:val="00470EE6"/>
    <w:rsid w:val="00470F3B"/>
    <w:rsid w:val="004710FB"/>
    <w:rsid w:val="004713A7"/>
    <w:rsid w:val="004713EF"/>
    <w:rsid w:val="00471D64"/>
    <w:rsid w:val="00472187"/>
    <w:rsid w:val="0047275F"/>
    <w:rsid w:val="00472839"/>
    <w:rsid w:val="00472AE9"/>
    <w:rsid w:val="00472F86"/>
    <w:rsid w:val="00473366"/>
    <w:rsid w:val="004736AF"/>
    <w:rsid w:val="004747CF"/>
    <w:rsid w:val="00474A6D"/>
    <w:rsid w:val="00474D66"/>
    <w:rsid w:val="004750CD"/>
    <w:rsid w:val="00475212"/>
    <w:rsid w:val="00475226"/>
    <w:rsid w:val="004757D4"/>
    <w:rsid w:val="00475C36"/>
    <w:rsid w:val="00475D43"/>
    <w:rsid w:val="0047695C"/>
    <w:rsid w:val="004774E9"/>
    <w:rsid w:val="004775E1"/>
    <w:rsid w:val="00477856"/>
    <w:rsid w:val="004779D8"/>
    <w:rsid w:val="004802AF"/>
    <w:rsid w:val="004802E8"/>
    <w:rsid w:val="0048095F"/>
    <w:rsid w:val="0048129A"/>
    <w:rsid w:val="00481AF2"/>
    <w:rsid w:val="00481E84"/>
    <w:rsid w:val="004823FE"/>
    <w:rsid w:val="00482D7B"/>
    <w:rsid w:val="004832E6"/>
    <w:rsid w:val="0048344E"/>
    <w:rsid w:val="00483507"/>
    <w:rsid w:val="004837F8"/>
    <w:rsid w:val="00483BB2"/>
    <w:rsid w:val="00483E43"/>
    <w:rsid w:val="00483E5A"/>
    <w:rsid w:val="00483EB2"/>
    <w:rsid w:val="00483F34"/>
    <w:rsid w:val="004842CB"/>
    <w:rsid w:val="004842E3"/>
    <w:rsid w:val="00484659"/>
    <w:rsid w:val="00484966"/>
    <w:rsid w:val="00484A53"/>
    <w:rsid w:val="00484A6B"/>
    <w:rsid w:val="00484B27"/>
    <w:rsid w:val="004854B8"/>
    <w:rsid w:val="00485755"/>
    <w:rsid w:val="00485B00"/>
    <w:rsid w:val="00485B71"/>
    <w:rsid w:val="00486252"/>
    <w:rsid w:val="0048686B"/>
    <w:rsid w:val="0048730F"/>
    <w:rsid w:val="004877A6"/>
    <w:rsid w:val="00487E01"/>
    <w:rsid w:val="00487FB5"/>
    <w:rsid w:val="00490DA5"/>
    <w:rsid w:val="00490F7B"/>
    <w:rsid w:val="00491118"/>
    <w:rsid w:val="004913EF"/>
    <w:rsid w:val="00491B38"/>
    <w:rsid w:val="004921B9"/>
    <w:rsid w:val="00492243"/>
    <w:rsid w:val="004926DB"/>
    <w:rsid w:val="00492C1A"/>
    <w:rsid w:val="00492E20"/>
    <w:rsid w:val="0049326D"/>
    <w:rsid w:val="00493321"/>
    <w:rsid w:val="00493322"/>
    <w:rsid w:val="00493372"/>
    <w:rsid w:val="0049338B"/>
    <w:rsid w:val="0049341C"/>
    <w:rsid w:val="0049411C"/>
    <w:rsid w:val="00494229"/>
    <w:rsid w:val="00494441"/>
    <w:rsid w:val="004948AB"/>
    <w:rsid w:val="00494D4F"/>
    <w:rsid w:val="0049515F"/>
    <w:rsid w:val="004951EE"/>
    <w:rsid w:val="004959B0"/>
    <w:rsid w:val="00495BC8"/>
    <w:rsid w:val="00495D01"/>
    <w:rsid w:val="00496067"/>
    <w:rsid w:val="004960C7"/>
    <w:rsid w:val="004966AC"/>
    <w:rsid w:val="00496E50"/>
    <w:rsid w:val="00496E79"/>
    <w:rsid w:val="004974F3"/>
    <w:rsid w:val="0049765B"/>
    <w:rsid w:val="004976AC"/>
    <w:rsid w:val="004976D8"/>
    <w:rsid w:val="00497901"/>
    <w:rsid w:val="00497967"/>
    <w:rsid w:val="00497A47"/>
    <w:rsid w:val="00497C92"/>
    <w:rsid w:val="00497E3B"/>
    <w:rsid w:val="00497F11"/>
    <w:rsid w:val="00497F63"/>
    <w:rsid w:val="004A04EB"/>
    <w:rsid w:val="004A076E"/>
    <w:rsid w:val="004A1401"/>
    <w:rsid w:val="004A1745"/>
    <w:rsid w:val="004A1F9B"/>
    <w:rsid w:val="004A211D"/>
    <w:rsid w:val="004A21DE"/>
    <w:rsid w:val="004A2871"/>
    <w:rsid w:val="004A3D26"/>
    <w:rsid w:val="004A4148"/>
    <w:rsid w:val="004A41DC"/>
    <w:rsid w:val="004A45B3"/>
    <w:rsid w:val="004A4BB6"/>
    <w:rsid w:val="004A4FA9"/>
    <w:rsid w:val="004A505D"/>
    <w:rsid w:val="004A5286"/>
    <w:rsid w:val="004A5301"/>
    <w:rsid w:val="004A543C"/>
    <w:rsid w:val="004A545A"/>
    <w:rsid w:val="004A5785"/>
    <w:rsid w:val="004A5891"/>
    <w:rsid w:val="004A599E"/>
    <w:rsid w:val="004A5A86"/>
    <w:rsid w:val="004A5DB4"/>
    <w:rsid w:val="004A5DB8"/>
    <w:rsid w:val="004A5EDC"/>
    <w:rsid w:val="004A5FF0"/>
    <w:rsid w:val="004A6209"/>
    <w:rsid w:val="004A670A"/>
    <w:rsid w:val="004A6C90"/>
    <w:rsid w:val="004A73F8"/>
    <w:rsid w:val="004A753B"/>
    <w:rsid w:val="004A79A4"/>
    <w:rsid w:val="004B0C20"/>
    <w:rsid w:val="004B0C7A"/>
    <w:rsid w:val="004B0F2A"/>
    <w:rsid w:val="004B1407"/>
    <w:rsid w:val="004B1724"/>
    <w:rsid w:val="004B1AC3"/>
    <w:rsid w:val="004B1BE8"/>
    <w:rsid w:val="004B1CED"/>
    <w:rsid w:val="004B25EF"/>
    <w:rsid w:val="004B26A7"/>
    <w:rsid w:val="004B26F3"/>
    <w:rsid w:val="004B2C6F"/>
    <w:rsid w:val="004B2C8A"/>
    <w:rsid w:val="004B2FF0"/>
    <w:rsid w:val="004B32B2"/>
    <w:rsid w:val="004B3303"/>
    <w:rsid w:val="004B34B8"/>
    <w:rsid w:val="004B38B3"/>
    <w:rsid w:val="004B395A"/>
    <w:rsid w:val="004B4003"/>
    <w:rsid w:val="004B429F"/>
    <w:rsid w:val="004B463A"/>
    <w:rsid w:val="004B4905"/>
    <w:rsid w:val="004B4C64"/>
    <w:rsid w:val="004B4E34"/>
    <w:rsid w:val="004B4EDA"/>
    <w:rsid w:val="004B54BB"/>
    <w:rsid w:val="004B5624"/>
    <w:rsid w:val="004B65FA"/>
    <w:rsid w:val="004B67FE"/>
    <w:rsid w:val="004B683E"/>
    <w:rsid w:val="004B6C2B"/>
    <w:rsid w:val="004B7289"/>
    <w:rsid w:val="004B7312"/>
    <w:rsid w:val="004B759C"/>
    <w:rsid w:val="004B788D"/>
    <w:rsid w:val="004B79BD"/>
    <w:rsid w:val="004B7E86"/>
    <w:rsid w:val="004B7FFA"/>
    <w:rsid w:val="004C05B8"/>
    <w:rsid w:val="004C05CB"/>
    <w:rsid w:val="004C0860"/>
    <w:rsid w:val="004C086D"/>
    <w:rsid w:val="004C0874"/>
    <w:rsid w:val="004C08CB"/>
    <w:rsid w:val="004C0B2E"/>
    <w:rsid w:val="004C110E"/>
    <w:rsid w:val="004C12ED"/>
    <w:rsid w:val="004C18AB"/>
    <w:rsid w:val="004C197E"/>
    <w:rsid w:val="004C1A0D"/>
    <w:rsid w:val="004C1D0F"/>
    <w:rsid w:val="004C2308"/>
    <w:rsid w:val="004C244F"/>
    <w:rsid w:val="004C2733"/>
    <w:rsid w:val="004C31C9"/>
    <w:rsid w:val="004C3279"/>
    <w:rsid w:val="004C357E"/>
    <w:rsid w:val="004C3C77"/>
    <w:rsid w:val="004C3F0B"/>
    <w:rsid w:val="004C4571"/>
    <w:rsid w:val="004C45FA"/>
    <w:rsid w:val="004C47A6"/>
    <w:rsid w:val="004C49DA"/>
    <w:rsid w:val="004C4A36"/>
    <w:rsid w:val="004C4D3C"/>
    <w:rsid w:val="004C5024"/>
    <w:rsid w:val="004C560E"/>
    <w:rsid w:val="004C5A88"/>
    <w:rsid w:val="004C6099"/>
    <w:rsid w:val="004C614C"/>
    <w:rsid w:val="004C61DE"/>
    <w:rsid w:val="004C6461"/>
    <w:rsid w:val="004C6615"/>
    <w:rsid w:val="004C69E9"/>
    <w:rsid w:val="004C6E3E"/>
    <w:rsid w:val="004C6FCD"/>
    <w:rsid w:val="004C76CF"/>
    <w:rsid w:val="004C7875"/>
    <w:rsid w:val="004C7888"/>
    <w:rsid w:val="004C79F8"/>
    <w:rsid w:val="004C7BE9"/>
    <w:rsid w:val="004C7CDE"/>
    <w:rsid w:val="004D02BF"/>
    <w:rsid w:val="004D03AA"/>
    <w:rsid w:val="004D070E"/>
    <w:rsid w:val="004D1870"/>
    <w:rsid w:val="004D1E53"/>
    <w:rsid w:val="004D1EA5"/>
    <w:rsid w:val="004D2530"/>
    <w:rsid w:val="004D2753"/>
    <w:rsid w:val="004D2783"/>
    <w:rsid w:val="004D2F30"/>
    <w:rsid w:val="004D2F96"/>
    <w:rsid w:val="004D365B"/>
    <w:rsid w:val="004D38B2"/>
    <w:rsid w:val="004D3975"/>
    <w:rsid w:val="004D39E3"/>
    <w:rsid w:val="004D3B04"/>
    <w:rsid w:val="004D3ED9"/>
    <w:rsid w:val="004D4170"/>
    <w:rsid w:val="004D4229"/>
    <w:rsid w:val="004D46AB"/>
    <w:rsid w:val="004D471F"/>
    <w:rsid w:val="004D49BA"/>
    <w:rsid w:val="004D4AE4"/>
    <w:rsid w:val="004D5135"/>
    <w:rsid w:val="004D5E64"/>
    <w:rsid w:val="004D6085"/>
    <w:rsid w:val="004D6578"/>
    <w:rsid w:val="004D6769"/>
    <w:rsid w:val="004D6B28"/>
    <w:rsid w:val="004D6EBF"/>
    <w:rsid w:val="004D7A1A"/>
    <w:rsid w:val="004E02CC"/>
    <w:rsid w:val="004E0434"/>
    <w:rsid w:val="004E07EE"/>
    <w:rsid w:val="004E0D15"/>
    <w:rsid w:val="004E0D8D"/>
    <w:rsid w:val="004E169B"/>
    <w:rsid w:val="004E1708"/>
    <w:rsid w:val="004E180F"/>
    <w:rsid w:val="004E19F7"/>
    <w:rsid w:val="004E1C66"/>
    <w:rsid w:val="004E1E6D"/>
    <w:rsid w:val="004E2503"/>
    <w:rsid w:val="004E2816"/>
    <w:rsid w:val="004E2BF4"/>
    <w:rsid w:val="004E2C97"/>
    <w:rsid w:val="004E3985"/>
    <w:rsid w:val="004E3A7E"/>
    <w:rsid w:val="004E3C1E"/>
    <w:rsid w:val="004E3F1F"/>
    <w:rsid w:val="004E3F8F"/>
    <w:rsid w:val="004E4090"/>
    <w:rsid w:val="004E4635"/>
    <w:rsid w:val="004E46B2"/>
    <w:rsid w:val="004E4FB4"/>
    <w:rsid w:val="004E56B1"/>
    <w:rsid w:val="004E67F9"/>
    <w:rsid w:val="004E6F15"/>
    <w:rsid w:val="004E73F4"/>
    <w:rsid w:val="004E75CD"/>
    <w:rsid w:val="004E7A44"/>
    <w:rsid w:val="004E7EB0"/>
    <w:rsid w:val="004E7EEA"/>
    <w:rsid w:val="004E7F89"/>
    <w:rsid w:val="004F0051"/>
    <w:rsid w:val="004F0183"/>
    <w:rsid w:val="004F04E9"/>
    <w:rsid w:val="004F0613"/>
    <w:rsid w:val="004F087E"/>
    <w:rsid w:val="004F0D25"/>
    <w:rsid w:val="004F0E91"/>
    <w:rsid w:val="004F0F0A"/>
    <w:rsid w:val="004F0F70"/>
    <w:rsid w:val="004F14E1"/>
    <w:rsid w:val="004F1741"/>
    <w:rsid w:val="004F1964"/>
    <w:rsid w:val="004F1CBE"/>
    <w:rsid w:val="004F2144"/>
    <w:rsid w:val="004F2210"/>
    <w:rsid w:val="004F224A"/>
    <w:rsid w:val="004F27A8"/>
    <w:rsid w:val="004F2D0A"/>
    <w:rsid w:val="004F3087"/>
    <w:rsid w:val="004F30C7"/>
    <w:rsid w:val="004F34A2"/>
    <w:rsid w:val="004F3B28"/>
    <w:rsid w:val="004F3C9E"/>
    <w:rsid w:val="004F3E26"/>
    <w:rsid w:val="004F3E35"/>
    <w:rsid w:val="004F4012"/>
    <w:rsid w:val="004F430C"/>
    <w:rsid w:val="004F4589"/>
    <w:rsid w:val="004F4A74"/>
    <w:rsid w:val="004F4B35"/>
    <w:rsid w:val="004F4BFE"/>
    <w:rsid w:val="004F540D"/>
    <w:rsid w:val="004F54C5"/>
    <w:rsid w:val="004F5D84"/>
    <w:rsid w:val="004F5E58"/>
    <w:rsid w:val="004F6323"/>
    <w:rsid w:val="004F68C4"/>
    <w:rsid w:val="004F6C0B"/>
    <w:rsid w:val="004F7370"/>
    <w:rsid w:val="004F7BC9"/>
    <w:rsid w:val="004F7BFC"/>
    <w:rsid w:val="004F7CBC"/>
    <w:rsid w:val="00500A05"/>
    <w:rsid w:val="00500F26"/>
    <w:rsid w:val="00501060"/>
    <w:rsid w:val="005014F8"/>
    <w:rsid w:val="005018FD"/>
    <w:rsid w:val="00502197"/>
    <w:rsid w:val="005025DF"/>
    <w:rsid w:val="00502738"/>
    <w:rsid w:val="00502DF3"/>
    <w:rsid w:val="00502F1C"/>
    <w:rsid w:val="0050326A"/>
    <w:rsid w:val="0050346E"/>
    <w:rsid w:val="00503762"/>
    <w:rsid w:val="005039F6"/>
    <w:rsid w:val="00503B58"/>
    <w:rsid w:val="00504264"/>
    <w:rsid w:val="005044B0"/>
    <w:rsid w:val="0050458A"/>
    <w:rsid w:val="0050464E"/>
    <w:rsid w:val="005046D7"/>
    <w:rsid w:val="00504837"/>
    <w:rsid w:val="00504A78"/>
    <w:rsid w:val="00505617"/>
    <w:rsid w:val="00505773"/>
    <w:rsid w:val="00506829"/>
    <w:rsid w:val="00506A93"/>
    <w:rsid w:val="00506D5A"/>
    <w:rsid w:val="00507487"/>
    <w:rsid w:val="00507B28"/>
    <w:rsid w:val="005100F0"/>
    <w:rsid w:val="005102B2"/>
    <w:rsid w:val="005107A8"/>
    <w:rsid w:val="00510A77"/>
    <w:rsid w:val="00510F04"/>
    <w:rsid w:val="00511005"/>
    <w:rsid w:val="00511264"/>
    <w:rsid w:val="00511678"/>
    <w:rsid w:val="00511696"/>
    <w:rsid w:val="0051175A"/>
    <w:rsid w:val="00511976"/>
    <w:rsid w:val="00511CEB"/>
    <w:rsid w:val="00511EF1"/>
    <w:rsid w:val="005120FF"/>
    <w:rsid w:val="0051239D"/>
    <w:rsid w:val="00513158"/>
    <w:rsid w:val="00513469"/>
    <w:rsid w:val="0051376B"/>
    <w:rsid w:val="00513D81"/>
    <w:rsid w:val="00513F8F"/>
    <w:rsid w:val="00513FCA"/>
    <w:rsid w:val="00514248"/>
    <w:rsid w:val="005142A0"/>
    <w:rsid w:val="00514757"/>
    <w:rsid w:val="00514758"/>
    <w:rsid w:val="005147D2"/>
    <w:rsid w:val="00514ACE"/>
    <w:rsid w:val="00514DDC"/>
    <w:rsid w:val="005151E9"/>
    <w:rsid w:val="00515D47"/>
    <w:rsid w:val="00515E97"/>
    <w:rsid w:val="0051673A"/>
    <w:rsid w:val="005167A8"/>
    <w:rsid w:val="00516BD7"/>
    <w:rsid w:val="00516ED0"/>
    <w:rsid w:val="0051703F"/>
    <w:rsid w:val="005170B8"/>
    <w:rsid w:val="005170DA"/>
    <w:rsid w:val="00517405"/>
    <w:rsid w:val="0051746A"/>
    <w:rsid w:val="00517964"/>
    <w:rsid w:val="00517AF4"/>
    <w:rsid w:val="00517F17"/>
    <w:rsid w:val="00517F1C"/>
    <w:rsid w:val="005200BB"/>
    <w:rsid w:val="00520330"/>
    <w:rsid w:val="005203AC"/>
    <w:rsid w:val="00520451"/>
    <w:rsid w:val="00520CA2"/>
    <w:rsid w:val="00520D8B"/>
    <w:rsid w:val="005210BA"/>
    <w:rsid w:val="005212D4"/>
    <w:rsid w:val="0052177B"/>
    <w:rsid w:val="005221B7"/>
    <w:rsid w:val="005226E8"/>
    <w:rsid w:val="00522907"/>
    <w:rsid w:val="005229C8"/>
    <w:rsid w:val="00522D81"/>
    <w:rsid w:val="00522FA0"/>
    <w:rsid w:val="00523B84"/>
    <w:rsid w:val="005241A9"/>
    <w:rsid w:val="00524260"/>
    <w:rsid w:val="005244CD"/>
    <w:rsid w:val="005249B3"/>
    <w:rsid w:val="00524EF0"/>
    <w:rsid w:val="005251BE"/>
    <w:rsid w:val="005252E2"/>
    <w:rsid w:val="00525343"/>
    <w:rsid w:val="00525645"/>
    <w:rsid w:val="005258E6"/>
    <w:rsid w:val="00526779"/>
    <w:rsid w:val="00526E8D"/>
    <w:rsid w:val="00526FEE"/>
    <w:rsid w:val="00527401"/>
    <w:rsid w:val="00527498"/>
    <w:rsid w:val="00527DB8"/>
    <w:rsid w:val="00527EDD"/>
    <w:rsid w:val="005300D8"/>
    <w:rsid w:val="0053024D"/>
    <w:rsid w:val="005305E0"/>
    <w:rsid w:val="00530659"/>
    <w:rsid w:val="00531111"/>
    <w:rsid w:val="005311F7"/>
    <w:rsid w:val="005314AF"/>
    <w:rsid w:val="00531621"/>
    <w:rsid w:val="005316D5"/>
    <w:rsid w:val="00531843"/>
    <w:rsid w:val="00532037"/>
    <w:rsid w:val="0053296F"/>
    <w:rsid w:val="005329D8"/>
    <w:rsid w:val="00533137"/>
    <w:rsid w:val="005337F5"/>
    <w:rsid w:val="005340B0"/>
    <w:rsid w:val="0053427D"/>
    <w:rsid w:val="00534460"/>
    <w:rsid w:val="00534638"/>
    <w:rsid w:val="005347EE"/>
    <w:rsid w:val="005349D0"/>
    <w:rsid w:val="00534C35"/>
    <w:rsid w:val="00534FA0"/>
    <w:rsid w:val="005351D6"/>
    <w:rsid w:val="00535207"/>
    <w:rsid w:val="00535838"/>
    <w:rsid w:val="00535B23"/>
    <w:rsid w:val="0053643B"/>
    <w:rsid w:val="0053684C"/>
    <w:rsid w:val="005369C5"/>
    <w:rsid w:val="00536B75"/>
    <w:rsid w:val="00536B81"/>
    <w:rsid w:val="00536CA7"/>
    <w:rsid w:val="00536E8D"/>
    <w:rsid w:val="00536EB9"/>
    <w:rsid w:val="00537357"/>
    <w:rsid w:val="00537362"/>
    <w:rsid w:val="005376EE"/>
    <w:rsid w:val="00537808"/>
    <w:rsid w:val="00540664"/>
    <w:rsid w:val="0054066D"/>
    <w:rsid w:val="00540842"/>
    <w:rsid w:val="00540E74"/>
    <w:rsid w:val="005413F9"/>
    <w:rsid w:val="00541D25"/>
    <w:rsid w:val="00541DB2"/>
    <w:rsid w:val="00541FB3"/>
    <w:rsid w:val="00542349"/>
    <w:rsid w:val="00542959"/>
    <w:rsid w:val="00542C31"/>
    <w:rsid w:val="00542F98"/>
    <w:rsid w:val="005432ED"/>
    <w:rsid w:val="00543425"/>
    <w:rsid w:val="00543559"/>
    <w:rsid w:val="0054386F"/>
    <w:rsid w:val="00543DAF"/>
    <w:rsid w:val="00544423"/>
    <w:rsid w:val="005444D0"/>
    <w:rsid w:val="005448CE"/>
    <w:rsid w:val="00544902"/>
    <w:rsid w:val="00544B75"/>
    <w:rsid w:val="00544EBE"/>
    <w:rsid w:val="0054534B"/>
    <w:rsid w:val="005453BD"/>
    <w:rsid w:val="00545513"/>
    <w:rsid w:val="0054567A"/>
    <w:rsid w:val="00545B5B"/>
    <w:rsid w:val="00545C7E"/>
    <w:rsid w:val="0054673E"/>
    <w:rsid w:val="00546808"/>
    <w:rsid w:val="0054688F"/>
    <w:rsid w:val="00546DAD"/>
    <w:rsid w:val="005471A1"/>
    <w:rsid w:val="005473D6"/>
    <w:rsid w:val="005475C1"/>
    <w:rsid w:val="00547AC6"/>
    <w:rsid w:val="00547B37"/>
    <w:rsid w:val="00547FC1"/>
    <w:rsid w:val="00550525"/>
    <w:rsid w:val="00550729"/>
    <w:rsid w:val="00550A99"/>
    <w:rsid w:val="00550D5D"/>
    <w:rsid w:val="00550E0A"/>
    <w:rsid w:val="005511E4"/>
    <w:rsid w:val="005518CE"/>
    <w:rsid w:val="00551976"/>
    <w:rsid w:val="005521F4"/>
    <w:rsid w:val="00552C2A"/>
    <w:rsid w:val="00552D2A"/>
    <w:rsid w:val="00552D7C"/>
    <w:rsid w:val="00552F8C"/>
    <w:rsid w:val="0055357E"/>
    <w:rsid w:val="00553795"/>
    <w:rsid w:val="005538D4"/>
    <w:rsid w:val="00553A81"/>
    <w:rsid w:val="00553CC1"/>
    <w:rsid w:val="00553D14"/>
    <w:rsid w:val="00553EE0"/>
    <w:rsid w:val="00554047"/>
    <w:rsid w:val="00554347"/>
    <w:rsid w:val="005543E0"/>
    <w:rsid w:val="00554563"/>
    <w:rsid w:val="0055476D"/>
    <w:rsid w:val="00554CDC"/>
    <w:rsid w:val="00554DEB"/>
    <w:rsid w:val="00554F52"/>
    <w:rsid w:val="0055504C"/>
    <w:rsid w:val="00555401"/>
    <w:rsid w:val="005554DD"/>
    <w:rsid w:val="0055582E"/>
    <w:rsid w:val="00555B33"/>
    <w:rsid w:val="00555D94"/>
    <w:rsid w:val="00555EE5"/>
    <w:rsid w:val="00556033"/>
    <w:rsid w:val="00556587"/>
    <w:rsid w:val="005565DA"/>
    <w:rsid w:val="005567DE"/>
    <w:rsid w:val="00556977"/>
    <w:rsid w:val="00556A73"/>
    <w:rsid w:val="00556C2B"/>
    <w:rsid w:val="00556CEF"/>
    <w:rsid w:val="00557644"/>
    <w:rsid w:val="005576A4"/>
    <w:rsid w:val="00557930"/>
    <w:rsid w:val="00557A90"/>
    <w:rsid w:val="00557AD3"/>
    <w:rsid w:val="0056014D"/>
    <w:rsid w:val="0056057C"/>
    <w:rsid w:val="0056100C"/>
    <w:rsid w:val="005616AC"/>
    <w:rsid w:val="0056174C"/>
    <w:rsid w:val="00561862"/>
    <w:rsid w:val="0056211C"/>
    <w:rsid w:val="00562333"/>
    <w:rsid w:val="00562738"/>
    <w:rsid w:val="00562781"/>
    <w:rsid w:val="00562C31"/>
    <w:rsid w:val="00562D79"/>
    <w:rsid w:val="005631EB"/>
    <w:rsid w:val="0056371E"/>
    <w:rsid w:val="00563A82"/>
    <w:rsid w:val="00563BE8"/>
    <w:rsid w:val="00563FC5"/>
    <w:rsid w:val="005642D3"/>
    <w:rsid w:val="0056455B"/>
    <w:rsid w:val="00564936"/>
    <w:rsid w:val="00564FA6"/>
    <w:rsid w:val="0056515F"/>
    <w:rsid w:val="005651DF"/>
    <w:rsid w:val="00565573"/>
    <w:rsid w:val="00565695"/>
    <w:rsid w:val="00565D1E"/>
    <w:rsid w:val="00565E03"/>
    <w:rsid w:val="0056622F"/>
    <w:rsid w:val="00566247"/>
    <w:rsid w:val="0056665E"/>
    <w:rsid w:val="00566C80"/>
    <w:rsid w:val="00566CC9"/>
    <w:rsid w:val="005700A5"/>
    <w:rsid w:val="00570412"/>
    <w:rsid w:val="00570B56"/>
    <w:rsid w:val="00570DE6"/>
    <w:rsid w:val="00570EBD"/>
    <w:rsid w:val="005710BF"/>
    <w:rsid w:val="00571467"/>
    <w:rsid w:val="005715B5"/>
    <w:rsid w:val="00571854"/>
    <w:rsid w:val="00571BBB"/>
    <w:rsid w:val="00572060"/>
    <w:rsid w:val="0057221C"/>
    <w:rsid w:val="005724AD"/>
    <w:rsid w:val="0057254A"/>
    <w:rsid w:val="00572747"/>
    <w:rsid w:val="00572970"/>
    <w:rsid w:val="00572EC7"/>
    <w:rsid w:val="00572F9E"/>
    <w:rsid w:val="0057353E"/>
    <w:rsid w:val="00574DE1"/>
    <w:rsid w:val="00574E0A"/>
    <w:rsid w:val="0057573E"/>
    <w:rsid w:val="00575A5F"/>
    <w:rsid w:val="005760E7"/>
    <w:rsid w:val="0057642F"/>
    <w:rsid w:val="005764D3"/>
    <w:rsid w:val="00576593"/>
    <w:rsid w:val="005766A6"/>
    <w:rsid w:val="00577018"/>
    <w:rsid w:val="005770EF"/>
    <w:rsid w:val="00580640"/>
    <w:rsid w:val="005806E5"/>
    <w:rsid w:val="00580AC2"/>
    <w:rsid w:val="00580EB9"/>
    <w:rsid w:val="00581728"/>
    <w:rsid w:val="00581767"/>
    <w:rsid w:val="00581A59"/>
    <w:rsid w:val="00582234"/>
    <w:rsid w:val="00582383"/>
    <w:rsid w:val="00582D6A"/>
    <w:rsid w:val="00582F89"/>
    <w:rsid w:val="00582FC7"/>
    <w:rsid w:val="00583560"/>
    <w:rsid w:val="005835A0"/>
    <w:rsid w:val="00584021"/>
    <w:rsid w:val="005840CE"/>
    <w:rsid w:val="00584138"/>
    <w:rsid w:val="00584658"/>
    <w:rsid w:val="00584D0A"/>
    <w:rsid w:val="00584FDC"/>
    <w:rsid w:val="00585236"/>
    <w:rsid w:val="0058533A"/>
    <w:rsid w:val="00585663"/>
    <w:rsid w:val="00585B3F"/>
    <w:rsid w:val="00585C74"/>
    <w:rsid w:val="00585C8B"/>
    <w:rsid w:val="00585D52"/>
    <w:rsid w:val="00585DB2"/>
    <w:rsid w:val="00585DB8"/>
    <w:rsid w:val="005865ED"/>
    <w:rsid w:val="00586662"/>
    <w:rsid w:val="00586D76"/>
    <w:rsid w:val="00586F89"/>
    <w:rsid w:val="005871E9"/>
    <w:rsid w:val="005872B1"/>
    <w:rsid w:val="005879CB"/>
    <w:rsid w:val="00587B0E"/>
    <w:rsid w:val="00587B5F"/>
    <w:rsid w:val="00590633"/>
    <w:rsid w:val="00590705"/>
    <w:rsid w:val="00590C7D"/>
    <w:rsid w:val="005910E8"/>
    <w:rsid w:val="005911C9"/>
    <w:rsid w:val="005913BC"/>
    <w:rsid w:val="005913EA"/>
    <w:rsid w:val="00591405"/>
    <w:rsid w:val="005918FD"/>
    <w:rsid w:val="0059192C"/>
    <w:rsid w:val="00591A13"/>
    <w:rsid w:val="005920B7"/>
    <w:rsid w:val="00592242"/>
    <w:rsid w:val="005928EE"/>
    <w:rsid w:val="00592AA6"/>
    <w:rsid w:val="00592C0C"/>
    <w:rsid w:val="00593263"/>
    <w:rsid w:val="0059354F"/>
    <w:rsid w:val="005935C7"/>
    <w:rsid w:val="00593738"/>
    <w:rsid w:val="00593947"/>
    <w:rsid w:val="00593E83"/>
    <w:rsid w:val="00594579"/>
    <w:rsid w:val="00594A78"/>
    <w:rsid w:val="00594AD5"/>
    <w:rsid w:val="00594B34"/>
    <w:rsid w:val="00594BCD"/>
    <w:rsid w:val="00594C26"/>
    <w:rsid w:val="00594CCC"/>
    <w:rsid w:val="00594E6E"/>
    <w:rsid w:val="00594FF7"/>
    <w:rsid w:val="00595629"/>
    <w:rsid w:val="005956F0"/>
    <w:rsid w:val="0059640A"/>
    <w:rsid w:val="00596687"/>
    <w:rsid w:val="00596787"/>
    <w:rsid w:val="0059724A"/>
    <w:rsid w:val="005972CE"/>
    <w:rsid w:val="00597397"/>
    <w:rsid w:val="00597467"/>
    <w:rsid w:val="005976D3"/>
    <w:rsid w:val="00597B08"/>
    <w:rsid w:val="005A018F"/>
    <w:rsid w:val="005A04B7"/>
    <w:rsid w:val="005A0595"/>
    <w:rsid w:val="005A07DF"/>
    <w:rsid w:val="005A109E"/>
    <w:rsid w:val="005A1126"/>
    <w:rsid w:val="005A1273"/>
    <w:rsid w:val="005A1350"/>
    <w:rsid w:val="005A1804"/>
    <w:rsid w:val="005A19A7"/>
    <w:rsid w:val="005A2034"/>
    <w:rsid w:val="005A23C1"/>
    <w:rsid w:val="005A24A8"/>
    <w:rsid w:val="005A27FE"/>
    <w:rsid w:val="005A2D5D"/>
    <w:rsid w:val="005A2EC7"/>
    <w:rsid w:val="005A2FF5"/>
    <w:rsid w:val="005A305A"/>
    <w:rsid w:val="005A32D4"/>
    <w:rsid w:val="005A34D5"/>
    <w:rsid w:val="005A38B7"/>
    <w:rsid w:val="005A39F1"/>
    <w:rsid w:val="005A3C00"/>
    <w:rsid w:val="005A3D72"/>
    <w:rsid w:val="005A3EB5"/>
    <w:rsid w:val="005A3EF3"/>
    <w:rsid w:val="005A4660"/>
    <w:rsid w:val="005A4730"/>
    <w:rsid w:val="005A4993"/>
    <w:rsid w:val="005A4CDA"/>
    <w:rsid w:val="005A5518"/>
    <w:rsid w:val="005A5891"/>
    <w:rsid w:val="005A5AB1"/>
    <w:rsid w:val="005A622B"/>
    <w:rsid w:val="005A6368"/>
    <w:rsid w:val="005A66AC"/>
    <w:rsid w:val="005A679C"/>
    <w:rsid w:val="005A6924"/>
    <w:rsid w:val="005A69B6"/>
    <w:rsid w:val="005A6A24"/>
    <w:rsid w:val="005A6E29"/>
    <w:rsid w:val="005A6E49"/>
    <w:rsid w:val="005A6E50"/>
    <w:rsid w:val="005A71CC"/>
    <w:rsid w:val="005A762E"/>
    <w:rsid w:val="005A763B"/>
    <w:rsid w:val="005A77E5"/>
    <w:rsid w:val="005A7954"/>
    <w:rsid w:val="005A7A25"/>
    <w:rsid w:val="005A7D3A"/>
    <w:rsid w:val="005A7E79"/>
    <w:rsid w:val="005B0369"/>
    <w:rsid w:val="005B0566"/>
    <w:rsid w:val="005B09F8"/>
    <w:rsid w:val="005B0DA1"/>
    <w:rsid w:val="005B129E"/>
    <w:rsid w:val="005B171F"/>
    <w:rsid w:val="005B1B84"/>
    <w:rsid w:val="005B202E"/>
    <w:rsid w:val="005B22C6"/>
    <w:rsid w:val="005B2F4D"/>
    <w:rsid w:val="005B37E2"/>
    <w:rsid w:val="005B39B7"/>
    <w:rsid w:val="005B3D5F"/>
    <w:rsid w:val="005B3DC3"/>
    <w:rsid w:val="005B406B"/>
    <w:rsid w:val="005B4342"/>
    <w:rsid w:val="005B43CD"/>
    <w:rsid w:val="005B4C39"/>
    <w:rsid w:val="005B57BD"/>
    <w:rsid w:val="005B6115"/>
    <w:rsid w:val="005B66E4"/>
    <w:rsid w:val="005B67EE"/>
    <w:rsid w:val="005B6C2A"/>
    <w:rsid w:val="005B72FE"/>
    <w:rsid w:val="005B7443"/>
    <w:rsid w:val="005B74A5"/>
    <w:rsid w:val="005B7508"/>
    <w:rsid w:val="005B76D9"/>
    <w:rsid w:val="005B7A0D"/>
    <w:rsid w:val="005B7C50"/>
    <w:rsid w:val="005C042F"/>
    <w:rsid w:val="005C0690"/>
    <w:rsid w:val="005C0812"/>
    <w:rsid w:val="005C0E51"/>
    <w:rsid w:val="005C0EE2"/>
    <w:rsid w:val="005C113F"/>
    <w:rsid w:val="005C123E"/>
    <w:rsid w:val="005C16A2"/>
    <w:rsid w:val="005C18AB"/>
    <w:rsid w:val="005C1FF3"/>
    <w:rsid w:val="005C21E0"/>
    <w:rsid w:val="005C2427"/>
    <w:rsid w:val="005C2583"/>
    <w:rsid w:val="005C3163"/>
    <w:rsid w:val="005C3786"/>
    <w:rsid w:val="005C3926"/>
    <w:rsid w:val="005C3EC6"/>
    <w:rsid w:val="005C3F0B"/>
    <w:rsid w:val="005C46FB"/>
    <w:rsid w:val="005C477F"/>
    <w:rsid w:val="005C50FE"/>
    <w:rsid w:val="005C53EE"/>
    <w:rsid w:val="005C546E"/>
    <w:rsid w:val="005C555B"/>
    <w:rsid w:val="005C585A"/>
    <w:rsid w:val="005C6219"/>
    <w:rsid w:val="005C64D5"/>
    <w:rsid w:val="005C677A"/>
    <w:rsid w:val="005C6D47"/>
    <w:rsid w:val="005C7367"/>
    <w:rsid w:val="005C7E1A"/>
    <w:rsid w:val="005D0015"/>
    <w:rsid w:val="005D048C"/>
    <w:rsid w:val="005D0661"/>
    <w:rsid w:val="005D0A1E"/>
    <w:rsid w:val="005D0CBD"/>
    <w:rsid w:val="005D0D18"/>
    <w:rsid w:val="005D0E7D"/>
    <w:rsid w:val="005D1418"/>
    <w:rsid w:val="005D1514"/>
    <w:rsid w:val="005D15C4"/>
    <w:rsid w:val="005D1655"/>
    <w:rsid w:val="005D1806"/>
    <w:rsid w:val="005D18F0"/>
    <w:rsid w:val="005D1BD8"/>
    <w:rsid w:val="005D1C6A"/>
    <w:rsid w:val="005D1E19"/>
    <w:rsid w:val="005D1E28"/>
    <w:rsid w:val="005D1EFB"/>
    <w:rsid w:val="005D228A"/>
    <w:rsid w:val="005D231B"/>
    <w:rsid w:val="005D296B"/>
    <w:rsid w:val="005D29AA"/>
    <w:rsid w:val="005D29ED"/>
    <w:rsid w:val="005D2CEE"/>
    <w:rsid w:val="005D2F66"/>
    <w:rsid w:val="005D30CE"/>
    <w:rsid w:val="005D384D"/>
    <w:rsid w:val="005D3892"/>
    <w:rsid w:val="005D3B7E"/>
    <w:rsid w:val="005D3DB0"/>
    <w:rsid w:val="005D483B"/>
    <w:rsid w:val="005D4AF2"/>
    <w:rsid w:val="005D4B96"/>
    <w:rsid w:val="005D4CCB"/>
    <w:rsid w:val="005D526E"/>
    <w:rsid w:val="005D5396"/>
    <w:rsid w:val="005D5556"/>
    <w:rsid w:val="005D5904"/>
    <w:rsid w:val="005D5C68"/>
    <w:rsid w:val="005D5C9D"/>
    <w:rsid w:val="005D6615"/>
    <w:rsid w:val="005D675D"/>
    <w:rsid w:val="005D688D"/>
    <w:rsid w:val="005D68AE"/>
    <w:rsid w:val="005D6A48"/>
    <w:rsid w:val="005D6B66"/>
    <w:rsid w:val="005D6F67"/>
    <w:rsid w:val="005D709A"/>
    <w:rsid w:val="005D7524"/>
    <w:rsid w:val="005D79D1"/>
    <w:rsid w:val="005D7A81"/>
    <w:rsid w:val="005D7BC9"/>
    <w:rsid w:val="005D7E12"/>
    <w:rsid w:val="005D7EB0"/>
    <w:rsid w:val="005E003E"/>
    <w:rsid w:val="005E0659"/>
    <w:rsid w:val="005E083B"/>
    <w:rsid w:val="005E085F"/>
    <w:rsid w:val="005E0884"/>
    <w:rsid w:val="005E0C54"/>
    <w:rsid w:val="005E0F11"/>
    <w:rsid w:val="005E0FC8"/>
    <w:rsid w:val="005E0FC9"/>
    <w:rsid w:val="005E15FC"/>
    <w:rsid w:val="005E1804"/>
    <w:rsid w:val="005E18C2"/>
    <w:rsid w:val="005E1C2F"/>
    <w:rsid w:val="005E1D15"/>
    <w:rsid w:val="005E255F"/>
    <w:rsid w:val="005E271D"/>
    <w:rsid w:val="005E2DB3"/>
    <w:rsid w:val="005E3207"/>
    <w:rsid w:val="005E3C1E"/>
    <w:rsid w:val="005E3F69"/>
    <w:rsid w:val="005E41E0"/>
    <w:rsid w:val="005E42DB"/>
    <w:rsid w:val="005E43EB"/>
    <w:rsid w:val="005E4C5B"/>
    <w:rsid w:val="005E4FC2"/>
    <w:rsid w:val="005E5E9E"/>
    <w:rsid w:val="005E6171"/>
    <w:rsid w:val="005E647B"/>
    <w:rsid w:val="005E67B4"/>
    <w:rsid w:val="005E69D4"/>
    <w:rsid w:val="005E6A05"/>
    <w:rsid w:val="005E6CF8"/>
    <w:rsid w:val="005E7424"/>
    <w:rsid w:val="005E7E09"/>
    <w:rsid w:val="005F056B"/>
    <w:rsid w:val="005F089C"/>
    <w:rsid w:val="005F0BAF"/>
    <w:rsid w:val="005F0CB2"/>
    <w:rsid w:val="005F11C0"/>
    <w:rsid w:val="005F1243"/>
    <w:rsid w:val="005F1536"/>
    <w:rsid w:val="005F15E4"/>
    <w:rsid w:val="005F178F"/>
    <w:rsid w:val="005F1C92"/>
    <w:rsid w:val="005F1CEE"/>
    <w:rsid w:val="005F1DE7"/>
    <w:rsid w:val="005F1EF9"/>
    <w:rsid w:val="005F214B"/>
    <w:rsid w:val="005F23FB"/>
    <w:rsid w:val="005F2D73"/>
    <w:rsid w:val="005F3059"/>
    <w:rsid w:val="005F3A8D"/>
    <w:rsid w:val="005F3FB0"/>
    <w:rsid w:val="005F433C"/>
    <w:rsid w:val="005F4380"/>
    <w:rsid w:val="005F46E6"/>
    <w:rsid w:val="005F4F97"/>
    <w:rsid w:val="005F51CE"/>
    <w:rsid w:val="005F5612"/>
    <w:rsid w:val="005F6AAA"/>
    <w:rsid w:val="005F6B1F"/>
    <w:rsid w:val="005F6C1D"/>
    <w:rsid w:val="005F6D73"/>
    <w:rsid w:val="005F6E1B"/>
    <w:rsid w:val="005F6F10"/>
    <w:rsid w:val="005F71E8"/>
    <w:rsid w:val="005F752C"/>
    <w:rsid w:val="005F7E4B"/>
    <w:rsid w:val="00600C1F"/>
    <w:rsid w:val="00600C2C"/>
    <w:rsid w:val="0060115E"/>
    <w:rsid w:val="006011E1"/>
    <w:rsid w:val="00601681"/>
    <w:rsid w:val="006018D0"/>
    <w:rsid w:val="00601ADB"/>
    <w:rsid w:val="00601F72"/>
    <w:rsid w:val="006021D1"/>
    <w:rsid w:val="00602490"/>
    <w:rsid w:val="0060277B"/>
    <w:rsid w:val="00602A5E"/>
    <w:rsid w:val="00602B04"/>
    <w:rsid w:val="00602E40"/>
    <w:rsid w:val="00602EEE"/>
    <w:rsid w:val="00603097"/>
    <w:rsid w:val="006030B0"/>
    <w:rsid w:val="00603401"/>
    <w:rsid w:val="0060356D"/>
    <w:rsid w:val="00603DFA"/>
    <w:rsid w:val="00603FFC"/>
    <w:rsid w:val="006040CB"/>
    <w:rsid w:val="006042FB"/>
    <w:rsid w:val="00604389"/>
    <w:rsid w:val="006043B9"/>
    <w:rsid w:val="0060443E"/>
    <w:rsid w:val="0060483F"/>
    <w:rsid w:val="006049CF"/>
    <w:rsid w:val="00604E3F"/>
    <w:rsid w:val="00605516"/>
    <w:rsid w:val="00605538"/>
    <w:rsid w:val="00605A89"/>
    <w:rsid w:val="00606422"/>
    <w:rsid w:val="006066EF"/>
    <w:rsid w:val="00606A33"/>
    <w:rsid w:val="00606A92"/>
    <w:rsid w:val="00606DCD"/>
    <w:rsid w:val="00606DF2"/>
    <w:rsid w:val="00607E0D"/>
    <w:rsid w:val="00607F18"/>
    <w:rsid w:val="00607FE7"/>
    <w:rsid w:val="0061055A"/>
    <w:rsid w:val="006105BE"/>
    <w:rsid w:val="00611C44"/>
    <w:rsid w:val="00612102"/>
    <w:rsid w:val="00612154"/>
    <w:rsid w:val="006121B7"/>
    <w:rsid w:val="00612539"/>
    <w:rsid w:val="0061254C"/>
    <w:rsid w:val="0061257C"/>
    <w:rsid w:val="00612588"/>
    <w:rsid w:val="00612C8F"/>
    <w:rsid w:val="006131AD"/>
    <w:rsid w:val="0061331D"/>
    <w:rsid w:val="0061383B"/>
    <w:rsid w:val="006139AA"/>
    <w:rsid w:val="006140A7"/>
    <w:rsid w:val="0061418D"/>
    <w:rsid w:val="00614984"/>
    <w:rsid w:val="00614DFC"/>
    <w:rsid w:val="00614ED8"/>
    <w:rsid w:val="0061564E"/>
    <w:rsid w:val="00615AB2"/>
    <w:rsid w:val="00615B08"/>
    <w:rsid w:val="00615BA2"/>
    <w:rsid w:val="00615C54"/>
    <w:rsid w:val="00615C6E"/>
    <w:rsid w:val="00615E28"/>
    <w:rsid w:val="006162B6"/>
    <w:rsid w:val="00616823"/>
    <w:rsid w:val="006168C8"/>
    <w:rsid w:val="00616CF8"/>
    <w:rsid w:val="00616E65"/>
    <w:rsid w:val="00617692"/>
    <w:rsid w:val="00617CE2"/>
    <w:rsid w:val="00617DE5"/>
    <w:rsid w:val="006205AA"/>
    <w:rsid w:val="006208AD"/>
    <w:rsid w:val="0062098B"/>
    <w:rsid w:val="00620DD6"/>
    <w:rsid w:val="006211E9"/>
    <w:rsid w:val="0062136F"/>
    <w:rsid w:val="00621873"/>
    <w:rsid w:val="006219FF"/>
    <w:rsid w:val="00622149"/>
    <w:rsid w:val="00622D36"/>
    <w:rsid w:val="0062329E"/>
    <w:rsid w:val="0062388B"/>
    <w:rsid w:val="006239AB"/>
    <w:rsid w:val="00623B38"/>
    <w:rsid w:val="00623E6C"/>
    <w:rsid w:val="00624015"/>
    <w:rsid w:val="006241CF"/>
    <w:rsid w:val="006243E4"/>
    <w:rsid w:val="006244DB"/>
    <w:rsid w:val="0062604D"/>
    <w:rsid w:val="0062606B"/>
    <w:rsid w:val="0062655E"/>
    <w:rsid w:val="00626FF4"/>
    <w:rsid w:val="006270FB"/>
    <w:rsid w:val="006272B6"/>
    <w:rsid w:val="006274E4"/>
    <w:rsid w:val="00627D8B"/>
    <w:rsid w:val="0063013E"/>
    <w:rsid w:val="00630804"/>
    <w:rsid w:val="00630B5B"/>
    <w:rsid w:val="00630FC6"/>
    <w:rsid w:val="00630FCB"/>
    <w:rsid w:val="00631046"/>
    <w:rsid w:val="006313DF"/>
    <w:rsid w:val="006316CB"/>
    <w:rsid w:val="00631765"/>
    <w:rsid w:val="00631F40"/>
    <w:rsid w:val="006320FD"/>
    <w:rsid w:val="006323A7"/>
    <w:rsid w:val="00632457"/>
    <w:rsid w:val="00632B83"/>
    <w:rsid w:val="00632D7C"/>
    <w:rsid w:val="006330B1"/>
    <w:rsid w:val="00633394"/>
    <w:rsid w:val="00633A3C"/>
    <w:rsid w:val="00633B06"/>
    <w:rsid w:val="00633D35"/>
    <w:rsid w:val="00633E0B"/>
    <w:rsid w:val="00633F5D"/>
    <w:rsid w:val="006341BE"/>
    <w:rsid w:val="0063420A"/>
    <w:rsid w:val="006342B1"/>
    <w:rsid w:val="0063475C"/>
    <w:rsid w:val="006349BB"/>
    <w:rsid w:val="00634D43"/>
    <w:rsid w:val="0063503F"/>
    <w:rsid w:val="00635289"/>
    <w:rsid w:val="00635B2D"/>
    <w:rsid w:val="00635D6D"/>
    <w:rsid w:val="00635F22"/>
    <w:rsid w:val="006360CD"/>
    <w:rsid w:val="00636926"/>
    <w:rsid w:val="00636981"/>
    <w:rsid w:val="00636AAC"/>
    <w:rsid w:val="00636CA2"/>
    <w:rsid w:val="00637115"/>
    <w:rsid w:val="006372FC"/>
    <w:rsid w:val="006374F3"/>
    <w:rsid w:val="00637D77"/>
    <w:rsid w:val="006401EE"/>
    <w:rsid w:val="006404A4"/>
    <w:rsid w:val="006405B1"/>
    <w:rsid w:val="00640F09"/>
    <w:rsid w:val="00641128"/>
    <w:rsid w:val="006412F8"/>
    <w:rsid w:val="00641792"/>
    <w:rsid w:val="00641F7E"/>
    <w:rsid w:val="00642596"/>
    <w:rsid w:val="00642665"/>
    <w:rsid w:val="00642753"/>
    <w:rsid w:val="00642D4A"/>
    <w:rsid w:val="00642F1C"/>
    <w:rsid w:val="0064302D"/>
    <w:rsid w:val="0064315B"/>
    <w:rsid w:val="006433F9"/>
    <w:rsid w:val="00643475"/>
    <w:rsid w:val="00643A5E"/>
    <w:rsid w:val="00643ADA"/>
    <w:rsid w:val="00643B99"/>
    <w:rsid w:val="00643BDD"/>
    <w:rsid w:val="00643C24"/>
    <w:rsid w:val="00643DC9"/>
    <w:rsid w:val="00644164"/>
    <w:rsid w:val="006442B7"/>
    <w:rsid w:val="0064433F"/>
    <w:rsid w:val="0064440E"/>
    <w:rsid w:val="00644469"/>
    <w:rsid w:val="0064498C"/>
    <w:rsid w:val="00644DA1"/>
    <w:rsid w:val="00644F33"/>
    <w:rsid w:val="00645651"/>
    <w:rsid w:val="0064569E"/>
    <w:rsid w:val="00645756"/>
    <w:rsid w:val="00645E52"/>
    <w:rsid w:val="00645E6E"/>
    <w:rsid w:val="00645E81"/>
    <w:rsid w:val="00645EFB"/>
    <w:rsid w:val="0064652D"/>
    <w:rsid w:val="00646721"/>
    <w:rsid w:val="00646961"/>
    <w:rsid w:val="00646FCE"/>
    <w:rsid w:val="00646FF5"/>
    <w:rsid w:val="00647368"/>
    <w:rsid w:val="0064754E"/>
    <w:rsid w:val="006476D6"/>
    <w:rsid w:val="00647DA7"/>
    <w:rsid w:val="006501E0"/>
    <w:rsid w:val="006503C9"/>
    <w:rsid w:val="00650614"/>
    <w:rsid w:val="006508DA"/>
    <w:rsid w:val="00651081"/>
    <w:rsid w:val="00651160"/>
    <w:rsid w:val="0065124F"/>
    <w:rsid w:val="006513E9"/>
    <w:rsid w:val="00651B32"/>
    <w:rsid w:val="00652055"/>
    <w:rsid w:val="00652514"/>
    <w:rsid w:val="006529BF"/>
    <w:rsid w:val="00652AF6"/>
    <w:rsid w:val="006530AE"/>
    <w:rsid w:val="006530E7"/>
    <w:rsid w:val="006532A7"/>
    <w:rsid w:val="00653649"/>
    <w:rsid w:val="00653956"/>
    <w:rsid w:val="00653985"/>
    <w:rsid w:val="006539D6"/>
    <w:rsid w:val="00653AAA"/>
    <w:rsid w:val="00653AFC"/>
    <w:rsid w:val="00653C1B"/>
    <w:rsid w:val="00653C27"/>
    <w:rsid w:val="006541DA"/>
    <w:rsid w:val="006545E0"/>
    <w:rsid w:val="00654E57"/>
    <w:rsid w:val="006552A0"/>
    <w:rsid w:val="00655374"/>
    <w:rsid w:val="0065552F"/>
    <w:rsid w:val="006555D3"/>
    <w:rsid w:val="006558DA"/>
    <w:rsid w:val="006559A9"/>
    <w:rsid w:val="00655D67"/>
    <w:rsid w:val="00655D84"/>
    <w:rsid w:val="006563B2"/>
    <w:rsid w:val="00656801"/>
    <w:rsid w:val="00656819"/>
    <w:rsid w:val="00656BC7"/>
    <w:rsid w:val="00657160"/>
    <w:rsid w:val="006572CE"/>
    <w:rsid w:val="00657ED6"/>
    <w:rsid w:val="00657FB3"/>
    <w:rsid w:val="006600EB"/>
    <w:rsid w:val="0066017C"/>
    <w:rsid w:val="006602DE"/>
    <w:rsid w:val="0066076C"/>
    <w:rsid w:val="00660867"/>
    <w:rsid w:val="00660934"/>
    <w:rsid w:val="00661559"/>
    <w:rsid w:val="0066155C"/>
    <w:rsid w:val="00661BED"/>
    <w:rsid w:val="00661E30"/>
    <w:rsid w:val="00661FF8"/>
    <w:rsid w:val="00662135"/>
    <w:rsid w:val="00662361"/>
    <w:rsid w:val="006623BA"/>
    <w:rsid w:val="006627B5"/>
    <w:rsid w:val="00662ABC"/>
    <w:rsid w:val="006630CC"/>
    <w:rsid w:val="00663159"/>
    <w:rsid w:val="00663A9B"/>
    <w:rsid w:val="00663B72"/>
    <w:rsid w:val="00663BDA"/>
    <w:rsid w:val="00663D2F"/>
    <w:rsid w:val="0066423D"/>
    <w:rsid w:val="00664348"/>
    <w:rsid w:val="00664687"/>
    <w:rsid w:val="00664AD1"/>
    <w:rsid w:val="00664AF8"/>
    <w:rsid w:val="00664D3A"/>
    <w:rsid w:val="00664D6C"/>
    <w:rsid w:val="0066500F"/>
    <w:rsid w:val="00665594"/>
    <w:rsid w:val="00665837"/>
    <w:rsid w:val="0066588B"/>
    <w:rsid w:val="006658A3"/>
    <w:rsid w:val="00665A82"/>
    <w:rsid w:val="00665C59"/>
    <w:rsid w:val="00665F88"/>
    <w:rsid w:val="006667AC"/>
    <w:rsid w:val="0066696C"/>
    <w:rsid w:val="00666AC0"/>
    <w:rsid w:val="00666F4E"/>
    <w:rsid w:val="006670C3"/>
    <w:rsid w:val="006674CF"/>
    <w:rsid w:val="006674F5"/>
    <w:rsid w:val="00667979"/>
    <w:rsid w:val="00667A8F"/>
    <w:rsid w:val="00667ACE"/>
    <w:rsid w:val="00667E85"/>
    <w:rsid w:val="00667EA6"/>
    <w:rsid w:val="00670136"/>
    <w:rsid w:val="00670478"/>
    <w:rsid w:val="00670A21"/>
    <w:rsid w:val="00670B09"/>
    <w:rsid w:val="00670B92"/>
    <w:rsid w:val="00671097"/>
    <w:rsid w:val="00671239"/>
    <w:rsid w:val="0067123E"/>
    <w:rsid w:val="00671266"/>
    <w:rsid w:val="00671A02"/>
    <w:rsid w:val="00671A68"/>
    <w:rsid w:val="00671AA4"/>
    <w:rsid w:val="00671C57"/>
    <w:rsid w:val="00671EE6"/>
    <w:rsid w:val="00671FE8"/>
    <w:rsid w:val="006721B2"/>
    <w:rsid w:val="006723D2"/>
    <w:rsid w:val="00672BBA"/>
    <w:rsid w:val="00672C3E"/>
    <w:rsid w:val="00672C48"/>
    <w:rsid w:val="00672D46"/>
    <w:rsid w:val="00673071"/>
    <w:rsid w:val="0067366B"/>
    <w:rsid w:val="00673753"/>
    <w:rsid w:val="00674A07"/>
    <w:rsid w:val="00674BD5"/>
    <w:rsid w:val="00674F9B"/>
    <w:rsid w:val="006751AB"/>
    <w:rsid w:val="00676920"/>
    <w:rsid w:val="00676B69"/>
    <w:rsid w:val="00676F2B"/>
    <w:rsid w:val="00677678"/>
    <w:rsid w:val="0067773E"/>
    <w:rsid w:val="00677930"/>
    <w:rsid w:val="00680A81"/>
    <w:rsid w:val="00681432"/>
    <w:rsid w:val="00681723"/>
    <w:rsid w:val="00681B7C"/>
    <w:rsid w:val="00681E11"/>
    <w:rsid w:val="00682163"/>
    <w:rsid w:val="006821D6"/>
    <w:rsid w:val="006822D8"/>
    <w:rsid w:val="006827C8"/>
    <w:rsid w:val="00682C95"/>
    <w:rsid w:val="00683352"/>
    <w:rsid w:val="006839D1"/>
    <w:rsid w:val="00683DA8"/>
    <w:rsid w:val="00684381"/>
    <w:rsid w:val="0068441A"/>
    <w:rsid w:val="0068499D"/>
    <w:rsid w:val="00684DD9"/>
    <w:rsid w:val="00685002"/>
    <w:rsid w:val="006855FB"/>
    <w:rsid w:val="00685952"/>
    <w:rsid w:val="00685C86"/>
    <w:rsid w:val="00685D87"/>
    <w:rsid w:val="00686EE6"/>
    <w:rsid w:val="0068753E"/>
    <w:rsid w:val="006878D4"/>
    <w:rsid w:val="006900CB"/>
    <w:rsid w:val="00690142"/>
    <w:rsid w:val="00690824"/>
    <w:rsid w:val="00690989"/>
    <w:rsid w:val="00690B55"/>
    <w:rsid w:val="00691727"/>
    <w:rsid w:val="0069178C"/>
    <w:rsid w:val="00691DEE"/>
    <w:rsid w:val="00691E0A"/>
    <w:rsid w:val="00691FEE"/>
    <w:rsid w:val="00692553"/>
    <w:rsid w:val="006926AF"/>
    <w:rsid w:val="00692883"/>
    <w:rsid w:val="006928D1"/>
    <w:rsid w:val="00692A0F"/>
    <w:rsid w:val="00692B52"/>
    <w:rsid w:val="00693102"/>
    <w:rsid w:val="006931A8"/>
    <w:rsid w:val="0069322A"/>
    <w:rsid w:val="0069345B"/>
    <w:rsid w:val="00693F34"/>
    <w:rsid w:val="006940CA"/>
    <w:rsid w:val="006942A9"/>
    <w:rsid w:val="00694367"/>
    <w:rsid w:val="00694438"/>
    <w:rsid w:val="006944B2"/>
    <w:rsid w:val="00694714"/>
    <w:rsid w:val="00694852"/>
    <w:rsid w:val="00694E4A"/>
    <w:rsid w:val="00694EF5"/>
    <w:rsid w:val="00694F8F"/>
    <w:rsid w:val="00695110"/>
    <w:rsid w:val="00695111"/>
    <w:rsid w:val="00695361"/>
    <w:rsid w:val="0069567F"/>
    <w:rsid w:val="0069588A"/>
    <w:rsid w:val="0069589D"/>
    <w:rsid w:val="00695DAF"/>
    <w:rsid w:val="006960CA"/>
    <w:rsid w:val="006963E9"/>
    <w:rsid w:val="00696673"/>
    <w:rsid w:val="0069723A"/>
    <w:rsid w:val="006972AE"/>
    <w:rsid w:val="0069738D"/>
    <w:rsid w:val="006974BA"/>
    <w:rsid w:val="0069753B"/>
    <w:rsid w:val="006977F5"/>
    <w:rsid w:val="00697EE5"/>
    <w:rsid w:val="006A02C9"/>
    <w:rsid w:val="006A0313"/>
    <w:rsid w:val="006A0375"/>
    <w:rsid w:val="006A0465"/>
    <w:rsid w:val="006A050F"/>
    <w:rsid w:val="006A0CC9"/>
    <w:rsid w:val="006A17E2"/>
    <w:rsid w:val="006A1E79"/>
    <w:rsid w:val="006A2503"/>
    <w:rsid w:val="006A2624"/>
    <w:rsid w:val="006A2958"/>
    <w:rsid w:val="006A297F"/>
    <w:rsid w:val="006A2A8F"/>
    <w:rsid w:val="006A2AF3"/>
    <w:rsid w:val="006A2B32"/>
    <w:rsid w:val="006A2F88"/>
    <w:rsid w:val="006A2F8D"/>
    <w:rsid w:val="006A3410"/>
    <w:rsid w:val="006A3438"/>
    <w:rsid w:val="006A3735"/>
    <w:rsid w:val="006A39F5"/>
    <w:rsid w:val="006A4037"/>
    <w:rsid w:val="006A4093"/>
    <w:rsid w:val="006A4131"/>
    <w:rsid w:val="006A414A"/>
    <w:rsid w:val="006A43C9"/>
    <w:rsid w:val="006A4915"/>
    <w:rsid w:val="006A4BC2"/>
    <w:rsid w:val="006A5D3A"/>
    <w:rsid w:val="006A629B"/>
    <w:rsid w:val="006A68E5"/>
    <w:rsid w:val="006A7402"/>
    <w:rsid w:val="006A76A5"/>
    <w:rsid w:val="006A7C33"/>
    <w:rsid w:val="006A7D3C"/>
    <w:rsid w:val="006A7FD1"/>
    <w:rsid w:val="006B01A3"/>
    <w:rsid w:val="006B04A9"/>
    <w:rsid w:val="006B057D"/>
    <w:rsid w:val="006B0BEC"/>
    <w:rsid w:val="006B1032"/>
    <w:rsid w:val="006B164D"/>
    <w:rsid w:val="006B18F0"/>
    <w:rsid w:val="006B1ABC"/>
    <w:rsid w:val="006B1FA6"/>
    <w:rsid w:val="006B20DC"/>
    <w:rsid w:val="006B20F6"/>
    <w:rsid w:val="006B2341"/>
    <w:rsid w:val="006B23CD"/>
    <w:rsid w:val="006B25BA"/>
    <w:rsid w:val="006B2A81"/>
    <w:rsid w:val="006B2F0F"/>
    <w:rsid w:val="006B2FBA"/>
    <w:rsid w:val="006B30A8"/>
    <w:rsid w:val="006B32A6"/>
    <w:rsid w:val="006B3595"/>
    <w:rsid w:val="006B35EE"/>
    <w:rsid w:val="006B3812"/>
    <w:rsid w:val="006B4060"/>
    <w:rsid w:val="006B45C7"/>
    <w:rsid w:val="006B4747"/>
    <w:rsid w:val="006B5075"/>
    <w:rsid w:val="006B5116"/>
    <w:rsid w:val="006B5341"/>
    <w:rsid w:val="006B55FD"/>
    <w:rsid w:val="006B5F19"/>
    <w:rsid w:val="006B60A7"/>
    <w:rsid w:val="006B6531"/>
    <w:rsid w:val="006B689C"/>
    <w:rsid w:val="006B6CF5"/>
    <w:rsid w:val="006B7047"/>
    <w:rsid w:val="006B7153"/>
    <w:rsid w:val="006B71CE"/>
    <w:rsid w:val="006B75C4"/>
    <w:rsid w:val="006B75C6"/>
    <w:rsid w:val="006B76FD"/>
    <w:rsid w:val="006B7B48"/>
    <w:rsid w:val="006B7B6D"/>
    <w:rsid w:val="006B7E2C"/>
    <w:rsid w:val="006C064C"/>
    <w:rsid w:val="006C0875"/>
    <w:rsid w:val="006C0982"/>
    <w:rsid w:val="006C09E1"/>
    <w:rsid w:val="006C1176"/>
    <w:rsid w:val="006C12AD"/>
    <w:rsid w:val="006C1683"/>
    <w:rsid w:val="006C17C3"/>
    <w:rsid w:val="006C1F35"/>
    <w:rsid w:val="006C2B5F"/>
    <w:rsid w:val="006C2EC2"/>
    <w:rsid w:val="006C32D9"/>
    <w:rsid w:val="006C37C8"/>
    <w:rsid w:val="006C39E1"/>
    <w:rsid w:val="006C3A46"/>
    <w:rsid w:val="006C3D2F"/>
    <w:rsid w:val="006C4260"/>
    <w:rsid w:val="006C4281"/>
    <w:rsid w:val="006C4526"/>
    <w:rsid w:val="006C47FC"/>
    <w:rsid w:val="006C4AA7"/>
    <w:rsid w:val="006C558F"/>
    <w:rsid w:val="006C5AA1"/>
    <w:rsid w:val="006C5AB7"/>
    <w:rsid w:val="006C5EA2"/>
    <w:rsid w:val="006C5F1E"/>
    <w:rsid w:val="006C6726"/>
    <w:rsid w:val="006C6EE0"/>
    <w:rsid w:val="006C71E4"/>
    <w:rsid w:val="006C75A9"/>
    <w:rsid w:val="006C7885"/>
    <w:rsid w:val="006C79CA"/>
    <w:rsid w:val="006C7FDD"/>
    <w:rsid w:val="006D01E5"/>
    <w:rsid w:val="006D0645"/>
    <w:rsid w:val="006D1268"/>
    <w:rsid w:val="006D12C4"/>
    <w:rsid w:val="006D14AF"/>
    <w:rsid w:val="006D1557"/>
    <w:rsid w:val="006D1641"/>
    <w:rsid w:val="006D1F98"/>
    <w:rsid w:val="006D2084"/>
    <w:rsid w:val="006D278A"/>
    <w:rsid w:val="006D287F"/>
    <w:rsid w:val="006D3288"/>
    <w:rsid w:val="006D353C"/>
    <w:rsid w:val="006D3627"/>
    <w:rsid w:val="006D3699"/>
    <w:rsid w:val="006D371F"/>
    <w:rsid w:val="006D37D5"/>
    <w:rsid w:val="006D3C57"/>
    <w:rsid w:val="006D3D83"/>
    <w:rsid w:val="006D416C"/>
    <w:rsid w:val="006D418C"/>
    <w:rsid w:val="006D45D6"/>
    <w:rsid w:val="006D525B"/>
    <w:rsid w:val="006D52D3"/>
    <w:rsid w:val="006D547D"/>
    <w:rsid w:val="006D5504"/>
    <w:rsid w:val="006D57B9"/>
    <w:rsid w:val="006D58A3"/>
    <w:rsid w:val="006D5B46"/>
    <w:rsid w:val="006D5BDA"/>
    <w:rsid w:val="006D5CD5"/>
    <w:rsid w:val="006D6008"/>
    <w:rsid w:val="006D604F"/>
    <w:rsid w:val="006D6179"/>
    <w:rsid w:val="006D6482"/>
    <w:rsid w:val="006D705C"/>
    <w:rsid w:val="006D7B59"/>
    <w:rsid w:val="006D7EBF"/>
    <w:rsid w:val="006E04BF"/>
    <w:rsid w:val="006E054B"/>
    <w:rsid w:val="006E0D49"/>
    <w:rsid w:val="006E0F7E"/>
    <w:rsid w:val="006E12F9"/>
    <w:rsid w:val="006E172D"/>
    <w:rsid w:val="006E1BAB"/>
    <w:rsid w:val="006E1EFB"/>
    <w:rsid w:val="006E27B6"/>
    <w:rsid w:val="006E2874"/>
    <w:rsid w:val="006E2A37"/>
    <w:rsid w:val="006E2AF4"/>
    <w:rsid w:val="006E376E"/>
    <w:rsid w:val="006E37BC"/>
    <w:rsid w:val="006E39CB"/>
    <w:rsid w:val="006E4041"/>
    <w:rsid w:val="006E43BB"/>
    <w:rsid w:val="006E50A0"/>
    <w:rsid w:val="006E52DE"/>
    <w:rsid w:val="006E5AFD"/>
    <w:rsid w:val="006E6234"/>
    <w:rsid w:val="006E65B3"/>
    <w:rsid w:val="006E66CC"/>
    <w:rsid w:val="006E66F4"/>
    <w:rsid w:val="006E6A12"/>
    <w:rsid w:val="006E6B9D"/>
    <w:rsid w:val="006E6E03"/>
    <w:rsid w:val="006E7239"/>
    <w:rsid w:val="006E7878"/>
    <w:rsid w:val="006E7976"/>
    <w:rsid w:val="006F0844"/>
    <w:rsid w:val="006F0D38"/>
    <w:rsid w:val="006F10AC"/>
    <w:rsid w:val="006F11DC"/>
    <w:rsid w:val="006F1D49"/>
    <w:rsid w:val="006F1EC4"/>
    <w:rsid w:val="006F2355"/>
    <w:rsid w:val="006F2419"/>
    <w:rsid w:val="006F2895"/>
    <w:rsid w:val="006F3322"/>
    <w:rsid w:val="006F3577"/>
    <w:rsid w:val="006F37D0"/>
    <w:rsid w:val="006F391F"/>
    <w:rsid w:val="006F3D74"/>
    <w:rsid w:val="006F400A"/>
    <w:rsid w:val="006F42CB"/>
    <w:rsid w:val="006F4504"/>
    <w:rsid w:val="006F4714"/>
    <w:rsid w:val="006F4938"/>
    <w:rsid w:val="006F4E99"/>
    <w:rsid w:val="006F528C"/>
    <w:rsid w:val="006F52B1"/>
    <w:rsid w:val="006F5A3A"/>
    <w:rsid w:val="006F5BCA"/>
    <w:rsid w:val="006F5EF8"/>
    <w:rsid w:val="006F61F9"/>
    <w:rsid w:val="006F6283"/>
    <w:rsid w:val="006F6A4A"/>
    <w:rsid w:val="006F6FFC"/>
    <w:rsid w:val="006F73A0"/>
    <w:rsid w:val="006F73B1"/>
    <w:rsid w:val="006F79D8"/>
    <w:rsid w:val="006F7AEC"/>
    <w:rsid w:val="006F7C20"/>
    <w:rsid w:val="006F7E79"/>
    <w:rsid w:val="00700331"/>
    <w:rsid w:val="00700416"/>
    <w:rsid w:val="0070058A"/>
    <w:rsid w:val="0070079B"/>
    <w:rsid w:val="00700D79"/>
    <w:rsid w:val="00700DAC"/>
    <w:rsid w:val="00700F31"/>
    <w:rsid w:val="00701166"/>
    <w:rsid w:val="00701447"/>
    <w:rsid w:val="007015C0"/>
    <w:rsid w:val="00701B83"/>
    <w:rsid w:val="0070208F"/>
    <w:rsid w:val="00702209"/>
    <w:rsid w:val="0070224B"/>
    <w:rsid w:val="00702B2D"/>
    <w:rsid w:val="00702D0C"/>
    <w:rsid w:val="00703090"/>
    <w:rsid w:val="0070339E"/>
    <w:rsid w:val="007034B4"/>
    <w:rsid w:val="007036F3"/>
    <w:rsid w:val="007039A4"/>
    <w:rsid w:val="00703E5D"/>
    <w:rsid w:val="00704324"/>
    <w:rsid w:val="007043CD"/>
    <w:rsid w:val="00704444"/>
    <w:rsid w:val="00704949"/>
    <w:rsid w:val="00704A9E"/>
    <w:rsid w:val="00704B53"/>
    <w:rsid w:val="00704CB8"/>
    <w:rsid w:val="00704D6B"/>
    <w:rsid w:val="0070557E"/>
    <w:rsid w:val="007057D0"/>
    <w:rsid w:val="00705A0F"/>
    <w:rsid w:val="007063A7"/>
    <w:rsid w:val="007063FE"/>
    <w:rsid w:val="007066D5"/>
    <w:rsid w:val="00706840"/>
    <w:rsid w:val="00706D89"/>
    <w:rsid w:val="00706E0D"/>
    <w:rsid w:val="00706F21"/>
    <w:rsid w:val="00707620"/>
    <w:rsid w:val="00707C43"/>
    <w:rsid w:val="00707D14"/>
    <w:rsid w:val="007102A9"/>
    <w:rsid w:val="00710F97"/>
    <w:rsid w:val="007110F4"/>
    <w:rsid w:val="007119A0"/>
    <w:rsid w:val="00711A0D"/>
    <w:rsid w:val="00711FD0"/>
    <w:rsid w:val="007121CD"/>
    <w:rsid w:val="0071229A"/>
    <w:rsid w:val="007122AD"/>
    <w:rsid w:val="00712431"/>
    <w:rsid w:val="00712555"/>
    <w:rsid w:val="00712599"/>
    <w:rsid w:val="007128EC"/>
    <w:rsid w:val="0071297C"/>
    <w:rsid w:val="00712A58"/>
    <w:rsid w:val="00713144"/>
    <w:rsid w:val="0071351A"/>
    <w:rsid w:val="007135DD"/>
    <w:rsid w:val="00713651"/>
    <w:rsid w:val="007136CD"/>
    <w:rsid w:val="00713724"/>
    <w:rsid w:val="007137BF"/>
    <w:rsid w:val="007137D0"/>
    <w:rsid w:val="007137EF"/>
    <w:rsid w:val="007138AD"/>
    <w:rsid w:val="00713965"/>
    <w:rsid w:val="007139DF"/>
    <w:rsid w:val="00713EE3"/>
    <w:rsid w:val="007141EE"/>
    <w:rsid w:val="0071453F"/>
    <w:rsid w:val="00714654"/>
    <w:rsid w:val="007147DF"/>
    <w:rsid w:val="00714A83"/>
    <w:rsid w:val="00714AB0"/>
    <w:rsid w:val="00714AD2"/>
    <w:rsid w:val="00714BC4"/>
    <w:rsid w:val="00714D03"/>
    <w:rsid w:val="00715057"/>
    <w:rsid w:val="0071535A"/>
    <w:rsid w:val="0071561A"/>
    <w:rsid w:val="0071572E"/>
    <w:rsid w:val="00715A00"/>
    <w:rsid w:val="00715A39"/>
    <w:rsid w:val="00715B1F"/>
    <w:rsid w:val="0071621D"/>
    <w:rsid w:val="00716757"/>
    <w:rsid w:val="00716770"/>
    <w:rsid w:val="00716FE8"/>
    <w:rsid w:val="007177BF"/>
    <w:rsid w:val="00717931"/>
    <w:rsid w:val="00717B2A"/>
    <w:rsid w:val="0072008B"/>
    <w:rsid w:val="00720B8A"/>
    <w:rsid w:val="00720CAC"/>
    <w:rsid w:val="00721177"/>
    <w:rsid w:val="0072130D"/>
    <w:rsid w:val="00721406"/>
    <w:rsid w:val="007220D3"/>
    <w:rsid w:val="00722121"/>
    <w:rsid w:val="007221B2"/>
    <w:rsid w:val="00722490"/>
    <w:rsid w:val="00722656"/>
    <w:rsid w:val="00722723"/>
    <w:rsid w:val="007228D5"/>
    <w:rsid w:val="00722B77"/>
    <w:rsid w:val="0072311C"/>
    <w:rsid w:val="007235FC"/>
    <w:rsid w:val="00723667"/>
    <w:rsid w:val="007238E8"/>
    <w:rsid w:val="00723C42"/>
    <w:rsid w:val="00723F97"/>
    <w:rsid w:val="00724A51"/>
    <w:rsid w:val="00724BA5"/>
    <w:rsid w:val="00724D40"/>
    <w:rsid w:val="00725468"/>
    <w:rsid w:val="007254BB"/>
    <w:rsid w:val="007254F6"/>
    <w:rsid w:val="0072686D"/>
    <w:rsid w:val="00726B37"/>
    <w:rsid w:val="00726F5D"/>
    <w:rsid w:val="00726FEF"/>
    <w:rsid w:val="007271E4"/>
    <w:rsid w:val="0072760F"/>
    <w:rsid w:val="00727959"/>
    <w:rsid w:val="007279BA"/>
    <w:rsid w:val="00727AEB"/>
    <w:rsid w:val="00727D55"/>
    <w:rsid w:val="00727D5F"/>
    <w:rsid w:val="0073010B"/>
    <w:rsid w:val="00730803"/>
    <w:rsid w:val="00730817"/>
    <w:rsid w:val="00730845"/>
    <w:rsid w:val="00730905"/>
    <w:rsid w:val="007312FB"/>
    <w:rsid w:val="007313CD"/>
    <w:rsid w:val="00731545"/>
    <w:rsid w:val="00731852"/>
    <w:rsid w:val="00731D5F"/>
    <w:rsid w:val="00731E1B"/>
    <w:rsid w:val="0073213D"/>
    <w:rsid w:val="007326C3"/>
    <w:rsid w:val="00732EFD"/>
    <w:rsid w:val="0073319C"/>
    <w:rsid w:val="007332BA"/>
    <w:rsid w:val="0073338E"/>
    <w:rsid w:val="007338AE"/>
    <w:rsid w:val="00733CD5"/>
    <w:rsid w:val="00733FB4"/>
    <w:rsid w:val="0073402C"/>
    <w:rsid w:val="00734072"/>
    <w:rsid w:val="007343FC"/>
    <w:rsid w:val="007349B4"/>
    <w:rsid w:val="007349F6"/>
    <w:rsid w:val="00734C37"/>
    <w:rsid w:val="00735267"/>
    <w:rsid w:val="00735779"/>
    <w:rsid w:val="007359CD"/>
    <w:rsid w:val="00735C15"/>
    <w:rsid w:val="00736026"/>
    <w:rsid w:val="00736049"/>
    <w:rsid w:val="0073629D"/>
    <w:rsid w:val="00736404"/>
    <w:rsid w:val="00736407"/>
    <w:rsid w:val="007364EE"/>
    <w:rsid w:val="00736672"/>
    <w:rsid w:val="007367B7"/>
    <w:rsid w:val="00736BDD"/>
    <w:rsid w:val="00737838"/>
    <w:rsid w:val="00737CE8"/>
    <w:rsid w:val="00737F25"/>
    <w:rsid w:val="00737F61"/>
    <w:rsid w:val="00737F74"/>
    <w:rsid w:val="00740185"/>
    <w:rsid w:val="007404CC"/>
    <w:rsid w:val="00740990"/>
    <w:rsid w:val="00740A0E"/>
    <w:rsid w:val="00740ABB"/>
    <w:rsid w:val="00740EBC"/>
    <w:rsid w:val="00741002"/>
    <w:rsid w:val="0074122D"/>
    <w:rsid w:val="007413DE"/>
    <w:rsid w:val="007419B6"/>
    <w:rsid w:val="007419E3"/>
    <w:rsid w:val="00741ECA"/>
    <w:rsid w:val="00741F3F"/>
    <w:rsid w:val="00741FA3"/>
    <w:rsid w:val="00742295"/>
    <w:rsid w:val="007423F5"/>
    <w:rsid w:val="00742478"/>
    <w:rsid w:val="00742487"/>
    <w:rsid w:val="007426B1"/>
    <w:rsid w:val="00742C41"/>
    <w:rsid w:val="00742CC1"/>
    <w:rsid w:val="00742CC4"/>
    <w:rsid w:val="0074312E"/>
    <w:rsid w:val="007433BC"/>
    <w:rsid w:val="00743DFC"/>
    <w:rsid w:val="007443E0"/>
    <w:rsid w:val="00744578"/>
    <w:rsid w:val="00744951"/>
    <w:rsid w:val="00744FC7"/>
    <w:rsid w:val="00745188"/>
    <w:rsid w:val="00745206"/>
    <w:rsid w:val="007455B6"/>
    <w:rsid w:val="00745829"/>
    <w:rsid w:val="00745D05"/>
    <w:rsid w:val="00745D17"/>
    <w:rsid w:val="00745FAD"/>
    <w:rsid w:val="00746211"/>
    <w:rsid w:val="00746235"/>
    <w:rsid w:val="00746898"/>
    <w:rsid w:val="007469FA"/>
    <w:rsid w:val="00746BB0"/>
    <w:rsid w:val="00746EA3"/>
    <w:rsid w:val="00747213"/>
    <w:rsid w:val="0074743E"/>
    <w:rsid w:val="00747515"/>
    <w:rsid w:val="007475DE"/>
    <w:rsid w:val="00747681"/>
    <w:rsid w:val="00747978"/>
    <w:rsid w:val="00747DAB"/>
    <w:rsid w:val="00747FD9"/>
    <w:rsid w:val="00750134"/>
    <w:rsid w:val="0075046A"/>
    <w:rsid w:val="00750926"/>
    <w:rsid w:val="0075097A"/>
    <w:rsid w:val="00750983"/>
    <w:rsid w:val="00750BE3"/>
    <w:rsid w:val="00750C38"/>
    <w:rsid w:val="00750C62"/>
    <w:rsid w:val="007516EB"/>
    <w:rsid w:val="00751896"/>
    <w:rsid w:val="00751E99"/>
    <w:rsid w:val="00752616"/>
    <w:rsid w:val="00752780"/>
    <w:rsid w:val="00752DB9"/>
    <w:rsid w:val="00753440"/>
    <w:rsid w:val="00753911"/>
    <w:rsid w:val="00753D96"/>
    <w:rsid w:val="00754875"/>
    <w:rsid w:val="00754A0D"/>
    <w:rsid w:val="007551B1"/>
    <w:rsid w:val="0075534A"/>
    <w:rsid w:val="00755501"/>
    <w:rsid w:val="0075550A"/>
    <w:rsid w:val="00755669"/>
    <w:rsid w:val="007557DB"/>
    <w:rsid w:val="00756122"/>
    <w:rsid w:val="007563F0"/>
    <w:rsid w:val="007568ED"/>
    <w:rsid w:val="007569E4"/>
    <w:rsid w:val="007570EE"/>
    <w:rsid w:val="007571B8"/>
    <w:rsid w:val="0075727C"/>
    <w:rsid w:val="00757330"/>
    <w:rsid w:val="00757712"/>
    <w:rsid w:val="0076078B"/>
    <w:rsid w:val="00760A64"/>
    <w:rsid w:val="00760ABA"/>
    <w:rsid w:val="00761274"/>
    <w:rsid w:val="00761511"/>
    <w:rsid w:val="00761599"/>
    <w:rsid w:val="00761D59"/>
    <w:rsid w:val="007622EE"/>
    <w:rsid w:val="0076261E"/>
    <w:rsid w:val="0076286D"/>
    <w:rsid w:val="00762B69"/>
    <w:rsid w:val="00762C4F"/>
    <w:rsid w:val="00762C66"/>
    <w:rsid w:val="0076336E"/>
    <w:rsid w:val="0076382F"/>
    <w:rsid w:val="00763B6C"/>
    <w:rsid w:val="00763E9D"/>
    <w:rsid w:val="007641BF"/>
    <w:rsid w:val="0076461B"/>
    <w:rsid w:val="00764943"/>
    <w:rsid w:val="00764E63"/>
    <w:rsid w:val="007658D0"/>
    <w:rsid w:val="00765B11"/>
    <w:rsid w:val="00765BF6"/>
    <w:rsid w:val="00765D90"/>
    <w:rsid w:val="00766954"/>
    <w:rsid w:val="007677D3"/>
    <w:rsid w:val="0076792C"/>
    <w:rsid w:val="00767CF7"/>
    <w:rsid w:val="00767D38"/>
    <w:rsid w:val="00770208"/>
    <w:rsid w:val="00770A6D"/>
    <w:rsid w:val="00770D0C"/>
    <w:rsid w:val="007712A0"/>
    <w:rsid w:val="007712A7"/>
    <w:rsid w:val="0077142E"/>
    <w:rsid w:val="00771AC6"/>
    <w:rsid w:val="00771F50"/>
    <w:rsid w:val="007720A4"/>
    <w:rsid w:val="007720AB"/>
    <w:rsid w:val="00772391"/>
    <w:rsid w:val="00772D5B"/>
    <w:rsid w:val="00772EEA"/>
    <w:rsid w:val="00772FFD"/>
    <w:rsid w:val="007733F0"/>
    <w:rsid w:val="0077345B"/>
    <w:rsid w:val="0077356C"/>
    <w:rsid w:val="00773689"/>
    <w:rsid w:val="007736DF"/>
    <w:rsid w:val="00773A7A"/>
    <w:rsid w:val="00773A97"/>
    <w:rsid w:val="00773B01"/>
    <w:rsid w:val="00773BEC"/>
    <w:rsid w:val="00773D92"/>
    <w:rsid w:val="00773FC2"/>
    <w:rsid w:val="007748D4"/>
    <w:rsid w:val="00774936"/>
    <w:rsid w:val="00774BA2"/>
    <w:rsid w:val="00774D1A"/>
    <w:rsid w:val="007753FB"/>
    <w:rsid w:val="00775400"/>
    <w:rsid w:val="0077559B"/>
    <w:rsid w:val="007758FA"/>
    <w:rsid w:val="00775B12"/>
    <w:rsid w:val="00777039"/>
    <w:rsid w:val="00777112"/>
    <w:rsid w:val="007776C0"/>
    <w:rsid w:val="00777BCB"/>
    <w:rsid w:val="00777DFC"/>
    <w:rsid w:val="007802C3"/>
    <w:rsid w:val="00780418"/>
    <w:rsid w:val="00780B02"/>
    <w:rsid w:val="0078146F"/>
    <w:rsid w:val="00781B4D"/>
    <w:rsid w:val="00781B7A"/>
    <w:rsid w:val="00781BF1"/>
    <w:rsid w:val="00782089"/>
    <w:rsid w:val="007823EA"/>
    <w:rsid w:val="00782630"/>
    <w:rsid w:val="007828A9"/>
    <w:rsid w:val="00782A23"/>
    <w:rsid w:val="00783288"/>
    <w:rsid w:val="007834D3"/>
    <w:rsid w:val="00783881"/>
    <w:rsid w:val="00783EC5"/>
    <w:rsid w:val="00783EEA"/>
    <w:rsid w:val="00783F8A"/>
    <w:rsid w:val="0078417B"/>
    <w:rsid w:val="0078456E"/>
    <w:rsid w:val="00784C47"/>
    <w:rsid w:val="0078544F"/>
    <w:rsid w:val="007856C2"/>
    <w:rsid w:val="00785A3D"/>
    <w:rsid w:val="00785C6C"/>
    <w:rsid w:val="00785E62"/>
    <w:rsid w:val="00785F79"/>
    <w:rsid w:val="00786495"/>
    <w:rsid w:val="0078656C"/>
    <w:rsid w:val="0078661C"/>
    <w:rsid w:val="0078691E"/>
    <w:rsid w:val="00786A0F"/>
    <w:rsid w:val="00786AF5"/>
    <w:rsid w:val="00787BA3"/>
    <w:rsid w:val="00787CBB"/>
    <w:rsid w:val="00787F58"/>
    <w:rsid w:val="007904BB"/>
    <w:rsid w:val="00790684"/>
    <w:rsid w:val="00790961"/>
    <w:rsid w:val="007909F0"/>
    <w:rsid w:val="00790D5B"/>
    <w:rsid w:val="00791084"/>
    <w:rsid w:val="00791705"/>
    <w:rsid w:val="00791D17"/>
    <w:rsid w:val="00792002"/>
    <w:rsid w:val="00792760"/>
    <w:rsid w:val="0079295E"/>
    <w:rsid w:val="00792AA6"/>
    <w:rsid w:val="00792AF9"/>
    <w:rsid w:val="00792E05"/>
    <w:rsid w:val="00792E1E"/>
    <w:rsid w:val="007932D9"/>
    <w:rsid w:val="007934E1"/>
    <w:rsid w:val="00793538"/>
    <w:rsid w:val="007935E6"/>
    <w:rsid w:val="00793A06"/>
    <w:rsid w:val="00793B13"/>
    <w:rsid w:val="00793C9D"/>
    <w:rsid w:val="00793DD4"/>
    <w:rsid w:val="00793E6A"/>
    <w:rsid w:val="00794F1C"/>
    <w:rsid w:val="007951B3"/>
    <w:rsid w:val="00795647"/>
    <w:rsid w:val="007956DE"/>
    <w:rsid w:val="0079626E"/>
    <w:rsid w:val="0079688A"/>
    <w:rsid w:val="00796ABD"/>
    <w:rsid w:val="00797286"/>
    <w:rsid w:val="00797688"/>
    <w:rsid w:val="007976BC"/>
    <w:rsid w:val="007A027E"/>
    <w:rsid w:val="007A0948"/>
    <w:rsid w:val="007A0C44"/>
    <w:rsid w:val="007A1135"/>
    <w:rsid w:val="007A1535"/>
    <w:rsid w:val="007A1789"/>
    <w:rsid w:val="007A17F6"/>
    <w:rsid w:val="007A19F1"/>
    <w:rsid w:val="007A1AD9"/>
    <w:rsid w:val="007A1AE2"/>
    <w:rsid w:val="007A200B"/>
    <w:rsid w:val="007A204E"/>
    <w:rsid w:val="007A2259"/>
    <w:rsid w:val="007A2317"/>
    <w:rsid w:val="007A2429"/>
    <w:rsid w:val="007A250C"/>
    <w:rsid w:val="007A28A7"/>
    <w:rsid w:val="007A2DE1"/>
    <w:rsid w:val="007A30D3"/>
    <w:rsid w:val="007A3699"/>
    <w:rsid w:val="007A36B1"/>
    <w:rsid w:val="007A3942"/>
    <w:rsid w:val="007A3BED"/>
    <w:rsid w:val="007A3C55"/>
    <w:rsid w:val="007A42FC"/>
    <w:rsid w:val="007A45AF"/>
    <w:rsid w:val="007A45BE"/>
    <w:rsid w:val="007A49AC"/>
    <w:rsid w:val="007A4B83"/>
    <w:rsid w:val="007A4E22"/>
    <w:rsid w:val="007A54E9"/>
    <w:rsid w:val="007A56CB"/>
    <w:rsid w:val="007A5926"/>
    <w:rsid w:val="007A5E4C"/>
    <w:rsid w:val="007A6144"/>
    <w:rsid w:val="007A62B6"/>
    <w:rsid w:val="007A6442"/>
    <w:rsid w:val="007A66DC"/>
    <w:rsid w:val="007A672D"/>
    <w:rsid w:val="007A67D0"/>
    <w:rsid w:val="007A6ADC"/>
    <w:rsid w:val="007A73FD"/>
    <w:rsid w:val="007A78D5"/>
    <w:rsid w:val="007A79D1"/>
    <w:rsid w:val="007A7B0B"/>
    <w:rsid w:val="007B0083"/>
    <w:rsid w:val="007B042C"/>
    <w:rsid w:val="007B083B"/>
    <w:rsid w:val="007B0C92"/>
    <w:rsid w:val="007B12A6"/>
    <w:rsid w:val="007B152F"/>
    <w:rsid w:val="007B17EE"/>
    <w:rsid w:val="007B1C92"/>
    <w:rsid w:val="007B1FC2"/>
    <w:rsid w:val="007B2525"/>
    <w:rsid w:val="007B2909"/>
    <w:rsid w:val="007B2EFB"/>
    <w:rsid w:val="007B3348"/>
    <w:rsid w:val="007B3A6A"/>
    <w:rsid w:val="007B3C81"/>
    <w:rsid w:val="007B436D"/>
    <w:rsid w:val="007B4731"/>
    <w:rsid w:val="007B48A0"/>
    <w:rsid w:val="007B48AD"/>
    <w:rsid w:val="007B4B9B"/>
    <w:rsid w:val="007B5AF3"/>
    <w:rsid w:val="007B5BC4"/>
    <w:rsid w:val="007B62D1"/>
    <w:rsid w:val="007B6AC4"/>
    <w:rsid w:val="007B6CB6"/>
    <w:rsid w:val="007B74E5"/>
    <w:rsid w:val="007B783B"/>
    <w:rsid w:val="007B7D15"/>
    <w:rsid w:val="007C00B3"/>
    <w:rsid w:val="007C00CE"/>
    <w:rsid w:val="007C0276"/>
    <w:rsid w:val="007C0942"/>
    <w:rsid w:val="007C0A72"/>
    <w:rsid w:val="007C1B28"/>
    <w:rsid w:val="007C1E5A"/>
    <w:rsid w:val="007C1FCB"/>
    <w:rsid w:val="007C28BC"/>
    <w:rsid w:val="007C2B01"/>
    <w:rsid w:val="007C3485"/>
    <w:rsid w:val="007C4235"/>
    <w:rsid w:val="007C4439"/>
    <w:rsid w:val="007C55F7"/>
    <w:rsid w:val="007C5A83"/>
    <w:rsid w:val="007C5C17"/>
    <w:rsid w:val="007C5C55"/>
    <w:rsid w:val="007C6086"/>
    <w:rsid w:val="007C6253"/>
    <w:rsid w:val="007C6CA0"/>
    <w:rsid w:val="007C6CB8"/>
    <w:rsid w:val="007C77E6"/>
    <w:rsid w:val="007C78A3"/>
    <w:rsid w:val="007C7996"/>
    <w:rsid w:val="007D049C"/>
    <w:rsid w:val="007D04DF"/>
    <w:rsid w:val="007D0787"/>
    <w:rsid w:val="007D0CC0"/>
    <w:rsid w:val="007D0D17"/>
    <w:rsid w:val="007D0E2A"/>
    <w:rsid w:val="007D12A8"/>
    <w:rsid w:val="007D1380"/>
    <w:rsid w:val="007D1799"/>
    <w:rsid w:val="007D22D4"/>
    <w:rsid w:val="007D2526"/>
    <w:rsid w:val="007D2B56"/>
    <w:rsid w:val="007D2C20"/>
    <w:rsid w:val="007D2E75"/>
    <w:rsid w:val="007D3BA6"/>
    <w:rsid w:val="007D3E10"/>
    <w:rsid w:val="007D4213"/>
    <w:rsid w:val="007D4505"/>
    <w:rsid w:val="007D48AF"/>
    <w:rsid w:val="007D4FE3"/>
    <w:rsid w:val="007D5283"/>
    <w:rsid w:val="007D595B"/>
    <w:rsid w:val="007D5E01"/>
    <w:rsid w:val="007D64F1"/>
    <w:rsid w:val="007D6525"/>
    <w:rsid w:val="007D65A1"/>
    <w:rsid w:val="007D66C1"/>
    <w:rsid w:val="007D67FF"/>
    <w:rsid w:val="007D6AD1"/>
    <w:rsid w:val="007D6BDA"/>
    <w:rsid w:val="007D79EA"/>
    <w:rsid w:val="007D7EA3"/>
    <w:rsid w:val="007E005B"/>
    <w:rsid w:val="007E072C"/>
    <w:rsid w:val="007E086B"/>
    <w:rsid w:val="007E086C"/>
    <w:rsid w:val="007E08EA"/>
    <w:rsid w:val="007E0D0E"/>
    <w:rsid w:val="007E0E60"/>
    <w:rsid w:val="007E1228"/>
    <w:rsid w:val="007E1663"/>
    <w:rsid w:val="007E1837"/>
    <w:rsid w:val="007E1C54"/>
    <w:rsid w:val="007E1C8E"/>
    <w:rsid w:val="007E209A"/>
    <w:rsid w:val="007E2161"/>
    <w:rsid w:val="007E26D3"/>
    <w:rsid w:val="007E2905"/>
    <w:rsid w:val="007E2E04"/>
    <w:rsid w:val="007E2E39"/>
    <w:rsid w:val="007E2E4F"/>
    <w:rsid w:val="007E2E6B"/>
    <w:rsid w:val="007E321C"/>
    <w:rsid w:val="007E34DA"/>
    <w:rsid w:val="007E3699"/>
    <w:rsid w:val="007E4559"/>
    <w:rsid w:val="007E4577"/>
    <w:rsid w:val="007E4898"/>
    <w:rsid w:val="007E4979"/>
    <w:rsid w:val="007E49E3"/>
    <w:rsid w:val="007E4A10"/>
    <w:rsid w:val="007E505C"/>
    <w:rsid w:val="007E5209"/>
    <w:rsid w:val="007E5536"/>
    <w:rsid w:val="007E55C3"/>
    <w:rsid w:val="007E563F"/>
    <w:rsid w:val="007E5F15"/>
    <w:rsid w:val="007E60F6"/>
    <w:rsid w:val="007E64E0"/>
    <w:rsid w:val="007E67EB"/>
    <w:rsid w:val="007E6966"/>
    <w:rsid w:val="007E6FB1"/>
    <w:rsid w:val="007E70CD"/>
    <w:rsid w:val="007E727C"/>
    <w:rsid w:val="007E73C1"/>
    <w:rsid w:val="007E77A9"/>
    <w:rsid w:val="007E7847"/>
    <w:rsid w:val="007E79C0"/>
    <w:rsid w:val="007F02A9"/>
    <w:rsid w:val="007F02B4"/>
    <w:rsid w:val="007F0A40"/>
    <w:rsid w:val="007F0AB6"/>
    <w:rsid w:val="007F0D76"/>
    <w:rsid w:val="007F10AD"/>
    <w:rsid w:val="007F1564"/>
    <w:rsid w:val="007F1643"/>
    <w:rsid w:val="007F1697"/>
    <w:rsid w:val="007F1C56"/>
    <w:rsid w:val="007F1DD7"/>
    <w:rsid w:val="007F1E3E"/>
    <w:rsid w:val="007F1EB9"/>
    <w:rsid w:val="007F1F96"/>
    <w:rsid w:val="007F2550"/>
    <w:rsid w:val="007F2AAE"/>
    <w:rsid w:val="007F2B7F"/>
    <w:rsid w:val="007F3132"/>
    <w:rsid w:val="007F3934"/>
    <w:rsid w:val="007F3C60"/>
    <w:rsid w:val="007F3D8E"/>
    <w:rsid w:val="007F41BE"/>
    <w:rsid w:val="007F4217"/>
    <w:rsid w:val="007F439E"/>
    <w:rsid w:val="007F4EF8"/>
    <w:rsid w:val="007F50D8"/>
    <w:rsid w:val="007F5438"/>
    <w:rsid w:val="007F547F"/>
    <w:rsid w:val="007F56E8"/>
    <w:rsid w:val="007F5C86"/>
    <w:rsid w:val="007F5D3C"/>
    <w:rsid w:val="007F5D45"/>
    <w:rsid w:val="007F5EF4"/>
    <w:rsid w:val="007F6387"/>
    <w:rsid w:val="007F6738"/>
    <w:rsid w:val="007F718D"/>
    <w:rsid w:val="007F72CB"/>
    <w:rsid w:val="007F7786"/>
    <w:rsid w:val="007F78EF"/>
    <w:rsid w:val="007F7BBE"/>
    <w:rsid w:val="007F7F25"/>
    <w:rsid w:val="007F7F88"/>
    <w:rsid w:val="00800735"/>
    <w:rsid w:val="00800A2D"/>
    <w:rsid w:val="00800BAC"/>
    <w:rsid w:val="008015CE"/>
    <w:rsid w:val="00801B69"/>
    <w:rsid w:val="00801C5F"/>
    <w:rsid w:val="00801DA8"/>
    <w:rsid w:val="00801F3A"/>
    <w:rsid w:val="00802468"/>
    <w:rsid w:val="00802470"/>
    <w:rsid w:val="00802818"/>
    <w:rsid w:val="00802921"/>
    <w:rsid w:val="00802C4F"/>
    <w:rsid w:val="00802E2C"/>
    <w:rsid w:val="008031EA"/>
    <w:rsid w:val="008032AB"/>
    <w:rsid w:val="008033EA"/>
    <w:rsid w:val="008034F1"/>
    <w:rsid w:val="00803EC8"/>
    <w:rsid w:val="00803FD8"/>
    <w:rsid w:val="00804302"/>
    <w:rsid w:val="0080458B"/>
    <w:rsid w:val="00804B58"/>
    <w:rsid w:val="00804DF5"/>
    <w:rsid w:val="00804ED9"/>
    <w:rsid w:val="00804F21"/>
    <w:rsid w:val="00805208"/>
    <w:rsid w:val="00805250"/>
    <w:rsid w:val="008056BD"/>
    <w:rsid w:val="00805998"/>
    <w:rsid w:val="008068BD"/>
    <w:rsid w:val="00806A9A"/>
    <w:rsid w:val="00806C78"/>
    <w:rsid w:val="00806D7B"/>
    <w:rsid w:val="00806EC1"/>
    <w:rsid w:val="00807A4B"/>
    <w:rsid w:val="00810589"/>
    <w:rsid w:val="0081071A"/>
    <w:rsid w:val="0081089A"/>
    <w:rsid w:val="00810F5D"/>
    <w:rsid w:val="008110EF"/>
    <w:rsid w:val="00811159"/>
    <w:rsid w:val="0081132D"/>
    <w:rsid w:val="00811CB0"/>
    <w:rsid w:val="00811CB5"/>
    <w:rsid w:val="008121DF"/>
    <w:rsid w:val="00812312"/>
    <w:rsid w:val="00812A46"/>
    <w:rsid w:val="00812BFE"/>
    <w:rsid w:val="00812D0C"/>
    <w:rsid w:val="00812E59"/>
    <w:rsid w:val="00812E5E"/>
    <w:rsid w:val="00812FD7"/>
    <w:rsid w:val="008132AD"/>
    <w:rsid w:val="008132B9"/>
    <w:rsid w:val="008136E8"/>
    <w:rsid w:val="00813A89"/>
    <w:rsid w:val="00813FF2"/>
    <w:rsid w:val="00814264"/>
    <w:rsid w:val="008143E3"/>
    <w:rsid w:val="00814CB0"/>
    <w:rsid w:val="00814E1F"/>
    <w:rsid w:val="00814FE3"/>
    <w:rsid w:val="00815285"/>
    <w:rsid w:val="00815899"/>
    <w:rsid w:val="008163BE"/>
    <w:rsid w:val="00816400"/>
    <w:rsid w:val="0081663C"/>
    <w:rsid w:val="00817861"/>
    <w:rsid w:val="00817E05"/>
    <w:rsid w:val="008200F2"/>
    <w:rsid w:val="00820631"/>
    <w:rsid w:val="00820AB4"/>
    <w:rsid w:val="00820CD7"/>
    <w:rsid w:val="00820D8A"/>
    <w:rsid w:val="00820D95"/>
    <w:rsid w:val="0082129F"/>
    <w:rsid w:val="008214FB"/>
    <w:rsid w:val="00821A0A"/>
    <w:rsid w:val="008221BD"/>
    <w:rsid w:val="00822361"/>
    <w:rsid w:val="00822494"/>
    <w:rsid w:val="0082264B"/>
    <w:rsid w:val="008229B8"/>
    <w:rsid w:val="00822C27"/>
    <w:rsid w:val="008231D8"/>
    <w:rsid w:val="0082332B"/>
    <w:rsid w:val="008237EF"/>
    <w:rsid w:val="008238B0"/>
    <w:rsid w:val="00823AFF"/>
    <w:rsid w:val="00823B52"/>
    <w:rsid w:val="00823C30"/>
    <w:rsid w:val="0082410E"/>
    <w:rsid w:val="0082462B"/>
    <w:rsid w:val="00824A90"/>
    <w:rsid w:val="008250C6"/>
    <w:rsid w:val="00825217"/>
    <w:rsid w:val="0082523A"/>
    <w:rsid w:val="008255D4"/>
    <w:rsid w:val="00826143"/>
    <w:rsid w:val="008261D5"/>
    <w:rsid w:val="0082660D"/>
    <w:rsid w:val="00826B1D"/>
    <w:rsid w:val="00826BEF"/>
    <w:rsid w:val="00826E89"/>
    <w:rsid w:val="00827346"/>
    <w:rsid w:val="00827384"/>
    <w:rsid w:val="0082768E"/>
    <w:rsid w:val="00827F5C"/>
    <w:rsid w:val="008302E8"/>
    <w:rsid w:val="00830347"/>
    <w:rsid w:val="00830E0B"/>
    <w:rsid w:val="008319BE"/>
    <w:rsid w:val="0083258B"/>
    <w:rsid w:val="008325BD"/>
    <w:rsid w:val="0083269E"/>
    <w:rsid w:val="00832BD1"/>
    <w:rsid w:val="00832EAC"/>
    <w:rsid w:val="00832FA8"/>
    <w:rsid w:val="00833246"/>
    <w:rsid w:val="00833409"/>
    <w:rsid w:val="008334AD"/>
    <w:rsid w:val="00833EE6"/>
    <w:rsid w:val="00834243"/>
    <w:rsid w:val="008342E1"/>
    <w:rsid w:val="00834404"/>
    <w:rsid w:val="0083460A"/>
    <w:rsid w:val="00834709"/>
    <w:rsid w:val="00835105"/>
    <w:rsid w:val="0083549D"/>
    <w:rsid w:val="008354A4"/>
    <w:rsid w:val="00835D43"/>
    <w:rsid w:val="00836AED"/>
    <w:rsid w:val="00836CC8"/>
    <w:rsid w:val="00836DE4"/>
    <w:rsid w:val="008377AF"/>
    <w:rsid w:val="00837A3C"/>
    <w:rsid w:val="00840122"/>
    <w:rsid w:val="008401B0"/>
    <w:rsid w:val="008402B0"/>
    <w:rsid w:val="00840723"/>
    <w:rsid w:val="00840CE5"/>
    <w:rsid w:val="00841122"/>
    <w:rsid w:val="008412B4"/>
    <w:rsid w:val="008415FB"/>
    <w:rsid w:val="008418B9"/>
    <w:rsid w:val="00841D9C"/>
    <w:rsid w:val="008424A6"/>
    <w:rsid w:val="00842653"/>
    <w:rsid w:val="00842BC4"/>
    <w:rsid w:val="00842BD6"/>
    <w:rsid w:val="00842C0D"/>
    <w:rsid w:val="00842C55"/>
    <w:rsid w:val="00842F8D"/>
    <w:rsid w:val="008436D9"/>
    <w:rsid w:val="00843896"/>
    <w:rsid w:val="00843B0F"/>
    <w:rsid w:val="00843CB4"/>
    <w:rsid w:val="00844047"/>
    <w:rsid w:val="008445B2"/>
    <w:rsid w:val="008447FF"/>
    <w:rsid w:val="008449E4"/>
    <w:rsid w:val="00844A8F"/>
    <w:rsid w:val="00844ADD"/>
    <w:rsid w:val="008451EB"/>
    <w:rsid w:val="008452AA"/>
    <w:rsid w:val="0084580E"/>
    <w:rsid w:val="00845FEA"/>
    <w:rsid w:val="00846358"/>
    <w:rsid w:val="00846BD9"/>
    <w:rsid w:val="0084731E"/>
    <w:rsid w:val="00847428"/>
    <w:rsid w:val="0084750E"/>
    <w:rsid w:val="0084770F"/>
    <w:rsid w:val="0085058D"/>
    <w:rsid w:val="0085063C"/>
    <w:rsid w:val="00850C16"/>
    <w:rsid w:val="00850FA2"/>
    <w:rsid w:val="008516AD"/>
    <w:rsid w:val="0085189C"/>
    <w:rsid w:val="008518B8"/>
    <w:rsid w:val="00851980"/>
    <w:rsid w:val="00851D17"/>
    <w:rsid w:val="00851D91"/>
    <w:rsid w:val="00851FD3"/>
    <w:rsid w:val="008522E6"/>
    <w:rsid w:val="008527C2"/>
    <w:rsid w:val="0085332A"/>
    <w:rsid w:val="00853676"/>
    <w:rsid w:val="00853D5A"/>
    <w:rsid w:val="00854199"/>
    <w:rsid w:val="0085435C"/>
    <w:rsid w:val="00854508"/>
    <w:rsid w:val="00854604"/>
    <w:rsid w:val="00854885"/>
    <w:rsid w:val="00854BCD"/>
    <w:rsid w:val="008550B6"/>
    <w:rsid w:val="0085542B"/>
    <w:rsid w:val="00855804"/>
    <w:rsid w:val="00855932"/>
    <w:rsid w:val="00855B06"/>
    <w:rsid w:val="00855D67"/>
    <w:rsid w:val="00855E4F"/>
    <w:rsid w:val="00855F0B"/>
    <w:rsid w:val="008565BA"/>
    <w:rsid w:val="00856945"/>
    <w:rsid w:val="0085699F"/>
    <w:rsid w:val="00856AEE"/>
    <w:rsid w:val="00856B70"/>
    <w:rsid w:val="0085704C"/>
    <w:rsid w:val="008571F0"/>
    <w:rsid w:val="00857539"/>
    <w:rsid w:val="00857748"/>
    <w:rsid w:val="00857758"/>
    <w:rsid w:val="0085775E"/>
    <w:rsid w:val="00857BBF"/>
    <w:rsid w:val="00857E99"/>
    <w:rsid w:val="00857FF0"/>
    <w:rsid w:val="00860309"/>
    <w:rsid w:val="0086039A"/>
    <w:rsid w:val="008607B5"/>
    <w:rsid w:val="00860993"/>
    <w:rsid w:val="00860DE8"/>
    <w:rsid w:val="00860F4D"/>
    <w:rsid w:val="0086121D"/>
    <w:rsid w:val="008612A1"/>
    <w:rsid w:val="008615DE"/>
    <w:rsid w:val="00861D79"/>
    <w:rsid w:val="008621AD"/>
    <w:rsid w:val="00862408"/>
    <w:rsid w:val="00862447"/>
    <w:rsid w:val="00862648"/>
    <w:rsid w:val="00862790"/>
    <w:rsid w:val="00862E9A"/>
    <w:rsid w:val="0086332B"/>
    <w:rsid w:val="0086351B"/>
    <w:rsid w:val="00863794"/>
    <w:rsid w:val="00863A50"/>
    <w:rsid w:val="00863AAE"/>
    <w:rsid w:val="00863F15"/>
    <w:rsid w:val="00864113"/>
    <w:rsid w:val="00864720"/>
    <w:rsid w:val="0086477F"/>
    <w:rsid w:val="00864942"/>
    <w:rsid w:val="00864C5E"/>
    <w:rsid w:val="00865402"/>
    <w:rsid w:val="008656A1"/>
    <w:rsid w:val="00865F9F"/>
    <w:rsid w:val="00866111"/>
    <w:rsid w:val="008664C6"/>
    <w:rsid w:val="008665D6"/>
    <w:rsid w:val="00866738"/>
    <w:rsid w:val="0086674E"/>
    <w:rsid w:val="00866B53"/>
    <w:rsid w:val="00866B6E"/>
    <w:rsid w:val="008670C6"/>
    <w:rsid w:val="00867144"/>
    <w:rsid w:val="00867979"/>
    <w:rsid w:val="00867BD9"/>
    <w:rsid w:val="00870303"/>
    <w:rsid w:val="0087065F"/>
    <w:rsid w:val="00870D4F"/>
    <w:rsid w:val="00870E79"/>
    <w:rsid w:val="00871580"/>
    <w:rsid w:val="00871824"/>
    <w:rsid w:val="00871AB6"/>
    <w:rsid w:val="00871E8F"/>
    <w:rsid w:val="00872EF4"/>
    <w:rsid w:val="008733BC"/>
    <w:rsid w:val="008733D3"/>
    <w:rsid w:val="00873B20"/>
    <w:rsid w:val="00873BEA"/>
    <w:rsid w:val="00873DD4"/>
    <w:rsid w:val="00873EFE"/>
    <w:rsid w:val="0087421A"/>
    <w:rsid w:val="008743A8"/>
    <w:rsid w:val="00874D58"/>
    <w:rsid w:val="00874E89"/>
    <w:rsid w:val="008751CC"/>
    <w:rsid w:val="00875A21"/>
    <w:rsid w:val="00875B2F"/>
    <w:rsid w:val="00875DDD"/>
    <w:rsid w:val="00875F32"/>
    <w:rsid w:val="0087604A"/>
    <w:rsid w:val="00876060"/>
    <w:rsid w:val="008760F9"/>
    <w:rsid w:val="008763A0"/>
    <w:rsid w:val="00876E37"/>
    <w:rsid w:val="00877AB8"/>
    <w:rsid w:val="00877F87"/>
    <w:rsid w:val="00880B6F"/>
    <w:rsid w:val="00880EDE"/>
    <w:rsid w:val="00881042"/>
    <w:rsid w:val="008818C3"/>
    <w:rsid w:val="008827CA"/>
    <w:rsid w:val="008827EE"/>
    <w:rsid w:val="0088319D"/>
    <w:rsid w:val="00883707"/>
    <w:rsid w:val="00883714"/>
    <w:rsid w:val="008839BF"/>
    <w:rsid w:val="0088404F"/>
    <w:rsid w:val="008842DB"/>
    <w:rsid w:val="0088449D"/>
    <w:rsid w:val="008846ED"/>
    <w:rsid w:val="0088478A"/>
    <w:rsid w:val="0088497B"/>
    <w:rsid w:val="00884DEA"/>
    <w:rsid w:val="00885035"/>
    <w:rsid w:val="008853C2"/>
    <w:rsid w:val="00885492"/>
    <w:rsid w:val="00885BC4"/>
    <w:rsid w:val="00885D3A"/>
    <w:rsid w:val="00885F32"/>
    <w:rsid w:val="00886C7B"/>
    <w:rsid w:val="0088703A"/>
    <w:rsid w:val="0088706E"/>
    <w:rsid w:val="0088728B"/>
    <w:rsid w:val="008873A5"/>
    <w:rsid w:val="008874F5"/>
    <w:rsid w:val="00887C9E"/>
    <w:rsid w:val="00887FFA"/>
    <w:rsid w:val="008903B0"/>
    <w:rsid w:val="008904A8"/>
    <w:rsid w:val="008907B8"/>
    <w:rsid w:val="008909A0"/>
    <w:rsid w:val="00890C77"/>
    <w:rsid w:val="0089181E"/>
    <w:rsid w:val="00891C3D"/>
    <w:rsid w:val="00892022"/>
    <w:rsid w:val="008921BD"/>
    <w:rsid w:val="008923F0"/>
    <w:rsid w:val="00892806"/>
    <w:rsid w:val="0089298B"/>
    <w:rsid w:val="00892A5F"/>
    <w:rsid w:val="00892BE0"/>
    <w:rsid w:val="00892E07"/>
    <w:rsid w:val="00892EDD"/>
    <w:rsid w:val="0089336E"/>
    <w:rsid w:val="0089355C"/>
    <w:rsid w:val="0089370D"/>
    <w:rsid w:val="00893746"/>
    <w:rsid w:val="008939AD"/>
    <w:rsid w:val="00894453"/>
    <w:rsid w:val="00894660"/>
    <w:rsid w:val="00894B77"/>
    <w:rsid w:val="00894B8E"/>
    <w:rsid w:val="00894BCF"/>
    <w:rsid w:val="00894DEB"/>
    <w:rsid w:val="008964E1"/>
    <w:rsid w:val="00896504"/>
    <w:rsid w:val="00896514"/>
    <w:rsid w:val="008965CD"/>
    <w:rsid w:val="008966F7"/>
    <w:rsid w:val="008967EA"/>
    <w:rsid w:val="00896992"/>
    <w:rsid w:val="0089699E"/>
    <w:rsid w:val="00896BAF"/>
    <w:rsid w:val="00896D79"/>
    <w:rsid w:val="0089713E"/>
    <w:rsid w:val="0089714E"/>
    <w:rsid w:val="0089725A"/>
    <w:rsid w:val="00897E42"/>
    <w:rsid w:val="008A06E4"/>
    <w:rsid w:val="008A121E"/>
    <w:rsid w:val="008A1340"/>
    <w:rsid w:val="008A173B"/>
    <w:rsid w:val="008A198D"/>
    <w:rsid w:val="008A246E"/>
    <w:rsid w:val="008A2525"/>
    <w:rsid w:val="008A3555"/>
    <w:rsid w:val="008A3604"/>
    <w:rsid w:val="008A3645"/>
    <w:rsid w:val="008A3888"/>
    <w:rsid w:val="008A3BB1"/>
    <w:rsid w:val="008A3DB2"/>
    <w:rsid w:val="008A3E49"/>
    <w:rsid w:val="008A4331"/>
    <w:rsid w:val="008A44AD"/>
    <w:rsid w:val="008A4614"/>
    <w:rsid w:val="008A4903"/>
    <w:rsid w:val="008A4A91"/>
    <w:rsid w:val="008A4CEB"/>
    <w:rsid w:val="008A4D31"/>
    <w:rsid w:val="008A52A6"/>
    <w:rsid w:val="008A5453"/>
    <w:rsid w:val="008A5B8A"/>
    <w:rsid w:val="008A5DD8"/>
    <w:rsid w:val="008A624C"/>
    <w:rsid w:val="008A66CD"/>
    <w:rsid w:val="008A6771"/>
    <w:rsid w:val="008A69FB"/>
    <w:rsid w:val="008A70F0"/>
    <w:rsid w:val="008A7323"/>
    <w:rsid w:val="008A743E"/>
    <w:rsid w:val="008A74E2"/>
    <w:rsid w:val="008A7597"/>
    <w:rsid w:val="008A7871"/>
    <w:rsid w:val="008B07B3"/>
    <w:rsid w:val="008B0F80"/>
    <w:rsid w:val="008B106C"/>
    <w:rsid w:val="008B1135"/>
    <w:rsid w:val="008B151F"/>
    <w:rsid w:val="008B1534"/>
    <w:rsid w:val="008B1FCA"/>
    <w:rsid w:val="008B2571"/>
    <w:rsid w:val="008B2ECF"/>
    <w:rsid w:val="008B3129"/>
    <w:rsid w:val="008B36C1"/>
    <w:rsid w:val="008B43E8"/>
    <w:rsid w:val="008B4420"/>
    <w:rsid w:val="008B45CD"/>
    <w:rsid w:val="008B4D8A"/>
    <w:rsid w:val="008B54F2"/>
    <w:rsid w:val="008B59CB"/>
    <w:rsid w:val="008B5B2A"/>
    <w:rsid w:val="008B6144"/>
    <w:rsid w:val="008B694A"/>
    <w:rsid w:val="008B6BEA"/>
    <w:rsid w:val="008B6C66"/>
    <w:rsid w:val="008B6D03"/>
    <w:rsid w:val="008B7403"/>
    <w:rsid w:val="008B74C4"/>
    <w:rsid w:val="008B77DB"/>
    <w:rsid w:val="008B7CF2"/>
    <w:rsid w:val="008C00ED"/>
    <w:rsid w:val="008C0100"/>
    <w:rsid w:val="008C063C"/>
    <w:rsid w:val="008C0CBA"/>
    <w:rsid w:val="008C0DF6"/>
    <w:rsid w:val="008C0F8C"/>
    <w:rsid w:val="008C1351"/>
    <w:rsid w:val="008C13D4"/>
    <w:rsid w:val="008C1588"/>
    <w:rsid w:val="008C1832"/>
    <w:rsid w:val="008C1837"/>
    <w:rsid w:val="008C19AC"/>
    <w:rsid w:val="008C22E1"/>
    <w:rsid w:val="008C2520"/>
    <w:rsid w:val="008C26A0"/>
    <w:rsid w:val="008C290A"/>
    <w:rsid w:val="008C2A2B"/>
    <w:rsid w:val="008C2A62"/>
    <w:rsid w:val="008C2AA9"/>
    <w:rsid w:val="008C2BCB"/>
    <w:rsid w:val="008C2CAB"/>
    <w:rsid w:val="008C308F"/>
    <w:rsid w:val="008C30CF"/>
    <w:rsid w:val="008C323B"/>
    <w:rsid w:val="008C3FD5"/>
    <w:rsid w:val="008C443B"/>
    <w:rsid w:val="008C48E1"/>
    <w:rsid w:val="008C4933"/>
    <w:rsid w:val="008C4DF1"/>
    <w:rsid w:val="008C50B2"/>
    <w:rsid w:val="008C50ED"/>
    <w:rsid w:val="008C5276"/>
    <w:rsid w:val="008C55B5"/>
    <w:rsid w:val="008C56E5"/>
    <w:rsid w:val="008C5997"/>
    <w:rsid w:val="008C5CDF"/>
    <w:rsid w:val="008C5E07"/>
    <w:rsid w:val="008C65CC"/>
    <w:rsid w:val="008C6E0C"/>
    <w:rsid w:val="008C7086"/>
    <w:rsid w:val="008C7171"/>
    <w:rsid w:val="008C71B9"/>
    <w:rsid w:val="008C72CE"/>
    <w:rsid w:val="008C779C"/>
    <w:rsid w:val="008C7F07"/>
    <w:rsid w:val="008D0431"/>
    <w:rsid w:val="008D0823"/>
    <w:rsid w:val="008D083D"/>
    <w:rsid w:val="008D0BA1"/>
    <w:rsid w:val="008D0BD5"/>
    <w:rsid w:val="008D0EFA"/>
    <w:rsid w:val="008D11D9"/>
    <w:rsid w:val="008D18B2"/>
    <w:rsid w:val="008D1985"/>
    <w:rsid w:val="008D1DDB"/>
    <w:rsid w:val="008D206E"/>
    <w:rsid w:val="008D262A"/>
    <w:rsid w:val="008D262F"/>
    <w:rsid w:val="008D2674"/>
    <w:rsid w:val="008D27BE"/>
    <w:rsid w:val="008D2C60"/>
    <w:rsid w:val="008D3268"/>
    <w:rsid w:val="008D449E"/>
    <w:rsid w:val="008D47C4"/>
    <w:rsid w:val="008D4CF9"/>
    <w:rsid w:val="008D4D75"/>
    <w:rsid w:val="008D4E8B"/>
    <w:rsid w:val="008D58A3"/>
    <w:rsid w:val="008D5E57"/>
    <w:rsid w:val="008D5F58"/>
    <w:rsid w:val="008D6C06"/>
    <w:rsid w:val="008D6D01"/>
    <w:rsid w:val="008D6E0D"/>
    <w:rsid w:val="008E00E4"/>
    <w:rsid w:val="008E023F"/>
    <w:rsid w:val="008E0397"/>
    <w:rsid w:val="008E041F"/>
    <w:rsid w:val="008E0D02"/>
    <w:rsid w:val="008E0EA8"/>
    <w:rsid w:val="008E0F6C"/>
    <w:rsid w:val="008E1078"/>
    <w:rsid w:val="008E10DF"/>
    <w:rsid w:val="008E118A"/>
    <w:rsid w:val="008E11A2"/>
    <w:rsid w:val="008E1253"/>
    <w:rsid w:val="008E1541"/>
    <w:rsid w:val="008E15EB"/>
    <w:rsid w:val="008E1792"/>
    <w:rsid w:val="008E1950"/>
    <w:rsid w:val="008E1CF5"/>
    <w:rsid w:val="008E203B"/>
    <w:rsid w:val="008E2212"/>
    <w:rsid w:val="008E2258"/>
    <w:rsid w:val="008E27FA"/>
    <w:rsid w:val="008E2882"/>
    <w:rsid w:val="008E289C"/>
    <w:rsid w:val="008E2AFD"/>
    <w:rsid w:val="008E2B3A"/>
    <w:rsid w:val="008E2D5E"/>
    <w:rsid w:val="008E3DDF"/>
    <w:rsid w:val="008E3EA3"/>
    <w:rsid w:val="008E3F86"/>
    <w:rsid w:val="008E404A"/>
    <w:rsid w:val="008E43E0"/>
    <w:rsid w:val="008E449F"/>
    <w:rsid w:val="008E4625"/>
    <w:rsid w:val="008E4866"/>
    <w:rsid w:val="008E4C35"/>
    <w:rsid w:val="008E4E35"/>
    <w:rsid w:val="008E5282"/>
    <w:rsid w:val="008E5584"/>
    <w:rsid w:val="008E593B"/>
    <w:rsid w:val="008E5C83"/>
    <w:rsid w:val="008E5E01"/>
    <w:rsid w:val="008E6021"/>
    <w:rsid w:val="008E7877"/>
    <w:rsid w:val="008E78CB"/>
    <w:rsid w:val="008E7C53"/>
    <w:rsid w:val="008E7E28"/>
    <w:rsid w:val="008E7EB9"/>
    <w:rsid w:val="008F0034"/>
    <w:rsid w:val="008F06F7"/>
    <w:rsid w:val="008F07BF"/>
    <w:rsid w:val="008F08FF"/>
    <w:rsid w:val="008F0947"/>
    <w:rsid w:val="008F0BF3"/>
    <w:rsid w:val="008F16B6"/>
    <w:rsid w:val="008F18F7"/>
    <w:rsid w:val="008F1D63"/>
    <w:rsid w:val="008F2413"/>
    <w:rsid w:val="008F294A"/>
    <w:rsid w:val="008F2A82"/>
    <w:rsid w:val="008F2E13"/>
    <w:rsid w:val="008F316A"/>
    <w:rsid w:val="008F3545"/>
    <w:rsid w:val="008F3571"/>
    <w:rsid w:val="008F35F0"/>
    <w:rsid w:val="008F3C75"/>
    <w:rsid w:val="008F3EA0"/>
    <w:rsid w:val="008F51F6"/>
    <w:rsid w:val="008F5384"/>
    <w:rsid w:val="008F57CF"/>
    <w:rsid w:val="008F5BC2"/>
    <w:rsid w:val="008F5C89"/>
    <w:rsid w:val="008F5FC0"/>
    <w:rsid w:val="008F60B3"/>
    <w:rsid w:val="008F620F"/>
    <w:rsid w:val="008F6593"/>
    <w:rsid w:val="008F65D2"/>
    <w:rsid w:val="008F6E6F"/>
    <w:rsid w:val="008F76CB"/>
    <w:rsid w:val="008F7A05"/>
    <w:rsid w:val="008F7C89"/>
    <w:rsid w:val="009004D1"/>
    <w:rsid w:val="009008E4"/>
    <w:rsid w:val="00900AC8"/>
    <w:rsid w:val="00900D41"/>
    <w:rsid w:val="00900FFC"/>
    <w:rsid w:val="0090130D"/>
    <w:rsid w:val="00901407"/>
    <w:rsid w:val="00901450"/>
    <w:rsid w:val="009018B1"/>
    <w:rsid w:val="00901A98"/>
    <w:rsid w:val="00902124"/>
    <w:rsid w:val="00902271"/>
    <w:rsid w:val="00902747"/>
    <w:rsid w:val="009027F1"/>
    <w:rsid w:val="009028CC"/>
    <w:rsid w:val="009029E6"/>
    <w:rsid w:val="00902CE9"/>
    <w:rsid w:val="0090346C"/>
    <w:rsid w:val="009036D4"/>
    <w:rsid w:val="00903711"/>
    <w:rsid w:val="009039C3"/>
    <w:rsid w:val="009041A6"/>
    <w:rsid w:val="009054FB"/>
    <w:rsid w:val="009055E0"/>
    <w:rsid w:val="00906765"/>
    <w:rsid w:val="00907164"/>
    <w:rsid w:val="00907439"/>
    <w:rsid w:val="00907FB9"/>
    <w:rsid w:val="009108F9"/>
    <w:rsid w:val="00910A11"/>
    <w:rsid w:val="00910A84"/>
    <w:rsid w:val="00910E01"/>
    <w:rsid w:val="0091127B"/>
    <w:rsid w:val="0091127C"/>
    <w:rsid w:val="00911563"/>
    <w:rsid w:val="00911997"/>
    <w:rsid w:val="00911A07"/>
    <w:rsid w:val="00911B46"/>
    <w:rsid w:val="009123F5"/>
    <w:rsid w:val="00912F95"/>
    <w:rsid w:val="009135DE"/>
    <w:rsid w:val="00914463"/>
    <w:rsid w:val="00914725"/>
    <w:rsid w:val="009148DA"/>
    <w:rsid w:val="00915466"/>
    <w:rsid w:val="0091583B"/>
    <w:rsid w:val="00915B02"/>
    <w:rsid w:val="00915B6C"/>
    <w:rsid w:val="00916010"/>
    <w:rsid w:val="00916196"/>
    <w:rsid w:val="009161B1"/>
    <w:rsid w:val="009161DC"/>
    <w:rsid w:val="009162EA"/>
    <w:rsid w:val="0091635C"/>
    <w:rsid w:val="00916411"/>
    <w:rsid w:val="009164F5"/>
    <w:rsid w:val="00916523"/>
    <w:rsid w:val="009171EA"/>
    <w:rsid w:val="009174D2"/>
    <w:rsid w:val="009178BE"/>
    <w:rsid w:val="00917C60"/>
    <w:rsid w:val="00917C99"/>
    <w:rsid w:val="00917F2A"/>
    <w:rsid w:val="0092010F"/>
    <w:rsid w:val="0092018E"/>
    <w:rsid w:val="00920211"/>
    <w:rsid w:val="0092082B"/>
    <w:rsid w:val="009209CD"/>
    <w:rsid w:val="00921047"/>
    <w:rsid w:val="009212E8"/>
    <w:rsid w:val="009213B0"/>
    <w:rsid w:val="009219AD"/>
    <w:rsid w:val="00921A40"/>
    <w:rsid w:val="00921DAF"/>
    <w:rsid w:val="00921F23"/>
    <w:rsid w:val="00921F71"/>
    <w:rsid w:val="00922273"/>
    <w:rsid w:val="00922353"/>
    <w:rsid w:val="00922364"/>
    <w:rsid w:val="00922511"/>
    <w:rsid w:val="009229E6"/>
    <w:rsid w:val="00922EE8"/>
    <w:rsid w:val="00923063"/>
    <w:rsid w:val="009230DD"/>
    <w:rsid w:val="009231AB"/>
    <w:rsid w:val="00923349"/>
    <w:rsid w:val="0092345E"/>
    <w:rsid w:val="009234F6"/>
    <w:rsid w:val="009239FC"/>
    <w:rsid w:val="00924135"/>
    <w:rsid w:val="00924353"/>
    <w:rsid w:val="009243AC"/>
    <w:rsid w:val="00924BAC"/>
    <w:rsid w:val="00924FD0"/>
    <w:rsid w:val="00925FD2"/>
    <w:rsid w:val="00926072"/>
    <w:rsid w:val="009263F6"/>
    <w:rsid w:val="009264D3"/>
    <w:rsid w:val="00926744"/>
    <w:rsid w:val="0092686E"/>
    <w:rsid w:val="009269C1"/>
    <w:rsid w:val="00926B9A"/>
    <w:rsid w:val="00926DE6"/>
    <w:rsid w:val="0092764F"/>
    <w:rsid w:val="00927C2E"/>
    <w:rsid w:val="00927EE7"/>
    <w:rsid w:val="00930707"/>
    <w:rsid w:val="009309E6"/>
    <w:rsid w:val="00930F2F"/>
    <w:rsid w:val="00930F91"/>
    <w:rsid w:val="00931180"/>
    <w:rsid w:val="00931429"/>
    <w:rsid w:val="00931657"/>
    <w:rsid w:val="009318F5"/>
    <w:rsid w:val="00931AE1"/>
    <w:rsid w:val="00931CC2"/>
    <w:rsid w:val="00931DA1"/>
    <w:rsid w:val="00931F1E"/>
    <w:rsid w:val="00932089"/>
    <w:rsid w:val="009322F3"/>
    <w:rsid w:val="0093247C"/>
    <w:rsid w:val="009329EC"/>
    <w:rsid w:val="00932DF1"/>
    <w:rsid w:val="00932F49"/>
    <w:rsid w:val="00933209"/>
    <w:rsid w:val="0093321A"/>
    <w:rsid w:val="009335FB"/>
    <w:rsid w:val="009336E2"/>
    <w:rsid w:val="009337EA"/>
    <w:rsid w:val="0093395A"/>
    <w:rsid w:val="0093397B"/>
    <w:rsid w:val="00933E29"/>
    <w:rsid w:val="009342BB"/>
    <w:rsid w:val="00935864"/>
    <w:rsid w:val="00935E3C"/>
    <w:rsid w:val="009363B6"/>
    <w:rsid w:val="009366FA"/>
    <w:rsid w:val="00936E0C"/>
    <w:rsid w:val="009408B0"/>
    <w:rsid w:val="00940B63"/>
    <w:rsid w:val="00940E4F"/>
    <w:rsid w:val="0094105D"/>
    <w:rsid w:val="009414FA"/>
    <w:rsid w:val="00941538"/>
    <w:rsid w:val="009417BE"/>
    <w:rsid w:val="00941C89"/>
    <w:rsid w:val="00942467"/>
    <w:rsid w:val="00942D44"/>
    <w:rsid w:val="00942E66"/>
    <w:rsid w:val="00943017"/>
    <w:rsid w:val="009430DF"/>
    <w:rsid w:val="009434E4"/>
    <w:rsid w:val="00943719"/>
    <w:rsid w:val="009437CD"/>
    <w:rsid w:val="009441C1"/>
    <w:rsid w:val="00944290"/>
    <w:rsid w:val="00944631"/>
    <w:rsid w:val="00944972"/>
    <w:rsid w:val="009450B8"/>
    <w:rsid w:val="00945A79"/>
    <w:rsid w:val="00945CAE"/>
    <w:rsid w:val="00945D19"/>
    <w:rsid w:val="00945F45"/>
    <w:rsid w:val="009460A5"/>
    <w:rsid w:val="0094635E"/>
    <w:rsid w:val="009465AB"/>
    <w:rsid w:val="00946662"/>
    <w:rsid w:val="009469E5"/>
    <w:rsid w:val="00946A63"/>
    <w:rsid w:val="00946CD4"/>
    <w:rsid w:val="00946D92"/>
    <w:rsid w:val="00946EB9"/>
    <w:rsid w:val="00946FCF"/>
    <w:rsid w:val="00947651"/>
    <w:rsid w:val="0094766E"/>
    <w:rsid w:val="00947714"/>
    <w:rsid w:val="00947988"/>
    <w:rsid w:val="009503B6"/>
    <w:rsid w:val="00950496"/>
    <w:rsid w:val="00950563"/>
    <w:rsid w:val="00950578"/>
    <w:rsid w:val="00950C56"/>
    <w:rsid w:val="00950DEA"/>
    <w:rsid w:val="00950E19"/>
    <w:rsid w:val="00950EE0"/>
    <w:rsid w:val="00950EE9"/>
    <w:rsid w:val="009513B7"/>
    <w:rsid w:val="00951B92"/>
    <w:rsid w:val="00951C53"/>
    <w:rsid w:val="00951EDB"/>
    <w:rsid w:val="00952782"/>
    <w:rsid w:val="009527CE"/>
    <w:rsid w:val="0095293B"/>
    <w:rsid w:val="00952DCF"/>
    <w:rsid w:val="00952F1A"/>
    <w:rsid w:val="00953054"/>
    <w:rsid w:val="00953A94"/>
    <w:rsid w:val="00953D4E"/>
    <w:rsid w:val="00953FD5"/>
    <w:rsid w:val="00953FF5"/>
    <w:rsid w:val="00954507"/>
    <w:rsid w:val="009545BB"/>
    <w:rsid w:val="0095470C"/>
    <w:rsid w:val="0095498C"/>
    <w:rsid w:val="00954A9F"/>
    <w:rsid w:val="00954EC7"/>
    <w:rsid w:val="00954F9F"/>
    <w:rsid w:val="0095508D"/>
    <w:rsid w:val="009557AC"/>
    <w:rsid w:val="00956151"/>
    <w:rsid w:val="009561D1"/>
    <w:rsid w:val="00956404"/>
    <w:rsid w:val="009566D9"/>
    <w:rsid w:val="009575D7"/>
    <w:rsid w:val="00957B23"/>
    <w:rsid w:val="00957E63"/>
    <w:rsid w:val="0096021F"/>
    <w:rsid w:val="00960286"/>
    <w:rsid w:val="00960D1F"/>
    <w:rsid w:val="00960E5C"/>
    <w:rsid w:val="00961203"/>
    <w:rsid w:val="0096126A"/>
    <w:rsid w:val="00961521"/>
    <w:rsid w:val="009621C2"/>
    <w:rsid w:val="009624DC"/>
    <w:rsid w:val="00962616"/>
    <w:rsid w:val="009629C0"/>
    <w:rsid w:val="00962E0A"/>
    <w:rsid w:val="009631F6"/>
    <w:rsid w:val="009632F7"/>
    <w:rsid w:val="00963510"/>
    <w:rsid w:val="00963605"/>
    <w:rsid w:val="00963865"/>
    <w:rsid w:val="00963A57"/>
    <w:rsid w:val="00963D7A"/>
    <w:rsid w:val="009643D5"/>
    <w:rsid w:val="009647D0"/>
    <w:rsid w:val="00964C95"/>
    <w:rsid w:val="009651FE"/>
    <w:rsid w:val="0096524C"/>
    <w:rsid w:val="0096529A"/>
    <w:rsid w:val="00965395"/>
    <w:rsid w:val="00965489"/>
    <w:rsid w:val="009659F5"/>
    <w:rsid w:val="00965AF7"/>
    <w:rsid w:val="0096634A"/>
    <w:rsid w:val="00966449"/>
    <w:rsid w:val="00966686"/>
    <w:rsid w:val="00966832"/>
    <w:rsid w:val="00966979"/>
    <w:rsid w:val="00966A6C"/>
    <w:rsid w:val="00966AB3"/>
    <w:rsid w:val="00967062"/>
    <w:rsid w:val="00967083"/>
    <w:rsid w:val="0096714F"/>
    <w:rsid w:val="009674D3"/>
    <w:rsid w:val="00967672"/>
    <w:rsid w:val="00967865"/>
    <w:rsid w:val="009700D2"/>
    <w:rsid w:val="00970337"/>
    <w:rsid w:val="0097063E"/>
    <w:rsid w:val="00970667"/>
    <w:rsid w:val="009706CC"/>
    <w:rsid w:val="00970822"/>
    <w:rsid w:val="0097094F"/>
    <w:rsid w:val="00970B02"/>
    <w:rsid w:val="00970C05"/>
    <w:rsid w:val="00970DC1"/>
    <w:rsid w:val="00971226"/>
    <w:rsid w:val="00971D0E"/>
    <w:rsid w:val="009723BC"/>
    <w:rsid w:val="009725CD"/>
    <w:rsid w:val="0097278F"/>
    <w:rsid w:val="009727A4"/>
    <w:rsid w:val="00972DD3"/>
    <w:rsid w:val="00973627"/>
    <w:rsid w:val="0097397B"/>
    <w:rsid w:val="0097409F"/>
    <w:rsid w:val="009741E4"/>
    <w:rsid w:val="009743BD"/>
    <w:rsid w:val="009744BC"/>
    <w:rsid w:val="009749EB"/>
    <w:rsid w:val="00974AE4"/>
    <w:rsid w:val="00974E8A"/>
    <w:rsid w:val="00975305"/>
    <w:rsid w:val="00975355"/>
    <w:rsid w:val="00975492"/>
    <w:rsid w:val="00975A21"/>
    <w:rsid w:val="00975C3A"/>
    <w:rsid w:val="009760BD"/>
    <w:rsid w:val="00976290"/>
    <w:rsid w:val="009763EA"/>
    <w:rsid w:val="00976DA2"/>
    <w:rsid w:val="00977201"/>
    <w:rsid w:val="00977381"/>
    <w:rsid w:val="00977BC4"/>
    <w:rsid w:val="00977BDA"/>
    <w:rsid w:val="009801FF"/>
    <w:rsid w:val="0098022C"/>
    <w:rsid w:val="00980412"/>
    <w:rsid w:val="00980A38"/>
    <w:rsid w:val="00980ED8"/>
    <w:rsid w:val="00980F5F"/>
    <w:rsid w:val="00981340"/>
    <w:rsid w:val="00981689"/>
    <w:rsid w:val="009816B6"/>
    <w:rsid w:val="00981920"/>
    <w:rsid w:val="00981B1C"/>
    <w:rsid w:val="00981D4D"/>
    <w:rsid w:val="00981DE6"/>
    <w:rsid w:val="009823BD"/>
    <w:rsid w:val="009826AA"/>
    <w:rsid w:val="00983666"/>
    <w:rsid w:val="009837E8"/>
    <w:rsid w:val="00983BD6"/>
    <w:rsid w:val="00983DF1"/>
    <w:rsid w:val="00984462"/>
    <w:rsid w:val="00984EAB"/>
    <w:rsid w:val="00984F70"/>
    <w:rsid w:val="00984FB4"/>
    <w:rsid w:val="00985063"/>
    <w:rsid w:val="00985802"/>
    <w:rsid w:val="009858C8"/>
    <w:rsid w:val="00985993"/>
    <w:rsid w:val="00985CE6"/>
    <w:rsid w:val="00985D9E"/>
    <w:rsid w:val="00985FF3"/>
    <w:rsid w:val="0098601D"/>
    <w:rsid w:val="0098611B"/>
    <w:rsid w:val="009861DC"/>
    <w:rsid w:val="009863F8"/>
    <w:rsid w:val="00986AFA"/>
    <w:rsid w:val="0098723B"/>
    <w:rsid w:val="009872CE"/>
    <w:rsid w:val="00987475"/>
    <w:rsid w:val="00987994"/>
    <w:rsid w:val="00987C33"/>
    <w:rsid w:val="00987C56"/>
    <w:rsid w:val="00990DBD"/>
    <w:rsid w:val="00990E8F"/>
    <w:rsid w:val="00990F9C"/>
    <w:rsid w:val="00991830"/>
    <w:rsid w:val="00992030"/>
    <w:rsid w:val="0099214D"/>
    <w:rsid w:val="00992409"/>
    <w:rsid w:val="0099290D"/>
    <w:rsid w:val="00992A64"/>
    <w:rsid w:val="00992A93"/>
    <w:rsid w:val="00992F13"/>
    <w:rsid w:val="00993029"/>
    <w:rsid w:val="0099326E"/>
    <w:rsid w:val="00993459"/>
    <w:rsid w:val="00993E9E"/>
    <w:rsid w:val="00994032"/>
    <w:rsid w:val="009942A2"/>
    <w:rsid w:val="00994948"/>
    <w:rsid w:val="00994A98"/>
    <w:rsid w:val="00994EEF"/>
    <w:rsid w:val="00995147"/>
    <w:rsid w:val="00995882"/>
    <w:rsid w:val="009959BA"/>
    <w:rsid w:val="0099615A"/>
    <w:rsid w:val="00996367"/>
    <w:rsid w:val="009965A1"/>
    <w:rsid w:val="009966E5"/>
    <w:rsid w:val="0099768D"/>
    <w:rsid w:val="00997B9F"/>
    <w:rsid w:val="00997DCC"/>
    <w:rsid w:val="009A0137"/>
    <w:rsid w:val="009A0893"/>
    <w:rsid w:val="009A0AB8"/>
    <w:rsid w:val="009A0B88"/>
    <w:rsid w:val="009A0BBA"/>
    <w:rsid w:val="009A1383"/>
    <w:rsid w:val="009A1746"/>
    <w:rsid w:val="009A218A"/>
    <w:rsid w:val="009A223E"/>
    <w:rsid w:val="009A22DB"/>
    <w:rsid w:val="009A293D"/>
    <w:rsid w:val="009A312B"/>
    <w:rsid w:val="009A3243"/>
    <w:rsid w:val="009A32B4"/>
    <w:rsid w:val="009A38AE"/>
    <w:rsid w:val="009A3DED"/>
    <w:rsid w:val="009A4497"/>
    <w:rsid w:val="009A44CE"/>
    <w:rsid w:val="009A481C"/>
    <w:rsid w:val="009A4B5D"/>
    <w:rsid w:val="009A4E42"/>
    <w:rsid w:val="009A501D"/>
    <w:rsid w:val="009A50D4"/>
    <w:rsid w:val="009A50F8"/>
    <w:rsid w:val="009A543B"/>
    <w:rsid w:val="009A5884"/>
    <w:rsid w:val="009A5940"/>
    <w:rsid w:val="009A5BFB"/>
    <w:rsid w:val="009A5D6E"/>
    <w:rsid w:val="009A5E87"/>
    <w:rsid w:val="009A640A"/>
    <w:rsid w:val="009A6BFA"/>
    <w:rsid w:val="009A6C81"/>
    <w:rsid w:val="009A7557"/>
    <w:rsid w:val="009A7599"/>
    <w:rsid w:val="009A7779"/>
    <w:rsid w:val="009A7799"/>
    <w:rsid w:val="009A7A1C"/>
    <w:rsid w:val="009A7C67"/>
    <w:rsid w:val="009A7D5E"/>
    <w:rsid w:val="009B0669"/>
    <w:rsid w:val="009B06C5"/>
    <w:rsid w:val="009B0AE1"/>
    <w:rsid w:val="009B0C76"/>
    <w:rsid w:val="009B0D5B"/>
    <w:rsid w:val="009B0EC3"/>
    <w:rsid w:val="009B0FA8"/>
    <w:rsid w:val="009B14D1"/>
    <w:rsid w:val="009B1C7D"/>
    <w:rsid w:val="009B1C97"/>
    <w:rsid w:val="009B277A"/>
    <w:rsid w:val="009B2942"/>
    <w:rsid w:val="009B2B49"/>
    <w:rsid w:val="009B2B83"/>
    <w:rsid w:val="009B2C49"/>
    <w:rsid w:val="009B2CF5"/>
    <w:rsid w:val="009B2E2B"/>
    <w:rsid w:val="009B336C"/>
    <w:rsid w:val="009B354F"/>
    <w:rsid w:val="009B3763"/>
    <w:rsid w:val="009B3B29"/>
    <w:rsid w:val="009B3BA5"/>
    <w:rsid w:val="009B3EAC"/>
    <w:rsid w:val="009B403A"/>
    <w:rsid w:val="009B44AE"/>
    <w:rsid w:val="009B4F71"/>
    <w:rsid w:val="009B5775"/>
    <w:rsid w:val="009B5BC4"/>
    <w:rsid w:val="009B61ED"/>
    <w:rsid w:val="009B62C3"/>
    <w:rsid w:val="009B637A"/>
    <w:rsid w:val="009B66B6"/>
    <w:rsid w:val="009B6A43"/>
    <w:rsid w:val="009B7504"/>
    <w:rsid w:val="009B76CD"/>
    <w:rsid w:val="009B78C7"/>
    <w:rsid w:val="009B7B86"/>
    <w:rsid w:val="009C0309"/>
    <w:rsid w:val="009C0380"/>
    <w:rsid w:val="009C0403"/>
    <w:rsid w:val="009C0A56"/>
    <w:rsid w:val="009C0B59"/>
    <w:rsid w:val="009C0BFC"/>
    <w:rsid w:val="009C0E71"/>
    <w:rsid w:val="009C11BE"/>
    <w:rsid w:val="009C11C9"/>
    <w:rsid w:val="009C1304"/>
    <w:rsid w:val="009C1507"/>
    <w:rsid w:val="009C15E8"/>
    <w:rsid w:val="009C1682"/>
    <w:rsid w:val="009C1789"/>
    <w:rsid w:val="009C18A4"/>
    <w:rsid w:val="009C1C57"/>
    <w:rsid w:val="009C22D4"/>
    <w:rsid w:val="009C2515"/>
    <w:rsid w:val="009C258C"/>
    <w:rsid w:val="009C2AEC"/>
    <w:rsid w:val="009C2FB5"/>
    <w:rsid w:val="009C31D7"/>
    <w:rsid w:val="009C3272"/>
    <w:rsid w:val="009C3746"/>
    <w:rsid w:val="009C4371"/>
    <w:rsid w:val="009C45AD"/>
    <w:rsid w:val="009C494B"/>
    <w:rsid w:val="009C4A56"/>
    <w:rsid w:val="009C5350"/>
    <w:rsid w:val="009C5861"/>
    <w:rsid w:val="009C606F"/>
    <w:rsid w:val="009C66CF"/>
    <w:rsid w:val="009C67B9"/>
    <w:rsid w:val="009C6EA6"/>
    <w:rsid w:val="009C6F87"/>
    <w:rsid w:val="009C7007"/>
    <w:rsid w:val="009C71D3"/>
    <w:rsid w:val="009C762E"/>
    <w:rsid w:val="009C7940"/>
    <w:rsid w:val="009C796C"/>
    <w:rsid w:val="009C796E"/>
    <w:rsid w:val="009C7E2C"/>
    <w:rsid w:val="009C7FDB"/>
    <w:rsid w:val="009D00FF"/>
    <w:rsid w:val="009D055D"/>
    <w:rsid w:val="009D0754"/>
    <w:rsid w:val="009D0F38"/>
    <w:rsid w:val="009D0F96"/>
    <w:rsid w:val="009D121D"/>
    <w:rsid w:val="009D1372"/>
    <w:rsid w:val="009D1749"/>
    <w:rsid w:val="009D176E"/>
    <w:rsid w:val="009D1B1D"/>
    <w:rsid w:val="009D223B"/>
    <w:rsid w:val="009D26A1"/>
    <w:rsid w:val="009D291D"/>
    <w:rsid w:val="009D2AFE"/>
    <w:rsid w:val="009D2B1E"/>
    <w:rsid w:val="009D2EFD"/>
    <w:rsid w:val="009D3022"/>
    <w:rsid w:val="009D36C0"/>
    <w:rsid w:val="009D383E"/>
    <w:rsid w:val="009D4005"/>
    <w:rsid w:val="009D42BE"/>
    <w:rsid w:val="009D4831"/>
    <w:rsid w:val="009D4936"/>
    <w:rsid w:val="009D4AA5"/>
    <w:rsid w:val="009D51B1"/>
    <w:rsid w:val="009D5225"/>
    <w:rsid w:val="009D5441"/>
    <w:rsid w:val="009D5449"/>
    <w:rsid w:val="009D58EE"/>
    <w:rsid w:val="009D6179"/>
    <w:rsid w:val="009D67EC"/>
    <w:rsid w:val="009D69BD"/>
    <w:rsid w:val="009D73F4"/>
    <w:rsid w:val="009D769A"/>
    <w:rsid w:val="009D7AE9"/>
    <w:rsid w:val="009D7B7B"/>
    <w:rsid w:val="009D7C90"/>
    <w:rsid w:val="009E00F1"/>
    <w:rsid w:val="009E08CA"/>
    <w:rsid w:val="009E0BC0"/>
    <w:rsid w:val="009E0ED8"/>
    <w:rsid w:val="009E0F6D"/>
    <w:rsid w:val="009E10B2"/>
    <w:rsid w:val="009E13B9"/>
    <w:rsid w:val="009E1525"/>
    <w:rsid w:val="009E19B4"/>
    <w:rsid w:val="009E1B17"/>
    <w:rsid w:val="009E1D03"/>
    <w:rsid w:val="009E23F2"/>
    <w:rsid w:val="009E2419"/>
    <w:rsid w:val="009E2CC7"/>
    <w:rsid w:val="009E341F"/>
    <w:rsid w:val="009E38B7"/>
    <w:rsid w:val="009E3B83"/>
    <w:rsid w:val="009E3CC0"/>
    <w:rsid w:val="009E44E1"/>
    <w:rsid w:val="009E46E6"/>
    <w:rsid w:val="009E51FD"/>
    <w:rsid w:val="009E531B"/>
    <w:rsid w:val="009E531F"/>
    <w:rsid w:val="009E5558"/>
    <w:rsid w:val="009E55B3"/>
    <w:rsid w:val="009E55E8"/>
    <w:rsid w:val="009E5656"/>
    <w:rsid w:val="009E6076"/>
    <w:rsid w:val="009E6AEB"/>
    <w:rsid w:val="009E6C1E"/>
    <w:rsid w:val="009E6D0C"/>
    <w:rsid w:val="009E73D0"/>
    <w:rsid w:val="009E73E3"/>
    <w:rsid w:val="009E73F8"/>
    <w:rsid w:val="009E7CA8"/>
    <w:rsid w:val="009F0000"/>
    <w:rsid w:val="009F00AB"/>
    <w:rsid w:val="009F013F"/>
    <w:rsid w:val="009F02FB"/>
    <w:rsid w:val="009F0492"/>
    <w:rsid w:val="009F09C8"/>
    <w:rsid w:val="009F1098"/>
    <w:rsid w:val="009F11EB"/>
    <w:rsid w:val="009F1296"/>
    <w:rsid w:val="009F188A"/>
    <w:rsid w:val="009F1BA6"/>
    <w:rsid w:val="009F1C37"/>
    <w:rsid w:val="009F28DE"/>
    <w:rsid w:val="009F2A4A"/>
    <w:rsid w:val="009F2AC7"/>
    <w:rsid w:val="009F2BFB"/>
    <w:rsid w:val="009F309D"/>
    <w:rsid w:val="009F31E2"/>
    <w:rsid w:val="009F3324"/>
    <w:rsid w:val="009F3442"/>
    <w:rsid w:val="009F38CE"/>
    <w:rsid w:val="009F39B4"/>
    <w:rsid w:val="009F4219"/>
    <w:rsid w:val="009F4504"/>
    <w:rsid w:val="009F45A1"/>
    <w:rsid w:val="009F4824"/>
    <w:rsid w:val="009F48B4"/>
    <w:rsid w:val="009F4F47"/>
    <w:rsid w:val="009F4FA7"/>
    <w:rsid w:val="009F5D03"/>
    <w:rsid w:val="009F643A"/>
    <w:rsid w:val="009F649C"/>
    <w:rsid w:val="009F64FA"/>
    <w:rsid w:val="009F6569"/>
    <w:rsid w:val="009F6629"/>
    <w:rsid w:val="009F66FE"/>
    <w:rsid w:val="009F6704"/>
    <w:rsid w:val="009F719F"/>
    <w:rsid w:val="009F71B8"/>
    <w:rsid w:val="009F765F"/>
    <w:rsid w:val="009F775C"/>
    <w:rsid w:val="009F78C5"/>
    <w:rsid w:val="00A00197"/>
    <w:rsid w:val="00A00227"/>
    <w:rsid w:val="00A008F8"/>
    <w:rsid w:val="00A00ABC"/>
    <w:rsid w:val="00A00B06"/>
    <w:rsid w:val="00A00F89"/>
    <w:rsid w:val="00A0104C"/>
    <w:rsid w:val="00A0169F"/>
    <w:rsid w:val="00A01904"/>
    <w:rsid w:val="00A01B4A"/>
    <w:rsid w:val="00A01FE5"/>
    <w:rsid w:val="00A020EF"/>
    <w:rsid w:val="00A02269"/>
    <w:rsid w:val="00A029E4"/>
    <w:rsid w:val="00A02ADF"/>
    <w:rsid w:val="00A02FEE"/>
    <w:rsid w:val="00A03104"/>
    <w:rsid w:val="00A03291"/>
    <w:rsid w:val="00A036DC"/>
    <w:rsid w:val="00A03818"/>
    <w:rsid w:val="00A03891"/>
    <w:rsid w:val="00A039C1"/>
    <w:rsid w:val="00A04315"/>
    <w:rsid w:val="00A044EE"/>
    <w:rsid w:val="00A046AC"/>
    <w:rsid w:val="00A049E9"/>
    <w:rsid w:val="00A04BF9"/>
    <w:rsid w:val="00A04C7E"/>
    <w:rsid w:val="00A04D5D"/>
    <w:rsid w:val="00A0536A"/>
    <w:rsid w:val="00A05977"/>
    <w:rsid w:val="00A05B25"/>
    <w:rsid w:val="00A05EFB"/>
    <w:rsid w:val="00A06470"/>
    <w:rsid w:val="00A065B8"/>
    <w:rsid w:val="00A067F7"/>
    <w:rsid w:val="00A06B52"/>
    <w:rsid w:val="00A06F23"/>
    <w:rsid w:val="00A06F86"/>
    <w:rsid w:val="00A070E7"/>
    <w:rsid w:val="00A07BB8"/>
    <w:rsid w:val="00A07D55"/>
    <w:rsid w:val="00A07F44"/>
    <w:rsid w:val="00A1009C"/>
    <w:rsid w:val="00A10310"/>
    <w:rsid w:val="00A103C0"/>
    <w:rsid w:val="00A10536"/>
    <w:rsid w:val="00A10B10"/>
    <w:rsid w:val="00A10B11"/>
    <w:rsid w:val="00A10BFA"/>
    <w:rsid w:val="00A110E7"/>
    <w:rsid w:val="00A111E0"/>
    <w:rsid w:val="00A11528"/>
    <w:rsid w:val="00A11D72"/>
    <w:rsid w:val="00A11E26"/>
    <w:rsid w:val="00A12830"/>
    <w:rsid w:val="00A12A55"/>
    <w:rsid w:val="00A12ADA"/>
    <w:rsid w:val="00A1304F"/>
    <w:rsid w:val="00A1311E"/>
    <w:rsid w:val="00A1325F"/>
    <w:rsid w:val="00A1351F"/>
    <w:rsid w:val="00A13B16"/>
    <w:rsid w:val="00A14078"/>
    <w:rsid w:val="00A141A7"/>
    <w:rsid w:val="00A14AF5"/>
    <w:rsid w:val="00A14B6C"/>
    <w:rsid w:val="00A151A5"/>
    <w:rsid w:val="00A152EA"/>
    <w:rsid w:val="00A159F8"/>
    <w:rsid w:val="00A15E19"/>
    <w:rsid w:val="00A160A1"/>
    <w:rsid w:val="00A16CC1"/>
    <w:rsid w:val="00A16E95"/>
    <w:rsid w:val="00A179A4"/>
    <w:rsid w:val="00A17B6F"/>
    <w:rsid w:val="00A17D05"/>
    <w:rsid w:val="00A20550"/>
    <w:rsid w:val="00A21019"/>
    <w:rsid w:val="00A2155B"/>
    <w:rsid w:val="00A21A46"/>
    <w:rsid w:val="00A2216B"/>
    <w:rsid w:val="00A2217B"/>
    <w:rsid w:val="00A2240A"/>
    <w:rsid w:val="00A22548"/>
    <w:rsid w:val="00A229DE"/>
    <w:rsid w:val="00A22D07"/>
    <w:rsid w:val="00A22DC5"/>
    <w:rsid w:val="00A22EC9"/>
    <w:rsid w:val="00A23A2C"/>
    <w:rsid w:val="00A23A68"/>
    <w:rsid w:val="00A23E55"/>
    <w:rsid w:val="00A24002"/>
    <w:rsid w:val="00A24025"/>
    <w:rsid w:val="00A2402F"/>
    <w:rsid w:val="00A242B5"/>
    <w:rsid w:val="00A2432B"/>
    <w:rsid w:val="00A24F82"/>
    <w:rsid w:val="00A253C3"/>
    <w:rsid w:val="00A254E9"/>
    <w:rsid w:val="00A25624"/>
    <w:rsid w:val="00A258A7"/>
    <w:rsid w:val="00A25C59"/>
    <w:rsid w:val="00A25F03"/>
    <w:rsid w:val="00A26074"/>
    <w:rsid w:val="00A260B0"/>
    <w:rsid w:val="00A26268"/>
    <w:rsid w:val="00A264BB"/>
    <w:rsid w:val="00A26527"/>
    <w:rsid w:val="00A26A74"/>
    <w:rsid w:val="00A26C5B"/>
    <w:rsid w:val="00A2771F"/>
    <w:rsid w:val="00A27D15"/>
    <w:rsid w:val="00A30196"/>
    <w:rsid w:val="00A30800"/>
    <w:rsid w:val="00A313F8"/>
    <w:rsid w:val="00A314E6"/>
    <w:rsid w:val="00A318C6"/>
    <w:rsid w:val="00A31F17"/>
    <w:rsid w:val="00A3208D"/>
    <w:rsid w:val="00A3266B"/>
    <w:rsid w:val="00A32AB6"/>
    <w:rsid w:val="00A32BF4"/>
    <w:rsid w:val="00A32CD2"/>
    <w:rsid w:val="00A32D7F"/>
    <w:rsid w:val="00A32F77"/>
    <w:rsid w:val="00A33599"/>
    <w:rsid w:val="00A337BC"/>
    <w:rsid w:val="00A33F6E"/>
    <w:rsid w:val="00A3410A"/>
    <w:rsid w:val="00A34344"/>
    <w:rsid w:val="00A34603"/>
    <w:rsid w:val="00A34607"/>
    <w:rsid w:val="00A34BDD"/>
    <w:rsid w:val="00A34EAE"/>
    <w:rsid w:val="00A34EC3"/>
    <w:rsid w:val="00A356A9"/>
    <w:rsid w:val="00A357B5"/>
    <w:rsid w:val="00A35AD8"/>
    <w:rsid w:val="00A35BEC"/>
    <w:rsid w:val="00A360C5"/>
    <w:rsid w:val="00A36249"/>
    <w:rsid w:val="00A36587"/>
    <w:rsid w:val="00A367DC"/>
    <w:rsid w:val="00A368BA"/>
    <w:rsid w:val="00A36B96"/>
    <w:rsid w:val="00A36CBF"/>
    <w:rsid w:val="00A36D03"/>
    <w:rsid w:val="00A37048"/>
    <w:rsid w:val="00A37112"/>
    <w:rsid w:val="00A37469"/>
    <w:rsid w:val="00A37BA8"/>
    <w:rsid w:val="00A40377"/>
    <w:rsid w:val="00A408EE"/>
    <w:rsid w:val="00A40A87"/>
    <w:rsid w:val="00A40C00"/>
    <w:rsid w:val="00A410F3"/>
    <w:rsid w:val="00A413F2"/>
    <w:rsid w:val="00A416F6"/>
    <w:rsid w:val="00A418B4"/>
    <w:rsid w:val="00A4195A"/>
    <w:rsid w:val="00A41AEA"/>
    <w:rsid w:val="00A41B69"/>
    <w:rsid w:val="00A420DD"/>
    <w:rsid w:val="00A42179"/>
    <w:rsid w:val="00A424F3"/>
    <w:rsid w:val="00A42609"/>
    <w:rsid w:val="00A42A53"/>
    <w:rsid w:val="00A42E0D"/>
    <w:rsid w:val="00A43240"/>
    <w:rsid w:val="00A43E16"/>
    <w:rsid w:val="00A44353"/>
    <w:rsid w:val="00A44C20"/>
    <w:rsid w:val="00A44F14"/>
    <w:rsid w:val="00A45274"/>
    <w:rsid w:val="00A452A5"/>
    <w:rsid w:val="00A455C6"/>
    <w:rsid w:val="00A45810"/>
    <w:rsid w:val="00A45BFF"/>
    <w:rsid w:val="00A4614E"/>
    <w:rsid w:val="00A4631C"/>
    <w:rsid w:val="00A466C2"/>
    <w:rsid w:val="00A46987"/>
    <w:rsid w:val="00A46DAD"/>
    <w:rsid w:val="00A4712D"/>
    <w:rsid w:val="00A4720D"/>
    <w:rsid w:val="00A47781"/>
    <w:rsid w:val="00A47980"/>
    <w:rsid w:val="00A47CF6"/>
    <w:rsid w:val="00A47E08"/>
    <w:rsid w:val="00A5028D"/>
    <w:rsid w:val="00A50705"/>
    <w:rsid w:val="00A50AC2"/>
    <w:rsid w:val="00A50BA3"/>
    <w:rsid w:val="00A51172"/>
    <w:rsid w:val="00A51246"/>
    <w:rsid w:val="00A51542"/>
    <w:rsid w:val="00A51611"/>
    <w:rsid w:val="00A51B79"/>
    <w:rsid w:val="00A51D96"/>
    <w:rsid w:val="00A5214E"/>
    <w:rsid w:val="00A52559"/>
    <w:rsid w:val="00A52958"/>
    <w:rsid w:val="00A53287"/>
    <w:rsid w:val="00A5332C"/>
    <w:rsid w:val="00A53724"/>
    <w:rsid w:val="00A53B14"/>
    <w:rsid w:val="00A53BB1"/>
    <w:rsid w:val="00A53FC3"/>
    <w:rsid w:val="00A54127"/>
    <w:rsid w:val="00A545FF"/>
    <w:rsid w:val="00A5492F"/>
    <w:rsid w:val="00A5522F"/>
    <w:rsid w:val="00A5627D"/>
    <w:rsid w:val="00A56647"/>
    <w:rsid w:val="00A56892"/>
    <w:rsid w:val="00A56A3C"/>
    <w:rsid w:val="00A56AB0"/>
    <w:rsid w:val="00A56B6B"/>
    <w:rsid w:val="00A57082"/>
    <w:rsid w:val="00A5781B"/>
    <w:rsid w:val="00A5783A"/>
    <w:rsid w:val="00A57C77"/>
    <w:rsid w:val="00A57D22"/>
    <w:rsid w:val="00A60A3E"/>
    <w:rsid w:val="00A60AE2"/>
    <w:rsid w:val="00A60C60"/>
    <w:rsid w:val="00A60F49"/>
    <w:rsid w:val="00A61103"/>
    <w:rsid w:val="00A61D07"/>
    <w:rsid w:val="00A621E8"/>
    <w:rsid w:val="00A628AB"/>
    <w:rsid w:val="00A62C71"/>
    <w:rsid w:val="00A635FF"/>
    <w:rsid w:val="00A63B4F"/>
    <w:rsid w:val="00A63CAD"/>
    <w:rsid w:val="00A64256"/>
    <w:rsid w:val="00A64441"/>
    <w:rsid w:val="00A64690"/>
    <w:rsid w:val="00A64874"/>
    <w:rsid w:val="00A64911"/>
    <w:rsid w:val="00A64AE7"/>
    <w:rsid w:val="00A64D13"/>
    <w:rsid w:val="00A64D1A"/>
    <w:rsid w:val="00A64E63"/>
    <w:rsid w:val="00A65219"/>
    <w:rsid w:val="00A656CB"/>
    <w:rsid w:val="00A65816"/>
    <w:rsid w:val="00A65E9B"/>
    <w:rsid w:val="00A65F40"/>
    <w:rsid w:val="00A6602B"/>
    <w:rsid w:val="00A664FE"/>
    <w:rsid w:val="00A66AC6"/>
    <w:rsid w:val="00A66D88"/>
    <w:rsid w:val="00A671D3"/>
    <w:rsid w:val="00A673DF"/>
    <w:rsid w:val="00A67897"/>
    <w:rsid w:val="00A679A9"/>
    <w:rsid w:val="00A67A0A"/>
    <w:rsid w:val="00A67CDF"/>
    <w:rsid w:val="00A67E20"/>
    <w:rsid w:val="00A70270"/>
    <w:rsid w:val="00A70F21"/>
    <w:rsid w:val="00A711FC"/>
    <w:rsid w:val="00A71C96"/>
    <w:rsid w:val="00A72208"/>
    <w:rsid w:val="00A725DA"/>
    <w:rsid w:val="00A72728"/>
    <w:rsid w:val="00A72816"/>
    <w:rsid w:val="00A7344D"/>
    <w:rsid w:val="00A734CB"/>
    <w:rsid w:val="00A73A52"/>
    <w:rsid w:val="00A74222"/>
    <w:rsid w:val="00A74D50"/>
    <w:rsid w:val="00A74DAD"/>
    <w:rsid w:val="00A74E24"/>
    <w:rsid w:val="00A750F6"/>
    <w:rsid w:val="00A75B6B"/>
    <w:rsid w:val="00A75CB4"/>
    <w:rsid w:val="00A75DA6"/>
    <w:rsid w:val="00A75F0D"/>
    <w:rsid w:val="00A76021"/>
    <w:rsid w:val="00A76A39"/>
    <w:rsid w:val="00A7772D"/>
    <w:rsid w:val="00A77A3C"/>
    <w:rsid w:val="00A77E82"/>
    <w:rsid w:val="00A809A3"/>
    <w:rsid w:val="00A80BE1"/>
    <w:rsid w:val="00A80C07"/>
    <w:rsid w:val="00A80C8D"/>
    <w:rsid w:val="00A80CCA"/>
    <w:rsid w:val="00A811F8"/>
    <w:rsid w:val="00A816DC"/>
    <w:rsid w:val="00A81D8A"/>
    <w:rsid w:val="00A81DC7"/>
    <w:rsid w:val="00A81E65"/>
    <w:rsid w:val="00A81F81"/>
    <w:rsid w:val="00A8200D"/>
    <w:rsid w:val="00A82079"/>
    <w:rsid w:val="00A82381"/>
    <w:rsid w:val="00A8238C"/>
    <w:rsid w:val="00A8266A"/>
    <w:rsid w:val="00A82B81"/>
    <w:rsid w:val="00A82C17"/>
    <w:rsid w:val="00A82EA9"/>
    <w:rsid w:val="00A83EE0"/>
    <w:rsid w:val="00A85214"/>
    <w:rsid w:val="00A852EB"/>
    <w:rsid w:val="00A854CC"/>
    <w:rsid w:val="00A8561B"/>
    <w:rsid w:val="00A85A23"/>
    <w:rsid w:val="00A8604C"/>
    <w:rsid w:val="00A8624B"/>
    <w:rsid w:val="00A86526"/>
    <w:rsid w:val="00A866C9"/>
    <w:rsid w:val="00A86713"/>
    <w:rsid w:val="00A867BB"/>
    <w:rsid w:val="00A872AD"/>
    <w:rsid w:val="00A87510"/>
    <w:rsid w:val="00A87609"/>
    <w:rsid w:val="00A87B7D"/>
    <w:rsid w:val="00A902EC"/>
    <w:rsid w:val="00A90392"/>
    <w:rsid w:val="00A907E6"/>
    <w:rsid w:val="00A9088C"/>
    <w:rsid w:val="00A909A2"/>
    <w:rsid w:val="00A90B07"/>
    <w:rsid w:val="00A90DDC"/>
    <w:rsid w:val="00A90E09"/>
    <w:rsid w:val="00A9132C"/>
    <w:rsid w:val="00A91904"/>
    <w:rsid w:val="00A919BE"/>
    <w:rsid w:val="00A92122"/>
    <w:rsid w:val="00A9257A"/>
    <w:rsid w:val="00A92660"/>
    <w:rsid w:val="00A9270D"/>
    <w:rsid w:val="00A929A1"/>
    <w:rsid w:val="00A92C0F"/>
    <w:rsid w:val="00A932E3"/>
    <w:rsid w:val="00A932F0"/>
    <w:rsid w:val="00A937BD"/>
    <w:rsid w:val="00A93D3C"/>
    <w:rsid w:val="00A93E04"/>
    <w:rsid w:val="00A93F73"/>
    <w:rsid w:val="00A947C9"/>
    <w:rsid w:val="00A94844"/>
    <w:rsid w:val="00A94DA6"/>
    <w:rsid w:val="00A95392"/>
    <w:rsid w:val="00A95C20"/>
    <w:rsid w:val="00A96021"/>
    <w:rsid w:val="00A96D6D"/>
    <w:rsid w:val="00A96D72"/>
    <w:rsid w:val="00A970C5"/>
    <w:rsid w:val="00A97205"/>
    <w:rsid w:val="00A973F7"/>
    <w:rsid w:val="00A976A9"/>
    <w:rsid w:val="00A976EA"/>
    <w:rsid w:val="00A97801"/>
    <w:rsid w:val="00A97DEF"/>
    <w:rsid w:val="00A97E59"/>
    <w:rsid w:val="00A97FE0"/>
    <w:rsid w:val="00AA016B"/>
    <w:rsid w:val="00AA046E"/>
    <w:rsid w:val="00AA0480"/>
    <w:rsid w:val="00AA0945"/>
    <w:rsid w:val="00AA0B7C"/>
    <w:rsid w:val="00AA0D35"/>
    <w:rsid w:val="00AA0EF8"/>
    <w:rsid w:val="00AA0FD7"/>
    <w:rsid w:val="00AA107D"/>
    <w:rsid w:val="00AA1559"/>
    <w:rsid w:val="00AA1691"/>
    <w:rsid w:val="00AA1B6F"/>
    <w:rsid w:val="00AA1CA1"/>
    <w:rsid w:val="00AA1E42"/>
    <w:rsid w:val="00AA1E74"/>
    <w:rsid w:val="00AA1F0D"/>
    <w:rsid w:val="00AA217C"/>
    <w:rsid w:val="00AA21F4"/>
    <w:rsid w:val="00AA22FD"/>
    <w:rsid w:val="00AA2427"/>
    <w:rsid w:val="00AA255F"/>
    <w:rsid w:val="00AA258B"/>
    <w:rsid w:val="00AA27FF"/>
    <w:rsid w:val="00AA2A87"/>
    <w:rsid w:val="00AA2B43"/>
    <w:rsid w:val="00AA2BFC"/>
    <w:rsid w:val="00AA2E12"/>
    <w:rsid w:val="00AA2F73"/>
    <w:rsid w:val="00AA2FF1"/>
    <w:rsid w:val="00AA3EAB"/>
    <w:rsid w:val="00AA3F13"/>
    <w:rsid w:val="00AA4078"/>
    <w:rsid w:val="00AA43D4"/>
    <w:rsid w:val="00AA43DB"/>
    <w:rsid w:val="00AA465A"/>
    <w:rsid w:val="00AA4E71"/>
    <w:rsid w:val="00AA51AD"/>
    <w:rsid w:val="00AA53C8"/>
    <w:rsid w:val="00AA556A"/>
    <w:rsid w:val="00AA5C98"/>
    <w:rsid w:val="00AA5D1E"/>
    <w:rsid w:val="00AA5E26"/>
    <w:rsid w:val="00AA6288"/>
    <w:rsid w:val="00AA6293"/>
    <w:rsid w:val="00AA646A"/>
    <w:rsid w:val="00AA6477"/>
    <w:rsid w:val="00AA652B"/>
    <w:rsid w:val="00AA7484"/>
    <w:rsid w:val="00AA7572"/>
    <w:rsid w:val="00AA76CC"/>
    <w:rsid w:val="00AA7879"/>
    <w:rsid w:val="00AA7C65"/>
    <w:rsid w:val="00AB02CA"/>
    <w:rsid w:val="00AB032E"/>
    <w:rsid w:val="00AB0DB8"/>
    <w:rsid w:val="00AB0F24"/>
    <w:rsid w:val="00AB1488"/>
    <w:rsid w:val="00AB14C6"/>
    <w:rsid w:val="00AB1999"/>
    <w:rsid w:val="00AB1A05"/>
    <w:rsid w:val="00AB1AA0"/>
    <w:rsid w:val="00AB2128"/>
    <w:rsid w:val="00AB2268"/>
    <w:rsid w:val="00AB26BD"/>
    <w:rsid w:val="00AB275D"/>
    <w:rsid w:val="00AB280F"/>
    <w:rsid w:val="00AB2A29"/>
    <w:rsid w:val="00AB2B29"/>
    <w:rsid w:val="00AB2BD7"/>
    <w:rsid w:val="00AB2D9D"/>
    <w:rsid w:val="00AB30F7"/>
    <w:rsid w:val="00AB32F6"/>
    <w:rsid w:val="00AB399B"/>
    <w:rsid w:val="00AB3BC6"/>
    <w:rsid w:val="00AB3BE8"/>
    <w:rsid w:val="00AB3D27"/>
    <w:rsid w:val="00AB4150"/>
    <w:rsid w:val="00AB4154"/>
    <w:rsid w:val="00AB43F1"/>
    <w:rsid w:val="00AB4584"/>
    <w:rsid w:val="00AB466F"/>
    <w:rsid w:val="00AB4707"/>
    <w:rsid w:val="00AB487C"/>
    <w:rsid w:val="00AB4A41"/>
    <w:rsid w:val="00AB4D26"/>
    <w:rsid w:val="00AB4E0D"/>
    <w:rsid w:val="00AB500B"/>
    <w:rsid w:val="00AB5109"/>
    <w:rsid w:val="00AB5166"/>
    <w:rsid w:val="00AB591D"/>
    <w:rsid w:val="00AB591F"/>
    <w:rsid w:val="00AB5BF7"/>
    <w:rsid w:val="00AB5C8F"/>
    <w:rsid w:val="00AB6268"/>
    <w:rsid w:val="00AB62EF"/>
    <w:rsid w:val="00AB6456"/>
    <w:rsid w:val="00AB6493"/>
    <w:rsid w:val="00AB67DE"/>
    <w:rsid w:val="00AB6C34"/>
    <w:rsid w:val="00AB6F19"/>
    <w:rsid w:val="00AB6FA3"/>
    <w:rsid w:val="00AB745F"/>
    <w:rsid w:val="00AB76E1"/>
    <w:rsid w:val="00AC065E"/>
    <w:rsid w:val="00AC0680"/>
    <w:rsid w:val="00AC0CB7"/>
    <w:rsid w:val="00AC0F12"/>
    <w:rsid w:val="00AC0F8C"/>
    <w:rsid w:val="00AC14CA"/>
    <w:rsid w:val="00AC16E4"/>
    <w:rsid w:val="00AC1B4D"/>
    <w:rsid w:val="00AC1E82"/>
    <w:rsid w:val="00AC1FFB"/>
    <w:rsid w:val="00AC2566"/>
    <w:rsid w:val="00AC2733"/>
    <w:rsid w:val="00AC2936"/>
    <w:rsid w:val="00AC2B33"/>
    <w:rsid w:val="00AC2BF5"/>
    <w:rsid w:val="00AC317B"/>
    <w:rsid w:val="00AC3251"/>
    <w:rsid w:val="00AC3385"/>
    <w:rsid w:val="00AC36B6"/>
    <w:rsid w:val="00AC398E"/>
    <w:rsid w:val="00AC3995"/>
    <w:rsid w:val="00AC3E8F"/>
    <w:rsid w:val="00AC426C"/>
    <w:rsid w:val="00AC435E"/>
    <w:rsid w:val="00AC4528"/>
    <w:rsid w:val="00AC548E"/>
    <w:rsid w:val="00AC5720"/>
    <w:rsid w:val="00AC5D86"/>
    <w:rsid w:val="00AC5F21"/>
    <w:rsid w:val="00AC5F2D"/>
    <w:rsid w:val="00AC63D7"/>
    <w:rsid w:val="00AC691B"/>
    <w:rsid w:val="00AC6E3D"/>
    <w:rsid w:val="00AC74F8"/>
    <w:rsid w:val="00AC7559"/>
    <w:rsid w:val="00AC77C9"/>
    <w:rsid w:val="00AD057E"/>
    <w:rsid w:val="00AD0ADC"/>
    <w:rsid w:val="00AD0AE5"/>
    <w:rsid w:val="00AD0EB0"/>
    <w:rsid w:val="00AD0EB7"/>
    <w:rsid w:val="00AD173E"/>
    <w:rsid w:val="00AD226C"/>
    <w:rsid w:val="00AD25D9"/>
    <w:rsid w:val="00AD272D"/>
    <w:rsid w:val="00AD29A6"/>
    <w:rsid w:val="00AD2AAF"/>
    <w:rsid w:val="00AD394F"/>
    <w:rsid w:val="00AD3D45"/>
    <w:rsid w:val="00AD3FA6"/>
    <w:rsid w:val="00AD460A"/>
    <w:rsid w:val="00AD4648"/>
    <w:rsid w:val="00AD47F8"/>
    <w:rsid w:val="00AD4B73"/>
    <w:rsid w:val="00AD4BC4"/>
    <w:rsid w:val="00AD5638"/>
    <w:rsid w:val="00AD60F2"/>
    <w:rsid w:val="00AD6695"/>
    <w:rsid w:val="00AD66DB"/>
    <w:rsid w:val="00AD689B"/>
    <w:rsid w:val="00AD68DD"/>
    <w:rsid w:val="00AD6E6B"/>
    <w:rsid w:val="00AD6EFA"/>
    <w:rsid w:val="00AD71FB"/>
    <w:rsid w:val="00AD79C9"/>
    <w:rsid w:val="00AD7DE5"/>
    <w:rsid w:val="00AD7E47"/>
    <w:rsid w:val="00AD7FCF"/>
    <w:rsid w:val="00AD7FE6"/>
    <w:rsid w:val="00AE0366"/>
    <w:rsid w:val="00AE04C5"/>
    <w:rsid w:val="00AE0A4B"/>
    <w:rsid w:val="00AE0D4F"/>
    <w:rsid w:val="00AE0EC6"/>
    <w:rsid w:val="00AE1293"/>
    <w:rsid w:val="00AE1707"/>
    <w:rsid w:val="00AE1E80"/>
    <w:rsid w:val="00AE2A9F"/>
    <w:rsid w:val="00AE2BFE"/>
    <w:rsid w:val="00AE2C31"/>
    <w:rsid w:val="00AE2F53"/>
    <w:rsid w:val="00AE328A"/>
    <w:rsid w:val="00AE3572"/>
    <w:rsid w:val="00AE399E"/>
    <w:rsid w:val="00AE3D50"/>
    <w:rsid w:val="00AE3DB7"/>
    <w:rsid w:val="00AE3F98"/>
    <w:rsid w:val="00AE44C2"/>
    <w:rsid w:val="00AE4745"/>
    <w:rsid w:val="00AE4E60"/>
    <w:rsid w:val="00AE4EC0"/>
    <w:rsid w:val="00AE51C5"/>
    <w:rsid w:val="00AE53E7"/>
    <w:rsid w:val="00AE54D1"/>
    <w:rsid w:val="00AE5762"/>
    <w:rsid w:val="00AE5A9C"/>
    <w:rsid w:val="00AE5BF7"/>
    <w:rsid w:val="00AE5E3B"/>
    <w:rsid w:val="00AE5F28"/>
    <w:rsid w:val="00AE6598"/>
    <w:rsid w:val="00AE69BF"/>
    <w:rsid w:val="00AE6BD2"/>
    <w:rsid w:val="00AE6CEC"/>
    <w:rsid w:val="00AE6E03"/>
    <w:rsid w:val="00AE6F02"/>
    <w:rsid w:val="00AE708F"/>
    <w:rsid w:val="00AE7166"/>
    <w:rsid w:val="00AE719C"/>
    <w:rsid w:val="00AE7AC5"/>
    <w:rsid w:val="00AE7EB8"/>
    <w:rsid w:val="00AF0600"/>
    <w:rsid w:val="00AF0867"/>
    <w:rsid w:val="00AF1120"/>
    <w:rsid w:val="00AF152A"/>
    <w:rsid w:val="00AF1E6C"/>
    <w:rsid w:val="00AF1F96"/>
    <w:rsid w:val="00AF21AB"/>
    <w:rsid w:val="00AF24DC"/>
    <w:rsid w:val="00AF2AB0"/>
    <w:rsid w:val="00AF2B27"/>
    <w:rsid w:val="00AF2DC8"/>
    <w:rsid w:val="00AF3236"/>
    <w:rsid w:val="00AF32F5"/>
    <w:rsid w:val="00AF3540"/>
    <w:rsid w:val="00AF3965"/>
    <w:rsid w:val="00AF3A04"/>
    <w:rsid w:val="00AF3B89"/>
    <w:rsid w:val="00AF46A4"/>
    <w:rsid w:val="00AF4A12"/>
    <w:rsid w:val="00AF4DA5"/>
    <w:rsid w:val="00AF4FDC"/>
    <w:rsid w:val="00AF50E8"/>
    <w:rsid w:val="00AF5423"/>
    <w:rsid w:val="00AF58AD"/>
    <w:rsid w:val="00AF5D38"/>
    <w:rsid w:val="00AF5F01"/>
    <w:rsid w:val="00AF6048"/>
    <w:rsid w:val="00AF63C7"/>
    <w:rsid w:val="00AF6EA8"/>
    <w:rsid w:val="00AF715B"/>
    <w:rsid w:val="00AF743F"/>
    <w:rsid w:val="00AF7571"/>
    <w:rsid w:val="00AF792B"/>
    <w:rsid w:val="00AF7E05"/>
    <w:rsid w:val="00AF7F4D"/>
    <w:rsid w:val="00B000DB"/>
    <w:rsid w:val="00B00261"/>
    <w:rsid w:val="00B0058F"/>
    <w:rsid w:val="00B00868"/>
    <w:rsid w:val="00B00A49"/>
    <w:rsid w:val="00B00BB3"/>
    <w:rsid w:val="00B00DFF"/>
    <w:rsid w:val="00B00FF2"/>
    <w:rsid w:val="00B01198"/>
    <w:rsid w:val="00B01318"/>
    <w:rsid w:val="00B01A46"/>
    <w:rsid w:val="00B01BC7"/>
    <w:rsid w:val="00B01DDA"/>
    <w:rsid w:val="00B020E6"/>
    <w:rsid w:val="00B02425"/>
    <w:rsid w:val="00B027C1"/>
    <w:rsid w:val="00B027E6"/>
    <w:rsid w:val="00B02C9E"/>
    <w:rsid w:val="00B02E2C"/>
    <w:rsid w:val="00B033CD"/>
    <w:rsid w:val="00B03762"/>
    <w:rsid w:val="00B04086"/>
    <w:rsid w:val="00B04304"/>
    <w:rsid w:val="00B04358"/>
    <w:rsid w:val="00B043B6"/>
    <w:rsid w:val="00B044D3"/>
    <w:rsid w:val="00B04B90"/>
    <w:rsid w:val="00B04F7A"/>
    <w:rsid w:val="00B04FD2"/>
    <w:rsid w:val="00B05029"/>
    <w:rsid w:val="00B0537D"/>
    <w:rsid w:val="00B05545"/>
    <w:rsid w:val="00B05713"/>
    <w:rsid w:val="00B05B7A"/>
    <w:rsid w:val="00B05E52"/>
    <w:rsid w:val="00B0724B"/>
    <w:rsid w:val="00B0746E"/>
    <w:rsid w:val="00B075BA"/>
    <w:rsid w:val="00B0783F"/>
    <w:rsid w:val="00B07F16"/>
    <w:rsid w:val="00B1058B"/>
    <w:rsid w:val="00B106CE"/>
    <w:rsid w:val="00B10C53"/>
    <w:rsid w:val="00B1108E"/>
    <w:rsid w:val="00B114E2"/>
    <w:rsid w:val="00B12380"/>
    <w:rsid w:val="00B124FA"/>
    <w:rsid w:val="00B12579"/>
    <w:rsid w:val="00B125D4"/>
    <w:rsid w:val="00B1271C"/>
    <w:rsid w:val="00B12A5A"/>
    <w:rsid w:val="00B12ED4"/>
    <w:rsid w:val="00B12F1A"/>
    <w:rsid w:val="00B139E5"/>
    <w:rsid w:val="00B13B3D"/>
    <w:rsid w:val="00B13B6A"/>
    <w:rsid w:val="00B13D32"/>
    <w:rsid w:val="00B13FB1"/>
    <w:rsid w:val="00B142E7"/>
    <w:rsid w:val="00B1430D"/>
    <w:rsid w:val="00B1438D"/>
    <w:rsid w:val="00B14768"/>
    <w:rsid w:val="00B148DA"/>
    <w:rsid w:val="00B14CBF"/>
    <w:rsid w:val="00B150C0"/>
    <w:rsid w:val="00B15187"/>
    <w:rsid w:val="00B152E6"/>
    <w:rsid w:val="00B15474"/>
    <w:rsid w:val="00B15572"/>
    <w:rsid w:val="00B15E29"/>
    <w:rsid w:val="00B16274"/>
    <w:rsid w:val="00B169BF"/>
    <w:rsid w:val="00B16C3E"/>
    <w:rsid w:val="00B176A5"/>
    <w:rsid w:val="00B21222"/>
    <w:rsid w:val="00B212EF"/>
    <w:rsid w:val="00B21520"/>
    <w:rsid w:val="00B2185E"/>
    <w:rsid w:val="00B21AD0"/>
    <w:rsid w:val="00B21E7F"/>
    <w:rsid w:val="00B22015"/>
    <w:rsid w:val="00B220E3"/>
    <w:rsid w:val="00B2219D"/>
    <w:rsid w:val="00B22469"/>
    <w:rsid w:val="00B22B1F"/>
    <w:rsid w:val="00B22EEC"/>
    <w:rsid w:val="00B23129"/>
    <w:rsid w:val="00B233EA"/>
    <w:rsid w:val="00B234E6"/>
    <w:rsid w:val="00B238B5"/>
    <w:rsid w:val="00B2391C"/>
    <w:rsid w:val="00B23C5C"/>
    <w:rsid w:val="00B2448F"/>
    <w:rsid w:val="00B24D80"/>
    <w:rsid w:val="00B24D96"/>
    <w:rsid w:val="00B24DD6"/>
    <w:rsid w:val="00B2580D"/>
    <w:rsid w:val="00B25FA7"/>
    <w:rsid w:val="00B262CD"/>
    <w:rsid w:val="00B26F55"/>
    <w:rsid w:val="00B2761C"/>
    <w:rsid w:val="00B278F9"/>
    <w:rsid w:val="00B27CC5"/>
    <w:rsid w:val="00B3003A"/>
    <w:rsid w:val="00B300E9"/>
    <w:rsid w:val="00B301B7"/>
    <w:rsid w:val="00B302A6"/>
    <w:rsid w:val="00B302B6"/>
    <w:rsid w:val="00B309CC"/>
    <w:rsid w:val="00B311CC"/>
    <w:rsid w:val="00B31465"/>
    <w:rsid w:val="00B315BC"/>
    <w:rsid w:val="00B315E9"/>
    <w:rsid w:val="00B31BE6"/>
    <w:rsid w:val="00B31C36"/>
    <w:rsid w:val="00B31C62"/>
    <w:rsid w:val="00B32046"/>
    <w:rsid w:val="00B32370"/>
    <w:rsid w:val="00B32616"/>
    <w:rsid w:val="00B32A1E"/>
    <w:rsid w:val="00B33328"/>
    <w:rsid w:val="00B334E0"/>
    <w:rsid w:val="00B34159"/>
    <w:rsid w:val="00B342A3"/>
    <w:rsid w:val="00B34610"/>
    <w:rsid w:val="00B34708"/>
    <w:rsid w:val="00B352F2"/>
    <w:rsid w:val="00B35759"/>
    <w:rsid w:val="00B359DF"/>
    <w:rsid w:val="00B35FB4"/>
    <w:rsid w:val="00B36384"/>
    <w:rsid w:val="00B36A6E"/>
    <w:rsid w:val="00B36BD1"/>
    <w:rsid w:val="00B36E6B"/>
    <w:rsid w:val="00B371B2"/>
    <w:rsid w:val="00B37253"/>
    <w:rsid w:val="00B37709"/>
    <w:rsid w:val="00B37994"/>
    <w:rsid w:val="00B37D83"/>
    <w:rsid w:val="00B40156"/>
    <w:rsid w:val="00B40352"/>
    <w:rsid w:val="00B4064C"/>
    <w:rsid w:val="00B40873"/>
    <w:rsid w:val="00B40A2A"/>
    <w:rsid w:val="00B413C0"/>
    <w:rsid w:val="00B414B3"/>
    <w:rsid w:val="00B41959"/>
    <w:rsid w:val="00B41DA5"/>
    <w:rsid w:val="00B42150"/>
    <w:rsid w:val="00B426CF"/>
    <w:rsid w:val="00B42A79"/>
    <w:rsid w:val="00B42D38"/>
    <w:rsid w:val="00B43409"/>
    <w:rsid w:val="00B434AC"/>
    <w:rsid w:val="00B43793"/>
    <w:rsid w:val="00B43FC7"/>
    <w:rsid w:val="00B44138"/>
    <w:rsid w:val="00B44CE3"/>
    <w:rsid w:val="00B44D46"/>
    <w:rsid w:val="00B451F1"/>
    <w:rsid w:val="00B45662"/>
    <w:rsid w:val="00B45B42"/>
    <w:rsid w:val="00B461A7"/>
    <w:rsid w:val="00B46570"/>
    <w:rsid w:val="00B46986"/>
    <w:rsid w:val="00B46B2E"/>
    <w:rsid w:val="00B46B57"/>
    <w:rsid w:val="00B46E05"/>
    <w:rsid w:val="00B46F96"/>
    <w:rsid w:val="00B46FB9"/>
    <w:rsid w:val="00B4743B"/>
    <w:rsid w:val="00B47523"/>
    <w:rsid w:val="00B475D1"/>
    <w:rsid w:val="00B47AB5"/>
    <w:rsid w:val="00B47EF0"/>
    <w:rsid w:val="00B5007F"/>
    <w:rsid w:val="00B501A8"/>
    <w:rsid w:val="00B501BF"/>
    <w:rsid w:val="00B50362"/>
    <w:rsid w:val="00B50AAB"/>
    <w:rsid w:val="00B50D3E"/>
    <w:rsid w:val="00B5105D"/>
    <w:rsid w:val="00B51193"/>
    <w:rsid w:val="00B515AA"/>
    <w:rsid w:val="00B51639"/>
    <w:rsid w:val="00B518FF"/>
    <w:rsid w:val="00B51C2B"/>
    <w:rsid w:val="00B520BF"/>
    <w:rsid w:val="00B5285C"/>
    <w:rsid w:val="00B528B3"/>
    <w:rsid w:val="00B52A80"/>
    <w:rsid w:val="00B52D3A"/>
    <w:rsid w:val="00B52EFA"/>
    <w:rsid w:val="00B53031"/>
    <w:rsid w:val="00B5326D"/>
    <w:rsid w:val="00B53B88"/>
    <w:rsid w:val="00B53DA5"/>
    <w:rsid w:val="00B53E41"/>
    <w:rsid w:val="00B53FEB"/>
    <w:rsid w:val="00B544CA"/>
    <w:rsid w:val="00B54A1A"/>
    <w:rsid w:val="00B54DFF"/>
    <w:rsid w:val="00B568CE"/>
    <w:rsid w:val="00B56D17"/>
    <w:rsid w:val="00B57B6B"/>
    <w:rsid w:val="00B57BD9"/>
    <w:rsid w:val="00B57E13"/>
    <w:rsid w:val="00B60726"/>
    <w:rsid w:val="00B60B6E"/>
    <w:rsid w:val="00B60BFC"/>
    <w:rsid w:val="00B60D38"/>
    <w:rsid w:val="00B60DB8"/>
    <w:rsid w:val="00B60FAA"/>
    <w:rsid w:val="00B610B8"/>
    <w:rsid w:val="00B610EE"/>
    <w:rsid w:val="00B610F9"/>
    <w:rsid w:val="00B61CCF"/>
    <w:rsid w:val="00B62716"/>
    <w:rsid w:val="00B627E9"/>
    <w:rsid w:val="00B628A0"/>
    <w:rsid w:val="00B62AA0"/>
    <w:rsid w:val="00B63161"/>
    <w:rsid w:val="00B632AE"/>
    <w:rsid w:val="00B6334D"/>
    <w:rsid w:val="00B63576"/>
    <w:rsid w:val="00B63D66"/>
    <w:rsid w:val="00B63E6A"/>
    <w:rsid w:val="00B63F87"/>
    <w:rsid w:val="00B649B5"/>
    <w:rsid w:val="00B64F07"/>
    <w:rsid w:val="00B65109"/>
    <w:rsid w:val="00B65426"/>
    <w:rsid w:val="00B659E0"/>
    <w:rsid w:val="00B65C77"/>
    <w:rsid w:val="00B65F3B"/>
    <w:rsid w:val="00B66469"/>
    <w:rsid w:val="00B666B9"/>
    <w:rsid w:val="00B66833"/>
    <w:rsid w:val="00B66B2E"/>
    <w:rsid w:val="00B66F7D"/>
    <w:rsid w:val="00B6719C"/>
    <w:rsid w:val="00B67346"/>
    <w:rsid w:val="00B6760E"/>
    <w:rsid w:val="00B67C7C"/>
    <w:rsid w:val="00B67DCB"/>
    <w:rsid w:val="00B70450"/>
    <w:rsid w:val="00B7055B"/>
    <w:rsid w:val="00B70730"/>
    <w:rsid w:val="00B70D69"/>
    <w:rsid w:val="00B70EFC"/>
    <w:rsid w:val="00B70F72"/>
    <w:rsid w:val="00B71153"/>
    <w:rsid w:val="00B71356"/>
    <w:rsid w:val="00B71C89"/>
    <w:rsid w:val="00B71F2C"/>
    <w:rsid w:val="00B731A9"/>
    <w:rsid w:val="00B73314"/>
    <w:rsid w:val="00B736B6"/>
    <w:rsid w:val="00B73F74"/>
    <w:rsid w:val="00B7433D"/>
    <w:rsid w:val="00B74391"/>
    <w:rsid w:val="00B746D4"/>
    <w:rsid w:val="00B74C54"/>
    <w:rsid w:val="00B74C87"/>
    <w:rsid w:val="00B74FCE"/>
    <w:rsid w:val="00B758D6"/>
    <w:rsid w:val="00B75E98"/>
    <w:rsid w:val="00B75FC9"/>
    <w:rsid w:val="00B762D0"/>
    <w:rsid w:val="00B7630C"/>
    <w:rsid w:val="00B766F4"/>
    <w:rsid w:val="00B76B9E"/>
    <w:rsid w:val="00B76BFB"/>
    <w:rsid w:val="00B76D7D"/>
    <w:rsid w:val="00B7742A"/>
    <w:rsid w:val="00B77630"/>
    <w:rsid w:val="00B8077B"/>
    <w:rsid w:val="00B81385"/>
    <w:rsid w:val="00B813CE"/>
    <w:rsid w:val="00B81A85"/>
    <w:rsid w:val="00B81D1F"/>
    <w:rsid w:val="00B81F34"/>
    <w:rsid w:val="00B826D7"/>
    <w:rsid w:val="00B82B05"/>
    <w:rsid w:val="00B82DD0"/>
    <w:rsid w:val="00B82F4B"/>
    <w:rsid w:val="00B8375B"/>
    <w:rsid w:val="00B83837"/>
    <w:rsid w:val="00B83B6F"/>
    <w:rsid w:val="00B83D3A"/>
    <w:rsid w:val="00B83D55"/>
    <w:rsid w:val="00B84035"/>
    <w:rsid w:val="00B8430D"/>
    <w:rsid w:val="00B8439E"/>
    <w:rsid w:val="00B8462F"/>
    <w:rsid w:val="00B848E3"/>
    <w:rsid w:val="00B84B95"/>
    <w:rsid w:val="00B84F3C"/>
    <w:rsid w:val="00B852D4"/>
    <w:rsid w:val="00B854A6"/>
    <w:rsid w:val="00B85649"/>
    <w:rsid w:val="00B8573C"/>
    <w:rsid w:val="00B8595B"/>
    <w:rsid w:val="00B85980"/>
    <w:rsid w:val="00B859A8"/>
    <w:rsid w:val="00B85AB5"/>
    <w:rsid w:val="00B86832"/>
    <w:rsid w:val="00B86938"/>
    <w:rsid w:val="00B86BC7"/>
    <w:rsid w:val="00B86E97"/>
    <w:rsid w:val="00B87167"/>
    <w:rsid w:val="00B90125"/>
    <w:rsid w:val="00B9064C"/>
    <w:rsid w:val="00B90749"/>
    <w:rsid w:val="00B907B2"/>
    <w:rsid w:val="00B90E2A"/>
    <w:rsid w:val="00B90FFB"/>
    <w:rsid w:val="00B91384"/>
    <w:rsid w:val="00B9186E"/>
    <w:rsid w:val="00B91903"/>
    <w:rsid w:val="00B91A28"/>
    <w:rsid w:val="00B91AE4"/>
    <w:rsid w:val="00B91D2A"/>
    <w:rsid w:val="00B91FE8"/>
    <w:rsid w:val="00B92853"/>
    <w:rsid w:val="00B92A29"/>
    <w:rsid w:val="00B92A5A"/>
    <w:rsid w:val="00B92FB5"/>
    <w:rsid w:val="00B93C62"/>
    <w:rsid w:val="00B93E61"/>
    <w:rsid w:val="00B94971"/>
    <w:rsid w:val="00B94CF6"/>
    <w:rsid w:val="00B95297"/>
    <w:rsid w:val="00B952C3"/>
    <w:rsid w:val="00B95347"/>
    <w:rsid w:val="00B95F3B"/>
    <w:rsid w:val="00B96071"/>
    <w:rsid w:val="00B96076"/>
    <w:rsid w:val="00B96698"/>
    <w:rsid w:val="00B96908"/>
    <w:rsid w:val="00B96BF4"/>
    <w:rsid w:val="00B96F1F"/>
    <w:rsid w:val="00B97CD9"/>
    <w:rsid w:val="00B97D18"/>
    <w:rsid w:val="00B97F92"/>
    <w:rsid w:val="00BA0183"/>
    <w:rsid w:val="00BA0441"/>
    <w:rsid w:val="00BA0462"/>
    <w:rsid w:val="00BA0656"/>
    <w:rsid w:val="00BA0C3D"/>
    <w:rsid w:val="00BA0E9B"/>
    <w:rsid w:val="00BA14E5"/>
    <w:rsid w:val="00BA14F6"/>
    <w:rsid w:val="00BA1576"/>
    <w:rsid w:val="00BA17F6"/>
    <w:rsid w:val="00BA1849"/>
    <w:rsid w:val="00BA1AC3"/>
    <w:rsid w:val="00BA1FB9"/>
    <w:rsid w:val="00BA20CB"/>
    <w:rsid w:val="00BA2979"/>
    <w:rsid w:val="00BA2A83"/>
    <w:rsid w:val="00BA2AF0"/>
    <w:rsid w:val="00BA2E87"/>
    <w:rsid w:val="00BA2EFC"/>
    <w:rsid w:val="00BA3218"/>
    <w:rsid w:val="00BA386F"/>
    <w:rsid w:val="00BA39CD"/>
    <w:rsid w:val="00BA41E9"/>
    <w:rsid w:val="00BA430F"/>
    <w:rsid w:val="00BA45B5"/>
    <w:rsid w:val="00BA45F2"/>
    <w:rsid w:val="00BA48F0"/>
    <w:rsid w:val="00BA53BE"/>
    <w:rsid w:val="00BA5645"/>
    <w:rsid w:val="00BA5695"/>
    <w:rsid w:val="00BA57C1"/>
    <w:rsid w:val="00BA581D"/>
    <w:rsid w:val="00BA58F5"/>
    <w:rsid w:val="00BA5B32"/>
    <w:rsid w:val="00BA60E4"/>
    <w:rsid w:val="00BA64A5"/>
    <w:rsid w:val="00BA6507"/>
    <w:rsid w:val="00BA6B89"/>
    <w:rsid w:val="00BA6DC9"/>
    <w:rsid w:val="00BA71FA"/>
    <w:rsid w:val="00BA733E"/>
    <w:rsid w:val="00BA79B2"/>
    <w:rsid w:val="00BA7A7E"/>
    <w:rsid w:val="00BB01B1"/>
    <w:rsid w:val="00BB0B0A"/>
    <w:rsid w:val="00BB1329"/>
    <w:rsid w:val="00BB13A5"/>
    <w:rsid w:val="00BB16E7"/>
    <w:rsid w:val="00BB174E"/>
    <w:rsid w:val="00BB180D"/>
    <w:rsid w:val="00BB197F"/>
    <w:rsid w:val="00BB19C1"/>
    <w:rsid w:val="00BB1C5F"/>
    <w:rsid w:val="00BB1ED4"/>
    <w:rsid w:val="00BB21AD"/>
    <w:rsid w:val="00BB232C"/>
    <w:rsid w:val="00BB296D"/>
    <w:rsid w:val="00BB2BEB"/>
    <w:rsid w:val="00BB2CFA"/>
    <w:rsid w:val="00BB31D9"/>
    <w:rsid w:val="00BB3273"/>
    <w:rsid w:val="00BB377B"/>
    <w:rsid w:val="00BB37B5"/>
    <w:rsid w:val="00BB3A1E"/>
    <w:rsid w:val="00BB3BD0"/>
    <w:rsid w:val="00BB4305"/>
    <w:rsid w:val="00BB474C"/>
    <w:rsid w:val="00BB4C91"/>
    <w:rsid w:val="00BB4F9A"/>
    <w:rsid w:val="00BB5292"/>
    <w:rsid w:val="00BB5365"/>
    <w:rsid w:val="00BB53F6"/>
    <w:rsid w:val="00BB557C"/>
    <w:rsid w:val="00BB5912"/>
    <w:rsid w:val="00BB5946"/>
    <w:rsid w:val="00BB5976"/>
    <w:rsid w:val="00BB5B75"/>
    <w:rsid w:val="00BB5C6C"/>
    <w:rsid w:val="00BB5DFA"/>
    <w:rsid w:val="00BB5E76"/>
    <w:rsid w:val="00BB6312"/>
    <w:rsid w:val="00BB632A"/>
    <w:rsid w:val="00BB63E7"/>
    <w:rsid w:val="00BB672A"/>
    <w:rsid w:val="00BB682F"/>
    <w:rsid w:val="00BB69FA"/>
    <w:rsid w:val="00BB6C6A"/>
    <w:rsid w:val="00BB6EE7"/>
    <w:rsid w:val="00BB7A0F"/>
    <w:rsid w:val="00BB7A6A"/>
    <w:rsid w:val="00BB7EA4"/>
    <w:rsid w:val="00BC027E"/>
    <w:rsid w:val="00BC0A32"/>
    <w:rsid w:val="00BC0B00"/>
    <w:rsid w:val="00BC0CB8"/>
    <w:rsid w:val="00BC0EAE"/>
    <w:rsid w:val="00BC11FF"/>
    <w:rsid w:val="00BC1218"/>
    <w:rsid w:val="00BC1A54"/>
    <w:rsid w:val="00BC1D5E"/>
    <w:rsid w:val="00BC1E2F"/>
    <w:rsid w:val="00BC1EB5"/>
    <w:rsid w:val="00BC2030"/>
    <w:rsid w:val="00BC213A"/>
    <w:rsid w:val="00BC27E3"/>
    <w:rsid w:val="00BC2847"/>
    <w:rsid w:val="00BC2900"/>
    <w:rsid w:val="00BC2E61"/>
    <w:rsid w:val="00BC300D"/>
    <w:rsid w:val="00BC34E4"/>
    <w:rsid w:val="00BC3BD8"/>
    <w:rsid w:val="00BC3E6D"/>
    <w:rsid w:val="00BC4501"/>
    <w:rsid w:val="00BC4D5D"/>
    <w:rsid w:val="00BC5278"/>
    <w:rsid w:val="00BC57B0"/>
    <w:rsid w:val="00BC5C67"/>
    <w:rsid w:val="00BC647A"/>
    <w:rsid w:val="00BC6615"/>
    <w:rsid w:val="00BC6FC8"/>
    <w:rsid w:val="00BC7106"/>
    <w:rsid w:val="00BC716D"/>
    <w:rsid w:val="00BC748A"/>
    <w:rsid w:val="00BC7691"/>
    <w:rsid w:val="00BC773F"/>
    <w:rsid w:val="00BC7B90"/>
    <w:rsid w:val="00BD0283"/>
    <w:rsid w:val="00BD08E7"/>
    <w:rsid w:val="00BD0E6D"/>
    <w:rsid w:val="00BD0E9D"/>
    <w:rsid w:val="00BD0FBF"/>
    <w:rsid w:val="00BD17E8"/>
    <w:rsid w:val="00BD191E"/>
    <w:rsid w:val="00BD192B"/>
    <w:rsid w:val="00BD1B65"/>
    <w:rsid w:val="00BD1B95"/>
    <w:rsid w:val="00BD1CE7"/>
    <w:rsid w:val="00BD2446"/>
    <w:rsid w:val="00BD2A4D"/>
    <w:rsid w:val="00BD2F65"/>
    <w:rsid w:val="00BD31FD"/>
    <w:rsid w:val="00BD36EE"/>
    <w:rsid w:val="00BD420C"/>
    <w:rsid w:val="00BD45DB"/>
    <w:rsid w:val="00BD4DE4"/>
    <w:rsid w:val="00BD4FD3"/>
    <w:rsid w:val="00BD5945"/>
    <w:rsid w:val="00BD5D0E"/>
    <w:rsid w:val="00BD609D"/>
    <w:rsid w:val="00BD6549"/>
    <w:rsid w:val="00BD65E0"/>
    <w:rsid w:val="00BD6D4F"/>
    <w:rsid w:val="00BD6FED"/>
    <w:rsid w:val="00BD7027"/>
    <w:rsid w:val="00BD7094"/>
    <w:rsid w:val="00BD70CF"/>
    <w:rsid w:val="00BD7371"/>
    <w:rsid w:val="00BD753B"/>
    <w:rsid w:val="00BD792D"/>
    <w:rsid w:val="00BD7977"/>
    <w:rsid w:val="00BD7BB2"/>
    <w:rsid w:val="00BD7F10"/>
    <w:rsid w:val="00BD7F5D"/>
    <w:rsid w:val="00BE0167"/>
    <w:rsid w:val="00BE0613"/>
    <w:rsid w:val="00BE088B"/>
    <w:rsid w:val="00BE0CFF"/>
    <w:rsid w:val="00BE116E"/>
    <w:rsid w:val="00BE1186"/>
    <w:rsid w:val="00BE1195"/>
    <w:rsid w:val="00BE11F4"/>
    <w:rsid w:val="00BE1424"/>
    <w:rsid w:val="00BE1EC5"/>
    <w:rsid w:val="00BE209F"/>
    <w:rsid w:val="00BE216F"/>
    <w:rsid w:val="00BE22B4"/>
    <w:rsid w:val="00BE24A8"/>
    <w:rsid w:val="00BE2526"/>
    <w:rsid w:val="00BE2C5C"/>
    <w:rsid w:val="00BE2DC9"/>
    <w:rsid w:val="00BE2F79"/>
    <w:rsid w:val="00BE3099"/>
    <w:rsid w:val="00BE315B"/>
    <w:rsid w:val="00BE3EE7"/>
    <w:rsid w:val="00BE409B"/>
    <w:rsid w:val="00BE433F"/>
    <w:rsid w:val="00BE4C26"/>
    <w:rsid w:val="00BE4D50"/>
    <w:rsid w:val="00BE4F30"/>
    <w:rsid w:val="00BE52F3"/>
    <w:rsid w:val="00BE55AE"/>
    <w:rsid w:val="00BE5A28"/>
    <w:rsid w:val="00BE5AA0"/>
    <w:rsid w:val="00BE5AC0"/>
    <w:rsid w:val="00BE5B31"/>
    <w:rsid w:val="00BE64E9"/>
    <w:rsid w:val="00BE66C2"/>
    <w:rsid w:val="00BE6891"/>
    <w:rsid w:val="00BE6AE5"/>
    <w:rsid w:val="00BE7170"/>
    <w:rsid w:val="00BE7209"/>
    <w:rsid w:val="00BE757D"/>
    <w:rsid w:val="00BE7763"/>
    <w:rsid w:val="00BE7AC8"/>
    <w:rsid w:val="00BE7E1F"/>
    <w:rsid w:val="00BF04EE"/>
    <w:rsid w:val="00BF0823"/>
    <w:rsid w:val="00BF0858"/>
    <w:rsid w:val="00BF08BF"/>
    <w:rsid w:val="00BF0C3D"/>
    <w:rsid w:val="00BF0D84"/>
    <w:rsid w:val="00BF0E58"/>
    <w:rsid w:val="00BF13A3"/>
    <w:rsid w:val="00BF1889"/>
    <w:rsid w:val="00BF189B"/>
    <w:rsid w:val="00BF1C92"/>
    <w:rsid w:val="00BF1CF4"/>
    <w:rsid w:val="00BF208A"/>
    <w:rsid w:val="00BF251B"/>
    <w:rsid w:val="00BF2528"/>
    <w:rsid w:val="00BF2AE1"/>
    <w:rsid w:val="00BF3209"/>
    <w:rsid w:val="00BF3730"/>
    <w:rsid w:val="00BF3AE7"/>
    <w:rsid w:val="00BF3E56"/>
    <w:rsid w:val="00BF4047"/>
    <w:rsid w:val="00BF42EA"/>
    <w:rsid w:val="00BF45D8"/>
    <w:rsid w:val="00BF479D"/>
    <w:rsid w:val="00BF4B89"/>
    <w:rsid w:val="00BF4F31"/>
    <w:rsid w:val="00BF516E"/>
    <w:rsid w:val="00BF55B3"/>
    <w:rsid w:val="00BF5660"/>
    <w:rsid w:val="00BF577F"/>
    <w:rsid w:val="00BF57AF"/>
    <w:rsid w:val="00BF5A23"/>
    <w:rsid w:val="00BF5AE1"/>
    <w:rsid w:val="00BF61A6"/>
    <w:rsid w:val="00BF6BA0"/>
    <w:rsid w:val="00BF6EA4"/>
    <w:rsid w:val="00BF76DF"/>
    <w:rsid w:val="00BF79E8"/>
    <w:rsid w:val="00BF7D6E"/>
    <w:rsid w:val="00C001B4"/>
    <w:rsid w:val="00C00466"/>
    <w:rsid w:val="00C00931"/>
    <w:rsid w:val="00C009E5"/>
    <w:rsid w:val="00C00A31"/>
    <w:rsid w:val="00C00ABE"/>
    <w:rsid w:val="00C00D53"/>
    <w:rsid w:val="00C00FD9"/>
    <w:rsid w:val="00C01431"/>
    <w:rsid w:val="00C01742"/>
    <w:rsid w:val="00C01802"/>
    <w:rsid w:val="00C0187E"/>
    <w:rsid w:val="00C02205"/>
    <w:rsid w:val="00C02A16"/>
    <w:rsid w:val="00C02EE7"/>
    <w:rsid w:val="00C02EEE"/>
    <w:rsid w:val="00C032F3"/>
    <w:rsid w:val="00C03308"/>
    <w:rsid w:val="00C03468"/>
    <w:rsid w:val="00C03542"/>
    <w:rsid w:val="00C03B63"/>
    <w:rsid w:val="00C03FF6"/>
    <w:rsid w:val="00C040F2"/>
    <w:rsid w:val="00C042FD"/>
    <w:rsid w:val="00C04417"/>
    <w:rsid w:val="00C0464C"/>
    <w:rsid w:val="00C049FE"/>
    <w:rsid w:val="00C04E57"/>
    <w:rsid w:val="00C04EB0"/>
    <w:rsid w:val="00C050DE"/>
    <w:rsid w:val="00C051C6"/>
    <w:rsid w:val="00C053B7"/>
    <w:rsid w:val="00C059C3"/>
    <w:rsid w:val="00C05BDB"/>
    <w:rsid w:val="00C05D53"/>
    <w:rsid w:val="00C066B5"/>
    <w:rsid w:val="00C06B62"/>
    <w:rsid w:val="00C06E12"/>
    <w:rsid w:val="00C06E60"/>
    <w:rsid w:val="00C07479"/>
    <w:rsid w:val="00C10000"/>
    <w:rsid w:val="00C10348"/>
    <w:rsid w:val="00C10622"/>
    <w:rsid w:val="00C107FC"/>
    <w:rsid w:val="00C10BCD"/>
    <w:rsid w:val="00C110F4"/>
    <w:rsid w:val="00C1110E"/>
    <w:rsid w:val="00C111A0"/>
    <w:rsid w:val="00C11382"/>
    <w:rsid w:val="00C11818"/>
    <w:rsid w:val="00C1190C"/>
    <w:rsid w:val="00C119E1"/>
    <w:rsid w:val="00C11CEC"/>
    <w:rsid w:val="00C11F2A"/>
    <w:rsid w:val="00C11F58"/>
    <w:rsid w:val="00C12209"/>
    <w:rsid w:val="00C122D2"/>
    <w:rsid w:val="00C1248E"/>
    <w:rsid w:val="00C1250B"/>
    <w:rsid w:val="00C12FC3"/>
    <w:rsid w:val="00C137EA"/>
    <w:rsid w:val="00C1395A"/>
    <w:rsid w:val="00C13B0A"/>
    <w:rsid w:val="00C1463F"/>
    <w:rsid w:val="00C14677"/>
    <w:rsid w:val="00C14889"/>
    <w:rsid w:val="00C14ADA"/>
    <w:rsid w:val="00C14D86"/>
    <w:rsid w:val="00C155BF"/>
    <w:rsid w:val="00C15D2F"/>
    <w:rsid w:val="00C15D42"/>
    <w:rsid w:val="00C15E34"/>
    <w:rsid w:val="00C15F9F"/>
    <w:rsid w:val="00C167BE"/>
    <w:rsid w:val="00C167FB"/>
    <w:rsid w:val="00C1687C"/>
    <w:rsid w:val="00C16898"/>
    <w:rsid w:val="00C16991"/>
    <w:rsid w:val="00C16A90"/>
    <w:rsid w:val="00C16B27"/>
    <w:rsid w:val="00C16B65"/>
    <w:rsid w:val="00C16CAC"/>
    <w:rsid w:val="00C16D52"/>
    <w:rsid w:val="00C16E70"/>
    <w:rsid w:val="00C17180"/>
    <w:rsid w:val="00C175FC"/>
    <w:rsid w:val="00C1767E"/>
    <w:rsid w:val="00C17B8B"/>
    <w:rsid w:val="00C17C05"/>
    <w:rsid w:val="00C17F7E"/>
    <w:rsid w:val="00C20268"/>
    <w:rsid w:val="00C20A14"/>
    <w:rsid w:val="00C20AB7"/>
    <w:rsid w:val="00C20B94"/>
    <w:rsid w:val="00C20BC9"/>
    <w:rsid w:val="00C20EA2"/>
    <w:rsid w:val="00C20FDA"/>
    <w:rsid w:val="00C2123A"/>
    <w:rsid w:val="00C2144F"/>
    <w:rsid w:val="00C214EE"/>
    <w:rsid w:val="00C21549"/>
    <w:rsid w:val="00C216EA"/>
    <w:rsid w:val="00C21B00"/>
    <w:rsid w:val="00C21BD0"/>
    <w:rsid w:val="00C21DC2"/>
    <w:rsid w:val="00C221C2"/>
    <w:rsid w:val="00C22F93"/>
    <w:rsid w:val="00C22FF9"/>
    <w:rsid w:val="00C23339"/>
    <w:rsid w:val="00C235F2"/>
    <w:rsid w:val="00C23803"/>
    <w:rsid w:val="00C23950"/>
    <w:rsid w:val="00C239BB"/>
    <w:rsid w:val="00C23CA2"/>
    <w:rsid w:val="00C24579"/>
    <w:rsid w:val="00C2483E"/>
    <w:rsid w:val="00C24B57"/>
    <w:rsid w:val="00C24EB3"/>
    <w:rsid w:val="00C2503C"/>
    <w:rsid w:val="00C25E28"/>
    <w:rsid w:val="00C25F65"/>
    <w:rsid w:val="00C2636C"/>
    <w:rsid w:val="00C263ED"/>
    <w:rsid w:val="00C264E7"/>
    <w:rsid w:val="00C26737"/>
    <w:rsid w:val="00C26834"/>
    <w:rsid w:val="00C26A88"/>
    <w:rsid w:val="00C27199"/>
    <w:rsid w:val="00C2752F"/>
    <w:rsid w:val="00C2781F"/>
    <w:rsid w:val="00C27966"/>
    <w:rsid w:val="00C27F90"/>
    <w:rsid w:val="00C3001C"/>
    <w:rsid w:val="00C30A72"/>
    <w:rsid w:val="00C3157E"/>
    <w:rsid w:val="00C316F3"/>
    <w:rsid w:val="00C31878"/>
    <w:rsid w:val="00C31F78"/>
    <w:rsid w:val="00C31FA4"/>
    <w:rsid w:val="00C3274E"/>
    <w:rsid w:val="00C32AC7"/>
    <w:rsid w:val="00C32FF0"/>
    <w:rsid w:val="00C331EA"/>
    <w:rsid w:val="00C33237"/>
    <w:rsid w:val="00C33459"/>
    <w:rsid w:val="00C33484"/>
    <w:rsid w:val="00C3353E"/>
    <w:rsid w:val="00C33BB0"/>
    <w:rsid w:val="00C3415E"/>
    <w:rsid w:val="00C34370"/>
    <w:rsid w:val="00C343F2"/>
    <w:rsid w:val="00C345B6"/>
    <w:rsid w:val="00C34774"/>
    <w:rsid w:val="00C347E8"/>
    <w:rsid w:val="00C34ACC"/>
    <w:rsid w:val="00C34DF5"/>
    <w:rsid w:val="00C35DCD"/>
    <w:rsid w:val="00C35F2B"/>
    <w:rsid w:val="00C360CA"/>
    <w:rsid w:val="00C360E2"/>
    <w:rsid w:val="00C36341"/>
    <w:rsid w:val="00C36C0E"/>
    <w:rsid w:val="00C36CAF"/>
    <w:rsid w:val="00C37023"/>
    <w:rsid w:val="00C37364"/>
    <w:rsid w:val="00C37387"/>
    <w:rsid w:val="00C37928"/>
    <w:rsid w:val="00C400E3"/>
    <w:rsid w:val="00C40303"/>
    <w:rsid w:val="00C40476"/>
    <w:rsid w:val="00C40534"/>
    <w:rsid w:val="00C4098D"/>
    <w:rsid w:val="00C40C57"/>
    <w:rsid w:val="00C4116A"/>
    <w:rsid w:val="00C4128E"/>
    <w:rsid w:val="00C413D0"/>
    <w:rsid w:val="00C418DA"/>
    <w:rsid w:val="00C41BB3"/>
    <w:rsid w:val="00C41C51"/>
    <w:rsid w:val="00C4284B"/>
    <w:rsid w:val="00C428E4"/>
    <w:rsid w:val="00C42C20"/>
    <w:rsid w:val="00C42C86"/>
    <w:rsid w:val="00C43180"/>
    <w:rsid w:val="00C431B2"/>
    <w:rsid w:val="00C433C5"/>
    <w:rsid w:val="00C4349D"/>
    <w:rsid w:val="00C434AD"/>
    <w:rsid w:val="00C436A4"/>
    <w:rsid w:val="00C43D1F"/>
    <w:rsid w:val="00C43E86"/>
    <w:rsid w:val="00C43FD9"/>
    <w:rsid w:val="00C441D9"/>
    <w:rsid w:val="00C44325"/>
    <w:rsid w:val="00C445B2"/>
    <w:rsid w:val="00C454DA"/>
    <w:rsid w:val="00C4574E"/>
    <w:rsid w:val="00C45AC0"/>
    <w:rsid w:val="00C462DE"/>
    <w:rsid w:val="00C465B3"/>
    <w:rsid w:val="00C46843"/>
    <w:rsid w:val="00C469A6"/>
    <w:rsid w:val="00C46F0D"/>
    <w:rsid w:val="00C47152"/>
    <w:rsid w:val="00C471F9"/>
    <w:rsid w:val="00C47464"/>
    <w:rsid w:val="00C477F6"/>
    <w:rsid w:val="00C47A0D"/>
    <w:rsid w:val="00C50A3B"/>
    <w:rsid w:val="00C510B7"/>
    <w:rsid w:val="00C51225"/>
    <w:rsid w:val="00C51376"/>
    <w:rsid w:val="00C5165B"/>
    <w:rsid w:val="00C51CEF"/>
    <w:rsid w:val="00C51EAE"/>
    <w:rsid w:val="00C520BC"/>
    <w:rsid w:val="00C522A1"/>
    <w:rsid w:val="00C52304"/>
    <w:rsid w:val="00C528FE"/>
    <w:rsid w:val="00C52AF4"/>
    <w:rsid w:val="00C52BEA"/>
    <w:rsid w:val="00C52F03"/>
    <w:rsid w:val="00C537A5"/>
    <w:rsid w:val="00C5380F"/>
    <w:rsid w:val="00C54408"/>
    <w:rsid w:val="00C548DA"/>
    <w:rsid w:val="00C54988"/>
    <w:rsid w:val="00C549FB"/>
    <w:rsid w:val="00C55039"/>
    <w:rsid w:val="00C55255"/>
    <w:rsid w:val="00C55B4B"/>
    <w:rsid w:val="00C55EEE"/>
    <w:rsid w:val="00C5682F"/>
    <w:rsid w:val="00C5698D"/>
    <w:rsid w:val="00C572CD"/>
    <w:rsid w:val="00C57789"/>
    <w:rsid w:val="00C57810"/>
    <w:rsid w:val="00C57B66"/>
    <w:rsid w:val="00C57CE1"/>
    <w:rsid w:val="00C60050"/>
    <w:rsid w:val="00C6016B"/>
    <w:rsid w:val="00C60397"/>
    <w:rsid w:val="00C605B9"/>
    <w:rsid w:val="00C60951"/>
    <w:rsid w:val="00C610AD"/>
    <w:rsid w:val="00C617C0"/>
    <w:rsid w:val="00C617DC"/>
    <w:rsid w:val="00C61B52"/>
    <w:rsid w:val="00C62CCE"/>
    <w:rsid w:val="00C635F0"/>
    <w:rsid w:val="00C637F1"/>
    <w:rsid w:val="00C63F8A"/>
    <w:rsid w:val="00C64017"/>
    <w:rsid w:val="00C648AD"/>
    <w:rsid w:val="00C649C2"/>
    <w:rsid w:val="00C65107"/>
    <w:rsid w:val="00C65D39"/>
    <w:rsid w:val="00C6624B"/>
    <w:rsid w:val="00C66477"/>
    <w:rsid w:val="00C6667E"/>
    <w:rsid w:val="00C67326"/>
    <w:rsid w:val="00C67715"/>
    <w:rsid w:val="00C700E3"/>
    <w:rsid w:val="00C703B3"/>
    <w:rsid w:val="00C704B6"/>
    <w:rsid w:val="00C705F9"/>
    <w:rsid w:val="00C71123"/>
    <w:rsid w:val="00C714BF"/>
    <w:rsid w:val="00C7166C"/>
    <w:rsid w:val="00C717E3"/>
    <w:rsid w:val="00C71832"/>
    <w:rsid w:val="00C71F65"/>
    <w:rsid w:val="00C723E2"/>
    <w:rsid w:val="00C72F90"/>
    <w:rsid w:val="00C73053"/>
    <w:rsid w:val="00C7362C"/>
    <w:rsid w:val="00C737DF"/>
    <w:rsid w:val="00C738F8"/>
    <w:rsid w:val="00C73981"/>
    <w:rsid w:val="00C739DC"/>
    <w:rsid w:val="00C73D2F"/>
    <w:rsid w:val="00C73E75"/>
    <w:rsid w:val="00C741FF"/>
    <w:rsid w:val="00C74A54"/>
    <w:rsid w:val="00C74EE8"/>
    <w:rsid w:val="00C74F96"/>
    <w:rsid w:val="00C75349"/>
    <w:rsid w:val="00C7556D"/>
    <w:rsid w:val="00C7561D"/>
    <w:rsid w:val="00C75F95"/>
    <w:rsid w:val="00C75FD4"/>
    <w:rsid w:val="00C76007"/>
    <w:rsid w:val="00C762C5"/>
    <w:rsid w:val="00C76335"/>
    <w:rsid w:val="00C7649B"/>
    <w:rsid w:val="00C76570"/>
    <w:rsid w:val="00C76B79"/>
    <w:rsid w:val="00C77AA9"/>
    <w:rsid w:val="00C80005"/>
    <w:rsid w:val="00C802C3"/>
    <w:rsid w:val="00C803E9"/>
    <w:rsid w:val="00C8046F"/>
    <w:rsid w:val="00C80531"/>
    <w:rsid w:val="00C805AA"/>
    <w:rsid w:val="00C80B23"/>
    <w:rsid w:val="00C80E29"/>
    <w:rsid w:val="00C81104"/>
    <w:rsid w:val="00C81297"/>
    <w:rsid w:val="00C812CD"/>
    <w:rsid w:val="00C8207B"/>
    <w:rsid w:val="00C821A1"/>
    <w:rsid w:val="00C822B3"/>
    <w:rsid w:val="00C823DB"/>
    <w:rsid w:val="00C8255B"/>
    <w:rsid w:val="00C8256B"/>
    <w:rsid w:val="00C82779"/>
    <w:rsid w:val="00C827BE"/>
    <w:rsid w:val="00C82807"/>
    <w:rsid w:val="00C82D6C"/>
    <w:rsid w:val="00C82FCE"/>
    <w:rsid w:val="00C82FE1"/>
    <w:rsid w:val="00C83260"/>
    <w:rsid w:val="00C83474"/>
    <w:rsid w:val="00C83594"/>
    <w:rsid w:val="00C8372E"/>
    <w:rsid w:val="00C83784"/>
    <w:rsid w:val="00C83DC5"/>
    <w:rsid w:val="00C83ECA"/>
    <w:rsid w:val="00C83FC2"/>
    <w:rsid w:val="00C841AA"/>
    <w:rsid w:val="00C84577"/>
    <w:rsid w:val="00C85053"/>
    <w:rsid w:val="00C8540A"/>
    <w:rsid w:val="00C85698"/>
    <w:rsid w:val="00C85935"/>
    <w:rsid w:val="00C85975"/>
    <w:rsid w:val="00C85EF2"/>
    <w:rsid w:val="00C864DD"/>
    <w:rsid w:val="00C86810"/>
    <w:rsid w:val="00C86BB9"/>
    <w:rsid w:val="00C86BCB"/>
    <w:rsid w:val="00C86F03"/>
    <w:rsid w:val="00C871B3"/>
    <w:rsid w:val="00C873D7"/>
    <w:rsid w:val="00C873FF"/>
    <w:rsid w:val="00C875E9"/>
    <w:rsid w:val="00C87D72"/>
    <w:rsid w:val="00C9005E"/>
    <w:rsid w:val="00C90F3E"/>
    <w:rsid w:val="00C9101E"/>
    <w:rsid w:val="00C9195E"/>
    <w:rsid w:val="00C9212C"/>
    <w:rsid w:val="00C9248C"/>
    <w:rsid w:val="00C92620"/>
    <w:rsid w:val="00C927A8"/>
    <w:rsid w:val="00C929F8"/>
    <w:rsid w:val="00C92CA0"/>
    <w:rsid w:val="00C936ED"/>
    <w:rsid w:val="00C93926"/>
    <w:rsid w:val="00C9395F"/>
    <w:rsid w:val="00C93E1B"/>
    <w:rsid w:val="00C93F1F"/>
    <w:rsid w:val="00C93F69"/>
    <w:rsid w:val="00C93FC1"/>
    <w:rsid w:val="00C94003"/>
    <w:rsid w:val="00C941F0"/>
    <w:rsid w:val="00C94200"/>
    <w:rsid w:val="00C94604"/>
    <w:rsid w:val="00C94C55"/>
    <w:rsid w:val="00C94FA4"/>
    <w:rsid w:val="00C94FBD"/>
    <w:rsid w:val="00C95204"/>
    <w:rsid w:val="00C9559B"/>
    <w:rsid w:val="00C95B0E"/>
    <w:rsid w:val="00C95E78"/>
    <w:rsid w:val="00C96246"/>
    <w:rsid w:val="00C9691A"/>
    <w:rsid w:val="00C96FEB"/>
    <w:rsid w:val="00C97611"/>
    <w:rsid w:val="00C97C14"/>
    <w:rsid w:val="00C97F33"/>
    <w:rsid w:val="00CA023C"/>
    <w:rsid w:val="00CA047F"/>
    <w:rsid w:val="00CA0ABC"/>
    <w:rsid w:val="00CA0BE0"/>
    <w:rsid w:val="00CA11B6"/>
    <w:rsid w:val="00CA1225"/>
    <w:rsid w:val="00CA1413"/>
    <w:rsid w:val="00CA1970"/>
    <w:rsid w:val="00CA1DDE"/>
    <w:rsid w:val="00CA1E18"/>
    <w:rsid w:val="00CA2497"/>
    <w:rsid w:val="00CA346D"/>
    <w:rsid w:val="00CA36ED"/>
    <w:rsid w:val="00CA391A"/>
    <w:rsid w:val="00CA3CE2"/>
    <w:rsid w:val="00CA3D06"/>
    <w:rsid w:val="00CA3FE4"/>
    <w:rsid w:val="00CA4BA8"/>
    <w:rsid w:val="00CA54AC"/>
    <w:rsid w:val="00CA57AD"/>
    <w:rsid w:val="00CA591D"/>
    <w:rsid w:val="00CA6077"/>
    <w:rsid w:val="00CA6554"/>
    <w:rsid w:val="00CA689C"/>
    <w:rsid w:val="00CA6976"/>
    <w:rsid w:val="00CA6B90"/>
    <w:rsid w:val="00CA6CA9"/>
    <w:rsid w:val="00CA6E7D"/>
    <w:rsid w:val="00CA6EF6"/>
    <w:rsid w:val="00CA7639"/>
    <w:rsid w:val="00CA7756"/>
    <w:rsid w:val="00CA79C1"/>
    <w:rsid w:val="00CB0028"/>
    <w:rsid w:val="00CB0308"/>
    <w:rsid w:val="00CB04B6"/>
    <w:rsid w:val="00CB098D"/>
    <w:rsid w:val="00CB0A77"/>
    <w:rsid w:val="00CB0EB8"/>
    <w:rsid w:val="00CB0F9D"/>
    <w:rsid w:val="00CB1574"/>
    <w:rsid w:val="00CB226F"/>
    <w:rsid w:val="00CB2971"/>
    <w:rsid w:val="00CB2BB1"/>
    <w:rsid w:val="00CB2BF7"/>
    <w:rsid w:val="00CB3253"/>
    <w:rsid w:val="00CB3466"/>
    <w:rsid w:val="00CB4087"/>
    <w:rsid w:val="00CB4089"/>
    <w:rsid w:val="00CB4599"/>
    <w:rsid w:val="00CB48B4"/>
    <w:rsid w:val="00CB4A00"/>
    <w:rsid w:val="00CB4D45"/>
    <w:rsid w:val="00CB51BD"/>
    <w:rsid w:val="00CB5507"/>
    <w:rsid w:val="00CB57A2"/>
    <w:rsid w:val="00CB58A5"/>
    <w:rsid w:val="00CB5E5C"/>
    <w:rsid w:val="00CB69DF"/>
    <w:rsid w:val="00CB7040"/>
    <w:rsid w:val="00CB74EC"/>
    <w:rsid w:val="00CB7718"/>
    <w:rsid w:val="00CB77CA"/>
    <w:rsid w:val="00CB7F69"/>
    <w:rsid w:val="00CC030B"/>
    <w:rsid w:val="00CC033D"/>
    <w:rsid w:val="00CC0790"/>
    <w:rsid w:val="00CC0ABC"/>
    <w:rsid w:val="00CC11E9"/>
    <w:rsid w:val="00CC14B1"/>
    <w:rsid w:val="00CC1556"/>
    <w:rsid w:val="00CC1CBF"/>
    <w:rsid w:val="00CC2151"/>
    <w:rsid w:val="00CC2422"/>
    <w:rsid w:val="00CC296B"/>
    <w:rsid w:val="00CC2990"/>
    <w:rsid w:val="00CC2A36"/>
    <w:rsid w:val="00CC3252"/>
    <w:rsid w:val="00CC33AC"/>
    <w:rsid w:val="00CC3B17"/>
    <w:rsid w:val="00CC422C"/>
    <w:rsid w:val="00CC426F"/>
    <w:rsid w:val="00CC4355"/>
    <w:rsid w:val="00CC493C"/>
    <w:rsid w:val="00CC49DB"/>
    <w:rsid w:val="00CC4ADC"/>
    <w:rsid w:val="00CC513C"/>
    <w:rsid w:val="00CC52F5"/>
    <w:rsid w:val="00CC539C"/>
    <w:rsid w:val="00CC572A"/>
    <w:rsid w:val="00CC57E0"/>
    <w:rsid w:val="00CC5C5D"/>
    <w:rsid w:val="00CC5CB7"/>
    <w:rsid w:val="00CC5F43"/>
    <w:rsid w:val="00CC6074"/>
    <w:rsid w:val="00CC6342"/>
    <w:rsid w:val="00CC6ADE"/>
    <w:rsid w:val="00CC6D5E"/>
    <w:rsid w:val="00CC6EFD"/>
    <w:rsid w:val="00CC701A"/>
    <w:rsid w:val="00CC7118"/>
    <w:rsid w:val="00CC7635"/>
    <w:rsid w:val="00CC7A1F"/>
    <w:rsid w:val="00CC7E82"/>
    <w:rsid w:val="00CD0067"/>
    <w:rsid w:val="00CD0ACF"/>
    <w:rsid w:val="00CD0DC2"/>
    <w:rsid w:val="00CD1424"/>
    <w:rsid w:val="00CD1DD2"/>
    <w:rsid w:val="00CD2039"/>
    <w:rsid w:val="00CD234D"/>
    <w:rsid w:val="00CD2AF8"/>
    <w:rsid w:val="00CD3050"/>
    <w:rsid w:val="00CD3140"/>
    <w:rsid w:val="00CD3177"/>
    <w:rsid w:val="00CD31AC"/>
    <w:rsid w:val="00CD3DA5"/>
    <w:rsid w:val="00CD40E2"/>
    <w:rsid w:val="00CD4276"/>
    <w:rsid w:val="00CD47A4"/>
    <w:rsid w:val="00CD54F8"/>
    <w:rsid w:val="00CD57A7"/>
    <w:rsid w:val="00CD58E8"/>
    <w:rsid w:val="00CD6207"/>
    <w:rsid w:val="00CD628C"/>
    <w:rsid w:val="00CD63FD"/>
    <w:rsid w:val="00CD651A"/>
    <w:rsid w:val="00CD653A"/>
    <w:rsid w:val="00CD6619"/>
    <w:rsid w:val="00CD6DAC"/>
    <w:rsid w:val="00CD6F56"/>
    <w:rsid w:val="00CD7176"/>
    <w:rsid w:val="00CD78B4"/>
    <w:rsid w:val="00CE01B8"/>
    <w:rsid w:val="00CE0681"/>
    <w:rsid w:val="00CE0A86"/>
    <w:rsid w:val="00CE0F21"/>
    <w:rsid w:val="00CE0F50"/>
    <w:rsid w:val="00CE1165"/>
    <w:rsid w:val="00CE128E"/>
    <w:rsid w:val="00CE181E"/>
    <w:rsid w:val="00CE1B0B"/>
    <w:rsid w:val="00CE1D04"/>
    <w:rsid w:val="00CE2C76"/>
    <w:rsid w:val="00CE2D24"/>
    <w:rsid w:val="00CE35DA"/>
    <w:rsid w:val="00CE3BDB"/>
    <w:rsid w:val="00CE3EDF"/>
    <w:rsid w:val="00CE4102"/>
    <w:rsid w:val="00CE4246"/>
    <w:rsid w:val="00CE4344"/>
    <w:rsid w:val="00CE456B"/>
    <w:rsid w:val="00CE462C"/>
    <w:rsid w:val="00CE489A"/>
    <w:rsid w:val="00CE4A25"/>
    <w:rsid w:val="00CE4BAE"/>
    <w:rsid w:val="00CE4ED9"/>
    <w:rsid w:val="00CE5578"/>
    <w:rsid w:val="00CE5FD3"/>
    <w:rsid w:val="00CE6486"/>
    <w:rsid w:val="00CE7241"/>
    <w:rsid w:val="00CE7355"/>
    <w:rsid w:val="00CE7833"/>
    <w:rsid w:val="00CE7858"/>
    <w:rsid w:val="00CE7B29"/>
    <w:rsid w:val="00CF01AD"/>
    <w:rsid w:val="00CF02D6"/>
    <w:rsid w:val="00CF0341"/>
    <w:rsid w:val="00CF05BA"/>
    <w:rsid w:val="00CF05E4"/>
    <w:rsid w:val="00CF0776"/>
    <w:rsid w:val="00CF0893"/>
    <w:rsid w:val="00CF0BA1"/>
    <w:rsid w:val="00CF0EBE"/>
    <w:rsid w:val="00CF1615"/>
    <w:rsid w:val="00CF1626"/>
    <w:rsid w:val="00CF194A"/>
    <w:rsid w:val="00CF1A91"/>
    <w:rsid w:val="00CF1B80"/>
    <w:rsid w:val="00CF1F22"/>
    <w:rsid w:val="00CF224B"/>
    <w:rsid w:val="00CF22A1"/>
    <w:rsid w:val="00CF26C0"/>
    <w:rsid w:val="00CF29A7"/>
    <w:rsid w:val="00CF2EE8"/>
    <w:rsid w:val="00CF2EFF"/>
    <w:rsid w:val="00CF2F8F"/>
    <w:rsid w:val="00CF3D9B"/>
    <w:rsid w:val="00CF3E00"/>
    <w:rsid w:val="00CF3FA8"/>
    <w:rsid w:val="00CF4000"/>
    <w:rsid w:val="00CF420F"/>
    <w:rsid w:val="00CF4746"/>
    <w:rsid w:val="00CF4B19"/>
    <w:rsid w:val="00CF4B81"/>
    <w:rsid w:val="00CF4B8A"/>
    <w:rsid w:val="00CF58AD"/>
    <w:rsid w:val="00CF600F"/>
    <w:rsid w:val="00CF6698"/>
    <w:rsid w:val="00CF6BD8"/>
    <w:rsid w:val="00CF74BC"/>
    <w:rsid w:val="00CF7760"/>
    <w:rsid w:val="00CF7A09"/>
    <w:rsid w:val="00CF7F7F"/>
    <w:rsid w:val="00D00391"/>
    <w:rsid w:val="00D005B4"/>
    <w:rsid w:val="00D00AD1"/>
    <w:rsid w:val="00D00C98"/>
    <w:rsid w:val="00D0134D"/>
    <w:rsid w:val="00D01519"/>
    <w:rsid w:val="00D017D1"/>
    <w:rsid w:val="00D01C70"/>
    <w:rsid w:val="00D024BB"/>
    <w:rsid w:val="00D025D2"/>
    <w:rsid w:val="00D02677"/>
    <w:rsid w:val="00D02694"/>
    <w:rsid w:val="00D02F7C"/>
    <w:rsid w:val="00D02FDD"/>
    <w:rsid w:val="00D0336B"/>
    <w:rsid w:val="00D03754"/>
    <w:rsid w:val="00D03B05"/>
    <w:rsid w:val="00D03BC3"/>
    <w:rsid w:val="00D03D8B"/>
    <w:rsid w:val="00D03FC1"/>
    <w:rsid w:val="00D0451F"/>
    <w:rsid w:val="00D04F94"/>
    <w:rsid w:val="00D05140"/>
    <w:rsid w:val="00D052C4"/>
    <w:rsid w:val="00D053AB"/>
    <w:rsid w:val="00D05749"/>
    <w:rsid w:val="00D05830"/>
    <w:rsid w:val="00D0589B"/>
    <w:rsid w:val="00D05ACE"/>
    <w:rsid w:val="00D05EE8"/>
    <w:rsid w:val="00D0678C"/>
    <w:rsid w:val="00D06C79"/>
    <w:rsid w:val="00D06CBA"/>
    <w:rsid w:val="00D075E3"/>
    <w:rsid w:val="00D0771D"/>
    <w:rsid w:val="00D10309"/>
    <w:rsid w:val="00D1031B"/>
    <w:rsid w:val="00D1042B"/>
    <w:rsid w:val="00D10475"/>
    <w:rsid w:val="00D105C0"/>
    <w:rsid w:val="00D109EE"/>
    <w:rsid w:val="00D10DC6"/>
    <w:rsid w:val="00D1114E"/>
    <w:rsid w:val="00D1154E"/>
    <w:rsid w:val="00D1173D"/>
    <w:rsid w:val="00D11C38"/>
    <w:rsid w:val="00D11CD8"/>
    <w:rsid w:val="00D11E39"/>
    <w:rsid w:val="00D124F7"/>
    <w:rsid w:val="00D128C5"/>
    <w:rsid w:val="00D12B16"/>
    <w:rsid w:val="00D134E5"/>
    <w:rsid w:val="00D13508"/>
    <w:rsid w:val="00D136AD"/>
    <w:rsid w:val="00D13869"/>
    <w:rsid w:val="00D13D4B"/>
    <w:rsid w:val="00D1427C"/>
    <w:rsid w:val="00D14617"/>
    <w:rsid w:val="00D14921"/>
    <w:rsid w:val="00D149D3"/>
    <w:rsid w:val="00D149DF"/>
    <w:rsid w:val="00D149F2"/>
    <w:rsid w:val="00D14E2F"/>
    <w:rsid w:val="00D15181"/>
    <w:rsid w:val="00D1559E"/>
    <w:rsid w:val="00D1573F"/>
    <w:rsid w:val="00D15937"/>
    <w:rsid w:val="00D15B4A"/>
    <w:rsid w:val="00D1656A"/>
    <w:rsid w:val="00D168A2"/>
    <w:rsid w:val="00D16F22"/>
    <w:rsid w:val="00D1701A"/>
    <w:rsid w:val="00D17153"/>
    <w:rsid w:val="00D171A7"/>
    <w:rsid w:val="00D171D5"/>
    <w:rsid w:val="00D17510"/>
    <w:rsid w:val="00D17780"/>
    <w:rsid w:val="00D2038A"/>
    <w:rsid w:val="00D20E88"/>
    <w:rsid w:val="00D20EC5"/>
    <w:rsid w:val="00D21486"/>
    <w:rsid w:val="00D224B1"/>
    <w:rsid w:val="00D22710"/>
    <w:rsid w:val="00D2361A"/>
    <w:rsid w:val="00D23925"/>
    <w:rsid w:val="00D23AF0"/>
    <w:rsid w:val="00D23DC4"/>
    <w:rsid w:val="00D24634"/>
    <w:rsid w:val="00D249C0"/>
    <w:rsid w:val="00D24C3A"/>
    <w:rsid w:val="00D24EFE"/>
    <w:rsid w:val="00D24F5D"/>
    <w:rsid w:val="00D25368"/>
    <w:rsid w:val="00D253F8"/>
    <w:rsid w:val="00D25401"/>
    <w:rsid w:val="00D25B4C"/>
    <w:rsid w:val="00D261AA"/>
    <w:rsid w:val="00D26319"/>
    <w:rsid w:val="00D2674A"/>
    <w:rsid w:val="00D26973"/>
    <w:rsid w:val="00D269B7"/>
    <w:rsid w:val="00D26D30"/>
    <w:rsid w:val="00D26E73"/>
    <w:rsid w:val="00D26E98"/>
    <w:rsid w:val="00D270AF"/>
    <w:rsid w:val="00D27652"/>
    <w:rsid w:val="00D2769B"/>
    <w:rsid w:val="00D3003E"/>
    <w:rsid w:val="00D30237"/>
    <w:rsid w:val="00D30242"/>
    <w:rsid w:val="00D30618"/>
    <w:rsid w:val="00D3083D"/>
    <w:rsid w:val="00D30A09"/>
    <w:rsid w:val="00D30B18"/>
    <w:rsid w:val="00D30B8A"/>
    <w:rsid w:val="00D30CB9"/>
    <w:rsid w:val="00D30DD9"/>
    <w:rsid w:val="00D3122E"/>
    <w:rsid w:val="00D3125A"/>
    <w:rsid w:val="00D3187C"/>
    <w:rsid w:val="00D31B57"/>
    <w:rsid w:val="00D31E70"/>
    <w:rsid w:val="00D31FDA"/>
    <w:rsid w:val="00D32B3A"/>
    <w:rsid w:val="00D32C52"/>
    <w:rsid w:val="00D32CB2"/>
    <w:rsid w:val="00D331BA"/>
    <w:rsid w:val="00D33276"/>
    <w:rsid w:val="00D33458"/>
    <w:rsid w:val="00D34507"/>
    <w:rsid w:val="00D34535"/>
    <w:rsid w:val="00D345C9"/>
    <w:rsid w:val="00D3462F"/>
    <w:rsid w:val="00D346BE"/>
    <w:rsid w:val="00D34C1B"/>
    <w:rsid w:val="00D34C7C"/>
    <w:rsid w:val="00D34C82"/>
    <w:rsid w:val="00D35124"/>
    <w:rsid w:val="00D3556C"/>
    <w:rsid w:val="00D35589"/>
    <w:rsid w:val="00D358B7"/>
    <w:rsid w:val="00D35E64"/>
    <w:rsid w:val="00D35F03"/>
    <w:rsid w:val="00D35F61"/>
    <w:rsid w:val="00D3608F"/>
    <w:rsid w:val="00D363EA"/>
    <w:rsid w:val="00D367FB"/>
    <w:rsid w:val="00D36AAF"/>
    <w:rsid w:val="00D36CAE"/>
    <w:rsid w:val="00D37227"/>
    <w:rsid w:val="00D4001C"/>
    <w:rsid w:val="00D4001E"/>
    <w:rsid w:val="00D400A9"/>
    <w:rsid w:val="00D400C3"/>
    <w:rsid w:val="00D4022F"/>
    <w:rsid w:val="00D404E3"/>
    <w:rsid w:val="00D406D4"/>
    <w:rsid w:val="00D407F1"/>
    <w:rsid w:val="00D409A5"/>
    <w:rsid w:val="00D409F6"/>
    <w:rsid w:val="00D40D1B"/>
    <w:rsid w:val="00D40DEF"/>
    <w:rsid w:val="00D40E22"/>
    <w:rsid w:val="00D411FC"/>
    <w:rsid w:val="00D41B63"/>
    <w:rsid w:val="00D41EA2"/>
    <w:rsid w:val="00D41F16"/>
    <w:rsid w:val="00D427E8"/>
    <w:rsid w:val="00D42DBD"/>
    <w:rsid w:val="00D42F82"/>
    <w:rsid w:val="00D431F5"/>
    <w:rsid w:val="00D43350"/>
    <w:rsid w:val="00D4354F"/>
    <w:rsid w:val="00D437F7"/>
    <w:rsid w:val="00D43EE0"/>
    <w:rsid w:val="00D43F37"/>
    <w:rsid w:val="00D44217"/>
    <w:rsid w:val="00D443A1"/>
    <w:rsid w:val="00D4452C"/>
    <w:rsid w:val="00D445CF"/>
    <w:rsid w:val="00D447EA"/>
    <w:rsid w:val="00D44883"/>
    <w:rsid w:val="00D44AC7"/>
    <w:rsid w:val="00D44C46"/>
    <w:rsid w:val="00D44D7C"/>
    <w:rsid w:val="00D44D7D"/>
    <w:rsid w:val="00D456AF"/>
    <w:rsid w:val="00D45787"/>
    <w:rsid w:val="00D45BC6"/>
    <w:rsid w:val="00D45C40"/>
    <w:rsid w:val="00D46502"/>
    <w:rsid w:val="00D46A93"/>
    <w:rsid w:val="00D46C45"/>
    <w:rsid w:val="00D46CE9"/>
    <w:rsid w:val="00D47232"/>
    <w:rsid w:val="00D47618"/>
    <w:rsid w:val="00D47F96"/>
    <w:rsid w:val="00D47FAF"/>
    <w:rsid w:val="00D502A1"/>
    <w:rsid w:val="00D502E6"/>
    <w:rsid w:val="00D505BB"/>
    <w:rsid w:val="00D50B17"/>
    <w:rsid w:val="00D50BE2"/>
    <w:rsid w:val="00D512AB"/>
    <w:rsid w:val="00D51658"/>
    <w:rsid w:val="00D517DD"/>
    <w:rsid w:val="00D51D9D"/>
    <w:rsid w:val="00D51DC0"/>
    <w:rsid w:val="00D51DC1"/>
    <w:rsid w:val="00D521CC"/>
    <w:rsid w:val="00D52644"/>
    <w:rsid w:val="00D5264F"/>
    <w:rsid w:val="00D5272D"/>
    <w:rsid w:val="00D52A41"/>
    <w:rsid w:val="00D52C10"/>
    <w:rsid w:val="00D52C63"/>
    <w:rsid w:val="00D52E0C"/>
    <w:rsid w:val="00D5351B"/>
    <w:rsid w:val="00D5380B"/>
    <w:rsid w:val="00D53DF1"/>
    <w:rsid w:val="00D5444B"/>
    <w:rsid w:val="00D54485"/>
    <w:rsid w:val="00D54520"/>
    <w:rsid w:val="00D5520A"/>
    <w:rsid w:val="00D555B2"/>
    <w:rsid w:val="00D55669"/>
    <w:rsid w:val="00D5581B"/>
    <w:rsid w:val="00D559EB"/>
    <w:rsid w:val="00D5684D"/>
    <w:rsid w:val="00D569F6"/>
    <w:rsid w:val="00D56F7E"/>
    <w:rsid w:val="00D5728F"/>
    <w:rsid w:val="00D57589"/>
    <w:rsid w:val="00D575D4"/>
    <w:rsid w:val="00D575F5"/>
    <w:rsid w:val="00D576AB"/>
    <w:rsid w:val="00D57AFC"/>
    <w:rsid w:val="00D57C1A"/>
    <w:rsid w:val="00D57E46"/>
    <w:rsid w:val="00D60DB1"/>
    <w:rsid w:val="00D6169A"/>
    <w:rsid w:val="00D617E3"/>
    <w:rsid w:val="00D6184A"/>
    <w:rsid w:val="00D618AC"/>
    <w:rsid w:val="00D61BD0"/>
    <w:rsid w:val="00D6221E"/>
    <w:rsid w:val="00D62344"/>
    <w:rsid w:val="00D625F6"/>
    <w:rsid w:val="00D62A0D"/>
    <w:rsid w:val="00D62BD4"/>
    <w:rsid w:val="00D62CBC"/>
    <w:rsid w:val="00D631DE"/>
    <w:rsid w:val="00D634B4"/>
    <w:rsid w:val="00D63FC8"/>
    <w:rsid w:val="00D647D3"/>
    <w:rsid w:val="00D64C36"/>
    <w:rsid w:val="00D64EA5"/>
    <w:rsid w:val="00D6508F"/>
    <w:rsid w:val="00D654D2"/>
    <w:rsid w:val="00D656D1"/>
    <w:rsid w:val="00D65B57"/>
    <w:rsid w:val="00D65CE1"/>
    <w:rsid w:val="00D6605C"/>
    <w:rsid w:val="00D663B3"/>
    <w:rsid w:val="00D666EB"/>
    <w:rsid w:val="00D66855"/>
    <w:rsid w:val="00D66E06"/>
    <w:rsid w:val="00D67324"/>
    <w:rsid w:val="00D67FA1"/>
    <w:rsid w:val="00D70348"/>
    <w:rsid w:val="00D70D28"/>
    <w:rsid w:val="00D70E81"/>
    <w:rsid w:val="00D7127F"/>
    <w:rsid w:val="00D71A4C"/>
    <w:rsid w:val="00D71B8C"/>
    <w:rsid w:val="00D71CF4"/>
    <w:rsid w:val="00D71D31"/>
    <w:rsid w:val="00D71F6C"/>
    <w:rsid w:val="00D720B2"/>
    <w:rsid w:val="00D72104"/>
    <w:rsid w:val="00D72130"/>
    <w:rsid w:val="00D723B4"/>
    <w:rsid w:val="00D725DF"/>
    <w:rsid w:val="00D728DA"/>
    <w:rsid w:val="00D72E17"/>
    <w:rsid w:val="00D7356D"/>
    <w:rsid w:val="00D73678"/>
    <w:rsid w:val="00D73BB8"/>
    <w:rsid w:val="00D746C4"/>
    <w:rsid w:val="00D753D7"/>
    <w:rsid w:val="00D75674"/>
    <w:rsid w:val="00D75E1F"/>
    <w:rsid w:val="00D766C3"/>
    <w:rsid w:val="00D76744"/>
    <w:rsid w:val="00D7684F"/>
    <w:rsid w:val="00D76A62"/>
    <w:rsid w:val="00D76C73"/>
    <w:rsid w:val="00D77A20"/>
    <w:rsid w:val="00D77D56"/>
    <w:rsid w:val="00D8068B"/>
    <w:rsid w:val="00D80893"/>
    <w:rsid w:val="00D80C9E"/>
    <w:rsid w:val="00D810AA"/>
    <w:rsid w:val="00D81447"/>
    <w:rsid w:val="00D81598"/>
    <w:rsid w:val="00D816BE"/>
    <w:rsid w:val="00D818E2"/>
    <w:rsid w:val="00D819DC"/>
    <w:rsid w:val="00D823F5"/>
    <w:rsid w:val="00D8269C"/>
    <w:rsid w:val="00D82A9D"/>
    <w:rsid w:val="00D82B4E"/>
    <w:rsid w:val="00D82CCC"/>
    <w:rsid w:val="00D82D4A"/>
    <w:rsid w:val="00D82EE0"/>
    <w:rsid w:val="00D83262"/>
    <w:rsid w:val="00D837AB"/>
    <w:rsid w:val="00D838A7"/>
    <w:rsid w:val="00D8393E"/>
    <w:rsid w:val="00D839A5"/>
    <w:rsid w:val="00D83B52"/>
    <w:rsid w:val="00D84590"/>
    <w:rsid w:val="00D85138"/>
    <w:rsid w:val="00D852E3"/>
    <w:rsid w:val="00D85674"/>
    <w:rsid w:val="00D859C0"/>
    <w:rsid w:val="00D85F67"/>
    <w:rsid w:val="00D86642"/>
    <w:rsid w:val="00D866A5"/>
    <w:rsid w:val="00D866D2"/>
    <w:rsid w:val="00D86B46"/>
    <w:rsid w:val="00D86BA7"/>
    <w:rsid w:val="00D86CD7"/>
    <w:rsid w:val="00D86DE6"/>
    <w:rsid w:val="00D87BD2"/>
    <w:rsid w:val="00D87E1F"/>
    <w:rsid w:val="00D9086F"/>
    <w:rsid w:val="00D90BDF"/>
    <w:rsid w:val="00D90C10"/>
    <w:rsid w:val="00D910E3"/>
    <w:rsid w:val="00D91150"/>
    <w:rsid w:val="00D9129F"/>
    <w:rsid w:val="00D91A25"/>
    <w:rsid w:val="00D91FA4"/>
    <w:rsid w:val="00D9201A"/>
    <w:rsid w:val="00D92458"/>
    <w:rsid w:val="00D92818"/>
    <w:rsid w:val="00D92B2B"/>
    <w:rsid w:val="00D92B59"/>
    <w:rsid w:val="00D93326"/>
    <w:rsid w:val="00D938CE"/>
    <w:rsid w:val="00D939D5"/>
    <w:rsid w:val="00D93C2F"/>
    <w:rsid w:val="00D93F11"/>
    <w:rsid w:val="00D94200"/>
    <w:rsid w:val="00D944A1"/>
    <w:rsid w:val="00D94607"/>
    <w:rsid w:val="00D95046"/>
    <w:rsid w:val="00D95058"/>
    <w:rsid w:val="00D95071"/>
    <w:rsid w:val="00D952BA"/>
    <w:rsid w:val="00D9531F"/>
    <w:rsid w:val="00D956F9"/>
    <w:rsid w:val="00D95738"/>
    <w:rsid w:val="00D964D7"/>
    <w:rsid w:val="00D965FC"/>
    <w:rsid w:val="00D969C5"/>
    <w:rsid w:val="00D96CDD"/>
    <w:rsid w:val="00D9756A"/>
    <w:rsid w:val="00DA01FC"/>
    <w:rsid w:val="00DA085A"/>
    <w:rsid w:val="00DA0A8C"/>
    <w:rsid w:val="00DA0B24"/>
    <w:rsid w:val="00DA0E63"/>
    <w:rsid w:val="00DA1240"/>
    <w:rsid w:val="00DA1404"/>
    <w:rsid w:val="00DA15A7"/>
    <w:rsid w:val="00DA15B5"/>
    <w:rsid w:val="00DA1675"/>
    <w:rsid w:val="00DA16D7"/>
    <w:rsid w:val="00DA172F"/>
    <w:rsid w:val="00DA174A"/>
    <w:rsid w:val="00DA2153"/>
    <w:rsid w:val="00DA21BD"/>
    <w:rsid w:val="00DA2496"/>
    <w:rsid w:val="00DA25A0"/>
    <w:rsid w:val="00DA2B1F"/>
    <w:rsid w:val="00DA2E2C"/>
    <w:rsid w:val="00DA2FA5"/>
    <w:rsid w:val="00DA30D1"/>
    <w:rsid w:val="00DA3305"/>
    <w:rsid w:val="00DA3660"/>
    <w:rsid w:val="00DA378B"/>
    <w:rsid w:val="00DA3B4D"/>
    <w:rsid w:val="00DA43CD"/>
    <w:rsid w:val="00DA46A9"/>
    <w:rsid w:val="00DA4C65"/>
    <w:rsid w:val="00DA4D19"/>
    <w:rsid w:val="00DA4F56"/>
    <w:rsid w:val="00DA5B3B"/>
    <w:rsid w:val="00DA6372"/>
    <w:rsid w:val="00DA6507"/>
    <w:rsid w:val="00DA65DA"/>
    <w:rsid w:val="00DA6770"/>
    <w:rsid w:val="00DA6867"/>
    <w:rsid w:val="00DA6915"/>
    <w:rsid w:val="00DA6BDF"/>
    <w:rsid w:val="00DA6D48"/>
    <w:rsid w:val="00DA76F9"/>
    <w:rsid w:val="00DA7976"/>
    <w:rsid w:val="00DA79AA"/>
    <w:rsid w:val="00DA7C3B"/>
    <w:rsid w:val="00DB02F0"/>
    <w:rsid w:val="00DB03E2"/>
    <w:rsid w:val="00DB08C8"/>
    <w:rsid w:val="00DB0B02"/>
    <w:rsid w:val="00DB1037"/>
    <w:rsid w:val="00DB15D7"/>
    <w:rsid w:val="00DB17A9"/>
    <w:rsid w:val="00DB1B84"/>
    <w:rsid w:val="00DB1C13"/>
    <w:rsid w:val="00DB1CD0"/>
    <w:rsid w:val="00DB20A7"/>
    <w:rsid w:val="00DB2386"/>
    <w:rsid w:val="00DB24FC"/>
    <w:rsid w:val="00DB26A5"/>
    <w:rsid w:val="00DB2E81"/>
    <w:rsid w:val="00DB2FD7"/>
    <w:rsid w:val="00DB3460"/>
    <w:rsid w:val="00DB388C"/>
    <w:rsid w:val="00DB399F"/>
    <w:rsid w:val="00DB3D5C"/>
    <w:rsid w:val="00DB3E23"/>
    <w:rsid w:val="00DB3FE3"/>
    <w:rsid w:val="00DB43F2"/>
    <w:rsid w:val="00DB4739"/>
    <w:rsid w:val="00DB4A47"/>
    <w:rsid w:val="00DB4B73"/>
    <w:rsid w:val="00DB4E12"/>
    <w:rsid w:val="00DB4E40"/>
    <w:rsid w:val="00DB4E63"/>
    <w:rsid w:val="00DB521C"/>
    <w:rsid w:val="00DB547E"/>
    <w:rsid w:val="00DB5781"/>
    <w:rsid w:val="00DB5985"/>
    <w:rsid w:val="00DB5CA0"/>
    <w:rsid w:val="00DB5DFF"/>
    <w:rsid w:val="00DB618D"/>
    <w:rsid w:val="00DB6192"/>
    <w:rsid w:val="00DB6260"/>
    <w:rsid w:val="00DB6A1E"/>
    <w:rsid w:val="00DB6B11"/>
    <w:rsid w:val="00DB6B4A"/>
    <w:rsid w:val="00DB7573"/>
    <w:rsid w:val="00DB7849"/>
    <w:rsid w:val="00DB7E64"/>
    <w:rsid w:val="00DC04B2"/>
    <w:rsid w:val="00DC0804"/>
    <w:rsid w:val="00DC0C5D"/>
    <w:rsid w:val="00DC0D6C"/>
    <w:rsid w:val="00DC0DF8"/>
    <w:rsid w:val="00DC114B"/>
    <w:rsid w:val="00DC1249"/>
    <w:rsid w:val="00DC1696"/>
    <w:rsid w:val="00DC2A44"/>
    <w:rsid w:val="00DC312D"/>
    <w:rsid w:val="00DC3131"/>
    <w:rsid w:val="00DC3F3A"/>
    <w:rsid w:val="00DC44D4"/>
    <w:rsid w:val="00DC4558"/>
    <w:rsid w:val="00DC4859"/>
    <w:rsid w:val="00DC4B6B"/>
    <w:rsid w:val="00DC529F"/>
    <w:rsid w:val="00DC5340"/>
    <w:rsid w:val="00DC5978"/>
    <w:rsid w:val="00DC5CD8"/>
    <w:rsid w:val="00DC619B"/>
    <w:rsid w:val="00DC65B0"/>
    <w:rsid w:val="00DC665B"/>
    <w:rsid w:val="00DC684F"/>
    <w:rsid w:val="00DC6885"/>
    <w:rsid w:val="00DC68D8"/>
    <w:rsid w:val="00DC6D02"/>
    <w:rsid w:val="00DC6E42"/>
    <w:rsid w:val="00DC7402"/>
    <w:rsid w:val="00DC7939"/>
    <w:rsid w:val="00DC7A69"/>
    <w:rsid w:val="00DC7CBB"/>
    <w:rsid w:val="00DC7E4A"/>
    <w:rsid w:val="00DD088D"/>
    <w:rsid w:val="00DD099B"/>
    <w:rsid w:val="00DD0DF1"/>
    <w:rsid w:val="00DD131C"/>
    <w:rsid w:val="00DD156E"/>
    <w:rsid w:val="00DD16EF"/>
    <w:rsid w:val="00DD1CA7"/>
    <w:rsid w:val="00DD1EBD"/>
    <w:rsid w:val="00DD23B2"/>
    <w:rsid w:val="00DD2402"/>
    <w:rsid w:val="00DD2BBE"/>
    <w:rsid w:val="00DD32DC"/>
    <w:rsid w:val="00DD33A0"/>
    <w:rsid w:val="00DD3482"/>
    <w:rsid w:val="00DD37AC"/>
    <w:rsid w:val="00DD3886"/>
    <w:rsid w:val="00DD429F"/>
    <w:rsid w:val="00DD4A40"/>
    <w:rsid w:val="00DD4B99"/>
    <w:rsid w:val="00DD4C5F"/>
    <w:rsid w:val="00DD4E42"/>
    <w:rsid w:val="00DD5479"/>
    <w:rsid w:val="00DD57D5"/>
    <w:rsid w:val="00DD58EC"/>
    <w:rsid w:val="00DD5A83"/>
    <w:rsid w:val="00DD5CF2"/>
    <w:rsid w:val="00DD6070"/>
    <w:rsid w:val="00DD6256"/>
    <w:rsid w:val="00DD627B"/>
    <w:rsid w:val="00DD6364"/>
    <w:rsid w:val="00DD649F"/>
    <w:rsid w:val="00DD65CD"/>
    <w:rsid w:val="00DD66C2"/>
    <w:rsid w:val="00DD6BD8"/>
    <w:rsid w:val="00DD72ED"/>
    <w:rsid w:val="00DD731D"/>
    <w:rsid w:val="00DD75C9"/>
    <w:rsid w:val="00DD7650"/>
    <w:rsid w:val="00DD7828"/>
    <w:rsid w:val="00DE0080"/>
    <w:rsid w:val="00DE06B7"/>
    <w:rsid w:val="00DE09B9"/>
    <w:rsid w:val="00DE0E77"/>
    <w:rsid w:val="00DE0FD2"/>
    <w:rsid w:val="00DE1A3B"/>
    <w:rsid w:val="00DE1C22"/>
    <w:rsid w:val="00DE1FB0"/>
    <w:rsid w:val="00DE2BDD"/>
    <w:rsid w:val="00DE308A"/>
    <w:rsid w:val="00DE3243"/>
    <w:rsid w:val="00DE335E"/>
    <w:rsid w:val="00DE3526"/>
    <w:rsid w:val="00DE3D27"/>
    <w:rsid w:val="00DE3FF8"/>
    <w:rsid w:val="00DE4080"/>
    <w:rsid w:val="00DE45A4"/>
    <w:rsid w:val="00DE50E8"/>
    <w:rsid w:val="00DE51F9"/>
    <w:rsid w:val="00DE5305"/>
    <w:rsid w:val="00DE53B7"/>
    <w:rsid w:val="00DE575A"/>
    <w:rsid w:val="00DE6008"/>
    <w:rsid w:val="00DE6076"/>
    <w:rsid w:val="00DE615C"/>
    <w:rsid w:val="00DE62C0"/>
    <w:rsid w:val="00DE6315"/>
    <w:rsid w:val="00DE669D"/>
    <w:rsid w:val="00DE6806"/>
    <w:rsid w:val="00DE71C1"/>
    <w:rsid w:val="00DE7663"/>
    <w:rsid w:val="00DE786D"/>
    <w:rsid w:val="00DE7F0F"/>
    <w:rsid w:val="00DF0271"/>
    <w:rsid w:val="00DF02A2"/>
    <w:rsid w:val="00DF03BA"/>
    <w:rsid w:val="00DF0569"/>
    <w:rsid w:val="00DF0755"/>
    <w:rsid w:val="00DF0AE1"/>
    <w:rsid w:val="00DF0B2B"/>
    <w:rsid w:val="00DF0C65"/>
    <w:rsid w:val="00DF0D83"/>
    <w:rsid w:val="00DF0EE4"/>
    <w:rsid w:val="00DF1178"/>
    <w:rsid w:val="00DF13B2"/>
    <w:rsid w:val="00DF172D"/>
    <w:rsid w:val="00DF1C44"/>
    <w:rsid w:val="00DF23B1"/>
    <w:rsid w:val="00DF23B3"/>
    <w:rsid w:val="00DF2741"/>
    <w:rsid w:val="00DF2C61"/>
    <w:rsid w:val="00DF2C9A"/>
    <w:rsid w:val="00DF2E8E"/>
    <w:rsid w:val="00DF302F"/>
    <w:rsid w:val="00DF3163"/>
    <w:rsid w:val="00DF326F"/>
    <w:rsid w:val="00DF3302"/>
    <w:rsid w:val="00DF338D"/>
    <w:rsid w:val="00DF3930"/>
    <w:rsid w:val="00DF39D8"/>
    <w:rsid w:val="00DF3AA8"/>
    <w:rsid w:val="00DF3D3B"/>
    <w:rsid w:val="00DF3E8B"/>
    <w:rsid w:val="00DF3FFB"/>
    <w:rsid w:val="00DF4489"/>
    <w:rsid w:val="00DF470C"/>
    <w:rsid w:val="00DF47CE"/>
    <w:rsid w:val="00DF4819"/>
    <w:rsid w:val="00DF4F3D"/>
    <w:rsid w:val="00DF5751"/>
    <w:rsid w:val="00DF58DF"/>
    <w:rsid w:val="00DF5BD6"/>
    <w:rsid w:val="00DF5FFD"/>
    <w:rsid w:val="00DF64A0"/>
    <w:rsid w:val="00DF64CC"/>
    <w:rsid w:val="00DF652F"/>
    <w:rsid w:val="00DF656A"/>
    <w:rsid w:val="00DF65E8"/>
    <w:rsid w:val="00DF6DF7"/>
    <w:rsid w:val="00DF6F69"/>
    <w:rsid w:val="00DF7135"/>
    <w:rsid w:val="00DF721E"/>
    <w:rsid w:val="00DF784C"/>
    <w:rsid w:val="00DF797B"/>
    <w:rsid w:val="00DF7C34"/>
    <w:rsid w:val="00DF7F91"/>
    <w:rsid w:val="00E0042D"/>
    <w:rsid w:val="00E00900"/>
    <w:rsid w:val="00E010BD"/>
    <w:rsid w:val="00E0110D"/>
    <w:rsid w:val="00E0117C"/>
    <w:rsid w:val="00E0132A"/>
    <w:rsid w:val="00E01669"/>
    <w:rsid w:val="00E017E7"/>
    <w:rsid w:val="00E01BD4"/>
    <w:rsid w:val="00E01F9D"/>
    <w:rsid w:val="00E01FB7"/>
    <w:rsid w:val="00E02AD6"/>
    <w:rsid w:val="00E02D18"/>
    <w:rsid w:val="00E0370F"/>
    <w:rsid w:val="00E03A42"/>
    <w:rsid w:val="00E03DC8"/>
    <w:rsid w:val="00E03F67"/>
    <w:rsid w:val="00E04032"/>
    <w:rsid w:val="00E04391"/>
    <w:rsid w:val="00E0451D"/>
    <w:rsid w:val="00E045D8"/>
    <w:rsid w:val="00E04760"/>
    <w:rsid w:val="00E04934"/>
    <w:rsid w:val="00E04D0A"/>
    <w:rsid w:val="00E04EF6"/>
    <w:rsid w:val="00E056ED"/>
    <w:rsid w:val="00E05FE4"/>
    <w:rsid w:val="00E06282"/>
    <w:rsid w:val="00E063FC"/>
    <w:rsid w:val="00E06C7C"/>
    <w:rsid w:val="00E07A7B"/>
    <w:rsid w:val="00E07E04"/>
    <w:rsid w:val="00E10587"/>
    <w:rsid w:val="00E1100D"/>
    <w:rsid w:val="00E11013"/>
    <w:rsid w:val="00E1131F"/>
    <w:rsid w:val="00E11904"/>
    <w:rsid w:val="00E11BDC"/>
    <w:rsid w:val="00E11BEA"/>
    <w:rsid w:val="00E11CBF"/>
    <w:rsid w:val="00E126F5"/>
    <w:rsid w:val="00E12835"/>
    <w:rsid w:val="00E12B6E"/>
    <w:rsid w:val="00E1311E"/>
    <w:rsid w:val="00E13B91"/>
    <w:rsid w:val="00E13E3B"/>
    <w:rsid w:val="00E1450B"/>
    <w:rsid w:val="00E1494B"/>
    <w:rsid w:val="00E14E19"/>
    <w:rsid w:val="00E15291"/>
    <w:rsid w:val="00E15429"/>
    <w:rsid w:val="00E156B3"/>
    <w:rsid w:val="00E15AF3"/>
    <w:rsid w:val="00E15C66"/>
    <w:rsid w:val="00E15D69"/>
    <w:rsid w:val="00E15E58"/>
    <w:rsid w:val="00E16030"/>
    <w:rsid w:val="00E1612C"/>
    <w:rsid w:val="00E164E7"/>
    <w:rsid w:val="00E167A6"/>
    <w:rsid w:val="00E168B1"/>
    <w:rsid w:val="00E16C64"/>
    <w:rsid w:val="00E17575"/>
    <w:rsid w:val="00E177B4"/>
    <w:rsid w:val="00E2033A"/>
    <w:rsid w:val="00E20A7F"/>
    <w:rsid w:val="00E210AB"/>
    <w:rsid w:val="00E21116"/>
    <w:rsid w:val="00E212CE"/>
    <w:rsid w:val="00E21D49"/>
    <w:rsid w:val="00E2295A"/>
    <w:rsid w:val="00E22A68"/>
    <w:rsid w:val="00E23052"/>
    <w:rsid w:val="00E24120"/>
    <w:rsid w:val="00E24524"/>
    <w:rsid w:val="00E248DF"/>
    <w:rsid w:val="00E248F5"/>
    <w:rsid w:val="00E24C24"/>
    <w:rsid w:val="00E24D95"/>
    <w:rsid w:val="00E24F0E"/>
    <w:rsid w:val="00E24F16"/>
    <w:rsid w:val="00E2571A"/>
    <w:rsid w:val="00E257A0"/>
    <w:rsid w:val="00E258B2"/>
    <w:rsid w:val="00E25937"/>
    <w:rsid w:val="00E25C75"/>
    <w:rsid w:val="00E26091"/>
    <w:rsid w:val="00E26124"/>
    <w:rsid w:val="00E26126"/>
    <w:rsid w:val="00E266CC"/>
    <w:rsid w:val="00E26706"/>
    <w:rsid w:val="00E26B16"/>
    <w:rsid w:val="00E27332"/>
    <w:rsid w:val="00E273A3"/>
    <w:rsid w:val="00E2761E"/>
    <w:rsid w:val="00E2767A"/>
    <w:rsid w:val="00E27ABE"/>
    <w:rsid w:val="00E27BF9"/>
    <w:rsid w:val="00E27CE8"/>
    <w:rsid w:val="00E303DE"/>
    <w:rsid w:val="00E30555"/>
    <w:rsid w:val="00E306E1"/>
    <w:rsid w:val="00E307E5"/>
    <w:rsid w:val="00E307FE"/>
    <w:rsid w:val="00E30894"/>
    <w:rsid w:val="00E308EE"/>
    <w:rsid w:val="00E30A84"/>
    <w:rsid w:val="00E31084"/>
    <w:rsid w:val="00E320A5"/>
    <w:rsid w:val="00E32254"/>
    <w:rsid w:val="00E323BF"/>
    <w:rsid w:val="00E32556"/>
    <w:rsid w:val="00E32589"/>
    <w:rsid w:val="00E325BB"/>
    <w:rsid w:val="00E327BE"/>
    <w:rsid w:val="00E32832"/>
    <w:rsid w:val="00E33150"/>
    <w:rsid w:val="00E331CB"/>
    <w:rsid w:val="00E33346"/>
    <w:rsid w:val="00E33863"/>
    <w:rsid w:val="00E33E90"/>
    <w:rsid w:val="00E34B59"/>
    <w:rsid w:val="00E34C64"/>
    <w:rsid w:val="00E34F78"/>
    <w:rsid w:val="00E3512C"/>
    <w:rsid w:val="00E35449"/>
    <w:rsid w:val="00E35B2B"/>
    <w:rsid w:val="00E35B74"/>
    <w:rsid w:val="00E364F2"/>
    <w:rsid w:val="00E36660"/>
    <w:rsid w:val="00E368BE"/>
    <w:rsid w:val="00E36D82"/>
    <w:rsid w:val="00E37148"/>
    <w:rsid w:val="00E400F5"/>
    <w:rsid w:val="00E40128"/>
    <w:rsid w:val="00E402B3"/>
    <w:rsid w:val="00E402CF"/>
    <w:rsid w:val="00E40548"/>
    <w:rsid w:val="00E4055E"/>
    <w:rsid w:val="00E408D5"/>
    <w:rsid w:val="00E409D4"/>
    <w:rsid w:val="00E40A1D"/>
    <w:rsid w:val="00E40A3D"/>
    <w:rsid w:val="00E40D43"/>
    <w:rsid w:val="00E4149F"/>
    <w:rsid w:val="00E4199B"/>
    <w:rsid w:val="00E419CC"/>
    <w:rsid w:val="00E4210F"/>
    <w:rsid w:val="00E42224"/>
    <w:rsid w:val="00E42358"/>
    <w:rsid w:val="00E428D0"/>
    <w:rsid w:val="00E431F4"/>
    <w:rsid w:val="00E4340D"/>
    <w:rsid w:val="00E435FA"/>
    <w:rsid w:val="00E4406B"/>
    <w:rsid w:val="00E44374"/>
    <w:rsid w:val="00E444D2"/>
    <w:rsid w:val="00E4464F"/>
    <w:rsid w:val="00E44759"/>
    <w:rsid w:val="00E44C76"/>
    <w:rsid w:val="00E44E07"/>
    <w:rsid w:val="00E44FB1"/>
    <w:rsid w:val="00E45184"/>
    <w:rsid w:val="00E45551"/>
    <w:rsid w:val="00E45618"/>
    <w:rsid w:val="00E45735"/>
    <w:rsid w:val="00E45B5A"/>
    <w:rsid w:val="00E46708"/>
    <w:rsid w:val="00E46935"/>
    <w:rsid w:val="00E469C4"/>
    <w:rsid w:val="00E46C6D"/>
    <w:rsid w:val="00E46CAD"/>
    <w:rsid w:val="00E46FE0"/>
    <w:rsid w:val="00E47315"/>
    <w:rsid w:val="00E47398"/>
    <w:rsid w:val="00E47912"/>
    <w:rsid w:val="00E5025D"/>
    <w:rsid w:val="00E50D34"/>
    <w:rsid w:val="00E5118F"/>
    <w:rsid w:val="00E51372"/>
    <w:rsid w:val="00E513B1"/>
    <w:rsid w:val="00E519AB"/>
    <w:rsid w:val="00E51C4C"/>
    <w:rsid w:val="00E51D1C"/>
    <w:rsid w:val="00E51DF4"/>
    <w:rsid w:val="00E51FB3"/>
    <w:rsid w:val="00E520B5"/>
    <w:rsid w:val="00E52104"/>
    <w:rsid w:val="00E52153"/>
    <w:rsid w:val="00E52A84"/>
    <w:rsid w:val="00E52A87"/>
    <w:rsid w:val="00E52C59"/>
    <w:rsid w:val="00E52EAF"/>
    <w:rsid w:val="00E530B0"/>
    <w:rsid w:val="00E53140"/>
    <w:rsid w:val="00E533F6"/>
    <w:rsid w:val="00E53511"/>
    <w:rsid w:val="00E53825"/>
    <w:rsid w:val="00E53D3D"/>
    <w:rsid w:val="00E5401F"/>
    <w:rsid w:val="00E54087"/>
    <w:rsid w:val="00E5455E"/>
    <w:rsid w:val="00E54A09"/>
    <w:rsid w:val="00E54EB4"/>
    <w:rsid w:val="00E55388"/>
    <w:rsid w:val="00E55480"/>
    <w:rsid w:val="00E55538"/>
    <w:rsid w:val="00E55683"/>
    <w:rsid w:val="00E55A4A"/>
    <w:rsid w:val="00E5652F"/>
    <w:rsid w:val="00E565AA"/>
    <w:rsid w:val="00E56AF0"/>
    <w:rsid w:val="00E56BA9"/>
    <w:rsid w:val="00E5739F"/>
    <w:rsid w:val="00E575B5"/>
    <w:rsid w:val="00E5771C"/>
    <w:rsid w:val="00E578FD"/>
    <w:rsid w:val="00E57F7F"/>
    <w:rsid w:val="00E6060F"/>
    <w:rsid w:val="00E6089D"/>
    <w:rsid w:val="00E60B16"/>
    <w:rsid w:val="00E60B33"/>
    <w:rsid w:val="00E60BB2"/>
    <w:rsid w:val="00E60E4A"/>
    <w:rsid w:val="00E61367"/>
    <w:rsid w:val="00E61798"/>
    <w:rsid w:val="00E61804"/>
    <w:rsid w:val="00E6186D"/>
    <w:rsid w:val="00E62156"/>
    <w:rsid w:val="00E62A7C"/>
    <w:rsid w:val="00E62E5B"/>
    <w:rsid w:val="00E632FA"/>
    <w:rsid w:val="00E6348D"/>
    <w:rsid w:val="00E6363E"/>
    <w:rsid w:val="00E638BD"/>
    <w:rsid w:val="00E638DA"/>
    <w:rsid w:val="00E63B2E"/>
    <w:rsid w:val="00E63C8D"/>
    <w:rsid w:val="00E64275"/>
    <w:rsid w:val="00E64ADA"/>
    <w:rsid w:val="00E64C01"/>
    <w:rsid w:val="00E652B8"/>
    <w:rsid w:val="00E6538C"/>
    <w:rsid w:val="00E6549C"/>
    <w:rsid w:val="00E659FE"/>
    <w:rsid w:val="00E662A7"/>
    <w:rsid w:val="00E662E0"/>
    <w:rsid w:val="00E66524"/>
    <w:rsid w:val="00E670A3"/>
    <w:rsid w:val="00E671FC"/>
    <w:rsid w:val="00E6750B"/>
    <w:rsid w:val="00E675B2"/>
    <w:rsid w:val="00E676D4"/>
    <w:rsid w:val="00E679CD"/>
    <w:rsid w:val="00E67B5F"/>
    <w:rsid w:val="00E70240"/>
    <w:rsid w:val="00E7056C"/>
    <w:rsid w:val="00E70700"/>
    <w:rsid w:val="00E7078E"/>
    <w:rsid w:val="00E709E4"/>
    <w:rsid w:val="00E71070"/>
    <w:rsid w:val="00E7177B"/>
    <w:rsid w:val="00E71831"/>
    <w:rsid w:val="00E7187A"/>
    <w:rsid w:val="00E71D37"/>
    <w:rsid w:val="00E71F45"/>
    <w:rsid w:val="00E7216F"/>
    <w:rsid w:val="00E726F5"/>
    <w:rsid w:val="00E72EF0"/>
    <w:rsid w:val="00E73126"/>
    <w:rsid w:val="00E7315A"/>
    <w:rsid w:val="00E731B7"/>
    <w:rsid w:val="00E7363E"/>
    <w:rsid w:val="00E739BF"/>
    <w:rsid w:val="00E73A81"/>
    <w:rsid w:val="00E73C83"/>
    <w:rsid w:val="00E73D41"/>
    <w:rsid w:val="00E73E31"/>
    <w:rsid w:val="00E73FC6"/>
    <w:rsid w:val="00E745A5"/>
    <w:rsid w:val="00E74B38"/>
    <w:rsid w:val="00E74C01"/>
    <w:rsid w:val="00E74C34"/>
    <w:rsid w:val="00E751C0"/>
    <w:rsid w:val="00E752DD"/>
    <w:rsid w:val="00E75718"/>
    <w:rsid w:val="00E75835"/>
    <w:rsid w:val="00E758A3"/>
    <w:rsid w:val="00E75C40"/>
    <w:rsid w:val="00E75D1E"/>
    <w:rsid w:val="00E76114"/>
    <w:rsid w:val="00E761A8"/>
    <w:rsid w:val="00E76DD9"/>
    <w:rsid w:val="00E76FA6"/>
    <w:rsid w:val="00E773B4"/>
    <w:rsid w:val="00E77635"/>
    <w:rsid w:val="00E77824"/>
    <w:rsid w:val="00E779E6"/>
    <w:rsid w:val="00E8065A"/>
    <w:rsid w:val="00E80D80"/>
    <w:rsid w:val="00E80EB7"/>
    <w:rsid w:val="00E81283"/>
    <w:rsid w:val="00E8142C"/>
    <w:rsid w:val="00E81AE1"/>
    <w:rsid w:val="00E81BC1"/>
    <w:rsid w:val="00E81CA7"/>
    <w:rsid w:val="00E81DEC"/>
    <w:rsid w:val="00E82117"/>
    <w:rsid w:val="00E82559"/>
    <w:rsid w:val="00E829EE"/>
    <w:rsid w:val="00E82A6A"/>
    <w:rsid w:val="00E82EB3"/>
    <w:rsid w:val="00E82EC3"/>
    <w:rsid w:val="00E83118"/>
    <w:rsid w:val="00E83991"/>
    <w:rsid w:val="00E83A5B"/>
    <w:rsid w:val="00E83B49"/>
    <w:rsid w:val="00E83C39"/>
    <w:rsid w:val="00E83CDC"/>
    <w:rsid w:val="00E83E14"/>
    <w:rsid w:val="00E83E38"/>
    <w:rsid w:val="00E843E6"/>
    <w:rsid w:val="00E8442A"/>
    <w:rsid w:val="00E84448"/>
    <w:rsid w:val="00E845C1"/>
    <w:rsid w:val="00E84943"/>
    <w:rsid w:val="00E84B10"/>
    <w:rsid w:val="00E84C10"/>
    <w:rsid w:val="00E84E3B"/>
    <w:rsid w:val="00E8507D"/>
    <w:rsid w:val="00E858DC"/>
    <w:rsid w:val="00E85A64"/>
    <w:rsid w:val="00E85C84"/>
    <w:rsid w:val="00E86323"/>
    <w:rsid w:val="00E86419"/>
    <w:rsid w:val="00E866DB"/>
    <w:rsid w:val="00E868EF"/>
    <w:rsid w:val="00E86997"/>
    <w:rsid w:val="00E86BB4"/>
    <w:rsid w:val="00E86CDA"/>
    <w:rsid w:val="00E877E6"/>
    <w:rsid w:val="00E877ED"/>
    <w:rsid w:val="00E8795C"/>
    <w:rsid w:val="00E87E5D"/>
    <w:rsid w:val="00E90576"/>
    <w:rsid w:val="00E907C8"/>
    <w:rsid w:val="00E909E9"/>
    <w:rsid w:val="00E90F65"/>
    <w:rsid w:val="00E9148C"/>
    <w:rsid w:val="00E917DD"/>
    <w:rsid w:val="00E91C69"/>
    <w:rsid w:val="00E91E00"/>
    <w:rsid w:val="00E91E07"/>
    <w:rsid w:val="00E92556"/>
    <w:rsid w:val="00E926D8"/>
    <w:rsid w:val="00E92E59"/>
    <w:rsid w:val="00E930A6"/>
    <w:rsid w:val="00E930D5"/>
    <w:rsid w:val="00E93459"/>
    <w:rsid w:val="00E93A6E"/>
    <w:rsid w:val="00E93C63"/>
    <w:rsid w:val="00E94176"/>
    <w:rsid w:val="00E942B7"/>
    <w:rsid w:val="00E94671"/>
    <w:rsid w:val="00E94999"/>
    <w:rsid w:val="00E951C1"/>
    <w:rsid w:val="00E95314"/>
    <w:rsid w:val="00E9580A"/>
    <w:rsid w:val="00E95A99"/>
    <w:rsid w:val="00E96172"/>
    <w:rsid w:val="00E96B61"/>
    <w:rsid w:val="00E96E08"/>
    <w:rsid w:val="00E97058"/>
    <w:rsid w:val="00E9729E"/>
    <w:rsid w:val="00E975A3"/>
    <w:rsid w:val="00E97EEE"/>
    <w:rsid w:val="00EA1117"/>
    <w:rsid w:val="00EA123B"/>
    <w:rsid w:val="00EA12CC"/>
    <w:rsid w:val="00EA1482"/>
    <w:rsid w:val="00EA1490"/>
    <w:rsid w:val="00EA14B5"/>
    <w:rsid w:val="00EA173A"/>
    <w:rsid w:val="00EA1985"/>
    <w:rsid w:val="00EA1BAD"/>
    <w:rsid w:val="00EA1C23"/>
    <w:rsid w:val="00EA21E6"/>
    <w:rsid w:val="00EA2252"/>
    <w:rsid w:val="00EA29E6"/>
    <w:rsid w:val="00EA39F3"/>
    <w:rsid w:val="00EA3BBA"/>
    <w:rsid w:val="00EA3BF1"/>
    <w:rsid w:val="00EA3DB5"/>
    <w:rsid w:val="00EA3ED8"/>
    <w:rsid w:val="00EA4129"/>
    <w:rsid w:val="00EA435B"/>
    <w:rsid w:val="00EA4759"/>
    <w:rsid w:val="00EA5065"/>
    <w:rsid w:val="00EA572B"/>
    <w:rsid w:val="00EA5846"/>
    <w:rsid w:val="00EA6A62"/>
    <w:rsid w:val="00EA6B2F"/>
    <w:rsid w:val="00EA6BCF"/>
    <w:rsid w:val="00EA6CE2"/>
    <w:rsid w:val="00EA6DE8"/>
    <w:rsid w:val="00EA6DF6"/>
    <w:rsid w:val="00EA6FA9"/>
    <w:rsid w:val="00EA713E"/>
    <w:rsid w:val="00EA7293"/>
    <w:rsid w:val="00EA74E6"/>
    <w:rsid w:val="00EA7745"/>
    <w:rsid w:val="00EA7862"/>
    <w:rsid w:val="00EB041A"/>
    <w:rsid w:val="00EB05A6"/>
    <w:rsid w:val="00EB06CE"/>
    <w:rsid w:val="00EB096D"/>
    <w:rsid w:val="00EB09BB"/>
    <w:rsid w:val="00EB0AD4"/>
    <w:rsid w:val="00EB0BDD"/>
    <w:rsid w:val="00EB175C"/>
    <w:rsid w:val="00EB1F3D"/>
    <w:rsid w:val="00EB221C"/>
    <w:rsid w:val="00EB27E3"/>
    <w:rsid w:val="00EB2A3E"/>
    <w:rsid w:val="00EB2C08"/>
    <w:rsid w:val="00EB33BF"/>
    <w:rsid w:val="00EB36DE"/>
    <w:rsid w:val="00EB3BDB"/>
    <w:rsid w:val="00EB3F4D"/>
    <w:rsid w:val="00EB43E4"/>
    <w:rsid w:val="00EB44A1"/>
    <w:rsid w:val="00EB4597"/>
    <w:rsid w:val="00EB467F"/>
    <w:rsid w:val="00EB46A6"/>
    <w:rsid w:val="00EB492B"/>
    <w:rsid w:val="00EB4DA4"/>
    <w:rsid w:val="00EB5BDE"/>
    <w:rsid w:val="00EB5CDC"/>
    <w:rsid w:val="00EB5EFA"/>
    <w:rsid w:val="00EB6031"/>
    <w:rsid w:val="00EB608E"/>
    <w:rsid w:val="00EB64BF"/>
    <w:rsid w:val="00EB6CDA"/>
    <w:rsid w:val="00EB7534"/>
    <w:rsid w:val="00EB7728"/>
    <w:rsid w:val="00EB7890"/>
    <w:rsid w:val="00EB793E"/>
    <w:rsid w:val="00EB7EDC"/>
    <w:rsid w:val="00EC02FF"/>
    <w:rsid w:val="00EC04EA"/>
    <w:rsid w:val="00EC057B"/>
    <w:rsid w:val="00EC0766"/>
    <w:rsid w:val="00EC07C9"/>
    <w:rsid w:val="00EC09B8"/>
    <w:rsid w:val="00EC0B8F"/>
    <w:rsid w:val="00EC0E6F"/>
    <w:rsid w:val="00EC0EA9"/>
    <w:rsid w:val="00EC16C8"/>
    <w:rsid w:val="00EC1713"/>
    <w:rsid w:val="00EC1B53"/>
    <w:rsid w:val="00EC236C"/>
    <w:rsid w:val="00EC238A"/>
    <w:rsid w:val="00EC3133"/>
    <w:rsid w:val="00EC3216"/>
    <w:rsid w:val="00EC3316"/>
    <w:rsid w:val="00EC3411"/>
    <w:rsid w:val="00EC3587"/>
    <w:rsid w:val="00EC3898"/>
    <w:rsid w:val="00EC3909"/>
    <w:rsid w:val="00EC4810"/>
    <w:rsid w:val="00EC4865"/>
    <w:rsid w:val="00EC4AE9"/>
    <w:rsid w:val="00EC4B1C"/>
    <w:rsid w:val="00EC4D0D"/>
    <w:rsid w:val="00EC4F0C"/>
    <w:rsid w:val="00EC5001"/>
    <w:rsid w:val="00EC53E5"/>
    <w:rsid w:val="00EC5436"/>
    <w:rsid w:val="00EC56ED"/>
    <w:rsid w:val="00EC57B0"/>
    <w:rsid w:val="00EC5DEE"/>
    <w:rsid w:val="00EC6565"/>
    <w:rsid w:val="00EC6C54"/>
    <w:rsid w:val="00EC6C9F"/>
    <w:rsid w:val="00EC70D9"/>
    <w:rsid w:val="00EC72F8"/>
    <w:rsid w:val="00EC7404"/>
    <w:rsid w:val="00EC788A"/>
    <w:rsid w:val="00EC788B"/>
    <w:rsid w:val="00EC79DF"/>
    <w:rsid w:val="00EC7C8A"/>
    <w:rsid w:val="00ED0558"/>
    <w:rsid w:val="00ED0650"/>
    <w:rsid w:val="00ED06E6"/>
    <w:rsid w:val="00ED07AE"/>
    <w:rsid w:val="00ED0D50"/>
    <w:rsid w:val="00ED10FE"/>
    <w:rsid w:val="00ED114B"/>
    <w:rsid w:val="00ED135F"/>
    <w:rsid w:val="00ED144E"/>
    <w:rsid w:val="00ED1839"/>
    <w:rsid w:val="00ED2990"/>
    <w:rsid w:val="00ED311C"/>
    <w:rsid w:val="00ED313C"/>
    <w:rsid w:val="00ED394E"/>
    <w:rsid w:val="00ED3F32"/>
    <w:rsid w:val="00ED4098"/>
    <w:rsid w:val="00ED4AD6"/>
    <w:rsid w:val="00ED4AED"/>
    <w:rsid w:val="00ED4EDB"/>
    <w:rsid w:val="00ED5105"/>
    <w:rsid w:val="00ED51E6"/>
    <w:rsid w:val="00ED5408"/>
    <w:rsid w:val="00ED5846"/>
    <w:rsid w:val="00ED5D4A"/>
    <w:rsid w:val="00ED5DAD"/>
    <w:rsid w:val="00ED623B"/>
    <w:rsid w:val="00ED6264"/>
    <w:rsid w:val="00ED65B6"/>
    <w:rsid w:val="00ED662E"/>
    <w:rsid w:val="00ED6888"/>
    <w:rsid w:val="00ED6A3A"/>
    <w:rsid w:val="00ED6A46"/>
    <w:rsid w:val="00ED6FDC"/>
    <w:rsid w:val="00ED74F4"/>
    <w:rsid w:val="00ED7578"/>
    <w:rsid w:val="00ED7907"/>
    <w:rsid w:val="00ED7EFE"/>
    <w:rsid w:val="00ED7FF1"/>
    <w:rsid w:val="00EE0710"/>
    <w:rsid w:val="00EE0947"/>
    <w:rsid w:val="00EE0E3F"/>
    <w:rsid w:val="00EE148C"/>
    <w:rsid w:val="00EE158E"/>
    <w:rsid w:val="00EE2576"/>
    <w:rsid w:val="00EE271B"/>
    <w:rsid w:val="00EE2756"/>
    <w:rsid w:val="00EE27B3"/>
    <w:rsid w:val="00EE2875"/>
    <w:rsid w:val="00EE287F"/>
    <w:rsid w:val="00EE29CA"/>
    <w:rsid w:val="00EE2A41"/>
    <w:rsid w:val="00EE2CDE"/>
    <w:rsid w:val="00EE2F2E"/>
    <w:rsid w:val="00EE2FD5"/>
    <w:rsid w:val="00EE3072"/>
    <w:rsid w:val="00EE314C"/>
    <w:rsid w:val="00EE32A1"/>
    <w:rsid w:val="00EE3530"/>
    <w:rsid w:val="00EE37EE"/>
    <w:rsid w:val="00EE5201"/>
    <w:rsid w:val="00EE5D61"/>
    <w:rsid w:val="00EE6B46"/>
    <w:rsid w:val="00EE6CDB"/>
    <w:rsid w:val="00EE6D51"/>
    <w:rsid w:val="00EE6FA0"/>
    <w:rsid w:val="00EE72F8"/>
    <w:rsid w:val="00EE73CC"/>
    <w:rsid w:val="00EE76E4"/>
    <w:rsid w:val="00EE7B01"/>
    <w:rsid w:val="00EE7D92"/>
    <w:rsid w:val="00EE7F01"/>
    <w:rsid w:val="00EF0057"/>
    <w:rsid w:val="00EF08C4"/>
    <w:rsid w:val="00EF09D8"/>
    <w:rsid w:val="00EF0B9C"/>
    <w:rsid w:val="00EF0D69"/>
    <w:rsid w:val="00EF16E9"/>
    <w:rsid w:val="00EF1A8C"/>
    <w:rsid w:val="00EF1E5B"/>
    <w:rsid w:val="00EF237D"/>
    <w:rsid w:val="00EF2426"/>
    <w:rsid w:val="00EF245B"/>
    <w:rsid w:val="00EF274F"/>
    <w:rsid w:val="00EF2C9A"/>
    <w:rsid w:val="00EF30C7"/>
    <w:rsid w:val="00EF37D0"/>
    <w:rsid w:val="00EF3AC3"/>
    <w:rsid w:val="00EF3E77"/>
    <w:rsid w:val="00EF3EAC"/>
    <w:rsid w:val="00EF4E02"/>
    <w:rsid w:val="00EF4E9C"/>
    <w:rsid w:val="00EF5488"/>
    <w:rsid w:val="00EF58BA"/>
    <w:rsid w:val="00EF5992"/>
    <w:rsid w:val="00EF6568"/>
    <w:rsid w:val="00EF661D"/>
    <w:rsid w:val="00EF68C6"/>
    <w:rsid w:val="00EF698D"/>
    <w:rsid w:val="00EF698F"/>
    <w:rsid w:val="00EF69D6"/>
    <w:rsid w:val="00EF6A12"/>
    <w:rsid w:val="00EF6AA1"/>
    <w:rsid w:val="00EF6FD7"/>
    <w:rsid w:val="00EF7114"/>
    <w:rsid w:val="00EF7371"/>
    <w:rsid w:val="00EF74D6"/>
    <w:rsid w:val="00EF7FA7"/>
    <w:rsid w:val="00F00318"/>
    <w:rsid w:val="00F00B23"/>
    <w:rsid w:val="00F00F90"/>
    <w:rsid w:val="00F00FF6"/>
    <w:rsid w:val="00F011CD"/>
    <w:rsid w:val="00F0175A"/>
    <w:rsid w:val="00F0183B"/>
    <w:rsid w:val="00F01AB8"/>
    <w:rsid w:val="00F02618"/>
    <w:rsid w:val="00F027AC"/>
    <w:rsid w:val="00F02957"/>
    <w:rsid w:val="00F02981"/>
    <w:rsid w:val="00F02BAF"/>
    <w:rsid w:val="00F0344E"/>
    <w:rsid w:val="00F0381C"/>
    <w:rsid w:val="00F038F3"/>
    <w:rsid w:val="00F0391D"/>
    <w:rsid w:val="00F03B7A"/>
    <w:rsid w:val="00F04593"/>
    <w:rsid w:val="00F045D5"/>
    <w:rsid w:val="00F046FF"/>
    <w:rsid w:val="00F04D53"/>
    <w:rsid w:val="00F04FD0"/>
    <w:rsid w:val="00F05B19"/>
    <w:rsid w:val="00F05BD8"/>
    <w:rsid w:val="00F0604D"/>
    <w:rsid w:val="00F062A2"/>
    <w:rsid w:val="00F06573"/>
    <w:rsid w:val="00F06624"/>
    <w:rsid w:val="00F06B62"/>
    <w:rsid w:val="00F06C9E"/>
    <w:rsid w:val="00F06CCB"/>
    <w:rsid w:val="00F06D36"/>
    <w:rsid w:val="00F06F14"/>
    <w:rsid w:val="00F070AC"/>
    <w:rsid w:val="00F0753C"/>
    <w:rsid w:val="00F07BCC"/>
    <w:rsid w:val="00F07D1C"/>
    <w:rsid w:val="00F07EC6"/>
    <w:rsid w:val="00F07F22"/>
    <w:rsid w:val="00F10100"/>
    <w:rsid w:val="00F103D9"/>
    <w:rsid w:val="00F10B8F"/>
    <w:rsid w:val="00F10CC0"/>
    <w:rsid w:val="00F11135"/>
    <w:rsid w:val="00F11297"/>
    <w:rsid w:val="00F1158B"/>
    <w:rsid w:val="00F116AA"/>
    <w:rsid w:val="00F11816"/>
    <w:rsid w:val="00F11857"/>
    <w:rsid w:val="00F11BD3"/>
    <w:rsid w:val="00F11CF3"/>
    <w:rsid w:val="00F126CA"/>
    <w:rsid w:val="00F1279C"/>
    <w:rsid w:val="00F12B8D"/>
    <w:rsid w:val="00F12B9F"/>
    <w:rsid w:val="00F12E7B"/>
    <w:rsid w:val="00F13223"/>
    <w:rsid w:val="00F133EE"/>
    <w:rsid w:val="00F13A2A"/>
    <w:rsid w:val="00F13EB2"/>
    <w:rsid w:val="00F1407D"/>
    <w:rsid w:val="00F14444"/>
    <w:rsid w:val="00F1448A"/>
    <w:rsid w:val="00F14502"/>
    <w:rsid w:val="00F149E0"/>
    <w:rsid w:val="00F14F0F"/>
    <w:rsid w:val="00F151B6"/>
    <w:rsid w:val="00F15C4A"/>
    <w:rsid w:val="00F15C9E"/>
    <w:rsid w:val="00F16021"/>
    <w:rsid w:val="00F161CC"/>
    <w:rsid w:val="00F1677F"/>
    <w:rsid w:val="00F16873"/>
    <w:rsid w:val="00F16A19"/>
    <w:rsid w:val="00F174A9"/>
    <w:rsid w:val="00F1757E"/>
    <w:rsid w:val="00F17613"/>
    <w:rsid w:val="00F17917"/>
    <w:rsid w:val="00F17BC5"/>
    <w:rsid w:val="00F17D91"/>
    <w:rsid w:val="00F17E71"/>
    <w:rsid w:val="00F2011C"/>
    <w:rsid w:val="00F20706"/>
    <w:rsid w:val="00F20F69"/>
    <w:rsid w:val="00F219A6"/>
    <w:rsid w:val="00F21B34"/>
    <w:rsid w:val="00F21BA4"/>
    <w:rsid w:val="00F2224C"/>
    <w:rsid w:val="00F22329"/>
    <w:rsid w:val="00F22360"/>
    <w:rsid w:val="00F223B1"/>
    <w:rsid w:val="00F2240E"/>
    <w:rsid w:val="00F22931"/>
    <w:rsid w:val="00F229B0"/>
    <w:rsid w:val="00F22D11"/>
    <w:rsid w:val="00F22FA5"/>
    <w:rsid w:val="00F22FD4"/>
    <w:rsid w:val="00F230FF"/>
    <w:rsid w:val="00F231FE"/>
    <w:rsid w:val="00F23667"/>
    <w:rsid w:val="00F239C3"/>
    <w:rsid w:val="00F23A63"/>
    <w:rsid w:val="00F23FD0"/>
    <w:rsid w:val="00F24A78"/>
    <w:rsid w:val="00F24B1F"/>
    <w:rsid w:val="00F24B99"/>
    <w:rsid w:val="00F24F44"/>
    <w:rsid w:val="00F257B5"/>
    <w:rsid w:val="00F25963"/>
    <w:rsid w:val="00F259E2"/>
    <w:rsid w:val="00F25B77"/>
    <w:rsid w:val="00F25B7E"/>
    <w:rsid w:val="00F25C05"/>
    <w:rsid w:val="00F25DD9"/>
    <w:rsid w:val="00F25E15"/>
    <w:rsid w:val="00F265D8"/>
    <w:rsid w:val="00F2676A"/>
    <w:rsid w:val="00F26983"/>
    <w:rsid w:val="00F26A0C"/>
    <w:rsid w:val="00F303FE"/>
    <w:rsid w:val="00F3040E"/>
    <w:rsid w:val="00F3042E"/>
    <w:rsid w:val="00F3080B"/>
    <w:rsid w:val="00F3120B"/>
    <w:rsid w:val="00F3137A"/>
    <w:rsid w:val="00F313BA"/>
    <w:rsid w:val="00F31914"/>
    <w:rsid w:val="00F3246B"/>
    <w:rsid w:val="00F326F6"/>
    <w:rsid w:val="00F329EF"/>
    <w:rsid w:val="00F32A6D"/>
    <w:rsid w:val="00F32F06"/>
    <w:rsid w:val="00F33732"/>
    <w:rsid w:val="00F33C46"/>
    <w:rsid w:val="00F34AD6"/>
    <w:rsid w:val="00F34B0D"/>
    <w:rsid w:val="00F35059"/>
    <w:rsid w:val="00F353C6"/>
    <w:rsid w:val="00F35467"/>
    <w:rsid w:val="00F3577F"/>
    <w:rsid w:val="00F35DA1"/>
    <w:rsid w:val="00F36615"/>
    <w:rsid w:val="00F36A52"/>
    <w:rsid w:val="00F375DC"/>
    <w:rsid w:val="00F37940"/>
    <w:rsid w:val="00F37F59"/>
    <w:rsid w:val="00F400D3"/>
    <w:rsid w:val="00F40C4C"/>
    <w:rsid w:val="00F40D0B"/>
    <w:rsid w:val="00F415F6"/>
    <w:rsid w:val="00F41B74"/>
    <w:rsid w:val="00F41FAD"/>
    <w:rsid w:val="00F41FD7"/>
    <w:rsid w:val="00F42233"/>
    <w:rsid w:val="00F422D3"/>
    <w:rsid w:val="00F42651"/>
    <w:rsid w:val="00F42B08"/>
    <w:rsid w:val="00F42B56"/>
    <w:rsid w:val="00F434BB"/>
    <w:rsid w:val="00F4399A"/>
    <w:rsid w:val="00F44333"/>
    <w:rsid w:val="00F44CA8"/>
    <w:rsid w:val="00F44DC4"/>
    <w:rsid w:val="00F45200"/>
    <w:rsid w:val="00F45951"/>
    <w:rsid w:val="00F45C15"/>
    <w:rsid w:val="00F4659D"/>
    <w:rsid w:val="00F469A1"/>
    <w:rsid w:val="00F46AB6"/>
    <w:rsid w:val="00F46D31"/>
    <w:rsid w:val="00F47F8A"/>
    <w:rsid w:val="00F47FF7"/>
    <w:rsid w:val="00F5060E"/>
    <w:rsid w:val="00F5084C"/>
    <w:rsid w:val="00F5093C"/>
    <w:rsid w:val="00F50B9F"/>
    <w:rsid w:val="00F50D34"/>
    <w:rsid w:val="00F50FE4"/>
    <w:rsid w:val="00F5138D"/>
    <w:rsid w:val="00F514BC"/>
    <w:rsid w:val="00F519E1"/>
    <w:rsid w:val="00F51F5A"/>
    <w:rsid w:val="00F522AF"/>
    <w:rsid w:val="00F52E27"/>
    <w:rsid w:val="00F538AE"/>
    <w:rsid w:val="00F53B3B"/>
    <w:rsid w:val="00F53C54"/>
    <w:rsid w:val="00F54234"/>
    <w:rsid w:val="00F543A6"/>
    <w:rsid w:val="00F544BB"/>
    <w:rsid w:val="00F545E3"/>
    <w:rsid w:val="00F54CCC"/>
    <w:rsid w:val="00F54E05"/>
    <w:rsid w:val="00F5514B"/>
    <w:rsid w:val="00F55295"/>
    <w:rsid w:val="00F552D6"/>
    <w:rsid w:val="00F556A8"/>
    <w:rsid w:val="00F5571B"/>
    <w:rsid w:val="00F55B55"/>
    <w:rsid w:val="00F560D0"/>
    <w:rsid w:val="00F562D7"/>
    <w:rsid w:val="00F564C4"/>
    <w:rsid w:val="00F5664A"/>
    <w:rsid w:val="00F5667C"/>
    <w:rsid w:val="00F56B47"/>
    <w:rsid w:val="00F56B79"/>
    <w:rsid w:val="00F572C0"/>
    <w:rsid w:val="00F57623"/>
    <w:rsid w:val="00F57D6E"/>
    <w:rsid w:val="00F6000A"/>
    <w:rsid w:val="00F600FA"/>
    <w:rsid w:val="00F602B2"/>
    <w:rsid w:val="00F608DA"/>
    <w:rsid w:val="00F60DB7"/>
    <w:rsid w:val="00F61132"/>
    <w:rsid w:val="00F61571"/>
    <w:rsid w:val="00F616A2"/>
    <w:rsid w:val="00F616FB"/>
    <w:rsid w:val="00F61D9E"/>
    <w:rsid w:val="00F6281E"/>
    <w:rsid w:val="00F62969"/>
    <w:rsid w:val="00F62AA7"/>
    <w:rsid w:val="00F62C78"/>
    <w:rsid w:val="00F630C0"/>
    <w:rsid w:val="00F630D4"/>
    <w:rsid w:val="00F63951"/>
    <w:rsid w:val="00F63A1C"/>
    <w:rsid w:val="00F63D89"/>
    <w:rsid w:val="00F6410A"/>
    <w:rsid w:val="00F64285"/>
    <w:rsid w:val="00F642A5"/>
    <w:rsid w:val="00F64D49"/>
    <w:rsid w:val="00F64F07"/>
    <w:rsid w:val="00F64F2B"/>
    <w:rsid w:val="00F65A09"/>
    <w:rsid w:val="00F65F9F"/>
    <w:rsid w:val="00F663C1"/>
    <w:rsid w:val="00F665F7"/>
    <w:rsid w:val="00F66661"/>
    <w:rsid w:val="00F6692E"/>
    <w:rsid w:val="00F66992"/>
    <w:rsid w:val="00F66998"/>
    <w:rsid w:val="00F66CB9"/>
    <w:rsid w:val="00F66D61"/>
    <w:rsid w:val="00F66DA4"/>
    <w:rsid w:val="00F66E5A"/>
    <w:rsid w:val="00F66E9A"/>
    <w:rsid w:val="00F66FE1"/>
    <w:rsid w:val="00F671AB"/>
    <w:rsid w:val="00F67276"/>
    <w:rsid w:val="00F67C93"/>
    <w:rsid w:val="00F67E91"/>
    <w:rsid w:val="00F701B6"/>
    <w:rsid w:val="00F7034E"/>
    <w:rsid w:val="00F70451"/>
    <w:rsid w:val="00F706A9"/>
    <w:rsid w:val="00F70A19"/>
    <w:rsid w:val="00F71030"/>
    <w:rsid w:val="00F7114F"/>
    <w:rsid w:val="00F716C2"/>
    <w:rsid w:val="00F71B14"/>
    <w:rsid w:val="00F71C2D"/>
    <w:rsid w:val="00F71EE6"/>
    <w:rsid w:val="00F726E2"/>
    <w:rsid w:val="00F726FE"/>
    <w:rsid w:val="00F72A60"/>
    <w:rsid w:val="00F72B9E"/>
    <w:rsid w:val="00F73859"/>
    <w:rsid w:val="00F738E7"/>
    <w:rsid w:val="00F73BFE"/>
    <w:rsid w:val="00F73DD4"/>
    <w:rsid w:val="00F73ECC"/>
    <w:rsid w:val="00F746BD"/>
    <w:rsid w:val="00F74805"/>
    <w:rsid w:val="00F74917"/>
    <w:rsid w:val="00F74D59"/>
    <w:rsid w:val="00F74E38"/>
    <w:rsid w:val="00F74F37"/>
    <w:rsid w:val="00F759E0"/>
    <w:rsid w:val="00F75B57"/>
    <w:rsid w:val="00F75CB2"/>
    <w:rsid w:val="00F770CB"/>
    <w:rsid w:val="00F7711A"/>
    <w:rsid w:val="00F771A2"/>
    <w:rsid w:val="00F772DE"/>
    <w:rsid w:val="00F7769C"/>
    <w:rsid w:val="00F77B9F"/>
    <w:rsid w:val="00F77E37"/>
    <w:rsid w:val="00F800A7"/>
    <w:rsid w:val="00F801DD"/>
    <w:rsid w:val="00F804FA"/>
    <w:rsid w:val="00F8071D"/>
    <w:rsid w:val="00F807D9"/>
    <w:rsid w:val="00F80D57"/>
    <w:rsid w:val="00F81211"/>
    <w:rsid w:val="00F816C3"/>
    <w:rsid w:val="00F8194A"/>
    <w:rsid w:val="00F81B52"/>
    <w:rsid w:val="00F826E5"/>
    <w:rsid w:val="00F82A99"/>
    <w:rsid w:val="00F82AA1"/>
    <w:rsid w:val="00F82D68"/>
    <w:rsid w:val="00F82EC5"/>
    <w:rsid w:val="00F82F6A"/>
    <w:rsid w:val="00F838E4"/>
    <w:rsid w:val="00F83B1F"/>
    <w:rsid w:val="00F83C22"/>
    <w:rsid w:val="00F83C50"/>
    <w:rsid w:val="00F83DE1"/>
    <w:rsid w:val="00F83F52"/>
    <w:rsid w:val="00F84593"/>
    <w:rsid w:val="00F846F6"/>
    <w:rsid w:val="00F84719"/>
    <w:rsid w:val="00F84B85"/>
    <w:rsid w:val="00F84E11"/>
    <w:rsid w:val="00F85219"/>
    <w:rsid w:val="00F852AE"/>
    <w:rsid w:val="00F854C9"/>
    <w:rsid w:val="00F85E8E"/>
    <w:rsid w:val="00F8674D"/>
    <w:rsid w:val="00F869CE"/>
    <w:rsid w:val="00F86AD9"/>
    <w:rsid w:val="00F86B1E"/>
    <w:rsid w:val="00F86B69"/>
    <w:rsid w:val="00F86F16"/>
    <w:rsid w:val="00F8701E"/>
    <w:rsid w:val="00F87087"/>
    <w:rsid w:val="00F8722D"/>
    <w:rsid w:val="00F8745C"/>
    <w:rsid w:val="00F8779C"/>
    <w:rsid w:val="00F878C8"/>
    <w:rsid w:val="00F87A06"/>
    <w:rsid w:val="00F87A4C"/>
    <w:rsid w:val="00F902F4"/>
    <w:rsid w:val="00F90639"/>
    <w:rsid w:val="00F90808"/>
    <w:rsid w:val="00F90934"/>
    <w:rsid w:val="00F91199"/>
    <w:rsid w:val="00F917EB"/>
    <w:rsid w:val="00F91820"/>
    <w:rsid w:val="00F91C72"/>
    <w:rsid w:val="00F91E15"/>
    <w:rsid w:val="00F922A8"/>
    <w:rsid w:val="00F92BC9"/>
    <w:rsid w:val="00F92DD7"/>
    <w:rsid w:val="00F932D7"/>
    <w:rsid w:val="00F935D3"/>
    <w:rsid w:val="00F9374D"/>
    <w:rsid w:val="00F93A9E"/>
    <w:rsid w:val="00F94304"/>
    <w:rsid w:val="00F945C4"/>
    <w:rsid w:val="00F9478D"/>
    <w:rsid w:val="00F95A05"/>
    <w:rsid w:val="00F95A84"/>
    <w:rsid w:val="00F95B94"/>
    <w:rsid w:val="00F96102"/>
    <w:rsid w:val="00F961E6"/>
    <w:rsid w:val="00F96FBA"/>
    <w:rsid w:val="00F97531"/>
    <w:rsid w:val="00F97727"/>
    <w:rsid w:val="00FA0379"/>
    <w:rsid w:val="00FA0E7A"/>
    <w:rsid w:val="00FA1324"/>
    <w:rsid w:val="00FA13EC"/>
    <w:rsid w:val="00FA15CD"/>
    <w:rsid w:val="00FA15D7"/>
    <w:rsid w:val="00FA1EC9"/>
    <w:rsid w:val="00FA203D"/>
    <w:rsid w:val="00FA2124"/>
    <w:rsid w:val="00FA2126"/>
    <w:rsid w:val="00FA258C"/>
    <w:rsid w:val="00FA2A4D"/>
    <w:rsid w:val="00FA2C32"/>
    <w:rsid w:val="00FA3007"/>
    <w:rsid w:val="00FA312B"/>
    <w:rsid w:val="00FA3243"/>
    <w:rsid w:val="00FA33F1"/>
    <w:rsid w:val="00FA3604"/>
    <w:rsid w:val="00FA37EF"/>
    <w:rsid w:val="00FA3CC9"/>
    <w:rsid w:val="00FA3D59"/>
    <w:rsid w:val="00FA443C"/>
    <w:rsid w:val="00FA460D"/>
    <w:rsid w:val="00FA4C25"/>
    <w:rsid w:val="00FA4D9D"/>
    <w:rsid w:val="00FA4DD3"/>
    <w:rsid w:val="00FA505E"/>
    <w:rsid w:val="00FA50F6"/>
    <w:rsid w:val="00FA5488"/>
    <w:rsid w:val="00FA5704"/>
    <w:rsid w:val="00FA5A37"/>
    <w:rsid w:val="00FA5CEE"/>
    <w:rsid w:val="00FA5D37"/>
    <w:rsid w:val="00FA5E69"/>
    <w:rsid w:val="00FA622D"/>
    <w:rsid w:val="00FA6304"/>
    <w:rsid w:val="00FA65F9"/>
    <w:rsid w:val="00FA69C8"/>
    <w:rsid w:val="00FA69FC"/>
    <w:rsid w:val="00FA726C"/>
    <w:rsid w:val="00FA7507"/>
    <w:rsid w:val="00FA78C4"/>
    <w:rsid w:val="00FA790F"/>
    <w:rsid w:val="00FA7C1E"/>
    <w:rsid w:val="00FA7E7F"/>
    <w:rsid w:val="00FB00C5"/>
    <w:rsid w:val="00FB0785"/>
    <w:rsid w:val="00FB17CD"/>
    <w:rsid w:val="00FB1822"/>
    <w:rsid w:val="00FB1A1A"/>
    <w:rsid w:val="00FB20A2"/>
    <w:rsid w:val="00FB225A"/>
    <w:rsid w:val="00FB2485"/>
    <w:rsid w:val="00FB2AC1"/>
    <w:rsid w:val="00FB2AE1"/>
    <w:rsid w:val="00FB2D3A"/>
    <w:rsid w:val="00FB30A6"/>
    <w:rsid w:val="00FB33B2"/>
    <w:rsid w:val="00FB3464"/>
    <w:rsid w:val="00FB3693"/>
    <w:rsid w:val="00FB39FB"/>
    <w:rsid w:val="00FB3D44"/>
    <w:rsid w:val="00FB3D6F"/>
    <w:rsid w:val="00FB411C"/>
    <w:rsid w:val="00FB413B"/>
    <w:rsid w:val="00FB431F"/>
    <w:rsid w:val="00FB48B1"/>
    <w:rsid w:val="00FB4968"/>
    <w:rsid w:val="00FB4EBA"/>
    <w:rsid w:val="00FB5633"/>
    <w:rsid w:val="00FB606F"/>
    <w:rsid w:val="00FB66C2"/>
    <w:rsid w:val="00FB6876"/>
    <w:rsid w:val="00FB6912"/>
    <w:rsid w:val="00FB6E0F"/>
    <w:rsid w:val="00FB6E37"/>
    <w:rsid w:val="00FB763F"/>
    <w:rsid w:val="00FB7980"/>
    <w:rsid w:val="00FB7B22"/>
    <w:rsid w:val="00FB7D64"/>
    <w:rsid w:val="00FC0186"/>
    <w:rsid w:val="00FC03F1"/>
    <w:rsid w:val="00FC0540"/>
    <w:rsid w:val="00FC0ED2"/>
    <w:rsid w:val="00FC1AD8"/>
    <w:rsid w:val="00FC1C70"/>
    <w:rsid w:val="00FC1F77"/>
    <w:rsid w:val="00FC2AFD"/>
    <w:rsid w:val="00FC2B03"/>
    <w:rsid w:val="00FC2C29"/>
    <w:rsid w:val="00FC2E17"/>
    <w:rsid w:val="00FC3D12"/>
    <w:rsid w:val="00FC4214"/>
    <w:rsid w:val="00FC42AC"/>
    <w:rsid w:val="00FC434A"/>
    <w:rsid w:val="00FC434F"/>
    <w:rsid w:val="00FC46E6"/>
    <w:rsid w:val="00FC49A9"/>
    <w:rsid w:val="00FC4AEE"/>
    <w:rsid w:val="00FC4DA5"/>
    <w:rsid w:val="00FC4DB8"/>
    <w:rsid w:val="00FC4E90"/>
    <w:rsid w:val="00FC4F04"/>
    <w:rsid w:val="00FC51F9"/>
    <w:rsid w:val="00FC5621"/>
    <w:rsid w:val="00FC5927"/>
    <w:rsid w:val="00FC5E0E"/>
    <w:rsid w:val="00FC5EA2"/>
    <w:rsid w:val="00FC6344"/>
    <w:rsid w:val="00FC68F6"/>
    <w:rsid w:val="00FC6A34"/>
    <w:rsid w:val="00FC6ACF"/>
    <w:rsid w:val="00FC6DE8"/>
    <w:rsid w:val="00FC6DFB"/>
    <w:rsid w:val="00FC7764"/>
    <w:rsid w:val="00FC780F"/>
    <w:rsid w:val="00FC7ACE"/>
    <w:rsid w:val="00FC7BFD"/>
    <w:rsid w:val="00FC7D0A"/>
    <w:rsid w:val="00FC7E55"/>
    <w:rsid w:val="00FD0850"/>
    <w:rsid w:val="00FD0F88"/>
    <w:rsid w:val="00FD102F"/>
    <w:rsid w:val="00FD1294"/>
    <w:rsid w:val="00FD12CD"/>
    <w:rsid w:val="00FD172C"/>
    <w:rsid w:val="00FD17AA"/>
    <w:rsid w:val="00FD18BF"/>
    <w:rsid w:val="00FD1A94"/>
    <w:rsid w:val="00FD22E1"/>
    <w:rsid w:val="00FD2450"/>
    <w:rsid w:val="00FD2926"/>
    <w:rsid w:val="00FD3059"/>
    <w:rsid w:val="00FD33EA"/>
    <w:rsid w:val="00FD36D9"/>
    <w:rsid w:val="00FD3BE8"/>
    <w:rsid w:val="00FD43AB"/>
    <w:rsid w:val="00FD454A"/>
    <w:rsid w:val="00FD4697"/>
    <w:rsid w:val="00FD4C61"/>
    <w:rsid w:val="00FD4E49"/>
    <w:rsid w:val="00FD5620"/>
    <w:rsid w:val="00FD58A6"/>
    <w:rsid w:val="00FD6108"/>
    <w:rsid w:val="00FD6ACF"/>
    <w:rsid w:val="00FD748B"/>
    <w:rsid w:val="00FD7732"/>
    <w:rsid w:val="00FD78EC"/>
    <w:rsid w:val="00FE0271"/>
    <w:rsid w:val="00FE084A"/>
    <w:rsid w:val="00FE0855"/>
    <w:rsid w:val="00FE09C8"/>
    <w:rsid w:val="00FE0AE2"/>
    <w:rsid w:val="00FE0E37"/>
    <w:rsid w:val="00FE1147"/>
    <w:rsid w:val="00FE1159"/>
    <w:rsid w:val="00FE1180"/>
    <w:rsid w:val="00FE1433"/>
    <w:rsid w:val="00FE1816"/>
    <w:rsid w:val="00FE1A40"/>
    <w:rsid w:val="00FE1B91"/>
    <w:rsid w:val="00FE1DD6"/>
    <w:rsid w:val="00FE20BB"/>
    <w:rsid w:val="00FE2265"/>
    <w:rsid w:val="00FE2896"/>
    <w:rsid w:val="00FE298D"/>
    <w:rsid w:val="00FE2DFE"/>
    <w:rsid w:val="00FE2E74"/>
    <w:rsid w:val="00FE2F66"/>
    <w:rsid w:val="00FE324B"/>
    <w:rsid w:val="00FE3417"/>
    <w:rsid w:val="00FE34FE"/>
    <w:rsid w:val="00FE4D6E"/>
    <w:rsid w:val="00FE51B3"/>
    <w:rsid w:val="00FE5B46"/>
    <w:rsid w:val="00FE5D85"/>
    <w:rsid w:val="00FE5E4B"/>
    <w:rsid w:val="00FE6187"/>
    <w:rsid w:val="00FE6A20"/>
    <w:rsid w:val="00FE6AC9"/>
    <w:rsid w:val="00FE6AEF"/>
    <w:rsid w:val="00FE6FA9"/>
    <w:rsid w:val="00FE72CF"/>
    <w:rsid w:val="00FE73E7"/>
    <w:rsid w:val="00FE7A26"/>
    <w:rsid w:val="00FE7A68"/>
    <w:rsid w:val="00FE7C5C"/>
    <w:rsid w:val="00FF0071"/>
    <w:rsid w:val="00FF0B34"/>
    <w:rsid w:val="00FF1020"/>
    <w:rsid w:val="00FF19AC"/>
    <w:rsid w:val="00FF1E1F"/>
    <w:rsid w:val="00FF1F10"/>
    <w:rsid w:val="00FF2C85"/>
    <w:rsid w:val="00FF32FC"/>
    <w:rsid w:val="00FF3714"/>
    <w:rsid w:val="00FF392E"/>
    <w:rsid w:val="00FF3DD9"/>
    <w:rsid w:val="00FF4270"/>
    <w:rsid w:val="00FF46C1"/>
    <w:rsid w:val="00FF4B92"/>
    <w:rsid w:val="00FF563A"/>
    <w:rsid w:val="00FF5C11"/>
    <w:rsid w:val="00FF5FF4"/>
    <w:rsid w:val="00FF630A"/>
    <w:rsid w:val="00FF632C"/>
    <w:rsid w:val="00FF6360"/>
    <w:rsid w:val="00FF6445"/>
    <w:rsid w:val="00FF6939"/>
    <w:rsid w:val="00FF6B77"/>
    <w:rsid w:val="00FF6E3F"/>
    <w:rsid w:val="00FF719A"/>
    <w:rsid w:val="011B5C06"/>
    <w:rsid w:val="015D2603"/>
    <w:rsid w:val="02C6235A"/>
    <w:rsid w:val="039B71D7"/>
    <w:rsid w:val="03F723D2"/>
    <w:rsid w:val="04103B11"/>
    <w:rsid w:val="04EC12B1"/>
    <w:rsid w:val="05065808"/>
    <w:rsid w:val="057B5380"/>
    <w:rsid w:val="05997BC9"/>
    <w:rsid w:val="05D72D49"/>
    <w:rsid w:val="06C518D2"/>
    <w:rsid w:val="07225315"/>
    <w:rsid w:val="087E3455"/>
    <w:rsid w:val="0A0024D5"/>
    <w:rsid w:val="0A9073F4"/>
    <w:rsid w:val="0C072123"/>
    <w:rsid w:val="0C965DBC"/>
    <w:rsid w:val="0DDA2430"/>
    <w:rsid w:val="0DF4294A"/>
    <w:rsid w:val="0EFF1BA4"/>
    <w:rsid w:val="0FCF0707"/>
    <w:rsid w:val="10784777"/>
    <w:rsid w:val="10AD722C"/>
    <w:rsid w:val="13141E68"/>
    <w:rsid w:val="15160A34"/>
    <w:rsid w:val="161C54CD"/>
    <w:rsid w:val="16C879F6"/>
    <w:rsid w:val="16CB24FB"/>
    <w:rsid w:val="181E5C1E"/>
    <w:rsid w:val="19101059"/>
    <w:rsid w:val="1A345A3F"/>
    <w:rsid w:val="1D466829"/>
    <w:rsid w:val="20611A7C"/>
    <w:rsid w:val="211A61D5"/>
    <w:rsid w:val="21936A25"/>
    <w:rsid w:val="21CF0FDB"/>
    <w:rsid w:val="237B2200"/>
    <w:rsid w:val="23BF55A2"/>
    <w:rsid w:val="248853CE"/>
    <w:rsid w:val="25762F4F"/>
    <w:rsid w:val="25B35938"/>
    <w:rsid w:val="28145E7C"/>
    <w:rsid w:val="28663CA6"/>
    <w:rsid w:val="293C27CE"/>
    <w:rsid w:val="2BC01530"/>
    <w:rsid w:val="2C760DB4"/>
    <w:rsid w:val="2D3C4280"/>
    <w:rsid w:val="2DD0709E"/>
    <w:rsid w:val="2ED849B7"/>
    <w:rsid w:val="2F791F8C"/>
    <w:rsid w:val="2FB12418"/>
    <w:rsid w:val="31D350BC"/>
    <w:rsid w:val="32EF2CAA"/>
    <w:rsid w:val="35A3158A"/>
    <w:rsid w:val="36690342"/>
    <w:rsid w:val="371A142F"/>
    <w:rsid w:val="39247D05"/>
    <w:rsid w:val="3B052B65"/>
    <w:rsid w:val="3BED0AA1"/>
    <w:rsid w:val="3CE81412"/>
    <w:rsid w:val="3CFE0D92"/>
    <w:rsid w:val="3E331ADF"/>
    <w:rsid w:val="3EBA4936"/>
    <w:rsid w:val="41363E9B"/>
    <w:rsid w:val="459D23F2"/>
    <w:rsid w:val="471727FA"/>
    <w:rsid w:val="476712E9"/>
    <w:rsid w:val="47DC53C6"/>
    <w:rsid w:val="4DF97105"/>
    <w:rsid w:val="4E131A2F"/>
    <w:rsid w:val="4E924958"/>
    <w:rsid w:val="4F467044"/>
    <w:rsid w:val="50262397"/>
    <w:rsid w:val="505932F9"/>
    <w:rsid w:val="5492310C"/>
    <w:rsid w:val="56DE6A68"/>
    <w:rsid w:val="57BE2392"/>
    <w:rsid w:val="57D91C6D"/>
    <w:rsid w:val="59143C27"/>
    <w:rsid w:val="5948479E"/>
    <w:rsid w:val="5B6F710F"/>
    <w:rsid w:val="609C4E5F"/>
    <w:rsid w:val="60B91C94"/>
    <w:rsid w:val="631F55D3"/>
    <w:rsid w:val="637F29B4"/>
    <w:rsid w:val="664E216C"/>
    <w:rsid w:val="66DC4DEF"/>
    <w:rsid w:val="683A783C"/>
    <w:rsid w:val="69030B58"/>
    <w:rsid w:val="695D0978"/>
    <w:rsid w:val="6A854D10"/>
    <w:rsid w:val="6AC432C0"/>
    <w:rsid w:val="6CF04C81"/>
    <w:rsid w:val="6DA43DBB"/>
    <w:rsid w:val="6DEE4FBC"/>
    <w:rsid w:val="703179FD"/>
    <w:rsid w:val="71364355"/>
    <w:rsid w:val="717357FF"/>
    <w:rsid w:val="73911DFD"/>
    <w:rsid w:val="75C60F5D"/>
    <w:rsid w:val="76280551"/>
    <w:rsid w:val="76DB4EA3"/>
    <w:rsid w:val="77F40E89"/>
    <w:rsid w:val="792B707F"/>
    <w:rsid w:val="796752E2"/>
    <w:rsid w:val="7ABC60B5"/>
    <w:rsid w:val="7AD71AD2"/>
    <w:rsid w:val="7C496716"/>
    <w:rsid w:val="7D3E6300"/>
    <w:rsid w:val="7D9E5031"/>
    <w:rsid w:val="7F5A06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qFormat="1" w:unhideWhenUsed="0" w:uiPriority="0" w:semiHidden="0"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qFormat="1" w:unhideWhenUsed="0" w:uiPriority="0" w:semiHidden="0"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qFormat="1" w:unhideWhenUsed="0" w:uiPriority="0" w:semiHidden="0" w:name="List Continue 2"/>
    <w:lsdException w:qFormat="1" w:unhideWhenUsed="0" w:uiPriority="0" w:semiHidden="0" w:name="List Continue 3"/>
    <w:lsdException w:uiPriority="99" w:name="List Continue 4"/>
    <w:lsdException w:qFormat="1" w:unhideWhenUsed="0" w:uiPriority="0" w:semiHidden="0"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qFormat="1" w:unhideWhenUsed="0" w:uiPriority="0"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83"/>
    <w:qFormat/>
    <w:uiPriority w:val="0"/>
    <w:pPr>
      <w:keepNext/>
      <w:keepLines/>
      <w:ind w:firstLine="0" w:firstLineChars="0"/>
      <w:jc w:val="center"/>
      <w:outlineLvl w:val="0"/>
    </w:pPr>
    <w:rPr>
      <w:rFonts w:eastAsia="黑体"/>
      <w:bCs/>
      <w:kern w:val="44"/>
      <w:sz w:val="32"/>
      <w:szCs w:val="44"/>
    </w:rPr>
  </w:style>
  <w:style w:type="paragraph" w:styleId="3">
    <w:name w:val="heading 2"/>
    <w:basedOn w:val="1"/>
    <w:next w:val="1"/>
    <w:link w:val="159"/>
    <w:qFormat/>
    <w:uiPriority w:val="0"/>
    <w:pPr>
      <w:keepNext/>
      <w:keepLines/>
      <w:ind w:firstLine="0" w:firstLineChars="0"/>
      <w:outlineLvl w:val="1"/>
    </w:pPr>
    <w:rPr>
      <w:rFonts w:eastAsia="黑体"/>
      <w:b/>
      <w:bCs/>
      <w:sz w:val="28"/>
      <w:szCs w:val="32"/>
    </w:rPr>
  </w:style>
  <w:style w:type="paragraph" w:styleId="4">
    <w:name w:val="heading 3"/>
    <w:basedOn w:val="1"/>
    <w:next w:val="1"/>
    <w:link w:val="138"/>
    <w:qFormat/>
    <w:uiPriority w:val="0"/>
    <w:pPr>
      <w:keepNext/>
      <w:keepLines/>
      <w:ind w:firstLine="0" w:firstLineChars="0"/>
      <w:outlineLvl w:val="2"/>
    </w:pPr>
    <w:rPr>
      <w:rFonts w:eastAsia="黑体"/>
      <w:b/>
      <w:bCs/>
      <w:szCs w:val="32"/>
    </w:rPr>
  </w:style>
  <w:style w:type="paragraph" w:styleId="5">
    <w:name w:val="heading 4"/>
    <w:basedOn w:val="1"/>
    <w:next w:val="1"/>
    <w:link w:val="97"/>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144"/>
    <w:qFormat/>
    <w:uiPriority w:val="0"/>
    <w:pPr>
      <w:keepNext/>
      <w:keepLines/>
      <w:spacing w:before="280" w:after="290" w:line="376" w:lineRule="auto"/>
      <w:outlineLvl w:val="4"/>
    </w:pPr>
    <w:rPr>
      <w:b/>
      <w:bCs/>
      <w:sz w:val="28"/>
      <w:szCs w:val="28"/>
    </w:rPr>
  </w:style>
  <w:style w:type="paragraph" w:styleId="7">
    <w:name w:val="heading 6"/>
    <w:basedOn w:val="1"/>
    <w:next w:val="1"/>
    <w:link w:val="142"/>
    <w:qFormat/>
    <w:uiPriority w:val="0"/>
    <w:pPr>
      <w:keepNext/>
      <w:keepLines/>
      <w:spacing w:before="240" w:after="64" w:line="320" w:lineRule="auto"/>
      <w:outlineLvl w:val="5"/>
    </w:pPr>
    <w:rPr>
      <w:rFonts w:ascii="Arial" w:hAnsi="Arial" w:eastAsia="黑体"/>
      <w:b/>
      <w:bCs/>
      <w:szCs w:val="24"/>
    </w:rPr>
  </w:style>
  <w:style w:type="paragraph" w:styleId="8">
    <w:name w:val="heading 7"/>
    <w:basedOn w:val="1"/>
    <w:next w:val="1"/>
    <w:link w:val="126"/>
    <w:qFormat/>
    <w:uiPriority w:val="0"/>
    <w:pPr>
      <w:keepNext/>
      <w:keepLines/>
      <w:spacing w:before="240" w:after="64" w:line="320" w:lineRule="auto"/>
      <w:outlineLvl w:val="6"/>
    </w:pPr>
    <w:rPr>
      <w:b/>
      <w:bCs/>
      <w:szCs w:val="24"/>
    </w:rPr>
  </w:style>
  <w:style w:type="paragraph" w:styleId="9">
    <w:name w:val="heading 8"/>
    <w:basedOn w:val="1"/>
    <w:next w:val="1"/>
    <w:link w:val="125"/>
    <w:qFormat/>
    <w:uiPriority w:val="0"/>
    <w:pPr>
      <w:keepNext/>
      <w:keepLines/>
      <w:spacing w:before="240" w:after="64" w:line="320" w:lineRule="auto"/>
      <w:outlineLvl w:val="7"/>
    </w:pPr>
    <w:rPr>
      <w:rFonts w:ascii="Arial" w:hAnsi="Arial" w:eastAsia="黑体"/>
      <w:szCs w:val="24"/>
    </w:rPr>
  </w:style>
  <w:style w:type="paragraph" w:styleId="10">
    <w:name w:val="heading 9"/>
    <w:basedOn w:val="1"/>
    <w:next w:val="1"/>
    <w:link w:val="108"/>
    <w:qFormat/>
    <w:uiPriority w:val="0"/>
    <w:pPr>
      <w:keepNext/>
      <w:keepLines/>
      <w:spacing w:before="240" w:after="64" w:line="320" w:lineRule="auto"/>
      <w:outlineLvl w:val="8"/>
    </w:pPr>
    <w:rPr>
      <w:rFonts w:ascii="Arial" w:hAnsi="Arial" w:eastAsia="黑体"/>
      <w:szCs w:val="24"/>
    </w:rPr>
  </w:style>
  <w:style w:type="character" w:default="1" w:styleId="66">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rPr>
      <w:szCs w:val="20"/>
    </w:rPr>
  </w:style>
  <w:style w:type="paragraph" w:styleId="12">
    <w:name w:val="toc 7"/>
    <w:basedOn w:val="1"/>
    <w:next w:val="1"/>
    <w:unhideWhenUsed/>
    <w:qFormat/>
    <w:uiPriority w:val="39"/>
    <w:pPr>
      <w:ind w:left="1260"/>
      <w:jc w:val="left"/>
    </w:pPr>
    <w:rPr>
      <w:rFonts w:ascii="Calibri" w:hAnsi="Calibri"/>
      <w:sz w:val="18"/>
      <w:szCs w:val="18"/>
    </w:rPr>
  </w:style>
  <w:style w:type="paragraph" w:styleId="13">
    <w:name w:val="Note Heading"/>
    <w:basedOn w:val="1"/>
    <w:next w:val="1"/>
    <w:link w:val="552"/>
    <w:qFormat/>
    <w:uiPriority w:val="0"/>
    <w:pPr>
      <w:adjustRightInd w:val="0"/>
      <w:snapToGrid w:val="0"/>
      <w:spacing w:before="100" w:beforeAutospacing="1" w:after="100" w:afterAutospacing="1"/>
      <w:jc w:val="center"/>
    </w:pPr>
    <w:rPr>
      <w:snapToGrid w:val="0"/>
      <w:szCs w:val="24"/>
    </w:rPr>
  </w:style>
  <w:style w:type="paragraph" w:styleId="14">
    <w:name w:val="List Bullet 4"/>
    <w:basedOn w:val="1"/>
    <w:qFormat/>
    <w:uiPriority w:val="0"/>
    <w:pPr>
      <w:tabs>
        <w:tab w:val="left" w:pos="480"/>
      </w:tabs>
      <w:spacing w:line="240" w:lineRule="auto"/>
      <w:ind w:left="480" w:hanging="480" w:firstLineChars="0"/>
    </w:pPr>
    <w:rPr>
      <w:sz w:val="21"/>
      <w:szCs w:val="20"/>
    </w:rPr>
  </w:style>
  <w:style w:type="paragraph" w:styleId="15">
    <w:name w:val="Normal Indent"/>
    <w:basedOn w:val="1"/>
    <w:link w:val="160"/>
    <w:qFormat/>
    <w:uiPriority w:val="99"/>
    <w:pPr>
      <w:spacing w:line="324" w:lineRule="auto"/>
      <w:ind w:firstLine="420"/>
    </w:pPr>
    <w:rPr>
      <w:szCs w:val="24"/>
    </w:rPr>
  </w:style>
  <w:style w:type="paragraph" w:styleId="16">
    <w:name w:val="caption"/>
    <w:basedOn w:val="1"/>
    <w:next w:val="1"/>
    <w:link w:val="518"/>
    <w:qFormat/>
    <w:uiPriority w:val="0"/>
    <w:pPr>
      <w:spacing w:line="240" w:lineRule="auto"/>
      <w:ind w:firstLine="0" w:firstLineChars="0"/>
      <w:jc w:val="center"/>
    </w:pPr>
    <w:rPr>
      <w:rFonts w:ascii="Arial" w:hAnsi="Arial" w:cs="Arial"/>
      <w:szCs w:val="20"/>
    </w:rPr>
  </w:style>
  <w:style w:type="paragraph" w:styleId="17">
    <w:name w:val="List Bullet"/>
    <w:basedOn w:val="1"/>
    <w:qFormat/>
    <w:uiPriority w:val="0"/>
    <w:pPr>
      <w:adjustRightInd w:val="0"/>
      <w:snapToGrid w:val="0"/>
    </w:pPr>
    <w:rPr>
      <w:snapToGrid w:val="0"/>
      <w:kern w:val="0"/>
      <w:szCs w:val="24"/>
    </w:rPr>
  </w:style>
  <w:style w:type="paragraph" w:styleId="18">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Cs w:val="21"/>
    </w:rPr>
  </w:style>
  <w:style w:type="paragraph" w:styleId="19">
    <w:name w:val="Document Map"/>
    <w:basedOn w:val="1"/>
    <w:link w:val="96"/>
    <w:unhideWhenUsed/>
    <w:qFormat/>
    <w:uiPriority w:val="0"/>
    <w:rPr>
      <w:rFonts w:ascii="宋体"/>
      <w:sz w:val="18"/>
      <w:szCs w:val="18"/>
    </w:rPr>
  </w:style>
  <w:style w:type="paragraph" w:styleId="20">
    <w:name w:val="annotation text"/>
    <w:basedOn w:val="1"/>
    <w:link w:val="87"/>
    <w:unhideWhenUsed/>
    <w:qFormat/>
    <w:uiPriority w:val="0"/>
    <w:pPr>
      <w:jc w:val="left"/>
    </w:pPr>
  </w:style>
  <w:style w:type="paragraph" w:styleId="21">
    <w:name w:val="Body Text 3"/>
    <w:basedOn w:val="1"/>
    <w:link w:val="131"/>
    <w:qFormat/>
    <w:uiPriority w:val="0"/>
    <w:pPr>
      <w:spacing w:after="120" w:line="240" w:lineRule="auto"/>
      <w:ind w:firstLine="0" w:firstLineChars="0"/>
    </w:pPr>
    <w:rPr>
      <w:sz w:val="16"/>
      <w:szCs w:val="16"/>
    </w:rPr>
  </w:style>
  <w:style w:type="paragraph" w:styleId="22">
    <w:name w:val="List Bullet 3"/>
    <w:basedOn w:val="1"/>
    <w:qFormat/>
    <w:uiPriority w:val="0"/>
    <w:pPr>
      <w:tabs>
        <w:tab w:val="left" w:pos="840"/>
      </w:tabs>
      <w:spacing w:line="240" w:lineRule="auto"/>
      <w:ind w:left="840" w:hanging="360" w:firstLineChars="0"/>
    </w:pPr>
    <w:rPr>
      <w:sz w:val="21"/>
      <w:szCs w:val="20"/>
    </w:rPr>
  </w:style>
  <w:style w:type="paragraph" w:styleId="23">
    <w:name w:val="Body Text"/>
    <w:basedOn w:val="1"/>
    <w:link w:val="82"/>
    <w:qFormat/>
    <w:uiPriority w:val="0"/>
    <w:pPr>
      <w:spacing w:after="120"/>
    </w:pPr>
    <w:rPr>
      <w:szCs w:val="24"/>
    </w:rPr>
  </w:style>
  <w:style w:type="paragraph" w:styleId="24">
    <w:name w:val="Body Text Indent"/>
    <w:basedOn w:val="1"/>
    <w:link w:val="149"/>
    <w:unhideWhenUsed/>
    <w:qFormat/>
    <w:uiPriority w:val="0"/>
    <w:pPr>
      <w:spacing w:after="120"/>
      <w:ind w:left="420" w:leftChars="200"/>
    </w:pPr>
  </w:style>
  <w:style w:type="paragraph" w:styleId="25">
    <w:name w:val="List 2"/>
    <w:basedOn w:val="1"/>
    <w:qFormat/>
    <w:uiPriority w:val="0"/>
    <w:pPr>
      <w:spacing w:line="240" w:lineRule="auto"/>
      <w:ind w:left="100" w:leftChars="200" w:hanging="200" w:hangingChars="200"/>
    </w:pPr>
    <w:rPr>
      <w:sz w:val="21"/>
      <w:szCs w:val="24"/>
    </w:rPr>
  </w:style>
  <w:style w:type="paragraph" w:styleId="26">
    <w:name w:val="Block Text"/>
    <w:basedOn w:val="1"/>
    <w:qFormat/>
    <w:uiPriority w:val="0"/>
    <w:pPr>
      <w:spacing w:line="300" w:lineRule="exact"/>
      <w:ind w:left="-105" w:leftChars="-50" w:right="-105" w:rightChars="-50" w:firstLine="0" w:firstLineChars="0"/>
      <w:jc w:val="center"/>
    </w:pPr>
    <w:rPr>
      <w:rFonts w:ascii="宋体" w:hAnsi="宋体"/>
      <w:kern w:val="0"/>
      <w:sz w:val="18"/>
      <w:szCs w:val="21"/>
    </w:rPr>
  </w:style>
  <w:style w:type="paragraph" w:styleId="27">
    <w:name w:val="List Bullet 2"/>
    <w:basedOn w:val="1"/>
    <w:qFormat/>
    <w:uiPriority w:val="0"/>
    <w:pPr>
      <w:tabs>
        <w:tab w:val="left" w:pos="840"/>
      </w:tabs>
      <w:spacing w:line="240" w:lineRule="auto"/>
      <w:ind w:left="840" w:hanging="360" w:firstLineChars="0"/>
    </w:pPr>
    <w:rPr>
      <w:sz w:val="21"/>
      <w:szCs w:val="20"/>
    </w:rPr>
  </w:style>
  <w:style w:type="paragraph" w:styleId="28">
    <w:name w:val="index 4"/>
    <w:basedOn w:val="1"/>
    <w:next w:val="1"/>
    <w:qFormat/>
    <w:uiPriority w:val="0"/>
    <w:pPr>
      <w:spacing w:line="240" w:lineRule="auto"/>
      <w:ind w:left="600" w:leftChars="600" w:firstLine="0" w:firstLineChars="0"/>
    </w:pPr>
    <w:rPr>
      <w:sz w:val="21"/>
      <w:szCs w:val="24"/>
    </w:rPr>
  </w:style>
  <w:style w:type="paragraph" w:styleId="29">
    <w:name w:val="toc 5"/>
    <w:basedOn w:val="1"/>
    <w:next w:val="1"/>
    <w:unhideWhenUsed/>
    <w:qFormat/>
    <w:uiPriority w:val="39"/>
    <w:pPr>
      <w:ind w:left="840"/>
      <w:jc w:val="left"/>
    </w:pPr>
    <w:rPr>
      <w:rFonts w:ascii="Calibri" w:hAnsi="Calibri"/>
      <w:sz w:val="18"/>
      <w:szCs w:val="18"/>
    </w:rPr>
  </w:style>
  <w:style w:type="paragraph" w:styleId="30">
    <w:name w:val="toc 3"/>
    <w:basedOn w:val="1"/>
    <w:next w:val="1"/>
    <w:unhideWhenUsed/>
    <w:qFormat/>
    <w:uiPriority w:val="39"/>
    <w:pPr>
      <w:ind w:left="420"/>
      <w:jc w:val="left"/>
    </w:pPr>
    <w:rPr>
      <w:rFonts w:ascii="Calibri" w:hAnsi="Calibri"/>
      <w:i/>
      <w:iCs/>
      <w:sz w:val="20"/>
      <w:szCs w:val="20"/>
    </w:rPr>
  </w:style>
  <w:style w:type="paragraph" w:styleId="31">
    <w:name w:val="Plain Text"/>
    <w:basedOn w:val="1"/>
    <w:link w:val="112"/>
    <w:qFormat/>
    <w:uiPriority w:val="0"/>
    <w:pPr>
      <w:spacing w:line="240" w:lineRule="auto"/>
      <w:ind w:firstLine="0" w:firstLineChars="0"/>
    </w:pPr>
    <w:rPr>
      <w:rFonts w:ascii="宋体" w:hAnsi="Courier New"/>
      <w:sz w:val="21"/>
      <w:szCs w:val="24"/>
    </w:rPr>
  </w:style>
  <w:style w:type="paragraph" w:styleId="32">
    <w:name w:val="toc 8"/>
    <w:basedOn w:val="1"/>
    <w:next w:val="1"/>
    <w:unhideWhenUsed/>
    <w:qFormat/>
    <w:uiPriority w:val="39"/>
    <w:pPr>
      <w:ind w:left="1470"/>
      <w:jc w:val="left"/>
    </w:pPr>
    <w:rPr>
      <w:rFonts w:ascii="Calibri" w:hAnsi="Calibri"/>
      <w:sz w:val="18"/>
      <w:szCs w:val="18"/>
    </w:rPr>
  </w:style>
  <w:style w:type="paragraph" w:styleId="33">
    <w:name w:val="index 3"/>
    <w:basedOn w:val="1"/>
    <w:next w:val="1"/>
    <w:qFormat/>
    <w:uiPriority w:val="0"/>
    <w:pPr>
      <w:spacing w:line="240" w:lineRule="auto"/>
      <w:ind w:left="400" w:leftChars="400" w:firstLine="0" w:firstLineChars="0"/>
    </w:pPr>
    <w:rPr>
      <w:sz w:val="21"/>
      <w:szCs w:val="21"/>
    </w:rPr>
  </w:style>
  <w:style w:type="paragraph" w:styleId="34">
    <w:name w:val="Date"/>
    <w:basedOn w:val="1"/>
    <w:next w:val="1"/>
    <w:link w:val="107"/>
    <w:unhideWhenUsed/>
    <w:qFormat/>
    <w:uiPriority w:val="0"/>
    <w:pPr>
      <w:ind w:left="100" w:leftChars="2500"/>
    </w:pPr>
  </w:style>
  <w:style w:type="paragraph" w:styleId="35">
    <w:name w:val="Body Text Indent 2"/>
    <w:basedOn w:val="1"/>
    <w:link w:val="403"/>
    <w:qFormat/>
    <w:uiPriority w:val="0"/>
    <w:pPr>
      <w:spacing w:after="120" w:line="480" w:lineRule="auto"/>
      <w:ind w:left="420" w:leftChars="200"/>
    </w:pPr>
  </w:style>
  <w:style w:type="paragraph" w:styleId="36">
    <w:name w:val="List Continue 5"/>
    <w:basedOn w:val="1"/>
    <w:qFormat/>
    <w:uiPriority w:val="0"/>
    <w:pPr>
      <w:spacing w:after="120"/>
      <w:ind w:left="2100" w:leftChars="1000"/>
    </w:pPr>
    <w:rPr>
      <w:szCs w:val="20"/>
    </w:rPr>
  </w:style>
  <w:style w:type="paragraph" w:styleId="37">
    <w:name w:val="Balloon Text"/>
    <w:basedOn w:val="1"/>
    <w:link w:val="74"/>
    <w:unhideWhenUsed/>
    <w:qFormat/>
    <w:uiPriority w:val="0"/>
    <w:rPr>
      <w:sz w:val="18"/>
      <w:szCs w:val="18"/>
    </w:rPr>
  </w:style>
  <w:style w:type="paragraph" w:styleId="38">
    <w:name w:val="footer"/>
    <w:basedOn w:val="1"/>
    <w:link w:val="164"/>
    <w:unhideWhenUsed/>
    <w:qFormat/>
    <w:uiPriority w:val="99"/>
    <w:pPr>
      <w:tabs>
        <w:tab w:val="center" w:pos="4153"/>
        <w:tab w:val="right" w:pos="8306"/>
      </w:tabs>
      <w:snapToGrid w:val="0"/>
      <w:jc w:val="left"/>
    </w:pPr>
    <w:rPr>
      <w:sz w:val="18"/>
      <w:szCs w:val="18"/>
    </w:rPr>
  </w:style>
  <w:style w:type="paragraph" w:styleId="39">
    <w:name w:val="header"/>
    <w:basedOn w:val="1"/>
    <w:link w:val="113"/>
    <w:unhideWhenUsed/>
    <w:qFormat/>
    <w:uiPriority w:val="0"/>
    <w:pPr>
      <w:pBdr>
        <w:bottom w:val="single" w:color="auto" w:sz="6" w:space="1"/>
      </w:pBdr>
      <w:tabs>
        <w:tab w:val="center" w:pos="4153"/>
        <w:tab w:val="right" w:pos="8306"/>
      </w:tabs>
      <w:snapToGrid w:val="0"/>
      <w:jc w:val="center"/>
    </w:pPr>
    <w:rPr>
      <w:sz w:val="18"/>
      <w:szCs w:val="18"/>
    </w:rPr>
  </w:style>
  <w:style w:type="paragraph" w:styleId="40">
    <w:name w:val="toc 1"/>
    <w:basedOn w:val="1"/>
    <w:next w:val="1"/>
    <w:unhideWhenUsed/>
    <w:qFormat/>
    <w:uiPriority w:val="39"/>
    <w:pPr>
      <w:spacing w:before="120" w:after="120"/>
      <w:jc w:val="left"/>
    </w:pPr>
    <w:rPr>
      <w:rFonts w:ascii="Calibri" w:hAnsi="Calibri"/>
      <w:b/>
      <w:bCs/>
      <w:caps/>
      <w:sz w:val="20"/>
      <w:szCs w:val="20"/>
    </w:rPr>
  </w:style>
  <w:style w:type="paragraph" w:styleId="41">
    <w:name w:val="toc 4"/>
    <w:basedOn w:val="1"/>
    <w:next w:val="1"/>
    <w:unhideWhenUsed/>
    <w:qFormat/>
    <w:uiPriority w:val="39"/>
    <w:pPr>
      <w:ind w:left="630"/>
      <w:jc w:val="left"/>
    </w:pPr>
    <w:rPr>
      <w:rFonts w:ascii="Calibri" w:hAnsi="Calibri"/>
      <w:sz w:val="18"/>
      <w:szCs w:val="18"/>
    </w:rPr>
  </w:style>
  <w:style w:type="paragraph" w:styleId="42">
    <w:name w:val="Subtitle"/>
    <w:basedOn w:val="1"/>
    <w:next w:val="1"/>
    <w:link w:val="153"/>
    <w:qFormat/>
    <w:uiPriority w:val="11"/>
    <w:pPr>
      <w:spacing w:before="240" w:after="60" w:line="312" w:lineRule="auto"/>
      <w:jc w:val="center"/>
      <w:outlineLvl w:val="1"/>
    </w:pPr>
    <w:rPr>
      <w:rFonts w:ascii="Cambria" w:hAnsi="Cambria"/>
      <w:b/>
      <w:bCs/>
      <w:kern w:val="28"/>
      <w:sz w:val="32"/>
      <w:szCs w:val="32"/>
    </w:rPr>
  </w:style>
  <w:style w:type="paragraph" w:styleId="43">
    <w:name w:val="List"/>
    <w:basedOn w:val="1"/>
    <w:qFormat/>
    <w:uiPriority w:val="0"/>
    <w:pPr>
      <w:adjustRightInd w:val="0"/>
      <w:snapToGrid w:val="0"/>
      <w:ind w:left="200" w:hanging="200" w:hangingChars="200"/>
    </w:pPr>
    <w:rPr>
      <w:szCs w:val="24"/>
    </w:rPr>
  </w:style>
  <w:style w:type="paragraph" w:styleId="44">
    <w:name w:val="footnote text"/>
    <w:basedOn w:val="1"/>
    <w:link w:val="526"/>
    <w:qFormat/>
    <w:uiPriority w:val="0"/>
    <w:pPr>
      <w:widowControl/>
      <w:snapToGrid w:val="0"/>
      <w:jc w:val="left"/>
    </w:pPr>
    <w:rPr>
      <w:rFonts w:ascii="宋体" w:hAnsi="宋体" w:cs="宋体"/>
      <w:kern w:val="0"/>
      <w:sz w:val="18"/>
      <w:szCs w:val="18"/>
    </w:rPr>
  </w:style>
  <w:style w:type="paragraph" w:styleId="45">
    <w:name w:val="toc 6"/>
    <w:basedOn w:val="1"/>
    <w:next w:val="1"/>
    <w:unhideWhenUsed/>
    <w:qFormat/>
    <w:uiPriority w:val="39"/>
    <w:pPr>
      <w:ind w:left="1050"/>
      <w:jc w:val="left"/>
    </w:pPr>
    <w:rPr>
      <w:rFonts w:ascii="Calibri" w:hAnsi="Calibri"/>
      <w:sz w:val="18"/>
      <w:szCs w:val="18"/>
    </w:rPr>
  </w:style>
  <w:style w:type="paragraph" w:styleId="46">
    <w:name w:val="List 5"/>
    <w:basedOn w:val="1"/>
    <w:qFormat/>
    <w:uiPriority w:val="0"/>
    <w:pPr>
      <w:spacing w:line="240" w:lineRule="auto"/>
      <w:ind w:left="100" w:leftChars="800" w:hanging="200" w:hangingChars="200"/>
    </w:pPr>
    <w:rPr>
      <w:sz w:val="21"/>
      <w:szCs w:val="20"/>
    </w:rPr>
  </w:style>
  <w:style w:type="paragraph" w:styleId="47">
    <w:name w:val="Body Text Indent 3"/>
    <w:basedOn w:val="1"/>
    <w:link w:val="150"/>
    <w:unhideWhenUsed/>
    <w:qFormat/>
    <w:uiPriority w:val="0"/>
    <w:pPr>
      <w:spacing w:after="120"/>
      <w:ind w:left="420" w:leftChars="200"/>
    </w:pPr>
    <w:rPr>
      <w:sz w:val="16"/>
      <w:szCs w:val="16"/>
    </w:rPr>
  </w:style>
  <w:style w:type="paragraph" w:styleId="48">
    <w:name w:val="toc 2"/>
    <w:basedOn w:val="1"/>
    <w:next w:val="1"/>
    <w:link w:val="990"/>
    <w:unhideWhenUsed/>
    <w:qFormat/>
    <w:uiPriority w:val="39"/>
    <w:pPr>
      <w:ind w:left="210"/>
      <w:jc w:val="left"/>
    </w:pPr>
    <w:rPr>
      <w:rFonts w:ascii="Calibri" w:hAnsi="Calibri"/>
      <w:smallCaps/>
      <w:sz w:val="20"/>
      <w:szCs w:val="20"/>
    </w:rPr>
  </w:style>
  <w:style w:type="paragraph" w:styleId="49">
    <w:name w:val="toc 9"/>
    <w:basedOn w:val="1"/>
    <w:next w:val="1"/>
    <w:unhideWhenUsed/>
    <w:qFormat/>
    <w:uiPriority w:val="39"/>
    <w:pPr>
      <w:ind w:left="1680"/>
      <w:jc w:val="left"/>
    </w:pPr>
    <w:rPr>
      <w:rFonts w:ascii="Calibri" w:hAnsi="Calibri"/>
      <w:sz w:val="18"/>
      <w:szCs w:val="18"/>
    </w:rPr>
  </w:style>
  <w:style w:type="paragraph" w:styleId="50">
    <w:name w:val="Body Text 2"/>
    <w:basedOn w:val="1"/>
    <w:link w:val="357"/>
    <w:qFormat/>
    <w:uiPriority w:val="0"/>
    <w:pPr>
      <w:spacing w:after="120" w:line="480" w:lineRule="auto"/>
    </w:pPr>
  </w:style>
  <w:style w:type="paragraph" w:styleId="51">
    <w:name w:val="List 4"/>
    <w:basedOn w:val="1"/>
    <w:qFormat/>
    <w:uiPriority w:val="0"/>
    <w:pPr>
      <w:ind w:left="100" w:leftChars="600" w:hanging="200" w:hangingChars="200"/>
    </w:pPr>
    <w:rPr>
      <w:szCs w:val="20"/>
    </w:rPr>
  </w:style>
  <w:style w:type="paragraph" w:styleId="52">
    <w:name w:val="List Continue 2"/>
    <w:basedOn w:val="1"/>
    <w:qFormat/>
    <w:uiPriority w:val="0"/>
    <w:pPr>
      <w:spacing w:after="120"/>
      <w:ind w:left="840" w:leftChars="400"/>
    </w:pPr>
    <w:rPr>
      <w:szCs w:val="20"/>
    </w:rPr>
  </w:style>
  <w:style w:type="paragraph" w:styleId="53">
    <w:name w:val="HTML Preformatted"/>
    <w:basedOn w:val="1"/>
    <w:link w:val="91"/>
    <w:qFormat/>
    <w:uiPriority w:val="99"/>
    <w:pPr>
      <w:spacing w:line="240" w:lineRule="auto"/>
      <w:ind w:firstLine="0" w:firstLineChars="0"/>
    </w:pPr>
    <w:rPr>
      <w:rFonts w:ascii="Courier New" w:hAnsi="Courier New" w:cs="Courier New"/>
      <w:sz w:val="20"/>
      <w:szCs w:val="20"/>
    </w:rPr>
  </w:style>
  <w:style w:type="paragraph" w:styleId="54">
    <w:name w:val="Normal (Web)"/>
    <w:basedOn w:val="1"/>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55">
    <w:name w:val="List Continue 3"/>
    <w:basedOn w:val="1"/>
    <w:qFormat/>
    <w:uiPriority w:val="0"/>
    <w:pPr>
      <w:spacing w:after="120"/>
      <w:ind w:left="1260" w:leftChars="600"/>
    </w:pPr>
    <w:rPr>
      <w:szCs w:val="20"/>
    </w:rPr>
  </w:style>
  <w:style w:type="paragraph" w:styleId="56">
    <w:name w:val="index 1"/>
    <w:basedOn w:val="1"/>
    <w:next w:val="1"/>
    <w:qFormat/>
    <w:uiPriority w:val="0"/>
    <w:pPr>
      <w:spacing w:line="240" w:lineRule="auto"/>
      <w:ind w:firstLine="0" w:firstLineChars="0"/>
      <w:jc w:val="center"/>
    </w:pPr>
    <w:rPr>
      <w:rFonts w:ascii="宋体" w:hAnsi="宋体"/>
      <w:sz w:val="18"/>
      <w:szCs w:val="18"/>
    </w:rPr>
  </w:style>
  <w:style w:type="paragraph" w:styleId="57">
    <w:name w:val="Title"/>
    <w:basedOn w:val="1"/>
    <w:next w:val="1"/>
    <w:link w:val="135"/>
    <w:qFormat/>
    <w:uiPriority w:val="0"/>
    <w:pPr>
      <w:spacing w:before="240" w:after="60" w:line="240" w:lineRule="auto"/>
      <w:ind w:firstLine="0" w:firstLineChars="0"/>
      <w:jc w:val="center"/>
      <w:outlineLvl w:val="0"/>
    </w:pPr>
    <w:rPr>
      <w:rFonts w:ascii="Cambria" w:hAnsi="Cambria" w:cs="黑体"/>
      <w:b/>
      <w:bCs/>
      <w:sz w:val="32"/>
      <w:szCs w:val="32"/>
    </w:rPr>
  </w:style>
  <w:style w:type="paragraph" w:styleId="58">
    <w:name w:val="annotation subject"/>
    <w:basedOn w:val="20"/>
    <w:next w:val="20"/>
    <w:link w:val="156"/>
    <w:unhideWhenUsed/>
    <w:qFormat/>
    <w:uiPriority w:val="0"/>
    <w:rPr>
      <w:b/>
      <w:bCs/>
    </w:rPr>
  </w:style>
  <w:style w:type="paragraph" w:styleId="59">
    <w:name w:val="Body Text First Indent"/>
    <w:basedOn w:val="23"/>
    <w:link w:val="81"/>
    <w:qFormat/>
    <w:uiPriority w:val="99"/>
    <w:pPr>
      <w:spacing w:line="240" w:lineRule="auto"/>
      <w:ind w:firstLine="420" w:firstLineChars="100"/>
    </w:pPr>
    <w:rPr>
      <w:sz w:val="21"/>
    </w:rPr>
  </w:style>
  <w:style w:type="paragraph" w:styleId="60">
    <w:name w:val="Body Text First Indent 2"/>
    <w:basedOn w:val="24"/>
    <w:link w:val="161"/>
    <w:qFormat/>
    <w:uiPriority w:val="0"/>
    <w:pPr>
      <w:spacing w:line="240" w:lineRule="auto"/>
      <w:ind w:firstLine="420"/>
    </w:pPr>
    <w:rPr>
      <w:sz w:val="21"/>
      <w:szCs w:val="24"/>
    </w:rPr>
  </w:style>
  <w:style w:type="table" w:styleId="62">
    <w:name w:val="Table Grid"/>
    <w:basedOn w:val="61"/>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3">
    <w:name w:val="Table Grid 1"/>
    <w:basedOn w:val="61"/>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4">
    <w:name w:val="Table Web 3"/>
    <w:basedOn w:val="61"/>
    <w:semiHidden/>
    <w:qFormat/>
    <w:uiPriority w:val="0"/>
    <w:pPr>
      <w:widowControl w:val="0"/>
      <w:spacing w:line="360" w:lineRule="auto"/>
      <w:ind w:firstLine="449" w:firstLineChars="187"/>
      <w:jc w:val="both"/>
    </w:pPr>
    <w:rPr>
      <w:rFonts w:ascii="Times New Roman" w:hAnsi="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65">
    <w:name w:val="Light Shading Accent 2"/>
    <w:basedOn w:val="61"/>
    <w:qFormat/>
    <w:uiPriority w:val="60"/>
    <w:rPr>
      <w:rFonts w:ascii="Times New Roman" w:hAnsi="Times New Roman"/>
      <w:color w:val="943634"/>
    </w:rPr>
    <w:tblPr>
      <w:tblBorders>
        <w:top w:val="single" w:color="C0504D" w:sz="8" w:space="0"/>
        <w:bottom w:val="single" w:color="C0504D"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l2br w:val="nil"/>
          <w:tr2bl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FD3D2"/>
      </w:tcPr>
    </w:tblStylePr>
    <w:tblStylePr w:type="band1Horz">
      <w:tblPr/>
      <w:tcPr>
        <w:tcBorders>
          <w:top w:val="nil"/>
          <w:left w:val="nil"/>
          <w:bottom w:val="nil"/>
          <w:right w:val="nil"/>
          <w:insideH w:val="nil"/>
          <w:insideV w:val="nil"/>
          <w:tl2br w:val="nil"/>
          <w:tr2bl w:val="nil"/>
        </w:tcBorders>
        <w:shd w:val="clear" w:color="auto" w:fill="EFD3D2"/>
      </w:tcPr>
    </w:tblStylePr>
  </w:style>
  <w:style w:type="character" w:styleId="67">
    <w:name w:val="Strong"/>
    <w:qFormat/>
    <w:uiPriority w:val="22"/>
    <w:rPr>
      <w:b/>
      <w:bCs/>
    </w:rPr>
  </w:style>
  <w:style w:type="character" w:styleId="68">
    <w:name w:val="page number"/>
    <w:qFormat/>
    <w:uiPriority w:val="0"/>
  </w:style>
  <w:style w:type="character" w:styleId="69">
    <w:name w:val="FollowedHyperlink"/>
    <w:unhideWhenUsed/>
    <w:qFormat/>
    <w:uiPriority w:val="99"/>
    <w:rPr>
      <w:color w:val="800080"/>
      <w:u w:val="single"/>
    </w:rPr>
  </w:style>
  <w:style w:type="character" w:styleId="70">
    <w:name w:val="Emphasis"/>
    <w:qFormat/>
    <w:uiPriority w:val="20"/>
    <w:rPr>
      <w:color w:val="CC0000"/>
    </w:rPr>
  </w:style>
  <w:style w:type="character" w:styleId="71">
    <w:name w:val="Hyperlink"/>
    <w:unhideWhenUsed/>
    <w:qFormat/>
    <w:uiPriority w:val="99"/>
    <w:rPr>
      <w:color w:val="0000FF"/>
      <w:u w:val="single"/>
    </w:rPr>
  </w:style>
  <w:style w:type="character" w:styleId="72">
    <w:name w:val="annotation reference"/>
    <w:unhideWhenUsed/>
    <w:qFormat/>
    <w:uiPriority w:val="0"/>
    <w:rPr>
      <w:sz w:val="21"/>
      <w:szCs w:val="21"/>
    </w:rPr>
  </w:style>
  <w:style w:type="character" w:customStyle="1" w:styleId="73">
    <w:name w:val="font101"/>
    <w:qFormat/>
    <w:uiPriority w:val="0"/>
    <w:rPr>
      <w:rFonts w:hint="default" w:ascii="Times New Roman" w:hAnsi="Times New Roman" w:cs="Times New Roman"/>
      <w:color w:val="000000"/>
      <w:sz w:val="20"/>
      <w:szCs w:val="20"/>
      <w:u w:val="none"/>
      <w:vertAlign w:val="superscript"/>
    </w:rPr>
  </w:style>
  <w:style w:type="character" w:customStyle="1" w:styleId="74">
    <w:name w:val="批注框文本 Char"/>
    <w:link w:val="37"/>
    <w:qFormat/>
    <w:uiPriority w:val="0"/>
    <w:rPr>
      <w:kern w:val="2"/>
      <w:sz w:val="18"/>
      <w:szCs w:val="18"/>
    </w:rPr>
  </w:style>
  <w:style w:type="character" w:customStyle="1" w:styleId="75">
    <w:name w:val="Plain Text Char Char"/>
    <w:link w:val="76"/>
    <w:qFormat/>
    <w:uiPriority w:val="0"/>
    <w:rPr>
      <w:rFonts w:ascii="宋体" w:hAnsi="Courier New"/>
      <w:kern w:val="2"/>
      <w:sz w:val="21"/>
      <w:szCs w:val="21"/>
      <w:lang w:bidi="ar-SA"/>
    </w:rPr>
  </w:style>
  <w:style w:type="paragraph" w:customStyle="1" w:styleId="76">
    <w:name w:val="纯文本1"/>
    <w:basedOn w:val="1"/>
    <w:link w:val="75"/>
    <w:qFormat/>
    <w:uiPriority w:val="0"/>
    <w:rPr>
      <w:rFonts w:ascii="宋体" w:hAnsi="Courier New"/>
      <w:sz w:val="21"/>
      <w:szCs w:val="21"/>
    </w:rPr>
  </w:style>
  <w:style w:type="character" w:customStyle="1" w:styleId="77">
    <w:name w:val="font31"/>
    <w:qFormat/>
    <w:uiPriority w:val="0"/>
    <w:rPr>
      <w:rFonts w:hint="default" w:ascii="Times New Roman" w:hAnsi="Times New Roman" w:cs="Times New Roman"/>
      <w:b/>
      <w:bCs/>
      <w:color w:val="000000"/>
      <w:sz w:val="21"/>
      <w:szCs w:val="21"/>
      <w:u w:val="none"/>
    </w:rPr>
  </w:style>
  <w:style w:type="character" w:customStyle="1" w:styleId="78">
    <w:name w:val="Char Char Char"/>
    <w:link w:val="79"/>
    <w:qFormat/>
    <w:uiPriority w:val="0"/>
    <w:rPr>
      <w:rFonts w:ascii="宋体" w:hAnsi="宋体" w:cs="宋体"/>
      <w:kern w:val="2"/>
      <w:sz w:val="24"/>
      <w:szCs w:val="24"/>
    </w:rPr>
  </w:style>
  <w:style w:type="paragraph" w:customStyle="1" w:styleId="79">
    <w:name w:val="Char Char"/>
    <w:basedOn w:val="1"/>
    <w:link w:val="78"/>
    <w:qFormat/>
    <w:uiPriority w:val="0"/>
    <w:rPr>
      <w:rFonts w:ascii="宋体" w:hAnsi="宋体" w:cs="宋体"/>
      <w:szCs w:val="24"/>
    </w:rPr>
  </w:style>
  <w:style w:type="character" w:customStyle="1" w:styleId="80">
    <w:name w:val="表号 Char"/>
    <w:qFormat/>
    <w:uiPriority w:val="0"/>
    <w:rPr>
      <w:rFonts w:eastAsia="宋体"/>
      <w:kern w:val="2"/>
      <w:sz w:val="21"/>
      <w:lang w:val="en-US" w:eastAsia="zh-CN" w:bidi="ar-SA"/>
    </w:rPr>
  </w:style>
  <w:style w:type="character" w:customStyle="1" w:styleId="81">
    <w:name w:val="正文首行缩进 Char"/>
    <w:basedOn w:val="82"/>
    <w:link w:val="59"/>
    <w:qFormat/>
    <w:uiPriority w:val="99"/>
    <w:rPr>
      <w:rFonts w:ascii="Times New Roman" w:hAnsi="Times New Roman"/>
      <w:kern w:val="2"/>
      <w:sz w:val="21"/>
      <w:szCs w:val="24"/>
    </w:rPr>
  </w:style>
  <w:style w:type="character" w:customStyle="1" w:styleId="82">
    <w:name w:val="正文文本 Char"/>
    <w:link w:val="23"/>
    <w:qFormat/>
    <w:uiPriority w:val="0"/>
    <w:rPr>
      <w:rFonts w:ascii="Times New Roman" w:hAnsi="Times New Roman"/>
      <w:kern w:val="2"/>
      <w:sz w:val="21"/>
      <w:szCs w:val="24"/>
    </w:rPr>
  </w:style>
  <w:style w:type="character" w:customStyle="1" w:styleId="83">
    <w:name w:val="标题 1 Char"/>
    <w:link w:val="2"/>
    <w:qFormat/>
    <w:uiPriority w:val="0"/>
    <w:rPr>
      <w:rFonts w:ascii="Times New Roman" w:hAnsi="Times New Roman" w:eastAsia="黑体"/>
      <w:bCs/>
      <w:kern w:val="44"/>
      <w:sz w:val="32"/>
      <w:szCs w:val="44"/>
    </w:rPr>
  </w:style>
  <w:style w:type="character" w:customStyle="1" w:styleId="84">
    <w:name w:val="font16"/>
    <w:qFormat/>
    <w:uiPriority w:val="0"/>
    <w:rPr>
      <w:rFonts w:hint="default" w:ascii="Times New Roman" w:hAnsi="Times New Roman" w:cs="Times New Roman"/>
      <w:color w:val="000000"/>
      <w:sz w:val="15"/>
      <w:szCs w:val="15"/>
      <w:u w:val="single"/>
    </w:rPr>
  </w:style>
  <w:style w:type="character" w:customStyle="1" w:styleId="85">
    <w:name w:val="正文部分 Char"/>
    <w:link w:val="86"/>
    <w:qFormat/>
    <w:uiPriority w:val="0"/>
    <w:rPr>
      <w:rFonts w:ascii="宋体" w:hAnsi="宋体" w:cs="宋体"/>
      <w:bCs/>
      <w:sz w:val="28"/>
      <w:szCs w:val="32"/>
    </w:rPr>
  </w:style>
  <w:style w:type="paragraph" w:customStyle="1" w:styleId="86">
    <w:name w:val="正文部分"/>
    <w:basedOn w:val="1"/>
    <w:link w:val="85"/>
    <w:qFormat/>
    <w:uiPriority w:val="0"/>
    <w:pPr>
      <w:spacing w:line="500" w:lineRule="exact"/>
      <w:jc w:val="left"/>
    </w:pPr>
    <w:rPr>
      <w:rFonts w:ascii="宋体" w:hAnsi="宋体" w:cs="宋体"/>
      <w:bCs/>
      <w:kern w:val="0"/>
      <w:sz w:val="28"/>
      <w:szCs w:val="32"/>
    </w:rPr>
  </w:style>
  <w:style w:type="character" w:customStyle="1" w:styleId="87">
    <w:name w:val="批注文字 Char"/>
    <w:link w:val="20"/>
    <w:qFormat/>
    <w:uiPriority w:val="0"/>
    <w:rPr>
      <w:kern w:val="2"/>
      <w:sz w:val="21"/>
      <w:szCs w:val="22"/>
    </w:rPr>
  </w:style>
  <w:style w:type="character" w:customStyle="1" w:styleId="88">
    <w:name w:val="apple-style-span"/>
    <w:basedOn w:val="66"/>
    <w:qFormat/>
    <w:uiPriority w:val="0"/>
  </w:style>
  <w:style w:type="character" w:customStyle="1" w:styleId="89">
    <w:name w:val="正文缩进（自定义） Char Char Char Char"/>
    <w:link w:val="90"/>
    <w:qFormat/>
    <w:locked/>
    <w:uiPriority w:val="0"/>
    <w:rPr>
      <w:rFonts w:ascii="Century Gothic" w:hAnsi="Century Gothic" w:cs="宋体"/>
      <w:sz w:val="24"/>
      <w:szCs w:val="24"/>
    </w:rPr>
  </w:style>
  <w:style w:type="paragraph" w:customStyle="1" w:styleId="90">
    <w:name w:val="正文缩进（自定义） Char Char Char"/>
    <w:basedOn w:val="1"/>
    <w:link w:val="89"/>
    <w:qFormat/>
    <w:uiPriority w:val="0"/>
    <w:pPr>
      <w:spacing w:before="120" w:after="120"/>
      <w:ind w:firstLine="480"/>
    </w:pPr>
    <w:rPr>
      <w:rFonts w:ascii="Century Gothic" w:hAnsi="Century Gothic" w:cs="宋体"/>
      <w:kern w:val="0"/>
      <w:szCs w:val="24"/>
    </w:rPr>
  </w:style>
  <w:style w:type="character" w:customStyle="1" w:styleId="91">
    <w:name w:val="HTML 预设格式 Char"/>
    <w:link w:val="53"/>
    <w:qFormat/>
    <w:uiPriority w:val="99"/>
    <w:rPr>
      <w:rFonts w:ascii="Courier New" w:hAnsi="Courier New" w:cs="Courier New"/>
      <w:kern w:val="2"/>
    </w:rPr>
  </w:style>
  <w:style w:type="character" w:customStyle="1" w:styleId="92">
    <w:name w:val="font41"/>
    <w:qFormat/>
    <w:uiPriority w:val="0"/>
    <w:rPr>
      <w:rFonts w:hint="default" w:ascii="Times New Roman" w:hAnsi="Times New Roman" w:cs="Times New Roman"/>
      <w:b/>
      <w:bCs/>
      <w:color w:val="000000"/>
      <w:sz w:val="18"/>
      <w:szCs w:val="18"/>
      <w:u w:val="none"/>
    </w:rPr>
  </w:style>
  <w:style w:type="character" w:customStyle="1" w:styleId="93">
    <w:name w:val="正文 文本 Char"/>
    <w:link w:val="94"/>
    <w:qFormat/>
    <w:uiPriority w:val="0"/>
    <w:rPr>
      <w:rFonts w:ascii="Times New Roman" w:hAnsi="Times New Roman" w:cs="宋体"/>
      <w:kern w:val="2"/>
      <w:sz w:val="24"/>
    </w:rPr>
  </w:style>
  <w:style w:type="paragraph" w:customStyle="1" w:styleId="94">
    <w:name w:val="正文 文本"/>
    <w:basedOn w:val="1"/>
    <w:link w:val="93"/>
    <w:qFormat/>
    <w:uiPriority w:val="0"/>
    <w:pPr>
      <w:ind w:firstLine="480"/>
    </w:pPr>
    <w:rPr>
      <w:rFonts w:cs="宋体"/>
      <w:szCs w:val="20"/>
    </w:rPr>
  </w:style>
  <w:style w:type="character" w:customStyle="1" w:styleId="95">
    <w:name w:val="font51"/>
    <w:qFormat/>
    <w:uiPriority w:val="0"/>
    <w:rPr>
      <w:rFonts w:hint="eastAsia" w:ascii="宋体" w:hAnsi="宋体" w:eastAsia="宋体"/>
      <w:b/>
      <w:bCs/>
      <w:color w:val="000000"/>
      <w:sz w:val="21"/>
      <w:szCs w:val="21"/>
      <w:u w:val="none"/>
    </w:rPr>
  </w:style>
  <w:style w:type="character" w:customStyle="1" w:styleId="96">
    <w:name w:val="文档结构图 Char"/>
    <w:link w:val="19"/>
    <w:qFormat/>
    <w:uiPriority w:val="0"/>
    <w:rPr>
      <w:rFonts w:ascii="宋体"/>
      <w:kern w:val="2"/>
      <w:sz w:val="18"/>
      <w:szCs w:val="18"/>
    </w:rPr>
  </w:style>
  <w:style w:type="character" w:customStyle="1" w:styleId="97">
    <w:name w:val="标题 4 Char"/>
    <w:link w:val="5"/>
    <w:qFormat/>
    <w:uiPriority w:val="0"/>
    <w:rPr>
      <w:rFonts w:ascii="Cambria" w:hAnsi="Cambria" w:eastAsia="宋体" w:cs="Times New Roman"/>
      <w:b/>
      <w:bCs/>
      <w:kern w:val="2"/>
      <w:sz w:val="28"/>
      <w:szCs w:val="28"/>
    </w:rPr>
  </w:style>
  <w:style w:type="character" w:customStyle="1" w:styleId="98">
    <w:name w:val="font61"/>
    <w:qFormat/>
    <w:uiPriority w:val="0"/>
    <w:rPr>
      <w:rFonts w:hint="eastAsia" w:ascii="宋体" w:hAnsi="宋体" w:eastAsia="宋体"/>
      <w:b/>
      <w:bCs/>
      <w:color w:val="000000"/>
      <w:sz w:val="21"/>
      <w:szCs w:val="21"/>
      <w:u w:val="none"/>
    </w:rPr>
  </w:style>
  <w:style w:type="character" w:customStyle="1" w:styleId="99">
    <w:name w:val="number"/>
    <w:qFormat/>
    <w:uiPriority w:val="0"/>
  </w:style>
  <w:style w:type="character" w:customStyle="1" w:styleId="100">
    <w:name w:val="font81"/>
    <w:qFormat/>
    <w:uiPriority w:val="0"/>
    <w:rPr>
      <w:rFonts w:hint="eastAsia" w:ascii="宋体" w:hAnsi="宋体" w:eastAsia="宋体"/>
      <w:b/>
      <w:bCs/>
      <w:color w:val="000000"/>
      <w:sz w:val="21"/>
      <w:szCs w:val="21"/>
      <w:u w:val="none"/>
    </w:rPr>
  </w:style>
  <w:style w:type="character" w:customStyle="1" w:styleId="101">
    <w:name w:val="正文缩进 Char1"/>
    <w:qFormat/>
    <w:uiPriority w:val="0"/>
    <w:rPr>
      <w:rFonts w:eastAsia="宋体"/>
      <w:kern w:val="2"/>
      <w:sz w:val="24"/>
      <w:szCs w:val="24"/>
      <w:lang w:val="en-US" w:eastAsia="zh-CN" w:bidi="ar-SA"/>
    </w:rPr>
  </w:style>
  <w:style w:type="character" w:customStyle="1" w:styleId="102">
    <w:name w:val="font01"/>
    <w:qFormat/>
    <w:uiPriority w:val="0"/>
    <w:rPr>
      <w:rFonts w:hint="eastAsia" w:ascii="宋体" w:hAnsi="宋体" w:eastAsia="宋体"/>
      <w:b/>
      <w:bCs/>
      <w:color w:val="000000"/>
      <w:sz w:val="18"/>
      <w:szCs w:val="18"/>
      <w:u w:val="none"/>
    </w:rPr>
  </w:style>
  <w:style w:type="character" w:customStyle="1" w:styleId="103">
    <w:name w:val="二级标题 Char"/>
    <w:link w:val="104"/>
    <w:qFormat/>
    <w:uiPriority w:val="0"/>
    <w:rPr>
      <w:rFonts w:ascii="Times New Roman" w:hAnsi="Times New Roman" w:eastAsia="黑体"/>
      <w:kern w:val="2"/>
      <w:sz w:val="30"/>
      <w:szCs w:val="24"/>
    </w:rPr>
  </w:style>
  <w:style w:type="paragraph" w:customStyle="1" w:styleId="104">
    <w:name w:val="二级标题"/>
    <w:next w:val="1"/>
    <w:link w:val="103"/>
    <w:qFormat/>
    <w:uiPriority w:val="0"/>
    <w:pPr>
      <w:spacing w:beforeLines="20" w:afterLines="20"/>
      <w:outlineLvl w:val="2"/>
    </w:pPr>
    <w:rPr>
      <w:rFonts w:ascii="Times New Roman" w:hAnsi="Times New Roman" w:eastAsia="黑体" w:cs="Times New Roman"/>
      <w:kern w:val="2"/>
      <w:sz w:val="30"/>
      <w:szCs w:val="24"/>
      <w:lang w:val="en-US" w:eastAsia="zh-CN" w:bidi="ar-SA"/>
    </w:rPr>
  </w:style>
  <w:style w:type="character" w:customStyle="1" w:styleId="105">
    <w:name w:val="表格图片标题 Char"/>
    <w:link w:val="106"/>
    <w:qFormat/>
    <w:uiPriority w:val="0"/>
    <w:rPr>
      <w:rFonts w:ascii="Times New Roman" w:hAnsi="Times New Roman" w:cs="宋体"/>
      <w:b/>
      <w:bCs/>
      <w:kern w:val="2"/>
      <w:sz w:val="24"/>
    </w:rPr>
  </w:style>
  <w:style w:type="paragraph" w:customStyle="1" w:styleId="106">
    <w:name w:val="表格图片标题"/>
    <w:basedOn w:val="1"/>
    <w:link w:val="105"/>
    <w:qFormat/>
    <w:uiPriority w:val="0"/>
    <w:pPr>
      <w:spacing w:line="240" w:lineRule="auto"/>
      <w:ind w:firstLine="0" w:firstLineChars="0"/>
      <w:jc w:val="center"/>
    </w:pPr>
    <w:rPr>
      <w:rFonts w:cs="宋体"/>
      <w:b/>
      <w:bCs/>
      <w:szCs w:val="20"/>
    </w:rPr>
  </w:style>
  <w:style w:type="character" w:customStyle="1" w:styleId="107">
    <w:name w:val="日期 Char"/>
    <w:link w:val="34"/>
    <w:qFormat/>
    <w:uiPriority w:val="0"/>
    <w:rPr>
      <w:kern w:val="2"/>
      <w:sz w:val="21"/>
      <w:szCs w:val="22"/>
    </w:rPr>
  </w:style>
  <w:style w:type="character" w:customStyle="1" w:styleId="108">
    <w:name w:val="标题 9 Char"/>
    <w:link w:val="10"/>
    <w:qFormat/>
    <w:uiPriority w:val="0"/>
    <w:rPr>
      <w:rFonts w:ascii="Arial" w:hAnsi="Arial" w:eastAsia="黑体"/>
      <w:kern w:val="2"/>
      <w:sz w:val="24"/>
      <w:szCs w:val="24"/>
    </w:rPr>
  </w:style>
  <w:style w:type="character" w:customStyle="1" w:styleId="109">
    <w:name w:val="description"/>
    <w:qFormat/>
    <w:uiPriority w:val="0"/>
  </w:style>
  <w:style w:type="character" w:customStyle="1" w:styleId="110">
    <w:name w:val="font91"/>
    <w:qFormat/>
    <w:uiPriority w:val="0"/>
    <w:rPr>
      <w:rFonts w:hint="default" w:ascii="Times New Roman" w:hAnsi="Times New Roman" w:cs="Times New Roman"/>
      <w:b/>
      <w:bCs/>
      <w:color w:val="000000"/>
      <w:sz w:val="18"/>
      <w:szCs w:val="18"/>
      <w:u w:val="none"/>
    </w:rPr>
  </w:style>
  <w:style w:type="character" w:customStyle="1" w:styleId="111">
    <w:name w:val="font21"/>
    <w:qFormat/>
    <w:uiPriority w:val="0"/>
    <w:rPr>
      <w:rFonts w:hint="default" w:ascii="Times New Roman" w:hAnsi="Times New Roman" w:cs="Times New Roman"/>
      <w:b/>
      <w:bCs/>
      <w:color w:val="000000"/>
      <w:sz w:val="21"/>
      <w:szCs w:val="21"/>
      <w:u w:val="none"/>
    </w:rPr>
  </w:style>
  <w:style w:type="character" w:customStyle="1" w:styleId="112">
    <w:name w:val="纯文本 Char"/>
    <w:link w:val="31"/>
    <w:qFormat/>
    <w:uiPriority w:val="0"/>
    <w:rPr>
      <w:rFonts w:ascii="宋体" w:hAnsi="Courier New" w:eastAsia="宋体"/>
      <w:kern w:val="2"/>
      <w:sz w:val="21"/>
      <w:szCs w:val="24"/>
      <w:lang w:val="en-US" w:eastAsia="zh-CN" w:bidi="ar-SA"/>
    </w:rPr>
  </w:style>
  <w:style w:type="character" w:customStyle="1" w:styleId="113">
    <w:name w:val="页眉 Char"/>
    <w:link w:val="39"/>
    <w:qFormat/>
    <w:uiPriority w:val="0"/>
    <w:rPr>
      <w:sz w:val="18"/>
      <w:szCs w:val="18"/>
    </w:rPr>
  </w:style>
  <w:style w:type="character" w:customStyle="1" w:styleId="114">
    <w:name w:val="font121"/>
    <w:qFormat/>
    <w:uiPriority w:val="0"/>
    <w:rPr>
      <w:rFonts w:hint="eastAsia" w:ascii="宋体" w:hAnsi="宋体" w:eastAsia="宋体"/>
      <w:color w:val="000000"/>
      <w:sz w:val="15"/>
      <w:szCs w:val="15"/>
      <w:u w:val="none"/>
    </w:rPr>
  </w:style>
  <w:style w:type="character" w:customStyle="1" w:styleId="115">
    <w:name w:val="批注文字 Char1"/>
    <w:semiHidden/>
    <w:qFormat/>
    <w:uiPriority w:val="99"/>
    <w:rPr>
      <w:rFonts w:ascii="Times New Roman" w:hAnsi="Times New Roman" w:eastAsia="宋体" w:cs="Times New Roman"/>
      <w:sz w:val="24"/>
    </w:rPr>
  </w:style>
  <w:style w:type="character" w:customStyle="1" w:styleId="116">
    <w:name w:val="报告书正文 Char"/>
    <w:link w:val="117"/>
    <w:qFormat/>
    <w:uiPriority w:val="0"/>
    <w:rPr>
      <w:rFonts w:eastAsia="宋体"/>
      <w:color w:val="FF0000"/>
      <w:sz w:val="24"/>
      <w:szCs w:val="24"/>
      <w:lang w:bidi="ar-SA"/>
    </w:rPr>
  </w:style>
  <w:style w:type="paragraph" w:customStyle="1" w:styleId="117">
    <w:name w:val="报告书正文"/>
    <w:basedOn w:val="1"/>
    <w:link w:val="116"/>
    <w:qFormat/>
    <w:uiPriority w:val="0"/>
    <w:pPr>
      <w:tabs>
        <w:tab w:val="left" w:pos="180"/>
      </w:tabs>
      <w:adjustRightInd w:val="0"/>
      <w:snapToGrid w:val="0"/>
      <w:ind w:firstLine="480"/>
      <w:textAlignment w:val="baseline"/>
    </w:pPr>
    <w:rPr>
      <w:color w:val="FF0000"/>
      <w:kern w:val="0"/>
      <w:szCs w:val="24"/>
    </w:rPr>
  </w:style>
  <w:style w:type="character" w:customStyle="1" w:styleId="118">
    <w:name w:val="font151"/>
    <w:qFormat/>
    <w:uiPriority w:val="0"/>
    <w:rPr>
      <w:rFonts w:hint="eastAsia" w:ascii="宋体" w:hAnsi="宋体" w:eastAsia="宋体"/>
      <w:i/>
      <w:iCs/>
      <w:color w:val="000000"/>
      <w:sz w:val="15"/>
      <w:szCs w:val="15"/>
      <w:u w:val="single"/>
    </w:rPr>
  </w:style>
  <w:style w:type="character" w:customStyle="1" w:styleId="119">
    <w:name w:val="样式7 Char Char"/>
    <w:qFormat/>
    <w:uiPriority w:val="0"/>
    <w:rPr>
      <w:rFonts w:eastAsia="宋体"/>
      <w:kern w:val="2"/>
      <w:sz w:val="21"/>
      <w:szCs w:val="21"/>
      <w:lang w:val="en-US" w:eastAsia="zh-CN"/>
    </w:rPr>
  </w:style>
  <w:style w:type="character" w:customStyle="1" w:styleId="120">
    <w:name w:val="二章正文 Char Char Char"/>
    <w:link w:val="121"/>
    <w:qFormat/>
    <w:uiPriority w:val="0"/>
    <w:rPr>
      <w:rFonts w:ascii="Times New Roman" w:hAnsi="宋体"/>
      <w:kern w:val="2"/>
      <w:sz w:val="24"/>
      <w:szCs w:val="24"/>
    </w:rPr>
  </w:style>
  <w:style w:type="paragraph" w:customStyle="1" w:styleId="121">
    <w:name w:val="二章正文 Char Char"/>
    <w:basedOn w:val="1"/>
    <w:link w:val="120"/>
    <w:qFormat/>
    <w:uiPriority w:val="0"/>
    <w:pPr>
      <w:adjustRightInd w:val="0"/>
      <w:snapToGrid w:val="0"/>
      <w:spacing w:line="600" w:lineRule="exact"/>
      <w:ind w:firstLine="540" w:firstLineChars="225"/>
    </w:pPr>
    <w:rPr>
      <w:rFonts w:hAnsi="宋体"/>
      <w:szCs w:val="24"/>
    </w:rPr>
  </w:style>
  <w:style w:type="character" w:customStyle="1" w:styleId="122">
    <w:name w:val="表格文字 Char Char"/>
    <w:link w:val="123"/>
    <w:qFormat/>
    <w:uiPriority w:val="0"/>
    <w:rPr>
      <w:rFonts w:ascii="Times New Roman" w:hAnsi="Times New Roman"/>
      <w:sz w:val="18"/>
      <w:szCs w:val="18"/>
      <w:lang w:val="en-US" w:eastAsia="zh-CN"/>
    </w:rPr>
  </w:style>
  <w:style w:type="paragraph" w:customStyle="1" w:styleId="123">
    <w:name w:val="表格文字 Char"/>
    <w:basedOn w:val="50"/>
    <w:link w:val="122"/>
    <w:qFormat/>
    <w:uiPriority w:val="0"/>
    <w:pPr>
      <w:suppressAutoHyphens/>
      <w:adjustRightInd w:val="0"/>
      <w:spacing w:after="0" w:line="240" w:lineRule="auto"/>
      <w:ind w:firstLine="0" w:firstLineChars="0"/>
      <w:jc w:val="center"/>
      <w:textAlignment w:val="center"/>
    </w:pPr>
    <w:rPr>
      <w:kern w:val="0"/>
      <w:sz w:val="18"/>
      <w:szCs w:val="18"/>
    </w:rPr>
  </w:style>
  <w:style w:type="character" w:customStyle="1" w:styleId="124">
    <w:name w:val="明显强调1"/>
    <w:qFormat/>
    <w:uiPriority w:val="21"/>
    <w:rPr>
      <w:b/>
      <w:bCs/>
      <w:i/>
      <w:iCs/>
      <w:color w:val="4F81BD"/>
    </w:rPr>
  </w:style>
  <w:style w:type="character" w:customStyle="1" w:styleId="125">
    <w:name w:val="标题 8 Char"/>
    <w:link w:val="9"/>
    <w:qFormat/>
    <w:uiPriority w:val="0"/>
    <w:rPr>
      <w:rFonts w:ascii="Arial" w:hAnsi="Arial" w:eastAsia="黑体"/>
      <w:kern w:val="2"/>
      <w:sz w:val="24"/>
      <w:szCs w:val="24"/>
    </w:rPr>
  </w:style>
  <w:style w:type="character" w:customStyle="1" w:styleId="126">
    <w:name w:val="标题 7 Char"/>
    <w:link w:val="8"/>
    <w:qFormat/>
    <w:uiPriority w:val="0"/>
    <w:rPr>
      <w:rFonts w:ascii="Times New Roman" w:hAnsi="Times New Roman"/>
      <w:b/>
      <w:bCs/>
      <w:kern w:val="2"/>
      <w:sz w:val="24"/>
      <w:szCs w:val="24"/>
    </w:rPr>
  </w:style>
  <w:style w:type="character" w:customStyle="1" w:styleId="127">
    <w:name w:val="xyb自建正文 Char Char Char Char"/>
    <w:link w:val="128"/>
    <w:qFormat/>
    <w:uiPriority w:val="0"/>
    <w:rPr>
      <w:rFonts w:ascii="宋体" w:hAnsi="宋体"/>
      <w:kern w:val="2"/>
      <w:sz w:val="24"/>
      <w:szCs w:val="24"/>
    </w:rPr>
  </w:style>
  <w:style w:type="paragraph" w:customStyle="1" w:styleId="128">
    <w:name w:val="xyb自建正文 Char Char Char"/>
    <w:basedOn w:val="1"/>
    <w:link w:val="127"/>
    <w:qFormat/>
    <w:uiPriority w:val="0"/>
    <w:pPr>
      <w:tabs>
        <w:tab w:val="left" w:pos="7920"/>
      </w:tabs>
      <w:spacing w:beforeLines="50" w:afterLines="50"/>
      <w:ind w:firstLine="480"/>
    </w:pPr>
    <w:rPr>
      <w:rFonts w:ascii="宋体" w:hAnsi="宋体"/>
      <w:szCs w:val="24"/>
    </w:rPr>
  </w:style>
  <w:style w:type="character" w:customStyle="1" w:styleId="129">
    <w:name w:val="正文 宋体 小四 Char"/>
    <w:link w:val="130"/>
    <w:qFormat/>
    <w:uiPriority w:val="0"/>
    <w:rPr>
      <w:rFonts w:ascii="宋体" w:hAnsi="宋体"/>
      <w:kern w:val="2"/>
      <w:sz w:val="24"/>
      <w:szCs w:val="24"/>
    </w:rPr>
  </w:style>
  <w:style w:type="paragraph" w:customStyle="1" w:styleId="130">
    <w:name w:val="正文 宋体 小四"/>
    <w:basedOn w:val="1"/>
    <w:link w:val="129"/>
    <w:qFormat/>
    <w:uiPriority w:val="0"/>
    <w:pPr>
      <w:ind w:firstLine="480" w:firstLineChars="0"/>
    </w:pPr>
    <w:rPr>
      <w:rFonts w:ascii="宋体" w:hAnsi="宋体"/>
      <w:szCs w:val="24"/>
    </w:rPr>
  </w:style>
  <w:style w:type="character" w:customStyle="1" w:styleId="131">
    <w:name w:val="正文文本 3 Char"/>
    <w:link w:val="21"/>
    <w:qFormat/>
    <w:uiPriority w:val="0"/>
    <w:rPr>
      <w:rFonts w:ascii="Times New Roman" w:hAnsi="Times New Roman"/>
      <w:kern w:val="2"/>
      <w:sz w:val="16"/>
      <w:szCs w:val="16"/>
    </w:rPr>
  </w:style>
  <w:style w:type="character" w:customStyle="1" w:styleId="132">
    <w:name w:val="样式1 Char"/>
    <w:link w:val="133"/>
    <w:qFormat/>
    <w:uiPriority w:val="0"/>
    <w:rPr>
      <w:kern w:val="2"/>
      <w:sz w:val="18"/>
      <w:szCs w:val="18"/>
    </w:rPr>
  </w:style>
  <w:style w:type="paragraph" w:customStyle="1" w:styleId="133">
    <w:name w:val="样式1"/>
    <w:basedOn w:val="39"/>
    <w:link w:val="132"/>
    <w:qFormat/>
    <w:uiPriority w:val="0"/>
    <w:pPr>
      <w:pBdr>
        <w:bottom w:val="single" w:color="auto" w:sz="4" w:space="1"/>
      </w:pBdr>
    </w:pPr>
  </w:style>
  <w:style w:type="character" w:customStyle="1" w:styleId="134">
    <w:name w:val="ncnjw01"/>
    <w:qFormat/>
    <w:uiPriority w:val="0"/>
  </w:style>
  <w:style w:type="character" w:customStyle="1" w:styleId="135">
    <w:name w:val="标题 Char"/>
    <w:link w:val="57"/>
    <w:qFormat/>
    <w:uiPriority w:val="0"/>
    <w:rPr>
      <w:rFonts w:ascii="Cambria" w:hAnsi="Cambria" w:cs="黑体"/>
      <w:b/>
      <w:bCs/>
      <w:kern w:val="2"/>
      <w:sz w:val="32"/>
      <w:szCs w:val="32"/>
    </w:rPr>
  </w:style>
  <w:style w:type="character" w:customStyle="1" w:styleId="136">
    <w:name w:val="Char Char16"/>
    <w:qFormat/>
    <w:locked/>
    <w:uiPriority w:val="0"/>
    <w:rPr>
      <w:sz w:val="24"/>
    </w:rPr>
  </w:style>
  <w:style w:type="character" w:customStyle="1" w:styleId="137">
    <w:name w:val="样式5 Char Char"/>
    <w:qFormat/>
    <w:uiPriority w:val="0"/>
    <w:rPr>
      <w:rFonts w:eastAsia="宋体"/>
      <w:kern w:val="2"/>
      <w:sz w:val="24"/>
      <w:szCs w:val="24"/>
      <w:lang w:val="en-US" w:eastAsia="zh-CN"/>
    </w:rPr>
  </w:style>
  <w:style w:type="character" w:customStyle="1" w:styleId="138">
    <w:name w:val="标题 3 Char"/>
    <w:link w:val="4"/>
    <w:qFormat/>
    <w:uiPriority w:val="0"/>
    <w:rPr>
      <w:rFonts w:ascii="Times New Roman" w:hAnsi="Times New Roman" w:eastAsia="黑体"/>
      <w:b/>
      <w:bCs/>
      <w:kern w:val="2"/>
      <w:sz w:val="24"/>
      <w:szCs w:val="32"/>
    </w:rPr>
  </w:style>
  <w:style w:type="character" w:customStyle="1" w:styleId="139">
    <w:name w:val="font141"/>
    <w:qFormat/>
    <w:uiPriority w:val="0"/>
    <w:rPr>
      <w:rFonts w:hint="default" w:ascii="Times New Roman" w:hAnsi="Times New Roman" w:cs="Times New Roman"/>
      <w:i/>
      <w:iCs/>
      <w:color w:val="000000"/>
      <w:sz w:val="15"/>
      <w:szCs w:val="15"/>
      <w:u w:val="single"/>
    </w:rPr>
  </w:style>
  <w:style w:type="character" w:customStyle="1" w:styleId="140">
    <w:name w:val="apple-converted-space"/>
    <w:qFormat/>
    <w:uiPriority w:val="0"/>
  </w:style>
  <w:style w:type="character" w:customStyle="1" w:styleId="141">
    <w:name w:val="font131"/>
    <w:qFormat/>
    <w:uiPriority w:val="0"/>
    <w:rPr>
      <w:rFonts w:hint="default" w:ascii="Times New Roman" w:hAnsi="Times New Roman" w:cs="Times New Roman"/>
      <w:color w:val="000000"/>
      <w:sz w:val="15"/>
      <w:szCs w:val="15"/>
      <w:u w:val="none"/>
      <w:vertAlign w:val="superscript"/>
    </w:rPr>
  </w:style>
  <w:style w:type="character" w:customStyle="1" w:styleId="142">
    <w:name w:val="标题 6 Char"/>
    <w:link w:val="7"/>
    <w:qFormat/>
    <w:uiPriority w:val="0"/>
    <w:rPr>
      <w:rFonts w:ascii="Arial" w:hAnsi="Arial" w:eastAsia="黑体"/>
      <w:b/>
      <w:bCs/>
      <w:kern w:val="2"/>
      <w:sz w:val="24"/>
      <w:szCs w:val="24"/>
    </w:rPr>
  </w:style>
  <w:style w:type="character" w:customStyle="1" w:styleId="143">
    <w:name w:val="表格文字 Char1"/>
    <w:qFormat/>
    <w:uiPriority w:val="0"/>
    <w:rPr>
      <w:rFonts w:ascii="宋体" w:hAnsi="宋体" w:eastAsia="宋体" w:cs="宋体"/>
      <w:sz w:val="18"/>
      <w:szCs w:val="18"/>
      <w:lang w:val="en-US" w:eastAsia="zh-CN" w:bidi="ar-SA"/>
    </w:rPr>
  </w:style>
  <w:style w:type="character" w:customStyle="1" w:styleId="144">
    <w:name w:val="标题 5 Char"/>
    <w:link w:val="6"/>
    <w:qFormat/>
    <w:uiPriority w:val="0"/>
    <w:rPr>
      <w:rFonts w:ascii="Times New Roman" w:hAnsi="Times New Roman"/>
      <w:b/>
      <w:bCs/>
      <w:kern w:val="2"/>
      <w:sz w:val="28"/>
      <w:szCs w:val="28"/>
    </w:rPr>
  </w:style>
  <w:style w:type="character" w:customStyle="1" w:styleId="145">
    <w:name w:val="纯文本 Char2"/>
    <w:qFormat/>
    <w:uiPriority w:val="0"/>
    <w:rPr>
      <w:rFonts w:ascii="宋体" w:hAnsi="Courier New" w:eastAsia="宋体" w:cs="Courier New"/>
      <w:kern w:val="2"/>
      <w:sz w:val="21"/>
      <w:szCs w:val="21"/>
      <w:lang w:val="en-US" w:eastAsia="zh-CN" w:bidi="ar-SA"/>
    </w:rPr>
  </w:style>
  <w:style w:type="character" w:customStyle="1" w:styleId="146">
    <w:name w:val="font71"/>
    <w:qFormat/>
    <w:uiPriority w:val="0"/>
    <w:rPr>
      <w:rFonts w:hint="default" w:ascii="Times New Roman" w:hAnsi="Times New Roman" w:cs="Times New Roman"/>
      <w:b/>
      <w:bCs/>
      <w:color w:val="000000"/>
      <w:sz w:val="18"/>
      <w:szCs w:val="18"/>
      <w:u w:val="none"/>
    </w:rPr>
  </w:style>
  <w:style w:type="character" w:customStyle="1" w:styleId="147">
    <w:name w:val="二章正文 Char"/>
    <w:link w:val="148"/>
    <w:qFormat/>
    <w:uiPriority w:val="0"/>
    <w:rPr>
      <w:rFonts w:ascii="Times New Roman" w:hAnsi="宋体"/>
      <w:kern w:val="2"/>
      <w:sz w:val="24"/>
      <w:szCs w:val="24"/>
    </w:rPr>
  </w:style>
  <w:style w:type="paragraph" w:customStyle="1" w:styleId="148">
    <w:name w:val="二章正文"/>
    <w:basedOn w:val="1"/>
    <w:link w:val="147"/>
    <w:qFormat/>
    <w:uiPriority w:val="0"/>
    <w:pPr>
      <w:ind w:firstLine="480"/>
    </w:pPr>
    <w:rPr>
      <w:rFonts w:hAnsi="宋体"/>
      <w:szCs w:val="24"/>
    </w:rPr>
  </w:style>
  <w:style w:type="character" w:customStyle="1" w:styleId="149">
    <w:name w:val="正文文本缩进 Char"/>
    <w:link w:val="24"/>
    <w:qFormat/>
    <w:uiPriority w:val="0"/>
    <w:rPr>
      <w:kern w:val="2"/>
      <w:sz w:val="21"/>
      <w:szCs w:val="22"/>
    </w:rPr>
  </w:style>
  <w:style w:type="character" w:customStyle="1" w:styleId="150">
    <w:name w:val="正文文本缩进 3 Char"/>
    <w:link w:val="47"/>
    <w:qFormat/>
    <w:uiPriority w:val="0"/>
    <w:rPr>
      <w:rFonts w:ascii="Times New Roman" w:hAnsi="Times New Roman"/>
      <w:kern w:val="2"/>
      <w:sz w:val="16"/>
      <w:szCs w:val="16"/>
    </w:rPr>
  </w:style>
  <w:style w:type="character" w:customStyle="1" w:styleId="151">
    <w:name w:val="样式 样式 小四 蓝色 行距: 固定值 30 磅 + 行距: 1.5 倍行距 Char"/>
    <w:link w:val="152"/>
    <w:qFormat/>
    <w:uiPriority w:val="0"/>
    <w:rPr>
      <w:rFonts w:ascii="Times New Roman" w:hAnsi="Times New Roman"/>
      <w:color w:val="0000FF"/>
      <w:kern w:val="2"/>
      <w:sz w:val="24"/>
    </w:rPr>
  </w:style>
  <w:style w:type="paragraph" w:customStyle="1" w:styleId="152">
    <w:name w:val="样式 样式 小四 蓝色 行距: 固定值 30 磅 + 行距: 1.5 倍行距"/>
    <w:basedOn w:val="1"/>
    <w:link w:val="151"/>
    <w:qFormat/>
    <w:uiPriority w:val="0"/>
    <w:pPr>
      <w:ind w:firstLine="480"/>
    </w:pPr>
    <w:rPr>
      <w:color w:val="0000FF"/>
      <w:szCs w:val="20"/>
    </w:rPr>
  </w:style>
  <w:style w:type="character" w:customStyle="1" w:styleId="153">
    <w:name w:val="副标题 Char"/>
    <w:link w:val="42"/>
    <w:qFormat/>
    <w:uiPriority w:val="11"/>
    <w:rPr>
      <w:rFonts w:ascii="Cambria" w:hAnsi="Cambria" w:cs="Times New Roman"/>
      <w:b/>
      <w:bCs/>
      <w:kern w:val="28"/>
      <w:sz w:val="32"/>
      <w:szCs w:val="32"/>
    </w:rPr>
  </w:style>
  <w:style w:type="character" w:customStyle="1" w:styleId="154">
    <w:name w:val="表格 Char"/>
    <w:link w:val="155"/>
    <w:qFormat/>
    <w:uiPriority w:val="0"/>
    <w:rPr>
      <w:rFonts w:ascii="宋体" w:hAnsi="Times New Roman"/>
      <w:snapToGrid/>
      <w:color w:val="000000"/>
      <w:kern w:val="21"/>
      <w:sz w:val="21"/>
      <w:szCs w:val="24"/>
    </w:rPr>
  </w:style>
  <w:style w:type="paragraph" w:customStyle="1" w:styleId="155">
    <w:name w:val="表格"/>
    <w:basedOn w:val="1"/>
    <w:link w:val="154"/>
    <w:qFormat/>
    <w:uiPriority w:val="0"/>
    <w:pPr>
      <w:overflowPunct w:val="0"/>
      <w:adjustRightInd w:val="0"/>
      <w:snapToGrid w:val="0"/>
      <w:spacing w:line="320" w:lineRule="atLeast"/>
      <w:ind w:firstLine="0" w:firstLineChars="0"/>
      <w:jc w:val="center"/>
    </w:pPr>
    <w:rPr>
      <w:rFonts w:ascii="宋体"/>
      <w:snapToGrid w:val="0"/>
      <w:color w:val="000000"/>
      <w:kern w:val="21"/>
      <w:sz w:val="21"/>
      <w:szCs w:val="24"/>
    </w:rPr>
  </w:style>
  <w:style w:type="character" w:customStyle="1" w:styleId="156">
    <w:name w:val="批注主题 Char"/>
    <w:link w:val="58"/>
    <w:qFormat/>
    <w:uiPriority w:val="0"/>
    <w:rPr>
      <w:b/>
      <w:bCs/>
      <w:kern w:val="2"/>
      <w:sz w:val="21"/>
      <w:szCs w:val="22"/>
    </w:rPr>
  </w:style>
  <w:style w:type="character" w:customStyle="1" w:styleId="157">
    <w:name w:val="font111"/>
    <w:qFormat/>
    <w:uiPriority w:val="0"/>
    <w:rPr>
      <w:rFonts w:hint="default" w:ascii="Times New Roman" w:hAnsi="Times New Roman" w:cs="Times New Roman"/>
      <w:color w:val="000000"/>
      <w:sz w:val="15"/>
      <w:szCs w:val="15"/>
      <w:u w:val="none"/>
    </w:rPr>
  </w:style>
  <w:style w:type="character" w:customStyle="1" w:styleId="158">
    <w:name w:val="t1"/>
    <w:qFormat/>
    <w:uiPriority w:val="0"/>
  </w:style>
  <w:style w:type="character" w:customStyle="1" w:styleId="159">
    <w:name w:val="标题 2 Char"/>
    <w:link w:val="3"/>
    <w:qFormat/>
    <w:uiPriority w:val="0"/>
    <w:rPr>
      <w:rFonts w:ascii="Times New Roman" w:hAnsi="Times New Roman" w:eastAsia="黑体"/>
      <w:b/>
      <w:bCs/>
      <w:kern w:val="2"/>
      <w:sz w:val="28"/>
      <w:szCs w:val="32"/>
    </w:rPr>
  </w:style>
  <w:style w:type="character" w:customStyle="1" w:styleId="160">
    <w:name w:val="正文缩进 Char"/>
    <w:link w:val="15"/>
    <w:qFormat/>
    <w:uiPriority w:val="0"/>
    <w:rPr>
      <w:rFonts w:ascii="Times New Roman" w:hAnsi="Times New Roman"/>
      <w:kern w:val="2"/>
      <w:sz w:val="24"/>
      <w:szCs w:val="24"/>
    </w:rPr>
  </w:style>
  <w:style w:type="character" w:customStyle="1" w:styleId="161">
    <w:name w:val="正文首行缩进 2 Char"/>
    <w:link w:val="60"/>
    <w:qFormat/>
    <w:uiPriority w:val="0"/>
    <w:rPr>
      <w:rFonts w:ascii="Times New Roman" w:hAnsi="Times New Roman"/>
      <w:kern w:val="2"/>
      <w:sz w:val="21"/>
      <w:szCs w:val="24"/>
    </w:rPr>
  </w:style>
  <w:style w:type="character" w:customStyle="1" w:styleId="162">
    <w:name w:val="xyb自建表格名称 Char Char Char"/>
    <w:link w:val="163"/>
    <w:qFormat/>
    <w:uiPriority w:val="0"/>
    <w:rPr>
      <w:rFonts w:ascii="宋体" w:hAnsi="宋体"/>
      <w:kern w:val="2"/>
      <w:sz w:val="24"/>
      <w:szCs w:val="24"/>
    </w:rPr>
  </w:style>
  <w:style w:type="paragraph" w:customStyle="1" w:styleId="163">
    <w:name w:val="xyb自建表格名称 Char Char"/>
    <w:basedOn w:val="1"/>
    <w:link w:val="162"/>
    <w:qFormat/>
    <w:uiPriority w:val="0"/>
    <w:pPr>
      <w:ind w:firstLine="0" w:firstLineChars="0"/>
      <w:jc w:val="center"/>
    </w:pPr>
    <w:rPr>
      <w:rFonts w:ascii="宋体" w:hAnsi="宋体"/>
      <w:szCs w:val="24"/>
    </w:rPr>
  </w:style>
  <w:style w:type="character" w:customStyle="1" w:styleId="164">
    <w:name w:val="页脚 Char"/>
    <w:link w:val="38"/>
    <w:qFormat/>
    <w:uiPriority w:val="99"/>
    <w:rPr>
      <w:sz w:val="18"/>
      <w:szCs w:val="18"/>
    </w:rPr>
  </w:style>
  <w:style w:type="paragraph" w:customStyle="1" w:styleId="165">
    <w:name w:val="font13"/>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color w:val="FF6600"/>
      <w:kern w:val="0"/>
      <w:szCs w:val="24"/>
    </w:rPr>
  </w:style>
  <w:style w:type="paragraph" w:customStyle="1" w:styleId="166">
    <w:name w:val="xl66"/>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textAlignment w:val="top"/>
    </w:pPr>
    <w:rPr>
      <w:rFonts w:ascii="Arial Unicode MS" w:hAnsi="Arial Unicode MS" w:eastAsia="Arial Unicode MS" w:cs="Arial Unicode MS"/>
      <w:kern w:val="0"/>
      <w:sz w:val="18"/>
      <w:szCs w:val="18"/>
    </w:rPr>
  </w:style>
  <w:style w:type="paragraph" w:customStyle="1" w:styleId="167">
    <w:name w:val="XCHG论文节"/>
    <w:basedOn w:val="1"/>
    <w:qFormat/>
    <w:uiPriority w:val="0"/>
    <w:pPr>
      <w:tabs>
        <w:tab w:val="left" w:pos="750"/>
      </w:tabs>
      <w:spacing w:beforeLines="100" w:afterLines="100" w:line="240" w:lineRule="auto"/>
      <w:ind w:firstLine="0" w:firstLineChars="0"/>
    </w:pPr>
    <w:rPr>
      <w:rFonts w:ascii="方正姚体" w:eastAsia="方正姚体"/>
      <w:b/>
      <w:bCs/>
      <w:sz w:val="36"/>
      <w:szCs w:val="24"/>
    </w:rPr>
  </w:style>
  <w:style w:type="paragraph" w:customStyle="1" w:styleId="168">
    <w:name w:val="xl62"/>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69">
    <w:name w:val="样式16"/>
    <w:basedOn w:val="1"/>
    <w:qFormat/>
    <w:uiPriority w:val="0"/>
    <w:pPr>
      <w:spacing w:line="240" w:lineRule="auto"/>
      <w:ind w:firstLine="0" w:firstLineChars="0"/>
      <w:jc w:val="center"/>
    </w:pPr>
    <w:rPr>
      <w:rFonts w:eastAsia="黑体"/>
      <w:szCs w:val="24"/>
    </w:rPr>
  </w:style>
  <w:style w:type="paragraph" w:customStyle="1" w:styleId="17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71">
    <w:name w:val="表样"/>
    <w:basedOn w:val="1"/>
    <w:qFormat/>
    <w:uiPriority w:val="0"/>
    <w:pPr>
      <w:adjustRightInd w:val="0"/>
      <w:snapToGrid w:val="0"/>
      <w:ind w:firstLine="0" w:firstLineChars="0"/>
      <w:jc w:val="center"/>
      <w:textAlignment w:val="baseline"/>
    </w:pPr>
    <w:rPr>
      <w:kern w:val="0"/>
      <w:sz w:val="21"/>
      <w:szCs w:val="21"/>
    </w:rPr>
  </w:style>
  <w:style w:type="paragraph" w:customStyle="1" w:styleId="172">
    <w:name w:val="xl80"/>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20"/>
      <w:szCs w:val="20"/>
    </w:rPr>
  </w:style>
  <w:style w:type="paragraph" w:customStyle="1" w:styleId="173">
    <w:name w:val="xl41"/>
    <w:basedOn w:val="1"/>
    <w:qFormat/>
    <w:uiPriority w:val="0"/>
    <w:pPr>
      <w:widowControl/>
      <w:pBdr>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174">
    <w:name w:val="xl49"/>
    <w:basedOn w:val="1"/>
    <w:qFormat/>
    <w:uiPriority w:val="0"/>
    <w:pPr>
      <w:widowControl/>
      <w:pBdr>
        <w:bottom w:val="single" w:color="auto" w:sz="4" w:space="0"/>
      </w:pBdr>
      <w:spacing w:before="100" w:beforeAutospacing="1" w:after="100" w:afterAutospacing="1" w:line="240" w:lineRule="auto"/>
      <w:ind w:firstLine="0" w:firstLineChars="0"/>
      <w:jc w:val="center"/>
    </w:pPr>
    <w:rPr>
      <w:rFonts w:hint="eastAsia" w:ascii="新宋体" w:hAnsi="新宋体" w:eastAsia="新宋体" w:cs="Arial Unicode MS"/>
      <w:kern w:val="0"/>
      <w:sz w:val="15"/>
      <w:szCs w:val="15"/>
    </w:rPr>
  </w:style>
  <w:style w:type="paragraph" w:customStyle="1" w:styleId="175">
    <w:name w:val="xl47"/>
    <w:basedOn w:val="1"/>
    <w:qFormat/>
    <w:uiPriority w:val="0"/>
    <w:pPr>
      <w:widowControl/>
      <w:pBdr>
        <w:lef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76">
    <w:name w:val="xl28"/>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 w:val="18"/>
      <w:szCs w:val="18"/>
    </w:rPr>
  </w:style>
  <w:style w:type="paragraph" w:customStyle="1" w:styleId="177">
    <w:name w:val="表格 + 两端对齐1"/>
    <w:basedOn w:val="155"/>
    <w:qFormat/>
    <w:uiPriority w:val="0"/>
    <w:pPr>
      <w:tabs>
        <w:tab w:val="left" w:pos="1746"/>
      </w:tabs>
      <w:adjustRightInd/>
      <w:snapToGrid/>
      <w:spacing w:line="240" w:lineRule="auto"/>
      <w:jc w:val="both"/>
    </w:pPr>
    <w:rPr>
      <w:rFonts w:hAnsi="宋体" w:cs="宋体"/>
      <w:color w:val="auto"/>
      <w:kern w:val="2"/>
      <w:sz w:val="24"/>
      <w:szCs w:val="20"/>
    </w:rPr>
  </w:style>
  <w:style w:type="paragraph" w:customStyle="1" w:styleId="178">
    <w:name w:val="font8"/>
    <w:basedOn w:val="1"/>
    <w:qFormat/>
    <w:uiPriority w:val="0"/>
    <w:pPr>
      <w:widowControl/>
      <w:spacing w:before="100" w:beforeAutospacing="1" w:after="100" w:afterAutospacing="1" w:line="240" w:lineRule="auto"/>
      <w:ind w:firstLine="0" w:firstLineChars="0"/>
      <w:jc w:val="left"/>
    </w:pPr>
    <w:rPr>
      <w:rFonts w:hint="eastAsia" w:ascii="新宋体" w:hAnsi="新宋体" w:eastAsia="新宋体" w:cs="Arial Unicode MS"/>
      <w:kern w:val="0"/>
      <w:sz w:val="15"/>
      <w:szCs w:val="15"/>
    </w:rPr>
  </w:style>
  <w:style w:type="paragraph" w:customStyle="1" w:styleId="179">
    <w:name w:val="小表文居中"/>
    <w:basedOn w:val="1"/>
    <w:qFormat/>
    <w:uiPriority w:val="0"/>
    <w:pPr>
      <w:autoSpaceDE w:val="0"/>
      <w:autoSpaceDN w:val="0"/>
      <w:adjustRightInd w:val="0"/>
      <w:spacing w:before="20" w:line="500" w:lineRule="exact"/>
      <w:jc w:val="center"/>
      <w:textAlignment w:val="baseline"/>
    </w:pPr>
    <w:rPr>
      <w:rFonts w:ascii="Times" w:hAnsi="Times"/>
      <w:kern w:val="0"/>
      <w:sz w:val="18"/>
      <w:szCs w:val="20"/>
    </w:rPr>
  </w:style>
  <w:style w:type="paragraph" w:customStyle="1" w:styleId="180">
    <w:name w:val="表名"/>
    <w:basedOn w:val="1"/>
    <w:link w:val="475"/>
    <w:qFormat/>
    <w:uiPriority w:val="0"/>
    <w:pPr>
      <w:overflowPunct w:val="0"/>
      <w:topLinePunct/>
      <w:ind w:firstLine="482" w:firstLineChars="0"/>
      <w:jc w:val="center"/>
      <w:outlineLvl w:val="4"/>
    </w:pPr>
    <w:rPr>
      <w:rFonts w:ascii="华文楷体" w:hAnsi="华文楷体" w:eastAsia="华文楷体"/>
      <w:b/>
      <w:bCs/>
      <w:szCs w:val="24"/>
    </w:rPr>
  </w:style>
  <w:style w:type="paragraph" w:customStyle="1" w:styleId="181">
    <w:name w:val="xl58"/>
    <w:basedOn w:val="1"/>
    <w:qFormat/>
    <w:uiPriority w:val="0"/>
    <w:pPr>
      <w:widowControl/>
      <w:pBdr>
        <w:top w:val="single" w:color="auto" w:sz="8" w:space="0"/>
        <w:bottom w:val="single" w:color="auto" w:sz="4" w:space="0"/>
      </w:pBdr>
      <w:spacing w:before="100" w:beforeAutospacing="1" w:after="100" w:afterAutospacing="1" w:line="240" w:lineRule="auto"/>
      <w:ind w:firstLine="0" w:firstLineChars="0"/>
      <w:jc w:val="center"/>
    </w:pPr>
    <w:rPr>
      <w:rFonts w:hint="eastAsia" w:ascii="新宋体" w:hAnsi="新宋体" w:eastAsia="新宋体" w:cs="Arial Unicode MS"/>
      <w:kern w:val="0"/>
      <w:sz w:val="18"/>
      <w:szCs w:val="18"/>
    </w:rPr>
  </w:style>
  <w:style w:type="paragraph" w:customStyle="1" w:styleId="182">
    <w:name w:val="报告正文"/>
    <w:basedOn w:val="60"/>
    <w:link w:val="466"/>
    <w:qFormat/>
    <w:uiPriority w:val="0"/>
    <w:pPr>
      <w:spacing w:before="240" w:line="360" w:lineRule="auto"/>
      <w:ind w:left="902" w:leftChars="0" w:firstLine="200" w:firstLineChars="0"/>
    </w:pPr>
    <w:rPr>
      <w:rFonts w:eastAsia="华文中宋"/>
      <w:sz w:val="24"/>
    </w:rPr>
  </w:style>
  <w:style w:type="paragraph" w:customStyle="1" w:styleId="183">
    <w:name w:val="样式 小四 段前: 7.8 磅 段后: 7.8 磅 行距: 1.5 倍行距"/>
    <w:basedOn w:val="1"/>
    <w:qFormat/>
    <w:uiPriority w:val="0"/>
    <w:pPr>
      <w:ind w:firstLine="480"/>
    </w:pPr>
    <w:rPr>
      <w:color w:val="FF0000"/>
    </w:rPr>
  </w:style>
  <w:style w:type="paragraph" w:customStyle="1" w:styleId="184">
    <w:name w:val="样式5 Char"/>
    <w:basedOn w:val="1"/>
    <w:qFormat/>
    <w:uiPriority w:val="0"/>
    <w:pPr>
      <w:spacing w:line="460" w:lineRule="exact"/>
      <w:ind w:firstLine="480"/>
    </w:pPr>
    <w:rPr>
      <w:szCs w:val="24"/>
    </w:rPr>
  </w:style>
  <w:style w:type="paragraph" w:customStyle="1" w:styleId="185">
    <w:name w:val="标题1"/>
    <w:basedOn w:val="40"/>
    <w:qFormat/>
    <w:uiPriority w:val="0"/>
    <w:pPr>
      <w:tabs>
        <w:tab w:val="right" w:leader="dot" w:pos="9016"/>
      </w:tabs>
      <w:overflowPunct w:val="0"/>
      <w:topLinePunct/>
      <w:spacing w:line="324" w:lineRule="auto"/>
      <w:ind w:firstLine="0" w:firstLineChars="0"/>
      <w:jc w:val="center"/>
      <w:outlineLvl w:val="0"/>
    </w:pPr>
    <w:rPr>
      <w:rFonts w:ascii="Times New Roman" w:hAnsi="Times New Roman" w:eastAsia="黑体"/>
      <w:b w:val="0"/>
      <w:caps w:val="0"/>
      <w:sz w:val="32"/>
      <w:szCs w:val="32"/>
    </w:rPr>
  </w:style>
  <w:style w:type="paragraph" w:customStyle="1" w:styleId="186">
    <w:name w:val="xl45"/>
    <w:basedOn w:val="1"/>
    <w:qFormat/>
    <w:uiPriority w:val="0"/>
    <w:pPr>
      <w:widowControl/>
      <w:pBdr>
        <w:left w:val="single" w:color="auto" w:sz="8" w:space="0"/>
        <w:bottom w:val="single" w:color="auto" w:sz="8"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87">
    <w:name w:val="样式 小四 加粗 黑色 行距: 1.5 倍行距"/>
    <w:basedOn w:val="4"/>
    <w:qFormat/>
    <w:uiPriority w:val="0"/>
    <w:pPr>
      <w:spacing w:before="260" w:after="260"/>
    </w:pPr>
    <w:rPr>
      <w:rFonts w:eastAsia="宋体" w:cs="宋体"/>
      <w:bCs w:val="0"/>
      <w:color w:val="000000"/>
      <w:kern w:val="0"/>
      <w:szCs w:val="20"/>
    </w:rPr>
  </w:style>
  <w:style w:type="paragraph" w:customStyle="1" w:styleId="188">
    <w:name w:val="xl59"/>
    <w:basedOn w:val="1"/>
    <w:qFormat/>
    <w:uiPriority w:val="0"/>
    <w:pPr>
      <w:widowControl/>
      <w:pBdr>
        <w:bottom w:val="single" w:color="auto" w:sz="8" w:space="0"/>
      </w:pBdr>
      <w:spacing w:before="100" w:beforeAutospacing="1" w:after="100" w:afterAutospacing="1" w:line="240" w:lineRule="auto"/>
      <w:ind w:firstLine="0" w:firstLineChars="0"/>
      <w:jc w:val="center"/>
    </w:pPr>
    <w:rPr>
      <w:rFonts w:eastAsia="Arial Unicode MS"/>
      <w:kern w:val="0"/>
      <w:sz w:val="21"/>
      <w:szCs w:val="21"/>
    </w:rPr>
  </w:style>
  <w:style w:type="paragraph" w:customStyle="1" w:styleId="189">
    <w:name w:val="样式5"/>
    <w:basedOn w:val="1"/>
    <w:link w:val="331"/>
    <w:qFormat/>
    <w:uiPriority w:val="0"/>
    <w:pPr>
      <w:spacing w:line="460" w:lineRule="exact"/>
      <w:ind w:firstLine="480"/>
    </w:pPr>
    <w:rPr>
      <w:szCs w:val="24"/>
    </w:rPr>
  </w:style>
  <w:style w:type="paragraph" w:customStyle="1" w:styleId="190">
    <w:name w:val="xl60"/>
    <w:basedOn w:val="1"/>
    <w:qFormat/>
    <w:uiPriority w:val="0"/>
    <w:pPr>
      <w:widowControl/>
      <w:pBdr>
        <w:top w:val="single" w:color="auto" w:sz="8" w:space="0"/>
        <w:bottom w:val="single" w:color="auto" w:sz="4" w:space="0"/>
      </w:pBdr>
      <w:spacing w:before="100" w:beforeAutospacing="1" w:after="100" w:afterAutospacing="1" w:line="240" w:lineRule="auto"/>
      <w:ind w:firstLine="0" w:firstLineChars="0"/>
      <w:jc w:val="center"/>
    </w:pPr>
    <w:rPr>
      <w:rFonts w:eastAsia="Arial Unicode MS"/>
      <w:kern w:val="0"/>
      <w:sz w:val="21"/>
      <w:szCs w:val="21"/>
    </w:rPr>
  </w:style>
  <w:style w:type="paragraph" w:customStyle="1" w:styleId="191">
    <w:name w:val="xl69"/>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92">
    <w:name w:val="xl3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193">
    <w:name w:val="xl2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94">
    <w:name w:val="xl50"/>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195">
    <w:name w:val="xl57"/>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196">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197">
    <w:name w:val="样式 首行缩进:  2 字符"/>
    <w:basedOn w:val="1"/>
    <w:qFormat/>
    <w:uiPriority w:val="0"/>
    <w:rPr>
      <w:rFonts w:cs="宋体"/>
      <w:szCs w:val="20"/>
    </w:rPr>
  </w:style>
  <w:style w:type="paragraph" w:customStyle="1" w:styleId="198">
    <w:name w:val="正文修改"/>
    <w:qFormat/>
    <w:uiPriority w:val="0"/>
    <w:pPr>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99">
    <w:name w:val="pic-info"/>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00">
    <w:name w:val="Char Char Char Char Char Char Char"/>
    <w:basedOn w:val="1"/>
    <w:qFormat/>
    <w:uiPriority w:val="0"/>
    <w:pPr>
      <w:spacing w:line="240" w:lineRule="auto"/>
      <w:ind w:firstLine="0" w:firstLineChars="0"/>
    </w:pPr>
    <w:rPr>
      <w:sz w:val="21"/>
      <w:szCs w:val="21"/>
    </w:rPr>
  </w:style>
  <w:style w:type="paragraph" w:customStyle="1" w:styleId="201">
    <w:name w:val="xl83"/>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Arial Unicode MS" w:hAnsi="Arial Unicode MS" w:eastAsia="Arial Unicode MS" w:cs="Arial Unicode MS"/>
      <w:kern w:val="0"/>
      <w:sz w:val="20"/>
      <w:szCs w:val="20"/>
    </w:rPr>
  </w:style>
  <w:style w:type="paragraph" w:customStyle="1" w:styleId="202">
    <w:name w:val="标题4"/>
    <w:basedOn w:val="28"/>
    <w:qFormat/>
    <w:uiPriority w:val="0"/>
    <w:pPr>
      <w:overflowPunct w:val="0"/>
      <w:topLinePunct/>
      <w:spacing w:line="324" w:lineRule="auto"/>
      <w:ind w:left="0" w:leftChars="0"/>
      <w:outlineLvl w:val="3"/>
    </w:pPr>
    <w:rPr>
      <w:b/>
      <w:bCs/>
      <w:sz w:val="24"/>
    </w:rPr>
  </w:style>
  <w:style w:type="paragraph" w:customStyle="1" w:styleId="203">
    <w:name w:val="font5"/>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kern w:val="0"/>
      <w:sz w:val="18"/>
      <w:szCs w:val="18"/>
    </w:rPr>
  </w:style>
  <w:style w:type="paragraph" w:customStyle="1" w:styleId="204">
    <w:name w:val="正文缩进（自定义） Char Char"/>
    <w:basedOn w:val="1"/>
    <w:qFormat/>
    <w:uiPriority w:val="0"/>
    <w:pPr>
      <w:spacing w:before="120" w:after="120"/>
      <w:ind w:firstLine="480"/>
    </w:pPr>
    <w:rPr>
      <w:rFonts w:ascii="Century Gothic" w:hAnsi="Century Gothic" w:cs="宋体"/>
      <w:kern w:val="0"/>
      <w:szCs w:val="24"/>
    </w:rPr>
  </w:style>
  <w:style w:type="paragraph" w:customStyle="1" w:styleId="205">
    <w:name w:val="xl31"/>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06">
    <w:name w:val="修订2"/>
    <w:semiHidden/>
    <w:qFormat/>
    <w:uiPriority w:val="0"/>
    <w:rPr>
      <w:rFonts w:ascii="Times New Roman" w:hAnsi="Times New Roman" w:eastAsia="宋体" w:cs="Times New Roman"/>
      <w:kern w:val="2"/>
      <w:sz w:val="24"/>
      <w:szCs w:val="22"/>
      <w:lang w:val="en-US" w:eastAsia="zh-CN" w:bidi="ar-SA"/>
    </w:rPr>
  </w:style>
  <w:style w:type="paragraph" w:customStyle="1" w:styleId="207">
    <w:name w:val="Char Char Char2"/>
    <w:basedOn w:val="1"/>
    <w:qFormat/>
    <w:uiPriority w:val="0"/>
    <w:pPr>
      <w:spacing w:line="240" w:lineRule="auto"/>
      <w:ind w:firstLine="0" w:firstLineChars="0"/>
    </w:pPr>
    <w:rPr>
      <w:rFonts w:ascii="宋体" w:cs="宋体"/>
      <w:sz w:val="21"/>
      <w:szCs w:val="21"/>
    </w:rPr>
  </w:style>
  <w:style w:type="paragraph" w:customStyle="1" w:styleId="208">
    <w:name w:val="样式13"/>
    <w:basedOn w:val="1"/>
    <w:qFormat/>
    <w:uiPriority w:val="0"/>
    <w:pPr>
      <w:spacing w:line="240" w:lineRule="auto"/>
      <w:ind w:firstLine="475"/>
    </w:pPr>
    <w:rPr>
      <w:rFonts w:eastAsia="华文中宋"/>
      <w:color w:val="000000"/>
      <w:szCs w:val="24"/>
    </w:rPr>
  </w:style>
  <w:style w:type="paragraph" w:customStyle="1" w:styleId="209">
    <w:name w:val="Char Char Char Char1"/>
    <w:basedOn w:val="1"/>
    <w:link w:val="492"/>
    <w:qFormat/>
    <w:uiPriority w:val="0"/>
    <w:pPr>
      <w:spacing w:line="240" w:lineRule="auto"/>
      <w:ind w:firstLine="0" w:firstLineChars="0"/>
    </w:pPr>
    <w:rPr>
      <w:rFonts w:ascii="宋体" w:cs="宋体"/>
      <w:sz w:val="21"/>
      <w:szCs w:val="21"/>
    </w:rPr>
  </w:style>
  <w:style w:type="paragraph" w:customStyle="1" w:styleId="210">
    <w:name w:val="标题5"/>
    <w:basedOn w:val="1"/>
    <w:qFormat/>
    <w:uiPriority w:val="0"/>
    <w:pPr>
      <w:spacing w:line="324" w:lineRule="auto"/>
      <w:ind w:firstLine="480"/>
      <w:outlineLvl w:val="4"/>
    </w:pPr>
    <w:rPr>
      <w:rFonts w:ascii="宋体" w:hAnsi="宋体"/>
      <w:szCs w:val="24"/>
    </w:rPr>
  </w:style>
  <w:style w:type="paragraph" w:customStyle="1" w:styleId="211">
    <w:name w:val="xl34"/>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12">
    <w:name w:val="xl2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宋体" w:hAnsi="宋体"/>
      <w:kern w:val="0"/>
      <w:szCs w:val="24"/>
    </w:rPr>
  </w:style>
  <w:style w:type="paragraph" w:customStyle="1" w:styleId="213">
    <w:name w:val="font9"/>
    <w:basedOn w:val="1"/>
    <w:qFormat/>
    <w:uiPriority w:val="0"/>
    <w:pPr>
      <w:widowControl/>
      <w:spacing w:before="100" w:beforeAutospacing="1" w:after="100" w:afterAutospacing="1" w:line="240" w:lineRule="auto"/>
      <w:ind w:firstLine="0" w:firstLineChars="0"/>
      <w:jc w:val="left"/>
    </w:pPr>
    <w:rPr>
      <w:rFonts w:eastAsia="Arial Unicode MS"/>
      <w:kern w:val="0"/>
      <w:sz w:val="15"/>
      <w:szCs w:val="15"/>
    </w:rPr>
  </w:style>
  <w:style w:type="paragraph" w:customStyle="1" w:styleId="214">
    <w:name w:val="3"/>
    <w:basedOn w:val="1"/>
    <w:next w:val="35"/>
    <w:qFormat/>
    <w:uiPriority w:val="0"/>
    <w:pPr>
      <w:spacing w:line="100" w:lineRule="atLeast"/>
      <w:ind w:firstLine="560"/>
    </w:pPr>
    <w:rPr>
      <w:sz w:val="28"/>
      <w:szCs w:val="24"/>
    </w:rPr>
  </w:style>
  <w:style w:type="paragraph" w:customStyle="1" w:styleId="215">
    <w:name w:val="5"/>
    <w:basedOn w:val="1"/>
    <w:qFormat/>
    <w:uiPriority w:val="0"/>
    <w:pPr>
      <w:spacing w:line="460" w:lineRule="exact"/>
      <w:ind w:firstLine="480"/>
    </w:pPr>
    <w:rPr>
      <w:szCs w:val="24"/>
    </w:rPr>
  </w:style>
  <w:style w:type="paragraph" w:customStyle="1" w:styleId="216">
    <w:name w:val="标题11"/>
    <w:basedOn w:val="1"/>
    <w:qFormat/>
    <w:uiPriority w:val="0"/>
    <w:pPr>
      <w:tabs>
        <w:tab w:val="left" w:pos="1301"/>
      </w:tabs>
      <w:adjustRightInd w:val="0"/>
      <w:snapToGrid w:val="0"/>
      <w:ind w:left="1301" w:hanging="420" w:firstLineChars="0"/>
    </w:pPr>
    <w:rPr>
      <w:sz w:val="28"/>
      <w:szCs w:val="20"/>
    </w:rPr>
  </w:style>
  <w:style w:type="paragraph" w:customStyle="1" w:styleId="217">
    <w:name w:val="xl24"/>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kern w:val="0"/>
      <w:sz w:val="21"/>
      <w:szCs w:val="21"/>
    </w:rPr>
  </w:style>
  <w:style w:type="paragraph" w:customStyle="1" w:styleId="218">
    <w:name w:val="xl32"/>
    <w:basedOn w:val="1"/>
    <w:qFormat/>
    <w:uiPriority w:val="0"/>
    <w:pPr>
      <w:widowControl/>
      <w:pBdr>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19">
    <w:name w:val="表体"/>
    <w:basedOn w:val="1"/>
    <w:qFormat/>
    <w:uiPriority w:val="0"/>
    <w:pPr>
      <w:spacing w:line="240" w:lineRule="auto"/>
      <w:ind w:firstLine="0" w:firstLineChars="0"/>
      <w:jc w:val="center"/>
    </w:pPr>
    <w:rPr>
      <w:color w:val="000000"/>
      <w:sz w:val="21"/>
      <w:szCs w:val="21"/>
    </w:rPr>
  </w:style>
  <w:style w:type="paragraph" w:customStyle="1" w:styleId="220">
    <w:name w:val="xl48"/>
    <w:basedOn w:val="1"/>
    <w:qFormat/>
    <w:uiPriority w:val="0"/>
    <w:pPr>
      <w:widowControl/>
      <w:spacing w:before="100" w:beforeAutospacing="1" w:after="100" w:afterAutospacing="1" w:line="240" w:lineRule="auto"/>
      <w:ind w:firstLine="0" w:firstLineChars="0"/>
      <w:jc w:val="center"/>
    </w:pPr>
    <w:rPr>
      <w:rFonts w:eastAsia="Arial Unicode MS"/>
      <w:kern w:val="0"/>
      <w:sz w:val="15"/>
      <w:szCs w:val="15"/>
    </w:rPr>
  </w:style>
  <w:style w:type="paragraph" w:customStyle="1" w:styleId="221">
    <w:name w:val="默认段落字体 Para Char Char Char Char"/>
    <w:basedOn w:val="1"/>
    <w:qFormat/>
    <w:uiPriority w:val="0"/>
    <w:pPr>
      <w:spacing w:line="240" w:lineRule="auto"/>
      <w:ind w:firstLine="0" w:firstLineChars="0"/>
    </w:pPr>
    <w:rPr>
      <w:szCs w:val="24"/>
    </w:rPr>
  </w:style>
  <w:style w:type="paragraph" w:customStyle="1" w:styleId="222">
    <w:name w:val="样式14"/>
    <w:basedOn w:val="1"/>
    <w:qFormat/>
    <w:uiPriority w:val="0"/>
    <w:pPr>
      <w:spacing w:line="240" w:lineRule="auto"/>
      <w:ind w:firstLine="0" w:firstLineChars="0"/>
      <w:jc w:val="center"/>
    </w:pPr>
    <w:rPr>
      <w:rFonts w:eastAsia="黑体"/>
      <w:kern w:val="0"/>
      <w:szCs w:val="24"/>
    </w:rPr>
  </w:style>
  <w:style w:type="paragraph" w:customStyle="1" w:styleId="223">
    <w:name w:val="xl3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24">
    <w:name w:val="Char Char Char Char Char Char Char3"/>
    <w:basedOn w:val="1"/>
    <w:qFormat/>
    <w:uiPriority w:val="0"/>
    <w:pPr>
      <w:widowControl/>
      <w:spacing w:after="160" w:line="240" w:lineRule="exact"/>
      <w:ind w:firstLine="0" w:firstLineChars="0"/>
      <w:jc w:val="left"/>
    </w:pPr>
    <w:rPr>
      <w:rFonts w:ascii="Arial" w:hAnsi="Arial" w:eastAsia="Times New Roman" w:cs="Verdana"/>
      <w:b/>
      <w:kern w:val="0"/>
      <w:szCs w:val="24"/>
      <w:lang w:eastAsia="en-US"/>
    </w:rPr>
  </w:style>
  <w:style w:type="paragraph" w:customStyle="1" w:styleId="225">
    <w:name w:val="xl37"/>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26">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21"/>
      <w:szCs w:val="21"/>
    </w:rPr>
  </w:style>
  <w:style w:type="paragraph" w:customStyle="1" w:styleId="227">
    <w:name w:val="样式18"/>
    <w:basedOn w:val="1"/>
    <w:qFormat/>
    <w:uiPriority w:val="0"/>
    <w:pPr>
      <w:tabs>
        <w:tab w:val="left" w:pos="480"/>
      </w:tabs>
      <w:spacing w:line="300" w:lineRule="exact"/>
      <w:ind w:left="-120" w:leftChars="-50" w:right="-120" w:rightChars="-50" w:firstLine="0" w:firstLineChars="0"/>
      <w:jc w:val="center"/>
    </w:pPr>
    <w:rPr>
      <w:rFonts w:eastAsia="华文中宋"/>
      <w:color w:val="000000"/>
      <w:sz w:val="21"/>
      <w:szCs w:val="24"/>
    </w:rPr>
  </w:style>
  <w:style w:type="paragraph" w:customStyle="1" w:styleId="228">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Arial Unicode MS" w:hAnsi="Arial Unicode MS" w:eastAsia="Arial Unicode MS"/>
      <w:color w:val="FF00FF"/>
      <w:kern w:val="0"/>
      <w:sz w:val="20"/>
      <w:szCs w:val="20"/>
    </w:rPr>
  </w:style>
  <w:style w:type="paragraph" w:customStyle="1" w:styleId="229">
    <w:name w:val="表中"/>
    <w:qFormat/>
    <w:uiPriority w:val="0"/>
    <w:pPr>
      <w:spacing w:line="240" w:lineRule="atLeast"/>
      <w:jc w:val="center"/>
    </w:pPr>
    <w:rPr>
      <w:rFonts w:ascii="Times New Roman" w:hAnsi="Times New Roman" w:eastAsia="宋体" w:cs="Times New Roman"/>
      <w:sz w:val="24"/>
      <w:lang w:val="en-US" w:eastAsia="zh-CN" w:bidi="ar-SA"/>
    </w:rPr>
  </w:style>
  <w:style w:type="paragraph" w:customStyle="1" w:styleId="230">
    <w:name w:val="样式9"/>
    <w:basedOn w:val="184"/>
    <w:link w:val="988"/>
    <w:qFormat/>
    <w:uiPriority w:val="0"/>
  </w:style>
  <w:style w:type="paragraph" w:customStyle="1" w:styleId="231">
    <w:name w:val="xl33"/>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32">
    <w:name w:val="表文"/>
    <w:basedOn w:val="1"/>
    <w:next w:val="1"/>
    <w:qFormat/>
    <w:uiPriority w:val="0"/>
    <w:pPr>
      <w:overflowPunct w:val="0"/>
      <w:topLinePunct/>
      <w:spacing w:line="320" w:lineRule="exact"/>
      <w:ind w:firstLine="0" w:firstLineChars="0"/>
      <w:jc w:val="center"/>
      <w:outlineLvl w:val="6"/>
    </w:pPr>
    <w:rPr>
      <w:sz w:val="18"/>
      <w:szCs w:val="18"/>
    </w:rPr>
  </w:style>
  <w:style w:type="paragraph" w:customStyle="1" w:styleId="233">
    <w:name w:val="xl27"/>
    <w:basedOn w:val="1"/>
    <w:qFormat/>
    <w:uiPriority w:val="0"/>
    <w:pPr>
      <w:widowControl/>
      <w:pBdr>
        <w:left w:val="single" w:color="auto" w:sz="8" w:space="0"/>
        <w:right w:val="single" w:color="auto" w:sz="4" w:space="0"/>
      </w:pBdr>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34">
    <w:name w:val="xyb自建四级标题"/>
    <w:basedOn w:val="1"/>
    <w:qFormat/>
    <w:uiPriority w:val="0"/>
    <w:pPr>
      <w:tabs>
        <w:tab w:val="left" w:pos="8280"/>
      </w:tabs>
      <w:spacing w:before="100" w:after="100" w:line="415" w:lineRule="auto"/>
      <w:ind w:firstLine="0" w:firstLineChars="0"/>
      <w:outlineLvl w:val="3"/>
    </w:pPr>
    <w:rPr>
      <w:rFonts w:ascii="楷体_GB2312" w:hAnsi="宋体" w:eastAsia="楷体_GB2312"/>
      <w:b/>
      <w:bCs/>
      <w:szCs w:val="24"/>
    </w:rPr>
  </w:style>
  <w:style w:type="paragraph" w:customStyle="1" w:styleId="235">
    <w:name w:val="样式2"/>
    <w:basedOn w:val="34"/>
    <w:link w:val="967"/>
    <w:qFormat/>
    <w:uiPriority w:val="0"/>
    <w:pPr>
      <w:spacing w:beforeLines="50" w:afterLines="50" w:line="240" w:lineRule="auto"/>
      <w:ind w:left="0" w:leftChars="0" w:firstLine="0" w:firstLineChars="0"/>
    </w:pPr>
    <w:rPr>
      <w:rFonts w:eastAsia="华文中宋"/>
      <w:b/>
      <w:bCs/>
      <w:sz w:val="28"/>
      <w:szCs w:val="28"/>
    </w:rPr>
  </w:style>
  <w:style w:type="paragraph" w:customStyle="1" w:styleId="236">
    <w:name w:val="默认段落字体 Para Char"/>
    <w:basedOn w:val="1"/>
    <w:link w:val="493"/>
    <w:qFormat/>
    <w:uiPriority w:val="0"/>
    <w:pPr>
      <w:spacing w:line="240" w:lineRule="auto"/>
      <w:ind w:firstLine="0" w:firstLineChars="0"/>
    </w:pPr>
    <w:rPr>
      <w:sz w:val="21"/>
      <w:szCs w:val="20"/>
    </w:rPr>
  </w:style>
  <w:style w:type="paragraph" w:customStyle="1" w:styleId="237">
    <w:name w:val="xl71"/>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38">
    <w:name w:val="样式4"/>
    <w:basedOn w:val="1"/>
    <w:link w:val="406"/>
    <w:qFormat/>
    <w:uiPriority w:val="0"/>
    <w:pPr>
      <w:spacing w:line="240" w:lineRule="auto"/>
      <w:ind w:firstLine="475"/>
    </w:pPr>
    <w:rPr>
      <w:rFonts w:eastAsia="华文中宋"/>
      <w:szCs w:val="24"/>
    </w:rPr>
  </w:style>
  <w:style w:type="paragraph" w:customStyle="1" w:styleId="239">
    <w:name w:val="xl25"/>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olor w:val="000000"/>
      <w:kern w:val="0"/>
      <w:sz w:val="21"/>
      <w:szCs w:val="21"/>
    </w:rPr>
  </w:style>
  <w:style w:type="paragraph" w:customStyle="1" w:styleId="240">
    <w:name w:val="xl26"/>
    <w:basedOn w:val="1"/>
    <w:qFormat/>
    <w:uiPriority w:val="0"/>
    <w:pPr>
      <w:widowControl/>
      <w:spacing w:before="100" w:beforeAutospacing="1" w:after="100" w:afterAutospacing="1" w:line="240" w:lineRule="auto"/>
      <w:ind w:firstLine="0" w:firstLineChars="0"/>
      <w:jc w:val="left"/>
    </w:pPr>
    <w:rPr>
      <w:rFonts w:eastAsia="Arial Unicode MS"/>
      <w:kern w:val="0"/>
      <w:sz w:val="20"/>
      <w:szCs w:val="20"/>
    </w:rPr>
  </w:style>
  <w:style w:type="paragraph" w:customStyle="1" w:styleId="241">
    <w:name w:val="xl42"/>
    <w:basedOn w:val="1"/>
    <w:qFormat/>
    <w:uiPriority w:val="0"/>
    <w:pPr>
      <w:widowControl/>
      <w:pBdr>
        <w:bottom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color w:val="000000"/>
      <w:kern w:val="0"/>
      <w:szCs w:val="24"/>
    </w:rPr>
  </w:style>
  <w:style w:type="paragraph" w:customStyle="1" w:styleId="242">
    <w:name w:val="图表头2"/>
    <w:basedOn w:val="243"/>
    <w:qFormat/>
    <w:uiPriority w:val="0"/>
    <w:pPr>
      <w:spacing w:beforeLines="50"/>
      <w:ind w:right="42" w:rightChars="20"/>
    </w:pPr>
    <w:rPr>
      <w:rFonts w:ascii="黑体" w:eastAsia="黑体"/>
      <w:spacing w:val="5"/>
      <w:szCs w:val="21"/>
    </w:rPr>
  </w:style>
  <w:style w:type="paragraph" w:customStyle="1" w:styleId="243">
    <w:name w:val="图表头"/>
    <w:basedOn w:val="1"/>
    <w:qFormat/>
    <w:uiPriority w:val="0"/>
    <w:pPr>
      <w:adjustRightInd w:val="0"/>
      <w:spacing w:line="312" w:lineRule="atLeast"/>
      <w:ind w:firstLine="0" w:firstLineChars="0"/>
      <w:textAlignment w:val="baseline"/>
    </w:pPr>
    <w:rPr>
      <w:bCs/>
      <w:spacing w:val="-10"/>
      <w:szCs w:val="24"/>
    </w:rPr>
  </w:style>
  <w:style w:type="paragraph" w:customStyle="1" w:styleId="244">
    <w:name w:val="Char"/>
    <w:basedOn w:val="1"/>
    <w:semiHidden/>
    <w:qFormat/>
    <w:uiPriority w:val="0"/>
    <w:rPr>
      <w:szCs w:val="24"/>
    </w:rPr>
  </w:style>
  <w:style w:type="paragraph" w:customStyle="1" w:styleId="245">
    <w:name w:val="Char Char Char Char"/>
    <w:basedOn w:val="1"/>
    <w:link w:val="484"/>
    <w:qFormat/>
    <w:uiPriority w:val="0"/>
    <w:pPr>
      <w:spacing w:line="240" w:lineRule="auto"/>
      <w:ind w:firstLine="0" w:firstLineChars="0"/>
    </w:pPr>
    <w:rPr>
      <w:rFonts w:ascii="宋体" w:cs="宋体"/>
      <w:sz w:val="21"/>
      <w:szCs w:val="21"/>
    </w:rPr>
  </w:style>
  <w:style w:type="paragraph" w:customStyle="1" w:styleId="246">
    <w:name w:val="样式6"/>
    <w:basedOn w:val="1"/>
    <w:qFormat/>
    <w:uiPriority w:val="0"/>
    <w:pPr>
      <w:spacing w:line="460" w:lineRule="exact"/>
      <w:ind w:firstLine="0" w:firstLineChars="0"/>
      <w:jc w:val="center"/>
    </w:pPr>
    <w:rPr>
      <w:rFonts w:ascii="黑体" w:eastAsia="黑体"/>
      <w:szCs w:val="24"/>
    </w:rPr>
  </w:style>
  <w:style w:type="paragraph" w:customStyle="1" w:styleId="247">
    <w:name w:val="xl43"/>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48">
    <w:name w:val="Char Char Char Char Char Char Char Char Char Char Char Char Char Char Char Char Char Char1 Char Char Char Char"/>
    <w:basedOn w:val="1"/>
    <w:qFormat/>
    <w:uiPriority w:val="0"/>
    <w:pPr>
      <w:spacing w:line="240" w:lineRule="auto"/>
      <w:ind w:firstLine="0" w:firstLineChars="0"/>
    </w:pPr>
    <w:rPr>
      <w:sz w:val="21"/>
      <w:szCs w:val="24"/>
    </w:rPr>
  </w:style>
  <w:style w:type="paragraph" w:customStyle="1" w:styleId="249">
    <w:name w:val="xl38"/>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50">
    <w:name w:val="表5号字"/>
    <w:qFormat/>
    <w:uiPriority w:val="0"/>
    <w:pPr>
      <w:keepNext/>
      <w:widowControl w:val="0"/>
      <w:adjustRightInd w:val="0"/>
      <w:spacing w:before="120" w:line="60" w:lineRule="atLeast"/>
      <w:jc w:val="center"/>
    </w:pPr>
    <w:rPr>
      <w:rFonts w:ascii="Times New Roman" w:hAnsi="Times New Roman" w:eastAsia="宋体" w:cs="Times New Roman"/>
      <w:sz w:val="21"/>
      <w:szCs w:val="21"/>
      <w:lang w:val="en-US" w:eastAsia="zh-CN" w:bidi="ar-SA"/>
    </w:rPr>
  </w:style>
  <w:style w:type="paragraph" w:customStyle="1" w:styleId="251">
    <w:name w:val="xl44"/>
    <w:basedOn w:val="1"/>
    <w:qFormat/>
    <w:uiPriority w:val="0"/>
    <w:pPr>
      <w:widowControl/>
      <w:pBdr>
        <w:top w:val="single" w:color="auto" w:sz="8" w:space="0"/>
        <w:left w:val="single" w:color="auto" w:sz="8"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52">
    <w:name w:val="xl56"/>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253">
    <w:name w:val="表题"/>
    <w:basedOn w:val="1"/>
    <w:qFormat/>
    <w:uiPriority w:val="0"/>
    <w:pPr>
      <w:tabs>
        <w:tab w:val="left" w:pos="720"/>
      </w:tabs>
      <w:adjustRightInd w:val="0"/>
      <w:snapToGrid w:val="0"/>
      <w:spacing w:line="280" w:lineRule="exact"/>
      <w:ind w:left="-105" w:leftChars="-50" w:right="-105" w:rightChars="-50" w:firstLine="0" w:firstLineChars="0"/>
      <w:jc w:val="center"/>
    </w:pPr>
    <w:rPr>
      <w:color w:val="000000"/>
      <w:szCs w:val="24"/>
    </w:rPr>
  </w:style>
  <w:style w:type="paragraph" w:customStyle="1" w:styleId="254">
    <w:name w:val="样式 样式 小四 段前: 7.8 磅 段后: 7.8 磅 行距: 1.5 倍行距 + 首行缩进:  2 字符"/>
    <w:basedOn w:val="183"/>
    <w:link w:val="1105"/>
    <w:qFormat/>
    <w:uiPriority w:val="0"/>
    <w:pPr>
      <w:spacing w:before="156" w:beforeLines="50" w:after="156" w:afterLines="50" w:line="240" w:lineRule="auto"/>
      <w:ind w:firstLine="0" w:firstLineChars="0"/>
      <w:jc w:val="center"/>
    </w:pPr>
    <w:rPr>
      <w:b/>
      <w:color w:val="000000"/>
      <w:szCs w:val="24"/>
    </w:rPr>
  </w:style>
  <w:style w:type="paragraph" w:customStyle="1" w:styleId="255">
    <w:name w:val="表格名称"/>
    <w:basedOn w:val="1"/>
    <w:qFormat/>
    <w:uiPriority w:val="0"/>
    <w:pPr>
      <w:spacing w:line="240" w:lineRule="auto"/>
      <w:ind w:firstLine="0" w:firstLineChars="0"/>
      <w:jc w:val="center"/>
    </w:pPr>
    <w:rPr>
      <w:rFonts w:eastAsia="黑体"/>
      <w:sz w:val="21"/>
      <w:szCs w:val="20"/>
    </w:rPr>
  </w:style>
  <w:style w:type="paragraph" w:customStyle="1" w:styleId="256">
    <w:name w:val="xl35"/>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pPr>
    <w:rPr>
      <w:rFonts w:eastAsia="Arial Unicode MS"/>
      <w:kern w:val="0"/>
      <w:sz w:val="18"/>
      <w:szCs w:val="18"/>
    </w:rPr>
  </w:style>
  <w:style w:type="paragraph" w:customStyle="1" w:styleId="257">
    <w:name w:val="xl64"/>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eastAsia="Arial Unicode MS"/>
      <w:kern w:val="0"/>
      <w:sz w:val="21"/>
      <w:szCs w:val="21"/>
    </w:rPr>
  </w:style>
  <w:style w:type="paragraph" w:customStyle="1" w:styleId="258">
    <w:name w:val="三章正文"/>
    <w:basedOn w:val="23"/>
    <w:qFormat/>
    <w:uiPriority w:val="0"/>
    <w:pPr>
      <w:spacing w:after="0"/>
    </w:pPr>
    <w:rPr>
      <w:szCs w:val="20"/>
    </w:rPr>
  </w:style>
  <w:style w:type="paragraph" w:customStyle="1" w:styleId="259">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60">
    <w:name w:val="标题2"/>
    <w:basedOn w:val="1"/>
    <w:qFormat/>
    <w:uiPriority w:val="0"/>
    <w:pPr>
      <w:tabs>
        <w:tab w:val="left" w:pos="1260"/>
      </w:tabs>
      <w:ind w:firstLine="0" w:firstLineChars="0"/>
      <w:outlineLvl w:val="1"/>
    </w:pPr>
    <w:rPr>
      <w:rFonts w:eastAsia="黑体"/>
      <w:b/>
      <w:bCs/>
      <w:sz w:val="30"/>
      <w:szCs w:val="30"/>
    </w:rPr>
  </w:style>
  <w:style w:type="paragraph" w:customStyle="1" w:styleId="261">
    <w:name w:val="font1"/>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kern w:val="0"/>
      <w:szCs w:val="24"/>
    </w:rPr>
  </w:style>
  <w:style w:type="paragraph" w:customStyle="1" w:styleId="262">
    <w:name w:val="xl36"/>
    <w:basedOn w:val="1"/>
    <w:qFormat/>
    <w:uiPriority w:val="0"/>
    <w:pPr>
      <w:widowControl/>
      <w:pBdr>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63">
    <w:name w:val="xl63"/>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pPr>
    <w:rPr>
      <w:rFonts w:eastAsia="Arial Unicode MS"/>
      <w:kern w:val="0"/>
      <w:sz w:val="18"/>
      <w:szCs w:val="18"/>
    </w:rPr>
  </w:style>
  <w:style w:type="paragraph" w:customStyle="1" w:styleId="264">
    <w:name w:val="表芯"/>
    <w:basedOn w:val="1"/>
    <w:next w:val="1"/>
    <w:qFormat/>
    <w:uiPriority w:val="0"/>
    <w:pPr>
      <w:keepNext/>
      <w:adjustRightInd w:val="0"/>
      <w:spacing w:before="20" w:line="0" w:lineRule="atLeast"/>
      <w:ind w:firstLine="0" w:firstLineChars="0"/>
      <w:jc w:val="center"/>
      <w:textAlignment w:val="baseline"/>
    </w:pPr>
    <w:rPr>
      <w:kern w:val="21"/>
      <w:sz w:val="21"/>
      <w:szCs w:val="20"/>
    </w:rPr>
  </w:style>
  <w:style w:type="paragraph" w:customStyle="1" w:styleId="265">
    <w:name w:val="样式7"/>
    <w:basedOn w:val="1"/>
    <w:link w:val="996"/>
    <w:qFormat/>
    <w:uiPriority w:val="0"/>
    <w:pPr>
      <w:spacing w:line="460" w:lineRule="exact"/>
      <w:ind w:firstLine="0" w:firstLineChars="0"/>
    </w:pPr>
    <w:rPr>
      <w:sz w:val="21"/>
      <w:szCs w:val="21"/>
    </w:rPr>
  </w:style>
  <w:style w:type="paragraph" w:customStyle="1" w:styleId="266">
    <w:name w:val="表格内容"/>
    <w:basedOn w:val="1"/>
    <w:qFormat/>
    <w:uiPriority w:val="0"/>
    <w:pPr>
      <w:adjustRightInd w:val="0"/>
      <w:snapToGrid w:val="0"/>
      <w:spacing w:line="240" w:lineRule="auto"/>
      <w:ind w:firstLine="0" w:firstLineChars="0"/>
      <w:jc w:val="center"/>
    </w:pPr>
    <w:rPr>
      <w:rFonts w:ascii="宋体" w:hAnsi="宋体"/>
      <w:snapToGrid w:val="0"/>
      <w:kern w:val="0"/>
      <w:sz w:val="21"/>
      <w:szCs w:val="24"/>
    </w:rPr>
  </w:style>
  <w:style w:type="paragraph" w:customStyle="1" w:styleId="267">
    <w:name w:val="4"/>
    <w:basedOn w:val="1"/>
    <w:next w:val="35"/>
    <w:qFormat/>
    <w:uiPriority w:val="0"/>
    <w:pPr>
      <w:spacing w:line="100" w:lineRule="atLeast"/>
      <w:ind w:firstLine="560"/>
    </w:pPr>
    <w:rPr>
      <w:sz w:val="28"/>
      <w:szCs w:val="24"/>
    </w:rPr>
  </w:style>
  <w:style w:type="paragraph" w:customStyle="1" w:styleId="268">
    <w:name w:val="样式7 Char"/>
    <w:basedOn w:val="184"/>
    <w:qFormat/>
    <w:uiPriority w:val="0"/>
  </w:style>
  <w:style w:type="paragraph" w:customStyle="1" w:styleId="269">
    <w:name w:val="表格1"/>
    <w:basedOn w:val="1"/>
    <w:qFormat/>
    <w:uiPriority w:val="0"/>
    <w:pPr>
      <w:adjustRightInd w:val="0"/>
      <w:spacing w:line="20" w:lineRule="atLeast"/>
      <w:ind w:firstLine="0" w:firstLineChars="0"/>
      <w:jc w:val="center"/>
      <w:textAlignment w:val="center"/>
    </w:pPr>
    <w:rPr>
      <w:rFonts w:ascii="宋体"/>
      <w:kern w:val="0"/>
      <w:sz w:val="21"/>
      <w:szCs w:val="20"/>
    </w:rPr>
  </w:style>
  <w:style w:type="paragraph" w:customStyle="1" w:styleId="270">
    <w:name w:val="xl67"/>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textAlignment w:val="top"/>
    </w:pPr>
    <w:rPr>
      <w:rFonts w:ascii="Arial Unicode MS" w:hAnsi="Arial Unicode MS" w:eastAsia="Arial Unicode MS" w:cs="Arial Unicode MS"/>
      <w:kern w:val="0"/>
      <w:sz w:val="18"/>
      <w:szCs w:val="18"/>
    </w:rPr>
  </w:style>
  <w:style w:type="paragraph" w:customStyle="1" w:styleId="271">
    <w:name w:val="xl55"/>
    <w:basedOn w:val="1"/>
    <w:qFormat/>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72">
    <w:name w:val="w正文"/>
    <w:basedOn w:val="1"/>
    <w:qFormat/>
    <w:uiPriority w:val="0"/>
    <w:pPr>
      <w:ind w:firstLine="496"/>
    </w:pPr>
    <w:rPr>
      <w:spacing w:val="4"/>
      <w:szCs w:val="20"/>
    </w:rPr>
  </w:style>
  <w:style w:type="paragraph" w:customStyle="1" w:styleId="273">
    <w:name w:val="表号"/>
    <w:basedOn w:val="1"/>
    <w:link w:val="390"/>
    <w:qFormat/>
    <w:uiPriority w:val="0"/>
    <w:pPr>
      <w:overflowPunct w:val="0"/>
      <w:topLinePunct/>
      <w:spacing w:line="240" w:lineRule="auto"/>
      <w:ind w:firstLine="420"/>
      <w:outlineLvl w:val="5"/>
    </w:pPr>
    <w:rPr>
      <w:sz w:val="21"/>
      <w:szCs w:val="24"/>
    </w:rPr>
  </w:style>
  <w:style w:type="paragraph" w:customStyle="1" w:styleId="274">
    <w:name w:val="xl4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rFonts w:eastAsia="Arial Unicode MS"/>
      <w:kern w:val="0"/>
      <w:sz w:val="18"/>
      <w:szCs w:val="18"/>
    </w:rPr>
  </w:style>
  <w:style w:type="paragraph" w:customStyle="1" w:styleId="275">
    <w:name w:val="_Style 72"/>
    <w:next w:val="1"/>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6">
    <w:name w:val="xl68"/>
    <w:basedOn w:val="1"/>
    <w:qFormat/>
    <w:uiPriority w:val="0"/>
    <w:pPr>
      <w:widowControl/>
      <w:pBdr>
        <w:top w:val="single" w:color="auto" w:sz="8"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cs="Arial Unicode MS"/>
      <w:kern w:val="0"/>
      <w:sz w:val="18"/>
      <w:szCs w:val="18"/>
    </w:rPr>
  </w:style>
  <w:style w:type="paragraph" w:customStyle="1" w:styleId="277">
    <w:name w:val="Char6"/>
    <w:basedOn w:val="1"/>
    <w:qFormat/>
    <w:uiPriority w:val="0"/>
    <w:pPr>
      <w:spacing w:line="240" w:lineRule="auto"/>
      <w:ind w:firstLine="0" w:firstLineChars="0"/>
      <w:jc w:val="left"/>
    </w:pPr>
    <w:rPr>
      <w:rFonts w:ascii="宋体" w:hAnsi="宋体" w:eastAsia="仿宋_GB2312" w:cs="宋体"/>
      <w:b/>
      <w:sz w:val="44"/>
      <w:szCs w:val="44"/>
    </w:rPr>
  </w:style>
  <w:style w:type="paragraph" w:customStyle="1" w:styleId="278">
    <w:name w:val="Char Char Char Char Char Char1 Char Char Char Char"/>
    <w:basedOn w:val="1"/>
    <w:qFormat/>
    <w:uiPriority w:val="0"/>
    <w:rPr>
      <w:rFonts w:ascii="宋体" w:hAnsi="宋体" w:cs="宋体"/>
      <w:szCs w:val="24"/>
    </w:rPr>
  </w:style>
  <w:style w:type="paragraph" w:customStyle="1" w:styleId="279">
    <w:name w:val="（1）"/>
    <w:basedOn w:val="1"/>
    <w:qFormat/>
    <w:uiPriority w:val="0"/>
    <w:pPr>
      <w:spacing w:beforeLines="50" w:afterLines="50" w:line="400" w:lineRule="exact"/>
    </w:pPr>
    <w:rPr>
      <w:rFonts w:ascii="仿宋_GB2312" w:eastAsia="楷体_GB2312"/>
      <w:b/>
      <w:bCs/>
      <w:sz w:val="28"/>
      <w:szCs w:val="28"/>
    </w:rPr>
  </w:style>
  <w:style w:type="paragraph" w:customStyle="1" w:styleId="280">
    <w:name w:val="正文1"/>
    <w:basedOn w:val="1"/>
    <w:link w:val="724"/>
    <w:qFormat/>
    <w:uiPriority w:val="0"/>
    <w:pPr>
      <w:autoSpaceDE w:val="0"/>
      <w:autoSpaceDN w:val="0"/>
      <w:adjustRightInd w:val="0"/>
      <w:snapToGrid w:val="0"/>
      <w:ind w:firstLine="422"/>
      <w:jc w:val="center"/>
    </w:pPr>
    <w:rPr>
      <w:b/>
      <w:sz w:val="21"/>
      <w:szCs w:val="21"/>
    </w:rPr>
  </w:style>
  <w:style w:type="paragraph" w:customStyle="1" w:styleId="281">
    <w:name w:val="xl23"/>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82">
    <w:name w:val="1 Char"/>
    <w:basedOn w:val="1"/>
    <w:semiHidden/>
    <w:qFormat/>
    <w:uiPriority w:val="0"/>
    <w:pPr>
      <w:spacing w:line="240" w:lineRule="auto"/>
      <w:ind w:firstLine="0" w:firstLineChars="0"/>
    </w:pPr>
    <w:rPr>
      <w:sz w:val="21"/>
      <w:szCs w:val="24"/>
    </w:rPr>
  </w:style>
  <w:style w:type="paragraph" w:styleId="283">
    <w:name w:val="List Paragraph"/>
    <w:basedOn w:val="1"/>
    <w:qFormat/>
    <w:uiPriority w:val="34"/>
    <w:pPr>
      <w:spacing w:line="240" w:lineRule="auto"/>
      <w:ind w:firstLine="420"/>
    </w:pPr>
    <w:rPr>
      <w:sz w:val="21"/>
      <w:szCs w:val="24"/>
    </w:rPr>
  </w:style>
  <w:style w:type="paragraph" w:customStyle="1" w:styleId="284">
    <w:name w:val="xl72"/>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Arial Unicode MS" w:hAnsi="Arial Unicode MS" w:eastAsia="Arial Unicode MS" w:cs="Arial Unicode MS"/>
      <w:kern w:val="0"/>
      <w:sz w:val="18"/>
      <w:szCs w:val="18"/>
    </w:rPr>
  </w:style>
  <w:style w:type="paragraph" w:customStyle="1" w:styleId="285">
    <w:name w:val="1"/>
    <w:basedOn w:val="1"/>
    <w:qFormat/>
    <w:uiPriority w:val="0"/>
    <w:pPr>
      <w:spacing w:beforeLines="100" w:afterLines="50" w:line="500" w:lineRule="exact"/>
      <w:ind w:firstLine="0" w:firstLineChars="0"/>
      <w:jc w:val="center"/>
    </w:pPr>
    <w:rPr>
      <w:rFonts w:ascii="方正姚体" w:eastAsia="方正姚体"/>
      <w:b/>
      <w:bCs/>
      <w:kern w:val="0"/>
      <w:sz w:val="36"/>
      <w:szCs w:val="36"/>
    </w:rPr>
  </w:style>
  <w:style w:type="paragraph" w:customStyle="1" w:styleId="286">
    <w:name w:val="正文缩进（自定义） Char"/>
    <w:basedOn w:val="1"/>
    <w:qFormat/>
    <w:uiPriority w:val="0"/>
    <w:pPr>
      <w:spacing w:before="120" w:after="120"/>
      <w:ind w:firstLine="480"/>
    </w:pPr>
    <w:rPr>
      <w:rFonts w:ascii="Century Gothic" w:hAnsi="Century Gothic" w:cs="宋体"/>
      <w:kern w:val="0"/>
      <w:szCs w:val="24"/>
    </w:rPr>
  </w:style>
  <w:style w:type="paragraph" w:customStyle="1" w:styleId="287">
    <w:name w:val="图表文字"/>
    <w:basedOn w:val="1"/>
    <w:next w:val="1"/>
    <w:qFormat/>
    <w:uiPriority w:val="0"/>
    <w:pPr>
      <w:adjustRightInd w:val="0"/>
      <w:snapToGrid w:val="0"/>
      <w:spacing w:line="240" w:lineRule="auto"/>
      <w:ind w:firstLine="0" w:firstLineChars="0"/>
      <w:jc w:val="center"/>
    </w:pPr>
    <w:rPr>
      <w:rFonts w:eastAsia="仿宋_GB2312"/>
      <w:szCs w:val="24"/>
    </w:rPr>
  </w:style>
  <w:style w:type="paragraph" w:customStyle="1" w:styleId="288">
    <w:name w:val="样式8"/>
    <w:basedOn w:val="232"/>
    <w:qFormat/>
    <w:uiPriority w:val="0"/>
    <w:pPr>
      <w:spacing w:line="300" w:lineRule="exact"/>
      <w:outlineLvl w:val="9"/>
    </w:pPr>
    <w:rPr>
      <w:sz w:val="21"/>
      <w:szCs w:val="21"/>
    </w:rPr>
  </w:style>
  <w:style w:type="paragraph" w:customStyle="1" w:styleId="289">
    <w:name w:val="font7"/>
    <w:basedOn w:val="1"/>
    <w:qFormat/>
    <w:uiPriority w:val="0"/>
    <w:pPr>
      <w:widowControl/>
      <w:spacing w:before="100" w:beforeAutospacing="1" w:after="100" w:afterAutospacing="1" w:line="240" w:lineRule="auto"/>
      <w:ind w:firstLine="0" w:firstLineChars="0"/>
      <w:jc w:val="left"/>
    </w:pPr>
    <w:rPr>
      <w:rFonts w:eastAsia="Arial Unicode MS"/>
      <w:kern w:val="0"/>
      <w:sz w:val="20"/>
      <w:szCs w:val="20"/>
    </w:rPr>
  </w:style>
  <w:style w:type="paragraph" w:customStyle="1" w:styleId="290">
    <w:name w:val="Char Char Char Char Char Char Char Char Char"/>
    <w:basedOn w:val="1"/>
    <w:qFormat/>
    <w:uiPriority w:val="0"/>
    <w:pPr>
      <w:spacing w:line="240" w:lineRule="auto"/>
      <w:ind w:firstLine="0" w:firstLineChars="0"/>
    </w:pPr>
    <w:rPr>
      <w:rFonts w:eastAsia="仿宋_GB2312"/>
      <w:sz w:val="32"/>
      <w:szCs w:val="32"/>
    </w:rPr>
  </w:style>
  <w:style w:type="paragraph" w:customStyle="1" w:styleId="291">
    <w:name w:val="标题3"/>
    <w:basedOn w:val="1"/>
    <w:qFormat/>
    <w:uiPriority w:val="0"/>
    <w:pPr>
      <w:ind w:firstLine="0" w:firstLineChars="0"/>
      <w:outlineLvl w:val="2"/>
    </w:pPr>
    <w:rPr>
      <w:rFonts w:eastAsia="黑体"/>
      <w:b/>
      <w:bCs/>
      <w:kern w:val="10"/>
      <w:sz w:val="28"/>
      <w:szCs w:val="28"/>
    </w:rPr>
  </w:style>
  <w:style w:type="paragraph" w:customStyle="1" w:styleId="292">
    <w:name w:val="xl46"/>
    <w:basedOn w:val="1"/>
    <w:qFormat/>
    <w:uiPriority w:val="0"/>
    <w:pPr>
      <w:widowControl/>
      <w:pBdr>
        <w:left w:val="single" w:color="auto" w:sz="4" w:space="0"/>
        <w:bottom w:val="single" w:color="auto" w:sz="4" w:space="0"/>
      </w:pBdr>
      <w:spacing w:before="100" w:beforeAutospacing="1" w:after="100" w:afterAutospacing="1" w:line="240" w:lineRule="auto"/>
      <w:ind w:firstLine="0" w:firstLineChars="0"/>
      <w:textAlignment w:val="top"/>
    </w:pPr>
    <w:rPr>
      <w:rFonts w:ascii="Arial Unicode MS" w:hAnsi="Arial Unicode MS" w:eastAsia="Arial Unicode MS" w:cs="Arial Unicode MS"/>
      <w:color w:val="000000"/>
      <w:kern w:val="0"/>
      <w:szCs w:val="24"/>
    </w:rPr>
  </w:style>
  <w:style w:type="paragraph" w:customStyle="1" w:styleId="293">
    <w:name w:val="xyb自建正文"/>
    <w:basedOn w:val="1"/>
    <w:link w:val="450"/>
    <w:qFormat/>
    <w:uiPriority w:val="0"/>
    <w:pPr>
      <w:adjustRightInd w:val="0"/>
      <w:snapToGrid w:val="0"/>
      <w:spacing w:line="620" w:lineRule="exact"/>
      <w:ind w:firstLine="1400" w:firstLineChars="500"/>
      <w:textAlignment w:val="baseline"/>
    </w:pPr>
    <w:rPr>
      <w:rFonts w:ascii="宋体" w:hAnsi="宋体"/>
      <w:i/>
      <w:kern w:val="0"/>
      <w:sz w:val="28"/>
      <w:szCs w:val="28"/>
    </w:rPr>
  </w:style>
  <w:style w:type="paragraph" w:customStyle="1" w:styleId="294">
    <w:name w:val="font10"/>
    <w:basedOn w:val="1"/>
    <w:qFormat/>
    <w:uiPriority w:val="0"/>
    <w:pPr>
      <w:widowControl/>
      <w:spacing w:before="100" w:beforeAutospacing="1" w:after="100" w:afterAutospacing="1" w:line="240" w:lineRule="auto"/>
      <w:ind w:firstLine="0" w:firstLineChars="0"/>
      <w:jc w:val="left"/>
    </w:pPr>
    <w:rPr>
      <w:rFonts w:eastAsia="Arial Unicode MS"/>
      <w:kern w:val="0"/>
      <w:sz w:val="18"/>
      <w:szCs w:val="18"/>
    </w:rPr>
  </w:style>
  <w:style w:type="paragraph" w:customStyle="1" w:styleId="295">
    <w:name w:val="一、"/>
    <w:basedOn w:val="1"/>
    <w:qFormat/>
    <w:uiPriority w:val="0"/>
    <w:pPr>
      <w:spacing w:beforeLines="50" w:afterLines="50" w:line="480" w:lineRule="exact"/>
      <w:ind w:firstLine="562"/>
      <w:jc w:val="center"/>
    </w:pPr>
    <w:rPr>
      <w:rFonts w:ascii="仿宋_GB2312" w:eastAsia="黑体"/>
      <w:b/>
      <w:bCs/>
      <w:sz w:val="28"/>
      <w:szCs w:val="28"/>
    </w:rPr>
  </w:style>
  <w:style w:type="paragraph" w:customStyle="1" w:styleId="296">
    <w:name w:val="Char Char Char1 Char"/>
    <w:basedOn w:val="1"/>
    <w:qFormat/>
    <w:uiPriority w:val="0"/>
    <w:rPr>
      <w:rFonts w:ascii="宋体" w:hAnsi="宋体" w:cs="宋体"/>
      <w:szCs w:val="24"/>
    </w:rPr>
  </w:style>
  <w:style w:type="paragraph" w:customStyle="1" w:styleId="297">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298">
    <w:name w:val="Char Char Char Char Char Char1 Char Char Char1 Char Char Char Char Char Char Char"/>
    <w:basedOn w:val="1"/>
    <w:qFormat/>
    <w:uiPriority w:val="0"/>
    <w:rPr>
      <w:rFonts w:ascii="宋体" w:hAnsi="宋体" w:cs="宋体"/>
      <w:szCs w:val="24"/>
    </w:rPr>
  </w:style>
  <w:style w:type="paragraph" w:customStyle="1" w:styleId="299">
    <w:name w:val="正文一"/>
    <w:basedOn w:val="1"/>
    <w:qFormat/>
    <w:uiPriority w:val="0"/>
    <w:pPr>
      <w:adjustRightInd w:val="0"/>
      <w:spacing w:line="520" w:lineRule="exact"/>
      <w:textAlignment w:val="baseline"/>
    </w:pPr>
    <w:rPr>
      <w:rFonts w:ascii="宋体" w:hAnsi="宋体"/>
      <w:kern w:val="0"/>
      <w:szCs w:val="24"/>
    </w:rPr>
  </w:style>
  <w:style w:type="paragraph" w:customStyle="1" w:styleId="300">
    <w:name w:val="font0"/>
    <w:basedOn w:val="1"/>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301">
    <w:name w:val="列出段落1"/>
    <w:basedOn w:val="1"/>
    <w:next w:val="1"/>
    <w:qFormat/>
    <w:uiPriority w:val="0"/>
    <w:pPr>
      <w:spacing w:line="240" w:lineRule="auto"/>
      <w:ind w:firstLine="0" w:firstLineChars="0"/>
      <w:jc w:val="center"/>
    </w:pPr>
    <w:rPr>
      <w:b/>
      <w:sz w:val="21"/>
    </w:rPr>
  </w:style>
  <w:style w:type="paragraph" w:customStyle="1" w:styleId="302">
    <w:name w:val="xl61"/>
    <w:basedOn w:val="1"/>
    <w:qFormat/>
    <w:uiPriority w:val="0"/>
    <w:pPr>
      <w:widowControl/>
      <w:pBdr>
        <w:bottom w:val="single" w:color="auto" w:sz="4" w:space="0"/>
      </w:pBdr>
      <w:spacing w:before="100" w:beforeAutospacing="1" w:after="100" w:afterAutospacing="1" w:line="240" w:lineRule="auto"/>
      <w:ind w:firstLine="0" w:firstLineChars="0"/>
      <w:jc w:val="center"/>
    </w:pPr>
    <w:rPr>
      <w:rFonts w:eastAsia="Arial Unicode MS"/>
      <w:kern w:val="0"/>
      <w:sz w:val="15"/>
      <w:szCs w:val="15"/>
    </w:rPr>
  </w:style>
  <w:style w:type="paragraph" w:styleId="303">
    <w:name w:val="No Spacing"/>
    <w:qFormat/>
    <w:uiPriority w:val="0"/>
    <w:pPr>
      <w:keepNext/>
      <w:widowControl w:val="0"/>
      <w:spacing w:line="360" w:lineRule="auto"/>
      <w:jc w:val="center"/>
    </w:pPr>
    <w:rPr>
      <w:rFonts w:ascii="Times New Roman" w:hAnsi="Times New Roman" w:eastAsia="宋体" w:cs="Times New Roman"/>
      <w:b/>
      <w:kern w:val="2"/>
      <w:sz w:val="21"/>
      <w:szCs w:val="22"/>
      <w:lang w:val="en-US" w:eastAsia="zh-CN" w:bidi="ar-SA"/>
    </w:rPr>
  </w:style>
  <w:style w:type="paragraph" w:customStyle="1" w:styleId="304">
    <w:name w:val="font6"/>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kern w:val="0"/>
      <w:sz w:val="20"/>
      <w:szCs w:val="20"/>
    </w:rPr>
  </w:style>
  <w:style w:type="paragraph" w:customStyle="1" w:styleId="305">
    <w:name w:val="xyb自建表格名称"/>
    <w:basedOn w:val="1"/>
    <w:qFormat/>
    <w:uiPriority w:val="0"/>
    <w:pPr>
      <w:ind w:firstLine="0" w:firstLineChars="0"/>
      <w:jc w:val="center"/>
    </w:pPr>
    <w:rPr>
      <w:rFonts w:ascii="宋体" w:hAnsi="宋体"/>
      <w:szCs w:val="24"/>
    </w:rPr>
  </w:style>
  <w:style w:type="paragraph" w:customStyle="1" w:styleId="306">
    <w:name w:val="Char Char Char1"/>
    <w:basedOn w:val="1"/>
    <w:qFormat/>
    <w:uiPriority w:val="0"/>
    <w:rPr>
      <w:rFonts w:ascii="宋体" w:hAnsi="宋体" w:cs="宋体"/>
      <w:szCs w:val="24"/>
    </w:rPr>
  </w:style>
  <w:style w:type="paragraph" w:customStyle="1" w:styleId="307">
    <w:name w:val="font11"/>
    <w:basedOn w:val="1"/>
    <w:qFormat/>
    <w:uiPriority w:val="0"/>
    <w:pPr>
      <w:widowControl/>
      <w:spacing w:before="100" w:beforeAutospacing="1" w:after="100" w:afterAutospacing="1" w:line="240" w:lineRule="auto"/>
      <w:ind w:firstLine="0" w:firstLineChars="0"/>
      <w:jc w:val="left"/>
    </w:pPr>
    <w:rPr>
      <w:rFonts w:hint="eastAsia" w:ascii="宋体" w:hAnsi="宋体" w:cs="Arial Unicode MS"/>
      <w:color w:val="000000"/>
      <w:kern w:val="0"/>
      <w:sz w:val="22"/>
    </w:rPr>
  </w:style>
  <w:style w:type="paragraph" w:customStyle="1" w:styleId="308">
    <w:name w:val="可研正文"/>
    <w:basedOn w:val="1"/>
    <w:qFormat/>
    <w:uiPriority w:val="0"/>
    <w:pPr>
      <w:ind w:firstLine="560"/>
    </w:pPr>
    <w:rPr>
      <w:rFonts w:ascii="宋体" w:hAnsi="宋体" w:cs="宋体"/>
      <w:sz w:val="28"/>
      <w:szCs w:val="20"/>
    </w:rPr>
  </w:style>
  <w:style w:type="paragraph" w:customStyle="1" w:styleId="309">
    <w:name w:val="xl65"/>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top"/>
    </w:pPr>
    <w:rPr>
      <w:rFonts w:ascii="Arial Unicode MS" w:hAnsi="Arial Unicode MS" w:eastAsia="Arial Unicode MS" w:cs="Arial Unicode MS"/>
      <w:kern w:val="0"/>
      <w:sz w:val="18"/>
      <w:szCs w:val="18"/>
    </w:rPr>
  </w:style>
  <w:style w:type="paragraph" w:customStyle="1" w:styleId="310">
    <w:name w:val="xl51"/>
    <w:basedOn w:val="1"/>
    <w:qFormat/>
    <w:uiPriority w:val="0"/>
    <w:pPr>
      <w:widowControl/>
      <w:pBdr>
        <w:top w:val="single" w:color="auto" w:sz="4" w:space="0"/>
        <w:right w:val="single" w:color="auto" w:sz="4" w:space="0"/>
      </w:pBdr>
      <w:spacing w:before="100" w:beforeAutospacing="1" w:after="100" w:afterAutospacing="1" w:line="240" w:lineRule="auto"/>
      <w:ind w:firstLine="0" w:firstLineChars="0"/>
      <w:jc w:val="center"/>
    </w:pPr>
    <w:rPr>
      <w:rFonts w:hint="eastAsia" w:ascii="新宋体" w:hAnsi="新宋体" w:eastAsia="新宋体" w:cs="Arial Unicode MS"/>
      <w:kern w:val="0"/>
      <w:sz w:val="18"/>
      <w:szCs w:val="18"/>
    </w:rPr>
  </w:style>
  <w:style w:type="paragraph" w:customStyle="1" w:styleId="311">
    <w:name w:val="6"/>
    <w:basedOn w:val="1"/>
    <w:next w:val="35"/>
    <w:qFormat/>
    <w:uiPriority w:val="0"/>
    <w:pPr>
      <w:autoSpaceDE w:val="0"/>
      <w:autoSpaceDN w:val="0"/>
      <w:adjustRightInd w:val="0"/>
      <w:spacing w:line="440" w:lineRule="exact"/>
      <w:ind w:firstLine="482" w:firstLineChars="0"/>
      <w:textAlignment w:val="baseline"/>
    </w:pPr>
    <w:rPr>
      <w:rFonts w:ascii="宋体"/>
      <w:kern w:val="0"/>
      <w:szCs w:val="20"/>
    </w:rPr>
  </w:style>
  <w:style w:type="paragraph" w:customStyle="1" w:styleId="312">
    <w:name w:val="样式3"/>
    <w:basedOn w:val="3"/>
    <w:qFormat/>
    <w:uiPriority w:val="0"/>
    <w:pPr>
      <w:spacing w:beforeLines="50" w:afterLines="50" w:line="460" w:lineRule="exact"/>
      <w:jc w:val="center"/>
    </w:pPr>
    <w:rPr>
      <w:rFonts w:hAnsi="宋体" w:eastAsia="宋体"/>
      <w:szCs w:val="24"/>
    </w:rPr>
  </w:style>
  <w:style w:type="paragraph" w:customStyle="1" w:styleId="313">
    <w:name w:val="(1)"/>
    <w:basedOn w:val="1"/>
    <w:qFormat/>
    <w:uiPriority w:val="0"/>
    <w:pPr>
      <w:spacing w:line="500" w:lineRule="atLeast"/>
    </w:pPr>
    <w:rPr>
      <w:b/>
      <w:bCs/>
      <w:szCs w:val="24"/>
    </w:rPr>
  </w:style>
  <w:style w:type="paragraph" w:customStyle="1" w:styleId="314">
    <w:name w:val="xl52"/>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315">
    <w:name w:val="XCHG论文正文"/>
    <w:basedOn w:val="1"/>
    <w:qFormat/>
    <w:uiPriority w:val="0"/>
    <w:pPr>
      <w:tabs>
        <w:tab w:val="left" w:pos="1890"/>
      </w:tabs>
      <w:spacing w:line="288" w:lineRule="auto"/>
      <w:ind w:firstLine="480"/>
    </w:pPr>
    <w:rPr>
      <w:color w:val="000000"/>
      <w:szCs w:val="24"/>
    </w:rPr>
  </w:style>
  <w:style w:type="paragraph" w:customStyle="1" w:styleId="316">
    <w:name w:val="2"/>
    <w:basedOn w:val="1"/>
    <w:next w:val="35"/>
    <w:qFormat/>
    <w:uiPriority w:val="0"/>
    <w:pPr>
      <w:spacing w:line="240" w:lineRule="auto"/>
      <w:ind w:firstLine="560"/>
    </w:pPr>
    <w:rPr>
      <w:rFonts w:ascii="仿宋_GB2312" w:eastAsia="仿宋_GB2312"/>
      <w:kern w:val="30"/>
      <w:sz w:val="28"/>
      <w:szCs w:val="30"/>
    </w:rPr>
  </w:style>
  <w:style w:type="paragraph" w:customStyle="1" w:styleId="317">
    <w:name w:val="样式 四号 加粗 居中 行距: 1.5 倍行距"/>
    <w:basedOn w:val="1"/>
    <w:qFormat/>
    <w:uiPriority w:val="0"/>
    <w:pPr>
      <w:jc w:val="center"/>
    </w:pPr>
    <w:rPr>
      <w:rFonts w:cs="宋体"/>
      <w:b/>
      <w:bCs/>
      <w:sz w:val="28"/>
      <w:szCs w:val="20"/>
    </w:rPr>
  </w:style>
  <w:style w:type="paragraph" w:customStyle="1" w:styleId="318">
    <w:name w:val="xl53"/>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pPr>
    <w:rPr>
      <w:rFonts w:ascii="Arial Unicode MS" w:hAnsi="Arial Unicode MS" w:eastAsia="Arial Unicode MS" w:cs="Arial Unicode MS"/>
      <w:kern w:val="0"/>
      <w:sz w:val="18"/>
      <w:szCs w:val="18"/>
    </w:rPr>
  </w:style>
  <w:style w:type="paragraph" w:customStyle="1" w:styleId="319">
    <w:name w:val="五号 居中"/>
    <w:basedOn w:val="1"/>
    <w:qFormat/>
    <w:uiPriority w:val="0"/>
    <w:pPr>
      <w:adjustRightInd w:val="0"/>
      <w:spacing w:line="480" w:lineRule="exact"/>
      <w:ind w:right="113" w:firstLine="0" w:firstLineChars="0"/>
      <w:jc w:val="center"/>
      <w:outlineLvl w:val="5"/>
    </w:pPr>
    <w:rPr>
      <w:szCs w:val="21"/>
    </w:rPr>
  </w:style>
  <w:style w:type="character" w:customStyle="1" w:styleId="320">
    <w:name w:val="【正文】 Char"/>
    <w:link w:val="321"/>
    <w:qFormat/>
    <w:uiPriority w:val="0"/>
    <w:rPr>
      <w:kern w:val="2"/>
      <w:sz w:val="24"/>
    </w:rPr>
  </w:style>
  <w:style w:type="paragraph" w:customStyle="1" w:styleId="321">
    <w:name w:val="【正文】"/>
    <w:basedOn w:val="1"/>
    <w:link w:val="320"/>
    <w:qFormat/>
    <w:uiPriority w:val="0"/>
    <w:pPr>
      <w:spacing w:line="440" w:lineRule="exact"/>
      <w:ind w:firstLine="544"/>
    </w:pPr>
    <w:rPr>
      <w:rFonts w:ascii="Calibri" w:hAnsi="Calibri"/>
      <w:szCs w:val="20"/>
    </w:rPr>
  </w:style>
  <w:style w:type="character" w:customStyle="1" w:styleId="322">
    <w:name w:val="表格样式 Char"/>
    <w:link w:val="323"/>
    <w:qFormat/>
    <w:uiPriority w:val="0"/>
    <w:rPr>
      <w:rFonts w:ascii="宋体" w:hAnsi="宋体"/>
      <w:kern w:val="2"/>
      <w:sz w:val="24"/>
      <w:szCs w:val="21"/>
    </w:rPr>
  </w:style>
  <w:style w:type="paragraph" w:customStyle="1" w:styleId="323">
    <w:name w:val="表格样式"/>
    <w:link w:val="322"/>
    <w:qFormat/>
    <w:uiPriority w:val="0"/>
    <w:pPr>
      <w:wordWrap w:val="0"/>
      <w:snapToGrid w:val="0"/>
      <w:jc w:val="center"/>
      <w:textAlignment w:val="center"/>
    </w:pPr>
    <w:rPr>
      <w:rFonts w:ascii="宋体" w:hAnsi="宋体" w:eastAsia="宋体" w:cs="Times New Roman"/>
      <w:kern w:val="2"/>
      <w:sz w:val="24"/>
      <w:szCs w:val="21"/>
      <w:lang w:val="en-US" w:eastAsia="zh-CN" w:bidi="ar-SA"/>
    </w:rPr>
  </w:style>
  <w:style w:type="character" w:customStyle="1" w:styleId="324">
    <w:name w:val="表头-水保 Char"/>
    <w:link w:val="325"/>
    <w:qFormat/>
    <w:uiPriority w:val="1"/>
    <w:rPr>
      <w:b/>
      <w:color w:val="000000"/>
      <w:sz w:val="21"/>
    </w:rPr>
  </w:style>
  <w:style w:type="paragraph" w:customStyle="1" w:styleId="325">
    <w:name w:val="表头-水保"/>
    <w:link w:val="324"/>
    <w:qFormat/>
    <w:uiPriority w:val="1"/>
    <w:pPr>
      <w:keepNext/>
      <w:jc w:val="center"/>
    </w:pPr>
    <w:rPr>
      <w:rFonts w:ascii="Calibri" w:hAnsi="Calibri" w:eastAsia="宋体" w:cs="Times New Roman"/>
      <w:b/>
      <w:color w:val="000000"/>
      <w:sz w:val="21"/>
      <w:lang w:val="en-US" w:eastAsia="zh-CN" w:bidi="ar-SA"/>
    </w:rPr>
  </w:style>
  <w:style w:type="character" w:customStyle="1" w:styleId="326">
    <w:name w:val="标题 3 Char Char Char3"/>
    <w:qFormat/>
    <w:uiPriority w:val="0"/>
    <w:rPr>
      <w:rFonts w:eastAsia="黑体"/>
      <w:snapToGrid w:val="0"/>
      <w:sz w:val="28"/>
      <w:szCs w:val="24"/>
      <w:lang w:val="en-US" w:eastAsia="zh-CN" w:bidi="ar-SA"/>
    </w:rPr>
  </w:style>
  <w:style w:type="character" w:customStyle="1" w:styleId="327">
    <w:name w:val="标题 3 Char Char"/>
    <w:qFormat/>
    <w:uiPriority w:val="0"/>
  </w:style>
  <w:style w:type="character" w:customStyle="1" w:styleId="328">
    <w:name w:val="表号 Char Char1"/>
    <w:semiHidden/>
    <w:qFormat/>
    <w:uiPriority w:val="0"/>
    <w:rPr>
      <w:rFonts w:ascii="宋体" w:hAnsi="宋体" w:eastAsia="宋体"/>
      <w:snapToGrid w:val="0"/>
      <w:kern w:val="2"/>
      <w:sz w:val="18"/>
      <w:szCs w:val="21"/>
      <w:lang w:val="en-US" w:eastAsia="zh-CN" w:bidi="ar-SA"/>
    </w:rPr>
  </w:style>
  <w:style w:type="character" w:customStyle="1" w:styleId="329">
    <w:name w:val="样式19 Char"/>
    <w:link w:val="330"/>
    <w:qFormat/>
    <w:uiPriority w:val="0"/>
    <w:rPr>
      <w:rFonts w:eastAsia="黑体"/>
      <w:b/>
      <w:bCs/>
      <w:kern w:val="2"/>
      <w:sz w:val="21"/>
      <w:szCs w:val="32"/>
    </w:rPr>
  </w:style>
  <w:style w:type="paragraph" w:customStyle="1" w:styleId="330">
    <w:name w:val="样式19"/>
    <w:basedOn w:val="133"/>
    <w:link w:val="329"/>
    <w:qFormat/>
    <w:uiPriority w:val="0"/>
    <w:pPr>
      <w:tabs>
        <w:tab w:val="clear" w:pos="4153"/>
        <w:tab w:val="clear" w:pos="8306"/>
      </w:tabs>
      <w:snapToGrid/>
      <w:spacing w:line="240" w:lineRule="auto"/>
      <w:ind w:firstLine="0" w:firstLineChars="0"/>
    </w:pPr>
    <w:rPr>
      <w:rFonts w:ascii="Calibri" w:hAnsi="Calibri" w:eastAsia="黑体"/>
      <w:b/>
      <w:bCs/>
      <w:sz w:val="21"/>
      <w:szCs w:val="32"/>
    </w:rPr>
  </w:style>
  <w:style w:type="character" w:customStyle="1" w:styleId="331">
    <w:name w:val="样式5 Char1"/>
    <w:link w:val="189"/>
    <w:qFormat/>
    <w:uiPriority w:val="0"/>
    <w:rPr>
      <w:rFonts w:ascii="Times New Roman" w:hAnsi="Times New Roman"/>
      <w:kern w:val="2"/>
      <w:sz w:val="24"/>
      <w:szCs w:val="24"/>
    </w:rPr>
  </w:style>
  <w:style w:type="character" w:customStyle="1" w:styleId="332">
    <w:name w:val="表名 Char Char Char Char Char Char"/>
    <w:qFormat/>
    <w:uiPriority w:val="0"/>
    <w:rPr>
      <w:rFonts w:eastAsia="黑体"/>
      <w:spacing w:val="6"/>
      <w:sz w:val="21"/>
      <w:lang w:val="en-US" w:eastAsia="zh-CN" w:bidi="ar-SA"/>
    </w:rPr>
  </w:style>
  <w:style w:type="character" w:customStyle="1" w:styleId="333">
    <w:name w:val="页脚2 Char Char"/>
    <w:qFormat/>
    <w:uiPriority w:val="0"/>
    <w:rPr>
      <w:rFonts w:eastAsia="宋体"/>
      <w:sz w:val="18"/>
      <w:szCs w:val="18"/>
      <w:lang w:val="en-US" w:eastAsia="zh-CN" w:bidi="ar-SA"/>
    </w:rPr>
  </w:style>
  <w:style w:type="character" w:customStyle="1" w:styleId="334">
    <w:name w:val="表号 Char3"/>
    <w:qFormat/>
    <w:uiPriority w:val="0"/>
    <w:rPr>
      <w:rFonts w:eastAsia="宋体"/>
      <w:kern w:val="2"/>
      <w:sz w:val="18"/>
      <w:lang w:val="en-US" w:eastAsia="zh-CN" w:bidi="ar-SA"/>
    </w:rPr>
  </w:style>
  <w:style w:type="character" w:customStyle="1" w:styleId="335">
    <w:name w:val="副标题 Char1"/>
    <w:qFormat/>
    <w:uiPriority w:val="11"/>
    <w:rPr>
      <w:rFonts w:ascii="Cambria" w:hAnsi="Cambria" w:cs="Times New Roman"/>
      <w:b/>
      <w:bCs/>
      <w:kern w:val="28"/>
      <w:sz w:val="32"/>
      <w:szCs w:val="32"/>
    </w:rPr>
  </w:style>
  <w:style w:type="character" w:customStyle="1" w:styleId="336">
    <w:name w:val="F防洪评价 Char"/>
    <w:link w:val="337"/>
    <w:qFormat/>
    <w:uiPriority w:val="0"/>
    <w:rPr>
      <w:rFonts w:ascii="宋体"/>
      <w:sz w:val="24"/>
      <w:lang w:val="zh-CN"/>
    </w:rPr>
  </w:style>
  <w:style w:type="paragraph" w:customStyle="1" w:styleId="337">
    <w:name w:val="F防洪评价"/>
    <w:basedOn w:val="1"/>
    <w:next w:val="1"/>
    <w:link w:val="336"/>
    <w:qFormat/>
    <w:uiPriority w:val="0"/>
    <w:pPr>
      <w:tabs>
        <w:tab w:val="right" w:pos="8925"/>
      </w:tabs>
      <w:autoSpaceDE w:val="0"/>
      <w:autoSpaceDN w:val="0"/>
      <w:adjustRightInd w:val="0"/>
      <w:snapToGrid w:val="0"/>
      <w:spacing w:beforeLines="50" w:afterLines="50"/>
      <w:ind w:firstLine="497" w:firstLineChars="207"/>
    </w:pPr>
    <w:rPr>
      <w:rFonts w:ascii="宋体" w:hAnsi="Calibri"/>
      <w:kern w:val="0"/>
      <w:szCs w:val="20"/>
      <w:lang w:val="zh-CN"/>
    </w:rPr>
  </w:style>
  <w:style w:type="character" w:customStyle="1" w:styleId="338">
    <w:name w:val="表头样式1 Char"/>
    <w:link w:val="339"/>
    <w:qFormat/>
    <w:uiPriority w:val="0"/>
    <w:rPr>
      <w:rFonts w:ascii="宋体" w:hAnsi="宋体" w:eastAsia="黑体"/>
      <w:b/>
      <w:sz w:val="24"/>
    </w:rPr>
  </w:style>
  <w:style w:type="paragraph" w:customStyle="1" w:styleId="339">
    <w:name w:val="表头样式1"/>
    <w:basedOn w:val="1"/>
    <w:link w:val="338"/>
    <w:qFormat/>
    <w:uiPriority w:val="0"/>
    <w:pPr>
      <w:widowControl/>
      <w:spacing w:after="80" w:line="480" w:lineRule="atLeast"/>
      <w:jc w:val="center"/>
    </w:pPr>
    <w:rPr>
      <w:rFonts w:ascii="宋体" w:hAnsi="宋体" w:eastAsia="黑体"/>
      <w:b/>
      <w:kern w:val="0"/>
      <w:szCs w:val="20"/>
    </w:rPr>
  </w:style>
  <w:style w:type="character" w:customStyle="1" w:styleId="340">
    <w:name w:val="表名 Char1 Char Char Char Char"/>
    <w:qFormat/>
    <w:uiPriority w:val="0"/>
    <w:rPr>
      <w:rFonts w:ascii="Arial" w:hAnsi="Arial" w:eastAsia="黑体"/>
      <w:snapToGrid w:val="0"/>
      <w:kern w:val="2"/>
      <w:sz w:val="21"/>
      <w:szCs w:val="24"/>
      <w:lang w:val="en-US" w:eastAsia="zh-CN" w:bidi="ar-SA"/>
    </w:rPr>
  </w:style>
  <w:style w:type="character" w:customStyle="1" w:styleId="341">
    <w:name w:val="文本正文专用 Char"/>
    <w:link w:val="342"/>
    <w:qFormat/>
    <w:uiPriority w:val="0"/>
    <w:rPr>
      <w:rFonts w:cs="宋体"/>
      <w:kern w:val="2"/>
      <w:sz w:val="24"/>
      <w:szCs w:val="24"/>
    </w:rPr>
  </w:style>
  <w:style w:type="paragraph" w:customStyle="1" w:styleId="342">
    <w:name w:val="文本正文专用"/>
    <w:basedOn w:val="1"/>
    <w:link w:val="341"/>
    <w:qFormat/>
    <w:uiPriority w:val="0"/>
    <w:pPr>
      <w:ind w:firstLine="480"/>
    </w:pPr>
    <w:rPr>
      <w:rFonts w:ascii="Calibri" w:hAnsi="Calibri" w:cs="宋体"/>
      <w:szCs w:val="24"/>
    </w:rPr>
  </w:style>
  <w:style w:type="character" w:customStyle="1" w:styleId="343">
    <w:name w:val="样式 (中文) 楷体_GB2312 三号 黑色"/>
    <w:qFormat/>
    <w:uiPriority w:val="0"/>
    <w:rPr>
      <w:rFonts w:eastAsia="楷体_GB2312"/>
      <w:color w:val="000000"/>
      <w:sz w:val="32"/>
    </w:rPr>
  </w:style>
  <w:style w:type="character" w:customStyle="1" w:styleId="344">
    <w:name w:val="样式 宋体 小四"/>
    <w:qFormat/>
    <w:uiPriority w:val="0"/>
    <w:rPr>
      <w:rFonts w:ascii="宋体" w:hAnsi="宋体"/>
      <w:sz w:val="24"/>
    </w:rPr>
  </w:style>
  <w:style w:type="character" w:customStyle="1" w:styleId="345">
    <w:name w:val="标题 51"/>
    <w:semiHidden/>
    <w:qFormat/>
    <w:uiPriority w:val="0"/>
    <w:rPr>
      <w:rFonts w:eastAsia="宋体"/>
      <w:snapToGrid w:val="0"/>
      <w:sz w:val="24"/>
      <w:szCs w:val="24"/>
      <w:lang w:val="en-US" w:eastAsia="zh-CN" w:bidi="ar-SA"/>
    </w:rPr>
  </w:style>
  <w:style w:type="character" w:customStyle="1" w:styleId="346">
    <w:name w:val="表编号 Char Char Char"/>
    <w:qFormat/>
    <w:uiPriority w:val="0"/>
    <w:rPr>
      <w:rFonts w:ascii="黑体" w:hAnsi="黑体" w:eastAsia="宋体" w:cs="宋体"/>
      <w:kern w:val="2"/>
      <w:sz w:val="21"/>
      <w:lang w:val="en-US" w:eastAsia="zh-CN" w:bidi="ar-SA"/>
    </w:rPr>
  </w:style>
  <w:style w:type="character" w:customStyle="1" w:styleId="347">
    <w:name w:val="表文 Char Char Char Char1 Char"/>
    <w:qFormat/>
    <w:uiPriority w:val="0"/>
    <w:rPr>
      <w:rFonts w:eastAsia="宋体"/>
      <w:kern w:val="2"/>
      <w:sz w:val="21"/>
      <w:szCs w:val="21"/>
      <w:lang w:val="en-US" w:eastAsia="zh-CN" w:bidi="ar-SA"/>
    </w:rPr>
  </w:style>
  <w:style w:type="character" w:customStyle="1" w:styleId="348">
    <w:name w:val="正文A Char2"/>
    <w:link w:val="349"/>
    <w:qFormat/>
    <w:uiPriority w:val="0"/>
    <w:rPr>
      <w:rFonts w:eastAsia="Times New Roman"/>
      <w:kern w:val="2"/>
      <w:sz w:val="24"/>
      <w:szCs w:val="22"/>
    </w:rPr>
  </w:style>
  <w:style w:type="paragraph" w:customStyle="1" w:styleId="349">
    <w:name w:val="正文A"/>
    <w:link w:val="348"/>
    <w:qFormat/>
    <w:uiPriority w:val="0"/>
    <w:pPr>
      <w:tabs>
        <w:tab w:val="left" w:pos="0"/>
      </w:tabs>
      <w:adjustRightInd w:val="0"/>
      <w:spacing w:before="120" w:line="360" w:lineRule="auto"/>
      <w:ind w:firstLine="488"/>
      <w:jc w:val="both"/>
    </w:pPr>
    <w:rPr>
      <w:rFonts w:ascii="Calibri" w:hAnsi="Calibri" w:eastAsia="Times New Roman" w:cs="Times New Roman"/>
      <w:kern w:val="2"/>
      <w:sz w:val="24"/>
      <w:szCs w:val="22"/>
      <w:lang w:val="en-US" w:eastAsia="zh-CN" w:bidi="ar-SA"/>
    </w:rPr>
  </w:style>
  <w:style w:type="character" w:customStyle="1" w:styleId="350">
    <w:name w:val="样式 Arial"/>
    <w:qFormat/>
    <w:uiPriority w:val="0"/>
    <w:rPr>
      <w:rFonts w:ascii="Arial" w:hAnsi="Arial"/>
    </w:rPr>
  </w:style>
  <w:style w:type="character" w:customStyle="1" w:styleId="351">
    <w:name w:val="我的正文 Char"/>
    <w:link w:val="352"/>
    <w:qFormat/>
    <w:uiPriority w:val="0"/>
    <w:rPr>
      <w:kern w:val="2"/>
      <w:sz w:val="24"/>
      <w:szCs w:val="24"/>
    </w:rPr>
  </w:style>
  <w:style w:type="paragraph" w:customStyle="1" w:styleId="352">
    <w:name w:val="我的正文"/>
    <w:basedOn w:val="1"/>
    <w:link w:val="351"/>
    <w:qFormat/>
    <w:uiPriority w:val="0"/>
    <w:rPr>
      <w:rFonts w:ascii="Calibri" w:hAnsi="Calibri"/>
      <w:szCs w:val="24"/>
    </w:rPr>
  </w:style>
  <w:style w:type="character" w:customStyle="1" w:styleId="353">
    <w:name w:val="报告正文 Char"/>
    <w:qFormat/>
    <w:uiPriority w:val="0"/>
    <w:rPr>
      <w:rFonts w:ascii="宋体" w:hAnsi="Courier New" w:eastAsia="宋体"/>
      <w:kern w:val="2"/>
      <w:sz w:val="24"/>
      <w:lang w:val="en-US" w:eastAsia="zh-CN" w:bidi="ar-SA"/>
    </w:rPr>
  </w:style>
  <w:style w:type="character" w:customStyle="1" w:styleId="354">
    <w:name w:val="三级标题-水保 Char"/>
    <w:link w:val="355"/>
    <w:qFormat/>
    <w:uiPriority w:val="0"/>
    <w:rPr>
      <w:rFonts w:ascii="TimesNewRomanPSMT" w:hAnsi="TimesNewRomanPSMT"/>
      <w:b/>
      <w:bCs/>
      <w:color w:val="000000"/>
      <w:sz w:val="24"/>
      <w:szCs w:val="22"/>
      <w:lang w:val="zh-CN" w:bidi="en-US"/>
    </w:rPr>
  </w:style>
  <w:style w:type="paragraph" w:customStyle="1" w:styleId="355">
    <w:name w:val="三级标题-水保"/>
    <w:basedOn w:val="4"/>
    <w:next w:val="1"/>
    <w:link w:val="354"/>
    <w:qFormat/>
    <w:uiPriority w:val="0"/>
    <w:pPr>
      <w:keepLines w:val="0"/>
      <w:widowControl/>
      <w:tabs>
        <w:tab w:val="left" w:pos="360"/>
      </w:tabs>
      <w:spacing w:beforeLines="50"/>
    </w:pPr>
    <w:rPr>
      <w:rFonts w:ascii="TimesNewRomanPSMT" w:hAnsi="TimesNewRomanPSMT" w:eastAsia="宋体"/>
      <w:color w:val="000000"/>
      <w:kern w:val="0"/>
      <w:szCs w:val="22"/>
      <w:lang w:val="zh-CN" w:bidi="en-US"/>
    </w:rPr>
  </w:style>
  <w:style w:type="character" w:customStyle="1" w:styleId="356">
    <w:name w:val="表编号 Char Char Char1"/>
    <w:qFormat/>
    <w:uiPriority w:val="0"/>
    <w:rPr>
      <w:rFonts w:ascii="黑体" w:hAnsi="黑体" w:eastAsia="宋体" w:cs="宋体"/>
      <w:kern w:val="2"/>
      <w:sz w:val="18"/>
      <w:lang w:val="en-US" w:eastAsia="zh-CN" w:bidi="ar-SA"/>
    </w:rPr>
  </w:style>
  <w:style w:type="character" w:customStyle="1" w:styleId="357">
    <w:name w:val="正文文本 2 Char"/>
    <w:link w:val="50"/>
    <w:qFormat/>
    <w:uiPriority w:val="0"/>
    <w:rPr>
      <w:rFonts w:ascii="Times New Roman" w:hAnsi="Times New Roman"/>
      <w:kern w:val="2"/>
      <w:sz w:val="24"/>
      <w:szCs w:val="22"/>
    </w:rPr>
  </w:style>
  <w:style w:type="character" w:customStyle="1" w:styleId="358">
    <w:name w:val="批注主题 Char1"/>
    <w:semiHidden/>
    <w:qFormat/>
    <w:uiPriority w:val="99"/>
    <w:rPr>
      <w:b/>
      <w:bCs/>
      <w:kern w:val="2"/>
      <w:sz w:val="24"/>
      <w:szCs w:val="24"/>
    </w:rPr>
  </w:style>
  <w:style w:type="character" w:customStyle="1" w:styleId="359">
    <w:name w:val="标题 Char1"/>
    <w:qFormat/>
    <w:uiPriority w:val="10"/>
    <w:rPr>
      <w:rFonts w:ascii="Cambria" w:hAnsi="Cambria" w:cs="Times New Roman"/>
      <w:b/>
      <w:bCs/>
      <w:kern w:val="2"/>
      <w:sz w:val="32"/>
      <w:szCs w:val="32"/>
    </w:rPr>
  </w:style>
  <w:style w:type="character" w:customStyle="1" w:styleId="360">
    <w:name w:val="content Char"/>
    <w:link w:val="361"/>
    <w:qFormat/>
    <w:uiPriority w:val="0"/>
    <w:rPr>
      <w:rFonts w:hAnsi="宋体"/>
      <w:sz w:val="24"/>
      <w:szCs w:val="24"/>
      <w:lang w:bidi="en-US"/>
    </w:rPr>
  </w:style>
  <w:style w:type="paragraph" w:customStyle="1" w:styleId="361">
    <w:name w:val="content"/>
    <w:link w:val="360"/>
    <w:qFormat/>
    <w:uiPriority w:val="0"/>
    <w:pPr>
      <w:adjustRightInd w:val="0"/>
      <w:spacing w:line="360" w:lineRule="auto"/>
      <w:ind w:firstLine="480" w:firstLineChars="200"/>
      <w:jc w:val="center"/>
    </w:pPr>
    <w:rPr>
      <w:rFonts w:ascii="Calibri" w:hAnsi="宋体" w:eastAsia="宋体" w:cs="Times New Roman"/>
      <w:sz w:val="24"/>
      <w:szCs w:val="24"/>
      <w:lang w:val="en-US" w:eastAsia="zh-CN" w:bidi="en-US"/>
    </w:rPr>
  </w:style>
  <w:style w:type="character" w:customStyle="1" w:styleId="362">
    <w:name w:val="正文+ 首行缩进:  2 字符 Char"/>
    <w:qFormat/>
    <w:uiPriority w:val="0"/>
    <w:rPr>
      <w:rFonts w:ascii="宋体" w:hAnsi="宋体" w:eastAsia="宋体" w:cs="宋体"/>
      <w:sz w:val="24"/>
      <w:szCs w:val="24"/>
      <w:lang w:val="en-US" w:eastAsia="zh-CN" w:bidi="ar-SA"/>
    </w:rPr>
  </w:style>
  <w:style w:type="character" w:customStyle="1" w:styleId="363">
    <w:name w:val="内容 Char"/>
    <w:link w:val="364"/>
    <w:qFormat/>
    <w:uiPriority w:val="0"/>
    <w:rPr>
      <w:sz w:val="22"/>
      <w:szCs w:val="22"/>
      <w:lang w:eastAsia="en-US" w:bidi="en-US"/>
    </w:rPr>
  </w:style>
  <w:style w:type="paragraph" w:customStyle="1" w:styleId="364">
    <w:name w:val="内容"/>
    <w:link w:val="363"/>
    <w:qFormat/>
    <w:uiPriority w:val="0"/>
    <w:pPr>
      <w:spacing w:after="200" w:line="276" w:lineRule="auto"/>
      <w:jc w:val="center"/>
    </w:pPr>
    <w:rPr>
      <w:rFonts w:ascii="Calibri" w:hAnsi="Calibri" w:eastAsia="宋体" w:cs="Times New Roman"/>
      <w:sz w:val="22"/>
      <w:szCs w:val="22"/>
      <w:lang w:val="en-US" w:eastAsia="en-US" w:bidi="en-US"/>
    </w:rPr>
  </w:style>
  <w:style w:type="character" w:customStyle="1" w:styleId="365">
    <w:name w:val="question-title2"/>
    <w:qFormat/>
    <w:uiPriority w:val="0"/>
  </w:style>
  <w:style w:type="character" w:customStyle="1" w:styleId="366">
    <w:name w:val="表正文 Char1 Char Char"/>
    <w:qFormat/>
    <w:uiPriority w:val="0"/>
    <w:rPr>
      <w:rFonts w:eastAsia="宋体"/>
      <w:sz w:val="28"/>
      <w:lang w:val="en-US" w:eastAsia="zh-CN" w:bidi="ar-SA"/>
    </w:rPr>
  </w:style>
  <w:style w:type="character" w:customStyle="1" w:styleId="367">
    <w:name w:val="样式 正文+ 首行缩进:  2 字符 + 宋体 Char"/>
    <w:qFormat/>
    <w:uiPriority w:val="0"/>
  </w:style>
  <w:style w:type="character" w:customStyle="1" w:styleId="368">
    <w:name w:val="表号 Char Char Char1"/>
    <w:qFormat/>
    <w:uiPriority w:val="0"/>
    <w:rPr>
      <w:rFonts w:ascii="宋体" w:hAnsi="宋体" w:eastAsia="宋体"/>
      <w:bCs/>
      <w:snapToGrid w:val="0"/>
      <w:sz w:val="21"/>
      <w:szCs w:val="21"/>
      <w:lang w:val="en-US" w:eastAsia="zh-CN" w:bidi="ar-SA"/>
    </w:rPr>
  </w:style>
  <w:style w:type="character" w:customStyle="1" w:styleId="369">
    <w:name w:val="特点标题 Char Char"/>
    <w:qFormat/>
    <w:uiPriority w:val="0"/>
    <w:rPr>
      <w:rFonts w:eastAsia="宋体"/>
      <w:kern w:val="2"/>
      <w:sz w:val="21"/>
      <w:szCs w:val="24"/>
      <w:lang w:val="en-US" w:eastAsia="zh-CN" w:bidi="ar-SA"/>
    </w:rPr>
  </w:style>
  <w:style w:type="character" w:customStyle="1" w:styleId="370">
    <w:name w:val="页眉2 Char1"/>
    <w:qFormat/>
    <w:uiPriority w:val="0"/>
    <w:rPr>
      <w:rFonts w:eastAsia="宋体"/>
      <w:sz w:val="18"/>
      <w:szCs w:val="18"/>
      <w:lang w:val="en-US" w:eastAsia="zh-CN" w:bidi="ar-SA"/>
    </w:rPr>
  </w:style>
  <w:style w:type="character" w:customStyle="1" w:styleId="371">
    <w:name w:val="批注框文本 Char1"/>
    <w:semiHidden/>
    <w:qFormat/>
    <w:uiPriority w:val="99"/>
    <w:rPr>
      <w:kern w:val="2"/>
      <w:sz w:val="18"/>
      <w:szCs w:val="18"/>
    </w:rPr>
  </w:style>
  <w:style w:type="character" w:customStyle="1" w:styleId="372">
    <w:name w:val="表内文字 Char"/>
    <w:qFormat/>
    <w:uiPriority w:val="0"/>
    <w:rPr>
      <w:sz w:val="21"/>
      <w:szCs w:val="21"/>
      <w:lang w:val="en-US" w:eastAsia="zh-CN" w:bidi="ar-SA"/>
    </w:rPr>
  </w:style>
  <w:style w:type="character" w:customStyle="1" w:styleId="373">
    <w:name w:val="zhengwen Char1"/>
    <w:link w:val="374"/>
    <w:qFormat/>
    <w:uiPriority w:val="0"/>
    <w:rPr>
      <w:rFonts w:ascii="Arial" w:hAnsi="Arial"/>
      <w:kern w:val="2"/>
      <w:sz w:val="24"/>
    </w:rPr>
  </w:style>
  <w:style w:type="paragraph" w:customStyle="1" w:styleId="374">
    <w:name w:val="zhengwen"/>
    <w:basedOn w:val="1"/>
    <w:link w:val="373"/>
    <w:qFormat/>
    <w:uiPriority w:val="0"/>
    <w:rPr>
      <w:rFonts w:ascii="Arial" w:hAnsi="Arial"/>
      <w:szCs w:val="20"/>
    </w:rPr>
  </w:style>
  <w:style w:type="character" w:customStyle="1" w:styleId="375">
    <w:name w:val="Char Char5"/>
    <w:qFormat/>
    <w:uiPriority w:val="0"/>
  </w:style>
  <w:style w:type="character" w:customStyle="1" w:styleId="376">
    <w:name w:val="正文文字 Char"/>
    <w:qFormat/>
    <w:uiPriority w:val="0"/>
    <w:rPr>
      <w:rFonts w:eastAsia="宋体"/>
      <w:szCs w:val="24"/>
      <w:lang w:bidi="ar-SA"/>
    </w:rPr>
  </w:style>
  <w:style w:type="character" w:customStyle="1" w:styleId="377">
    <w:name w:val="样式 小四"/>
    <w:qFormat/>
    <w:uiPriority w:val="0"/>
    <w:rPr>
      <w:sz w:val="24"/>
    </w:rPr>
  </w:style>
  <w:style w:type="character" w:customStyle="1" w:styleId="378">
    <w:name w:val="样式12 Char"/>
    <w:link w:val="379"/>
    <w:qFormat/>
    <w:uiPriority w:val="0"/>
    <w:rPr>
      <w:kern w:val="2"/>
      <w:sz w:val="18"/>
      <w:szCs w:val="18"/>
    </w:rPr>
  </w:style>
  <w:style w:type="paragraph" w:customStyle="1" w:styleId="379">
    <w:name w:val="样式12"/>
    <w:basedOn w:val="39"/>
    <w:link w:val="378"/>
    <w:qFormat/>
    <w:uiPriority w:val="0"/>
    <w:pPr>
      <w:pBdr>
        <w:bottom w:val="none" w:color="auto" w:sz="0" w:space="0"/>
      </w:pBdr>
    </w:pPr>
    <w:rPr>
      <w:rFonts w:ascii="Calibri" w:hAnsi="Calibri"/>
    </w:rPr>
  </w:style>
  <w:style w:type="character" w:customStyle="1" w:styleId="380">
    <w:name w:val="页眉 Char1"/>
    <w:semiHidden/>
    <w:qFormat/>
    <w:uiPriority w:val="99"/>
    <w:rPr>
      <w:kern w:val="2"/>
      <w:sz w:val="18"/>
      <w:szCs w:val="18"/>
    </w:rPr>
  </w:style>
  <w:style w:type="character" w:customStyle="1" w:styleId="381">
    <w:name w:val="样式 首行缩进:  2 字符 Char"/>
    <w:qFormat/>
    <w:uiPriority w:val="0"/>
    <w:rPr>
      <w:rFonts w:eastAsia="宋体" w:cs="宋体"/>
      <w:sz w:val="24"/>
      <w:lang w:val="zh-CN" w:eastAsia="zh-CN" w:bidi="ar-SA"/>
    </w:rPr>
  </w:style>
  <w:style w:type="character" w:customStyle="1" w:styleId="382">
    <w:name w:val="表内文字 Char Char"/>
    <w:qFormat/>
    <w:uiPriority w:val="0"/>
    <w:rPr>
      <w:rFonts w:ascii="宋体" w:hAnsi="Courier New" w:eastAsia="宋体" w:cs="Courier New"/>
      <w:kern w:val="2"/>
      <w:sz w:val="21"/>
      <w:szCs w:val="21"/>
      <w:lang w:val="en-US" w:eastAsia="zh-CN" w:bidi="ar-SA"/>
    </w:rPr>
  </w:style>
  <w:style w:type="character" w:customStyle="1" w:styleId="383">
    <w:name w:val="表文居中 Char"/>
    <w:link w:val="384"/>
    <w:qFormat/>
    <w:uiPriority w:val="0"/>
    <w:rPr>
      <w:color w:val="000000"/>
      <w:kern w:val="2"/>
      <w:sz w:val="18"/>
    </w:rPr>
  </w:style>
  <w:style w:type="paragraph" w:customStyle="1" w:styleId="384">
    <w:name w:val="表文居中"/>
    <w:basedOn w:val="385"/>
    <w:link w:val="383"/>
    <w:qFormat/>
    <w:uiPriority w:val="0"/>
    <w:pPr>
      <w:overflowPunct w:val="0"/>
      <w:spacing w:line="240" w:lineRule="auto"/>
    </w:pPr>
    <w:rPr>
      <w:rFonts w:ascii="Calibri" w:hAnsi="Calibri"/>
      <w:color w:val="000000"/>
      <w:kern w:val="2"/>
    </w:rPr>
  </w:style>
  <w:style w:type="paragraph" w:customStyle="1" w:styleId="385">
    <w:name w:val="表文 Char Char"/>
    <w:basedOn w:val="1"/>
    <w:link w:val="386"/>
    <w:qFormat/>
    <w:uiPriority w:val="0"/>
    <w:pPr>
      <w:autoSpaceDE w:val="0"/>
      <w:autoSpaceDN w:val="0"/>
      <w:adjustRightInd w:val="0"/>
      <w:spacing w:line="300" w:lineRule="exact"/>
      <w:jc w:val="center"/>
      <w:textAlignment w:val="baseline"/>
    </w:pPr>
    <w:rPr>
      <w:kern w:val="0"/>
      <w:sz w:val="18"/>
      <w:szCs w:val="20"/>
    </w:rPr>
  </w:style>
  <w:style w:type="character" w:customStyle="1" w:styleId="386">
    <w:name w:val="表文 Char Char Char1"/>
    <w:link w:val="385"/>
    <w:qFormat/>
    <w:uiPriority w:val="0"/>
    <w:rPr>
      <w:rFonts w:ascii="Times New Roman" w:hAnsi="Times New Roman"/>
      <w:sz w:val="18"/>
    </w:rPr>
  </w:style>
  <w:style w:type="character" w:customStyle="1" w:styleId="387">
    <w:name w:val="小表文 Char"/>
    <w:link w:val="388"/>
    <w:qFormat/>
    <w:uiPriority w:val="0"/>
    <w:rPr>
      <w:sz w:val="18"/>
    </w:rPr>
  </w:style>
  <w:style w:type="paragraph" w:customStyle="1" w:styleId="388">
    <w:name w:val="小表文"/>
    <w:basedOn w:val="1"/>
    <w:link w:val="387"/>
    <w:qFormat/>
    <w:uiPriority w:val="0"/>
    <w:pPr>
      <w:autoSpaceDE w:val="0"/>
      <w:autoSpaceDN w:val="0"/>
      <w:adjustRightInd w:val="0"/>
      <w:spacing w:before="20"/>
      <w:textAlignment w:val="baseline"/>
    </w:pPr>
    <w:rPr>
      <w:rFonts w:ascii="Calibri" w:hAnsi="Calibri"/>
      <w:kern w:val="0"/>
      <w:sz w:val="18"/>
      <w:szCs w:val="20"/>
    </w:rPr>
  </w:style>
  <w:style w:type="character" w:customStyle="1" w:styleId="389">
    <w:name w:val="ask-title"/>
    <w:qFormat/>
    <w:uiPriority w:val="0"/>
  </w:style>
  <w:style w:type="character" w:customStyle="1" w:styleId="390">
    <w:name w:val="表号 Char Char"/>
    <w:link w:val="273"/>
    <w:qFormat/>
    <w:uiPriority w:val="0"/>
    <w:rPr>
      <w:rFonts w:ascii="Times New Roman" w:hAnsi="Times New Roman"/>
      <w:kern w:val="2"/>
      <w:sz w:val="21"/>
      <w:szCs w:val="24"/>
    </w:rPr>
  </w:style>
  <w:style w:type="character" w:customStyle="1" w:styleId="391">
    <w:name w:val="正文文本 Char1"/>
    <w:semiHidden/>
    <w:qFormat/>
    <w:uiPriority w:val="99"/>
    <w:rPr>
      <w:kern w:val="2"/>
      <w:sz w:val="24"/>
      <w:szCs w:val="24"/>
    </w:rPr>
  </w:style>
  <w:style w:type="character" w:customStyle="1" w:styleId="392">
    <w:name w:val="正文首行缩进 Char1"/>
    <w:semiHidden/>
    <w:qFormat/>
    <w:uiPriority w:val="99"/>
  </w:style>
  <w:style w:type="character" w:customStyle="1" w:styleId="393">
    <w:name w:val="文档结构图 Char1"/>
    <w:semiHidden/>
    <w:qFormat/>
    <w:uiPriority w:val="99"/>
    <w:rPr>
      <w:rFonts w:ascii="宋体"/>
      <w:kern w:val="2"/>
      <w:sz w:val="18"/>
      <w:szCs w:val="18"/>
    </w:rPr>
  </w:style>
  <w:style w:type="character" w:customStyle="1" w:styleId="394">
    <w:name w:val="表名 Char5"/>
    <w:qFormat/>
    <w:uiPriority w:val="0"/>
    <w:rPr>
      <w:rFonts w:ascii="Arial" w:hAnsi="Arial" w:eastAsia="黑体"/>
      <w:sz w:val="21"/>
      <w:lang w:val="en-US" w:eastAsia="zh-CN" w:bidi="ar-SA"/>
    </w:rPr>
  </w:style>
  <w:style w:type="character" w:customStyle="1" w:styleId="395">
    <w:name w:val="样式 右侧:  0 厘米 段前: 0.5 行 Char"/>
    <w:qFormat/>
    <w:uiPriority w:val="0"/>
    <w:rPr>
      <w:rFonts w:eastAsia="宋体" w:cs="宋体"/>
      <w:kern w:val="2"/>
      <w:sz w:val="24"/>
      <w:szCs w:val="24"/>
      <w:lang w:val="en-US" w:eastAsia="zh-CN" w:bidi="ar-SA"/>
    </w:rPr>
  </w:style>
  <w:style w:type="character" w:customStyle="1" w:styleId="396">
    <w:name w:val="正文缩进 Char Char1"/>
    <w:qFormat/>
    <w:uiPriority w:val="0"/>
    <w:rPr>
      <w:rFonts w:eastAsia="宋体"/>
      <w:sz w:val="24"/>
      <w:lang w:val="en-US" w:eastAsia="zh-CN" w:bidi="ar-SA"/>
    </w:rPr>
  </w:style>
  <w:style w:type="character" w:customStyle="1" w:styleId="397">
    <w:name w:val="表内格式 Char"/>
    <w:link w:val="398"/>
    <w:qFormat/>
    <w:uiPriority w:val="0"/>
    <w:rPr>
      <w:rFonts w:ascii="宋体" w:hAnsi="宋体"/>
      <w:sz w:val="18"/>
    </w:rPr>
  </w:style>
  <w:style w:type="paragraph" w:customStyle="1" w:styleId="398">
    <w:name w:val="表内格式"/>
    <w:basedOn w:val="1"/>
    <w:link w:val="397"/>
    <w:qFormat/>
    <w:uiPriority w:val="0"/>
    <w:pPr>
      <w:widowControl/>
      <w:spacing w:line="280" w:lineRule="exact"/>
      <w:jc w:val="center"/>
    </w:pPr>
    <w:rPr>
      <w:rFonts w:ascii="宋体" w:hAnsi="宋体"/>
      <w:kern w:val="0"/>
      <w:sz w:val="18"/>
      <w:szCs w:val="20"/>
    </w:rPr>
  </w:style>
  <w:style w:type="character" w:customStyle="1" w:styleId="399">
    <w:name w:val="四级标题 Char Char"/>
    <w:qFormat/>
    <w:uiPriority w:val="0"/>
    <w:rPr>
      <w:rFonts w:ascii="Times New Roman" w:hAnsi="Times New Roman" w:eastAsia="黑体" w:cs="Times New Roman"/>
      <w:b/>
      <w:bCs/>
      <w:kern w:val="2"/>
      <w:sz w:val="24"/>
      <w:szCs w:val="32"/>
    </w:rPr>
  </w:style>
  <w:style w:type="character" w:customStyle="1" w:styleId="400">
    <w:name w:val="样式11 Char"/>
    <w:link w:val="401"/>
    <w:qFormat/>
    <w:uiPriority w:val="0"/>
    <w:rPr>
      <w:kern w:val="2"/>
      <w:sz w:val="18"/>
      <w:szCs w:val="18"/>
    </w:rPr>
  </w:style>
  <w:style w:type="paragraph" w:customStyle="1" w:styleId="401">
    <w:name w:val="样式11"/>
    <w:basedOn w:val="39"/>
    <w:link w:val="400"/>
    <w:qFormat/>
    <w:uiPriority w:val="0"/>
    <w:pPr>
      <w:pBdr>
        <w:bottom w:val="none" w:color="auto" w:sz="0" w:space="0"/>
      </w:pBdr>
    </w:pPr>
    <w:rPr>
      <w:rFonts w:ascii="Calibri" w:hAnsi="Calibri"/>
    </w:rPr>
  </w:style>
  <w:style w:type="character" w:customStyle="1" w:styleId="402">
    <w:name w:val="grame"/>
    <w:qFormat/>
    <w:uiPriority w:val="0"/>
  </w:style>
  <w:style w:type="character" w:customStyle="1" w:styleId="403">
    <w:name w:val="正文文本缩进 2 Char"/>
    <w:link w:val="35"/>
    <w:qFormat/>
    <w:uiPriority w:val="0"/>
    <w:rPr>
      <w:rFonts w:ascii="Times New Roman" w:hAnsi="Times New Roman"/>
      <w:kern w:val="2"/>
      <w:sz w:val="24"/>
      <w:szCs w:val="22"/>
    </w:rPr>
  </w:style>
  <w:style w:type="character" w:customStyle="1" w:styleId="404">
    <w:name w:val="正文文本缩进 2 Char1"/>
    <w:semiHidden/>
    <w:qFormat/>
    <w:uiPriority w:val="99"/>
    <w:rPr>
      <w:kern w:val="2"/>
      <w:sz w:val="24"/>
      <w:szCs w:val="24"/>
    </w:rPr>
  </w:style>
  <w:style w:type="character" w:customStyle="1" w:styleId="405">
    <w:name w:val="正文文字缩进 Char Char Char"/>
    <w:qFormat/>
    <w:uiPriority w:val="0"/>
    <w:rPr>
      <w:rFonts w:ascii="Calibri" w:hAnsi="Calibri" w:eastAsia="宋体"/>
      <w:sz w:val="22"/>
      <w:szCs w:val="22"/>
      <w:lang w:val="en-US" w:eastAsia="en-US" w:bidi="en-US"/>
    </w:rPr>
  </w:style>
  <w:style w:type="character" w:customStyle="1" w:styleId="406">
    <w:name w:val="样式4 Char4"/>
    <w:link w:val="238"/>
    <w:qFormat/>
    <w:uiPriority w:val="0"/>
    <w:rPr>
      <w:rFonts w:ascii="Times New Roman" w:hAnsi="Times New Roman" w:eastAsia="华文中宋"/>
      <w:kern w:val="2"/>
      <w:sz w:val="24"/>
      <w:szCs w:val="24"/>
    </w:rPr>
  </w:style>
  <w:style w:type="character" w:customStyle="1" w:styleId="407">
    <w:name w:val="样式 标题 3小节 + Times New Roman Char"/>
    <w:link w:val="408"/>
    <w:qFormat/>
    <w:uiPriority w:val="0"/>
    <w:rPr>
      <w:rFonts w:ascii="Arial" w:hAnsi="Arial" w:eastAsia="黑体"/>
      <w:b/>
      <w:bCs/>
      <w:sz w:val="24"/>
      <w:szCs w:val="24"/>
      <w:lang w:val="zh-CN"/>
    </w:rPr>
  </w:style>
  <w:style w:type="paragraph" w:customStyle="1" w:styleId="408">
    <w:name w:val="样式 标题 3小节 + Times New Roman"/>
    <w:basedOn w:val="4"/>
    <w:link w:val="407"/>
    <w:qFormat/>
    <w:uiPriority w:val="0"/>
    <w:pPr>
      <w:spacing w:before="260" w:after="260"/>
    </w:pPr>
    <w:rPr>
      <w:rFonts w:ascii="Arial" w:hAnsi="Arial"/>
      <w:kern w:val="0"/>
      <w:szCs w:val="24"/>
      <w:lang w:val="zh-CN"/>
    </w:rPr>
  </w:style>
  <w:style w:type="character" w:customStyle="1" w:styleId="409">
    <w:name w:val="纯文本 Char1"/>
    <w:semiHidden/>
    <w:qFormat/>
    <w:uiPriority w:val="99"/>
    <w:rPr>
      <w:rFonts w:ascii="宋体" w:hAnsi="Courier New" w:cs="Courier New"/>
      <w:kern w:val="2"/>
      <w:sz w:val="21"/>
      <w:szCs w:val="21"/>
    </w:rPr>
  </w:style>
  <w:style w:type="character" w:customStyle="1" w:styleId="410">
    <w:name w:val="引用 Char"/>
    <w:link w:val="411"/>
    <w:qFormat/>
    <w:uiPriority w:val="0"/>
    <w:rPr>
      <w:iCs/>
      <w:sz w:val="18"/>
    </w:rPr>
  </w:style>
  <w:style w:type="paragraph" w:customStyle="1" w:styleId="411">
    <w:name w:val="引用1"/>
    <w:basedOn w:val="155"/>
    <w:next w:val="412"/>
    <w:link w:val="410"/>
    <w:qFormat/>
    <w:uiPriority w:val="0"/>
    <w:pPr>
      <w:keepLines/>
      <w:widowControl/>
      <w:overflowPunct/>
      <w:spacing w:line="240" w:lineRule="auto"/>
    </w:pPr>
    <w:rPr>
      <w:rFonts w:ascii="Calibri" w:hAnsi="Calibri"/>
      <w:iCs/>
      <w:snapToGrid/>
      <w:color w:val="auto"/>
      <w:kern w:val="0"/>
      <w:sz w:val="18"/>
      <w:szCs w:val="20"/>
    </w:rPr>
  </w:style>
  <w:style w:type="paragraph" w:customStyle="1" w:styleId="412">
    <w:name w:val="表格10号"/>
    <w:basedOn w:val="1"/>
    <w:link w:val="413"/>
    <w:qFormat/>
    <w:uiPriority w:val="0"/>
    <w:pPr>
      <w:keepLines/>
      <w:adjustRightInd w:val="0"/>
      <w:snapToGrid w:val="0"/>
      <w:spacing w:line="240" w:lineRule="auto"/>
      <w:ind w:firstLine="0" w:firstLineChars="0"/>
      <w:jc w:val="center"/>
    </w:pPr>
    <w:rPr>
      <w:bCs/>
      <w:sz w:val="20"/>
      <w:szCs w:val="28"/>
    </w:rPr>
  </w:style>
  <w:style w:type="character" w:customStyle="1" w:styleId="413">
    <w:name w:val="表格10号 Char"/>
    <w:link w:val="412"/>
    <w:qFormat/>
    <w:uiPriority w:val="0"/>
    <w:rPr>
      <w:rFonts w:ascii="Times New Roman" w:hAnsi="Times New Roman"/>
      <w:bCs/>
      <w:kern w:val="2"/>
      <w:szCs w:val="28"/>
    </w:rPr>
  </w:style>
  <w:style w:type="character" w:customStyle="1" w:styleId="414">
    <w:name w:val="三级标题 Char Char"/>
    <w:qFormat/>
    <w:uiPriority w:val="0"/>
    <w:rPr>
      <w:rFonts w:ascii="Times New Roman" w:hAnsi="Times New Roman" w:eastAsia="黑体"/>
      <w:b/>
      <w:bCs/>
      <w:kern w:val="2"/>
      <w:sz w:val="24"/>
      <w:szCs w:val="32"/>
    </w:rPr>
  </w:style>
  <w:style w:type="character" w:customStyle="1" w:styleId="415">
    <w:name w:val="lefter2"/>
    <w:qFormat/>
    <w:uiPriority w:val="0"/>
  </w:style>
  <w:style w:type="character" w:customStyle="1" w:styleId="416">
    <w:name w:val="doc-desc-all2"/>
    <w:qFormat/>
    <w:uiPriority w:val="0"/>
  </w:style>
  <w:style w:type="character" w:customStyle="1" w:styleId="417">
    <w:name w:val="标题 11"/>
    <w:qFormat/>
    <w:uiPriority w:val="0"/>
    <w:rPr>
      <w:kern w:val="44"/>
    </w:rPr>
  </w:style>
  <w:style w:type="character" w:customStyle="1" w:styleId="418">
    <w:name w:val="样式 正文（首行缩进两字） + 首行缩进:  2 字符 Char"/>
    <w:link w:val="419"/>
    <w:qFormat/>
    <w:uiPriority w:val="0"/>
    <w:rPr>
      <w:rFonts w:cs="宋体"/>
      <w:kern w:val="2"/>
      <w:sz w:val="24"/>
    </w:rPr>
  </w:style>
  <w:style w:type="paragraph" w:customStyle="1" w:styleId="419">
    <w:name w:val="样式 正文（首行缩进两字） + 首行缩进:  2 字符"/>
    <w:basedOn w:val="15"/>
    <w:link w:val="418"/>
    <w:qFormat/>
    <w:uiPriority w:val="0"/>
    <w:pPr>
      <w:spacing w:line="360" w:lineRule="auto"/>
      <w:ind w:firstLine="480"/>
    </w:pPr>
    <w:rPr>
      <w:rFonts w:ascii="Calibri" w:hAnsi="Calibri" w:cs="宋体"/>
      <w:szCs w:val="20"/>
    </w:rPr>
  </w:style>
  <w:style w:type="character" w:customStyle="1" w:styleId="420">
    <w:name w:val="表号 Char2"/>
    <w:qFormat/>
    <w:uiPriority w:val="0"/>
    <w:rPr>
      <w:rFonts w:eastAsia="宋体"/>
      <w:b/>
      <w:spacing w:val="6"/>
      <w:sz w:val="30"/>
      <w:lang w:val="en-US" w:eastAsia="zh-CN" w:bidi="ar-SA"/>
    </w:rPr>
  </w:style>
  <w:style w:type="character" w:customStyle="1" w:styleId="421">
    <w:name w:val="样式 正文1 Char + 仿宋_GB2312 四号 首行缩进:  2 字符 Char Char Char Char Char Char"/>
    <w:link w:val="422"/>
    <w:qFormat/>
    <w:uiPriority w:val="0"/>
    <w:rPr>
      <w:sz w:val="24"/>
      <w:szCs w:val="24"/>
    </w:rPr>
  </w:style>
  <w:style w:type="paragraph" w:customStyle="1" w:styleId="422">
    <w:name w:val="样式 正文1 Char + 仿宋_GB2312 四号 首行缩进:  2 字符 Char Char Char Char Char"/>
    <w:basedOn w:val="1"/>
    <w:link w:val="421"/>
    <w:qFormat/>
    <w:uiPriority w:val="0"/>
    <w:pPr>
      <w:suppressLineNumbers/>
      <w:suppressAutoHyphens/>
      <w:topLinePunct/>
      <w:adjustRightInd w:val="0"/>
      <w:snapToGrid w:val="0"/>
    </w:pPr>
    <w:rPr>
      <w:rFonts w:ascii="Calibri" w:hAnsi="Calibri"/>
      <w:kern w:val="0"/>
      <w:szCs w:val="24"/>
    </w:rPr>
  </w:style>
  <w:style w:type="character" w:customStyle="1" w:styleId="423">
    <w:name w:val="无间隔 Char"/>
    <w:qFormat/>
    <w:uiPriority w:val="1"/>
    <w:rPr>
      <w:rFonts w:hAnsi="Cambria"/>
      <w:b/>
      <w:bCs/>
      <w:sz w:val="21"/>
      <w:szCs w:val="28"/>
      <w:lang w:bidi="ar-SA"/>
    </w:rPr>
  </w:style>
  <w:style w:type="character" w:customStyle="1" w:styleId="424">
    <w:name w:val="鲍伟 正文 Char"/>
    <w:link w:val="425"/>
    <w:qFormat/>
    <w:uiPriority w:val="0"/>
    <w:rPr>
      <w:rFonts w:ascii="宋体" w:hAnsi="宋体" w:eastAsia="Times New Roman"/>
      <w:kern w:val="2"/>
      <w:sz w:val="24"/>
      <w:szCs w:val="22"/>
    </w:rPr>
  </w:style>
  <w:style w:type="paragraph" w:customStyle="1" w:styleId="425">
    <w:name w:val="鲍伟 正文"/>
    <w:link w:val="424"/>
    <w:qFormat/>
    <w:uiPriority w:val="0"/>
    <w:pPr>
      <w:spacing w:line="360" w:lineRule="auto"/>
      <w:ind w:left="-4" w:leftChars="-2" w:firstLine="480" w:firstLineChars="200"/>
      <w:jc w:val="both"/>
    </w:pPr>
    <w:rPr>
      <w:rFonts w:ascii="宋体" w:hAnsi="宋体" w:eastAsia="Times New Roman" w:cs="Times New Roman"/>
      <w:kern w:val="2"/>
      <w:sz w:val="24"/>
      <w:szCs w:val="22"/>
      <w:lang w:val="en-US" w:eastAsia="zh-CN" w:bidi="ar-SA"/>
    </w:rPr>
  </w:style>
  <w:style w:type="character" w:customStyle="1" w:styleId="426">
    <w:name w:val="Char2 Char Char1"/>
    <w:qFormat/>
    <w:uiPriority w:val="0"/>
    <w:rPr>
      <w:rFonts w:eastAsia="宋体"/>
      <w:kern w:val="2"/>
      <w:sz w:val="18"/>
      <w:szCs w:val="18"/>
      <w:lang w:val="en-US" w:eastAsia="zh-CN" w:bidi="ar-SA"/>
    </w:rPr>
  </w:style>
  <w:style w:type="character" w:customStyle="1" w:styleId="427">
    <w:name w:val="表号 Char1"/>
    <w:qFormat/>
    <w:uiPriority w:val="0"/>
    <w:rPr>
      <w:rFonts w:eastAsia="宋体"/>
      <w:kern w:val="2"/>
      <w:sz w:val="18"/>
      <w:lang w:val="en-US" w:eastAsia="zh-CN" w:bidi="ar-SA"/>
    </w:rPr>
  </w:style>
  <w:style w:type="character" w:customStyle="1" w:styleId="428">
    <w:name w:val="明显引用 Char"/>
    <w:link w:val="429"/>
    <w:qFormat/>
    <w:uiPriority w:val="0"/>
    <w:rPr>
      <w:bCs/>
      <w:iCs/>
      <w:kern w:val="2"/>
      <w:sz w:val="24"/>
      <w:szCs w:val="22"/>
    </w:rPr>
  </w:style>
  <w:style w:type="paragraph" w:customStyle="1" w:styleId="429">
    <w:name w:val="明显引用1"/>
    <w:basedOn w:val="1"/>
    <w:next w:val="1"/>
    <w:link w:val="428"/>
    <w:qFormat/>
    <w:uiPriority w:val="0"/>
    <w:pPr>
      <w:pBdr>
        <w:bottom w:val="single" w:color="4F81BD" w:sz="4" w:space="4"/>
      </w:pBdr>
      <w:spacing w:before="200" w:after="280"/>
      <w:ind w:left="936" w:right="936"/>
    </w:pPr>
    <w:rPr>
      <w:rFonts w:ascii="Calibri" w:hAnsi="Calibri"/>
      <w:bCs/>
      <w:iCs/>
    </w:rPr>
  </w:style>
  <w:style w:type="character" w:customStyle="1" w:styleId="430">
    <w:name w:val="一级标题 Char Char"/>
    <w:qFormat/>
    <w:uiPriority w:val="0"/>
    <w:rPr>
      <w:rFonts w:ascii="Times New Roman" w:hAnsi="Times New Roman" w:eastAsia="黑体"/>
      <w:b/>
      <w:bCs/>
      <w:kern w:val="44"/>
      <w:sz w:val="32"/>
      <w:szCs w:val="44"/>
    </w:rPr>
  </w:style>
  <w:style w:type="character" w:customStyle="1" w:styleId="431">
    <w:name w:val="纯文本 Char Char Char Char Char Char Char"/>
    <w:qFormat/>
    <w:uiPriority w:val="0"/>
    <w:rPr>
      <w:rFonts w:ascii="宋体" w:hAnsi="Courier New" w:eastAsia="宋体" w:cs="Courier New"/>
      <w:kern w:val="2"/>
      <w:sz w:val="21"/>
      <w:szCs w:val="21"/>
      <w:lang w:val="en-US" w:eastAsia="zh-CN" w:bidi="ar-SA"/>
    </w:rPr>
  </w:style>
  <w:style w:type="character" w:customStyle="1" w:styleId="432">
    <w:name w:val="样式 正文+首行缩进2字符 + 黑色 Char Char"/>
    <w:qFormat/>
    <w:uiPriority w:val="0"/>
    <w:rPr>
      <w:rFonts w:ascii="宋体" w:hAnsi="宋体" w:eastAsia="宋体" w:cs="宋体"/>
      <w:color w:val="000000"/>
      <w:sz w:val="24"/>
      <w:szCs w:val="24"/>
      <w:lang w:val="en-US" w:eastAsia="zh-CN" w:bidi="ar-SA"/>
    </w:rPr>
  </w:style>
  <w:style w:type="character" w:customStyle="1" w:styleId="433">
    <w:name w:val="样式 标题 5标题 5 Char + 宋体 Char"/>
    <w:semiHidden/>
    <w:qFormat/>
    <w:uiPriority w:val="0"/>
    <w:rPr>
      <w:rFonts w:ascii="宋体" w:hAnsi="宋体" w:eastAsia="宋体"/>
      <w:snapToGrid w:val="0"/>
      <w:sz w:val="24"/>
      <w:szCs w:val="24"/>
      <w:lang w:val="en-US" w:eastAsia="zh-CN" w:bidi="ar-SA"/>
    </w:rPr>
  </w:style>
  <w:style w:type="character" w:customStyle="1" w:styleId="434">
    <w:name w:val="正文+首行缩进2字符 Char"/>
    <w:qFormat/>
    <w:uiPriority w:val="0"/>
    <w:rPr>
      <w:rFonts w:ascii="宋体" w:hAnsi="宋体" w:eastAsia="宋体" w:cs="宋体"/>
      <w:sz w:val="24"/>
      <w:lang w:val="en-US" w:eastAsia="zh-CN" w:bidi="ar-SA"/>
    </w:rPr>
  </w:style>
  <w:style w:type="character" w:customStyle="1" w:styleId="435">
    <w:name w:val="表头 Char Char Char Char"/>
    <w:qFormat/>
    <w:uiPriority w:val="0"/>
    <w:rPr>
      <w:rFonts w:ascii="宋体" w:hAnsi="Courier New" w:eastAsia="宋体" w:cs="宋体"/>
      <w:b/>
      <w:bCs/>
      <w:snapToGrid w:val="0"/>
      <w:kern w:val="2"/>
      <w:sz w:val="21"/>
      <w:szCs w:val="21"/>
      <w:lang w:val="en-US" w:eastAsia="zh-CN" w:bidi="ar-SA"/>
    </w:rPr>
  </w:style>
  <w:style w:type="character" w:customStyle="1" w:styleId="436">
    <w:name w:val="标题 4 Char Char2"/>
    <w:qFormat/>
    <w:uiPriority w:val="0"/>
    <w:rPr>
      <w:rFonts w:eastAsia="宋体"/>
      <w:sz w:val="24"/>
      <w:lang w:val="en-US" w:eastAsia="zh-CN" w:bidi="ar-SA"/>
    </w:rPr>
  </w:style>
  <w:style w:type="character" w:customStyle="1" w:styleId="437">
    <w:name w:val="四级标题-水保 Char"/>
    <w:link w:val="438"/>
    <w:qFormat/>
    <w:uiPriority w:val="1"/>
    <w:rPr>
      <w:b/>
      <w:sz w:val="24"/>
    </w:rPr>
  </w:style>
  <w:style w:type="paragraph" w:customStyle="1" w:styleId="438">
    <w:name w:val="四级标题-水保"/>
    <w:link w:val="437"/>
    <w:qFormat/>
    <w:uiPriority w:val="1"/>
    <w:pPr>
      <w:keepNext/>
      <w:spacing w:line="360" w:lineRule="auto"/>
      <w:jc w:val="both"/>
      <w:outlineLvl w:val="3"/>
    </w:pPr>
    <w:rPr>
      <w:rFonts w:ascii="Calibri" w:hAnsi="Calibri" w:eastAsia="宋体" w:cs="Times New Roman"/>
      <w:b/>
      <w:sz w:val="24"/>
      <w:lang w:val="en-US" w:eastAsia="zh-CN" w:bidi="ar-SA"/>
    </w:rPr>
  </w:style>
  <w:style w:type="character" w:customStyle="1" w:styleId="439">
    <w:name w:val="正文01 Char"/>
    <w:link w:val="440"/>
    <w:qFormat/>
    <w:uiPriority w:val="0"/>
    <w:rPr>
      <w:rFonts w:ascii="Arial" w:hAnsi="Arial" w:cs="Arial"/>
      <w:kern w:val="2"/>
      <w:sz w:val="24"/>
      <w:szCs w:val="24"/>
    </w:rPr>
  </w:style>
  <w:style w:type="paragraph" w:customStyle="1" w:styleId="440">
    <w:name w:val="正文01"/>
    <w:basedOn w:val="24"/>
    <w:link w:val="439"/>
    <w:qFormat/>
    <w:uiPriority w:val="0"/>
    <w:pPr>
      <w:spacing w:after="0" w:line="400" w:lineRule="exact"/>
      <w:ind w:left="0" w:leftChars="0"/>
    </w:pPr>
    <w:rPr>
      <w:rFonts w:ascii="Arial" w:hAnsi="Arial" w:cs="Arial"/>
      <w:szCs w:val="24"/>
    </w:rPr>
  </w:style>
  <w:style w:type="character" w:customStyle="1" w:styleId="441">
    <w:name w:val="10.2.2 Char Char"/>
    <w:link w:val="442"/>
    <w:qFormat/>
    <w:uiPriority w:val="0"/>
    <w:rPr>
      <w:rFonts w:ascii="宋体" w:hAnsi="宋体"/>
      <w:bCs/>
      <w:sz w:val="28"/>
      <w:szCs w:val="28"/>
    </w:rPr>
  </w:style>
  <w:style w:type="paragraph" w:customStyle="1" w:styleId="442">
    <w:name w:val="10.2.2"/>
    <w:basedOn w:val="15"/>
    <w:link w:val="441"/>
    <w:qFormat/>
    <w:uiPriority w:val="0"/>
    <w:pPr>
      <w:adjustRightInd w:val="0"/>
      <w:snapToGrid w:val="0"/>
      <w:spacing w:line="336" w:lineRule="auto"/>
      <w:ind w:firstLine="200"/>
    </w:pPr>
    <w:rPr>
      <w:rFonts w:ascii="宋体" w:hAnsi="宋体"/>
      <w:bCs/>
      <w:kern w:val="0"/>
      <w:sz w:val="28"/>
      <w:szCs w:val="28"/>
    </w:rPr>
  </w:style>
  <w:style w:type="character" w:customStyle="1" w:styleId="443">
    <w:name w:val="正文文本 3 Char1"/>
    <w:semiHidden/>
    <w:qFormat/>
    <w:uiPriority w:val="99"/>
    <w:rPr>
      <w:kern w:val="2"/>
      <w:sz w:val="16"/>
      <w:szCs w:val="16"/>
    </w:rPr>
  </w:style>
  <w:style w:type="character" w:customStyle="1" w:styleId="444">
    <w:name w:val="样式 标题 3标题 3 Char Char Char Char标题 3 Char Char Char + Times New... Char"/>
    <w:qFormat/>
    <w:uiPriority w:val="0"/>
    <w:rPr>
      <w:rFonts w:eastAsia="黑体"/>
      <w:bCs/>
      <w:snapToGrid w:val="0"/>
      <w:color w:val="000000"/>
      <w:sz w:val="24"/>
      <w:szCs w:val="24"/>
      <w:lang w:val="en-US" w:eastAsia="zh-CN" w:bidi="ar-SA"/>
    </w:rPr>
  </w:style>
  <w:style w:type="character" w:customStyle="1" w:styleId="445">
    <w:name w:val="表名 Char3"/>
    <w:qFormat/>
    <w:uiPriority w:val="0"/>
    <w:rPr>
      <w:rFonts w:eastAsia="黑体"/>
      <w:sz w:val="21"/>
      <w:szCs w:val="21"/>
      <w:lang w:val="en-US" w:eastAsia="zh-CN" w:bidi="ar-SA"/>
    </w:rPr>
  </w:style>
  <w:style w:type="character" w:customStyle="1" w:styleId="446">
    <w:name w:val="二级标题-水保 Char"/>
    <w:link w:val="447"/>
    <w:qFormat/>
    <w:uiPriority w:val="0"/>
    <w:rPr>
      <w:rFonts w:eastAsia="黑体"/>
      <w:b/>
      <w:kern w:val="2"/>
      <w:sz w:val="28"/>
      <w:szCs w:val="24"/>
    </w:rPr>
  </w:style>
  <w:style w:type="paragraph" w:customStyle="1" w:styleId="447">
    <w:name w:val="二级标题-水保"/>
    <w:next w:val="1"/>
    <w:link w:val="446"/>
    <w:qFormat/>
    <w:uiPriority w:val="0"/>
    <w:pPr>
      <w:keepNext/>
      <w:spacing w:line="360" w:lineRule="auto"/>
      <w:jc w:val="both"/>
      <w:outlineLvl w:val="1"/>
    </w:pPr>
    <w:rPr>
      <w:rFonts w:ascii="Calibri" w:hAnsi="Calibri" w:eastAsia="黑体" w:cs="Times New Roman"/>
      <w:b/>
      <w:kern w:val="2"/>
      <w:sz w:val="28"/>
      <w:szCs w:val="24"/>
      <w:lang w:val="en-US" w:eastAsia="zh-CN" w:bidi="ar-SA"/>
    </w:rPr>
  </w:style>
  <w:style w:type="character" w:customStyle="1" w:styleId="448">
    <w:name w:val="表名称 Char"/>
    <w:qFormat/>
    <w:uiPriority w:val="0"/>
    <w:rPr>
      <w:rFonts w:ascii="黑体" w:hAnsi="黑体" w:eastAsia="黑体" w:cs="宋体"/>
      <w:kern w:val="2"/>
      <w:sz w:val="21"/>
      <w:lang w:val="en-US" w:eastAsia="zh-CN" w:bidi="ar-SA"/>
    </w:rPr>
  </w:style>
  <w:style w:type="character" w:customStyle="1" w:styleId="449">
    <w:name w:val="日期 Char1"/>
    <w:semiHidden/>
    <w:qFormat/>
    <w:uiPriority w:val="99"/>
    <w:rPr>
      <w:kern w:val="2"/>
      <w:sz w:val="24"/>
      <w:szCs w:val="24"/>
    </w:rPr>
  </w:style>
  <w:style w:type="character" w:customStyle="1" w:styleId="450">
    <w:name w:val="xyb自建正文 Char"/>
    <w:link w:val="293"/>
    <w:qFormat/>
    <w:uiPriority w:val="0"/>
    <w:rPr>
      <w:rFonts w:ascii="宋体" w:hAnsi="宋体"/>
      <w:i/>
      <w:sz w:val="28"/>
      <w:szCs w:val="28"/>
    </w:rPr>
  </w:style>
  <w:style w:type="character" w:customStyle="1" w:styleId="451">
    <w:name w:val="表文 Char Char Char"/>
    <w:qFormat/>
    <w:uiPriority w:val="0"/>
    <w:rPr>
      <w:rFonts w:eastAsia="宋体"/>
      <w:kern w:val="2"/>
      <w:sz w:val="21"/>
      <w:lang w:val="en-US" w:eastAsia="zh-CN" w:bidi="ar-SA"/>
    </w:rPr>
  </w:style>
  <w:style w:type="character" w:customStyle="1" w:styleId="452">
    <w:name w:val="表文 Char Char1"/>
    <w:link w:val="453"/>
    <w:qFormat/>
    <w:uiPriority w:val="0"/>
    <w:rPr>
      <w:snapToGrid w:val="0"/>
      <w:sz w:val="21"/>
      <w:szCs w:val="21"/>
    </w:rPr>
  </w:style>
  <w:style w:type="paragraph" w:customStyle="1" w:styleId="453">
    <w:name w:val="表文 Char"/>
    <w:basedOn w:val="1"/>
    <w:link w:val="452"/>
    <w:qFormat/>
    <w:uiPriority w:val="0"/>
    <w:pPr>
      <w:autoSpaceDE w:val="0"/>
      <w:autoSpaceDN w:val="0"/>
      <w:adjustRightInd w:val="0"/>
      <w:spacing w:line="300" w:lineRule="exact"/>
      <w:jc w:val="center"/>
      <w:textAlignment w:val="baseline"/>
    </w:pPr>
    <w:rPr>
      <w:rFonts w:ascii="Calibri" w:hAnsi="Calibri"/>
      <w:snapToGrid w:val="0"/>
      <w:kern w:val="0"/>
      <w:sz w:val="21"/>
      <w:szCs w:val="21"/>
    </w:rPr>
  </w:style>
  <w:style w:type="character" w:customStyle="1" w:styleId="454">
    <w:name w:val="图下文字 Char"/>
    <w:link w:val="455"/>
    <w:qFormat/>
    <w:uiPriority w:val="0"/>
    <w:rPr>
      <w:b/>
      <w:sz w:val="21"/>
      <w:szCs w:val="21"/>
      <w:lang w:bidi="en-US"/>
    </w:rPr>
  </w:style>
  <w:style w:type="paragraph" w:customStyle="1" w:styleId="455">
    <w:name w:val="图下文字"/>
    <w:link w:val="454"/>
    <w:qFormat/>
    <w:uiPriority w:val="0"/>
    <w:pPr>
      <w:adjustRightInd w:val="0"/>
      <w:snapToGrid w:val="0"/>
      <w:spacing w:after="200" w:line="360" w:lineRule="auto"/>
      <w:jc w:val="center"/>
    </w:pPr>
    <w:rPr>
      <w:rFonts w:ascii="Calibri" w:hAnsi="Calibri" w:eastAsia="宋体" w:cs="Times New Roman"/>
      <w:b/>
      <w:sz w:val="21"/>
      <w:szCs w:val="21"/>
      <w:lang w:val="en-US" w:eastAsia="zh-CN" w:bidi="en-US"/>
    </w:rPr>
  </w:style>
  <w:style w:type="character" w:customStyle="1" w:styleId="456">
    <w:name w:val="样式 黑色"/>
    <w:qFormat/>
    <w:uiPriority w:val="0"/>
    <w:rPr>
      <w:rFonts w:eastAsia="宋体"/>
      <w:color w:val="auto"/>
      <w:sz w:val="28"/>
      <w:szCs w:val="28"/>
    </w:rPr>
  </w:style>
  <w:style w:type="character" w:customStyle="1" w:styleId="457">
    <w:name w:val="页脚 Char1"/>
    <w:semiHidden/>
    <w:qFormat/>
    <w:uiPriority w:val="99"/>
    <w:rPr>
      <w:kern w:val="2"/>
      <w:sz w:val="18"/>
      <w:szCs w:val="18"/>
    </w:rPr>
  </w:style>
  <w:style w:type="character" w:customStyle="1" w:styleId="458">
    <w:name w:val="样式 标题 3 + 小四 非加粗 Char Char Char Char Char Char Char Char Char Char Char Char Char Char Char Char Char Char Char"/>
    <w:qFormat/>
    <w:uiPriority w:val="0"/>
    <w:rPr>
      <w:rFonts w:eastAsia="黑体"/>
      <w:b/>
      <w:bCs/>
      <w:snapToGrid w:val="0"/>
      <w:kern w:val="2"/>
      <w:sz w:val="24"/>
      <w:szCs w:val="32"/>
      <w:lang w:val="en-US" w:eastAsia="zh-CN" w:bidi="ar-SA"/>
    </w:rPr>
  </w:style>
  <w:style w:type="character" w:customStyle="1" w:styleId="459">
    <w:name w:val="表文 Char2"/>
    <w:qFormat/>
    <w:uiPriority w:val="0"/>
    <w:rPr>
      <w:rFonts w:eastAsia="宋体"/>
      <w:sz w:val="18"/>
      <w:lang w:val="en-US" w:eastAsia="zh-CN" w:bidi="ar-SA"/>
    </w:rPr>
  </w:style>
  <w:style w:type="character" w:customStyle="1" w:styleId="460">
    <w:name w:val="样式 正文 Char"/>
    <w:link w:val="461"/>
    <w:qFormat/>
    <w:uiPriority w:val="0"/>
    <w:rPr>
      <w:rFonts w:ascii="宋体"/>
      <w:sz w:val="24"/>
      <w:szCs w:val="24"/>
    </w:rPr>
  </w:style>
  <w:style w:type="paragraph" w:customStyle="1" w:styleId="461">
    <w:name w:val="样式 正文"/>
    <w:basedOn w:val="1"/>
    <w:link w:val="460"/>
    <w:qFormat/>
    <w:uiPriority w:val="0"/>
    <w:pPr>
      <w:adjustRightInd w:val="0"/>
      <w:spacing w:line="560" w:lineRule="exact"/>
      <w:ind w:firstLine="480"/>
    </w:pPr>
    <w:rPr>
      <w:rFonts w:ascii="宋体" w:hAnsi="Calibri"/>
      <w:kern w:val="0"/>
      <w:szCs w:val="24"/>
    </w:rPr>
  </w:style>
  <w:style w:type="character" w:customStyle="1" w:styleId="462">
    <w:name w:val="样式 左侧:  0.98 厘米 Char1"/>
    <w:link w:val="463"/>
    <w:qFormat/>
    <w:uiPriority w:val="0"/>
    <w:rPr>
      <w:rFonts w:eastAsia="仿宋_GB2312"/>
      <w:sz w:val="28"/>
    </w:rPr>
  </w:style>
  <w:style w:type="paragraph" w:customStyle="1" w:styleId="463">
    <w:name w:val="样式 左侧:  0.98 厘米"/>
    <w:basedOn w:val="1"/>
    <w:link w:val="462"/>
    <w:qFormat/>
    <w:uiPriority w:val="0"/>
    <w:pPr>
      <w:adjustRightInd w:val="0"/>
      <w:snapToGrid w:val="0"/>
      <w:spacing w:line="490" w:lineRule="exact"/>
      <w:ind w:firstLine="560"/>
    </w:pPr>
    <w:rPr>
      <w:rFonts w:ascii="Calibri" w:hAnsi="Calibri" w:eastAsia="仿宋_GB2312"/>
      <w:kern w:val="0"/>
      <w:sz w:val="28"/>
      <w:szCs w:val="20"/>
    </w:rPr>
  </w:style>
  <w:style w:type="character" w:customStyle="1" w:styleId="464">
    <w:name w:val="图表标题 Char Char"/>
    <w:qFormat/>
    <w:uiPriority w:val="0"/>
    <w:rPr>
      <w:rFonts w:eastAsia="宋体"/>
      <w:kern w:val="2"/>
      <w:sz w:val="21"/>
      <w:lang w:val="en-US" w:eastAsia="zh-CN" w:bidi="ar-SA"/>
    </w:rPr>
  </w:style>
  <w:style w:type="character" w:customStyle="1" w:styleId="465">
    <w:name w:val="标题 5 Char Char1"/>
    <w:qFormat/>
    <w:uiPriority w:val="0"/>
    <w:rPr>
      <w:rFonts w:eastAsia="宋体"/>
      <w:sz w:val="24"/>
      <w:lang w:val="en-US" w:eastAsia="zh-CN" w:bidi="ar-SA"/>
    </w:rPr>
  </w:style>
  <w:style w:type="character" w:customStyle="1" w:styleId="466">
    <w:name w:val="报告正文 Char2"/>
    <w:link w:val="182"/>
    <w:qFormat/>
    <w:uiPriority w:val="0"/>
    <w:rPr>
      <w:rFonts w:ascii="Times New Roman" w:hAnsi="Times New Roman" w:eastAsia="华文中宋"/>
      <w:kern w:val="2"/>
      <w:sz w:val="24"/>
      <w:szCs w:val="24"/>
    </w:rPr>
  </w:style>
  <w:style w:type="character" w:customStyle="1" w:styleId="467">
    <w:name w:val="正文3 Char"/>
    <w:link w:val="468"/>
    <w:qFormat/>
    <w:uiPriority w:val="0"/>
    <w:rPr>
      <w:rFonts w:ascii="宋体"/>
      <w:color w:val="000000"/>
      <w:kern w:val="2"/>
      <w:sz w:val="24"/>
      <w:szCs w:val="24"/>
    </w:rPr>
  </w:style>
  <w:style w:type="paragraph" w:customStyle="1" w:styleId="468">
    <w:name w:val="正文3"/>
    <w:next w:val="1"/>
    <w:link w:val="467"/>
    <w:qFormat/>
    <w:uiPriority w:val="0"/>
    <w:pPr>
      <w:widowControl w:val="0"/>
      <w:tabs>
        <w:tab w:val="left" w:pos="6660"/>
      </w:tabs>
      <w:spacing w:line="360" w:lineRule="auto"/>
      <w:ind w:firstLine="449" w:firstLineChars="187"/>
      <w:jc w:val="center"/>
    </w:pPr>
    <w:rPr>
      <w:rFonts w:ascii="宋体" w:hAnsi="Calibri" w:eastAsia="宋体" w:cs="Times New Roman"/>
      <w:color w:val="000000"/>
      <w:kern w:val="2"/>
      <w:sz w:val="24"/>
      <w:szCs w:val="24"/>
      <w:lang w:val="en-US" w:eastAsia="zh-CN" w:bidi="ar-SA"/>
    </w:rPr>
  </w:style>
  <w:style w:type="character" w:customStyle="1" w:styleId="469">
    <w:name w:val="君邦正文 Char1"/>
    <w:link w:val="470"/>
    <w:qFormat/>
    <w:uiPriority w:val="0"/>
    <w:rPr>
      <w:rFonts w:ascii="宋体" w:hAnsi="宋体" w:eastAsia="Times New Roman"/>
      <w:kern w:val="2"/>
      <w:sz w:val="24"/>
      <w:szCs w:val="22"/>
    </w:rPr>
  </w:style>
  <w:style w:type="paragraph" w:customStyle="1" w:styleId="470">
    <w:name w:val="君邦正文"/>
    <w:link w:val="469"/>
    <w:qFormat/>
    <w:uiPriority w:val="0"/>
    <w:pPr>
      <w:spacing w:line="360" w:lineRule="auto"/>
      <w:ind w:left="-4" w:leftChars="-2" w:firstLine="480" w:firstLineChars="200"/>
      <w:jc w:val="both"/>
    </w:pPr>
    <w:rPr>
      <w:rFonts w:ascii="宋体" w:hAnsi="宋体" w:eastAsia="Times New Roman" w:cs="Times New Roman"/>
      <w:kern w:val="2"/>
      <w:sz w:val="24"/>
      <w:szCs w:val="22"/>
      <w:lang w:val="en-US" w:eastAsia="zh-CN" w:bidi="ar-SA"/>
    </w:rPr>
  </w:style>
  <w:style w:type="character" w:customStyle="1" w:styleId="471">
    <w:name w:val="样式17 Char"/>
    <w:link w:val="472"/>
    <w:qFormat/>
    <w:uiPriority w:val="0"/>
    <w:rPr>
      <w:kern w:val="2"/>
      <w:sz w:val="18"/>
      <w:szCs w:val="18"/>
    </w:rPr>
  </w:style>
  <w:style w:type="paragraph" w:customStyle="1" w:styleId="472">
    <w:name w:val="样式17"/>
    <w:basedOn w:val="39"/>
    <w:link w:val="471"/>
    <w:qFormat/>
    <w:uiPriority w:val="0"/>
    <w:pPr>
      <w:pBdr>
        <w:bottom w:val="none" w:color="auto" w:sz="0" w:space="0"/>
      </w:pBdr>
    </w:pPr>
    <w:rPr>
      <w:rFonts w:ascii="Calibri" w:hAnsi="Calibri"/>
    </w:rPr>
  </w:style>
  <w:style w:type="character" w:customStyle="1" w:styleId="473">
    <w:name w:val="0水保正文 Char Char"/>
    <w:link w:val="474"/>
    <w:qFormat/>
    <w:uiPriority w:val="0"/>
    <w:rPr>
      <w:rFonts w:ascii="宋体" w:hAnsi="宋体"/>
      <w:color w:val="000000"/>
      <w:sz w:val="24"/>
      <w:szCs w:val="24"/>
    </w:rPr>
  </w:style>
  <w:style w:type="paragraph" w:customStyle="1" w:styleId="474">
    <w:name w:val="0水保正文"/>
    <w:basedOn w:val="1"/>
    <w:link w:val="473"/>
    <w:qFormat/>
    <w:uiPriority w:val="0"/>
    <w:pPr>
      <w:ind w:firstLine="480"/>
    </w:pPr>
    <w:rPr>
      <w:rFonts w:ascii="宋体" w:hAnsi="宋体"/>
      <w:color w:val="000000"/>
      <w:kern w:val="0"/>
      <w:szCs w:val="24"/>
    </w:rPr>
  </w:style>
  <w:style w:type="character" w:customStyle="1" w:styleId="475">
    <w:name w:val="表名 Char"/>
    <w:link w:val="180"/>
    <w:qFormat/>
    <w:uiPriority w:val="0"/>
    <w:rPr>
      <w:rFonts w:ascii="华文楷体" w:hAnsi="华文楷体" w:eastAsia="华文楷体"/>
      <w:b/>
      <w:bCs/>
      <w:kern w:val="2"/>
      <w:sz w:val="24"/>
      <w:szCs w:val="24"/>
    </w:rPr>
  </w:style>
  <w:style w:type="character" w:customStyle="1" w:styleId="476">
    <w:name w:val="9 Char"/>
    <w:link w:val="477"/>
    <w:qFormat/>
    <w:uiPriority w:val="0"/>
    <w:rPr>
      <w:sz w:val="24"/>
    </w:rPr>
  </w:style>
  <w:style w:type="paragraph" w:customStyle="1" w:styleId="477">
    <w:name w:val="9"/>
    <w:basedOn w:val="1"/>
    <w:link w:val="476"/>
    <w:qFormat/>
    <w:uiPriority w:val="0"/>
    <w:pPr>
      <w:spacing w:beforeLines="30" w:afterLines="30"/>
      <w:ind w:firstLine="540" w:firstLineChars="225"/>
    </w:pPr>
    <w:rPr>
      <w:rFonts w:ascii="Calibri" w:hAnsi="Calibri"/>
      <w:kern w:val="0"/>
      <w:szCs w:val="20"/>
    </w:rPr>
  </w:style>
  <w:style w:type="character" w:customStyle="1" w:styleId="478">
    <w:name w:val="表号 Char Char Char Char Char"/>
    <w:qFormat/>
    <w:uiPriority w:val="0"/>
    <w:rPr>
      <w:rFonts w:ascii="宋体" w:hAnsi="宋体" w:eastAsia="宋体"/>
      <w:bCs/>
      <w:snapToGrid w:val="0"/>
      <w:sz w:val="21"/>
      <w:szCs w:val="21"/>
      <w:lang w:val="en-US" w:eastAsia="zh-CN" w:bidi="ar-SA"/>
    </w:rPr>
  </w:style>
  <w:style w:type="character" w:customStyle="1" w:styleId="479">
    <w:name w:val="样式 样式 正文（首行缩进两字） + 首行缩进:  2 字符 + Char"/>
    <w:link w:val="480"/>
    <w:qFormat/>
    <w:uiPriority w:val="0"/>
    <w:rPr>
      <w:rFonts w:cs="宋体"/>
      <w:sz w:val="24"/>
    </w:rPr>
  </w:style>
  <w:style w:type="paragraph" w:customStyle="1" w:styleId="480">
    <w:name w:val="样式 样式 正文（首行缩进两字） + 首行缩进:  2 字符 +"/>
    <w:basedOn w:val="419"/>
    <w:link w:val="479"/>
    <w:qFormat/>
    <w:uiPriority w:val="0"/>
    <w:pPr>
      <w:spacing w:before="100" w:beforeAutospacing="1" w:after="100" w:afterAutospacing="1"/>
      <w:ind w:firstLine="200"/>
    </w:pPr>
    <w:rPr>
      <w:kern w:val="0"/>
    </w:rPr>
  </w:style>
  <w:style w:type="character" w:customStyle="1" w:styleId="481">
    <w:name w:val="表文 Char Char Char Char Char"/>
    <w:qFormat/>
    <w:uiPriority w:val="0"/>
    <w:rPr>
      <w:rFonts w:eastAsia="宋体"/>
      <w:snapToGrid w:val="0"/>
      <w:kern w:val="2"/>
      <w:sz w:val="18"/>
      <w:szCs w:val="24"/>
      <w:lang w:val="en-US" w:eastAsia="zh-CN" w:bidi="ar-SA"/>
    </w:rPr>
  </w:style>
  <w:style w:type="character" w:customStyle="1" w:styleId="482">
    <w:name w:val="报告正文 Char Char"/>
    <w:qFormat/>
    <w:uiPriority w:val="0"/>
    <w:rPr>
      <w:rFonts w:ascii="宋体" w:hAnsi="Courier New" w:eastAsia="宋体"/>
      <w:kern w:val="2"/>
      <w:sz w:val="24"/>
      <w:lang w:val="en-US" w:eastAsia="zh-CN" w:bidi="ar-SA"/>
    </w:rPr>
  </w:style>
  <w:style w:type="character" w:customStyle="1" w:styleId="483">
    <w:name w:val="标题 4 Char Char"/>
    <w:qFormat/>
    <w:uiPriority w:val="0"/>
    <w:rPr>
      <w:rFonts w:eastAsia="宋体"/>
      <w:b/>
      <w:bCs/>
      <w:sz w:val="24"/>
      <w:lang w:val="en-US" w:eastAsia="zh-CN" w:bidi="ar-SA"/>
    </w:rPr>
  </w:style>
  <w:style w:type="character" w:customStyle="1" w:styleId="484">
    <w:name w:val="Char Char Char Char Char"/>
    <w:link w:val="245"/>
    <w:qFormat/>
    <w:uiPriority w:val="0"/>
    <w:rPr>
      <w:rFonts w:ascii="宋体" w:hAnsi="Times New Roman" w:cs="宋体"/>
      <w:kern w:val="2"/>
      <w:sz w:val="21"/>
      <w:szCs w:val="21"/>
    </w:rPr>
  </w:style>
  <w:style w:type="character" w:customStyle="1" w:styleId="485">
    <w:name w:val="标书正文 Char"/>
    <w:link w:val="486"/>
    <w:qFormat/>
    <w:uiPriority w:val="0"/>
    <w:rPr>
      <w:rFonts w:ascii="宋体" w:hAnsi="宋体"/>
      <w:kern w:val="32"/>
      <w:sz w:val="28"/>
      <w:szCs w:val="28"/>
    </w:rPr>
  </w:style>
  <w:style w:type="paragraph" w:customStyle="1" w:styleId="486">
    <w:name w:val="标书正文"/>
    <w:basedOn w:val="1"/>
    <w:link w:val="485"/>
    <w:qFormat/>
    <w:uiPriority w:val="0"/>
    <w:rPr>
      <w:rFonts w:ascii="宋体" w:hAnsi="宋体"/>
      <w:kern w:val="32"/>
      <w:sz w:val="28"/>
      <w:szCs w:val="28"/>
    </w:rPr>
  </w:style>
  <w:style w:type="character" w:customStyle="1" w:styleId="487">
    <w:name w:val="二级标题 Char Char"/>
    <w:qFormat/>
    <w:uiPriority w:val="0"/>
    <w:rPr>
      <w:rFonts w:ascii="Times New Roman" w:hAnsi="Times New Roman" w:eastAsia="黑体" w:cs="Times New Roman"/>
      <w:b/>
      <w:bCs/>
      <w:kern w:val="2"/>
      <w:sz w:val="28"/>
      <w:szCs w:val="32"/>
    </w:rPr>
  </w:style>
  <w:style w:type="character" w:customStyle="1" w:styleId="488">
    <w:name w:val="123YJ Char1"/>
    <w:qFormat/>
    <w:uiPriority w:val="0"/>
    <w:rPr>
      <w:rFonts w:eastAsia="宋体"/>
      <w:kern w:val="2"/>
      <w:sz w:val="18"/>
      <w:szCs w:val="18"/>
      <w:lang w:val="en-US" w:eastAsia="zh-CN" w:bidi="ar-SA"/>
    </w:rPr>
  </w:style>
  <w:style w:type="character" w:customStyle="1" w:styleId="489">
    <w:name w:val="Char Char162"/>
    <w:qFormat/>
    <w:locked/>
    <w:uiPriority w:val="0"/>
    <w:rPr>
      <w:sz w:val="24"/>
    </w:rPr>
  </w:style>
  <w:style w:type="character" w:customStyle="1" w:styleId="490">
    <w:name w:val="正文文本缩进 3 Char1"/>
    <w:semiHidden/>
    <w:qFormat/>
    <w:uiPriority w:val="99"/>
    <w:rPr>
      <w:kern w:val="2"/>
      <w:sz w:val="16"/>
      <w:szCs w:val="16"/>
    </w:rPr>
  </w:style>
  <w:style w:type="character" w:customStyle="1" w:styleId="491">
    <w:name w:val="HTML 预设格式 Char1"/>
    <w:semiHidden/>
    <w:qFormat/>
    <w:uiPriority w:val="99"/>
    <w:rPr>
      <w:rFonts w:ascii="Courier New" w:hAnsi="Courier New" w:cs="Courier New"/>
      <w:kern w:val="2"/>
    </w:rPr>
  </w:style>
  <w:style w:type="character" w:customStyle="1" w:styleId="492">
    <w:name w:val="Char Char Char Char Char1"/>
    <w:link w:val="209"/>
    <w:qFormat/>
    <w:uiPriority w:val="0"/>
    <w:rPr>
      <w:rFonts w:ascii="宋体" w:hAnsi="Times New Roman" w:cs="宋体"/>
      <w:kern w:val="2"/>
      <w:sz w:val="21"/>
      <w:szCs w:val="21"/>
    </w:rPr>
  </w:style>
  <w:style w:type="character" w:customStyle="1" w:styleId="493">
    <w:name w:val="默认段落字体 Para Char Char"/>
    <w:link w:val="236"/>
    <w:qFormat/>
    <w:uiPriority w:val="0"/>
    <w:rPr>
      <w:rFonts w:ascii="Times New Roman" w:hAnsi="Times New Roman"/>
      <w:kern w:val="2"/>
      <w:sz w:val="21"/>
    </w:rPr>
  </w:style>
  <w:style w:type="character" w:customStyle="1" w:styleId="494">
    <w:name w:val="样式10 Char"/>
    <w:link w:val="495"/>
    <w:qFormat/>
    <w:uiPriority w:val="0"/>
    <w:rPr>
      <w:kern w:val="2"/>
      <w:sz w:val="18"/>
      <w:szCs w:val="21"/>
    </w:rPr>
  </w:style>
  <w:style w:type="paragraph" w:customStyle="1" w:styleId="495">
    <w:name w:val="样式10"/>
    <w:basedOn w:val="39"/>
    <w:link w:val="494"/>
    <w:qFormat/>
    <w:uiPriority w:val="0"/>
    <w:pPr>
      <w:pBdr>
        <w:bottom w:val="none" w:color="auto" w:sz="0" w:space="0"/>
      </w:pBdr>
    </w:pPr>
    <w:rPr>
      <w:rFonts w:ascii="Calibri" w:hAnsi="Calibri"/>
      <w:szCs w:val="21"/>
    </w:rPr>
  </w:style>
  <w:style w:type="character" w:customStyle="1" w:styleId="496">
    <w:name w:val="表名 Char Char Char"/>
    <w:qFormat/>
    <w:uiPriority w:val="0"/>
    <w:rPr>
      <w:rFonts w:ascii="Arial" w:hAnsi="Arial" w:eastAsia="黑体"/>
      <w:kern w:val="2"/>
      <w:sz w:val="21"/>
      <w:lang w:val="en-US" w:eastAsia="zh-CN" w:bidi="ar-SA"/>
    </w:rPr>
  </w:style>
  <w:style w:type="character" w:customStyle="1" w:styleId="497">
    <w:name w:val="表标题 Char"/>
    <w:link w:val="498"/>
    <w:qFormat/>
    <w:uiPriority w:val="0"/>
    <w:rPr>
      <w:rFonts w:hAnsi="宋体"/>
      <w:b/>
      <w:bCs/>
      <w:color w:val="000000"/>
      <w:kern w:val="28"/>
      <w:sz w:val="21"/>
      <w:szCs w:val="21"/>
    </w:rPr>
  </w:style>
  <w:style w:type="paragraph" w:customStyle="1" w:styleId="498">
    <w:name w:val="表标题"/>
    <w:basedOn w:val="1"/>
    <w:next w:val="1"/>
    <w:link w:val="497"/>
    <w:qFormat/>
    <w:uiPriority w:val="0"/>
    <w:pPr>
      <w:topLinePunct/>
      <w:autoSpaceDE w:val="0"/>
      <w:spacing w:before="120" w:after="48"/>
      <w:ind w:firstLine="0" w:firstLineChars="0"/>
      <w:jc w:val="center"/>
      <w:textAlignment w:val="baseline"/>
    </w:pPr>
    <w:rPr>
      <w:rFonts w:ascii="Calibri" w:hAnsi="宋体"/>
      <w:b/>
      <w:bCs/>
      <w:color w:val="000000"/>
      <w:kern w:val="28"/>
      <w:sz w:val="21"/>
      <w:szCs w:val="21"/>
    </w:rPr>
  </w:style>
  <w:style w:type="paragraph" w:customStyle="1" w:styleId="499">
    <w:name w:val="样式 样式 样式 样式 样式 宋体 小四 行距: 1.5 倍行距 + 首行缩进:  2 字符 + 首行缩进:  2 字符 段前:...2"/>
    <w:basedOn w:val="1"/>
    <w:qFormat/>
    <w:uiPriority w:val="0"/>
    <w:pPr>
      <w:adjustRightInd w:val="0"/>
      <w:snapToGrid w:val="0"/>
    </w:pPr>
    <w:rPr>
      <w:rFonts w:cs="宋体"/>
      <w:szCs w:val="20"/>
    </w:rPr>
  </w:style>
  <w:style w:type="paragraph" w:customStyle="1" w:styleId="500">
    <w:name w:val="样式 样式 样式 样式 小四 蓝色 行距: 固定值 30 磅 + 行距: 1.5 倍行距 + 自动设置 + 蓝色"/>
    <w:basedOn w:val="1"/>
    <w:qFormat/>
    <w:uiPriority w:val="0"/>
    <w:pPr>
      <w:ind w:firstLine="480"/>
    </w:pPr>
    <w:rPr>
      <w:rFonts w:cs="宋体"/>
      <w:color w:val="0000FF"/>
      <w:szCs w:val="20"/>
    </w:rPr>
  </w:style>
  <w:style w:type="paragraph" w:customStyle="1" w:styleId="501">
    <w:name w:val="xl152"/>
    <w:basedOn w:val="1"/>
    <w:qFormat/>
    <w:uiPriority w:val="0"/>
    <w:pPr>
      <w:widowControl/>
      <w:spacing w:before="100" w:beforeAutospacing="1" w:after="100" w:afterAutospacing="1"/>
      <w:jc w:val="center"/>
      <w:textAlignment w:val="center"/>
    </w:pPr>
    <w:rPr>
      <w:rFonts w:ascii="宋体" w:hAnsi="宋体" w:cs="宋体"/>
      <w:kern w:val="0"/>
      <w:szCs w:val="21"/>
    </w:rPr>
  </w:style>
  <w:style w:type="paragraph" w:customStyle="1" w:styleId="502">
    <w:name w:val="报告表格"/>
    <w:basedOn w:val="1"/>
    <w:next w:val="1"/>
    <w:qFormat/>
    <w:uiPriority w:val="0"/>
    <w:pPr>
      <w:adjustRightInd w:val="0"/>
      <w:snapToGrid w:val="0"/>
      <w:ind w:firstLine="630" w:firstLineChars="300"/>
      <w:jc w:val="center"/>
    </w:pPr>
    <w:rPr>
      <w:rFonts w:ascii="黑体" w:eastAsia="黑体"/>
      <w:szCs w:val="21"/>
    </w:rPr>
  </w:style>
  <w:style w:type="paragraph" w:customStyle="1" w:styleId="503">
    <w:name w:val="xl89"/>
    <w:basedOn w:val="1"/>
    <w:qFormat/>
    <w:uiPriority w:val="0"/>
    <w:pPr>
      <w:widowControl/>
      <w:spacing w:before="100" w:beforeAutospacing="1" w:after="100" w:afterAutospacing="1"/>
      <w:jc w:val="center"/>
      <w:textAlignment w:val="top"/>
    </w:pPr>
    <w:rPr>
      <w:rFonts w:ascii="宋体" w:hAnsi="宋体" w:cs="宋体"/>
      <w:kern w:val="0"/>
      <w:szCs w:val="21"/>
    </w:rPr>
  </w:style>
  <w:style w:type="paragraph" w:customStyle="1" w:styleId="504">
    <w:name w:val="水保4级"/>
    <w:basedOn w:val="5"/>
    <w:qFormat/>
    <w:uiPriority w:val="0"/>
    <w:pPr>
      <w:spacing w:line="360" w:lineRule="auto"/>
    </w:pPr>
    <w:rPr>
      <w:rFonts w:ascii="Arial" w:hAnsi="Arial"/>
      <w:b w:val="0"/>
      <w:sz w:val="24"/>
    </w:rPr>
  </w:style>
  <w:style w:type="paragraph" w:customStyle="1" w:styleId="505">
    <w:name w:val="标题四"/>
    <w:basedOn w:val="1"/>
    <w:next w:val="5"/>
    <w:semiHidden/>
    <w:qFormat/>
    <w:uiPriority w:val="0"/>
    <w:pPr>
      <w:keepNext/>
      <w:jc w:val="left"/>
    </w:pPr>
    <w:rPr>
      <w:b/>
      <w:color w:val="FF0000"/>
      <w:szCs w:val="24"/>
    </w:rPr>
  </w:style>
  <w:style w:type="paragraph" w:customStyle="1" w:styleId="506">
    <w:name w:val="标题二"/>
    <w:basedOn w:val="3"/>
    <w:qFormat/>
    <w:uiPriority w:val="0"/>
    <w:pPr>
      <w:jc w:val="left"/>
    </w:pPr>
  </w:style>
  <w:style w:type="paragraph" w:customStyle="1" w:styleId="507">
    <w:name w:val="xl79"/>
    <w:basedOn w:val="1"/>
    <w:qFormat/>
    <w:uiPriority w:val="0"/>
    <w:pPr>
      <w:widowControl/>
      <w:spacing w:before="100" w:beforeAutospacing="1" w:after="100" w:afterAutospacing="1"/>
      <w:jc w:val="center"/>
    </w:pPr>
    <w:rPr>
      <w:rFonts w:ascii="宋体" w:hAnsi="宋体" w:cs="宋体"/>
      <w:color w:val="000000"/>
      <w:kern w:val="0"/>
      <w:szCs w:val="24"/>
    </w:rPr>
  </w:style>
  <w:style w:type="paragraph" w:customStyle="1" w:styleId="508">
    <w:name w:val="样式 标题 1一级标题 CharCharChar Char Char Char + (中文) 黑体 三号 居中 段..."/>
    <w:basedOn w:val="2"/>
    <w:qFormat/>
    <w:uiPriority w:val="0"/>
    <w:pPr>
      <w:keepNext w:val="0"/>
      <w:keepLines w:val="0"/>
      <w:pageBreakBefore/>
      <w:tabs>
        <w:tab w:val="left" w:pos="840"/>
      </w:tabs>
      <w:autoSpaceDE w:val="0"/>
      <w:autoSpaceDN w:val="0"/>
      <w:adjustRightInd w:val="0"/>
      <w:spacing w:before="240" w:after="180"/>
      <w:textAlignment w:val="baseline"/>
    </w:pPr>
    <w:rPr>
      <w:rFonts w:cs="宋体"/>
      <w:b/>
      <w:bCs w:val="0"/>
      <w:kern w:val="0"/>
      <w:szCs w:val="20"/>
    </w:rPr>
  </w:style>
  <w:style w:type="paragraph" w:customStyle="1" w:styleId="509">
    <w:name w:val="表名 Char Char Char Char"/>
    <w:basedOn w:val="1"/>
    <w:qFormat/>
    <w:uiPriority w:val="0"/>
    <w:pPr>
      <w:autoSpaceDE w:val="0"/>
      <w:autoSpaceDN w:val="0"/>
      <w:adjustRightInd w:val="0"/>
      <w:snapToGrid w:val="0"/>
      <w:spacing w:before="163"/>
      <w:jc w:val="center"/>
      <w:textAlignment w:val="baseline"/>
    </w:pPr>
    <w:rPr>
      <w:rFonts w:ascii="Arial" w:hAnsi="Arial" w:eastAsia="黑体"/>
      <w:szCs w:val="21"/>
    </w:rPr>
  </w:style>
  <w:style w:type="paragraph" w:customStyle="1" w:styleId="510">
    <w:name w:val="样式 标题 4 + 段前: 1 行 段后: 3 磅1"/>
    <w:basedOn w:val="5"/>
    <w:qFormat/>
    <w:uiPriority w:val="0"/>
    <w:pPr>
      <w:tabs>
        <w:tab w:val="left" w:pos="864"/>
      </w:tabs>
      <w:adjustRightInd w:val="0"/>
      <w:spacing w:before="100" w:beforeAutospacing="1" w:after="100" w:afterAutospacing="1" w:line="360" w:lineRule="auto"/>
      <w:ind w:left="864" w:hanging="864"/>
    </w:pPr>
    <w:rPr>
      <w:rFonts w:ascii="Times New Roman" w:hAnsi="Times New Roman" w:cs="宋体"/>
      <w:sz w:val="24"/>
      <w:szCs w:val="20"/>
    </w:rPr>
  </w:style>
  <w:style w:type="paragraph" w:customStyle="1" w:styleId="511">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Cs w:val="21"/>
    </w:rPr>
  </w:style>
  <w:style w:type="paragraph" w:customStyle="1" w:styleId="512">
    <w:name w:val="样式 首行缩进:  1.69 字符"/>
    <w:basedOn w:val="1"/>
    <w:semiHidden/>
    <w:qFormat/>
    <w:uiPriority w:val="0"/>
    <w:pPr>
      <w:adjustRightInd w:val="0"/>
      <w:snapToGrid w:val="0"/>
      <w:ind w:firstLine="380"/>
      <w:textAlignment w:val="baseline"/>
    </w:pPr>
    <w:rPr>
      <w:snapToGrid w:val="0"/>
      <w:kern w:val="0"/>
      <w:szCs w:val="24"/>
    </w:rPr>
  </w:style>
  <w:style w:type="paragraph" w:customStyle="1" w:styleId="513">
    <w:name w:val="样式 宋体 小四 两端对齐 行距: 1.5 倍行距 首行缩进:  2 字符"/>
    <w:basedOn w:val="1"/>
    <w:qFormat/>
    <w:uiPriority w:val="0"/>
    <w:pPr>
      <w:widowControl/>
      <w:ind w:firstLine="480"/>
    </w:pPr>
    <w:rPr>
      <w:kern w:val="0"/>
      <w:szCs w:val="24"/>
    </w:rPr>
  </w:style>
  <w:style w:type="paragraph" w:customStyle="1" w:styleId="514">
    <w:name w:val="样式 表格 + 左侧:  0.98 厘米"/>
    <w:basedOn w:val="1"/>
    <w:qFormat/>
    <w:uiPriority w:val="0"/>
    <w:pPr>
      <w:adjustRightInd w:val="0"/>
      <w:snapToGrid w:val="0"/>
      <w:spacing w:before="100" w:beforeAutospacing="1" w:after="100" w:afterAutospacing="1" w:line="300" w:lineRule="auto"/>
    </w:pPr>
    <w:rPr>
      <w:rFonts w:ascii="Arial" w:hAnsi="Arial"/>
      <w:snapToGrid w:val="0"/>
      <w:kern w:val="0"/>
      <w:szCs w:val="20"/>
    </w:rPr>
  </w:style>
  <w:style w:type="paragraph" w:customStyle="1" w:styleId="515">
    <w:name w:val="样式 正文缩进正文（首行缩进两字） Char正文（首行缩进两字） Char Chars4正文缩进 Chars4 Cha...1"/>
    <w:basedOn w:val="15"/>
    <w:qFormat/>
    <w:uiPriority w:val="0"/>
    <w:pPr>
      <w:spacing w:line="360" w:lineRule="auto"/>
      <w:ind w:firstLine="200"/>
    </w:pPr>
    <w:rPr>
      <w:rFonts w:cs="宋体"/>
      <w:kern w:val="0"/>
      <w:sz w:val="20"/>
    </w:rPr>
  </w:style>
  <w:style w:type="paragraph" w:customStyle="1" w:styleId="516">
    <w:name w:val="Char2 Char Char Char Char Char Char1 Char Char Char Char Char Char"/>
    <w:basedOn w:val="1"/>
    <w:qFormat/>
    <w:uiPriority w:val="0"/>
    <w:rPr>
      <w:rFonts w:ascii="宋体" w:hAnsi="宋体" w:cs="宋体"/>
      <w:szCs w:val="24"/>
    </w:rPr>
  </w:style>
  <w:style w:type="paragraph" w:customStyle="1" w:styleId="517">
    <w:name w:val="xl1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Cs w:val="21"/>
    </w:rPr>
  </w:style>
  <w:style w:type="character" w:customStyle="1" w:styleId="518">
    <w:name w:val="题注 Char"/>
    <w:link w:val="16"/>
    <w:qFormat/>
    <w:uiPriority w:val="0"/>
    <w:rPr>
      <w:rFonts w:ascii="Arial" w:hAnsi="Arial" w:cs="Arial"/>
      <w:kern w:val="2"/>
      <w:sz w:val="24"/>
    </w:rPr>
  </w:style>
  <w:style w:type="paragraph" w:customStyle="1" w:styleId="519">
    <w:name w:val="标准"/>
    <w:basedOn w:val="1"/>
    <w:qFormat/>
    <w:uiPriority w:val="0"/>
    <w:pPr>
      <w:adjustRightInd w:val="0"/>
      <w:spacing w:line="308" w:lineRule="atLeast"/>
      <w:jc w:val="center"/>
      <w:textAlignment w:val="baseline"/>
    </w:pPr>
    <w:rPr>
      <w:rFonts w:eastAsia="仿宋_GB2312"/>
      <w:kern w:val="0"/>
      <w:szCs w:val="20"/>
    </w:rPr>
  </w:style>
  <w:style w:type="paragraph" w:customStyle="1" w:styleId="520">
    <w:name w:val="样式 标题 3 + 首行缩进:  0 厘米"/>
    <w:basedOn w:val="4"/>
    <w:qFormat/>
    <w:uiPriority w:val="0"/>
    <w:pPr>
      <w:tabs>
        <w:tab w:val="left" w:leader="dot" w:pos="284"/>
      </w:tabs>
      <w:spacing w:line="240" w:lineRule="auto"/>
      <w:ind w:firstLine="100" w:firstLineChars="100"/>
    </w:pPr>
    <w:rPr>
      <w:rFonts w:eastAsia="宋体" w:cs="宋体"/>
      <w:b w:val="0"/>
      <w:bCs w:val="0"/>
      <w:sz w:val="28"/>
      <w:szCs w:val="20"/>
      <w:lang w:val="zh-CN"/>
    </w:rPr>
  </w:style>
  <w:style w:type="paragraph" w:customStyle="1" w:styleId="521">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22">
    <w:name w:val="表编号 Char"/>
    <w:basedOn w:val="1"/>
    <w:qFormat/>
    <w:uiPriority w:val="0"/>
    <w:pPr>
      <w:snapToGrid w:val="0"/>
      <w:spacing w:line="0" w:lineRule="atLeast"/>
      <w:jc w:val="left"/>
    </w:pPr>
    <w:rPr>
      <w:szCs w:val="24"/>
    </w:rPr>
  </w:style>
  <w:style w:type="paragraph" w:customStyle="1" w:styleId="523">
    <w:name w:val="font14"/>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524">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4"/>
    </w:rPr>
  </w:style>
  <w:style w:type="paragraph" w:customStyle="1" w:styleId="525">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4"/>
    </w:rPr>
  </w:style>
  <w:style w:type="character" w:customStyle="1" w:styleId="526">
    <w:name w:val="脚注文本 Char"/>
    <w:link w:val="44"/>
    <w:qFormat/>
    <w:uiPriority w:val="0"/>
    <w:rPr>
      <w:rFonts w:ascii="宋体" w:hAnsi="宋体" w:cs="宋体"/>
      <w:sz w:val="18"/>
      <w:szCs w:val="18"/>
    </w:rPr>
  </w:style>
  <w:style w:type="paragraph" w:customStyle="1" w:styleId="527">
    <w:name w:val="样式 样式8 + 段前: 0.5 行 段后: 0.5 行"/>
    <w:basedOn w:val="288"/>
    <w:qFormat/>
    <w:uiPriority w:val="0"/>
    <w:pPr>
      <w:overflowPunct/>
      <w:topLinePunct w:val="0"/>
      <w:spacing w:beforeLines="50" w:afterLines="50" w:line="240" w:lineRule="auto"/>
      <w:ind w:firstLine="200" w:firstLineChars="200"/>
      <w:jc w:val="both"/>
    </w:pPr>
    <w:rPr>
      <w:rFonts w:eastAsia="黑体" w:cs="宋体"/>
      <w:sz w:val="28"/>
      <w:szCs w:val="20"/>
    </w:rPr>
  </w:style>
  <w:style w:type="paragraph" w:customStyle="1" w:styleId="528">
    <w:name w:val="Char Char Char Char Char Char Char Char Char Char Char Char Char Char Char Char Char Char Char Char Char Char"/>
    <w:basedOn w:val="1"/>
    <w:semiHidden/>
    <w:qFormat/>
    <w:uiPriority w:val="0"/>
    <w:pPr>
      <w:spacing w:beforeLines="50" w:afterLines="50"/>
    </w:pPr>
    <w:rPr>
      <w:rFonts w:ascii="宋体" w:hAnsi="宋体" w:cs="宋体"/>
      <w:b/>
      <w:szCs w:val="24"/>
    </w:rPr>
  </w:style>
  <w:style w:type="paragraph" w:customStyle="1" w:styleId="529">
    <w:name w:val="样式 样式 (符号) 宋体 左侧:  0.74 厘米 首行缩进:  0 厘米 + 左侧:  0.74 厘米 首行缩进:  0 ..."/>
    <w:basedOn w:val="59"/>
    <w:qFormat/>
    <w:uiPriority w:val="0"/>
    <w:pPr>
      <w:adjustRightInd w:val="0"/>
      <w:snapToGrid w:val="0"/>
      <w:spacing w:before="100" w:beforeAutospacing="1" w:after="0" w:line="360" w:lineRule="auto"/>
      <w:ind w:firstLine="200" w:firstLineChars="200"/>
    </w:pPr>
    <w:rPr>
      <w:snapToGrid w:val="0"/>
      <w:sz w:val="28"/>
      <w:szCs w:val="20"/>
    </w:rPr>
  </w:style>
  <w:style w:type="paragraph" w:customStyle="1" w:styleId="530">
    <w:name w:val="样式 标题 4 + 段前: 1 行"/>
    <w:basedOn w:val="5"/>
    <w:qFormat/>
    <w:uiPriority w:val="0"/>
    <w:pPr>
      <w:tabs>
        <w:tab w:val="left" w:pos="1125"/>
      </w:tabs>
      <w:adjustRightInd w:val="0"/>
      <w:spacing w:before="0" w:after="0" w:line="360" w:lineRule="auto"/>
      <w:ind w:left="1125" w:hanging="1125"/>
    </w:pPr>
    <w:rPr>
      <w:rFonts w:ascii="Times New Roman" w:hAnsi="Times New Roman"/>
      <w:b w:val="0"/>
      <w:bCs w:val="0"/>
      <w:sz w:val="24"/>
      <w:szCs w:val="20"/>
    </w:rPr>
  </w:style>
  <w:style w:type="paragraph" w:customStyle="1" w:styleId="531">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32">
    <w:name w:val="8"/>
    <w:basedOn w:val="1"/>
    <w:qFormat/>
    <w:uiPriority w:val="0"/>
    <w:pPr>
      <w:ind w:firstLine="480"/>
    </w:pPr>
    <w:rPr>
      <w:kern w:val="10"/>
      <w:szCs w:val="24"/>
    </w:rPr>
  </w:style>
  <w:style w:type="paragraph" w:customStyle="1" w:styleId="533">
    <w:name w:val="Char Char Char Char Char Char Char Char Char Char"/>
    <w:basedOn w:val="1"/>
    <w:qFormat/>
    <w:uiPriority w:val="0"/>
    <w:rPr>
      <w:szCs w:val="24"/>
    </w:rPr>
  </w:style>
  <w:style w:type="paragraph" w:customStyle="1" w:styleId="534">
    <w:name w:val="样式 左侧:  0.85 厘米 首行缩进:  0 字符"/>
    <w:basedOn w:val="1"/>
    <w:qFormat/>
    <w:uiPriority w:val="0"/>
    <w:pPr>
      <w:ind w:firstLine="480"/>
    </w:pPr>
    <w:rPr>
      <w:szCs w:val="24"/>
    </w:rPr>
  </w:style>
  <w:style w:type="paragraph" w:customStyle="1" w:styleId="535">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kern w:val="0"/>
      <w:sz w:val="18"/>
      <w:szCs w:val="18"/>
    </w:rPr>
  </w:style>
  <w:style w:type="paragraph" w:customStyle="1" w:styleId="536">
    <w:name w:val="笔格标注"/>
    <w:basedOn w:val="1"/>
    <w:qFormat/>
    <w:uiPriority w:val="0"/>
    <w:pPr>
      <w:adjustRightInd w:val="0"/>
      <w:snapToGrid w:val="0"/>
    </w:pPr>
    <w:rPr>
      <w:color w:val="FF0000"/>
      <w:kern w:val="0"/>
      <w:szCs w:val="21"/>
    </w:rPr>
  </w:style>
  <w:style w:type="paragraph" w:customStyle="1" w:styleId="537">
    <w:name w:val="样式 小五 居中 行距: 固定值 12 磅"/>
    <w:basedOn w:val="1"/>
    <w:qFormat/>
    <w:uiPriority w:val="0"/>
    <w:pPr>
      <w:spacing w:before="60" w:after="60" w:line="240" w:lineRule="exact"/>
      <w:jc w:val="center"/>
    </w:pPr>
    <w:rPr>
      <w:rFonts w:cs="宋体"/>
      <w:sz w:val="18"/>
      <w:szCs w:val="20"/>
    </w:rPr>
  </w:style>
  <w:style w:type="paragraph" w:customStyle="1" w:styleId="53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6"/>
      <w:szCs w:val="16"/>
    </w:rPr>
  </w:style>
  <w:style w:type="paragraph" w:customStyle="1" w:styleId="539">
    <w:name w:val="样式 正文文本 + 首行缩进:  2 字符"/>
    <w:basedOn w:val="23"/>
    <w:qFormat/>
    <w:uiPriority w:val="0"/>
    <w:pPr>
      <w:spacing w:after="0"/>
      <w:ind w:firstLine="420"/>
    </w:pPr>
    <w:rPr>
      <w:rFonts w:eastAsia="仿宋_GB2312" w:cs="宋体"/>
      <w:sz w:val="28"/>
      <w:szCs w:val="20"/>
    </w:rPr>
  </w:style>
  <w:style w:type="paragraph" w:customStyle="1" w:styleId="540">
    <w:name w:val="Char Char2 Char Char Char1 Char Char Char1 Char"/>
    <w:basedOn w:val="1"/>
    <w:semiHidden/>
    <w:qFormat/>
    <w:uiPriority w:val="0"/>
    <w:rPr>
      <w:szCs w:val="24"/>
    </w:rPr>
  </w:style>
  <w:style w:type="paragraph" w:customStyle="1" w:styleId="541">
    <w:name w:val="样式 表内容 + (中文) 黑体 加粗 段前: 7.8 磅 段后: 7.8 磅"/>
    <w:basedOn w:val="429"/>
    <w:qFormat/>
    <w:uiPriority w:val="0"/>
    <w:pPr>
      <w:pBdr>
        <w:bottom w:val="none" w:color="auto" w:sz="0" w:space="0"/>
      </w:pBdr>
      <w:spacing w:before="100" w:beforeAutospacing="1" w:after="100" w:afterAutospacing="1" w:line="0" w:lineRule="atLeast"/>
      <w:ind w:left="0" w:right="0"/>
      <w:jc w:val="center"/>
    </w:pPr>
    <w:rPr>
      <w:rFonts w:ascii="宋体" w:hAnsi="宋体" w:eastAsia="黑体" w:cs="宋体"/>
      <w:iCs w:val="0"/>
      <w:sz w:val="18"/>
      <w:szCs w:val="20"/>
    </w:rPr>
  </w:style>
  <w:style w:type="paragraph" w:customStyle="1" w:styleId="542">
    <w:name w:val="样式 标题 4标题 4 Char标题 41标题 4 Char Char1标题 4 Char Char Char标题 4...5"/>
    <w:basedOn w:val="5"/>
    <w:qFormat/>
    <w:uiPriority w:val="0"/>
    <w:pPr>
      <w:keepNext w:val="0"/>
      <w:keepLines w:val="0"/>
      <w:tabs>
        <w:tab w:val="left" w:pos="2160"/>
      </w:tabs>
      <w:autoSpaceDE w:val="0"/>
      <w:autoSpaceDN w:val="0"/>
      <w:adjustRightInd w:val="0"/>
      <w:spacing w:before="60" w:after="60" w:line="360" w:lineRule="auto"/>
      <w:ind w:left="2160" w:hanging="420"/>
    </w:pPr>
    <w:rPr>
      <w:rFonts w:ascii="Times New Roman" w:hAnsi="Times New Roman" w:cs="宋体"/>
      <w:kern w:val="0"/>
      <w:sz w:val="24"/>
      <w:szCs w:val="20"/>
    </w:rPr>
  </w:style>
  <w:style w:type="paragraph" w:customStyle="1" w:styleId="543">
    <w:name w:val="样式15"/>
    <w:basedOn w:val="1"/>
    <w:qFormat/>
    <w:uiPriority w:val="0"/>
    <w:pPr>
      <w:ind w:firstLine="420"/>
    </w:pPr>
    <w:rPr>
      <w:rFonts w:eastAsia="华文中宋"/>
      <w:kern w:val="0"/>
      <w:szCs w:val="21"/>
    </w:rPr>
  </w:style>
  <w:style w:type="paragraph" w:customStyle="1" w:styleId="544">
    <w:name w:val="Char5"/>
    <w:basedOn w:val="19"/>
    <w:qFormat/>
    <w:uiPriority w:val="0"/>
    <w:pPr>
      <w:shd w:val="clear" w:color="auto" w:fill="000080"/>
      <w:adjustRightInd w:val="0"/>
      <w:spacing w:line="436" w:lineRule="exact"/>
      <w:ind w:left="357" w:firstLine="0" w:firstLineChars="0"/>
      <w:jc w:val="left"/>
      <w:outlineLvl w:val="3"/>
    </w:pPr>
    <w:rPr>
      <w:rFonts w:ascii="Tahoma" w:hAnsi="Tahoma"/>
      <w:b/>
      <w:sz w:val="21"/>
      <w:szCs w:val="28"/>
    </w:rPr>
  </w:style>
  <w:style w:type="paragraph" w:customStyle="1" w:styleId="545">
    <w:name w:val="Char Char Char1 Char Char Char Char Char Char Char Char Char Char Char Char Char Char Char Char Char Char Char Char Char Char Char Char Char Char Char Char Char Char Char Char Char Char"/>
    <w:basedOn w:val="1"/>
    <w:qFormat/>
    <w:uiPriority w:val="0"/>
    <w:pPr>
      <w:snapToGrid w:val="0"/>
      <w:spacing w:line="440" w:lineRule="exact"/>
    </w:pPr>
    <w:rPr>
      <w:szCs w:val="24"/>
    </w:rPr>
  </w:style>
  <w:style w:type="paragraph" w:customStyle="1" w:styleId="546">
    <w:name w:val="正文首行缩进 Char Char1"/>
    <w:basedOn w:val="1"/>
    <w:qFormat/>
    <w:uiPriority w:val="0"/>
    <w:rPr>
      <w:rFonts w:eastAsia="仿宋_GB2312"/>
      <w:sz w:val="32"/>
      <w:szCs w:val="32"/>
    </w:rPr>
  </w:style>
  <w:style w:type="paragraph" w:customStyle="1" w:styleId="547">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Cs w:val="24"/>
    </w:rPr>
  </w:style>
  <w:style w:type="paragraph" w:customStyle="1" w:styleId="548">
    <w:name w:val="7"/>
    <w:basedOn w:val="1"/>
    <w:next w:val="31"/>
    <w:qFormat/>
    <w:uiPriority w:val="0"/>
    <w:rPr>
      <w:rFonts w:ascii="宋体" w:hAnsi="Courier New" w:cs="Courier New"/>
      <w:szCs w:val="21"/>
    </w:rPr>
  </w:style>
  <w:style w:type="paragraph" w:customStyle="1" w:styleId="549">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550">
    <w:name w:val="表头1"/>
    <w:basedOn w:val="1"/>
    <w:qFormat/>
    <w:uiPriority w:val="0"/>
    <w:pPr>
      <w:adjustRightInd w:val="0"/>
      <w:snapToGrid w:val="0"/>
      <w:spacing w:before="100" w:beforeAutospacing="1" w:after="100" w:afterAutospacing="1"/>
      <w:jc w:val="center"/>
    </w:pPr>
    <w:rPr>
      <w:b/>
      <w:snapToGrid w:val="0"/>
      <w:szCs w:val="24"/>
    </w:rPr>
  </w:style>
  <w:style w:type="paragraph" w:customStyle="1" w:styleId="551">
    <w:name w:val="hichaf0dbchf15cgrid snex"/>
    <w:qFormat/>
    <w:uiPriority w:val="0"/>
    <w:pPr>
      <w:widowControl w:val="0"/>
      <w:adjustRightInd w:val="0"/>
      <w:jc w:val="center"/>
      <w:textAlignment w:val="baseline"/>
    </w:pPr>
    <w:rPr>
      <w:rFonts w:ascii="宋体" w:hAnsi="Times New Roman" w:eastAsia="宋体" w:cs="Times New Roman"/>
      <w:lang w:val="en-US" w:eastAsia="zh-CN" w:bidi="ar-SA"/>
    </w:rPr>
  </w:style>
  <w:style w:type="character" w:customStyle="1" w:styleId="552">
    <w:name w:val="注释标题 Char"/>
    <w:link w:val="13"/>
    <w:qFormat/>
    <w:uiPriority w:val="0"/>
    <w:rPr>
      <w:rFonts w:ascii="Times New Roman" w:hAnsi="Times New Roman"/>
      <w:snapToGrid w:val="0"/>
      <w:kern w:val="2"/>
      <w:sz w:val="24"/>
      <w:szCs w:val="24"/>
    </w:rPr>
  </w:style>
  <w:style w:type="paragraph" w:customStyle="1" w:styleId="553">
    <w:name w:val="无间隔1"/>
    <w:qFormat/>
    <w:uiPriority w:val="1"/>
    <w:pPr>
      <w:keepNext/>
      <w:widowControl w:val="0"/>
      <w:spacing w:line="360" w:lineRule="auto"/>
      <w:jc w:val="center"/>
    </w:pPr>
    <w:rPr>
      <w:rFonts w:ascii="Times New Roman" w:hAnsi="Times New Roman" w:eastAsia="宋体" w:cs="Times New Roman"/>
      <w:b/>
      <w:kern w:val="2"/>
      <w:sz w:val="21"/>
      <w:szCs w:val="22"/>
      <w:lang w:val="en-US" w:eastAsia="zh-CN" w:bidi="ar-SA"/>
    </w:rPr>
  </w:style>
  <w:style w:type="paragraph" w:customStyle="1" w:styleId="554">
    <w:name w:val="样式 样式1 + 段前: 0.5 行"/>
    <w:basedOn w:val="133"/>
    <w:qFormat/>
    <w:uiPriority w:val="0"/>
    <w:pPr>
      <w:pBdr>
        <w:bottom w:val="none" w:color="auto" w:sz="0" w:space="0"/>
      </w:pBdr>
      <w:tabs>
        <w:tab w:val="clear" w:pos="4153"/>
        <w:tab w:val="clear" w:pos="8306"/>
      </w:tabs>
      <w:adjustRightInd w:val="0"/>
      <w:snapToGrid/>
      <w:spacing w:beforeAutospacing="1" w:afterAutospacing="1"/>
      <w:ind w:firstLine="560"/>
      <w:jc w:val="left"/>
    </w:pPr>
    <w:rPr>
      <w:rFonts w:ascii="宋体" w:hAnsi="宋体"/>
      <w:bCs/>
      <w:snapToGrid w:val="0"/>
      <w:color w:val="000000"/>
      <w:sz w:val="24"/>
      <w:szCs w:val="20"/>
    </w:rPr>
  </w:style>
  <w:style w:type="paragraph" w:customStyle="1" w:styleId="55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4"/>
    </w:rPr>
  </w:style>
  <w:style w:type="paragraph" w:customStyle="1" w:styleId="556">
    <w:name w:val="样式 标题 1 + 首行缩进:  2 字符1"/>
    <w:basedOn w:val="2"/>
    <w:qFormat/>
    <w:uiPriority w:val="0"/>
    <w:pPr>
      <w:tabs>
        <w:tab w:val="left" w:pos="360"/>
      </w:tabs>
      <w:spacing w:before="360" w:after="240"/>
      <w:ind w:left="360" w:hanging="360" w:hangingChars="200"/>
      <w:jc w:val="left"/>
      <w:textAlignment w:val="baseline"/>
    </w:pPr>
    <w:rPr>
      <w:rFonts w:cs="宋体"/>
      <w:b/>
      <w:bCs w:val="0"/>
      <w:szCs w:val="32"/>
    </w:rPr>
  </w:style>
  <w:style w:type="paragraph" w:customStyle="1" w:styleId="557">
    <w:name w:val="正文(加宽0.3磅) Char"/>
    <w:basedOn w:val="1"/>
    <w:qFormat/>
    <w:uiPriority w:val="0"/>
    <w:pPr>
      <w:autoSpaceDE w:val="0"/>
      <w:autoSpaceDN w:val="0"/>
      <w:adjustRightInd w:val="0"/>
      <w:spacing w:line="307" w:lineRule="auto"/>
      <w:ind w:firstLine="482"/>
      <w:textAlignment w:val="baseline"/>
    </w:pPr>
    <w:rPr>
      <w:spacing w:val="6"/>
      <w:kern w:val="0"/>
      <w:szCs w:val="20"/>
    </w:rPr>
  </w:style>
  <w:style w:type="paragraph" w:customStyle="1" w:styleId="558">
    <w:name w:val="表格间"/>
    <w:basedOn w:val="1"/>
    <w:qFormat/>
    <w:uiPriority w:val="0"/>
    <w:pPr>
      <w:spacing w:line="240" w:lineRule="auto"/>
    </w:pPr>
    <w:rPr>
      <w:color w:val="000000"/>
      <w:sz w:val="22"/>
      <w:szCs w:val="28"/>
    </w:rPr>
  </w:style>
  <w:style w:type="paragraph" w:customStyle="1" w:styleId="559">
    <w:name w:val="图形中文字"/>
    <w:basedOn w:val="1"/>
    <w:qFormat/>
    <w:uiPriority w:val="0"/>
    <w:pPr>
      <w:widowControl/>
      <w:autoSpaceDE w:val="0"/>
      <w:autoSpaceDN w:val="0"/>
      <w:adjustRightInd w:val="0"/>
      <w:jc w:val="center"/>
    </w:pPr>
    <w:rPr>
      <w:rFonts w:ascii="宋体" w:hAnsi="Tms Rmn" w:cs="宋体"/>
      <w:kern w:val="0"/>
      <w:szCs w:val="20"/>
    </w:rPr>
  </w:style>
  <w:style w:type="paragraph" w:customStyle="1" w:styleId="560">
    <w:name w:val="报告题目"/>
    <w:basedOn w:val="2"/>
    <w:qFormat/>
    <w:uiPriority w:val="0"/>
    <w:pPr>
      <w:autoSpaceDE w:val="0"/>
      <w:autoSpaceDN w:val="0"/>
      <w:adjustRightInd w:val="0"/>
      <w:spacing w:before="480"/>
      <w:ind w:firstLine="425"/>
      <w:textAlignment w:val="baseline"/>
      <w:outlineLvl w:val="9"/>
    </w:pPr>
    <w:rPr>
      <w:bCs w:val="0"/>
      <w:sz w:val="30"/>
      <w:szCs w:val="32"/>
    </w:rPr>
  </w:style>
  <w:style w:type="paragraph" w:customStyle="1" w:styleId="561">
    <w:name w:val="大岗山图标题"/>
    <w:basedOn w:val="1"/>
    <w:qFormat/>
    <w:uiPriority w:val="0"/>
    <w:pPr>
      <w:ind w:left="200" w:hanging="200" w:hangingChars="200"/>
      <w:jc w:val="center"/>
    </w:pPr>
    <w:rPr>
      <w:rFonts w:eastAsia="华文中宋"/>
      <w:szCs w:val="20"/>
    </w:rPr>
  </w:style>
  <w:style w:type="paragraph" w:customStyle="1" w:styleId="562">
    <w:name w:val="样式 样式 样式 样式 正文首行缩进 + 首行缩进:  2 字符 + 首行缩进:  2 字符 + 首行缩进:  2 字符 +"/>
    <w:basedOn w:val="1"/>
    <w:qFormat/>
    <w:uiPriority w:val="0"/>
    <w:pPr>
      <w:widowControl/>
      <w:topLinePunct/>
      <w:adjustRightInd w:val="0"/>
      <w:spacing w:line="480" w:lineRule="exact"/>
      <w:ind w:firstLine="560"/>
      <w:jc w:val="left"/>
    </w:pPr>
    <w:rPr>
      <w:rFonts w:ascii="仿宋_GB2312" w:hAnsi="楷体_GB2312" w:eastAsia="仿宋_GB2312" w:cs="Arial"/>
      <w:kern w:val="0"/>
      <w:szCs w:val="28"/>
    </w:rPr>
  </w:style>
  <w:style w:type="paragraph" w:customStyle="1" w:styleId="563">
    <w:name w:val="样式 样式 正文文本缩进 2 + 首行缩进:  2 字符 + 首行缩进:  2 字符"/>
    <w:basedOn w:val="1"/>
    <w:qFormat/>
    <w:uiPriority w:val="0"/>
    <w:pPr>
      <w:widowControl/>
      <w:spacing w:after="120"/>
      <w:ind w:firstLine="480"/>
      <w:jc w:val="left"/>
    </w:pPr>
    <w:rPr>
      <w:rFonts w:ascii="宋体" w:hAnsi="宋体" w:cs="宋体"/>
      <w:kern w:val="0"/>
      <w:szCs w:val="20"/>
    </w:rPr>
  </w:style>
  <w:style w:type="paragraph" w:customStyle="1" w:styleId="564">
    <w:name w:val="样式 正文缩进"/>
    <w:basedOn w:val="15"/>
    <w:qFormat/>
    <w:uiPriority w:val="0"/>
    <w:pPr>
      <w:spacing w:line="360" w:lineRule="auto"/>
      <w:ind w:firstLine="480"/>
      <w:jc w:val="left"/>
    </w:pPr>
    <w:rPr>
      <w:rFonts w:cs="宋体"/>
      <w:kern w:val="0"/>
      <w:sz w:val="20"/>
    </w:rPr>
  </w:style>
  <w:style w:type="paragraph" w:customStyle="1" w:styleId="565">
    <w:name w:val="样式 表文居中 + 宋体"/>
    <w:basedOn w:val="384"/>
    <w:qFormat/>
    <w:uiPriority w:val="0"/>
    <w:pPr>
      <w:widowControl/>
      <w:overflowPunct/>
      <w:autoSpaceDE/>
      <w:autoSpaceDN/>
      <w:adjustRightInd/>
      <w:spacing w:line="240" w:lineRule="atLeast"/>
      <w:ind w:firstLine="360"/>
    </w:pPr>
    <w:rPr>
      <w:rFonts w:ascii="宋体" w:hAnsi="宋体" w:cs="宋体"/>
      <w:kern w:val="0"/>
    </w:rPr>
  </w:style>
  <w:style w:type="paragraph" w:customStyle="1" w:styleId="566">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kern w:val="0"/>
      <w:sz w:val="18"/>
      <w:szCs w:val="18"/>
    </w:rPr>
  </w:style>
  <w:style w:type="paragraph" w:customStyle="1" w:styleId="567">
    <w:name w:val="样式 标题 3 + 首行缩进:  0 厘米1"/>
    <w:basedOn w:val="4"/>
    <w:qFormat/>
    <w:uiPriority w:val="0"/>
    <w:pPr>
      <w:spacing w:line="240" w:lineRule="auto"/>
    </w:pPr>
    <w:rPr>
      <w:rFonts w:eastAsia="宋体" w:cs="宋体"/>
      <w:b w:val="0"/>
      <w:bCs w:val="0"/>
      <w:sz w:val="28"/>
      <w:szCs w:val="20"/>
      <w:lang w:val="zh-CN"/>
    </w:rPr>
  </w:style>
  <w:style w:type="paragraph" w:customStyle="1" w:styleId="568">
    <w:name w:val="样式 4 + 首行缩进:  2 字符2"/>
    <w:basedOn w:val="5"/>
    <w:qFormat/>
    <w:uiPriority w:val="0"/>
    <w:pPr>
      <w:spacing w:before="0" w:after="0" w:line="360" w:lineRule="auto"/>
    </w:pPr>
    <w:rPr>
      <w:rFonts w:ascii="宋体" w:hAnsi="宋体" w:cs="宋体"/>
      <w:color w:val="FF0000"/>
      <w:spacing w:val="-2"/>
      <w:sz w:val="24"/>
      <w:szCs w:val="20"/>
    </w:rPr>
  </w:style>
  <w:style w:type="paragraph" w:customStyle="1" w:styleId="569">
    <w:name w:val="正文+ 首行缩进:  2 字符"/>
    <w:basedOn w:val="570"/>
    <w:qFormat/>
    <w:uiPriority w:val="0"/>
    <w:pPr>
      <w:ind w:firstLine="480"/>
    </w:pPr>
    <w:rPr>
      <w:rFonts w:ascii="Times New Roman" w:hAnsi="Times New Roman"/>
      <w:szCs w:val="24"/>
    </w:rPr>
  </w:style>
  <w:style w:type="paragraph" w:customStyle="1" w:styleId="570">
    <w:name w:val="正文+首行缩进2字符"/>
    <w:basedOn w:val="1"/>
    <w:qFormat/>
    <w:uiPriority w:val="0"/>
    <w:pPr>
      <w:autoSpaceDE w:val="0"/>
      <w:autoSpaceDN w:val="0"/>
      <w:adjustRightInd w:val="0"/>
      <w:jc w:val="center"/>
    </w:pPr>
    <w:rPr>
      <w:rFonts w:ascii="宋体" w:hAnsi="宋体"/>
      <w:kern w:val="0"/>
      <w:sz w:val="32"/>
      <w:szCs w:val="20"/>
    </w:rPr>
  </w:style>
  <w:style w:type="paragraph" w:customStyle="1" w:styleId="571">
    <w:name w:val="样式0表换行"/>
    <w:basedOn w:val="1"/>
    <w:qFormat/>
    <w:uiPriority w:val="0"/>
    <w:pPr>
      <w:spacing w:line="300" w:lineRule="auto"/>
      <w:jc w:val="center"/>
    </w:pPr>
    <w:rPr>
      <w:szCs w:val="20"/>
    </w:rPr>
  </w:style>
  <w:style w:type="paragraph" w:customStyle="1" w:styleId="572">
    <w:name w:val="样式 样式 宋体 小四 行距: 1.5 倍行距 + 首行缩进:  2 字符"/>
    <w:basedOn w:val="1"/>
    <w:qFormat/>
    <w:uiPriority w:val="0"/>
    <w:pPr>
      <w:adjustRightInd w:val="0"/>
      <w:snapToGrid w:val="0"/>
    </w:pPr>
    <w:rPr>
      <w:rFonts w:cs="宋体"/>
      <w:szCs w:val="20"/>
    </w:rPr>
  </w:style>
  <w:style w:type="paragraph" w:customStyle="1" w:styleId="573">
    <w:name w:val="xl104"/>
    <w:basedOn w:val="1"/>
    <w:qFormat/>
    <w:uiPriority w:val="0"/>
    <w:pPr>
      <w:widowControl/>
      <w:spacing w:before="100" w:beforeAutospacing="1" w:after="100" w:afterAutospacing="1"/>
      <w:jc w:val="center"/>
      <w:textAlignment w:val="center"/>
    </w:pPr>
    <w:rPr>
      <w:rFonts w:ascii="宋体" w:hAnsi="宋体" w:cs="宋体"/>
      <w:b/>
      <w:bCs/>
      <w:kern w:val="0"/>
      <w:szCs w:val="24"/>
    </w:rPr>
  </w:style>
  <w:style w:type="paragraph" w:customStyle="1" w:styleId="574">
    <w:name w:val="样式 左侧:  1 字符 右侧:  1 字符"/>
    <w:basedOn w:val="1"/>
    <w:semiHidden/>
    <w:qFormat/>
    <w:uiPriority w:val="0"/>
    <w:pPr>
      <w:tabs>
        <w:tab w:val="left" w:pos="6660"/>
      </w:tabs>
      <w:ind w:left="-166" w:firstLine="540" w:firstLineChars="256"/>
    </w:pPr>
    <w:rPr>
      <w:rFonts w:cs="宋体"/>
      <w:color w:val="000000"/>
      <w:szCs w:val="24"/>
    </w:rPr>
  </w:style>
  <w:style w:type="paragraph" w:customStyle="1" w:styleId="575">
    <w:name w:val="表格文字居中"/>
    <w:qFormat/>
    <w:uiPriority w:val="0"/>
    <w:pPr>
      <w:widowControl w:val="0"/>
      <w:adjustRightInd w:val="0"/>
      <w:snapToGrid w:val="0"/>
      <w:spacing w:line="280" w:lineRule="exact"/>
      <w:jc w:val="center"/>
    </w:pPr>
    <w:rPr>
      <w:rFonts w:ascii="Times New Roman" w:hAnsi="Times New Roman" w:eastAsia="宋体" w:cs="Times New Roman"/>
      <w:bCs/>
      <w:sz w:val="21"/>
      <w:szCs w:val="21"/>
      <w:lang w:val="en-US" w:eastAsia="zh-CN" w:bidi="ar-SA"/>
    </w:rPr>
  </w:style>
  <w:style w:type="paragraph" w:customStyle="1" w:styleId="576">
    <w:name w:val="样式 表格 + 五号"/>
    <w:basedOn w:val="155"/>
    <w:qFormat/>
    <w:uiPriority w:val="0"/>
    <w:pPr>
      <w:widowControl/>
      <w:overflowPunct/>
      <w:adjustRightInd/>
      <w:snapToGrid/>
      <w:spacing w:line="240" w:lineRule="auto"/>
      <w:ind w:firstLine="200" w:firstLineChars="200"/>
    </w:pPr>
    <w:rPr>
      <w:rFonts w:ascii="Arial" w:hAnsi="Arial" w:eastAsia="楷体_GB2312" w:cs="Arial"/>
      <w:snapToGrid/>
      <w:color w:val="auto"/>
      <w:kern w:val="2"/>
      <w:sz w:val="24"/>
      <w:szCs w:val="22"/>
    </w:rPr>
  </w:style>
  <w:style w:type="paragraph" w:customStyle="1" w:styleId="577">
    <w:name w:val="样式 样式 表内容 + (中文) 黑体 加粗 段前: 7.8 磅 段后: 7.8 磅 + 加粗 段前: 自动 段后: 自动"/>
    <w:basedOn w:val="541"/>
    <w:qFormat/>
    <w:uiPriority w:val="0"/>
    <w:pPr>
      <w:spacing w:before="156" w:after="156"/>
    </w:pPr>
    <w:rPr>
      <w:rFonts w:eastAsia="宋体"/>
    </w:rPr>
  </w:style>
  <w:style w:type="paragraph" w:customStyle="1" w:styleId="578">
    <w:name w:val="表文 Char Char Char Char"/>
    <w:basedOn w:val="1"/>
    <w:semiHidden/>
    <w:qFormat/>
    <w:uiPriority w:val="0"/>
    <w:pPr>
      <w:overflowPunct w:val="0"/>
      <w:spacing w:line="192" w:lineRule="auto"/>
      <w:jc w:val="center"/>
      <w:textAlignment w:val="baseline"/>
    </w:pPr>
    <w:rPr>
      <w:snapToGrid w:val="0"/>
      <w:sz w:val="18"/>
      <w:szCs w:val="24"/>
    </w:rPr>
  </w:style>
  <w:style w:type="paragraph" w:customStyle="1" w:styleId="57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80">
    <w:name w:val="论文样式1"/>
    <w:basedOn w:val="1"/>
    <w:qFormat/>
    <w:uiPriority w:val="0"/>
    <w:pPr>
      <w:jc w:val="center"/>
    </w:pPr>
    <w:rPr>
      <w:rFonts w:ascii="黑体"/>
      <w:szCs w:val="32"/>
    </w:rPr>
  </w:style>
  <w:style w:type="paragraph" w:customStyle="1" w:styleId="581">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82">
    <w:name w:val="表文2"/>
    <w:basedOn w:val="385"/>
    <w:qFormat/>
    <w:uiPriority w:val="0"/>
    <w:pPr>
      <w:overflowPunct w:val="0"/>
      <w:spacing w:line="140" w:lineRule="atLeast"/>
      <w:jc w:val="left"/>
    </w:pPr>
    <w:rPr>
      <w:color w:val="000000"/>
    </w:rPr>
  </w:style>
  <w:style w:type="paragraph" w:customStyle="1" w:styleId="583">
    <w:name w:val="样式 样式 样式 样式 标题 3 + 首行缩进:  0 厘米1 + 首行缩进:  0 厘米 + 首行缩进:  0 字符 + 首行..."/>
    <w:basedOn w:val="1"/>
    <w:qFormat/>
    <w:uiPriority w:val="0"/>
    <w:pPr>
      <w:keepNext/>
      <w:keepLines/>
      <w:outlineLvl w:val="2"/>
    </w:pPr>
    <w:rPr>
      <w:sz w:val="28"/>
      <w:szCs w:val="20"/>
    </w:rPr>
  </w:style>
  <w:style w:type="paragraph" w:customStyle="1" w:styleId="584">
    <w:name w:val="样式 表文 + 左侧:  -0.63 厘米"/>
    <w:basedOn w:val="385"/>
    <w:qFormat/>
    <w:uiPriority w:val="0"/>
    <w:pPr>
      <w:tabs>
        <w:tab w:val="left" w:pos="6660"/>
      </w:tabs>
      <w:autoSpaceDE/>
      <w:autoSpaceDN/>
      <w:spacing w:line="140" w:lineRule="atLeast"/>
    </w:pPr>
    <w:rPr>
      <w:snapToGrid w:val="0"/>
      <w:color w:val="FF0000"/>
      <w:szCs w:val="18"/>
    </w:rPr>
  </w:style>
  <w:style w:type="paragraph" w:customStyle="1" w:styleId="585">
    <w:name w:val="Char4"/>
    <w:basedOn w:val="1"/>
    <w:qFormat/>
    <w:uiPriority w:val="0"/>
    <w:rPr>
      <w:rFonts w:ascii="宋体" w:hAnsi="宋体" w:cs="宋体"/>
      <w:szCs w:val="24"/>
    </w:rPr>
  </w:style>
  <w:style w:type="paragraph" w:customStyle="1" w:styleId="586">
    <w:name w:val="报告标题"/>
    <w:basedOn w:val="1"/>
    <w:qFormat/>
    <w:uiPriority w:val="0"/>
    <w:pPr>
      <w:jc w:val="center"/>
    </w:pPr>
    <w:rPr>
      <w:b/>
      <w:sz w:val="36"/>
      <w:szCs w:val="36"/>
    </w:rPr>
  </w:style>
  <w:style w:type="paragraph" w:customStyle="1" w:styleId="58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588">
    <w:name w:val="表格2"/>
    <w:basedOn w:val="1"/>
    <w:link w:val="1110"/>
    <w:qFormat/>
    <w:uiPriority w:val="0"/>
    <w:pPr>
      <w:spacing w:line="360" w:lineRule="atLeast"/>
      <w:jc w:val="center"/>
    </w:pPr>
    <w:rPr>
      <w:szCs w:val="21"/>
    </w:rPr>
  </w:style>
  <w:style w:type="paragraph" w:customStyle="1" w:styleId="589">
    <w:name w:val="表文＋两端分散"/>
    <w:basedOn w:val="590"/>
    <w:semiHidden/>
    <w:qFormat/>
    <w:uiPriority w:val="0"/>
    <w:pPr>
      <w:overflowPunct/>
      <w:jc w:val="both"/>
    </w:pPr>
    <w:rPr>
      <w:snapToGrid w:val="0"/>
      <w:kern w:val="0"/>
      <w:szCs w:val="21"/>
    </w:rPr>
  </w:style>
  <w:style w:type="paragraph" w:customStyle="1" w:styleId="590">
    <w:name w:val="表文 Char Char2"/>
    <w:basedOn w:val="1"/>
    <w:qFormat/>
    <w:uiPriority w:val="0"/>
    <w:pPr>
      <w:overflowPunct w:val="0"/>
      <w:adjustRightInd w:val="0"/>
      <w:snapToGrid w:val="0"/>
      <w:jc w:val="center"/>
      <w:textAlignment w:val="baseline"/>
    </w:pPr>
    <w:rPr>
      <w:szCs w:val="20"/>
    </w:rPr>
  </w:style>
  <w:style w:type="paragraph" w:customStyle="1" w:styleId="591">
    <w:name w:val="正文黑"/>
    <w:basedOn w:val="1"/>
    <w:qFormat/>
    <w:uiPriority w:val="0"/>
    <w:pPr>
      <w:widowControl/>
    </w:pPr>
    <w:rPr>
      <w:rFonts w:ascii="宋体" w:hAnsi="宋体"/>
      <w:b/>
      <w:color w:val="000000"/>
      <w:kern w:val="0"/>
      <w:szCs w:val="24"/>
    </w:rPr>
  </w:style>
  <w:style w:type="paragraph" w:customStyle="1" w:styleId="592">
    <w:name w:val="4级"/>
    <w:basedOn w:val="1"/>
    <w:next w:val="1"/>
    <w:qFormat/>
    <w:uiPriority w:val="0"/>
    <w:pPr>
      <w:keepNext/>
      <w:keepLines/>
      <w:adjustRightInd w:val="0"/>
      <w:snapToGrid w:val="0"/>
      <w:spacing w:before="120" w:after="120"/>
      <w:jc w:val="left"/>
      <w:textAlignment w:val="baseline"/>
      <w:outlineLvl w:val="3"/>
    </w:pPr>
    <w:rPr>
      <w:rFonts w:ascii="黑体" w:hAnsi="宋体" w:cs="黑体"/>
      <w:b/>
      <w:kern w:val="0"/>
      <w:szCs w:val="24"/>
    </w:rPr>
  </w:style>
  <w:style w:type="paragraph" w:customStyle="1" w:styleId="593">
    <w:name w:val="Char Char Char2 Char Char Char Char Char Char Char Char Char Char Char Char Char Char Char Char Char Char Char Char Char Char Char Char Char"/>
    <w:basedOn w:val="1"/>
    <w:qFormat/>
    <w:uiPriority w:val="0"/>
    <w:rPr>
      <w:rFonts w:ascii="宋体" w:hAnsi="宋体" w:cs="宋体"/>
      <w:szCs w:val="24"/>
    </w:rPr>
  </w:style>
  <w:style w:type="paragraph" w:customStyle="1" w:styleId="594">
    <w:name w:val="样式 样式 首行缩进:  2 字符1 + 首行缩进:  2 字符1"/>
    <w:basedOn w:val="1"/>
    <w:qFormat/>
    <w:uiPriority w:val="0"/>
    <w:pPr>
      <w:keepNext/>
    </w:pPr>
    <w:rPr>
      <w:rFonts w:cs="宋体"/>
      <w:szCs w:val="20"/>
    </w:rPr>
  </w:style>
  <w:style w:type="paragraph" w:customStyle="1" w:styleId="595">
    <w:name w:val="样式 标题 2标题 2 Char二级标题第一节标题 2XW标题 二级标题标题 2 Char Char Char Ch..."/>
    <w:basedOn w:val="3"/>
    <w:qFormat/>
    <w:uiPriority w:val="0"/>
    <w:pPr>
      <w:keepNext w:val="0"/>
      <w:keepLines w:val="0"/>
      <w:tabs>
        <w:tab w:val="left" w:pos="1320"/>
      </w:tabs>
      <w:autoSpaceDE w:val="0"/>
      <w:autoSpaceDN w:val="0"/>
      <w:adjustRightInd w:val="0"/>
      <w:spacing w:before="180" w:after="180"/>
      <w:ind w:left="1320" w:hanging="420"/>
      <w:textAlignment w:val="baseline"/>
    </w:pPr>
    <w:rPr>
      <w:rFonts w:cs="宋体"/>
      <w:b w:val="0"/>
      <w:bCs w:val="0"/>
      <w:kern w:val="0"/>
      <w:szCs w:val="20"/>
    </w:rPr>
  </w:style>
  <w:style w:type="paragraph" w:customStyle="1" w:styleId="596">
    <w:name w:val="Char1 Char Char Char"/>
    <w:basedOn w:val="1"/>
    <w:qFormat/>
    <w:uiPriority w:val="0"/>
    <w:rPr>
      <w:rFonts w:ascii="Tahoma" w:hAnsi="Tahoma"/>
      <w:szCs w:val="20"/>
    </w:rPr>
  </w:style>
  <w:style w:type="paragraph" w:customStyle="1" w:styleId="597">
    <w:name w:val="Char Char Char Char Char Char2"/>
    <w:basedOn w:val="1"/>
    <w:qFormat/>
    <w:uiPriority w:val="0"/>
    <w:rPr>
      <w:rFonts w:ascii="宋体" w:hAnsi="宋体" w:cs="宋体"/>
      <w:szCs w:val="24"/>
    </w:rPr>
  </w:style>
  <w:style w:type="paragraph" w:customStyle="1" w:styleId="598">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599">
    <w:name w:val="Char Char Char3 Char"/>
    <w:basedOn w:val="1"/>
    <w:qFormat/>
    <w:uiPriority w:val="0"/>
    <w:rPr>
      <w:rFonts w:ascii="宋体" w:hAnsi="宋体" w:cs="宋体"/>
      <w:szCs w:val="24"/>
    </w:rPr>
  </w:style>
  <w:style w:type="paragraph" w:customStyle="1" w:styleId="600">
    <w:name w:val="111"/>
    <w:basedOn w:val="1"/>
    <w:next w:val="60"/>
    <w:qFormat/>
    <w:uiPriority w:val="0"/>
    <w:pPr>
      <w:ind w:firstLine="360"/>
    </w:pPr>
    <w:rPr>
      <w:sz w:val="18"/>
      <w:szCs w:val="18"/>
    </w:rPr>
  </w:style>
  <w:style w:type="paragraph" w:customStyle="1" w:styleId="601">
    <w:name w:val="xl148"/>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b/>
      <w:bCs/>
      <w:kern w:val="0"/>
      <w:szCs w:val="24"/>
    </w:rPr>
  </w:style>
  <w:style w:type="paragraph" w:customStyle="1" w:styleId="602">
    <w:name w:val="水保2级"/>
    <w:basedOn w:val="3"/>
    <w:qFormat/>
    <w:uiPriority w:val="0"/>
    <w:pPr>
      <w:spacing w:before="260" w:after="260" w:line="415" w:lineRule="auto"/>
    </w:pPr>
    <w:rPr>
      <w:rFonts w:ascii="Arial" w:hAnsi="Arial" w:eastAsia="宋体"/>
      <w:b w:val="0"/>
    </w:rPr>
  </w:style>
  <w:style w:type="paragraph" w:customStyle="1" w:styleId="603">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b/>
      <w:bCs/>
      <w:kern w:val="0"/>
      <w:sz w:val="18"/>
      <w:szCs w:val="18"/>
    </w:rPr>
  </w:style>
  <w:style w:type="paragraph" w:customStyle="1" w:styleId="604">
    <w:name w:val="Char Char Char Char Char Char3 Char Char Char Char Char Char Char"/>
    <w:basedOn w:val="1"/>
    <w:qFormat/>
    <w:uiPriority w:val="0"/>
    <w:rPr>
      <w:rFonts w:ascii="宋体" w:hAnsi="宋体" w:cs="宋体"/>
      <w:szCs w:val="24"/>
    </w:rPr>
  </w:style>
  <w:style w:type="paragraph" w:customStyle="1" w:styleId="605">
    <w:name w:val="font12"/>
    <w:basedOn w:val="1"/>
    <w:qFormat/>
    <w:uiPriority w:val="0"/>
    <w:pPr>
      <w:widowControl/>
      <w:spacing w:before="100" w:after="100"/>
      <w:jc w:val="left"/>
    </w:pPr>
    <w:rPr>
      <w:rFonts w:ascii="宋体" w:hAnsi="宋体"/>
      <w:color w:val="000000"/>
      <w:kern w:val="0"/>
      <w:sz w:val="20"/>
      <w:szCs w:val="20"/>
    </w:rPr>
  </w:style>
  <w:style w:type="paragraph" w:customStyle="1" w:styleId="606">
    <w:name w:val="BG1"/>
    <w:basedOn w:val="1"/>
    <w:qFormat/>
    <w:uiPriority w:val="0"/>
    <w:pPr>
      <w:snapToGrid w:val="0"/>
      <w:jc w:val="center"/>
    </w:pPr>
    <w:rPr>
      <w:color w:val="000000"/>
      <w:szCs w:val="24"/>
    </w:rPr>
  </w:style>
  <w:style w:type="paragraph" w:customStyle="1" w:styleId="607">
    <w:name w:val="样式 标题 1 + 首行缩进:  2 字符"/>
    <w:basedOn w:val="2"/>
    <w:qFormat/>
    <w:uiPriority w:val="0"/>
    <w:pPr>
      <w:tabs>
        <w:tab w:val="left" w:pos="360"/>
      </w:tabs>
      <w:spacing w:before="360" w:after="240"/>
      <w:ind w:left="360" w:hanging="360" w:hangingChars="200"/>
      <w:jc w:val="left"/>
      <w:textAlignment w:val="baseline"/>
    </w:pPr>
    <w:rPr>
      <w:rFonts w:cs="宋体"/>
      <w:b/>
      <w:bCs w:val="0"/>
      <w:szCs w:val="32"/>
    </w:rPr>
  </w:style>
  <w:style w:type="paragraph" w:customStyle="1" w:styleId="608">
    <w:name w:val="样式 首行缩进:  1.19 厘米"/>
    <w:basedOn w:val="1"/>
    <w:qFormat/>
    <w:uiPriority w:val="0"/>
    <w:pPr>
      <w:ind w:firstLine="560"/>
    </w:pPr>
    <w:rPr>
      <w:sz w:val="28"/>
      <w:szCs w:val="28"/>
    </w:rPr>
  </w:style>
  <w:style w:type="paragraph" w:customStyle="1" w:styleId="609">
    <w:name w:val="样式 标题 1章 + (中文) 黑体 三号 居中 段前: 15 磅 段后: 16 磅 行距: 最小值 28 磅"/>
    <w:basedOn w:val="2"/>
    <w:qFormat/>
    <w:uiPriority w:val="0"/>
    <w:pPr>
      <w:adjustRightInd w:val="0"/>
      <w:spacing w:before="300" w:after="320" w:line="560" w:lineRule="atLeast"/>
      <w:textAlignment w:val="baseline"/>
    </w:pPr>
    <w:rPr>
      <w:rFonts w:ascii="Arial" w:hAnsi="Arial" w:cs="宋体"/>
      <w:szCs w:val="20"/>
    </w:rPr>
  </w:style>
  <w:style w:type="paragraph" w:customStyle="1" w:styleId="610">
    <w:name w:val="样式 标题 5标题（五） + 左侧:  0 厘米 首行缩进:  0 厘米"/>
    <w:basedOn w:val="6"/>
    <w:qFormat/>
    <w:uiPriority w:val="0"/>
    <w:pPr>
      <w:tabs>
        <w:tab w:val="left" w:pos="0"/>
      </w:tabs>
      <w:adjustRightInd w:val="0"/>
      <w:spacing w:line="376" w:lineRule="atLeast"/>
      <w:ind w:firstLine="0" w:firstLineChars="0"/>
      <w:jc w:val="left"/>
      <w:textAlignment w:val="baseline"/>
    </w:pPr>
    <w:rPr>
      <w:rFonts w:cs="宋体"/>
      <w:kern w:val="0"/>
      <w:szCs w:val="20"/>
    </w:rPr>
  </w:style>
  <w:style w:type="paragraph" w:customStyle="1" w:styleId="611">
    <w:name w:val="Char Char Char1 Char Char Char Char Char Char"/>
    <w:basedOn w:val="1"/>
    <w:qFormat/>
    <w:uiPriority w:val="0"/>
    <w:rPr>
      <w:szCs w:val="24"/>
    </w:rPr>
  </w:style>
  <w:style w:type="paragraph" w:customStyle="1" w:styleId="612">
    <w:name w:val="Char Char Char Char Char Char3 Char Char Char Char Char Char Char1"/>
    <w:basedOn w:val="1"/>
    <w:qFormat/>
    <w:uiPriority w:val="0"/>
    <w:rPr>
      <w:rFonts w:ascii="宋体" w:hAnsi="宋体" w:cs="宋体"/>
      <w:szCs w:val="24"/>
    </w:rPr>
  </w:style>
  <w:style w:type="paragraph" w:customStyle="1" w:styleId="613">
    <w:name w:val="Char Char2"/>
    <w:basedOn w:val="1"/>
    <w:qFormat/>
    <w:uiPriority w:val="0"/>
    <w:pPr>
      <w:autoSpaceDE w:val="0"/>
      <w:autoSpaceDN w:val="0"/>
      <w:adjustRightInd w:val="0"/>
      <w:snapToGrid w:val="0"/>
      <w:spacing w:before="50" w:after="50"/>
      <w:ind w:firstLine="560"/>
    </w:pPr>
    <w:rPr>
      <w:rFonts w:eastAsia="仿宋_GB2312"/>
      <w:color w:val="000000"/>
      <w:szCs w:val="24"/>
    </w:rPr>
  </w:style>
  <w:style w:type="paragraph" w:customStyle="1" w:styleId="614">
    <w:name w:val="Char Char21"/>
    <w:basedOn w:val="1"/>
    <w:qFormat/>
    <w:uiPriority w:val="0"/>
    <w:pPr>
      <w:tabs>
        <w:tab w:val="left" w:pos="3436"/>
      </w:tabs>
      <w:ind w:left="1984" w:hanging="708"/>
    </w:pPr>
    <w:rPr>
      <w:szCs w:val="24"/>
    </w:rPr>
  </w:style>
  <w:style w:type="paragraph" w:customStyle="1" w:styleId="615">
    <w:name w:val="样式 (符号) 宋体 五号 加粗 居中 段前: 0.5 行 行距: 单倍行距"/>
    <w:basedOn w:val="1"/>
    <w:qFormat/>
    <w:uiPriority w:val="0"/>
    <w:pPr>
      <w:snapToGrid w:val="0"/>
      <w:jc w:val="center"/>
    </w:pPr>
    <w:rPr>
      <w:rFonts w:hAnsi="宋体" w:cs="宋体"/>
      <w:b/>
      <w:bCs/>
      <w:kern w:val="0"/>
      <w:szCs w:val="20"/>
    </w:rPr>
  </w:style>
  <w:style w:type="paragraph" w:customStyle="1" w:styleId="616">
    <w:name w:val="xl82"/>
    <w:basedOn w:val="1"/>
    <w:qFormat/>
    <w:uiPriority w:val="0"/>
    <w:pPr>
      <w:widowControl/>
      <w:spacing w:before="100" w:beforeAutospacing="1" w:after="100" w:afterAutospacing="1"/>
      <w:jc w:val="center"/>
      <w:textAlignment w:val="center"/>
    </w:pPr>
    <w:rPr>
      <w:rFonts w:ascii="宋体" w:hAnsi="宋体" w:cs="宋体"/>
      <w:color w:val="000000"/>
      <w:kern w:val="0"/>
      <w:szCs w:val="24"/>
    </w:rPr>
  </w:style>
  <w:style w:type="paragraph" w:customStyle="1" w:styleId="617">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Cs w:val="24"/>
    </w:rPr>
  </w:style>
  <w:style w:type="paragraph" w:customStyle="1" w:styleId="618">
    <w:name w:val="3级标题"/>
    <w:basedOn w:val="1"/>
    <w:link w:val="619"/>
    <w:qFormat/>
    <w:uiPriority w:val="0"/>
    <w:pPr>
      <w:spacing w:before="200" w:line="400" w:lineRule="exact"/>
      <w:outlineLvl w:val="2"/>
    </w:pPr>
    <w:rPr>
      <w:b/>
      <w:kern w:val="0"/>
      <w:szCs w:val="20"/>
    </w:rPr>
  </w:style>
  <w:style w:type="character" w:customStyle="1" w:styleId="619">
    <w:name w:val="3级标题 Char"/>
    <w:link w:val="618"/>
    <w:qFormat/>
    <w:uiPriority w:val="0"/>
    <w:rPr>
      <w:rFonts w:ascii="Times New Roman" w:hAnsi="Times New Roman"/>
      <w:b/>
      <w:sz w:val="24"/>
    </w:rPr>
  </w:style>
  <w:style w:type="paragraph" w:customStyle="1" w:styleId="620">
    <w:name w:val="Char Char Char11"/>
    <w:basedOn w:val="1"/>
    <w:qFormat/>
    <w:uiPriority w:val="0"/>
    <w:rPr>
      <w:rFonts w:ascii="宋体" w:hAnsi="宋体" w:cs="宋体"/>
      <w:szCs w:val="24"/>
    </w:rPr>
  </w:style>
  <w:style w:type="paragraph" w:customStyle="1" w:styleId="621">
    <w:name w:val="样式 水保3级 + 首行缩进:  2 字符"/>
    <w:basedOn w:val="622"/>
    <w:qFormat/>
    <w:uiPriority w:val="0"/>
    <w:pPr>
      <w:ind w:firstLine="560"/>
    </w:pPr>
    <w:rPr>
      <w:rFonts w:cs="宋体"/>
      <w:bCs w:val="0"/>
      <w:szCs w:val="20"/>
    </w:rPr>
  </w:style>
  <w:style w:type="paragraph" w:customStyle="1" w:styleId="622">
    <w:name w:val="水保3级"/>
    <w:basedOn w:val="4"/>
    <w:qFormat/>
    <w:uiPriority w:val="0"/>
    <w:pPr>
      <w:spacing w:before="260" w:after="260" w:line="500" w:lineRule="exact"/>
      <w:ind w:firstLine="480" w:firstLineChars="200"/>
    </w:pPr>
    <w:rPr>
      <w:rFonts w:ascii="宋体" w:hAnsi="宋体" w:eastAsia="宋体"/>
      <w:b w:val="0"/>
      <w:sz w:val="28"/>
      <w:lang w:val="zh-CN"/>
    </w:rPr>
  </w:style>
  <w:style w:type="paragraph" w:customStyle="1" w:styleId="623">
    <w:name w:val="表名 Char1 Char Char Char"/>
    <w:basedOn w:val="1"/>
    <w:semiHidden/>
    <w:qFormat/>
    <w:uiPriority w:val="0"/>
    <w:pPr>
      <w:overflowPunct w:val="0"/>
      <w:spacing w:before="100" w:beforeAutospacing="1"/>
      <w:jc w:val="center"/>
      <w:textAlignment w:val="baseline"/>
    </w:pPr>
    <w:rPr>
      <w:rFonts w:ascii="Arial" w:hAnsi="Arial" w:eastAsia="黑体"/>
      <w:snapToGrid w:val="0"/>
      <w:szCs w:val="24"/>
    </w:rPr>
  </w:style>
  <w:style w:type="paragraph" w:customStyle="1" w:styleId="624">
    <w:name w:val="表名称"/>
    <w:basedOn w:val="1"/>
    <w:qFormat/>
    <w:uiPriority w:val="0"/>
    <w:pPr>
      <w:jc w:val="center"/>
    </w:pPr>
    <w:rPr>
      <w:rFonts w:ascii="黑体" w:hAnsi="黑体" w:eastAsia="黑体" w:cs="宋体"/>
      <w:szCs w:val="20"/>
    </w:rPr>
  </w:style>
  <w:style w:type="paragraph" w:customStyle="1" w:styleId="62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626">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Cs w:val="24"/>
    </w:rPr>
  </w:style>
  <w:style w:type="paragraph" w:customStyle="1" w:styleId="627">
    <w:name w:val="2标题"/>
    <w:next w:val="628"/>
    <w:qFormat/>
    <w:uiPriority w:val="0"/>
    <w:pPr>
      <w:spacing w:beforeLines="30" w:afterLines="30"/>
      <w:jc w:val="center"/>
      <w:outlineLvl w:val="1"/>
    </w:pPr>
    <w:rPr>
      <w:rFonts w:ascii="Times New Roman" w:hAnsi="Times New Roman" w:eastAsia="黑体" w:cs="Times New Roman"/>
      <w:kern w:val="2"/>
      <w:sz w:val="32"/>
      <w:szCs w:val="24"/>
      <w:lang w:val="en-US" w:eastAsia="zh-CN" w:bidi="ar-SA"/>
    </w:rPr>
  </w:style>
  <w:style w:type="paragraph" w:customStyle="1" w:styleId="628">
    <w:name w:val="3标题"/>
    <w:next w:val="629"/>
    <w:qFormat/>
    <w:uiPriority w:val="0"/>
    <w:pPr>
      <w:spacing w:beforeLines="20" w:afterLines="20"/>
      <w:jc w:val="center"/>
      <w:outlineLvl w:val="2"/>
    </w:pPr>
    <w:rPr>
      <w:rFonts w:ascii="Times New Roman" w:hAnsi="Times New Roman" w:eastAsia="黑体" w:cs="Times New Roman"/>
      <w:kern w:val="2"/>
      <w:sz w:val="30"/>
      <w:szCs w:val="24"/>
      <w:lang w:val="en-US" w:eastAsia="zh-CN" w:bidi="ar-SA"/>
    </w:rPr>
  </w:style>
  <w:style w:type="paragraph" w:customStyle="1" w:styleId="629">
    <w:name w:val="4标题"/>
    <w:next w:val="1"/>
    <w:qFormat/>
    <w:uiPriority w:val="0"/>
    <w:pPr>
      <w:spacing w:beforeLines="20" w:afterLines="20"/>
      <w:jc w:val="center"/>
      <w:outlineLvl w:val="3"/>
    </w:pPr>
    <w:rPr>
      <w:rFonts w:ascii="Times New Roman" w:hAnsi="Times New Roman" w:eastAsia="黑体" w:cs="Times New Roman"/>
      <w:kern w:val="2"/>
      <w:sz w:val="28"/>
      <w:szCs w:val="24"/>
      <w:lang w:val="en-US" w:eastAsia="zh-CN" w:bidi="ar-SA"/>
    </w:rPr>
  </w:style>
  <w:style w:type="paragraph" w:customStyle="1" w:styleId="630">
    <w:name w:val="1标题"/>
    <w:next w:val="627"/>
    <w:qFormat/>
    <w:uiPriority w:val="0"/>
    <w:pPr>
      <w:spacing w:beforeLines="50" w:afterLines="50"/>
      <w:jc w:val="center"/>
      <w:outlineLvl w:val="0"/>
    </w:pPr>
    <w:rPr>
      <w:rFonts w:ascii="Times New Roman" w:hAnsi="Times New Roman" w:eastAsia="黑体" w:cs="Times New Roman"/>
      <w:kern w:val="2"/>
      <w:sz w:val="36"/>
      <w:szCs w:val="24"/>
      <w:lang w:val="en-US" w:eastAsia="zh-CN" w:bidi="ar-SA"/>
    </w:rPr>
  </w:style>
  <w:style w:type="paragraph" w:customStyle="1" w:styleId="631">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18"/>
      <w:szCs w:val="18"/>
    </w:rPr>
  </w:style>
  <w:style w:type="paragraph" w:customStyle="1" w:styleId="632">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Cs w:val="21"/>
    </w:rPr>
  </w:style>
  <w:style w:type="paragraph" w:customStyle="1" w:styleId="633">
    <w:name w:val="样式 样式 标题 3 + 首行缩进:  2 字符 + 首行缩进:  0.85 厘米"/>
    <w:basedOn w:val="1"/>
    <w:qFormat/>
    <w:uiPriority w:val="0"/>
    <w:pPr>
      <w:keepNext/>
      <w:keepLines/>
      <w:widowControl/>
      <w:tabs>
        <w:tab w:val="left" w:pos="1860"/>
      </w:tabs>
      <w:ind w:left="1860" w:hanging="420"/>
      <w:outlineLvl w:val="2"/>
    </w:pPr>
    <w:rPr>
      <w:rFonts w:ascii="黑体" w:eastAsia="黑体" w:cs="宋体"/>
      <w:b/>
      <w:bCs/>
      <w:kern w:val="0"/>
      <w:szCs w:val="28"/>
    </w:rPr>
  </w:style>
  <w:style w:type="paragraph" w:customStyle="1" w:styleId="634">
    <w:name w:val="样式 标题 4 + 段前: 1 行 段后: 1 行2"/>
    <w:basedOn w:val="5"/>
    <w:qFormat/>
    <w:uiPriority w:val="0"/>
    <w:pPr>
      <w:tabs>
        <w:tab w:val="left" w:pos="1080"/>
      </w:tabs>
      <w:adjustRightInd w:val="0"/>
      <w:snapToGrid w:val="0"/>
      <w:spacing w:beforeLines="50" w:afterLines="50" w:line="360" w:lineRule="auto"/>
      <w:ind w:left="1080"/>
    </w:pPr>
    <w:rPr>
      <w:rFonts w:ascii="Times New Roman" w:hAnsi="Times New Roman" w:cs="宋体"/>
      <w:sz w:val="24"/>
      <w:szCs w:val="20"/>
    </w:rPr>
  </w:style>
  <w:style w:type="paragraph" w:customStyle="1" w:styleId="635">
    <w:name w:val="bgbt6插图标题"/>
    <w:basedOn w:val="1"/>
    <w:next w:val="1"/>
    <w:qFormat/>
    <w:uiPriority w:val="0"/>
    <w:pPr>
      <w:spacing w:after="60"/>
      <w:jc w:val="center"/>
      <w:outlineLvl w:val="5"/>
    </w:pPr>
    <w:rPr>
      <w:rFonts w:eastAsia="黑体"/>
      <w:szCs w:val="20"/>
    </w:rPr>
  </w:style>
  <w:style w:type="paragraph" w:customStyle="1" w:styleId="636">
    <w:name w:val="表头 Char Char Char"/>
    <w:basedOn w:val="31"/>
    <w:semiHidden/>
    <w:qFormat/>
    <w:uiPriority w:val="0"/>
    <w:pPr>
      <w:spacing w:line="360" w:lineRule="auto"/>
      <w:ind w:firstLine="510" w:firstLineChars="200"/>
      <w:jc w:val="center"/>
    </w:pPr>
    <w:rPr>
      <w:b/>
      <w:bCs/>
      <w:snapToGrid w:val="0"/>
      <w:szCs w:val="21"/>
    </w:rPr>
  </w:style>
  <w:style w:type="paragraph" w:customStyle="1" w:styleId="637">
    <w:name w:val="正文文本缩进 21"/>
    <w:basedOn w:val="1"/>
    <w:qFormat/>
    <w:uiPriority w:val="0"/>
    <w:pPr>
      <w:adjustRightInd w:val="0"/>
      <w:spacing w:line="312" w:lineRule="auto"/>
      <w:ind w:firstLine="570"/>
      <w:textAlignment w:val="baseline"/>
    </w:pPr>
    <w:rPr>
      <w:sz w:val="28"/>
      <w:szCs w:val="20"/>
    </w:rPr>
  </w:style>
  <w:style w:type="paragraph" w:customStyle="1" w:styleId="638">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Cs w:val="21"/>
    </w:rPr>
  </w:style>
  <w:style w:type="paragraph" w:customStyle="1" w:styleId="639">
    <w:name w:val="样式 首行缩进:  1.83 厘米"/>
    <w:basedOn w:val="1"/>
    <w:semiHidden/>
    <w:qFormat/>
    <w:uiPriority w:val="0"/>
    <w:pPr>
      <w:autoSpaceDE w:val="0"/>
      <w:autoSpaceDN w:val="0"/>
      <w:adjustRightInd w:val="0"/>
      <w:spacing w:line="324" w:lineRule="auto"/>
      <w:ind w:firstLine="480"/>
      <w:textAlignment w:val="baseline"/>
    </w:pPr>
    <w:rPr>
      <w:rFonts w:cs="宋体"/>
      <w:kern w:val="0"/>
      <w:szCs w:val="20"/>
    </w:rPr>
  </w:style>
  <w:style w:type="paragraph" w:customStyle="1" w:styleId="64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18"/>
      <w:szCs w:val="18"/>
    </w:rPr>
  </w:style>
  <w:style w:type="paragraph" w:customStyle="1" w:styleId="641">
    <w:name w:val="bg"/>
    <w:basedOn w:val="1"/>
    <w:qFormat/>
    <w:uiPriority w:val="0"/>
    <w:pPr>
      <w:widowControl/>
      <w:snapToGrid w:val="0"/>
      <w:jc w:val="center"/>
    </w:pPr>
    <w:rPr>
      <w:rFonts w:cs="宋体"/>
      <w:snapToGrid w:val="0"/>
      <w:color w:val="000000"/>
      <w:sz w:val="18"/>
      <w:szCs w:val="18"/>
    </w:rPr>
  </w:style>
  <w:style w:type="paragraph" w:customStyle="1" w:styleId="642">
    <w:name w:val="样式 左侧:  1 字符 右侧:  1 字符1"/>
    <w:basedOn w:val="1"/>
    <w:semiHidden/>
    <w:qFormat/>
    <w:uiPriority w:val="0"/>
    <w:pPr>
      <w:tabs>
        <w:tab w:val="left" w:pos="6660"/>
        <w:tab w:val="left" w:pos="8370"/>
      </w:tabs>
      <w:adjustRightInd w:val="0"/>
      <w:ind w:left="-166" w:right="240" w:rightChars="100" w:firstLine="614" w:firstLineChars="256"/>
    </w:pPr>
    <w:rPr>
      <w:rFonts w:cs="宋体"/>
      <w:szCs w:val="20"/>
    </w:rPr>
  </w:style>
  <w:style w:type="paragraph" w:customStyle="1" w:styleId="643">
    <w:name w:val="样式 标题2　自动设置"/>
    <w:basedOn w:val="3"/>
    <w:qFormat/>
    <w:uiPriority w:val="0"/>
    <w:pPr>
      <w:tabs>
        <w:tab w:val="left" w:pos="1140"/>
      </w:tabs>
      <w:spacing w:beforeLines="50" w:afterLines="50"/>
      <w:ind w:left="1140" w:hanging="720"/>
    </w:pPr>
    <w:rPr>
      <w:rFonts w:ascii="宋体" w:hAnsi="宋体" w:eastAsia="宋体" w:cs="宋体"/>
      <w:kern w:val="0"/>
      <w:szCs w:val="20"/>
    </w:rPr>
  </w:style>
  <w:style w:type="paragraph" w:customStyle="1" w:styleId="644">
    <w:name w:val="正文文本缩进1"/>
    <w:basedOn w:val="1"/>
    <w:qFormat/>
    <w:uiPriority w:val="0"/>
    <w:pPr>
      <w:widowControl/>
      <w:ind w:firstLine="720"/>
    </w:pPr>
    <w:rPr>
      <w:kern w:val="0"/>
      <w:szCs w:val="24"/>
    </w:rPr>
  </w:style>
  <w:style w:type="paragraph" w:customStyle="1" w:styleId="645">
    <w:name w:val="标题三"/>
    <w:basedOn w:val="4"/>
    <w:qFormat/>
    <w:uiPriority w:val="0"/>
    <w:pPr>
      <w:jc w:val="left"/>
    </w:pPr>
  </w:style>
  <w:style w:type="paragraph" w:customStyle="1" w:styleId="646">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647">
    <w:name w:val="default paragraph font Char"/>
    <w:basedOn w:val="1"/>
    <w:qFormat/>
    <w:uiPriority w:val="0"/>
    <w:pPr>
      <w:spacing w:line="240" w:lineRule="atLeast"/>
      <w:ind w:left="420" w:firstLine="420"/>
    </w:pPr>
    <w:rPr>
      <w:rFonts w:eastAsia="仿宋_GB2312"/>
      <w:sz w:val="32"/>
      <w:szCs w:val="32"/>
    </w:rPr>
  </w:style>
  <w:style w:type="paragraph" w:customStyle="1" w:styleId="648">
    <w:name w:val="表5"/>
    <w:basedOn w:val="1"/>
    <w:qFormat/>
    <w:uiPriority w:val="0"/>
    <w:pPr>
      <w:adjustRightInd w:val="0"/>
      <w:snapToGrid w:val="0"/>
      <w:jc w:val="center"/>
    </w:pPr>
    <w:rPr>
      <w:szCs w:val="21"/>
    </w:rPr>
  </w:style>
  <w:style w:type="paragraph" w:customStyle="1" w:styleId="649">
    <w:name w:val="表号 Char Char Char Char"/>
    <w:basedOn w:val="1"/>
    <w:qFormat/>
    <w:uiPriority w:val="0"/>
    <w:pPr>
      <w:adjustRightInd w:val="0"/>
      <w:snapToGrid w:val="0"/>
      <w:spacing w:line="320" w:lineRule="exact"/>
      <w:ind w:firstLine="105" w:firstLineChars="50"/>
      <w:textAlignment w:val="baseline"/>
    </w:pPr>
    <w:rPr>
      <w:rFonts w:ascii="宋体" w:hAnsi="宋体"/>
      <w:bCs/>
      <w:snapToGrid w:val="0"/>
      <w:kern w:val="0"/>
      <w:szCs w:val="21"/>
    </w:rPr>
  </w:style>
  <w:style w:type="paragraph" w:customStyle="1" w:styleId="650">
    <w:name w:val="正文--小4"/>
    <w:basedOn w:val="1"/>
    <w:qFormat/>
    <w:uiPriority w:val="0"/>
    <w:pPr>
      <w:spacing w:line="384" w:lineRule="auto"/>
    </w:pPr>
    <w:rPr>
      <w:szCs w:val="24"/>
    </w:rPr>
  </w:style>
  <w:style w:type="paragraph" w:customStyle="1" w:styleId="651">
    <w:name w:val="样式 右侧:  0 厘米 段前: 0.5 行"/>
    <w:basedOn w:val="1"/>
    <w:qFormat/>
    <w:uiPriority w:val="0"/>
    <w:pPr>
      <w:adjustRightInd w:val="0"/>
      <w:snapToGrid w:val="0"/>
      <w:spacing w:beforeLines="50"/>
    </w:pPr>
    <w:rPr>
      <w:rFonts w:cs="宋体"/>
      <w:szCs w:val="24"/>
    </w:rPr>
  </w:style>
  <w:style w:type="paragraph" w:customStyle="1" w:styleId="652">
    <w:name w:val="大岗山正文样式"/>
    <w:basedOn w:val="1"/>
    <w:qFormat/>
    <w:uiPriority w:val="0"/>
    <w:pPr>
      <w:ind w:firstLine="560"/>
    </w:pPr>
    <w:rPr>
      <w:szCs w:val="20"/>
    </w:rPr>
  </w:style>
  <w:style w:type="paragraph" w:customStyle="1" w:styleId="653">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654">
    <w:name w:val="样式 表号 + 首行缩进:  2 字符"/>
    <w:basedOn w:val="273"/>
    <w:qFormat/>
    <w:uiPriority w:val="0"/>
    <w:pPr>
      <w:overflowPunct/>
      <w:topLinePunct w:val="0"/>
      <w:autoSpaceDE w:val="0"/>
      <w:autoSpaceDN w:val="0"/>
      <w:adjustRightInd w:val="0"/>
      <w:spacing w:line="240" w:lineRule="atLeast"/>
      <w:ind w:firstLine="384"/>
      <w:textAlignment w:val="baseline"/>
      <w:outlineLvl w:val="9"/>
    </w:pPr>
    <w:rPr>
      <w:rFonts w:cs="宋体"/>
      <w:spacing w:val="6"/>
      <w:kern w:val="0"/>
      <w:sz w:val="18"/>
      <w:szCs w:val="20"/>
    </w:rPr>
  </w:style>
  <w:style w:type="paragraph" w:customStyle="1" w:styleId="655">
    <w:name w:val="样式 表文 + Times New Roman"/>
    <w:basedOn w:val="590"/>
    <w:qFormat/>
    <w:uiPriority w:val="0"/>
    <w:pPr>
      <w:overflowPunct/>
      <w:autoSpaceDE w:val="0"/>
      <w:autoSpaceDN w:val="0"/>
    </w:pPr>
    <w:rPr>
      <w:sz w:val="18"/>
      <w:szCs w:val="21"/>
    </w:rPr>
  </w:style>
  <w:style w:type="paragraph" w:customStyle="1" w:styleId="656">
    <w:name w:val="样式 标题 4"/>
    <w:basedOn w:val="5"/>
    <w:semiHidden/>
    <w:qFormat/>
    <w:uiPriority w:val="0"/>
    <w:pPr>
      <w:tabs>
        <w:tab w:val="left" w:pos="1680"/>
      </w:tabs>
      <w:adjustRightInd w:val="0"/>
      <w:snapToGrid w:val="0"/>
      <w:spacing w:before="120" w:after="0" w:line="360" w:lineRule="auto"/>
      <w:ind w:left="1680" w:hanging="420"/>
    </w:pPr>
    <w:rPr>
      <w:rFonts w:ascii="Times New Roman" w:hAnsi="Times New Roman"/>
      <w:b w:val="0"/>
      <w:bCs w:val="0"/>
      <w:snapToGrid w:val="0"/>
      <w:sz w:val="24"/>
      <w:szCs w:val="24"/>
    </w:rPr>
  </w:style>
  <w:style w:type="paragraph" w:customStyle="1" w:styleId="657">
    <w:name w:val="11"/>
    <w:basedOn w:val="1"/>
    <w:qFormat/>
    <w:uiPriority w:val="0"/>
    <w:pPr>
      <w:adjustRightInd w:val="0"/>
      <w:spacing w:line="240" w:lineRule="atLeast"/>
      <w:jc w:val="center"/>
      <w:textAlignment w:val="baseline"/>
    </w:pPr>
    <w:rPr>
      <w:kern w:val="0"/>
      <w:szCs w:val="20"/>
    </w:rPr>
  </w:style>
  <w:style w:type="paragraph" w:customStyle="1" w:styleId="65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659">
    <w:name w:val="xl129"/>
    <w:basedOn w:val="1"/>
    <w:qFormat/>
    <w:uiPriority w:val="0"/>
    <w:pPr>
      <w:widowControl/>
      <w:spacing w:before="100" w:beforeAutospacing="1" w:after="100" w:afterAutospacing="1"/>
      <w:jc w:val="center"/>
      <w:textAlignment w:val="center"/>
    </w:pPr>
    <w:rPr>
      <w:rFonts w:ascii="宋体" w:hAnsi="宋体" w:cs="宋体"/>
      <w:kern w:val="0"/>
      <w:szCs w:val="24"/>
    </w:rPr>
  </w:style>
  <w:style w:type="paragraph" w:customStyle="1" w:styleId="660">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kern w:val="0"/>
      <w:szCs w:val="21"/>
    </w:rPr>
  </w:style>
  <w:style w:type="paragraph" w:customStyle="1" w:styleId="661">
    <w:name w:val="Char Char Char1 Char Char Char Char Char Char Char"/>
    <w:basedOn w:val="1"/>
    <w:qFormat/>
    <w:uiPriority w:val="0"/>
    <w:rPr>
      <w:szCs w:val="24"/>
    </w:rPr>
  </w:style>
  <w:style w:type="paragraph" w:customStyle="1" w:styleId="662">
    <w:name w:val="注释"/>
    <w:basedOn w:val="1"/>
    <w:qFormat/>
    <w:uiPriority w:val="0"/>
    <w:pPr>
      <w:snapToGrid w:val="0"/>
      <w:spacing w:before="60" w:after="60" w:line="480" w:lineRule="exact"/>
      <w:ind w:firstLine="360"/>
      <w:jc w:val="left"/>
      <w:outlineLvl w:val="0"/>
    </w:pPr>
    <w:rPr>
      <w:sz w:val="18"/>
      <w:szCs w:val="18"/>
    </w:rPr>
  </w:style>
  <w:style w:type="paragraph" w:customStyle="1" w:styleId="663">
    <w:name w:val="样式 表号 + 首行缩进:  2 字符2"/>
    <w:basedOn w:val="1"/>
    <w:qFormat/>
    <w:uiPriority w:val="0"/>
    <w:pPr>
      <w:autoSpaceDE w:val="0"/>
      <w:autoSpaceDN w:val="0"/>
      <w:adjustRightInd w:val="0"/>
      <w:spacing w:line="240" w:lineRule="atLeast"/>
      <w:textAlignment w:val="baseline"/>
      <w:outlineLvl w:val="6"/>
    </w:pPr>
    <w:rPr>
      <w:spacing w:val="6"/>
      <w:kern w:val="0"/>
      <w:szCs w:val="21"/>
    </w:rPr>
  </w:style>
  <w:style w:type="paragraph" w:customStyle="1" w:styleId="664">
    <w:name w:val="基文"/>
    <w:qFormat/>
    <w:uiPriority w:val="0"/>
    <w:pPr>
      <w:spacing w:line="360" w:lineRule="auto"/>
      <w:ind w:firstLine="480" w:firstLineChars="200"/>
      <w:jc w:val="center"/>
    </w:pPr>
    <w:rPr>
      <w:rFonts w:ascii="宋体" w:hAnsi="Courier New" w:eastAsia="宋体" w:cs="Courier New"/>
      <w:bCs/>
      <w:kern w:val="2"/>
      <w:sz w:val="24"/>
      <w:szCs w:val="24"/>
      <w:lang w:val="en-US" w:eastAsia="zh-CN" w:bidi="ar-SA"/>
    </w:rPr>
  </w:style>
  <w:style w:type="paragraph" w:customStyle="1" w:styleId="665">
    <w:name w:val="xl122"/>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666">
    <w:name w:val="正文***"/>
    <w:basedOn w:val="1"/>
    <w:qFormat/>
    <w:uiPriority w:val="0"/>
    <w:rPr>
      <w:szCs w:val="20"/>
    </w:rPr>
  </w:style>
  <w:style w:type="paragraph" w:customStyle="1" w:styleId="667">
    <w:name w:val="layman"/>
    <w:basedOn w:val="1"/>
    <w:qFormat/>
    <w:uiPriority w:val="0"/>
    <w:pPr>
      <w:widowControl/>
      <w:tabs>
        <w:tab w:val="left" w:pos="5760"/>
      </w:tabs>
      <w:autoSpaceDE w:val="0"/>
      <w:autoSpaceDN w:val="0"/>
      <w:ind w:firstLine="420"/>
      <w:jc w:val="left"/>
    </w:pPr>
    <w:rPr>
      <w:color w:val="000000"/>
      <w:kern w:val="0"/>
      <w:szCs w:val="21"/>
    </w:rPr>
  </w:style>
  <w:style w:type="paragraph" w:customStyle="1" w:styleId="668">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669">
    <w:name w:val="样式 小四 两端对齐 行距: 1.5 倍行距"/>
    <w:basedOn w:val="1"/>
    <w:qFormat/>
    <w:uiPriority w:val="0"/>
    <w:pPr>
      <w:autoSpaceDE w:val="0"/>
      <w:autoSpaceDN w:val="0"/>
      <w:adjustRightInd w:val="0"/>
      <w:ind w:firstLine="480"/>
    </w:pPr>
    <w:rPr>
      <w:kern w:val="0"/>
      <w:szCs w:val="20"/>
      <w:lang w:val="zh-CN"/>
    </w:rPr>
  </w:style>
  <w:style w:type="paragraph" w:customStyle="1" w:styleId="670">
    <w:name w:val="样式 水保2级 + Times New Roman"/>
    <w:basedOn w:val="602"/>
    <w:qFormat/>
    <w:uiPriority w:val="0"/>
    <w:rPr>
      <w:rFonts w:ascii="Times New Roman" w:hAnsi="Times New Roman"/>
      <w:bCs w:val="0"/>
    </w:rPr>
  </w:style>
  <w:style w:type="paragraph" w:customStyle="1" w:styleId="671">
    <w:name w:val="Char Char Char Char Char Char Char Char Char Char Char Char Char1"/>
    <w:basedOn w:val="1"/>
    <w:qFormat/>
    <w:uiPriority w:val="0"/>
    <w:pPr>
      <w:snapToGrid w:val="0"/>
    </w:pPr>
    <w:rPr>
      <w:rFonts w:eastAsia="仿宋_GB2312"/>
      <w:szCs w:val="24"/>
    </w:rPr>
  </w:style>
  <w:style w:type="paragraph" w:customStyle="1" w:styleId="672">
    <w:name w:val="Char Char Char Char Char Char3 Char Char Char"/>
    <w:basedOn w:val="1"/>
    <w:qFormat/>
    <w:uiPriority w:val="0"/>
    <w:rPr>
      <w:rFonts w:ascii="宋体" w:hAnsi="宋体" w:cs="宋体"/>
      <w:szCs w:val="24"/>
    </w:rPr>
  </w:style>
  <w:style w:type="paragraph" w:customStyle="1" w:styleId="673">
    <w:name w:val="日期1"/>
    <w:basedOn w:val="1"/>
    <w:next w:val="1"/>
    <w:qFormat/>
    <w:uiPriority w:val="0"/>
    <w:pPr>
      <w:adjustRightInd w:val="0"/>
      <w:spacing w:after="100" w:afterAutospacing="1"/>
      <w:textAlignment w:val="baseline"/>
    </w:pPr>
    <w:rPr>
      <w:snapToGrid w:val="0"/>
      <w:szCs w:val="20"/>
    </w:rPr>
  </w:style>
  <w:style w:type="paragraph" w:customStyle="1" w:styleId="674">
    <w:name w:val="样式 正文+首行缩进2字符 + 首行缩进:  2 字符"/>
    <w:basedOn w:val="570"/>
    <w:qFormat/>
    <w:uiPriority w:val="0"/>
    <w:pPr>
      <w:ind w:firstLine="480"/>
      <w:jc w:val="both"/>
    </w:pPr>
    <w:rPr>
      <w:rFonts w:ascii="Times New Roman" w:hAnsi="Times New Roman"/>
      <w:sz w:val="24"/>
      <w:szCs w:val="24"/>
    </w:rPr>
  </w:style>
  <w:style w:type="paragraph" w:customStyle="1" w:styleId="675">
    <w:name w:val="xl111"/>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kern w:val="0"/>
      <w:sz w:val="18"/>
      <w:szCs w:val="18"/>
    </w:rPr>
  </w:style>
  <w:style w:type="paragraph" w:customStyle="1" w:styleId="676">
    <w:name w:val="Char1 Char Char Char1"/>
    <w:basedOn w:val="1"/>
    <w:qFormat/>
    <w:uiPriority w:val="0"/>
    <w:rPr>
      <w:rFonts w:ascii="宋体" w:hAnsi="宋体" w:cs="宋体"/>
      <w:szCs w:val="24"/>
    </w:rPr>
  </w:style>
  <w:style w:type="paragraph" w:customStyle="1" w:styleId="677">
    <w:name w:val="样式 标题 1 + 自动设置"/>
    <w:basedOn w:val="2"/>
    <w:qFormat/>
    <w:uiPriority w:val="0"/>
    <w:pPr>
      <w:tabs>
        <w:tab w:val="left" w:pos="700"/>
        <w:tab w:val="left" w:pos="964"/>
      </w:tabs>
      <w:autoSpaceDE w:val="0"/>
      <w:autoSpaceDN w:val="0"/>
      <w:adjustRightInd w:val="0"/>
      <w:ind w:left="510"/>
    </w:pPr>
    <w:rPr>
      <w:rFonts w:eastAsia="宋体"/>
      <w:sz w:val="28"/>
      <w:szCs w:val="20"/>
    </w:rPr>
  </w:style>
  <w:style w:type="paragraph" w:customStyle="1" w:styleId="678">
    <w:name w:val="正文0 Char Char Char Char"/>
    <w:basedOn w:val="1"/>
    <w:qFormat/>
    <w:uiPriority w:val="0"/>
    <w:pPr>
      <w:adjustRightInd w:val="0"/>
      <w:snapToGrid w:val="0"/>
      <w:ind w:firstLine="480"/>
    </w:pPr>
    <w:rPr>
      <w:szCs w:val="24"/>
    </w:rPr>
  </w:style>
  <w:style w:type="paragraph" w:customStyle="1" w:styleId="679">
    <w:name w:val="text1"/>
    <w:basedOn w:val="1"/>
    <w:qFormat/>
    <w:uiPriority w:val="0"/>
    <w:pPr>
      <w:widowControl/>
      <w:spacing w:before="100" w:beforeAutospacing="1" w:after="100" w:afterAutospacing="1"/>
      <w:jc w:val="left"/>
    </w:pPr>
    <w:rPr>
      <w:rFonts w:ascii="宋体" w:hAnsi="宋体" w:cs="宋体"/>
      <w:kern w:val="0"/>
      <w:szCs w:val="24"/>
    </w:rPr>
  </w:style>
  <w:style w:type="paragraph" w:customStyle="1" w:styleId="680">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Cs w:val="21"/>
    </w:rPr>
  </w:style>
  <w:style w:type="paragraph" w:customStyle="1" w:styleId="681">
    <w:name w:val="样式 标题 4 + 小四"/>
    <w:basedOn w:val="5"/>
    <w:qFormat/>
    <w:uiPriority w:val="0"/>
    <w:pPr>
      <w:spacing w:before="0" w:after="0" w:line="500" w:lineRule="exact"/>
      <w:ind w:firstLine="562"/>
    </w:pPr>
    <w:rPr>
      <w:rFonts w:ascii="Arial" w:hAnsi="Arial" w:eastAsia="仿宋_GB2312"/>
      <w:sz w:val="24"/>
    </w:rPr>
  </w:style>
  <w:style w:type="paragraph" w:customStyle="1" w:styleId="682">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kern w:val="0"/>
      <w:szCs w:val="21"/>
    </w:rPr>
  </w:style>
  <w:style w:type="paragraph" w:customStyle="1" w:styleId="683">
    <w:name w:val="我的正文 Char Char"/>
    <w:basedOn w:val="1"/>
    <w:qFormat/>
    <w:uiPriority w:val="0"/>
    <w:rPr>
      <w:szCs w:val="24"/>
    </w:rPr>
  </w:style>
  <w:style w:type="paragraph" w:customStyle="1" w:styleId="684">
    <w:name w:val="文章题目"/>
    <w:basedOn w:val="1"/>
    <w:next w:val="1"/>
    <w:qFormat/>
    <w:uiPriority w:val="0"/>
    <w:pPr>
      <w:adjustRightInd w:val="0"/>
      <w:snapToGrid w:val="0"/>
      <w:spacing w:before="100" w:beforeAutospacing="1" w:after="360"/>
      <w:jc w:val="center"/>
    </w:pPr>
    <w:rPr>
      <w:rFonts w:eastAsia="黑体"/>
      <w:b/>
      <w:bCs/>
      <w:sz w:val="32"/>
      <w:szCs w:val="32"/>
    </w:rPr>
  </w:style>
  <w:style w:type="paragraph" w:customStyle="1" w:styleId="685">
    <w:name w:val="前言"/>
    <w:qFormat/>
    <w:uiPriority w:val="0"/>
    <w:pPr>
      <w:spacing w:afterLines="100" w:line="600" w:lineRule="exact"/>
      <w:jc w:val="center"/>
    </w:pPr>
    <w:rPr>
      <w:rFonts w:ascii="宋体" w:hAnsi="宋体" w:eastAsia="黑体" w:cs="Times New Roman"/>
      <w:b/>
      <w:sz w:val="36"/>
      <w:lang w:val="en-US" w:eastAsia="zh-CN" w:bidi="ar-SA"/>
    </w:rPr>
  </w:style>
  <w:style w:type="paragraph" w:customStyle="1" w:styleId="686">
    <w:name w:val="样式 正文文本缩进 2 + 左侧:  0.98 厘米 首行缩进:  2 字符"/>
    <w:basedOn w:val="35"/>
    <w:qFormat/>
    <w:uiPriority w:val="0"/>
    <w:pPr>
      <w:adjustRightInd w:val="0"/>
      <w:snapToGrid w:val="0"/>
      <w:spacing w:after="0" w:line="360" w:lineRule="auto"/>
      <w:ind w:left="0" w:leftChars="0" w:firstLine="560"/>
    </w:pPr>
    <w:rPr>
      <w:rFonts w:eastAsia="仿宋_GB2312"/>
      <w:sz w:val="28"/>
      <w:szCs w:val="20"/>
    </w:rPr>
  </w:style>
  <w:style w:type="paragraph" w:customStyle="1" w:styleId="687">
    <w:name w:val="环科院正文"/>
    <w:basedOn w:val="1"/>
    <w:qFormat/>
    <w:uiPriority w:val="0"/>
    <w:pPr>
      <w:ind w:firstLine="480"/>
    </w:pPr>
    <w:rPr>
      <w:rFonts w:ascii="宋体" w:hAnsi="宋体"/>
      <w:szCs w:val="24"/>
      <w:u w:color="000000"/>
    </w:rPr>
  </w:style>
  <w:style w:type="paragraph" w:customStyle="1" w:styleId="688">
    <w:name w:val="Char1"/>
    <w:basedOn w:val="1"/>
    <w:qFormat/>
    <w:uiPriority w:val="0"/>
    <w:rPr>
      <w:szCs w:val="24"/>
    </w:rPr>
  </w:style>
  <w:style w:type="paragraph" w:customStyle="1" w:styleId="689">
    <w:name w:val="样式 宋体 首行缩进:  2 字符"/>
    <w:basedOn w:val="1"/>
    <w:next w:val="197"/>
    <w:qFormat/>
    <w:uiPriority w:val="0"/>
    <w:pPr>
      <w:ind w:firstLine="480"/>
      <w:jc w:val="left"/>
    </w:pPr>
    <w:rPr>
      <w:rFonts w:ascii="宋体" w:hAnsi="宋体" w:cs="宋体"/>
      <w:szCs w:val="20"/>
    </w:rPr>
  </w:style>
  <w:style w:type="paragraph" w:customStyle="1" w:styleId="690">
    <w:name w:val="图1"/>
    <w:basedOn w:val="1"/>
    <w:next w:val="1"/>
    <w:qFormat/>
    <w:uiPriority w:val="0"/>
    <w:pPr>
      <w:ind w:firstLine="480"/>
    </w:pPr>
    <w:rPr>
      <w:snapToGrid w:val="0"/>
      <w:color w:val="FF0000"/>
      <w:kern w:val="0"/>
      <w:szCs w:val="24"/>
    </w:rPr>
  </w:style>
  <w:style w:type="paragraph" w:customStyle="1" w:styleId="691">
    <w:name w:val="表名 Char Char Char Char1"/>
    <w:basedOn w:val="1"/>
    <w:semiHidden/>
    <w:qFormat/>
    <w:uiPriority w:val="0"/>
    <w:pPr>
      <w:autoSpaceDE w:val="0"/>
      <w:autoSpaceDN w:val="0"/>
      <w:adjustRightInd w:val="0"/>
      <w:snapToGrid w:val="0"/>
      <w:spacing w:beforeLines="50"/>
      <w:jc w:val="center"/>
      <w:textAlignment w:val="baseline"/>
    </w:pPr>
    <w:rPr>
      <w:rFonts w:ascii="Arial" w:hAnsi="Arial" w:eastAsia="黑体"/>
      <w:snapToGrid w:val="0"/>
      <w:szCs w:val="24"/>
    </w:rPr>
  </w:style>
  <w:style w:type="paragraph" w:customStyle="1" w:styleId="692">
    <w:name w:val="样式 表正文 + 首行缩进:  0.63 厘米"/>
    <w:basedOn w:val="15"/>
    <w:qFormat/>
    <w:uiPriority w:val="0"/>
    <w:pPr>
      <w:spacing w:line="240" w:lineRule="auto"/>
      <w:ind w:firstLine="0" w:firstLineChars="0"/>
      <w:jc w:val="center"/>
    </w:pPr>
    <w:rPr>
      <w:rFonts w:cs="宋体"/>
      <w:sz w:val="18"/>
      <w:szCs w:val="20"/>
    </w:rPr>
  </w:style>
  <w:style w:type="paragraph" w:customStyle="1" w:styleId="693">
    <w:name w:val="样式 标题 3 + (中文) 黑体 小四 非加粗 段前: 7.8 磅 段后: 0 磅 行距: 1.5 倍行距"/>
    <w:basedOn w:val="4"/>
    <w:qFormat/>
    <w:uiPriority w:val="0"/>
    <w:pPr>
      <w:spacing w:before="120" w:afterLines="50"/>
    </w:pPr>
    <w:rPr>
      <w:b w:val="0"/>
      <w:bCs w:val="0"/>
      <w:sz w:val="28"/>
      <w:szCs w:val="28"/>
      <w:lang w:val="zh-CN"/>
    </w:rPr>
  </w:style>
  <w:style w:type="paragraph" w:customStyle="1" w:styleId="694">
    <w:name w:val="xl92"/>
    <w:basedOn w:val="1"/>
    <w:qFormat/>
    <w:uiPriority w:val="0"/>
    <w:pPr>
      <w:widowControl/>
      <w:spacing w:before="100" w:beforeAutospacing="1" w:after="100" w:afterAutospacing="1"/>
      <w:jc w:val="center"/>
      <w:textAlignment w:val="top"/>
    </w:pPr>
    <w:rPr>
      <w:rFonts w:ascii="宋体" w:hAnsi="宋体" w:cs="宋体"/>
      <w:color w:val="0000FF"/>
      <w:kern w:val="0"/>
      <w:szCs w:val="21"/>
    </w:rPr>
  </w:style>
  <w:style w:type="paragraph" w:customStyle="1" w:styleId="695">
    <w:name w:val="表题与图题"/>
    <w:basedOn w:val="31"/>
    <w:next w:val="43"/>
    <w:qFormat/>
    <w:uiPriority w:val="0"/>
    <w:pPr>
      <w:spacing w:after="60" w:line="360" w:lineRule="exact"/>
      <w:ind w:firstLine="200" w:firstLineChars="200"/>
      <w:jc w:val="center"/>
    </w:pPr>
    <w:rPr>
      <w:rFonts w:ascii="Times New Roman" w:hAnsi="Times New Roman" w:eastAsia="黑体" w:cs="Courier New"/>
      <w:color w:val="FF0000"/>
      <w:kern w:val="0"/>
      <w:szCs w:val="21"/>
    </w:rPr>
  </w:style>
  <w:style w:type="paragraph" w:customStyle="1" w:styleId="696">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697">
    <w:name w:val="批注框文本1"/>
    <w:basedOn w:val="1"/>
    <w:qFormat/>
    <w:uiPriority w:val="0"/>
    <w:pPr>
      <w:snapToGrid w:val="0"/>
      <w:spacing w:beforeLines="50"/>
    </w:pPr>
    <w:rPr>
      <w:sz w:val="18"/>
      <w:szCs w:val="18"/>
    </w:rPr>
  </w:style>
  <w:style w:type="paragraph" w:customStyle="1" w:styleId="698">
    <w:name w:val="doc-desc"/>
    <w:basedOn w:val="1"/>
    <w:qFormat/>
    <w:uiPriority w:val="0"/>
    <w:pPr>
      <w:widowControl/>
      <w:spacing w:before="100" w:beforeAutospacing="1" w:after="100" w:afterAutospacing="1"/>
      <w:jc w:val="left"/>
    </w:pPr>
    <w:rPr>
      <w:rFonts w:ascii="宋体" w:hAnsi="宋体" w:cs="宋体"/>
      <w:kern w:val="0"/>
      <w:szCs w:val="24"/>
    </w:rPr>
  </w:style>
  <w:style w:type="paragraph" w:customStyle="1" w:styleId="699">
    <w:name w:val="样式 小四 首行缩进:  1.28 厘米"/>
    <w:basedOn w:val="1"/>
    <w:qFormat/>
    <w:uiPriority w:val="0"/>
    <w:pPr>
      <w:adjustRightInd w:val="0"/>
      <w:snapToGrid w:val="0"/>
      <w:ind w:firstLine="482"/>
    </w:pPr>
    <w:rPr>
      <w:rFonts w:cs="宋体"/>
      <w:kern w:val="0"/>
      <w:szCs w:val="20"/>
    </w:rPr>
  </w:style>
  <w:style w:type="paragraph" w:customStyle="1" w:styleId="70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701">
    <w:name w:val="xl86"/>
    <w:basedOn w:val="1"/>
    <w:qFormat/>
    <w:uiPriority w:val="0"/>
    <w:pPr>
      <w:widowControl/>
      <w:spacing w:before="100" w:beforeAutospacing="1" w:after="100" w:afterAutospacing="1"/>
      <w:jc w:val="center"/>
      <w:textAlignment w:val="top"/>
    </w:pPr>
    <w:rPr>
      <w:rFonts w:ascii="宋体" w:hAnsi="宋体" w:cs="宋体"/>
      <w:kern w:val="0"/>
      <w:szCs w:val="21"/>
    </w:rPr>
  </w:style>
  <w:style w:type="paragraph" w:customStyle="1" w:styleId="702">
    <w:name w:val="表注释"/>
    <w:basedOn w:val="1"/>
    <w:next w:val="197"/>
    <w:qFormat/>
    <w:uiPriority w:val="0"/>
    <w:pPr>
      <w:snapToGrid w:val="0"/>
      <w:spacing w:before="60" w:after="60" w:line="480" w:lineRule="exact"/>
      <w:jc w:val="left"/>
      <w:outlineLvl w:val="0"/>
    </w:pPr>
    <w:rPr>
      <w:sz w:val="18"/>
      <w:szCs w:val="18"/>
    </w:rPr>
  </w:style>
  <w:style w:type="paragraph" w:customStyle="1" w:styleId="703">
    <w:name w:val="Char1 Char Char Char Char Char Char"/>
    <w:basedOn w:val="1"/>
    <w:qFormat/>
    <w:uiPriority w:val="0"/>
    <w:rPr>
      <w:rFonts w:ascii="宋体" w:hAnsi="宋体" w:cs="宋体"/>
      <w:szCs w:val="24"/>
    </w:rPr>
  </w:style>
  <w:style w:type="paragraph" w:customStyle="1" w:styleId="704">
    <w:name w:val="xl77"/>
    <w:basedOn w:val="1"/>
    <w:qFormat/>
    <w:uiPriority w:val="0"/>
    <w:pPr>
      <w:widowControl/>
      <w:spacing w:before="100" w:beforeAutospacing="1" w:after="100" w:afterAutospacing="1"/>
      <w:jc w:val="center"/>
    </w:pPr>
    <w:rPr>
      <w:kern w:val="0"/>
      <w:szCs w:val="21"/>
    </w:rPr>
  </w:style>
  <w:style w:type="paragraph" w:customStyle="1" w:styleId="705">
    <w:name w:val="xl74"/>
    <w:basedOn w:val="1"/>
    <w:qFormat/>
    <w:uiPriority w:val="0"/>
    <w:pPr>
      <w:widowControl/>
      <w:spacing w:before="100" w:beforeAutospacing="1" w:after="100" w:afterAutospacing="1"/>
      <w:jc w:val="left"/>
      <w:textAlignment w:val="center"/>
    </w:pPr>
    <w:rPr>
      <w:rFonts w:ascii="宋体" w:hAnsi="宋体" w:cs="宋体"/>
      <w:kern w:val="0"/>
      <w:szCs w:val="24"/>
    </w:rPr>
  </w:style>
  <w:style w:type="paragraph" w:customStyle="1" w:styleId="706">
    <w:name w:val="正文小标题"/>
    <w:basedOn w:val="1"/>
    <w:next w:val="1"/>
    <w:semiHidden/>
    <w:qFormat/>
    <w:uiPriority w:val="0"/>
    <w:pPr>
      <w:tabs>
        <w:tab w:val="left" w:pos="420"/>
        <w:tab w:val="left" w:pos="1174"/>
        <w:tab w:val="left" w:pos="6660"/>
      </w:tabs>
      <w:overflowPunct w:val="0"/>
      <w:autoSpaceDE w:val="0"/>
      <w:autoSpaceDN w:val="0"/>
      <w:adjustRightInd w:val="0"/>
      <w:ind w:left="85" w:firstLine="369"/>
      <w:textAlignment w:val="baseline"/>
    </w:pPr>
    <w:rPr>
      <w:color w:val="000000"/>
      <w:kern w:val="0"/>
      <w:szCs w:val="24"/>
    </w:rPr>
  </w:style>
  <w:style w:type="paragraph" w:customStyle="1" w:styleId="707">
    <w:name w:val="表内文字4"/>
    <w:basedOn w:val="1"/>
    <w:qFormat/>
    <w:uiPriority w:val="0"/>
    <w:pPr>
      <w:framePr w:wrap="around" w:vAnchor="margin" w:hAnchor="text" w:x="6" w:y="1"/>
      <w:spacing w:line="240" w:lineRule="atLeast"/>
      <w:jc w:val="left"/>
    </w:pPr>
    <w:rPr>
      <w:rFonts w:ascii="宋体" w:hAnsi="宋体"/>
      <w:color w:val="000000"/>
      <w:szCs w:val="24"/>
    </w:rPr>
  </w:style>
  <w:style w:type="paragraph" w:customStyle="1" w:styleId="708">
    <w:name w:val="Char Char Char Char Char Char1 Char Char Char"/>
    <w:basedOn w:val="1"/>
    <w:qFormat/>
    <w:uiPriority w:val="0"/>
    <w:rPr>
      <w:rFonts w:ascii="宋体" w:hAnsi="宋体" w:cs="宋体"/>
      <w:szCs w:val="24"/>
    </w:rPr>
  </w:style>
  <w:style w:type="paragraph" w:customStyle="1" w:styleId="709">
    <w:name w:val="小节标题"/>
    <w:basedOn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710">
    <w:name w:val="样式 标题 3 + 小四 非加粗 Char Char Char Char Char Char Char Char Char Char Char Char Char Char Char Char Char Char"/>
    <w:basedOn w:val="4"/>
    <w:qFormat/>
    <w:uiPriority w:val="0"/>
    <w:pPr>
      <w:spacing w:before="260" w:after="260" w:line="240" w:lineRule="auto"/>
    </w:pPr>
    <w:rPr>
      <w:snapToGrid w:val="0"/>
      <w:lang w:val="zh-CN"/>
    </w:rPr>
  </w:style>
  <w:style w:type="paragraph" w:customStyle="1" w:styleId="711">
    <w:name w:val="Char Char Char Char Char Char1 Char Char Char1 Char Char Char Char Char Char"/>
    <w:basedOn w:val="1"/>
    <w:qFormat/>
    <w:uiPriority w:val="0"/>
    <w:rPr>
      <w:rFonts w:ascii="宋体" w:hAnsi="宋体" w:cs="宋体"/>
      <w:szCs w:val="24"/>
    </w:rPr>
  </w:style>
  <w:style w:type="paragraph" w:customStyle="1" w:styleId="712">
    <w:name w:val="样式 样式 样式 标题 3 + 首行缩进:  0 厘米1 + 首行缩进:  0 厘米 + 首行缩进:  0 字符"/>
    <w:basedOn w:val="713"/>
    <w:qFormat/>
    <w:uiPriority w:val="0"/>
    <w:pPr>
      <w:ind w:firstLine="0"/>
    </w:pPr>
  </w:style>
  <w:style w:type="paragraph" w:customStyle="1" w:styleId="713">
    <w:name w:val="样式 样式 标题 3 + 首行缩进:  0 厘米1 + 首行缩进:  0 厘米"/>
    <w:basedOn w:val="1"/>
    <w:qFormat/>
    <w:uiPriority w:val="0"/>
    <w:pPr>
      <w:keepNext/>
      <w:keepLines/>
      <w:ind w:firstLine="100"/>
      <w:outlineLvl w:val="2"/>
    </w:pPr>
    <w:rPr>
      <w:rFonts w:cs="宋体"/>
      <w:sz w:val="28"/>
      <w:szCs w:val="20"/>
    </w:rPr>
  </w:style>
  <w:style w:type="paragraph" w:customStyle="1" w:styleId="714">
    <w:name w:val="Char Char Char Char Char Char Char Char Char3"/>
    <w:basedOn w:val="1"/>
    <w:qFormat/>
    <w:uiPriority w:val="0"/>
    <w:rPr>
      <w:rFonts w:eastAsia="仿宋_GB2312"/>
      <w:sz w:val="32"/>
      <w:szCs w:val="32"/>
    </w:rPr>
  </w:style>
  <w:style w:type="paragraph" w:customStyle="1" w:styleId="715">
    <w:name w:val="Char Char Char Char Char Char1 Char Char Char1 Char"/>
    <w:basedOn w:val="1"/>
    <w:qFormat/>
    <w:uiPriority w:val="0"/>
    <w:rPr>
      <w:rFonts w:ascii="宋体" w:hAnsi="宋体" w:cs="宋体"/>
      <w:szCs w:val="24"/>
    </w:rPr>
  </w:style>
  <w:style w:type="paragraph" w:customStyle="1" w:styleId="716">
    <w:name w:val="样式 正文文字缩进 + Times New Roman 小四 左 左侧:  0 厘米 段后: 5 磅 行距: 1.5 ..."/>
    <w:basedOn w:val="24"/>
    <w:qFormat/>
    <w:uiPriority w:val="0"/>
    <w:pPr>
      <w:spacing w:after="0"/>
      <w:ind w:left="0" w:leftChars="0"/>
      <w:jc w:val="left"/>
    </w:pPr>
    <w:rPr>
      <w:rFonts w:cs="宋体"/>
      <w:szCs w:val="20"/>
    </w:rPr>
  </w:style>
  <w:style w:type="paragraph" w:customStyle="1" w:styleId="717">
    <w:name w:val="工艺正文"/>
    <w:basedOn w:val="1"/>
    <w:qFormat/>
    <w:uiPriority w:val="0"/>
    <w:pPr>
      <w:adjustRightInd w:val="0"/>
      <w:snapToGrid w:val="0"/>
      <w:ind w:firstLine="578"/>
    </w:pPr>
    <w:rPr>
      <w:rFonts w:ascii="宋体"/>
      <w:szCs w:val="20"/>
    </w:rPr>
  </w:style>
  <w:style w:type="paragraph" w:customStyle="1" w:styleId="718">
    <w:name w:val="Char Char Char Char Char Char Char1"/>
    <w:basedOn w:val="1"/>
    <w:qFormat/>
    <w:uiPriority w:val="0"/>
    <w:pPr>
      <w:adjustRightInd w:val="0"/>
      <w:jc w:val="center"/>
      <w:textAlignment w:val="baseline"/>
    </w:pPr>
    <w:rPr>
      <w:rFonts w:ascii="宋体" w:hAnsi="宋体" w:cs="Arial Unicode MS"/>
      <w:snapToGrid w:val="0"/>
      <w:kern w:val="0"/>
      <w:szCs w:val="18"/>
    </w:rPr>
  </w:style>
  <w:style w:type="paragraph" w:customStyle="1" w:styleId="719">
    <w:name w:val="样式 小四 蓝色 行距: 固定值 30 磅"/>
    <w:basedOn w:val="1"/>
    <w:qFormat/>
    <w:uiPriority w:val="0"/>
    <w:pPr>
      <w:spacing w:line="600" w:lineRule="exact"/>
      <w:ind w:firstLine="540" w:firstLineChars="225"/>
    </w:pPr>
    <w:rPr>
      <w:rFonts w:cs="宋体"/>
      <w:color w:val="0000FF"/>
      <w:szCs w:val="20"/>
    </w:rPr>
  </w:style>
  <w:style w:type="paragraph" w:customStyle="1" w:styleId="720">
    <w:name w:val="样式 首行缩进:  0.85 厘米"/>
    <w:basedOn w:val="1"/>
    <w:qFormat/>
    <w:uiPriority w:val="0"/>
    <w:pPr>
      <w:autoSpaceDE w:val="0"/>
      <w:autoSpaceDN w:val="0"/>
      <w:adjustRightInd w:val="0"/>
      <w:snapToGrid w:val="0"/>
      <w:ind w:firstLine="482"/>
      <w:textAlignment w:val="top"/>
    </w:pPr>
    <w:rPr>
      <w:kern w:val="0"/>
      <w:szCs w:val="20"/>
    </w:rPr>
  </w:style>
  <w:style w:type="paragraph" w:customStyle="1" w:styleId="721">
    <w:name w:val="正文（首行缩进2字符）"/>
    <w:basedOn w:val="1"/>
    <w:qFormat/>
    <w:uiPriority w:val="0"/>
    <w:pPr>
      <w:topLinePunct/>
    </w:pPr>
    <w:rPr>
      <w:rFonts w:cs="宋体"/>
      <w:sz w:val="28"/>
      <w:szCs w:val="28"/>
    </w:rPr>
  </w:style>
  <w:style w:type="paragraph" w:customStyle="1" w:styleId="722">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723">
    <w:name w:val="样式 小四 首行缩进:  1 厘米"/>
    <w:basedOn w:val="1"/>
    <w:qFormat/>
    <w:uiPriority w:val="0"/>
    <w:pPr>
      <w:adjustRightInd w:val="0"/>
      <w:snapToGrid w:val="0"/>
      <w:ind w:firstLine="567"/>
    </w:pPr>
    <w:rPr>
      <w:rFonts w:cs="宋体"/>
      <w:spacing w:val="-4"/>
      <w:kern w:val="0"/>
      <w:szCs w:val="20"/>
    </w:rPr>
  </w:style>
  <w:style w:type="character" w:customStyle="1" w:styleId="724">
    <w:name w:val="正文 Char"/>
    <w:link w:val="280"/>
    <w:qFormat/>
    <w:uiPriority w:val="0"/>
    <w:rPr>
      <w:rFonts w:ascii="Times New Roman" w:hAnsi="Times New Roman"/>
      <w:b/>
      <w:kern w:val="2"/>
      <w:sz w:val="21"/>
      <w:szCs w:val="21"/>
      <w:lang w:val="en-US" w:eastAsia="zh-CN"/>
    </w:rPr>
  </w:style>
  <w:style w:type="paragraph" w:customStyle="1" w:styleId="725">
    <w:name w:val="Char Char Char Char Char Char Char Char Char Char Char Char Char Char Char Char Char Char Char Char Char Char Char Char Char Char Char Char Char Char Char Char Char Char Char Char Char Char Char Char Char Char Char Char Char Char"/>
    <w:basedOn w:val="1"/>
    <w:qFormat/>
    <w:uiPriority w:val="0"/>
    <w:rPr>
      <w:rFonts w:ascii="宋体" w:hAnsi="宋体" w:cs="宋体"/>
      <w:szCs w:val="24"/>
    </w:rPr>
  </w:style>
  <w:style w:type="paragraph" w:customStyle="1" w:styleId="726">
    <w:name w:val="大岗山正文文字"/>
    <w:basedOn w:val="23"/>
    <w:qFormat/>
    <w:uiPriority w:val="0"/>
    <w:pPr>
      <w:tabs>
        <w:tab w:val="left" w:pos="630"/>
        <w:tab w:val="left" w:pos="8925"/>
      </w:tabs>
      <w:spacing w:after="0"/>
      <w:ind w:firstLine="480"/>
    </w:pPr>
  </w:style>
  <w:style w:type="paragraph" w:customStyle="1" w:styleId="727">
    <w:name w:val="gg_body"/>
    <w:basedOn w:val="1"/>
    <w:qFormat/>
    <w:uiPriority w:val="0"/>
    <w:pPr>
      <w:spacing w:line="460" w:lineRule="exact"/>
    </w:pPr>
    <w:rPr>
      <w:rFonts w:ascii="宋体" w:hAnsi="宋体"/>
      <w:szCs w:val="20"/>
    </w:rPr>
  </w:style>
  <w:style w:type="paragraph" w:customStyle="1" w:styleId="728">
    <w:name w:val="xl87"/>
    <w:basedOn w:val="1"/>
    <w:qFormat/>
    <w:uiPriority w:val="0"/>
    <w:pPr>
      <w:widowControl/>
      <w:spacing w:before="100" w:beforeAutospacing="1" w:after="100" w:afterAutospacing="1"/>
      <w:jc w:val="center"/>
      <w:textAlignment w:val="center"/>
    </w:pPr>
    <w:rPr>
      <w:kern w:val="0"/>
      <w:szCs w:val="21"/>
    </w:rPr>
  </w:style>
  <w:style w:type="paragraph" w:customStyle="1" w:styleId="729">
    <w:name w:val="样式 样式 正文缩进s4 + 首行缩进:  2 字符 + 首行缩进:  2 字符"/>
    <w:basedOn w:val="1"/>
    <w:qFormat/>
    <w:uiPriority w:val="0"/>
    <w:pPr>
      <w:adjustRightInd w:val="0"/>
      <w:snapToGrid w:val="0"/>
      <w:ind w:firstLine="480"/>
    </w:pPr>
    <w:rPr>
      <w:rFonts w:eastAsia="仿宋_GB2312"/>
      <w:sz w:val="28"/>
      <w:szCs w:val="20"/>
    </w:rPr>
  </w:style>
  <w:style w:type="paragraph" w:customStyle="1" w:styleId="730">
    <w:name w:val="样式 标题 3 + 首行缩进:  2 字符"/>
    <w:basedOn w:val="4"/>
    <w:qFormat/>
    <w:uiPriority w:val="0"/>
    <w:pPr>
      <w:snapToGrid w:val="0"/>
      <w:spacing w:before="100" w:beforeAutospacing="1" w:after="100" w:afterAutospacing="1" w:line="440" w:lineRule="exact"/>
    </w:pPr>
    <w:rPr>
      <w:rFonts w:hAnsi="黑体" w:eastAsia="宋体"/>
      <w:bCs w:val="0"/>
      <w:snapToGrid w:val="0"/>
      <w:color w:val="000000"/>
      <w:sz w:val="28"/>
      <w:szCs w:val="20"/>
      <w:lang w:val="zh-CN"/>
    </w:rPr>
  </w:style>
  <w:style w:type="paragraph" w:customStyle="1" w:styleId="731">
    <w:name w:val="样式 样式 小四 蓝色 行距: 固定值 30 磅 + 行距: 1.5 倍行距1"/>
    <w:basedOn w:val="719"/>
    <w:qFormat/>
    <w:uiPriority w:val="0"/>
    <w:pPr>
      <w:spacing w:line="360" w:lineRule="auto"/>
    </w:pPr>
  </w:style>
  <w:style w:type="paragraph" w:customStyle="1" w:styleId="732">
    <w:name w:val="文章正文"/>
    <w:basedOn w:val="1"/>
    <w:qFormat/>
    <w:uiPriority w:val="0"/>
    <w:rPr>
      <w:rFonts w:eastAsia="仿宋_GB2312"/>
      <w:sz w:val="28"/>
      <w:szCs w:val="28"/>
    </w:rPr>
  </w:style>
  <w:style w:type="paragraph" w:customStyle="1" w:styleId="733">
    <w:name w:val="一级标题水保"/>
    <w:next w:val="1"/>
    <w:qFormat/>
    <w:uiPriority w:val="0"/>
    <w:pPr>
      <w:keepNext/>
      <w:widowControl w:val="0"/>
      <w:spacing w:line="360" w:lineRule="auto"/>
      <w:jc w:val="center"/>
      <w:outlineLvl w:val="0"/>
    </w:pPr>
    <w:rPr>
      <w:rFonts w:ascii="Times New Roman" w:hAnsi="Times New Roman" w:eastAsia="宋体" w:cs="Times New Roman"/>
      <w:b/>
      <w:kern w:val="2"/>
      <w:sz w:val="32"/>
      <w:szCs w:val="24"/>
      <w:lang w:val="en-US" w:eastAsia="zh-CN" w:bidi="ar-SA"/>
    </w:rPr>
  </w:style>
  <w:style w:type="paragraph" w:customStyle="1" w:styleId="734">
    <w:name w:val="表名1"/>
    <w:basedOn w:val="1"/>
    <w:semiHidden/>
    <w:qFormat/>
    <w:uiPriority w:val="0"/>
    <w:rPr>
      <w:rFonts w:eastAsia="黑体"/>
      <w:szCs w:val="20"/>
    </w:rPr>
  </w:style>
  <w:style w:type="paragraph" w:customStyle="1" w:styleId="735">
    <w:name w:val="样式 标题 2 + 非加粗"/>
    <w:basedOn w:val="3"/>
    <w:qFormat/>
    <w:uiPriority w:val="0"/>
    <w:pPr>
      <w:snapToGrid w:val="0"/>
      <w:spacing w:before="120" w:after="120" w:line="240" w:lineRule="atLeast"/>
      <w:jc w:val="left"/>
      <w:textAlignment w:val="baseline"/>
    </w:pPr>
    <w:rPr>
      <w:b w:val="0"/>
      <w:kern w:val="10"/>
      <w:szCs w:val="36"/>
    </w:rPr>
  </w:style>
  <w:style w:type="paragraph" w:customStyle="1" w:styleId="736">
    <w:name w:val="Char2"/>
    <w:basedOn w:val="1"/>
    <w:qFormat/>
    <w:uiPriority w:val="0"/>
    <w:rPr>
      <w:b/>
      <w:sz w:val="28"/>
      <w:szCs w:val="24"/>
    </w:rPr>
  </w:style>
  <w:style w:type="paragraph" w:customStyle="1" w:styleId="737">
    <w:name w:val="xl131"/>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kern w:val="0"/>
      <w:sz w:val="18"/>
      <w:szCs w:val="18"/>
    </w:rPr>
  </w:style>
  <w:style w:type="paragraph" w:customStyle="1" w:styleId="738">
    <w:name w:val="Char Char Char Char Char Char3"/>
    <w:basedOn w:val="1"/>
    <w:qFormat/>
    <w:uiPriority w:val="0"/>
    <w:rPr>
      <w:rFonts w:ascii="宋体" w:hAnsi="宋体" w:cs="宋体"/>
      <w:szCs w:val="24"/>
    </w:rPr>
  </w:style>
  <w:style w:type="paragraph" w:customStyle="1" w:styleId="739">
    <w:name w:val="样式 标题 5标题 5 Char + 宋体"/>
    <w:basedOn w:val="6"/>
    <w:next w:val="1"/>
    <w:semiHidden/>
    <w:qFormat/>
    <w:uiPriority w:val="0"/>
    <w:pPr>
      <w:keepNext w:val="0"/>
      <w:keepLines w:val="0"/>
      <w:autoSpaceDE w:val="0"/>
      <w:autoSpaceDN w:val="0"/>
      <w:adjustRightInd w:val="0"/>
      <w:snapToGrid w:val="0"/>
      <w:spacing w:beforeLines="50" w:after="0" w:line="360" w:lineRule="auto"/>
      <w:ind w:firstLine="480"/>
      <w:textAlignment w:val="baseline"/>
    </w:pPr>
    <w:rPr>
      <w:rFonts w:ascii="宋体" w:hAnsi="宋体"/>
      <w:b w:val="0"/>
      <w:bCs w:val="0"/>
      <w:snapToGrid w:val="0"/>
      <w:kern w:val="0"/>
      <w:sz w:val="24"/>
      <w:szCs w:val="24"/>
    </w:rPr>
  </w:style>
  <w:style w:type="paragraph" w:customStyle="1" w:styleId="740">
    <w:name w:val="表123"/>
    <w:basedOn w:val="1"/>
    <w:next w:val="1"/>
    <w:qFormat/>
    <w:uiPriority w:val="0"/>
    <w:pPr>
      <w:adjustRightInd w:val="0"/>
      <w:snapToGrid w:val="0"/>
      <w:jc w:val="center"/>
      <w:textAlignment w:val="center"/>
    </w:pPr>
    <w:rPr>
      <w:spacing w:val="-12"/>
      <w:szCs w:val="20"/>
    </w:rPr>
  </w:style>
  <w:style w:type="paragraph" w:customStyle="1" w:styleId="741">
    <w:name w:val="11111"/>
    <w:basedOn w:val="1"/>
    <w:qFormat/>
    <w:uiPriority w:val="0"/>
    <w:rPr>
      <w:szCs w:val="24"/>
    </w:rPr>
  </w:style>
  <w:style w:type="paragraph" w:customStyle="1" w:styleId="742">
    <w:name w:val="xl93"/>
    <w:basedOn w:val="1"/>
    <w:qFormat/>
    <w:uiPriority w:val="0"/>
    <w:pPr>
      <w:widowControl/>
      <w:spacing w:before="100" w:beforeAutospacing="1" w:after="100" w:afterAutospacing="1"/>
      <w:jc w:val="center"/>
      <w:textAlignment w:val="top"/>
    </w:pPr>
    <w:rPr>
      <w:kern w:val="0"/>
      <w:szCs w:val="21"/>
    </w:rPr>
  </w:style>
  <w:style w:type="paragraph" w:customStyle="1" w:styleId="743">
    <w:name w:val="样式 表文 + 五号"/>
    <w:basedOn w:val="385"/>
    <w:qFormat/>
    <w:uiPriority w:val="0"/>
    <w:pPr>
      <w:snapToGrid w:val="0"/>
      <w:spacing w:line="240" w:lineRule="auto"/>
    </w:pPr>
    <w:rPr>
      <w:sz w:val="21"/>
      <w:szCs w:val="18"/>
    </w:rPr>
  </w:style>
  <w:style w:type="paragraph" w:customStyle="1" w:styleId="744">
    <w:name w:val="Char Char Char Char Char Char"/>
    <w:basedOn w:val="1"/>
    <w:qFormat/>
    <w:uiPriority w:val="0"/>
    <w:rPr>
      <w:rFonts w:ascii="宋体" w:hAnsi="宋体" w:cs="宋体"/>
      <w:szCs w:val="24"/>
    </w:rPr>
  </w:style>
  <w:style w:type="paragraph" w:customStyle="1" w:styleId="745">
    <w:name w:val="xl90"/>
    <w:basedOn w:val="1"/>
    <w:qFormat/>
    <w:uiPriority w:val="0"/>
    <w:pPr>
      <w:widowControl/>
      <w:spacing w:before="100" w:beforeAutospacing="1" w:after="100" w:afterAutospacing="1"/>
      <w:jc w:val="center"/>
      <w:textAlignment w:val="center"/>
    </w:pPr>
    <w:rPr>
      <w:rFonts w:ascii="宋体" w:hAnsi="宋体" w:cs="宋体"/>
      <w:color w:val="0000FF"/>
      <w:kern w:val="0"/>
      <w:szCs w:val="24"/>
    </w:rPr>
  </w:style>
  <w:style w:type="paragraph" w:customStyle="1" w:styleId="746">
    <w:name w:val="样式 正文缩进正文（首行缩进两字）文本s4表正文正文非缩进正文缩进 Char + 首行缩进:  2 字符"/>
    <w:basedOn w:val="15"/>
    <w:qFormat/>
    <w:uiPriority w:val="0"/>
    <w:pPr>
      <w:spacing w:line="360" w:lineRule="auto"/>
      <w:ind w:firstLine="200"/>
    </w:pPr>
    <w:rPr>
      <w:rFonts w:ascii="宋体"/>
      <w:spacing w:val="14"/>
      <w:kern w:val="0"/>
      <w:szCs w:val="20"/>
    </w:rPr>
  </w:style>
  <w:style w:type="paragraph" w:customStyle="1" w:styleId="747">
    <w:name w:val="表格文字-水保"/>
    <w:basedOn w:val="23"/>
    <w:next w:val="1"/>
    <w:qFormat/>
    <w:uiPriority w:val="0"/>
    <w:pPr>
      <w:tabs>
        <w:tab w:val="left" w:pos="3720"/>
      </w:tabs>
      <w:autoSpaceDE w:val="0"/>
      <w:autoSpaceDN w:val="0"/>
      <w:adjustRightInd w:val="0"/>
      <w:spacing w:after="0" w:line="240" w:lineRule="auto"/>
      <w:ind w:firstLine="0" w:firstLineChars="0"/>
      <w:jc w:val="center"/>
      <w:textAlignment w:val="bottom"/>
    </w:pPr>
    <w:rPr>
      <w:kern w:val="0"/>
      <w:sz w:val="18"/>
      <w:szCs w:val="20"/>
    </w:rPr>
  </w:style>
  <w:style w:type="paragraph" w:customStyle="1" w:styleId="748">
    <w:name w:val="1 Char Char Char Char Char Char Char Char Char Char Char"/>
    <w:basedOn w:val="1"/>
    <w:qFormat/>
    <w:uiPriority w:val="0"/>
    <w:pPr>
      <w:ind w:left="-449" w:leftChars="-187"/>
    </w:pPr>
    <w:rPr>
      <w:szCs w:val="21"/>
    </w:rPr>
  </w:style>
  <w:style w:type="paragraph" w:customStyle="1" w:styleId="749">
    <w:name w:val="样式 样式 样式 标题 2 + 段前: 1 行 段后: 0.5 行 + 段前: 1 行 段后: 0.5 行 + 黑色"/>
    <w:basedOn w:val="1"/>
    <w:qFormat/>
    <w:uiPriority w:val="0"/>
    <w:pPr>
      <w:keepNext/>
      <w:keepLines/>
      <w:spacing w:line="440" w:lineRule="exact"/>
      <w:jc w:val="left"/>
      <w:outlineLvl w:val="1"/>
    </w:pPr>
    <w:rPr>
      <w:rFonts w:ascii="宋体" w:hAnsi="宋体" w:eastAsia="黑体" w:cs="宋体"/>
      <w:b/>
      <w:color w:val="000000"/>
      <w:spacing w:val="4"/>
      <w:sz w:val="28"/>
      <w:szCs w:val="28"/>
    </w:rPr>
  </w:style>
  <w:style w:type="paragraph" w:customStyle="1" w:styleId="750">
    <w:name w:val="xl14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top"/>
    </w:pPr>
    <w:rPr>
      <w:rFonts w:ascii="宋体" w:hAnsi="宋体" w:cs="宋体"/>
      <w:kern w:val="0"/>
      <w:szCs w:val="21"/>
    </w:rPr>
  </w:style>
  <w:style w:type="paragraph" w:customStyle="1" w:styleId="751">
    <w:name w:val="样式 标题 2 + 首行缩进:  1.66 字符 段前: 0 磅 段后: 0 磅"/>
    <w:basedOn w:val="3"/>
    <w:semiHidden/>
    <w:qFormat/>
    <w:uiPriority w:val="0"/>
    <w:pPr>
      <w:adjustRightInd w:val="0"/>
      <w:snapToGrid w:val="0"/>
      <w:textAlignment w:val="baseline"/>
    </w:pPr>
    <w:rPr>
      <w:b w:val="0"/>
      <w:bCs w:val="0"/>
      <w:snapToGrid w:val="0"/>
      <w:kern w:val="0"/>
      <w:sz w:val="30"/>
      <w:szCs w:val="24"/>
    </w:rPr>
  </w:style>
  <w:style w:type="paragraph" w:customStyle="1" w:styleId="752">
    <w:name w:val="font15"/>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753">
    <w:name w:val="样式 表内容 + 首行缩进:  0.63 厘米"/>
    <w:basedOn w:val="429"/>
    <w:qFormat/>
    <w:uiPriority w:val="0"/>
    <w:pPr>
      <w:pBdr>
        <w:bottom w:val="none" w:color="auto" w:sz="0" w:space="0"/>
      </w:pBdr>
      <w:spacing w:before="0" w:after="0" w:line="0" w:lineRule="atLeast"/>
      <w:ind w:left="0" w:right="-108" w:rightChars="-45"/>
      <w:jc w:val="center"/>
    </w:pPr>
    <w:rPr>
      <w:rFonts w:ascii="宋体" w:hAnsi="宋体" w:cs="宋体"/>
      <w:bCs w:val="0"/>
      <w:iCs w:val="0"/>
      <w:sz w:val="18"/>
      <w:szCs w:val="20"/>
    </w:rPr>
  </w:style>
  <w:style w:type="paragraph" w:customStyle="1" w:styleId="754">
    <w:name w:val="3级"/>
    <w:basedOn w:val="4"/>
    <w:qFormat/>
    <w:uiPriority w:val="0"/>
    <w:pPr>
      <w:snapToGrid w:val="0"/>
      <w:spacing w:before="120" w:after="120"/>
      <w:jc w:val="left"/>
      <w:textAlignment w:val="baseline"/>
    </w:pPr>
    <w:rPr>
      <w:rFonts w:ascii="黑体" w:hAnsi="宋体" w:cs="黑体"/>
      <w:b w:val="0"/>
      <w:bCs w:val="0"/>
      <w:snapToGrid w:val="0"/>
      <w:kern w:val="0"/>
      <w:szCs w:val="24"/>
      <w:lang w:val="zh-CN"/>
    </w:rPr>
  </w:style>
  <w:style w:type="paragraph" w:customStyle="1" w:styleId="755">
    <w:name w:val="Char2 Char Char Char Char Char Char1 Char Char Char Char Char Char1"/>
    <w:basedOn w:val="1"/>
    <w:qFormat/>
    <w:uiPriority w:val="0"/>
    <w:rPr>
      <w:rFonts w:ascii="宋体" w:hAnsi="宋体" w:cs="宋体"/>
      <w:szCs w:val="24"/>
    </w:rPr>
  </w:style>
  <w:style w:type="paragraph" w:customStyle="1" w:styleId="756">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757">
    <w:name w:val="Char Char Char Char1 Char Char Char Char Char Char"/>
    <w:basedOn w:val="1"/>
    <w:qFormat/>
    <w:uiPriority w:val="0"/>
    <w:rPr>
      <w:szCs w:val="24"/>
    </w:rPr>
  </w:style>
  <w:style w:type="paragraph" w:customStyle="1" w:styleId="758">
    <w:name w:val="表格标题"/>
    <w:basedOn w:val="1"/>
    <w:next w:val="258"/>
    <w:qFormat/>
    <w:uiPriority w:val="0"/>
    <w:pPr>
      <w:spacing w:beforeLines="50"/>
      <w:jc w:val="center"/>
    </w:pPr>
    <w:rPr>
      <w:rFonts w:eastAsia="黑体" w:cs="宋体"/>
      <w:sz w:val="30"/>
      <w:szCs w:val="30"/>
    </w:rPr>
  </w:style>
  <w:style w:type="paragraph" w:customStyle="1" w:styleId="759">
    <w:name w:val="正文正文正文"/>
    <w:basedOn w:val="513"/>
    <w:qFormat/>
    <w:uiPriority w:val="0"/>
  </w:style>
  <w:style w:type="paragraph" w:customStyle="1" w:styleId="760">
    <w:name w:val="表格正文"/>
    <w:basedOn w:val="1"/>
    <w:qFormat/>
    <w:uiPriority w:val="0"/>
    <w:pPr>
      <w:adjustRightInd w:val="0"/>
      <w:snapToGrid w:val="0"/>
      <w:spacing w:before="60" w:after="60"/>
      <w:jc w:val="center"/>
    </w:pPr>
    <w:rPr>
      <w:rFonts w:ascii="宋体" w:hAnsi="宋体"/>
      <w:bCs/>
      <w:szCs w:val="24"/>
    </w:rPr>
  </w:style>
  <w:style w:type="paragraph" w:customStyle="1" w:styleId="761">
    <w:name w:val="样式 标题 2"/>
    <w:basedOn w:val="3"/>
    <w:next w:val="1"/>
    <w:semiHidden/>
    <w:qFormat/>
    <w:uiPriority w:val="0"/>
    <w:pPr>
      <w:tabs>
        <w:tab w:val="left" w:pos="1125"/>
      </w:tabs>
      <w:adjustRightInd w:val="0"/>
      <w:snapToGrid w:val="0"/>
      <w:spacing w:before="120" w:after="120"/>
      <w:ind w:left="1125" w:hanging="1125"/>
      <w:textAlignment w:val="baseline"/>
    </w:pPr>
    <w:rPr>
      <w:rFonts w:cs="宋体"/>
      <w:bCs w:val="0"/>
      <w:snapToGrid w:val="0"/>
      <w:kern w:val="0"/>
      <w:sz w:val="30"/>
      <w:szCs w:val="24"/>
    </w:rPr>
  </w:style>
  <w:style w:type="paragraph" w:customStyle="1" w:styleId="762">
    <w:name w:val="xl78"/>
    <w:basedOn w:val="1"/>
    <w:qFormat/>
    <w:uiPriority w:val="0"/>
    <w:pPr>
      <w:widowControl/>
      <w:spacing w:before="100" w:beforeAutospacing="1" w:after="100" w:afterAutospacing="1"/>
      <w:jc w:val="center"/>
    </w:pPr>
    <w:rPr>
      <w:color w:val="000000"/>
      <w:kern w:val="0"/>
      <w:szCs w:val="24"/>
    </w:rPr>
  </w:style>
  <w:style w:type="paragraph" w:customStyle="1" w:styleId="763">
    <w:name w:val="Char Char Char Char Char Char Char Char Char Char Char Char Char Char"/>
    <w:basedOn w:val="1"/>
    <w:qFormat/>
    <w:uiPriority w:val="0"/>
    <w:pPr>
      <w:tabs>
        <w:tab w:val="right" w:leader="dot" w:pos="9016"/>
      </w:tabs>
      <w:adjustRightInd w:val="0"/>
      <w:snapToGrid w:val="0"/>
      <w:spacing w:line="324" w:lineRule="auto"/>
      <w:jc w:val="center"/>
      <w:outlineLvl w:val="0"/>
    </w:pPr>
    <w:rPr>
      <w:rFonts w:eastAsia="黑体"/>
      <w:b/>
      <w:bCs/>
      <w:sz w:val="32"/>
      <w:szCs w:val="32"/>
    </w:rPr>
  </w:style>
  <w:style w:type="paragraph" w:customStyle="1" w:styleId="764">
    <w:name w:val="样式 标题 3标题 3 Char Char Char标题 31标题 3 Char Char1三级标题标题 3 Char..."/>
    <w:basedOn w:val="4"/>
    <w:qFormat/>
    <w:uiPriority w:val="0"/>
    <w:pPr>
      <w:keepNext w:val="0"/>
      <w:keepLines w:val="0"/>
      <w:tabs>
        <w:tab w:val="left" w:pos="1740"/>
      </w:tabs>
      <w:autoSpaceDE w:val="0"/>
      <w:autoSpaceDN w:val="0"/>
      <w:spacing w:before="120" w:after="120"/>
      <w:ind w:left="1740" w:hanging="420"/>
    </w:pPr>
    <w:rPr>
      <w:rFonts w:cs="宋体"/>
      <w:b w:val="0"/>
      <w:bCs w:val="0"/>
      <w:snapToGrid w:val="0"/>
      <w:kern w:val="0"/>
      <w:szCs w:val="20"/>
      <w:lang w:val="zh-CN"/>
    </w:rPr>
  </w:style>
  <w:style w:type="paragraph" w:customStyle="1" w:styleId="765">
    <w:name w:val="WPS Plain"/>
    <w:qFormat/>
    <w:uiPriority w:val="0"/>
    <w:pPr>
      <w:jc w:val="center"/>
    </w:pPr>
    <w:rPr>
      <w:rFonts w:ascii="Times New Roman" w:hAnsi="Times New Roman" w:eastAsia="宋体" w:cs="Times New Roman"/>
      <w:lang w:val="en-US" w:eastAsia="zh-CN" w:bidi="ar-SA"/>
    </w:rPr>
  </w:style>
  <w:style w:type="paragraph" w:customStyle="1" w:styleId="766">
    <w:name w:val="水保1级"/>
    <w:basedOn w:val="2"/>
    <w:qFormat/>
    <w:uiPriority w:val="0"/>
    <w:pPr>
      <w:tabs>
        <w:tab w:val="right" w:leader="dot" w:pos="8296"/>
      </w:tabs>
      <w:spacing w:before="340" w:afterLines="50" w:line="578" w:lineRule="auto"/>
    </w:pPr>
    <w:rPr>
      <w:rFonts w:eastAsia="宋体"/>
      <w:b/>
      <w:sz w:val="36"/>
    </w:rPr>
  </w:style>
  <w:style w:type="paragraph" w:customStyle="1" w:styleId="767">
    <w:name w:val="样式 正文+首行缩进2字符 + 黑色 Char"/>
    <w:basedOn w:val="1"/>
    <w:qFormat/>
    <w:uiPriority w:val="0"/>
    <w:pPr>
      <w:autoSpaceDE w:val="0"/>
      <w:autoSpaceDN w:val="0"/>
      <w:adjustRightInd w:val="0"/>
      <w:jc w:val="center"/>
    </w:pPr>
    <w:rPr>
      <w:color w:val="000000"/>
      <w:kern w:val="0"/>
      <w:sz w:val="32"/>
      <w:szCs w:val="24"/>
    </w:rPr>
  </w:style>
  <w:style w:type="paragraph" w:customStyle="1" w:styleId="768">
    <w:name w:val="正文文字标准"/>
    <w:basedOn w:val="59"/>
    <w:qFormat/>
    <w:uiPriority w:val="0"/>
    <w:pPr>
      <w:spacing w:after="0" w:line="480" w:lineRule="exact"/>
      <w:ind w:firstLine="200" w:firstLineChars="200"/>
    </w:pPr>
    <w:rPr>
      <w:sz w:val="28"/>
    </w:rPr>
  </w:style>
  <w:style w:type="paragraph" w:customStyle="1" w:styleId="769">
    <w:name w:val="表号 Char1 Char"/>
    <w:basedOn w:val="1"/>
    <w:semiHidden/>
    <w:qFormat/>
    <w:uiPriority w:val="0"/>
    <w:pPr>
      <w:autoSpaceDE w:val="0"/>
      <w:autoSpaceDN w:val="0"/>
      <w:adjustRightInd w:val="0"/>
      <w:spacing w:line="0" w:lineRule="atLeast"/>
      <w:ind w:firstLine="119"/>
      <w:textAlignment w:val="baseline"/>
    </w:pPr>
    <w:rPr>
      <w:spacing w:val="6"/>
      <w:kern w:val="0"/>
      <w:szCs w:val="20"/>
    </w:rPr>
  </w:style>
  <w:style w:type="paragraph" w:customStyle="1" w:styleId="770">
    <w:name w:val="Char Char Char Char Char Char1 Char Char Char1 Char Char Char"/>
    <w:basedOn w:val="1"/>
    <w:qFormat/>
    <w:uiPriority w:val="0"/>
    <w:rPr>
      <w:rFonts w:ascii="宋体" w:hAnsi="宋体" w:cs="宋体"/>
      <w:szCs w:val="24"/>
    </w:rPr>
  </w:style>
  <w:style w:type="paragraph" w:customStyle="1" w:styleId="771">
    <w:name w:val="说明书正文"/>
    <w:basedOn w:val="1"/>
    <w:qFormat/>
    <w:uiPriority w:val="0"/>
    <w:pPr>
      <w:spacing w:line="480" w:lineRule="exact"/>
      <w:ind w:firstLine="600"/>
    </w:pPr>
    <w:rPr>
      <w:rFonts w:eastAsia="仿宋_GB2312"/>
      <w:color w:val="000000"/>
      <w:sz w:val="30"/>
      <w:szCs w:val="24"/>
    </w:rPr>
  </w:style>
  <w:style w:type="paragraph" w:customStyle="1" w:styleId="772">
    <w:name w:val="样式 标题 44级标题标题 4 Char + 左 段前: 12 磅 段后: 12 磅 行距: 最小值 20 磅"/>
    <w:basedOn w:val="5"/>
    <w:qFormat/>
    <w:uiPriority w:val="0"/>
    <w:pPr>
      <w:tabs>
        <w:tab w:val="left" w:pos="420"/>
      </w:tabs>
      <w:spacing w:before="120" w:after="120" w:line="360" w:lineRule="auto"/>
      <w:ind w:left="-420" w:firstLine="420"/>
      <w:jc w:val="left"/>
    </w:pPr>
    <w:rPr>
      <w:rFonts w:ascii="Arial" w:hAnsi="Arial" w:cs="宋体"/>
      <w:sz w:val="24"/>
      <w:szCs w:val="20"/>
    </w:rPr>
  </w:style>
  <w:style w:type="paragraph" w:customStyle="1" w:styleId="773">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Cs w:val="24"/>
    </w:rPr>
  </w:style>
  <w:style w:type="paragraph" w:customStyle="1" w:styleId="774">
    <w:name w:val="文本框5"/>
    <w:basedOn w:val="1"/>
    <w:qFormat/>
    <w:uiPriority w:val="0"/>
    <w:pPr>
      <w:snapToGrid w:val="0"/>
      <w:spacing w:line="340" w:lineRule="atLeast"/>
    </w:pPr>
    <w:rPr>
      <w:rFonts w:ascii="宋体" w:eastAsia="仿宋_GB2312"/>
      <w:snapToGrid w:val="0"/>
      <w:kern w:val="0"/>
      <w:szCs w:val="20"/>
    </w:rPr>
  </w:style>
  <w:style w:type="paragraph" w:customStyle="1" w:styleId="775">
    <w:name w:val="样式 首行缩进:  2 字符 段前: 0.5 行 段后: 0.5 行"/>
    <w:basedOn w:val="1"/>
    <w:qFormat/>
    <w:uiPriority w:val="0"/>
    <w:pPr>
      <w:adjustRightInd w:val="0"/>
      <w:snapToGrid w:val="0"/>
      <w:spacing w:before="120" w:after="120"/>
      <w:ind w:firstLine="480"/>
    </w:pPr>
    <w:rPr>
      <w:szCs w:val="20"/>
    </w:rPr>
  </w:style>
  <w:style w:type="paragraph" w:customStyle="1" w:styleId="776">
    <w:name w:val="Char Char Char1 Char1 Char Char Char"/>
    <w:basedOn w:val="1"/>
    <w:qFormat/>
    <w:uiPriority w:val="0"/>
    <w:rPr>
      <w:szCs w:val="24"/>
    </w:rPr>
  </w:style>
  <w:style w:type="paragraph" w:customStyle="1" w:styleId="777">
    <w:name w:val="xl115"/>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kern w:val="0"/>
      <w:sz w:val="18"/>
      <w:szCs w:val="18"/>
    </w:rPr>
  </w:style>
  <w:style w:type="paragraph" w:customStyle="1" w:styleId="778">
    <w:name w:val="样式 标题 3 + 加粗"/>
    <w:basedOn w:val="4"/>
    <w:qFormat/>
    <w:uiPriority w:val="0"/>
    <w:pPr>
      <w:snapToGrid w:val="0"/>
      <w:spacing w:beforeLines="50" w:afterLines="50" w:line="400" w:lineRule="atLeast"/>
      <w:ind w:left="1418" w:hanging="1418"/>
    </w:pPr>
    <w:rPr>
      <w:rFonts w:ascii="黑体"/>
      <w:b w:val="0"/>
      <w:color w:val="000000"/>
      <w:sz w:val="28"/>
      <w:szCs w:val="24"/>
      <w:lang w:val="zh-CN"/>
    </w:rPr>
  </w:style>
  <w:style w:type="paragraph" w:customStyle="1" w:styleId="779">
    <w:name w:val="首行缩进2字符 Char"/>
    <w:basedOn w:val="1"/>
    <w:qFormat/>
    <w:uiPriority w:val="0"/>
    <w:pPr>
      <w:ind w:firstLine="480"/>
    </w:pPr>
    <w:rPr>
      <w:szCs w:val="20"/>
    </w:rPr>
  </w:style>
  <w:style w:type="paragraph" w:customStyle="1" w:styleId="780">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4"/>
    </w:rPr>
  </w:style>
  <w:style w:type="paragraph" w:customStyle="1" w:styleId="781">
    <w:name w:val="样式 标题 4标题 4 Char标题 41标题 4 Char Char1标题 4 Char Char Char标题 4..."/>
    <w:basedOn w:val="5"/>
    <w:qFormat/>
    <w:uiPriority w:val="0"/>
    <w:pPr>
      <w:tabs>
        <w:tab w:val="left" w:pos="840"/>
      </w:tabs>
      <w:autoSpaceDE w:val="0"/>
      <w:autoSpaceDN w:val="0"/>
      <w:spacing w:before="0" w:after="0" w:line="360" w:lineRule="auto"/>
      <w:jc w:val="left"/>
      <w:textAlignment w:val="baseline"/>
    </w:pPr>
    <w:rPr>
      <w:rFonts w:ascii="Times New Roman" w:hAnsi="Times New Roman"/>
      <w:sz w:val="24"/>
      <w:szCs w:val="24"/>
    </w:rPr>
  </w:style>
  <w:style w:type="paragraph" w:customStyle="1" w:styleId="782">
    <w:name w:val="图号"/>
    <w:basedOn w:val="783"/>
    <w:semiHidden/>
    <w:qFormat/>
    <w:uiPriority w:val="0"/>
    <w:pPr>
      <w:ind w:firstLine="1711"/>
    </w:pPr>
  </w:style>
  <w:style w:type="paragraph" w:customStyle="1" w:styleId="783">
    <w:name w:val="样式 图号"/>
    <w:basedOn w:val="1"/>
    <w:semiHidden/>
    <w:qFormat/>
    <w:uiPriority w:val="0"/>
    <w:pPr>
      <w:adjustRightInd w:val="0"/>
      <w:snapToGrid w:val="0"/>
      <w:ind w:firstLine="1956" w:firstLineChars="815"/>
      <w:jc w:val="center"/>
      <w:textAlignment w:val="baseline"/>
    </w:pPr>
    <w:rPr>
      <w:snapToGrid w:val="0"/>
      <w:kern w:val="0"/>
      <w:szCs w:val="24"/>
    </w:rPr>
  </w:style>
  <w:style w:type="paragraph" w:customStyle="1" w:styleId="784">
    <w:name w:val="样式 表名 + 左侧:  -0.16 厘米"/>
    <w:basedOn w:val="180"/>
    <w:semiHidden/>
    <w:qFormat/>
    <w:uiPriority w:val="0"/>
    <w:pPr>
      <w:tabs>
        <w:tab w:val="left" w:pos="5670"/>
        <w:tab w:val="left" w:pos="5850"/>
        <w:tab w:val="left" w:pos="6660"/>
      </w:tabs>
      <w:overflowPunct/>
      <w:topLinePunct w:val="0"/>
      <w:autoSpaceDE w:val="0"/>
      <w:autoSpaceDN w:val="0"/>
      <w:adjustRightInd w:val="0"/>
      <w:ind w:left="-91" w:firstLine="0" w:firstLineChars="200"/>
      <w:outlineLvl w:val="9"/>
    </w:pPr>
    <w:rPr>
      <w:rFonts w:ascii="宋体" w:hAnsi="宋体" w:eastAsia="宋体" w:cs="宋体"/>
      <w:b w:val="0"/>
      <w:bCs w:val="0"/>
      <w:color w:val="000000"/>
      <w:sz w:val="21"/>
      <w:szCs w:val="20"/>
    </w:rPr>
  </w:style>
  <w:style w:type="paragraph" w:customStyle="1" w:styleId="785">
    <w:name w:val="表编号 Char Char"/>
    <w:basedOn w:val="624"/>
    <w:qFormat/>
    <w:uiPriority w:val="0"/>
    <w:pPr>
      <w:spacing w:after="78" w:line="0" w:lineRule="atLeast"/>
      <w:jc w:val="both"/>
    </w:pPr>
    <w:rPr>
      <w:rFonts w:hAnsi="Times New Roman" w:eastAsia="宋体"/>
    </w:rPr>
  </w:style>
  <w:style w:type="paragraph" w:customStyle="1" w:styleId="786">
    <w:name w:val="xl81"/>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787">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788">
    <w:name w:val="表名 Char Char"/>
    <w:basedOn w:val="1"/>
    <w:qFormat/>
    <w:uiPriority w:val="0"/>
    <w:pPr>
      <w:overflowPunct w:val="0"/>
      <w:adjustRightInd w:val="0"/>
      <w:snapToGrid w:val="0"/>
      <w:jc w:val="center"/>
      <w:textAlignment w:val="baseline"/>
    </w:pPr>
    <w:rPr>
      <w:rFonts w:ascii="Arial" w:hAnsi="Arial" w:eastAsia="黑体"/>
      <w:szCs w:val="20"/>
    </w:rPr>
  </w:style>
  <w:style w:type="paragraph" w:customStyle="1" w:styleId="789">
    <w:name w:val="三级标题"/>
    <w:basedOn w:val="1"/>
    <w:link w:val="790"/>
    <w:qFormat/>
    <w:uiPriority w:val="0"/>
    <w:pPr>
      <w:keepNext/>
      <w:widowControl/>
      <w:ind w:firstLine="0" w:firstLineChars="0"/>
      <w:outlineLvl w:val="2"/>
    </w:pPr>
    <w:rPr>
      <w:b/>
      <w:szCs w:val="24"/>
    </w:rPr>
  </w:style>
  <w:style w:type="character" w:customStyle="1" w:styleId="790">
    <w:name w:val="三级标题 Char"/>
    <w:link w:val="789"/>
    <w:qFormat/>
    <w:uiPriority w:val="0"/>
    <w:rPr>
      <w:rFonts w:ascii="Times New Roman" w:hAnsi="Times New Roman"/>
      <w:b/>
      <w:kern w:val="2"/>
      <w:sz w:val="24"/>
      <w:szCs w:val="24"/>
    </w:rPr>
  </w:style>
  <w:style w:type="paragraph" w:customStyle="1" w:styleId="791">
    <w:name w:val="xl151"/>
    <w:basedOn w:val="1"/>
    <w:qFormat/>
    <w:uiPriority w:val="0"/>
    <w:pPr>
      <w:widowControl/>
      <w:spacing w:before="100" w:beforeAutospacing="1" w:after="100" w:afterAutospacing="1"/>
      <w:textAlignment w:val="center"/>
    </w:pPr>
    <w:rPr>
      <w:b/>
      <w:bCs/>
      <w:kern w:val="0"/>
      <w:szCs w:val="24"/>
    </w:rPr>
  </w:style>
  <w:style w:type="paragraph" w:customStyle="1" w:styleId="792">
    <w:name w:val="样式 标题 2 + Times New Roman 首行缩进:  2 字符"/>
    <w:basedOn w:val="3"/>
    <w:qFormat/>
    <w:uiPriority w:val="0"/>
    <w:pPr>
      <w:adjustRightInd w:val="0"/>
      <w:snapToGrid w:val="0"/>
      <w:spacing w:before="120"/>
    </w:pPr>
    <w:rPr>
      <w:rFonts w:eastAsia="宋体"/>
      <w:snapToGrid w:val="0"/>
      <w:szCs w:val="28"/>
    </w:rPr>
  </w:style>
  <w:style w:type="paragraph" w:customStyle="1" w:styleId="793">
    <w:name w:val="Char Char Char Char Char Char Char Char Char Char Char Char Char"/>
    <w:basedOn w:val="1"/>
    <w:qFormat/>
    <w:uiPriority w:val="0"/>
    <w:pPr>
      <w:snapToGrid w:val="0"/>
    </w:pPr>
    <w:rPr>
      <w:rFonts w:eastAsia="仿宋_GB2312"/>
      <w:szCs w:val="24"/>
    </w:rPr>
  </w:style>
  <w:style w:type="paragraph" w:customStyle="1" w:styleId="7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795">
    <w:name w:val="样式 标题 2二级标题第一节标题 2XW标题 二级标题 + 自动设置"/>
    <w:basedOn w:val="3"/>
    <w:qFormat/>
    <w:uiPriority w:val="0"/>
    <w:pPr>
      <w:spacing w:before="120" w:after="120"/>
      <w:ind w:left="992" w:hanging="992"/>
      <w:textAlignment w:val="baseline"/>
    </w:pPr>
    <w:rPr>
      <w:b w:val="0"/>
      <w:szCs w:val="28"/>
    </w:rPr>
  </w:style>
  <w:style w:type="paragraph" w:customStyle="1" w:styleId="796">
    <w:name w:val="样式 样式 表格 + 左侧:  0.98 厘米 + 居中"/>
    <w:basedOn w:val="514"/>
    <w:qFormat/>
    <w:uiPriority w:val="0"/>
    <w:pPr>
      <w:jc w:val="center"/>
    </w:pPr>
  </w:style>
  <w:style w:type="paragraph" w:customStyle="1" w:styleId="797">
    <w:name w:val="3333"/>
    <w:basedOn w:val="3"/>
    <w:qFormat/>
    <w:uiPriority w:val="0"/>
    <w:pPr>
      <w:tabs>
        <w:tab w:val="left" w:pos="576"/>
      </w:tabs>
      <w:adjustRightInd w:val="0"/>
      <w:snapToGrid w:val="0"/>
      <w:ind w:left="576" w:hanging="576"/>
    </w:pPr>
  </w:style>
  <w:style w:type="paragraph" w:customStyle="1" w:styleId="798">
    <w:name w:val="Char Char Char Char Char Char Char Char Char1"/>
    <w:basedOn w:val="1"/>
    <w:qFormat/>
    <w:uiPriority w:val="0"/>
    <w:rPr>
      <w:rFonts w:eastAsia="仿宋_GB2312"/>
      <w:sz w:val="32"/>
      <w:szCs w:val="32"/>
    </w:rPr>
  </w:style>
  <w:style w:type="paragraph" w:customStyle="1" w:styleId="799">
    <w:name w:val="zz"/>
    <w:basedOn w:val="1"/>
    <w:qFormat/>
    <w:uiPriority w:val="0"/>
    <w:pPr>
      <w:adjustRightInd w:val="0"/>
      <w:ind w:firstLine="567"/>
      <w:textAlignment w:val="baseline"/>
    </w:pPr>
    <w:rPr>
      <w:rFonts w:ascii="宋体"/>
      <w:kern w:val="28"/>
      <w:sz w:val="28"/>
      <w:szCs w:val="20"/>
    </w:rPr>
  </w:style>
  <w:style w:type="paragraph" w:customStyle="1" w:styleId="800">
    <w:name w:val="正文+宋体"/>
    <w:basedOn w:val="1"/>
    <w:next w:val="1"/>
    <w:qFormat/>
    <w:uiPriority w:val="0"/>
    <w:pPr>
      <w:tabs>
        <w:tab w:val="left" w:pos="700"/>
      </w:tabs>
      <w:snapToGrid w:val="0"/>
      <w:spacing w:beforeLines="50"/>
      <w:ind w:firstLine="424"/>
      <w:jc w:val="left"/>
    </w:pPr>
    <w:rPr>
      <w:rFonts w:ascii="Verdana" w:hAnsi="Verdana" w:eastAsia="仿宋_GB2312"/>
      <w:b/>
      <w:kern w:val="0"/>
      <w:szCs w:val="20"/>
      <w:lang w:eastAsia="en-US"/>
    </w:rPr>
  </w:style>
  <w:style w:type="paragraph" w:customStyle="1" w:styleId="801">
    <w:name w:val="样式 标题 3样式　标题 3　自动设置标题 3 Char章 + Times New 表题3"/>
    <w:basedOn w:val="4"/>
    <w:qFormat/>
    <w:uiPriority w:val="0"/>
    <w:pPr>
      <w:tabs>
        <w:tab w:val="left" w:pos="1260"/>
        <w:tab w:val="left" w:pos="3800"/>
        <w:tab w:val="left" w:pos="5200"/>
      </w:tabs>
      <w:autoSpaceDE w:val="0"/>
      <w:autoSpaceDN w:val="0"/>
      <w:snapToGrid w:val="0"/>
      <w:spacing w:beforeLines="50" w:afterLines="50" w:line="240" w:lineRule="auto"/>
      <w:ind w:left="1260" w:hanging="420"/>
    </w:pPr>
    <w:rPr>
      <w:rFonts w:eastAsia="宋体" w:cs="宋体"/>
      <w:sz w:val="28"/>
      <w:szCs w:val="28"/>
      <w:lang w:val="zh-CN"/>
    </w:rPr>
  </w:style>
  <w:style w:type="paragraph" w:customStyle="1" w:styleId="802">
    <w:name w:val="样式 四号 左 行距: 1.5 倍行距"/>
    <w:basedOn w:val="1"/>
    <w:qFormat/>
    <w:uiPriority w:val="0"/>
    <w:pPr>
      <w:jc w:val="left"/>
    </w:pPr>
    <w:rPr>
      <w:rFonts w:cs="宋体"/>
      <w:szCs w:val="20"/>
    </w:rPr>
  </w:style>
  <w:style w:type="paragraph" w:customStyle="1" w:styleId="803">
    <w:name w:val="样式 黑体 五号 居中 首行缩进:  2 字符"/>
    <w:basedOn w:val="1"/>
    <w:qFormat/>
    <w:uiPriority w:val="0"/>
    <w:pPr>
      <w:jc w:val="center"/>
    </w:pPr>
    <w:rPr>
      <w:rFonts w:ascii="黑体" w:hAnsi="黑体" w:eastAsia="黑体" w:cs="宋体"/>
      <w:szCs w:val="20"/>
    </w:rPr>
  </w:style>
  <w:style w:type="paragraph" w:customStyle="1" w:styleId="804">
    <w:name w:val="样式 小四 两端对齐 首行缩进:  0.85 厘米 行距: 1.5 倍行距1"/>
    <w:basedOn w:val="1"/>
    <w:qFormat/>
    <w:uiPriority w:val="0"/>
    <w:pPr>
      <w:widowControl/>
      <w:ind w:firstLine="482"/>
    </w:pPr>
    <w:rPr>
      <w:rFonts w:cs="宋体"/>
      <w:kern w:val="0"/>
      <w:szCs w:val="20"/>
    </w:rPr>
  </w:style>
  <w:style w:type="paragraph" w:customStyle="1" w:styleId="805">
    <w:name w:val="一级标题"/>
    <w:basedOn w:val="789"/>
    <w:next w:val="104"/>
    <w:qFormat/>
    <w:uiPriority w:val="0"/>
    <w:pPr>
      <w:jc w:val="center"/>
      <w:outlineLvl w:val="0"/>
    </w:pPr>
    <w:rPr>
      <w:sz w:val="32"/>
      <w:szCs w:val="44"/>
    </w:rPr>
  </w:style>
  <w:style w:type="paragraph" w:customStyle="1" w:styleId="806">
    <w:name w:val="Char Char Char1 Char Char Char Char Char Char Char Char Char Char Char Char Char Char Char Char Char Char Char Char Char Char Char Char Char Char Char Char Char Char Char Char Char Char1"/>
    <w:basedOn w:val="1"/>
    <w:qFormat/>
    <w:uiPriority w:val="0"/>
    <w:pPr>
      <w:snapToGrid w:val="0"/>
      <w:spacing w:line="440" w:lineRule="exact"/>
    </w:pPr>
    <w:rPr>
      <w:szCs w:val="24"/>
    </w:rPr>
  </w:style>
  <w:style w:type="paragraph" w:customStyle="1" w:styleId="807">
    <w:name w:val="表格格式"/>
    <w:basedOn w:val="15"/>
    <w:qFormat/>
    <w:uiPriority w:val="0"/>
    <w:pPr>
      <w:spacing w:line="360" w:lineRule="auto"/>
      <w:ind w:firstLine="480"/>
    </w:pPr>
    <w:rPr>
      <w:rFonts w:ascii="宋体" w:hAnsi="宋体" w:cs="宋体"/>
      <w:kern w:val="0"/>
    </w:rPr>
  </w:style>
  <w:style w:type="paragraph" w:customStyle="1" w:styleId="808">
    <w:name w:val="样式 正文首行缩进正文首行缩进 Char Char Char Char Char正文首行缩进 Char Char Char ..."/>
    <w:basedOn w:val="59"/>
    <w:qFormat/>
    <w:uiPriority w:val="0"/>
    <w:pPr>
      <w:spacing w:after="0" w:line="360" w:lineRule="auto"/>
      <w:ind w:firstLine="480" w:firstLineChars="200"/>
    </w:pPr>
    <w:rPr>
      <w:rFonts w:cs="宋体"/>
      <w:sz w:val="24"/>
      <w:szCs w:val="20"/>
    </w:rPr>
  </w:style>
  <w:style w:type="paragraph" w:customStyle="1" w:styleId="809">
    <w:name w:val="xl88"/>
    <w:basedOn w:val="1"/>
    <w:qFormat/>
    <w:uiPriority w:val="0"/>
    <w:pPr>
      <w:widowControl/>
      <w:spacing w:before="100" w:beforeAutospacing="1" w:after="100" w:afterAutospacing="1"/>
      <w:jc w:val="center"/>
      <w:textAlignment w:val="top"/>
    </w:pPr>
    <w:rPr>
      <w:kern w:val="0"/>
      <w:szCs w:val="21"/>
    </w:rPr>
  </w:style>
  <w:style w:type="paragraph" w:customStyle="1" w:styleId="810">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Cs w:val="21"/>
    </w:rPr>
  </w:style>
  <w:style w:type="paragraph" w:customStyle="1" w:styleId="811">
    <w:name w:val="样式 居中 首行缩进:  2 字符"/>
    <w:basedOn w:val="1"/>
    <w:qFormat/>
    <w:uiPriority w:val="0"/>
    <w:pPr>
      <w:jc w:val="center"/>
    </w:pPr>
    <w:rPr>
      <w:rFonts w:cs="宋体"/>
      <w:szCs w:val="20"/>
    </w:rPr>
  </w:style>
  <w:style w:type="paragraph" w:customStyle="1" w:styleId="812">
    <w:name w:val="Char Char Char Char Char Char1 Char"/>
    <w:basedOn w:val="1"/>
    <w:qFormat/>
    <w:uiPriority w:val="0"/>
    <w:rPr>
      <w:rFonts w:ascii="宋体" w:hAnsi="宋体" w:cs="宋体"/>
      <w:szCs w:val="24"/>
    </w:rPr>
  </w:style>
  <w:style w:type="paragraph" w:customStyle="1" w:styleId="813">
    <w:name w:val="xl91"/>
    <w:basedOn w:val="1"/>
    <w:qFormat/>
    <w:uiPriority w:val="0"/>
    <w:pPr>
      <w:widowControl/>
      <w:spacing w:before="100" w:beforeAutospacing="1" w:after="100" w:afterAutospacing="1"/>
      <w:jc w:val="center"/>
      <w:textAlignment w:val="center"/>
    </w:pPr>
    <w:rPr>
      <w:kern w:val="0"/>
      <w:szCs w:val="24"/>
    </w:rPr>
  </w:style>
  <w:style w:type="paragraph" w:customStyle="1" w:styleId="814">
    <w:name w:val="正文文字1"/>
    <w:basedOn w:val="1"/>
    <w:qFormat/>
    <w:uiPriority w:val="0"/>
    <w:pPr>
      <w:adjustRightInd w:val="0"/>
      <w:snapToGrid w:val="0"/>
      <w:spacing w:line="324" w:lineRule="auto"/>
      <w:ind w:firstLine="472"/>
      <w:jc w:val="left"/>
    </w:pPr>
    <w:rPr>
      <w:spacing w:val="-2"/>
      <w:szCs w:val="24"/>
    </w:rPr>
  </w:style>
  <w:style w:type="paragraph" w:customStyle="1" w:styleId="815">
    <w:name w:val="样式 (符号) 宋体 四号 首行缩进:  2 字符"/>
    <w:basedOn w:val="1"/>
    <w:qFormat/>
    <w:uiPriority w:val="0"/>
    <w:pPr>
      <w:spacing w:before="120" w:after="120"/>
    </w:pPr>
    <w:rPr>
      <w:rFonts w:hAnsi="宋体" w:cs="宋体"/>
      <w:szCs w:val="20"/>
    </w:rPr>
  </w:style>
  <w:style w:type="paragraph" w:customStyle="1" w:styleId="816">
    <w:name w:val="style3"/>
    <w:basedOn w:val="1"/>
    <w:qFormat/>
    <w:uiPriority w:val="0"/>
    <w:pPr>
      <w:widowControl/>
      <w:spacing w:before="100" w:beforeAutospacing="1" w:after="100" w:afterAutospacing="1"/>
      <w:jc w:val="left"/>
    </w:pPr>
    <w:rPr>
      <w:rFonts w:ascii="宋体" w:hAnsi="宋体" w:cs="Arial"/>
      <w:color w:val="000000"/>
      <w:kern w:val="0"/>
      <w:szCs w:val="28"/>
    </w:rPr>
  </w:style>
  <w:style w:type="paragraph" w:customStyle="1" w:styleId="817">
    <w:name w:val="表文加粗"/>
    <w:basedOn w:val="590"/>
    <w:next w:val="590"/>
    <w:semiHidden/>
    <w:qFormat/>
    <w:uiPriority w:val="0"/>
    <w:pPr>
      <w:overflowPunct/>
      <w:jc w:val="both"/>
    </w:pPr>
    <w:rPr>
      <w:b/>
      <w:snapToGrid w:val="0"/>
      <w:kern w:val="0"/>
      <w:szCs w:val="21"/>
    </w:rPr>
  </w:style>
  <w:style w:type="paragraph" w:customStyle="1" w:styleId="818">
    <w:name w:val="Char Char Char1 Char Char Char1 Char Char Char Char Char Char1 Char Char Char Char Char Char Char"/>
    <w:basedOn w:val="1"/>
    <w:semiHidden/>
    <w:qFormat/>
    <w:uiPriority w:val="0"/>
    <w:rPr>
      <w:szCs w:val="24"/>
    </w:rPr>
  </w:style>
  <w:style w:type="paragraph" w:customStyle="1" w:styleId="819">
    <w:name w:val="TOC 标题1"/>
    <w:basedOn w:val="2"/>
    <w:next w:val="1"/>
    <w:qFormat/>
    <w:uiPriority w:val="0"/>
    <w:pPr>
      <w:widowControl/>
      <w:spacing w:before="480" w:line="276" w:lineRule="auto"/>
      <w:jc w:val="left"/>
      <w:outlineLvl w:val="9"/>
    </w:pPr>
    <w:rPr>
      <w:rFonts w:ascii="Cambria" w:hAnsi="Cambria" w:eastAsia="宋体"/>
      <w:color w:val="365F91"/>
      <w:kern w:val="0"/>
      <w:sz w:val="28"/>
      <w:szCs w:val="28"/>
    </w:rPr>
  </w:style>
  <w:style w:type="paragraph" w:customStyle="1" w:styleId="820">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ahoma" w:hAnsi="Tahoma" w:cs="Tahoma"/>
      <w:kern w:val="0"/>
      <w:sz w:val="18"/>
      <w:szCs w:val="18"/>
    </w:rPr>
  </w:style>
  <w:style w:type="paragraph" w:customStyle="1" w:styleId="821">
    <w:name w:val="五号字表格"/>
    <w:basedOn w:val="1"/>
    <w:qFormat/>
    <w:uiPriority w:val="0"/>
    <w:pPr>
      <w:adjustRightInd w:val="0"/>
      <w:jc w:val="center"/>
      <w:textAlignment w:val="baseline"/>
    </w:pPr>
    <w:rPr>
      <w:rFonts w:ascii="宋体"/>
      <w:kern w:val="0"/>
      <w:szCs w:val="20"/>
    </w:rPr>
  </w:style>
  <w:style w:type="paragraph" w:customStyle="1" w:styleId="822">
    <w:name w:val="图片"/>
    <w:basedOn w:val="1"/>
    <w:qFormat/>
    <w:uiPriority w:val="0"/>
    <w:pPr>
      <w:jc w:val="center"/>
    </w:pPr>
    <w:rPr>
      <w:rFonts w:cs="宋体"/>
      <w:szCs w:val="20"/>
    </w:rPr>
  </w:style>
  <w:style w:type="paragraph" w:customStyle="1" w:styleId="823">
    <w:name w:val="xl73"/>
    <w:basedOn w:val="1"/>
    <w:qFormat/>
    <w:uiPriority w:val="0"/>
    <w:pPr>
      <w:widowControl/>
      <w:spacing w:before="100" w:beforeAutospacing="1" w:after="100" w:afterAutospacing="1"/>
      <w:jc w:val="center"/>
      <w:textAlignment w:val="center"/>
    </w:pPr>
    <w:rPr>
      <w:rFonts w:ascii="宋体" w:hAnsi="宋体" w:cs="宋体"/>
      <w:kern w:val="0"/>
      <w:szCs w:val="24"/>
    </w:rPr>
  </w:style>
  <w:style w:type="paragraph" w:customStyle="1" w:styleId="824">
    <w:name w:val="样式 样式 样式 宋体 小四 行距: 1.5 倍行距 + 首行缩进:  2 字符 + 首行缩进:  2 字符"/>
    <w:basedOn w:val="1"/>
    <w:qFormat/>
    <w:uiPriority w:val="0"/>
    <w:pPr>
      <w:adjustRightInd w:val="0"/>
      <w:snapToGrid w:val="0"/>
    </w:pPr>
    <w:rPr>
      <w:rFonts w:cs="宋体"/>
      <w:szCs w:val="20"/>
    </w:rPr>
  </w:style>
  <w:style w:type="paragraph" w:customStyle="1" w:styleId="825">
    <w:name w:val="样式 (符号) 宋体 首行缩进:  2 字符"/>
    <w:basedOn w:val="1"/>
    <w:qFormat/>
    <w:uiPriority w:val="0"/>
    <w:pPr>
      <w:jc w:val="left"/>
      <w:textAlignment w:val="baseline"/>
    </w:pPr>
    <w:rPr>
      <w:rFonts w:ascii="宋体" w:hAnsi="宋体" w:cs="宋体"/>
      <w:kern w:val="0"/>
      <w:szCs w:val="20"/>
    </w:rPr>
  </w:style>
  <w:style w:type="paragraph" w:customStyle="1" w:styleId="826">
    <w:name w:val="样式 标题 4标题 4 Char标题 41标题 4 Char Char1标题 4 Char Char Char标题 4...1"/>
    <w:basedOn w:val="5"/>
    <w:qFormat/>
    <w:uiPriority w:val="0"/>
    <w:pPr>
      <w:tabs>
        <w:tab w:val="left" w:pos="840"/>
      </w:tabs>
      <w:autoSpaceDE w:val="0"/>
      <w:autoSpaceDN w:val="0"/>
      <w:adjustRightInd w:val="0"/>
      <w:spacing w:before="0" w:after="0" w:line="360" w:lineRule="auto"/>
      <w:textAlignment w:val="baseline"/>
    </w:pPr>
    <w:rPr>
      <w:rFonts w:ascii="Times New Roman" w:hAnsi="Times New Roman"/>
      <w:b w:val="0"/>
      <w:sz w:val="24"/>
      <w:szCs w:val="24"/>
    </w:rPr>
  </w:style>
  <w:style w:type="paragraph" w:customStyle="1" w:styleId="827">
    <w:name w:val="表中文字-水保"/>
    <w:basedOn w:val="1"/>
    <w:link w:val="1099"/>
    <w:qFormat/>
    <w:uiPriority w:val="0"/>
    <w:pPr>
      <w:ind w:firstLine="0" w:firstLineChars="0"/>
      <w:jc w:val="center"/>
    </w:pPr>
    <w:rPr>
      <w:rFonts w:cs="黑体"/>
      <w:sz w:val="18"/>
      <w:szCs w:val="21"/>
    </w:rPr>
  </w:style>
  <w:style w:type="paragraph" w:customStyle="1" w:styleId="828">
    <w:name w:val="样式 样式 正文文本 + 首行缩进:  2 字符 + 首行缩进:  2 字符"/>
    <w:basedOn w:val="1"/>
    <w:qFormat/>
    <w:uiPriority w:val="0"/>
    <w:rPr>
      <w:rFonts w:eastAsia="仿宋_GB2312" w:cs="宋体"/>
      <w:sz w:val="28"/>
      <w:szCs w:val="20"/>
    </w:rPr>
  </w:style>
  <w:style w:type="paragraph" w:customStyle="1" w:styleId="829">
    <w:name w:val="Char Char Char Char2"/>
    <w:basedOn w:val="1"/>
    <w:qFormat/>
    <w:uiPriority w:val="0"/>
    <w:rPr>
      <w:rFonts w:ascii="宋体" w:cs="宋体"/>
      <w:szCs w:val="21"/>
    </w:rPr>
  </w:style>
  <w:style w:type="paragraph" w:customStyle="1" w:styleId="830">
    <w:name w:val="正文B"/>
    <w:basedOn w:val="1"/>
    <w:qFormat/>
    <w:uiPriority w:val="0"/>
    <w:pPr>
      <w:widowControl/>
      <w:tabs>
        <w:tab w:val="left" w:pos="0"/>
      </w:tabs>
      <w:adjustRightInd w:val="0"/>
      <w:spacing w:before="120"/>
    </w:pPr>
    <w:rPr>
      <w:kern w:val="0"/>
      <w:szCs w:val="20"/>
    </w:rPr>
  </w:style>
  <w:style w:type="paragraph" w:customStyle="1" w:styleId="831">
    <w:name w:val="样式 标题 4标题 4 Char标题 41标题 4 Char Char1标题 4 Char Char Char标题 4...2"/>
    <w:basedOn w:val="5"/>
    <w:qFormat/>
    <w:uiPriority w:val="0"/>
    <w:pPr>
      <w:tabs>
        <w:tab w:val="left" w:pos="1080"/>
      </w:tabs>
      <w:autoSpaceDE w:val="0"/>
      <w:autoSpaceDN w:val="0"/>
      <w:adjustRightInd w:val="0"/>
      <w:spacing w:before="0" w:after="0" w:line="360" w:lineRule="auto"/>
      <w:ind w:left="1080"/>
      <w:textAlignment w:val="baseline"/>
    </w:pPr>
    <w:rPr>
      <w:rFonts w:ascii="Times" w:hAnsi="Times"/>
      <w:sz w:val="24"/>
      <w:szCs w:val="24"/>
    </w:rPr>
  </w:style>
  <w:style w:type="paragraph" w:customStyle="1" w:styleId="832">
    <w:name w:val="样式 标题 3标题 3 Char Char Char标题 31标题 3 Char Char1三级标题 + 黑色"/>
    <w:basedOn w:val="4"/>
    <w:qFormat/>
    <w:uiPriority w:val="0"/>
    <w:pPr>
      <w:autoSpaceDE w:val="0"/>
      <w:autoSpaceDN w:val="0"/>
      <w:spacing w:before="120" w:after="120"/>
      <w:textAlignment w:val="baseline"/>
    </w:pPr>
    <w:rPr>
      <w:b w:val="0"/>
      <w:bCs w:val="0"/>
      <w:snapToGrid w:val="0"/>
      <w:color w:val="000000"/>
      <w:kern w:val="0"/>
      <w:szCs w:val="24"/>
      <w:lang w:val="zh-CN"/>
    </w:rPr>
  </w:style>
  <w:style w:type="paragraph" w:customStyle="1" w:styleId="833">
    <w:name w:val="xl153"/>
    <w:basedOn w:val="1"/>
    <w:qFormat/>
    <w:uiPriority w:val="0"/>
    <w:pPr>
      <w:widowControl/>
      <w:spacing w:before="100" w:beforeAutospacing="1" w:after="100" w:afterAutospacing="1"/>
      <w:jc w:val="center"/>
      <w:textAlignment w:val="center"/>
    </w:pPr>
    <w:rPr>
      <w:rFonts w:ascii="宋体" w:hAnsi="宋体" w:cs="宋体"/>
      <w:kern w:val="0"/>
      <w:szCs w:val="21"/>
    </w:rPr>
  </w:style>
  <w:style w:type="paragraph" w:customStyle="1" w:styleId="834">
    <w:name w:val="目录3"/>
    <w:basedOn w:val="1"/>
    <w:qFormat/>
    <w:uiPriority w:val="0"/>
    <w:pPr>
      <w:ind w:firstLine="480"/>
    </w:pPr>
    <w:rPr>
      <w:szCs w:val="24"/>
    </w:rPr>
  </w:style>
  <w:style w:type="paragraph" w:customStyle="1" w:styleId="835">
    <w:name w:val="样式 样式 标题 2 + 段后: 12 磅"/>
    <w:basedOn w:val="1"/>
    <w:uiPriority w:val="0"/>
    <w:pPr>
      <w:keepNext/>
      <w:keepLines/>
      <w:adjustRightInd w:val="0"/>
      <w:spacing w:before="240" w:after="240"/>
      <w:textAlignment w:val="baseline"/>
      <w:outlineLvl w:val="1"/>
    </w:pPr>
    <w:rPr>
      <w:rFonts w:ascii="Arial" w:hAnsi="Arial" w:eastAsia="黑体" w:cs="宋体"/>
      <w:b/>
      <w:bCs/>
      <w:spacing w:val="5"/>
      <w:kern w:val="0"/>
      <w:sz w:val="28"/>
      <w:szCs w:val="20"/>
    </w:rPr>
  </w:style>
  <w:style w:type="paragraph" w:customStyle="1" w:styleId="836">
    <w:name w:val="xl1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18"/>
      <w:szCs w:val="18"/>
    </w:rPr>
  </w:style>
  <w:style w:type="paragraph" w:customStyle="1" w:styleId="837">
    <w:name w:val="样式 题注 + Times New Roman 五号 居中 首行缩进:  2 字符 段前: 0 磅 段后: 0 磅"/>
    <w:basedOn w:val="16"/>
    <w:uiPriority w:val="0"/>
    <w:pPr>
      <w:spacing w:line="360" w:lineRule="auto"/>
      <w:ind w:firstLine="200" w:firstLineChars="200"/>
    </w:pPr>
    <w:rPr>
      <w:rFonts w:ascii="Times New Roman" w:hAnsi="Times New Roman" w:eastAsia="黑体" w:cs="宋体"/>
      <w:sz w:val="21"/>
    </w:rPr>
  </w:style>
  <w:style w:type="paragraph" w:customStyle="1" w:styleId="838">
    <w:name w:val="正文文字一"/>
    <w:basedOn w:val="1"/>
    <w:uiPriority w:val="0"/>
    <w:pPr>
      <w:widowControl/>
      <w:spacing w:line="520" w:lineRule="exact"/>
      <w:ind w:firstLine="567"/>
      <w:jc w:val="left"/>
    </w:pPr>
    <w:rPr>
      <w:rFonts w:ascii="宋体" w:hAnsi="宋体" w:cs="宋体"/>
      <w:kern w:val="0"/>
      <w:szCs w:val="24"/>
    </w:rPr>
  </w:style>
  <w:style w:type="paragraph" w:customStyle="1" w:styleId="839">
    <w:name w:val="样式 标题 2 + 首行缩进:  2 字符"/>
    <w:basedOn w:val="3"/>
    <w:uiPriority w:val="0"/>
    <w:pPr>
      <w:adjustRightInd w:val="0"/>
      <w:snapToGrid w:val="0"/>
      <w:spacing w:before="260" w:after="260"/>
      <w:ind w:firstLine="592" w:firstLineChars="200"/>
    </w:pPr>
    <w:rPr>
      <w:rFonts w:ascii="黑体" w:hAnsi="宋体" w:cs="宋体"/>
      <w:b w:val="0"/>
      <w:bCs w:val="0"/>
      <w:snapToGrid w:val="0"/>
      <w:kern w:val="0"/>
      <w:sz w:val="30"/>
      <w:szCs w:val="20"/>
    </w:rPr>
  </w:style>
  <w:style w:type="paragraph" w:customStyle="1" w:styleId="840">
    <w:name w:val="样式 正文缩进 + 左侧:  0.37 厘米 右侧:  0.37 厘米"/>
    <w:basedOn w:val="170"/>
    <w:next w:val="170"/>
    <w:uiPriority w:val="0"/>
    <w:pPr>
      <w:jc w:val="center"/>
    </w:pPr>
    <w:rPr>
      <w:rFonts w:ascii="宋体"/>
      <w:color w:val="auto"/>
    </w:rPr>
  </w:style>
  <w:style w:type="paragraph" w:customStyle="1" w:styleId="841">
    <w:name w:val="样式 左侧:  1 字符 右侧:  1 字符2"/>
    <w:basedOn w:val="1"/>
    <w:semiHidden/>
    <w:uiPriority w:val="0"/>
    <w:pPr>
      <w:tabs>
        <w:tab w:val="left" w:pos="6660"/>
      </w:tabs>
      <w:spacing w:line="312" w:lineRule="auto"/>
      <w:ind w:firstLine="540" w:firstLineChars="225"/>
    </w:pPr>
    <w:rPr>
      <w:color w:val="000000"/>
      <w:szCs w:val="20"/>
    </w:rPr>
  </w:style>
  <w:style w:type="paragraph" w:customStyle="1" w:styleId="842">
    <w:name w:val="样式gcrw 小四 首行缩进:  0.85 厘米 行距: 1.5 倍行距"/>
    <w:basedOn w:val="1"/>
    <w:uiPriority w:val="0"/>
    <w:pPr>
      <w:ind w:firstLine="482"/>
      <w:jc w:val="left"/>
    </w:pPr>
    <w:rPr>
      <w:rFonts w:cs="宋体"/>
      <w:color w:val="FF0000"/>
      <w:szCs w:val="24"/>
    </w:rPr>
  </w:style>
  <w:style w:type="paragraph" w:customStyle="1" w:styleId="843">
    <w:name w:val="Char21"/>
    <w:basedOn w:val="1"/>
    <w:uiPriority w:val="0"/>
    <w:rPr>
      <w:b/>
      <w:sz w:val="28"/>
      <w:szCs w:val="24"/>
    </w:rPr>
  </w:style>
  <w:style w:type="paragraph" w:customStyle="1" w:styleId="844">
    <w:name w:val="xl106"/>
    <w:basedOn w:val="1"/>
    <w:uiPriority w:val="0"/>
    <w:pPr>
      <w:widowControl/>
      <w:spacing w:before="100" w:beforeAutospacing="1" w:after="100" w:afterAutospacing="1"/>
      <w:jc w:val="center"/>
      <w:textAlignment w:val="center"/>
    </w:pPr>
    <w:rPr>
      <w:rFonts w:ascii="宋体" w:hAnsi="宋体" w:cs="宋体"/>
      <w:kern w:val="0"/>
      <w:szCs w:val="24"/>
    </w:rPr>
  </w:style>
  <w:style w:type="paragraph" w:customStyle="1" w:styleId="845">
    <w:name w:val="Char Char Char Char Char Char1 Char Char Char1 Char Char Char Char Char Char Char1"/>
    <w:basedOn w:val="1"/>
    <w:uiPriority w:val="0"/>
    <w:rPr>
      <w:rFonts w:ascii="宋体" w:hAnsi="宋体" w:cs="宋体"/>
      <w:szCs w:val="24"/>
    </w:rPr>
  </w:style>
  <w:style w:type="paragraph" w:customStyle="1" w:styleId="846">
    <w:name w:val="样式 标题 4 + 段后: 1 行"/>
    <w:basedOn w:val="5"/>
    <w:uiPriority w:val="0"/>
    <w:pPr>
      <w:widowControl/>
      <w:spacing w:beforeLines="50" w:afterLines="50" w:line="360" w:lineRule="auto"/>
      <w:jc w:val="left"/>
    </w:pPr>
    <w:rPr>
      <w:rFonts w:ascii="Times New Roman" w:hAnsi="Times New Roman" w:cs="宋体"/>
      <w:bCs w:val="0"/>
      <w:sz w:val="24"/>
      <w:szCs w:val="20"/>
    </w:rPr>
  </w:style>
  <w:style w:type="paragraph" w:customStyle="1" w:styleId="847">
    <w:name w:val="xl9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848">
    <w:name w:val="Char Char Char1 Char Char Char Char Char Char Char Char Char Char"/>
    <w:basedOn w:val="1"/>
    <w:uiPriority w:val="0"/>
    <w:pPr>
      <w:snapToGrid w:val="0"/>
    </w:pPr>
    <w:rPr>
      <w:rFonts w:ascii="Arial" w:hAnsi="Arial" w:cs="Arial"/>
      <w:szCs w:val="21"/>
    </w:rPr>
  </w:style>
  <w:style w:type="paragraph" w:customStyle="1" w:styleId="849">
    <w:name w:val="范表格1"/>
    <w:basedOn w:val="1"/>
    <w:next w:val="1"/>
    <w:uiPriority w:val="0"/>
    <w:pPr>
      <w:widowControl/>
      <w:spacing w:before="60" w:after="60"/>
      <w:jc w:val="center"/>
    </w:pPr>
    <w:rPr>
      <w:kern w:val="0"/>
      <w:szCs w:val="20"/>
    </w:rPr>
  </w:style>
  <w:style w:type="paragraph" w:customStyle="1" w:styleId="850">
    <w:name w:val="样式 标题 4 + 宋体 小四 行距: 1.5 倍行距"/>
    <w:basedOn w:val="5"/>
    <w:uiPriority w:val="0"/>
    <w:pPr>
      <w:tabs>
        <w:tab w:val="left" w:pos="912"/>
      </w:tabs>
      <w:spacing w:line="360" w:lineRule="auto"/>
    </w:pPr>
    <w:rPr>
      <w:rFonts w:ascii="宋体" w:hAnsi="Times New Roman" w:cs="宋体"/>
      <w:bCs w:val="0"/>
      <w:sz w:val="24"/>
      <w:szCs w:val="20"/>
    </w:rPr>
  </w:style>
  <w:style w:type="paragraph" w:customStyle="1" w:styleId="851">
    <w:name w:val="图表目录2"/>
    <w:basedOn w:val="590"/>
    <w:next w:val="384"/>
    <w:uiPriority w:val="0"/>
    <w:pPr>
      <w:tabs>
        <w:tab w:val="left" w:pos="658"/>
      </w:tabs>
      <w:overflowPunct/>
      <w:autoSpaceDE w:val="0"/>
      <w:autoSpaceDN w:val="0"/>
      <w:spacing w:line="220" w:lineRule="atLeast"/>
      <w:jc w:val="both"/>
      <w:textAlignment w:val="top"/>
    </w:pPr>
    <w:rPr>
      <w:kern w:val="0"/>
      <w:sz w:val="18"/>
      <w:szCs w:val="24"/>
    </w:rPr>
  </w:style>
  <w:style w:type="paragraph" w:customStyle="1" w:styleId="852">
    <w:name w:val="样式 题注 + 左侧:  0.98 厘米 首行缩进:  2 字符"/>
    <w:basedOn w:val="16"/>
    <w:uiPriority w:val="0"/>
    <w:pPr>
      <w:adjustRightInd w:val="0"/>
      <w:snapToGrid w:val="0"/>
      <w:spacing w:before="120" w:line="300" w:lineRule="exact"/>
      <w:ind w:firstLine="480" w:firstLineChars="200"/>
    </w:pPr>
    <w:rPr>
      <w:rFonts w:eastAsia="黑体" w:cs="Times New Roman"/>
      <w:color w:val="000000"/>
    </w:rPr>
  </w:style>
  <w:style w:type="paragraph" w:customStyle="1" w:styleId="853">
    <w:name w:val="报告签署"/>
    <w:basedOn w:val="586"/>
    <w:uiPriority w:val="0"/>
    <w:pPr>
      <w:jc w:val="left"/>
    </w:pPr>
    <w:rPr>
      <w:sz w:val="32"/>
    </w:rPr>
  </w:style>
  <w:style w:type="paragraph" w:customStyle="1" w:styleId="854">
    <w:name w:val="xl75"/>
    <w:basedOn w:val="1"/>
    <w:uiPriority w:val="0"/>
    <w:pPr>
      <w:widowControl/>
      <w:spacing w:before="100" w:beforeAutospacing="1" w:after="100" w:afterAutospacing="1"/>
      <w:jc w:val="center"/>
    </w:pPr>
    <w:rPr>
      <w:rFonts w:ascii="宋体" w:hAnsi="宋体" w:cs="宋体"/>
      <w:kern w:val="0"/>
      <w:szCs w:val="21"/>
    </w:rPr>
  </w:style>
  <w:style w:type="paragraph" w:customStyle="1" w:styleId="855">
    <w:name w:val="xl100"/>
    <w:basedOn w:val="1"/>
    <w:uiPriority w:val="0"/>
    <w:pPr>
      <w:widowControl/>
      <w:spacing w:before="100" w:beforeAutospacing="1" w:after="100" w:afterAutospacing="1"/>
      <w:jc w:val="center"/>
      <w:textAlignment w:val="center"/>
    </w:pPr>
    <w:rPr>
      <w:kern w:val="0"/>
      <w:szCs w:val="24"/>
    </w:rPr>
  </w:style>
  <w:style w:type="paragraph" w:customStyle="1" w:styleId="856">
    <w:name w:val="表号 Char Char Char"/>
    <w:basedOn w:val="1"/>
    <w:uiPriority w:val="0"/>
    <w:pPr>
      <w:adjustRightInd w:val="0"/>
      <w:snapToGrid w:val="0"/>
      <w:spacing w:line="320" w:lineRule="exact"/>
      <w:ind w:firstLine="105" w:firstLineChars="50"/>
      <w:textAlignment w:val="baseline"/>
    </w:pPr>
    <w:rPr>
      <w:rFonts w:ascii="宋体" w:hAnsi="宋体"/>
      <w:bCs/>
      <w:snapToGrid w:val="0"/>
      <w:kern w:val="0"/>
      <w:szCs w:val="21"/>
    </w:rPr>
  </w:style>
  <w:style w:type="paragraph" w:customStyle="1" w:styleId="857">
    <w:name w:val="样式 样式 首行缩进:  2 字符 行距: 1.5 倍行距 + 首行缩进:  2 字符"/>
    <w:basedOn w:val="1"/>
    <w:uiPriority w:val="0"/>
    <w:rPr>
      <w:szCs w:val="20"/>
    </w:rPr>
  </w:style>
  <w:style w:type="paragraph" w:customStyle="1" w:styleId="858">
    <w:name w:val="Char Char Char Char Char Char1 Char Char Char1"/>
    <w:basedOn w:val="1"/>
    <w:uiPriority w:val="0"/>
    <w:rPr>
      <w:rFonts w:ascii="宋体" w:hAnsi="宋体" w:cs="宋体"/>
      <w:szCs w:val="24"/>
    </w:rPr>
  </w:style>
  <w:style w:type="paragraph" w:customStyle="1" w:styleId="859">
    <w:name w:val="样式 正文+ 首行缩进:  2 字符 + 宋体"/>
    <w:basedOn w:val="569"/>
    <w:uiPriority w:val="0"/>
    <w:rPr>
      <w:rFonts w:ascii="宋体" w:hAnsi="宋体"/>
    </w:rPr>
  </w:style>
  <w:style w:type="paragraph" w:customStyle="1" w:styleId="860">
    <w:name w:val="样式 表 + 段前: 0.5 行"/>
    <w:basedOn w:val="1"/>
    <w:uiPriority w:val="0"/>
    <w:pPr>
      <w:spacing w:beforeLines="50"/>
    </w:pPr>
    <w:rPr>
      <w:rFonts w:ascii="黑体" w:hAnsi="宋体" w:eastAsia="黑体" w:cs="宋体"/>
      <w:szCs w:val="20"/>
    </w:rPr>
  </w:style>
  <w:style w:type="paragraph" w:customStyle="1" w:styleId="861">
    <w:name w:val="Char Char Char Char Char Char3 Char Char Char Char Char Char"/>
    <w:basedOn w:val="1"/>
    <w:uiPriority w:val="0"/>
    <w:rPr>
      <w:rFonts w:ascii="宋体" w:hAnsi="宋体" w:cs="宋体"/>
      <w:szCs w:val="24"/>
    </w:rPr>
  </w:style>
  <w:style w:type="paragraph" w:customStyle="1" w:styleId="862">
    <w:name w:val="样式 样式 表名 + (中文) 宋体 小五 两端对齐 段前: 7.8 磅 + Times New Roman 段前: 6 磅"/>
    <w:basedOn w:val="1"/>
    <w:uiPriority w:val="0"/>
    <w:pPr>
      <w:tabs>
        <w:tab w:val="left" w:pos="1680"/>
      </w:tabs>
      <w:autoSpaceDE w:val="0"/>
      <w:autoSpaceDN w:val="0"/>
      <w:adjustRightInd w:val="0"/>
      <w:jc w:val="center"/>
      <w:textAlignment w:val="baseline"/>
    </w:pPr>
    <w:rPr>
      <w:rFonts w:ascii="Times" w:hAnsi="Times" w:eastAsia="黑体" w:cs="宋体"/>
      <w:bCs/>
      <w:kern w:val="0"/>
      <w:szCs w:val="21"/>
    </w:rPr>
  </w:style>
  <w:style w:type="paragraph" w:customStyle="1" w:styleId="863">
    <w:name w:val="表名 Char Char Char Char Char"/>
    <w:basedOn w:val="1"/>
    <w:uiPriority w:val="0"/>
    <w:pPr>
      <w:autoSpaceDE w:val="0"/>
      <w:autoSpaceDN w:val="0"/>
      <w:adjustRightInd w:val="0"/>
      <w:spacing w:line="0" w:lineRule="atLeast"/>
      <w:ind w:firstLine="482"/>
      <w:jc w:val="center"/>
      <w:textAlignment w:val="baseline"/>
    </w:pPr>
    <w:rPr>
      <w:rFonts w:eastAsia="黑体"/>
      <w:spacing w:val="6"/>
      <w:kern w:val="0"/>
      <w:szCs w:val="20"/>
    </w:rPr>
  </w:style>
  <w:style w:type="paragraph" w:customStyle="1" w:styleId="864">
    <w:name w:val="标准样式1"/>
    <w:basedOn w:val="1"/>
    <w:uiPriority w:val="0"/>
    <w:pPr>
      <w:spacing w:line="600" w:lineRule="exact"/>
      <w:ind w:firstLine="567"/>
    </w:pPr>
    <w:rPr>
      <w:szCs w:val="20"/>
    </w:rPr>
  </w:style>
  <w:style w:type="paragraph" w:customStyle="1" w:styleId="865">
    <w:name w:val="靖边至安塞"/>
    <w:basedOn w:val="1"/>
    <w:uiPriority w:val="0"/>
    <w:pPr>
      <w:ind w:firstLine="560"/>
    </w:pPr>
    <w:rPr>
      <w:rFonts w:hint="eastAsia" w:ascii="仿宋_GB2312" w:eastAsia="仿宋_GB2312"/>
      <w:szCs w:val="24"/>
    </w:rPr>
  </w:style>
  <w:style w:type="paragraph" w:customStyle="1" w:styleId="866">
    <w:name w:val="表格文字2"/>
    <w:basedOn w:val="50"/>
    <w:uiPriority w:val="0"/>
    <w:pPr>
      <w:spacing w:before="60" w:after="60" w:line="240" w:lineRule="atLeast"/>
      <w:jc w:val="center"/>
    </w:pPr>
    <w:rPr>
      <w:rFonts w:ascii="黑体" w:eastAsia="黑体"/>
      <w:sz w:val="21"/>
      <w:szCs w:val="28"/>
    </w:rPr>
  </w:style>
  <w:style w:type="paragraph" w:customStyle="1" w:styleId="867">
    <w:name w:val="表名 Char Char Char1"/>
    <w:basedOn w:val="1"/>
    <w:uiPriority w:val="0"/>
    <w:pPr>
      <w:autoSpaceDE w:val="0"/>
      <w:autoSpaceDN w:val="0"/>
      <w:adjustRightInd w:val="0"/>
      <w:spacing w:line="0" w:lineRule="atLeast"/>
      <w:jc w:val="center"/>
      <w:textAlignment w:val="baseline"/>
    </w:pPr>
    <w:rPr>
      <w:rFonts w:eastAsia="黑体"/>
      <w:spacing w:val="6"/>
      <w:kern w:val="0"/>
      <w:szCs w:val="20"/>
    </w:rPr>
  </w:style>
  <w:style w:type="paragraph" w:customStyle="1" w:styleId="868">
    <w:name w:val="Char Char Char Char Char Char1"/>
    <w:basedOn w:val="1"/>
    <w:uiPriority w:val="0"/>
    <w:rPr>
      <w:rFonts w:ascii="宋体" w:hAnsi="宋体" w:cs="宋体"/>
      <w:szCs w:val="24"/>
    </w:rPr>
  </w:style>
  <w:style w:type="paragraph" w:customStyle="1" w:styleId="869">
    <w:name w:val="工业统一表格文字"/>
    <w:basedOn w:val="1"/>
    <w:uiPriority w:val="0"/>
    <w:pPr>
      <w:adjustRightInd w:val="0"/>
      <w:snapToGrid w:val="0"/>
      <w:spacing w:beforeLines="20" w:afterLines="20"/>
      <w:ind w:left="-20" w:leftChars="-20" w:right="-20" w:rightChars="-20"/>
      <w:jc w:val="center"/>
    </w:pPr>
    <w:rPr>
      <w:szCs w:val="20"/>
    </w:rPr>
  </w:style>
  <w:style w:type="paragraph" w:customStyle="1" w:styleId="870">
    <w:name w:val="样式 样式 表号 Char + 黑色 右侧:  -4.52 字符 + 右侧:  -4.52 字符"/>
    <w:basedOn w:val="1"/>
    <w:uiPriority w:val="0"/>
    <w:pPr>
      <w:keepNext/>
      <w:tabs>
        <w:tab w:val="left" w:pos="3930"/>
      </w:tabs>
      <w:spacing w:line="320" w:lineRule="exact"/>
      <w:ind w:right="-1085" w:rightChars="-452"/>
      <w:outlineLvl w:val="3"/>
    </w:pPr>
    <w:rPr>
      <w:rFonts w:cs="宋体"/>
      <w:color w:val="000000"/>
      <w:spacing w:val="-4"/>
      <w:kern w:val="0"/>
      <w:sz w:val="18"/>
      <w:szCs w:val="20"/>
    </w:rPr>
  </w:style>
  <w:style w:type="paragraph" w:customStyle="1" w:styleId="871">
    <w:name w:val="305"/>
    <w:basedOn w:val="1"/>
    <w:uiPriority w:val="0"/>
    <w:pPr>
      <w:widowControl/>
      <w:spacing w:before="100" w:beforeAutospacing="1" w:after="100" w:afterAutospacing="1"/>
      <w:jc w:val="left"/>
    </w:pPr>
    <w:rPr>
      <w:rFonts w:ascii="宋体" w:hAnsi="宋体"/>
      <w:kern w:val="0"/>
      <w:szCs w:val="24"/>
    </w:rPr>
  </w:style>
  <w:style w:type="paragraph" w:customStyle="1" w:styleId="872">
    <w:name w:val="样式 蓝色 首行缩进:  2 字符"/>
    <w:basedOn w:val="1"/>
    <w:uiPriority w:val="0"/>
    <w:pPr>
      <w:ind w:firstLine="480"/>
      <w:jc w:val="left"/>
    </w:pPr>
    <w:rPr>
      <w:rFonts w:cs="宋体"/>
      <w:szCs w:val="24"/>
    </w:rPr>
  </w:style>
  <w:style w:type="paragraph" w:customStyle="1" w:styleId="873">
    <w:name w:val="1表格表头格式"/>
    <w:basedOn w:val="1"/>
    <w:uiPriority w:val="0"/>
    <w:pPr>
      <w:spacing w:line="240" w:lineRule="auto"/>
      <w:ind w:firstLine="0" w:firstLineChars="0"/>
      <w:jc w:val="center"/>
    </w:pPr>
    <w:rPr>
      <w:rFonts w:hAnsi="宋体" w:cs="宋体"/>
      <w:b/>
      <w:bCs/>
      <w:sz w:val="21"/>
      <w:szCs w:val="20"/>
    </w:rPr>
  </w:style>
  <w:style w:type="paragraph" w:customStyle="1" w:styleId="874">
    <w:name w:val="_Style 1"/>
    <w:basedOn w:val="1"/>
    <w:uiPriority w:val="0"/>
    <w:rPr>
      <w:szCs w:val="20"/>
    </w:rPr>
  </w:style>
  <w:style w:type="paragraph" w:customStyle="1" w:styleId="875">
    <w:name w:val="p0"/>
    <w:basedOn w:val="1"/>
    <w:uiPriority w:val="0"/>
    <w:pPr>
      <w:widowControl/>
      <w:jc w:val="left"/>
    </w:pPr>
    <w:rPr>
      <w:rFonts w:ascii="inherit" w:hAnsi="inherit" w:cs="宋体"/>
      <w:kern w:val="0"/>
      <w:szCs w:val="24"/>
    </w:rPr>
  </w:style>
  <w:style w:type="paragraph" w:customStyle="1" w:styleId="876">
    <w:name w:val="样式 样式 标题 4 + + 段前: 1 行"/>
    <w:basedOn w:val="1"/>
    <w:uiPriority w:val="0"/>
    <w:pPr>
      <w:keepNext/>
      <w:keepLines/>
      <w:tabs>
        <w:tab w:val="left" w:pos="1125"/>
      </w:tabs>
      <w:adjustRightInd w:val="0"/>
      <w:ind w:left="1125" w:hanging="1125"/>
      <w:outlineLvl w:val="3"/>
    </w:pPr>
    <w:rPr>
      <w:rFonts w:cs="宋体"/>
      <w:szCs w:val="20"/>
    </w:rPr>
  </w:style>
  <w:style w:type="paragraph" w:customStyle="1" w:styleId="877">
    <w:name w:val="Char Char1 Char Char Char Char Char Char Char Char Char1 Char"/>
    <w:basedOn w:val="1"/>
    <w:uiPriority w:val="0"/>
    <w:rPr>
      <w:szCs w:val="24"/>
    </w:rPr>
  </w:style>
  <w:style w:type="paragraph" w:customStyle="1" w:styleId="878">
    <w:name w:val="xl113"/>
    <w:basedOn w:val="1"/>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b/>
      <w:bCs/>
      <w:kern w:val="0"/>
      <w:sz w:val="18"/>
      <w:szCs w:val="18"/>
    </w:rPr>
  </w:style>
  <w:style w:type="paragraph" w:customStyle="1" w:styleId="879">
    <w:name w:val="样式 表内容 + (中文) 黑体 加粗 段前: 7.8 磅 段后: 7.8 磅1"/>
    <w:basedOn w:val="429"/>
    <w:uiPriority w:val="0"/>
    <w:pPr>
      <w:pBdr>
        <w:bottom w:val="none" w:color="auto" w:sz="0" w:space="0"/>
      </w:pBdr>
      <w:spacing w:before="156" w:after="156" w:line="0" w:lineRule="atLeast"/>
      <w:ind w:left="0" w:right="-108" w:rightChars="-45"/>
      <w:jc w:val="center"/>
    </w:pPr>
    <w:rPr>
      <w:rFonts w:ascii="宋体" w:hAnsi="宋体" w:cs="宋体"/>
      <w:iCs w:val="0"/>
      <w:sz w:val="18"/>
      <w:szCs w:val="20"/>
    </w:rPr>
  </w:style>
  <w:style w:type="paragraph" w:customStyle="1" w:styleId="880">
    <w:name w:val="样式 左 首行缩进:  2 字符 行距: 1.5 倍行距"/>
    <w:basedOn w:val="1"/>
    <w:uiPriority w:val="0"/>
    <w:pPr>
      <w:ind w:firstLine="360"/>
      <w:jc w:val="left"/>
    </w:pPr>
    <w:rPr>
      <w:szCs w:val="24"/>
    </w:rPr>
  </w:style>
  <w:style w:type="paragraph" w:customStyle="1" w:styleId="881">
    <w:name w:val="表号 Char Char2"/>
    <w:basedOn w:val="1"/>
    <w:uiPriority w:val="0"/>
    <w:pPr>
      <w:adjustRightInd w:val="0"/>
      <w:snapToGrid w:val="0"/>
      <w:spacing w:line="320" w:lineRule="exact"/>
      <w:ind w:firstLine="105" w:firstLineChars="50"/>
      <w:textAlignment w:val="baseline"/>
    </w:pPr>
    <w:rPr>
      <w:rFonts w:ascii="宋体" w:hAnsi="宋体"/>
      <w:bCs/>
      <w:snapToGrid w:val="0"/>
      <w:kern w:val="0"/>
      <w:szCs w:val="21"/>
    </w:rPr>
  </w:style>
  <w:style w:type="paragraph" w:customStyle="1" w:styleId="882">
    <w:name w:val="Char Char Char Char Char Char Char Char Char Char1"/>
    <w:basedOn w:val="1"/>
    <w:uiPriority w:val="0"/>
    <w:rPr>
      <w:rFonts w:ascii="宋体" w:hAnsi="宋体" w:cs="宋体"/>
      <w:szCs w:val="24"/>
    </w:rPr>
  </w:style>
  <w:style w:type="paragraph" w:customStyle="1" w:styleId="883">
    <w:name w:val="样式 表文居中 + 宋 体"/>
    <w:basedOn w:val="384"/>
    <w:uiPriority w:val="0"/>
    <w:pPr>
      <w:widowControl/>
      <w:overflowPunct/>
      <w:autoSpaceDE/>
      <w:autoSpaceDN/>
      <w:adjustRightInd/>
      <w:spacing w:line="240" w:lineRule="atLeast"/>
      <w:ind w:firstLine="360"/>
    </w:pPr>
    <w:rPr>
      <w:rFonts w:ascii="宋体" w:hAnsi="宋体" w:cs="宋体"/>
      <w:kern w:val="0"/>
    </w:rPr>
  </w:style>
  <w:style w:type="paragraph" w:customStyle="1" w:styleId="884">
    <w:name w:val="样式 表名 + Times New Roman"/>
    <w:basedOn w:val="1"/>
    <w:uiPriority w:val="0"/>
    <w:pPr>
      <w:spacing w:before="60" w:after="36" w:line="360" w:lineRule="exact"/>
      <w:jc w:val="center"/>
    </w:pPr>
    <w:rPr>
      <w:rFonts w:ascii="Times" w:hAnsi="Times" w:eastAsia="黑体"/>
      <w:color w:val="000000"/>
      <w:szCs w:val="20"/>
    </w:rPr>
  </w:style>
  <w:style w:type="paragraph" w:customStyle="1" w:styleId="885">
    <w:name w:val="bg正文首行缩进"/>
    <w:basedOn w:val="1"/>
    <w:uiPriority w:val="0"/>
    <w:pPr>
      <w:spacing w:line="400" w:lineRule="exact"/>
      <w:ind w:firstLine="482"/>
    </w:pPr>
    <w:rPr>
      <w:szCs w:val="20"/>
    </w:rPr>
  </w:style>
  <w:style w:type="paragraph" w:customStyle="1" w:styleId="886">
    <w:name w:val="样式 标题 2 + 首行缩进:  0 厘米"/>
    <w:basedOn w:val="3"/>
    <w:uiPriority w:val="0"/>
    <w:pPr>
      <w:tabs>
        <w:tab w:val="left" w:pos="0"/>
      </w:tabs>
      <w:spacing w:line="300" w:lineRule="auto"/>
      <w:ind w:left="113"/>
    </w:pPr>
    <w:rPr>
      <w:rFonts w:ascii="Arial" w:hAnsi="Arial" w:eastAsia="宋体" w:cs="宋体"/>
      <w:b w:val="0"/>
      <w:bCs w:val="0"/>
      <w:szCs w:val="20"/>
    </w:rPr>
  </w:style>
  <w:style w:type="paragraph" w:customStyle="1" w:styleId="887">
    <w:name w:val="xl11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888">
    <w:name w:val="xl110"/>
    <w:basedOn w:val="1"/>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cs="宋体"/>
      <w:kern w:val="0"/>
      <w:sz w:val="18"/>
      <w:szCs w:val="18"/>
    </w:rPr>
  </w:style>
  <w:style w:type="paragraph" w:customStyle="1" w:styleId="889">
    <w:name w:val="样式 题注 + 左"/>
    <w:basedOn w:val="16"/>
    <w:uiPriority w:val="0"/>
    <w:pPr>
      <w:adjustRightInd w:val="0"/>
      <w:snapToGrid w:val="0"/>
      <w:ind w:left="200" w:leftChars="200" w:firstLine="200" w:firstLineChars="200"/>
      <w:jc w:val="left"/>
    </w:pPr>
    <w:rPr>
      <w:rFonts w:ascii="Times New Roman" w:hAnsi="Times New Roman" w:eastAsia="黑体" w:cs="宋体"/>
      <w:sz w:val="21"/>
      <w:szCs w:val="21"/>
    </w:rPr>
  </w:style>
  <w:style w:type="paragraph" w:customStyle="1" w:styleId="890">
    <w:name w:val="基准页眉样式"/>
    <w:basedOn w:val="23"/>
    <w:uiPriority w:val="0"/>
    <w:pPr>
      <w:spacing w:after="0" w:line="300" w:lineRule="exact"/>
      <w:jc w:val="center"/>
    </w:pPr>
    <w:rPr>
      <w:spacing w:val="15"/>
      <w:sz w:val="21"/>
      <w:szCs w:val="20"/>
    </w:rPr>
  </w:style>
  <w:style w:type="paragraph" w:customStyle="1" w:styleId="891">
    <w:name w:val="工业统一题目"/>
    <w:basedOn w:val="1"/>
    <w:uiPriority w:val="0"/>
    <w:pPr>
      <w:adjustRightInd w:val="0"/>
      <w:snapToGrid w:val="0"/>
      <w:jc w:val="left"/>
    </w:pPr>
    <w:rPr>
      <w:rFonts w:ascii="宋体"/>
      <w:b/>
      <w:szCs w:val="20"/>
    </w:rPr>
  </w:style>
  <w:style w:type="paragraph" w:customStyle="1" w:styleId="892">
    <w:name w:val="附图"/>
    <w:basedOn w:val="1"/>
    <w:semiHidden/>
    <w:uiPriority w:val="0"/>
    <w:pPr>
      <w:jc w:val="center"/>
    </w:pPr>
    <w:rPr>
      <w:szCs w:val="24"/>
    </w:rPr>
  </w:style>
  <w:style w:type="paragraph" w:customStyle="1" w:styleId="893">
    <w:name w:val="xl1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894">
    <w:name w:val="xl15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Cs w:val="24"/>
    </w:rPr>
  </w:style>
  <w:style w:type="paragraph" w:customStyle="1" w:styleId="895">
    <w:name w:val="xl12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 w:val="18"/>
      <w:szCs w:val="18"/>
    </w:rPr>
  </w:style>
  <w:style w:type="paragraph" w:customStyle="1" w:styleId="896">
    <w:name w:val="样式 标题 3"/>
    <w:basedOn w:val="4"/>
    <w:semiHidden/>
    <w:uiPriority w:val="0"/>
    <w:pPr>
      <w:snapToGrid w:val="0"/>
      <w:spacing w:before="120"/>
      <w:textAlignment w:val="baseline"/>
    </w:pPr>
    <w:rPr>
      <w:b w:val="0"/>
      <w:bCs w:val="0"/>
      <w:snapToGrid w:val="0"/>
      <w:kern w:val="0"/>
      <w:szCs w:val="24"/>
      <w:lang w:val="zh-CN"/>
    </w:rPr>
  </w:style>
  <w:style w:type="paragraph" w:customStyle="1" w:styleId="897">
    <w:name w:val="xl108"/>
    <w:basedOn w:val="1"/>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b/>
      <w:bCs/>
      <w:kern w:val="0"/>
      <w:sz w:val="18"/>
      <w:szCs w:val="18"/>
    </w:rPr>
  </w:style>
  <w:style w:type="paragraph" w:customStyle="1" w:styleId="898">
    <w:name w:val="表名-水保"/>
    <w:qFormat/>
    <w:uiPriority w:val="1"/>
    <w:pPr>
      <w:keepNext/>
      <w:jc w:val="center"/>
    </w:pPr>
    <w:rPr>
      <w:rFonts w:ascii="Times New Roman" w:hAnsi="Times New Roman" w:eastAsia="宋体" w:cs="Times New Roman"/>
      <w:b/>
      <w:sz w:val="21"/>
      <w:szCs w:val="22"/>
      <w:lang w:val="en-US" w:eastAsia="zh-CN" w:bidi="ar-SA"/>
    </w:rPr>
  </w:style>
  <w:style w:type="paragraph" w:customStyle="1" w:styleId="899">
    <w:name w:val="Char3"/>
    <w:basedOn w:val="1"/>
    <w:uiPriority w:val="0"/>
    <w:pPr>
      <w:spacing w:line="240" w:lineRule="auto"/>
      <w:ind w:firstLine="0" w:firstLineChars="0"/>
    </w:pPr>
    <w:rPr>
      <w:sz w:val="21"/>
      <w:szCs w:val="24"/>
    </w:rPr>
  </w:style>
  <w:style w:type="character" w:customStyle="1" w:styleId="900">
    <w:name w:val="明显参考1"/>
    <w:uiPriority w:val="32"/>
    <w:rPr>
      <w:b/>
      <w:bCs/>
      <w:smallCaps/>
      <w:color w:val="C0504D"/>
      <w:spacing w:val="5"/>
      <w:u w:val="single"/>
    </w:rPr>
  </w:style>
  <w:style w:type="character" w:customStyle="1" w:styleId="901">
    <w:name w:val="书籍标题1"/>
    <w:uiPriority w:val="33"/>
    <w:rPr>
      <w:b/>
      <w:bCs/>
      <w:smallCaps/>
      <w:spacing w:val="5"/>
    </w:rPr>
  </w:style>
  <w:style w:type="paragraph" w:styleId="902">
    <w:name w:val="Intense Quote"/>
    <w:basedOn w:val="1"/>
    <w:next w:val="1"/>
    <w:link w:val="903"/>
    <w:uiPriority w:val="99"/>
    <w:pPr>
      <w:pBdr>
        <w:bottom w:val="single" w:color="4F81BD" w:sz="4" w:space="4"/>
      </w:pBdr>
      <w:spacing w:before="200" w:after="280"/>
      <w:ind w:left="936" w:right="936"/>
    </w:pPr>
    <w:rPr>
      <w:b/>
      <w:bCs/>
      <w:i/>
      <w:iCs/>
      <w:color w:val="4F81BD"/>
      <w:szCs w:val="24"/>
    </w:rPr>
  </w:style>
  <w:style w:type="character" w:customStyle="1" w:styleId="903">
    <w:name w:val="明显引用 Char1"/>
    <w:link w:val="902"/>
    <w:uiPriority w:val="99"/>
    <w:rPr>
      <w:rFonts w:ascii="Times New Roman" w:hAnsi="Times New Roman"/>
      <w:b/>
      <w:bCs/>
      <w:i/>
      <w:iCs/>
      <w:color w:val="4F81BD"/>
      <w:kern w:val="2"/>
      <w:sz w:val="24"/>
      <w:szCs w:val="24"/>
    </w:rPr>
  </w:style>
  <w:style w:type="paragraph" w:styleId="904">
    <w:name w:val="Quote"/>
    <w:basedOn w:val="1"/>
    <w:next w:val="1"/>
    <w:link w:val="905"/>
    <w:qFormat/>
    <w:uiPriority w:val="0"/>
    <w:rPr>
      <w:i/>
      <w:iCs/>
      <w:color w:val="000000"/>
      <w:szCs w:val="24"/>
    </w:rPr>
  </w:style>
  <w:style w:type="character" w:customStyle="1" w:styleId="905">
    <w:name w:val="引用 Char1"/>
    <w:link w:val="904"/>
    <w:uiPriority w:val="0"/>
    <w:rPr>
      <w:rFonts w:ascii="Times New Roman" w:hAnsi="Times New Roman"/>
      <w:i/>
      <w:iCs/>
      <w:color w:val="000000"/>
      <w:kern w:val="2"/>
      <w:sz w:val="24"/>
      <w:szCs w:val="24"/>
    </w:rPr>
  </w:style>
  <w:style w:type="character" w:customStyle="1" w:styleId="906">
    <w:name w:val="不明显参考1"/>
    <w:uiPriority w:val="31"/>
    <w:rPr>
      <w:smallCaps/>
      <w:color w:val="C0504D"/>
      <w:u w:val="single"/>
    </w:rPr>
  </w:style>
  <w:style w:type="character" w:customStyle="1" w:styleId="907">
    <w:name w:val="不明显强调1"/>
    <w:uiPriority w:val="19"/>
    <w:rPr>
      <w:i/>
      <w:iCs/>
      <w:color w:val="808080"/>
    </w:rPr>
  </w:style>
  <w:style w:type="character" w:customStyle="1" w:styleId="908">
    <w:name w:val="Char Char Char3"/>
    <w:link w:val="909"/>
    <w:uiPriority w:val="0"/>
    <w:rPr>
      <w:rFonts w:ascii="宋体" w:hAnsi="宋体" w:cs="宋体"/>
      <w:kern w:val="2"/>
      <w:sz w:val="24"/>
      <w:szCs w:val="24"/>
    </w:rPr>
  </w:style>
  <w:style w:type="paragraph" w:customStyle="1" w:styleId="909">
    <w:name w:val="Char Char1"/>
    <w:basedOn w:val="1"/>
    <w:link w:val="908"/>
    <w:uiPriority w:val="0"/>
    <w:rPr>
      <w:rFonts w:ascii="宋体" w:hAnsi="宋体" w:cs="宋体"/>
      <w:szCs w:val="24"/>
    </w:rPr>
  </w:style>
  <w:style w:type="character" w:customStyle="1" w:styleId="910">
    <w:name w:val="Char Char51"/>
    <w:uiPriority w:val="0"/>
  </w:style>
  <w:style w:type="character" w:customStyle="1" w:styleId="911">
    <w:name w:val="Char2 Char Char11"/>
    <w:qFormat/>
    <w:uiPriority w:val="0"/>
    <w:rPr>
      <w:rFonts w:eastAsia="宋体"/>
      <w:kern w:val="2"/>
      <w:sz w:val="18"/>
      <w:szCs w:val="18"/>
      <w:lang w:val="en-US" w:eastAsia="zh-CN" w:bidi="ar-SA"/>
    </w:rPr>
  </w:style>
  <w:style w:type="character" w:customStyle="1" w:styleId="912">
    <w:name w:val="Char Char161"/>
    <w:locked/>
    <w:uiPriority w:val="0"/>
    <w:rPr>
      <w:sz w:val="24"/>
    </w:rPr>
  </w:style>
  <w:style w:type="paragraph" w:customStyle="1" w:styleId="913">
    <w:name w:val="Char Char2 Char Char Char1 Char Char Char1 Char1"/>
    <w:basedOn w:val="1"/>
    <w:semiHidden/>
    <w:uiPriority w:val="0"/>
    <w:rPr>
      <w:szCs w:val="24"/>
    </w:rPr>
  </w:style>
  <w:style w:type="paragraph" w:customStyle="1" w:styleId="914">
    <w:name w:val="Char51"/>
    <w:basedOn w:val="19"/>
    <w:uiPriority w:val="0"/>
    <w:pPr>
      <w:shd w:val="clear" w:color="auto" w:fill="000080"/>
      <w:adjustRightInd w:val="0"/>
      <w:spacing w:line="436" w:lineRule="exact"/>
      <w:ind w:left="357" w:firstLine="0" w:firstLineChars="0"/>
      <w:jc w:val="left"/>
      <w:outlineLvl w:val="3"/>
    </w:pPr>
    <w:rPr>
      <w:rFonts w:ascii="Tahoma" w:hAnsi="Tahoma"/>
      <w:b/>
      <w:sz w:val="21"/>
      <w:szCs w:val="28"/>
    </w:rPr>
  </w:style>
  <w:style w:type="paragraph" w:customStyle="1" w:styleId="915">
    <w:name w:val="Char Char Char Char Char Char Char2"/>
    <w:basedOn w:val="1"/>
    <w:uiPriority w:val="0"/>
    <w:pPr>
      <w:widowControl/>
      <w:spacing w:after="160" w:line="240" w:lineRule="exact"/>
      <w:jc w:val="left"/>
    </w:pPr>
    <w:rPr>
      <w:rFonts w:ascii="Arial" w:hAnsi="Arial" w:eastAsia="Times New Roman" w:cs="Verdana"/>
      <w:b/>
      <w:kern w:val="0"/>
      <w:szCs w:val="24"/>
      <w:lang w:eastAsia="en-US"/>
    </w:rPr>
  </w:style>
  <w:style w:type="paragraph" w:customStyle="1" w:styleId="916">
    <w:name w:val="Char Char Char1 Char1"/>
    <w:basedOn w:val="1"/>
    <w:uiPriority w:val="0"/>
    <w:rPr>
      <w:rFonts w:ascii="宋体" w:hAnsi="宋体" w:cs="宋体"/>
      <w:szCs w:val="24"/>
    </w:rPr>
  </w:style>
  <w:style w:type="paragraph" w:customStyle="1" w:styleId="917">
    <w:name w:val="Char Char Char Char Char Char Char Char Char Char Char Char Char Char Char Char Char Char1 Char Char Char Char1"/>
    <w:basedOn w:val="1"/>
    <w:uiPriority w:val="0"/>
    <w:rPr>
      <w:szCs w:val="24"/>
    </w:rPr>
  </w:style>
  <w:style w:type="paragraph" w:customStyle="1" w:styleId="918">
    <w:name w:val="Char41"/>
    <w:basedOn w:val="1"/>
    <w:uiPriority w:val="0"/>
    <w:rPr>
      <w:rFonts w:ascii="宋体" w:hAnsi="宋体" w:cs="宋体"/>
      <w:szCs w:val="24"/>
    </w:rPr>
  </w:style>
  <w:style w:type="paragraph" w:customStyle="1" w:styleId="919">
    <w:name w:val="Char Char Char Char Char Char1 Char Char Char Char1"/>
    <w:basedOn w:val="1"/>
    <w:uiPriority w:val="0"/>
    <w:rPr>
      <w:rFonts w:ascii="宋体" w:hAnsi="宋体" w:cs="宋体"/>
      <w:szCs w:val="24"/>
    </w:rPr>
  </w:style>
  <w:style w:type="paragraph" w:customStyle="1" w:styleId="920">
    <w:name w:val="Char Char Char2 Char Char Char Char Char Char Char Char Char Char Char Char Char Char Char Char Char Char Char Char Char Char Char Char Char1"/>
    <w:basedOn w:val="1"/>
    <w:uiPriority w:val="0"/>
    <w:rPr>
      <w:rFonts w:ascii="宋体" w:hAnsi="宋体" w:cs="宋体"/>
      <w:szCs w:val="24"/>
    </w:rPr>
  </w:style>
  <w:style w:type="paragraph" w:customStyle="1" w:styleId="921">
    <w:name w:val="Char1 Char Char Char2"/>
    <w:basedOn w:val="1"/>
    <w:uiPriority w:val="0"/>
    <w:rPr>
      <w:rFonts w:ascii="Tahoma" w:hAnsi="Tahoma"/>
      <w:szCs w:val="20"/>
    </w:rPr>
  </w:style>
  <w:style w:type="paragraph" w:customStyle="1" w:styleId="922">
    <w:name w:val="Char Char Char Char Char Char21"/>
    <w:basedOn w:val="1"/>
    <w:uiPriority w:val="0"/>
    <w:rPr>
      <w:rFonts w:ascii="宋体" w:hAnsi="宋体" w:cs="宋体"/>
      <w:szCs w:val="24"/>
    </w:rPr>
  </w:style>
  <w:style w:type="paragraph" w:customStyle="1" w:styleId="923">
    <w:name w:val="Char Char Char3 Char1"/>
    <w:basedOn w:val="1"/>
    <w:uiPriority w:val="0"/>
    <w:rPr>
      <w:rFonts w:ascii="宋体" w:hAnsi="宋体" w:cs="宋体"/>
      <w:szCs w:val="24"/>
    </w:rPr>
  </w:style>
  <w:style w:type="paragraph" w:customStyle="1" w:styleId="924">
    <w:name w:val="Char Char Char Char Char Char3 Char Char Char Char Char Char Char2"/>
    <w:basedOn w:val="1"/>
    <w:uiPriority w:val="0"/>
    <w:rPr>
      <w:rFonts w:ascii="宋体" w:hAnsi="宋体" w:cs="宋体"/>
      <w:szCs w:val="24"/>
    </w:rPr>
  </w:style>
  <w:style w:type="paragraph" w:customStyle="1" w:styleId="925">
    <w:name w:val="Char Char Char1 Char Char Char Char Char Char1"/>
    <w:basedOn w:val="1"/>
    <w:uiPriority w:val="0"/>
    <w:rPr>
      <w:szCs w:val="24"/>
    </w:rPr>
  </w:style>
  <w:style w:type="paragraph" w:customStyle="1" w:styleId="926">
    <w:name w:val="Char Char22"/>
    <w:basedOn w:val="1"/>
    <w:uiPriority w:val="0"/>
    <w:pPr>
      <w:autoSpaceDE w:val="0"/>
      <w:autoSpaceDN w:val="0"/>
      <w:adjustRightInd w:val="0"/>
      <w:snapToGrid w:val="0"/>
      <w:spacing w:before="50" w:after="50"/>
      <w:ind w:firstLine="560"/>
    </w:pPr>
    <w:rPr>
      <w:rFonts w:eastAsia="仿宋_GB2312"/>
      <w:color w:val="000000"/>
      <w:szCs w:val="24"/>
    </w:rPr>
  </w:style>
  <w:style w:type="paragraph" w:customStyle="1" w:styleId="927">
    <w:name w:val="Char Char Char12"/>
    <w:basedOn w:val="1"/>
    <w:uiPriority w:val="0"/>
    <w:rPr>
      <w:rFonts w:ascii="宋体" w:hAnsi="宋体" w:cs="宋体"/>
      <w:szCs w:val="24"/>
    </w:rPr>
  </w:style>
  <w:style w:type="paragraph" w:customStyle="1" w:styleId="928">
    <w:name w:val="正文文本缩进 22"/>
    <w:basedOn w:val="1"/>
    <w:uiPriority w:val="0"/>
    <w:pPr>
      <w:adjustRightInd w:val="0"/>
      <w:spacing w:line="312" w:lineRule="auto"/>
      <w:ind w:firstLine="570"/>
      <w:textAlignment w:val="baseline"/>
    </w:pPr>
    <w:rPr>
      <w:sz w:val="28"/>
      <w:szCs w:val="20"/>
    </w:rPr>
  </w:style>
  <w:style w:type="paragraph" w:customStyle="1" w:styleId="929">
    <w:name w:val="正文文本缩进2"/>
    <w:basedOn w:val="1"/>
    <w:uiPriority w:val="0"/>
    <w:pPr>
      <w:widowControl/>
      <w:ind w:firstLine="720"/>
    </w:pPr>
    <w:rPr>
      <w:kern w:val="0"/>
      <w:szCs w:val="24"/>
    </w:rPr>
  </w:style>
  <w:style w:type="paragraph" w:customStyle="1" w:styleId="930">
    <w:name w:val="Char Char Char1 Char Char Char Char Char Char Char1"/>
    <w:basedOn w:val="1"/>
    <w:uiPriority w:val="0"/>
    <w:rPr>
      <w:szCs w:val="24"/>
    </w:rPr>
  </w:style>
  <w:style w:type="paragraph" w:customStyle="1" w:styleId="931">
    <w:name w:val="Char Char Char Char Char Char3 Char Char Char1"/>
    <w:basedOn w:val="1"/>
    <w:uiPriority w:val="0"/>
    <w:rPr>
      <w:rFonts w:ascii="宋体" w:hAnsi="宋体" w:cs="宋体"/>
      <w:szCs w:val="24"/>
    </w:rPr>
  </w:style>
  <w:style w:type="paragraph" w:customStyle="1" w:styleId="932">
    <w:name w:val="日期2"/>
    <w:basedOn w:val="1"/>
    <w:next w:val="1"/>
    <w:uiPriority w:val="0"/>
    <w:pPr>
      <w:adjustRightInd w:val="0"/>
      <w:spacing w:after="100" w:afterAutospacing="1"/>
      <w:textAlignment w:val="baseline"/>
    </w:pPr>
    <w:rPr>
      <w:snapToGrid w:val="0"/>
      <w:szCs w:val="20"/>
    </w:rPr>
  </w:style>
  <w:style w:type="paragraph" w:customStyle="1" w:styleId="933">
    <w:name w:val="Char11"/>
    <w:basedOn w:val="1"/>
    <w:uiPriority w:val="0"/>
    <w:rPr>
      <w:szCs w:val="24"/>
    </w:rPr>
  </w:style>
  <w:style w:type="paragraph" w:customStyle="1" w:styleId="934">
    <w:name w:val="批注框文本2"/>
    <w:basedOn w:val="1"/>
    <w:uiPriority w:val="0"/>
    <w:pPr>
      <w:snapToGrid w:val="0"/>
      <w:spacing w:beforeLines="50"/>
    </w:pPr>
    <w:rPr>
      <w:sz w:val="18"/>
      <w:szCs w:val="18"/>
    </w:rPr>
  </w:style>
  <w:style w:type="paragraph" w:customStyle="1" w:styleId="935">
    <w:name w:val="Char1 Char Char Char Char Char Char1"/>
    <w:basedOn w:val="1"/>
    <w:uiPriority w:val="0"/>
    <w:rPr>
      <w:rFonts w:ascii="宋体" w:hAnsi="宋体" w:cs="宋体"/>
      <w:szCs w:val="24"/>
    </w:rPr>
  </w:style>
  <w:style w:type="paragraph" w:customStyle="1" w:styleId="936">
    <w:name w:val="Char Char Char Char Char Char1 Char Char Char2"/>
    <w:basedOn w:val="1"/>
    <w:uiPriority w:val="0"/>
    <w:rPr>
      <w:rFonts w:ascii="宋体" w:hAnsi="宋体" w:cs="宋体"/>
      <w:szCs w:val="24"/>
    </w:rPr>
  </w:style>
  <w:style w:type="paragraph" w:customStyle="1" w:styleId="937">
    <w:name w:val="Char Char Char Char Char Char1 Char Char Char1 Char Char Char Char Char Char1"/>
    <w:basedOn w:val="1"/>
    <w:uiPriority w:val="0"/>
    <w:rPr>
      <w:rFonts w:ascii="宋体" w:hAnsi="宋体" w:cs="宋体"/>
      <w:szCs w:val="24"/>
    </w:rPr>
  </w:style>
  <w:style w:type="paragraph" w:customStyle="1" w:styleId="938">
    <w:name w:val="Char Char Char Char Char Char Char Char Char2"/>
    <w:basedOn w:val="1"/>
    <w:uiPriority w:val="0"/>
    <w:rPr>
      <w:rFonts w:eastAsia="仿宋_GB2312"/>
      <w:sz w:val="32"/>
      <w:szCs w:val="32"/>
    </w:rPr>
  </w:style>
  <w:style w:type="paragraph" w:customStyle="1" w:styleId="939">
    <w:name w:val="Char Char Char Char Char Char1 Char Char Char1 Char1"/>
    <w:basedOn w:val="1"/>
    <w:uiPriority w:val="0"/>
    <w:rPr>
      <w:rFonts w:ascii="宋体" w:hAnsi="宋体" w:cs="宋体"/>
      <w:szCs w:val="24"/>
    </w:rPr>
  </w:style>
  <w:style w:type="paragraph" w:customStyle="1" w:styleId="940">
    <w:name w:val="纯文本2"/>
    <w:basedOn w:val="1"/>
    <w:uiPriority w:val="0"/>
    <w:rPr>
      <w:rFonts w:ascii="宋体" w:hAnsi="Courier New"/>
      <w:sz w:val="21"/>
      <w:szCs w:val="21"/>
    </w:rPr>
  </w:style>
  <w:style w:type="paragraph" w:customStyle="1" w:styleId="941">
    <w:name w:val="Char Char Char Char Char Char Char Char Char Char Char Char Char Char Char Char Char Char Char Char Char Char Char Char Char Char Char Char Char Char Char Char Char Char Char Char Char Char Char Char Char Char Char Char Char Char1"/>
    <w:basedOn w:val="1"/>
    <w:uiPriority w:val="0"/>
    <w:rPr>
      <w:rFonts w:ascii="宋体" w:hAnsi="宋体" w:cs="宋体"/>
      <w:szCs w:val="24"/>
    </w:rPr>
  </w:style>
  <w:style w:type="paragraph" w:customStyle="1" w:styleId="942">
    <w:name w:val="Char Char Char Char Char Char31"/>
    <w:basedOn w:val="1"/>
    <w:uiPriority w:val="0"/>
    <w:rPr>
      <w:rFonts w:ascii="宋体" w:hAnsi="宋体" w:cs="宋体"/>
      <w:szCs w:val="24"/>
    </w:rPr>
  </w:style>
  <w:style w:type="paragraph" w:customStyle="1" w:styleId="943">
    <w:name w:val="Char Char Char Char Char Char4"/>
    <w:basedOn w:val="1"/>
    <w:uiPriority w:val="0"/>
    <w:rPr>
      <w:rFonts w:ascii="宋体" w:hAnsi="宋体" w:cs="宋体"/>
      <w:szCs w:val="24"/>
    </w:rPr>
  </w:style>
  <w:style w:type="paragraph" w:customStyle="1" w:styleId="944">
    <w:name w:val="Char2 Char Char Char Char Char Char1 Char Char Char Char Char Char2"/>
    <w:basedOn w:val="1"/>
    <w:uiPriority w:val="0"/>
    <w:rPr>
      <w:rFonts w:ascii="宋体" w:hAnsi="宋体" w:cs="宋体"/>
      <w:szCs w:val="24"/>
    </w:rPr>
  </w:style>
  <w:style w:type="paragraph" w:customStyle="1" w:styleId="945">
    <w:name w:val="Char Char Char Char Char Char1 Char Char Char1 Char Char Char1"/>
    <w:basedOn w:val="1"/>
    <w:uiPriority w:val="0"/>
    <w:rPr>
      <w:rFonts w:ascii="宋体" w:hAnsi="宋体" w:cs="宋体"/>
      <w:szCs w:val="24"/>
    </w:rPr>
  </w:style>
  <w:style w:type="paragraph" w:customStyle="1" w:styleId="946">
    <w:name w:val="Char Char Char1 Char1 Char Char Char1"/>
    <w:basedOn w:val="1"/>
    <w:uiPriority w:val="0"/>
    <w:rPr>
      <w:szCs w:val="24"/>
    </w:rPr>
  </w:style>
  <w:style w:type="paragraph" w:customStyle="1" w:styleId="947">
    <w:name w:val="Char Char Char1 Char Char Char Char Char Char Char Char Char Char Char Char Char Char Char Char Char Char Char Char Char Char Char Char Char Char Char Char Char Char Char Char Char Char2"/>
    <w:basedOn w:val="1"/>
    <w:uiPriority w:val="0"/>
    <w:pPr>
      <w:snapToGrid w:val="0"/>
      <w:spacing w:line="440" w:lineRule="exact"/>
    </w:pPr>
    <w:rPr>
      <w:szCs w:val="24"/>
    </w:rPr>
  </w:style>
  <w:style w:type="paragraph" w:customStyle="1" w:styleId="948">
    <w:name w:val="Char Char Char Char Char Char1 Char1"/>
    <w:basedOn w:val="1"/>
    <w:uiPriority w:val="0"/>
    <w:rPr>
      <w:rFonts w:ascii="宋体" w:hAnsi="宋体" w:cs="宋体"/>
      <w:szCs w:val="24"/>
    </w:rPr>
  </w:style>
  <w:style w:type="paragraph" w:customStyle="1" w:styleId="949">
    <w:name w:val="Char Char Char Char3"/>
    <w:basedOn w:val="1"/>
    <w:uiPriority w:val="0"/>
    <w:rPr>
      <w:rFonts w:ascii="宋体" w:cs="宋体"/>
      <w:szCs w:val="21"/>
    </w:rPr>
  </w:style>
  <w:style w:type="paragraph" w:customStyle="1" w:styleId="950">
    <w:name w:val="Char22"/>
    <w:basedOn w:val="1"/>
    <w:uiPriority w:val="0"/>
    <w:rPr>
      <w:b/>
      <w:sz w:val="28"/>
      <w:szCs w:val="24"/>
    </w:rPr>
  </w:style>
  <w:style w:type="paragraph" w:customStyle="1" w:styleId="951">
    <w:name w:val="Char Char Char Char Char Char1 Char Char Char1 Char Char Char Char Char Char Char2"/>
    <w:basedOn w:val="1"/>
    <w:uiPriority w:val="0"/>
    <w:rPr>
      <w:rFonts w:ascii="宋体" w:hAnsi="宋体" w:cs="宋体"/>
      <w:szCs w:val="24"/>
    </w:rPr>
  </w:style>
  <w:style w:type="paragraph" w:customStyle="1" w:styleId="952">
    <w:name w:val="Char Char Char1 Char Char Char Char Char Char Char Char Char Char1"/>
    <w:basedOn w:val="1"/>
    <w:uiPriority w:val="0"/>
    <w:pPr>
      <w:snapToGrid w:val="0"/>
    </w:pPr>
    <w:rPr>
      <w:rFonts w:ascii="Arial" w:hAnsi="Arial" w:cs="Arial"/>
      <w:szCs w:val="21"/>
    </w:rPr>
  </w:style>
  <w:style w:type="paragraph" w:customStyle="1" w:styleId="953">
    <w:name w:val="Char Char Char Char Char Char1 Char Char Char11"/>
    <w:basedOn w:val="1"/>
    <w:uiPriority w:val="0"/>
    <w:rPr>
      <w:rFonts w:ascii="宋体" w:hAnsi="宋体" w:cs="宋体"/>
      <w:szCs w:val="24"/>
    </w:rPr>
  </w:style>
  <w:style w:type="paragraph" w:customStyle="1" w:styleId="954">
    <w:name w:val="Char Char Char Char Char Char3 Char Char Char Char Char Char1"/>
    <w:basedOn w:val="1"/>
    <w:uiPriority w:val="0"/>
    <w:rPr>
      <w:rFonts w:ascii="宋体" w:hAnsi="宋体" w:cs="宋体"/>
      <w:szCs w:val="24"/>
    </w:rPr>
  </w:style>
  <w:style w:type="paragraph" w:customStyle="1" w:styleId="955">
    <w:name w:val="Char Char Char Char Char Char11"/>
    <w:basedOn w:val="1"/>
    <w:uiPriority w:val="0"/>
    <w:rPr>
      <w:rFonts w:ascii="宋体" w:hAnsi="宋体" w:cs="宋体"/>
      <w:szCs w:val="24"/>
    </w:rPr>
  </w:style>
  <w:style w:type="paragraph" w:customStyle="1" w:styleId="956">
    <w:name w:val="Char Char Char Char Char Char Char Char Char Char2"/>
    <w:basedOn w:val="1"/>
    <w:uiPriority w:val="0"/>
    <w:rPr>
      <w:rFonts w:ascii="宋体" w:hAnsi="宋体" w:cs="宋体"/>
      <w:szCs w:val="24"/>
    </w:rPr>
  </w:style>
  <w:style w:type="paragraph" w:customStyle="1" w:styleId="957">
    <w:name w:val="_Style 106"/>
    <w:basedOn w:val="19"/>
    <w:uiPriority w:val="0"/>
    <w:pPr>
      <w:shd w:val="clear" w:color="auto" w:fill="000080"/>
      <w:adjustRightInd w:val="0"/>
      <w:spacing w:line="436" w:lineRule="exact"/>
      <w:ind w:left="357" w:firstLine="0" w:firstLineChars="0"/>
      <w:jc w:val="left"/>
      <w:outlineLvl w:val="3"/>
    </w:pPr>
    <w:rPr>
      <w:rFonts w:ascii="Tahoma" w:hAnsi="Tahoma"/>
      <w:b/>
      <w:sz w:val="24"/>
      <w:szCs w:val="28"/>
    </w:rPr>
  </w:style>
  <w:style w:type="character" w:customStyle="1" w:styleId="958">
    <w:name w:val="样式 宋体 小四 黑色"/>
    <w:uiPriority w:val="0"/>
    <w:rPr>
      <w:rFonts w:ascii="Times New Roman" w:hAnsi="Times New Roman" w:eastAsia="宋体"/>
      <w:color w:val="000000"/>
      <w:sz w:val="24"/>
    </w:rPr>
  </w:style>
  <w:style w:type="paragraph" w:customStyle="1" w:styleId="959">
    <w:name w:val="样式 正文首行缩进 + 首行缩进:  1 字符"/>
    <w:link w:val="960"/>
    <w:uiPriority w:val="0"/>
    <w:pPr>
      <w:adjustRightInd w:val="0"/>
      <w:spacing w:line="360" w:lineRule="auto"/>
      <w:ind w:firstLine="100" w:firstLineChars="200"/>
      <w:textAlignment w:val="baseline"/>
    </w:pPr>
    <w:rPr>
      <w:rFonts w:ascii="Times New Roman" w:hAnsi="Times New Roman" w:eastAsia="宋体" w:cs="宋体"/>
      <w:sz w:val="24"/>
      <w:lang w:val="en-US" w:eastAsia="zh-CN" w:bidi="ar-SA"/>
    </w:rPr>
  </w:style>
  <w:style w:type="character" w:customStyle="1" w:styleId="960">
    <w:name w:val="样式 正文首行缩进 + 首行缩进:  1 字符 Char"/>
    <w:link w:val="959"/>
    <w:uiPriority w:val="0"/>
    <w:rPr>
      <w:rFonts w:ascii="Times New Roman" w:hAnsi="Times New Roman" w:cs="宋体"/>
      <w:sz w:val="24"/>
    </w:rPr>
  </w:style>
  <w:style w:type="character" w:customStyle="1" w:styleId="961">
    <w:name w:val="正文文本缩进 Char1"/>
    <w:semiHidden/>
    <w:uiPriority w:val="99"/>
    <w:rPr>
      <w:rFonts w:ascii="Times New Roman" w:hAnsi="Times New Roman" w:eastAsia="宋体" w:cs="Times New Roman"/>
      <w:sz w:val="24"/>
      <w:szCs w:val="28"/>
    </w:rPr>
  </w:style>
  <w:style w:type="character" w:customStyle="1" w:styleId="962">
    <w:name w:val="正文文本 2 Char1"/>
    <w:semiHidden/>
    <w:uiPriority w:val="99"/>
    <w:rPr>
      <w:rFonts w:ascii="Times New Roman" w:hAnsi="Times New Roman" w:eastAsia="宋体" w:cs="Times New Roman"/>
      <w:sz w:val="24"/>
      <w:szCs w:val="28"/>
    </w:rPr>
  </w:style>
  <w:style w:type="paragraph" w:customStyle="1" w:styleId="963">
    <w:name w:val="msonospacing"/>
    <w:uiPriority w:val="0"/>
    <w:pPr>
      <w:widowControl w:val="0"/>
      <w:ind w:firstLine="200" w:firstLineChars="200"/>
      <w:jc w:val="both"/>
    </w:pPr>
    <w:rPr>
      <w:rFonts w:ascii="Times New Roman" w:hAnsi="Times New Roman" w:eastAsia="宋体" w:cs="Times New Roman"/>
      <w:kern w:val="2"/>
      <w:sz w:val="24"/>
      <w:szCs w:val="28"/>
      <w:lang w:val="en-US" w:eastAsia="zh-CN" w:bidi="ar-SA"/>
    </w:rPr>
  </w:style>
  <w:style w:type="paragraph" w:customStyle="1" w:styleId="964">
    <w:name w:val="msolistparagraph"/>
    <w:basedOn w:val="1"/>
    <w:uiPriority w:val="0"/>
    <w:pPr>
      <w:ind w:firstLine="420"/>
    </w:pPr>
    <w:rPr>
      <w:szCs w:val="28"/>
    </w:rPr>
  </w:style>
  <w:style w:type="paragraph" w:customStyle="1" w:styleId="965">
    <w:name w:val="msoquote"/>
    <w:basedOn w:val="1"/>
    <w:next w:val="1"/>
    <w:uiPriority w:val="0"/>
    <w:rPr>
      <w:i/>
      <w:iCs/>
      <w:color w:val="000000"/>
      <w:szCs w:val="28"/>
    </w:rPr>
  </w:style>
  <w:style w:type="paragraph" w:customStyle="1" w:styleId="966">
    <w:name w:val="msotocheading"/>
    <w:basedOn w:val="2"/>
    <w:next w:val="1"/>
    <w:uiPriority w:val="0"/>
    <w:pPr>
      <w:widowControl/>
      <w:spacing w:before="480" w:line="276" w:lineRule="auto"/>
      <w:ind w:left="240" w:leftChars="100" w:right="240" w:rightChars="100"/>
      <w:jc w:val="left"/>
      <w:outlineLvl w:val="9"/>
    </w:pPr>
    <w:rPr>
      <w:rFonts w:ascii="Cambria" w:hAnsi="Cambria"/>
      <w:b/>
      <w:color w:val="365F91"/>
      <w:kern w:val="0"/>
      <w:sz w:val="28"/>
      <w:szCs w:val="28"/>
    </w:rPr>
  </w:style>
  <w:style w:type="character" w:customStyle="1" w:styleId="967">
    <w:name w:val="样式2 Char"/>
    <w:link w:val="235"/>
    <w:locked/>
    <w:uiPriority w:val="0"/>
    <w:rPr>
      <w:rFonts w:ascii="Times New Roman" w:hAnsi="Times New Roman" w:eastAsia="华文中宋"/>
      <w:b/>
      <w:bCs/>
      <w:kern w:val="2"/>
      <w:sz w:val="28"/>
      <w:szCs w:val="28"/>
    </w:rPr>
  </w:style>
  <w:style w:type="paragraph" w:customStyle="1" w:styleId="968">
    <w:name w:val="正文用"/>
    <w:basedOn w:val="1"/>
    <w:uiPriority w:val="0"/>
    <w:rPr>
      <w:rFonts w:ascii="Times" w:hAnsi="Times"/>
      <w:color w:val="000000"/>
      <w:sz w:val="28"/>
      <w:szCs w:val="24"/>
    </w:rPr>
  </w:style>
  <w:style w:type="paragraph" w:customStyle="1" w:styleId="969">
    <w:name w:val="高庆平正文"/>
    <w:basedOn w:val="1"/>
    <w:uiPriority w:val="0"/>
    <w:pPr>
      <w:spacing w:line="240" w:lineRule="auto"/>
      <w:ind w:firstLine="567" w:firstLineChars="0"/>
    </w:pPr>
    <w:rPr>
      <w:sz w:val="28"/>
      <w:szCs w:val="24"/>
    </w:rPr>
  </w:style>
  <w:style w:type="character" w:customStyle="1" w:styleId="970">
    <w:name w:val="高庆平标题1. Char"/>
    <w:link w:val="971"/>
    <w:locked/>
    <w:uiPriority w:val="0"/>
    <w:rPr>
      <w:rFonts w:eastAsia="楷体_GB2312"/>
      <w:bCs/>
      <w:sz w:val="28"/>
      <w:szCs w:val="28"/>
    </w:rPr>
  </w:style>
  <w:style w:type="paragraph" w:customStyle="1" w:styleId="971">
    <w:name w:val="高庆平标题1."/>
    <w:basedOn w:val="5"/>
    <w:link w:val="970"/>
    <w:uiPriority w:val="0"/>
    <w:pPr>
      <w:keepNext w:val="0"/>
      <w:keepLines w:val="0"/>
      <w:spacing w:before="0" w:beforeLines="30" w:after="0" w:line="240" w:lineRule="auto"/>
      <w:ind w:firstLine="567" w:firstLineChars="0"/>
      <w:jc w:val="left"/>
    </w:pPr>
    <w:rPr>
      <w:rFonts w:ascii="Calibri" w:hAnsi="Calibri" w:eastAsia="楷体_GB2312"/>
      <w:b w:val="0"/>
      <w:kern w:val="0"/>
    </w:rPr>
  </w:style>
  <w:style w:type="paragraph" w:customStyle="1" w:styleId="972">
    <w:name w:val="declear"/>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973">
    <w:name w:val="高庆平表"/>
    <w:basedOn w:val="1"/>
    <w:uiPriority w:val="0"/>
    <w:pPr>
      <w:snapToGrid w:val="0"/>
      <w:spacing w:line="240" w:lineRule="auto"/>
      <w:ind w:firstLine="0" w:firstLineChars="0"/>
      <w:jc w:val="center"/>
    </w:pPr>
    <w:rPr>
      <w:sz w:val="21"/>
      <w:szCs w:val="24"/>
    </w:rPr>
  </w:style>
  <w:style w:type="paragraph" w:customStyle="1" w:styleId="974">
    <w:name w:val="Char Char Char Char Char Char Char Char"/>
    <w:basedOn w:val="1"/>
    <w:uiPriority w:val="0"/>
    <w:pPr>
      <w:spacing w:line="240" w:lineRule="auto"/>
      <w:ind w:firstLine="0" w:firstLineChars="0"/>
    </w:pPr>
    <w:rPr>
      <w:rFonts w:eastAsia="仿宋_GB2312"/>
      <w:sz w:val="32"/>
      <w:szCs w:val="32"/>
    </w:rPr>
  </w:style>
  <w:style w:type="character" w:customStyle="1" w:styleId="975">
    <w:name w:val="title11"/>
    <w:uiPriority w:val="0"/>
  </w:style>
  <w:style w:type="paragraph" w:customStyle="1" w:styleId="976">
    <w:name w:val="4 Char"/>
    <w:basedOn w:val="1"/>
    <w:uiPriority w:val="0"/>
    <w:pPr>
      <w:spacing w:line="240" w:lineRule="auto"/>
      <w:ind w:firstLine="0" w:firstLineChars="0"/>
    </w:pPr>
    <w:rPr>
      <w:rFonts w:eastAsia="仿宋_GB2312"/>
      <w:sz w:val="32"/>
      <w:szCs w:val="32"/>
    </w:rPr>
  </w:style>
  <w:style w:type="paragraph" w:customStyle="1" w:styleId="977">
    <w:name w:val="Char Char Char1 Char Char Char Char Char Char Char Char Char Char Char Char Char Char Char Char Char Char Char Char Char Char Char Char Char Char Char Char Char Char Char Char Char Char Char Char Char"/>
    <w:basedOn w:val="1"/>
    <w:uiPriority w:val="0"/>
    <w:pPr>
      <w:snapToGrid w:val="0"/>
      <w:spacing w:line="440" w:lineRule="exact"/>
    </w:pPr>
    <w:rPr>
      <w:szCs w:val="24"/>
    </w:rPr>
  </w:style>
  <w:style w:type="character" w:customStyle="1" w:styleId="978">
    <w:name w:val="二章正文 Char Char Char Char"/>
    <w:uiPriority w:val="0"/>
    <w:rPr>
      <w:color w:val="000000"/>
      <w:spacing w:val="10"/>
      <w:kern w:val="2"/>
      <w:sz w:val="24"/>
      <w:szCs w:val="24"/>
    </w:rPr>
  </w:style>
  <w:style w:type="paragraph" w:customStyle="1" w:styleId="979">
    <w:name w:val="(页眉)天科"/>
    <w:uiPriority w:val="0"/>
    <w:rPr>
      <w:rFonts w:ascii="Arial" w:hAnsi="Arial" w:eastAsia="仿宋_GB2312" w:cs="Times New Roman"/>
      <w:sz w:val="21"/>
      <w:lang w:val="en-US" w:eastAsia="zh-CN" w:bidi="ar-SA"/>
    </w:rPr>
  </w:style>
  <w:style w:type="paragraph" w:customStyle="1" w:styleId="980">
    <w:name w:val="wj样式"/>
    <w:basedOn w:val="1"/>
    <w:next w:val="1"/>
    <w:uiPriority w:val="0"/>
    <w:pPr>
      <w:widowControl/>
      <w:spacing w:line="240" w:lineRule="auto"/>
      <w:ind w:firstLine="0" w:firstLineChars="0"/>
      <w:jc w:val="left"/>
    </w:pPr>
    <w:rPr>
      <w:rFonts w:ascii="宋体" w:hAnsi="宋体" w:cs="宋体"/>
      <w:spacing w:val="14"/>
      <w:szCs w:val="24"/>
    </w:rPr>
  </w:style>
  <w:style w:type="paragraph" w:customStyle="1" w:styleId="981">
    <w:name w:val="页脚(科宏)"/>
    <w:uiPriority w:val="0"/>
    <w:pPr>
      <w:jc w:val="center"/>
    </w:pPr>
    <w:rPr>
      <w:rFonts w:ascii="Arial" w:hAnsi="Arial" w:eastAsia="仿宋_GB2312" w:cs="Times New Roman"/>
      <w:sz w:val="21"/>
      <w:lang w:val="en-US" w:eastAsia="zh-CN" w:bidi="ar-SA"/>
    </w:rPr>
  </w:style>
  <w:style w:type="paragraph" w:customStyle="1" w:styleId="982">
    <w:name w:val="王勇"/>
    <w:basedOn w:val="1"/>
    <w:link w:val="989"/>
    <w:uiPriority w:val="0"/>
    <w:pPr>
      <w:widowControl/>
      <w:spacing w:line="240" w:lineRule="auto"/>
      <w:ind w:firstLine="0" w:firstLineChars="0"/>
      <w:jc w:val="left"/>
    </w:pPr>
    <w:rPr>
      <w:rFonts w:ascii="宋体" w:hAnsi="宋体" w:cs="宋体"/>
      <w:szCs w:val="24"/>
    </w:rPr>
  </w:style>
  <w:style w:type="paragraph" w:customStyle="1" w:styleId="983">
    <w:name w:val="表格文字"/>
    <w:basedOn w:val="1"/>
    <w:link w:val="1097"/>
    <w:qFormat/>
    <w:uiPriority w:val="0"/>
    <w:pPr>
      <w:widowControl/>
      <w:adjustRightInd w:val="0"/>
      <w:snapToGrid w:val="0"/>
      <w:spacing w:line="240" w:lineRule="auto"/>
      <w:ind w:firstLine="0" w:firstLineChars="0"/>
      <w:jc w:val="center"/>
    </w:pPr>
    <w:rPr>
      <w:rFonts w:ascii="Arial" w:hAnsi="Arial" w:eastAsia="仿宋_GB2312" w:cs="Arial"/>
      <w:color w:val="000000"/>
      <w:spacing w:val="-20"/>
      <w:szCs w:val="24"/>
    </w:rPr>
  </w:style>
  <w:style w:type="paragraph" w:customStyle="1" w:styleId="984">
    <w:name w:val="w3"/>
    <w:basedOn w:val="1"/>
    <w:uiPriority w:val="0"/>
    <w:pPr>
      <w:widowControl/>
      <w:ind w:firstLine="480"/>
      <w:jc w:val="left"/>
    </w:pPr>
    <w:rPr>
      <w:rFonts w:ascii="宋体" w:hAnsi="Calibri" w:eastAsia="仿宋_GB2312" w:cs="宋体"/>
    </w:rPr>
  </w:style>
  <w:style w:type="paragraph" w:customStyle="1" w:styleId="985">
    <w:name w:val="(页眉)科宏"/>
    <w:uiPriority w:val="0"/>
    <w:rPr>
      <w:rFonts w:ascii="Arial" w:hAnsi="Arial" w:eastAsia="仿宋_GB2312" w:cs="Times New Roman"/>
      <w:sz w:val="21"/>
      <w:lang w:val="en-US" w:eastAsia="zh-CN" w:bidi="ar-SA"/>
    </w:rPr>
  </w:style>
  <w:style w:type="paragraph" w:customStyle="1" w:styleId="986">
    <w:name w:val="图表名"/>
    <w:basedOn w:val="1"/>
    <w:next w:val="1"/>
    <w:uiPriority w:val="0"/>
    <w:pPr>
      <w:widowControl/>
      <w:adjustRightInd w:val="0"/>
      <w:snapToGrid w:val="0"/>
      <w:spacing w:line="240" w:lineRule="auto"/>
      <w:ind w:left="96" w:right="-80" w:rightChars="-38" w:firstLine="48" w:firstLineChars="0"/>
      <w:jc w:val="center"/>
    </w:pPr>
    <w:rPr>
      <w:rFonts w:ascii="Arial" w:hAnsi="Arial" w:eastAsia="仿宋_GB2312" w:cs="Arial"/>
      <w:szCs w:val="24"/>
    </w:rPr>
  </w:style>
  <w:style w:type="paragraph" w:customStyle="1" w:styleId="987">
    <w:name w:val="本册报告名称"/>
    <w:basedOn w:val="1"/>
    <w:uiPriority w:val="0"/>
    <w:pPr>
      <w:widowControl/>
      <w:adjustRightInd w:val="0"/>
      <w:snapToGrid w:val="0"/>
      <w:ind w:firstLine="0" w:firstLineChars="0"/>
      <w:jc w:val="center"/>
    </w:pPr>
    <w:rPr>
      <w:rFonts w:ascii="文鼎大标宋简" w:hAnsi="宋体" w:eastAsia="文鼎大标宋简" w:cs="宋体"/>
      <w:kern w:val="0"/>
      <w:sz w:val="48"/>
      <w:szCs w:val="20"/>
    </w:rPr>
  </w:style>
  <w:style w:type="character" w:customStyle="1" w:styleId="988">
    <w:name w:val="样式9 Char"/>
    <w:link w:val="230"/>
    <w:qFormat/>
    <w:uiPriority w:val="0"/>
    <w:rPr>
      <w:rFonts w:ascii="Times New Roman" w:hAnsi="Times New Roman"/>
      <w:kern w:val="2"/>
      <w:sz w:val="24"/>
      <w:szCs w:val="24"/>
    </w:rPr>
  </w:style>
  <w:style w:type="character" w:customStyle="1" w:styleId="989">
    <w:name w:val="王勇 Char"/>
    <w:link w:val="982"/>
    <w:qFormat/>
    <w:uiPriority w:val="0"/>
    <w:rPr>
      <w:rFonts w:ascii="宋体" w:hAnsi="宋体" w:cs="宋体"/>
      <w:kern w:val="2"/>
      <w:sz w:val="24"/>
      <w:szCs w:val="24"/>
    </w:rPr>
  </w:style>
  <w:style w:type="character" w:customStyle="1" w:styleId="990">
    <w:name w:val="目录 2 Char"/>
    <w:link w:val="48"/>
    <w:qFormat/>
    <w:uiPriority w:val="39"/>
    <w:rPr>
      <w:smallCaps/>
      <w:kern w:val="2"/>
    </w:rPr>
  </w:style>
  <w:style w:type="paragraph" w:customStyle="1" w:styleId="991">
    <w:name w:val="y正文"/>
    <w:qFormat/>
    <w:uiPriority w:val="99"/>
    <w:pPr>
      <w:spacing w:line="360" w:lineRule="auto"/>
      <w:ind w:firstLine="480" w:firstLineChars="200"/>
      <w:jc w:val="both"/>
    </w:pPr>
    <w:rPr>
      <w:rFonts w:ascii="Times New Roman" w:hAnsi="Times New Roman" w:eastAsia="宋体" w:cs="Times New Roman"/>
      <w:kern w:val="2"/>
      <w:sz w:val="24"/>
      <w:lang w:val="en-US" w:eastAsia="zh-CN" w:bidi="ar-SA"/>
    </w:rPr>
  </w:style>
  <w:style w:type="character" w:customStyle="1" w:styleId="992">
    <w:name w:val="样式 样式 小四 蓝色 行距: 固定值 30 磅 + 行距: 1.5 倍行距 Char Char"/>
    <w:qFormat/>
    <w:uiPriority w:val="0"/>
    <w:rPr>
      <w:rFonts w:cs="宋体"/>
      <w:color w:val="0000FF"/>
      <w:kern w:val="2"/>
      <w:sz w:val="24"/>
    </w:rPr>
  </w:style>
  <w:style w:type="character" w:customStyle="1" w:styleId="993">
    <w:name w:val="样式4 Char7"/>
    <w:qFormat/>
    <w:uiPriority w:val="0"/>
    <w:rPr>
      <w:rFonts w:ascii="Times New Roman" w:hAnsi="Times New Roman"/>
      <w:kern w:val="2"/>
      <w:sz w:val="24"/>
      <w:szCs w:val="24"/>
    </w:rPr>
  </w:style>
  <w:style w:type="paragraph" w:customStyle="1" w:styleId="994">
    <w:name w:val="四号正文"/>
    <w:basedOn w:val="1"/>
    <w:link w:val="995"/>
    <w:qFormat/>
    <w:uiPriority w:val="0"/>
    <w:pPr>
      <w:spacing w:line="560" w:lineRule="exact"/>
    </w:pPr>
    <w:rPr>
      <w:rFonts w:ascii="仿宋_GB2312" w:hAnsi="仿宋_GB2312"/>
      <w:sz w:val="28"/>
      <w:szCs w:val="20"/>
    </w:rPr>
  </w:style>
  <w:style w:type="character" w:customStyle="1" w:styleId="995">
    <w:name w:val="四号正文 Char"/>
    <w:link w:val="994"/>
    <w:qFormat/>
    <w:uiPriority w:val="0"/>
    <w:rPr>
      <w:rFonts w:ascii="仿宋_GB2312" w:hAnsi="仿宋_GB2312"/>
      <w:kern w:val="2"/>
      <w:sz w:val="28"/>
    </w:rPr>
  </w:style>
  <w:style w:type="character" w:customStyle="1" w:styleId="996">
    <w:name w:val="样式7 Char2"/>
    <w:link w:val="265"/>
    <w:qFormat/>
    <w:uiPriority w:val="0"/>
    <w:rPr>
      <w:rFonts w:ascii="Times New Roman" w:hAnsi="Times New Roman"/>
      <w:kern w:val="2"/>
      <w:sz w:val="21"/>
      <w:szCs w:val="21"/>
    </w:rPr>
  </w:style>
  <w:style w:type="character" w:customStyle="1" w:styleId="997">
    <w:name w:val="样式10 Char3"/>
    <w:qFormat/>
    <w:uiPriority w:val="0"/>
    <w:rPr>
      <w:rFonts w:ascii="Times New Roman" w:hAnsi="Times New Roman" w:eastAsia="华文中宋"/>
      <w:kern w:val="2"/>
      <w:sz w:val="24"/>
      <w:szCs w:val="24"/>
    </w:rPr>
  </w:style>
  <w:style w:type="character" w:customStyle="1" w:styleId="998">
    <w:name w:val="表头 Char1"/>
    <w:qFormat/>
    <w:uiPriority w:val="0"/>
    <w:rPr>
      <w:rFonts w:ascii="宋体" w:hAnsi="宋体" w:eastAsia="宋体"/>
      <w:b/>
      <w:bCs/>
      <w:kern w:val="2"/>
      <w:sz w:val="24"/>
      <w:szCs w:val="21"/>
      <w:lang w:val="en-US" w:eastAsia="zh-CN" w:bidi="ar-SA"/>
    </w:rPr>
  </w:style>
  <w:style w:type="character" w:customStyle="1" w:styleId="999">
    <w:name w:val="样式4 Char3"/>
    <w:qFormat/>
    <w:uiPriority w:val="0"/>
    <w:rPr>
      <w:rFonts w:eastAsia="宋体"/>
      <w:kern w:val="2"/>
      <w:sz w:val="24"/>
      <w:szCs w:val="24"/>
      <w:lang w:val="en-US" w:eastAsia="zh-CN" w:bidi="ar-SA"/>
    </w:rPr>
  </w:style>
  <w:style w:type="paragraph" w:customStyle="1" w:styleId="1000">
    <w:name w:val="已访问的超级链接"/>
    <w:qFormat/>
    <w:uiPriority w:val="99"/>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001">
    <w:name w:val="日期3"/>
    <w:basedOn w:val="1"/>
    <w:next w:val="1"/>
    <w:qFormat/>
    <w:uiPriority w:val="0"/>
    <w:pPr>
      <w:adjustRightInd w:val="0"/>
      <w:spacing w:after="100" w:afterAutospacing="1"/>
      <w:textAlignment w:val="baseline"/>
    </w:pPr>
    <w:rPr>
      <w:snapToGrid w:val="0"/>
      <w:szCs w:val="20"/>
    </w:rPr>
  </w:style>
  <w:style w:type="paragraph" w:customStyle="1" w:styleId="1002">
    <w:name w:val="正文文本缩进 23"/>
    <w:basedOn w:val="1"/>
    <w:qFormat/>
    <w:uiPriority w:val="0"/>
    <w:pPr>
      <w:adjustRightInd w:val="0"/>
      <w:spacing w:line="312" w:lineRule="auto"/>
      <w:ind w:firstLine="570"/>
      <w:textAlignment w:val="baseline"/>
    </w:pPr>
    <w:rPr>
      <w:szCs w:val="20"/>
    </w:rPr>
  </w:style>
  <w:style w:type="paragraph" w:customStyle="1" w:styleId="1003">
    <w:name w:val="1.1"/>
    <w:basedOn w:val="1"/>
    <w:qFormat/>
    <w:uiPriority w:val="0"/>
    <w:pPr>
      <w:spacing w:before="156" w:beforeLines="50" w:after="156" w:afterLines="50" w:line="480" w:lineRule="exact"/>
      <w:jc w:val="left"/>
      <w:outlineLvl w:val="0"/>
    </w:pPr>
    <w:rPr>
      <w:rFonts w:eastAsia="黑体"/>
      <w:b/>
      <w:bCs/>
      <w:sz w:val="30"/>
      <w:szCs w:val="30"/>
    </w:rPr>
  </w:style>
  <w:style w:type="paragraph" w:customStyle="1" w:styleId="1004">
    <w:name w:val="章标题"/>
    <w:next w:val="2"/>
    <w:qFormat/>
    <w:uiPriority w:val="0"/>
    <w:pPr>
      <w:spacing w:before="312" w:beforeLines="100" w:after="312" w:afterLines="100"/>
      <w:jc w:val="center"/>
      <w:outlineLvl w:val="0"/>
    </w:pPr>
    <w:rPr>
      <w:rFonts w:ascii="Times New Roman" w:hAnsi="Times New Roman" w:eastAsia="黑体" w:cs="Times New Roman"/>
      <w:kern w:val="2"/>
      <w:sz w:val="44"/>
      <w:szCs w:val="24"/>
      <w:lang w:val="en-US" w:eastAsia="zh-CN" w:bidi="ar-SA"/>
    </w:rPr>
  </w:style>
  <w:style w:type="paragraph" w:customStyle="1" w:styleId="1005">
    <w:name w:val="正文文本 21"/>
    <w:basedOn w:val="1"/>
    <w:qFormat/>
    <w:uiPriority w:val="0"/>
    <w:pPr>
      <w:adjustRightInd w:val="0"/>
      <w:ind w:firstLine="540"/>
      <w:jc w:val="left"/>
      <w:textAlignment w:val="baseline"/>
    </w:pPr>
    <w:rPr>
      <w:rFonts w:ascii="宋体"/>
      <w:szCs w:val="20"/>
    </w:rPr>
  </w:style>
  <w:style w:type="paragraph" w:customStyle="1" w:styleId="1006">
    <w:name w:val="批注框文本3"/>
    <w:basedOn w:val="1"/>
    <w:qFormat/>
    <w:uiPriority w:val="0"/>
    <w:pPr>
      <w:snapToGrid w:val="0"/>
      <w:spacing w:before="156" w:beforeLines="50"/>
    </w:pPr>
    <w:rPr>
      <w:sz w:val="18"/>
      <w:szCs w:val="18"/>
    </w:rPr>
  </w:style>
  <w:style w:type="paragraph" w:customStyle="1" w:styleId="1007">
    <w:name w:val="1.1.1"/>
    <w:basedOn w:val="1"/>
    <w:qFormat/>
    <w:uiPriority w:val="0"/>
    <w:pPr>
      <w:spacing w:before="156" w:beforeLines="50" w:line="500" w:lineRule="atLeast"/>
    </w:pPr>
    <w:rPr>
      <w:rFonts w:eastAsia="黑体"/>
      <w:b/>
      <w:bCs/>
      <w:szCs w:val="28"/>
    </w:rPr>
  </w:style>
  <w:style w:type="paragraph" w:customStyle="1" w:styleId="1008">
    <w:name w:val="1.1.1.1"/>
    <w:basedOn w:val="1"/>
    <w:qFormat/>
    <w:uiPriority w:val="0"/>
    <w:pPr>
      <w:spacing w:line="500" w:lineRule="atLeast"/>
    </w:pPr>
    <w:rPr>
      <w:b/>
      <w:bCs/>
      <w:szCs w:val="24"/>
    </w:rPr>
  </w:style>
  <w:style w:type="paragraph" w:customStyle="1" w:styleId="1009">
    <w:name w:val="纯文本3"/>
    <w:basedOn w:val="1"/>
    <w:qFormat/>
    <w:uiPriority w:val="0"/>
    <w:pPr>
      <w:adjustRightInd w:val="0"/>
      <w:textAlignment w:val="baseline"/>
    </w:pPr>
    <w:rPr>
      <w:rFonts w:ascii="宋体" w:hAnsi="Courier New"/>
      <w:szCs w:val="20"/>
    </w:rPr>
  </w:style>
  <w:style w:type="paragraph" w:customStyle="1" w:styleId="1010">
    <w:name w:val="表格自用名称"/>
    <w:basedOn w:val="1"/>
    <w:next w:val="1"/>
    <w:qFormat/>
    <w:uiPriority w:val="0"/>
    <w:pPr>
      <w:widowControl/>
      <w:autoSpaceDE w:val="0"/>
      <w:autoSpaceDN w:val="0"/>
      <w:adjustRightInd w:val="0"/>
      <w:snapToGrid w:val="0"/>
      <w:ind w:firstLine="0" w:firstLineChars="0"/>
      <w:jc w:val="center"/>
    </w:pPr>
    <w:rPr>
      <w:rFonts w:ascii="宋体" w:hAnsi="宋体" w:eastAsia="黑体"/>
      <w:snapToGrid w:val="0"/>
      <w:kern w:val="0"/>
      <w:sz w:val="21"/>
      <w:szCs w:val="24"/>
    </w:rPr>
  </w:style>
  <w:style w:type="table" w:customStyle="1" w:styleId="1011">
    <w:name w:val="网格型1"/>
    <w:basedOn w:val="6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2">
    <w:name w:val="样式 样式9 + 黑色 Char"/>
    <w:qFormat/>
    <w:uiPriority w:val="0"/>
    <w:rPr>
      <w:rFonts w:eastAsia="黑体"/>
      <w:color w:val="000000"/>
      <w:kern w:val="2"/>
      <w:sz w:val="28"/>
      <w:szCs w:val="28"/>
      <w:lang w:val="en-US" w:eastAsia="zh-CN" w:bidi="ar-SA"/>
    </w:rPr>
  </w:style>
  <w:style w:type="character" w:customStyle="1" w:styleId="1013">
    <w:name w:val="hei141"/>
    <w:qFormat/>
    <w:uiPriority w:val="0"/>
    <w:rPr>
      <w:color w:val="000000"/>
      <w:sz w:val="21"/>
      <w:szCs w:val="21"/>
    </w:rPr>
  </w:style>
  <w:style w:type="character" w:customStyle="1" w:styleId="1014">
    <w:name w:val="正文文本l Char Char"/>
    <w:link w:val="1015"/>
    <w:qFormat/>
    <w:uiPriority w:val="0"/>
    <w:rPr>
      <w:kern w:val="2"/>
      <w:sz w:val="24"/>
      <w:szCs w:val="21"/>
    </w:rPr>
  </w:style>
  <w:style w:type="paragraph" w:customStyle="1" w:styleId="1015">
    <w:name w:val="正文文本l"/>
    <w:basedOn w:val="1"/>
    <w:link w:val="1014"/>
    <w:qFormat/>
    <w:uiPriority w:val="0"/>
    <w:pPr>
      <w:jc w:val="left"/>
    </w:pPr>
    <w:rPr>
      <w:rFonts w:ascii="Calibri" w:hAnsi="Calibri"/>
      <w:szCs w:val="21"/>
    </w:rPr>
  </w:style>
  <w:style w:type="paragraph" w:customStyle="1" w:styleId="1016">
    <w:name w:val="朗达河正文"/>
    <w:basedOn w:val="1"/>
    <w:qFormat/>
    <w:uiPriority w:val="0"/>
    <w:pPr>
      <w:adjustRightInd w:val="0"/>
      <w:snapToGrid w:val="0"/>
    </w:pPr>
    <w:rPr>
      <w:rFonts w:cs="宋体"/>
      <w:szCs w:val="20"/>
    </w:rPr>
  </w:style>
  <w:style w:type="character" w:customStyle="1" w:styleId="1017">
    <w:name w:val="表头l Char Char"/>
    <w:link w:val="1018"/>
    <w:qFormat/>
    <w:uiPriority w:val="0"/>
    <w:rPr>
      <w:rFonts w:eastAsia="黑体"/>
      <w:b/>
      <w:kern w:val="2"/>
      <w:sz w:val="21"/>
      <w:szCs w:val="21"/>
    </w:rPr>
  </w:style>
  <w:style w:type="paragraph" w:customStyle="1" w:styleId="1018">
    <w:name w:val="表头l"/>
    <w:basedOn w:val="1"/>
    <w:link w:val="1017"/>
    <w:qFormat/>
    <w:uiPriority w:val="0"/>
    <w:pPr>
      <w:ind w:firstLine="0" w:firstLineChars="0"/>
      <w:jc w:val="center"/>
    </w:pPr>
    <w:rPr>
      <w:rFonts w:ascii="Calibri" w:hAnsi="Calibri" w:eastAsia="黑体"/>
      <w:b/>
      <w:sz w:val="21"/>
      <w:szCs w:val="21"/>
    </w:rPr>
  </w:style>
  <w:style w:type="paragraph" w:customStyle="1" w:styleId="1019">
    <w:name w:val="1正文文本"/>
    <w:basedOn w:val="15"/>
    <w:link w:val="1020"/>
    <w:qFormat/>
    <w:uiPriority w:val="0"/>
    <w:pPr>
      <w:spacing w:line="360" w:lineRule="auto"/>
      <w:ind w:firstLine="200"/>
      <w:jc w:val="left"/>
    </w:pPr>
    <w:rPr>
      <w:szCs w:val="20"/>
      <w:lang w:val="zh-CN"/>
    </w:rPr>
  </w:style>
  <w:style w:type="character" w:customStyle="1" w:styleId="1020">
    <w:name w:val="1正文文本 Char"/>
    <w:link w:val="1019"/>
    <w:qFormat/>
    <w:uiPriority w:val="0"/>
    <w:rPr>
      <w:rFonts w:ascii="Times New Roman" w:hAnsi="Times New Roman"/>
      <w:kern w:val="2"/>
      <w:sz w:val="24"/>
      <w:lang w:val="zh-CN" w:eastAsia="zh-CN"/>
    </w:rPr>
  </w:style>
  <w:style w:type="paragraph" w:customStyle="1" w:styleId="1021">
    <w:name w:val="00表格"/>
    <w:basedOn w:val="1"/>
    <w:qFormat/>
    <w:uiPriority w:val="0"/>
    <w:pPr>
      <w:adjustRightInd w:val="0"/>
      <w:snapToGrid w:val="0"/>
      <w:spacing w:line="240" w:lineRule="auto"/>
      <w:ind w:firstLine="0" w:firstLineChars="0"/>
      <w:jc w:val="center"/>
    </w:pPr>
    <w:rPr>
      <w:sz w:val="21"/>
    </w:rPr>
  </w:style>
  <w:style w:type="paragraph" w:customStyle="1" w:styleId="1022">
    <w:name w:val="00表头"/>
    <w:basedOn w:val="1021"/>
    <w:qFormat/>
    <w:uiPriority w:val="0"/>
    <w:pPr>
      <w:jc w:val="left"/>
    </w:pPr>
    <w:rPr>
      <w:rFonts w:eastAsia="黑体"/>
    </w:rPr>
  </w:style>
  <w:style w:type="character" w:customStyle="1" w:styleId="1023">
    <w:name w:val="首行缩进:  2 字符（清和） Char"/>
    <w:link w:val="1024"/>
    <w:qFormat/>
    <w:uiPriority w:val="0"/>
    <w:rPr>
      <w:rFonts w:cs="宋体"/>
      <w:sz w:val="24"/>
    </w:rPr>
  </w:style>
  <w:style w:type="paragraph" w:customStyle="1" w:styleId="1024">
    <w:name w:val="首行缩进:  2 字符（清和）"/>
    <w:basedOn w:val="1"/>
    <w:link w:val="1023"/>
    <w:qFormat/>
    <w:uiPriority w:val="0"/>
    <w:pPr>
      <w:spacing w:line="500" w:lineRule="exact"/>
      <w:ind w:firstLine="480"/>
    </w:pPr>
    <w:rPr>
      <w:rFonts w:ascii="Calibri" w:hAnsi="Calibri" w:cs="宋体"/>
      <w:kern w:val="0"/>
      <w:szCs w:val="20"/>
    </w:rPr>
  </w:style>
  <w:style w:type="table" w:customStyle="1" w:styleId="1025">
    <w:name w:val="表格内"/>
    <w:basedOn w:val="61"/>
    <w:qFormat/>
    <w:uiPriority w:val="99"/>
    <w:pPr>
      <w:adjustRightInd w:val="0"/>
      <w:snapToGrid w:val="0"/>
      <w:jc w:val="center"/>
    </w:pPr>
    <w:rPr>
      <w:rFonts w:ascii="Times New Roman" w:hAnsi="Times New Roman"/>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rPr>
      <w:jc w:val="center"/>
    </w:trPr>
    <w:tcPr>
      <w:vAlign w:val="center"/>
    </w:tcPr>
  </w:style>
  <w:style w:type="paragraph" w:customStyle="1" w:styleId="1026">
    <w:name w:val="表格23"/>
    <w:basedOn w:val="155"/>
    <w:qFormat/>
    <w:uiPriority w:val="0"/>
    <w:pPr>
      <w:overflowPunct/>
      <w:spacing w:line="240" w:lineRule="auto"/>
    </w:pPr>
    <w:rPr>
      <w:rFonts w:ascii="Times New Roman" w:eastAsia="黑体"/>
      <w:snapToGrid/>
      <w:color w:val="auto"/>
      <w:kern w:val="2"/>
      <w:sz w:val="24"/>
      <w:szCs w:val="22"/>
    </w:rPr>
  </w:style>
  <w:style w:type="paragraph" w:customStyle="1" w:styleId="1027">
    <w:name w:val="00表格标题"/>
    <w:basedOn w:val="1"/>
    <w:link w:val="1028"/>
    <w:qFormat/>
    <w:uiPriority w:val="0"/>
    <w:pPr>
      <w:adjustRightInd w:val="0"/>
      <w:snapToGrid w:val="0"/>
      <w:spacing w:line="240" w:lineRule="auto"/>
      <w:ind w:firstLine="0" w:firstLineChars="0"/>
      <w:jc w:val="center"/>
    </w:pPr>
    <w:rPr>
      <w:rFonts w:eastAsia="黑体"/>
    </w:rPr>
  </w:style>
  <w:style w:type="character" w:customStyle="1" w:styleId="1028">
    <w:name w:val="00表格标题 Char"/>
    <w:link w:val="1027"/>
    <w:qFormat/>
    <w:uiPriority w:val="0"/>
    <w:rPr>
      <w:rFonts w:ascii="Times New Roman" w:hAnsi="Times New Roman" w:eastAsia="黑体"/>
      <w:kern w:val="2"/>
      <w:sz w:val="24"/>
      <w:szCs w:val="22"/>
    </w:rPr>
  </w:style>
  <w:style w:type="paragraph" w:customStyle="1" w:styleId="1029">
    <w:name w:val="00式中"/>
    <w:basedOn w:val="1"/>
    <w:qFormat/>
    <w:uiPriority w:val="0"/>
    <w:pPr>
      <w:adjustRightInd w:val="0"/>
      <w:snapToGrid w:val="0"/>
      <w:ind w:firstLine="500" w:firstLineChars="500"/>
    </w:pPr>
  </w:style>
  <w:style w:type="paragraph" w:customStyle="1" w:styleId="1030">
    <w:name w:val="xl15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1">
    <w:name w:val="xl156"/>
    <w:basedOn w:val="1"/>
    <w:qFormat/>
    <w:uiPriority w:val="0"/>
    <w:pPr>
      <w:widowControl/>
      <w:pBdr>
        <w:top w:val="single" w:color="auto" w:sz="4" w:space="0"/>
        <w:left w:val="single" w:color="auto" w:sz="4" w:space="0"/>
        <w:bottom w:val="single" w:color="auto" w:sz="8" w:space="0"/>
      </w:pBdr>
      <w:spacing w:before="100" w:beforeAutospacing="1" w:after="100" w:afterAutospacing="1" w:line="240" w:lineRule="auto"/>
      <w:ind w:firstLine="0" w:firstLineChars="0"/>
      <w:jc w:val="left"/>
    </w:pPr>
    <w:rPr>
      <w:kern w:val="0"/>
      <w:sz w:val="20"/>
      <w:szCs w:val="20"/>
    </w:rPr>
  </w:style>
  <w:style w:type="paragraph" w:customStyle="1" w:styleId="1032">
    <w:name w:val="xl157"/>
    <w:basedOn w:val="1"/>
    <w:qFormat/>
    <w:uiPriority w:val="0"/>
    <w:pPr>
      <w:widowControl/>
      <w:pBdr>
        <w:left w:val="single" w:color="auto" w:sz="8" w:space="0"/>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3">
    <w:name w:val="xl158"/>
    <w:basedOn w:val="1"/>
    <w:qFormat/>
    <w:uiPriority w:val="0"/>
    <w:pPr>
      <w:widowControl/>
      <w:pBdr>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4">
    <w:name w:val="xl159"/>
    <w:basedOn w:val="1"/>
    <w:qFormat/>
    <w:uiPriority w:val="0"/>
    <w:pPr>
      <w:widowControl/>
      <w:pBdr>
        <w:bottom w:val="single" w:color="auto" w:sz="4" w:space="0"/>
        <w:right w:val="single" w:color="auto" w:sz="8" w:space="0"/>
      </w:pBdr>
      <w:spacing w:before="100" w:beforeAutospacing="1" w:after="100" w:afterAutospacing="1" w:line="240" w:lineRule="auto"/>
      <w:ind w:firstLine="0" w:firstLineChars="0"/>
      <w:jc w:val="left"/>
    </w:pPr>
    <w:rPr>
      <w:kern w:val="0"/>
      <w:sz w:val="20"/>
      <w:szCs w:val="20"/>
    </w:rPr>
  </w:style>
  <w:style w:type="paragraph" w:customStyle="1" w:styleId="1035">
    <w:name w:val="xl160"/>
    <w:basedOn w:val="1"/>
    <w:qFormat/>
    <w:uiPriority w:val="0"/>
    <w:pPr>
      <w:widowControl/>
      <w:pBdr>
        <w:left w:val="single" w:color="auto" w:sz="8" w:space="0"/>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6">
    <w:name w:val="xl161"/>
    <w:basedOn w:val="1"/>
    <w:qFormat/>
    <w:uiPriority w:val="0"/>
    <w:pPr>
      <w:widowControl/>
      <w:pBdr>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7">
    <w:name w:val="xl162"/>
    <w:basedOn w:val="1"/>
    <w:qFormat/>
    <w:uiPriority w:val="0"/>
    <w:pPr>
      <w:widowControl/>
      <w:pBdr>
        <w:bottom w:val="single" w:color="auto" w:sz="4" w:space="0"/>
        <w:right w:val="single" w:color="auto" w:sz="8" w:space="0"/>
      </w:pBdr>
      <w:spacing w:before="100" w:beforeAutospacing="1" w:after="100" w:afterAutospacing="1" w:line="240" w:lineRule="auto"/>
      <w:ind w:firstLine="0" w:firstLineChars="0"/>
      <w:jc w:val="left"/>
    </w:pPr>
    <w:rPr>
      <w:kern w:val="0"/>
      <w:sz w:val="20"/>
      <w:szCs w:val="20"/>
    </w:rPr>
  </w:style>
  <w:style w:type="paragraph" w:customStyle="1" w:styleId="1038">
    <w:name w:val="xl163"/>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39">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40">
    <w:name w:val="xl16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1041">
    <w:name w:val="xl166"/>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ind w:firstLine="0" w:firstLineChars="0"/>
      <w:jc w:val="left"/>
    </w:pPr>
    <w:rPr>
      <w:kern w:val="0"/>
      <w:sz w:val="20"/>
      <w:szCs w:val="20"/>
    </w:rPr>
  </w:style>
  <w:style w:type="paragraph" w:customStyle="1" w:styleId="1042">
    <w:name w:val="xl167"/>
    <w:basedOn w:val="1"/>
    <w:qFormat/>
    <w:uiPriority w:val="0"/>
    <w:pPr>
      <w:widowControl/>
      <w:pBdr>
        <w:top w:val="single" w:color="auto" w:sz="12" w:space="0"/>
        <w:bottom w:val="single" w:color="auto" w:sz="4" w:space="0"/>
        <w:right w:val="single" w:color="auto" w:sz="4" w:space="0"/>
      </w:pBdr>
      <w:spacing w:before="100" w:beforeAutospacing="1" w:after="100" w:afterAutospacing="1" w:line="240" w:lineRule="auto"/>
      <w:ind w:firstLine="0" w:firstLineChars="0"/>
      <w:jc w:val="center"/>
    </w:pPr>
    <w:rPr>
      <w:kern w:val="0"/>
      <w:szCs w:val="24"/>
    </w:rPr>
  </w:style>
  <w:style w:type="paragraph" w:customStyle="1" w:styleId="1043">
    <w:name w:val="xl168"/>
    <w:basedOn w:val="1"/>
    <w:qFormat/>
    <w:uiPriority w:val="0"/>
    <w:pPr>
      <w:widowControl/>
      <w:pBdr>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44">
    <w:name w:val="xl169"/>
    <w:basedOn w:val="1"/>
    <w:qFormat/>
    <w:uiPriority w:val="0"/>
    <w:pPr>
      <w:widowControl/>
      <w:pBdr>
        <w:left w:val="single" w:color="auto" w:sz="8" w:space="0"/>
        <w:bottom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45">
    <w:name w:val="xl170"/>
    <w:basedOn w:val="1"/>
    <w:qFormat/>
    <w:uiPriority w:val="0"/>
    <w:pPr>
      <w:widowControl/>
      <w:pBdr>
        <w:bottom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46">
    <w:name w:val="xl171"/>
    <w:basedOn w:val="1"/>
    <w:qFormat/>
    <w:uiPriority w:val="0"/>
    <w:pPr>
      <w:widowControl/>
      <w:pBdr>
        <w:bottom w:val="single" w:color="auto" w:sz="8"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47">
    <w:name w:val="xl172"/>
    <w:basedOn w:val="1"/>
    <w:qFormat/>
    <w:uiPriority w:val="0"/>
    <w:pPr>
      <w:widowControl/>
      <w:pBdr>
        <w:top w:val="single" w:color="auto" w:sz="4" w:space="0"/>
        <w:left w:val="single" w:color="auto" w:sz="8" w:space="0"/>
        <w:bottom w:val="single" w:color="auto" w:sz="4" w:space="0"/>
      </w:pBdr>
      <w:spacing w:before="100" w:beforeAutospacing="1" w:after="100" w:afterAutospacing="1" w:line="240" w:lineRule="auto"/>
      <w:ind w:firstLine="0" w:firstLineChars="0"/>
      <w:jc w:val="center"/>
      <w:textAlignment w:val="center"/>
    </w:pPr>
    <w:rPr>
      <w:color w:val="000000"/>
      <w:kern w:val="0"/>
      <w:sz w:val="18"/>
      <w:szCs w:val="18"/>
    </w:rPr>
  </w:style>
  <w:style w:type="paragraph" w:customStyle="1" w:styleId="1048">
    <w:name w:val="xl173"/>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color w:val="000000"/>
      <w:kern w:val="0"/>
      <w:sz w:val="18"/>
      <w:szCs w:val="18"/>
    </w:rPr>
  </w:style>
  <w:style w:type="paragraph" w:customStyle="1" w:styleId="1049">
    <w:name w:val="xl17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kern w:val="0"/>
      <w:sz w:val="18"/>
      <w:szCs w:val="18"/>
    </w:rPr>
  </w:style>
  <w:style w:type="paragraph" w:customStyle="1" w:styleId="1050">
    <w:name w:val="xl175"/>
    <w:basedOn w:val="1"/>
    <w:uiPriority w:val="0"/>
    <w:pPr>
      <w:widowControl/>
      <w:pBdr>
        <w:top w:val="single" w:color="auto" w:sz="4" w:space="0"/>
        <w:left w:val="single" w:color="auto" w:sz="8" w:space="0"/>
        <w:bottom w:val="single" w:color="auto" w:sz="4" w:space="0"/>
      </w:pBdr>
      <w:spacing w:before="100" w:beforeAutospacing="1" w:after="100" w:afterAutospacing="1" w:line="240" w:lineRule="auto"/>
      <w:ind w:firstLine="0" w:firstLineChars="0"/>
      <w:jc w:val="center"/>
      <w:textAlignment w:val="center"/>
    </w:pPr>
    <w:rPr>
      <w:kern w:val="0"/>
      <w:sz w:val="18"/>
      <w:szCs w:val="18"/>
    </w:rPr>
  </w:style>
  <w:style w:type="paragraph" w:customStyle="1" w:styleId="1051">
    <w:name w:val="xl176"/>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18"/>
      <w:szCs w:val="18"/>
    </w:rPr>
  </w:style>
  <w:style w:type="paragraph" w:customStyle="1" w:styleId="1052">
    <w:name w:val="xl177"/>
    <w:basedOn w:val="1"/>
    <w:uiPriority w:val="0"/>
    <w:pPr>
      <w:widowControl/>
      <w:pBdr>
        <w:top w:val="single" w:color="auto" w:sz="4" w:space="0"/>
        <w:left w:val="single" w:color="auto" w:sz="8"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53">
    <w:name w:val="xl17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54">
    <w:name w:val="xl179"/>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color w:val="000000"/>
      <w:kern w:val="0"/>
      <w:sz w:val="18"/>
      <w:szCs w:val="18"/>
    </w:rPr>
  </w:style>
  <w:style w:type="paragraph" w:customStyle="1" w:styleId="1055">
    <w:name w:val="xl180"/>
    <w:basedOn w:val="1"/>
    <w:uiPriority w:val="0"/>
    <w:pPr>
      <w:widowControl/>
      <w:pBdr>
        <w:top w:val="single" w:color="auto" w:sz="8"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56">
    <w:name w:val="xl181"/>
    <w:basedOn w:val="1"/>
    <w:uiPriority w:val="0"/>
    <w:pPr>
      <w:widowControl/>
      <w:pBdr>
        <w:top w:val="single" w:color="auto" w:sz="8"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57">
    <w:name w:val="xl182"/>
    <w:basedOn w:val="1"/>
    <w:uiPriority w:val="0"/>
    <w:pPr>
      <w:widowControl/>
      <w:pBdr>
        <w:top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58">
    <w:name w:val="xl183"/>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59">
    <w:name w:val="xl184"/>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0">
    <w:name w:val="xl185"/>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1">
    <w:name w:val="xl1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2">
    <w:name w:val="xl187"/>
    <w:basedOn w:val="1"/>
    <w:uiPriority w:val="0"/>
    <w:pPr>
      <w:widowControl/>
      <w:pBdr>
        <w:bottom w:val="single" w:color="auto" w:sz="8" w:space="0"/>
      </w:pBdr>
      <w:spacing w:before="100" w:beforeAutospacing="1" w:after="100" w:afterAutospacing="1" w:line="240" w:lineRule="auto"/>
      <w:ind w:firstLine="0" w:firstLineChars="0"/>
      <w:jc w:val="right"/>
      <w:textAlignment w:val="center"/>
    </w:pPr>
    <w:rPr>
      <w:rFonts w:ascii="仿宋_GB2312" w:hAnsi="宋体" w:eastAsia="仿宋_GB2312" w:cs="宋体"/>
      <w:b/>
      <w:bCs/>
      <w:kern w:val="0"/>
      <w:szCs w:val="24"/>
    </w:rPr>
  </w:style>
  <w:style w:type="paragraph" w:customStyle="1" w:styleId="1063">
    <w:name w:val="xl188"/>
    <w:basedOn w:val="1"/>
    <w:uiPriority w:val="0"/>
    <w:pPr>
      <w:widowControl/>
      <w:pBdr>
        <w:top w:val="single" w:color="auto" w:sz="8" w:space="0"/>
        <w:lef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4">
    <w:name w:val="xl189"/>
    <w:basedOn w:val="1"/>
    <w:uiPriority w:val="0"/>
    <w:pPr>
      <w:widowControl/>
      <w:pBdr>
        <w:top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5">
    <w:name w:val="xl190"/>
    <w:basedOn w:val="1"/>
    <w:uiPriority w:val="0"/>
    <w:pPr>
      <w:widowControl/>
      <w:pBdr>
        <w:top w:val="single" w:color="auto" w:sz="8"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6">
    <w:name w:val="xl191"/>
    <w:basedOn w:val="1"/>
    <w:uiPriority w:val="0"/>
    <w:pPr>
      <w:widowControl/>
      <w:pBdr>
        <w:lef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7">
    <w:name w:val="xl192"/>
    <w:basedOn w:val="1"/>
    <w:uiPriority w:val="0"/>
    <w:pPr>
      <w:widowControl/>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8">
    <w:name w:val="xl193"/>
    <w:basedOn w:val="1"/>
    <w:qFormat/>
    <w:uiPriority w:val="0"/>
    <w:pPr>
      <w:widowControl/>
      <w:pBdr>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69">
    <w:name w:val="xl194"/>
    <w:basedOn w:val="1"/>
    <w:qFormat/>
    <w:uiPriority w:val="0"/>
    <w:pPr>
      <w:widowControl/>
      <w:pBdr>
        <w:left w:val="single" w:color="auto" w:sz="8" w:space="0"/>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0">
    <w:name w:val="xl195"/>
    <w:basedOn w:val="1"/>
    <w:qFormat/>
    <w:uiPriority w:val="0"/>
    <w:pPr>
      <w:widowControl/>
      <w:pBdr>
        <w:bottom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1">
    <w:name w:val="xl196"/>
    <w:basedOn w:val="1"/>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2">
    <w:name w:val="xl19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3">
    <w:name w:val="xl198"/>
    <w:basedOn w:val="1"/>
    <w:uiPriority w:val="0"/>
    <w:pPr>
      <w:widowControl/>
      <w:pBdr>
        <w:left w:val="single" w:color="auto" w:sz="4" w:space="0"/>
        <w:righ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4">
    <w:name w:val="xl19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ind w:firstLine="0" w:firstLineChars="0"/>
      <w:jc w:val="center"/>
      <w:textAlignment w:val="center"/>
    </w:pPr>
    <w:rPr>
      <w:rFonts w:ascii="仿宋_GB2312" w:hAnsi="宋体" w:eastAsia="仿宋_GB2312" w:cs="宋体"/>
      <w:kern w:val="0"/>
      <w:sz w:val="18"/>
      <w:szCs w:val="18"/>
    </w:rPr>
  </w:style>
  <w:style w:type="paragraph" w:customStyle="1" w:styleId="1075">
    <w:name w:val="xl200"/>
    <w:basedOn w:val="1"/>
    <w:qFormat/>
    <w:uiPriority w:val="0"/>
    <w:pPr>
      <w:widowControl/>
      <w:pBdr>
        <w:top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1076">
    <w:name w:val="xl20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77">
    <w:name w:val="xl202"/>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78">
    <w:name w:val="xl203"/>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79">
    <w:name w:val="xl204"/>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0">
    <w:name w:val="xl2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1">
    <w:name w:val="xl206"/>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2">
    <w:name w:val="xl207"/>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3">
    <w:name w:val="xl208"/>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color w:val="0D0D0D"/>
      <w:kern w:val="0"/>
      <w:sz w:val="18"/>
      <w:szCs w:val="18"/>
    </w:rPr>
  </w:style>
  <w:style w:type="paragraph" w:customStyle="1" w:styleId="1084">
    <w:name w:val="xl209"/>
    <w:basedOn w:val="1"/>
    <w:uiPriority w:val="0"/>
    <w:pPr>
      <w:widowControl/>
      <w:pBdr>
        <w:top w:val="single" w:color="auto" w:sz="4" w:space="0"/>
        <w:left w:val="single" w:color="auto" w:sz="4" w:space="0"/>
        <w:bottom w:val="single" w:color="auto" w:sz="8" w:space="0"/>
      </w:pBdr>
      <w:spacing w:before="100" w:beforeAutospacing="1" w:after="100" w:afterAutospacing="1" w:line="240" w:lineRule="auto"/>
      <w:ind w:firstLine="0" w:firstLineChars="0"/>
      <w:jc w:val="center"/>
    </w:pPr>
    <w:rPr>
      <w:kern w:val="0"/>
      <w:sz w:val="18"/>
      <w:szCs w:val="18"/>
    </w:rPr>
  </w:style>
  <w:style w:type="paragraph" w:customStyle="1" w:styleId="1085">
    <w:name w:val="xl210"/>
    <w:basedOn w:val="1"/>
    <w:uiPriority w:val="0"/>
    <w:pPr>
      <w:widowControl/>
      <w:pBdr>
        <w:top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1086">
    <w:name w:val="xl211"/>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7">
    <w:name w:val="xl212"/>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8">
    <w:name w:val="xl213"/>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89">
    <w:name w:val="xl214"/>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90">
    <w:name w:val="xl2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91">
    <w:name w:val="xl216"/>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92">
    <w:name w:val="xl217"/>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仿宋_GB2312" w:hAnsi="宋体" w:eastAsia="仿宋_GB2312" w:cs="宋体"/>
      <w:kern w:val="0"/>
      <w:sz w:val="20"/>
      <w:szCs w:val="20"/>
    </w:rPr>
  </w:style>
  <w:style w:type="paragraph" w:customStyle="1" w:styleId="1093">
    <w:name w:val="xl218"/>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094">
    <w:name w:val="xl219"/>
    <w:basedOn w:val="1"/>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kern w:val="0"/>
      <w:sz w:val="20"/>
      <w:szCs w:val="20"/>
    </w:rPr>
  </w:style>
  <w:style w:type="paragraph" w:customStyle="1" w:styleId="1095">
    <w:name w:val="xl220"/>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0"/>
      <w:szCs w:val="20"/>
    </w:rPr>
  </w:style>
  <w:style w:type="character" w:customStyle="1" w:styleId="1096">
    <w:name w:val="show-img-bd"/>
    <w:uiPriority w:val="0"/>
  </w:style>
  <w:style w:type="character" w:customStyle="1" w:styleId="1097">
    <w:name w:val="表格文字 Char4"/>
    <w:link w:val="983"/>
    <w:uiPriority w:val="0"/>
    <w:rPr>
      <w:rFonts w:ascii="Arial" w:hAnsi="Arial" w:eastAsia="仿宋_GB2312" w:cs="Arial"/>
      <w:color w:val="000000"/>
      <w:spacing w:val="-20"/>
      <w:kern w:val="2"/>
      <w:sz w:val="24"/>
      <w:szCs w:val="24"/>
    </w:rPr>
  </w:style>
  <w:style w:type="paragraph" w:customStyle="1" w:styleId="1098">
    <w:name w:val="contentimageclass"/>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099">
    <w:name w:val="表中文字-水保 Char"/>
    <w:link w:val="827"/>
    <w:uiPriority w:val="0"/>
    <w:rPr>
      <w:rFonts w:ascii="Times New Roman" w:hAnsi="Times New Roman" w:cs="黑体"/>
      <w:kern w:val="2"/>
      <w:sz w:val="18"/>
      <w:szCs w:val="21"/>
    </w:rPr>
  </w:style>
  <w:style w:type="character" w:customStyle="1" w:styleId="1100">
    <w:name w:val="图表标题 Char"/>
    <w:link w:val="1101"/>
    <w:uiPriority w:val="0"/>
    <w:rPr>
      <w:b/>
      <w:sz w:val="21"/>
      <w:szCs w:val="24"/>
    </w:rPr>
  </w:style>
  <w:style w:type="paragraph" w:customStyle="1" w:styleId="1101">
    <w:name w:val="图表标题"/>
    <w:basedOn w:val="50"/>
    <w:next w:val="1"/>
    <w:link w:val="1100"/>
    <w:qFormat/>
    <w:uiPriority w:val="0"/>
    <w:pPr>
      <w:spacing w:before="50" w:beforeLines="50" w:after="60" w:line="360" w:lineRule="auto"/>
      <w:jc w:val="center"/>
      <w:outlineLvl w:val="4"/>
    </w:pPr>
    <w:rPr>
      <w:rFonts w:ascii="Calibri" w:hAnsi="Calibri"/>
      <w:b/>
      <w:kern w:val="0"/>
      <w:sz w:val="21"/>
      <w:szCs w:val="24"/>
    </w:rPr>
  </w:style>
  <w:style w:type="paragraph" w:customStyle="1" w:styleId="1102">
    <w:name w:val="*正文"/>
    <w:basedOn w:val="1"/>
    <w:qFormat/>
    <w:uiPriority w:val="0"/>
    <w:pPr>
      <w:adjustRightInd w:val="0"/>
      <w:snapToGrid w:val="0"/>
      <w:ind w:firstLine="480"/>
    </w:pPr>
    <w:rPr>
      <w:rFonts w:eastAsia="仿宋_GB2312"/>
      <w:szCs w:val="24"/>
    </w:rPr>
  </w:style>
  <w:style w:type="character" w:customStyle="1" w:styleId="1103">
    <w:name w:val="纯文本 字符"/>
    <w:uiPriority w:val="0"/>
    <w:rPr>
      <w:rFonts w:ascii="宋体" w:hAnsi="Courier New" w:eastAsia="宋体" w:cs="Courier New"/>
      <w:kern w:val="2"/>
      <w:sz w:val="21"/>
      <w:szCs w:val="21"/>
      <w:lang w:val="en-US" w:eastAsia="zh-CN" w:bidi="ar-SA"/>
    </w:rPr>
  </w:style>
  <w:style w:type="paragraph" w:customStyle="1" w:styleId="1104">
    <w:name w:val="Char Char Char Char Char Char Char Char Char Char Char Char Char Char Char Char"/>
    <w:basedOn w:val="1"/>
    <w:uiPriority w:val="0"/>
    <w:pPr>
      <w:widowControl/>
      <w:spacing w:after="160" w:line="240" w:lineRule="exact"/>
      <w:ind w:firstLine="0" w:firstLineChars="0"/>
      <w:jc w:val="left"/>
    </w:pPr>
    <w:rPr>
      <w:rFonts w:eastAsia="仿宋_GB2312"/>
      <w:szCs w:val="20"/>
    </w:rPr>
  </w:style>
  <w:style w:type="character" w:customStyle="1" w:styleId="1105">
    <w:name w:val="样式 样式 小四 段前: 7.8 磅 段后: 7.8 磅 行距: 1.5 倍行距 + 首行缩进:  2 字符 Char Char"/>
    <w:link w:val="254"/>
    <w:uiPriority w:val="0"/>
    <w:rPr>
      <w:rFonts w:ascii="Times New Roman" w:hAnsi="Times New Roman"/>
      <w:b/>
      <w:color w:val="000000"/>
      <w:kern w:val="2"/>
      <w:sz w:val="24"/>
      <w:szCs w:val="24"/>
    </w:rPr>
  </w:style>
  <w:style w:type="paragraph" w:customStyle="1" w:styleId="1106">
    <w:name w:val="Char Char Char Char Char Char Char Char Char Char Char Char Char Char Char Char1"/>
    <w:basedOn w:val="1"/>
    <w:uiPriority w:val="0"/>
    <w:pPr>
      <w:widowControl/>
      <w:spacing w:after="160" w:line="240" w:lineRule="exact"/>
      <w:ind w:firstLine="0" w:firstLineChars="0"/>
      <w:jc w:val="left"/>
    </w:pPr>
    <w:rPr>
      <w:rFonts w:eastAsia="仿宋_GB2312"/>
      <w:szCs w:val="20"/>
    </w:rPr>
  </w:style>
  <w:style w:type="paragraph" w:customStyle="1" w:styleId="1107">
    <w:name w:val="Char Char Char Char Char Char Char Char Char Char Char Char Char Char Char Char Char Char Char Char Char Char Char Char Char Char Char Char Char Char Char Char Char Char Char Char Char Char Char Char Char Char Char Char Char Char2"/>
    <w:basedOn w:val="1"/>
    <w:next w:val="1"/>
    <w:qFormat/>
    <w:uiPriority w:val="0"/>
    <w:pPr>
      <w:pBdr>
        <w:right w:val="single" w:color="auto" w:sz="12" w:space="4"/>
      </w:pBdr>
    </w:pPr>
    <w:rPr>
      <w:rFonts w:eastAsia="仿宋"/>
    </w:rPr>
  </w:style>
  <w:style w:type="character" w:customStyle="1" w:styleId="1108">
    <w:name w:val="表格格式 Char"/>
    <w:qFormat/>
    <w:uiPriority w:val="0"/>
    <w:rPr>
      <w:rFonts w:eastAsia="宋体"/>
      <w:b/>
      <w:kern w:val="0"/>
      <w:sz w:val="24"/>
      <w:szCs w:val="21"/>
    </w:rPr>
  </w:style>
  <w:style w:type="character" w:customStyle="1" w:styleId="1109">
    <w:name w:val="表格文字 Char2"/>
    <w:qFormat/>
    <w:uiPriority w:val="0"/>
    <w:rPr>
      <w:rFonts w:ascii="宋体" w:hAnsi="宋体" w:eastAsia="宋体"/>
      <w:sz w:val="24"/>
      <w:lang w:val="en-US" w:eastAsia="zh-CN" w:bidi="ar-SA"/>
    </w:rPr>
  </w:style>
  <w:style w:type="character" w:customStyle="1" w:styleId="1110">
    <w:name w:val="表格2 Char"/>
    <w:link w:val="588"/>
    <w:qFormat/>
    <w:locked/>
    <w:uiPriority w:val="0"/>
    <w:rPr>
      <w:rFonts w:ascii="Times New Roman" w:hAnsi="Times New Roman"/>
      <w:kern w:val="2"/>
      <w:sz w:val="24"/>
      <w:szCs w:val="21"/>
    </w:rPr>
  </w:style>
  <w:style w:type="paragraph" w:customStyle="1" w:styleId="1111">
    <w:name w:val="缩五"/>
    <w:basedOn w:val="1"/>
    <w:qFormat/>
    <w:uiPriority w:val="0"/>
    <w:pPr>
      <w:tabs>
        <w:tab w:val="right" w:pos="8320"/>
      </w:tabs>
      <w:spacing w:line="240" w:lineRule="auto"/>
      <w:ind w:firstLine="640"/>
    </w:pPr>
    <w:rPr>
      <w:sz w:val="32"/>
      <w:szCs w:val="32"/>
    </w:rPr>
  </w:style>
  <w:style w:type="paragraph" w:customStyle="1" w:styleId="1112">
    <w:name w:val="Char Char3"/>
    <w:basedOn w:val="1"/>
    <w:qFormat/>
    <w:uiPriority w:val="0"/>
    <w:pPr>
      <w:spacing w:line="240" w:lineRule="auto"/>
      <w:ind w:firstLine="0" w:firstLineChars="0"/>
    </w:pPr>
    <w:rPr>
      <w:szCs w:val="24"/>
    </w:rPr>
  </w:style>
  <w:style w:type="paragraph" w:customStyle="1" w:styleId="1113">
    <w:name w:val="Char Char31"/>
    <w:basedOn w:val="1"/>
    <w:qFormat/>
    <w:uiPriority w:val="0"/>
    <w:pPr>
      <w:spacing w:line="240" w:lineRule="auto"/>
      <w:ind w:firstLine="0" w:firstLineChars="0"/>
    </w:pPr>
    <w:rPr>
      <w:szCs w:val="24"/>
    </w:rPr>
  </w:style>
  <w:style w:type="paragraph" w:customStyle="1" w:styleId="1114">
    <w:name w:val="Char12"/>
    <w:basedOn w:val="1"/>
    <w:qFormat/>
    <w:uiPriority w:val="0"/>
    <w:pPr>
      <w:spacing w:line="240" w:lineRule="auto"/>
      <w:ind w:firstLine="0" w:firstLineChars="0"/>
    </w:pPr>
    <w:rPr>
      <w:sz w:val="21"/>
      <w:szCs w:val="24"/>
    </w:rPr>
  </w:style>
  <w:style w:type="character" w:customStyle="1" w:styleId="1115">
    <w:name w:val="真·正文 Char"/>
    <w:link w:val="1116"/>
    <w:qFormat/>
    <w:uiPriority w:val="0"/>
    <w:rPr>
      <w:rFonts w:ascii="Times New Roman" w:hAnsi="Times New Roman"/>
      <w:kern w:val="2"/>
      <w:sz w:val="24"/>
      <w:szCs w:val="21"/>
    </w:rPr>
  </w:style>
  <w:style w:type="paragraph" w:customStyle="1" w:styleId="1116">
    <w:name w:val="真·正文"/>
    <w:basedOn w:val="1"/>
    <w:next w:val="1"/>
    <w:link w:val="1115"/>
    <w:qFormat/>
    <w:uiPriority w:val="0"/>
    <w:pPr>
      <w:adjustRightInd w:val="0"/>
      <w:snapToGrid w:val="0"/>
      <w:jc w:val="left"/>
    </w:pPr>
    <w:rPr>
      <w:szCs w:val="21"/>
    </w:rPr>
  </w:style>
  <w:style w:type="character" w:customStyle="1" w:styleId="1117">
    <w:name w:val="表格 Char Char"/>
    <w:qFormat/>
    <w:locked/>
    <w:uiPriority w:val="0"/>
    <w:rPr>
      <w:rFonts w:ascii="宋体" w:hAnsi="宋体"/>
      <w:sz w:val="24"/>
    </w:rPr>
  </w:style>
  <w:style w:type="character" w:customStyle="1" w:styleId="1118">
    <w:name w:val="批注文字 字符"/>
    <w:qFormat/>
    <w:uiPriority w:val="0"/>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media/image24.png"/><Relationship Id="rId47" Type="http://schemas.openxmlformats.org/officeDocument/2006/relationships/image" Target="media/image23.wmf"/><Relationship Id="rId46" Type="http://schemas.openxmlformats.org/officeDocument/2006/relationships/oleObject" Target="embeddings/oleObject5.bin"/><Relationship Id="rId45" Type="http://schemas.openxmlformats.org/officeDocument/2006/relationships/image" Target="media/image22.wmf"/><Relationship Id="rId44" Type="http://schemas.openxmlformats.org/officeDocument/2006/relationships/image" Target="media/image21.wmf"/><Relationship Id="rId43" Type="http://schemas.openxmlformats.org/officeDocument/2006/relationships/oleObject" Target="embeddings/oleObject4.bin"/><Relationship Id="rId42" Type="http://schemas.openxmlformats.org/officeDocument/2006/relationships/image" Target="media/image20.wmf"/><Relationship Id="rId41" Type="http://schemas.openxmlformats.org/officeDocument/2006/relationships/image" Target="media/image19.wmf"/><Relationship Id="rId40" Type="http://schemas.openxmlformats.org/officeDocument/2006/relationships/oleObject" Target="embeddings/oleObject3.bin"/><Relationship Id="rId4" Type="http://schemas.openxmlformats.org/officeDocument/2006/relationships/header" Target="header2.xml"/><Relationship Id="rId39" Type="http://schemas.openxmlformats.org/officeDocument/2006/relationships/image" Target="media/image18.wmf"/><Relationship Id="rId38" Type="http://schemas.openxmlformats.org/officeDocument/2006/relationships/image" Target="media/image17.wmf"/><Relationship Id="rId37" Type="http://schemas.openxmlformats.org/officeDocument/2006/relationships/image" Target="media/image16.wmf"/><Relationship Id="rId36" Type="http://schemas.openxmlformats.org/officeDocument/2006/relationships/image" Target="media/image15.wmf"/><Relationship Id="rId35" Type="http://schemas.openxmlformats.org/officeDocument/2006/relationships/image" Target="media/image14.wmf"/><Relationship Id="rId34" Type="http://schemas.openxmlformats.org/officeDocument/2006/relationships/image" Target="media/image13.wmf"/><Relationship Id="rId33" Type="http://schemas.openxmlformats.org/officeDocument/2006/relationships/image" Target="media/image12.wmf"/><Relationship Id="rId32" Type="http://schemas.openxmlformats.org/officeDocument/2006/relationships/image" Target="media/image11.wmf"/><Relationship Id="rId31" Type="http://schemas.openxmlformats.org/officeDocument/2006/relationships/image" Target="media/image10.wmf"/><Relationship Id="rId30" Type="http://schemas.openxmlformats.org/officeDocument/2006/relationships/image" Target="media/image9.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8.emf"/><Relationship Id="rId27" Type="http://schemas.openxmlformats.org/officeDocument/2006/relationships/oleObject" Target="embeddings/oleObject1.bin"/><Relationship Id="rId26" Type="http://schemas.openxmlformats.org/officeDocument/2006/relationships/image" Target="media/image7.jpeg"/><Relationship Id="rId25" Type="http://schemas.openxmlformats.org/officeDocument/2006/relationships/image" Target="media/image6.pn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B604A9-64B8-486E-9DF6-5D044E8E0F3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68</Pages>
  <Words>34004</Words>
  <Characters>39374</Characters>
  <Lines>305</Lines>
  <Paragraphs>86</Paragraphs>
  <TotalTime>4</TotalTime>
  <ScaleCrop>false</ScaleCrop>
  <LinksUpToDate>false</LinksUpToDate>
  <CharactersWithSpaces>40399</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2020-02-27T09:35:00Z</dcterms:created>
  <dc:creator>微软用户</dc:creator>
  <cp:lastModifiedBy>WPS_1591414255</cp:lastModifiedBy>
  <cp:lastPrinted>2020-05-13T01:04:00Z</cp:lastPrinted>
  <dcterms:modified xsi:type="dcterms:W3CDTF">2020-09-09T13:48:55Z</dcterms:modified>
  <cp:revision>725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