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F7CB9">
      <w:pPr>
        <w:pStyle w:val="2"/>
        <w:rPr>
          <w:rFonts w:hint="eastAsia" w:ascii="Times New Roman" w:hAnsi="Times New Roman" w:eastAsia="方正小标宋简体" w:cs="Times New Roman"/>
          <w:color w:val="auto"/>
          <w:kern w:val="2"/>
          <w:sz w:val="72"/>
          <w:szCs w:val="72"/>
          <w:highlight w:val="none"/>
          <w:lang w:val="en-US" w:eastAsia="zh-CN" w:bidi="ar-SA"/>
        </w:rPr>
      </w:pPr>
      <w:bookmarkStart w:id="0" w:name="_Toc15378441"/>
      <w:bookmarkStart w:id="1" w:name="_Toc15396597"/>
      <w:bookmarkStart w:id="2" w:name="_Toc15377425"/>
      <w:bookmarkStart w:id="3" w:name="_Toc15306267"/>
      <w:bookmarkStart w:id="4" w:name="_Toc15377193"/>
      <w:bookmarkStart w:id="5" w:name="_Toc15396475"/>
    </w:p>
    <w:p w14:paraId="27B0CA23">
      <w:pPr>
        <w:pStyle w:val="2"/>
        <w:rPr>
          <w:rFonts w:hint="eastAsia" w:ascii="Times New Roman" w:hAnsi="Times New Roman" w:eastAsia="方正小标宋简体" w:cs="Times New Roman"/>
          <w:color w:val="auto"/>
          <w:kern w:val="2"/>
          <w:sz w:val="72"/>
          <w:szCs w:val="72"/>
          <w:highlight w:val="none"/>
          <w:lang w:val="en-US" w:eastAsia="zh-CN" w:bidi="ar-SA"/>
        </w:rPr>
      </w:pPr>
    </w:p>
    <w:p w14:paraId="139F074E">
      <w:pPr>
        <w:pStyle w:val="2"/>
        <w:rPr>
          <w:rFonts w:hint="eastAsia" w:ascii="Times New Roman" w:hAnsi="Times New Roman" w:eastAsia="方正小标宋简体" w:cs="Times New Roman"/>
          <w:color w:val="auto"/>
          <w:kern w:val="2"/>
          <w:sz w:val="72"/>
          <w:szCs w:val="72"/>
          <w:highlight w:val="none"/>
          <w:lang w:val="en-US" w:eastAsia="zh-CN" w:bidi="ar-SA"/>
        </w:rPr>
      </w:pPr>
    </w:p>
    <w:p w14:paraId="77C296CA">
      <w:pPr>
        <w:pStyle w:val="2"/>
        <w:jc w:val="center"/>
        <w:rPr>
          <w:rFonts w:hint="eastAsia" w:ascii="Times New Roman" w:hAnsi="Times New Roman" w:eastAsia="方正小标宋简体" w:cs="Times New Roman"/>
          <w:color w:val="auto"/>
          <w:kern w:val="2"/>
          <w:sz w:val="72"/>
          <w:szCs w:val="72"/>
          <w:highlight w:val="none"/>
          <w:lang w:val="en-US" w:eastAsia="zh-CN" w:bidi="ar-SA"/>
        </w:rPr>
      </w:pPr>
      <w:r>
        <w:rPr>
          <w:rFonts w:hint="eastAsia" w:ascii="Times New Roman" w:hAnsi="Times New Roman" w:eastAsia="方正小标宋简体" w:cs="Times New Roman"/>
          <w:color w:val="auto"/>
          <w:kern w:val="2"/>
          <w:sz w:val="72"/>
          <w:szCs w:val="72"/>
          <w:highlight w:val="none"/>
          <w:lang w:val="en-US" w:eastAsia="zh-CN" w:bidi="ar-SA"/>
        </w:rPr>
        <w:t>202</w:t>
      </w:r>
      <w:r>
        <w:rPr>
          <w:rFonts w:hint="eastAsia" w:ascii="Times New Roman" w:eastAsia="方正小标宋简体" w:cs="Times New Roman"/>
          <w:color w:val="auto"/>
          <w:kern w:val="2"/>
          <w:sz w:val="72"/>
          <w:szCs w:val="72"/>
          <w:highlight w:val="none"/>
          <w:lang w:val="en-US" w:eastAsia="zh-CN" w:bidi="ar-SA"/>
        </w:rPr>
        <w:t>5</w:t>
      </w:r>
      <w:r>
        <w:rPr>
          <w:rFonts w:hint="eastAsia" w:ascii="Times New Roman" w:hAnsi="Times New Roman" w:eastAsia="方正小标宋简体" w:cs="Times New Roman"/>
          <w:color w:val="auto"/>
          <w:kern w:val="2"/>
          <w:sz w:val="72"/>
          <w:szCs w:val="72"/>
          <w:highlight w:val="none"/>
          <w:lang w:val="en-US" w:eastAsia="zh-CN" w:bidi="ar-SA"/>
        </w:rPr>
        <w:t>年度</w:t>
      </w:r>
    </w:p>
    <w:p w14:paraId="3E9AEEDC">
      <w:pPr>
        <w:pStyle w:val="2"/>
        <w:jc w:val="center"/>
        <w:rPr>
          <w:rFonts w:hint="default" w:ascii="Times New Roman" w:hAnsi="Times New Roman" w:eastAsia="方正小标宋简体" w:cs="Times New Roman"/>
          <w:color w:val="auto"/>
          <w:kern w:val="2"/>
          <w:sz w:val="72"/>
          <w:szCs w:val="72"/>
          <w:highlight w:val="none"/>
          <w:lang w:val="en-US" w:eastAsia="zh-CN" w:bidi="ar-SA"/>
        </w:rPr>
      </w:pPr>
      <w:r>
        <w:rPr>
          <w:rFonts w:hint="eastAsia" w:ascii="Times New Roman" w:eastAsia="方正小标宋简体" w:cs="Times New Roman"/>
          <w:color w:val="auto"/>
          <w:kern w:val="2"/>
          <w:sz w:val="72"/>
          <w:szCs w:val="72"/>
          <w:highlight w:val="none"/>
          <w:lang w:val="en-US" w:eastAsia="zh-CN" w:bidi="ar-SA"/>
        </w:rPr>
        <w:t>红原县色地镇小学校</w:t>
      </w:r>
      <w:r>
        <w:rPr>
          <w:rFonts w:hint="eastAsia" w:ascii="Times New Roman" w:hAnsi="Times New Roman" w:eastAsia="方正小标宋简体" w:cs="Times New Roman"/>
          <w:color w:val="auto"/>
          <w:kern w:val="2"/>
          <w:sz w:val="72"/>
          <w:szCs w:val="72"/>
          <w:highlight w:val="none"/>
          <w:lang w:val="en-US" w:eastAsia="zh-CN" w:bidi="ar-SA"/>
        </w:rPr>
        <w:t>决算</w:t>
      </w:r>
    </w:p>
    <w:p w14:paraId="22A55996">
      <w:pPr>
        <w:spacing w:line="600" w:lineRule="exact"/>
        <w:jc w:val="center"/>
        <w:outlineLvl w:val="0"/>
        <w:rPr>
          <w:rFonts w:ascii="Times New Roman" w:hAnsi="Times New Roman" w:eastAsia="方正小标宋简体"/>
          <w:color w:val="auto"/>
          <w:sz w:val="72"/>
          <w:szCs w:val="72"/>
          <w:highlight w:val="none"/>
        </w:rPr>
      </w:pPr>
    </w:p>
    <w:p w14:paraId="6300E2D8">
      <w:pPr>
        <w:pStyle w:val="19"/>
        <w:rPr>
          <w:rFonts w:ascii="Times New Roman" w:hAnsi="Times New Roman"/>
        </w:rPr>
      </w:pPr>
    </w:p>
    <w:p w14:paraId="1552101E">
      <w:pPr>
        <w:rPr>
          <w:rFonts w:ascii="Times New Roman" w:hAnsi="Times New Roman"/>
        </w:rPr>
      </w:pPr>
    </w:p>
    <w:p w14:paraId="13563165">
      <w:pPr>
        <w:pStyle w:val="13"/>
        <w:rPr>
          <w:rFonts w:ascii="Times New Roman" w:hAnsi="Times New Roman"/>
        </w:rPr>
      </w:pPr>
    </w:p>
    <w:p w14:paraId="4128F06B">
      <w:pPr>
        <w:pStyle w:val="7"/>
        <w:rPr>
          <w:rFonts w:ascii="Times New Roman" w:hAnsi="Times New Roman"/>
        </w:rPr>
      </w:pPr>
    </w:p>
    <w:p w14:paraId="4039A014">
      <w:pPr>
        <w:pStyle w:val="2"/>
        <w:spacing w:beforeLines="0"/>
        <w:jc w:val="both"/>
        <w:rPr>
          <w:rFonts w:hint="eastAsia" w:cs="仿宋_GB2312"/>
          <w:sz w:val="32"/>
          <w:szCs w:val="32"/>
        </w:rPr>
      </w:pPr>
      <w:bookmarkStart w:id="6" w:name="_Hlk113547609"/>
    </w:p>
    <w:p w14:paraId="57EC96E6">
      <w:pPr>
        <w:pStyle w:val="2"/>
        <w:spacing w:beforeLines="0"/>
        <w:jc w:val="both"/>
        <w:rPr>
          <w:rFonts w:hint="eastAsia" w:cs="仿宋_GB2312"/>
          <w:sz w:val="32"/>
          <w:szCs w:val="32"/>
        </w:rPr>
      </w:pPr>
    </w:p>
    <w:p w14:paraId="3057D31B">
      <w:pPr>
        <w:pStyle w:val="2"/>
        <w:spacing w:beforeLines="0"/>
        <w:jc w:val="both"/>
        <w:rPr>
          <w:rFonts w:hint="eastAsia" w:cs="仿宋_GB2312"/>
          <w:sz w:val="32"/>
          <w:szCs w:val="32"/>
        </w:rPr>
      </w:pPr>
    </w:p>
    <w:p w14:paraId="5622246D">
      <w:pPr>
        <w:pStyle w:val="2"/>
        <w:spacing w:beforeLines="0"/>
        <w:jc w:val="both"/>
        <w:rPr>
          <w:rFonts w:hint="eastAsia" w:cs="仿宋_GB2312"/>
          <w:sz w:val="32"/>
          <w:szCs w:val="32"/>
        </w:rPr>
      </w:pPr>
    </w:p>
    <w:p w14:paraId="3A1A62FC">
      <w:pPr>
        <w:pStyle w:val="2"/>
        <w:spacing w:beforeLines="0"/>
        <w:jc w:val="both"/>
        <w:rPr>
          <w:rFonts w:hint="eastAsia" w:cs="仿宋_GB2312"/>
          <w:sz w:val="32"/>
          <w:szCs w:val="32"/>
        </w:rPr>
      </w:pPr>
    </w:p>
    <w:p w14:paraId="5161EB4D">
      <w:pPr>
        <w:pStyle w:val="2"/>
        <w:spacing w:beforeLines="0"/>
        <w:jc w:val="both"/>
        <w:rPr>
          <w:rFonts w:hint="eastAsia" w:cs="仿宋_GB2312"/>
          <w:sz w:val="32"/>
          <w:szCs w:val="32"/>
        </w:rPr>
      </w:pPr>
    </w:p>
    <w:p w14:paraId="7B62DAB5">
      <w:pPr>
        <w:pStyle w:val="2"/>
        <w:spacing w:beforeLines="0"/>
        <w:jc w:val="both"/>
        <w:rPr>
          <w:rFonts w:hint="eastAsia" w:cs="仿宋_GB2312"/>
          <w:sz w:val="32"/>
          <w:szCs w:val="32"/>
        </w:rPr>
      </w:pPr>
    </w:p>
    <w:p w14:paraId="550520F9">
      <w:pPr>
        <w:pStyle w:val="2"/>
        <w:spacing w:beforeLines="0"/>
        <w:jc w:val="center"/>
        <w:rPr>
          <w:rFonts w:hint="eastAsia" w:cs="仿宋_GB2312"/>
          <w:sz w:val="32"/>
          <w:szCs w:val="32"/>
        </w:rPr>
      </w:pPr>
    </w:p>
    <w:p w14:paraId="7BEFB4FF">
      <w:pPr>
        <w:pStyle w:val="2"/>
        <w:spacing w:beforeLines="0"/>
        <w:jc w:val="center"/>
      </w:pPr>
      <w:r>
        <w:rPr>
          <w:rFonts w:hint="eastAsia" w:cs="仿宋_GB2312"/>
          <w:sz w:val="32"/>
          <w:szCs w:val="32"/>
        </w:rPr>
        <w:t>已经保密审查、内容审定，同意对外公开</w:t>
      </w:r>
      <w:bookmarkEnd w:id="6"/>
    </w:p>
    <w:p w14:paraId="60A165FF">
      <w:pPr>
        <w:pStyle w:val="7"/>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bookmarkEnd w:id="0"/>
    <w:bookmarkEnd w:id="1"/>
    <w:bookmarkEnd w:id="2"/>
    <w:bookmarkEnd w:id="3"/>
    <w:bookmarkEnd w:id="4"/>
    <w:bookmarkEnd w:id="5"/>
    <w:p w14:paraId="454FF1D4">
      <w:pPr>
        <w:widowControl/>
        <w:ind w:firstLine="480" w:firstLineChars="100"/>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2A6A6D5F">
      <w:pPr>
        <w:widowControl/>
        <w:jc w:val="center"/>
        <w:rPr>
          <w:rFonts w:ascii="Times New Roman" w:hAnsi="Times New Roman" w:eastAsia="黑体" w:cstheme="minorBidi"/>
          <w:color w:val="auto"/>
          <w:sz w:val="28"/>
          <w:szCs w:val="28"/>
          <w:highlight w:val="none"/>
        </w:rPr>
      </w:pPr>
    </w:p>
    <w:p w14:paraId="5AD9D4C7">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25</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9</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18 </w:t>
      </w:r>
      <w:r>
        <w:rPr>
          <w:rFonts w:hint="eastAsia" w:ascii="Times New Roman" w:hAnsi="Times New Roman" w:eastAsia="仿宋_GB2312" w:cs="仿宋_GB2312"/>
          <w:color w:val="auto"/>
          <w:sz w:val="32"/>
          <w:szCs w:val="32"/>
          <w:highlight w:val="none"/>
        </w:rPr>
        <w:t>日</w:t>
      </w:r>
    </w:p>
    <w:p w14:paraId="09927F4F">
      <w:pPr>
        <w:rPr>
          <w:rFonts w:ascii="Times New Roman" w:hAnsi="Times New Roman"/>
          <w:color w:val="auto"/>
          <w:highlight w:val="none"/>
        </w:rPr>
      </w:pPr>
    </w:p>
    <w:p w14:paraId="22C6D7DB">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0A80C32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14:paraId="5EC7BDE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14:paraId="733ED903">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14:paraId="3284AB5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14:paraId="19CB54D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14:paraId="56BB0E3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14:paraId="68D9AA7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14:paraId="74A460D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14:paraId="6D18A92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14:paraId="4CD3F10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14:paraId="350ADA7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14:paraId="77719E6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14:paraId="4F9B87F4">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14:paraId="520A342F">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0D319818">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58033662">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08F87C1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29395624">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1A9254E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0226D31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467AB89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1E4A837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632E914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6203CEC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2E46799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55F3B54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20E717C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6BE7B5AD">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5E7C316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71B5358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4B47B127">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7" w:name="_Toc15377196"/>
      <w:bookmarkStart w:id="8" w:name="_Toc15396599"/>
      <w:r>
        <w:rPr>
          <w:rFonts w:hint="eastAsia" w:ascii="Times New Roman" w:hAnsi="Times New Roman" w:eastAsia="仿宋_GB2312" w:cs="仿宋_GB2312"/>
          <w:b/>
          <w:color w:val="auto"/>
          <w:sz w:val="32"/>
          <w:szCs w:val="32"/>
          <w:highlight w:val="none"/>
        </w:rPr>
        <w:br w:type="page"/>
      </w:r>
    </w:p>
    <w:p w14:paraId="58C64F36">
      <w:pPr>
        <w:pStyle w:val="3"/>
        <w:numPr>
          <w:ilvl w:val="0"/>
          <w:numId w:val="1"/>
        </w:numPr>
        <w:jc w:val="center"/>
        <w:rPr>
          <w:rFonts w:ascii="黑体" w:eastAsia="黑体"/>
          <w:sz w:val="32"/>
          <w:szCs w:val="32"/>
        </w:rPr>
      </w:pP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单位</w:t>
      </w:r>
      <w:r>
        <w:rPr>
          <w:rStyle w:val="28"/>
          <w:rFonts w:hint="eastAsia" w:ascii="Times New Roman" w:hAnsi="Times New Roman" w:eastAsia="方正小标宋简体" w:cs="方正小标宋简体"/>
          <w:b w:val="0"/>
          <w:bCs w:val="0"/>
          <w:color w:val="auto"/>
          <w:highlight w:val="none"/>
        </w:rPr>
        <w:t>概况</w:t>
      </w:r>
      <w:bookmarkEnd w:id="7"/>
      <w:bookmarkEnd w:id="8"/>
    </w:p>
    <w:p w14:paraId="2CDACEE0">
      <w:pPr>
        <w:pStyle w:val="4"/>
        <w:numPr>
          <w:ilvl w:val="0"/>
          <w:numId w:val="2"/>
        </w:numPr>
        <w:rPr>
          <w:rFonts w:ascii="仿宋" w:eastAsia="仿宋"/>
          <w:color w:val="000000"/>
        </w:rPr>
      </w:pPr>
      <w:bookmarkStart w:id="9" w:name="_Toc15396600"/>
      <w:bookmarkStart w:id="10" w:name="_Toc15377197"/>
      <w:r>
        <w:rPr>
          <w:rStyle w:val="29"/>
          <w:rFonts w:hint="eastAsia" w:ascii="黑体" w:eastAsia="黑体"/>
          <w:b w:val="0"/>
          <w:bCs w:val="0"/>
        </w:rPr>
        <w:t>职能简介</w:t>
      </w:r>
    </w:p>
    <w:p w14:paraId="40835477">
      <w:pPr>
        <w:pStyle w:val="2"/>
        <w:adjustRightInd w:val="0"/>
        <w:snapToGrid w:val="0"/>
        <w:spacing w:before="93" w:line="560" w:lineRule="exact"/>
        <w:ind w:firstLine="640" w:firstLineChars="200"/>
        <w:rPr>
          <w:bCs/>
          <w:color w:val="000000"/>
          <w:sz w:val="32"/>
          <w:szCs w:val="32"/>
        </w:rPr>
      </w:pPr>
      <w:r>
        <w:rPr>
          <w:rFonts w:hint="eastAsia"/>
          <w:bCs/>
          <w:color w:val="000000"/>
          <w:sz w:val="32"/>
          <w:szCs w:val="32"/>
        </w:rPr>
        <w:t>小学义务教育的实施，促进基础教育发展，培养学生高尚的思想道德情操，丰富的科学文化知识，良好的身体素质，促进学生全面发展，业务范围是从事小学教育。</w:t>
      </w:r>
    </w:p>
    <w:p w14:paraId="40F5D161">
      <w:pPr>
        <w:numPr>
          <w:ilvl w:val="0"/>
          <w:numId w:val="2"/>
        </w:numPr>
      </w:pPr>
    </w:p>
    <w:p w14:paraId="5E8B6253">
      <w:pPr>
        <w:pStyle w:val="4"/>
        <w:rPr>
          <w:rFonts w:ascii="仿宋" w:eastAsia="仿宋"/>
          <w:color w:val="000000"/>
        </w:rPr>
      </w:pPr>
      <w:r>
        <w:rPr>
          <w:rFonts w:hint="eastAsia" w:ascii="黑体" w:eastAsia="黑体"/>
          <w:b w:val="0"/>
        </w:rPr>
        <w:t>二、202</w:t>
      </w:r>
      <w:r>
        <w:rPr>
          <w:rFonts w:hint="eastAsia" w:ascii="黑体" w:eastAsia="黑体"/>
          <w:b w:val="0"/>
          <w:lang w:val="en-US" w:eastAsia="zh-CN"/>
        </w:rPr>
        <w:t>5</w:t>
      </w:r>
      <w:r>
        <w:rPr>
          <w:rFonts w:hint="eastAsia" w:ascii="黑体" w:eastAsia="黑体"/>
          <w:b w:val="0"/>
        </w:rPr>
        <w:t>年重点工作</w:t>
      </w:r>
      <w:bookmarkEnd w:id="9"/>
      <w:bookmarkEnd w:id="10"/>
      <w:r>
        <w:rPr>
          <w:rFonts w:hint="eastAsia" w:ascii="黑体" w:eastAsia="黑体"/>
          <w:b w:val="0"/>
        </w:rPr>
        <w:t>完成情况</w:t>
      </w:r>
    </w:p>
    <w:p w14:paraId="3A3DAEFF">
      <w:pPr>
        <w:pStyle w:val="2"/>
        <w:adjustRightInd w:val="0"/>
        <w:snapToGrid w:val="0"/>
        <w:spacing w:before="93" w:line="560" w:lineRule="exact"/>
        <w:ind w:firstLine="668" w:firstLineChars="209"/>
        <w:rPr>
          <w:rFonts w:ascii="仿宋" w:eastAsia="仿宋"/>
          <w:sz w:val="32"/>
          <w:szCs w:val="32"/>
        </w:rPr>
      </w:pPr>
      <w:r>
        <w:rPr>
          <w:rFonts w:hint="eastAsia"/>
          <w:bCs/>
          <w:color w:val="000000"/>
          <w:sz w:val="32"/>
          <w:szCs w:val="32"/>
        </w:rPr>
        <w:t>我校今年根据财政资金的安排情况，加强了资金的管理，合理用于教育事业，对我校贫困学生实行帮扶。资金合理合法使用。</w:t>
      </w:r>
    </w:p>
    <w:p w14:paraId="76297587">
      <w:pPr>
        <w:numPr>
          <w:ilvl w:val="0"/>
          <w:numId w:val="0"/>
        </w:numPr>
        <w:rPr>
          <w:rFonts w:hint="eastAsia"/>
        </w:rPr>
      </w:pPr>
    </w:p>
    <w:p w14:paraId="7E08C84D">
      <w:pPr>
        <w:pStyle w:val="3"/>
        <w:jc w:val="center"/>
        <w:rPr>
          <w:rFonts w:hint="eastAsia" w:ascii="Times New Roman" w:hAnsi="Times New Roman" w:eastAsia="方正小标宋简体" w:cs="方正小标宋简体"/>
          <w:b w:val="0"/>
          <w:color w:val="auto"/>
          <w:highlight w:val="none"/>
        </w:rPr>
      </w:pPr>
      <w:bookmarkStart w:id="11" w:name="_Toc15377204"/>
      <w:bookmarkStart w:id="12"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1"/>
      <w:bookmarkEnd w:id="12"/>
    </w:p>
    <w:p w14:paraId="2A795531">
      <w:pPr>
        <w:rPr>
          <w:rFonts w:ascii="Times New Roman" w:hAnsi="Times New Roman"/>
          <w:color w:val="auto"/>
          <w:highlight w:val="none"/>
        </w:rPr>
      </w:pPr>
    </w:p>
    <w:p w14:paraId="4E1B9823">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3" w:name="_Toc15396603"/>
      <w:bookmarkStart w:id="14"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3"/>
      <w:bookmarkEnd w:id="14"/>
    </w:p>
    <w:p w14:paraId="7553A51D">
      <w:pPr>
        <w:spacing w:line="600" w:lineRule="exact"/>
        <w:ind w:firstLine="640" w:firstLineChars="200"/>
        <w:rPr>
          <w:rFonts w:ascii="仿宋" w:eastAsia="仿宋"/>
          <w:sz w:val="32"/>
          <w:szCs w:val="32"/>
        </w:rPr>
      </w:pP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lang w:val="en-US" w:eastAsia="zh-CN"/>
        </w:rPr>
        <w:t>2937.99</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395.70</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15.56</w:t>
      </w:r>
      <w:r>
        <w:rPr>
          <w:rFonts w:hint="eastAsia" w:ascii="Times New Roman" w:hAnsi="Times New Roman" w:eastAsia="仿宋_GB2312" w:cs="仿宋_GB2312"/>
          <w:color w:val="auto"/>
          <w:sz w:val="32"/>
          <w:szCs w:val="32"/>
          <w:highlight w:val="none"/>
        </w:rPr>
        <w:t>%。主要变动原因是</w:t>
      </w:r>
      <w:r>
        <w:rPr>
          <w:rFonts w:ascii="仿宋" w:eastAsia="仿宋"/>
          <w:sz w:val="32"/>
          <w:szCs w:val="32"/>
        </w:rPr>
        <w:t>本年教职工人数及学生人数增加，人均工资有所增长，年度考核奖随工资发放，各类保险基数增加，人员敬爱相应增加，学校生均公用经费及寄宿制学生生活费等学生人头经费收支也相应增加。</w:t>
      </w:r>
    </w:p>
    <w:p w14:paraId="28C6810B">
      <w:pPr>
        <w:pStyle w:val="2"/>
      </w:pPr>
      <w:r>
        <w:drawing>
          <wp:inline distT="0" distB="0" distL="114300" distR="114300">
            <wp:extent cx="5271135" cy="2644140"/>
            <wp:effectExtent l="4445" t="4445" r="10795" b="8890"/>
            <wp:docPr id="1110"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574CE2">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14:paraId="39D862AC">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14:paraId="0B23C58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48A47D4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6DFD4843">
      <w:pPr>
        <w:pStyle w:val="27"/>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0" w:firstLineChars="0"/>
        <w:textAlignment w:val="auto"/>
        <w:outlineLvl w:val="1"/>
        <w:rPr>
          <w:rFonts w:hint="eastAsia" w:ascii="Times New Roman" w:hAnsi="Times New Roman" w:eastAsia="黑体"/>
          <w:color w:val="auto"/>
          <w:sz w:val="32"/>
          <w:szCs w:val="32"/>
          <w:highlight w:val="none"/>
          <w:lang w:eastAsia="zh-CN"/>
        </w:rPr>
      </w:pPr>
      <w:bookmarkStart w:id="15" w:name="_Toc15396604"/>
      <w:bookmarkStart w:id="16" w:name="_Toc15377206"/>
      <w:r>
        <w:rPr>
          <w:rFonts w:hint="eastAsia" w:ascii="Times New Roman" w:hAnsi="Times New Roman" w:eastAsia="黑体"/>
          <w:color w:val="auto"/>
          <w:sz w:val="32"/>
          <w:szCs w:val="32"/>
          <w:highlight w:val="none"/>
          <w:lang w:eastAsia="zh-CN"/>
        </w:rPr>
        <w:t>收入决算情况说明</w:t>
      </w:r>
      <w:bookmarkEnd w:id="15"/>
      <w:bookmarkEnd w:id="16"/>
    </w:p>
    <w:p w14:paraId="1F39A763">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outlineLvl w:val="1"/>
        <w:rPr>
          <w:rFonts w:hint="eastAsia" w:ascii="Times New Roman" w:hAnsi="Times New Roman" w:eastAsia="黑体"/>
          <w:color w:val="auto"/>
          <w:sz w:val="32"/>
          <w:szCs w:val="32"/>
          <w:highlight w:val="none"/>
          <w:lang w:eastAsia="zh-CN"/>
        </w:rPr>
      </w:pPr>
    </w:p>
    <w:p w14:paraId="0C79644F">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ascii="仿宋_GB2312" w:hAnsi="仿宋_GB2312" w:eastAsia="仿宋_GB2312" w:cs="仿宋_GB2312"/>
          <w:sz w:val="32"/>
          <w:szCs w:val="32"/>
          <w:lang w:val="en-US" w:eastAsia="zh-CN"/>
        </w:rPr>
        <w:t>2937.99</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2934.70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99.89</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lang w:val="en-US" w:eastAsia="zh-CN"/>
        </w:rPr>
        <w:t>0.71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0.02</w:t>
      </w:r>
      <w:r>
        <w:rPr>
          <w:rFonts w:hint="eastAsia" w:ascii="仿宋_GB2312" w:hAnsi="仿宋_GB2312"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lang w:val="en-US" w:eastAsia="zh-CN"/>
        </w:rPr>
        <w:t>2.58</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 xml:space="preserve"> 0.09</w:t>
      </w:r>
      <w:r>
        <w:rPr>
          <w:rFonts w:hint="eastAsia" w:ascii="仿宋_GB2312" w:hAnsi="仿宋_GB2312" w:eastAsia="仿宋_GB2312" w:cs="仿宋_GB2312"/>
          <w:color w:val="auto"/>
          <w:sz w:val="32"/>
          <w:szCs w:val="32"/>
          <w:highlight w:val="none"/>
          <w:lang w:eastAsia="zh-CN"/>
        </w:rPr>
        <w:t>%。</w:t>
      </w:r>
    </w:p>
    <w:p w14:paraId="574C0D41">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108D331C">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（注：仅罗列本部门涉及的收入）</w:t>
      </w:r>
    </w:p>
    <w:p w14:paraId="242E4714">
      <w:pPr>
        <w:pStyle w:val="27"/>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drawing>
          <wp:inline distT="0" distB="0" distL="114300" distR="114300">
            <wp:extent cx="4679950" cy="2880995"/>
            <wp:effectExtent l="5080" t="4445" r="10795" b="10160"/>
            <wp:docPr id="1111"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32DEB0">
      <w:pPr>
        <w:pStyle w:val="27"/>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14:paraId="53A62953">
      <w:pPr>
        <w:pStyle w:val="27"/>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p>
    <w:p w14:paraId="055C6B97">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4A32842C">
      <w:pPr>
        <w:ind w:firstLine="800" w:firstLineChars="250"/>
        <w:rPr>
          <w:rFonts w:hint="eastAsia" w:ascii="Times New Roman" w:hAnsi="Times New Roman" w:eastAsia="仿宋_GB2312" w:cs="仿宋_GB2312"/>
          <w:color w:val="auto"/>
          <w:sz w:val="32"/>
          <w:szCs w:val="32"/>
          <w:highlight w:val="none"/>
          <w:lang w:eastAsia="zh-CN"/>
        </w:rPr>
      </w:pPr>
    </w:p>
    <w:p w14:paraId="48C2BD61">
      <w:pPr>
        <w:pStyle w:val="27"/>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0" w:firstLineChars="0"/>
        <w:textAlignment w:val="auto"/>
        <w:outlineLvl w:val="1"/>
        <w:rPr>
          <w:rStyle w:val="29"/>
          <w:rFonts w:hint="eastAsia" w:ascii="Times New Roman" w:hAnsi="Times New Roman" w:eastAsia="黑体"/>
          <w:b w:val="0"/>
          <w:color w:val="auto"/>
          <w:highlight w:val="none"/>
        </w:rPr>
      </w:pPr>
      <w:bookmarkStart w:id="17" w:name="_Toc15377207"/>
      <w:bookmarkStart w:id="18" w:name="_Toc15396605"/>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17"/>
      <w:bookmarkEnd w:id="18"/>
    </w:p>
    <w:p w14:paraId="6A36FCEC">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textAlignment w:val="auto"/>
        <w:outlineLvl w:val="1"/>
        <w:rPr>
          <w:rStyle w:val="29"/>
          <w:rFonts w:hint="eastAsia" w:ascii="Times New Roman" w:hAnsi="Times New Roman" w:eastAsia="黑体"/>
          <w:b w:val="0"/>
          <w:color w:val="auto"/>
          <w:highlight w:val="none"/>
        </w:rPr>
      </w:pPr>
    </w:p>
    <w:p w14:paraId="009ED516">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年度本年支出合计</w:t>
      </w:r>
      <w:r>
        <w:rPr>
          <w:rFonts w:hint="eastAsia" w:ascii="仿宋_GB2312" w:hAnsi="仿宋_GB2312" w:eastAsia="仿宋_GB2312" w:cs="仿宋_GB2312"/>
          <w:sz w:val="32"/>
          <w:szCs w:val="32"/>
          <w:lang w:val="en-US" w:eastAsia="zh-CN"/>
        </w:rPr>
        <w:t>2937.99</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lang w:val="en-US" w:eastAsia="zh-CN"/>
        </w:rPr>
        <w:t>2531.91</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 xml:space="preserve">86.18 </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lang w:val="en-US" w:eastAsia="zh-CN"/>
        </w:rPr>
        <w:t>406.08</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 xml:space="preserve"> 13.82 </w:t>
      </w:r>
      <w:r>
        <w:rPr>
          <w:rFonts w:hint="eastAsia" w:ascii="仿宋_GB2312" w:hAnsi="仿宋_GB2312"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p>
    <w:p w14:paraId="6755AEE5">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仿宋_GB2312" w:hAnsi="仿宋_GB2312" w:eastAsia="仿宋_GB2312" w:cs="仿宋_GB2312"/>
          <w:color w:val="auto"/>
          <w:sz w:val="32"/>
          <w:szCs w:val="32"/>
          <w:highlight w:val="none"/>
          <w:lang w:eastAsia="zh-CN"/>
        </w:rPr>
      </w:pPr>
    </w:p>
    <w:p w14:paraId="3187C81B">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（注：仅罗列本部门涉及的支出）</w:t>
      </w:r>
    </w:p>
    <w:p w14:paraId="0253A8F7">
      <w:pPr>
        <w:pStyle w:val="27"/>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drawing>
          <wp:inline distT="0" distB="0" distL="114300" distR="114300">
            <wp:extent cx="5272405" cy="2643505"/>
            <wp:effectExtent l="4445" t="4445" r="9525" b="9525"/>
            <wp:docPr id="1112"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4E205ED">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outlineLvl w:val="1"/>
        <w:rPr>
          <w:rFonts w:hint="eastAsia" w:ascii="Times New Roman" w:hAnsi="Times New Roman" w:eastAsia="仿宋_GB2312" w:cs="仿宋_GB2312"/>
          <w:b/>
          <w:bCs/>
          <w:color w:val="auto"/>
          <w:sz w:val="32"/>
          <w:szCs w:val="32"/>
          <w:highlight w:val="none"/>
          <w:lang w:eastAsia="zh-CN"/>
        </w:rPr>
      </w:pPr>
    </w:p>
    <w:p w14:paraId="2F34AC49">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outlineLvl w:val="1"/>
        <w:rPr>
          <w:rFonts w:hint="eastAsia" w:ascii="Times New Roman" w:hAnsi="Times New Roman" w:eastAsia="仿宋_GB2312" w:cs="仿宋_GB2312"/>
          <w:b/>
          <w:bCs/>
          <w:color w:val="auto"/>
          <w:sz w:val="32"/>
          <w:szCs w:val="32"/>
          <w:highlight w:val="none"/>
          <w:lang w:eastAsia="zh-CN"/>
        </w:rPr>
      </w:pPr>
    </w:p>
    <w:p w14:paraId="72689C3D">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5CDAAF1C">
      <w:pPr>
        <w:ind w:firstLine="800" w:firstLineChars="250"/>
        <w:rPr>
          <w:rFonts w:hint="eastAsia" w:ascii="Times New Roman" w:hAnsi="Times New Roman" w:eastAsia="仿宋_GB2312" w:cs="仿宋_GB2312"/>
          <w:color w:val="auto"/>
          <w:sz w:val="32"/>
          <w:szCs w:val="32"/>
          <w:highlight w:val="none"/>
          <w:lang w:eastAsia="zh-CN"/>
        </w:rPr>
      </w:pPr>
    </w:p>
    <w:p w14:paraId="375BDAC9">
      <w:pPr>
        <w:numPr>
          <w:ilvl w:val="0"/>
          <w:numId w:val="3"/>
        </w:numPr>
        <w:spacing w:line="600" w:lineRule="exact"/>
        <w:ind w:firstLine="640" w:firstLineChars="200"/>
        <w:outlineLvl w:val="1"/>
        <w:rPr>
          <w:rStyle w:val="29"/>
          <w:rFonts w:hint="eastAsia" w:ascii="Times New Roman" w:hAnsi="Times New Roman" w:eastAsia="黑体"/>
          <w:b w:val="0"/>
          <w:color w:val="auto"/>
          <w:highlight w:val="none"/>
        </w:rPr>
      </w:pPr>
      <w:bookmarkStart w:id="19" w:name="_Toc15396606"/>
      <w:bookmarkStart w:id="20" w:name="_Toc15377208"/>
      <w:r>
        <w:rPr>
          <w:rFonts w:hint="eastAsia" w:ascii="Times New Roman" w:hAnsi="Times New Roman" w:eastAsia="黑体"/>
          <w:color w:val="auto"/>
          <w:sz w:val="32"/>
          <w:szCs w:val="32"/>
          <w:highlight w:val="none"/>
        </w:rPr>
        <w:t>财</w:t>
      </w:r>
      <w:r>
        <w:rPr>
          <w:rStyle w:val="29"/>
          <w:rFonts w:hint="eastAsia" w:ascii="Times New Roman" w:hAnsi="Times New Roman" w:eastAsia="黑体"/>
          <w:b w:val="0"/>
          <w:color w:val="auto"/>
          <w:highlight w:val="none"/>
        </w:rPr>
        <w:t>政拨款收入支出决算总体情况说明</w:t>
      </w:r>
      <w:bookmarkEnd w:id="19"/>
      <w:bookmarkEnd w:id="20"/>
    </w:p>
    <w:p w14:paraId="5D653224">
      <w:pPr>
        <w:pStyle w:val="2"/>
        <w:numPr>
          <w:ilvl w:val="0"/>
          <w:numId w:val="0"/>
        </w:numPr>
      </w:pPr>
    </w:p>
    <w:p w14:paraId="6B4D043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sz w:val="32"/>
          <w:szCs w:val="32"/>
          <w:lang w:val="en-US" w:eastAsia="zh-CN"/>
        </w:rPr>
        <w:t>2935.41</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年度相比，财政拨款收入总计、支出总计各增加</w:t>
      </w:r>
      <w:r>
        <w:rPr>
          <w:rFonts w:hint="eastAsia" w:eastAsia="仿宋_GB2312" w:cs="仿宋_GB2312"/>
          <w:color w:val="auto"/>
          <w:sz w:val="32"/>
          <w:szCs w:val="32"/>
          <w:highlight w:val="none"/>
          <w:lang w:val="en-US" w:eastAsia="zh-CN"/>
        </w:rPr>
        <w:t>393.12</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15.46</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ascii="仿宋" w:eastAsia="仿宋"/>
          <w:sz w:val="32"/>
          <w:szCs w:val="32"/>
        </w:rPr>
        <w:t>本年教职工人数及学生人数增加，人均工资有所增长，年度考核奖随工资发放，各类保险基数增加，人员敬爱相应增加，学校生均公用经费及寄宿制学生生活费等学生人头经费收支也相应增加。</w:t>
      </w:r>
    </w:p>
    <w:p w14:paraId="7B022C97">
      <w:pPr>
        <w:spacing w:line="240" w:lineRule="auto"/>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5269865" cy="2707005"/>
            <wp:effectExtent l="4445" t="4445" r="12065" b="12700"/>
            <wp:docPr id="125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A8628E">
      <w:pPr>
        <w:pStyle w:val="2"/>
        <w:rPr>
          <w:rFonts w:hint="eastAsia"/>
          <w:lang w:val="en-US" w:eastAsia="zh-CN"/>
        </w:rPr>
      </w:pPr>
    </w:p>
    <w:p w14:paraId="4776A6D4">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39FF85F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98AEFF4">
      <w:pPr>
        <w:spacing w:line="600" w:lineRule="exact"/>
        <w:ind w:firstLine="640" w:firstLineChars="200"/>
        <w:outlineLvl w:val="1"/>
        <w:rPr>
          <w:rStyle w:val="29"/>
          <w:rFonts w:ascii="Times New Roman" w:hAnsi="Times New Roman" w:eastAsia="黑体"/>
          <w:b w:val="0"/>
          <w:color w:val="auto"/>
          <w:highlight w:val="none"/>
        </w:rPr>
      </w:pPr>
      <w:bookmarkStart w:id="21" w:name="_Toc15396607"/>
      <w:bookmarkStart w:id="22"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1"/>
      <w:bookmarkEnd w:id="22"/>
    </w:p>
    <w:p w14:paraId="4DF747C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3"/>
    </w:p>
    <w:p w14:paraId="1E601FCC">
      <w:pPr>
        <w:pStyle w:val="2"/>
        <w:rPr>
          <w:rFonts w:hint="eastAsia"/>
        </w:rPr>
      </w:pPr>
    </w:p>
    <w:p w14:paraId="55761715">
      <w:pPr>
        <w:spacing w:line="600" w:lineRule="exact"/>
        <w:ind w:firstLine="640"/>
        <w:rPr>
          <w:rFonts w:ascii="仿宋" w:eastAsia="仿宋"/>
          <w:sz w:val="32"/>
          <w:szCs w:val="32"/>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2025年度一般公共预算财政拨款支出2</w:t>
      </w:r>
      <w:r>
        <w:rPr>
          <w:rFonts w:hint="eastAsia" w:ascii="仿宋_GB2312" w:hAnsi="仿宋_GB2312" w:eastAsia="仿宋_GB2312" w:cs="仿宋_GB2312"/>
          <w:sz w:val="32"/>
          <w:szCs w:val="32"/>
          <w:lang w:val="en-US" w:eastAsia="zh-CN"/>
        </w:rPr>
        <w:t>934.7</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99.8</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color w:val="auto"/>
          <w:kern w:val="2"/>
          <w:sz w:val="32"/>
          <w:szCs w:val="32"/>
          <w:highlight w:val="none"/>
          <w:lang w:val="en-US" w:eastAsia="zh-CN" w:bidi="ar-SA"/>
        </w:rPr>
        <w:t>%。与2024年度相比，一般公共预算财政拨款支出增加395.41万元，增长15.57%。主要变动原因是</w:t>
      </w:r>
      <w:r>
        <w:rPr>
          <w:rFonts w:ascii="仿宋" w:eastAsia="仿宋"/>
          <w:sz w:val="32"/>
          <w:szCs w:val="32"/>
        </w:rPr>
        <w:t>本年教职工人数及学生人数增加，人均工资有所增长，年度考核奖随工资发放，各类保险基数增加，人员敬爱相应增加，学校生均公用经费及寄宿制学生生活费等学生人头经费收支也相应增加。</w:t>
      </w:r>
    </w:p>
    <w:p w14:paraId="20248C3D">
      <w:pPr>
        <w:spacing w:line="240" w:lineRule="auto"/>
        <w:ind w:firstLine="640"/>
        <w:rPr>
          <w:rFonts w:hint="eastAsia" w:ascii="Times New Roman" w:hAnsi="Times New Roman" w:eastAsia="仿宋_GB2312" w:cs="仿宋_GB2312"/>
          <w:color w:val="auto"/>
          <w:kern w:val="2"/>
          <w:sz w:val="32"/>
          <w:szCs w:val="32"/>
          <w:highlight w:val="none"/>
          <w:lang w:val="en-US" w:eastAsia="zh-CN" w:bidi="ar-SA"/>
        </w:rPr>
      </w:pPr>
      <w:r>
        <w:drawing>
          <wp:inline distT="0" distB="0" distL="114300" distR="114300">
            <wp:extent cx="5248910" cy="3200400"/>
            <wp:effectExtent l="4445" t="4445" r="13970" b="5080"/>
            <wp:docPr id="1113"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0F4FD8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28FB7D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7FBC1F0">
      <w:pPr>
        <w:numPr>
          <w:ilvl w:val="0"/>
          <w:numId w:val="4"/>
        </w:num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1"/>
      <w:r>
        <w:rPr>
          <w:rFonts w:hint="eastAsia" w:ascii="Times New Roman" w:hAnsi="Times New Roman" w:eastAsia="楷体_GB2312" w:cs="楷体_GB2312"/>
          <w:b/>
          <w:color w:val="auto"/>
          <w:sz w:val="32"/>
          <w:szCs w:val="32"/>
          <w:highlight w:val="none"/>
        </w:rPr>
        <w:t>一般公共预算财政拨款支出决算结构情况</w:t>
      </w:r>
      <w:bookmarkEnd w:id="24"/>
    </w:p>
    <w:p w14:paraId="0A351AD6">
      <w:pPr>
        <w:pStyle w:val="2"/>
        <w:numPr>
          <w:ilvl w:val="0"/>
          <w:numId w:val="0"/>
        </w:numPr>
        <w:rPr>
          <w:rFonts w:hint="eastAsia"/>
        </w:rPr>
      </w:pPr>
    </w:p>
    <w:p w14:paraId="2E3055E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color w:val="auto"/>
          <w:kern w:val="2"/>
          <w:sz w:val="32"/>
          <w:szCs w:val="32"/>
          <w:highlight w:val="none"/>
          <w:lang w:val="en-US" w:eastAsia="zh-CN" w:bidi="ar-SA"/>
        </w:rPr>
        <w:t>2</w:t>
      </w:r>
      <w:r>
        <w:rPr>
          <w:rFonts w:hint="eastAsia" w:ascii="仿宋_GB2312" w:hAnsi="仿宋_GB2312" w:eastAsia="仿宋_GB2312" w:cs="仿宋_GB2312"/>
          <w:sz w:val="32"/>
          <w:szCs w:val="32"/>
          <w:lang w:val="en-US" w:eastAsia="zh-CN"/>
        </w:rPr>
        <w:t>934.7</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2269.86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77.35</w:t>
      </w:r>
      <w:r>
        <w:rPr>
          <w:rFonts w:hint="eastAsia" w:ascii="Times New Roman" w:hAnsi="Times New Roman" w:eastAsia="仿宋_GB2312" w:cs="仿宋_GB2312"/>
          <w:color w:val="auto"/>
          <w:kern w:val="2"/>
          <w:sz w:val="32"/>
          <w:szCs w:val="32"/>
          <w:highlight w:val="none"/>
          <w:lang w:val="en-US" w:eastAsia="zh-CN" w:bidi="ar-SA"/>
        </w:rPr>
        <w:t>%；科学技术支出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339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11.55</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130.33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4.44</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195.50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6.66</w:t>
      </w:r>
      <w:r>
        <w:rPr>
          <w:rFonts w:hint="eastAsia" w:ascii="Times New Roman" w:hAnsi="Times New Roman" w:eastAsia="仿宋_GB2312" w:cs="仿宋_GB2312"/>
          <w:color w:val="auto"/>
          <w:kern w:val="2"/>
          <w:sz w:val="32"/>
          <w:szCs w:val="32"/>
          <w:highlight w:val="none"/>
          <w:lang w:val="en-US" w:eastAsia="zh-CN" w:bidi="ar-SA"/>
        </w:rPr>
        <w:t>%；</w:t>
      </w:r>
    </w:p>
    <w:p w14:paraId="51E845E9">
      <w:pPr>
        <w:pStyle w:val="2"/>
        <w:rPr>
          <w:rFonts w:hint="eastAsia"/>
          <w:lang w:val="en-US" w:eastAsia="zh-CN"/>
        </w:rPr>
      </w:pPr>
    </w:p>
    <w:p w14:paraId="13A7D031">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7FA8F919">
      <w:pPr>
        <w:pStyle w:val="2"/>
        <w:rPr>
          <w:rFonts w:hint="eastAsia"/>
          <w:lang w:val="en-US" w:eastAsia="zh-CN"/>
        </w:rPr>
      </w:pPr>
      <w:r>
        <w:drawing>
          <wp:inline distT="0" distB="0" distL="114300" distR="114300">
            <wp:extent cx="4573270" cy="3029585"/>
            <wp:effectExtent l="4445" t="4445" r="13335" b="13970"/>
            <wp:docPr id="1114"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4F2C95">
      <w:pPr>
        <w:pStyle w:val="2"/>
        <w:rPr>
          <w:rFonts w:hint="eastAsia"/>
          <w:lang w:val="en-US" w:eastAsia="zh-CN"/>
        </w:rPr>
      </w:pPr>
    </w:p>
    <w:p w14:paraId="4D37E3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777AD0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959344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5"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5"/>
    </w:p>
    <w:p w14:paraId="4BF2D55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6" w:name="_Toc15378460"/>
      <w:bookmarkStart w:id="27" w:name="_Toc15377213"/>
      <w:bookmarkStart w:id="28" w:name="_Toc15377444"/>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ascii="仿宋_GB2312" w:hAnsi="仿宋_GB2312" w:eastAsia="仿宋_GB2312" w:cs="仿宋_GB2312"/>
          <w:sz w:val="32"/>
          <w:szCs w:val="32"/>
          <w:lang w:val="en-US" w:eastAsia="zh-CN"/>
        </w:rPr>
        <w:t>2934.7</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6"/>
      <w:bookmarkEnd w:id="27"/>
      <w:bookmarkEnd w:id="28"/>
    </w:p>
    <w:p w14:paraId="7E7E62F6">
      <w:pPr>
        <w:spacing w:line="600" w:lineRule="exact"/>
        <w:ind w:firstLine="643" w:firstLineChars="200"/>
        <w:rPr>
          <w:rFonts w:ascii="仿宋" w:eastAsia="仿宋"/>
          <w:b/>
          <w:sz w:val="32"/>
          <w:szCs w:val="32"/>
        </w:rPr>
      </w:pPr>
      <w:r>
        <w:rPr>
          <w:rStyle w:val="17"/>
          <w:rFonts w:ascii="仿宋" w:eastAsia="仿宋"/>
          <w:bCs/>
          <w:sz w:val="32"/>
          <w:szCs w:val="32"/>
        </w:rPr>
        <w:t>1.</w:t>
      </w:r>
      <w:r>
        <w:rPr>
          <w:rStyle w:val="17"/>
          <w:rFonts w:hint="eastAsia" w:ascii="仿宋" w:eastAsia="仿宋"/>
          <w:bCs/>
          <w:sz w:val="32"/>
          <w:szCs w:val="32"/>
        </w:rPr>
        <w:t>教育</w:t>
      </w:r>
      <w:r>
        <w:rPr>
          <w:rFonts w:hint="eastAsia" w:ascii="仿宋" w:eastAsia="仿宋"/>
          <w:b/>
          <w:sz w:val="32"/>
          <w:szCs w:val="32"/>
        </w:rPr>
        <w:t>205</w:t>
      </w:r>
      <w:r>
        <w:rPr>
          <w:rStyle w:val="17"/>
          <w:rFonts w:ascii="仿宋" w:eastAsia="仿宋"/>
          <w:bCs/>
          <w:sz w:val="32"/>
          <w:szCs w:val="32"/>
        </w:rPr>
        <w:t>:</w:t>
      </w:r>
      <w:r>
        <w:rPr>
          <w:rStyle w:val="17"/>
          <w:rFonts w:ascii="仿宋" w:eastAsia="仿宋"/>
          <w:b w:val="0"/>
          <w:bCs/>
          <w:sz w:val="32"/>
          <w:szCs w:val="32"/>
        </w:rPr>
        <w:t xml:space="preserve"> </w:t>
      </w:r>
      <w:r>
        <w:rPr>
          <w:rStyle w:val="17"/>
          <w:rFonts w:hint="eastAsia" w:ascii="仿宋" w:eastAsia="仿宋"/>
          <w:b w:val="0"/>
          <w:bCs/>
          <w:sz w:val="32"/>
          <w:szCs w:val="32"/>
        </w:rPr>
        <w:t>支出决算为</w:t>
      </w:r>
      <w:r>
        <w:rPr>
          <w:rStyle w:val="17"/>
          <w:rFonts w:hint="eastAsia" w:ascii="仿宋" w:eastAsia="仿宋"/>
          <w:b w:val="0"/>
          <w:bCs/>
          <w:sz w:val="32"/>
          <w:szCs w:val="32"/>
          <w:lang w:val="en-US" w:eastAsia="zh-CN"/>
        </w:rPr>
        <w:t>2269.86</w:t>
      </w:r>
      <w:r>
        <w:rPr>
          <w:rStyle w:val="17"/>
          <w:rFonts w:hint="eastAsia" w:ascii="仿宋" w:eastAsia="仿宋"/>
          <w:b w:val="0"/>
          <w:bCs/>
          <w:sz w:val="32"/>
          <w:szCs w:val="32"/>
        </w:rPr>
        <w:t>万元，完成预算100</w:t>
      </w:r>
      <w:r>
        <w:rPr>
          <w:rStyle w:val="17"/>
          <w:rFonts w:ascii="仿宋" w:eastAsia="仿宋"/>
          <w:b w:val="0"/>
          <w:bCs/>
          <w:sz w:val="32"/>
          <w:szCs w:val="32"/>
        </w:rPr>
        <w:t>%</w:t>
      </w:r>
      <w:r>
        <w:rPr>
          <w:rStyle w:val="17"/>
          <w:rFonts w:hint="eastAsia" w:ascii="仿宋" w:eastAsia="仿宋"/>
          <w:b w:val="0"/>
          <w:bCs/>
          <w:sz w:val="32"/>
          <w:szCs w:val="32"/>
        </w:rPr>
        <w:t>。</w:t>
      </w:r>
    </w:p>
    <w:p w14:paraId="315E2E25">
      <w:pPr>
        <w:spacing w:line="600" w:lineRule="exact"/>
        <w:ind w:firstLine="643" w:firstLineChars="200"/>
        <w:rPr>
          <w:rFonts w:ascii="仿宋" w:eastAsia="仿宋"/>
          <w:b/>
          <w:sz w:val="32"/>
          <w:szCs w:val="32"/>
        </w:rPr>
      </w:pPr>
      <w:r>
        <w:rPr>
          <w:rStyle w:val="17"/>
          <w:rFonts w:hint="eastAsia" w:ascii="仿宋" w:eastAsia="仿宋"/>
          <w:bCs/>
          <w:sz w:val="32"/>
          <w:szCs w:val="32"/>
        </w:rPr>
        <w:t>2</w:t>
      </w:r>
      <w:r>
        <w:rPr>
          <w:rStyle w:val="17"/>
          <w:rFonts w:ascii="仿宋" w:eastAsia="仿宋"/>
          <w:bCs/>
          <w:sz w:val="32"/>
          <w:szCs w:val="32"/>
        </w:rPr>
        <w:t>.</w:t>
      </w:r>
      <w:r>
        <w:rPr>
          <w:rStyle w:val="17"/>
          <w:rFonts w:hint="eastAsia" w:ascii="仿宋" w:eastAsia="仿宋"/>
          <w:bCs/>
          <w:sz w:val="32"/>
          <w:szCs w:val="32"/>
        </w:rPr>
        <w:t>社会保障和就业</w:t>
      </w:r>
      <w:r>
        <w:rPr>
          <w:rStyle w:val="35"/>
          <w:rFonts w:ascii="仿宋" w:eastAsia="仿宋"/>
          <w:color w:val="000000"/>
          <w:sz w:val="32"/>
          <w:szCs w:val="32"/>
        </w:rPr>
        <w:t>208</w:t>
      </w:r>
      <w:r>
        <w:rPr>
          <w:rStyle w:val="17"/>
          <w:rFonts w:ascii="仿宋" w:eastAsia="仿宋"/>
          <w:bCs/>
          <w:sz w:val="32"/>
          <w:szCs w:val="32"/>
        </w:rPr>
        <w:t>:</w:t>
      </w:r>
      <w:r>
        <w:rPr>
          <w:rStyle w:val="17"/>
          <w:rFonts w:ascii="仿宋" w:eastAsia="仿宋"/>
          <w:b w:val="0"/>
          <w:bCs/>
          <w:sz w:val="32"/>
          <w:szCs w:val="32"/>
        </w:rPr>
        <w:t xml:space="preserve"> </w:t>
      </w:r>
      <w:r>
        <w:rPr>
          <w:rStyle w:val="17"/>
          <w:rFonts w:hint="eastAsia" w:ascii="仿宋" w:eastAsia="仿宋"/>
          <w:b w:val="0"/>
          <w:bCs/>
          <w:sz w:val="32"/>
          <w:szCs w:val="32"/>
        </w:rPr>
        <w:t>支出决算为</w:t>
      </w:r>
      <w:r>
        <w:rPr>
          <w:rStyle w:val="17"/>
          <w:rFonts w:hint="eastAsia" w:ascii="仿宋" w:eastAsia="仿宋"/>
          <w:b w:val="0"/>
          <w:bCs/>
          <w:sz w:val="32"/>
          <w:szCs w:val="32"/>
          <w:lang w:val="en-US" w:eastAsia="zh-CN"/>
        </w:rPr>
        <w:t>339</w:t>
      </w:r>
      <w:r>
        <w:rPr>
          <w:rStyle w:val="17"/>
          <w:rFonts w:hint="eastAsia" w:ascii="仿宋" w:eastAsia="仿宋"/>
          <w:b w:val="0"/>
          <w:bCs/>
          <w:sz w:val="32"/>
          <w:szCs w:val="32"/>
        </w:rPr>
        <w:t>万元，完成预算100</w:t>
      </w:r>
      <w:r>
        <w:rPr>
          <w:rStyle w:val="17"/>
          <w:rFonts w:ascii="仿宋" w:eastAsia="仿宋"/>
          <w:b w:val="0"/>
          <w:bCs/>
          <w:sz w:val="32"/>
          <w:szCs w:val="32"/>
        </w:rPr>
        <w:t>%</w:t>
      </w:r>
      <w:r>
        <w:rPr>
          <w:rStyle w:val="17"/>
          <w:rFonts w:hint="eastAsia" w:ascii="仿宋" w:eastAsia="仿宋"/>
          <w:b w:val="0"/>
          <w:bCs/>
          <w:sz w:val="32"/>
          <w:szCs w:val="32"/>
        </w:rPr>
        <w:t>，</w:t>
      </w:r>
    </w:p>
    <w:p w14:paraId="737BD4EA">
      <w:pPr>
        <w:spacing w:line="600" w:lineRule="exact"/>
        <w:ind w:firstLine="643" w:firstLineChars="200"/>
        <w:rPr>
          <w:rStyle w:val="17"/>
          <w:rFonts w:ascii="仿宋" w:eastAsia="仿宋"/>
          <w:b w:val="0"/>
          <w:bCs/>
          <w:sz w:val="32"/>
          <w:szCs w:val="32"/>
        </w:rPr>
      </w:pPr>
      <w:r>
        <w:rPr>
          <w:rStyle w:val="17"/>
          <w:rFonts w:hint="eastAsia" w:ascii="仿宋" w:eastAsia="仿宋"/>
          <w:bCs/>
          <w:sz w:val="32"/>
          <w:szCs w:val="32"/>
        </w:rPr>
        <w:t>3</w:t>
      </w:r>
      <w:r>
        <w:rPr>
          <w:rStyle w:val="17"/>
          <w:rFonts w:ascii="仿宋" w:eastAsia="仿宋"/>
          <w:bCs/>
          <w:sz w:val="32"/>
          <w:szCs w:val="32"/>
        </w:rPr>
        <w:t>.</w:t>
      </w:r>
      <w:r>
        <w:rPr>
          <w:rFonts w:hint="eastAsia" w:ascii="仿宋" w:eastAsia="仿宋"/>
          <w:b/>
          <w:bCs/>
          <w:sz w:val="32"/>
          <w:szCs w:val="32"/>
        </w:rPr>
        <w:t>卫生健康</w:t>
      </w:r>
      <w:r>
        <w:rPr>
          <w:rStyle w:val="35"/>
          <w:rFonts w:ascii="仿宋" w:eastAsia="仿宋"/>
          <w:color w:val="000000"/>
          <w:sz w:val="32"/>
          <w:szCs w:val="32"/>
        </w:rPr>
        <w:t>210</w:t>
      </w:r>
      <w:r>
        <w:rPr>
          <w:rStyle w:val="17"/>
          <w:rFonts w:ascii="仿宋" w:eastAsia="仿宋"/>
          <w:bCs/>
          <w:sz w:val="32"/>
          <w:szCs w:val="32"/>
        </w:rPr>
        <w:t>:</w:t>
      </w:r>
      <w:r>
        <w:rPr>
          <w:rStyle w:val="17"/>
          <w:rFonts w:hint="eastAsia" w:ascii="仿宋" w:eastAsia="仿宋"/>
          <w:b w:val="0"/>
          <w:bCs/>
          <w:sz w:val="32"/>
          <w:szCs w:val="32"/>
        </w:rPr>
        <w:t>支出决算为</w:t>
      </w:r>
      <w:r>
        <w:rPr>
          <w:rStyle w:val="17"/>
          <w:rFonts w:hint="eastAsia" w:ascii="仿宋" w:eastAsia="仿宋"/>
          <w:b w:val="0"/>
          <w:bCs/>
          <w:sz w:val="32"/>
          <w:szCs w:val="32"/>
          <w:lang w:val="en-US" w:eastAsia="zh-CN"/>
        </w:rPr>
        <w:t>130.33</w:t>
      </w:r>
      <w:r>
        <w:rPr>
          <w:rStyle w:val="17"/>
          <w:rFonts w:hint="eastAsia" w:ascii="仿宋" w:eastAsia="仿宋"/>
          <w:b w:val="0"/>
          <w:bCs/>
          <w:sz w:val="32"/>
          <w:szCs w:val="32"/>
        </w:rPr>
        <w:t>万元，完成预算100</w:t>
      </w:r>
      <w:r>
        <w:rPr>
          <w:rStyle w:val="17"/>
          <w:rFonts w:ascii="仿宋" w:eastAsia="仿宋"/>
          <w:b w:val="0"/>
          <w:bCs/>
          <w:sz w:val="32"/>
          <w:szCs w:val="32"/>
        </w:rPr>
        <w:t>%</w:t>
      </w:r>
      <w:r>
        <w:rPr>
          <w:rStyle w:val="17"/>
          <w:rFonts w:hint="eastAsia" w:ascii="仿宋" w:eastAsia="仿宋"/>
          <w:b w:val="0"/>
          <w:bCs/>
          <w:sz w:val="32"/>
          <w:szCs w:val="32"/>
        </w:rPr>
        <w:t>，</w:t>
      </w:r>
    </w:p>
    <w:p w14:paraId="235CF329">
      <w:pPr>
        <w:spacing w:line="600" w:lineRule="exact"/>
        <w:ind w:firstLine="643" w:firstLineChars="200"/>
      </w:pPr>
      <w:r>
        <w:rPr>
          <w:rFonts w:hint="eastAsia" w:ascii="仿宋" w:eastAsia="仿宋"/>
          <w:b/>
          <w:bCs/>
          <w:sz w:val="32"/>
          <w:szCs w:val="32"/>
        </w:rPr>
        <w:t>4.住房保障支出</w:t>
      </w:r>
      <w:r>
        <w:rPr>
          <w:rFonts w:hint="eastAsia" w:ascii="仿宋" w:eastAsia="仿宋"/>
          <w:b/>
          <w:bCs/>
          <w:sz w:val="32"/>
          <w:szCs w:val="32"/>
          <w:lang w:val="en-US" w:eastAsia="zh-CN"/>
        </w:rPr>
        <w:t>221</w:t>
      </w:r>
      <w:r>
        <w:rPr>
          <w:rStyle w:val="17"/>
          <w:rFonts w:ascii="仿宋" w:eastAsia="仿宋"/>
          <w:bCs/>
          <w:sz w:val="32"/>
          <w:szCs w:val="32"/>
        </w:rPr>
        <w:t>:</w:t>
      </w:r>
      <w:r>
        <w:rPr>
          <w:rStyle w:val="17"/>
          <w:rFonts w:hint="eastAsia" w:ascii="仿宋" w:eastAsia="仿宋"/>
          <w:b w:val="0"/>
          <w:bCs/>
          <w:sz w:val="32"/>
          <w:szCs w:val="32"/>
        </w:rPr>
        <w:t>支出决算为</w:t>
      </w:r>
      <w:r>
        <w:rPr>
          <w:rStyle w:val="17"/>
          <w:rFonts w:hint="eastAsia" w:ascii="仿宋" w:eastAsia="仿宋"/>
          <w:b w:val="0"/>
          <w:bCs/>
          <w:sz w:val="32"/>
          <w:szCs w:val="32"/>
          <w:lang w:val="en-US" w:eastAsia="zh-CN"/>
        </w:rPr>
        <w:t>195.5</w:t>
      </w:r>
      <w:r>
        <w:rPr>
          <w:rStyle w:val="17"/>
          <w:rFonts w:hint="eastAsia" w:ascii="仿宋" w:eastAsia="仿宋"/>
          <w:b w:val="0"/>
          <w:bCs/>
          <w:sz w:val="32"/>
          <w:szCs w:val="32"/>
        </w:rPr>
        <w:t>万元，完成预算100</w:t>
      </w:r>
      <w:r>
        <w:rPr>
          <w:rStyle w:val="17"/>
          <w:rFonts w:ascii="仿宋" w:eastAsia="仿宋"/>
          <w:b w:val="0"/>
          <w:bCs/>
          <w:sz w:val="32"/>
          <w:szCs w:val="32"/>
        </w:rPr>
        <w:t>%</w:t>
      </w:r>
      <w:r>
        <w:rPr>
          <w:rStyle w:val="17"/>
          <w:rFonts w:hint="eastAsia" w:ascii="仿宋" w:eastAsia="仿宋"/>
          <w:b w:val="0"/>
          <w:bCs/>
          <w:sz w:val="32"/>
          <w:szCs w:val="32"/>
        </w:rPr>
        <w:t>，</w:t>
      </w:r>
    </w:p>
    <w:p w14:paraId="29F4BAAB">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5A377D2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4B8762E">
      <w:pPr>
        <w:tabs>
          <w:tab w:val="right" w:pos="8306"/>
        </w:tabs>
        <w:spacing w:line="600" w:lineRule="exact"/>
        <w:ind w:firstLine="640"/>
        <w:outlineLvl w:val="1"/>
        <w:rPr>
          <w:rStyle w:val="29"/>
          <w:rFonts w:ascii="Times New Roman" w:hAnsi="Times New Roman"/>
          <w:color w:val="auto"/>
          <w:highlight w:val="none"/>
        </w:rPr>
      </w:pPr>
      <w:bookmarkStart w:id="29" w:name="_Toc15377214"/>
      <w:bookmarkStart w:id="30"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29"/>
      <w:bookmarkEnd w:id="30"/>
      <w:r>
        <w:rPr>
          <w:rStyle w:val="29"/>
          <w:rFonts w:ascii="Times New Roman" w:hAnsi="Times New Roman" w:eastAsia="黑体"/>
          <w:b w:val="0"/>
          <w:color w:val="auto"/>
          <w:highlight w:val="none"/>
        </w:rPr>
        <w:tab/>
      </w:r>
    </w:p>
    <w:p w14:paraId="1D3A45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ascii="仿宋_GB2312" w:hAnsi="仿宋_GB2312" w:eastAsia="仿宋_GB2312" w:cs="仿宋_GB2312"/>
          <w:sz w:val="32"/>
          <w:szCs w:val="32"/>
        </w:rPr>
        <w:t>2531.91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14:paraId="766EF772">
      <w:pPr>
        <w:spacing w:line="600" w:lineRule="exact"/>
        <w:ind w:firstLine="645"/>
        <w:rPr>
          <w:rFonts w:ascii="仿宋" w:eastAsia="仿宋"/>
          <w:sz w:val="32"/>
          <w:szCs w:val="32"/>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2466.33</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w:t>
      </w:r>
      <w:r>
        <w:rPr>
          <w:rFonts w:hint="eastAsia" w:eastAsia="仿宋_GB2312" w:cs="仿宋_GB2312"/>
          <w:color w:val="auto"/>
          <w:kern w:val="2"/>
          <w:sz w:val="32"/>
          <w:szCs w:val="32"/>
          <w:highlight w:val="none"/>
          <w:lang w:val="en-US" w:eastAsia="zh-CN" w:bidi="ar-SA"/>
        </w:rPr>
        <w:t>452.86万元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529.74万元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468.58万元</w:t>
      </w:r>
      <w:r>
        <w:rPr>
          <w:rFonts w:hint="eastAsia" w:ascii="Times New Roman" w:hAnsi="Times New Roman" w:eastAsia="仿宋_GB2312" w:cs="仿宋_GB2312"/>
          <w:color w:val="auto"/>
          <w:kern w:val="2"/>
          <w:sz w:val="32"/>
          <w:szCs w:val="32"/>
          <w:highlight w:val="none"/>
          <w:lang w:val="en-US" w:eastAsia="zh-CN" w:bidi="ar-SA"/>
        </w:rPr>
        <w:t>、伙食补助费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327.51万元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227.44万元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111.56万元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10.94万元</w:t>
      </w:r>
      <w:r>
        <w:rPr>
          <w:rFonts w:hint="eastAsia" w:ascii="Times New Roman" w:hAnsi="Times New Roman" w:eastAsia="仿宋_GB2312" w:cs="仿宋_GB2312"/>
          <w:color w:val="auto"/>
          <w:kern w:val="2"/>
          <w:sz w:val="32"/>
          <w:szCs w:val="32"/>
          <w:highlight w:val="none"/>
          <w:lang w:val="en-US" w:eastAsia="zh-CN" w:bidi="ar-SA"/>
        </w:rPr>
        <w:t>、其他工资福利支出</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、离休费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、退休费</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、抚恤金</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、生活补助</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、医疗费补助</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、奖励金</w:t>
      </w:r>
      <w:r>
        <w:rPr>
          <w:rFonts w:hint="eastAsia" w:eastAsia="仿宋_GB2312" w:cs="仿宋_GB2312"/>
          <w:color w:val="auto"/>
          <w:kern w:val="2"/>
          <w:sz w:val="32"/>
          <w:szCs w:val="32"/>
          <w:highlight w:val="none"/>
          <w:lang w:val="en-US" w:eastAsia="zh-CN" w:bidi="ar-SA"/>
        </w:rPr>
        <w:t>0.01万元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195.5万元</w:t>
      </w:r>
      <w:r>
        <w:rPr>
          <w:rFonts w:hint="eastAsia" w:ascii="Times New Roman" w:hAnsi="Times New Roman" w:eastAsia="仿宋_GB2312" w:cs="仿宋_GB2312"/>
          <w:color w:val="auto"/>
          <w:kern w:val="2"/>
          <w:sz w:val="32"/>
          <w:szCs w:val="32"/>
          <w:highlight w:val="none"/>
          <w:lang w:val="en-US" w:eastAsia="zh-CN" w:bidi="ar-SA"/>
        </w:rPr>
        <w:t>、其他对个人和家庭的补助支出等。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65.58</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w:t>
      </w:r>
      <w:r>
        <w:rPr>
          <w:rFonts w:hint="eastAsia" w:ascii="仿宋" w:eastAsia="仿宋"/>
          <w:sz w:val="32"/>
          <w:szCs w:val="32"/>
        </w:rPr>
        <w:t>工会经费</w:t>
      </w:r>
      <w:r>
        <w:rPr>
          <w:rFonts w:hint="eastAsia" w:ascii="仿宋" w:eastAsia="仿宋"/>
          <w:sz w:val="32"/>
          <w:szCs w:val="32"/>
          <w:lang w:val="en-US" w:eastAsia="zh-CN"/>
        </w:rPr>
        <w:t>18.28</w:t>
      </w:r>
      <w:r>
        <w:rPr>
          <w:rFonts w:hint="eastAsia" w:ascii="仿宋" w:eastAsia="仿宋"/>
          <w:sz w:val="32"/>
          <w:szCs w:val="32"/>
        </w:rPr>
        <w:t>万元、办公费</w:t>
      </w:r>
      <w:r>
        <w:rPr>
          <w:rFonts w:hint="eastAsia" w:ascii="仿宋" w:eastAsia="仿宋"/>
          <w:sz w:val="32"/>
          <w:szCs w:val="32"/>
          <w:lang w:val="en-US" w:eastAsia="zh-CN"/>
        </w:rPr>
        <w:t>0.27</w:t>
      </w:r>
      <w:r>
        <w:rPr>
          <w:rFonts w:hint="eastAsia" w:ascii="仿宋" w:eastAsia="仿宋"/>
          <w:sz w:val="32"/>
          <w:szCs w:val="32"/>
        </w:rPr>
        <w:t>万元等</w:t>
      </w:r>
      <w:r>
        <w:rPr>
          <w:rFonts w:hint="eastAsia" w:ascii="仿宋" w:eastAsia="仿宋"/>
          <w:sz w:val="32"/>
          <w:szCs w:val="32"/>
          <w:lang w:eastAsia="zh-CN"/>
        </w:rPr>
        <w:t>、</w:t>
      </w:r>
      <w:r>
        <w:rPr>
          <w:rFonts w:hint="eastAsia" w:ascii="仿宋" w:eastAsia="仿宋"/>
          <w:sz w:val="32"/>
          <w:szCs w:val="32"/>
        </w:rPr>
        <w:t>印刷费14.76万元、咨询费、手续费、水费万元、电费万元、邮电费万元、取暖费万元、物业管理费、差旅费0.13万元、因公出国（境）费用、维修（护）费、租赁费、会议费、培训费、公务接待费、劳务费、委托业务费、工会经费18.28</w:t>
      </w:r>
      <w:r>
        <w:rPr>
          <w:rFonts w:hint="eastAsia" w:ascii="仿宋" w:eastAsia="仿宋"/>
          <w:sz w:val="32"/>
          <w:szCs w:val="32"/>
          <w:lang w:val="en-US" w:eastAsia="zh-CN"/>
        </w:rPr>
        <w:t>万元</w:t>
      </w:r>
      <w:r>
        <w:rPr>
          <w:rFonts w:hint="eastAsia" w:ascii="仿宋" w:eastAsia="仿宋"/>
          <w:sz w:val="32"/>
          <w:szCs w:val="32"/>
        </w:rPr>
        <w:t>、福利费10.62</w:t>
      </w:r>
      <w:r>
        <w:rPr>
          <w:rFonts w:hint="eastAsia" w:ascii="仿宋" w:eastAsia="仿宋"/>
          <w:sz w:val="32"/>
          <w:szCs w:val="32"/>
          <w:lang w:val="en-US" w:eastAsia="zh-CN"/>
        </w:rPr>
        <w:t>万元</w:t>
      </w:r>
      <w:r>
        <w:rPr>
          <w:rFonts w:hint="eastAsia" w:ascii="仿宋" w:eastAsia="仿宋"/>
          <w:sz w:val="32"/>
          <w:szCs w:val="32"/>
        </w:rPr>
        <w:t>、公务用车运行维护费、其他交通费、税金及附加费用、其他商品和服务支出21.52</w:t>
      </w:r>
      <w:r>
        <w:rPr>
          <w:rFonts w:hint="eastAsia" w:ascii="仿宋" w:eastAsia="仿宋"/>
          <w:sz w:val="32"/>
          <w:szCs w:val="32"/>
          <w:lang w:val="en-US" w:eastAsia="zh-CN"/>
        </w:rPr>
        <w:t>万元</w:t>
      </w:r>
      <w:r>
        <w:rPr>
          <w:rFonts w:hint="eastAsia" w:ascii="仿宋" w:eastAsia="仿宋"/>
          <w:sz w:val="32"/>
          <w:szCs w:val="32"/>
        </w:rPr>
        <w:t>、办公设备购置、专用设备购置、信息网络及软件购置更新、其他资本性支出等。</w:t>
      </w:r>
    </w:p>
    <w:p w14:paraId="407E4636">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4BACA3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1C8F4C0">
      <w:pPr>
        <w:spacing w:line="600" w:lineRule="exact"/>
        <w:ind w:firstLine="640"/>
        <w:outlineLvl w:val="1"/>
        <w:rPr>
          <w:rStyle w:val="29"/>
          <w:rFonts w:ascii="黑体" w:eastAsia="黑体"/>
          <w:b w:val="0"/>
        </w:rPr>
      </w:pPr>
      <w:bookmarkStart w:id="31" w:name="_Toc15377215"/>
      <w:bookmarkStart w:id="32" w:name="_Toc15396609"/>
      <w:r>
        <w:rPr>
          <w:rFonts w:hint="eastAsia" w:ascii="黑体" w:eastAsia="黑体"/>
          <w:sz w:val="32"/>
          <w:szCs w:val="32"/>
        </w:rPr>
        <w:t>七、</w:t>
      </w:r>
      <w:r>
        <w:rPr>
          <w:rStyle w:val="29"/>
          <w:rFonts w:hint="eastAsia" w:ascii="黑体" w:eastAsia="黑体"/>
        </w:rPr>
        <w:t>“</w:t>
      </w:r>
      <w:r>
        <w:rPr>
          <w:rStyle w:val="29"/>
          <w:rFonts w:hint="eastAsia" w:ascii="黑体" w:eastAsia="黑体"/>
          <w:b w:val="0"/>
        </w:rPr>
        <w:t>三公”经费财政拨款支出决算情况说明</w:t>
      </w:r>
      <w:bookmarkEnd w:id="31"/>
      <w:bookmarkEnd w:id="32"/>
    </w:p>
    <w:p w14:paraId="0A218956">
      <w:pPr>
        <w:spacing w:line="600" w:lineRule="exact"/>
        <w:ind w:firstLine="640"/>
        <w:outlineLvl w:val="2"/>
        <w:rPr>
          <w:rFonts w:ascii="仿宋" w:eastAsia="仿宋"/>
          <w:b/>
          <w:sz w:val="32"/>
          <w:szCs w:val="32"/>
        </w:rPr>
      </w:pPr>
      <w:bookmarkStart w:id="33" w:name="_Toc15377216"/>
      <w:r>
        <w:rPr>
          <w:rFonts w:hint="eastAsia" w:ascii="仿宋" w:eastAsia="仿宋"/>
          <w:b/>
          <w:sz w:val="32"/>
          <w:szCs w:val="32"/>
        </w:rPr>
        <w:t>（一）“三公”经费财政拨款支出决算总体情况说明</w:t>
      </w:r>
      <w:bookmarkEnd w:id="33"/>
    </w:p>
    <w:p w14:paraId="744DD1B0">
      <w:pPr>
        <w:spacing w:line="600" w:lineRule="exact"/>
        <w:ind w:firstLine="640"/>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年“三公”经费财政拨款支出决算为0万元，完成预算0</w:t>
      </w:r>
      <w:r>
        <w:rPr>
          <w:rFonts w:ascii="仿宋" w:eastAsia="仿宋"/>
          <w:sz w:val="32"/>
          <w:szCs w:val="32"/>
        </w:rPr>
        <w:t>%</w:t>
      </w:r>
      <w:r>
        <w:rPr>
          <w:rFonts w:hint="eastAsia" w:ascii="仿宋" w:eastAsia="仿宋"/>
          <w:sz w:val="32"/>
          <w:szCs w:val="32"/>
        </w:rPr>
        <w:t>，决算数小于预算数（或与预算数持平）的主要原因是……。</w:t>
      </w:r>
    </w:p>
    <w:p w14:paraId="0CC8A792">
      <w:pPr>
        <w:spacing w:line="600" w:lineRule="exact"/>
        <w:ind w:firstLine="640"/>
        <w:rPr>
          <w:rFonts w:ascii="仿宋" w:eastAsia="仿宋"/>
          <w:b/>
          <w:sz w:val="32"/>
          <w:szCs w:val="32"/>
        </w:rPr>
      </w:pPr>
      <w:r>
        <w:rPr>
          <w:rFonts w:hint="eastAsia" w:ascii="仿宋" w:eastAsia="仿宋"/>
          <w:b/>
          <w:sz w:val="32"/>
          <w:szCs w:val="32"/>
        </w:rPr>
        <w:t>（注：上述“预算”口径为调整预算数，包括一般公共预算和政府性基金预算财政拨款支出决算情况。）</w:t>
      </w:r>
    </w:p>
    <w:p w14:paraId="2571BCAA">
      <w:pPr>
        <w:spacing w:line="600" w:lineRule="exact"/>
        <w:ind w:firstLine="640"/>
        <w:outlineLvl w:val="2"/>
        <w:rPr>
          <w:rFonts w:ascii="仿宋" w:eastAsia="仿宋"/>
          <w:b/>
          <w:sz w:val="32"/>
          <w:szCs w:val="32"/>
        </w:rPr>
      </w:pPr>
      <w:bookmarkStart w:id="34" w:name="_Toc15377217"/>
      <w:r>
        <w:rPr>
          <w:rFonts w:hint="eastAsia" w:ascii="仿宋" w:eastAsia="仿宋"/>
          <w:b/>
          <w:sz w:val="32"/>
          <w:szCs w:val="32"/>
        </w:rPr>
        <w:t>（二）“三公”经费财政拨款支出决算具体情况说明</w:t>
      </w:r>
      <w:bookmarkEnd w:id="34"/>
    </w:p>
    <w:p w14:paraId="68094635">
      <w:pPr>
        <w:spacing w:line="600" w:lineRule="exact"/>
        <w:ind w:firstLine="640"/>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年“三公”经费财政拨款支出决算中，因公出国（境）费支出决算0万元，占0</w:t>
      </w:r>
      <w:r>
        <w:rPr>
          <w:rFonts w:ascii="仿宋" w:eastAsia="仿宋"/>
          <w:sz w:val="32"/>
          <w:szCs w:val="32"/>
        </w:rPr>
        <w:t>%</w:t>
      </w:r>
      <w:r>
        <w:rPr>
          <w:rFonts w:hint="eastAsia" w:ascii="仿宋" w:eastAsia="仿宋"/>
          <w:sz w:val="32"/>
          <w:szCs w:val="32"/>
        </w:rPr>
        <w:t>；公务用车购置及运行维护费支出决算0万元，占0</w:t>
      </w:r>
      <w:r>
        <w:rPr>
          <w:rFonts w:ascii="仿宋" w:eastAsia="仿宋"/>
          <w:sz w:val="32"/>
          <w:szCs w:val="32"/>
        </w:rPr>
        <w:t>%</w:t>
      </w:r>
      <w:r>
        <w:rPr>
          <w:rFonts w:hint="eastAsia" w:ascii="仿宋" w:eastAsia="仿宋"/>
          <w:sz w:val="32"/>
          <w:szCs w:val="32"/>
        </w:rPr>
        <w:t>；公务接待费支出决算0万元，占0</w:t>
      </w:r>
      <w:r>
        <w:rPr>
          <w:rFonts w:ascii="仿宋" w:eastAsia="仿宋"/>
          <w:sz w:val="32"/>
          <w:szCs w:val="32"/>
        </w:rPr>
        <w:t>%</w:t>
      </w:r>
      <w:r>
        <w:rPr>
          <w:rFonts w:hint="eastAsia" w:ascii="仿宋" w:eastAsia="仿宋"/>
          <w:sz w:val="32"/>
          <w:szCs w:val="32"/>
        </w:rPr>
        <w:t>。具体情况如下：</w:t>
      </w:r>
    </w:p>
    <w:p w14:paraId="1C024EDF">
      <w:pPr>
        <w:spacing w:line="600" w:lineRule="exact"/>
        <w:ind w:firstLine="640"/>
        <w:rPr>
          <w:rFonts w:ascii="仿宋" w:eastAsia="仿宋"/>
          <w:sz w:val="32"/>
          <w:szCs w:val="32"/>
        </w:rPr>
      </w:pPr>
      <w:r>
        <w:rPr>
          <w:rFonts w:hint="eastAsia" w:ascii="仿宋" w:eastAsia="仿宋"/>
          <w:sz w:val="32"/>
          <w:szCs w:val="32"/>
        </w:rPr>
        <w:t>（图7：“三公”经费财政拨款支出结构）（饼状图）</w:t>
      </w:r>
    </w:p>
    <w:p w14:paraId="779B93EB">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因公出国（境）经费支出0</w:t>
      </w:r>
      <w:r>
        <w:rPr>
          <w:rFonts w:hint="eastAsia" w:ascii="仿宋_GB2312" w:eastAsia="仿宋_GB2312"/>
          <w:sz w:val="32"/>
          <w:szCs w:val="32"/>
        </w:rPr>
        <w:t>万元，</w:t>
      </w:r>
      <w:r>
        <w:rPr>
          <w:rStyle w:val="17"/>
          <w:rFonts w:hint="eastAsia" w:ascii="仿宋" w:eastAsia="仿宋"/>
          <w:b w:val="0"/>
          <w:bCs/>
          <w:sz w:val="32"/>
          <w:szCs w:val="32"/>
        </w:rPr>
        <w:t>完成预算0</w:t>
      </w:r>
      <w:r>
        <w:rPr>
          <w:rStyle w:val="17"/>
          <w:rFonts w:ascii="仿宋" w:eastAsia="仿宋"/>
          <w:b w:val="0"/>
          <w:bCs/>
          <w:sz w:val="32"/>
          <w:szCs w:val="32"/>
        </w:rPr>
        <w:t>%</w:t>
      </w:r>
      <w:r>
        <w:rPr>
          <w:rStyle w:val="17"/>
          <w:rFonts w:hint="eastAsia" w:ascii="仿宋" w:eastAsia="仿宋"/>
          <w:b w:val="0"/>
          <w:bCs/>
          <w:sz w:val="32"/>
          <w:szCs w:val="32"/>
        </w:rPr>
        <w:t>。</w:t>
      </w:r>
      <w:r>
        <w:rPr>
          <w:rFonts w:hint="eastAsia" w:ascii="仿宋_GB2312" w:eastAsia="仿宋_GB2312"/>
          <w:sz w:val="32"/>
          <w:szCs w:val="32"/>
        </w:rPr>
        <w:t>全年安排因公出国（境）团组0次，出国（境）0人。因公出国（境）支出决算比</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年增加</w:t>
      </w:r>
      <w:r>
        <w:rPr>
          <w:rFonts w:ascii="仿宋_GB2312" w:eastAsia="仿宋_GB2312"/>
          <w:sz w:val="32"/>
          <w:szCs w:val="32"/>
        </w:rPr>
        <w:t>/</w:t>
      </w:r>
      <w:r>
        <w:rPr>
          <w:rFonts w:hint="eastAsia" w:ascii="仿宋_GB2312" w:eastAsia="仿宋_GB2312"/>
          <w:sz w:val="32"/>
          <w:szCs w:val="32"/>
        </w:rPr>
        <w:t>减少0万元，增长</w:t>
      </w:r>
      <w:r>
        <w:rPr>
          <w:rFonts w:ascii="仿宋_GB2312" w:eastAsia="仿宋_GB2312"/>
          <w:sz w:val="32"/>
          <w:szCs w:val="32"/>
        </w:rPr>
        <w:t>/</w:t>
      </w:r>
      <w:r>
        <w:rPr>
          <w:rFonts w:hint="eastAsia" w:ascii="仿宋_GB2312" w:eastAsia="仿宋_GB2312"/>
          <w:sz w:val="32"/>
          <w:szCs w:val="32"/>
        </w:rPr>
        <w:t>下降0</w:t>
      </w:r>
      <w:r>
        <w:rPr>
          <w:rFonts w:ascii="仿宋_GB2312" w:eastAsia="仿宋_GB2312"/>
          <w:sz w:val="32"/>
          <w:szCs w:val="32"/>
        </w:rPr>
        <w:t>%</w:t>
      </w:r>
      <w:r>
        <w:rPr>
          <w:rFonts w:hint="eastAsia" w:ascii="仿宋_GB2312" w:eastAsia="仿宋_GB2312"/>
          <w:sz w:val="32"/>
          <w:szCs w:val="32"/>
        </w:rPr>
        <w:t>。主要原因是……。</w:t>
      </w:r>
    </w:p>
    <w:p w14:paraId="792DAD78">
      <w:pPr>
        <w:spacing w:line="600" w:lineRule="exact"/>
        <w:ind w:firstLine="640"/>
        <w:rPr>
          <w:rFonts w:ascii="仿宋_GB2312" w:eastAsia="仿宋_GB2312"/>
          <w:sz w:val="32"/>
          <w:szCs w:val="32"/>
        </w:rPr>
      </w:pPr>
      <w:r>
        <w:rPr>
          <w:rFonts w:hint="eastAsia" w:ascii="仿宋_GB2312" w:eastAsia="仿宋_GB2312"/>
          <w:sz w:val="32"/>
          <w:szCs w:val="32"/>
        </w:rPr>
        <w:t>开支内容包括：…（团组名称、出访地点、取得成效）等。</w:t>
      </w:r>
    </w:p>
    <w:p w14:paraId="6826CD8B">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公务用车购置及运行维护费支出0</w:t>
      </w:r>
      <w:r>
        <w:rPr>
          <w:rFonts w:hint="eastAsia" w:ascii="仿宋_GB2312" w:eastAsia="仿宋_GB2312"/>
          <w:sz w:val="32"/>
          <w:szCs w:val="32"/>
        </w:rPr>
        <w:t>万元,</w:t>
      </w:r>
      <w:r>
        <w:rPr>
          <w:rStyle w:val="17"/>
          <w:rFonts w:hint="eastAsia" w:ascii="仿宋" w:eastAsia="仿宋"/>
          <w:b w:val="0"/>
          <w:bCs/>
          <w:sz w:val="32"/>
          <w:szCs w:val="32"/>
        </w:rPr>
        <w:t>完成预算0</w:t>
      </w:r>
      <w:r>
        <w:rPr>
          <w:rStyle w:val="17"/>
          <w:rFonts w:ascii="仿宋" w:eastAsia="仿宋"/>
          <w:b w:val="0"/>
          <w:bCs/>
          <w:sz w:val="32"/>
          <w:szCs w:val="32"/>
        </w:rPr>
        <w:t>%</w:t>
      </w:r>
      <w:r>
        <w:rPr>
          <w:rStyle w:val="17"/>
          <w:rFonts w:hint="eastAsia" w:ascii="仿宋" w:eastAsia="仿宋"/>
          <w:b w:val="0"/>
          <w:bCs/>
          <w:sz w:val="32"/>
          <w:szCs w:val="32"/>
        </w:rPr>
        <w:t>。</w:t>
      </w:r>
      <w:r>
        <w:rPr>
          <w:rFonts w:hint="eastAsia" w:ascii="仿宋_GB2312" w:eastAsia="仿宋_GB2312"/>
          <w:sz w:val="32"/>
          <w:szCs w:val="32"/>
        </w:rPr>
        <w:t>公务用车购置及运行维护费支出决算比</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年增加</w:t>
      </w:r>
      <w:r>
        <w:rPr>
          <w:rFonts w:ascii="仿宋_GB2312" w:eastAsia="仿宋_GB2312"/>
          <w:sz w:val="32"/>
          <w:szCs w:val="32"/>
        </w:rPr>
        <w:t>/</w:t>
      </w:r>
      <w:r>
        <w:rPr>
          <w:rFonts w:hint="eastAsia" w:ascii="仿宋_GB2312" w:eastAsia="仿宋_GB2312"/>
          <w:sz w:val="32"/>
          <w:szCs w:val="32"/>
        </w:rPr>
        <w:t>减少0万元，增长</w:t>
      </w:r>
      <w:r>
        <w:rPr>
          <w:rFonts w:ascii="仿宋_GB2312" w:eastAsia="仿宋_GB2312"/>
          <w:sz w:val="32"/>
          <w:szCs w:val="32"/>
        </w:rPr>
        <w:t>/</w:t>
      </w:r>
      <w:r>
        <w:rPr>
          <w:rFonts w:hint="eastAsia" w:ascii="仿宋_GB2312" w:eastAsia="仿宋_GB2312"/>
          <w:sz w:val="32"/>
          <w:szCs w:val="32"/>
        </w:rPr>
        <w:t>下降0</w:t>
      </w:r>
      <w:r>
        <w:rPr>
          <w:rFonts w:ascii="仿宋_GB2312" w:eastAsia="仿宋_GB2312"/>
          <w:sz w:val="32"/>
          <w:szCs w:val="32"/>
        </w:rPr>
        <w:t>%</w:t>
      </w:r>
      <w:r>
        <w:rPr>
          <w:rFonts w:hint="eastAsia" w:ascii="仿宋_GB2312" w:eastAsia="仿宋_GB2312"/>
          <w:sz w:val="32"/>
          <w:szCs w:val="32"/>
        </w:rPr>
        <w:t>。主要原因是……。</w:t>
      </w:r>
    </w:p>
    <w:p w14:paraId="26595CBD">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公务用车购置支出0</w:t>
      </w:r>
      <w:r>
        <w:rPr>
          <w:rFonts w:hint="eastAsia" w:ascii="仿宋_GB2312" w:eastAsia="仿宋_GB2312"/>
          <w:sz w:val="32"/>
          <w:szCs w:val="32"/>
        </w:rPr>
        <w:t>万元。全年按规定更新购置公务用车0辆，其中：轿车0辆、金额0万元，越野车0辆、金额0万元，载客汽车0辆、金额0万元，主要用于…。截至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月底，单位共有公务用车0辆，其中：轿车0辆、越野车0辆、载客汽车0辆。</w:t>
      </w:r>
    </w:p>
    <w:p w14:paraId="54D36BAA">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公务用车运行维护费支出0</w:t>
      </w:r>
      <w:r>
        <w:rPr>
          <w:rFonts w:hint="eastAsia" w:ascii="仿宋_GB2312" w:eastAsia="仿宋_GB2312"/>
          <w:sz w:val="32"/>
          <w:szCs w:val="32"/>
        </w:rPr>
        <w:t>万元。主要用于</w:t>
      </w:r>
      <w:r>
        <w:rPr>
          <w:rFonts w:ascii="仿宋_GB2312" w:eastAsia="仿宋_GB2312"/>
          <w:sz w:val="32"/>
          <w:szCs w:val="32"/>
        </w:rPr>
        <w:t>…</w:t>
      </w:r>
      <w:r>
        <w:rPr>
          <w:rFonts w:hint="eastAsia" w:ascii="仿宋_GB2312" w:eastAsia="仿宋_GB2312"/>
          <w:sz w:val="32"/>
          <w:szCs w:val="32"/>
        </w:rPr>
        <w:t>（具体工作）等所需的公务用车燃料费、维修费、过路过桥费、保险费等支出。</w:t>
      </w:r>
    </w:p>
    <w:p w14:paraId="54ABD38B">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公务接待费支出0</w:t>
      </w:r>
      <w:r>
        <w:rPr>
          <w:rFonts w:hint="eastAsia" w:ascii="仿宋_GB2312" w:eastAsia="仿宋_GB2312"/>
          <w:sz w:val="32"/>
          <w:szCs w:val="32"/>
        </w:rPr>
        <w:t>万元，</w:t>
      </w:r>
      <w:r>
        <w:rPr>
          <w:rStyle w:val="17"/>
          <w:rFonts w:hint="eastAsia" w:ascii="仿宋" w:eastAsia="仿宋"/>
          <w:b w:val="0"/>
          <w:bCs/>
          <w:sz w:val="32"/>
          <w:szCs w:val="32"/>
        </w:rPr>
        <w:t>完成预算0</w:t>
      </w:r>
      <w:r>
        <w:rPr>
          <w:rStyle w:val="17"/>
          <w:rFonts w:ascii="仿宋" w:eastAsia="仿宋"/>
          <w:b w:val="0"/>
          <w:bCs/>
          <w:sz w:val="32"/>
          <w:szCs w:val="32"/>
        </w:rPr>
        <w:t>%</w:t>
      </w:r>
      <w:r>
        <w:rPr>
          <w:rStyle w:val="17"/>
          <w:rFonts w:hint="eastAsia" w:ascii="仿宋" w:eastAsia="仿宋"/>
          <w:b w:val="0"/>
          <w:bCs/>
          <w:sz w:val="32"/>
          <w:szCs w:val="32"/>
        </w:rPr>
        <w:t>。</w:t>
      </w:r>
      <w:r>
        <w:rPr>
          <w:rFonts w:hint="eastAsia" w:ascii="仿宋_GB2312" w:eastAsia="仿宋_GB2312"/>
          <w:sz w:val="32"/>
          <w:szCs w:val="32"/>
        </w:rPr>
        <w:t>公务接待费支出决算比</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年增加</w:t>
      </w:r>
      <w:r>
        <w:rPr>
          <w:rFonts w:ascii="仿宋_GB2312" w:eastAsia="仿宋_GB2312"/>
          <w:sz w:val="32"/>
          <w:szCs w:val="32"/>
        </w:rPr>
        <w:t>/</w:t>
      </w:r>
      <w:r>
        <w:rPr>
          <w:rFonts w:hint="eastAsia" w:ascii="仿宋_GB2312" w:eastAsia="仿宋_GB2312"/>
          <w:sz w:val="32"/>
          <w:szCs w:val="32"/>
        </w:rPr>
        <w:t>减少0万元，增长</w:t>
      </w:r>
      <w:r>
        <w:rPr>
          <w:rFonts w:ascii="仿宋_GB2312" w:eastAsia="仿宋_GB2312"/>
          <w:sz w:val="32"/>
          <w:szCs w:val="32"/>
        </w:rPr>
        <w:t>/</w:t>
      </w:r>
      <w:r>
        <w:rPr>
          <w:rFonts w:hint="eastAsia" w:ascii="仿宋_GB2312" w:eastAsia="仿宋_GB2312"/>
          <w:sz w:val="32"/>
          <w:szCs w:val="32"/>
        </w:rPr>
        <w:t>下降0</w:t>
      </w:r>
      <w:r>
        <w:rPr>
          <w:rFonts w:ascii="仿宋_GB2312" w:eastAsia="仿宋_GB2312"/>
          <w:sz w:val="32"/>
          <w:szCs w:val="32"/>
        </w:rPr>
        <w:t>%</w:t>
      </w:r>
      <w:r>
        <w:rPr>
          <w:rFonts w:hint="eastAsia" w:ascii="仿宋_GB2312" w:eastAsia="仿宋_GB2312"/>
          <w:sz w:val="32"/>
          <w:szCs w:val="32"/>
        </w:rPr>
        <w:t>。主要原因是……。其中：</w:t>
      </w:r>
    </w:p>
    <w:p w14:paraId="1572852C">
      <w:pPr>
        <w:spacing w:line="600" w:lineRule="exact"/>
        <w:ind w:firstLine="640"/>
        <w:rPr>
          <w:rFonts w:ascii="仿宋_GB2312" w:eastAsia="仿宋_GB2312"/>
          <w:sz w:val="32"/>
          <w:szCs w:val="32"/>
        </w:rPr>
      </w:pPr>
      <w:r>
        <w:rPr>
          <w:rFonts w:hint="eastAsia" w:ascii="仿宋" w:eastAsia="仿宋"/>
          <w:b/>
          <w:sz w:val="32"/>
          <w:szCs w:val="32"/>
        </w:rPr>
        <w:t>国内公务接待支出0</w:t>
      </w:r>
      <w:r>
        <w:rPr>
          <w:rFonts w:hint="eastAsia" w:ascii="仿宋_GB2312" w:eastAsia="仿宋_GB2312"/>
          <w:sz w:val="32"/>
          <w:szCs w:val="32"/>
        </w:rPr>
        <w:t>万元，主要用于……(执行公务、开展业务活动开支的交通费、住宿费、用餐费等)。国内公务接待0批次，0人次（不包括陪同人员），共计支出0万元，具体内容包括：…（接待具体项目、金额）。</w:t>
      </w:r>
    </w:p>
    <w:p w14:paraId="42AC53C0">
      <w:p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仿宋" w:eastAsia="仿宋"/>
          <w:b/>
          <w:sz w:val="32"/>
          <w:szCs w:val="32"/>
        </w:rPr>
        <w:t>外事接待支出0</w:t>
      </w:r>
      <w:r>
        <w:rPr>
          <w:rFonts w:hint="eastAsia" w:ascii="仿宋_GB2312" w:eastAsia="仿宋_GB2312"/>
          <w:sz w:val="32"/>
          <w:szCs w:val="32"/>
        </w:rPr>
        <w:t>万元，外事接待0批次，0人，共计支出0万元，主要用于……</w:t>
      </w:r>
      <w:r>
        <w:rPr>
          <w:rFonts w:hint="eastAsia" w:ascii="仿宋_GB2312" w:hAnsi="仿宋_GB2312" w:eastAsia="仿宋_GB2312" w:cs="仿宋_GB2312"/>
          <w:color w:val="auto"/>
          <w:kern w:val="2"/>
          <w:sz w:val="32"/>
          <w:szCs w:val="32"/>
          <w:highlight w:val="none"/>
          <w:lang w:val="en-US" w:eastAsia="zh-CN" w:bidi="ar-SA"/>
        </w:rPr>
        <w:t>（具体项目）。外事接待</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人次（不包括陪同人员），共计支出0万</w:t>
      </w:r>
      <w:r>
        <w:rPr>
          <w:rFonts w:hint="eastAsia" w:ascii="Times New Roman" w:hAnsi="Times New Roman" w:eastAsia="仿宋_GB2312" w:cs="仿宋_GB2312"/>
          <w:color w:val="auto"/>
          <w:kern w:val="2"/>
          <w:sz w:val="32"/>
          <w:szCs w:val="32"/>
          <w:highlight w:val="none"/>
          <w:lang w:val="en-US" w:eastAsia="zh-CN" w:bidi="ar-SA"/>
        </w:rPr>
        <w:t>元。</w:t>
      </w:r>
    </w:p>
    <w:p w14:paraId="0375029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5" w:name="_Toc15396610"/>
      <w:bookmarkStart w:id="36" w:name="_Toc15377218"/>
    </w:p>
    <w:p w14:paraId="09DAF2EA">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35"/>
      <w:bookmarkEnd w:id="36"/>
    </w:p>
    <w:p w14:paraId="07255EAD">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lang w:val="en-US" w:eastAsia="zh-CN"/>
        </w:rPr>
        <w:t>0.71</w:t>
      </w:r>
      <w:r>
        <w:rPr>
          <w:rFonts w:hint="eastAsia" w:ascii="仿宋_GB2312" w:hAnsi="仿宋_GB2312" w:eastAsia="仿宋_GB2312" w:cs="仿宋_GB2312"/>
          <w:color w:val="auto"/>
          <w:kern w:val="2"/>
          <w:sz w:val="32"/>
          <w:szCs w:val="32"/>
          <w:highlight w:val="none"/>
          <w:lang w:val="en-US" w:eastAsia="zh-CN" w:bidi="ar-SA"/>
        </w:rPr>
        <w:t>万元，占本年支出合计的0.02%</w:t>
      </w:r>
      <w:r>
        <w:rPr>
          <w:rFonts w:hint="eastAsia" w:ascii="Times New Roman" w:hAnsi="Times New Roman" w:eastAsia="仿宋_GB2312" w:cs="仿宋_GB2312"/>
          <w:color w:val="auto"/>
          <w:kern w:val="2"/>
          <w:sz w:val="32"/>
          <w:szCs w:val="32"/>
          <w:highlight w:val="none"/>
          <w:lang w:val="en-US" w:eastAsia="zh-CN" w:bidi="ar-SA"/>
        </w:rPr>
        <w:t>。与202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w:t>
      </w:r>
      <w:r>
        <w:rPr>
          <w:rFonts w:hint="eastAsia" w:eastAsia="仿宋_GB2312" w:cs="仿宋_GB2312"/>
          <w:color w:val="auto"/>
          <w:kern w:val="2"/>
          <w:sz w:val="32"/>
          <w:szCs w:val="32"/>
          <w:highlight w:val="none"/>
          <w:lang w:val="en-US" w:eastAsia="zh-CN" w:bidi="ar-SA"/>
        </w:rPr>
        <w:t>减少2.29</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下降76.33%</w:t>
      </w:r>
      <w:r>
        <w:rPr>
          <w:rFonts w:hint="eastAsia" w:ascii="Times New Roman" w:hAnsi="Times New Roman" w:eastAsia="仿宋_GB2312" w:cs="仿宋_GB2312"/>
          <w:color w:val="auto"/>
          <w:kern w:val="2"/>
          <w:sz w:val="32"/>
          <w:szCs w:val="32"/>
          <w:highlight w:val="none"/>
          <w:lang w:val="en-US" w:eastAsia="zh-CN" w:bidi="ar-SA"/>
        </w:rPr>
        <w:t>。主要变动原因是202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w:t>
      </w:r>
      <w:r>
        <w:rPr>
          <w:rFonts w:hint="eastAsia" w:eastAsia="仿宋_GB2312" w:cs="仿宋_GB2312"/>
          <w:color w:val="auto"/>
          <w:kern w:val="2"/>
          <w:sz w:val="32"/>
          <w:szCs w:val="32"/>
          <w:highlight w:val="none"/>
          <w:lang w:val="en-US" w:eastAsia="zh-CN" w:bidi="ar-SA"/>
        </w:rPr>
        <w:t xml:space="preserve">安排政府性基金预算财政拨款支出3万元，    </w:t>
      </w: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w:t>
      </w:r>
      <w:r>
        <w:rPr>
          <w:rFonts w:hint="eastAsia" w:eastAsia="仿宋_GB2312" w:cs="仿宋_GB2312"/>
          <w:color w:val="auto"/>
          <w:kern w:val="2"/>
          <w:sz w:val="32"/>
          <w:szCs w:val="32"/>
          <w:highlight w:val="none"/>
          <w:lang w:val="en-US" w:eastAsia="zh-CN" w:bidi="ar-SA"/>
        </w:rPr>
        <w:t>相关工作任务减少，该项财政拨款支出缩减至0.71万元，导致支出较上年下降。</w:t>
      </w:r>
    </w:p>
    <w:p w14:paraId="29677FA7">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5467B1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478AC74">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37" w:name="_Toc15396611"/>
      <w:bookmarkStart w:id="38" w:name="_Toc15377219"/>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37"/>
      <w:bookmarkEnd w:id="38"/>
    </w:p>
    <w:p w14:paraId="25D931C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43298DB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D4AD14E">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39" w:name="_Toc15377221"/>
      <w:bookmarkStart w:id="40" w:name="_Toc15396612"/>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39"/>
      <w:bookmarkEnd w:id="40"/>
    </w:p>
    <w:p w14:paraId="5BDD7D8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2"/>
      <w:r>
        <w:rPr>
          <w:rFonts w:hint="eastAsia" w:ascii="Times New Roman" w:hAnsi="Times New Roman" w:eastAsia="楷体_GB2312" w:cs="楷体_GB2312"/>
          <w:b/>
          <w:color w:val="auto"/>
          <w:sz w:val="32"/>
          <w:szCs w:val="32"/>
          <w:highlight w:val="none"/>
        </w:rPr>
        <w:t>（一）机关运行经费支出情况</w:t>
      </w:r>
      <w:bookmarkEnd w:id="41"/>
    </w:p>
    <w:p w14:paraId="2FAA139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红原县色地镇小学</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（或与202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年度决算数持平）。</w:t>
      </w:r>
    </w:p>
    <w:p w14:paraId="4648984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23E859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3"/>
      <w:r>
        <w:rPr>
          <w:rFonts w:hint="eastAsia" w:ascii="Times New Roman" w:hAnsi="Times New Roman" w:eastAsia="楷体_GB2312" w:cs="楷体_GB2312"/>
          <w:b/>
          <w:color w:val="auto"/>
          <w:sz w:val="32"/>
          <w:szCs w:val="32"/>
          <w:highlight w:val="none"/>
        </w:rPr>
        <w:t>（二）政府采购支出情况</w:t>
      </w:r>
      <w:bookmarkEnd w:id="42"/>
    </w:p>
    <w:p w14:paraId="0672D967">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红原县色地镇小学</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万元。授予中小企业合同金额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p>
    <w:p w14:paraId="7446321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53A7F3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3" w:name="_Toc15377224"/>
      <w:r>
        <w:rPr>
          <w:rFonts w:hint="eastAsia" w:ascii="Times New Roman" w:hAnsi="Times New Roman" w:eastAsia="楷体_GB2312" w:cs="楷体_GB2312"/>
          <w:b/>
          <w:color w:val="auto"/>
          <w:sz w:val="32"/>
          <w:szCs w:val="32"/>
          <w:highlight w:val="none"/>
        </w:rPr>
        <w:t>（三）国有资产占有使用情况</w:t>
      </w:r>
      <w:bookmarkEnd w:id="43"/>
    </w:p>
    <w:p w14:paraId="60D4F65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截至2025年12月31日，</w:t>
      </w:r>
      <w:r>
        <w:rPr>
          <w:rFonts w:hint="eastAsia" w:ascii="仿宋_GB2312" w:hAnsi="仿宋_GB2312" w:eastAsia="仿宋_GB2312" w:cs="仿宋_GB2312"/>
          <w:sz w:val="32"/>
          <w:szCs w:val="32"/>
        </w:rPr>
        <w:t>红原县色地镇小学</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辆，其中：主要负责人用车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辆，单价100万元（含）以上设备（不含车辆）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台（套）</w:t>
      </w:r>
      <w:r>
        <w:rPr>
          <w:rFonts w:hint="eastAsia" w:ascii="Times New Roman" w:hAnsi="Times New Roman" w:eastAsia="仿宋_GB2312" w:cs="仿宋_GB2312"/>
          <w:color w:val="auto"/>
          <w:kern w:val="2"/>
          <w:sz w:val="32"/>
          <w:szCs w:val="32"/>
          <w:highlight w:val="none"/>
          <w:lang w:val="en-US" w:eastAsia="zh-CN" w:bidi="ar-SA"/>
        </w:rPr>
        <w:t>。</w:t>
      </w:r>
    </w:p>
    <w:p w14:paraId="23785BE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8D7D75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51747C33">
      <w:pPr>
        <w:spacing w:line="600" w:lineRule="exact"/>
        <w:ind w:firstLine="420"/>
        <w:rPr>
          <w:rFonts w:ascii="仿宋_GB2312" w:eastAsia="仿宋_GB2312" w:cs="仿宋"/>
          <w:color w:val="000000"/>
          <w:kern w:val="0"/>
          <w:sz w:val="32"/>
          <w:szCs w:val="32"/>
        </w:rPr>
      </w:pPr>
      <w:r>
        <w:rPr>
          <w:rFonts w:hint="eastAsia" w:ascii="仿宋_GB2312" w:eastAsia="仿宋_GB2312" w:cs="仿宋"/>
          <w:color w:val="000000"/>
          <w:kern w:val="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eastAsia="仿宋_GB2312" w:cs="仿宋"/>
          <w:color w:val="000000"/>
          <w:kern w:val="0"/>
          <w:sz w:val="32"/>
          <w:szCs w:val="32"/>
          <w:lang w:val="zh-CN"/>
        </w:rPr>
        <w:t>工作规划和重点工作</w:t>
      </w:r>
      <w:r>
        <w:rPr>
          <w:rFonts w:hint="eastAsia" w:ascii="仿宋_GB2312" w:eastAsia="仿宋_GB2312" w:cs="仿宋"/>
          <w:color w:val="000000"/>
          <w:kern w:val="0"/>
          <w:sz w:val="32"/>
          <w:szCs w:val="32"/>
        </w:rPr>
        <w:t>规划</w:t>
      </w:r>
      <w:r>
        <w:rPr>
          <w:rFonts w:hint="eastAsia" w:ascii="仿宋_GB2312" w:eastAsia="仿宋_GB2312" w:cs="仿宋"/>
          <w:color w:val="000000"/>
          <w:kern w:val="0"/>
          <w:sz w:val="32"/>
          <w:szCs w:val="32"/>
          <w:lang w:val="zh-CN"/>
        </w:rPr>
        <w:t>，积极履行职责，强化本单位预算管理，</w:t>
      </w:r>
      <w:r>
        <w:rPr>
          <w:rFonts w:hint="eastAsia" w:ascii="仿宋_GB2312" w:eastAsia="仿宋_GB2312" w:cs="仿宋"/>
          <w:color w:val="000000"/>
          <w:kern w:val="0"/>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14:paraId="6EE47C58">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在绩效目标编制方面，加强预算绩效动态监控管理，加强相关人员的业务培训，进一步提高预算绩效评价质量。积极履行职责，强化本单位预算管理，较好地完成年初绩效工作。</w:t>
      </w:r>
    </w:p>
    <w:p w14:paraId="1C9CFCD4">
      <w:pPr>
        <w:spacing w:line="600" w:lineRule="exact"/>
        <w:ind w:firstLine="640" w:firstLineChars="200"/>
        <w:rPr>
          <w:rFonts w:hint="eastAsia" w:ascii="仿宋_GB2312" w:eastAsia="仿宋_GB2312" w:cs="仿宋"/>
          <w:color w:val="000000"/>
          <w:kern w:val="0"/>
          <w:sz w:val="32"/>
          <w:szCs w:val="32"/>
        </w:rPr>
      </w:pPr>
      <w:r>
        <w:rPr>
          <w:rFonts w:hint="eastAsia" w:ascii="仿宋_GB2312" w:eastAsia="仿宋_GB2312" w:cs="仿宋"/>
          <w:color w:val="000000"/>
          <w:kern w:val="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14:paraId="33F0247A">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本部门按要求对202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年部门整体支出绩效评价情况开展自评，《红原县</w:t>
      </w:r>
      <w:r>
        <w:rPr>
          <w:rFonts w:hint="eastAsia" w:ascii="仿宋_GB2312" w:eastAsia="仿宋_GB2312" w:cs="仿宋"/>
          <w:color w:val="000000"/>
          <w:kern w:val="0"/>
          <w:sz w:val="32"/>
          <w:szCs w:val="32"/>
          <w:lang w:val="en-US" w:eastAsia="zh-CN"/>
        </w:rPr>
        <w:t>色地镇</w:t>
      </w:r>
      <w:r>
        <w:rPr>
          <w:rFonts w:hint="eastAsia" w:ascii="仿宋_GB2312" w:eastAsia="仿宋_GB2312" w:cs="仿宋"/>
          <w:color w:val="000000"/>
          <w:kern w:val="0"/>
          <w:sz w:val="32"/>
          <w:szCs w:val="32"/>
        </w:rPr>
        <w:t>小学202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年部门整体支出绩效评价报告》见附件1</w:t>
      </w:r>
    </w:p>
    <w:p w14:paraId="205859B2">
      <w:pPr>
        <w:autoSpaceDE w:val="0"/>
        <w:autoSpaceDN w:val="0"/>
        <w:adjustRightInd w:val="0"/>
        <w:spacing w:line="600" w:lineRule="exact"/>
        <w:ind w:firstLine="643" w:firstLineChars="200"/>
        <w:rPr>
          <w:rFonts w:ascii="仿宋" w:eastAsia="仿宋"/>
          <w:b/>
          <w:sz w:val="32"/>
          <w:szCs w:val="32"/>
        </w:rPr>
      </w:pPr>
      <w:r>
        <w:rPr>
          <w:rFonts w:hint="eastAsia" w:ascii="仿宋" w:eastAsia="仿宋"/>
          <w:b/>
          <w:sz w:val="32"/>
          <w:szCs w:val="32"/>
        </w:rPr>
        <w:t>（注：单位</w:t>
      </w:r>
      <w:r>
        <w:rPr>
          <w:rFonts w:hint="eastAsia" w:ascii="仿宋_GB2312" w:eastAsia="仿宋_GB2312" w:cs="仿宋_GB2312"/>
          <w:b/>
          <w:sz w:val="32"/>
          <w:szCs w:val="32"/>
        </w:rPr>
        <w:t>202</w:t>
      </w:r>
      <w:r>
        <w:rPr>
          <w:rFonts w:hint="eastAsia" w:ascii="仿宋_GB2312" w:eastAsia="仿宋_GB2312" w:cs="仿宋_GB2312"/>
          <w:b/>
          <w:sz w:val="32"/>
          <w:szCs w:val="32"/>
          <w:lang w:val="en-US" w:eastAsia="zh-CN"/>
        </w:rPr>
        <w:t>5</w:t>
      </w:r>
      <w:r>
        <w:rPr>
          <w:rFonts w:hint="eastAsia" w:ascii="仿宋_GB2312" w:eastAsia="仿宋_GB2312" w:cs="仿宋_GB2312"/>
          <w:b/>
          <w:sz w:val="32"/>
          <w:szCs w:val="32"/>
        </w:rPr>
        <w:t>年特定目标类部门预算项目绩效目标自评表为本部门202</w:t>
      </w:r>
      <w:r>
        <w:rPr>
          <w:rFonts w:hint="eastAsia" w:ascii="仿宋_GB2312" w:eastAsia="仿宋_GB2312" w:cs="仿宋_GB2312"/>
          <w:b/>
          <w:sz w:val="32"/>
          <w:szCs w:val="32"/>
          <w:lang w:val="en-US" w:eastAsia="zh-CN"/>
        </w:rPr>
        <w:t>5</w:t>
      </w:r>
      <w:r>
        <w:rPr>
          <w:rFonts w:hint="eastAsia" w:ascii="仿宋_GB2312" w:eastAsia="仿宋_GB2312" w:cs="仿宋_GB2312"/>
          <w:b/>
          <w:sz w:val="32"/>
          <w:szCs w:val="32"/>
        </w:rPr>
        <w:t>年部门整体支出绩效评价报告中涉及本单位的附表</w:t>
      </w:r>
      <w:r>
        <w:rPr>
          <w:rFonts w:hint="eastAsia" w:ascii="仿宋" w:eastAsia="仿宋"/>
          <w:b/>
          <w:sz w:val="32"/>
          <w:szCs w:val="32"/>
        </w:rPr>
        <w:t>）</w:t>
      </w:r>
    </w:p>
    <w:p w14:paraId="241CC297">
      <w:pPr>
        <w:spacing w:line="600" w:lineRule="exact"/>
        <w:ind w:firstLine="640" w:firstLineChars="200"/>
        <w:rPr>
          <w:rFonts w:ascii="仿宋_GB2312" w:eastAsia="仿宋_GB2312" w:cs="仿宋"/>
          <w:color w:val="000000"/>
          <w:kern w:val="0"/>
          <w:sz w:val="32"/>
          <w:szCs w:val="32"/>
        </w:rPr>
      </w:pPr>
    </w:p>
    <w:p w14:paraId="38A6FA2E">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如不涉及，可根据实际修改表述。）</w:t>
      </w:r>
    </w:p>
    <w:p w14:paraId="00464DB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120F1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C362B39">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4" w:name="_Toc15396613"/>
      <w:bookmarkStart w:id="45"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4"/>
      <w:bookmarkEnd w:id="45"/>
    </w:p>
    <w:p w14:paraId="39EEFDCA">
      <w:pPr>
        <w:spacing w:line="600" w:lineRule="exact"/>
        <w:jc w:val="left"/>
        <w:rPr>
          <w:rFonts w:ascii="Times New Roman" w:hAnsi="Times New Roman"/>
          <w:b/>
          <w:color w:val="auto"/>
          <w:sz w:val="44"/>
          <w:szCs w:val="44"/>
          <w:highlight w:val="none"/>
        </w:rPr>
      </w:pPr>
    </w:p>
    <w:p w14:paraId="27ADAB8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14087CE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7DB6CB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677ADA7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5832737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23902C6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6C60AC7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485F21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660DA70B">
      <w:pPr>
        <w:ind w:firstLine="640" w:firstLineChars="200"/>
        <w:rPr>
          <w:rFonts w:ascii="仿宋_GB2312" w:eastAsia="仿宋_GB2312"/>
          <w:color w:val="000000"/>
          <w:sz w:val="32"/>
          <w:szCs w:val="32"/>
        </w:rPr>
      </w:pPr>
      <w:r>
        <w:rPr>
          <w:rFonts w:hint="eastAsia" w:ascii="仿宋_GB2312" w:eastAsia="仿宋_GB2312"/>
          <w:color w:val="000000"/>
          <w:sz w:val="32"/>
          <w:szCs w:val="32"/>
        </w:rPr>
        <w:t>9.教育</w:t>
      </w:r>
      <w:r>
        <w:rPr>
          <w:rFonts w:ascii="仿宋_GB2312" w:eastAsia="仿宋_GB2312"/>
          <w:color w:val="000000"/>
          <w:sz w:val="32"/>
          <w:szCs w:val="32"/>
        </w:rPr>
        <w:t>2050201：制学前教育收入；2050202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14:paraId="56920DC6">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14:paraId="7F20303D">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14:paraId="0AA9017E">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14:paraId="0BF6D931">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基本支出：指为保障机构正常运转、完成日常工作任务而发生的人员支出和公用支出。</w:t>
      </w:r>
    </w:p>
    <w:p w14:paraId="70AE0D33">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14:paraId="0F456701">
      <w:pPr>
        <w:ind w:firstLine="640" w:firstLineChars="200"/>
        <w:rPr>
          <w:rFonts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经营支出：指事业单位在专业业务活动及其辅助活动之外开展非独立核算经营活动发生的支出。</w:t>
      </w:r>
    </w:p>
    <w:p w14:paraId="686EC977">
      <w:pPr>
        <w:pStyle w:val="26"/>
        <w:spacing w:line="560" w:lineRule="exact"/>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C8F0702">
      <w:pPr>
        <w:pStyle w:val="26"/>
        <w:spacing w:line="560" w:lineRule="exact"/>
        <w:ind w:firstLine="640" w:firstLineChars="200"/>
        <w:rPr>
          <w:rFonts w:hint="eastAsia" w:ascii="Times New Roman" w:hAnsi="Times New Roman" w:eastAsia="仿宋_GB2312" w:cs="仿宋_GB2312"/>
          <w:b/>
          <w:bCs/>
          <w:color w:val="auto"/>
          <w:kern w:val="2"/>
          <w:sz w:val="32"/>
          <w:szCs w:val="32"/>
          <w:highlight w:val="none"/>
          <w:lang w:val="en-US" w:eastAsia="zh-CN" w:bidi="ar-SA"/>
        </w:rPr>
      </w:pPr>
      <w:r>
        <w:rPr>
          <w:rFonts w:ascii="仿宋_GB2312" w:eastAsia="仿宋_GB2312"/>
          <w:sz w:val="32"/>
          <w:szCs w:val="32"/>
        </w:rPr>
        <w:t>17.</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4C8B295B">
      <w:pPr>
        <w:spacing w:line="600" w:lineRule="exact"/>
        <w:jc w:val="center"/>
        <w:rPr>
          <w:rStyle w:val="28"/>
          <w:rFonts w:hint="eastAsia" w:ascii="Times New Roman" w:hAnsi="Times New Roman" w:eastAsia="黑体"/>
          <w:b w:val="0"/>
          <w:color w:val="auto"/>
          <w:highlight w:val="none"/>
          <w:lang w:eastAsia="zh-CN"/>
        </w:rPr>
      </w:pPr>
      <w:bookmarkStart w:id="46"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7"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7"/>
    </w:p>
    <w:p w14:paraId="799A5187">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0441304A">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0FA5FFC0">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6FED6BFE">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14:paraId="758571B0">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default" w:ascii="Times New Roman" w:hAnsi="Times New Roman" w:eastAsia="仿宋_GB2312" w:cs="Times New Roman"/>
          <w:sz w:val="32"/>
          <w:szCs w:val="32"/>
          <w:highlight w:val="none"/>
          <w:shd w:val="clear" w:color="auto" w:fill="FFFFFF"/>
        </w:rPr>
        <w:t>（报告范围包括机关和下属单位）</w:t>
      </w:r>
    </w:p>
    <w:p w14:paraId="5A42C248">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68DBC88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51EE722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Times New Roman" w:hAnsi="Times New Roman" w:eastAsia="仿宋_GB2312" w:cs="仿宋_GB2312"/>
          <w:color w:val="auto"/>
          <w:kern w:val="2"/>
          <w:sz w:val="32"/>
          <w:szCs w:val="32"/>
          <w:highlight w:val="none"/>
          <w:lang w:val="en-US" w:eastAsia="zh-CN" w:bidi="ar-SA"/>
        </w:rPr>
        <w:t>***内设</w:t>
      </w:r>
      <w:r>
        <w:rPr>
          <w:rFonts w:hint="default" w:ascii="Times New Roman" w:hAnsi="Times New Roman" w:eastAsia="仿宋_GB2312" w:cs="仿宋_GB2312"/>
          <w:color w:val="auto"/>
          <w:kern w:val="2"/>
          <w:sz w:val="32"/>
          <w:szCs w:val="32"/>
          <w:highlight w:val="none"/>
          <w:lang w:val="en-US" w:eastAsia="zh-CN" w:bidi="ar-SA"/>
        </w:rPr>
        <w:t>处室</w:t>
      </w:r>
      <w:r>
        <w:rPr>
          <w:rFonts w:hint="eastAsia" w:ascii="Times New Roman" w:hAnsi="Times New Roman" w:eastAsia="仿宋_GB2312" w:cs="仿宋_GB2312"/>
          <w:color w:val="auto"/>
          <w:kern w:val="2"/>
          <w:sz w:val="32"/>
          <w:szCs w:val="32"/>
          <w:highlight w:val="none"/>
          <w:lang w:val="en-US" w:eastAsia="zh-CN" w:bidi="ar-SA"/>
        </w:rPr>
        <w:t>及下属单位情况</w:t>
      </w:r>
      <w:r>
        <w:rPr>
          <w:rFonts w:hint="default" w:ascii="Times New Roman" w:hAnsi="Times New Roman" w:eastAsia="仿宋_GB2312" w:cs="仿宋_GB2312"/>
          <w:color w:val="auto"/>
          <w:kern w:val="2"/>
          <w:sz w:val="32"/>
          <w:szCs w:val="32"/>
          <w:highlight w:val="none"/>
          <w:lang w:val="en-US" w:eastAsia="zh-CN" w:bidi="ar-SA"/>
        </w:rPr>
        <w:t>。</w:t>
      </w:r>
    </w:p>
    <w:p w14:paraId="2AC1C081">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职责和功能。</w:t>
      </w:r>
    </w:p>
    <w:p w14:paraId="27EE3EEB">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年末，</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Times New Roman"/>
          <w:sz w:val="32"/>
          <w:szCs w:val="32"/>
          <w:lang w:val="en-US" w:eastAsia="zh-CN"/>
        </w:rPr>
        <w:t>及下属单位编制</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年末实有人数</w:t>
      </w:r>
      <w:r>
        <w:rPr>
          <w:rFonts w:hint="eastAsia" w:ascii="Times New Roman" w:hAnsi="Times New Roman" w:eastAsia="仿宋_GB2312" w:cs="Times New Roman"/>
          <w:sz w:val="32"/>
          <w:szCs w:val="32"/>
          <w:lang w:val="en-US" w:eastAsia="zh-CN"/>
        </w:rPr>
        <w:t>情况。</w:t>
      </w:r>
    </w:p>
    <w:p w14:paraId="3AFDC97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bookmarkStart w:id="63" w:name="_GoBack"/>
      <w:bookmarkEnd w:id="63"/>
    </w:p>
    <w:p w14:paraId="07D09281">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年年初预算收入情况、决算报表收入情况。</w:t>
      </w:r>
    </w:p>
    <w:p w14:paraId="584A1597">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年年初预算支出情况、决算报表支出情况。</w:t>
      </w:r>
    </w:p>
    <w:p w14:paraId="7D9C8B4D">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14:paraId="7F2F3B4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41E96DD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3ED5F6E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14:paraId="5461405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39EB2E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71ADE02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252861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1904AC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35D2C54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532A6FA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022BE75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2085F0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6C6BE84">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0745E052">
      <w:pPr>
        <w:keepNext w:val="0"/>
        <w:keepLines w:val="0"/>
        <w:pageBreakBefore w:val="0"/>
        <w:widowControl w:val="0"/>
        <w:kinsoku/>
        <w:wordWrap/>
        <w:overflowPunct/>
        <w:topLinePunct w:val="0"/>
        <w:autoSpaceDE/>
        <w:autoSpaceDN/>
        <w:bidi w:val="0"/>
        <w:snapToGrid w:val="0"/>
        <w:spacing w:line="60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省级部门对202</w:t>
      </w:r>
      <w:r>
        <w:rPr>
          <w:rFonts w:hint="eastAsia" w:eastAsia="仿宋_GB2312" w:cs="Times New Roman"/>
          <w:sz w:val="32"/>
          <w:szCs w:val="32"/>
          <w:highlight w:val="none"/>
          <w:lang w:val="en-US" w:eastAsia="zh-CN"/>
        </w:rPr>
        <w:t>5</w:t>
      </w:r>
      <w:r>
        <w:rPr>
          <w:rFonts w:hint="default" w:ascii="Times New Roman" w:hAnsi="Times New Roman" w:eastAsia="仿宋_GB2312" w:cs="Times New Roman"/>
          <w:sz w:val="32"/>
          <w:szCs w:val="32"/>
          <w:highlight w:val="none"/>
          <w:lang w:val="en-US" w:eastAsia="zh-CN"/>
        </w:rPr>
        <w:t>年度一般公共预算、政府性基金预算、国有资本经营预算安排的常年项目、阶段项目绩效目标完成情况，以及债券资金、政府购买服务有关情况进行梳理阐述</w:t>
      </w:r>
      <w:r>
        <w:rPr>
          <w:rFonts w:hint="eastAsia" w:ascii="Times New Roman" w:hAnsi="Times New Roman" w:eastAsia="仿宋_GB2312" w:cs="Times New Roman"/>
          <w:sz w:val="32"/>
          <w:szCs w:val="32"/>
          <w:highlight w:val="none"/>
          <w:lang w:val="en-US" w:eastAsia="zh-CN"/>
        </w:rPr>
        <w:t>。</w:t>
      </w:r>
    </w:p>
    <w:p w14:paraId="3DAEE75A">
      <w:pPr>
        <w:keepNext w:val="0"/>
        <w:keepLines w:val="0"/>
        <w:pageBreakBefore w:val="0"/>
        <w:widowControl w:val="0"/>
        <w:kinsoku/>
        <w:wordWrap/>
        <w:overflowPunct/>
        <w:topLinePunct w:val="0"/>
        <w:autoSpaceDE/>
        <w:autoSpaceDN/>
        <w:bidi w:val="0"/>
        <w:snapToGrid w:val="0"/>
        <w:spacing w:line="600" w:lineRule="exact"/>
        <w:ind w:firstLine="643" w:firstLineChars="200"/>
        <w:textAlignment w:val="auto"/>
        <w:rPr>
          <w:rFonts w:hint="default" w:ascii="Times New Roman" w:hAnsi="Times New Roman" w:eastAsia="仿宋_GB2312" w:cs="Times New Roman"/>
          <w:sz w:val="32"/>
          <w:szCs w:val="32"/>
          <w:highlight w:val="none"/>
          <w:u w:val="none"/>
          <w:lang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Times New Roman"/>
          <w:sz w:val="32"/>
          <w:szCs w:val="32"/>
          <w:highlight w:val="none"/>
          <w:u w:val="none"/>
          <w:lang w:val="zh-CN" w:eastAsia="zh-CN" w:bidi="ar"/>
        </w:rPr>
        <w:t>围绕内部应用情况、</w:t>
      </w:r>
      <w:r>
        <w:rPr>
          <w:rFonts w:hint="default" w:ascii="Times New Roman" w:hAnsi="Times New Roman" w:eastAsia="仿宋_GB2312" w:cs="Times New Roman"/>
          <w:sz w:val="32"/>
          <w:szCs w:val="32"/>
          <w:highlight w:val="none"/>
          <w:u w:val="none"/>
          <w:lang w:val="zh-CN" w:eastAsia="zh-CN" w:bidi="ar"/>
        </w:rPr>
        <w:t>信息公开情况</w:t>
      </w:r>
      <w:r>
        <w:rPr>
          <w:rFonts w:hint="eastAsia" w:ascii="Times New Roman" w:hAnsi="Times New Roman" w:eastAsia="仿宋_GB2312" w:cs="Times New Roman"/>
          <w:sz w:val="32"/>
          <w:szCs w:val="32"/>
          <w:highlight w:val="none"/>
          <w:u w:val="none"/>
          <w:lang w:val="zh-CN" w:eastAsia="zh-CN" w:bidi="ar"/>
        </w:rPr>
        <w:t>、</w:t>
      </w:r>
      <w:r>
        <w:rPr>
          <w:rFonts w:hint="default" w:ascii="Times New Roman" w:hAnsi="Times New Roman" w:eastAsia="仿宋_GB2312" w:cs="Times New Roman"/>
          <w:sz w:val="32"/>
          <w:szCs w:val="32"/>
          <w:highlight w:val="none"/>
          <w:u w:val="none"/>
          <w:lang w:val="zh-CN" w:eastAsia="zh-CN" w:bidi="ar"/>
        </w:rPr>
        <w:t>整改反馈情况</w:t>
      </w:r>
      <w:r>
        <w:rPr>
          <w:rFonts w:hint="eastAsia" w:ascii="Times New Roman" w:hAnsi="Times New Roman" w:eastAsia="仿宋_GB2312" w:cs="Times New Roman"/>
          <w:sz w:val="32"/>
          <w:szCs w:val="32"/>
          <w:highlight w:val="none"/>
          <w:u w:val="none"/>
          <w:lang w:val="zh-CN" w:eastAsia="zh-CN" w:bidi="ar"/>
        </w:rPr>
        <w:t>进行分析。</w:t>
      </w:r>
    </w:p>
    <w:p w14:paraId="6C77503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1DDB1F67">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Times New Roman"/>
          <w:sz w:val="32"/>
          <w:szCs w:val="32"/>
          <w:u w:val="none"/>
          <w:lang w:val="en-US" w:eastAsia="zh-CN" w:bidi="ar"/>
        </w:rPr>
        <w:t>简要阐述部门预算绩效自评总体结论，其中必须包含自评得分。</w:t>
      </w:r>
    </w:p>
    <w:p w14:paraId="2ADCC491">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Times New Roman"/>
          <w:sz w:val="32"/>
          <w:szCs w:val="32"/>
          <w:u w:val="none"/>
          <w:lang w:val="en-US" w:eastAsia="zh-CN" w:bidi="ar"/>
        </w:rPr>
        <w:t>简要阐述部门预算绩效自评发现的主要问题。</w:t>
      </w:r>
    </w:p>
    <w:p w14:paraId="1BA696FF">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eastAsia" w:ascii="Times New Roman" w:hAnsi="Times New Roman" w:eastAsia="仿宋_GB2312" w:cs="Times New Roman"/>
          <w:sz w:val="32"/>
          <w:szCs w:val="32"/>
          <w:u w:val="none"/>
          <w:lang w:val="en-US" w:eastAsia="zh-CN" w:bidi="ar"/>
        </w:rPr>
        <w:t>简要阐述</w:t>
      </w:r>
      <w:bookmarkStart w:id="48" w:name="_Hlk110546638"/>
      <w:r>
        <w:rPr>
          <w:rFonts w:hint="eastAsia" w:ascii="Times New Roman" w:hAnsi="Times New Roman" w:eastAsia="仿宋_GB2312" w:cs="Times New Roman"/>
          <w:sz w:val="32"/>
          <w:szCs w:val="32"/>
          <w:u w:val="none"/>
          <w:lang w:val="en" w:eastAsia="zh-CN" w:bidi="ar"/>
        </w:rPr>
        <w:t>预算安排、完善政策、改进管理等方面的</w:t>
      </w:r>
      <w:r>
        <w:rPr>
          <w:rFonts w:hint="eastAsia" w:ascii="Times New Roman" w:hAnsi="Times New Roman" w:eastAsia="仿宋_GB2312" w:cs="Times New Roman"/>
          <w:sz w:val="32"/>
          <w:szCs w:val="32"/>
          <w:u w:val="none"/>
          <w:lang w:val="en-US" w:eastAsia="zh-CN" w:bidi="ar"/>
        </w:rPr>
        <w:t>措施</w:t>
      </w:r>
      <w:r>
        <w:rPr>
          <w:rFonts w:hint="eastAsia" w:ascii="Times New Roman" w:hAnsi="Times New Roman" w:eastAsia="仿宋_GB2312" w:cs="Times New Roman"/>
          <w:sz w:val="32"/>
          <w:szCs w:val="32"/>
          <w:u w:val="none"/>
          <w:lang w:val="en" w:eastAsia="zh-CN" w:bidi="ar"/>
        </w:rPr>
        <w:t>建议，其中</w:t>
      </w:r>
      <w:r>
        <w:rPr>
          <w:rFonts w:hint="eastAsia" w:ascii="Times New Roman" w:hAnsi="Times New Roman" w:eastAsia="仿宋_GB2312" w:cs="Times New Roman"/>
          <w:sz w:val="32"/>
          <w:szCs w:val="32"/>
          <w:u w:val="none"/>
          <w:lang w:val="en-US" w:eastAsia="zh-CN" w:bidi="ar"/>
        </w:rPr>
        <w:t>必须对应评价发现的主要问题一一提出措施建议。</w:t>
      </w:r>
    </w:p>
    <w:bookmarkEnd w:id="48"/>
    <w:p w14:paraId="5697F4DD">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476E6104">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部门预算项目支出绩效自评表（2024年度）</w:t>
      </w:r>
    </w:p>
    <w:p w14:paraId="2CC4A6F9">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（注：按照绩效自评工作安排，各部门已在预算管理一体化系统绩效自评模块上传“部门预算项目支出绩效自评表（2024年度）”，该表格应作为附表予以公开）</w:t>
      </w:r>
    </w:p>
    <w:p w14:paraId="1D1BD818">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059B9446">
      <w:pPr>
        <w:pStyle w:val="2"/>
        <w:rPr>
          <w:rFonts w:hint="eastAsia" w:ascii="Times New Roman" w:hAnsi="Times New Roman" w:cs="宋体"/>
          <w:color w:val="FF0000"/>
          <w:kern w:val="0"/>
          <w:sz w:val="32"/>
          <w:szCs w:val="32"/>
          <w:highlight w:val="yellow"/>
          <w:shd w:val="clear" w:color="auto" w:fill="FFFFFF"/>
          <w:lang w:val="zh-CN"/>
        </w:rPr>
      </w:pPr>
    </w:p>
    <w:p w14:paraId="52398BB6">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07761544">
      <w:pPr>
        <w:pStyle w:val="2"/>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7A2BBDE7">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38171A57">
      <w:pPr>
        <w:pStyle w:val="3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14:paraId="48F3C35C">
      <w:pPr>
        <w:pStyle w:val="3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14:paraId="378B09CA">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14:paraId="5BF2D56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项目设立原因及背景，</w:t>
      </w:r>
      <w:r>
        <w:rPr>
          <w:rFonts w:hint="eastAsia" w:ascii="Times New Roman" w:hAnsi="Times New Roman" w:eastAsia="仿宋_GB2312" w:cs="仿宋_GB2312"/>
          <w:b w:val="0"/>
          <w:bCs w:val="0"/>
          <w:kern w:val="0"/>
          <w:position w:val="0"/>
          <w:sz w:val="32"/>
          <w:szCs w:val="32"/>
          <w:highlight w:val="none"/>
          <w:lang w:val="zh-CN" w:eastAsia="zh-CN" w:bidi="ar-SA"/>
        </w:rPr>
        <w:t>项目立项、资金申报的依据，项目主要内容</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主管部门职能</w:t>
      </w:r>
      <w:r>
        <w:rPr>
          <w:rFonts w:hint="eastAsia" w:ascii="Times New Roman" w:hAnsi="Times New Roman" w:eastAsia="仿宋_GB2312" w:cs="仿宋_GB2312"/>
          <w:color w:val="auto"/>
          <w:kern w:val="0"/>
          <w:sz w:val="32"/>
          <w:szCs w:val="32"/>
          <w:highlight w:val="none"/>
          <w:u w:val="none"/>
          <w:shd w:val="clear" w:color="auto" w:fill="FFFFFF"/>
          <w:lang w:val="zh-CN"/>
        </w:rPr>
        <w:t>。</w:t>
      </w:r>
    </w:p>
    <w:p w14:paraId="6B774A22">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项目资金</w:t>
      </w:r>
      <w:r>
        <w:rPr>
          <w:rFonts w:hint="eastAsia" w:ascii="Times New Roman" w:hAnsi="Times New Roman" w:eastAsia="仿宋_GB2312" w:cs="仿宋_GB2312"/>
          <w:b w:val="0"/>
          <w:bCs w:val="0"/>
          <w:kern w:val="0"/>
          <w:position w:val="0"/>
          <w:sz w:val="32"/>
          <w:szCs w:val="32"/>
          <w:highlight w:val="none"/>
          <w:lang w:val="zh-CN" w:eastAsia="zh-CN" w:bidi="ar-SA"/>
        </w:rPr>
        <w:t>管理办法制定情况，项目实施目的和主要工作任务，项目支持方向。</w:t>
      </w:r>
    </w:p>
    <w:p w14:paraId="27DF804E">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项目预算安排情况，项目资金分配原则及考虑因素，项目资金分配情况。</w:t>
      </w:r>
    </w:p>
    <w:p w14:paraId="1094EFAF">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项目整体、区域和具体绩效目标设置情况，项目自评工作开展情况。</w:t>
      </w:r>
    </w:p>
    <w:p w14:paraId="09E1F8AD">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14:paraId="184EA60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通过项目绩效自评要实现的目的。</w:t>
      </w:r>
    </w:p>
    <w:p w14:paraId="705002A9">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按照绩效评价指标体系，对资金支出使用全过程及其实施效果进行综合评价和判断。</w:t>
      </w:r>
    </w:p>
    <w:p w14:paraId="6CF6B93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楷体_GB2312"/>
          <w:b/>
          <w:color w:val="auto"/>
          <w:sz w:val="32"/>
          <w:szCs w:val="32"/>
          <w:highlight w:val="none"/>
          <w:u w:val="none"/>
          <w:lang w:val="zh-CN"/>
        </w:rPr>
      </w:pPr>
      <w:r>
        <w:rPr>
          <w:rFonts w:hint="eastAsia" w:ascii="Times New Roman" w:hAnsi="Times New Roman" w:eastAsia="楷体_GB2312"/>
          <w:b/>
          <w:color w:val="auto"/>
          <w:sz w:val="32"/>
          <w:szCs w:val="32"/>
          <w:highlight w:val="none"/>
          <w:u w:val="none"/>
          <w:lang w:val="zh-CN"/>
        </w:rPr>
        <w:t>（三）评价选点。</w:t>
      </w:r>
      <w:r>
        <w:rPr>
          <w:rFonts w:hint="eastAsia" w:ascii="Times New Roman" w:hAnsi="Times New Roman" w:eastAsia="仿宋_GB2312" w:cs="仿宋_GB2312"/>
          <w:b w:val="0"/>
          <w:color w:val="auto"/>
          <w:kern w:val="0"/>
          <w:sz w:val="32"/>
          <w:szCs w:val="32"/>
          <w:highlight w:val="none"/>
          <w:u w:val="none"/>
          <w:lang w:val="zh-CN"/>
        </w:rPr>
        <w:t>项目绩效自评所抽样点位情况。每个专项预算项目应选取专项资金分配涉及市县总数的20%、总计不超过20个的市县点位进行实地踏勘，且点位清单应作为自评附表。</w:t>
      </w:r>
    </w:p>
    <w:p w14:paraId="4596BEA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14:paraId="0FC7962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bCs/>
          <w:lang w:eastAsia="zh-CN"/>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评价组人员构成和职责分工。</w:t>
      </w:r>
    </w:p>
    <w:p w14:paraId="25483423">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14:paraId="70BEA98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hint="default"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hint="default"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hint="default"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hint="default"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14:paraId="0F8602F8">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p>
    <w:p w14:paraId="7D49343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项目决策。围绕决策程序、规划论证、资金投向进行绩效分析。</w:t>
      </w:r>
    </w:p>
    <w:p w14:paraId="6A82508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项目管理。围绕制度办法、分配管理、绩效监管进行绩效分析。</w:t>
      </w:r>
    </w:p>
    <w:p w14:paraId="60D5FE2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围绕预算执行、资金使用进行绩效分析。</w:t>
      </w:r>
    </w:p>
    <w:p w14:paraId="28F8DD5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4.项目结果。围绕</w:t>
      </w:r>
      <w:r>
        <w:rPr>
          <w:rFonts w:hint="eastAsia" w:ascii="Times New Roman" w:hAnsi="Times New Roman" w:eastAsia="仿宋_GB2312" w:cs="仿宋_GB2312"/>
          <w:b w:val="0"/>
          <w:bCs w:val="0"/>
          <w:kern w:val="0"/>
          <w:position w:val="0"/>
          <w:sz w:val="32"/>
          <w:szCs w:val="32"/>
          <w:highlight w:val="none"/>
          <w:lang w:val="zh-CN" w:eastAsia="zh-CN" w:bidi="ar-SA"/>
        </w:rPr>
        <w:t>目标完成、完成时效进行绩效分析。</w:t>
      </w:r>
    </w:p>
    <w:p w14:paraId="55584A8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en-US" w:eastAsia="zh-CN" w:bidi="ar-SA"/>
        </w:rPr>
        <w:t>专项预算项目资金支持对象选择所属指标进行绩效分析。支持对象</w:t>
      </w:r>
      <w:r>
        <w:rPr>
          <w:rFonts w:hint="eastAsia" w:ascii="Times New Roman" w:hAnsi="Times New Roman" w:eastAsia="仿宋_GB2312" w:cs="仿宋_GB2312"/>
          <w:b w:val="0"/>
          <w:bCs w:val="0"/>
          <w:kern w:val="0"/>
          <w:position w:val="0"/>
          <w:sz w:val="32"/>
          <w:szCs w:val="32"/>
          <w:highlight w:val="none"/>
          <w:lang w:val="zh-CN" w:eastAsia="zh-CN" w:bidi="ar-SA"/>
        </w:rPr>
        <w:t>包括产业发展、民生保障、基础设施、行政运转等方面。</w:t>
      </w:r>
    </w:p>
    <w:p w14:paraId="0EE4017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1.产业发展。围绕符合性、成长性、经济性进行绩效分析。</w:t>
      </w:r>
    </w:p>
    <w:p w14:paraId="14DE967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民生保障。</w:t>
      </w:r>
      <w:r>
        <w:rPr>
          <w:rFonts w:hint="eastAsia" w:ascii="Times New Roman" w:hAnsi="Times New Roman" w:eastAsia="仿宋_GB2312" w:cs="仿宋_GB2312"/>
          <w:b w:val="0"/>
          <w:bCs w:val="0"/>
          <w:kern w:val="0"/>
          <w:position w:val="0"/>
          <w:sz w:val="32"/>
          <w:szCs w:val="32"/>
          <w:highlight w:val="none"/>
          <w:lang w:val="en-US" w:eastAsia="zh-CN" w:bidi="ar-SA"/>
        </w:rPr>
        <w:t>围绕区域均衡性、对象精准性、标准合理性、群众满意度进行绩效分析。</w:t>
      </w:r>
    </w:p>
    <w:p w14:paraId="715D6DA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3.基础设施。在建项目围绕工程进度和资金拨付进行绩效分析；建成项目围绕项目验收、功能实现、后续管护进行</w:t>
      </w:r>
      <w:r>
        <w:rPr>
          <w:rFonts w:hint="eastAsia" w:ascii="Times New Roman" w:hAnsi="Times New Roman" w:eastAsia="仿宋_GB2312" w:cs="仿宋_GB2312"/>
          <w:b w:val="0"/>
          <w:bCs w:val="0"/>
          <w:kern w:val="0"/>
          <w:position w:val="0"/>
          <w:sz w:val="32"/>
          <w:szCs w:val="32"/>
          <w:highlight w:val="none"/>
          <w:lang w:val="zh-CN" w:eastAsia="zh-CN" w:bidi="ar-SA"/>
        </w:rPr>
        <w:t>绩效分析。</w:t>
      </w:r>
    </w:p>
    <w:p w14:paraId="04F36B0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w:t>
      </w:r>
      <w:r>
        <w:rPr>
          <w:rFonts w:hint="eastAsia" w:ascii="Times New Roman" w:hAnsi="Times New Roman" w:eastAsia="仿宋_GB2312" w:cs="仿宋_GB2312"/>
          <w:b w:val="0"/>
          <w:bCs w:val="0"/>
          <w:kern w:val="0"/>
          <w:position w:val="0"/>
          <w:sz w:val="32"/>
          <w:szCs w:val="32"/>
          <w:highlight w:val="none"/>
          <w:lang w:val="zh-CN" w:eastAsia="zh-CN" w:bidi="ar-SA"/>
        </w:rPr>
        <w:t>行政运转。围绕用途合规性、程序合规性、标准合规性进行绩效分析。</w:t>
      </w:r>
    </w:p>
    <w:p w14:paraId="708081E2">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根据项目个性自行设定部分指标，反映该项指标执行完成情况。</w:t>
      </w:r>
    </w:p>
    <w:p w14:paraId="5351045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14:paraId="3A25968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简要阐述专项预算项目绩效自评总体结论，包含评价总分、</w:t>
      </w:r>
      <w:r>
        <w:rPr>
          <w:rFonts w:hint="eastAsia" w:ascii="Times New Roman" w:hAnsi="Times New Roman" w:eastAsia="仿宋_GB2312" w:cs="仿宋_GB2312"/>
          <w:b w:val="0"/>
          <w:bCs w:val="0"/>
          <w:kern w:val="0"/>
          <w:position w:val="0"/>
          <w:sz w:val="32"/>
          <w:szCs w:val="32"/>
          <w:highlight w:val="none"/>
          <w:lang w:val="zh-CN" w:eastAsia="zh-CN" w:bidi="ar-SA"/>
        </w:rPr>
        <w:t>项目实施情况。</w:t>
      </w:r>
    </w:p>
    <w:p w14:paraId="044F5C6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14:paraId="69F0E25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简要阐述专项预算项目绩效自评发现的主要问题。</w:t>
      </w:r>
    </w:p>
    <w:p w14:paraId="6D08054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14:paraId="5227328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简要阐述专项预算项目在</w:t>
      </w:r>
      <w:r>
        <w:rPr>
          <w:rFonts w:hint="eastAsia" w:ascii="Times New Roman" w:hAnsi="Times New Roman" w:eastAsia="仿宋_GB2312" w:cs="仿宋_GB2312"/>
          <w:b w:val="0"/>
          <w:bCs w:val="0"/>
          <w:kern w:val="0"/>
          <w:position w:val="0"/>
          <w:sz w:val="32"/>
          <w:szCs w:val="32"/>
          <w:highlight w:val="none"/>
          <w:lang w:val="en" w:eastAsia="zh-CN" w:bidi="ar-SA"/>
        </w:rPr>
        <w:t>预算安排、完善政策、改进管理等方面的</w:t>
      </w:r>
      <w:r>
        <w:rPr>
          <w:rFonts w:hint="eastAsia" w:ascii="Times New Roman" w:hAnsi="Times New Roman" w:eastAsia="仿宋_GB2312" w:cs="仿宋_GB2312"/>
          <w:b w:val="0"/>
          <w:bCs w:val="0"/>
          <w:kern w:val="0"/>
          <w:position w:val="0"/>
          <w:sz w:val="32"/>
          <w:szCs w:val="32"/>
          <w:highlight w:val="none"/>
          <w:lang w:val="en-US" w:eastAsia="zh-CN" w:bidi="ar-SA"/>
        </w:rPr>
        <w:t>措施</w:t>
      </w:r>
      <w:r>
        <w:rPr>
          <w:rFonts w:hint="eastAsia" w:ascii="Times New Roman" w:hAnsi="Times New Roman" w:eastAsia="仿宋_GB2312" w:cs="仿宋_GB2312"/>
          <w:b w:val="0"/>
          <w:bCs w:val="0"/>
          <w:kern w:val="0"/>
          <w:position w:val="0"/>
          <w:sz w:val="32"/>
          <w:szCs w:val="32"/>
          <w:highlight w:val="none"/>
          <w:lang w:val="en" w:eastAsia="zh-CN" w:bidi="ar-SA"/>
        </w:rPr>
        <w:t>建议，其中</w:t>
      </w:r>
      <w:r>
        <w:rPr>
          <w:rFonts w:hint="eastAsia" w:ascii="Times New Roman" w:hAnsi="Times New Roman" w:eastAsia="仿宋_GB2312" w:cs="仿宋_GB2312"/>
          <w:b w:val="0"/>
          <w:bCs w:val="0"/>
          <w:kern w:val="0"/>
          <w:position w:val="0"/>
          <w:sz w:val="32"/>
          <w:szCs w:val="32"/>
          <w:highlight w:val="none"/>
          <w:lang w:val="en-US" w:eastAsia="zh-CN" w:bidi="ar-SA"/>
        </w:rPr>
        <w:t>必须对应评价发现的主要问题一一提出措施建议。</w:t>
      </w:r>
    </w:p>
    <w:p w14:paraId="0259F8A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eastAsia="仿宋_GB2312" w:cs="仿宋_GB2312"/>
          <w:b w:val="0"/>
          <w:bCs w:val="0"/>
          <w:kern w:val="0"/>
          <w:position w:val="0"/>
          <w:sz w:val="32"/>
          <w:szCs w:val="32"/>
          <w:highlight w:val="none"/>
          <w:lang w:val="en-US" w:eastAsia="zh-CN" w:bidi="ar-SA"/>
        </w:rPr>
        <w:t>注：</w:t>
      </w:r>
      <w:r>
        <w:rPr>
          <w:rFonts w:hint="eastAsia" w:ascii="Times New Roman" w:hAnsi="Times New Roman" w:eastAsia="仿宋_GB2312" w:cs="仿宋_GB2312"/>
          <w:b w:val="0"/>
          <w:bCs w:val="0"/>
          <w:kern w:val="0"/>
          <w:position w:val="0"/>
          <w:sz w:val="32"/>
          <w:szCs w:val="32"/>
          <w:highlight w:val="none"/>
          <w:lang w:val="en-US" w:eastAsia="zh-CN" w:bidi="ar-SA"/>
        </w:rPr>
        <w:t>以上绩效自评报告，除涉密敏感内容外，原则上都应予以公开）</w:t>
      </w:r>
    </w:p>
    <w:p w14:paraId="17C8024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2B6F34E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3F2CACD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49"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39761241">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46"/>
      <w:bookmarkEnd w:id="49"/>
      <w:bookmarkStart w:id="50" w:name="_Toc15396619"/>
    </w:p>
    <w:p w14:paraId="233903E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7A72670C">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0"/>
    </w:p>
    <w:p w14:paraId="43F03C9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0"/>
      <w:r>
        <w:rPr>
          <w:rFonts w:hint="eastAsia" w:ascii="Times New Roman" w:hAnsi="Times New Roman" w:eastAsia="仿宋_GB2312" w:cs="仿宋_GB2312"/>
          <w:color w:val="auto"/>
          <w:sz w:val="32"/>
          <w:szCs w:val="32"/>
          <w:highlight w:val="none"/>
        </w:rPr>
        <w:t>二、收入决算表</w:t>
      </w:r>
      <w:bookmarkEnd w:id="51"/>
    </w:p>
    <w:p w14:paraId="7C8075D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1"/>
      <w:r>
        <w:rPr>
          <w:rFonts w:hint="eastAsia" w:ascii="Times New Roman" w:hAnsi="Times New Roman" w:eastAsia="仿宋_GB2312" w:cs="仿宋_GB2312"/>
          <w:color w:val="auto"/>
          <w:sz w:val="32"/>
          <w:szCs w:val="32"/>
          <w:highlight w:val="none"/>
        </w:rPr>
        <w:t>三、支出决算表</w:t>
      </w:r>
      <w:bookmarkEnd w:id="52"/>
    </w:p>
    <w:p w14:paraId="345CC60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2"/>
      <w:r>
        <w:rPr>
          <w:rFonts w:hint="eastAsia" w:ascii="Times New Roman" w:hAnsi="Times New Roman" w:eastAsia="仿宋_GB2312" w:cs="仿宋_GB2312"/>
          <w:color w:val="auto"/>
          <w:sz w:val="32"/>
          <w:szCs w:val="32"/>
          <w:highlight w:val="none"/>
        </w:rPr>
        <w:t>四、财政拨款收入支出决算总表</w:t>
      </w:r>
      <w:bookmarkEnd w:id="53"/>
    </w:p>
    <w:p w14:paraId="0985ED5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3"/>
      <w:r>
        <w:rPr>
          <w:rFonts w:hint="eastAsia" w:ascii="Times New Roman" w:hAnsi="Times New Roman" w:eastAsia="仿宋_GB2312" w:cs="仿宋_GB2312"/>
          <w:color w:val="auto"/>
          <w:sz w:val="32"/>
          <w:szCs w:val="32"/>
          <w:highlight w:val="none"/>
        </w:rPr>
        <w:t>五、财政拨款支出决算明细表</w:t>
      </w:r>
      <w:bookmarkEnd w:id="54"/>
      <w:bookmarkStart w:id="55" w:name="_Toc15396624"/>
    </w:p>
    <w:p w14:paraId="3A93CFB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5"/>
    </w:p>
    <w:p w14:paraId="6D335FB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5"/>
      <w:r>
        <w:rPr>
          <w:rFonts w:hint="eastAsia" w:ascii="Times New Roman" w:hAnsi="Times New Roman" w:eastAsia="仿宋_GB2312" w:cs="仿宋_GB2312"/>
          <w:color w:val="auto"/>
          <w:sz w:val="32"/>
          <w:szCs w:val="32"/>
          <w:highlight w:val="none"/>
        </w:rPr>
        <w:t>七、一般公共预算财政拨款支出决算明细表</w:t>
      </w:r>
      <w:bookmarkEnd w:id="56"/>
    </w:p>
    <w:p w14:paraId="1D0366A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6"/>
      <w:r>
        <w:rPr>
          <w:rFonts w:hint="eastAsia" w:ascii="Times New Roman" w:hAnsi="Times New Roman" w:eastAsia="仿宋_GB2312" w:cs="仿宋_GB2312"/>
          <w:color w:val="auto"/>
          <w:sz w:val="32"/>
          <w:szCs w:val="32"/>
          <w:highlight w:val="none"/>
        </w:rPr>
        <w:t>八、一般公共预算财政拨款基本支出决算表</w:t>
      </w:r>
      <w:bookmarkEnd w:id="57"/>
    </w:p>
    <w:p w14:paraId="67139C6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7"/>
      <w:r>
        <w:rPr>
          <w:rFonts w:hint="eastAsia" w:ascii="Times New Roman" w:hAnsi="Times New Roman" w:eastAsia="仿宋_GB2312" w:cs="仿宋_GB2312"/>
          <w:color w:val="auto"/>
          <w:sz w:val="32"/>
          <w:szCs w:val="32"/>
          <w:highlight w:val="none"/>
        </w:rPr>
        <w:t>九、一般公共预算财政拨款项目支出决算表</w:t>
      </w:r>
      <w:bookmarkEnd w:id="58"/>
    </w:p>
    <w:p w14:paraId="1B8808F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8"/>
      <w:r>
        <w:rPr>
          <w:rFonts w:hint="eastAsia" w:ascii="Times New Roman" w:hAnsi="Times New Roman" w:eastAsia="仿宋_GB2312" w:cs="仿宋_GB2312"/>
          <w:color w:val="auto"/>
          <w:sz w:val="32"/>
          <w:szCs w:val="32"/>
          <w:highlight w:val="none"/>
        </w:rPr>
        <w:t>十、</w:t>
      </w:r>
      <w:bookmarkEnd w:id="59"/>
      <w:r>
        <w:rPr>
          <w:rFonts w:hint="eastAsia" w:ascii="Times New Roman" w:hAnsi="Times New Roman" w:eastAsia="仿宋_GB2312" w:cs="仿宋_GB2312"/>
          <w:color w:val="auto"/>
          <w:sz w:val="32"/>
          <w:szCs w:val="32"/>
          <w:highlight w:val="none"/>
        </w:rPr>
        <w:t>政府性基金预算财政拨款收入支出决算表</w:t>
      </w:r>
    </w:p>
    <w:p w14:paraId="6CA4E3B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9"/>
      <w:r>
        <w:rPr>
          <w:rFonts w:hint="eastAsia" w:ascii="Times New Roman" w:hAnsi="Times New Roman" w:eastAsia="仿宋_GB2312" w:cs="仿宋_GB2312"/>
          <w:color w:val="auto"/>
          <w:sz w:val="32"/>
          <w:szCs w:val="32"/>
          <w:highlight w:val="none"/>
        </w:rPr>
        <w:t>十一、</w:t>
      </w:r>
      <w:bookmarkEnd w:id="60"/>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068941D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30"/>
      <w:r>
        <w:rPr>
          <w:rFonts w:hint="eastAsia" w:ascii="Times New Roman" w:hAnsi="Times New Roman" w:eastAsia="仿宋_GB2312" w:cs="仿宋_GB2312"/>
          <w:color w:val="auto"/>
          <w:sz w:val="32"/>
          <w:szCs w:val="32"/>
          <w:highlight w:val="none"/>
        </w:rPr>
        <w:t>十二、</w:t>
      </w:r>
      <w:bookmarkEnd w:id="61"/>
      <w:r>
        <w:rPr>
          <w:rFonts w:hint="eastAsia" w:ascii="Times New Roman" w:hAnsi="Times New Roman" w:eastAsia="仿宋_GB2312" w:cs="仿宋_GB2312"/>
          <w:color w:val="auto"/>
          <w:sz w:val="32"/>
          <w:szCs w:val="32"/>
          <w:highlight w:val="none"/>
          <w:lang w:eastAsia="zh-CN"/>
        </w:rPr>
        <w:t>国有资本经营预算财政拨款支出决算表</w:t>
      </w:r>
    </w:p>
    <w:p w14:paraId="4AD4D9B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2" w:name="_Toc15396631"/>
      <w:r>
        <w:rPr>
          <w:rFonts w:hint="eastAsia" w:ascii="Times New Roman" w:hAnsi="Times New Roman" w:eastAsia="仿宋_GB2312" w:cs="仿宋_GB2312"/>
          <w:color w:val="auto"/>
          <w:sz w:val="32"/>
          <w:szCs w:val="32"/>
          <w:highlight w:val="none"/>
        </w:rPr>
        <w:t>十三、</w:t>
      </w:r>
      <w:bookmarkEnd w:id="62"/>
      <w:r>
        <w:rPr>
          <w:rFonts w:hint="eastAsia" w:ascii="Times New Roman" w:hAnsi="Times New Roman" w:eastAsia="仿宋_GB2312" w:cs="仿宋_GB2312"/>
          <w:color w:val="auto"/>
          <w:sz w:val="32"/>
          <w:szCs w:val="32"/>
          <w:highlight w:val="none"/>
          <w:lang w:eastAsia="zh-CN"/>
        </w:rPr>
        <w:t>财政拨款“三公”经费支出决算表</w:t>
      </w:r>
    </w:p>
    <w:p w14:paraId="2F407FCA">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92A1F9E-A9CB-4BC8-A118-AC33CDD257F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2" w:fontKey="{B546E4F3-4C19-44C3-BD49-3607EC0BA48E}"/>
  </w:font>
  <w:font w:name="仿宋_GB2312">
    <w:altName w:val="仿宋"/>
    <w:panose1 w:val="02010609030101010101"/>
    <w:charset w:val="86"/>
    <w:family w:val="modern"/>
    <w:pitch w:val="default"/>
    <w:sig w:usb0="00000000" w:usb1="00000000" w:usb2="00000000" w:usb3="00000000" w:csb0="00040000" w:csb1="00000000"/>
    <w:embedRegular r:id="rId3" w:fontKey="{3E9886CC-CFA8-4A1A-9642-70146B6574F6}"/>
  </w:font>
  <w:font w:name="仿宋">
    <w:panose1 w:val="02010609060101010101"/>
    <w:charset w:val="86"/>
    <w:family w:val="modern"/>
    <w:pitch w:val="default"/>
    <w:sig w:usb0="800002BF" w:usb1="38CF7CFA" w:usb2="00000016" w:usb3="00000000" w:csb0="00040001" w:csb1="00000000"/>
    <w:embedRegular r:id="rId4" w:fontKey="{791B25AF-E60D-4A27-B39F-575883DFADF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00000001" w:usb1="08000000" w:usb2="00000000" w:usb3="00000000" w:csb0="00040000" w:csb1="00000000"/>
    <w:embedRegular r:id="rId5" w:fontKey="{C92306A9-BC3A-43FD-8493-0475CF69D47A}"/>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embedRegular r:id="rId6" w:fontKey="{6F293AE8-3B44-4AEE-A38A-FFD3BC126295}"/>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85784">
    <w:pPr>
      <w:pStyle w:val="10"/>
      <w:jc w:val="center"/>
    </w:pPr>
  </w:p>
  <w:p w14:paraId="46D4CC3D">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27399">
    <w:pPr>
      <w:pStyle w:val="10"/>
      <w:jc w:val="center"/>
    </w:pPr>
  </w:p>
  <w:p w14:paraId="0177FDC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05EF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6E82C">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8C403"/>
    <w:multiLevelType w:val="singleLevel"/>
    <w:tmpl w:val="BA48C403"/>
    <w:lvl w:ilvl="0" w:tentative="0">
      <w:start w:val="1"/>
      <w:numFmt w:val="chineseCounting"/>
      <w:suff w:val="nothing"/>
      <w:lvlText w:val="%1、"/>
      <w:lvlJc w:val="left"/>
      <w:pPr>
        <w:ind w:left="0" w:firstLine="0"/>
      </w:pPr>
      <w:rPr>
        <w:rFonts w:hint="eastAsia"/>
      </w:rPr>
    </w:lvl>
  </w:abstractNum>
  <w:abstractNum w:abstractNumId="1">
    <w:nsid w:val="F7B26980"/>
    <w:multiLevelType w:val="singleLevel"/>
    <w:tmpl w:val="F7B26980"/>
    <w:lvl w:ilvl="0" w:tentative="0">
      <w:start w:val="4"/>
      <w:numFmt w:val="chineseCounting"/>
      <w:suff w:val="nothing"/>
      <w:lvlText w:val="%1、"/>
      <w:lvlJc w:val="left"/>
      <w:rPr>
        <w:rFonts w:hint="eastAsia"/>
      </w:rPr>
    </w:lvl>
  </w:abstractNum>
  <w:abstractNum w:abstractNumId="2">
    <w:nsid w:val="21373878"/>
    <w:multiLevelType w:val="singleLevel"/>
    <w:tmpl w:val="21373878"/>
    <w:lvl w:ilvl="0" w:tentative="0">
      <w:start w:val="2"/>
      <w:numFmt w:val="chineseCounting"/>
      <w:suff w:val="nothing"/>
      <w:lvlText w:val="（%1）"/>
      <w:lvlJc w:val="left"/>
      <w:rPr>
        <w:rFonts w:hint="eastAsia"/>
      </w:rPr>
    </w:lvl>
  </w:abstractNum>
  <w:abstractNum w:abstractNumId="3">
    <w:nsid w:val="29DE44E0"/>
    <w:multiLevelType w:val="singleLevel"/>
    <w:tmpl w:val="29DE44E0"/>
    <w:lvl w:ilvl="0" w:tentative="0">
      <w:start w:val="1"/>
      <w:numFmt w:val="chineseCounting"/>
      <w:suff w:val="space"/>
      <w:lvlText w:val="第%1部分"/>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485745"/>
    <w:rsid w:val="015975B8"/>
    <w:rsid w:val="01993D60"/>
    <w:rsid w:val="02FEBE30"/>
    <w:rsid w:val="0394687F"/>
    <w:rsid w:val="03C74BB5"/>
    <w:rsid w:val="04916F1E"/>
    <w:rsid w:val="04A3732E"/>
    <w:rsid w:val="05393890"/>
    <w:rsid w:val="061E35DE"/>
    <w:rsid w:val="066E0107"/>
    <w:rsid w:val="07261BF2"/>
    <w:rsid w:val="07996F6E"/>
    <w:rsid w:val="07DFD8BA"/>
    <w:rsid w:val="08966904"/>
    <w:rsid w:val="08CF14B0"/>
    <w:rsid w:val="09867E8F"/>
    <w:rsid w:val="09FB55B8"/>
    <w:rsid w:val="0A2032A3"/>
    <w:rsid w:val="0B664CB3"/>
    <w:rsid w:val="0C3C77C2"/>
    <w:rsid w:val="0C5E3BDC"/>
    <w:rsid w:val="0CA8290A"/>
    <w:rsid w:val="0D35B1ED"/>
    <w:rsid w:val="0D58687D"/>
    <w:rsid w:val="0E254B6B"/>
    <w:rsid w:val="0F6E2388"/>
    <w:rsid w:val="0F98263C"/>
    <w:rsid w:val="0FE16FFE"/>
    <w:rsid w:val="101860EC"/>
    <w:rsid w:val="101F47CC"/>
    <w:rsid w:val="104A6951"/>
    <w:rsid w:val="10C055FF"/>
    <w:rsid w:val="11694EBD"/>
    <w:rsid w:val="11772AA4"/>
    <w:rsid w:val="118107EC"/>
    <w:rsid w:val="119500A0"/>
    <w:rsid w:val="12AF5192"/>
    <w:rsid w:val="12E24EE2"/>
    <w:rsid w:val="130D3C66"/>
    <w:rsid w:val="13D50BC4"/>
    <w:rsid w:val="13E250F3"/>
    <w:rsid w:val="142E0338"/>
    <w:rsid w:val="146512F5"/>
    <w:rsid w:val="14B17F78"/>
    <w:rsid w:val="15EB4733"/>
    <w:rsid w:val="165E0673"/>
    <w:rsid w:val="16677B31"/>
    <w:rsid w:val="16B831D5"/>
    <w:rsid w:val="16BB723D"/>
    <w:rsid w:val="17E50567"/>
    <w:rsid w:val="186504BB"/>
    <w:rsid w:val="18F57676"/>
    <w:rsid w:val="19143FA0"/>
    <w:rsid w:val="19A445FC"/>
    <w:rsid w:val="19B1359D"/>
    <w:rsid w:val="1BE8440E"/>
    <w:rsid w:val="1D155CEE"/>
    <w:rsid w:val="1D1638FE"/>
    <w:rsid w:val="1E312DEB"/>
    <w:rsid w:val="1E740ACF"/>
    <w:rsid w:val="1F552C1D"/>
    <w:rsid w:val="1FE16BA6"/>
    <w:rsid w:val="1FF35744"/>
    <w:rsid w:val="1FF6BC77"/>
    <w:rsid w:val="20A019FB"/>
    <w:rsid w:val="20CD4A4F"/>
    <w:rsid w:val="2186353C"/>
    <w:rsid w:val="21C10A3D"/>
    <w:rsid w:val="2237485C"/>
    <w:rsid w:val="22883309"/>
    <w:rsid w:val="22DF0D93"/>
    <w:rsid w:val="237963EE"/>
    <w:rsid w:val="23860B96"/>
    <w:rsid w:val="240371BF"/>
    <w:rsid w:val="244F3473"/>
    <w:rsid w:val="24C97D99"/>
    <w:rsid w:val="2547125A"/>
    <w:rsid w:val="25A718F0"/>
    <w:rsid w:val="25BB59F6"/>
    <w:rsid w:val="260F557C"/>
    <w:rsid w:val="26970054"/>
    <w:rsid w:val="27027B2E"/>
    <w:rsid w:val="278E3170"/>
    <w:rsid w:val="27FA6A57"/>
    <w:rsid w:val="281408E2"/>
    <w:rsid w:val="28DC26C7"/>
    <w:rsid w:val="29930F11"/>
    <w:rsid w:val="29FD04D3"/>
    <w:rsid w:val="2BFF7BC6"/>
    <w:rsid w:val="2C6721E1"/>
    <w:rsid w:val="2C8A61B5"/>
    <w:rsid w:val="2DF04E50"/>
    <w:rsid w:val="2E526B0A"/>
    <w:rsid w:val="2E586DFA"/>
    <w:rsid w:val="2ECB6A58"/>
    <w:rsid w:val="2F040D46"/>
    <w:rsid w:val="2F6B035B"/>
    <w:rsid w:val="2FAE5751"/>
    <w:rsid w:val="2FB1A395"/>
    <w:rsid w:val="2FD9A7D8"/>
    <w:rsid w:val="2FDBF714"/>
    <w:rsid w:val="30087837"/>
    <w:rsid w:val="30AB6865"/>
    <w:rsid w:val="30F71D86"/>
    <w:rsid w:val="31833619"/>
    <w:rsid w:val="319F7F4E"/>
    <w:rsid w:val="31E56082"/>
    <w:rsid w:val="32BD1EF1"/>
    <w:rsid w:val="32C4038E"/>
    <w:rsid w:val="3304709D"/>
    <w:rsid w:val="33955886"/>
    <w:rsid w:val="339A4C4A"/>
    <w:rsid w:val="33A773CB"/>
    <w:rsid w:val="342033A2"/>
    <w:rsid w:val="349D6851"/>
    <w:rsid w:val="34B85CD0"/>
    <w:rsid w:val="34E24AFB"/>
    <w:rsid w:val="36AA5135"/>
    <w:rsid w:val="36BE0DA7"/>
    <w:rsid w:val="376B6AA6"/>
    <w:rsid w:val="376D39B2"/>
    <w:rsid w:val="37E16F03"/>
    <w:rsid w:val="37F53A3B"/>
    <w:rsid w:val="38585AEC"/>
    <w:rsid w:val="389B6C89"/>
    <w:rsid w:val="38D469F0"/>
    <w:rsid w:val="392C27E9"/>
    <w:rsid w:val="39627CCD"/>
    <w:rsid w:val="397BAF1F"/>
    <w:rsid w:val="3AB79AF3"/>
    <w:rsid w:val="3AE834C0"/>
    <w:rsid w:val="3B3D2A8B"/>
    <w:rsid w:val="3B7EF35A"/>
    <w:rsid w:val="3B9FDB6C"/>
    <w:rsid w:val="3BBF7944"/>
    <w:rsid w:val="3BF5BC2F"/>
    <w:rsid w:val="3C6109FB"/>
    <w:rsid w:val="3CEBA265"/>
    <w:rsid w:val="3CFD6B51"/>
    <w:rsid w:val="3D98207C"/>
    <w:rsid w:val="3DEE7CF3"/>
    <w:rsid w:val="3E740A63"/>
    <w:rsid w:val="3E78745D"/>
    <w:rsid w:val="3EA846BF"/>
    <w:rsid w:val="3EE17838"/>
    <w:rsid w:val="3F55381A"/>
    <w:rsid w:val="3F7F7599"/>
    <w:rsid w:val="3FF4CAE0"/>
    <w:rsid w:val="3FF7B227"/>
    <w:rsid w:val="412978A0"/>
    <w:rsid w:val="42213106"/>
    <w:rsid w:val="43CD6976"/>
    <w:rsid w:val="44E268DA"/>
    <w:rsid w:val="450D13D7"/>
    <w:rsid w:val="45506656"/>
    <w:rsid w:val="480C40F9"/>
    <w:rsid w:val="486A6C7A"/>
    <w:rsid w:val="496725BE"/>
    <w:rsid w:val="4A627F82"/>
    <w:rsid w:val="4B0E749A"/>
    <w:rsid w:val="4B2477C4"/>
    <w:rsid w:val="4B4F25DA"/>
    <w:rsid w:val="4BE068DB"/>
    <w:rsid w:val="4D577224"/>
    <w:rsid w:val="4DBF1CEB"/>
    <w:rsid w:val="4DF0007C"/>
    <w:rsid w:val="4EA824BA"/>
    <w:rsid w:val="4EAB630A"/>
    <w:rsid w:val="4ECE2238"/>
    <w:rsid w:val="4F833267"/>
    <w:rsid w:val="4FC275AB"/>
    <w:rsid w:val="4FE9BD67"/>
    <w:rsid w:val="4FFB052F"/>
    <w:rsid w:val="52157E66"/>
    <w:rsid w:val="523B3C67"/>
    <w:rsid w:val="537E6D0A"/>
    <w:rsid w:val="53F74C96"/>
    <w:rsid w:val="546E385E"/>
    <w:rsid w:val="54EF0E42"/>
    <w:rsid w:val="55170BA8"/>
    <w:rsid w:val="553218C9"/>
    <w:rsid w:val="55C951EF"/>
    <w:rsid w:val="55F8409D"/>
    <w:rsid w:val="567E1AA5"/>
    <w:rsid w:val="56E47B74"/>
    <w:rsid w:val="57175D52"/>
    <w:rsid w:val="57664CC0"/>
    <w:rsid w:val="57BD3DD4"/>
    <w:rsid w:val="585F62DF"/>
    <w:rsid w:val="599C3207"/>
    <w:rsid w:val="5A737E20"/>
    <w:rsid w:val="5AF92295"/>
    <w:rsid w:val="5B250254"/>
    <w:rsid w:val="5BDD79E6"/>
    <w:rsid w:val="5BF561CA"/>
    <w:rsid w:val="5BFF5DFC"/>
    <w:rsid w:val="5CBD35D4"/>
    <w:rsid w:val="5CD71FC4"/>
    <w:rsid w:val="5D1F11B5"/>
    <w:rsid w:val="5D285B0E"/>
    <w:rsid w:val="5D695134"/>
    <w:rsid w:val="5DAE1B18"/>
    <w:rsid w:val="5DE7D9E5"/>
    <w:rsid w:val="5ECEC941"/>
    <w:rsid w:val="5F7A1614"/>
    <w:rsid w:val="5FBF9FF3"/>
    <w:rsid w:val="5FCD4E2C"/>
    <w:rsid w:val="5FEF394A"/>
    <w:rsid w:val="5FF67715"/>
    <w:rsid w:val="600532C8"/>
    <w:rsid w:val="62AA0157"/>
    <w:rsid w:val="62BF3928"/>
    <w:rsid w:val="63B3701E"/>
    <w:rsid w:val="64025D70"/>
    <w:rsid w:val="647F5392"/>
    <w:rsid w:val="64F63B27"/>
    <w:rsid w:val="65A90B99"/>
    <w:rsid w:val="65E66580"/>
    <w:rsid w:val="664B1D71"/>
    <w:rsid w:val="664B4E8E"/>
    <w:rsid w:val="67277B67"/>
    <w:rsid w:val="67AA3209"/>
    <w:rsid w:val="698D0931"/>
    <w:rsid w:val="6A0171F6"/>
    <w:rsid w:val="6A505A87"/>
    <w:rsid w:val="6A7FE5F3"/>
    <w:rsid w:val="6B053271"/>
    <w:rsid w:val="6BDD78B3"/>
    <w:rsid w:val="6C4A05C8"/>
    <w:rsid w:val="6C7A6DEC"/>
    <w:rsid w:val="6C8742B8"/>
    <w:rsid w:val="6D036DE1"/>
    <w:rsid w:val="6DBF5E93"/>
    <w:rsid w:val="6DFF077E"/>
    <w:rsid w:val="6E0077C5"/>
    <w:rsid w:val="6E714EF0"/>
    <w:rsid w:val="6E7E3605"/>
    <w:rsid w:val="6E7FDCC7"/>
    <w:rsid w:val="6E9A3775"/>
    <w:rsid w:val="6EB34837"/>
    <w:rsid w:val="6ED6A62E"/>
    <w:rsid w:val="6EE00B15"/>
    <w:rsid w:val="6F6FB3EB"/>
    <w:rsid w:val="6F8731EA"/>
    <w:rsid w:val="6FCE6052"/>
    <w:rsid w:val="6FD57C00"/>
    <w:rsid w:val="6FE23626"/>
    <w:rsid w:val="6FEFFFD8"/>
    <w:rsid w:val="6FF5CC65"/>
    <w:rsid w:val="6FFB47EC"/>
    <w:rsid w:val="6FFF034A"/>
    <w:rsid w:val="70484440"/>
    <w:rsid w:val="70531E2E"/>
    <w:rsid w:val="712A28F1"/>
    <w:rsid w:val="715C0E4B"/>
    <w:rsid w:val="71992E7C"/>
    <w:rsid w:val="72233669"/>
    <w:rsid w:val="72734D90"/>
    <w:rsid w:val="730B69EF"/>
    <w:rsid w:val="73160E6D"/>
    <w:rsid w:val="7332FE48"/>
    <w:rsid w:val="73AB61DA"/>
    <w:rsid w:val="73AD73D5"/>
    <w:rsid w:val="73B6EB34"/>
    <w:rsid w:val="73E62FB9"/>
    <w:rsid w:val="73FA497D"/>
    <w:rsid w:val="741C4C2C"/>
    <w:rsid w:val="744731E5"/>
    <w:rsid w:val="74B51309"/>
    <w:rsid w:val="74BBD01D"/>
    <w:rsid w:val="74ED5379"/>
    <w:rsid w:val="75BA46FD"/>
    <w:rsid w:val="75C537CD"/>
    <w:rsid w:val="75DEEEC2"/>
    <w:rsid w:val="75E32345"/>
    <w:rsid w:val="76E3355F"/>
    <w:rsid w:val="76FF5125"/>
    <w:rsid w:val="776F6FFA"/>
    <w:rsid w:val="7774670A"/>
    <w:rsid w:val="778769C8"/>
    <w:rsid w:val="77A75DCA"/>
    <w:rsid w:val="77BF5FFA"/>
    <w:rsid w:val="77DC22F5"/>
    <w:rsid w:val="77EB6DF0"/>
    <w:rsid w:val="783E271A"/>
    <w:rsid w:val="78616DE9"/>
    <w:rsid w:val="78E875D7"/>
    <w:rsid w:val="79086DAD"/>
    <w:rsid w:val="797A667D"/>
    <w:rsid w:val="79896BA3"/>
    <w:rsid w:val="79D7FD79"/>
    <w:rsid w:val="79EE5BA4"/>
    <w:rsid w:val="7A893C2F"/>
    <w:rsid w:val="7A894339"/>
    <w:rsid w:val="7AD284E8"/>
    <w:rsid w:val="7AFF7572"/>
    <w:rsid w:val="7B0703E4"/>
    <w:rsid w:val="7B6C7DFB"/>
    <w:rsid w:val="7BBFBED0"/>
    <w:rsid w:val="7BC3E394"/>
    <w:rsid w:val="7C06069C"/>
    <w:rsid w:val="7C1F3737"/>
    <w:rsid w:val="7CBFC87B"/>
    <w:rsid w:val="7CFE0F48"/>
    <w:rsid w:val="7D272ABC"/>
    <w:rsid w:val="7D7EC23E"/>
    <w:rsid w:val="7E8ADEBF"/>
    <w:rsid w:val="7EBE0DBA"/>
    <w:rsid w:val="7EEF11D3"/>
    <w:rsid w:val="7EFE4840"/>
    <w:rsid w:val="7F0971A6"/>
    <w:rsid w:val="7F1D62E7"/>
    <w:rsid w:val="7F3F679B"/>
    <w:rsid w:val="7F4FC4EF"/>
    <w:rsid w:val="7F531E4A"/>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5"/>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1"/>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0"/>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2"/>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3"/>
    <w:qFormat/>
    <w:uiPriority w:val="9"/>
    <w:rPr>
      <w:rFonts w:ascii="Times New Roman" w:hAnsi="Times New Roman"/>
      <w:b/>
      <w:bCs/>
      <w:kern w:val="44"/>
      <w:sz w:val="44"/>
      <w:szCs w:val="44"/>
    </w:rPr>
  </w:style>
  <w:style w:type="character" w:customStyle="1" w:styleId="29">
    <w:name w:val="标题 2 Char"/>
    <w:basedOn w:val="16"/>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9"/>
    <w:semiHidden/>
    <w:qFormat/>
    <w:uiPriority w:val="99"/>
    <w:rPr>
      <w:rFonts w:ascii="Times New Roman" w:hAnsi="Times New Roman"/>
      <w:kern w:val="2"/>
      <w:sz w:val="18"/>
      <w:szCs w:val="18"/>
    </w:rPr>
  </w:style>
  <w:style w:type="character" w:customStyle="1" w:styleId="32">
    <w:name w:val="标题 3 Char"/>
    <w:basedOn w:val="16"/>
    <w:link w:val="5"/>
    <w:qFormat/>
    <w:uiPriority w:val="9"/>
    <w:rPr>
      <w:rFonts w:ascii="Times New Roman" w:hAnsi="Times New Roman"/>
      <w:b/>
      <w:bCs/>
      <w:kern w:val="2"/>
      <w:sz w:val="32"/>
      <w:szCs w:val="32"/>
    </w:rPr>
  </w:style>
  <w:style w:type="paragraph" w:customStyle="1" w:styleId="33">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 w:type="character" w:customStyle="1" w:styleId="35">
    <w:name w:val="15"/>
    <w:basedOn w:val="16"/>
    <w:qFormat/>
    <w:uiPriority w:val="0"/>
    <w:rPr>
      <w:rFonts w:ascii="Times New Roman" w:hAnsi="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oleObject" Target="file:///C:\Users\&#23002;&#29814;\Desktop\&#22270;&#34920;(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23002;&#29814;\Desktop\&#22270;&#34920;(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23002;&#29814;\Desktop\&#22270;&#34920;(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22270;&#34920;(2).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23002;&#29814;\Desktop\&#22270;&#34920;(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23002;&#29814;\Desktop\&#22270;&#349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收、支决算总计变动情况图</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075"/>
        </c:manualLayout>
      </c:layout>
      <c:overlay val="0"/>
    </c:title>
    <c:autoTitleDeleted val="0"/>
    <c:plotArea>
      <c:layout>
        <c:manualLayout>
          <c:layoutTarget val="inner"/>
          <c:xMode val="edge"/>
          <c:yMode val="edge"/>
          <c:x val="0.15075"/>
          <c:y val="0.20046750524109"/>
          <c:w val="0.83525"/>
          <c:h val="0.595"/>
        </c:manualLayout>
      </c:layout>
      <c:barChart>
        <c:barDir val="col"/>
        <c:grouping val="clustered"/>
        <c:varyColors val="0"/>
        <c:ser>
          <c:idx val="0"/>
          <c:order val="0"/>
          <c:tx>
            <c:strRef>
              <c:f>'[图表(1).xls]Sheet1'!$A$2</c:f>
              <c:strCache>
                <c:ptCount val="1"/>
                <c:pt idx="0">
                  <c:v>      本年收入合计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'[图表(1).xls]Sheet1'!$B$1:$C$1</c:f>
              <c:strCache>
                <c:ptCount val="2"/>
                <c:pt idx="0">
                  <c:v>2024年</c:v>
                </c:pt>
                <c:pt idx="1">
                  <c:v>2025年</c:v>
                </c:pt>
              </c:strCache>
            </c:strRef>
          </c:cat>
          <c:val>
            <c:numRef>
              <c:f>'[图表(1).xls]Sheet1'!$B$2:$C$2</c:f>
              <c:numCache>
                <c:formatCode>General</c:formatCode>
                <c:ptCount val="2"/>
                <c:pt idx="0">
                  <c:v>2542.29</c:v>
                </c:pt>
                <c:pt idx="1">
                  <c:v>2937.99</c:v>
                </c:pt>
              </c:numCache>
            </c:numRef>
          </c:val>
        </c:ser>
        <c:ser>
          <c:idx val="1"/>
          <c:order val="1"/>
          <c:tx>
            <c:strRef>
              <c:f>'[图表(1).xls]Sheet1'!$A$3</c:f>
              <c:strCache>
                <c:ptCount val="1"/>
                <c:pt idx="0">
                  <c:v>      本年支出合计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'[图表(1).xls]Sheet1'!$B$1:$C$1</c:f>
              <c:strCache>
                <c:ptCount val="2"/>
                <c:pt idx="0">
                  <c:v>2024年</c:v>
                </c:pt>
                <c:pt idx="1">
                  <c:v>2025年</c:v>
                </c:pt>
              </c:strCache>
            </c:strRef>
          </c:cat>
          <c:val>
            <c:numRef>
              <c:f>'[图表(1).xls]Sheet1'!$B$3:$C$3</c:f>
              <c:numCache>
                <c:formatCode>General</c:formatCode>
                <c:ptCount val="2"/>
                <c:pt idx="0">
                  <c:v>2542.29</c:v>
                </c:pt>
                <c:pt idx="1">
                  <c:v>2937.99</c:v>
                </c:pt>
              </c:numCache>
            </c:numRef>
          </c:val>
        </c:ser>
        <c:dLbls>
          <c:showLegendKey val="0"/>
          <c:showVal val="0"/>
          <c:showCatName val="0"/>
          <c:showSerName val="0"/>
          <c:showPercent val="0"/>
          <c:showBubbleSize val="0"/>
        </c:dLbls>
        <c:gapWidth val="219"/>
        <c:overlap val="-10"/>
        <c:axId val="975427393"/>
        <c:axId val="253552839"/>
      </c:barChart>
      <c:catAx>
        <c:axId val="975427393"/>
        <c:scaling>
          <c:orientation val="minMax"/>
        </c:scaling>
        <c:delete val="0"/>
        <c:axPos val="b"/>
        <c:majorTickMark val="none"/>
        <c:minorTickMark val="none"/>
        <c:tickLblPos val="nextTo"/>
        <c:spPr>
          <a:ln w="3175" cap="flat" cmpd="sng" algn="ctr">
            <a:solidFill>
              <a:srgbClr val="F2F2F2">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253552839"/>
        <c:crosses val="autoZero"/>
        <c:auto val="1"/>
        <c:lblAlgn val="ctr"/>
        <c:lblOffset val="100"/>
        <c:noMultiLvlLbl val="0"/>
      </c:catAx>
      <c:valAx>
        <c:axId val="253552839"/>
        <c:scaling>
          <c:orientation val="minMax"/>
        </c:scaling>
        <c:delete val="0"/>
        <c:axPos val="l"/>
        <c:majorGridlines>
          <c:spPr>
            <a:ln w="3175" cap="flat" cmpd="sng" algn="ctr">
              <a:solidFill>
                <a:srgbClr val="F2F2F2">
                  <a:alpha val="100000"/>
                </a:srgbClr>
              </a:solidFill>
              <a:prstDash val="solid"/>
              <a:round/>
            </a:ln>
          </c:spPr>
        </c:majorGridlines>
        <c:numFmt formatCode="General"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975427393"/>
        <c:crosses val="autoZero"/>
        <c:crossBetween val="between"/>
      </c:valAx>
      <c:spPr>
        <a:noFill/>
        <a:ln w="3175">
          <a:noFill/>
        </a:ln>
      </c:spPr>
    </c:plotArea>
    <c:legend>
      <c:legendPos val="r"/>
      <c:layout>
        <c:manualLayout>
          <c:xMode val="edge"/>
          <c:yMode val="edge"/>
          <c:x val="0.33475"/>
          <c:y val="0.8645"/>
          <c:w val="0.328"/>
          <c:h val="0.101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extLst>
      <c:ext uri="{0b15fc19-7d7d-44ad-8c2d-2c3a37ce22c3}">
        <chartProps xmlns="https://web.wps.cn/et/2018/main" chartId="{80805f16-6b64-4db3-87cd-8e2e34fba106}"/>
      </c:ext>
    </c:extLst>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收入决算结构图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01075"/>
        </c:manualLayout>
      </c:layout>
      <c:overlay val="0"/>
    </c:title>
    <c:autoTitleDeleted val="0"/>
    <c:plotArea>
      <c:layout>
        <c:manualLayout>
          <c:layoutTarget val="inner"/>
          <c:xMode val="edge"/>
          <c:yMode val="edge"/>
          <c:x val="0.11475"/>
          <c:y val="0.2055"/>
          <c:w val="0.4215"/>
          <c:h val="0.70375"/>
        </c:manualLayout>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4.52755132451285"/>
                  <c:y val="104.45216135865"/>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8.86489915566854"/>
                  <c:y val="20.6607494945566"/>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99.6196131015"/>
                  <c:y val="383.740087583958"/>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'[图表(1).xls]Sheet1'!$G$1:$H$1</c:f>
              <c:strCache>
                <c:ptCount val="2"/>
                <c:pt idx="0">
                  <c:v>一般公共预算财政拨款收入</c:v>
                </c:pt>
                <c:pt idx="1">
                  <c:v>其他收入</c:v>
                </c:pt>
              </c:strCache>
            </c:strRef>
          </c:cat>
          <c:val>
            <c:numRef>
              <c:f>'[图表(1).xls]Sheet1'!$G$2:$I$2</c:f>
              <c:numCache>
                <c:formatCode>General</c:formatCode>
                <c:ptCount val="3"/>
                <c:pt idx="0">
                  <c:v>2934.7</c:v>
                </c:pt>
                <c:pt idx="1">
                  <c:v>2.58</c:v>
                </c:pt>
                <c:pt idx="2">
                  <c:v>0.71</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64975"/>
          <c:y val="0.43525"/>
          <c:w val="0.325"/>
          <c:h val="0.1897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extLst>
      <c:ext uri="{0b15fc19-7d7d-44ad-8c2d-2c3a37ce22c3}">
        <chartProps xmlns="https://web.wps.cn/et/2018/main" chartId="{84f31734-b8fd-4586-8675-41e939fcd53f}"/>
      </c:ext>
    </c:extLst>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支出决算结构图</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15"/>
          <c:y val="-0.01075"/>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'[图表(1).xls]Sheet1'!$A$22:$B$22</c:f>
              <c:strCache>
                <c:ptCount val="2"/>
                <c:pt idx="0">
                  <c:v>基本支出</c:v>
                </c:pt>
                <c:pt idx="1">
                  <c:v>项目支出</c:v>
                </c:pt>
              </c:strCache>
            </c:strRef>
          </c:cat>
          <c:val>
            <c:numRef>
              <c:f>'[图表(1).xls]Sheet1'!$A$23:$B$23</c:f>
              <c:numCache>
                <c:formatCode>General</c:formatCode>
                <c:ptCount val="2"/>
                <c:pt idx="0">
                  <c:v>2531.91</c:v>
                </c:pt>
                <c:pt idx="1">
                  <c:v>406.08</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891"/>
          <c:y val="0.46325"/>
          <c:w val="0.0945"/>
          <c:h val="0.1572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extLst>
      <c:ext uri="{0b15fc19-7d7d-44ad-8c2d-2c3a37ce22c3}">
        <chartProps xmlns="https://web.wps.cn/et/2018/main" chartId="{7fc9bf77-2da9-4400-ad03-c06061424491}"/>
      </c:ext>
    </c:extLst>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财政拨款收、支决算总计变动情况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
          <c:y val="-0.01425"/>
        </c:manualLayout>
      </c:layout>
      <c:overlay val="0"/>
    </c:title>
    <c:autoTitleDeleted val="0"/>
    <c:plotArea>
      <c:layout/>
      <c:barChart>
        <c:barDir val="col"/>
        <c:grouping val="clustered"/>
        <c:varyColors val="0"/>
        <c:ser>
          <c:idx val="0"/>
          <c:order val="0"/>
          <c:tx>
            <c:strRef>
              <c:f>'[图表(2).xls]Sheet1'!$G$23</c:f>
              <c:strCache>
                <c:ptCount val="1"/>
                <c:pt idx="0">
                  <c:v>      本年财政拨款收入合计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'[图表(2).xls]Sheet1'!$H$22:$I$22</c:f>
              <c:strCache>
                <c:ptCount val="2"/>
                <c:pt idx="0">
                  <c:v>2024年</c:v>
                </c:pt>
                <c:pt idx="1">
                  <c:v>2025</c:v>
                </c:pt>
              </c:strCache>
            </c:strRef>
          </c:cat>
          <c:val>
            <c:numRef>
              <c:f>'[图表(2).xls]Sheet1'!$H$23:$I$23</c:f>
              <c:numCache>
                <c:formatCode>#,##0.00</c:formatCode>
                <c:ptCount val="2"/>
                <c:pt idx="0">
                  <c:v>2542.29</c:v>
                </c:pt>
                <c:pt idx="1" c:formatCode="General">
                  <c:v>2935.41</c:v>
                </c:pt>
              </c:numCache>
            </c:numRef>
          </c:val>
        </c:ser>
        <c:ser>
          <c:idx val="1"/>
          <c:order val="1"/>
          <c:tx>
            <c:strRef>
              <c:f>'[图表(2).xls]Sheet1'!$G$24</c:f>
              <c:strCache>
                <c:ptCount val="1"/>
                <c:pt idx="0">
                  <c:v>      本年财政拨款支出合计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'[图表(2).xls]Sheet1'!$H$22:$I$22</c:f>
              <c:strCache>
                <c:ptCount val="2"/>
                <c:pt idx="0">
                  <c:v>2024年</c:v>
                </c:pt>
                <c:pt idx="1">
                  <c:v>2025</c:v>
                </c:pt>
              </c:strCache>
            </c:strRef>
          </c:cat>
          <c:val>
            <c:numRef>
              <c:f>'[图表(2).xls]Sheet1'!$H$24:$I$24</c:f>
              <c:numCache>
                <c:formatCode>#,##0.00</c:formatCode>
                <c:ptCount val="2"/>
                <c:pt idx="0">
                  <c:v>2542.29</c:v>
                </c:pt>
                <c:pt idx="1" c:formatCode="General">
                  <c:v>2935.41</c:v>
                </c:pt>
              </c:numCache>
            </c:numRef>
          </c:val>
        </c:ser>
        <c:dLbls>
          <c:showLegendKey val="0"/>
          <c:showVal val="0"/>
          <c:showCatName val="0"/>
          <c:showSerName val="0"/>
          <c:showPercent val="0"/>
          <c:showBubbleSize val="0"/>
        </c:dLbls>
        <c:gapWidth val="219"/>
        <c:overlap val="-10"/>
        <c:axId val="863604312"/>
        <c:axId val="748549909"/>
      </c:barChart>
      <c:catAx>
        <c:axId val="863604312"/>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748549909"/>
        <c:crosses val="autoZero"/>
        <c:auto val="1"/>
        <c:lblAlgn val="ctr"/>
        <c:lblOffset val="100"/>
        <c:noMultiLvlLbl val="0"/>
      </c:catAx>
      <c:valAx>
        <c:axId val="748549909"/>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863604312"/>
        <c:crosses val="autoZero"/>
        <c:crossBetween val="between"/>
      </c:valAx>
      <c:spPr>
        <a:noFill/>
        <a:ln w="3175">
          <a:noFill/>
        </a:ln>
      </c:spPr>
    </c:plotArea>
    <c:legend>
      <c:legendPos val="r"/>
      <c:layout>
        <c:manualLayout>
          <c:xMode val="edge"/>
          <c:yMode val="edge"/>
          <c:x val="0.1895"/>
          <c:y val="0.8645"/>
          <c:w val="0.619530495598436"/>
          <c:h val="0.101851851851852"/>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extLst>
      <c:ext uri="{0b15fc19-7d7d-44ad-8c2d-2c3a37ce22c3}">
        <chartProps xmlns="https://web.wps.cn/et/2018/main" chartId="{a281348d-6a9d-4d3c-822a-a10fc6bfa390}"/>
      </c:ext>
    </c:extLst>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r>
              <a:t>一般公共预算财政拨款支出决算变动情况</a:t>
            </a:r>
            <a:endParaRPr sz="1400" b="0" i="0" u="none" strike="noStrike" baseline="0">
              <a:solidFill>
                <a:srgbClr val="333333"/>
              </a:solidFill>
              <a:latin typeface="微软雅黑" panose="020B0503020204020204" charset="-122"/>
              <a:ea typeface="微软雅黑" panose="020B0503020204020204" charset="-122"/>
              <a:cs typeface="Arial" panose="020B0604020202020204" pitchFamily="2"/>
            </a:endParaRPr>
          </a:p>
        </c:rich>
      </c:tx>
      <c:layout>
        <c:manualLayout>
          <c:x val="-0.00175"/>
          <c:y val="-0.01075"/>
        </c:manualLayout>
      </c:layout>
      <c:overlay val="0"/>
    </c:title>
    <c:autoTitleDeleted val="0"/>
    <c:plotArea>
      <c:layout>
        <c:manualLayout>
          <c:layoutTarget val="inner"/>
          <c:xMode val="edge"/>
          <c:yMode val="edge"/>
          <c:x val="0.121050084684249"/>
          <c:y val="0.172149122807018"/>
          <c:w val="0.854149528187757"/>
          <c:h val="0.621798245614035"/>
        </c:manualLayout>
      </c:layout>
      <c:barChart>
        <c:barDir val="col"/>
        <c:grouping val="clustered"/>
        <c:varyColors val="0"/>
        <c:ser>
          <c:idx val="0"/>
          <c:order val="0"/>
          <c:tx>
            <c:strRef>
              <c:f>'[图表(1).xls]Sheet1'!$A$44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Arial" panose="020B0604020202020204" pitchFamily="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'[图表(1).xls]Sheet1'!$B$43:$C$43</c:f>
              <c:strCache>
                <c:ptCount val="2"/>
                <c:pt idx="0">
                  <c:v>2024年</c:v>
                </c:pt>
                <c:pt idx="1">
                  <c:v>2025年</c:v>
                </c:pt>
              </c:strCache>
            </c:strRef>
          </c:cat>
          <c:val>
            <c:numRef>
              <c:f>'[图表(1).xls]Sheet1'!$B$44:$C$44</c:f>
              <c:numCache>
                <c:formatCode>#,##0.00</c:formatCode>
                <c:ptCount val="2"/>
                <c:pt idx="0">
                  <c:v>2539.29</c:v>
                </c:pt>
                <c:pt idx="1">
                  <c:v>2934.7</c:v>
                </c:pt>
              </c:numCache>
            </c:numRef>
          </c:val>
        </c:ser>
        <c:dLbls>
          <c:showLegendKey val="0"/>
          <c:showVal val="0"/>
          <c:showCatName val="0"/>
          <c:showSerName val="0"/>
          <c:showPercent val="0"/>
          <c:showBubbleSize val="0"/>
        </c:dLbls>
        <c:gapWidth val="219"/>
        <c:overlap val="-10"/>
        <c:axId val="394648813"/>
        <c:axId val="252768044"/>
      </c:barChart>
      <c:catAx>
        <c:axId val="394648813"/>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crossAx val="252768044"/>
        <c:crosses val="autoZero"/>
        <c:auto val="1"/>
        <c:lblAlgn val="ctr"/>
        <c:lblOffset val="100"/>
        <c:noMultiLvlLbl val="0"/>
      </c:catAx>
      <c:valAx>
        <c:axId val="252768044"/>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t" anchorCtr="0"/>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crossAx val="394648813"/>
        <c:crosses val="autoZero"/>
        <c:crossBetween val="between"/>
      </c:valAx>
      <c:spPr>
        <a:noFill/>
        <a:ln w="3175">
          <a:noFill/>
        </a:ln>
      </c:spPr>
    </c:plotArea>
    <c:legend>
      <c:legendPos val="r"/>
      <c:layout>
        <c:manualLayout>
          <c:xMode val="edge"/>
          <c:yMode val="edge"/>
          <c:x val="0.39875"/>
          <c:y val="0.723"/>
          <c:w val="0.30225"/>
          <c:h val="0.2675"/>
        </c:manualLayout>
      </c:layout>
      <c:overlay val="0"/>
      <c:spPr>
        <a:noFill/>
        <a:ln w="12700">
          <a:noFill/>
        </a:ln>
      </c:spPr>
      <c:txPr>
        <a:bodyPr rot="0" spcFirstLastPara="0" vertOverflow="ellipsis" vert="horz" wrap="square" anchor="ctr" anchorCtr="1"/>
        <a:lstStyle/>
        <a:p>
          <a:pPr>
            <a:defRPr lang="zh-CN" sz="850" b="0" i="0" u="none" strike="noStrike" kern="1200" baseline="0">
              <a:solidFill>
                <a:srgbClr val="333333"/>
              </a:solidFill>
              <a:latin typeface="微软雅黑" panose="020B0503020204020204" charset="-122"/>
              <a:ea typeface="微软雅黑" panose="020B0503020204020204" charset="-122"/>
              <a:cs typeface="Arial" panose="020B0604020202020204" pitchFamily="2"/>
            </a:defRPr>
          </a:pPr>
        </a:p>
      </c:txPr>
    </c:legend>
    <c:plotVisOnly val="1"/>
    <c:dispBlanksAs val="gap"/>
    <c:showDLblsOverMax val="0"/>
    <c:extLst>
      <c:ext uri="{0b15fc19-7d7d-44ad-8c2d-2c3a37ce22c3}">
        <chartProps xmlns="https://web.wps.cn/et/2018/main" chartId="{324feb23-6d9e-47e8-a263-d3f34f8b12da}"/>
      </c:ext>
    </c:extLst>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solidFill>
                <a:latin typeface="宋体" panose="02010600030101010101" charset="-122"/>
                <a:ea typeface="宋体" panose="02010600030101010101" charset="-122"/>
                <a:cs typeface="Arial" panose="020B0604020202020204" pitchFamily="2"/>
              </a:defRPr>
            </a:pPr>
            <a:r>
              <a:t>一般公共预算财政拨款支出决算结构</a:t>
            </a:r>
            <a:endParaRPr sz="1400" b="1" i="0" u="none" strike="noStrike" baseline="0">
              <a:solidFill>
                <a:srgbClr val="808080"/>
              </a:solidFill>
              <a:latin typeface="宋体" panose="02010600030101010101" charset="-122"/>
              <a:ea typeface="宋体" panose="02010600030101010101" charset="-122"/>
              <a:cs typeface="Arial" panose="020B0604020202020204" pitchFamily="2"/>
            </a:endParaRPr>
          </a:p>
        </c:rich>
      </c:tx>
      <c:layout>
        <c:manualLayout>
          <c:x val="-0.002"/>
          <c:y val="0.889"/>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3"/>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0615011336293887"/>
                  <c:y val="-0.0365839190411225"/>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114462107699565"/>
                  <c:y val="0.0398397182623823"/>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6837401749068"/>
                  <c:y val="-0.0281265329515699"/>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'[图表(1).xls]Sheet1'!$A$64:$D$64</c:f>
              <c:strCache>
                <c:ptCount val="4"/>
                <c:pt idx="0">
                  <c:v>教育支出</c:v>
                </c:pt>
                <c:pt idx="1">
                  <c:v>社会保障和就业支出</c:v>
                </c:pt>
                <c:pt idx="2">
                  <c:v>医疗卫生与计划生育支出</c:v>
                </c:pt>
                <c:pt idx="3">
                  <c:v>住房保障支出</c:v>
                </c:pt>
              </c:strCache>
            </c:strRef>
          </c:cat>
          <c:val>
            <c:numRef>
              <c:f>'[图表(1).xls]Sheet1'!$A$65:$D$65</c:f>
              <c:numCache>
                <c:formatCode>General</c:formatCode>
                <c:ptCount val="4"/>
                <c:pt idx="0">
                  <c:v>2269.86</c:v>
                </c:pt>
                <c:pt idx="1">
                  <c:v>339</c:v>
                </c:pt>
                <c:pt idx="2">
                  <c:v>130.33</c:v>
                </c:pt>
                <c:pt idx="3">
                  <c:v>195.5</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ayout>
        <c:manualLayout>
          <c:xMode val="edge"/>
          <c:yMode val="edge"/>
          <c:x val="0.78825"/>
          <c:y val="0.3175"/>
          <c:w val="0.197"/>
          <c:h val="0.26825"/>
        </c:manualLayout>
      </c:layout>
      <c:overlay val="0"/>
      <c:spPr>
        <a:solidFill>
          <a:srgbClr val="FFFFFF">
            <a:alpha val="100000"/>
          </a:srgbClr>
        </a:solidFill>
        <a:ln w="12700">
          <a:noFill/>
        </a:ln>
      </c:spPr>
      <c:txPr>
        <a:bodyPr rot="0" spcFirstLastPara="0" vertOverflow="ellipsis" vert="horz" wrap="square" anchor="ctr" anchorCtr="1"/>
        <a:lstStyle/>
        <a:p>
          <a:pPr>
            <a:defRPr lang="zh-CN" sz="850" b="0" i="0" u="none" strike="noStrike" kern="1200" baseline="0">
              <a:solidFill>
                <a:srgbClr val="333333"/>
              </a:solidFill>
              <a:latin typeface="宋体" panose="02010600030101010101" charset="-122"/>
              <a:ea typeface="宋体" panose="02010600030101010101" charset="-122"/>
              <a:cs typeface="Arial" panose="020B0604020202020204" pitchFamily="2"/>
            </a:defRPr>
          </a:pPr>
        </a:p>
      </c:txPr>
    </c:legend>
    <c:plotVisOnly val="1"/>
    <c:dispBlanksAs val="zero"/>
    <c:showDLblsOverMax val="0"/>
    <c:extLst>
      <c:ext uri="{0b15fc19-7d7d-44ad-8c2d-2c3a37ce22c3}">
        <chartProps xmlns="https://web.wps.cn/et/2018/main" chartId="{c3807f55-9662-4c33-86dd-30519f04b3ad}"/>
      </c:ext>
    </c:extLst>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25</Pages>
  <Words>7919</Words>
  <Characters>8489</Characters>
  <Lines>61</Lines>
  <Paragraphs>17</Paragraphs>
  <TotalTime>24</TotalTime>
  <ScaleCrop>false</ScaleCrop>
  <LinksUpToDate>false</LinksUpToDate>
  <CharactersWithSpaces>8516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Anne</cp:lastModifiedBy>
  <cp:lastPrinted>2025-08-06T17:34:00Z</cp:lastPrinted>
  <dcterms:modified xsi:type="dcterms:W3CDTF">2026-10-20T07:23:03Z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3566D86D202741668D6AF75FDE538C75_13</vt:lpwstr>
  </property>
  <property fmtid="{D5CDD505-2E9C-101B-9397-08002B2CF9AE}" pid="4" name="KSOTemplateDocerSaveRecord">
    <vt:lpwstr>eyJoZGlkIjoiMjNlZjk3NjQ5YWU3YTA5YjdiODhmMTU5YTUwOWRkMzUiLCJ1c2VySWQiOiIzNzM4MTM1NzEifQ==</vt:lpwstr>
  </property>
</Properties>
</file>