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Default Extension="png" ContentType="image/png"/>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spacing w:line="600" w:lineRule="exact"/>
        <w:jc w:val="center"/>
        <w:outlineLvl w:val="9"/>
        <w:rPr>
          <w:rFonts w:ascii="方正小标宋简体" w:eastAsia="方正小标宋简体"/>
          <w:sz w:val="72"/>
          <w:szCs w:val="72"/>
        </w:rPr>
      </w:pPr>
      <w:bookmarkStart w:id="0" w:name="_Toc15377425"/>
      <w:bookmarkStart w:id="1" w:name="_Toc15396475"/>
      <w:bookmarkStart w:id="2" w:name="_Toc15378441"/>
      <w:bookmarkStart w:id="3" w:name="_Toc15377193"/>
      <w:bookmarkStart w:id="4" w:name="_Toc15396597"/>
      <w:bookmarkStart w:id="5" w:name="_Toc15306267"/>
      <w:bookmarkStart w:id="6" w:name="_GoBack"/>
      <w:bookmarkEnd w:id="6"/>
    </w:p>
    <w:p>
      <w:pPr>
        <w:pStyle w:val="16"/>
        <w:spacing w:beforeLines="0" w:before="93"/>
      </w:pPr>
    </w:p>
    <w:p>
      <w:pPr>
        <w:spacing w:line="600" w:lineRule="exact"/>
        <w:jc w:val="center"/>
        <w:outlineLvl w:val="9"/>
        <w:rPr>
          <w:rFonts w:ascii="方正小标宋简体" w:eastAsia="方正小标宋简体"/>
          <w:sz w:val="72"/>
          <w:szCs w:val="72"/>
        </w:rPr>
      </w:pPr>
    </w:p>
    <w:p>
      <w:pPr>
        <w:spacing w:line="600" w:lineRule="exact"/>
        <w:jc w:val="center"/>
        <w:outlineLvl w:val="9"/>
        <w:rPr>
          <w:rFonts w:ascii="方正小标宋简体" w:eastAsia="方正小标宋简体"/>
          <w:sz w:val="72"/>
          <w:szCs w:val="72"/>
        </w:rPr>
      </w:pPr>
    </w:p>
    <w:p>
      <w:pPr>
        <w:adjustRightInd w:val="0"/>
        <w:snapToGrid w:val="0"/>
        <w:spacing w:line="360" w:lineRule="auto"/>
        <w:jc w:val="center"/>
        <w:outlineLvl w:val="0"/>
        <w:rPr>
          <w:rFonts w:ascii="方正小标宋简体" w:eastAsia="方正小标宋简体" w:cs="方正小标宋简体"/>
          <w:sz w:val="44"/>
          <w:szCs w:val="44"/>
        </w:rPr>
      </w:pPr>
      <w:bookmarkStart w:id="7" w:name="_Toc30692"/>
      <w:r>
        <w:rPr>
          <w:rFonts w:ascii="方正小标宋简体" w:eastAsia="方正小标宋简体" w:cs="方正小标宋简体" w:hint="eastAsia"/>
          <w:sz w:val="44"/>
          <w:szCs w:val="44"/>
        </w:rPr>
        <w:t>202</w:t>
      </w:r>
      <w:r>
        <w:rPr>
          <w:rFonts w:ascii="方正小标宋简体" w:eastAsia="方正小标宋简体" w:cs="方正小标宋简体" w:hint="eastAsia"/>
          <w:sz w:val="44"/>
          <w:szCs w:val="44"/>
          <w:lang w:val="en-US" w:eastAsia="zh-CN"/>
        </w:rPr>
        <w:t>5</w:t>
      </w:r>
      <w:r>
        <w:rPr>
          <w:rFonts w:ascii="方正小标宋简体" w:eastAsia="方正小标宋简体" w:cs="方正小标宋简体" w:hint="eastAsia"/>
          <w:sz w:val="44"/>
          <w:szCs w:val="44"/>
        </w:rPr>
        <w:t>年度</w:t>
      </w:r>
      <w:bookmarkEnd w:id="0"/>
      <w:bookmarkEnd w:id="1"/>
      <w:bookmarkEnd w:id="2"/>
      <w:bookmarkEnd w:id="3"/>
      <w:bookmarkEnd w:id="4"/>
      <w:bookmarkEnd w:id="7"/>
    </w:p>
    <w:p>
      <w:pPr>
        <w:adjustRightInd w:val="0"/>
        <w:snapToGrid w:val="0"/>
        <w:spacing w:line="360" w:lineRule="auto"/>
        <w:jc w:val="center"/>
        <w:outlineLvl w:val="0"/>
        <w:rPr>
          <w:rFonts w:ascii="方正小标宋简体" w:eastAsia="方正小标宋简体" w:cs="方正小标宋简体" w:hint="eastAsia"/>
          <w:sz w:val="44"/>
          <w:szCs w:val="44"/>
          <w:lang w:val="en-US" w:eastAsia="zh-CN"/>
        </w:rPr>
      </w:pPr>
      <w:bookmarkStart w:id="8" w:name="_Toc3667"/>
      <w:bookmarkStart w:id="9" w:name="_Toc15378442"/>
      <w:bookmarkStart w:id="10" w:name="_Toc15396598"/>
      <w:bookmarkStart w:id="11" w:name="_Toc15396476"/>
      <w:bookmarkStart w:id="12" w:name="_Toc15377426"/>
      <w:bookmarkStart w:id="13" w:name="_Toc15377194"/>
      <w:bookmarkStart w:id="14" w:name="_Toc15306268"/>
      <w:bookmarkEnd w:id="5"/>
      <w:r>
        <w:rPr>
          <w:rFonts w:ascii="方正小标宋简体" w:eastAsia="方正小标宋简体" w:cs="方正小标宋简体" w:hint="eastAsia"/>
          <w:sz w:val="44"/>
          <w:szCs w:val="44"/>
          <w:lang w:val="en-US" w:eastAsia="zh-CN"/>
        </w:rPr>
        <w:t>红原县退役军人事务局</w:t>
      </w:r>
      <w:bookmarkEnd w:id="8"/>
    </w:p>
    <w:p>
      <w:pPr>
        <w:adjustRightInd w:val="0"/>
        <w:snapToGrid w:val="0"/>
        <w:spacing w:line="360" w:lineRule="auto"/>
        <w:jc w:val="center"/>
        <w:outlineLvl w:val="0"/>
        <w:rPr>
          <w:rFonts w:ascii="方正小标宋简体" w:eastAsia="方正小标宋简体" w:cs="方正小标宋简体"/>
          <w:sz w:val="44"/>
          <w:szCs w:val="44"/>
          <w:lang w:val="en-US" w:eastAsia="zh-CN"/>
        </w:rPr>
      </w:pPr>
      <w:bookmarkStart w:id="15" w:name="_Toc31949"/>
      <w:r>
        <w:rPr>
          <w:rFonts w:ascii="方正小标宋简体" w:eastAsia="方正小标宋简体" w:cs="方正小标宋简体" w:hint="eastAsia"/>
          <w:sz w:val="44"/>
          <w:szCs w:val="44"/>
        </w:rPr>
        <w:t>部门决算</w:t>
      </w:r>
      <w:bookmarkEnd w:id="9"/>
      <w:bookmarkEnd w:id="10"/>
      <w:bookmarkEnd w:id="11"/>
      <w:bookmarkEnd w:id="12"/>
      <w:bookmarkEnd w:id="13"/>
      <w:bookmarkEnd w:id="14"/>
      <w:r>
        <w:rPr>
          <w:rFonts w:ascii="方正小标宋简体" w:eastAsia="方正小标宋简体" w:cs="方正小标宋简体" w:hint="eastAsia"/>
          <w:sz w:val="44"/>
          <w:szCs w:val="44"/>
          <w:lang w:val="en-US" w:eastAsia="zh-CN"/>
        </w:rPr>
        <w:t>公开编制说明</w:t>
      </w:r>
      <w:bookmarkEnd w:id="15"/>
    </w:p>
    <w:p>
      <w:pPr>
        <w:widowControl/>
        <w:jc w:val="center"/>
        <w:rPr>
          <w:rFonts w:ascii="方正小标宋简体" w:eastAsia="方正小标宋简体"/>
          <w:sz w:val="36"/>
          <w:szCs w:val="36"/>
        </w:rPr>
      </w:pPr>
    </w:p>
    <w:p>
      <w:pPr>
        <w:widowControl/>
        <w:jc w:val="center"/>
        <w:rPr>
          <w:rFonts w:ascii="方正小标宋简体" w:eastAsia="方正小标宋简体"/>
          <w:sz w:val="36"/>
          <w:szCs w:val="36"/>
        </w:rPr>
      </w:pPr>
    </w:p>
    <w:p>
      <w:pPr>
        <w:widowControl/>
        <w:jc w:val="center"/>
        <w:rPr>
          <w:rFonts w:ascii="方正小标宋简体" w:eastAsia="方正小标宋简体"/>
          <w:sz w:val="36"/>
          <w:szCs w:val="36"/>
        </w:rPr>
      </w:pPr>
    </w:p>
    <w:p>
      <w:pPr>
        <w:widowControl/>
        <w:jc w:val="center"/>
        <w:rPr>
          <w:rFonts w:ascii="方正小标宋简体" w:eastAsia="方正小标宋简体"/>
          <w:sz w:val="36"/>
          <w:szCs w:val="36"/>
        </w:rPr>
      </w:pPr>
    </w:p>
    <w:p>
      <w:pPr>
        <w:widowControl/>
        <w:jc w:val="center"/>
        <w:rPr>
          <w:rFonts w:ascii="方正小标宋简体" w:eastAsia="方正小标宋简体"/>
          <w:sz w:val="36"/>
          <w:szCs w:val="36"/>
        </w:rPr>
      </w:pPr>
    </w:p>
    <w:p>
      <w:pPr>
        <w:widowControl/>
        <w:jc w:val="center"/>
        <w:rPr>
          <w:rFonts w:ascii="方正小标宋简体" w:eastAsia="方正小标宋简体"/>
          <w:sz w:val="36"/>
          <w:szCs w:val="36"/>
        </w:rPr>
      </w:pPr>
    </w:p>
    <w:p>
      <w:pPr>
        <w:widowControl/>
        <w:jc w:val="center"/>
        <w:rPr>
          <w:rFonts w:ascii="方正小标宋简体" w:eastAsia="方正小标宋简体"/>
          <w:sz w:val="36"/>
          <w:szCs w:val="36"/>
        </w:rPr>
      </w:pPr>
    </w:p>
    <w:p>
      <w:pPr>
        <w:widowControl/>
        <w:jc w:val="center"/>
        <w:rPr>
          <w:rFonts w:ascii="方正小标宋简体" w:eastAsia="方正小标宋简体"/>
          <w:sz w:val="36"/>
          <w:szCs w:val="36"/>
        </w:rPr>
      </w:pPr>
    </w:p>
    <w:p>
      <w:pPr>
        <w:widowControl/>
        <w:jc w:val="center"/>
        <w:rPr>
          <w:rFonts w:ascii="方正小标宋简体" w:eastAsia="方正小标宋简体"/>
          <w:sz w:val="36"/>
          <w:szCs w:val="36"/>
        </w:rPr>
      </w:pPr>
    </w:p>
    <w:p>
      <w:pPr>
        <w:widowControl/>
        <w:jc w:val="center"/>
        <w:rPr>
          <w:rFonts w:ascii="方正小标宋简体" w:eastAsia="方正小标宋简体"/>
          <w:sz w:val="36"/>
          <w:szCs w:val="36"/>
        </w:rPr>
      </w:pPr>
    </w:p>
    <w:p>
      <w:pPr>
        <w:widowControl/>
        <w:jc w:val="center"/>
        <w:rPr>
          <w:rFonts w:ascii="方正小标宋简体" w:eastAsia="方正小标宋简体"/>
          <w:sz w:val="36"/>
          <w:szCs w:val="36"/>
        </w:rPr>
      </w:pPr>
    </w:p>
    <w:p>
      <w:pPr>
        <w:pStyle w:val="25"/>
        <w:keepNext w:val="0"/>
        <w:keepLines w:val="0"/>
        <w:widowControl/>
        <w:suppressLineNumbers w:val="0"/>
        <w:ind w:left="0" w:right="75"/>
        <w:jc w:val="left"/>
      </w:pPr>
      <w:r>
        <w:rPr>
          <w:sz w:val="24"/>
          <w:szCs w:val="24"/>
          <w:shd w:val="clear" w:color="auto" w:fill="FFFFFF"/>
        </w:rPr>
        <w:t>保密审查情况：已审查，内容审定</w:t>
      </w:r>
    </w:p>
    <w:p>
      <w:pPr>
        <w:widowControl/>
        <w:jc w:val="both"/>
        <w:rPr>
          <w:rFonts w:ascii="黑体" w:eastAsia="黑体"/>
          <w:sz w:val="48"/>
          <w:szCs w:val="48"/>
        </w:rPr>
      </w:pPr>
      <w:r>
        <w:rPr>
          <w:sz w:val="24"/>
          <w:szCs w:val="24"/>
          <w:shd w:val="clear" w:color="auto" w:fill="FFFFFF"/>
        </w:rPr>
        <w:t>部门主要负责人审签情况：已审签，同意对外公开</w:t>
      </w:r>
      <w:r>
        <w:rPr>
          <w:rFonts w:ascii="方正小标宋简体" w:eastAsia="方正小标宋简体"/>
          <w:sz w:val="36"/>
          <w:szCs w:val="36"/>
        </w:rPr>
        <w:br w:type="page"/>
      </w:r>
    </w:p>
    <w:p>
      <w:pPr>
        <w:widowControl/>
        <w:jc w:val="center"/>
        <w:rPr>
          <w:rFonts w:ascii="黑体" w:eastAsia="黑体" w:cs="Arial" w:hint="eastAsia"/>
          <w:sz w:val="44"/>
          <w:szCs w:val="44"/>
          <w:lang w:val="en-US" w:eastAsia="zh-CN"/>
        </w:rPr>
      </w:pPr>
      <w:r>
        <w:rPr>
          <w:rFonts w:ascii="黑体" w:eastAsia="黑体" w:cs="Arial" w:hint="eastAsia"/>
          <w:sz w:val="44"/>
          <w:szCs w:val="44"/>
          <w:lang w:val="en-US" w:eastAsia="zh-CN"/>
        </w:rPr>
        <w:t>目录</w:t>
      </w:r>
    </w:p>
    <w:p>
      <w:pPr>
        <w:pStyle w:val="23"/>
        <w:tabs>
          <w:tab w:val="right" w:leader="dot" w:pos="8296"/>
        </w:tabs>
      </w:pPr>
      <w:r>
        <w:rPr>
          <w:rFonts w:hint="eastAsia"/>
        </w:rPr>
        <w:t>公开时间：202</w:t>
      </w:r>
      <w:r>
        <w:rPr>
          <w:rFonts w:hint="eastAsia"/>
          <w:lang w:val="en-US" w:eastAsia="zh-CN"/>
        </w:rPr>
        <w:t>6</w:t>
      </w:r>
      <w:r>
        <w:rPr>
          <w:rFonts w:hint="eastAsia"/>
        </w:rPr>
        <w:t>年</w:t>
      </w:r>
      <w:r>
        <w:rPr>
          <w:rFonts w:hint="eastAsia"/>
          <w:lang w:val="en-US" w:eastAsia="zh-CN"/>
        </w:rPr>
        <w:t>10</w:t>
      </w:r>
      <w:r>
        <w:rPr>
          <w:rFonts w:hint="eastAsia"/>
        </w:rPr>
        <w:t>月</w:t>
      </w:r>
      <w:r>
        <w:rPr>
          <w:rFonts w:hint="eastAsia"/>
          <w:lang w:val="en-US" w:eastAsia="zh-CN"/>
        </w:rPr>
        <w:t>12</w:t>
      </w:r>
      <w:r>
        <w:rPr>
          <w:rFonts w:hint="eastAsia"/>
        </w:rPr>
        <w:t>日</w:t>
      </w:r>
    </w:p>
    <w:sdt>
      <w:sdtPr>
        <w:rPr>
          <w:rFonts w:ascii="宋体" w:eastAsia="宋体" w:cs="Times New Roman"/>
          <w:kern w:val="2"/>
          <w:sz w:val="21"/>
          <w:szCs w:val="24"/>
          <w:lang w:val="en-US" w:eastAsia="zh-CN" w:bidi="ar-SA"/>
        </w:rPr>
        <w:id w:val="-732845780"/>
        <w15:color w:val="DBDBDB"/>
        <w:docPartObj>
          <w:docPartGallery w:val="Table of Contents"/>
          <w:docPartUnique/>
        </w:docPartObj>
      </w:sdtPr>
      <w:sdtContent>
        <w:bookmarkStart w:id="16" w:name="_Toc15396599" w:displacedByCustomXml="prev"/>
        <w:bookmarkStart w:id="17" w:name="_Toc15377196" w:displacedByCustomXml="prev"/>
        <w:p>
          <w:pPr>
            <w:spacing w:before="0" w:after="0" w:line="240" w:lineRule="auto"/>
            <w:ind w:left="0" w:right="0" w:firstLine="0"/>
            <w:jc w:val="center"/>
          </w:pPr>
        </w:p>
        <w:p>
          <w:pPr>
            <w:pStyle w:val="23"/>
            <w:keepNext w:val="0"/>
            <w:keepLines w:val="0"/>
            <w:pageBreakBefore w:val="0"/>
            <w:widowControl w:val="0"/>
            <w:tabs>
              <w:tab w:val="clear" w:pos="8296"/>
              <w:tab w:val="right" w:leader="dot" w:pos="8306"/>
            </w:tabs>
            <w:kinsoku/>
            <w:wordWrap/>
            <w:overflowPunct/>
            <w:topLinePunct w:val="0"/>
            <w:autoSpaceDE/>
            <w:autoSpaceDN/>
            <w:bidi w:val="0"/>
            <w:adjustRightInd/>
            <w:snapToGrid/>
            <w:textAlignment w:val="auto"/>
            <w:rPr>
              <w:rFonts w:ascii="方正小标宋简体" w:eastAsia="方正小标宋简体" w:cs="方正小标宋简体" w:hint="eastAsia"/>
              <w:szCs w:val="44"/>
            </w:rPr>
          </w:pPr>
          <w:r>
            <w:fldChar w:fldCharType="begin"/>
          </w:r>
          <w:r>
            <w:instrText xml:space="preserve">TOC \o "1-1" \h \u </w:instrText>
          </w:r>
          <w:r>
            <w:fldChar w:fldCharType="separate"/>
          </w:r>
          <w:r>
            <w:rPr>
              <w:rFonts w:ascii="方正小标宋简体" w:eastAsia="方正小标宋简体" w:cs="方正小标宋简体" w:hint="eastAsia"/>
              <w:szCs w:val="44"/>
            </w:rPr>
            <w:fldChar w:fldCharType="begin"/>
          </w:r>
          <w:r>
            <w:rPr>
              <w:rFonts w:ascii="方正小标宋简体" w:eastAsia="方正小标宋简体" w:cs="方正小标宋简体" w:hint="eastAsia"/>
              <w:szCs w:val="44"/>
            </w:rPr>
            <w:instrText xml:space="preserve"> HYPERLINK \l _Toc30692 </w:instrText>
          </w:r>
          <w:r>
            <w:rPr>
              <w:rFonts w:ascii="方正小标宋简体" w:eastAsia="方正小标宋简体" w:cs="方正小标宋简体" w:hint="eastAsia"/>
              <w:szCs w:val="44"/>
            </w:rPr>
            <w:fldChar w:fldCharType="separate"/>
          </w:r>
          <w:r>
            <w:rPr>
              <w:rFonts w:ascii="方正小标宋简体" w:eastAsia="方正小标宋简体" w:cs="方正小标宋简体" w:hint="eastAsia"/>
              <w:szCs w:val="44"/>
            </w:rPr>
            <w:t>202</w:t>
          </w:r>
          <w:r>
            <w:rPr>
              <w:rFonts w:ascii="方正小标宋简体" w:eastAsia="方正小标宋简体" w:cs="方正小标宋简体" w:hint="eastAsia"/>
              <w:szCs w:val="44"/>
              <w:lang w:val="en-US" w:eastAsia="zh-CN"/>
            </w:rPr>
            <w:t>5</w:t>
          </w:r>
          <w:r>
            <w:rPr>
              <w:rFonts w:ascii="方正小标宋简体" w:eastAsia="方正小标宋简体" w:cs="方正小标宋简体" w:hint="eastAsia"/>
              <w:szCs w:val="44"/>
            </w:rPr>
            <w:t>年度</w:t>
            <w:tab/>
          </w:r>
          <w:r>
            <w:rPr>
              <w:rFonts w:ascii="方正小标宋简体" w:eastAsia="方正小标宋简体" w:cs="方正小标宋简体" w:hint="eastAsia"/>
              <w:szCs w:val="44"/>
            </w:rPr>
            <w:fldChar w:fldCharType="begin"/>
          </w:r>
          <w:r>
            <w:rPr>
              <w:rFonts w:ascii="方正小标宋简体" w:eastAsia="方正小标宋简体" w:cs="方正小标宋简体" w:hint="eastAsia"/>
              <w:szCs w:val="44"/>
            </w:rPr>
            <w:instrText xml:space="preserve"> PAGEREF _Toc30692 \h </w:instrText>
          </w:r>
          <w:r>
            <w:rPr>
              <w:rFonts w:ascii="方正小标宋简体" w:eastAsia="方正小标宋简体" w:cs="方正小标宋简体" w:hint="eastAsia"/>
              <w:szCs w:val="44"/>
            </w:rPr>
            <w:fldChar w:fldCharType="separate"/>
          </w:r>
          <w:r>
            <w:rPr>
              <w:rFonts w:ascii="方正小标宋简体" w:eastAsia="方正小标宋简体" w:cs="方正小标宋简体" w:hint="eastAsia"/>
              <w:szCs w:val="44"/>
            </w:rPr>
            <w:t>1</w:t>
          </w:r>
          <w:r>
            <w:rPr>
              <w:rFonts w:ascii="方正小标宋简体" w:eastAsia="方正小标宋简体" w:cs="方正小标宋简体" w:hint="eastAsia"/>
              <w:szCs w:val="44"/>
            </w:rPr>
            <w:fldChar w:fldCharType="end"/>
          </w:r>
          <w:r>
            <w:rPr>
              <w:rFonts w:ascii="方正小标宋简体" w:eastAsia="方正小标宋简体" w:cs="方正小标宋简体" w:hint="eastAsia"/>
              <w:szCs w:val="44"/>
            </w:rPr>
            <w:fldChar w:fldCharType="end"/>
          </w:r>
        </w:p>
        <w:p>
          <w:pPr>
            <w:pStyle w:val="23"/>
            <w:keepNext w:val="0"/>
            <w:keepLines w:val="0"/>
            <w:pageBreakBefore w:val="0"/>
            <w:widowControl w:val="0"/>
            <w:tabs>
              <w:tab w:val="clear" w:pos="8296"/>
              <w:tab w:val="right" w:leader="dot" w:pos="8306"/>
            </w:tabs>
            <w:kinsoku/>
            <w:wordWrap/>
            <w:overflowPunct/>
            <w:topLinePunct w:val="0"/>
            <w:autoSpaceDE/>
            <w:autoSpaceDN/>
            <w:bidi w:val="0"/>
            <w:adjustRightInd/>
            <w:snapToGrid/>
            <w:textAlignment w:val="auto"/>
            <w:rPr>
              <w:rFonts w:ascii="方正小标宋简体" w:eastAsia="方正小标宋简体" w:cs="方正小标宋简体" w:hint="eastAsia"/>
              <w:szCs w:val="44"/>
            </w:rPr>
          </w:pPr>
          <w:r>
            <w:rPr>
              <w:rFonts w:ascii="方正小标宋简体" w:eastAsia="方正小标宋简体" w:cs="方正小标宋简体" w:hint="eastAsia"/>
              <w:szCs w:val="44"/>
            </w:rPr>
            <w:fldChar w:fldCharType="begin"/>
          </w:r>
          <w:r>
            <w:rPr>
              <w:rFonts w:ascii="方正小标宋简体" w:eastAsia="方正小标宋简体" w:cs="方正小标宋简体" w:hint="eastAsia"/>
              <w:szCs w:val="44"/>
            </w:rPr>
            <w:instrText xml:space="preserve"> HYPERLINK \l _Toc3667 </w:instrText>
          </w:r>
          <w:r>
            <w:rPr>
              <w:rFonts w:ascii="方正小标宋简体" w:eastAsia="方正小标宋简体" w:cs="方正小标宋简体" w:hint="eastAsia"/>
              <w:szCs w:val="44"/>
            </w:rPr>
            <w:fldChar w:fldCharType="separate"/>
          </w:r>
          <w:r>
            <w:rPr>
              <w:rFonts w:ascii="方正小标宋简体" w:eastAsia="方正小标宋简体" w:cs="方正小标宋简体" w:hint="eastAsia"/>
              <w:szCs w:val="44"/>
              <w:lang w:val="en-US" w:eastAsia="zh-CN"/>
            </w:rPr>
            <w:t>红原县退役军人事务局</w:t>
          </w:r>
          <w:r>
            <w:rPr>
              <w:rFonts w:ascii="方正小标宋简体" w:eastAsia="方正小标宋简体" w:cs="方正小标宋简体" w:hint="eastAsia"/>
              <w:szCs w:val="44"/>
            </w:rPr>
            <w:tab/>
          </w:r>
          <w:r>
            <w:rPr>
              <w:rFonts w:ascii="方正小标宋简体" w:eastAsia="方正小标宋简体" w:cs="方正小标宋简体" w:hint="eastAsia"/>
              <w:szCs w:val="44"/>
            </w:rPr>
            <w:fldChar w:fldCharType="begin"/>
          </w:r>
          <w:r>
            <w:rPr>
              <w:rFonts w:ascii="方正小标宋简体" w:eastAsia="方正小标宋简体" w:cs="方正小标宋简体" w:hint="eastAsia"/>
              <w:szCs w:val="44"/>
            </w:rPr>
            <w:instrText xml:space="preserve"> PAGEREF _Toc3667 \h </w:instrText>
          </w:r>
          <w:r>
            <w:rPr>
              <w:rFonts w:ascii="方正小标宋简体" w:eastAsia="方正小标宋简体" w:cs="方正小标宋简体" w:hint="eastAsia"/>
              <w:szCs w:val="44"/>
            </w:rPr>
            <w:fldChar w:fldCharType="separate"/>
          </w:r>
          <w:r>
            <w:rPr>
              <w:rFonts w:ascii="方正小标宋简体" w:eastAsia="方正小标宋简体" w:cs="方正小标宋简体" w:hint="eastAsia"/>
              <w:szCs w:val="44"/>
            </w:rPr>
            <w:t>1</w:t>
          </w:r>
          <w:r>
            <w:rPr>
              <w:rFonts w:ascii="方正小标宋简体" w:eastAsia="方正小标宋简体" w:cs="方正小标宋简体" w:hint="eastAsia"/>
              <w:szCs w:val="44"/>
            </w:rPr>
            <w:fldChar w:fldCharType="end"/>
          </w:r>
          <w:r>
            <w:rPr>
              <w:rFonts w:ascii="方正小标宋简体" w:eastAsia="方正小标宋简体" w:cs="方正小标宋简体" w:hint="eastAsia"/>
              <w:szCs w:val="44"/>
            </w:rPr>
            <w:fldChar w:fldCharType="end"/>
          </w:r>
        </w:p>
        <w:p>
          <w:pPr>
            <w:pStyle w:val="23"/>
            <w:keepNext w:val="0"/>
            <w:keepLines w:val="0"/>
            <w:pageBreakBefore w:val="0"/>
            <w:widowControl w:val="0"/>
            <w:tabs>
              <w:tab w:val="clear" w:pos="8296"/>
              <w:tab w:val="right" w:leader="dot" w:pos="8306"/>
            </w:tabs>
            <w:kinsoku/>
            <w:wordWrap/>
            <w:overflowPunct/>
            <w:topLinePunct w:val="0"/>
            <w:autoSpaceDE/>
            <w:autoSpaceDN/>
            <w:bidi w:val="0"/>
            <w:adjustRightInd/>
            <w:snapToGrid/>
            <w:textAlignment w:val="auto"/>
            <w:rPr>
              <w:rFonts w:ascii="方正小标宋简体" w:eastAsia="方正小标宋简体" w:cs="方正小标宋简体" w:hint="eastAsia"/>
              <w:szCs w:val="44"/>
            </w:rPr>
          </w:pPr>
          <w:r>
            <w:rPr>
              <w:rFonts w:ascii="方正小标宋简体" w:eastAsia="方正小标宋简体" w:cs="方正小标宋简体" w:hint="eastAsia"/>
              <w:szCs w:val="44"/>
            </w:rPr>
            <w:fldChar w:fldCharType="begin"/>
          </w:r>
          <w:r>
            <w:rPr>
              <w:rFonts w:ascii="方正小标宋简体" w:eastAsia="方正小标宋简体" w:cs="方正小标宋简体" w:hint="eastAsia"/>
              <w:szCs w:val="44"/>
            </w:rPr>
            <w:instrText xml:space="preserve"> HYPERLINK \l _Toc31949 </w:instrText>
          </w:r>
          <w:r>
            <w:rPr>
              <w:rFonts w:ascii="方正小标宋简体" w:eastAsia="方正小标宋简体" w:cs="方正小标宋简体" w:hint="eastAsia"/>
              <w:szCs w:val="44"/>
            </w:rPr>
            <w:fldChar w:fldCharType="separate"/>
          </w:r>
          <w:r>
            <w:rPr>
              <w:rFonts w:ascii="方正小标宋简体" w:eastAsia="方正小标宋简体" w:cs="方正小标宋简体" w:hint="eastAsia"/>
              <w:szCs w:val="44"/>
            </w:rPr>
            <w:t>部门决算</w:t>
          </w:r>
          <w:r>
            <w:rPr>
              <w:rFonts w:ascii="方正小标宋简体" w:eastAsia="方正小标宋简体" w:cs="方正小标宋简体" w:hint="eastAsia"/>
              <w:szCs w:val="44"/>
              <w:lang w:val="en-US" w:eastAsia="zh-CN"/>
            </w:rPr>
            <w:t>公开编制说明</w:t>
          </w:r>
          <w:r>
            <w:rPr>
              <w:rFonts w:ascii="方正小标宋简体" w:eastAsia="方正小标宋简体" w:cs="方正小标宋简体" w:hint="eastAsia"/>
              <w:szCs w:val="44"/>
            </w:rPr>
            <w:tab/>
          </w:r>
          <w:r>
            <w:rPr>
              <w:rFonts w:ascii="方正小标宋简体" w:eastAsia="方正小标宋简体" w:cs="方正小标宋简体" w:hint="eastAsia"/>
              <w:szCs w:val="44"/>
            </w:rPr>
            <w:fldChar w:fldCharType="begin"/>
          </w:r>
          <w:r>
            <w:rPr>
              <w:rFonts w:ascii="方正小标宋简体" w:eastAsia="方正小标宋简体" w:cs="方正小标宋简体" w:hint="eastAsia"/>
              <w:szCs w:val="44"/>
            </w:rPr>
            <w:instrText xml:space="preserve"> PAGEREF _Toc31949 \h </w:instrText>
          </w:r>
          <w:r>
            <w:rPr>
              <w:rFonts w:ascii="方正小标宋简体" w:eastAsia="方正小标宋简体" w:cs="方正小标宋简体" w:hint="eastAsia"/>
              <w:szCs w:val="44"/>
            </w:rPr>
            <w:fldChar w:fldCharType="separate"/>
          </w:r>
          <w:r>
            <w:rPr>
              <w:rFonts w:ascii="方正小标宋简体" w:eastAsia="方正小标宋简体" w:cs="方正小标宋简体" w:hint="eastAsia"/>
              <w:szCs w:val="44"/>
            </w:rPr>
            <w:t>1</w:t>
          </w:r>
          <w:r>
            <w:rPr>
              <w:rFonts w:ascii="方正小标宋简体" w:eastAsia="方正小标宋简体" w:cs="方正小标宋简体" w:hint="eastAsia"/>
              <w:szCs w:val="44"/>
            </w:rPr>
            <w:fldChar w:fldCharType="end"/>
          </w:r>
          <w:r>
            <w:rPr>
              <w:rFonts w:ascii="方正小标宋简体" w:eastAsia="方正小标宋简体" w:cs="方正小标宋简体" w:hint="eastAsia"/>
              <w:szCs w:val="44"/>
            </w:rPr>
            <w:fldChar w:fldCharType="end"/>
          </w:r>
        </w:p>
        <w:p>
          <w:pPr>
            <w:pStyle w:val="23"/>
            <w:keepNext w:val="0"/>
            <w:keepLines w:val="0"/>
            <w:pageBreakBefore w:val="0"/>
            <w:widowControl w:val="0"/>
            <w:tabs>
              <w:tab w:val="clear" w:pos="8296"/>
              <w:tab w:val="right" w:leader="dot" w:pos="8306"/>
            </w:tabs>
            <w:kinsoku/>
            <w:wordWrap/>
            <w:overflowPunct/>
            <w:topLinePunct w:val="0"/>
            <w:autoSpaceDE/>
            <w:autoSpaceDN/>
            <w:bidi w:val="0"/>
            <w:adjustRightInd/>
            <w:snapToGrid/>
            <w:textAlignment w:val="auto"/>
            <w:rPr>
              <w:rFonts w:ascii="方正小标宋简体" w:eastAsia="方正小标宋简体" w:cs="方正小标宋简体" w:hint="eastAsia"/>
              <w:szCs w:val="44"/>
            </w:rPr>
          </w:pPr>
          <w:r>
            <w:rPr>
              <w:rFonts w:ascii="方正小标宋简体" w:eastAsia="方正小标宋简体" w:cs="方正小标宋简体" w:hint="eastAsia"/>
              <w:szCs w:val="44"/>
            </w:rPr>
            <w:fldChar w:fldCharType="begin"/>
          </w:r>
          <w:r>
            <w:rPr>
              <w:rFonts w:ascii="方正小标宋简体" w:eastAsia="方正小标宋简体" w:cs="方正小标宋简体" w:hint="eastAsia"/>
              <w:szCs w:val="44"/>
            </w:rPr>
            <w:instrText xml:space="preserve"> HYPERLINK \l _Toc23357 </w:instrText>
          </w:r>
          <w:r>
            <w:rPr>
              <w:rFonts w:ascii="方正小标宋简体" w:eastAsia="方正小标宋简体" w:cs="方正小标宋简体" w:hint="eastAsia"/>
              <w:szCs w:val="44"/>
            </w:rPr>
            <w:fldChar w:fldCharType="separate"/>
          </w:r>
          <w:r>
            <w:rPr>
              <w:rFonts w:ascii="方正小标宋简体" w:eastAsia="方正小标宋简体" w:cs="方正小标宋简体" w:hint="eastAsia"/>
              <w:szCs w:val="44"/>
            </w:rPr>
            <w:t>第一部分 部门概况</w:t>
            <w:tab/>
          </w:r>
          <w:r>
            <w:rPr>
              <w:rFonts w:ascii="方正小标宋简体" w:eastAsia="方正小标宋简体" w:cs="方正小标宋简体" w:hint="eastAsia"/>
              <w:szCs w:val="44"/>
            </w:rPr>
            <w:fldChar w:fldCharType="begin"/>
          </w:r>
          <w:r>
            <w:rPr>
              <w:rFonts w:ascii="方正小标宋简体" w:eastAsia="方正小标宋简体" w:cs="方正小标宋简体" w:hint="eastAsia"/>
              <w:szCs w:val="44"/>
            </w:rPr>
            <w:instrText xml:space="preserve"> PAGEREF _Toc23357 \h </w:instrText>
          </w:r>
          <w:r>
            <w:rPr>
              <w:rFonts w:ascii="方正小标宋简体" w:eastAsia="方正小标宋简体" w:cs="方正小标宋简体" w:hint="eastAsia"/>
              <w:szCs w:val="44"/>
            </w:rPr>
            <w:fldChar w:fldCharType="separate"/>
          </w:r>
          <w:r>
            <w:rPr>
              <w:rFonts w:ascii="方正小标宋简体" w:eastAsia="方正小标宋简体" w:cs="方正小标宋简体" w:hint="eastAsia"/>
              <w:szCs w:val="44"/>
            </w:rPr>
            <w:t>3</w:t>
          </w:r>
          <w:r>
            <w:rPr>
              <w:rFonts w:ascii="方正小标宋简体" w:eastAsia="方正小标宋简体" w:cs="方正小标宋简体" w:hint="eastAsia"/>
              <w:szCs w:val="44"/>
            </w:rPr>
            <w:fldChar w:fldCharType="end"/>
          </w:r>
          <w:r>
            <w:rPr>
              <w:rFonts w:ascii="方正小标宋简体" w:eastAsia="方正小标宋简体" w:cs="方正小标宋简体" w:hint="eastAsia"/>
              <w:szCs w:val="44"/>
            </w:rPr>
            <w:fldChar w:fldCharType="end"/>
          </w:r>
        </w:p>
        <w:p>
          <w:pPr>
            <w:pStyle w:val="23"/>
            <w:keepNext w:val="0"/>
            <w:keepLines w:val="0"/>
            <w:pageBreakBefore w:val="0"/>
            <w:widowControl w:val="0"/>
            <w:tabs>
              <w:tab w:val="clear" w:pos="8296"/>
              <w:tab w:val="right" w:leader="dot" w:pos="8306"/>
            </w:tabs>
            <w:kinsoku/>
            <w:wordWrap/>
            <w:overflowPunct/>
            <w:topLinePunct w:val="0"/>
            <w:autoSpaceDE/>
            <w:autoSpaceDN/>
            <w:bidi w:val="0"/>
            <w:adjustRightInd/>
            <w:snapToGrid/>
            <w:textAlignment w:val="auto"/>
            <w:rPr>
              <w:rFonts w:ascii="方正小标宋简体" w:eastAsia="方正小标宋简体" w:cs="方正小标宋简体" w:hint="eastAsia"/>
              <w:szCs w:val="44"/>
            </w:rPr>
          </w:pPr>
          <w:r>
            <w:rPr>
              <w:rFonts w:ascii="方正小标宋简体" w:eastAsia="方正小标宋简体" w:cs="方正小标宋简体" w:hint="eastAsia"/>
              <w:szCs w:val="44"/>
            </w:rPr>
            <w:fldChar w:fldCharType="begin"/>
          </w:r>
          <w:r>
            <w:rPr>
              <w:rFonts w:ascii="方正小标宋简体" w:eastAsia="方正小标宋简体" w:cs="方正小标宋简体" w:hint="eastAsia"/>
              <w:szCs w:val="44"/>
            </w:rPr>
            <w:instrText xml:space="preserve"> HYPERLINK \l _Toc17602 </w:instrText>
          </w:r>
          <w:r>
            <w:rPr>
              <w:rFonts w:ascii="方正小标宋简体" w:eastAsia="方正小标宋简体" w:cs="方正小标宋简体" w:hint="eastAsia"/>
              <w:szCs w:val="44"/>
            </w:rPr>
            <w:fldChar w:fldCharType="separate"/>
          </w:r>
          <w:r>
            <w:rPr>
              <w:rFonts w:ascii="方正小标宋简体" w:eastAsia="方正小标宋简体" w:cs="方正小标宋简体" w:hint="eastAsia"/>
              <w:szCs w:val="44"/>
            </w:rPr>
            <w:t>第二部分 202</w:t>
          </w:r>
          <w:r>
            <w:rPr>
              <w:rFonts w:ascii="方正小标宋简体" w:eastAsia="方正小标宋简体" w:cs="方正小标宋简体" w:hint="eastAsia"/>
              <w:szCs w:val="44"/>
              <w:lang w:val="en-US" w:eastAsia="zh-CN"/>
            </w:rPr>
            <w:t>5</w:t>
          </w:r>
          <w:r>
            <w:rPr>
              <w:rFonts w:ascii="方正小标宋简体" w:eastAsia="方正小标宋简体" w:cs="方正小标宋简体" w:hint="eastAsia"/>
              <w:szCs w:val="44"/>
            </w:rPr>
            <w:t>年度部门决算情况说明</w:t>
            <w:tab/>
          </w:r>
          <w:r>
            <w:rPr>
              <w:rFonts w:ascii="方正小标宋简体" w:eastAsia="方正小标宋简体" w:cs="方正小标宋简体" w:hint="eastAsia"/>
              <w:szCs w:val="44"/>
            </w:rPr>
            <w:fldChar w:fldCharType="begin"/>
          </w:r>
          <w:r>
            <w:rPr>
              <w:rFonts w:ascii="方正小标宋简体" w:eastAsia="方正小标宋简体" w:cs="方正小标宋简体" w:hint="eastAsia"/>
              <w:szCs w:val="44"/>
            </w:rPr>
            <w:instrText xml:space="preserve"> PAGEREF _Toc17602 \h </w:instrText>
          </w:r>
          <w:r>
            <w:rPr>
              <w:rFonts w:ascii="方正小标宋简体" w:eastAsia="方正小标宋简体" w:cs="方正小标宋简体" w:hint="eastAsia"/>
              <w:szCs w:val="44"/>
            </w:rPr>
            <w:fldChar w:fldCharType="separate"/>
          </w:r>
          <w:r>
            <w:rPr>
              <w:rFonts w:ascii="方正小标宋简体" w:eastAsia="方正小标宋简体" w:cs="方正小标宋简体" w:hint="eastAsia"/>
              <w:szCs w:val="44"/>
            </w:rPr>
            <w:t>6</w:t>
          </w:r>
          <w:r>
            <w:rPr>
              <w:rFonts w:ascii="方正小标宋简体" w:eastAsia="方正小标宋简体" w:cs="方正小标宋简体" w:hint="eastAsia"/>
              <w:szCs w:val="44"/>
            </w:rPr>
            <w:fldChar w:fldCharType="end"/>
          </w:r>
          <w:r>
            <w:rPr>
              <w:rFonts w:ascii="方正小标宋简体" w:eastAsia="方正小标宋简体" w:cs="方正小标宋简体" w:hint="eastAsia"/>
              <w:szCs w:val="44"/>
            </w:rPr>
            <w:fldChar w:fldCharType="end"/>
          </w:r>
        </w:p>
        <w:p>
          <w:pPr>
            <w:pStyle w:val="23"/>
            <w:keepNext w:val="0"/>
            <w:keepLines w:val="0"/>
            <w:pageBreakBefore w:val="0"/>
            <w:widowControl w:val="0"/>
            <w:tabs>
              <w:tab w:val="clear" w:pos="8296"/>
              <w:tab w:val="right" w:leader="dot" w:pos="8306"/>
            </w:tabs>
            <w:kinsoku/>
            <w:wordWrap/>
            <w:overflowPunct/>
            <w:topLinePunct w:val="0"/>
            <w:autoSpaceDE/>
            <w:autoSpaceDN/>
            <w:bidi w:val="0"/>
            <w:adjustRightInd/>
            <w:snapToGrid/>
            <w:textAlignment w:val="auto"/>
            <w:rPr>
              <w:rFonts w:ascii="方正小标宋简体" w:eastAsia="方正小标宋简体" w:cs="方正小标宋简体" w:hint="eastAsia"/>
              <w:szCs w:val="44"/>
            </w:rPr>
          </w:pPr>
          <w:r>
            <w:rPr>
              <w:rFonts w:ascii="方正小标宋简体" w:eastAsia="方正小标宋简体" w:cs="方正小标宋简体" w:hint="eastAsia"/>
              <w:szCs w:val="44"/>
            </w:rPr>
            <w:fldChar w:fldCharType="begin"/>
          </w:r>
          <w:r>
            <w:rPr>
              <w:rFonts w:ascii="方正小标宋简体" w:eastAsia="方正小标宋简体" w:cs="方正小标宋简体" w:hint="eastAsia"/>
              <w:szCs w:val="44"/>
            </w:rPr>
            <w:instrText xml:space="preserve"> HYPERLINK \l _Toc12897 </w:instrText>
          </w:r>
          <w:r>
            <w:rPr>
              <w:rFonts w:ascii="方正小标宋简体" w:eastAsia="方正小标宋简体" w:cs="方正小标宋简体" w:hint="eastAsia"/>
              <w:szCs w:val="44"/>
            </w:rPr>
            <w:fldChar w:fldCharType="separate"/>
          </w:r>
          <w:r>
            <w:rPr>
              <w:rFonts w:ascii="方正小标宋简体" w:eastAsia="方正小标宋简体" w:cs="方正小标宋简体" w:hint="eastAsia"/>
              <w:szCs w:val="44"/>
            </w:rPr>
            <w:t>第三部分 名词解释</w:t>
            <w:tab/>
          </w:r>
          <w:r>
            <w:rPr>
              <w:rFonts w:ascii="方正小标宋简体" w:eastAsia="方正小标宋简体" w:cs="方正小标宋简体" w:hint="eastAsia"/>
              <w:szCs w:val="44"/>
            </w:rPr>
            <w:fldChar w:fldCharType="begin"/>
          </w:r>
          <w:r>
            <w:rPr>
              <w:rFonts w:ascii="方正小标宋简体" w:eastAsia="方正小标宋简体" w:cs="方正小标宋简体" w:hint="eastAsia"/>
              <w:szCs w:val="44"/>
            </w:rPr>
            <w:instrText xml:space="preserve"> PAGEREF _Toc12897 \h </w:instrText>
          </w:r>
          <w:r>
            <w:rPr>
              <w:rFonts w:ascii="方正小标宋简体" w:eastAsia="方正小标宋简体" w:cs="方正小标宋简体" w:hint="eastAsia"/>
              <w:szCs w:val="44"/>
            </w:rPr>
            <w:fldChar w:fldCharType="separate"/>
          </w:r>
          <w:r>
            <w:rPr>
              <w:rFonts w:ascii="方正小标宋简体" w:eastAsia="方正小标宋简体" w:cs="方正小标宋简体" w:hint="eastAsia"/>
              <w:szCs w:val="44"/>
            </w:rPr>
            <w:t>16</w:t>
          </w:r>
          <w:r>
            <w:rPr>
              <w:rFonts w:ascii="方正小标宋简体" w:eastAsia="方正小标宋简体" w:cs="方正小标宋简体" w:hint="eastAsia"/>
              <w:szCs w:val="44"/>
            </w:rPr>
            <w:fldChar w:fldCharType="end"/>
          </w:r>
          <w:r>
            <w:rPr>
              <w:rFonts w:ascii="方正小标宋简体" w:eastAsia="方正小标宋简体" w:cs="方正小标宋简体" w:hint="eastAsia"/>
              <w:szCs w:val="44"/>
            </w:rPr>
            <w:fldChar w:fldCharType="end"/>
          </w:r>
        </w:p>
        <w:p>
          <w:pPr>
            <w:pStyle w:val="23"/>
            <w:keepNext w:val="0"/>
            <w:keepLines w:val="0"/>
            <w:pageBreakBefore w:val="0"/>
            <w:widowControl w:val="0"/>
            <w:tabs>
              <w:tab w:val="clear" w:pos="8296"/>
              <w:tab w:val="right" w:leader="dot" w:pos="8306"/>
            </w:tabs>
            <w:kinsoku/>
            <w:wordWrap/>
            <w:overflowPunct/>
            <w:topLinePunct w:val="0"/>
            <w:autoSpaceDE/>
            <w:autoSpaceDN/>
            <w:bidi w:val="0"/>
            <w:adjustRightInd/>
            <w:snapToGrid/>
            <w:textAlignment w:val="auto"/>
            <w:rPr>
              <w:rFonts w:ascii="方正小标宋简体" w:eastAsia="方正小标宋简体" w:cs="方正小标宋简体" w:hint="eastAsia"/>
              <w:szCs w:val="44"/>
            </w:rPr>
          </w:pPr>
          <w:r>
            <w:rPr>
              <w:rFonts w:ascii="方正小标宋简体" w:eastAsia="方正小标宋简体" w:cs="方正小标宋简体" w:hint="eastAsia"/>
              <w:szCs w:val="44"/>
            </w:rPr>
            <w:fldChar w:fldCharType="begin"/>
          </w:r>
          <w:r>
            <w:rPr>
              <w:rFonts w:ascii="方正小标宋简体" w:eastAsia="方正小标宋简体" w:cs="方正小标宋简体" w:hint="eastAsia"/>
              <w:szCs w:val="44"/>
            </w:rPr>
            <w:instrText xml:space="preserve"> HYPERLINK \l _Toc239 </w:instrText>
          </w:r>
          <w:r>
            <w:rPr>
              <w:rFonts w:ascii="方正小标宋简体" w:eastAsia="方正小标宋简体" w:cs="方正小标宋简体" w:hint="eastAsia"/>
              <w:szCs w:val="44"/>
            </w:rPr>
            <w:fldChar w:fldCharType="separate"/>
          </w:r>
          <w:r>
            <w:rPr>
              <w:rFonts w:ascii="方正小标宋简体" w:eastAsia="方正小标宋简体" w:cs="方正小标宋简体" w:hint="eastAsia"/>
              <w:szCs w:val="44"/>
            </w:rPr>
            <w:t>第四部分 附件</w:t>
            <w:tab/>
          </w:r>
          <w:r>
            <w:rPr>
              <w:rFonts w:ascii="方正小标宋简体" w:eastAsia="方正小标宋简体" w:cs="方正小标宋简体" w:hint="eastAsia"/>
              <w:szCs w:val="44"/>
            </w:rPr>
            <w:fldChar w:fldCharType="begin"/>
          </w:r>
          <w:r>
            <w:rPr>
              <w:rFonts w:ascii="方正小标宋简体" w:eastAsia="方正小标宋简体" w:cs="方正小标宋简体" w:hint="eastAsia"/>
              <w:szCs w:val="44"/>
            </w:rPr>
            <w:instrText xml:space="preserve"> PAGEREF _Toc239 \h </w:instrText>
          </w:r>
          <w:r>
            <w:rPr>
              <w:rFonts w:ascii="方正小标宋简体" w:eastAsia="方正小标宋简体" w:cs="方正小标宋简体" w:hint="eastAsia"/>
              <w:szCs w:val="44"/>
            </w:rPr>
            <w:fldChar w:fldCharType="separate"/>
          </w:r>
          <w:r>
            <w:rPr>
              <w:rFonts w:ascii="方正小标宋简体" w:eastAsia="方正小标宋简体" w:cs="方正小标宋简体" w:hint="eastAsia"/>
              <w:szCs w:val="44"/>
            </w:rPr>
            <w:t>20</w:t>
          </w:r>
          <w:r>
            <w:rPr>
              <w:rFonts w:ascii="方正小标宋简体" w:eastAsia="方正小标宋简体" w:cs="方正小标宋简体" w:hint="eastAsia"/>
              <w:szCs w:val="44"/>
            </w:rPr>
            <w:fldChar w:fldCharType="end"/>
          </w:r>
          <w:r>
            <w:rPr>
              <w:rFonts w:ascii="方正小标宋简体" w:eastAsia="方正小标宋简体" w:cs="方正小标宋简体" w:hint="eastAsia"/>
              <w:szCs w:val="44"/>
            </w:rPr>
            <w:fldChar w:fldCharType="end"/>
          </w:r>
        </w:p>
        <w:p>
          <w:pPr>
            <w:pStyle w:val="23"/>
            <w:keepNext w:val="0"/>
            <w:keepLines w:val="0"/>
            <w:pageBreakBefore w:val="0"/>
            <w:widowControl w:val="0"/>
            <w:tabs>
              <w:tab w:val="clear" w:pos="8296"/>
              <w:tab w:val="right" w:leader="dot" w:pos="8306"/>
            </w:tabs>
            <w:kinsoku/>
            <w:wordWrap/>
            <w:overflowPunct/>
            <w:topLinePunct w:val="0"/>
            <w:autoSpaceDE/>
            <w:autoSpaceDN/>
            <w:bidi w:val="0"/>
            <w:adjustRightInd/>
            <w:snapToGrid/>
            <w:textAlignment w:val="auto"/>
          </w:pPr>
          <w:r>
            <w:rPr>
              <w:rFonts w:ascii="方正小标宋简体" w:eastAsia="方正小标宋简体" w:cs="方正小标宋简体" w:hint="eastAsia"/>
              <w:szCs w:val="44"/>
            </w:rPr>
            <w:fldChar w:fldCharType="begin"/>
          </w:r>
          <w:r>
            <w:rPr>
              <w:rFonts w:ascii="方正小标宋简体" w:eastAsia="方正小标宋简体" w:cs="方正小标宋简体" w:hint="eastAsia"/>
              <w:szCs w:val="44"/>
            </w:rPr>
            <w:instrText xml:space="preserve"> HYPERLINK \l _Toc19766 </w:instrText>
          </w:r>
          <w:r>
            <w:rPr>
              <w:rFonts w:ascii="方正小标宋简体" w:eastAsia="方正小标宋简体" w:cs="方正小标宋简体" w:hint="eastAsia"/>
              <w:szCs w:val="44"/>
            </w:rPr>
            <w:fldChar w:fldCharType="separate"/>
          </w:r>
          <w:r>
            <w:rPr>
              <w:rFonts w:ascii="方正小标宋简体" w:eastAsia="方正小标宋简体" w:cs="方正小标宋简体" w:hint="eastAsia"/>
              <w:szCs w:val="44"/>
            </w:rPr>
            <w:t>第五部分 附表</w:t>
            <w:tab/>
          </w:r>
          <w:r>
            <w:rPr>
              <w:rFonts w:ascii="方正小标宋简体" w:eastAsia="方正小标宋简体" w:cs="方正小标宋简体" w:hint="eastAsia"/>
              <w:szCs w:val="44"/>
            </w:rPr>
            <w:fldChar w:fldCharType="begin"/>
          </w:r>
          <w:r>
            <w:rPr>
              <w:rFonts w:ascii="方正小标宋简体" w:eastAsia="方正小标宋简体" w:cs="方正小标宋简体" w:hint="eastAsia"/>
              <w:szCs w:val="44"/>
            </w:rPr>
            <w:instrText xml:space="preserve"> PAGEREF _Toc19766 \h </w:instrText>
          </w:r>
          <w:r>
            <w:rPr>
              <w:rFonts w:ascii="方正小标宋简体" w:eastAsia="方正小标宋简体" w:cs="方正小标宋简体" w:hint="eastAsia"/>
              <w:szCs w:val="44"/>
            </w:rPr>
            <w:fldChar w:fldCharType="separate"/>
          </w:r>
          <w:r>
            <w:rPr>
              <w:rFonts w:ascii="方正小标宋简体" w:eastAsia="方正小标宋简体" w:cs="方正小标宋简体" w:hint="eastAsia"/>
              <w:szCs w:val="44"/>
            </w:rPr>
            <w:t>34</w:t>
          </w:r>
          <w:r>
            <w:rPr>
              <w:rFonts w:ascii="方正小标宋简体" w:eastAsia="方正小标宋简体" w:cs="方正小标宋简体" w:hint="eastAsia"/>
              <w:szCs w:val="44"/>
            </w:rPr>
            <w:fldChar w:fldCharType="end"/>
          </w:r>
          <w:r>
            <w:rPr>
              <w:rFonts w:ascii="方正小标宋简体" w:eastAsia="方正小标宋简体" w:cs="方正小标宋简体" w:hint="eastAsia"/>
              <w:szCs w:val="44"/>
            </w:rPr>
            <w:fldChar w:fldCharType="end"/>
          </w:r>
        </w:p>
        <w:p>
          <w:r>
            <w:fldChar w:fldCharType="end"/>
          </w:r>
        </w:p>
      </w:sdtContent>
    </w:sdt>
    <w:p>
      <w:pPr>
        <w:widowControl/>
        <w:spacing w:line="440" w:lineRule="exact"/>
        <w:jc w:val="left"/>
        <w:rPr>
          <w:rFonts w:ascii="仿宋" w:eastAsia="仿宋"/>
          <w:bCs/>
          <w:kern w:val="44"/>
          <w:sz w:val="24"/>
        </w:rPr>
      </w:pPr>
      <w:r>
        <w:rPr>
          <w:rFonts w:ascii="仿宋" w:eastAsia="仿宋"/>
          <w:b/>
          <w:sz w:val="24"/>
        </w:rPr>
        <w:br w:type="page"/>
      </w:r>
    </w:p>
    <w:p>
      <w:pPr>
        <w:pStyle w:val="1"/>
        <w:jc w:val="center"/>
        <w:rPr>
          <w:rStyle w:val="1Char"/>
          <w:rFonts w:ascii="黑体" w:eastAsia="黑体"/>
          <w:b/>
          <w:bCs w:val="0"/>
        </w:rPr>
      </w:pPr>
      <w:bookmarkStart w:id="18" w:name="_Toc23357"/>
      <w:r>
        <w:rPr>
          <w:rFonts w:ascii="黑体" w:eastAsia="黑体" w:hint="eastAsia"/>
          <w:b w:val="0"/>
        </w:rPr>
        <w:t xml:space="preserve">第一部分 </w:t>
      </w:r>
      <w:r>
        <w:rPr>
          <w:rStyle w:val="1Char"/>
          <w:rFonts w:ascii="黑体" w:eastAsia="黑体" w:hint="eastAsia"/>
          <w:b w:val="0"/>
          <w:bCs w:val="0"/>
        </w:rPr>
        <w:t>部门概况</w:t>
      </w:r>
      <w:bookmarkEnd w:id="16"/>
      <w:bookmarkEnd w:id="17"/>
      <w:bookmarkEnd w:id="18"/>
    </w:p>
    <w:p>
      <w:pPr>
        <w:widowControl/>
        <w:jc w:val="left"/>
        <w:rPr>
          <w:rFonts w:ascii="黑体" w:eastAsia="黑体"/>
          <w:sz w:val="32"/>
          <w:szCs w:val="32"/>
        </w:rPr>
      </w:pPr>
    </w:p>
    <w:p>
      <w:pPr>
        <w:pStyle w:val="2"/>
        <w:numPr>
          <w:ilvl w:val="0"/>
          <w:numId w:val="1"/>
        </w:numPr>
        <w:rPr>
          <w:rFonts w:ascii="黑体" w:eastAsia="黑体" w:hint="eastAsia"/>
          <w:b w:val="0"/>
        </w:rPr>
      </w:pPr>
      <w:r>
        <w:rPr>
          <w:rFonts w:ascii="黑体" w:eastAsia="黑体" w:hint="eastAsia"/>
          <w:b w:val="0"/>
        </w:rPr>
        <w:t>部门职责</w:t>
      </w:r>
    </w:p>
    <w:p>
      <w:pPr>
        <w:pStyle w:val="2"/>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firstLineChars="200" w:firstLine="640"/>
        <w:textAlignment w:val="auto"/>
        <w:rPr>
          <w:rFonts w:ascii="Times New Roman" w:eastAsia="仿宋_GB2312" w:cs="Times New Roman" w:hAnsi="Times New Roman" w:hint="eastAsia"/>
          <w:b w:val="0"/>
          <w:bCs w:val="0"/>
          <w:kern w:val="2"/>
          <w:sz w:val="32"/>
          <w:szCs w:val="32"/>
          <w:lang w:val="en-US" w:eastAsia="zh-CN" w:bidi="ar-SA"/>
        </w:rPr>
      </w:pPr>
      <w:bookmarkStart w:id="19" w:name="_Toc2062"/>
      <w:bookmarkStart w:id="20" w:name="_Toc1550"/>
      <w:bookmarkStart w:id="21" w:name="_Toc4740"/>
      <w:r>
        <w:rPr>
          <w:rFonts w:ascii="Times New Roman" w:eastAsia="仿宋_GB2312" w:cs="Times New Roman" w:hAnsi="Times New Roman" w:hint="eastAsia"/>
          <w:b w:val="0"/>
          <w:bCs w:val="0"/>
          <w:kern w:val="2"/>
          <w:sz w:val="32"/>
          <w:szCs w:val="32"/>
          <w:lang w:val="en-US" w:eastAsia="zh-CN" w:bidi="ar-SA"/>
        </w:rPr>
        <w:t>县退役军人局贯彻落实党中央关于退役军人工作的方针政策和省委、州委、县委的决策部署，在履行职责过程中坚持和加强党对退役军人工作的集中统一领导。主要职责是：</w:t>
      </w:r>
      <w:bookmarkEnd w:id="19"/>
      <w:bookmarkEnd w:id="20"/>
      <w:bookmarkEnd w:id="21"/>
    </w:p>
    <w:p>
      <w:pPr>
        <w:pStyle w:val="2"/>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firstLineChars="200" w:firstLine="640"/>
        <w:textAlignment w:val="auto"/>
        <w:rPr>
          <w:rFonts w:ascii="Times New Roman" w:eastAsia="仿宋_GB2312" w:cs="Times New Roman" w:hAnsi="Times New Roman" w:hint="eastAsia"/>
          <w:b w:val="0"/>
          <w:bCs w:val="0"/>
          <w:kern w:val="2"/>
          <w:sz w:val="32"/>
          <w:szCs w:val="32"/>
          <w:lang w:val="en-US" w:eastAsia="zh-CN" w:bidi="ar-SA"/>
        </w:rPr>
      </w:pPr>
      <w:bookmarkStart w:id="22" w:name="_Toc31188"/>
      <w:bookmarkStart w:id="23" w:name="_Toc29115"/>
      <w:bookmarkStart w:id="24" w:name="_Toc3961"/>
      <w:r>
        <w:rPr>
          <w:rFonts w:ascii="Times New Roman" w:eastAsia="仿宋_GB2312" w:cs="Times New Roman" w:hAnsi="Times New Roman" w:hint="eastAsia"/>
          <w:b w:val="0"/>
          <w:bCs w:val="0"/>
          <w:kern w:val="2"/>
          <w:sz w:val="32"/>
          <w:szCs w:val="32"/>
          <w:lang w:val="en-US" w:eastAsia="zh-CN" w:bidi="ar-SA"/>
        </w:rPr>
        <w:t>1.贯彻执行有关退役军人思想政治、管理保障和安置优抚等法律法规，拟订退役军人工作政策并组织实施，褒扬彰显退役军人为党、国家和人民牺牲奉献的精神风范和价值导向。</w:t>
      </w:r>
      <w:bookmarkEnd w:id="22"/>
      <w:bookmarkEnd w:id="23"/>
      <w:bookmarkEnd w:id="24"/>
    </w:p>
    <w:p>
      <w:pPr>
        <w:pStyle w:val="2"/>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firstLineChars="200" w:firstLine="640"/>
        <w:textAlignment w:val="auto"/>
        <w:rPr>
          <w:rFonts w:ascii="Times New Roman" w:eastAsia="仿宋_GB2312" w:cs="Times New Roman" w:hAnsi="Times New Roman" w:hint="eastAsia"/>
          <w:b w:val="0"/>
          <w:bCs w:val="0"/>
          <w:kern w:val="2"/>
          <w:sz w:val="32"/>
          <w:szCs w:val="32"/>
          <w:lang w:val="en-US" w:eastAsia="zh-CN" w:bidi="ar-SA"/>
        </w:rPr>
      </w:pPr>
      <w:bookmarkStart w:id="25" w:name="_Toc12743"/>
      <w:bookmarkStart w:id="26" w:name="_Toc1208"/>
      <w:bookmarkStart w:id="27" w:name="_Toc15099"/>
      <w:r>
        <w:rPr>
          <w:rFonts w:ascii="Times New Roman" w:eastAsia="仿宋_GB2312" w:cs="Times New Roman" w:hAnsi="Times New Roman" w:hint="eastAsia"/>
          <w:b w:val="0"/>
          <w:bCs w:val="0"/>
          <w:kern w:val="2"/>
          <w:sz w:val="32"/>
          <w:szCs w:val="32"/>
          <w:lang w:val="en-US" w:eastAsia="zh-CN" w:bidi="ar-SA"/>
        </w:rPr>
        <w:t>2.负责军队转业干部、复员干部、离休退休干部、退役士兵和无军籍退休退职职工的移交安置和自主择业、就业退役军人服务管理工作。</w:t>
      </w:r>
      <w:bookmarkEnd w:id="25"/>
      <w:bookmarkEnd w:id="26"/>
      <w:bookmarkEnd w:id="27"/>
    </w:p>
    <w:p>
      <w:pPr>
        <w:pStyle w:val="2"/>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firstLineChars="200" w:firstLine="640"/>
        <w:textAlignment w:val="auto"/>
        <w:rPr>
          <w:rFonts w:ascii="Times New Roman" w:eastAsia="仿宋_GB2312" w:cs="Times New Roman" w:hAnsi="Times New Roman" w:hint="eastAsia"/>
          <w:b w:val="0"/>
          <w:bCs w:val="0"/>
          <w:kern w:val="2"/>
          <w:sz w:val="32"/>
          <w:szCs w:val="32"/>
          <w:lang w:val="en-US" w:eastAsia="zh-CN" w:bidi="ar-SA"/>
        </w:rPr>
      </w:pPr>
      <w:r>
        <w:rPr>
          <w:rFonts w:ascii="Times New Roman" w:eastAsia="仿宋_GB2312" w:cs="Times New Roman" w:hAnsi="Times New Roman" w:hint="eastAsia"/>
          <w:b w:val="0"/>
          <w:bCs w:val="0"/>
          <w:kern w:val="2"/>
          <w:sz w:val="32"/>
          <w:szCs w:val="32"/>
          <w:lang w:val="en-US" w:eastAsia="zh-CN" w:bidi="ar-SA"/>
        </w:rPr>
        <w:t>3.组织、指导退役军人教育培训工作，承担退役军人和随军随调家属就业创业扶持工作。</w:t>
      </w:r>
    </w:p>
    <w:p>
      <w:pPr>
        <w:pStyle w:val="2"/>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firstLineChars="200" w:firstLine="640"/>
        <w:textAlignment w:val="auto"/>
        <w:rPr>
          <w:rFonts w:ascii="Times New Roman" w:eastAsia="仿宋_GB2312" w:cs="Times New Roman" w:hAnsi="Times New Roman" w:hint="eastAsia"/>
          <w:b w:val="0"/>
          <w:bCs w:val="0"/>
          <w:kern w:val="2"/>
          <w:sz w:val="32"/>
          <w:szCs w:val="32"/>
          <w:lang w:val="en-US" w:eastAsia="zh-CN" w:bidi="ar-SA"/>
        </w:rPr>
      </w:pPr>
      <w:r>
        <w:rPr>
          <w:rFonts w:ascii="Times New Roman" w:eastAsia="仿宋_GB2312" w:cs="Times New Roman" w:hAnsi="Times New Roman" w:hint="eastAsia"/>
          <w:b w:val="0"/>
          <w:bCs w:val="0"/>
          <w:kern w:val="2"/>
          <w:sz w:val="32"/>
          <w:szCs w:val="32"/>
          <w:lang w:val="en-US" w:eastAsia="zh-CN" w:bidi="ar-SA"/>
        </w:rPr>
        <w:t>4.贯彻执行国家有关退役军人特殊保障政策。</w:t>
      </w:r>
    </w:p>
    <w:p>
      <w:pPr>
        <w:pStyle w:val="2"/>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firstLineChars="200" w:firstLine="640"/>
        <w:textAlignment w:val="auto"/>
        <w:rPr>
          <w:rFonts w:ascii="Times New Roman" w:eastAsia="仿宋_GB2312" w:cs="Times New Roman" w:hAnsi="Times New Roman" w:hint="eastAsia"/>
          <w:b w:val="0"/>
          <w:bCs w:val="0"/>
          <w:kern w:val="2"/>
          <w:sz w:val="32"/>
          <w:szCs w:val="32"/>
          <w:lang w:val="en-US" w:eastAsia="zh-CN" w:bidi="ar-SA"/>
        </w:rPr>
      </w:pPr>
      <w:r>
        <w:rPr>
          <w:rFonts w:ascii="Times New Roman" w:eastAsia="仿宋_GB2312" w:cs="Times New Roman" w:hAnsi="Times New Roman" w:hint="eastAsia"/>
          <w:b w:val="0"/>
          <w:bCs w:val="0"/>
          <w:kern w:val="2"/>
          <w:sz w:val="32"/>
          <w:szCs w:val="32"/>
          <w:lang w:val="en-US" w:eastAsia="zh-CN" w:bidi="ar-SA"/>
        </w:rPr>
        <w:t>5.组织、协调落实移交地方的离休退休军人、符合条件的其他退役军人和无军籍退休退职职工的住房保障工作，以及退役军人医疗保障、社会保险等待遇保障工作。</w:t>
      </w:r>
    </w:p>
    <w:p>
      <w:pPr>
        <w:pStyle w:val="2"/>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firstLineChars="200" w:firstLine="640"/>
        <w:textAlignment w:val="auto"/>
        <w:rPr>
          <w:rFonts w:ascii="Times New Roman" w:eastAsia="仿宋_GB2312" w:cs="Times New Roman" w:hAnsi="Times New Roman" w:hint="eastAsia"/>
          <w:b w:val="0"/>
          <w:bCs w:val="0"/>
          <w:kern w:val="2"/>
          <w:sz w:val="32"/>
          <w:szCs w:val="32"/>
          <w:lang w:val="en-US" w:eastAsia="zh-CN" w:bidi="ar-SA"/>
        </w:rPr>
      </w:pPr>
      <w:r>
        <w:rPr>
          <w:rFonts w:ascii="Times New Roman" w:eastAsia="仿宋_GB2312" w:cs="Times New Roman" w:hAnsi="Times New Roman" w:hint="eastAsia"/>
          <w:b w:val="0"/>
          <w:bCs w:val="0"/>
          <w:kern w:val="2"/>
          <w:sz w:val="32"/>
          <w:szCs w:val="32"/>
          <w:lang w:val="en-US" w:eastAsia="zh-CN" w:bidi="ar-SA"/>
        </w:rPr>
        <w:t>6.负责伤病残退役军人服务管理和抚恤工作，贯彻执行有关</w:t>
      </w:r>
    </w:p>
    <w:p>
      <w:pPr>
        <w:pStyle w:val="2"/>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firstLineChars="200" w:firstLine="640"/>
        <w:textAlignment w:val="auto"/>
        <w:rPr>
          <w:rFonts w:ascii="Times New Roman" w:eastAsia="仿宋_GB2312" w:cs="Times New Roman" w:hAnsi="Times New Roman" w:hint="eastAsia"/>
          <w:b w:val="0"/>
          <w:bCs w:val="0"/>
          <w:kern w:val="2"/>
          <w:sz w:val="32"/>
          <w:szCs w:val="32"/>
          <w:lang w:val="en-US" w:eastAsia="zh-CN" w:bidi="ar-SA"/>
        </w:rPr>
      </w:pPr>
      <w:r>
        <w:rPr>
          <w:rFonts w:ascii="Times New Roman" w:eastAsia="仿宋_GB2312" w:cs="Times New Roman" w:hAnsi="Times New Roman" w:hint="eastAsia"/>
          <w:b w:val="0"/>
          <w:bCs w:val="0"/>
          <w:kern w:val="2"/>
          <w:sz w:val="32"/>
          <w:szCs w:val="32"/>
          <w:lang w:val="en-US" w:eastAsia="zh-CN" w:bidi="ar-SA"/>
        </w:rPr>
        <w:t>退役军人医疗、疗养、养老等机构的规划政策。承担不适宜继续服役的伤病残军人移交安置、退休安置、供等工作。</w:t>
      </w:r>
    </w:p>
    <w:p>
      <w:pPr>
        <w:pStyle w:val="2"/>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firstLineChars="200" w:firstLine="640"/>
        <w:textAlignment w:val="auto"/>
        <w:rPr>
          <w:rFonts w:ascii="Times New Roman" w:eastAsia="仿宋_GB2312" w:cs="Times New Roman" w:hAnsi="Times New Roman" w:hint="eastAsia"/>
          <w:b w:val="0"/>
          <w:bCs w:val="0"/>
          <w:kern w:val="2"/>
          <w:sz w:val="32"/>
          <w:szCs w:val="32"/>
          <w:lang w:val="en-US" w:eastAsia="zh-CN" w:bidi="ar-SA"/>
        </w:rPr>
      </w:pPr>
      <w:r>
        <w:rPr>
          <w:rFonts w:ascii="Times New Roman" w:eastAsia="仿宋_GB2312" w:cs="Times New Roman" w:hAnsi="Times New Roman" w:hint="eastAsia"/>
          <w:b w:val="0"/>
          <w:bCs w:val="0"/>
          <w:kern w:val="2"/>
          <w:sz w:val="32"/>
          <w:szCs w:val="32"/>
          <w:lang w:val="en-US" w:eastAsia="zh-CN" w:bidi="ar-SA"/>
        </w:rPr>
        <w:t>7.组织、指导拥军优属工作，承担现役军人、退役军人、军队文职人员和军属的优待、抚恤等工作。贯彻执行国家有关国民党抗战老兵等有关人员优待政策。</w:t>
      </w:r>
    </w:p>
    <w:p>
      <w:pPr>
        <w:pStyle w:val="2"/>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firstLineChars="200" w:firstLine="640"/>
        <w:textAlignment w:val="auto"/>
        <w:rPr>
          <w:rFonts w:ascii="Times New Roman" w:eastAsia="仿宋_GB2312" w:cs="Times New Roman" w:hAnsi="Times New Roman" w:hint="eastAsia"/>
          <w:b w:val="0"/>
          <w:bCs w:val="0"/>
          <w:kern w:val="2"/>
          <w:sz w:val="32"/>
          <w:szCs w:val="32"/>
          <w:lang w:val="en-US" w:eastAsia="zh-CN" w:bidi="ar-SA"/>
        </w:rPr>
      </w:pPr>
      <w:r>
        <w:rPr>
          <w:rFonts w:ascii="Times New Roman" w:eastAsia="仿宋_GB2312" w:cs="Times New Roman" w:hAnsi="Times New Roman" w:hint="eastAsia"/>
          <w:b w:val="0"/>
          <w:bCs w:val="0"/>
          <w:kern w:val="2"/>
          <w:sz w:val="32"/>
          <w:szCs w:val="32"/>
          <w:lang w:val="en-US" w:eastAsia="zh-CN" w:bidi="ar-SA"/>
        </w:rPr>
        <w:t>8.负责烈士及退役军人荣誉奖励、军人公墓和烈士纪念设施的建设管理、纪念活动等工作，依法承担英雄烈士保护相关工作，总结表彰和宣扬退役军人、退役军人工作单位和个人先进典型事迹。</w:t>
      </w:r>
    </w:p>
    <w:p>
      <w:pPr>
        <w:pStyle w:val="2"/>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firstLineChars="200" w:firstLine="640"/>
        <w:textAlignment w:val="auto"/>
        <w:rPr>
          <w:rFonts w:ascii="Times New Roman" w:eastAsia="仿宋_GB2312" w:cs="Times New Roman" w:hAnsi="Times New Roman" w:hint="eastAsia"/>
          <w:b w:val="0"/>
          <w:bCs w:val="0"/>
          <w:kern w:val="2"/>
          <w:sz w:val="32"/>
          <w:szCs w:val="32"/>
          <w:lang w:val="en-US" w:eastAsia="zh-CN" w:bidi="ar-SA"/>
        </w:rPr>
      </w:pPr>
      <w:r>
        <w:rPr>
          <w:rFonts w:ascii="Times New Roman" w:eastAsia="仿宋_GB2312" w:cs="Times New Roman" w:hAnsi="Times New Roman" w:hint="eastAsia"/>
          <w:b w:val="0"/>
          <w:bCs w:val="0"/>
          <w:kern w:val="2"/>
          <w:sz w:val="32"/>
          <w:szCs w:val="32"/>
          <w:lang w:val="en-US" w:eastAsia="zh-CN" w:bidi="ar-SA"/>
        </w:rPr>
        <w:t>9.指导并监督检查退役军人相关法律法规和政策措施的落实，组织开展退役军人权益维护和有关人员的帮扶援助工作。</w:t>
      </w:r>
    </w:p>
    <w:p>
      <w:pPr>
        <w:pStyle w:val="2"/>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firstLineChars="200" w:firstLine="640"/>
        <w:textAlignment w:val="auto"/>
        <w:rPr>
          <w:rFonts w:ascii="Times New Roman" w:eastAsia="仿宋_GB2312" w:cs="Times New Roman" w:hAnsi="Times New Roman" w:hint="eastAsia"/>
          <w:b w:val="0"/>
          <w:bCs w:val="0"/>
          <w:kern w:val="2"/>
          <w:sz w:val="32"/>
          <w:szCs w:val="32"/>
          <w:lang w:val="en-US" w:eastAsia="zh-CN" w:bidi="ar-SA"/>
        </w:rPr>
      </w:pPr>
      <w:r>
        <w:rPr>
          <w:rFonts w:ascii="Times New Roman" w:eastAsia="仿宋_GB2312" w:cs="Times New Roman" w:hAnsi="Times New Roman" w:hint="eastAsia"/>
          <w:b w:val="0"/>
          <w:bCs w:val="0"/>
          <w:kern w:val="2"/>
          <w:sz w:val="32"/>
          <w:szCs w:val="32"/>
          <w:lang w:val="en-US" w:eastAsia="zh-CN" w:bidi="ar-SA"/>
        </w:rPr>
        <w:t>10.推动建立退役军人事务分级负责和突发事件应急联动机制，组织、指导退役军人综合服务体系建设。配合指导退役军人党建工作。</w:t>
      </w:r>
    </w:p>
    <w:p>
      <w:pPr>
        <w:pStyle w:val="2"/>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firstLineChars="200" w:firstLine="640"/>
        <w:textAlignment w:val="auto"/>
        <w:rPr>
          <w:rFonts w:ascii="Times New Roman" w:eastAsia="仿宋_GB2312" w:cs="Times New Roman" w:hAnsi="Times New Roman" w:hint="eastAsia"/>
          <w:b w:val="0"/>
          <w:bCs w:val="0"/>
          <w:kern w:val="2"/>
          <w:sz w:val="32"/>
          <w:szCs w:val="32"/>
          <w:lang w:val="en-US" w:eastAsia="zh-CN" w:bidi="ar-SA"/>
        </w:rPr>
      </w:pPr>
      <w:r>
        <w:rPr>
          <w:rFonts w:ascii="Times New Roman" w:eastAsia="仿宋_GB2312" w:cs="Times New Roman" w:hAnsi="Times New Roman" w:hint="eastAsia"/>
          <w:b w:val="0"/>
          <w:bCs w:val="0"/>
          <w:kern w:val="2"/>
          <w:sz w:val="32"/>
          <w:szCs w:val="32"/>
          <w:lang w:val="en-US" w:eastAsia="zh-CN" w:bidi="ar-SA"/>
        </w:rPr>
        <w:t>11.负责职责范围内的安全生产和职业健康、生态环境保护、审批服务便民化工作。</w:t>
      </w:r>
    </w:p>
    <w:p>
      <w:pPr>
        <w:pStyle w:val="2"/>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firstLineChars="200" w:firstLine="640"/>
        <w:textAlignment w:val="auto"/>
        <w:rPr>
          <w:rFonts w:ascii="Times New Roman" w:eastAsia="仿宋_GB2312" w:cs="Times New Roman" w:hAnsi="Times New Roman" w:hint="eastAsia"/>
          <w:b w:val="0"/>
          <w:bCs w:val="0"/>
          <w:kern w:val="2"/>
          <w:sz w:val="32"/>
          <w:szCs w:val="32"/>
          <w:lang w:val="en-US" w:eastAsia="zh-CN" w:bidi="ar-SA"/>
        </w:rPr>
      </w:pPr>
      <w:r>
        <w:rPr>
          <w:rFonts w:ascii="Times New Roman" w:eastAsia="仿宋_GB2312" w:cs="Times New Roman" w:hAnsi="Times New Roman" w:hint="eastAsia"/>
          <w:b w:val="0"/>
          <w:bCs w:val="0"/>
          <w:kern w:val="2"/>
          <w:sz w:val="32"/>
          <w:szCs w:val="32"/>
          <w:lang w:val="en-US" w:eastAsia="zh-CN" w:bidi="ar-SA"/>
        </w:rPr>
        <w:t>12.完成县委、县政府和军方交办的其他任务。</w:t>
      </w:r>
    </w:p>
    <w:p>
      <w:pPr>
        <w:pStyle w:val="2"/>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firstLineChars="200" w:firstLine="640"/>
        <w:textAlignment w:val="auto"/>
        <w:rPr>
          <w:rFonts w:ascii="Times New Roman" w:eastAsia="仿宋_GB2312" w:cs="Times New Roman" w:hAnsi="Times New Roman" w:hint="eastAsia"/>
          <w:b w:val="0"/>
          <w:bCs w:val="0"/>
          <w:kern w:val="2"/>
          <w:sz w:val="32"/>
          <w:szCs w:val="32"/>
          <w:lang w:val="en-US" w:eastAsia="zh-CN" w:bidi="ar-SA"/>
        </w:rPr>
      </w:pPr>
      <w:r>
        <w:rPr>
          <w:rFonts w:ascii="Times New Roman" w:eastAsia="仿宋_GB2312" w:cs="Times New Roman" w:hAnsi="Times New Roman" w:hint="eastAsia"/>
          <w:b w:val="0"/>
          <w:bCs w:val="0"/>
          <w:kern w:val="2"/>
          <w:sz w:val="32"/>
          <w:szCs w:val="32"/>
          <w:lang w:val="en-US" w:eastAsia="zh-CN" w:bidi="ar-SA"/>
        </w:rPr>
        <w:t>13.职能转变。加强全县退役军人思想政治工作以及服务保障体系建设，建立健全集中统一、职责清晰的退役军人管理保障机制，协调各方力量更好为军人军属服务，维护军人军属合法权益，让军人成为全社会尊崇的职业，褒扬彰显退役人为党、国家和人民牺牲奉献的精神风范和价值导向，更好地为增强部队战斗力和凝聚力做好组织保障。</w:t>
      </w:r>
    </w:p>
    <w:p>
      <w:pPr>
        <w:pStyle w:val="2"/>
        <w:rPr>
          <w:rStyle w:val="2Char"/>
          <w:b w:val="0"/>
          <w:bCs w:val="0"/>
        </w:rPr>
      </w:pPr>
      <w:bookmarkStart w:id="28" w:name="_Toc15396601"/>
      <w:bookmarkStart w:id="29" w:name="_Toc15377200"/>
      <w:r>
        <w:rPr>
          <w:rFonts w:ascii="黑体" w:eastAsia="黑体" w:hint="eastAsia"/>
          <w:b w:val="0"/>
        </w:rPr>
        <w:t>二、机</w:t>
      </w:r>
      <w:r>
        <w:rPr>
          <w:rStyle w:val="2Char"/>
          <w:rFonts w:ascii="黑体" w:eastAsia="黑体" w:hint="eastAsia"/>
          <w:b w:val="0"/>
          <w:bCs w:val="0"/>
        </w:rPr>
        <w:t>构设置</w:t>
      </w:r>
      <w:bookmarkEnd w:id="28"/>
      <w:bookmarkEnd w:id="29"/>
    </w:p>
    <w:p>
      <w:pPr>
        <w:ind w:firstLineChars="250" w:firstLine="800"/>
        <w:rPr>
          <w:rFonts w:ascii="Times New Roman" w:eastAsia="仿宋_GB2312" w:cs="Times New Roman" w:hAnsi="Times New Roman" w:hint="eastAsia"/>
          <w:b w:val="0"/>
          <w:bCs w:val="0"/>
          <w:kern w:val="2"/>
          <w:sz w:val="32"/>
          <w:szCs w:val="32"/>
          <w:lang w:val="en-US" w:eastAsia="zh-CN" w:bidi="ar-SA"/>
        </w:rPr>
      </w:pPr>
      <w:r>
        <w:rPr>
          <w:rFonts w:ascii="Times New Roman" w:eastAsia="仿宋_GB2312" w:cs="Times New Roman" w:hAnsi="Times New Roman" w:hint="eastAsia"/>
          <w:b w:val="0"/>
          <w:bCs w:val="0"/>
          <w:kern w:val="2"/>
          <w:sz w:val="32"/>
          <w:szCs w:val="32"/>
          <w:lang w:val="en-US" w:eastAsia="zh-CN" w:bidi="ar-SA"/>
        </w:rPr>
        <w:t>红原县退役军人事务局本级下属二级预算单位1个，其中行政单位0个，参照公务员法管理的事业单位1个，其他事业单位0个。</w:t>
      </w:r>
    </w:p>
    <w:p>
      <w:pPr>
        <w:widowControl/>
        <w:ind w:firstLineChars="200" w:firstLine="640"/>
        <w:jc w:val="left"/>
        <w:rPr>
          <w:rFonts w:ascii="仿宋" w:eastAsia="仿宋"/>
          <w:kern w:val="0"/>
          <w:sz w:val="32"/>
          <w:szCs w:val="32"/>
        </w:rPr>
      </w:pPr>
      <w:r>
        <w:rPr>
          <w:rFonts w:ascii="Times New Roman" w:eastAsia="仿宋_GB2312" w:cs="Times New Roman" w:hAnsi="Times New Roman"/>
          <w:b w:val="0"/>
          <w:bCs w:val="0"/>
          <w:kern w:val="2"/>
          <w:sz w:val="32"/>
          <w:szCs w:val="32"/>
          <w:lang w:val="en-US" w:eastAsia="zh-CN" w:bidi="ar-SA"/>
        </w:rPr>
        <w:t>截至202</w:t>
      </w:r>
      <w:r>
        <w:rPr>
          <w:rFonts w:eastAsia="仿宋_GB2312" w:cs="Times New Roman" w:hint="eastAsia"/>
          <w:b w:val="0"/>
          <w:bCs w:val="0"/>
          <w:kern w:val="2"/>
          <w:sz w:val="32"/>
          <w:szCs w:val="32"/>
          <w:lang w:val="en-US" w:eastAsia="zh-CN" w:bidi="ar-SA"/>
        </w:rPr>
        <w:t>5</w:t>
      </w:r>
      <w:r>
        <w:rPr>
          <w:rFonts w:ascii="Times New Roman" w:eastAsia="仿宋_GB2312" w:cs="Times New Roman" w:hAnsi="Times New Roman"/>
          <w:b w:val="0"/>
          <w:bCs w:val="0"/>
          <w:kern w:val="2"/>
          <w:sz w:val="32"/>
          <w:szCs w:val="32"/>
          <w:lang w:val="en-US" w:eastAsia="zh-CN" w:bidi="ar-SA"/>
        </w:rPr>
        <w:t>年末，</w:t>
      </w:r>
      <w:r>
        <w:rPr>
          <w:rFonts w:ascii="Times New Roman" w:eastAsia="仿宋_GB2312" w:cs="Times New Roman" w:hAnsi="Times New Roman" w:hint="eastAsia"/>
          <w:b w:val="0"/>
          <w:bCs w:val="0"/>
          <w:kern w:val="2"/>
          <w:sz w:val="32"/>
          <w:szCs w:val="32"/>
          <w:lang w:val="en-US" w:eastAsia="zh-CN" w:bidi="ar-SA"/>
        </w:rPr>
        <w:t>本单位实有人数为10人，其中行政编制数</w:t>
      </w:r>
      <w:r>
        <w:rPr>
          <w:rFonts w:eastAsia="仿宋_GB2312" w:cs="Times New Roman" w:hint="eastAsia"/>
          <w:b w:val="0"/>
          <w:bCs w:val="0"/>
          <w:kern w:val="2"/>
          <w:sz w:val="32"/>
          <w:szCs w:val="32"/>
          <w:lang w:val="en-US" w:eastAsia="zh-CN" w:bidi="ar-SA"/>
        </w:rPr>
        <w:t>3</w:t>
      </w:r>
      <w:r>
        <w:rPr>
          <w:rFonts w:ascii="Times New Roman" w:eastAsia="仿宋_GB2312" w:cs="Times New Roman" w:hAnsi="Times New Roman" w:hint="eastAsia"/>
          <w:b w:val="0"/>
          <w:bCs w:val="0"/>
          <w:kern w:val="2"/>
          <w:sz w:val="32"/>
          <w:szCs w:val="32"/>
          <w:lang w:val="en-US" w:eastAsia="zh-CN" w:bidi="ar-SA"/>
        </w:rPr>
        <w:t>人，事业编制数5人，比上年增加0人；年末实有离退休人数为0人，比上年增加0人。年末实有其他人数为0人，比上年增加0人。</w:t>
      </w:r>
      <w:r>
        <w:rPr>
          <w:rFonts w:ascii="仿宋" w:eastAsia="仿宋"/>
          <w:sz w:val="32"/>
          <w:szCs w:val="32"/>
        </w:rPr>
        <w:br w:type="page"/>
      </w:r>
    </w:p>
    <w:p>
      <w:pPr>
        <w:pStyle w:val="1"/>
        <w:ind w:right="440"/>
        <w:jc w:val="center"/>
        <w:rPr>
          <w:rStyle w:val="1Char"/>
          <w:rFonts w:ascii="黑体" w:eastAsia="黑体"/>
          <w:b w:val="0"/>
          <w:bCs/>
        </w:rPr>
      </w:pPr>
      <w:bookmarkStart w:id="30" w:name="_Toc15396602"/>
      <w:bookmarkStart w:id="31" w:name="_Toc17602"/>
      <w:bookmarkStart w:id="32" w:name="_Toc15377204"/>
      <w:r>
        <w:rPr>
          <w:rFonts w:ascii="黑体" w:eastAsia="黑体" w:hint="eastAsia"/>
          <w:b w:val="0"/>
        </w:rPr>
        <w:t>第二部分 202</w:t>
      </w:r>
      <w:r>
        <w:rPr>
          <w:rFonts w:ascii="黑体" w:eastAsia="黑体" w:hint="eastAsia"/>
          <w:b w:val="0"/>
          <w:lang w:val="en-US" w:eastAsia="zh-CN"/>
        </w:rPr>
        <w:t>5</w:t>
      </w:r>
      <w:r>
        <w:rPr>
          <w:rFonts w:ascii="黑体" w:eastAsia="黑体" w:hint="eastAsia"/>
          <w:b w:val="0"/>
        </w:rPr>
        <w:t>年度</w:t>
      </w:r>
      <w:r>
        <w:rPr>
          <w:rStyle w:val="1Char"/>
          <w:rFonts w:ascii="黑体" w:eastAsia="黑体" w:hint="eastAsia"/>
          <w:b w:val="0"/>
          <w:bCs/>
        </w:rPr>
        <w:t>部门决算情况说明</w:t>
      </w:r>
      <w:bookmarkEnd w:id="30"/>
      <w:bookmarkEnd w:id="31"/>
      <w:bookmarkEnd w:id="32"/>
    </w:p>
    <w:p>
      <w:pPr>
        <w:pStyle w:val="33"/>
        <w:numPr>
          <w:ilvl w:val="0"/>
          <w:numId w:val="2"/>
        </w:numPr>
        <w:spacing w:line="600" w:lineRule="exact"/>
        <w:ind w:firstLineChars="0"/>
        <w:outlineLvl w:val="1"/>
        <w:rPr>
          <w:rStyle w:val="2Char"/>
          <w:rFonts w:ascii="黑体" w:eastAsia="黑体"/>
          <w:b w:val="0"/>
        </w:rPr>
      </w:pPr>
      <w:bookmarkStart w:id="33" w:name="_Toc15396603"/>
      <w:bookmarkStart w:id="34" w:name="_Toc15377205"/>
      <w:r>
        <w:rPr>
          <w:rFonts w:ascii="黑体" w:eastAsia="黑体" w:hint="eastAsia"/>
          <w:sz w:val="32"/>
          <w:szCs w:val="32"/>
        </w:rPr>
        <w:t>收</w:t>
      </w:r>
      <w:r>
        <w:rPr>
          <w:rStyle w:val="2Char"/>
          <w:rFonts w:ascii="黑体" w:eastAsia="黑体" w:hint="eastAsia"/>
          <w:b w:val="0"/>
        </w:rPr>
        <w:t>入支出决算总体情况说明</w:t>
      </w:r>
      <w:bookmarkEnd w:id="33"/>
      <w:bookmarkEnd w:id="34"/>
    </w:p>
    <w:p>
      <w:pPr>
        <w:spacing w:line="600" w:lineRule="exact"/>
        <w:ind w:firstLineChars="200" w:firstLine="640"/>
        <w:jc w:val="left"/>
        <w:rPr>
          <w:rFonts w:ascii="仿宋" w:eastAsia="仿宋"/>
          <w:sz w:val="32"/>
          <w:szCs w:val="32"/>
        </w:rPr>
      </w:pPr>
      <w:r>
        <w:rPr>
          <w:rFonts w:ascii="仿宋" w:eastAsia="仿宋" w:hint="eastAsia"/>
          <w:sz w:val="32"/>
          <w:szCs w:val="32"/>
        </w:rPr>
        <w:t>202</w:t>
      </w:r>
      <w:r>
        <w:rPr>
          <w:rFonts w:ascii="仿宋" w:eastAsia="仿宋" w:hint="eastAsia"/>
          <w:sz w:val="32"/>
          <w:szCs w:val="32"/>
          <w:lang w:val="en-US" w:eastAsia="zh-CN"/>
        </w:rPr>
        <w:t>5</w:t>
      </w:r>
      <w:r>
        <w:rPr>
          <w:rFonts w:ascii="仿宋" w:eastAsia="仿宋" w:hint="eastAsia"/>
          <w:sz w:val="32"/>
          <w:szCs w:val="32"/>
        </w:rPr>
        <w:t>年度收、支总计均为</w:t>
      </w:r>
      <w:r>
        <w:rPr>
          <w:rFonts w:eastAsia="仿宋" w:hint="eastAsia"/>
          <w:sz w:val="32"/>
          <w:szCs w:val="32"/>
          <w:lang w:val="en-US" w:eastAsia="zh-CN"/>
        </w:rPr>
        <w:t>1168.94</w:t>
      </w:r>
      <w:r>
        <w:rPr>
          <w:rFonts w:ascii="仿宋" w:eastAsia="仿宋" w:hint="eastAsia"/>
          <w:sz w:val="32"/>
          <w:szCs w:val="32"/>
        </w:rPr>
        <w:t>万元</w:t>
      </w:r>
      <w:r>
        <w:rPr>
          <w:rFonts w:hint="eastAsia"/>
          <w:sz w:val="32"/>
          <w:szCs w:val="32"/>
        </w:rPr>
        <w:t>。</w:t>
      </w:r>
      <w:r>
        <w:rPr>
          <w:rFonts w:ascii="仿宋" w:eastAsia="仿宋" w:hint="eastAsia"/>
          <w:sz w:val="32"/>
          <w:szCs w:val="32"/>
        </w:rPr>
        <w:t>与202</w:t>
      </w:r>
      <w:r>
        <w:rPr>
          <w:rFonts w:ascii="仿宋" w:eastAsia="仿宋" w:hint="eastAsia"/>
          <w:sz w:val="32"/>
          <w:szCs w:val="32"/>
          <w:lang w:val="en-US" w:eastAsia="zh-CN"/>
        </w:rPr>
        <w:t>4</w:t>
      </w:r>
      <w:r>
        <w:rPr>
          <w:rFonts w:ascii="仿宋" w:eastAsia="仿宋" w:hint="eastAsia"/>
          <w:sz w:val="32"/>
          <w:szCs w:val="32"/>
        </w:rPr>
        <w:t>年度相比，收、支总计各增加</w:t>
      </w:r>
      <w:r>
        <w:rPr>
          <w:rFonts w:ascii="仿宋" w:eastAsia="仿宋" w:hint="eastAsia"/>
          <w:sz w:val="32"/>
          <w:szCs w:val="32"/>
          <w:lang w:val="en-US" w:eastAsia="zh-CN"/>
        </w:rPr>
        <w:t>-93.14</w:t>
      </w:r>
      <w:r>
        <w:rPr>
          <w:rFonts w:ascii="仿宋" w:eastAsia="仿宋" w:hint="eastAsia"/>
          <w:sz w:val="32"/>
          <w:szCs w:val="32"/>
        </w:rPr>
        <w:t>万元，增长</w:t>
      </w:r>
      <w:r>
        <w:rPr>
          <w:rFonts w:ascii="仿宋" w:eastAsia="仿宋" w:hint="eastAsia"/>
          <w:sz w:val="32"/>
          <w:szCs w:val="32"/>
          <w:lang w:val="en-US" w:eastAsia="zh-CN"/>
        </w:rPr>
        <w:t>-7.38</w:t>
      </w:r>
      <w:r>
        <w:rPr>
          <w:rFonts w:ascii="仿宋" w:eastAsia="仿宋"/>
          <w:sz w:val="32"/>
          <w:szCs w:val="32"/>
        </w:rPr>
        <w:t>%</w:t>
      </w:r>
      <w:r>
        <w:rPr>
          <w:rFonts w:ascii="仿宋" w:eastAsia="仿宋" w:hint="eastAsia"/>
          <w:sz w:val="32"/>
          <w:szCs w:val="32"/>
        </w:rPr>
        <w:t>。主要变动原因是</w:t>
      </w:r>
      <w:r>
        <w:rPr>
          <w:rFonts w:ascii="仿宋" w:eastAsia="仿宋" w:hint="eastAsia"/>
          <w:sz w:val="32"/>
          <w:szCs w:val="32"/>
          <w:lang w:val="en-US" w:eastAsia="zh-CN"/>
        </w:rPr>
        <w:t>人员经费、公用经费、专项经费减少</w:t>
      </w:r>
      <w:r>
        <w:rPr>
          <w:rFonts w:ascii="仿宋" w:eastAsia="仿宋" w:hint="eastAsia"/>
          <w:sz w:val="32"/>
          <w:szCs w:val="32"/>
        </w:rPr>
        <w:t>。</w:t>
      </w:r>
    </w:p>
    <w:p>
      <w:pPr>
        <w:spacing w:line="600" w:lineRule="exact"/>
        <w:ind w:firstLineChars="200" w:firstLine="640"/>
        <w:rPr>
          <w:rFonts w:ascii="仿宋" w:eastAsia="仿宋" w:hint="eastAsia"/>
          <w:sz w:val="32"/>
          <w:szCs w:val="32"/>
        </w:rPr>
      </w:pPr>
      <w:r>
        <w:rPr>
          <w:rFonts w:ascii="仿宋" w:eastAsia="仿宋" w:hint="eastAsia"/>
          <w:sz w:val="32"/>
          <w:szCs w:val="32"/>
        </w:rPr>
        <w:t>（图</w:t>
      </w:r>
      <w:r>
        <w:rPr>
          <w:rFonts w:ascii="仿宋" w:eastAsia="仿宋"/>
          <w:sz w:val="32"/>
          <w:szCs w:val="32"/>
        </w:rPr>
        <w:t>1</w:t>
      </w:r>
      <w:r>
        <w:rPr>
          <w:rFonts w:ascii="仿宋" w:eastAsia="仿宋" w:hint="eastAsia"/>
          <w:sz w:val="32"/>
          <w:szCs w:val="32"/>
        </w:rPr>
        <w:t>：收、支决算总计变动情况图）（柱状图）</w:t>
      </w:r>
    </w:p>
    <w:p>
      <w:pPr>
        <w:pStyle w:val="28"/>
        <w:outlineLvl w:val="9"/>
        <w:rPr>
          <w:rFonts w:ascii="仿宋_GB2312" w:eastAsia="仿宋_GB2312" w:hint="eastAsia"/>
          <w:sz w:val="32"/>
          <w:szCs w:val="32"/>
          <w:lang w:eastAsia="zh-CN"/>
        </w:rPr>
      </w:pPr>
      <w:r>
        <w:rPr>
          <w:rFonts w:ascii="仿宋_GB2312" w:eastAsia="仿宋_GB2312" w:hint="eastAsia"/>
          <w:sz w:val="32"/>
          <w:szCs w:val="32"/>
          <w:lang w:eastAsia="zh-CN"/>
        </w:rPr>
        <w:drawing>
          <wp:inline distT="0" distB="0" distL="114300" distR="114300">
            <wp:extent cx="5304790" cy="2669540"/>
            <wp:effectExtent l="0" t="0" r="0" b="0"/>
            <wp:docPr id="1" name="图表 7"/>
            <wp:cNvGraphicFramePr>
              <a:graphicFrameLocks noChangeAspect="0"/>
            </wp:cNvGraphicFramePr>
            <a:graphic>
              <a:graphicData uri="http://schemas.openxmlformats.org/drawingml/2006/chart">
                <c:chart xmlns:c="http://schemas.openxmlformats.org/drawingml/2006/chart" r:id="rId4"/>
              </a:graphicData>
            </a:graphic>
          </wp:inline>
        </w:drawing>
      </w:r>
    </w:p>
    <w:p>
      <w:pPr>
        <w:pStyle w:val="33"/>
        <w:numPr>
          <w:ilvl w:val="0"/>
          <w:numId w:val="2"/>
        </w:numPr>
        <w:spacing w:line="600" w:lineRule="exact"/>
        <w:ind w:firstLineChars="0"/>
        <w:outlineLvl w:val="1"/>
        <w:rPr>
          <w:rStyle w:val="2Char"/>
          <w:rFonts w:ascii="黑体" w:eastAsia="黑体"/>
          <w:b w:val="0"/>
        </w:rPr>
      </w:pPr>
      <w:bookmarkStart w:id="35" w:name="_Toc15377206"/>
      <w:bookmarkStart w:id="36" w:name="_Toc15396604"/>
      <w:r>
        <w:rPr>
          <w:rFonts w:ascii="黑体" w:eastAsia="黑体" w:hint="eastAsia"/>
          <w:sz w:val="32"/>
          <w:szCs w:val="32"/>
        </w:rPr>
        <w:t>收</w:t>
      </w:r>
      <w:r>
        <w:rPr>
          <w:rStyle w:val="2Char"/>
          <w:rFonts w:ascii="黑体" w:eastAsia="黑体" w:hint="eastAsia"/>
          <w:b w:val="0"/>
        </w:rPr>
        <w:t>入决算情况说明</w:t>
      </w:r>
      <w:bookmarkEnd w:id="35"/>
      <w:bookmarkEnd w:id="36"/>
    </w:p>
    <w:p>
      <w:pPr>
        <w:spacing w:line="600" w:lineRule="exact"/>
        <w:ind w:firstLineChars="200" w:firstLine="640"/>
        <w:jc w:val="left"/>
        <w:outlineLvl w:val="1"/>
        <w:rPr>
          <w:rFonts w:ascii="仿宋" w:eastAsia="仿宋"/>
          <w:sz w:val="32"/>
          <w:szCs w:val="32"/>
        </w:rPr>
      </w:pPr>
      <w:r>
        <w:rPr>
          <w:rFonts w:ascii="仿宋" w:eastAsia="仿宋" w:hint="eastAsia"/>
          <w:sz w:val="32"/>
          <w:szCs w:val="32"/>
        </w:rPr>
        <w:t>202</w:t>
      </w:r>
      <w:r>
        <w:rPr>
          <w:rFonts w:ascii="仿宋" w:eastAsia="仿宋" w:hint="eastAsia"/>
          <w:sz w:val="32"/>
          <w:szCs w:val="32"/>
          <w:lang w:val="en-US" w:eastAsia="zh-CN"/>
        </w:rPr>
        <w:t>5</w:t>
      </w:r>
      <w:r>
        <w:rPr>
          <w:rFonts w:ascii="仿宋" w:eastAsia="仿宋" w:hint="eastAsia"/>
          <w:sz w:val="32"/>
          <w:szCs w:val="32"/>
        </w:rPr>
        <w:t>年度本年收入合计</w:t>
      </w:r>
      <w:r>
        <w:rPr>
          <w:rFonts w:eastAsia="仿宋" w:hint="eastAsia"/>
          <w:sz w:val="32"/>
          <w:szCs w:val="32"/>
          <w:lang w:val="en-US" w:eastAsia="zh-CN"/>
        </w:rPr>
        <w:t>1168.94</w:t>
      </w:r>
      <w:r>
        <w:rPr>
          <w:rFonts w:ascii="仿宋" w:eastAsia="仿宋" w:hint="eastAsia"/>
          <w:sz w:val="32"/>
          <w:szCs w:val="32"/>
        </w:rPr>
        <w:t>万元，其中：一般公共预算财政拨款收入</w:t>
      </w:r>
      <w:r>
        <w:rPr>
          <w:rFonts w:eastAsia="仿宋" w:hint="eastAsia"/>
          <w:sz w:val="32"/>
          <w:szCs w:val="32"/>
          <w:lang w:val="en-US" w:eastAsia="zh-CN"/>
        </w:rPr>
        <w:t>1168.94</w:t>
      </w:r>
      <w:r>
        <w:rPr>
          <w:rFonts w:ascii="仿宋" w:eastAsia="仿宋" w:hint="eastAsia"/>
          <w:sz w:val="32"/>
          <w:szCs w:val="32"/>
        </w:rPr>
        <w:t>万元，占</w:t>
      </w:r>
      <w:r>
        <w:rPr>
          <w:sz w:val="32"/>
          <w:szCs w:val="32"/>
        </w:rPr>
        <w:t>100</w:t>
      </w:r>
      <w:r>
        <w:rPr>
          <w:rFonts w:ascii="仿宋" w:eastAsia="仿宋"/>
          <w:sz w:val="32"/>
          <w:szCs w:val="32"/>
        </w:rPr>
        <w:t>%</w:t>
      </w:r>
      <w:r>
        <w:rPr>
          <w:rFonts w:ascii="仿宋" w:eastAsia="仿宋" w:hint="eastAsia"/>
          <w:sz w:val="32"/>
          <w:szCs w:val="32"/>
        </w:rPr>
        <w:t>；政府性基金预算财政拨款收入</w:t>
      </w:r>
      <w:r>
        <w:rPr>
          <w:sz w:val="32"/>
          <w:szCs w:val="32"/>
        </w:rPr>
        <w:t>0</w:t>
      </w:r>
      <w:r>
        <w:rPr>
          <w:rFonts w:ascii="仿宋" w:eastAsia="仿宋" w:hint="eastAsia"/>
          <w:sz w:val="32"/>
          <w:szCs w:val="32"/>
        </w:rPr>
        <w:t>万元，占</w:t>
      </w:r>
      <w:r>
        <w:rPr>
          <w:sz w:val="32"/>
          <w:szCs w:val="32"/>
        </w:rPr>
        <w:t>0</w:t>
      </w:r>
      <w:r>
        <w:rPr>
          <w:rFonts w:ascii="仿宋" w:eastAsia="仿宋"/>
          <w:sz w:val="32"/>
          <w:szCs w:val="32"/>
        </w:rPr>
        <w:t>%</w:t>
      </w:r>
      <w:r>
        <w:rPr>
          <w:rFonts w:ascii="仿宋" w:eastAsia="仿宋" w:hint="eastAsia"/>
          <w:sz w:val="32"/>
          <w:szCs w:val="32"/>
        </w:rPr>
        <w:t>；国有资本经营预算财政拨款收入</w:t>
      </w:r>
      <w:r>
        <w:rPr>
          <w:sz w:val="32"/>
          <w:szCs w:val="32"/>
        </w:rPr>
        <w:t>0</w:t>
      </w:r>
      <w:r>
        <w:rPr>
          <w:rFonts w:ascii="仿宋" w:eastAsia="仿宋" w:hint="eastAsia"/>
          <w:sz w:val="32"/>
          <w:szCs w:val="32"/>
        </w:rPr>
        <w:t>万元，占</w:t>
      </w:r>
      <w:r>
        <w:rPr>
          <w:sz w:val="32"/>
          <w:szCs w:val="32"/>
        </w:rPr>
        <w:t>0</w:t>
      </w:r>
      <w:r>
        <w:rPr>
          <w:rFonts w:ascii="仿宋" w:eastAsia="仿宋"/>
          <w:sz w:val="32"/>
          <w:szCs w:val="32"/>
        </w:rPr>
        <w:t>%</w:t>
      </w:r>
      <w:r>
        <w:rPr>
          <w:rFonts w:ascii="仿宋" w:eastAsia="仿宋" w:hint="eastAsia"/>
          <w:sz w:val="32"/>
          <w:szCs w:val="32"/>
        </w:rPr>
        <w:t>；上级补助收入</w:t>
      </w:r>
      <w:r>
        <w:rPr>
          <w:sz w:val="32"/>
          <w:szCs w:val="32"/>
        </w:rPr>
        <w:t>0</w:t>
      </w:r>
      <w:r>
        <w:rPr>
          <w:rFonts w:ascii="仿宋" w:eastAsia="仿宋" w:hint="eastAsia"/>
          <w:sz w:val="32"/>
          <w:szCs w:val="32"/>
        </w:rPr>
        <w:t>万元，占</w:t>
      </w:r>
      <w:r>
        <w:rPr>
          <w:sz w:val="32"/>
          <w:szCs w:val="32"/>
        </w:rPr>
        <w:t>0</w:t>
      </w:r>
      <w:r>
        <w:rPr>
          <w:rFonts w:ascii="仿宋" w:eastAsia="仿宋"/>
          <w:sz w:val="32"/>
          <w:szCs w:val="32"/>
        </w:rPr>
        <w:t>%</w:t>
      </w:r>
      <w:r>
        <w:rPr>
          <w:rFonts w:ascii="仿宋" w:eastAsia="仿宋" w:hint="eastAsia"/>
          <w:sz w:val="32"/>
          <w:szCs w:val="32"/>
        </w:rPr>
        <w:t>；事业收入</w:t>
      </w:r>
      <w:r>
        <w:rPr>
          <w:sz w:val="32"/>
          <w:szCs w:val="32"/>
        </w:rPr>
        <w:t>0</w:t>
      </w:r>
      <w:r>
        <w:rPr>
          <w:rFonts w:ascii="仿宋" w:eastAsia="仿宋" w:hint="eastAsia"/>
          <w:sz w:val="32"/>
          <w:szCs w:val="32"/>
        </w:rPr>
        <w:t>万元，占</w:t>
      </w:r>
      <w:r>
        <w:rPr>
          <w:sz w:val="32"/>
          <w:szCs w:val="32"/>
        </w:rPr>
        <w:t>0</w:t>
      </w:r>
      <w:r>
        <w:rPr>
          <w:rFonts w:ascii="仿宋" w:eastAsia="仿宋"/>
          <w:sz w:val="32"/>
          <w:szCs w:val="32"/>
        </w:rPr>
        <w:t>%</w:t>
      </w:r>
      <w:r>
        <w:rPr>
          <w:rFonts w:ascii="仿宋" w:eastAsia="仿宋" w:hint="eastAsia"/>
          <w:sz w:val="32"/>
          <w:szCs w:val="32"/>
        </w:rPr>
        <w:t>；经营收入</w:t>
      </w:r>
      <w:r>
        <w:rPr>
          <w:sz w:val="32"/>
          <w:szCs w:val="32"/>
        </w:rPr>
        <w:t>0</w:t>
      </w:r>
      <w:r>
        <w:rPr>
          <w:rFonts w:ascii="仿宋" w:eastAsia="仿宋" w:hint="eastAsia"/>
          <w:sz w:val="32"/>
          <w:szCs w:val="32"/>
        </w:rPr>
        <w:t>万元，占</w:t>
      </w:r>
      <w:r>
        <w:rPr>
          <w:sz w:val="32"/>
          <w:szCs w:val="32"/>
        </w:rPr>
        <w:t>0</w:t>
      </w:r>
      <w:r>
        <w:rPr>
          <w:rFonts w:ascii="仿宋" w:eastAsia="仿宋"/>
          <w:sz w:val="32"/>
          <w:szCs w:val="32"/>
        </w:rPr>
        <w:t>%</w:t>
      </w:r>
      <w:r>
        <w:rPr>
          <w:rFonts w:ascii="仿宋" w:eastAsia="仿宋" w:hint="eastAsia"/>
          <w:sz w:val="32"/>
          <w:szCs w:val="32"/>
        </w:rPr>
        <w:t>；附属单位上缴收入</w:t>
      </w:r>
      <w:r>
        <w:rPr>
          <w:sz w:val="32"/>
          <w:szCs w:val="32"/>
        </w:rPr>
        <w:t>0</w:t>
      </w:r>
      <w:r>
        <w:rPr>
          <w:rFonts w:ascii="仿宋" w:eastAsia="仿宋" w:hint="eastAsia"/>
          <w:sz w:val="32"/>
          <w:szCs w:val="32"/>
        </w:rPr>
        <w:t>万元，占</w:t>
      </w:r>
      <w:r>
        <w:rPr>
          <w:sz w:val="32"/>
          <w:szCs w:val="32"/>
        </w:rPr>
        <w:t>0</w:t>
      </w:r>
      <w:r>
        <w:rPr>
          <w:rFonts w:ascii="仿宋" w:eastAsia="仿宋"/>
          <w:sz w:val="32"/>
          <w:szCs w:val="32"/>
        </w:rPr>
        <w:t>%</w:t>
      </w:r>
      <w:r>
        <w:rPr>
          <w:rFonts w:ascii="仿宋" w:eastAsia="仿宋" w:hint="eastAsia"/>
          <w:sz w:val="32"/>
          <w:szCs w:val="32"/>
        </w:rPr>
        <w:t>；其他收入</w:t>
      </w:r>
      <w:r>
        <w:rPr>
          <w:sz w:val="32"/>
          <w:szCs w:val="32"/>
        </w:rPr>
        <w:t>0</w:t>
      </w:r>
      <w:r>
        <w:rPr>
          <w:rFonts w:ascii="仿宋" w:eastAsia="仿宋" w:hint="eastAsia"/>
          <w:sz w:val="32"/>
          <w:szCs w:val="32"/>
        </w:rPr>
        <w:t>万元，占</w:t>
      </w:r>
      <w:r>
        <w:rPr>
          <w:sz w:val="32"/>
          <w:szCs w:val="32"/>
        </w:rPr>
        <w:t>0</w:t>
      </w:r>
      <w:r>
        <w:rPr>
          <w:rFonts w:ascii="仿宋" w:eastAsia="仿宋"/>
          <w:sz w:val="32"/>
          <w:szCs w:val="32"/>
        </w:rPr>
        <w:t>%</w:t>
      </w:r>
      <w:r>
        <w:rPr>
          <w:rFonts w:ascii="仿宋" w:eastAsia="仿宋" w:hint="eastAsia"/>
          <w:sz w:val="32"/>
          <w:szCs w:val="32"/>
        </w:rPr>
        <w:t>。</w:t>
      </w:r>
    </w:p>
    <w:p>
      <w:pPr>
        <w:spacing w:line="600" w:lineRule="exact"/>
        <w:ind w:firstLineChars="200" w:firstLine="640"/>
        <w:rPr>
          <w:rFonts w:ascii="仿宋" w:eastAsia="仿宋" w:hint="eastAsia"/>
          <w:sz w:val="32"/>
          <w:szCs w:val="32"/>
        </w:rPr>
      </w:pPr>
    </w:p>
    <w:p>
      <w:pPr>
        <w:spacing w:line="600" w:lineRule="exact"/>
        <w:ind w:firstLineChars="200" w:firstLine="640"/>
        <w:rPr>
          <w:rFonts w:ascii="仿宋" w:eastAsia="仿宋" w:hint="eastAsia"/>
          <w:sz w:val="32"/>
          <w:szCs w:val="32"/>
        </w:rPr>
      </w:pPr>
      <w:r>
        <w:rPr>
          <w:rFonts w:ascii="仿宋" w:eastAsia="仿宋" w:hint="eastAsia"/>
          <w:sz w:val="32"/>
          <w:szCs w:val="32"/>
        </w:rPr>
        <w:t>（图2：收入决算结构图）（饼状图）</w:t>
      </w:r>
    </w:p>
    <w:p>
      <w:pPr>
        <w:pStyle w:val="28"/>
        <w:outlineLvl w:val="9"/>
        <w:rPr>
          <w:rFonts w:ascii="仿宋_GB2312" w:eastAsia="仿宋_GB2312"/>
          <w:sz w:val="32"/>
          <w:szCs w:val="32"/>
        </w:rPr>
      </w:pPr>
      <w:r>
        <w:rPr>
          <w:rFonts w:eastAsia="仿宋" w:hint="eastAsia"/>
          <w:lang w:eastAsia="zh-CN"/>
        </w:rPr>
        <w:drawing>
          <wp:inline distT="0" distB="0" distL="114300" distR="114300">
            <wp:extent cx="2259330" cy="2014854"/>
            <wp:effectExtent l="0" t="0" r="0" b="0"/>
            <wp:docPr id="2" name="图表 2"/>
            <wp:cNvGraphicFramePr>
              <a:graphicFrameLocks noChangeAspect="0"/>
            </wp:cNvGraphicFramePr>
            <a:graphic>
              <a:graphicData uri="http://schemas.openxmlformats.org/drawingml/2006/chart">
                <c:chart xmlns:c="http://schemas.openxmlformats.org/drawingml/2006/chart" r:id="rId5"/>
              </a:graphicData>
            </a:graphic>
          </wp:inline>
        </w:drawing>
      </w:r>
    </w:p>
    <w:p>
      <w:pPr>
        <w:pStyle w:val="33"/>
        <w:numPr>
          <w:ilvl w:val="0"/>
          <w:numId w:val="2"/>
        </w:numPr>
        <w:spacing w:line="600" w:lineRule="exact"/>
        <w:ind w:firstLineChars="0"/>
        <w:outlineLvl w:val="1"/>
        <w:rPr>
          <w:rStyle w:val="2Char"/>
          <w:rFonts w:ascii="黑体" w:eastAsia="黑体"/>
          <w:b w:val="0"/>
        </w:rPr>
      </w:pPr>
      <w:bookmarkStart w:id="37" w:name="_Toc15377207"/>
      <w:bookmarkStart w:id="38" w:name="_Toc15396605"/>
      <w:r>
        <w:rPr>
          <w:rFonts w:ascii="黑体" w:eastAsia="黑体" w:hint="eastAsia"/>
          <w:sz w:val="32"/>
          <w:szCs w:val="32"/>
        </w:rPr>
        <w:t>支</w:t>
      </w:r>
      <w:r>
        <w:rPr>
          <w:rStyle w:val="2Char"/>
          <w:rFonts w:ascii="黑体" w:eastAsia="黑体" w:hint="eastAsia"/>
          <w:b w:val="0"/>
        </w:rPr>
        <w:t>出决算情况说明</w:t>
      </w:r>
      <w:bookmarkEnd w:id="37"/>
      <w:bookmarkEnd w:id="38"/>
    </w:p>
    <w:p>
      <w:pPr>
        <w:spacing w:line="600" w:lineRule="exact"/>
        <w:ind w:firstLineChars="200" w:firstLine="640"/>
        <w:outlineLvl w:val="1"/>
        <w:rPr>
          <w:rFonts w:ascii="仿宋" w:eastAsia="仿宋"/>
          <w:sz w:val="32"/>
          <w:szCs w:val="32"/>
        </w:rPr>
      </w:pPr>
      <w:r>
        <w:rPr>
          <w:rFonts w:ascii="仿宋" w:eastAsia="仿宋" w:hint="eastAsia"/>
          <w:sz w:val="32"/>
          <w:szCs w:val="32"/>
        </w:rPr>
        <w:t>202</w:t>
      </w:r>
      <w:r>
        <w:rPr>
          <w:rFonts w:ascii="仿宋" w:eastAsia="仿宋" w:hint="eastAsia"/>
          <w:sz w:val="32"/>
          <w:szCs w:val="32"/>
          <w:lang w:val="en-US" w:eastAsia="zh-CN"/>
        </w:rPr>
        <w:t>5</w:t>
      </w:r>
      <w:r>
        <w:rPr>
          <w:rFonts w:ascii="仿宋" w:eastAsia="仿宋" w:hint="eastAsia"/>
          <w:sz w:val="32"/>
          <w:szCs w:val="32"/>
        </w:rPr>
        <w:t>年度本年支出合计</w:t>
      </w:r>
      <w:r>
        <w:rPr>
          <w:rFonts w:eastAsia="仿宋" w:hint="eastAsia"/>
          <w:sz w:val="32"/>
          <w:szCs w:val="32"/>
          <w:lang w:val="en-US" w:eastAsia="zh-CN"/>
        </w:rPr>
        <w:t>1168.94</w:t>
      </w:r>
      <w:r>
        <w:rPr>
          <w:rFonts w:ascii="仿宋" w:eastAsia="仿宋" w:hint="eastAsia"/>
          <w:sz w:val="32"/>
          <w:szCs w:val="32"/>
        </w:rPr>
        <w:t>万元，其中：基本支出</w:t>
      </w:r>
      <w:r>
        <w:rPr>
          <w:rFonts w:eastAsia="仿宋" w:hint="eastAsia"/>
          <w:sz w:val="32"/>
          <w:szCs w:val="32"/>
          <w:lang w:val="en-US" w:eastAsia="zh-CN"/>
        </w:rPr>
        <w:t>245.51</w:t>
      </w:r>
      <w:r>
        <w:rPr>
          <w:rFonts w:ascii="仿宋" w:eastAsia="仿宋" w:hint="eastAsia"/>
          <w:sz w:val="32"/>
          <w:szCs w:val="32"/>
        </w:rPr>
        <w:t>万元，占</w:t>
      </w:r>
      <w:r>
        <w:rPr>
          <w:rFonts w:eastAsia="仿宋" w:hint="eastAsia"/>
          <w:sz w:val="32"/>
          <w:szCs w:val="32"/>
          <w:lang w:val="en-US" w:eastAsia="zh-CN"/>
        </w:rPr>
        <w:t>21</w:t>
      </w:r>
      <w:r>
        <w:rPr>
          <w:rFonts w:ascii="仿宋" w:eastAsia="仿宋"/>
          <w:sz w:val="32"/>
          <w:szCs w:val="32"/>
        </w:rPr>
        <w:t>%</w:t>
      </w:r>
      <w:r>
        <w:rPr>
          <w:rFonts w:ascii="仿宋" w:eastAsia="仿宋" w:hint="eastAsia"/>
          <w:sz w:val="32"/>
          <w:szCs w:val="32"/>
        </w:rPr>
        <w:t>；项目支出</w:t>
      </w:r>
      <w:r>
        <w:rPr>
          <w:rFonts w:eastAsia="仿宋" w:hint="eastAsia"/>
          <w:sz w:val="32"/>
          <w:szCs w:val="32"/>
          <w:lang w:val="en-US" w:eastAsia="zh-CN"/>
        </w:rPr>
        <w:t>923.43</w:t>
      </w:r>
      <w:r>
        <w:rPr>
          <w:rFonts w:ascii="仿宋" w:eastAsia="仿宋" w:hint="eastAsia"/>
          <w:sz w:val="32"/>
          <w:szCs w:val="32"/>
        </w:rPr>
        <w:t>万元，占</w:t>
      </w:r>
      <w:r>
        <w:rPr>
          <w:rFonts w:eastAsia="仿宋" w:hint="eastAsia"/>
          <w:sz w:val="32"/>
          <w:szCs w:val="32"/>
          <w:lang w:val="en-US" w:eastAsia="zh-CN"/>
        </w:rPr>
        <w:t>79</w:t>
      </w:r>
      <w:r>
        <w:rPr>
          <w:rFonts w:ascii="仿宋" w:eastAsia="仿宋"/>
          <w:sz w:val="32"/>
          <w:szCs w:val="32"/>
        </w:rPr>
        <w:t>%</w:t>
      </w:r>
      <w:r>
        <w:rPr>
          <w:rFonts w:ascii="仿宋" w:eastAsia="仿宋" w:hint="eastAsia"/>
          <w:sz w:val="32"/>
          <w:szCs w:val="32"/>
        </w:rPr>
        <w:t>；上缴上级支出</w:t>
      </w:r>
      <w:r>
        <w:rPr>
          <w:sz w:val="32"/>
          <w:szCs w:val="32"/>
        </w:rPr>
        <w:t>0</w:t>
      </w:r>
      <w:r>
        <w:rPr>
          <w:rFonts w:ascii="仿宋" w:eastAsia="仿宋" w:hint="eastAsia"/>
          <w:sz w:val="32"/>
          <w:szCs w:val="32"/>
        </w:rPr>
        <w:t>万元，占</w:t>
      </w:r>
      <w:r>
        <w:rPr>
          <w:sz w:val="32"/>
          <w:szCs w:val="32"/>
        </w:rPr>
        <w:t>0</w:t>
      </w:r>
      <w:r>
        <w:rPr>
          <w:rFonts w:ascii="仿宋" w:eastAsia="仿宋"/>
          <w:sz w:val="32"/>
          <w:szCs w:val="32"/>
        </w:rPr>
        <w:t>%</w:t>
      </w:r>
      <w:r>
        <w:rPr>
          <w:rFonts w:ascii="仿宋" w:eastAsia="仿宋" w:hint="eastAsia"/>
          <w:sz w:val="32"/>
          <w:szCs w:val="32"/>
        </w:rPr>
        <w:t>；经营支出</w:t>
      </w:r>
      <w:r>
        <w:rPr>
          <w:sz w:val="32"/>
          <w:szCs w:val="32"/>
        </w:rPr>
        <w:t>0</w:t>
      </w:r>
      <w:r>
        <w:rPr>
          <w:rFonts w:ascii="仿宋" w:eastAsia="仿宋" w:hint="eastAsia"/>
          <w:sz w:val="32"/>
          <w:szCs w:val="32"/>
        </w:rPr>
        <w:t>万元，占</w:t>
      </w:r>
      <w:r>
        <w:rPr>
          <w:sz w:val="32"/>
          <w:szCs w:val="32"/>
        </w:rPr>
        <w:t>0</w:t>
      </w:r>
      <w:r>
        <w:rPr>
          <w:rFonts w:ascii="仿宋" w:eastAsia="仿宋"/>
          <w:sz w:val="32"/>
          <w:szCs w:val="32"/>
        </w:rPr>
        <w:t>%</w:t>
      </w:r>
      <w:r>
        <w:rPr>
          <w:rFonts w:ascii="仿宋" w:eastAsia="仿宋" w:hint="eastAsia"/>
          <w:sz w:val="32"/>
          <w:szCs w:val="32"/>
        </w:rPr>
        <w:t>；对附属单位补助支出</w:t>
      </w:r>
      <w:r>
        <w:rPr>
          <w:sz w:val="32"/>
          <w:szCs w:val="32"/>
        </w:rPr>
        <w:t>0</w:t>
      </w:r>
      <w:r>
        <w:rPr>
          <w:rFonts w:ascii="仿宋" w:eastAsia="仿宋" w:hint="eastAsia"/>
          <w:sz w:val="32"/>
          <w:szCs w:val="32"/>
        </w:rPr>
        <w:t>万元，占</w:t>
      </w:r>
      <w:r>
        <w:rPr>
          <w:sz w:val="32"/>
          <w:szCs w:val="32"/>
        </w:rPr>
        <w:t>0</w:t>
      </w:r>
      <w:r>
        <w:rPr>
          <w:rFonts w:ascii="仿宋" w:eastAsia="仿宋"/>
          <w:sz w:val="32"/>
          <w:szCs w:val="32"/>
        </w:rPr>
        <w:t>%</w:t>
      </w:r>
      <w:r>
        <w:rPr>
          <w:rFonts w:ascii="仿宋" w:eastAsia="仿宋" w:hint="eastAsia"/>
          <w:sz w:val="32"/>
          <w:szCs w:val="32"/>
        </w:rPr>
        <w:t>。</w:t>
      </w:r>
    </w:p>
    <w:p>
      <w:pPr>
        <w:spacing w:line="600" w:lineRule="exact"/>
        <w:ind w:firstLineChars="200" w:firstLine="640"/>
        <w:rPr>
          <w:rFonts w:ascii="仿宋" w:eastAsia="仿宋" w:hint="eastAsia"/>
          <w:sz w:val="32"/>
          <w:szCs w:val="32"/>
        </w:rPr>
      </w:pPr>
      <w:r>
        <w:rPr>
          <w:rFonts w:ascii="仿宋" w:eastAsia="仿宋" w:hint="eastAsia"/>
          <w:sz w:val="32"/>
          <w:szCs w:val="32"/>
        </w:rPr>
        <w:t>（图3：支出决算结构图）（饼状图）</w:t>
      </w:r>
    </w:p>
    <w:p>
      <w:pPr>
        <w:pStyle w:val="28"/>
        <w:outlineLvl w:val="9"/>
        <w:rPr>
          <w:rFonts w:ascii="仿宋_GB2312" w:eastAsia="仿宋_GB2312"/>
          <w:sz w:val="32"/>
          <w:szCs w:val="32"/>
        </w:rPr>
      </w:pPr>
      <w:r>
        <w:rPr>
          <w:rFonts w:eastAsia="仿宋" w:hint="eastAsia"/>
          <w:lang w:eastAsia="zh-CN"/>
        </w:rPr>
        <w:drawing>
          <wp:inline distT="0" distB="0" distL="114300" distR="114300">
            <wp:extent cx="2508250" cy="2755900"/>
            <wp:effectExtent l="0" t="0" r="0" b="0"/>
            <wp:docPr id="3" name="图表 3"/>
            <wp:cNvGraphicFramePr>
              <a:graphicFrameLocks noChangeAspect="0"/>
            </wp:cNvGraphicFramePr>
            <a:graphic>
              <a:graphicData uri="http://schemas.openxmlformats.org/drawingml/2006/chart">
                <c:chart xmlns:c="http://schemas.openxmlformats.org/drawingml/2006/chart" r:id="rId6"/>
              </a:graphicData>
            </a:graphic>
          </wp:inline>
        </w:drawing>
      </w:r>
    </w:p>
    <w:p>
      <w:pPr>
        <w:spacing w:line="600" w:lineRule="exact"/>
        <w:ind w:firstLineChars="200" w:firstLine="640"/>
        <w:outlineLvl w:val="1"/>
        <w:rPr>
          <w:rFonts w:ascii="黑体" w:eastAsia="黑体" w:hint="eastAsia"/>
          <w:sz w:val="32"/>
          <w:szCs w:val="32"/>
        </w:rPr>
      </w:pPr>
      <w:bookmarkStart w:id="39" w:name="_Toc15396606"/>
      <w:bookmarkStart w:id="40" w:name="_Toc15377208"/>
    </w:p>
    <w:p>
      <w:pPr>
        <w:spacing w:line="600" w:lineRule="exact"/>
        <w:ind w:firstLineChars="200" w:firstLine="640"/>
        <w:outlineLvl w:val="1"/>
        <w:rPr>
          <w:rStyle w:val="2Char"/>
          <w:rFonts w:ascii="黑体" w:eastAsia="黑体"/>
          <w:b w:val="0"/>
        </w:rPr>
      </w:pPr>
      <w:r>
        <w:rPr>
          <w:rFonts w:ascii="黑体" w:eastAsia="黑体" w:hint="eastAsia"/>
          <w:sz w:val="32"/>
          <w:szCs w:val="32"/>
        </w:rPr>
        <w:t>四、财</w:t>
      </w:r>
      <w:r>
        <w:rPr>
          <w:rStyle w:val="2Char"/>
          <w:rFonts w:ascii="黑体" w:eastAsia="黑体" w:hint="eastAsia"/>
          <w:b w:val="0"/>
        </w:rPr>
        <w:t>政拨款收入支出决算总体情况说明</w:t>
      </w:r>
      <w:bookmarkEnd w:id="39"/>
      <w:bookmarkEnd w:id="40"/>
    </w:p>
    <w:p>
      <w:pPr>
        <w:spacing w:line="600" w:lineRule="exact"/>
        <w:ind w:firstLine="640"/>
        <w:rPr>
          <w:rFonts w:ascii="仿宋" w:eastAsia="仿宋"/>
          <w:sz w:val="32"/>
          <w:szCs w:val="32"/>
          <w:lang w:val="en-US" w:eastAsia="zh-CN"/>
        </w:rPr>
      </w:pPr>
      <w:r>
        <w:rPr>
          <w:rFonts w:ascii="仿宋" w:eastAsia="仿宋" w:hint="eastAsia"/>
          <w:sz w:val="32"/>
          <w:szCs w:val="32"/>
        </w:rPr>
        <w:t>202</w:t>
      </w:r>
      <w:r>
        <w:rPr>
          <w:rFonts w:ascii="仿宋" w:eastAsia="仿宋" w:hint="eastAsia"/>
          <w:sz w:val="32"/>
          <w:szCs w:val="32"/>
          <w:lang w:val="en-US" w:eastAsia="zh-CN"/>
        </w:rPr>
        <w:t>5</w:t>
      </w:r>
      <w:r>
        <w:rPr>
          <w:rFonts w:ascii="仿宋" w:eastAsia="仿宋" w:hint="eastAsia"/>
          <w:sz w:val="32"/>
          <w:szCs w:val="32"/>
        </w:rPr>
        <w:t>年度财政拨款收、支总计均为</w:t>
      </w:r>
      <w:r>
        <w:rPr>
          <w:rFonts w:eastAsia="仿宋" w:hint="eastAsia"/>
          <w:sz w:val="32"/>
          <w:szCs w:val="32"/>
          <w:lang w:val="en-US" w:eastAsia="zh-CN"/>
        </w:rPr>
        <w:t>1168.94</w:t>
      </w:r>
      <w:r>
        <w:rPr>
          <w:rFonts w:ascii="仿宋" w:eastAsia="仿宋" w:hint="eastAsia"/>
          <w:sz w:val="32"/>
          <w:szCs w:val="32"/>
        </w:rPr>
        <w:t>万元。与202</w:t>
      </w:r>
      <w:r>
        <w:rPr>
          <w:rFonts w:ascii="仿宋" w:eastAsia="仿宋" w:hint="eastAsia"/>
          <w:sz w:val="32"/>
          <w:szCs w:val="32"/>
          <w:lang w:val="en-US" w:eastAsia="zh-CN"/>
        </w:rPr>
        <w:t>4</w:t>
      </w:r>
      <w:r>
        <w:rPr>
          <w:rFonts w:ascii="仿宋" w:eastAsia="仿宋" w:hint="eastAsia"/>
          <w:sz w:val="32"/>
          <w:szCs w:val="32"/>
        </w:rPr>
        <w:t>年度相比，财政拨款收、支总计各增加</w:t>
      </w:r>
      <w:r>
        <w:rPr>
          <w:rFonts w:ascii="仿宋" w:eastAsia="仿宋" w:hint="eastAsia"/>
          <w:sz w:val="32"/>
          <w:szCs w:val="32"/>
          <w:lang w:val="en-US" w:eastAsia="zh-CN"/>
        </w:rPr>
        <w:t>-93.14</w:t>
      </w:r>
      <w:r>
        <w:rPr>
          <w:rFonts w:ascii="仿宋" w:eastAsia="仿宋" w:hint="eastAsia"/>
          <w:sz w:val="32"/>
          <w:szCs w:val="32"/>
        </w:rPr>
        <w:t>万元，增长</w:t>
      </w:r>
      <w:r>
        <w:rPr>
          <w:rFonts w:ascii="仿宋" w:eastAsia="仿宋" w:hint="eastAsia"/>
          <w:sz w:val="32"/>
          <w:szCs w:val="32"/>
          <w:lang w:val="en-US" w:eastAsia="zh-CN"/>
        </w:rPr>
        <w:t>-7.38</w:t>
      </w:r>
      <w:r>
        <w:rPr>
          <w:rFonts w:ascii="仿宋" w:eastAsia="仿宋"/>
          <w:sz w:val="32"/>
          <w:szCs w:val="32"/>
        </w:rPr>
        <w:t>%</w:t>
      </w:r>
      <w:r>
        <w:rPr>
          <w:rFonts w:ascii="仿宋" w:eastAsia="仿宋" w:hint="eastAsia"/>
          <w:sz w:val="32"/>
          <w:szCs w:val="32"/>
        </w:rPr>
        <w:t>。主要变动原因是</w:t>
      </w:r>
      <w:r>
        <w:rPr>
          <w:rFonts w:ascii="仿宋" w:eastAsia="仿宋" w:hint="eastAsia"/>
          <w:sz w:val="32"/>
          <w:szCs w:val="32"/>
          <w:lang w:val="en-US" w:eastAsia="zh-CN"/>
        </w:rPr>
        <w:t>人员经费、公用经费、专项经费减少。</w:t>
      </w:r>
    </w:p>
    <w:p>
      <w:pPr>
        <w:spacing w:line="600" w:lineRule="exact"/>
        <w:ind w:firstLineChars="200" w:firstLine="640"/>
        <w:rPr>
          <w:rFonts w:ascii="仿宋" w:eastAsia="仿宋" w:hint="eastAsia"/>
          <w:sz w:val="32"/>
          <w:szCs w:val="32"/>
        </w:rPr>
      </w:pPr>
      <w:r>
        <w:rPr>
          <w:rFonts w:ascii="仿宋" w:eastAsia="仿宋" w:hint="eastAsia"/>
          <w:sz w:val="32"/>
          <w:szCs w:val="32"/>
        </w:rPr>
        <w:t>（图4：财政拨款收、支决算总计变动情况）（柱状图）</w:t>
      </w:r>
    </w:p>
    <w:p>
      <w:pPr>
        <w:pStyle w:val="28"/>
        <w:outlineLvl w:val="9"/>
        <w:rPr>
          <w:rFonts w:ascii="仿宋" w:eastAsia="仿宋" w:hint="eastAsia"/>
          <w:b/>
          <w:sz w:val="32"/>
          <w:szCs w:val="32"/>
          <w:lang w:eastAsia="zh-CN"/>
        </w:rPr>
      </w:pPr>
      <w:r>
        <w:rPr>
          <w:rFonts w:ascii="仿宋" w:eastAsia="仿宋" w:hint="eastAsia"/>
          <w:b/>
          <w:sz w:val="32"/>
          <w:szCs w:val="32"/>
          <w:lang w:eastAsia="zh-CN"/>
        </w:rPr>
        <w:drawing>
          <wp:inline distT="0" distB="0" distL="114300" distR="114300">
            <wp:extent cx="5086350" cy="2283460"/>
            <wp:effectExtent l="0" t="0" r="0" b="0"/>
            <wp:docPr id="4" name="图表 8"/>
            <wp:cNvGraphicFramePr>
              <a:graphicFrameLocks noChangeAspect="0"/>
            </wp:cNvGraphicFramePr>
            <a:graphic>
              <a:graphicData uri="http://schemas.openxmlformats.org/drawingml/2006/chart">
                <c:chart xmlns:c="http://schemas.openxmlformats.org/drawingml/2006/chart" r:id="rId7"/>
              </a:graphicData>
            </a:graphic>
          </wp:inline>
        </w:drawing>
      </w:r>
    </w:p>
    <w:p>
      <w:pPr>
        <w:spacing w:line="600" w:lineRule="exact"/>
        <w:ind w:firstLineChars="200" w:firstLine="640"/>
        <w:outlineLvl w:val="1"/>
        <w:rPr>
          <w:rStyle w:val="2Char"/>
          <w:rFonts w:ascii="黑体" w:eastAsia="黑体"/>
          <w:b w:val="0"/>
        </w:rPr>
      </w:pPr>
      <w:bookmarkStart w:id="41" w:name="_Toc15377209"/>
      <w:bookmarkStart w:id="42" w:name="_Toc15396607"/>
      <w:r>
        <w:rPr>
          <w:rFonts w:ascii="黑体" w:eastAsia="黑体" w:hint="eastAsia"/>
          <w:sz w:val="32"/>
          <w:szCs w:val="32"/>
        </w:rPr>
        <w:t>五、</w:t>
      </w:r>
      <w:r>
        <w:rPr>
          <w:rFonts w:ascii="黑体" w:eastAsia="黑体" w:hint="eastAsia"/>
          <w:b/>
          <w:sz w:val="32"/>
          <w:szCs w:val="32"/>
        </w:rPr>
        <w:t>一</w:t>
      </w:r>
      <w:r>
        <w:rPr>
          <w:rStyle w:val="2Char"/>
          <w:rFonts w:ascii="黑体" w:eastAsia="黑体" w:hint="eastAsia"/>
          <w:b w:val="0"/>
        </w:rPr>
        <w:t>般公共预算财政拨款支出决算情况说明</w:t>
      </w:r>
      <w:bookmarkEnd w:id="41"/>
      <w:bookmarkEnd w:id="42"/>
    </w:p>
    <w:p>
      <w:pPr>
        <w:spacing w:line="600" w:lineRule="exact"/>
        <w:ind w:firstLineChars="200" w:firstLine="640"/>
        <w:outlineLvl w:val="2"/>
        <w:rPr>
          <w:rFonts w:ascii="仿宋" w:eastAsia="仿宋"/>
          <w:b/>
          <w:sz w:val="32"/>
          <w:szCs w:val="32"/>
        </w:rPr>
      </w:pPr>
      <w:bookmarkStart w:id="43" w:name="_Toc15377210"/>
      <w:r>
        <w:rPr>
          <w:rFonts w:ascii="仿宋" w:eastAsia="仿宋" w:hint="eastAsia"/>
          <w:b/>
          <w:sz w:val="32"/>
          <w:szCs w:val="32"/>
        </w:rPr>
        <w:t>（一）一般公共预算财政拨款支出决算总体情况</w:t>
      </w:r>
      <w:bookmarkEnd w:id="43"/>
    </w:p>
    <w:p>
      <w:pPr>
        <w:spacing w:line="600" w:lineRule="exact"/>
        <w:ind w:firstLineChars="200" w:firstLine="640"/>
        <w:rPr>
          <w:rFonts w:ascii="仿宋" w:eastAsia="仿宋"/>
          <w:sz w:val="32"/>
          <w:szCs w:val="32"/>
        </w:rPr>
      </w:pPr>
      <w:r>
        <w:rPr>
          <w:rFonts w:ascii="仿宋" w:eastAsia="仿宋" w:hint="eastAsia"/>
          <w:sz w:val="32"/>
          <w:szCs w:val="32"/>
        </w:rPr>
        <w:t>202</w:t>
      </w:r>
      <w:r>
        <w:rPr>
          <w:rFonts w:ascii="仿宋" w:eastAsia="仿宋" w:hint="eastAsia"/>
          <w:sz w:val="32"/>
          <w:szCs w:val="32"/>
          <w:lang w:val="en-US" w:eastAsia="zh-CN"/>
        </w:rPr>
        <w:t>5</w:t>
      </w:r>
      <w:r>
        <w:rPr>
          <w:rFonts w:ascii="仿宋" w:eastAsia="仿宋" w:hint="eastAsia"/>
          <w:sz w:val="32"/>
          <w:szCs w:val="32"/>
        </w:rPr>
        <w:t>年度一般公共预算财政拨款支出</w:t>
      </w:r>
      <w:r>
        <w:rPr>
          <w:rFonts w:eastAsia="仿宋" w:hint="eastAsia"/>
          <w:sz w:val="32"/>
          <w:szCs w:val="32"/>
          <w:lang w:val="en-US" w:eastAsia="zh-CN"/>
        </w:rPr>
        <w:t>1168.94</w:t>
      </w:r>
      <w:r>
        <w:rPr>
          <w:rFonts w:ascii="仿宋" w:eastAsia="仿宋" w:hint="eastAsia"/>
          <w:sz w:val="32"/>
          <w:szCs w:val="32"/>
        </w:rPr>
        <w:t>万元，占本年支出合计的</w:t>
      </w:r>
      <w:r>
        <w:rPr>
          <w:sz w:val="32"/>
          <w:szCs w:val="32"/>
        </w:rPr>
        <w:t>100</w:t>
      </w:r>
      <w:r>
        <w:rPr>
          <w:rFonts w:ascii="仿宋" w:eastAsia="仿宋"/>
          <w:sz w:val="32"/>
          <w:szCs w:val="32"/>
        </w:rPr>
        <w:t>%</w:t>
      </w:r>
      <w:r>
        <w:rPr>
          <w:rFonts w:ascii="仿宋" w:eastAsia="仿宋" w:hint="eastAsia"/>
          <w:sz w:val="32"/>
          <w:szCs w:val="32"/>
        </w:rPr>
        <w:t>。与202</w:t>
      </w:r>
      <w:r>
        <w:rPr>
          <w:rFonts w:ascii="仿宋" w:eastAsia="仿宋" w:hint="eastAsia"/>
          <w:sz w:val="32"/>
          <w:szCs w:val="32"/>
          <w:lang w:val="en-US" w:eastAsia="zh-CN"/>
        </w:rPr>
        <w:t>4</w:t>
      </w:r>
      <w:r>
        <w:rPr>
          <w:rFonts w:ascii="仿宋" w:eastAsia="仿宋" w:hint="eastAsia"/>
          <w:sz w:val="32"/>
          <w:szCs w:val="32"/>
        </w:rPr>
        <w:t>年度相比，一般公共预算财政拨款支出增加</w:t>
      </w:r>
      <w:r>
        <w:rPr>
          <w:rFonts w:ascii="仿宋" w:eastAsia="仿宋" w:hint="eastAsia"/>
          <w:sz w:val="32"/>
          <w:szCs w:val="32"/>
          <w:lang w:val="en-US" w:eastAsia="zh-CN"/>
        </w:rPr>
        <w:t>-93.14</w:t>
      </w:r>
      <w:r>
        <w:rPr>
          <w:rFonts w:ascii="仿宋" w:eastAsia="仿宋" w:hint="eastAsia"/>
          <w:sz w:val="32"/>
          <w:szCs w:val="32"/>
        </w:rPr>
        <w:t>万元，增长</w:t>
      </w:r>
      <w:r>
        <w:rPr>
          <w:rFonts w:ascii="仿宋" w:eastAsia="仿宋" w:hint="eastAsia"/>
          <w:sz w:val="32"/>
          <w:szCs w:val="32"/>
          <w:lang w:val="en-US" w:eastAsia="zh-CN"/>
        </w:rPr>
        <w:t>-7.38</w:t>
      </w:r>
      <w:r>
        <w:rPr>
          <w:rFonts w:ascii="仿宋" w:eastAsia="仿宋"/>
          <w:sz w:val="32"/>
          <w:szCs w:val="32"/>
        </w:rPr>
        <w:t>%</w:t>
      </w:r>
      <w:r>
        <w:rPr>
          <w:rFonts w:ascii="仿宋" w:eastAsia="仿宋" w:hint="eastAsia"/>
          <w:sz w:val="32"/>
          <w:szCs w:val="32"/>
        </w:rPr>
        <w:t>。主要变动原因是</w:t>
      </w:r>
      <w:r>
        <w:rPr>
          <w:rFonts w:ascii="仿宋" w:eastAsia="仿宋" w:hint="eastAsia"/>
          <w:sz w:val="32"/>
          <w:szCs w:val="32"/>
          <w:lang w:val="en-US" w:eastAsia="zh-CN"/>
        </w:rPr>
        <w:t>人员经费、公用经费、专项经费减少。</w:t>
      </w:r>
    </w:p>
    <w:p>
      <w:pPr>
        <w:spacing w:line="600" w:lineRule="exact"/>
        <w:ind w:firstLineChars="200" w:firstLine="640"/>
        <w:rPr>
          <w:rFonts w:ascii="仿宋" w:eastAsia="仿宋" w:hint="eastAsia"/>
          <w:sz w:val="32"/>
          <w:szCs w:val="32"/>
        </w:rPr>
      </w:pPr>
      <w:r>
        <w:rPr>
          <w:rFonts w:ascii="仿宋" w:eastAsia="仿宋" w:hint="eastAsia"/>
          <w:sz w:val="32"/>
          <w:szCs w:val="32"/>
        </w:rPr>
        <w:t>（图5：一般公共预算财政拨款支出决算变动情况）（柱状图）</w:t>
      </w:r>
    </w:p>
    <w:p>
      <w:pPr>
        <w:pStyle w:val="28"/>
        <w:outlineLvl w:val="9"/>
        <w:rPr>
          <w:rFonts w:ascii="仿宋" w:eastAsia="仿宋"/>
          <w:sz w:val="32"/>
          <w:szCs w:val="32"/>
        </w:rPr>
      </w:pPr>
      <w:r>
        <w:rPr>
          <w:rFonts w:eastAsia="仿宋" w:hint="eastAsia"/>
          <w:lang w:eastAsia="zh-CN"/>
        </w:rPr>
        <w:drawing>
          <wp:inline distT="0" distB="0" distL="114300" distR="114300">
            <wp:extent cx="4840605" cy="1732279"/>
            <wp:effectExtent l="0" t="0" r="0" b="0"/>
            <wp:docPr id="5" name="图表 5"/>
            <wp:cNvGraphicFramePr>
              <a:graphicFrameLocks noChangeAspect="0"/>
            </wp:cNvGraphicFramePr>
            <a:graphic>
              <a:graphicData uri="http://schemas.openxmlformats.org/drawingml/2006/chart">
                <c:chart xmlns:c="http://schemas.openxmlformats.org/drawingml/2006/chart" r:id="rId8"/>
              </a:graphicData>
            </a:graphic>
          </wp:inline>
        </w:drawing>
      </w:r>
    </w:p>
    <w:p>
      <w:pPr>
        <w:spacing w:line="600" w:lineRule="exact"/>
        <w:ind w:firstLineChars="200" w:firstLine="640"/>
        <w:outlineLvl w:val="9"/>
        <w:rPr>
          <w:rFonts w:ascii="仿宋" w:eastAsia="仿宋" w:hint="eastAsia"/>
          <w:b/>
          <w:sz w:val="32"/>
          <w:szCs w:val="32"/>
        </w:rPr>
      </w:pPr>
      <w:bookmarkStart w:id="44" w:name="_Toc15377211"/>
    </w:p>
    <w:p>
      <w:pPr>
        <w:spacing w:line="600" w:lineRule="exact"/>
        <w:ind w:firstLineChars="200" w:firstLine="640"/>
        <w:outlineLvl w:val="2"/>
        <w:rPr>
          <w:rFonts w:ascii="仿宋" w:eastAsia="仿宋"/>
          <w:b/>
          <w:sz w:val="32"/>
          <w:szCs w:val="32"/>
        </w:rPr>
      </w:pPr>
      <w:r>
        <w:rPr>
          <w:rFonts w:ascii="仿宋" w:eastAsia="仿宋" w:hint="eastAsia"/>
          <w:b/>
          <w:sz w:val="32"/>
          <w:szCs w:val="32"/>
        </w:rPr>
        <w:t>（二）一般公共预算财政拨款支出决算结构情况</w:t>
      </w:r>
      <w:bookmarkEnd w:id="44"/>
    </w:p>
    <w:p>
      <w:pPr>
        <w:spacing w:line="600" w:lineRule="exact"/>
        <w:ind w:firstLine="640"/>
        <w:rPr>
          <w:rFonts w:ascii="仿宋" w:eastAsia="仿宋" w:hint="eastAsia"/>
          <w:sz w:val="32"/>
          <w:szCs w:val="32"/>
        </w:rPr>
      </w:pPr>
      <w:r>
        <w:rPr>
          <w:rFonts w:ascii="仿宋" w:eastAsia="仿宋" w:hint="eastAsia"/>
          <w:sz w:val="32"/>
          <w:szCs w:val="32"/>
        </w:rPr>
        <w:t>202</w:t>
      </w:r>
      <w:r>
        <w:rPr>
          <w:rFonts w:ascii="仿宋" w:eastAsia="仿宋" w:hint="eastAsia"/>
          <w:sz w:val="32"/>
          <w:szCs w:val="32"/>
          <w:lang w:val="en-US" w:eastAsia="zh-CN"/>
        </w:rPr>
        <w:t>5</w:t>
      </w:r>
      <w:r>
        <w:rPr>
          <w:rFonts w:ascii="仿宋" w:eastAsia="仿宋" w:hint="eastAsia"/>
          <w:sz w:val="32"/>
          <w:szCs w:val="32"/>
        </w:rPr>
        <w:t>年度一般公共预算财政拨款支出</w:t>
      </w:r>
      <w:r>
        <w:rPr>
          <w:rFonts w:ascii="仿宋" w:eastAsia="仿宋" w:hint="eastAsia"/>
          <w:sz w:val="32"/>
          <w:szCs w:val="32"/>
          <w:lang w:val="en-US" w:eastAsia="zh-CN"/>
        </w:rPr>
        <w:t>1168.94</w:t>
      </w:r>
      <w:r>
        <w:rPr>
          <w:rFonts w:ascii="仿宋" w:eastAsia="仿宋" w:hint="eastAsia"/>
          <w:sz w:val="32"/>
          <w:szCs w:val="32"/>
        </w:rPr>
        <w:t>万元，主要用于以下方面:一般公共服务支出</w:t>
      </w:r>
      <w:r>
        <w:rPr>
          <w:rFonts w:ascii="仿宋" w:eastAsia="仿宋" w:hint="eastAsia"/>
          <w:sz w:val="32"/>
          <w:szCs w:val="32"/>
          <w:lang w:val="en-US" w:eastAsia="zh-CN"/>
        </w:rPr>
        <w:t>0</w:t>
      </w:r>
      <w:r>
        <w:rPr>
          <w:rFonts w:ascii="仿宋" w:eastAsia="仿宋" w:hint="eastAsia"/>
          <w:sz w:val="32"/>
          <w:szCs w:val="32"/>
        </w:rPr>
        <w:t>万元，占</w:t>
      </w:r>
      <w:r>
        <w:rPr>
          <w:rFonts w:ascii="仿宋" w:eastAsia="仿宋" w:hint="eastAsia"/>
          <w:sz w:val="32"/>
          <w:szCs w:val="32"/>
          <w:lang w:val="en-US" w:eastAsia="zh-CN"/>
        </w:rPr>
        <w:t>0</w:t>
      </w:r>
      <w:r>
        <w:rPr>
          <w:rFonts w:ascii="仿宋" w:eastAsia="仿宋" w:hint="eastAsia"/>
          <w:sz w:val="32"/>
          <w:szCs w:val="32"/>
        </w:rPr>
        <w:t>%；</w:t>
      </w:r>
      <w:r>
        <w:rPr>
          <w:rFonts w:ascii="仿宋" w:eastAsia="仿宋" w:hint="eastAsia"/>
          <w:sz w:val="32"/>
          <w:szCs w:val="32"/>
          <w:lang w:val="en-US" w:eastAsia="zh-CN"/>
        </w:rPr>
        <w:t>国防支出18.8万元，占1.61%;</w:t>
      </w:r>
      <w:r>
        <w:rPr>
          <w:rFonts w:ascii="仿宋" w:eastAsia="仿宋" w:hint="eastAsia"/>
          <w:sz w:val="32"/>
          <w:szCs w:val="32"/>
        </w:rPr>
        <w:t>教育支出</w:t>
      </w:r>
      <w:r>
        <w:rPr>
          <w:rFonts w:ascii="仿宋" w:eastAsia="仿宋" w:hint="eastAsia"/>
          <w:sz w:val="32"/>
          <w:szCs w:val="32"/>
          <w:lang w:val="en-US" w:eastAsia="zh-CN"/>
        </w:rPr>
        <w:t>0</w:t>
      </w:r>
      <w:r>
        <w:rPr>
          <w:rFonts w:ascii="仿宋" w:eastAsia="仿宋" w:hint="eastAsia"/>
          <w:sz w:val="32"/>
          <w:szCs w:val="32"/>
        </w:rPr>
        <w:t>万元，占</w:t>
      </w:r>
      <w:r>
        <w:rPr>
          <w:rFonts w:ascii="仿宋" w:eastAsia="仿宋" w:hint="eastAsia"/>
          <w:sz w:val="32"/>
          <w:szCs w:val="32"/>
          <w:lang w:val="en-US" w:eastAsia="zh-CN"/>
        </w:rPr>
        <w:t>0</w:t>
      </w:r>
      <w:r>
        <w:rPr>
          <w:rFonts w:ascii="仿宋" w:eastAsia="仿宋" w:hint="eastAsia"/>
          <w:sz w:val="32"/>
          <w:szCs w:val="32"/>
        </w:rPr>
        <w:t>%；科学技术支出</w:t>
      </w:r>
      <w:r>
        <w:rPr>
          <w:rFonts w:ascii="仿宋" w:eastAsia="仿宋" w:hint="eastAsia"/>
          <w:sz w:val="32"/>
          <w:szCs w:val="32"/>
          <w:lang w:val="en-US" w:eastAsia="zh-CN"/>
        </w:rPr>
        <w:t>0</w:t>
      </w:r>
      <w:r>
        <w:rPr>
          <w:rFonts w:ascii="仿宋" w:eastAsia="仿宋" w:hint="eastAsia"/>
          <w:sz w:val="32"/>
          <w:szCs w:val="32"/>
        </w:rPr>
        <w:t>万元，占</w:t>
      </w:r>
      <w:r>
        <w:rPr>
          <w:rFonts w:ascii="仿宋" w:eastAsia="仿宋" w:hint="eastAsia"/>
          <w:sz w:val="32"/>
          <w:szCs w:val="32"/>
          <w:lang w:val="en-US" w:eastAsia="zh-CN"/>
        </w:rPr>
        <w:t>0</w:t>
      </w:r>
      <w:r>
        <w:rPr>
          <w:rFonts w:ascii="仿宋" w:eastAsia="仿宋" w:hint="eastAsia"/>
          <w:sz w:val="32"/>
          <w:szCs w:val="32"/>
        </w:rPr>
        <w:t>%；文化旅游体育与传媒支出</w:t>
      </w:r>
      <w:r>
        <w:rPr>
          <w:rFonts w:ascii="仿宋" w:eastAsia="仿宋" w:hint="eastAsia"/>
          <w:sz w:val="32"/>
          <w:szCs w:val="32"/>
          <w:lang w:val="en-US" w:eastAsia="zh-CN"/>
        </w:rPr>
        <w:t>0</w:t>
      </w:r>
      <w:r>
        <w:rPr>
          <w:rFonts w:ascii="仿宋" w:eastAsia="仿宋" w:hint="eastAsia"/>
          <w:sz w:val="32"/>
          <w:szCs w:val="32"/>
        </w:rPr>
        <w:t>万元，占</w:t>
      </w:r>
      <w:r>
        <w:rPr>
          <w:rFonts w:ascii="仿宋" w:eastAsia="仿宋" w:hint="eastAsia"/>
          <w:sz w:val="32"/>
          <w:szCs w:val="32"/>
          <w:lang w:val="en-US" w:eastAsia="zh-CN"/>
        </w:rPr>
        <w:t>0</w:t>
      </w:r>
      <w:r>
        <w:rPr>
          <w:rFonts w:ascii="仿宋" w:eastAsia="仿宋" w:hint="eastAsia"/>
          <w:sz w:val="32"/>
          <w:szCs w:val="32"/>
        </w:rPr>
        <w:t>%；社会保障和就业支出</w:t>
      </w:r>
      <w:r>
        <w:rPr>
          <w:rFonts w:ascii="仿宋" w:eastAsia="仿宋" w:hint="eastAsia"/>
          <w:sz w:val="32"/>
          <w:szCs w:val="32"/>
          <w:lang w:val="en-US" w:eastAsia="zh-CN"/>
        </w:rPr>
        <w:t>1117.58</w:t>
      </w:r>
      <w:r>
        <w:rPr>
          <w:rFonts w:ascii="仿宋" w:eastAsia="仿宋" w:hint="eastAsia"/>
          <w:sz w:val="32"/>
          <w:szCs w:val="32"/>
        </w:rPr>
        <w:t>万元，占</w:t>
      </w:r>
      <w:r>
        <w:rPr>
          <w:rFonts w:ascii="仿宋" w:eastAsia="仿宋" w:hint="eastAsia"/>
          <w:sz w:val="32"/>
          <w:szCs w:val="32"/>
          <w:lang w:val="en-US" w:eastAsia="zh-CN"/>
        </w:rPr>
        <w:t>95.6</w:t>
      </w:r>
      <w:r>
        <w:rPr>
          <w:rFonts w:ascii="仿宋" w:eastAsia="仿宋" w:hint="eastAsia"/>
          <w:sz w:val="32"/>
          <w:szCs w:val="32"/>
        </w:rPr>
        <w:t>%；卫生健康支出</w:t>
      </w:r>
      <w:r>
        <w:rPr>
          <w:rFonts w:ascii="仿宋" w:eastAsia="仿宋" w:hint="eastAsia"/>
          <w:sz w:val="32"/>
          <w:szCs w:val="32"/>
          <w:lang w:val="en-US" w:eastAsia="zh-CN"/>
        </w:rPr>
        <w:t>14.92</w:t>
      </w:r>
      <w:r>
        <w:rPr>
          <w:rFonts w:ascii="仿宋" w:eastAsia="仿宋" w:hint="eastAsia"/>
          <w:sz w:val="32"/>
          <w:szCs w:val="32"/>
        </w:rPr>
        <w:t>万元，占</w:t>
      </w:r>
      <w:r>
        <w:rPr>
          <w:rFonts w:ascii="仿宋" w:eastAsia="仿宋" w:hint="eastAsia"/>
          <w:sz w:val="32"/>
          <w:szCs w:val="32"/>
          <w:lang w:val="en-US" w:eastAsia="zh-CN"/>
        </w:rPr>
        <w:t>1.28</w:t>
      </w:r>
      <w:r>
        <w:rPr>
          <w:rFonts w:ascii="仿宋" w:eastAsia="仿宋" w:hint="eastAsia"/>
          <w:sz w:val="32"/>
          <w:szCs w:val="32"/>
        </w:rPr>
        <w:t>%；住房保障支出</w:t>
      </w:r>
      <w:r>
        <w:rPr>
          <w:rFonts w:ascii="仿宋" w:eastAsia="仿宋" w:hint="eastAsia"/>
          <w:sz w:val="32"/>
          <w:szCs w:val="32"/>
          <w:lang w:val="en-US" w:eastAsia="zh-CN"/>
        </w:rPr>
        <w:t>17.63</w:t>
      </w:r>
      <w:r>
        <w:rPr>
          <w:rFonts w:ascii="仿宋" w:eastAsia="仿宋" w:hint="eastAsia"/>
          <w:sz w:val="32"/>
          <w:szCs w:val="32"/>
        </w:rPr>
        <w:t>万元，占</w:t>
      </w:r>
      <w:r>
        <w:rPr>
          <w:rFonts w:ascii="仿宋" w:eastAsia="仿宋" w:hint="eastAsia"/>
          <w:sz w:val="32"/>
          <w:szCs w:val="32"/>
          <w:lang w:val="en-US" w:eastAsia="zh-CN"/>
        </w:rPr>
        <w:t>1.51</w:t>
      </w:r>
      <w:r>
        <w:rPr>
          <w:rFonts w:ascii="仿宋" w:eastAsia="仿宋" w:hint="eastAsia"/>
          <w:sz w:val="32"/>
          <w:szCs w:val="32"/>
        </w:rPr>
        <w:t>%。</w:t>
      </w:r>
    </w:p>
    <w:p>
      <w:pPr>
        <w:spacing w:line="600" w:lineRule="exact"/>
        <w:ind w:firstLineChars="200" w:firstLine="640"/>
        <w:rPr>
          <w:rFonts w:ascii="仿宋" w:eastAsia="仿宋" w:hint="eastAsia"/>
          <w:sz w:val="32"/>
          <w:szCs w:val="32"/>
        </w:rPr>
      </w:pPr>
      <w:r>
        <w:rPr>
          <w:rFonts w:ascii="仿宋" w:eastAsia="仿宋" w:hint="eastAsia"/>
          <w:sz w:val="32"/>
          <w:szCs w:val="32"/>
        </w:rPr>
        <w:t>（图6：一般公共预算财政拨款支出决算结构）（饼状图）</w:t>
      </w:r>
    </w:p>
    <w:p>
      <w:pPr>
        <w:pStyle w:val="28"/>
        <w:outlineLvl w:val="9"/>
        <w:rPr>
          <w:rFonts w:eastAsia="仿宋" w:hint="eastAsia"/>
          <w:lang w:eastAsia="zh-CN"/>
        </w:rPr>
      </w:pPr>
      <w:r>
        <w:rPr>
          <w:rFonts w:eastAsia="仿宋" w:hint="eastAsia"/>
          <w:lang w:eastAsia="zh-CN"/>
        </w:rPr>
        <w:drawing>
          <wp:inline distT="0" distB="0" distL="114300" distR="114300">
            <wp:extent cx="3050540" cy="1951355"/>
            <wp:effectExtent l="0" t="0" r="0" b="0"/>
            <wp:docPr id="6" name="图表 6"/>
            <wp:cNvGraphicFramePr>
              <a:graphicFrameLocks noChangeAspect="0"/>
            </wp:cNvGraphicFramePr>
            <a:graphic>
              <a:graphicData uri="http://schemas.openxmlformats.org/drawingml/2006/chart">
                <c:chart xmlns:c="http://schemas.openxmlformats.org/drawingml/2006/chart" r:id="rId9"/>
              </a:graphicData>
            </a:graphic>
          </wp:inline>
        </w:drawing>
      </w:r>
    </w:p>
    <w:p>
      <w:pPr>
        <w:spacing w:line="600" w:lineRule="exact"/>
        <w:ind w:firstLineChars="200" w:firstLine="640"/>
        <w:outlineLvl w:val="2"/>
        <w:rPr>
          <w:rFonts w:ascii="仿宋" w:eastAsia="仿宋" w:hint="eastAsia"/>
          <w:b/>
          <w:sz w:val="32"/>
          <w:szCs w:val="32"/>
        </w:rPr>
      </w:pPr>
      <w:bookmarkStart w:id="45" w:name="_Toc15377212"/>
    </w:p>
    <w:p>
      <w:pPr>
        <w:spacing w:line="600" w:lineRule="exact"/>
        <w:ind w:firstLineChars="200" w:firstLine="640"/>
        <w:outlineLvl w:val="2"/>
        <w:rPr>
          <w:rFonts w:ascii="仿宋" w:eastAsia="仿宋"/>
          <w:b/>
          <w:sz w:val="32"/>
          <w:szCs w:val="32"/>
        </w:rPr>
      </w:pPr>
      <w:r>
        <w:rPr>
          <w:rFonts w:ascii="仿宋" w:eastAsia="仿宋" w:hint="eastAsia"/>
          <w:b/>
          <w:sz w:val="32"/>
          <w:szCs w:val="32"/>
        </w:rPr>
        <w:t>（三）一般公共预算财政拨款支出决算具体情况</w:t>
      </w:r>
      <w:bookmarkEnd w:id="45"/>
    </w:p>
    <w:p>
      <w:pPr>
        <w:spacing w:line="600" w:lineRule="exact"/>
        <w:ind w:firstLineChars="200" w:firstLine="640"/>
        <w:outlineLvl w:val="2"/>
        <w:rPr>
          <w:rFonts w:ascii="仿宋" w:eastAsia="仿宋"/>
          <w:b/>
          <w:sz w:val="32"/>
          <w:szCs w:val="32"/>
        </w:rPr>
      </w:pPr>
      <w:bookmarkStart w:id="46" w:name="_Toc15377444"/>
      <w:bookmarkStart w:id="47" w:name="_Toc15377213"/>
      <w:bookmarkStart w:id="48" w:name="_Toc15378460"/>
      <w:r>
        <w:rPr>
          <w:rFonts w:ascii="仿宋" w:eastAsia="仿宋" w:hint="eastAsia"/>
          <w:b/>
          <w:sz w:val="32"/>
          <w:szCs w:val="32"/>
        </w:rPr>
        <w:t>202</w:t>
      </w:r>
      <w:r>
        <w:rPr>
          <w:rFonts w:ascii="仿宋" w:eastAsia="仿宋" w:hint="eastAsia"/>
          <w:b/>
          <w:sz w:val="32"/>
          <w:szCs w:val="32"/>
          <w:lang w:val="en-US" w:eastAsia="zh-CN"/>
        </w:rPr>
        <w:t>5</w:t>
      </w:r>
      <w:r>
        <w:rPr>
          <w:rFonts w:ascii="仿宋" w:eastAsia="仿宋" w:hint="eastAsia"/>
          <w:b/>
          <w:sz w:val="32"/>
          <w:szCs w:val="32"/>
        </w:rPr>
        <w:t>年度一般公共预算支出决算数为</w:t>
      </w:r>
      <w:r>
        <w:rPr>
          <w:rFonts w:eastAsia="仿宋" w:hint="eastAsia"/>
          <w:sz w:val="32"/>
          <w:szCs w:val="32"/>
          <w:lang w:val="en-US" w:eastAsia="zh-CN"/>
        </w:rPr>
        <w:t>1168.94</w:t>
      </w:r>
      <w:r>
        <w:rPr>
          <w:rFonts w:ascii="仿宋" w:eastAsia="仿宋" w:hint="eastAsia"/>
          <w:sz w:val="32"/>
          <w:szCs w:val="32"/>
        </w:rPr>
        <w:t>，</w:t>
      </w:r>
      <w:r>
        <w:rPr>
          <w:rStyle w:val="26"/>
          <w:rFonts w:ascii="仿宋" w:eastAsia="仿宋" w:hint="eastAsia"/>
          <w:bCs/>
          <w:sz w:val="32"/>
          <w:szCs w:val="32"/>
        </w:rPr>
        <w:t>完成预算</w:t>
      </w:r>
      <w:r>
        <w:rPr>
          <w:rStyle w:val="26"/>
          <w:rFonts w:ascii="仿宋" w:eastAsia="仿宋" w:hint="eastAsia"/>
          <w:bCs/>
          <w:sz w:val="32"/>
          <w:szCs w:val="32"/>
          <w:lang w:val="en-US" w:eastAsia="zh-CN"/>
        </w:rPr>
        <w:t>100</w:t>
      </w:r>
      <w:r>
        <w:rPr>
          <w:rStyle w:val="26"/>
          <w:rFonts w:ascii="仿宋" w:eastAsia="仿宋"/>
          <w:bCs/>
          <w:sz w:val="32"/>
          <w:szCs w:val="32"/>
        </w:rPr>
        <w:t>%</w:t>
      </w:r>
      <w:r>
        <w:rPr>
          <w:rStyle w:val="26"/>
          <w:rFonts w:ascii="仿宋" w:eastAsia="仿宋" w:hint="eastAsia"/>
          <w:bCs/>
          <w:sz w:val="32"/>
          <w:szCs w:val="32"/>
        </w:rPr>
        <w:t>。其中：</w:t>
      </w:r>
      <w:bookmarkEnd w:id="46"/>
      <w:bookmarkEnd w:id="47"/>
      <w:bookmarkEnd w:id="48"/>
    </w:p>
    <w:p>
      <w:pPr>
        <w:spacing w:line="600" w:lineRule="exact"/>
        <w:ind w:left="0" w:firstLineChars="200" w:firstLine="640"/>
        <w:rPr>
          <w:rStyle w:val="26"/>
          <w:rFonts w:ascii="仿宋" w:eastAsia="仿宋" w:hint="eastAsia"/>
          <w:b w:val="0"/>
          <w:bCs/>
          <w:sz w:val="32"/>
          <w:szCs w:val="32"/>
        </w:rPr>
      </w:pPr>
      <w:r>
        <w:rPr>
          <w:rStyle w:val="26"/>
          <w:rFonts w:ascii="仿宋" w:eastAsia="仿宋" w:hint="eastAsia"/>
          <w:bCs/>
          <w:sz w:val="32"/>
          <w:szCs w:val="32"/>
          <w:lang w:val="en-US" w:eastAsia="zh-CN"/>
        </w:rPr>
        <w:t>1.</w:t>
      </w:r>
      <w:r>
        <w:rPr>
          <w:rStyle w:val="26"/>
          <w:rFonts w:ascii="仿宋" w:eastAsia="仿宋" w:hint="eastAsia"/>
          <w:bCs/>
          <w:sz w:val="32"/>
          <w:szCs w:val="32"/>
        </w:rPr>
        <w:t>社会保障和就业</w:t>
      </w:r>
      <w:r>
        <w:rPr>
          <w:rStyle w:val="26"/>
          <w:rFonts w:ascii="仿宋" w:eastAsia="仿宋" w:hint="eastAsia"/>
          <w:bCs/>
          <w:sz w:val="32"/>
          <w:szCs w:val="32"/>
          <w:lang w:val="en-US" w:eastAsia="zh-CN"/>
        </w:rPr>
        <w:t>208</w:t>
      </w:r>
      <w:r>
        <w:rPr>
          <w:rStyle w:val="26"/>
          <w:rFonts w:ascii="仿宋" w:eastAsia="仿宋"/>
          <w:bCs/>
          <w:sz w:val="32"/>
          <w:szCs w:val="32"/>
        </w:rPr>
        <w:t>:</w:t>
      </w:r>
      <w:r>
        <w:rPr>
          <w:rStyle w:val="26"/>
          <w:rFonts w:ascii="仿宋" w:eastAsia="仿宋"/>
          <w:b w:val="0"/>
          <w:bCs/>
          <w:sz w:val="32"/>
          <w:szCs w:val="32"/>
        </w:rPr>
        <w:t xml:space="preserve"> </w:t>
      </w:r>
      <w:r>
        <w:rPr>
          <w:rStyle w:val="26"/>
          <w:rFonts w:ascii="仿宋" w:eastAsia="仿宋" w:hint="eastAsia"/>
          <w:b w:val="0"/>
          <w:bCs/>
          <w:sz w:val="32"/>
          <w:szCs w:val="32"/>
        </w:rPr>
        <w:t>支出决算为</w:t>
      </w:r>
      <w:r>
        <w:rPr>
          <w:rStyle w:val="26"/>
          <w:rFonts w:ascii="仿宋" w:eastAsia="仿宋" w:hint="eastAsia"/>
          <w:b w:val="0"/>
          <w:bCs/>
          <w:sz w:val="32"/>
          <w:szCs w:val="32"/>
          <w:lang w:val="en-US" w:eastAsia="zh-CN"/>
        </w:rPr>
        <w:t>1223.74</w:t>
      </w:r>
      <w:r>
        <w:rPr>
          <w:rStyle w:val="26"/>
          <w:rFonts w:ascii="仿宋" w:eastAsia="仿宋" w:hint="eastAsia"/>
          <w:b w:val="0"/>
          <w:bCs/>
          <w:sz w:val="32"/>
          <w:szCs w:val="32"/>
        </w:rPr>
        <w:t>万元，完成预算</w:t>
      </w:r>
      <w:r>
        <w:rPr>
          <w:rStyle w:val="26"/>
          <w:rFonts w:ascii="仿宋" w:eastAsia="仿宋" w:hint="eastAsia"/>
          <w:b w:val="0"/>
          <w:bCs/>
          <w:sz w:val="32"/>
          <w:szCs w:val="32"/>
          <w:lang w:val="en-US" w:eastAsia="zh-CN"/>
        </w:rPr>
        <w:t>96.96</w:t>
      </w:r>
      <w:r>
        <w:rPr>
          <w:rStyle w:val="26"/>
          <w:rFonts w:ascii="仿宋" w:eastAsia="仿宋"/>
          <w:b w:val="0"/>
          <w:bCs/>
          <w:sz w:val="32"/>
          <w:szCs w:val="32"/>
        </w:rPr>
        <w:t>%</w:t>
      </w:r>
      <w:r>
        <w:rPr>
          <w:rStyle w:val="26"/>
          <w:rFonts w:ascii="仿宋" w:eastAsia="仿宋" w:hint="eastAsia"/>
          <w:b w:val="0"/>
          <w:bCs/>
          <w:sz w:val="32"/>
          <w:szCs w:val="32"/>
        </w:rPr>
        <w:t>，决算数等于预算数。</w:t>
      </w:r>
    </w:p>
    <w:p>
      <w:pPr>
        <w:spacing w:line="600" w:lineRule="exact"/>
        <w:ind w:left="0" w:firstLineChars="200" w:firstLine="640"/>
        <w:rPr>
          <w:rStyle w:val="26"/>
          <w:rFonts w:ascii="仿宋" w:eastAsia="仿宋" w:hint="eastAsia"/>
          <w:b w:val="0"/>
          <w:bCs/>
          <w:sz w:val="32"/>
          <w:szCs w:val="32"/>
        </w:rPr>
      </w:pPr>
      <w:r>
        <w:rPr>
          <w:rStyle w:val="26"/>
          <w:rFonts w:ascii="仿宋" w:eastAsia="仿宋" w:hint="eastAsia"/>
          <w:bCs/>
          <w:sz w:val="32"/>
          <w:szCs w:val="32"/>
          <w:lang w:val="en-US" w:eastAsia="zh-CN"/>
        </w:rPr>
        <w:t>机关事业单位基本养老保险缴费支出2080505</w:t>
      </w:r>
      <w:r>
        <w:rPr>
          <w:rStyle w:val="26"/>
          <w:rFonts w:ascii="仿宋" w:eastAsia="仿宋"/>
          <w:bCs/>
          <w:sz w:val="32"/>
          <w:szCs w:val="32"/>
        </w:rPr>
        <w:t>:</w:t>
      </w:r>
      <w:r>
        <w:rPr>
          <w:rStyle w:val="26"/>
          <w:rFonts w:ascii="仿宋" w:eastAsia="仿宋"/>
          <w:b w:val="0"/>
          <w:bCs/>
          <w:sz w:val="32"/>
          <w:szCs w:val="32"/>
        </w:rPr>
        <w:t xml:space="preserve"> </w:t>
      </w:r>
      <w:r>
        <w:rPr>
          <w:rStyle w:val="26"/>
          <w:rFonts w:ascii="仿宋" w:eastAsia="仿宋" w:hint="eastAsia"/>
          <w:b w:val="0"/>
          <w:bCs/>
          <w:sz w:val="32"/>
          <w:szCs w:val="32"/>
        </w:rPr>
        <w:t>支出决算为</w:t>
      </w:r>
      <w:r>
        <w:rPr>
          <w:rStyle w:val="26"/>
          <w:rFonts w:ascii="仿宋" w:eastAsia="仿宋" w:hint="eastAsia"/>
          <w:b w:val="0"/>
          <w:bCs/>
          <w:sz w:val="32"/>
          <w:szCs w:val="32"/>
          <w:lang w:val="en-US" w:eastAsia="zh-CN"/>
        </w:rPr>
        <w:t>22.28</w:t>
      </w:r>
      <w:r>
        <w:rPr>
          <w:rStyle w:val="26"/>
          <w:rFonts w:ascii="仿宋" w:eastAsia="仿宋" w:hint="eastAsia"/>
          <w:b w:val="0"/>
          <w:bCs/>
          <w:sz w:val="32"/>
          <w:szCs w:val="32"/>
        </w:rPr>
        <w:t>万元，完成预算</w:t>
      </w:r>
      <w:r>
        <w:rPr>
          <w:rStyle w:val="26"/>
          <w:rFonts w:ascii="仿宋" w:eastAsia="仿宋" w:hint="eastAsia"/>
          <w:b w:val="0"/>
          <w:bCs/>
          <w:sz w:val="32"/>
          <w:szCs w:val="32"/>
          <w:lang w:val="en-US" w:eastAsia="zh-CN"/>
        </w:rPr>
        <w:t>1.99</w:t>
      </w:r>
      <w:r>
        <w:rPr>
          <w:rStyle w:val="26"/>
          <w:rFonts w:ascii="仿宋" w:eastAsia="仿宋"/>
          <w:b w:val="0"/>
          <w:bCs/>
          <w:sz w:val="32"/>
          <w:szCs w:val="32"/>
        </w:rPr>
        <w:t>%</w:t>
      </w:r>
      <w:r>
        <w:rPr>
          <w:rStyle w:val="26"/>
          <w:rFonts w:ascii="仿宋" w:eastAsia="仿宋" w:hint="eastAsia"/>
          <w:b w:val="0"/>
          <w:bCs/>
          <w:sz w:val="32"/>
          <w:szCs w:val="32"/>
        </w:rPr>
        <w:t>，决算数等于预算数。</w:t>
      </w:r>
    </w:p>
    <w:p>
      <w:pPr>
        <w:spacing w:line="600" w:lineRule="exact"/>
        <w:ind w:left="0" w:firstLineChars="200" w:firstLine="640"/>
        <w:rPr>
          <w:rStyle w:val="26"/>
          <w:rFonts w:ascii="仿宋" w:eastAsia="仿宋" w:hint="eastAsia"/>
          <w:b w:val="0"/>
          <w:bCs/>
          <w:sz w:val="32"/>
          <w:szCs w:val="32"/>
        </w:rPr>
      </w:pPr>
      <w:r>
        <w:rPr>
          <w:rStyle w:val="26"/>
          <w:rFonts w:ascii="仿宋" w:eastAsia="仿宋" w:hint="eastAsia"/>
          <w:bCs/>
          <w:sz w:val="32"/>
          <w:szCs w:val="32"/>
          <w:lang w:val="en-US" w:eastAsia="zh-CN"/>
        </w:rPr>
        <w:t>机关事业单位职业年金缴费支出2050506</w:t>
      </w:r>
      <w:r>
        <w:rPr>
          <w:rStyle w:val="26"/>
          <w:rFonts w:ascii="仿宋" w:eastAsia="仿宋"/>
          <w:bCs/>
          <w:sz w:val="32"/>
          <w:szCs w:val="32"/>
        </w:rPr>
        <w:t>:</w:t>
      </w:r>
      <w:r>
        <w:rPr>
          <w:rStyle w:val="26"/>
          <w:rFonts w:ascii="仿宋" w:eastAsia="仿宋"/>
          <w:b w:val="0"/>
          <w:bCs/>
          <w:sz w:val="32"/>
          <w:szCs w:val="32"/>
        </w:rPr>
        <w:t xml:space="preserve"> </w:t>
      </w:r>
      <w:r>
        <w:rPr>
          <w:rStyle w:val="26"/>
          <w:rFonts w:ascii="仿宋" w:eastAsia="仿宋" w:hint="eastAsia"/>
          <w:b w:val="0"/>
          <w:bCs/>
          <w:sz w:val="32"/>
          <w:szCs w:val="32"/>
        </w:rPr>
        <w:t>支出决算为</w:t>
      </w:r>
      <w:r>
        <w:rPr>
          <w:rStyle w:val="26"/>
          <w:rFonts w:ascii="仿宋" w:eastAsia="仿宋" w:hint="eastAsia"/>
          <w:b w:val="0"/>
          <w:bCs/>
          <w:sz w:val="32"/>
          <w:szCs w:val="32"/>
          <w:lang w:val="en-US" w:eastAsia="zh-CN"/>
        </w:rPr>
        <w:t>11.05</w:t>
      </w:r>
      <w:r>
        <w:rPr>
          <w:rStyle w:val="26"/>
          <w:rFonts w:ascii="仿宋" w:eastAsia="仿宋" w:hint="eastAsia"/>
          <w:b w:val="0"/>
          <w:bCs/>
          <w:sz w:val="32"/>
          <w:szCs w:val="32"/>
        </w:rPr>
        <w:t>万元，完成预算</w:t>
      </w:r>
      <w:r>
        <w:rPr>
          <w:rStyle w:val="26"/>
          <w:rFonts w:ascii="仿宋" w:eastAsia="仿宋" w:hint="eastAsia"/>
          <w:b w:val="0"/>
          <w:bCs/>
          <w:sz w:val="32"/>
          <w:szCs w:val="32"/>
          <w:lang w:val="en-US" w:eastAsia="zh-CN"/>
        </w:rPr>
        <w:t>1.99</w:t>
      </w:r>
      <w:r>
        <w:rPr>
          <w:rStyle w:val="26"/>
          <w:rFonts w:ascii="仿宋" w:eastAsia="仿宋"/>
          <w:b w:val="0"/>
          <w:bCs/>
          <w:sz w:val="32"/>
          <w:szCs w:val="32"/>
        </w:rPr>
        <w:t>%</w:t>
      </w:r>
      <w:r>
        <w:rPr>
          <w:rStyle w:val="26"/>
          <w:rFonts w:ascii="仿宋" w:eastAsia="仿宋" w:hint="eastAsia"/>
          <w:b w:val="0"/>
          <w:bCs/>
          <w:sz w:val="32"/>
          <w:szCs w:val="32"/>
        </w:rPr>
        <w:t>，决算数等于预算数。</w:t>
      </w:r>
    </w:p>
    <w:p>
      <w:pPr>
        <w:spacing w:line="600" w:lineRule="exact"/>
        <w:ind w:left="0" w:firstLineChars="200" w:firstLine="640"/>
        <w:rPr>
          <w:rStyle w:val="26"/>
          <w:rFonts w:ascii="仿宋" w:eastAsia="仿宋" w:hint="eastAsia"/>
          <w:b w:val="0"/>
          <w:bCs/>
          <w:sz w:val="32"/>
          <w:szCs w:val="32"/>
        </w:rPr>
      </w:pPr>
      <w:r>
        <w:rPr>
          <w:rStyle w:val="26"/>
          <w:rFonts w:ascii="仿宋" w:eastAsia="仿宋" w:hint="eastAsia"/>
          <w:bCs/>
          <w:sz w:val="32"/>
          <w:szCs w:val="32"/>
          <w:lang w:val="en-US" w:eastAsia="zh-CN"/>
        </w:rPr>
        <w:t>义务兵优待2080805</w:t>
      </w:r>
      <w:r>
        <w:rPr>
          <w:rStyle w:val="26"/>
          <w:rFonts w:ascii="仿宋" w:eastAsia="仿宋"/>
          <w:bCs/>
          <w:sz w:val="32"/>
          <w:szCs w:val="32"/>
        </w:rPr>
        <w:t>:</w:t>
      </w:r>
      <w:r>
        <w:rPr>
          <w:rStyle w:val="26"/>
          <w:rFonts w:ascii="仿宋" w:eastAsia="仿宋"/>
          <w:b w:val="0"/>
          <w:bCs/>
          <w:sz w:val="32"/>
          <w:szCs w:val="32"/>
        </w:rPr>
        <w:t xml:space="preserve"> </w:t>
      </w:r>
      <w:r>
        <w:rPr>
          <w:rStyle w:val="26"/>
          <w:rFonts w:ascii="仿宋" w:eastAsia="仿宋" w:hint="eastAsia"/>
          <w:b w:val="0"/>
          <w:bCs/>
          <w:sz w:val="32"/>
          <w:szCs w:val="32"/>
        </w:rPr>
        <w:t>支出决算为</w:t>
      </w:r>
      <w:r>
        <w:rPr>
          <w:rStyle w:val="26"/>
          <w:rFonts w:ascii="仿宋" w:eastAsia="仿宋" w:hint="eastAsia"/>
          <w:b w:val="0"/>
          <w:bCs/>
          <w:sz w:val="32"/>
          <w:szCs w:val="32"/>
          <w:lang w:val="en-US" w:eastAsia="zh-CN"/>
        </w:rPr>
        <w:t>42.55</w:t>
      </w:r>
      <w:r>
        <w:rPr>
          <w:rStyle w:val="26"/>
          <w:rFonts w:ascii="仿宋" w:eastAsia="仿宋" w:hint="eastAsia"/>
          <w:b w:val="0"/>
          <w:bCs/>
          <w:sz w:val="32"/>
          <w:szCs w:val="32"/>
        </w:rPr>
        <w:t>万元，完成预算</w:t>
      </w:r>
      <w:r>
        <w:rPr>
          <w:rStyle w:val="26"/>
          <w:rFonts w:ascii="仿宋" w:eastAsia="仿宋" w:hint="eastAsia"/>
          <w:b w:val="0"/>
          <w:bCs/>
          <w:sz w:val="32"/>
          <w:szCs w:val="32"/>
          <w:lang w:val="en-US" w:eastAsia="zh-CN"/>
        </w:rPr>
        <w:t>3.81</w:t>
      </w:r>
      <w:r>
        <w:rPr>
          <w:rStyle w:val="26"/>
          <w:rFonts w:ascii="仿宋" w:eastAsia="仿宋"/>
          <w:b w:val="0"/>
          <w:bCs/>
          <w:sz w:val="32"/>
          <w:szCs w:val="32"/>
        </w:rPr>
        <w:t>%</w:t>
      </w:r>
      <w:r>
        <w:rPr>
          <w:rStyle w:val="26"/>
          <w:rFonts w:ascii="仿宋" w:eastAsia="仿宋" w:hint="eastAsia"/>
          <w:b w:val="0"/>
          <w:bCs/>
          <w:sz w:val="32"/>
          <w:szCs w:val="32"/>
        </w:rPr>
        <w:t>，决算数等于预算数。</w:t>
      </w:r>
    </w:p>
    <w:p>
      <w:pPr>
        <w:spacing w:line="600" w:lineRule="exact"/>
        <w:ind w:left="0" w:firstLineChars="200" w:firstLine="640"/>
        <w:rPr>
          <w:rStyle w:val="26"/>
          <w:rFonts w:ascii="仿宋" w:eastAsia="仿宋" w:hint="eastAsia"/>
          <w:b w:val="0"/>
          <w:bCs/>
          <w:sz w:val="32"/>
          <w:szCs w:val="32"/>
        </w:rPr>
      </w:pPr>
      <w:r>
        <w:rPr>
          <w:rStyle w:val="26"/>
          <w:rFonts w:ascii="仿宋" w:eastAsia="仿宋" w:hint="eastAsia"/>
          <w:bCs/>
          <w:sz w:val="32"/>
          <w:szCs w:val="32"/>
          <w:lang w:val="en-US" w:eastAsia="zh-CN"/>
        </w:rPr>
        <w:t>其他优抚支出2080899</w:t>
      </w:r>
      <w:r>
        <w:rPr>
          <w:rStyle w:val="26"/>
          <w:rFonts w:ascii="仿宋" w:eastAsia="仿宋"/>
          <w:bCs/>
          <w:sz w:val="32"/>
          <w:szCs w:val="32"/>
        </w:rPr>
        <w:t>:</w:t>
      </w:r>
      <w:r>
        <w:rPr>
          <w:rStyle w:val="26"/>
          <w:rFonts w:ascii="仿宋" w:eastAsia="仿宋"/>
          <w:b w:val="0"/>
          <w:bCs/>
          <w:sz w:val="32"/>
          <w:szCs w:val="32"/>
        </w:rPr>
        <w:t xml:space="preserve"> </w:t>
      </w:r>
      <w:r>
        <w:rPr>
          <w:rStyle w:val="26"/>
          <w:rFonts w:ascii="仿宋" w:eastAsia="仿宋" w:hint="eastAsia"/>
          <w:b w:val="0"/>
          <w:bCs/>
          <w:sz w:val="32"/>
          <w:szCs w:val="32"/>
        </w:rPr>
        <w:t>支出决算为</w:t>
      </w:r>
      <w:r>
        <w:rPr>
          <w:rStyle w:val="26"/>
          <w:rFonts w:ascii="仿宋" w:eastAsia="仿宋" w:hint="eastAsia"/>
          <w:b w:val="0"/>
          <w:bCs/>
          <w:sz w:val="32"/>
          <w:szCs w:val="32"/>
          <w:lang w:val="en-US" w:eastAsia="zh-CN"/>
        </w:rPr>
        <w:t>90.98</w:t>
      </w:r>
      <w:r>
        <w:rPr>
          <w:rStyle w:val="26"/>
          <w:rFonts w:ascii="仿宋" w:eastAsia="仿宋" w:hint="eastAsia"/>
          <w:b w:val="0"/>
          <w:bCs/>
          <w:sz w:val="32"/>
          <w:szCs w:val="32"/>
        </w:rPr>
        <w:t>万元，完成预算</w:t>
      </w:r>
      <w:r>
        <w:rPr>
          <w:rStyle w:val="26"/>
          <w:rFonts w:ascii="仿宋" w:eastAsia="仿宋" w:hint="eastAsia"/>
          <w:b w:val="0"/>
          <w:bCs/>
          <w:sz w:val="32"/>
          <w:szCs w:val="32"/>
          <w:lang w:val="en-US" w:eastAsia="zh-CN"/>
        </w:rPr>
        <w:t>8.14</w:t>
      </w:r>
      <w:r>
        <w:rPr>
          <w:rStyle w:val="26"/>
          <w:rFonts w:ascii="仿宋" w:eastAsia="仿宋"/>
          <w:b w:val="0"/>
          <w:bCs/>
          <w:sz w:val="32"/>
          <w:szCs w:val="32"/>
        </w:rPr>
        <w:t>%</w:t>
      </w:r>
      <w:r>
        <w:rPr>
          <w:rStyle w:val="26"/>
          <w:rFonts w:ascii="仿宋" w:eastAsia="仿宋" w:hint="eastAsia"/>
          <w:b w:val="0"/>
          <w:bCs/>
          <w:sz w:val="32"/>
          <w:szCs w:val="32"/>
        </w:rPr>
        <w:t>，决算数等于预算数。</w:t>
      </w:r>
    </w:p>
    <w:p>
      <w:pPr>
        <w:spacing w:line="600" w:lineRule="exact"/>
        <w:ind w:left="0" w:firstLineChars="200" w:firstLine="640"/>
        <w:rPr>
          <w:rStyle w:val="26"/>
          <w:rFonts w:ascii="仿宋" w:eastAsia="仿宋" w:hint="eastAsia"/>
          <w:b w:val="0"/>
          <w:bCs/>
          <w:sz w:val="32"/>
          <w:szCs w:val="32"/>
        </w:rPr>
      </w:pPr>
      <w:r>
        <w:rPr>
          <w:rStyle w:val="26"/>
          <w:rFonts w:ascii="仿宋" w:eastAsia="仿宋" w:hint="eastAsia"/>
          <w:bCs/>
          <w:sz w:val="32"/>
          <w:szCs w:val="32"/>
          <w:lang w:val="en-US" w:eastAsia="zh-CN"/>
        </w:rPr>
        <w:t>退</w:t>
      </w:r>
      <w:r>
        <w:rPr>
          <w:rStyle w:val="26"/>
          <w:rFonts w:ascii="仿宋" w:eastAsia="仿宋" w:hint="eastAsia"/>
          <w:bCs/>
          <w:sz w:val="32"/>
          <w:szCs w:val="32"/>
          <w:lang w:val="en-US" w:eastAsia="zh-CN"/>
          <w:highlight w:val="auto"/>
        </w:rPr>
        <w:t>役安置20809</w:t>
      </w:r>
      <w:r>
        <w:rPr>
          <w:rStyle w:val="26"/>
          <w:rFonts w:ascii="仿宋" w:eastAsia="仿宋"/>
          <w:bCs/>
          <w:sz w:val="32"/>
          <w:szCs w:val="32"/>
          <w:highlight w:val="auto"/>
        </w:rPr>
        <w:t>:</w:t>
      </w:r>
      <w:r>
        <w:rPr>
          <w:rStyle w:val="26"/>
          <w:rFonts w:ascii="仿宋" w:eastAsia="仿宋"/>
          <w:b w:val="0"/>
          <w:bCs/>
          <w:sz w:val="32"/>
          <w:szCs w:val="32"/>
          <w:highlight w:val="auto"/>
        </w:rPr>
        <w:t xml:space="preserve"> </w:t>
      </w:r>
      <w:r>
        <w:rPr>
          <w:rStyle w:val="26"/>
          <w:rFonts w:ascii="仿宋" w:eastAsia="仿宋" w:hint="eastAsia"/>
          <w:b w:val="0"/>
          <w:bCs/>
          <w:sz w:val="32"/>
          <w:szCs w:val="32"/>
          <w:highlight w:val="auto"/>
        </w:rPr>
        <w:t>支出决算为</w:t>
      </w:r>
      <w:r>
        <w:rPr>
          <w:rStyle w:val="26"/>
          <w:rFonts w:ascii="仿宋" w:eastAsia="仿宋" w:hint="eastAsia"/>
          <w:b w:val="0"/>
          <w:bCs/>
          <w:sz w:val="32"/>
          <w:szCs w:val="32"/>
          <w:lang w:val="en-US" w:eastAsia="zh-CN"/>
          <w:highlight w:val="auto"/>
        </w:rPr>
        <w:t>713.24</w:t>
      </w:r>
      <w:r>
        <w:rPr>
          <w:rStyle w:val="26"/>
          <w:rFonts w:ascii="仿宋" w:eastAsia="仿宋" w:hint="eastAsia"/>
          <w:b w:val="0"/>
          <w:bCs/>
          <w:sz w:val="32"/>
          <w:szCs w:val="32"/>
        </w:rPr>
        <w:t>万元，完成预算</w:t>
      </w:r>
      <w:r>
        <w:rPr>
          <w:rStyle w:val="26"/>
          <w:rFonts w:ascii="仿宋" w:eastAsia="仿宋" w:hint="eastAsia"/>
          <w:b w:val="0"/>
          <w:bCs/>
          <w:sz w:val="32"/>
          <w:szCs w:val="32"/>
          <w:lang w:val="en-US" w:eastAsia="zh-CN"/>
        </w:rPr>
        <w:t>63.82</w:t>
      </w:r>
      <w:r>
        <w:rPr>
          <w:rStyle w:val="26"/>
          <w:rFonts w:ascii="仿宋" w:eastAsia="仿宋"/>
          <w:b w:val="0"/>
          <w:bCs/>
          <w:sz w:val="32"/>
          <w:szCs w:val="32"/>
        </w:rPr>
        <w:t>%</w:t>
      </w:r>
      <w:r>
        <w:rPr>
          <w:rStyle w:val="26"/>
          <w:rFonts w:ascii="仿宋" w:eastAsia="仿宋" w:hint="eastAsia"/>
          <w:b w:val="0"/>
          <w:bCs/>
          <w:sz w:val="32"/>
          <w:szCs w:val="32"/>
        </w:rPr>
        <w:t>，决算数等于预算数。</w:t>
      </w:r>
    </w:p>
    <w:p>
      <w:pPr>
        <w:spacing w:line="600" w:lineRule="exact"/>
        <w:ind w:left="0" w:firstLineChars="200" w:firstLine="640"/>
        <w:rPr>
          <w:rStyle w:val="26"/>
          <w:rFonts w:ascii="仿宋" w:eastAsia="仿宋" w:hint="eastAsia"/>
          <w:b w:val="0"/>
          <w:bCs/>
          <w:sz w:val="32"/>
          <w:szCs w:val="32"/>
        </w:rPr>
      </w:pPr>
      <w:r>
        <w:rPr>
          <w:rStyle w:val="26"/>
          <w:rFonts w:ascii="仿宋" w:eastAsia="仿宋" w:hint="eastAsia"/>
          <w:bCs/>
          <w:sz w:val="32"/>
          <w:szCs w:val="32"/>
          <w:lang w:val="en-US" w:eastAsia="zh-CN"/>
        </w:rPr>
        <w:t>军队移交政府的离退休人员安置2080902</w:t>
      </w:r>
      <w:r>
        <w:rPr>
          <w:rStyle w:val="26"/>
          <w:rFonts w:ascii="仿宋" w:eastAsia="仿宋"/>
          <w:bCs/>
          <w:sz w:val="32"/>
          <w:szCs w:val="32"/>
        </w:rPr>
        <w:t>:</w:t>
      </w:r>
      <w:r>
        <w:rPr>
          <w:rStyle w:val="26"/>
          <w:rFonts w:ascii="仿宋" w:eastAsia="仿宋"/>
          <w:b w:val="0"/>
          <w:bCs/>
          <w:sz w:val="32"/>
          <w:szCs w:val="32"/>
        </w:rPr>
        <w:t xml:space="preserve"> </w:t>
      </w:r>
      <w:r>
        <w:rPr>
          <w:rStyle w:val="26"/>
          <w:rFonts w:ascii="仿宋" w:eastAsia="仿宋" w:hint="eastAsia"/>
          <w:b w:val="0"/>
          <w:bCs/>
          <w:sz w:val="32"/>
          <w:szCs w:val="32"/>
        </w:rPr>
        <w:t>支出决算为</w:t>
      </w:r>
      <w:r>
        <w:rPr>
          <w:rStyle w:val="26"/>
          <w:rFonts w:ascii="仿宋" w:eastAsia="仿宋" w:hint="eastAsia"/>
          <w:b w:val="0"/>
          <w:bCs/>
          <w:sz w:val="32"/>
          <w:szCs w:val="32"/>
          <w:lang w:val="en-US" w:eastAsia="zh-CN"/>
        </w:rPr>
        <w:t>369.93</w:t>
      </w:r>
      <w:r>
        <w:rPr>
          <w:rStyle w:val="26"/>
          <w:rFonts w:ascii="仿宋" w:eastAsia="仿宋" w:hint="eastAsia"/>
          <w:b w:val="0"/>
          <w:bCs/>
          <w:sz w:val="32"/>
          <w:szCs w:val="32"/>
        </w:rPr>
        <w:t>万元，完成预算</w:t>
      </w:r>
      <w:r>
        <w:rPr>
          <w:rStyle w:val="26"/>
          <w:rFonts w:ascii="仿宋" w:eastAsia="仿宋" w:hint="eastAsia"/>
          <w:b w:val="0"/>
          <w:bCs/>
          <w:sz w:val="32"/>
          <w:szCs w:val="32"/>
          <w:lang w:val="en-US" w:eastAsia="zh-CN"/>
        </w:rPr>
        <w:t>51.87</w:t>
      </w:r>
      <w:r>
        <w:rPr>
          <w:rStyle w:val="26"/>
          <w:rFonts w:ascii="仿宋" w:eastAsia="仿宋"/>
          <w:b w:val="0"/>
          <w:bCs/>
          <w:sz w:val="32"/>
          <w:szCs w:val="32"/>
        </w:rPr>
        <w:t>%</w:t>
      </w:r>
      <w:r>
        <w:rPr>
          <w:rStyle w:val="26"/>
          <w:rFonts w:ascii="仿宋" w:eastAsia="仿宋" w:hint="eastAsia"/>
          <w:b w:val="0"/>
          <w:bCs/>
          <w:sz w:val="32"/>
          <w:szCs w:val="32"/>
        </w:rPr>
        <w:t>，决算数等于预算数。</w:t>
      </w:r>
    </w:p>
    <w:p>
      <w:pPr>
        <w:spacing w:line="600" w:lineRule="exact"/>
        <w:ind w:left="0" w:firstLineChars="200" w:firstLine="640"/>
        <w:rPr>
          <w:rStyle w:val="26"/>
          <w:rFonts w:ascii="仿宋" w:eastAsia="仿宋" w:hint="eastAsia"/>
          <w:b w:val="0"/>
          <w:bCs/>
          <w:sz w:val="32"/>
          <w:szCs w:val="32"/>
        </w:rPr>
      </w:pPr>
      <w:r>
        <w:rPr>
          <w:rStyle w:val="26"/>
          <w:rFonts w:ascii="仿宋" w:eastAsia="仿宋" w:hint="eastAsia"/>
          <w:bCs/>
          <w:sz w:val="32"/>
          <w:szCs w:val="32"/>
          <w:lang w:val="en-US" w:eastAsia="zh-CN"/>
        </w:rPr>
        <w:t>军队移交政府离退休干部管理机构2080903</w:t>
      </w:r>
      <w:r>
        <w:rPr>
          <w:rStyle w:val="26"/>
          <w:rFonts w:ascii="仿宋" w:eastAsia="仿宋"/>
          <w:bCs/>
          <w:sz w:val="32"/>
          <w:szCs w:val="32"/>
        </w:rPr>
        <w:t>:</w:t>
      </w:r>
      <w:r>
        <w:rPr>
          <w:rStyle w:val="26"/>
          <w:rFonts w:ascii="仿宋" w:eastAsia="仿宋"/>
          <w:b w:val="0"/>
          <w:bCs/>
          <w:sz w:val="32"/>
          <w:szCs w:val="32"/>
        </w:rPr>
        <w:t xml:space="preserve"> </w:t>
      </w:r>
      <w:r>
        <w:rPr>
          <w:rStyle w:val="26"/>
          <w:rFonts w:ascii="仿宋" w:eastAsia="仿宋" w:hint="eastAsia"/>
          <w:b w:val="0"/>
          <w:bCs/>
          <w:sz w:val="32"/>
          <w:szCs w:val="32"/>
        </w:rPr>
        <w:t>支出决算为</w:t>
      </w:r>
      <w:r>
        <w:rPr>
          <w:rStyle w:val="26"/>
          <w:rFonts w:ascii="仿宋" w:eastAsia="仿宋" w:hint="eastAsia"/>
          <w:b w:val="0"/>
          <w:bCs/>
          <w:sz w:val="32"/>
          <w:szCs w:val="32"/>
          <w:lang w:val="en-US" w:eastAsia="zh-CN"/>
        </w:rPr>
        <w:t>9.03</w:t>
      </w:r>
      <w:r>
        <w:rPr>
          <w:rStyle w:val="26"/>
          <w:rFonts w:ascii="仿宋" w:eastAsia="仿宋" w:hint="eastAsia"/>
          <w:b w:val="0"/>
          <w:bCs/>
          <w:sz w:val="32"/>
          <w:szCs w:val="32"/>
        </w:rPr>
        <w:t>万元，完成预算</w:t>
      </w:r>
      <w:r>
        <w:rPr>
          <w:rStyle w:val="26"/>
          <w:rFonts w:ascii="仿宋" w:eastAsia="仿宋" w:hint="eastAsia"/>
          <w:b w:val="0"/>
          <w:bCs/>
          <w:sz w:val="32"/>
          <w:szCs w:val="32"/>
          <w:lang w:val="en-US" w:eastAsia="zh-CN"/>
        </w:rPr>
        <w:t>1.27</w:t>
      </w:r>
      <w:r>
        <w:rPr>
          <w:rStyle w:val="26"/>
          <w:rFonts w:ascii="仿宋" w:eastAsia="仿宋"/>
          <w:b w:val="0"/>
          <w:bCs/>
          <w:sz w:val="32"/>
          <w:szCs w:val="32"/>
        </w:rPr>
        <w:t>%</w:t>
      </w:r>
      <w:r>
        <w:rPr>
          <w:rStyle w:val="26"/>
          <w:rFonts w:ascii="仿宋" w:eastAsia="仿宋" w:hint="eastAsia"/>
          <w:b w:val="0"/>
          <w:bCs/>
          <w:sz w:val="32"/>
          <w:szCs w:val="32"/>
        </w:rPr>
        <w:t>，决算数等于预算数。</w:t>
      </w:r>
    </w:p>
    <w:p>
      <w:pPr>
        <w:spacing w:line="600" w:lineRule="exact"/>
        <w:ind w:left="0" w:firstLineChars="200" w:firstLine="640"/>
        <w:rPr>
          <w:rStyle w:val="26"/>
          <w:rFonts w:ascii="仿宋" w:eastAsia="仿宋" w:hint="eastAsia"/>
          <w:b w:val="0"/>
          <w:bCs/>
          <w:sz w:val="32"/>
          <w:szCs w:val="32"/>
        </w:rPr>
      </w:pPr>
      <w:r>
        <w:rPr>
          <w:rStyle w:val="26"/>
          <w:rFonts w:ascii="仿宋" w:eastAsia="仿宋" w:hint="eastAsia"/>
          <w:bCs/>
          <w:sz w:val="32"/>
          <w:szCs w:val="32"/>
          <w:lang w:val="en-US" w:eastAsia="zh-CN"/>
        </w:rPr>
        <w:t>其他退役安置支出2080999</w:t>
      </w:r>
      <w:r>
        <w:rPr>
          <w:rStyle w:val="26"/>
          <w:rFonts w:ascii="仿宋" w:eastAsia="仿宋"/>
          <w:bCs/>
          <w:sz w:val="32"/>
          <w:szCs w:val="32"/>
        </w:rPr>
        <w:t>:</w:t>
      </w:r>
      <w:r>
        <w:rPr>
          <w:rStyle w:val="26"/>
          <w:rFonts w:ascii="仿宋" w:eastAsia="仿宋"/>
          <w:b w:val="0"/>
          <w:bCs/>
          <w:sz w:val="32"/>
          <w:szCs w:val="32"/>
        </w:rPr>
        <w:t xml:space="preserve"> </w:t>
      </w:r>
      <w:r>
        <w:rPr>
          <w:rStyle w:val="26"/>
          <w:rFonts w:ascii="仿宋" w:eastAsia="仿宋" w:hint="eastAsia"/>
          <w:b w:val="0"/>
          <w:bCs/>
          <w:sz w:val="32"/>
          <w:szCs w:val="32"/>
        </w:rPr>
        <w:t>支出决算为</w:t>
      </w:r>
      <w:r>
        <w:rPr>
          <w:rStyle w:val="26"/>
          <w:rFonts w:ascii="仿宋" w:eastAsia="仿宋" w:hint="eastAsia"/>
          <w:b w:val="0"/>
          <w:bCs/>
          <w:sz w:val="32"/>
          <w:szCs w:val="32"/>
          <w:lang w:val="en-US" w:eastAsia="zh-CN"/>
        </w:rPr>
        <w:t>334.27</w:t>
      </w:r>
      <w:r>
        <w:rPr>
          <w:rStyle w:val="26"/>
          <w:rFonts w:ascii="仿宋" w:eastAsia="仿宋" w:hint="eastAsia"/>
          <w:b w:val="0"/>
          <w:bCs/>
          <w:sz w:val="32"/>
          <w:szCs w:val="32"/>
        </w:rPr>
        <w:t>万元，完成预算</w:t>
      </w:r>
      <w:r>
        <w:rPr>
          <w:rStyle w:val="26"/>
          <w:rFonts w:ascii="仿宋" w:eastAsia="仿宋" w:hint="eastAsia"/>
          <w:b w:val="0"/>
          <w:bCs/>
          <w:sz w:val="32"/>
          <w:szCs w:val="32"/>
          <w:lang w:val="en-US" w:eastAsia="zh-CN"/>
        </w:rPr>
        <w:t>46.87</w:t>
      </w:r>
      <w:r>
        <w:rPr>
          <w:rStyle w:val="26"/>
          <w:rFonts w:ascii="仿宋" w:eastAsia="仿宋"/>
          <w:b w:val="0"/>
          <w:bCs/>
          <w:sz w:val="32"/>
          <w:szCs w:val="32"/>
        </w:rPr>
        <w:t>%</w:t>
      </w:r>
      <w:r>
        <w:rPr>
          <w:rStyle w:val="26"/>
          <w:rFonts w:ascii="仿宋" w:eastAsia="仿宋" w:hint="eastAsia"/>
          <w:b w:val="0"/>
          <w:bCs/>
          <w:sz w:val="32"/>
          <w:szCs w:val="32"/>
        </w:rPr>
        <w:t>，决算数等于预算数。</w:t>
      </w:r>
    </w:p>
    <w:p>
      <w:pPr>
        <w:spacing w:line="600" w:lineRule="exact"/>
        <w:ind w:left="0" w:firstLineChars="200" w:firstLine="640"/>
        <w:rPr>
          <w:rStyle w:val="26"/>
          <w:rFonts w:ascii="仿宋" w:eastAsia="仿宋" w:hint="eastAsia"/>
          <w:b w:val="0"/>
          <w:bCs/>
          <w:sz w:val="32"/>
          <w:szCs w:val="32"/>
        </w:rPr>
      </w:pPr>
      <w:r>
        <w:rPr>
          <w:rStyle w:val="26"/>
          <w:rFonts w:ascii="仿宋" w:eastAsia="仿宋" w:hint="eastAsia"/>
          <w:bCs/>
          <w:sz w:val="32"/>
          <w:szCs w:val="32"/>
          <w:lang w:val="en-US" w:eastAsia="zh-CN"/>
        </w:rPr>
        <w:t>行政运行2082801</w:t>
      </w:r>
      <w:r>
        <w:rPr>
          <w:rStyle w:val="26"/>
          <w:rFonts w:ascii="仿宋" w:eastAsia="仿宋"/>
          <w:bCs/>
          <w:sz w:val="32"/>
          <w:szCs w:val="32"/>
        </w:rPr>
        <w:t>:</w:t>
      </w:r>
      <w:r>
        <w:rPr>
          <w:rStyle w:val="26"/>
          <w:rFonts w:ascii="仿宋" w:eastAsia="仿宋"/>
          <w:b w:val="0"/>
          <w:bCs/>
          <w:sz w:val="32"/>
          <w:szCs w:val="32"/>
        </w:rPr>
        <w:t xml:space="preserve"> </w:t>
      </w:r>
      <w:r>
        <w:rPr>
          <w:rStyle w:val="26"/>
          <w:rFonts w:ascii="仿宋" w:eastAsia="仿宋" w:hint="eastAsia"/>
          <w:b w:val="0"/>
          <w:bCs/>
          <w:sz w:val="32"/>
          <w:szCs w:val="32"/>
        </w:rPr>
        <w:t>支出决算为</w:t>
      </w:r>
      <w:r>
        <w:rPr>
          <w:rStyle w:val="26"/>
          <w:rFonts w:ascii="仿宋" w:eastAsia="仿宋" w:hint="eastAsia"/>
          <w:b w:val="0"/>
          <w:bCs/>
          <w:sz w:val="32"/>
          <w:szCs w:val="32"/>
          <w:lang w:val="en-US" w:eastAsia="zh-CN"/>
        </w:rPr>
        <w:t>92.61</w:t>
      </w:r>
      <w:r>
        <w:rPr>
          <w:rStyle w:val="26"/>
          <w:rFonts w:ascii="仿宋" w:eastAsia="仿宋" w:hint="eastAsia"/>
          <w:b w:val="0"/>
          <w:bCs/>
          <w:sz w:val="32"/>
          <w:szCs w:val="32"/>
        </w:rPr>
        <w:t>万元，完成预算</w:t>
      </w:r>
      <w:r>
        <w:rPr>
          <w:rStyle w:val="26"/>
          <w:rFonts w:ascii="仿宋" w:eastAsia="仿宋" w:hint="eastAsia"/>
          <w:b w:val="0"/>
          <w:bCs/>
          <w:sz w:val="32"/>
          <w:szCs w:val="32"/>
          <w:lang w:val="en-US" w:eastAsia="zh-CN"/>
        </w:rPr>
        <w:t>40.01</w:t>
      </w:r>
      <w:r>
        <w:rPr>
          <w:rStyle w:val="26"/>
          <w:rFonts w:ascii="仿宋" w:eastAsia="仿宋"/>
          <w:b w:val="0"/>
          <w:bCs/>
          <w:sz w:val="32"/>
          <w:szCs w:val="32"/>
        </w:rPr>
        <w:t>%</w:t>
      </w:r>
      <w:r>
        <w:rPr>
          <w:rStyle w:val="26"/>
          <w:rFonts w:ascii="仿宋" w:eastAsia="仿宋" w:hint="eastAsia"/>
          <w:b w:val="0"/>
          <w:bCs/>
          <w:sz w:val="32"/>
          <w:szCs w:val="32"/>
        </w:rPr>
        <w:t>，决算数等于预算数。</w:t>
      </w:r>
    </w:p>
    <w:p>
      <w:pPr>
        <w:spacing w:line="600" w:lineRule="exact"/>
        <w:ind w:left="0" w:firstLineChars="200" w:firstLine="640"/>
        <w:rPr>
          <w:rStyle w:val="26"/>
          <w:rFonts w:ascii="仿宋" w:eastAsia="仿宋" w:hint="eastAsia"/>
          <w:b w:val="0"/>
          <w:bCs/>
          <w:sz w:val="32"/>
          <w:szCs w:val="32"/>
        </w:rPr>
      </w:pPr>
      <w:r>
        <w:rPr>
          <w:rStyle w:val="26"/>
          <w:rFonts w:ascii="仿宋" w:eastAsia="仿宋" w:hint="eastAsia"/>
          <w:bCs/>
          <w:sz w:val="32"/>
          <w:szCs w:val="32"/>
          <w:lang w:val="en-US" w:eastAsia="zh-CN"/>
        </w:rPr>
        <w:t>一般行政管理事务2082802</w:t>
      </w:r>
      <w:r>
        <w:rPr>
          <w:rStyle w:val="26"/>
          <w:rFonts w:ascii="仿宋" w:eastAsia="仿宋"/>
          <w:bCs/>
          <w:sz w:val="32"/>
          <w:szCs w:val="32"/>
        </w:rPr>
        <w:t>:</w:t>
      </w:r>
      <w:r>
        <w:rPr>
          <w:rStyle w:val="26"/>
          <w:rFonts w:ascii="仿宋" w:eastAsia="仿宋"/>
          <w:b w:val="0"/>
          <w:bCs/>
          <w:sz w:val="32"/>
          <w:szCs w:val="32"/>
        </w:rPr>
        <w:t xml:space="preserve"> </w:t>
      </w:r>
      <w:r>
        <w:rPr>
          <w:rStyle w:val="26"/>
          <w:rFonts w:ascii="仿宋" w:eastAsia="仿宋" w:hint="eastAsia"/>
          <w:b w:val="0"/>
          <w:bCs/>
          <w:sz w:val="32"/>
          <w:szCs w:val="32"/>
        </w:rPr>
        <w:t>支出决算为</w:t>
      </w:r>
      <w:r>
        <w:rPr>
          <w:rStyle w:val="26"/>
          <w:rFonts w:ascii="仿宋" w:eastAsia="仿宋" w:hint="eastAsia"/>
          <w:b w:val="0"/>
          <w:bCs/>
          <w:sz w:val="32"/>
          <w:szCs w:val="32"/>
          <w:lang w:val="en-US" w:eastAsia="zh-CN"/>
        </w:rPr>
        <w:t>32.25</w:t>
      </w:r>
      <w:r>
        <w:rPr>
          <w:rStyle w:val="26"/>
          <w:rFonts w:ascii="仿宋" w:eastAsia="仿宋" w:hint="eastAsia"/>
          <w:b w:val="0"/>
          <w:bCs/>
          <w:sz w:val="32"/>
          <w:szCs w:val="32"/>
        </w:rPr>
        <w:t>万元，完成预算</w:t>
      </w:r>
      <w:r>
        <w:rPr>
          <w:rStyle w:val="26"/>
          <w:rFonts w:ascii="仿宋" w:eastAsia="仿宋" w:hint="eastAsia"/>
          <w:b w:val="0"/>
          <w:bCs/>
          <w:sz w:val="32"/>
          <w:szCs w:val="32"/>
          <w:lang w:val="en-US" w:eastAsia="zh-CN"/>
        </w:rPr>
        <w:t>13.93</w:t>
      </w:r>
      <w:r>
        <w:rPr>
          <w:rStyle w:val="26"/>
          <w:rFonts w:ascii="仿宋" w:eastAsia="仿宋"/>
          <w:b w:val="0"/>
          <w:bCs/>
          <w:sz w:val="32"/>
          <w:szCs w:val="32"/>
        </w:rPr>
        <w:t>%</w:t>
      </w:r>
      <w:r>
        <w:rPr>
          <w:rStyle w:val="26"/>
          <w:rFonts w:ascii="仿宋" w:eastAsia="仿宋" w:hint="eastAsia"/>
          <w:b w:val="0"/>
          <w:bCs/>
          <w:sz w:val="32"/>
          <w:szCs w:val="32"/>
        </w:rPr>
        <w:t>，决算数等于预算数。</w:t>
      </w:r>
    </w:p>
    <w:p>
      <w:pPr>
        <w:spacing w:line="600" w:lineRule="exact"/>
        <w:ind w:left="0" w:firstLineChars="200" w:firstLine="640"/>
        <w:rPr>
          <w:rStyle w:val="26"/>
          <w:rFonts w:ascii="仿宋" w:eastAsia="仿宋" w:hint="eastAsia"/>
          <w:b w:val="0"/>
          <w:bCs/>
          <w:sz w:val="32"/>
          <w:szCs w:val="32"/>
        </w:rPr>
      </w:pPr>
      <w:r>
        <w:rPr>
          <w:rStyle w:val="26"/>
          <w:rFonts w:ascii="仿宋" w:eastAsia="仿宋" w:hint="eastAsia"/>
          <w:bCs/>
          <w:sz w:val="32"/>
          <w:szCs w:val="32"/>
          <w:lang w:val="en-US" w:eastAsia="zh-CN"/>
        </w:rPr>
        <w:t>拥军优属2082804</w:t>
      </w:r>
      <w:r>
        <w:rPr>
          <w:rStyle w:val="26"/>
          <w:rFonts w:ascii="仿宋" w:eastAsia="仿宋"/>
          <w:bCs/>
          <w:sz w:val="32"/>
          <w:szCs w:val="32"/>
        </w:rPr>
        <w:t>:</w:t>
      </w:r>
      <w:r>
        <w:rPr>
          <w:rStyle w:val="26"/>
          <w:rFonts w:ascii="仿宋" w:eastAsia="仿宋"/>
          <w:b w:val="0"/>
          <w:bCs/>
          <w:sz w:val="32"/>
          <w:szCs w:val="32"/>
        </w:rPr>
        <w:t xml:space="preserve"> </w:t>
      </w:r>
      <w:r>
        <w:rPr>
          <w:rStyle w:val="26"/>
          <w:rFonts w:ascii="仿宋" w:eastAsia="仿宋" w:hint="eastAsia"/>
          <w:b w:val="0"/>
          <w:bCs/>
          <w:sz w:val="32"/>
          <w:szCs w:val="32"/>
        </w:rPr>
        <w:t>支出决算为</w:t>
      </w:r>
      <w:r>
        <w:rPr>
          <w:rStyle w:val="26"/>
          <w:rFonts w:ascii="仿宋" w:eastAsia="仿宋" w:hint="eastAsia"/>
          <w:b w:val="0"/>
          <w:bCs/>
          <w:sz w:val="32"/>
          <w:szCs w:val="32"/>
          <w:lang w:val="en-US" w:eastAsia="zh-CN"/>
        </w:rPr>
        <w:t>16.35</w:t>
      </w:r>
      <w:r>
        <w:rPr>
          <w:rStyle w:val="26"/>
          <w:rFonts w:ascii="仿宋" w:eastAsia="仿宋" w:hint="eastAsia"/>
          <w:b w:val="0"/>
          <w:bCs/>
          <w:sz w:val="32"/>
          <w:szCs w:val="32"/>
        </w:rPr>
        <w:t>万元，完成预算</w:t>
      </w:r>
      <w:r>
        <w:rPr>
          <w:rStyle w:val="26"/>
          <w:rFonts w:ascii="仿宋" w:eastAsia="仿宋" w:hint="eastAsia"/>
          <w:b w:val="0"/>
          <w:bCs/>
          <w:sz w:val="32"/>
          <w:szCs w:val="32"/>
          <w:lang w:val="en-US" w:eastAsia="zh-CN"/>
        </w:rPr>
        <w:t>7.06</w:t>
      </w:r>
      <w:r>
        <w:rPr>
          <w:rStyle w:val="26"/>
          <w:rFonts w:ascii="仿宋" w:eastAsia="仿宋"/>
          <w:b w:val="0"/>
          <w:bCs/>
          <w:sz w:val="32"/>
          <w:szCs w:val="32"/>
        </w:rPr>
        <w:t>%</w:t>
      </w:r>
      <w:r>
        <w:rPr>
          <w:rStyle w:val="26"/>
          <w:rFonts w:ascii="仿宋" w:eastAsia="仿宋" w:hint="eastAsia"/>
          <w:b w:val="0"/>
          <w:bCs/>
          <w:sz w:val="32"/>
          <w:szCs w:val="32"/>
        </w:rPr>
        <w:t>，决算数等于预算数。</w:t>
      </w:r>
    </w:p>
    <w:p>
      <w:pPr>
        <w:spacing w:line="600" w:lineRule="exact"/>
        <w:ind w:left="0" w:firstLineChars="200" w:firstLine="640"/>
        <w:rPr>
          <w:rStyle w:val="26"/>
          <w:rFonts w:ascii="仿宋" w:eastAsia="仿宋" w:hint="eastAsia"/>
          <w:b w:val="0"/>
          <w:bCs/>
          <w:sz w:val="32"/>
          <w:szCs w:val="32"/>
        </w:rPr>
      </w:pPr>
      <w:r>
        <w:rPr>
          <w:rStyle w:val="26"/>
          <w:rFonts w:ascii="仿宋" w:eastAsia="仿宋" w:hint="eastAsia"/>
          <w:bCs/>
          <w:sz w:val="32"/>
          <w:szCs w:val="32"/>
          <w:lang w:val="en-US" w:eastAsia="zh-CN"/>
        </w:rPr>
        <w:t>事业运行2082805</w:t>
      </w:r>
      <w:r>
        <w:rPr>
          <w:rStyle w:val="26"/>
          <w:rFonts w:ascii="仿宋" w:eastAsia="仿宋"/>
          <w:bCs/>
          <w:sz w:val="32"/>
          <w:szCs w:val="32"/>
        </w:rPr>
        <w:t>:</w:t>
      </w:r>
      <w:r>
        <w:rPr>
          <w:rStyle w:val="26"/>
          <w:rFonts w:ascii="仿宋" w:eastAsia="仿宋"/>
          <w:b w:val="0"/>
          <w:bCs/>
          <w:sz w:val="32"/>
          <w:szCs w:val="32"/>
        </w:rPr>
        <w:t xml:space="preserve"> </w:t>
      </w:r>
      <w:r>
        <w:rPr>
          <w:rStyle w:val="26"/>
          <w:rFonts w:ascii="仿宋" w:eastAsia="仿宋" w:hint="eastAsia"/>
          <w:b w:val="0"/>
          <w:bCs/>
          <w:sz w:val="32"/>
          <w:szCs w:val="32"/>
        </w:rPr>
        <w:t>支出决算为</w:t>
      </w:r>
      <w:r>
        <w:rPr>
          <w:rStyle w:val="26"/>
          <w:rFonts w:ascii="仿宋" w:eastAsia="仿宋" w:hint="eastAsia"/>
          <w:b w:val="0"/>
          <w:bCs/>
          <w:sz w:val="32"/>
          <w:szCs w:val="32"/>
          <w:lang w:val="en-US" w:eastAsia="zh-CN"/>
        </w:rPr>
        <w:t>89.13</w:t>
      </w:r>
      <w:r>
        <w:rPr>
          <w:rStyle w:val="26"/>
          <w:rFonts w:ascii="仿宋" w:eastAsia="仿宋" w:hint="eastAsia"/>
          <w:b w:val="0"/>
          <w:bCs/>
          <w:sz w:val="32"/>
          <w:szCs w:val="32"/>
        </w:rPr>
        <w:t>万元，完成预算</w:t>
      </w:r>
      <w:r>
        <w:rPr>
          <w:rStyle w:val="26"/>
          <w:rFonts w:ascii="仿宋" w:eastAsia="仿宋" w:hint="eastAsia"/>
          <w:b w:val="0"/>
          <w:bCs/>
          <w:sz w:val="32"/>
          <w:szCs w:val="32"/>
          <w:lang w:val="en-US" w:eastAsia="zh-CN"/>
        </w:rPr>
        <w:t>28.51</w:t>
      </w:r>
      <w:r>
        <w:rPr>
          <w:rStyle w:val="26"/>
          <w:rFonts w:ascii="仿宋" w:eastAsia="仿宋"/>
          <w:b w:val="0"/>
          <w:bCs/>
          <w:sz w:val="32"/>
          <w:szCs w:val="32"/>
        </w:rPr>
        <w:t>%</w:t>
      </w:r>
      <w:r>
        <w:rPr>
          <w:rStyle w:val="26"/>
          <w:rFonts w:ascii="仿宋" w:eastAsia="仿宋" w:hint="eastAsia"/>
          <w:b w:val="0"/>
          <w:bCs/>
          <w:sz w:val="32"/>
          <w:szCs w:val="32"/>
        </w:rPr>
        <w:t>，决算数等于预算数。</w:t>
      </w:r>
    </w:p>
    <w:p>
      <w:pPr>
        <w:spacing w:line="600" w:lineRule="exact"/>
        <w:ind w:left="0" w:firstLineChars="200" w:firstLine="640"/>
        <w:rPr>
          <w:rStyle w:val="26"/>
          <w:rFonts w:ascii="仿宋" w:eastAsia="仿宋" w:hint="eastAsia"/>
          <w:b w:val="0"/>
          <w:bCs/>
          <w:sz w:val="32"/>
          <w:szCs w:val="32"/>
          <w:lang w:val="en-US" w:eastAsia="zh-CN"/>
          <w:highlight w:val="auto"/>
        </w:rPr>
      </w:pPr>
      <w:r>
        <w:rPr>
          <w:rStyle w:val="26"/>
          <w:rFonts w:ascii="仿宋" w:eastAsia="仿宋" w:hint="eastAsia"/>
          <w:bCs/>
          <w:sz w:val="32"/>
          <w:szCs w:val="32"/>
          <w:lang w:val="en-US" w:eastAsia="zh-CN"/>
          <w:highlight w:val="auto"/>
        </w:rPr>
        <w:t xml:space="preserve">其他退役军人事务管理支出2082899: </w:t>
      </w:r>
      <w:r>
        <w:rPr>
          <w:rStyle w:val="26"/>
          <w:rFonts w:ascii="仿宋" w:eastAsia="仿宋" w:hint="eastAsia"/>
          <w:b w:val="0"/>
          <w:bCs/>
          <w:sz w:val="32"/>
          <w:szCs w:val="32"/>
          <w:lang w:val="en-US" w:eastAsia="zh-CN"/>
          <w:highlight w:val="auto"/>
        </w:rPr>
        <w:t>支出决算为1.1万元，完成预算0.76%，决算数等于预算数。</w:t>
      </w:r>
    </w:p>
    <w:p>
      <w:pPr>
        <w:spacing w:line="600" w:lineRule="exact"/>
        <w:ind w:left="0" w:firstLineChars="200" w:firstLine="640"/>
        <w:rPr>
          <w:rStyle w:val="26"/>
          <w:rFonts w:ascii="仿宋" w:eastAsia="仿宋" w:hint="eastAsia"/>
          <w:b w:val="0"/>
          <w:bCs/>
          <w:sz w:val="32"/>
          <w:szCs w:val="32"/>
        </w:rPr>
      </w:pPr>
      <w:r>
        <w:rPr>
          <w:rFonts w:ascii="仿宋" w:eastAsia="仿宋" w:hint="eastAsia"/>
          <w:b/>
          <w:bCs/>
          <w:sz w:val="32"/>
          <w:szCs w:val="32"/>
          <w:lang w:val="en-US" w:eastAsia="zh-CN"/>
        </w:rPr>
        <w:t>2.</w:t>
      </w:r>
      <w:r>
        <w:rPr>
          <w:rFonts w:ascii="仿宋" w:eastAsia="仿宋" w:hint="eastAsia"/>
          <w:b/>
          <w:bCs/>
          <w:sz w:val="32"/>
          <w:szCs w:val="32"/>
        </w:rPr>
        <w:t>卫生健康</w:t>
      </w:r>
      <w:r>
        <w:rPr>
          <w:rFonts w:ascii="仿宋" w:eastAsia="仿宋" w:hint="eastAsia"/>
          <w:b/>
          <w:bCs/>
          <w:sz w:val="32"/>
          <w:szCs w:val="32"/>
          <w:lang w:val="en-US" w:eastAsia="zh-CN"/>
        </w:rPr>
        <w:t>210</w:t>
      </w:r>
      <w:r>
        <w:rPr>
          <w:rStyle w:val="26"/>
          <w:rFonts w:ascii="仿宋" w:eastAsia="仿宋"/>
          <w:bCs/>
          <w:sz w:val="32"/>
          <w:szCs w:val="32"/>
        </w:rPr>
        <w:t>:</w:t>
      </w:r>
      <w:r>
        <w:rPr>
          <w:rStyle w:val="26"/>
          <w:rFonts w:ascii="仿宋" w:eastAsia="仿宋" w:hint="eastAsia"/>
          <w:b w:val="0"/>
          <w:bCs/>
          <w:sz w:val="32"/>
          <w:szCs w:val="32"/>
        </w:rPr>
        <w:t>支出决算为</w:t>
      </w:r>
      <w:r>
        <w:rPr>
          <w:rStyle w:val="26"/>
          <w:rFonts w:ascii="仿宋" w:eastAsia="仿宋" w:hint="eastAsia"/>
          <w:b w:val="0"/>
          <w:bCs/>
          <w:sz w:val="32"/>
          <w:szCs w:val="32"/>
          <w:lang w:val="en-US" w:eastAsia="zh-CN"/>
        </w:rPr>
        <w:t>12.8</w:t>
      </w:r>
      <w:r>
        <w:rPr>
          <w:rStyle w:val="26"/>
          <w:rFonts w:ascii="仿宋" w:eastAsia="仿宋" w:hint="eastAsia"/>
          <w:b w:val="0"/>
          <w:bCs/>
          <w:sz w:val="32"/>
          <w:szCs w:val="32"/>
        </w:rPr>
        <w:t>万元，完成预算</w:t>
      </w:r>
      <w:r>
        <w:rPr>
          <w:rStyle w:val="26"/>
          <w:rFonts w:ascii="仿宋" w:eastAsia="仿宋" w:hint="eastAsia"/>
          <w:b w:val="0"/>
          <w:bCs/>
          <w:sz w:val="32"/>
          <w:szCs w:val="32"/>
          <w:lang w:val="en-US" w:eastAsia="zh-CN"/>
        </w:rPr>
        <w:t>1.09</w:t>
      </w:r>
      <w:r>
        <w:rPr>
          <w:rStyle w:val="26"/>
          <w:rFonts w:ascii="仿宋" w:eastAsia="仿宋"/>
          <w:b w:val="0"/>
          <w:bCs/>
          <w:sz w:val="32"/>
          <w:szCs w:val="32"/>
        </w:rPr>
        <w:t>%</w:t>
      </w:r>
      <w:r>
        <w:rPr>
          <w:rStyle w:val="26"/>
          <w:rFonts w:ascii="仿宋" w:eastAsia="仿宋" w:hint="eastAsia"/>
          <w:b w:val="0"/>
          <w:bCs/>
          <w:sz w:val="32"/>
          <w:szCs w:val="32"/>
        </w:rPr>
        <w:t>，决算数等于预算数的。</w:t>
      </w:r>
    </w:p>
    <w:p>
      <w:pPr>
        <w:pStyle w:val="28"/>
        <w:ind w:left="0" w:firstLineChars="200" w:firstLine="640"/>
      </w:pPr>
      <w:r>
        <w:rPr>
          <w:rStyle w:val="26"/>
          <w:rFonts w:ascii="仿宋" w:eastAsia="仿宋" w:hint="eastAsia"/>
          <w:b/>
          <w:bCs/>
          <w:sz w:val="32"/>
          <w:szCs w:val="32"/>
          <w:lang w:val="en-US" w:eastAsia="zh-CN"/>
        </w:rPr>
        <w:t>行政单位医疗2101101</w:t>
      </w:r>
      <w:r>
        <w:rPr>
          <w:rStyle w:val="26"/>
          <w:rFonts w:ascii="仿宋" w:eastAsia="仿宋"/>
          <w:b/>
          <w:bCs/>
          <w:sz w:val="32"/>
          <w:szCs w:val="32"/>
        </w:rPr>
        <w:t>:</w:t>
      </w:r>
      <w:r>
        <w:rPr>
          <w:rStyle w:val="26"/>
          <w:rFonts w:ascii="仿宋" w:eastAsia="仿宋" w:hint="eastAsia"/>
          <w:b w:val="0"/>
          <w:bCs/>
          <w:sz w:val="32"/>
          <w:szCs w:val="32"/>
        </w:rPr>
        <w:t>支出决算为</w:t>
      </w:r>
      <w:r>
        <w:rPr>
          <w:rStyle w:val="26"/>
          <w:rFonts w:ascii="仿宋" w:eastAsia="仿宋" w:hint="eastAsia"/>
          <w:b w:val="0"/>
          <w:bCs/>
          <w:sz w:val="32"/>
          <w:szCs w:val="32"/>
          <w:lang w:val="en-US" w:eastAsia="zh-CN"/>
        </w:rPr>
        <w:t>4.92</w:t>
      </w:r>
      <w:r>
        <w:rPr>
          <w:rStyle w:val="26"/>
          <w:rFonts w:ascii="仿宋" w:eastAsia="仿宋" w:hint="eastAsia"/>
          <w:b w:val="0"/>
          <w:bCs/>
          <w:sz w:val="32"/>
          <w:szCs w:val="32"/>
        </w:rPr>
        <w:t>万元，完成预算</w:t>
      </w:r>
      <w:r>
        <w:rPr>
          <w:rStyle w:val="26"/>
          <w:rFonts w:ascii="仿宋" w:eastAsia="仿宋" w:hint="eastAsia"/>
          <w:b w:val="0"/>
          <w:bCs/>
          <w:sz w:val="32"/>
          <w:szCs w:val="32"/>
          <w:lang w:val="en-US" w:eastAsia="zh-CN"/>
        </w:rPr>
        <w:t>38.43</w:t>
      </w:r>
      <w:r>
        <w:rPr>
          <w:rStyle w:val="26"/>
          <w:rFonts w:ascii="仿宋" w:eastAsia="仿宋"/>
          <w:b w:val="0"/>
          <w:bCs/>
          <w:sz w:val="32"/>
          <w:szCs w:val="32"/>
        </w:rPr>
        <w:t>%</w:t>
      </w:r>
      <w:r>
        <w:rPr>
          <w:rStyle w:val="26"/>
          <w:rFonts w:ascii="仿宋" w:eastAsia="仿宋" w:hint="eastAsia"/>
          <w:b w:val="0"/>
          <w:bCs/>
          <w:sz w:val="32"/>
          <w:szCs w:val="32"/>
        </w:rPr>
        <w:t>，决算数等于预算数的。</w:t>
      </w:r>
    </w:p>
    <w:p>
      <w:pPr>
        <w:ind w:firstLineChars="200" w:firstLine="640"/>
        <w:rPr>
          <w:rStyle w:val="26"/>
          <w:rFonts w:ascii="仿宋" w:eastAsia="仿宋" w:hint="eastAsia"/>
          <w:b w:val="0"/>
          <w:bCs/>
          <w:sz w:val="32"/>
          <w:szCs w:val="32"/>
        </w:rPr>
      </w:pPr>
      <w:r>
        <w:rPr>
          <w:rStyle w:val="26"/>
          <w:rFonts w:ascii="仿宋" w:eastAsia="仿宋" w:hint="eastAsia"/>
          <w:bCs/>
          <w:sz w:val="32"/>
          <w:szCs w:val="32"/>
          <w:lang w:val="en-US" w:eastAsia="zh-CN"/>
        </w:rPr>
        <w:t>事业单位医疗</w:t>
      </w:r>
      <w:r>
        <w:rPr>
          <w:rStyle w:val="26"/>
          <w:rFonts w:ascii="仿宋" w:eastAsia="仿宋" w:hint="eastAsia"/>
          <w:b/>
          <w:bCs/>
          <w:sz w:val="32"/>
          <w:szCs w:val="32"/>
          <w:lang w:val="en-US" w:eastAsia="zh-CN"/>
        </w:rPr>
        <w:t>2101102</w:t>
      </w:r>
      <w:r>
        <w:rPr>
          <w:rStyle w:val="26"/>
          <w:rFonts w:ascii="仿宋" w:eastAsia="仿宋"/>
          <w:bCs/>
          <w:sz w:val="32"/>
          <w:szCs w:val="32"/>
        </w:rPr>
        <w:t>:</w:t>
      </w:r>
      <w:r>
        <w:rPr>
          <w:rStyle w:val="26"/>
          <w:rFonts w:ascii="仿宋" w:eastAsia="仿宋" w:hint="eastAsia"/>
          <w:b w:val="0"/>
          <w:bCs/>
          <w:sz w:val="32"/>
          <w:szCs w:val="32"/>
        </w:rPr>
        <w:t>支出决算为</w:t>
      </w:r>
      <w:r>
        <w:rPr>
          <w:rStyle w:val="26"/>
          <w:rFonts w:ascii="仿宋" w:eastAsia="仿宋" w:hint="eastAsia"/>
          <w:b w:val="0"/>
          <w:bCs/>
          <w:sz w:val="32"/>
          <w:szCs w:val="32"/>
          <w:lang w:val="en-US" w:eastAsia="zh-CN"/>
        </w:rPr>
        <w:t>5.25</w:t>
      </w:r>
      <w:r>
        <w:rPr>
          <w:rStyle w:val="26"/>
          <w:rFonts w:ascii="仿宋" w:eastAsia="仿宋" w:hint="eastAsia"/>
          <w:b w:val="0"/>
          <w:bCs/>
          <w:sz w:val="32"/>
          <w:szCs w:val="32"/>
        </w:rPr>
        <w:t>万元，完成预算</w:t>
      </w:r>
      <w:r>
        <w:rPr>
          <w:rStyle w:val="26"/>
          <w:rFonts w:ascii="仿宋" w:eastAsia="仿宋" w:hint="eastAsia"/>
          <w:b w:val="0"/>
          <w:bCs/>
          <w:sz w:val="32"/>
          <w:szCs w:val="32"/>
          <w:lang w:val="en-US" w:eastAsia="zh-CN"/>
        </w:rPr>
        <w:t>10.01</w:t>
      </w:r>
      <w:r>
        <w:rPr>
          <w:rStyle w:val="26"/>
          <w:rFonts w:ascii="仿宋" w:eastAsia="仿宋"/>
          <w:b w:val="0"/>
          <w:bCs/>
          <w:sz w:val="32"/>
          <w:szCs w:val="32"/>
        </w:rPr>
        <w:t>%</w:t>
      </w:r>
      <w:r>
        <w:rPr>
          <w:rStyle w:val="26"/>
          <w:rFonts w:ascii="仿宋" w:eastAsia="仿宋" w:hint="eastAsia"/>
          <w:b w:val="0"/>
          <w:bCs/>
          <w:sz w:val="32"/>
          <w:szCs w:val="32"/>
        </w:rPr>
        <w:t>，决算数等于预算数的。</w:t>
      </w:r>
    </w:p>
    <w:p>
      <w:pPr>
        <w:pStyle w:val="28"/>
        <w:ind w:firstLineChars="200" w:firstLine="640"/>
        <w:rPr>
          <w:rStyle w:val="26"/>
          <w:rFonts w:ascii="仿宋" w:eastAsia="仿宋" w:hint="eastAsia"/>
          <w:b w:val="0"/>
          <w:bCs/>
          <w:sz w:val="32"/>
          <w:szCs w:val="32"/>
        </w:rPr>
      </w:pPr>
      <w:r>
        <w:rPr>
          <w:rStyle w:val="26"/>
          <w:rFonts w:ascii="仿宋" w:eastAsia="仿宋" w:hint="eastAsia"/>
          <w:b/>
          <w:bCs/>
          <w:sz w:val="32"/>
          <w:szCs w:val="32"/>
          <w:lang w:val="en-US" w:eastAsia="zh-CN"/>
        </w:rPr>
        <w:t>公务员医疗补</w:t>
      </w:r>
      <w:r>
        <w:rPr>
          <w:rStyle w:val="26"/>
          <w:rFonts w:ascii="仿宋" w:eastAsia="仿宋" w:cs="Times New Roman" w:hint="eastAsia"/>
          <w:b/>
          <w:bCs/>
          <w:kern w:val="2"/>
          <w:sz w:val="32"/>
          <w:szCs w:val="32"/>
          <w:lang w:val="en-US" w:eastAsia="zh-CN" w:bidi="ar-SA"/>
        </w:rPr>
        <w:t>助2101103:</w:t>
      </w:r>
      <w:r>
        <w:rPr>
          <w:rStyle w:val="26"/>
          <w:rFonts w:ascii="仿宋" w:eastAsia="仿宋" w:hint="eastAsia"/>
          <w:b w:val="0"/>
          <w:bCs/>
          <w:sz w:val="32"/>
          <w:szCs w:val="32"/>
        </w:rPr>
        <w:t>支出决算为</w:t>
      </w:r>
      <w:r>
        <w:rPr>
          <w:rStyle w:val="26"/>
          <w:rFonts w:ascii="仿宋" w:eastAsia="仿宋" w:hint="eastAsia"/>
          <w:b w:val="0"/>
          <w:bCs/>
          <w:sz w:val="32"/>
          <w:szCs w:val="32"/>
          <w:lang w:val="en-US" w:eastAsia="zh-CN"/>
        </w:rPr>
        <w:t>1.25</w:t>
      </w:r>
      <w:r>
        <w:rPr>
          <w:rStyle w:val="26"/>
          <w:rFonts w:ascii="仿宋" w:eastAsia="仿宋" w:hint="eastAsia"/>
          <w:b w:val="0"/>
          <w:bCs/>
          <w:sz w:val="32"/>
          <w:szCs w:val="32"/>
        </w:rPr>
        <w:t>万元，完成预算</w:t>
      </w:r>
      <w:r>
        <w:rPr>
          <w:rStyle w:val="26"/>
          <w:rFonts w:ascii="仿宋" w:eastAsia="仿宋" w:hint="eastAsia"/>
          <w:b w:val="0"/>
          <w:bCs/>
          <w:sz w:val="32"/>
          <w:szCs w:val="32"/>
          <w:lang w:val="en-US" w:eastAsia="zh-CN"/>
        </w:rPr>
        <w:t>9.77</w:t>
      </w:r>
      <w:r>
        <w:rPr>
          <w:rStyle w:val="26"/>
          <w:rFonts w:ascii="仿宋" w:eastAsia="仿宋"/>
          <w:b w:val="0"/>
          <w:bCs/>
          <w:sz w:val="32"/>
          <w:szCs w:val="32"/>
        </w:rPr>
        <w:t>%</w:t>
      </w:r>
      <w:r>
        <w:rPr>
          <w:rStyle w:val="26"/>
          <w:rFonts w:ascii="仿宋" w:eastAsia="仿宋" w:hint="eastAsia"/>
          <w:b w:val="0"/>
          <w:bCs/>
          <w:sz w:val="32"/>
          <w:szCs w:val="32"/>
        </w:rPr>
        <w:t>，决算数等于预算数的。</w:t>
      </w:r>
    </w:p>
    <w:p>
      <w:pPr>
        <w:ind w:firstLineChars="200" w:firstLine="640"/>
        <w:rPr>
          <w:rStyle w:val="26"/>
          <w:rFonts w:ascii="仿宋" w:eastAsia="仿宋" w:hint="eastAsia"/>
          <w:b w:val="0"/>
          <w:bCs/>
          <w:sz w:val="32"/>
          <w:szCs w:val="32"/>
        </w:rPr>
      </w:pPr>
      <w:r>
        <w:rPr>
          <w:rStyle w:val="26"/>
          <w:rFonts w:ascii="仿宋" w:eastAsia="仿宋" w:hint="eastAsia"/>
          <w:bCs/>
          <w:sz w:val="32"/>
          <w:szCs w:val="32"/>
          <w:lang w:val="en-US" w:eastAsia="zh-CN"/>
        </w:rPr>
        <w:t>其他行政事业单位医疗支出2101199</w:t>
      </w:r>
      <w:r>
        <w:rPr>
          <w:rStyle w:val="26"/>
          <w:rFonts w:ascii="仿宋" w:eastAsia="仿宋"/>
          <w:bCs/>
          <w:sz w:val="32"/>
          <w:szCs w:val="32"/>
        </w:rPr>
        <w:t>:</w:t>
      </w:r>
      <w:r>
        <w:rPr>
          <w:rStyle w:val="26"/>
          <w:rFonts w:ascii="仿宋" w:eastAsia="仿宋" w:hint="eastAsia"/>
          <w:b w:val="0"/>
          <w:bCs/>
          <w:sz w:val="32"/>
          <w:szCs w:val="32"/>
        </w:rPr>
        <w:t>支出决算为</w:t>
      </w:r>
      <w:r>
        <w:rPr>
          <w:rStyle w:val="26"/>
          <w:rFonts w:ascii="仿宋" w:eastAsia="仿宋" w:hint="eastAsia"/>
          <w:b w:val="0"/>
          <w:bCs/>
          <w:sz w:val="32"/>
          <w:szCs w:val="32"/>
          <w:lang w:val="en-US" w:eastAsia="zh-CN"/>
        </w:rPr>
        <w:t>1.38</w:t>
      </w:r>
      <w:r>
        <w:rPr>
          <w:rStyle w:val="26"/>
          <w:rFonts w:ascii="仿宋" w:eastAsia="仿宋" w:hint="eastAsia"/>
          <w:b w:val="0"/>
          <w:bCs/>
          <w:sz w:val="32"/>
          <w:szCs w:val="32"/>
        </w:rPr>
        <w:t>万元，完成预算</w:t>
      </w:r>
      <w:r>
        <w:rPr>
          <w:rStyle w:val="26"/>
          <w:rFonts w:ascii="仿宋" w:eastAsia="仿宋" w:hint="eastAsia"/>
          <w:b w:val="0"/>
          <w:bCs/>
          <w:sz w:val="32"/>
          <w:szCs w:val="32"/>
          <w:lang w:val="en-US" w:eastAsia="zh-CN"/>
        </w:rPr>
        <w:t>10.78</w:t>
      </w:r>
      <w:r>
        <w:rPr>
          <w:rStyle w:val="26"/>
          <w:rFonts w:ascii="仿宋" w:eastAsia="仿宋"/>
          <w:b w:val="0"/>
          <w:bCs/>
          <w:sz w:val="32"/>
          <w:szCs w:val="32"/>
        </w:rPr>
        <w:t>%</w:t>
      </w:r>
      <w:r>
        <w:rPr>
          <w:rStyle w:val="26"/>
          <w:rFonts w:ascii="仿宋" w:eastAsia="仿宋" w:hint="eastAsia"/>
          <w:b w:val="0"/>
          <w:bCs/>
          <w:sz w:val="32"/>
          <w:szCs w:val="32"/>
        </w:rPr>
        <w:t>，决算数等于预算数的。</w:t>
      </w:r>
    </w:p>
    <w:p>
      <w:pPr>
        <w:ind w:firstLineChars="200" w:firstLine="640"/>
        <w:rPr>
          <w:rStyle w:val="26"/>
          <w:rFonts w:ascii="仿宋" w:eastAsia="仿宋" w:hint="eastAsia"/>
          <w:b w:val="0"/>
          <w:bCs/>
          <w:sz w:val="32"/>
          <w:szCs w:val="32"/>
        </w:rPr>
      </w:pPr>
      <w:r>
        <w:rPr>
          <w:rStyle w:val="26"/>
          <w:rFonts w:ascii="仿宋" w:eastAsia="仿宋" w:hint="eastAsia"/>
          <w:bCs/>
          <w:sz w:val="32"/>
          <w:szCs w:val="32"/>
          <w:lang w:val="en-US" w:eastAsia="zh-CN"/>
        </w:rPr>
        <w:t>优抚对象医疗补助2101401</w:t>
      </w:r>
      <w:r>
        <w:rPr>
          <w:rStyle w:val="26"/>
          <w:rFonts w:ascii="仿宋" w:eastAsia="仿宋"/>
          <w:bCs/>
          <w:sz w:val="32"/>
          <w:szCs w:val="32"/>
        </w:rPr>
        <w:t>:</w:t>
      </w:r>
      <w:r>
        <w:rPr>
          <w:rStyle w:val="26"/>
          <w:rFonts w:ascii="仿宋" w:eastAsia="仿宋" w:hint="eastAsia"/>
          <w:b w:val="0"/>
          <w:bCs/>
          <w:sz w:val="32"/>
          <w:szCs w:val="32"/>
        </w:rPr>
        <w:t>支出决算为</w:t>
      </w:r>
      <w:r>
        <w:rPr>
          <w:rStyle w:val="26"/>
          <w:rFonts w:ascii="仿宋" w:eastAsia="仿宋" w:hint="eastAsia"/>
          <w:b w:val="0"/>
          <w:bCs/>
          <w:sz w:val="32"/>
          <w:szCs w:val="32"/>
          <w:lang w:val="en-US" w:eastAsia="zh-CN"/>
        </w:rPr>
        <w:t>2.12</w:t>
      </w:r>
      <w:r>
        <w:rPr>
          <w:rStyle w:val="26"/>
          <w:rFonts w:ascii="仿宋" w:eastAsia="仿宋" w:hint="eastAsia"/>
          <w:b w:val="0"/>
          <w:bCs/>
          <w:sz w:val="32"/>
          <w:szCs w:val="32"/>
        </w:rPr>
        <w:t>万元，完成预算</w:t>
      </w:r>
      <w:r>
        <w:rPr>
          <w:rStyle w:val="26"/>
          <w:rFonts w:ascii="仿宋" w:eastAsia="仿宋" w:hint="eastAsia"/>
          <w:b w:val="0"/>
          <w:bCs/>
          <w:sz w:val="32"/>
          <w:szCs w:val="32"/>
          <w:lang w:val="en-US" w:eastAsia="zh-CN"/>
        </w:rPr>
        <w:t>14.21</w:t>
      </w:r>
      <w:r>
        <w:rPr>
          <w:rStyle w:val="26"/>
          <w:rFonts w:ascii="仿宋" w:eastAsia="仿宋"/>
          <w:b w:val="0"/>
          <w:bCs/>
          <w:sz w:val="32"/>
          <w:szCs w:val="32"/>
        </w:rPr>
        <w:t>%</w:t>
      </w:r>
      <w:r>
        <w:rPr>
          <w:rStyle w:val="26"/>
          <w:rFonts w:ascii="仿宋" w:eastAsia="仿宋" w:hint="eastAsia"/>
          <w:b w:val="0"/>
          <w:bCs/>
          <w:sz w:val="32"/>
          <w:szCs w:val="32"/>
        </w:rPr>
        <w:t>，决算数等于预算数的。</w:t>
      </w:r>
    </w:p>
    <w:p>
      <w:pPr>
        <w:pStyle w:val="28"/>
        <w:ind w:firstLineChars="200" w:firstLine="640"/>
        <w:rPr>
          <w:rStyle w:val="26"/>
          <w:rFonts w:ascii="仿宋" w:eastAsia="仿宋" w:hint="eastAsia"/>
          <w:b w:val="0"/>
          <w:bCs/>
          <w:sz w:val="32"/>
          <w:szCs w:val="32"/>
        </w:rPr>
      </w:pPr>
      <w:r>
        <w:rPr>
          <w:rStyle w:val="26"/>
          <w:rFonts w:ascii="仿宋" w:eastAsia="仿宋" w:hint="eastAsia"/>
          <w:b/>
          <w:bCs/>
          <w:sz w:val="32"/>
          <w:szCs w:val="32"/>
          <w:lang w:val="en-US" w:eastAsia="zh-CN"/>
        </w:rPr>
        <w:t>3.住房保障支出221</w:t>
      </w:r>
      <w:r>
        <w:rPr>
          <w:rStyle w:val="26"/>
          <w:rFonts w:ascii="仿宋" w:eastAsia="仿宋"/>
          <w:b/>
          <w:bCs/>
          <w:sz w:val="32"/>
          <w:szCs w:val="32"/>
        </w:rPr>
        <w:t>:</w:t>
      </w:r>
      <w:r>
        <w:rPr>
          <w:rStyle w:val="26"/>
          <w:rFonts w:ascii="仿宋" w:eastAsia="仿宋" w:hint="eastAsia"/>
          <w:b w:val="0"/>
          <w:bCs/>
          <w:sz w:val="32"/>
          <w:szCs w:val="32"/>
        </w:rPr>
        <w:t>支出决算为</w:t>
      </w:r>
      <w:r>
        <w:rPr>
          <w:rStyle w:val="26"/>
          <w:rFonts w:ascii="仿宋" w:eastAsia="仿宋" w:hint="eastAsia"/>
          <w:b w:val="0"/>
          <w:bCs/>
          <w:sz w:val="32"/>
          <w:szCs w:val="32"/>
          <w:lang w:val="en-US" w:eastAsia="zh-CN"/>
        </w:rPr>
        <w:t>17.63</w:t>
      </w:r>
      <w:r>
        <w:rPr>
          <w:rStyle w:val="26"/>
          <w:rFonts w:ascii="仿宋" w:eastAsia="仿宋" w:hint="eastAsia"/>
          <w:b w:val="0"/>
          <w:bCs/>
          <w:sz w:val="32"/>
          <w:szCs w:val="32"/>
        </w:rPr>
        <w:t>万元，完成预算</w:t>
      </w:r>
      <w:r>
        <w:rPr>
          <w:rStyle w:val="26"/>
          <w:rFonts w:ascii="仿宋" w:eastAsia="仿宋" w:hint="eastAsia"/>
          <w:b w:val="0"/>
          <w:bCs/>
          <w:sz w:val="32"/>
          <w:szCs w:val="32"/>
          <w:lang w:val="en-US" w:eastAsia="zh-CN"/>
        </w:rPr>
        <w:t>1.51</w:t>
      </w:r>
      <w:r>
        <w:rPr>
          <w:rStyle w:val="26"/>
          <w:rFonts w:ascii="仿宋" w:eastAsia="仿宋"/>
          <w:b w:val="0"/>
          <w:bCs/>
          <w:sz w:val="32"/>
          <w:szCs w:val="32"/>
        </w:rPr>
        <w:t>%</w:t>
      </w:r>
      <w:r>
        <w:rPr>
          <w:rStyle w:val="26"/>
          <w:rFonts w:ascii="仿宋" w:eastAsia="仿宋" w:hint="eastAsia"/>
          <w:b w:val="0"/>
          <w:bCs/>
          <w:sz w:val="32"/>
          <w:szCs w:val="32"/>
        </w:rPr>
        <w:t>，决算数等于预算数的。</w:t>
      </w:r>
    </w:p>
    <w:p>
      <w:pPr>
        <w:ind w:firstLineChars="200" w:firstLine="640"/>
        <w:rPr>
          <w:rStyle w:val="26"/>
          <w:rFonts w:ascii="仿宋" w:eastAsia="仿宋" w:hint="eastAsia"/>
          <w:b w:val="0"/>
          <w:bCs/>
          <w:sz w:val="32"/>
          <w:szCs w:val="32"/>
        </w:rPr>
      </w:pPr>
      <w:r>
        <w:rPr>
          <w:rStyle w:val="26"/>
          <w:rFonts w:ascii="仿宋" w:eastAsia="仿宋" w:hint="eastAsia"/>
          <w:bCs/>
          <w:sz w:val="32"/>
          <w:szCs w:val="32"/>
          <w:lang w:val="en-US" w:eastAsia="zh-CN"/>
        </w:rPr>
        <w:t>住房公积金2210201</w:t>
      </w:r>
      <w:r>
        <w:rPr>
          <w:rStyle w:val="26"/>
          <w:rFonts w:ascii="仿宋" w:eastAsia="仿宋"/>
          <w:bCs/>
          <w:sz w:val="32"/>
          <w:szCs w:val="32"/>
        </w:rPr>
        <w:t>:</w:t>
      </w:r>
      <w:r>
        <w:rPr>
          <w:rStyle w:val="26"/>
          <w:rFonts w:ascii="仿宋" w:eastAsia="仿宋" w:hint="eastAsia"/>
          <w:b w:val="0"/>
          <w:bCs/>
          <w:sz w:val="32"/>
          <w:szCs w:val="32"/>
        </w:rPr>
        <w:t>支出决算为</w:t>
      </w:r>
      <w:r>
        <w:rPr>
          <w:rStyle w:val="26"/>
          <w:rFonts w:ascii="仿宋" w:eastAsia="仿宋" w:hint="eastAsia"/>
          <w:b w:val="0"/>
          <w:bCs/>
          <w:sz w:val="32"/>
          <w:szCs w:val="32"/>
          <w:lang w:val="en-US" w:eastAsia="zh-CN"/>
        </w:rPr>
        <w:t>17.63</w:t>
      </w:r>
      <w:r>
        <w:rPr>
          <w:rStyle w:val="26"/>
          <w:rFonts w:ascii="仿宋" w:eastAsia="仿宋" w:hint="eastAsia"/>
          <w:b w:val="0"/>
          <w:bCs/>
          <w:sz w:val="32"/>
          <w:szCs w:val="32"/>
        </w:rPr>
        <w:t>万元，完成预算</w:t>
      </w:r>
      <w:r>
        <w:rPr>
          <w:rStyle w:val="26"/>
          <w:rFonts w:ascii="仿宋" w:eastAsia="仿宋" w:hint="eastAsia"/>
          <w:b w:val="0"/>
          <w:bCs/>
          <w:sz w:val="32"/>
          <w:szCs w:val="32"/>
          <w:lang w:val="en-US" w:eastAsia="zh-CN"/>
        </w:rPr>
        <w:t>100</w:t>
      </w:r>
      <w:r>
        <w:rPr>
          <w:rStyle w:val="26"/>
          <w:rFonts w:ascii="仿宋" w:eastAsia="仿宋"/>
          <w:b w:val="0"/>
          <w:bCs/>
          <w:sz w:val="32"/>
          <w:szCs w:val="32"/>
        </w:rPr>
        <w:t>%</w:t>
      </w:r>
      <w:r>
        <w:rPr>
          <w:rStyle w:val="26"/>
          <w:rFonts w:ascii="仿宋" w:eastAsia="仿宋" w:hint="eastAsia"/>
          <w:b w:val="0"/>
          <w:bCs/>
          <w:sz w:val="32"/>
          <w:szCs w:val="32"/>
        </w:rPr>
        <w:t>，决算数等于预算数的。</w:t>
      </w:r>
    </w:p>
    <w:p>
      <w:pPr>
        <w:tabs>
          <w:tab w:val="right" w:pos="8306"/>
        </w:tabs>
        <w:spacing w:line="600" w:lineRule="exact"/>
        <w:ind w:firstLine="640"/>
        <w:outlineLvl w:val="1"/>
        <w:rPr>
          <w:rStyle w:val="2Char"/>
        </w:rPr>
      </w:pPr>
      <w:bookmarkStart w:id="49" w:name="_Toc15377214"/>
      <w:bookmarkStart w:id="50" w:name="_Toc15396608"/>
      <w:r>
        <w:rPr>
          <w:rFonts w:ascii="黑体" w:eastAsia="黑体" w:hint="eastAsia"/>
          <w:sz w:val="32"/>
          <w:szCs w:val="32"/>
        </w:rPr>
        <w:t>六</w:t>
      </w:r>
      <w:r>
        <w:rPr>
          <w:rFonts w:ascii="黑体" w:eastAsia="黑体" w:hint="eastAsia"/>
          <w:b/>
          <w:sz w:val="32"/>
          <w:szCs w:val="32"/>
        </w:rPr>
        <w:t>、一</w:t>
      </w:r>
      <w:r>
        <w:rPr>
          <w:rStyle w:val="2Char"/>
          <w:rFonts w:ascii="黑体" w:eastAsia="黑体" w:hint="eastAsia"/>
          <w:b w:val="0"/>
        </w:rPr>
        <w:t>般公共预算财政拨款基本支出决算情况说明</w:t>
      </w:r>
      <w:bookmarkEnd w:id="49"/>
      <w:bookmarkEnd w:id="50"/>
      <w:r>
        <w:rPr>
          <w:rStyle w:val="2Char"/>
          <w:rFonts w:ascii="黑体" w:eastAsia="黑体"/>
          <w:b w:val="0"/>
        </w:rPr>
        <w:tab/>
      </w:r>
    </w:p>
    <w:p>
      <w:pPr>
        <w:spacing w:line="600" w:lineRule="exact"/>
        <w:ind w:firstLine="645"/>
        <w:rPr>
          <w:rFonts w:ascii="仿宋" w:eastAsia="仿宋"/>
          <w:sz w:val="32"/>
          <w:szCs w:val="32"/>
        </w:rPr>
      </w:pPr>
      <w:r>
        <w:rPr>
          <w:rFonts w:ascii="仿宋" w:eastAsia="仿宋" w:hint="eastAsia"/>
          <w:sz w:val="32"/>
          <w:szCs w:val="32"/>
        </w:rPr>
        <w:t>202</w:t>
      </w:r>
      <w:r>
        <w:rPr>
          <w:rFonts w:ascii="仿宋" w:eastAsia="仿宋" w:hint="eastAsia"/>
          <w:sz w:val="32"/>
          <w:szCs w:val="32"/>
          <w:lang w:val="en-US" w:eastAsia="zh-CN"/>
        </w:rPr>
        <w:t>5</w:t>
      </w:r>
      <w:r>
        <w:rPr>
          <w:rFonts w:ascii="仿宋" w:eastAsia="仿宋" w:hint="eastAsia"/>
          <w:sz w:val="32"/>
          <w:szCs w:val="32"/>
        </w:rPr>
        <w:t>年度一般公共预算财政拨款基本支出</w:t>
      </w:r>
      <w:r>
        <w:rPr>
          <w:rFonts w:eastAsia="仿宋" w:hint="eastAsia"/>
          <w:sz w:val="32"/>
          <w:szCs w:val="32"/>
          <w:lang w:val="en-US" w:eastAsia="zh-CN"/>
        </w:rPr>
        <w:t>245.51</w:t>
      </w:r>
      <w:r>
        <w:rPr>
          <w:rFonts w:ascii="仿宋" w:eastAsia="仿宋" w:hint="eastAsia"/>
          <w:sz w:val="32"/>
          <w:szCs w:val="32"/>
        </w:rPr>
        <w:t>万元，其中：</w:t>
      </w:r>
    </w:p>
    <w:p>
      <w:pPr>
        <w:spacing w:line="600" w:lineRule="exact"/>
        <w:ind w:firstLine="645"/>
        <w:rPr>
          <w:rFonts w:ascii="仿宋" w:eastAsia="仿宋"/>
          <w:sz w:val="32"/>
          <w:szCs w:val="32"/>
        </w:rPr>
      </w:pPr>
      <w:r>
        <w:rPr>
          <w:rFonts w:ascii="仿宋" w:eastAsia="仿宋" w:hint="eastAsia"/>
          <w:sz w:val="32"/>
          <w:szCs w:val="32"/>
        </w:rPr>
        <w:t>人员经费</w:t>
      </w:r>
      <w:r>
        <w:rPr>
          <w:rFonts w:eastAsia="仿宋" w:hint="eastAsia"/>
          <w:sz w:val="32"/>
          <w:szCs w:val="32"/>
          <w:lang w:val="en-US" w:eastAsia="zh-CN"/>
        </w:rPr>
        <w:t>227.46</w:t>
      </w:r>
      <w:r>
        <w:rPr>
          <w:rFonts w:ascii="仿宋" w:eastAsia="仿宋" w:hint="eastAsia"/>
          <w:sz w:val="32"/>
          <w:szCs w:val="32"/>
        </w:rPr>
        <w:t>万元，主要包括：基本工资</w:t>
      </w:r>
      <w:r>
        <w:rPr>
          <w:rFonts w:ascii="仿宋" w:eastAsia="仿宋" w:hint="eastAsia"/>
          <w:sz w:val="32"/>
          <w:szCs w:val="32"/>
          <w:lang w:val="en-US" w:eastAsia="zh-CN"/>
        </w:rPr>
        <w:t>43.59万元</w:t>
      </w:r>
      <w:r>
        <w:rPr>
          <w:rFonts w:ascii="仿宋" w:eastAsia="仿宋" w:hint="eastAsia"/>
          <w:sz w:val="32"/>
          <w:szCs w:val="32"/>
        </w:rPr>
        <w:t>、津贴补贴</w:t>
      </w:r>
      <w:r>
        <w:rPr>
          <w:rFonts w:ascii="仿宋" w:eastAsia="仿宋" w:hint="eastAsia"/>
          <w:sz w:val="32"/>
          <w:szCs w:val="32"/>
          <w:lang w:val="en-US" w:eastAsia="zh-CN"/>
        </w:rPr>
        <w:t>53.44万元</w:t>
      </w:r>
      <w:r>
        <w:rPr>
          <w:rFonts w:ascii="仿宋" w:eastAsia="仿宋" w:hint="eastAsia"/>
          <w:sz w:val="32"/>
          <w:szCs w:val="32"/>
        </w:rPr>
        <w:t>、奖金</w:t>
      </w:r>
      <w:r>
        <w:rPr>
          <w:rFonts w:ascii="仿宋" w:eastAsia="仿宋" w:hint="eastAsia"/>
          <w:sz w:val="32"/>
          <w:szCs w:val="32"/>
          <w:lang w:val="en-US" w:eastAsia="zh-CN"/>
        </w:rPr>
        <w:t>43.44万元</w:t>
      </w:r>
      <w:r>
        <w:rPr>
          <w:rFonts w:ascii="仿宋" w:eastAsia="仿宋" w:hint="eastAsia"/>
          <w:sz w:val="32"/>
          <w:szCs w:val="32"/>
        </w:rPr>
        <w:t>、伙食补助费</w:t>
      </w:r>
      <w:r>
        <w:rPr>
          <w:rFonts w:ascii="仿宋" w:eastAsia="仿宋" w:hint="eastAsia"/>
          <w:sz w:val="32"/>
          <w:szCs w:val="32"/>
          <w:lang w:val="en-US" w:eastAsia="zh-CN"/>
        </w:rPr>
        <w:t>0万元</w:t>
      </w:r>
      <w:r>
        <w:rPr>
          <w:rFonts w:ascii="仿宋" w:eastAsia="仿宋" w:hint="eastAsia"/>
          <w:sz w:val="32"/>
          <w:szCs w:val="32"/>
        </w:rPr>
        <w:t>、绩效工资</w:t>
      </w:r>
      <w:r>
        <w:rPr>
          <w:rFonts w:ascii="仿宋" w:eastAsia="仿宋" w:hint="eastAsia"/>
          <w:sz w:val="32"/>
          <w:szCs w:val="32"/>
          <w:lang w:val="en-US" w:eastAsia="zh-CN"/>
        </w:rPr>
        <w:t>10.35万元</w:t>
      </w:r>
      <w:r>
        <w:rPr>
          <w:rFonts w:ascii="仿宋" w:eastAsia="仿宋" w:hint="eastAsia"/>
          <w:sz w:val="32"/>
          <w:szCs w:val="32"/>
        </w:rPr>
        <w:t>、机关事业单位基本养老保险缴费</w:t>
      </w:r>
      <w:r>
        <w:rPr>
          <w:rFonts w:ascii="仿宋" w:eastAsia="仿宋" w:hint="eastAsia"/>
          <w:sz w:val="32"/>
          <w:szCs w:val="32"/>
          <w:lang w:val="en-US" w:eastAsia="zh-CN"/>
        </w:rPr>
        <w:t>22.28万元</w:t>
      </w:r>
      <w:r>
        <w:rPr>
          <w:rFonts w:ascii="仿宋" w:eastAsia="仿宋" w:hint="eastAsia"/>
          <w:sz w:val="32"/>
          <w:szCs w:val="32"/>
        </w:rPr>
        <w:t>、职业年金缴费</w:t>
      </w:r>
      <w:r>
        <w:rPr>
          <w:rFonts w:ascii="仿宋" w:eastAsia="仿宋" w:hint="eastAsia"/>
          <w:sz w:val="32"/>
          <w:szCs w:val="32"/>
          <w:lang w:val="en-US" w:eastAsia="zh-CN"/>
        </w:rPr>
        <w:t>11.05万元</w:t>
      </w:r>
      <w:r>
        <w:rPr>
          <w:rFonts w:ascii="仿宋" w:eastAsia="仿宋" w:hint="eastAsia"/>
          <w:sz w:val="32"/>
          <w:szCs w:val="32"/>
        </w:rPr>
        <w:t>、</w:t>
      </w:r>
      <w:r>
        <w:rPr>
          <w:rFonts w:ascii="仿宋" w:eastAsia="仿宋" w:hint="eastAsia"/>
          <w:sz w:val="32"/>
          <w:szCs w:val="32"/>
          <w:lang w:val="en-US" w:eastAsia="zh-CN"/>
        </w:rPr>
        <w:t>职工医疗保险缴费10.17万元、公务员医疗保险缴费2.63万元、</w:t>
      </w:r>
      <w:r>
        <w:rPr>
          <w:rFonts w:ascii="仿宋" w:eastAsia="仿宋" w:hint="eastAsia"/>
          <w:sz w:val="32"/>
          <w:szCs w:val="32"/>
        </w:rPr>
        <w:t>其他社会保障缴费</w:t>
      </w:r>
      <w:r>
        <w:rPr>
          <w:rFonts w:ascii="仿宋" w:eastAsia="仿宋" w:hint="eastAsia"/>
          <w:sz w:val="32"/>
          <w:szCs w:val="32"/>
          <w:lang w:val="en-US" w:eastAsia="zh-CN"/>
        </w:rPr>
        <w:t>0.62万元</w:t>
      </w:r>
      <w:r>
        <w:rPr>
          <w:rFonts w:ascii="仿宋" w:eastAsia="仿宋" w:hint="eastAsia"/>
          <w:sz w:val="32"/>
          <w:szCs w:val="32"/>
        </w:rPr>
        <w:t>、</w:t>
      </w:r>
      <w:r>
        <w:rPr>
          <w:rFonts w:ascii="仿宋" w:eastAsia="仿宋" w:hint="eastAsia"/>
          <w:sz w:val="32"/>
          <w:szCs w:val="32"/>
          <w:lang w:val="en-US" w:eastAsia="zh-CN"/>
        </w:rPr>
        <w:t>医疗费1.38万元、</w:t>
      </w:r>
      <w:r>
        <w:rPr>
          <w:rFonts w:ascii="仿宋" w:eastAsia="仿宋" w:hint="eastAsia"/>
          <w:sz w:val="32"/>
          <w:szCs w:val="32"/>
        </w:rPr>
        <w:t>其他工资福利支出</w:t>
      </w:r>
      <w:r>
        <w:rPr>
          <w:rFonts w:ascii="仿宋" w:eastAsia="仿宋" w:hint="eastAsia"/>
          <w:sz w:val="32"/>
          <w:szCs w:val="32"/>
          <w:lang w:val="en-US" w:eastAsia="zh-CN"/>
        </w:rPr>
        <w:t>9.22万元</w:t>
      </w:r>
      <w:r>
        <w:rPr>
          <w:rFonts w:ascii="仿宋" w:eastAsia="仿宋" w:hint="eastAsia"/>
          <w:sz w:val="32"/>
          <w:szCs w:val="32"/>
        </w:rPr>
        <w:t>、离休费</w:t>
      </w:r>
      <w:r>
        <w:rPr>
          <w:rFonts w:ascii="仿宋" w:eastAsia="仿宋" w:hint="eastAsia"/>
          <w:sz w:val="32"/>
          <w:szCs w:val="32"/>
          <w:lang w:val="en-US" w:eastAsia="zh-CN"/>
        </w:rPr>
        <w:t>0万元</w:t>
      </w:r>
      <w:r>
        <w:rPr>
          <w:rFonts w:ascii="仿宋" w:eastAsia="仿宋" w:hint="eastAsia"/>
          <w:sz w:val="32"/>
          <w:szCs w:val="32"/>
        </w:rPr>
        <w:t>、退休费</w:t>
      </w:r>
      <w:r>
        <w:rPr>
          <w:rFonts w:ascii="仿宋" w:eastAsia="仿宋" w:hint="eastAsia"/>
          <w:sz w:val="32"/>
          <w:szCs w:val="32"/>
          <w:lang w:val="en-US" w:eastAsia="zh-CN"/>
        </w:rPr>
        <w:t>0万元</w:t>
      </w:r>
      <w:r>
        <w:rPr>
          <w:rFonts w:ascii="仿宋" w:eastAsia="仿宋" w:hint="eastAsia"/>
          <w:sz w:val="32"/>
          <w:szCs w:val="32"/>
        </w:rPr>
        <w:t>、抚恤金</w:t>
      </w:r>
      <w:r>
        <w:rPr>
          <w:rFonts w:ascii="仿宋" w:eastAsia="仿宋" w:hint="eastAsia"/>
          <w:sz w:val="32"/>
          <w:szCs w:val="32"/>
          <w:lang w:val="en-US" w:eastAsia="zh-CN"/>
        </w:rPr>
        <w:t>0万元</w:t>
      </w:r>
      <w:r>
        <w:rPr>
          <w:rFonts w:ascii="仿宋" w:eastAsia="仿宋" w:hint="eastAsia"/>
          <w:sz w:val="32"/>
          <w:szCs w:val="32"/>
        </w:rPr>
        <w:t>、生活补助</w:t>
      </w:r>
      <w:r>
        <w:rPr>
          <w:rFonts w:ascii="仿宋" w:eastAsia="仿宋" w:hint="eastAsia"/>
          <w:sz w:val="32"/>
          <w:szCs w:val="32"/>
          <w:lang w:val="en-US" w:eastAsia="zh-CN"/>
        </w:rPr>
        <w:t>500.3万元</w:t>
      </w:r>
      <w:r>
        <w:rPr>
          <w:rFonts w:ascii="仿宋" w:eastAsia="仿宋" w:hint="eastAsia"/>
          <w:sz w:val="32"/>
          <w:szCs w:val="32"/>
        </w:rPr>
        <w:t>、医疗费补助</w:t>
      </w:r>
      <w:r>
        <w:rPr>
          <w:rFonts w:ascii="仿宋" w:eastAsia="仿宋" w:hint="eastAsia"/>
          <w:sz w:val="32"/>
          <w:szCs w:val="32"/>
          <w:lang w:val="en-US" w:eastAsia="zh-CN"/>
        </w:rPr>
        <w:t>65.36万元</w:t>
      </w:r>
      <w:r>
        <w:rPr>
          <w:rFonts w:ascii="仿宋" w:eastAsia="仿宋" w:hint="eastAsia"/>
          <w:sz w:val="32"/>
          <w:szCs w:val="32"/>
        </w:rPr>
        <w:t>、奖励金</w:t>
      </w:r>
      <w:r>
        <w:rPr>
          <w:rFonts w:ascii="仿宋" w:eastAsia="仿宋" w:hint="eastAsia"/>
          <w:sz w:val="32"/>
          <w:szCs w:val="32"/>
          <w:lang w:val="en-US" w:eastAsia="zh-CN"/>
        </w:rPr>
        <w:t>15.11万元</w:t>
      </w:r>
      <w:r>
        <w:rPr>
          <w:rFonts w:ascii="仿宋" w:eastAsia="仿宋" w:hint="eastAsia"/>
          <w:sz w:val="32"/>
          <w:szCs w:val="32"/>
        </w:rPr>
        <w:t>、住房公积金</w:t>
      </w:r>
      <w:r>
        <w:rPr>
          <w:rFonts w:ascii="仿宋" w:eastAsia="仿宋" w:hint="eastAsia"/>
          <w:sz w:val="32"/>
          <w:szCs w:val="32"/>
          <w:lang w:val="en-US" w:eastAsia="zh-CN"/>
        </w:rPr>
        <w:t>17.63万元</w:t>
      </w:r>
      <w:r>
        <w:rPr>
          <w:rFonts w:ascii="仿宋" w:eastAsia="仿宋" w:hint="eastAsia"/>
          <w:sz w:val="32"/>
          <w:szCs w:val="32"/>
        </w:rPr>
        <w:t>、其他对个人和家庭的补助支出等。</w:t>
      </w:r>
      <w:r>
        <w:rPr>
          <w:rFonts w:ascii="仿宋" w:eastAsia="仿宋"/>
          <w:sz w:val="32"/>
          <w:szCs w:val="32"/>
        </w:rPr>
        <w:br/>
      </w:r>
      <w:r>
        <w:rPr>
          <w:rFonts w:ascii="仿宋" w:eastAsia="仿宋" w:hint="eastAsia"/>
          <w:sz w:val="32"/>
          <w:szCs w:val="32"/>
        </w:rPr>
        <w:t>　　公用经费</w:t>
      </w:r>
      <w:r>
        <w:rPr>
          <w:rFonts w:eastAsia="仿宋" w:hint="eastAsia"/>
          <w:sz w:val="32"/>
          <w:szCs w:val="32"/>
          <w:lang w:val="en-US" w:eastAsia="zh-CN"/>
        </w:rPr>
        <w:t>18.05</w:t>
      </w:r>
      <w:r>
        <w:rPr>
          <w:rFonts w:ascii="仿宋" w:eastAsia="仿宋" w:hint="eastAsia"/>
          <w:sz w:val="32"/>
          <w:szCs w:val="32"/>
        </w:rPr>
        <w:t>万元，主要包括：办公费</w:t>
      </w:r>
      <w:r>
        <w:rPr>
          <w:rFonts w:ascii="仿宋" w:eastAsia="仿宋" w:hint="eastAsia"/>
          <w:sz w:val="32"/>
          <w:szCs w:val="32"/>
          <w:lang w:val="en-US" w:eastAsia="zh-CN"/>
        </w:rPr>
        <w:t>20.4万元</w:t>
      </w:r>
      <w:r>
        <w:rPr>
          <w:rFonts w:ascii="仿宋" w:eastAsia="仿宋" w:hint="eastAsia"/>
          <w:sz w:val="32"/>
          <w:szCs w:val="32"/>
        </w:rPr>
        <w:t>、印刷费</w:t>
      </w:r>
      <w:r>
        <w:rPr>
          <w:rFonts w:ascii="仿宋" w:eastAsia="仿宋" w:hint="eastAsia"/>
          <w:sz w:val="32"/>
          <w:szCs w:val="32"/>
          <w:lang w:val="en-US" w:eastAsia="zh-CN"/>
        </w:rPr>
        <w:t>0万元</w:t>
      </w:r>
      <w:r>
        <w:rPr>
          <w:rFonts w:ascii="仿宋" w:eastAsia="仿宋" w:hint="eastAsia"/>
          <w:sz w:val="32"/>
          <w:szCs w:val="32"/>
        </w:rPr>
        <w:t>、</w:t>
      </w:r>
      <w:r>
        <w:rPr>
          <w:rFonts w:ascii="仿宋" w:eastAsia="仿宋" w:hint="eastAsia"/>
          <w:sz w:val="32"/>
          <w:szCs w:val="32"/>
          <w:highlight w:val="auto"/>
        </w:rPr>
        <w:t>咨询费</w:t>
      </w:r>
      <w:r>
        <w:rPr>
          <w:rFonts w:ascii="仿宋" w:eastAsia="仿宋" w:hint="eastAsia"/>
          <w:sz w:val="32"/>
          <w:szCs w:val="32"/>
          <w:lang w:val="en-US" w:eastAsia="zh-CN"/>
          <w:highlight w:val="auto"/>
        </w:rPr>
        <w:t>0</w:t>
      </w:r>
      <w:r>
        <w:rPr>
          <w:rFonts w:ascii="仿宋" w:eastAsia="仿宋" w:hint="eastAsia"/>
          <w:sz w:val="32"/>
          <w:szCs w:val="32"/>
          <w:lang w:val="en-US" w:eastAsia="zh-CN"/>
        </w:rPr>
        <w:t>万元</w:t>
      </w:r>
      <w:r>
        <w:rPr>
          <w:rFonts w:ascii="仿宋" w:eastAsia="仿宋" w:hint="eastAsia"/>
          <w:sz w:val="32"/>
          <w:szCs w:val="32"/>
        </w:rPr>
        <w:t>、手续费</w:t>
      </w:r>
      <w:r>
        <w:rPr>
          <w:rFonts w:ascii="仿宋" w:eastAsia="仿宋" w:hint="eastAsia"/>
          <w:sz w:val="32"/>
          <w:szCs w:val="32"/>
          <w:lang w:val="en-US" w:eastAsia="zh-CN"/>
        </w:rPr>
        <w:t>0万元</w:t>
      </w:r>
      <w:r>
        <w:rPr>
          <w:rFonts w:ascii="仿宋" w:eastAsia="仿宋" w:hint="eastAsia"/>
          <w:sz w:val="32"/>
          <w:szCs w:val="32"/>
        </w:rPr>
        <w:t>、水费</w:t>
      </w:r>
      <w:r>
        <w:rPr>
          <w:rFonts w:ascii="仿宋" w:eastAsia="仿宋" w:hint="eastAsia"/>
          <w:sz w:val="32"/>
          <w:szCs w:val="32"/>
          <w:lang w:val="en-US" w:eastAsia="zh-CN"/>
        </w:rPr>
        <w:t>0.26万元</w:t>
      </w:r>
      <w:r>
        <w:rPr>
          <w:rFonts w:ascii="仿宋" w:eastAsia="仿宋" w:hint="eastAsia"/>
          <w:sz w:val="32"/>
          <w:szCs w:val="32"/>
        </w:rPr>
        <w:t>、电费</w:t>
      </w:r>
      <w:r>
        <w:rPr>
          <w:rFonts w:ascii="仿宋" w:eastAsia="仿宋" w:hint="eastAsia"/>
          <w:sz w:val="32"/>
          <w:szCs w:val="32"/>
          <w:lang w:val="en-US" w:eastAsia="zh-CN"/>
        </w:rPr>
        <w:t>0.10万元</w:t>
      </w:r>
      <w:r>
        <w:rPr>
          <w:rFonts w:ascii="仿宋" w:eastAsia="仿宋" w:hint="eastAsia"/>
          <w:sz w:val="32"/>
          <w:szCs w:val="32"/>
        </w:rPr>
        <w:t>、邮电费</w:t>
      </w:r>
      <w:r>
        <w:rPr>
          <w:rFonts w:ascii="仿宋" w:eastAsia="仿宋" w:hint="eastAsia"/>
          <w:sz w:val="32"/>
          <w:szCs w:val="32"/>
          <w:lang w:val="en-US" w:eastAsia="zh-CN"/>
        </w:rPr>
        <w:t>2.02万元</w:t>
      </w:r>
      <w:r>
        <w:rPr>
          <w:rFonts w:ascii="仿宋" w:eastAsia="仿宋" w:hint="eastAsia"/>
          <w:sz w:val="32"/>
          <w:szCs w:val="32"/>
        </w:rPr>
        <w:t>、取暖费</w:t>
      </w:r>
      <w:r>
        <w:rPr>
          <w:rFonts w:ascii="仿宋" w:eastAsia="仿宋" w:hint="eastAsia"/>
          <w:sz w:val="32"/>
          <w:szCs w:val="32"/>
          <w:lang w:val="en-US" w:eastAsia="zh-CN"/>
        </w:rPr>
        <w:t>0.3万元</w:t>
      </w:r>
      <w:r>
        <w:rPr>
          <w:rFonts w:ascii="仿宋" w:eastAsia="仿宋" w:hint="eastAsia"/>
          <w:sz w:val="32"/>
          <w:szCs w:val="32"/>
        </w:rPr>
        <w:t>、物业管理费</w:t>
      </w:r>
      <w:r>
        <w:rPr>
          <w:rFonts w:ascii="仿宋" w:eastAsia="仿宋" w:hint="eastAsia"/>
          <w:sz w:val="32"/>
          <w:szCs w:val="32"/>
          <w:lang w:val="en-US" w:eastAsia="zh-CN"/>
        </w:rPr>
        <w:t>0万元</w:t>
      </w:r>
      <w:r>
        <w:rPr>
          <w:rFonts w:ascii="仿宋" w:eastAsia="仿宋" w:hint="eastAsia"/>
          <w:sz w:val="32"/>
          <w:szCs w:val="32"/>
        </w:rPr>
        <w:t>、差旅费</w:t>
      </w:r>
      <w:r>
        <w:rPr>
          <w:rFonts w:ascii="仿宋" w:eastAsia="仿宋" w:hint="eastAsia"/>
          <w:sz w:val="32"/>
          <w:szCs w:val="32"/>
          <w:lang w:val="en-US" w:eastAsia="zh-CN"/>
        </w:rPr>
        <w:t>5.52万元</w:t>
      </w:r>
      <w:r>
        <w:rPr>
          <w:rFonts w:ascii="仿宋" w:eastAsia="仿宋" w:hint="eastAsia"/>
          <w:sz w:val="32"/>
          <w:szCs w:val="32"/>
        </w:rPr>
        <w:t>、因公出国（境）费用</w:t>
      </w:r>
      <w:r>
        <w:rPr>
          <w:rFonts w:ascii="仿宋" w:eastAsia="仿宋" w:hint="eastAsia"/>
          <w:sz w:val="32"/>
          <w:szCs w:val="32"/>
          <w:lang w:val="en-US" w:eastAsia="zh-CN"/>
        </w:rPr>
        <w:t>0万元</w:t>
      </w:r>
      <w:r>
        <w:rPr>
          <w:rFonts w:ascii="仿宋" w:eastAsia="仿宋" w:hint="eastAsia"/>
          <w:sz w:val="32"/>
          <w:szCs w:val="32"/>
        </w:rPr>
        <w:t>、维修（护）费</w:t>
      </w:r>
      <w:r>
        <w:rPr>
          <w:rFonts w:ascii="仿宋" w:eastAsia="仿宋" w:hint="eastAsia"/>
          <w:sz w:val="32"/>
          <w:szCs w:val="32"/>
          <w:lang w:val="en-US" w:eastAsia="zh-CN"/>
        </w:rPr>
        <w:t>6.33万元</w:t>
      </w:r>
      <w:r>
        <w:rPr>
          <w:rFonts w:ascii="仿宋" w:eastAsia="仿宋" w:hint="eastAsia"/>
          <w:sz w:val="32"/>
          <w:szCs w:val="32"/>
        </w:rPr>
        <w:t>、租赁费</w:t>
      </w:r>
      <w:r>
        <w:rPr>
          <w:rFonts w:ascii="仿宋" w:eastAsia="仿宋" w:hint="eastAsia"/>
          <w:sz w:val="32"/>
          <w:szCs w:val="32"/>
          <w:lang w:val="en-US" w:eastAsia="zh-CN"/>
        </w:rPr>
        <w:t>0万元</w:t>
      </w:r>
      <w:r>
        <w:rPr>
          <w:rFonts w:ascii="仿宋" w:eastAsia="仿宋" w:hint="eastAsia"/>
          <w:sz w:val="32"/>
          <w:szCs w:val="32"/>
        </w:rPr>
        <w:t>、会议费</w:t>
      </w:r>
      <w:r>
        <w:rPr>
          <w:rFonts w:ascii="仿宋" w:eastAsia="仿宋" w:hint="eastAsia"/>
          <w:sz w:val="32"/>
          <w:szCs w:val="32"/>
          <w:lang w:val="en-US" w:eastAsia="zh-CN"/>
        </w:rPr>
        <w:t>0万元</w:t>
      </w:r>
      <w:r>
        <w:rPr>
          <w:rFonts w:ascii="仿宋" w:eastAsia="仿宋" w:hint="eastAsia"/>
          <w:sz w:val="32"/>
          <w:szCs w:val="32"/>
        </w:rPr>
        <w:t>、培训费</w:t>
      </w:r>
      <w:r>
        <w:rPr>
          <w:rFonts w:ascii="仿宋" w:eastAsia="仿宋" w:hint="eastAsia"/>
          <w:sz w:val="32"/>
          <w:szCs w:val="32"/>
          <w:lang w:val="en-US" w:eastAsia="zh-CN"/>
        </w:rPr>
        <w:t>1.35万元</w:t>
      </w:r>
      <w:r>
        <w:rPr>
          <w:rFonts w:ascii="仿宋" w:eastAsia="仿宋" w:hint="eastAsia"/>
          <w:sz w:val="32"/>
          <w:szCs w:val="32"/>
        </w:rPr>
        <w:t>、公务接待费</w:t>
      </w:r>
      <w:r>
        <w:rPr>
          <w:rFonts w:ascii="仿宋" w:eastAsia="仿宋" w:hint="eastAsia"/>
          <w:sz w:val="32"/>
          <w:szCs w:val="32"/>
          <w:lang w:val="en-US" w:eastAsia="zh-CN"/>
        </w:rPr>
        <w:t>0万元</w:t>
      </w:r>
      <w:r>
        <w:rPr>
          <w:rFonts w:ascii="仿宋" w:eastAsia="仿宋" w:hint="eastAsia"/>
          <w:sz w:val="32"/>
          <w:szCs w:val="32"/>
        </w:rPr>
        <w:t>、劳务费</w:t>
      </w:r>
      <w:r>
        <w:rPr>
          <w:rFonts w:ascii="仿宋" w:eastAsia="仿宋" w:hint="eastAsia"/>
          <w:sz w:val="32"/>
          <w:szCs w:val="32"/>
          <w:lang w:val="en-US" w:eastAsia="zh-CN"/>
        </w:rPr>
        <w:t>0万元</w:t>
      </w:r>
      <w:r>
        <w:rPr>
          <w:rFonts w:ascii="仿宋" w:eastAsia="仿宋" w:hint="eastAsia"/>
          <w:sz w:val="32"/>
          <w:szCs w:val="32"/>
        </w:rPr>
        <w:t>、委托业务费</w:t>
      </w:r>
      <w:r>
        <w:rPr>
          <w:rFonts w:ascii="仿宋" w:eastAsia="仿宋" w:hint="eastAsia"/>
          <w:sz w:val="32"/>
          <w:szCs w:val="32"/>
          <w:lang w:val="en-US" w:eastAsia="zh-CN"/>
        </w:rPr>
        <w:t>0万元</w:t>
      </w:r>
      <w:r>
        <w:rPr>
          <w:rFonts w:ascii="仿宋" w:eastAsia="仿宋" w:hint="eastAsia"/>
          <w:sz w:val="32"/>
          <w:szCs w:val="32"/>
        </w:rPr>
        <w:t>、工会经费</w:t>
      </w:r>
      <w:r>
        <w:rPr>
          <w:rFonts w:ascii="仿宋" w:eastAsia="仿宋" w:hint="eastAsia"/>
          <w:sz w:val="32"/>
          <w:szCs w:val="32"/>
          <w:lang w:val="en-US" w:eastAsia="zh-CN"/>
        </w:rPr>
        <w:t>1.62万元</w:t>
      </w:r>
      <w:r>
        <w:rPr>
          <w:rFonts w:ascii="仿宋" w:eastAsia="仿宋" w:hint="eastAsia"/>
          <w:sz w:val="32"/>
          <w:szCs w:val="32"/>
        </w:rPr>
        <w:t>、福利费</w:t>
      </w:r>
      <w:r>
        <w:rPr>
          <w:rFonts w:ascii="仿宋" w:eastAsia="仿宋" w:hint="eastAsia"/>
          <w:sz w:val="32"/>
          <w:szCs w:val="32"/>
          <w:lang w:val="en-US" w:eastAsia="zh-CN"/>
        </w:rPr>
        <w:t>0.15万元</w:t>
      </w:r>
      <w:r>
        <w:rPr>
          <w:rFonts w:ascii="仿宋" w:eastAsia="仿宋" w:hint="eastAsia"/>
          <w:sz w:val="32"/>
          <w:szCs w:val="32"/>
        </w:rPr>
        <w:t>、公务用车运行维护费</w:t>
      </w:r>
      <w:r>
        <w:rPr>
          <w:rFonts w:ascii="仿宋" w:eastAsia="仿宋" w:hint="eastAsia"/>
          <w:sz w:val="32"/>
          <w:szCs w:val="32"/>
          <w:lang w:val="en-US" w:eastAsia="zh-CN"/>
        </w:rPr>
        <w:t>0万元</w:t>
      </w:r>
      <w:r>
        <w:rPr>
          <w:rFonts w:ascii="仿宋" w:eastAsia="仿宋" w:hint="eastAsia"/>
          <w:sz w:val="32"/>
          <w:szCs w:val="32"/>
        </w:rPr>
        <w:t>、其他交通费</w:t>
      </w:r>
      <w:r>
        <w:rPr>
          <w:rFonts w:ascii="仿宋" w:eastAsia="仿宋" w:hint="eastAsia"/>
          <w:sz w:val="32"/>
          <w:szCs w:val="32"/>
          <w:lang w:val="en-US" w:eastAsia="zh-CN"/>
        </w:rPr>
        <w:t>0.36万元</w:t>
      </w:r>
      <w:r>
        <w:rPr>
          <w:rFonts w:ascii="仿宋" w:eastAsia="仿宋" w:hint="eastAsia"/>
          <w:sz w:val="32"/>
          <w:szCs w:val="32"/>
        </w:rPr>
        <w:t>、税金及附加费用</w:t>
      </w:r>
      <w:r>
        <w:rPr>
          <w:rFonts w:ascii="仿宋" w:eastAsia="仿宋" w:hint="eastAsia"/>
          <w:sz w:val="32"/>
          <w:szCs w:val="32"/>
          <w:lang w:val="en-US" w:eastAsia="zh-CN"/>
        </w:rPr>
        <w:t>0万元</w:t>
      </w:r>
      <w:r>
        <w:rPr>
          <w:rFonts w:ascii="仿宋" w:eastAsia="仿宋" w:hint="eastAsia"/>
          <w:sz w:val="32"/>
          <w:szCs w:val="32"/>
        </w:rPr>
        <w:t>、其他商品和服务支出</w:t>
      </w:r>
      <w:r>
        <w:rPr>
          <w:rFonts w:ascii="仿宋" w:eastAsia="仿宋" w:hint="eastAsia"/>
          <w:sz w:val="32"/>
          <w:szCs w:val="32"/>
          <w:lang w:val="en-US" w:eastAsia="zh-CN"/>
        </w:rPr>
        <w:t>1.93万元</w:t>
      </w:r>
      <w:r>
        <w:rPr>
          <w:rFonts w:ascii="仿宋" w:eastAsia="仿宋" w:hint="eastAsia"/>
          <w:sz w:val="32"/>
          <w:szCs w:val="32"/>
        </w:rPr>
        <w:t>、办公设备购置</w:t>
      </w:r>
      <w:r>
        <w:rPr>
          <w:rFonts w:ascii="仿宋" w:eastAsia="仿宋" w:hint="eastAsia"/>
          <w:sz w:val="32"/>
          <w:szCs w:val="32"/>
          <w:lang w:val="en-US" w:eastAsia="zh-CN"/>
        </w:rPr>
        <w:t>0万元</w:t>
      </w:r>
      <w:r>
        <w:rPr>
          <w:rFonts w:ascii="仿宋" w:eastAsia="仿宋" w:hint="eastAsia"/>
          <w:sz w:val="32"/>
          <w:szCs w:val="32"/>
        </w:rPr>
        <w:t>、专用设备购置</w:t>
      </w:r>
      <w:r>
        <w:rPr>
          <w:rFonts w:ascii="仿宋" w:eastAsia="仿宋" w:hint="eastAsia"/>
          <w:sz w:val="32"/>
          <w:szCs w:val="32"/>
          <w:lang w:val="en-US" w:eastAsia="zh-CN"/>
        </w:rPr>
        <w:t>0万元</w:t>
      </w:r>
      <w:r>
        <w:rPr>
          <w:rFonts w:ascii="仿宋" w:eastAsia="仿宋" w:hint="eastAsia"/>
          <w:sz w:val="32"/>
          <w:szCs w:val="32"/>
        </w:rPr>
        <w:t>、信息网络及软件购置更新</w:t>
      </w:r>
      <w:r>
        <w:rPr>
          <w:rFonts w:ascii="仿宋" w:eastAsia="仿宋" w:hint="eastAsia"/>
          <w:sz w:val="32"/>
          <w:szCs w:val="32"/>
          <w:lang w:val="en-US" w:eastAsia="zh-CN"/>
        </w:rPr>
        <w:t>0万元</w:t>
      </w:r>
      <w:r>
        <w:rPr>
          <w:rFonts w:ascii="仿宋" w:eastAsia="仿宋" w:hint="eastAsia"/>
          <w:sz w:val="32"/>
          <w:szCs w:val="32"/>
        </w:rPr>
        <w:t>、其他资本性支出等。</w:t>
      </w:r>
    </w:p>
    <w:p>
      <w:pPr>
        <w:spacing w:line="600" w:lineRule="exact"/>
        <w:ind w:firstLine="640"/>
        <w:outlineLvl w:val="1"/>
        <w:rPr>
          <w:rStyle w:val="2Char"/>
          <w:rFonts w:ascii="黑体" w:eastAsia="黑体"/>
          <w:b w:val="0"/>
        </w:rPr>
      </w:pPr>
      <w:bookmarkStart w:id="51" w:name="_Toc15377215"/>
      <w:bookmarkStart w:id="52" w:name="_Toc15396609"/>
      <w:r>
        <w:rPr>
          <w:rFonts w:ascii="黑体" w:eastAsia="黑体" w:hint="eastAsia"/>
          <w:sz w:val="32"/>
          <w:szCs w:val="32"/>
        </w:rPr>
        <w:t>七、</w:t>
      </w:r>
      <w:r>
        <w:rPr>
          <w:rStyle w:val="2Char"/>
          <w:rFonts w:ascii="黑体" w:eastAsia="黑体" w:hint="eastAsia"/>
          <w:b w:val="0"/>
        </w:rPr>
        <w:t>财政拨款</w:t>
      </w:r>
      <w:r>
        <w:rPr>
          <w:rStyle w:val="2Char"/>
          <w:rFonts w:ascii="黑体" w:eastAsia="黑体" w:hint="eastAsia"/>
        </w:rPr>
        <w:t>“</w:t>
      </w:r>
      <w:r>
        <w:rPr>
          <w:rStyle w:val="2Char"/>
          <w:rFonts w:ascii="黑体" w:eastAsia="黑体" w:hint="eastAsia"/>
          <w:b w:val="0"/>
        </w:rPr>
        <w:t>三公”经费支出决算情况说明</w:t>
      </w:r>
      <w:bookmarkEnd w:id="51"/>
      <w:bookmarkEnd w:id="52"/>
    </w:p>
    <w:p>
      <w:pPr>
        <w:spacing w:line="600" w:lineRule="exact"/>
        <w:ind w:firstLine="640"/>
        <w:outlineLvl w:val="2"/>
        <w:rPr>
          <w:rFonts w:ascii="仿宋" w:eastAsia="仿宋"/>
          <w:b/>
          <w:sz w:val="32"/>
          <w:szCs w:val="32"/>
        </w:rPr>
      </w:pPr>
      <w:bookmarkStart w:id="53" w:name="_Toc15377216"/>
      <w:r>
        <w:rPr>
          <w:rFonts w:ascii="仿宋" w:eastAsia="仿宋" w:hint="eastAsia"/>
          <w:b/>
          <w:sz w:val="32"/>
          <w:szCs w:val="32"/>
        </w:rPr>
        <w:t>（一）“三公”经费财政拨款支出决算总体情况说明</w:t>
      </w:r>
      <w:bookmarkEnd w:id="53"/>
    </w:p>
    <w:p>
      <w:pPr>
        <w:spacing w:line="600" w:lineRule="exact"/>
        <w:ind w:firstLine="640"/>
        <w:rPr>
          <w:rFonts w:ascii="仿宋" w:eastAsia="仿宋"/>
          <w:b/>
          <w:sz w:val="32"/>
          <w:szCs w:val="32"/>
        </w:rPr>
      </w:pPr>
      <w:r>
        <w:rPr>
          <w:rFonts w:ascii="仿宋" w:eastAsia="仿宋" w:hint="eastAsia"/>
          <w:sz w:val="32"/>
          <w:szCs w:val="32"/>
        </w:rPr>
        <w:t>202</w:t>
      </w:r>
      <w:r>
        <w:rPr>
          <w:rFonts w:ascii="仿宋" w:eastAsia="仿宋" w:hint="eastAsia"/>
          <w:sz w:val="32"/>
          <w:szCs w:val="32"/>
          <w:lang w:val="en-US" w:eastAsia="zh-CN"/>
        </w:rPr>
        <w:t>5</w:t>
      </w:r>
      <w:r>
        <w:rPr>
          <w:rFonts w:ascii="仿宋" w:eastAsia="仿宋" w:hint="eastAsia"/>
          <w:sz w:val="32"/>
          <w:szCs w:val="32"/>
        </w:rPr>
        <w:t>年度“三公”经费财政拨款支出决算为</w:t>
      </w:r>
      <w:r>
        <w:rPr>
          <w:sz w:val="32"/>
          <w:szCs w:val="32"/>
        </w:rPr>
        <w:t>0</w:t>
      </w:r>
      <w:r>
        <w:rPr>
          <w:rFonts w:ascii="仿宋" w:eastAsia="仿宋" w:hint="eastAsia"/>
          <w:sz w:val="32"/>
          <w:szCs w:val="32"/>
        </w:rPr>
        <w:t>万元，完成预算</w:t>
      </w:r>
      <w:r>
        <w:rPr>
          <w:sz w:val="32"/>
          <w:szCs w:val="32"/>
        </w:rPr>
        <w:t>0</w:t>
      </w:r>
      <w:r>
        <w:rPr>
          <w:rFonts w:ascii="仿宋" w:eastAsia="仿宋"/>
          <w:sz w:val="32"/>
          <w:szCs w:val="32"/>
        </w:rPr>
        <w:t>%</w:t>
      </w:r>
      <w:r>
        <w:rPr>
          <w:rFonts w:ascii="仿宋" w:eastAsia="仿宋" w:hint="eastAsia"/>
          <w:sz w:val="32"/>
          <w:szCs w:val="32"/>
        </w:rPr>
        <w:t>，较上年度减少</w:t>
      </w:r>
      <w:r>
        <w:rPr>
          <w:rFonts w:ascii="仿宋" w:eastAsia="仿宋" w:hint="eastAsia"/>
          <w:sz w:val="32"/>
          <w:szCs w:val="32"/>
          <w:lang w:val="en-US" w:eastAsia="zh-CN"/>
        </w:rPr>
        <w:t>0</w:t>
      </w:r>
      <w:r>
        <w:rPr>
          <w:rFonts w:ascii="仿宋" w:eastAsia="仿宋" w:hint="eastAsia"/>
          <w:sz w:val="32"/>
          <w:szCs w:val="32"/>
        </w:rPr>
        <w:t>万元，下降</w:t>
      </w:r>
      <w:r>
        <w:rPr>
          <w:rFonts w:ascii="仿宋" w:eastAsia="仿宋" w:hint="eastAsia"/>
          <w:sz w:val="32"/>
          <w:szCs w:val="32"/>
          <w:lang w:val="en-US" w:eastAsia="zh-CN"/>
        </w:rPr>
        <w:t>0</w:t>
      </w:r>
      <w:r>
        <w:rPr>
          <w:rFonts w:ascii="仿宋" w:eastAsia="仿宋" w:hint="eastAsia"/>
          <w:sz w:val="32"/>
          <w:szCs w:val="32"/>
        </w:rPr>
        <w:t>%。</w:t>
      </w:r>
    </w:p>
    <w:p>
      <w:pPr>
        <w:spacing w:line="600" w:lineRule="exact"/>
        <w:ind w:firstLine="640"/>
        <w:outlineLvl w:val="2"/>
        <w:rPr>
          <w:rFonts w:ascii="仿宋" w:eastAsia="仿宋"/>
          <w:b/>
          <w:sz w:val="32"/>
          <w:szCs w:val="32"/>
        </w:rPr>
      </w:pPr>
      <w:bookmarkStart w:id="54" w:name="_Toc15377217"/>
      <w:r>
        <w:rPr>
          <w:rFonts w:ascii="仿宋" w:eastAsia="仿宋" w:hint="eastAsia"/>
          <w:b/>
          <w:sz w:val="32"/>
          <w:szCs w:val="32"/>
        </w:rPr>
        <w:t>（二）“三公”经费财政拨款支出决算具体情况说明</w:t>
      </w:r>
      <w:bookmarkEnd w:id="54"/>
    </w:p>
    <w:p>
      <w:pPr>
        <w:spacing w:line="600" w:lineRule="exact"/>
        <w:ind w:firstLine="640"/>
        <w:rPr>
          <w:rFonts w:ascii="仿宋" w:eastAsia="仿宋"/>
          <w:sz w:val="32"/>
          <w:szCs w:val="32"/>
        </w:rPr>
      </w:pPr>
      <w:r>
        <w:rPr>
          <w:rFonts w:ascii="仿宋" w:eastAsia="仿宋" w:hint="eastAsia"/>
          <w:sz w:val="32"/>
          <w:szCs w:val="32"/>
        </w:rPr>
        <w:t>202</w:t>
      </w:r>
      <w:r>
        <w:rPr>
          <w:rFonts w:ascii="仿宋" w:eastAsia="仿宋" w:hint="eastAsia"/>
          <w:sz w:val="32"/>
          <w:szCs w:val="32"/>
          <w:lang w:val="en-US" w:eastAsia="zh-CN"/>
        </w:rPr>
        <w:t>5</w:t>
      </w:r>
      <w:r>
        <w:rPr>
          <w:rFonts w:ascii="仿宋" w:eastAsia="仿宋" w:hint="eastAsia"/>
          <w:sz w:val="32"/>
          <w:szCs w:val="32"/>
        </w:rPr>
        <w:t>年度“三公”经费财政拨款支出决算中，因公出国（境）费支出决算</w:t>
      </w:r>
      <w:r>
        <w:rPr>
          <w:sz w:val="32"/>
          <w:szCs w:val="32"/>
        </w:rPr>
        <w:t>0</w:t>
      </w:r>
      <w:r>
        <w:rPr>
          <w:rFonts w:ascii="仿宋" w:eastAsia="仿宋" w:hint="eastAsia"/>
          <w:sz w:val="32"/>
          <w:szCs w:val="32"/>
        </w:rPr>
        <w:t>万元，占</w:t>
      </w:r>
      <w:r>
        <w:rPr>
          <w:sz w:val="32"/>
          <w:szCs w:val="32"/>
        </w:rPr>
        <w:t>0</w:t>
      </w:r>
      <w:r>
        <w:rPr>
          <w:rFonts w:ascii="仿宋" w:eastAsia="仿宋"/>
          <w:sz w:val="32"/>
          <w:szCs w:val="32"/>
        </w:rPr>
        <w:t>%</w:t>
      </w:r>
      <w:r>
        <w:rPr>
          <w:rFonts w:ascii="仿宋" w:eastAsia="仿宋" w:hint="eastAsia"/>
          <w:sz w:val="32"/>
          <w:szCs w:val="32"/>
        </w:rPr>
        <w:t>；公务用车购置及运行维护费支出决算</w:t>
      </w:r>
      <w:r>
        <w:rPr>
          <w:sz w:val="32"/>
          <w:szCs w:val="32"/>
        </w:rPr>
        <w:t>0</w:t>
      </w:r>
      <w:r>
        <w:rPr>
          <w:rFonts w:ascii="仿宋" w:eastAsia="仿宋" w:hint="eastAsia"/>
          <w:sz w:val="32"/>
          <w:szCs w:val="32"/>
        </w:rPr>
        <w:t>万元，占</w:t>
      </w:r>
      <w:r>
        <w:rPr>
          <w:sz w:val="32"/>
          <w:szCs w:val="32"/>
        </w:rPr>
        <w:t>0</w:t>
      </w:r>
      <w:r>
        <w:rPr>
          <w:rFonts w:ascii="仿宋" w:eastAsia="仿宋"/>
          <w:sz w:val="32"/>
          <w:szCs w:val="32"/>
        </w:rPr>
        <w:t>%</w:t>
      </w:r>
      <w:r>
        <w:rPr>
          <w:rFonts w:ascii="仿宋" w:eastAsia="仿宋" w:hint="eastAsia"/>
          <w:sz w:val="32"/>
          <w:szCs w:val="32"/>
        </w:rPr>
        <w:t>；公务接待费支出决算</w:t>
      </w:r>
      <w:r>
        <w:rPr>
          <w:sz w:val="32"/>
          <w:szCs w:val="32"/>
        </w:rPr>
        <w:t>0</w:t>
      </w:r>
      <w:r>
        <w:rPr>
          <w:rFonts w:ascii="仿宋" w:eastAsia="仿宋" w:hint="eastAsia"/>
          <w:sz w:val="32"/>
          <w:szCs w:val="32"/>
        </w:rPr>
        <w:t>万元，占</w:t>
      </w:r>
      <w:r>
        <w:rPr>
          <w:sz w:val="32"/>
          <w:szCs w:val="32"/>
        </w:rPr>
        <w:t>0</w:t>
      </w:r>
      <w:r>
        <w:rPr>
          <w:rFonts w:ascii="仿宋" w:eastAsia="仿宋"/>
          <w:sz w:val="32"/>
          <w:szCs w:val="32"/>
        </w:rPr>
        <w:t>%</w:t>
      </w:r>
      <w:r>
        <w:rPr>
          <w:rFonts w:ascii="仿宋" w:eastAsia="仿宋" w:hint="eastAsia"/>
          <w:sz w:val="32"/>
          <w:szCs w:val="32"/>
        </w:rPr>
        <w:t>。具体情况如下：</w:t>
      </w:r>
    </w:p>
    <w:p>
      <w:pPr>
        <w:spacing w:line="600" w:lineRule="exact"/>
        <w:ind w:firstLine="640"/>
        <w:rPr>
          <w:rFonts w:ascii="仿宋" w:eastAsia="仿宋"/>
          <w:sz w:val="32"/>
          <w:szCs w:val="32"/>
        </w:rPr>
      </w:pPr>
      <w:r>
        <w:rPr>
          <w:rFonts w:ascii="仿宋" w:eastAsia="仿宋" w:hint="eastAsia"/>
          <w:sz w:val="32"/>
          <w:szCs w:val="32"/>
        </w:rPr>
        <w:t>（图7：“三公”经费财政拨款支出结构）（饼状图）</w:t>
      </w:r>
    </w:p>
    <w:p>
      <w:pPr>
        <w:spacing w:line="600" w:lineRule="exact"/>
        <w:ind w:firstLine="640"/>
        <w:rPr>
          <w:rFonts w:ascii="仿宋_GB2312" w:eastAsia="仿宋_GB2312"/>
          <w:b/>
          <w:sz w:val="32"/>
          <w:szCs w:val="32"/>
        </w:rPr>
      </w:pPr>
      <w:r>
        <w:rPr>
          <w:rFonts w:ascii="仿宋_GB2312" w:eastAsia="仿宋_GB2312"/>
          <w:b/>
          <w:sz w:val="32"/>
          <w:szCs w:val="32"/>
        </w:rPr>
        <w:t>1.</w:t>
      </w:r>
      <w:r>
        <w:rPr>
          <w:rFonts w:ascii="仿宋_GB2312" w:eastAsia="仿宋_GB2312" w:hint="eastAsia"/>
          <w:b/>
          <w:sz w:val="32"/>
          <w:szCs w:val="32"/>
        </w:rPr>
        <w:t>因公出国（境）经费支出</w:t>
      </w:r>
      <w:r>
        <w:rPr>
          <w:sz w:val="32"/>
          <w:szCs w:val="32"/>
        </w:rPr>
        <w:t>0</w:t>
      </w:r>
      <w:r>
        <w:rPr>
          <w:rFonts w:ascii="仿宋_GB2312" w:eastAsia="仿宋_GB2312" w:hint="eastAsia"/>
          <w:sz w:val="32"/>
          <w:szCs w:val="32"/>
        </w:rPr>
        <w:t>万元，</w:t>
      </w:r>
      <w:r>
        <w:rPr>
          <w:rStyle w:val="26"/>
          <w:rFonts w:ascii="仿宋" w:eastAsia="仿宋" w:hint="eastAsia"/>
          <w:b w:val="0"/>
          <w:bCs/>
          <w:sz w:val="32"/>
          <w:szCs w:val="32"/>
        </w:rPr>
        <w:t>完成预算</w:t>
      </w:r>
      <w:r>
        <w:rPr>
          <w:sz w:val="32"/>
          <w:szCs w:val="32"/>
        </w:rPr>
        <w:t>0</w:t>
      </w:r>
      <w:r>
        <w:rPr>
          <w:rStyle w:val="26"/>
          <w:rFonts w:ascii="仿宋" w:eastAsia="仿宋"/>
          <w:b w:val="0"/>
          <w:bCs/>
          <w:sz w:val="32"/>
          <w:szCs w:val="32"/>
        </w:rPr>
        <w:t>%</w:t>
      </w:r>
      <w:r>
        <w:rPr>
          <w:rStyle w:val="26"/>
          <w:rFonts w:ascii="仿宋" w:eastAsia="仿宋" w:hint="eastAsia"/>
          <w:b w:val="0"/>
          <w:bCs/>
          <w:sz w:val="32"/>
          <w:szCs w:val="32"/>
        </w:rPr>
        <w:t>。</w:t>
      </w:r>
      <w:r>
        <w:rPr>
          <w:rFonts w:ascii="仿宋_GB2312" w:eastAsia="仿宋_GB2312" w:hint="eastAsia"/>
          <w:sz w:val="32"/>
          <w:szCs w:val="32"/>
        </w:rPr>
        <w:t>全年安排因公出国（境）团组</w:t>
      </w:r>
      <w:r>
        <w:rPr>
          <w:sz w:val="32"/>
          <w:szCs w:val="32"/>
        </w:rPr>
        <w:t>0</w:t>
      </w:r>
      <w:r>
        <w:rPr>
          <w:rFonts w:ascii="仿宋_GB2312" w:eastAsia="仿宋_GB2312" w:hint="eastAsia"/>
          <w:sz w:val="32"/>
          <w:szCs w:val="32"/>
        </w:rPr>
        <w:t>次，出国（境）</w:t>
      </w:r>
      <w:r>
        <w:rPr>
          <w:sz w:val="32"/>
          <w:szCs w:val="32"/>
        </w:rPr>
        <w:t>0</w:t>
      </w:r>
      <w:r>
        <w:rPr>
          <w:rFonts w:ascii="仿宋_GB2312" w:eastAsia="仿宋_GB2312" w:hint="eastAsia"/>
          <w:sz w:val="32"/>
          <w:szCs w:val="32"/>
        </w:rPr>
        <w:t>人。因公出国（境）支出决算比202</w:t>
      </w:r>
      <w:r>
        <w:rPr>
          <w:rFonts w:ascii="仿宋_GB2312" w:eastAsia="仿宋_GB2312" w:hint="eastAsia"/>
          <w:sz w:val="32"/>
          <w:szCs w:val="32"/>
          <w:lang w:val="en-US" w:eastAsia="zh-CN"/>
        </w:rPr>
        <w:t>4</w:t>
      </w:r>
      <w:r>
        <w:rPr>
          <w:rFonts w:ascii="仿宋_GB2312" w:eastAsia="仿宋_GB2312" w:hint="eastAsia"/>
          <w:sz w:val="32"/>
          <w:szCs w:val="32"/>
        </w:rPr>
        <w:t>年增加</w:t>
      </w:r>
      <w:r>
        <w:rPr>
          <w:rFonts w:ascii="仿宋_GB2312" w:eastAsia="仿宋_GB2312"/>
          <w:sz w:val="32"/>
          <w:szCs w:val="32"/>
        </w:rPr>
        <w:t>/</w:t>
      </w:r>
      <w:r>
        <w:rPr>
          <w:rFonts w:ascii="仿宋_GB2312" w:eastAsia="仿宋_GB2312" w:hint="eastAsia"/>
          <w:sz w:val="32"/>
          <w:szCs w:val="32"/>
        </w:rPr>
        <w:t>减少</w:t>
      </w:r>
      <w:r>
        <w:rPr>
          <w:rFonts w:ascii="仿宋_GB2312" w:eastAsia="仿宋_GB2312" w:hint="eastAsia"/>
          <w:sz w:val="32"/>
          <w:szCs w:val="32"/>
          <w:lang w:val="en-US" w:eastAsia="zh-CN"/>
        </w:rPr>
        <w:t>0</w:t>
      </w:r>
      <w:r>
        <w:rPr>
          <w:rFonts w:ascii="仿宋_GB2312" w:eastAsia="仿宋_GB2312" w:hint="eastAsia"/>
          <w:sz w:val="32"/>
          <w:szCs w:val="32"/>
        </w:rPr>
        <w:t>万元，增长</w:t>
      </w:r>
      <w:r>
        <w:rPr>
          <w:rFonts w:ascii="仿宋_GB2312" w:eastAsia="仿宋_GB2312"/>
          <w:sz w:val="32"/>
          <w:szCs w:val="32"/>
        </w:rPr>
        <w:t>/</w:t>
      </w:r>
      <w:r>
        <w:rPr>
          <w:rFonts w:ascii="仿宋_GB2312" w:eastAsia="仿宋_GB2312" w:hint="eastAsia"/>
          <w:sz w:val="32"/>
          <w:szCs w:val="32"/>
        </w:rPr>
        <w:t>下降</w:t>
      </w:r>
      <w:r>
        <w:rPr>
          <w:rFonts w:ascii="仿宋_GB2312" w:eastAsia="仿宋_GB2312" w:hint="eastAsia"/>
          <w:sz w:val="32"/>
          <w:szCs w:val="32"/>
          <w:lang w:val="en-US" w:eastAsia="zh-CN"/>
        </w:rPr>
        <w:t>0</w:t>
      </w:r>
      <w:r>
        <w:rPr>
          <w:rFonts w:ascii="仿宋_GB2312" w:eastAsia="仿宋_GB2312"/>
          <w:sz w:val="32"/>
          <w:szCs w:val="32"/>
        </w:rPr>
        <w:t>%</w:t>
      </w:r>
      <w:r>
        <w:rPr>
          <w:rFonts w:ascii="仿宋_GB2312" w:eastAsia="仿宋_GB2312" w:hint="eastAsia"/>
          <w:sz w:val="32"/>
          <w:szCs w:val="32"/>
        </w:rPr>
        <w:t>。主要原因是</w:t>
      </w:r>
      <w:r>
        <w:rPr>
          <w:rFonts w:ascii="仿宋_GB2312" w:eastAsia="仿宋_GB2312" w:hint="eastAsia"/>
          <w:sz w:val="32"/>
          <w:szCs w:val="32"/>
          <w:lang w:val="en-US" w:eastAsia="zh-CN"/>
        </w:rPr>
        <w:t>厉行节约</w:t>
      </w:r>
      <w:r>
        <w:rPr>
          <w:rFonts w:ascii="仿宋_GB2312" w:eastAsia="仿宋_GB2312" w:hint="eastAsia"/>
          <w:sz w:val="32"/>
          <w:szCs w:val="32"/>
        </w:rPr>
        <w:t>。</w:t>
      </w:r>
    </w:p>
    <w:p>
      <w:pPr>
        <w:spacing w:line="600" w:lineRule="exact"/>
        <w:ind w:firstLine="640"/>
        <w:rPr>
          <w:rFonts w:ascii="仿宋_GB2312" w:eastAsia="仿宋_GB2312"/>
          <w:b/>
          <w:sz w:val="32"/>
          <w:szCs w:val="32"/>
        </w:rPr>
      </w:pPr>
      <w:r>
        <w:rPr>
          <w:rFonts w:ascii="仿宋_GB2312" w:eastAsia="仿宋_GB2312"/>
          <w:b/>
          <w:sz w:val="32"/>
          <w:szCs w:val="32"/>
        </w:rPr>
        <w:t>2.</w:t>
      </w:r>
      <w:r>
        <w:rPr>
          <w:rFonts w:ascii="仿宋_GB2312" w:eastAsia="仿宋_GB2312" w:hint="eastAsia"/>
          <w:b/>
          <w:sz w:val="32"/>
          <w:szCs w:val="32"/>
        </w:rPr>
        <w:t>公务用车购置及运行维护费支出</w:t>
      </w:r>
      <w:r>
        <w:rPr>
          <w:sz w:val="32"/>
          <w:szCs w:val="32"/>
        </w:rPr>
        <w:t>0</w:t>
      </w:r>
      <w:r>
        <w:rPr>
          <w:rFonts w:ascii="仿宋_GB2312" w:eastAsia="仿宋_GB2312" w:hint="eastAsia"/>
          <w:sz w:val="32"/>
          <w:szCs w:val="32"/>
        </w:rPr>
        <w:t>万元,</w:t>
      </w:r>
      <w:r>
        <w:rPr>
          <w:rStyle w:val="26"/>
          <w:rFonts w:ascii="仿宋" w:eastAsia="仿宋" w:hint="eastAsia"/>
          <w:b w:val="0"/>
          <w:bCs/>
          <w:sz w:val="32"/>
          <w:szCs w:val="32"/>
        </w:rPr>
        <w:t>完成预算</w:t>
      </w:r>
      <w:r>
        <w:rPr>
          <w:sz w:val="32"/>
          <w:szCs w:val="32"/>
        </w:rPr>
        <w:t>0</w:t>
      </w:r>
      <w:r>
        <w:rPr>
          <w:rStyle w:val="26"/>
          <w:rFonts w:ascii="仿宋" w:eastAsia="仿宋"/>
          <w:b w:val="0"/>
          <w:bCs/>
          <w:sz w:val="32"/>
          <w:szCs w:val="32"/>
        </w:rPr>
        <w:t>%</w:t>
      </w:r>
      <w:r>
        <w:rPr>
          <w:rStyle w:val="26"/>
          <w:rFonts w:ascii="仿宋" w:eastAsia="仿宋" w:hint="eastAsia"/>
          <w:b w:val="0"/>
          <w:bCs/>
          <w:sz w:val="32"/>
          <w:szCs w:val="32"/>
        </w:rPr>
        <w:t>。</w:t>
      </w:r>
      <w:r>
        <w:rPr>
          <w:rFonts w:ascii="仿宋_GB2312" w:eastAsia="仿宋_GB2312" w:hint="eastAsia"/>
          <w:sz w:val="32"/>
          <w:szCs w:val="32"/>
        </w:rPr>
        <w:t>公务用车购置及运行维护费支出决算比202</w:t>
      </w:r>
      <w:r>
        <w:rPr>
          <w:rFonts w:ascii="仿宋_GB2312" w:eastAsia="仿宋_GB2312" w:hint="eastAsia"/>
          <w:sz w:val="32"/>
          <w:szCs w:val="32"/>
          <w:lang w:val="en-US" w:eastAsia="zh-CN"/>
        </w:rPr>
        <w:t>4</w:t>
      </w:r>
      <w:r>
        <w:rPr>
          <w:rFonts w:ascii="仿宋_GB2312" w:eastAsia="仿宋_GB2312" w:hint="eastAsia"/>
          <w:sz w:val="32"/>
          <w:szCs w:val="32"/>
        </w:rPr>
        <w:t>年度增加</w:t>
      </w:r>
      <w:r>
        <w:rPr>
          <w:rFonts w:ascii="仿宋_GB2312" w:eastAsia="仿宋_GB2312"/>
          <w:sz w:val="32"/>
          <w:szCs w:val="32"/>
        </w:rPr>
        <w:t>/</w:t>
      </w:r>
      <w:r>
        <w:rPr>
          <w:rFonts w:ascii="仿宋_GB2312" w:eastAsia="仿宋_GB2312" w:hint="eastAsia"/>
          <w:sz w:val="32"/>
          <w:szCs w:val="32"/>
        </w:rPr>
        <w:t>减少</w:t>
      </w:r>
      <w:r>
        <w:rPr>
          <w:rFonts w:ascii="仿宋_GB2312" w:eastAsia="仿宋_GB2312" w:hint="eastAsia"/>
          <w:sz w:val="32"/>
          <w:szCs w:val="32"/>
          <w:lang w:val="en-US" w:eastAsia="zh-CN"/>
        </w:rPr>
        <w:t>0</w:t>
      </w:r>
      <w:r>
        <w:rPr>
          <w:rFonts w:ascii="仿宋_GB2312" w:eastAsia="仿宋_GB2312" w:hint="eastAsia"/>
          <w:sz w:val="32"/>
          <w:szCs w:val="32"/>
        </w:rPr>
        <w:t>万元，增长</w:t>
      </w:r>
      <w:r>
        <w:rPr>
          <w:rFonts w:ascii="仿宋_GB2312" w:eastAsia="仿宋_GB2312"/>
          <w:sz w:val="32"/>
          <w:szCs w:val="32"/>
        </w:rPr>
        <w:t>/</w:t>
      </w:r>
      <w:r>
        <w:rPr>
          <w:rFonts w:ascii="仿宋_GB2312" w:eastAsia="仿宋_GB2312" w:hint="eastAsia"/>
          <w:sz w:val="32"/>
          <w:szCs w:val="32"/>
        </w:rPr>
        <w:t>下降</w:t>
      </w:r>
      <w:r>
        <w:rPr>
          <w:rFonts w:ascii="仿宋_GB2312" w:eastAsia="仿宋_GB2312" w:hint="eastAsia"/>
          <w:sz w:val="32"/>
          <w:szCs w:val="32"/>
          <w:lang w:val="en-US" w:eastAsia="zh-CN"/>
        </w:rPr>
        <w:t>0</w:t>
      </w:r>
      <w:r>
        <w:rPr>
          <w:rFonts w:ascii="仿宋_GB2312" w:eastAsia="仿宋_GB2312"/>
          <w:sz w:val="32"/>
          <w:szCs w:val="32"/>
        </w:rPr>
        <w:t>%</w:t>
      </w:r>
      <w:r>
        <w:rPr>
          <w:rFonts w:ascii="仿宋_GB2312" w:eastAsia="仿宋_GB2312" w:hint="eastAsia"/>
          <w:sz w:val="32"/>
          <w:szCs w:val="32"/>
        </w:rPr>
        <w:t>。主要原因是</w:t>
      </w:r>
      <w:r>
        <w:rPr>
          <w:rFonts w:ascii="仿宋_GB2312" w:eastAsia="仿宋_GB2312" w:hint="eastAsia"/>
          <w:sz w:val="32"/>
          <w:szCs w:val="32"/>
          <w:lang w:val="en-US" w:eastAsia="zh-CN"/>
        </w:rPr>
        <w:t>厉行节约</w:t>
      </w:r>
      <w:r>
        <w:rPr>
          <w:rFonts w:ascii="仿宋_GB2312" w:eastAsia="仿宋_GB2312" w:hint="eastAsia"/>
          <w:sz w:val="32"/>
          <w:szCs w:val="32"/>
        </w:rPr>
        <w:t>。</w:t>
      </w:r>
    </w:p>
    <w:p>
      <w:pPr>
        <w:spacing w:line="600" w:lineRule="exact"/>
        <w:ind w:firstLineChars="200" w:firstLine="640"/>
        <w:rPr>
          <w:rFonts w:ascii="仿宋_GB2312" w:eastAsia="仿宋_GB2312"/>
          <w:b/>
          <w:sz w:val="32"/>
          <w:szCs w:val="32"/>
        </w:rPr>
      </w:pPr>
      <w:r>
        <w:rPr>
          <w:rFonts w:ascii="仿宋_GB2312" w:eastAsia="仿宋_GB2312" w:hint="eastAsia"/>
          <w:sz w:val="32"/>
          <w:szCs w:val="32"/>
        </w:rPr>
        <w:t>其中：</w:t>
      </w:r>
      <w:r>
        <w:rPr>
          <w:rFonts w:ascii="仿宋_GB2312" w:eastAsia="仿宋_GB2312" w:hint="eastAsia"/>
          <w:b/>
          <w:sz w:val="32"/>
          <w:szCs w:val="32"/>
        </w:rPr>
        <w:t>公务用车购置支出</w:t>
      </w:r>
      <w:r>
        <w:rPr>
          <w:sz w:val="32"/>
          <w:szCs w:val="32"/>
        </w:rPr>
        <w:t>0</w:t>
      </w:r>
      <w:r>
        <w:rPr>
          <w:rFonts w:ascii="仿宋_GB2312" w:eastAsia="仿宋_GB2312" w:hint="eastAsia"/>
          <w:sz w:val="32"/>
          <w:szCs w:val="32"/>
        </w:rPr>
        <w:t>万元。全年按规定更新购置公务用车</w:t>
      </w:r>
      <w:r>
        <w:rPr>
          <w:rFonts w:ascii="仿宋_GB2312" w:eastAsia="仿宋_GB2312" w:hint="eastAsia"/>
          <w:sz w:val="32"/>
          <w:szCs w:val="32"/>
          <w:lang w:val="en-US" w:eastAsia="zh-CN"/>
        </w:rPr>
        <w:t>0</w:t>
      </w:r>
      <w:r>
        <w:rPr>
          <w:rFonts w:ascii="仿宋_GB2312" w:eastAsia="仿宋_GB2312" w:hint="eastAsia"/>
          <w:sz w:val="32"/>
          <w:szCs w:val="32"/>
        </w:rPr>
        <w:t>辆，其中：轿车</w:t>
      </w:r>
      <w:r>
        <w:rPr>
          <w:rFonts w:ascii="仿宋_GB2312" w:eastAsia="仿宋_GB2312" w:hint="eastAsia"/>
          <w:sz w:val="32"/>
          <w:szCs w:val="32"/>
          <w:lang w:val="en-US" w:eastAsia="zh-CN"/>
        </w:rPr>
        <w:t>0</w:t>
      </w:r>
      <w:r>
        <w:rPr>
          <w:rFonts w:ascii="仿宋_GB2312" w:eastAsia="仿宋_GB2312" w:hint="eastAsia"/>
          <w:sz w:val="32"/>
          <w:szCs w:val="32"/>
        </w:rPr>
        <w:t>辆、金额</w:t>
      </w:r>
      <w:r>
        <w:rPr>
          <w:rFonts w:ascii="仿宋_GB2312" w:eastAsia="仿宋_GB2312" w:hint="eastAsia"/>
          <w:sz w:val="32"/>
          <w:szCs w:val="32"/>
          <w:lang w:val="en-US" w:eastAsia="zh-CN"/>
        </w:rPr>
        <w:t>0</w:t>
      </w:r>
      <w:r>
        <w:rPr>
          <w:rFonts w:ascii="仿宋_GB2312" w:eastAsia="仿宋_GB2312" w:hint="eastAsia"/>
          <w:sz w:val="32"/>
          <w:szCs w:val="32"/>
        </w:rPr>
        <w:t>万元，越野车</w:t>
      </w:r>
      <w:r>
        <w:rPr>
          <w:rFonts w:ascii="仿宋_GB2312" w:eastAsia="仿宋_GB2312" w:hint="eastAsia"/>
          <w:sz w:val="32"/>
          <w:szCs w:val="32"/>
          <w:lang w:val="en-US" w:eastAsia="zh-CN"/>
        </w:rPr>
        <w:t>0</w:t>
      </w:r>
      <w:r>
        <w:rPr>
          <w:rFonts w:ascii="仿宋_GB2312" w:eastAsia="仿宋_GB2312" w:hint="eastAsia"/>
          <w:sz w:val="32"/>
          <w:szCs w:val="32"/>
        </w:rPr>
        <w:t>辆、金额</w:t>
      </w:r>
      <w:r>
        <w:rPr>
          <w:rFonts w:ascii="仿宋_GB2312" w:eastAsia="仿宋_GB2312" w:hint="eastAsia"/>
          <w:sz w:val="32"/>
          <w:szCs w:val="32"/>
          <w:lang w:val="en-US" w:eastAsia="zh-CN"/>
        </w:rPr>
        <w:t>0</w:t>
      </w:r>
      <w:r>
        <w:rPr>
          <w:rFonts w:ascii="仿宋_GB2312" w:eastAsia="仿宋_GB2312" w:hint="eastAsia"/>
          <w:sz w:val="32"/>
          <w:szCs w:val="32"/>
        </w:rPr>
        <w:t>万元，载客汽车</w:t>
      </w:r>
      <w:r>
        <w:rPr>
          <w:rFonts w:ascii="仿宋_GB2312" w:eastAsia="仿宋_GB2312" w:hint="eastAsia"/>
          <w:sz w:val="32"/>
          <w:szCs w:val="32"/>
          <w:lang w:val="en-US" w:eastAsia="zh-CN"/>
        </w:rPr>
        <w:t>0</w:t>
      </w:r>
      <w:r>
        <w:rPr>
          <w:rFonts w:ascii="仿宋_GB2312" w:eastAsia="仿宋_GB2312" w:hint="eastAsia"/>
          <w:sz w:val="32"/>
          <w:szCs w:val="32"/>
        </w:rPr>
        <w:t>辆、金额</w:t>
      </w:r>
      <w:r>
        <w:rPr>
          <w:rFonts w:ascii="仿宋_GB2312" w:eastAsia="仿宋_GB2312" w:hint="eastAsia"/>
          <w:sz w:val="32"/>
          <w:szCs w:val="32"/>
          <w:lang w:val="en-US" w:eastAsia="zh-CN"/>
        </w:rPr>
        <w:t>0</w:t>
      </w:r>
      <w:r>
        <w:rPr>
          <w:rFonts w:ascii="仿宋_GB2312" w:eastAsia="仿宋_GB2312" w:hint="eastAsia"/>
          <w:sz w:val="32"/>
          <w:szCs w:val="32"/>
        </w:rPr>
        <w:t>万元，截至202</w:t>
      </w:r>
      <w:r>
        <w:rPr>
          <w:rFonts w:ascii="仿宋_GB2312" w:eastAsia="仿宋_GB2312" w:hint="eastAsia"/>
          <w:sz w:val="32"/>
          <w:szCs w:val="32"/>
          <w:lang w:val="en-US" w:eastAsia="zh-CN"/>
        </w:rPr>
        <w:t>5</w:t>
      </w:r>
      <w:r>
        <w:rPr>
          <w:rFonts w:ascii="仿宋_GB2312" w:eastAsia="仿宋_GB2312" w:hint="eastAsia"/>
          <w:sz w:val="32"/>
          <w:szCs w:val="32"/>
        </w:rPr>
        <w:t>年</w:t>
      </w:r>
      <w:r>
        <w:rPr>
          <w:rFonts w:ascii="仿宋_GB2312" w:eastAsia="仿宋_GB2312"/>
          <w:sz w:val="32"/>
          <w:szCs w:val="32"/>
        </w:rPr>
        <w:t>12</w:t>
      </w:r>
      <w:r>
        <w:rPr>
          <w:rFonts w:ascii="仿宋_GB2312" w:eastAsia="仿宋_GB2312" w:hint="eastAsia"/>
          <w:sz w:val="32"/>
          <w:szCs w:val="32"/>
        </w:rPr>
        <w:t>月31日，单位共有公务用车</w:t>
      </w:r>
      <w:r>
        <w:rPr>
          <w:rFonts w:ascii="仿宋_GB2312" w:eastAsia="仿宋_GB2312" w:hint="eastAsia"/>
          <w:sz w:val="32"/>
          <w:szCs w:val="32"/>
          <w:lang w:val="en-US" w:eastAsia="zh-CN"/>
        </w:rPr>
        <w:t>0</w:t>
      </w:r>
      <w:r>
        <w:rPr>
          <w:rFonts w:ascii="仿宋_GB2312" w:eastAsia="仿宋_GB2312" w:hint="eastAsia"/>
          <w:sz w:val="32"/>
          <w:szCs w:val="32"/>
        </w:rPr>
        <w:t>辆，其中：轿车</w:t>
      </w:r>
      <w:r>
        <w:rPr>
          <w:rFonts w:ascii="仿宋_GB2312" w:eastAsia="仿宋_GB2312" w:hint="eastAsia"/>
          <w:sz w:val="32"/>
          <w:szCs w:val="32"/>
          <w:lang w:val="en-US" w:eastAsia="zh-CN"/>
        </w:rPr>
        <w:t>0</w:t>
      </w:r>
      <w:r>
        <w:rPr>
          <w:rFonts w:ascii="仿宋_GB2312" w:eastAsia="仿宋_GB2312" w:hint="eastAsia"/>
          <w:sz w:val="32"/>
          <w:szCs w:val="32"/>
        </w:rPr>
        <w:t>辆、越野车</w:t>
      </w:r>
      <w:r>
        <w:rPr>
          <w:rFonts w:ascii="仿宋_GB2312" w:eastAsia="仿宋_GB2312" w:hint="eastAsia"/>
          <w:sz w:val="32"/>
          <w:szCs w:val="32"/>
          <w:lang w:val="en-US" w:eastAsia="zh-CN"/>
        </w:rPr>
        <w:t>0</w:t>
      </w:r>
      <w:r>
        <w:rPr>
          <w:rFonts w:ascii="仿宋_GB2312" w:eastAsia="仿宋_GB2312" w:hint="eastAsia"/>
          <w:sz w:val="32"/>
          <w:szCs w:val="32"/>
        </w:rPr>
        <w:t>辆、载客汽车</w:t>
      </w:r>
      <w:r>
        <w:rPr>
          <w:rFonts w:ascii="仿宋_GB2312" w:eastAsia="仿宋_GB2312" w:hint="eastAsia"/>
          <w:sz w:val="32"/>
          <w:szCs w:val="32"/>
          <w:lang w:val="en-US" w:eastAsia="zh-CN"/>
        </w:rPr>
        <w:t>0</w:t>
      </w:r>
      <w:r>
        <w:rPr>
          <w:rFonts w:ascii="仿宋_GB2312" w:eastAsia="仿宋_GB2312" w:hint="eastAsia"/>
          <w:sz w:val="32"/>
          <w:szCs w:val="32"/>
        </w:rPr>
        <w:t>辆。</w:t>
      </w:r>
    </w:p>
    <w:p>
      <w:pPr>
        <w:spacing w:line="600" w:lineRule="exact"/>
        <w:ind w:firstLine="640"/>
        <w:rPr>
          <w:rFonts w:ascii="仿宋_GB2312" w:eastAsia="仿宋_GB2312"/>
          <w:sz w:val="32"/>
          <w:szCs w:val="32"/>
        </w:rPr>
      </w:pPr>
      <w:r>
        <w:rPr>
          <w:rFonts w:ascii="仿宋_GB2312" w:eastAsia="仿宋_GB2312"/>
          <w:b/>
          <w:sz w:val="32"/>
          <w:szCs w:val="32"/>
        </w:rPr>
        <w:t>3.</w:t>
      </w:r>
      <w:r>
        <w:rPr>
          <w:rFonts w:ascii="仿宋_GB2312" w:eastAsia="仿宋_GB2312" w:hint="eastAsia"/>
          <w:b/>
          <w:sz w:val="32"/>
          <w:szCs w:val="32"/>
        </w:rPr>
        <w:t>公务接待费支出</w:t>
      </w:r>
      <w:r>
        <w:rPr>
          <w:sz w:val="32"/>
          <w:szCs w:val="32"/>
        </w:rPr>
        <w:t>0</w:t>
      </w:r>
      <w:r>
        <w:rPr>
          <w:rFonts w:ascii="仿宋_GB2312" w:eastAsia="仿宋_GB2312" w:hint="eastAsia"/>
          <w:sz w:val="32"/>
          <w:szCs w:val="32"/>
        </w:rPr>
        <w:t>万元，</w:t>
      </w:r>
      <w:r>
        <w:rPr>
          <w:rStyle w:val="26"/>
          <w:rFonts w:ascii="仿宋" w:eastAsia="仿宋" w:hint="eastAsia"/>
          <w:b w:val="0"/>
          <w:bCs/>
          <w:sz w:val="32"/>
          <w:szCs w:val="32"/>
        </w:rPr>
        <w:t>完成预算</w:t>
      </w:r>
      <w:r>
        <w:rPr>
          <w:sz w:val="32"/>
          <w:szCs w:val="32"/>
        </w:rPr>
        <w:t>0%</w:t>
      </w:r>
      <w:r>
        <w:rPr>
          <w:rStyle w:val="26"/>
          <w:rFonts w:ascii="仿宋" w:eastAsia="仿宋" w:hint="eastAsia"/>
          <w:b w:val="0"/>
          <w:bCs/>
          <w:sz w:val="32"/>
          <w:szCs w:val="32"/>
        </w:rPr>
        <w:t>。</w:t>
      </w:r>
      <w:r>
        <w:rPr>
          <w:rFonts w:ascii="仿宋_GB2312" w:eastAsia="仿宋_GB2312" w:hint="eastAsia"/>
          <w:sz w:val="32"/>
          <w:szCs w:val="32"/>
        </w:rPr>
        <w:t>公务接待费支出决算比202</w:t>
      </w:r>
      <w:r>
        <w:rPr>
          <w:rFonts w:ascii="仿宋_GB2312" w:eastAsia="仿宋_GB2312" w:hint="eastAsia"/>
          <w:sz w:val="32"/>
          <w:szCs w:val="32"/>
          <w:lang w:val="en-US" w:eastAsia="zh-CN"/>
        </w:rPr>
        <w:t>4</w:t>
      </w:r>
      <w:r>
        <w:rPr>
          <w:rFonts w:ascii="仿宋_GB2312" w:eastAsia="仿宋_GB2312" w:hint="eastAsia"/>
          <w:sz w:val="32"/>
          <w:szCs w:val="32"/>
        </w:rPr>
        <w:t>年度增加</w:t>
      </w:r>
      <w:r>
        <w:rPr>
          <w:rFonts w:ascii="仿宋_GB2312" w:eastAsia="仿宋_GB2312"/>
          <w:sz w:val="32"/>
          <w:szCs w:val="32"/>
        </w:rPr>
        <w:t>/</w:t>
      </w:r>
      <w:r>
        <w:rPr>
          <w:rFonts w:ascii="仿宋_GB2312" w:eastAsia="仿宋_GB2312" w:hint="eastAsia"/>
          <w:sz w:val="32"/>
          <w:szCs w:val="32"/>
        </w:rPr>
        <w:t>减少</w:t>
      </w:r>
      <w:r>
        <w:rPr>
          <w:rFonts w:ascii="仿宋_GB2312" w:eastAsia="仿宋_GB2312" w:hint="eastAsia"/>
          <w:sz w:val="32"/>
          <w:szCs w:val="32"/>
          <w:lang w:val="en-US" w:eastAsia="zh-CN"/>
        </w:rPr>
        <w:t>0</w:t>
      </w:r>
      <w:r>
        <w:rPr>
          <w:rFonts w:ascii="仿宋_GB2312" w:eastAsia="仿宋_GB2312" w:hint="eastAsia"/>
          <w:sz w:val="32"/>
          <w:szCs w:val="32"/>
        </w:rPr>
        <w:t>万元，增长</w:t>
      </w:r>
      <w:r>
        <w:rPr>
          <w:rFonts w:ascii="仿宋_GB2312" w:eastAsia="仿宋_GB2312"/>
          <w:sz w:val="32"/>
          <w:szCs w:val="32"/>
        </w:rPr>
        <w:t>/</w:t>
      </w:r>
      <w:r>
        <w:rPr>
          <w:rFonts w:ascii="仿宋_GB2312" w:eastAsia="仿宋_GB2312" w:hint="eastAsia"/>
          <w:sz w:val="32"/>
          <w:szCs w:val="32"/>
        </w:rPr>
        <w:t>下降</w:t>
      </w:r>
      <w:r>
        <w:rPr>
          <w:rFonts w:ascii="仿宋_GB2312" w:eastAsia="仿宋_GB2312" w:hint="eastAsia"/>
          <w:sz w:val="32"/>
          <w:szCs w:val="32"/>
          <w:lang w:val="en-US" w:eastAsia="zh-CN"/>
        </w:rPr>
        <w:t>0</w:t>
      </w:r>
      <w:r>
        <w:rPr>
          <w:rFonts w:ascii="仿宋_GB2312" w:eastAsia="仿宋_GB2312"/>
          <w:sz w:val="32"/>
          <w:szCs w:val="32"/>
        </w:rPr>
        <w:t>%</w:t>
      </w:r>
      <w:r>
        <w:rPr>
          <w:rFonts w:ascii="仿宋_GB2312" w:eastAsia="仿宋_GB2312" w:hint="eastAsia"/>
          <w:sz w:val="32"/>
          <w:szCs w:val="32"/>
        </w:rPr>
        <w:t>。主要原因是</w:t>
      </w:r>
      <w:r>
        <w:rPr>
          <w:rFonts w:ascii="仿宋_GB2312" w:eastAsia="仿宋_GB2312" w:hint="eastAsia"/>
          <w:sz w:val="32"/>
          <w:szCs w:val="32"/>
          <w:lang w:val="en-US" w:eastAsia="zh-CN"/>
        </w:rPr>
        <w:t>厉行节约</w:t>
      </w:r>
      <w:r>
        <w:rPr>
          <w:rFonts w:ascii="仿宋_GB2312" w:eastAsia="仿宋_GB2312" w:hint="eastAsia"/>
          <w:sz w:val="32"/>
          <w:szCs w:val="32"/>
        </w:rPr>
        <w:t>。其中：</w:t>
      </w:r>
    </w:p>
    <w:p>
      <w:pPr>
        <w:spacing w:line="600" w:lineRule="exact"/>
        <w:ind w:firstLine="640"/>
        <w:rPr>
          <w:rFonts w:ascii="仿宋_GB2312" w:eastAsia="仿宋_GB2312"/>
          <w:sz w:val="32"/>
          <w:szCs w:val="32"/>
        </w:rPr>
      </w:pPr>
      <w:r>
        <w:rPr>
          <w:rFonts w:ascii="仿宋" w:eastAsia="仿宋" w:hint="eastAsia"/>
          <w:b/>
          <w:sz w:val="32"/>
          <w:szCs w:val="32"/>
        </w:rPr>
        <w:t>国内公务接待支出</w:t>
      </w:r>
      <w:r>
        <w:rPr>
          <w:rFonts w:ascii="仿宋" w:eastAsia="仿宋" w:hint="eastAsia"/>
          <w:b/>
          <w:sz w:val="32"/>
          <w:szCs w:val="32"/>
          <w:lang w:val="en-US" w:eastAsia="zh-CN"/>
        </w:rPr>
        <w:t>0</w:t>
      </w:r>
      <w:r>
        <w:rPr>
          <w:rFonts w:ascii="仿宋_GB2312" w:eastAsia="仿宋_GB2312" w:hint="eastAsia"/>
          <w:sz w:val="32"/>
          <w:szCs w:val="32"/>
        </w:rPr>
        <w:t>万元，主要用于开展业务活动开支的住宿费、用餐费等。国内公务接待</w:t>
      </w:r>
      <w:r>
        <w:rPr>
          <w:rFonts w:ascii="仿宋_GB2312" w:eastAsia="仿宋_GB2312" w:hint="eastAsia"/>
          <w:sz w:val="32"/>
          <w:szCs w:val="32"/>
          <w:lang w:val="en-US" w:eastAsia="zh-CN"/>
        </w:rPr>
        <w:t>0</w:t>
      </w:r>
      <w:r>
        <w:rPr>
          <w:rFonts w:ascii="仿宋_GB2312" w:eastAsia="仿宋_GB2312" w:hint="eastAsia"/>
          <w:sz w:val="32"/>
          <w:szCs w:val="32"/>
        </w:rPr>
        <w:t>批次，</w:t>
      </w:r>
      <w:r>
        <w:rPr>
          <w:rFonts w:ascii="仿宋_GB2312" w:eastAsia="仿宋_GB2312" w:hint="eastAsia"/>
          <w:sz w:val="32"/>
          <w:szCs w:val="32"/>
          <w:lang w:val="en-US" w:eastAsia="zh-CN"/>
        </w:rPr>
        <w:t>0</w:t>
      </w:r>
      <w:r>
        <w:rPr>
          <w:rFonts w:ascii="仿宋_GB2312" w:eastAsia="仿宋_GB2312" w:hint="eastAsia"/>
          <w:sz w:val="32"/>
          <w:szCs w:val="32"/>
        </w:rPr>
        <w:t>人次（不包括陪同人员），共计支出</w:t>
      </w:r>
      <w:r>
        <w:rPr>
          <w:rFonts w:ascii="仿宋_GB2312" w:eastAsia="仿宋_GB2312" w:hint="eastAsia"/>
          <w:sz w:val="32"/>
          <w:szCs w:val="32"/>
          <w:lang w:val="en-US" w:eastAsia="zh-CN"/>
        </w:rPr>
        <w:t>0</w:t>
      </w:r>
      <w:r>
        <w:rPr>
          <w:rFonts w:ascii="仿宋_GB2312" w:eastAsia="仿宋_GB2312" w:hint="eastAsia"/>
          <w:sz w:val="32"/>
          <w:szCs w:val="32"/>
        </w:rPr>
        <w:t>万元，具体内容包括：（接待具体项目、金额）。</w:t>
      </w:r>
    </w:p>
    <w:p>
      <w:pPr>
        <w:spacing w:line="600" w:lineRule="exact"/>
        <w:ind w:firstLineChars="200" w:firstLine="640"/>
        <w:rPr>
          <w:rFonts w:ascii="仿宋_GB2312" w:eastAsia="仿宋_GB2312"/>
          <w:sz w:val="32"/>
          <w:szCs w:val="32"/>
        </w:rPr>
      </w:pPr>
      <w:r>
        <w:rPr>
          <w:rFonts w:ascii="仿宋" w:eastAsia="仿宋" w:hint="eastAsia"/>
          <w:b/>
          <w:sz w:val="32"/>
          <w:szCs w:val="32"/>
        </w:rPr>
        <w:t>外事接待支出</w:t>
      </w:r>
      <w:r>
        <w:rPr>
          <w:rFonts w:ascii="仿宋" w:eastAsia="仿宋" w:hint="eastAsia"/>
          <w:b/>
          <w:sz w:val="32"/>
          <w:szCs w:val="32"/>
          <w:lang w:val="en-US" w:eastAsia="zh-CN"/>
        </w:rPr>
        <w:t>0</w:t>
      </w:r>
      <w:r>
        <w:rPr>
          <w:rFonts w:ascii="仿宋_GB2312" w:eastAsia="仿宋_GB2312" w:hint="eastAsia"/>
          <w:sz w:val="32"/>
          <w:szCs w:val="32"/>
        </w:rPr>
        <w:t>万元，主要用于接待（具体项目）。外事接待</w:t>
      </w:r>
      <w:r>
        <w:rPr>
          <w:rFonts w:ascii="仿宋_GB2312" w:eastAsia="仿宋_GB2312" w:hint="eastAsia"/>
          <w:sz w:val="32"/>
          <w:szCs w:val="32"/>
          <w:lang w:val="en-US" w:eastAsia="zh-CN"/>
        </w:rPr>
        <w:t>0</w:t>
      </w:r>
      <w:r>
        <w:rPr>
          <w:rFonts w:ascii="仿宋_GB2312" w:eastAsia="仿宋_GB2312" w:hint="eastAsia"/>
          <w:sz w:val="32"/>
          <w:szCs w:val="32"/>
        </w:rPr>
        <w:t>批次，</w:t>
      </w:r>
      <w:r>
        <w:rPr>
          <w:rFonts w:ascii="仿宋_GB2312" w:eastAsia="仿宋_GB2312" w:hint="eastAsia"/>
          <w:sz w:val="32"/>
          <w:szCs w:val="32"/>
          <w:lang w:val="en-US" w:eastAsia="zh-CN"/>
        </w:rPr>
        <w:t>0</w:t>
      </w:r>
      <w:r>
        <w:rPr>
          <w:rFonts w:ascii="仿宋_GB2312" w:eastAsia="仿宋_GB2312" w:hint="eastAsia"/>
          <w:sz w:val="32"/>
          <w:szCs w:val="32"/>
        </w:rPr>
        <w:t>人次（不包括陪同人员），共计支出</w:t>
      </w:r>
      <w:r>
        <w:rPr>
          <w:rFonts w:ascii="仿宋_GB2312" w:eastAsia="仿宋_GB2312" w:hint="eastAsia"/>
          <w:sz w:val="32"/>
          <w:szCs w:val="32"/>
          <w:lang w:val="en-US" w:eastAsia="zh-CN"/>
        </w:rPr>
        <w:t>0</w:t>
      </w:r>
      <w:r>
        <w:rPr>
          <w:rFonts w:ascii="仿宋_GB2312" w:eastAsia="仿宋_GB2312" w:hint="eastAsia"/>
          <w:sz w:val="32"/>
          <w:szCs w:val="32"/>
        </w:rPr>
        <w:t>万元。</w:t>
      </w:r>
    </w:p>
    <w:p>
      <w:pPr>
        <w:spacing w:line="600" w:lineRule="exact"/>
        <w:ind w:firstLine="640"/>
        <w:outlineLvl w:val="1"/>
        <w:rPr>
          <w:rStyle w:val="2Char"/>
          <w:rFonts w:ascii="黑体" w:eastAsia="黑体"/>
        </w:rPr>
      </w:pPr>
      <w:bookmarkStart w:id="55" w:name="_Toc15377218"/>
      <w:bookmarkStart w:id="56" w:name="_Toc15396610"/>
      <w:r>
        <w:rPr>
          <w:rFonts w:ascii="黑体" w:eastAsia="黑体" w:hint="eastAsia"/>
          <w:sz w:val="32"/>
          <w:szCs w:val="32"/>
        </w:rPr>
        <w:t>八、</w:t>
      </w:r>
      <w:r>
        <w:rPr>
          <w:rStyle w:val="2Char"/>
          <w:rFonts w:ascii="黑体" w:eastAsia="黑体" w:hint="eastAsia"/>
          <w:b w:val="0"/>
        </w:rPr>
        <w:t>政府性基金预算支出决算情况说明</w:t>
      </w:r>
      <w:bookmarkEnd w:id="55"/>
      <w:bookmarkEnd w:id="56"/>
    </w:p>
    <w:p>
      <w:pPr>
        <w:spacing w:line="600" w:lineRule="exact"/>
        <w:ind w:firstLine="640"/>
        <w:rPr>
          <w:rFonts w:ascii="仿宋_GB2312" w:eastAsia="仿宋_GB2312"/>
          <w:sz w:val="32"/>
          <w:szCs w:val="32"/>
        </w:rPr>
      </w:pPr>
      <w:r>
        <w:rPr>
          <w:rFonts w:ascii="仿宋_GB2312" w:eastAsia="仿宋_GB2312" w:hint="eastAsia"/>
          <w:sz w:val="32"/>
          <w:szCs w:val="32"/>
        </w:rPr>
        <w:t>202</w:t>
      </w:r>
      <w:r>
        <w:rPr>
          <w:rFonts w:ascii="仿宋_GB2312" w:eastAsia="仿宋_GB2312" w:hint="eastAsia"/>
          <w:sz w:val="32"/>
          <w:szCs w:val="32"/>
          <w:lang w:val="en-US" w:eastAsia="zh-CN"/>
        </w:rPr>
        <w:t>5</w:t>
      </w:r>
      <w:r>
        <w:rPr>
          <w:rFonts w:ascii="仿宋_GB2312" w:eastAsia="仿宋_GB2312" w:hint="eastAsia"/>
          <w:sz w:val="32"/>
          <w:szCs w:val="32"/>
        </w:rPr>
        <w:t>年度</w:t>
      </w:r>
      <w:r>
        <w:rPr>
          <w:rFonts w:ascii="仿宋_GB2312" w:eastAsia="仿宋_GB2312" w:hint="eastAsia"/>
          <w:sz w:val="32"/>
          <w:szCs w:val="32"/>
          <w:lang w:val="en-US" w:eastAsia="zh-CN"/>
        </w:rPr>
        <w:t>年初无</w:t>
      </w:r>
      <w:r>
        <w:rPr>
          <w:rFonts w:ascii="仿宋_GB2312" w:eastAsia="仿宋_GB2312" w:hint="eastAsia"/>
          <w:sz w:val="32"/>
          <w:szCs w:val="32"/>
        </w:rPr>
        <w:t>政府性基金预算财政拨款</w:t>
      </w:r>
      <w:r>
        <w:rPr>
          <w:rFonts w:ascii="仿宋_GB2312" w:eastAsia="仿宋_GB2312" w:hint="eastAsia"/>
          <w:sz w:val="32"/>
          <w:szCs w:val="32"/>
          <w:lang w:val="en-US" w:eastAsia="zh-CN"/>
        </w:rPr>
        <w:t>收入</w:t>
      </w:r>
      <w:r>
        <w:rPr>
          <w:rFonts w:ascii="仿宋_GB2312" w:eastAsia="仿宋_GB2312" w:hint="eastAsia"/>
          <w:sz w:val="32"/>
          <w:szCs w:val="32"/>
        </w:rPr>
        <w:t>。</w:t>
      </w:r>
    </w:p>
    <w:p>
      <w:pPr>
        <w:numPr>
          <w:ilvl w:val="0"/>
          <w:numId w:val="3"/>
        </w:numPr>
        <w:spacing w:line="600" w:lineRule="exact"/>
        <w:ind w:left="0" w:firstLine="640"/>
        <w:outlineLvl w:val="1"/>
        <w:rPr>
          <w:rStyle w:val="2Char"/>
          <w:rFonts w:ascii="黑体" w:eastAsia="黑体"/>
          <w:b w:val="0"/>
        </w:rPr>
      </w:pPr>
      <w:bookmarkStart w:id="57" w:name="_Toc15377219"/>
      <w:bookmarkStart w:id="58" w:name="_Toc15396611"/>
      <w:r>
        <w:rPr>
          <w:rStyle w:val="2Char"/>
          <w:rFonts w:ascii="黑体" w:eastAsia="黑体" w:hint="eastAsia"/>
          <w:b w:val="0"/>
        </w:rPr>
        <w:t>国有资本经营预算支出决算情况说明</w:t>
      </w:r>
      <w:bookmarkEnd w:id="57"/>
      <w:bookmarkEnd w:id="58"/>
    </w:p>
    <w:p>
      <w:pPr>
        <w:spacing w:line="600" w:lineRule="exact"/>
        <w:ind w:firstLine="640"/>
        <w:rPr>
          <w:rFonts w:ascii="方正小标宋简体" w:eastAsia="方正小标宋简体" w:cs="方正小标宋简体"/>
          <w:sz w:val="44"/>
          <w:szCs w:val="44"/>
        </w:rPr>
      </w:pPr>
      <w:r>
        <w:rPr>
          <w:rFonts w:ascii="仿宋_GB2312" w:eastAsia="仿宋_GB2312" w:hint="eastAsia"/>
          <w:sz w:val="32"/>
          <w:szCs w:val="32"/>
        </w:rPr>
        <w:t>202</w:t>
      </w:r>
      <w:r>
        <w:rPr>
          <w:rFonts w:ascii="仿宋_GB2312" w:eastAsia="仿宋_GB2312" w:hint="eastAsia"/>
          <w:sz w:val="32"/>
          <w:szCs w:val="32"/>
          <w:lang w:val="en-US" w:eastAsia="zh-CN"/>
        </w:rPr>
        <w:t>5</w:t>
      </w:r>
      <w:r>
        <w:rPr>
          <w:rFonts w:ascii="仿宋_GB2312" w:eastAsia="仿宋_GB2312" w:hint="eastAsia"/>
          <w:sz w:val="32"/>
          <w:szCs w:val="32"/>
        </w:rPr>
        <w:t>年度</w:t>
      </w:r>
      <w:r>
        <w:rPr>
          <w:rFonts w:ascii="仿宋_GB2312" w:eastAsia="仿宋_GB2312" w:hint="eastAsia"/>
          <w:sz w:val="32"/>
          <w:szCs w:val="32"/>
          <w:lang w:val="en-US" w:eastAsia="zh-CN"/>
        </w:rPr>
        <w:t>年初无</w:t>
      </w:r>
      <w:r>
        <w:rPr>
          <w:rFonts w:ascii="仿宋_GB2312" w:eastAsia="仿宋_GB2312" w:hint="eastAsia"/>
          <w:sz w:val="32"/>
          <w:szCs w:val="32"/>
        </w:rPr>
        <w:t>国有资本经营预算财政拨款</w:t>
      </w:r>
      <w:r>
        <w:rPr>
          <w:rFonts w:ascii="仿宋_GB2312" w:eastAsia="仿宋_GB2312" w:hint="eastAsia"/>
          <w:sz w:val="32"/>
          <w:szCs w:val="32"/>
          <w:lang w:val="en-US" w:eastAsia="zh-CN"/>
        </w:rPr>
        <w:t>收入</w:t>
      </w:r>
      <w:r>
        <w:rPr>
          <w:rFonts w:ascii="仿宋_GB2312" w:eastAsia="仿宋_GB2312" w:hint="eastAsia"/>
          <w:sz w:val="32"/>
          <w:szCs w:val="32"/>
        </w:rPr>
        <w:t>。</w:t>
      </w:r>
    </w:p>
    <w:p>
      <w:pPr>
        <w:numPr>
          <w:ilvl w:val="0"/>
          <w:numId w:val="3"/>
        </w:numPr>
        <w:spacing w:line="600" w:lineRule="exact"/>
        <w:ind w:left="0" w:firstLine="640"/>
        <w:outlineLvl w:val="1"/>
        <w:rPr>
          <w:rStyle w:val="2Char"/>
          <w:rFonts w:ascii="黑体" w:eastAsia="黑体"/>
          <w:b w:val="0"/>
        </w:rPr>
      </w:pPr>
      <w:bookmarkStart w:id="59" w:name="_Toc15377221"/>
      <w:bookmarkStart w:id="60" w:name="_Toc15396612"/>
      <w:r>
        <w:rPr>
          <w:rStyle w:val="2Char"/>
          <w:rFonts w:ascii="黑体" w:eastAsia="黑体" w:hint="eastAsia"/>
          <w:b w:val="0"/>
        </w:rPr>
        <w:t>其他重要事项的情况说明</w:t>
      </w:r>
      <w:bookmarkEnd w:id="59"/>
      <w:bookmarkEnd w:id="60"/>
    </w:p>
    <w:p>
      <w:pPr>
        <w:spacing w:line="600" w:lineRule="exact"/>
        <w:ind w:firstLineChars="200" w:firstLine="640"/>
        <w:outlineLvl w:val="2"/>
        <w:rPr>
          <w:rFonts w:ascii="仿宋" w:eastAsia="仿宋"/>
          <w:sz w:val="32"/>
          <w:szCs w:val="32"/>
        </w:rPr>
      </w:pPr>
      <w:bookmarkStart w:id="61" w:name="_Toc15377222"/>
      <w:r>
        <w:rPr>
          <w:rFonts w:ascii="仿宋" w:eastAsia="仿宋" w:hint="eastAsia"/>
          <w:b/>
          <w:sz w:val="32"/>
          <w:szCs w:val="32"/>
        </w:rPr>
        <w:t>（一）机关运行经费支出情况</w:t>
      </w:r>
      <w:bookmarkEnd w:id="61"/>
    </w:p>
    <w:p>
      <w:pPr>
        <w:spacing w:line="600" w:lineRule="exact"/>
        <w:ind w:firstLineChars="200" w:firstLine="640"/>
        <w:rPr>
          <w:rFonts w:ascii="仿宋_GB2312" w:eastAsia="仿宋_GB2312"/>
          <w:sz w:val="32"/>
          <w:szCs w:val="32"/>
        </w:rPr>
      </w:pPr>
      <w:r>
        <w:rPr>
          <w:rFonts w:ascii="仿宋_GB2312" w:eastAsia="仿宋_GB2312" w:hint="eastAsia"/>
          <w:sz w:val="32"/>
          <w:szCs w:val="32"/>
        </w:rPr>
        <w:t>202</w:t>
      </w:r>
      <w:r>
        <w:rPr>
          <w:rFonts w:ascii="仿宋_GB2312" w:eastAsia="仿宋_GB2312" w:hint="eastAsia"/>
          <w:sz w:val="32"/>
          <w:szCs w:val="32"/>
          <w:lang w:val="en-US" w:eastAsia="zh-CN"/>
        </w:rPr>
        <w:t>5</w:t>
      </w:r>
      <w:r>
        <w:rPr>
          <w:rFonts w:ascii="仿宋_GB2312" w:eastAsia="仿宋_GB2312" w:hint="eastAsia"/>
          <w:sz w:val="32"/>
          <w:szCs w:val="32"/>
        </w:rPr>
        <w:t>年度，</w:t>
      </w:r>
      <w:r>
        <w:rPr>
          <w:rFonts w:ascii="仿宋_GB2312" w:eastAsia="仿宋_GB2312" w:cs="Times New Roman" w:hint="eastAsia"/>
          <w:sz w:val="32"/>
          <w:szCs w:val="32"/>
        </w:rPr>
        <w:t>红原县退役军人事务局机关运行经费支</w:t>
      </w:r>
      <w:r>
        <w:rPr>
          <w:rFonts w:ascii="仿宋_GB2312" w:eastAsia="仿宋_GB2312" w:hint="eastAsia"/>
          <w:sz w:val="32"/>
          <w:szCs w:val="32"/>
        </w:rPr>
        <w:t>出</w:t>
      </w:r>
      <w:r>
        <w:rPr>
          <w:rFonts w:eastAsia="仿宋_GB2312" w:hint="eastAsia"/>
          <w:sz w:val="32"/>
          <w:szCs w:val="32"/>
          <w:lang w:val="en-US" w:eastAsia="zh-CN"/>
        </w:rPr>
        <w:t>10.73</w:t>
      </w:r>
      <w:r>
        <w:rPr>
          <w:rFonts w:ascii="仿宋_GB2312" w:eastAsia="仿宋_GB2312" w:hint="eastAsia"/>
          <w:sz w:val="32"/>
          <w:szCs w:val="32"/>
        </w:rPr>
        <w:t>万元，比202</w:t>
      </w:r>
      <w:r>
        <w:rPr>
          <w:rFonts w:ascii="仿宋_GB2312" w:eastAsia="仿宋_GB2312" w:hint="eastAsia"/>
          <w:sz w:val="32"/>
          <w:szCs w:val="32"/>
          <w:lang w:val="en-US" w:eastAsia="zh-CN"/>
        </w:rPr>
        <w:t>4</w:t>
      </w:r>
      <w:r>
        <w:rPr>
          <w:rFonts w:ascii="仿宋_GB2312" w:eastAsia="仿宋_GB2312" w:hint="eastAsia"/>
          <w:sz w:val="32"/>
          <w:szCs w:val="32"/>
        </w:rPr>
        <w:t>年度</w:t>
      </w:r>
      <w:r>
        <w:rPr>
          <w:rFonts w:ascii="仿宋_GB2312" w:eastAsia="仿宋_GB2312" w:hint="eastAsia"/>
          <w:sz w:val="32"/>
          <w:szCs w:val="32"/>
          <w:lang w:val="en-US" w:eastAsia="zh-CN"/>
        </w:rPr>
        <w:t>减少0.73</w:t>
      </w:r>
      <w:r>
        <w:rPr>
          <w:rFonts w:ascii="仿宋_GB2312" w:eastAsia="仿宋_GB2312" w:hint="eastAsia"/>
          <w:sz w:val="32"/>
          <w:szCs w:val="32"/>
        </w:rPr>
        <w:t>万元，</w:t>
      </w:r>
      <w:r>
        <w:rPr>
          <w:rFonts w:ascii="仿宋_GB2312" w:eastAsia="仿宋_GB2312" w:hint="eastAsia"/>
          <w:sz w:val="32"/>
          <w:szCs w:val="32"/>
          <w:lang w:val="en-US" w:eastAsia="zh-CN"/>
        </w:rPr>
        <w:t>下降6.4</w:t>
      </w:r>
      <w:r>
        <w:rPr>
          <w:rFonts w:ascii="仿宋_GB2312" w:eastAsia="仿宋_GB2312"/>
          <w:sz w:val="32"/>
          <w:szCs w:val="32"/>
        </w:rPr>
        <w:t>%</w:t>
      </w:r>
      <w:r>
        <w:rPr>
          <w:rFonts w:ascii="仿宋_GB2312" w:eastAsia="仿宋_GB2312" w:hint="eastAsia"/>
          <w:sz w:val="32"/>
          <w:szCs w:val="32"/>
        </w:rPr>
        <w:t>。主要原因是</w:t>
      </w:r>
      <w:r>
        <w:rPr>
          <w:rFonts w:ascii="仿宋_GB2312" w:eastAsia="仿宋_GB2312" w:hint="eastAsia"/>
          <w:sz w:val="32"/>
          <w:szCs w:val="32"/>
          <w:lang w:val="en-US" w:eastAsia="zh-CN"/>
        </w:rPr>
        <w:t>公用经费减少</w:t>
      </w:r>
      <w:r>
        <w:rPr>
          <w:rFonts w:ascii="仿宋_GB2312" w:eastAsia="仿宋_GB2312" w:hint="eastAsia"/>
          <w:sz w:val="32"/>
          <w:szCs w:val="32"/>
        </w:rPr>
        <w:t>。</w:t>
      </w:r>
    </w:p>
    <w:p>
      <w:pPr>
        <w:autoSpaceDE w:val="0"/>
        <w:autoSpaceDN w:val="0"/>
        <w:adjustRightInd w:val="0"/>
        <w:spacing w:line="600" w:lineRule="exact"/>
        <w:ind w:firstLineChars="200" w:firstLine="640"/>
        <w:jc w:val="left"/>
        <w:outlineLvl w:val="2"/>
        <w:rPr>
          <w:rFonts w:ascii="仿宋" w:eastAsia="仿宋"/>
          <w:b/>
          <w:sz w:val="32"/>
          <w:szCs w:val="32"/>
        </w:rPr>
      </w:pPr>
      <w:bookmarkStart w:id="62" w:name="_Toc15377223"/>
      <w:r>
        <w:rPr>
          <w:rFonts w:ascii="仿宋" w:eastAsia="仿宋" w:hint="eastAsia"/>
          <w:b/>
          <w:sz w:val="32"/>
          <w:szCs w:val="32"/>
        </w:rPr>
        <w:t>（二）政府采购支出情况</w:t>
      </w:r>
      <w:bookmarkEnd w:id="62"/>
    </w:p>
    <w:p>
      <w:pPr>
        <w:spacing w:line="600" w:lineRule="exact"/>
        <w:ind w:firstLineChars="200" w:firstLine="640"/>
        <w:rPr>
          <w:rFonts w:ascii="仿宋_GB2312" w:eastAsia="仿宋_GB2312"/>
          <w:sz w:val="32"/>
          <w:szCs w:val="32"/>
        </w:rPr>
      </w:pPr>
      <w:r>
        <w:rPr>
          <w:rFonts w:ascii="仿宋_GB2312" w:eastAsia="仿宋_GB2312" w:hint="eastAsia"/>
          <w:sz w:val="32"/>
          <w:szCs w:val="32"/>
        </w:rPr>
        <w:t>202</w:t>
      </w:r>
      <w:r>
        <w:rPr>
          <w:rFonts w:ascii="仿宋_GB2312" w:eastAsia="仿宋_GB2312" w:hint="eastAsia"/>
          <w:sz w:val="32"/>
          <w:szCs w:val="32"/>
          <w:lang w:val="en-US" w:eastAsia="zh-CN"/>
        </w:rPr>
        <w:t>5</w:t>
      </w:r>
      <w:r>
        <w:rPr>
          <w:rFonts w:ascii="仿宋_GB2312" w:eastAsia="仿宋_GB2312" w:hint="eastAsia"/>
          <w:sz w:val="32"/>
          <w:szCs w:val="32"/>
        </w:rPr>
        <w:t>年度</w:t>
      </w:r>
      <w:r>
        <w:rPr>
          <w:rFonts w:ascii="仿宋_GB2312" w:eastAsia="仿宋_GB2312" w:cs="Times New Roman" w:hint="eastAsia"/>
          <w:sz w:val="32"/>
          <w:szCs w:val="32"/>
        </w:rPr>
        <w:t>，红原县退役军人事务局政府采购支出总</w:t>
      </w:r>
      <w:r>
        <w:rPr>
          <w:rFonts w:ascii="仿宋_GB2312" w:eastAsia="仿宋_GB2312" w:hint="eastAsia"/>
          <w:sz w:val="32"/>
          <w:szCs w:val="32"/>
        </w:rPr>
        <w:t>额</w:t>
      </w:r>
      <w:r>
        <w:rPr>
          <w:sz w:val="32"/>
          <w:szCs w:val="32"/>
        </w:rPr>
        <w:t>0</w:t>
      </w:r>
      <w:r>
        <w:rPr>
          <w:rFonts w:ascii="仿宋_GB2312" w:eastAsia="仿宋_GB2312" w:hint="eastAsia"/>
          <w:sz w:val="32"/>
          <w:szCs w:val="32"/>
        </w:rPr>
        <w:t>万元，其中：政府采购货物支出</w:t>
      </w:r>
      <w:r>
        <w:rPr>
          <w:sz w:val="32"/>
          <w:szCs w:val="32"/>
        </w:rPr>
        <w:t>0</w:t>
      </w:r>
      <w:r>
        <w:rPr>
          <w:rFonts w:ascii="仿宋_GB2312" w:eastAsia="仿宋_GB2312" w:hint="eastAsia"/>
          <w:sz w:val="32"/>
          <w:szCs w:val="32"/>
        </w:rPr>
        <w:t>万元、政府采购工程支出</w:t>
      </w:r>
      <w:r>
        <w:rPr>
          <w:sz w:val="32"/>
          <w:szCs w:val="32"/>
        </w:rPr>
        <w:t>0</w:t>
      </w:r>
      <w:r>
        <w:rPr>
          <w:rFonts w:ascii="仿宋_GB2312" w:eastAsia="仿宋_GB2312" w:hint="eastAsia"/>
          <w:sz w:val="32"/>
          <w:szCs w:val="32"/>
        </w:rPr>
        <w:t>万元、政府采购服务支出</w:t>
      </w:r>
      <w:r>
        <w:rPr>
          <w:sz w:val="32"/>
          <w:szCs w:val="32"/>
        </w:rPr>
        <w:t>0</w:t>
      </w:r>
      <w:r>
        <w:rPr>
          <w:rFonts w:ascii="仿宋_GB2312" w:eastAsia="仿宋_GB2312" w:hint="eastAsia"/>
          <w:sz w:val="32"/>
          <w:szCs w:val="32"/>
        </w:rPr>
        <w:t>万元。授予中小企业合同金额</w:t>
      </w:r>
      <w:r>
        <w:rPr>
          <w:sz w:val="32"/>
          <w:szCs w:val="32"/>
        </w:rPr>
        <w:t>0</w:t>
      </w:r>
      <w:r>
        <w:rPr>
          <w:rFonts w:ascii="仿宋_GB2312" w:eastAsia="仿宋_GB2312" w:hint="eastAsia"/>
          <w:sz w:val="32"/>
          <w:szCs w:val="32"/>
        </w:rPr>
        <w:t>万元，占政府采购支出总额的</w:t>
      </w:r>
      <w:r>
        <w:rPr>
          <w:sz w:val="32"/>
          <w:szCs w:val="32"/>
        </w:rPr>
        <w:t>0</w:t>
      </w:r>
      <w:r>
        <w:rPr>
          <w:rFonts w:ascii="仿宋_GB2312" w:eastAsia="仿宋_GB2312"/>
          <w:sz w:val="32"/>
          <w:szCs w:val="32"/>
        </w:rPr>
        <w:t>%</w:t>
      </w:r>
      <w:r>
        <w:rPr>
          <w:rFonts w:ascii="仿宋_GB2312" w:eastAsia="仿宋_GB2312" w:hint="eastAsia"/>
          <w:sz w:val="32"/>
          <w:szCs w:val="32"/>
        </w:rPr>
        <w:t>，其中：授予小微企业合同金额</w:t>
      </w:r>
      <w:r>
        <w:rPr>
          <w:sz w:val="32"/>
          <w:szCs w:val="32"/>
        </w:rPr>
        <w:t>0</w:t>
      </w:r>
      <w:r>
        <w:rPr>
          <w:rFonts w:ascii="仿宋_GB2312" w:eastAsia="仿宋_GB2312" w:hint="eastAsia"/>
          <w:sz w:val="32"/>
          <w:szCs w:val="32"/>
        </w:rPr>
        <w:t>万元，占政府采购支出总额的</w:t>
      </w:r>
      <w:r>
        <w:rPr>
          <w:sz w:val="32"/>
          <w:szCs w:val="32"/>
        </w:rPr>
        <w:t>0</w:t>
      </w:r>
      <w:r>
        <w:rPr>
          <w:rFonts w:ascii="仿宋_GB2312" w:eastAsia="仿宋_GB2312"/>
          <w:sz w:val="32"/>
          <w:szCs w:val="32"/>
        </w:rPr>
        <w:t>%</w:t>
      </w:r>
      <w:r>
        <w:rPr>
          <w:rFonts w:ascii="仿宋_GB2312" w:eastAsia="仿宋_GB2312" w:hint="eastAsia"/>
          <w:sz w:val="32"/>
          <w:szCs w:val="32"/>
        </w:rPr>
        <w:t>。</w:t>
      </w:r>
    </w:p>
    <w:p>
      <w:pPr>
        <w:autoSpaceDE w:val="0"/>
        <w:autoSpaceDN w:val="0"/>
        <w:adjustRightInd w:val="0"/>
        <w:spacing w:line="600" w:lineRule="exact"/>
        <w:ind w:firstLineChars="200" w:firstLine="640"/>
        <w:jc w:val="left"/>
        <w:outlineLvl w:val="2"/>
        <w:rPr>
          <w:rFonts w:ascii="仿宋" w:eastAsia="仿宋"/>
          <w:b/>
          <w:sz w:val="32"/>
          <w:szCs w:val="32"/>
        </w:rPr>
      </w:pPr>
      <w:bookmarkStart w:id="63" w:name="_Toc15377224"/>
      <w:r>
        <w:rPr>
          <w:rFonts w:ascii="仿宋" w:eastAsia="仿宋" w:hint="eastAsia"/>
          <w:b/>
          <w:sz w:val="32"/>
          <w:szCs w:val="32"/>
        </w:rPr>
        <w:t>（三）国有资产占有使用情况</w:t>
      </w:r>
      <w:bookmarkEnd w:id="63"/>
    </w:p>
    <w:p>
      <w:pPr>
        <w:autoSpaceDE w:val="0"/>
        <w:autoSpaceDN w:val="0"/>
        <w:adjustRightInd w:val="0"/>
        <w:spacing w:line="600" w:lineRule="exact"/>
        <w:ind w:firstLineChars="200" w:firstLine="640"/>
        <w:jc w:val="left"/>
        <w:rPr>
          <w:rFonts w:ascii="仿宋_GB2312" w:eastAsia="仿宋_GB2312"/>
          <w:sz w:val="32"/>
          <w:szCs w:val="32"/>
        </w:rPr>
      </w:pPr>
      <w:r>
        <w:rPr>
          <w:rFonts w:ascii="仿宋_GB2312" w:eastAsia="仿宋_GB2312" w:hint="eastAsia"/>
          <w:sz w:val="32"/>
          <w:szCs w:val="32"/>
        </w:rPr>
        <w:t>截至202</w:t>
      </w:r>
      <w:r>
        <w:rPr>
          <w:rFonts w:ascii="仿宋_GB2312" w:eastAsia="仿宋_GB2312" w:hint="eastAsia"/>
          <w:sz w:val="32"/>
          <w:szCs w:val="32"/>
          <w:lang w:val="en-US" w:eastAsia="zh-CN"/>
        </w:rPr>
        <w:t>5</w:t>
      </w:r>
      <w:r>
        <w:rPr>
          <w:rFonts w:ascii="仿宋_GB2312" w:eastAsia="仿宋_GB2312" w:hint="eastAsia"/>
          <w:sz w:val="32"/>
          <w:szCs w:val="32"/>
        </w:rPr>
        <w:t>年</w:t>
      </w:r>
      <w:r>
        <w:rPr>
          <w:rFonts w:ascii="仿宋_GB2312" w:eastAsia="仿宋_GB2312"/>
          <w:sz w:val="32"/>
          <w:szCs w:val="32"/>
        </w:rPr>
        <w:t>12</w:t>
      </w:r>
      <w:r>
        <w:rPr>
          <w:rFonts w:ascii="仿宋_GB2312" w:eastAsia="仿宋_GB2312" w:hint="eastAsia"/>
          <w:sz w:val="32"/>
          <w:szCs w:val="32"/>
        </w:rPr>
        <w:t>月</w:t>
      </w:r>
      <w:r>
        <w:rPr>
          <w:rFonts w:ascii="仿宋_GB2312" w:eastAsia="仿宋_GB2312"/>
          <w:sz w:val="32"/>
          <w:szCs w:val="32"/>
        </w:rPr>
        <w:t>31</w:t>
      </w:r>
      <w:r>
        <w:rPr>
          <w:rFonts w:ascii="仿宋_GB2312" w:eastAsia="仿宋_GB2312" w:hint="eastAsia"/>
          <w:sz w:val="32"/>
          <w:szCs w:val="32"/>
        </w:rPr>
        <w:t>日</w:t>
      </w:r>
      <w:r>
        <w:rPr>
          <w:rFonts w:ascii="仿宋_GB2312" w:eastAsia="仿宋_GB2312" w:cs="Times New Roman" w:hint="eastAsia"/>
          <w:sz w:val="32"/>
          <w:szCs w:val="32"/>
        </w:rPr>
        <w:t>，红原县退役军人事务局共有</w:t>
      </w:r>
      <w:r>
        <w:rPr>
          <w:rFonts w:ascii="仿宋_GB2312" w:eastAsia="仿宋_GB2312" w:hint="eastAsia"/>
          <w:sz w:val="32"/>
          <w:szCs w:val="32"/>
        </w:rPr>
        <w:t>车辆</w:t>
      </w:r>
      <w:r>
        <w:rPr>
          <w:rFonts w:ascii="仿宋_GB2312" w:eastAsia="仿宋_GB2312"/>
          <w:sz w:val="32"/>
          <w:szCs w:val="32"/>
        </w:rPr>
        <w:t>0</w:t>
      </w:r>
      <w:r>
        <w:rPr>
          <w:rFonts w:ascii="仿宋_GB2312" w:eastAsia="仿宋_GB2312" w:hint="eastAsia"/>
          <w:sz w:val="32"/>
          <w:szCs w:val="32"/>
        </w:rPr>
        <w:t>辆，其中：主要领导干部用车</w:t>
      </w:r>
      <w:r>
        <w:rPr>
          <w:rFonts w:ascii="仿宋_GB2312" w:eastAsia="仿宋_GB2312" w:hint="eastAsia"/>
          <w:sz w:val="32"/>
          <w:szCs w:val="32"/>
          <w:lang w:val="en-US" w:eastAsia="zh-CN"/>
        </w:rPr>
        <w:t>0</w:t>
      </w:r>
      <w:r>
        <w:rPr>
          <w:rFonts w:ascii="仿宋_GB2312" w:eastAsia="仿宋_GB2312" w:hint="eastAsia"/>
          <w:sz w:val="32"/>
          <w:szCs w:val="32"/>
        </w:rPr>
        <w:t>辆、机要通信用车</w:t>
      </w:r>
      <w:r>
        <w:rPr>
          <w:rFonts w:ascii="仿宋_GB2312" w:eastAsia="仿宋_GB2312" w:hint="eastAsia"/>
          <w:sz w:val="32"/>
          <w:szCs w:val="32"/>
          <w:lang w:val="en-US" w:eastAsia="zh-CN"/>
        </w:rPr>
        <w:t>0</w:t>
      </w:r>
      <w:r>
        <w:rPr>
          <w:rFonts w:ascii="仿宋_GB2312" w:eastAsia="仿宋_GB2312" w:hint="eastAsia"/>
          <w:sz w:val="32"/>
          <w:szCs w:val="32"/>
        </w:rPr>
        <w:t>辆、应急保障用车</w:t>
      </w:r>
      <w:r>
        <w:rPr>
          <w:rFonts w:ascii="仿宋_GB2312" w:eastAsia="仿宋_GB2312" w:hint="eastAsia"/>
          <w:sz w:val="32"/>
          <w:szCs w:val="32"/>
          <w:lang w:val="en-US" w:eastAsia="zh-CN"/>
        </w:rPr>
        <w:t>0</w:t>
      </w:r>
      <w:r>
        <w:rPr>
          <w:rFonts w:ascii="仿宋_GB2312" w:eastAsia="仿宋_GB2312" w:hint="eastAsia"/>
          <w:sz w:val="32"/>
          <w:szCs w:val="32"/>
        </w:rPr>
        <w:t>辆、其他用车</w:t>
      </w:r>
      <w:r>
        <w:rPr>
          <w:rFonts w:ascii="仿宋_GB2312" w:eastAsia="仿宋_GB2312" w:hint="eastAsia"/>
          <w:sz w:val="32"/>
          <w:szCs w:val="32"/>
          <w:lang w:val="en-US" w:eastAsia="zh-CN"/>
        </w:rPr>
        <w:t>0</w:t>
      </w:r>
      <w:r>
        <w:rPr>
          <w:rFonts w:ascii="仿宋_GB2312" w:eastAsia="仿宋_GB2312" w:hint="eastAsia"/>
          <w:sz w:val="32"/>
          <w:szCs w:val="32"/>
        </w:rPr>
        <w:t>辆，其他用车主要是用于</w:t>
      </w:r>
      <w:r>
        <w:rPr>
          <w:rFonts w:ascii="仿宋_GB2312" w:eastAsia="仿宋_GB2312" w:hint="eastAsia"/>
          <w:sz w:val="32"/>
          <w:szCs w:val="32"/>
          <w:lang w:val="en-US" w:eastAsia="zh-CN"/>
        </w:rPr>
        <w:t>公务用车燃油费、保险费、洗车费等</w:t>
      </w:r>
      <w:r>
        <w:rPr>
          <w:rFonts w:ascii="仿宋_GB2312" w:eastAsia="仿宋_GB2312" w:hint="eastAsia"/>
          <w:sz w:val="32"/>
          <w:szCs w:val="32"/>
        </w:rPr>
        <w:t>。单价</w:t>
      </w:r>
      <w:r>
        <w:rPr>
          <w:rFonts w:ascii="仿宋_GB2312" w:eastAsia="仿宋_GB2312"/>
          <w:sz w:val="32"/>
          <w:szCs w:val="32"/>
        </w:rPr>
        <w:t>100</w:t>
      </w:r>
      <w:r>
        <w:rPr>
          <w:rFonts w:ascii="仿宋_GB2312" w:eastAsia="仿宋_GB2312" w:hint="eastAsia"/>
          <w:sz w:val="32"/>
          <w:szCs w:val="32"/>
        </w:rPr>
        <w:t>万元以上设备（不含车辆）</w:t>
      </w:r>
      <w:r>
        <w:rPr>
          <w:sz w:val="32"/>
          <w:szCs w:val="32"/>
        </w:rPr>
        <w:t>0</w:t>
      </w:r>
      <w:r>
        <w:rPr>
          <w:rFonts w:ascii="仿宋_GB2312" w:eastAsia="仿宋_GB2312" w:hint="eastAsia"/>
          <w:sz w:val="32"/>
          <w:szCs w:val="32"/>
        </w:rPr>
        <w:t>台（套）。</w:t>
      </w:r>
    </w:p>
    <w:p>
      <w:pPr>
        <w:autoSpaceDE w:val="0"/>
        <w:autoSpaceDN w:val="0"/>
        <w:adjustRightInd w:val="0"/>
        <w:spacing w:line="600" w:lineRule="exact"/>
        <w:ind w:firstLineChars="200" w:firstLine="640"/>
        <w:jc w:val="left"/>
        <w:outlineLvl w:val="2"/>
        <w:rPr>
          <w:rFonts w:ascii="仿宋" w:eastAsia="仿宋"/>
          <w:b/>
          <w:sz w:val="32"/>
          <w:szCs w:val="32"/>
        </w:rPr>
      </w:pPr>
      <w:r>
        <w:rPr>
          <w:rFonts w:ascii="仿宋" w:eastAsia="仿宋" w:hint="eastAsia"/>
          <w:b/>
          <w:sz w:val="32"/>
          <w:szCs w:val="32"/>
        </w:rPr>
        <w:t>（四）预算绩效管理情况</w:t>
      </w:r>
    </w:p>
    <w:p>
      <w:pPr>
        <w:spacing w:line="580" w:lineRule="exact"/>
        <w:ind w:firstLineChars="200" w:firstLine="640"/>
        <w:rPr>
          <w:rFonts w:ascii="仿宋_GB2312" w:eastAsia="仿宋_GB2312" w:cs="仿宋_GB2312" w:hint="eastAsia"/>
          <w:sz w:val="32"/>
          <w:szCs w:val="32"/>
        </w:rPr>
      </w:pPr>
      <w:r>
        <w:rPr>
          <w:rFonts w:ascii="仿宋_GB2312" w:eastAsia="仿宋_GB2312" w:cs="仿宋_GB2312" w:hint="eastAsia"/>
          <w:sz w:val="32"/>
          <w:szCs w:val="32"/>
        </w:rPr>
        <w:t>根据预算绩效管理要求，本部门在202</w:t>
      </w:r>
      <w:r>
        <w:rPr>
          <w:rFonts w:ascii="仿宋_GB2312" w:eastAsia="仿宋_GB2312" w:cs="仿宋_GB2312" w:hint="eastAsia"/>
          <w:sz w:val="32"/>
          <w:szCs w:val="32"/>
          <w:lang w:val="en-US" w:eastAsia="zh-CN"/>
        </w:rPr>
        <w:t>5</w:t>
      </w:r>
      <w:r>
        <w:rPr>
          <w:rFonts w:ascii="仿宋_GB2312" w:eastAsia="仿宋_GB2312" w:cs="仿宋_GB2312" w:hint="eastAsia"/>
          <w:sz w:val="32"/>
          <w:szCs w:val="32"/>
        </w:rPr>
        <w:t>年度预算编制阶段，组织对</w:t>
      </w:r>
      <w:r>
        <w:rPr>
          <w:rFonts w:ascii="仿宋_GB2312" w:eastAsia="仿宋_GB2312" w:cs="仿宋_GB2312" w:hint="eastAsia"/>
          <w:sz w:val="32"/>
          <w:szCs w:val="32"/>
          <w:lang w:eastAsia="zh-CN"/>
        </w:rPr>
        <w:t>“</w:t>
      </w:r>
      <w:r>
        <w:rPr>
          <w:rFonts w:ascii="仿宋_GB2312" w:eastAsia="仿宋_GB2312" w:cs="仿宋_GB2312" w:hint="eastAsia"/>
          <w:sz w:val="32"/>
          <w:szCs w:val="32"/>
        </w:rPr>
        <w:t>优抚对象抚恤和生活补助（非三保）</w:t>
      </w:r>
      <w:r>
        <w:rPr>
          <w:rFonts w:ascii="仿宋_GB2312" w:eastAsia="仿宋_GB2312" w:cs="仿宋_GB2312" w:hint="eastAsia"/>
          <w:sz w:val="32"/>
          <w:szCs w:val="32"/>
          <w:lang w:eastAsia="zh-CN"/>
        </w:rPr>
        <w:t>”、“</w:t>
      </w:r>
      <w:r>
        <w:rPr>
          <w:rFonts w:ascii="仿宋_GB2312" w:eastAsia="仿宋_GB2312" w:cs="仿宋_GB2312" w:hint="eastAsia"/>
          <w:sz w:val="32"/>
          <w:szCs w:val="32"/>
        </w:rPr>
        <w:t>中央和省级财政优抚对象医疗补助资金</w:t>
      </w:r>
      <w:r>
        <w:rPr>
          <w:rFonts w:ascii="仿宋_GB2312" w:eastAsia="仿宋_GB2312" w:cs="仿宋_GB2312" w:hint="eastAsia"/>
          <w:sz w:val="32"/>
          <w:szCs w:val="32"/>
          <w:lang w:eastAsia="zh-CN"/>
        </w:rPr>
        <w:t>”、“军转干补助”、“</w:t>
      </w:r>
      <w:r>
        <w:rPr>
          <w:rFonts w:ascii="仿宋_GB2312" w:eastAsia="仿宋_GB2312" w:cs="仿宋_GB2312" w:hint="eastAsia"/>
          <w:sz w:val="32"/>
          <w:szCs w:val="32"/>
        </w:rPr>
        <w:t>退役军人事务局军转干部补助资金</w:t>
      </w:r>
      <w:r>
        <w:rPr>
          <w:rFonts w:ascii="仿宋_GB2312" w:eastAsia="仿宋_GB2312" w:cs="仿宋_GB2312" w:hint="eastAsia"/>
          <w:sz w:val="32"/>
          <w:szCs w:val="32"/>
          <w:lang w:eastAsia="zh-CN"/>
        </w:rPr>
        <w:t>”、“</w:t>
      </w:r>
      <w:r>
        <w:rPr>
          <w:rFonts w:ascii="仿宋_GB2312" w:eastAsia="仿宋_GB2312" w:cs="仿宋_GB2312" w:hint="eastAsia"/>
          <w:sz w:val="32"/>
          <w:szCs w:val="32"/>
        </w:rPr>
        <w:t>义务兵优待金补助</w:t>
      </w:r>
      <w:r>
        <w:rPr>
          <w:rFonts w:ascii="仿宋_GB2312" w:eastAsia="仿宋_GB2312" w:cs="仿宋_GB2312" w:hint="eastAsia"/>
          <w:sz w:val="32"/>
          <w:szCs w:val="32"/>
          <w:lang w:eastAsia="zh-CN"/>
        </w:rPr>
        <w:t>”、“</w:t>
      </w:r>
      <w:r>
        <w:rPr>
          <w:rFonts w:ascii="仿宋_GB2312" w:eastAsia="仿宋_GB2312" w:cs="仿宋_GB2312" w:hint="eastAsia"/>
          <w:sz w:val="32"/>
          <w:szCs w:val="32"/>
        </w:rPr>
        <w:t>自主就业退役士兵地方一次性补助</w:t>
      </w:r>
      <w:r>
        <w:rPr>
          <w:rFonts w:ascii="仿宋_GB2312" w:eastAsia="仿宋_GB2312" w:cs="仿宋_GB2312" w:hint="eastAsia"/>
          <w:sz w:val="32"/>
          <w:szCs w:val="32"/>
          <w:lang w:eastAsia="zh-CN"/>
        </w:rPr>
        <w:t>”</w:t>
      </w:r>
      <w:r>
        <w:rPr>
          <w:rFonts w:ascii="仿宋_GB2312" w:eastAsia="仿宋_GB2312" w:cs="仿宋_GB2312" w:hint="eastAsia"/>
          <w:sz w:val="32"/>
          <w:szCs w:val="32"/>
        </w:rPr>
        <w:t>等</w:t>
      </w:r>
      <w:r>
        <w:rPr>
          <w:rFonts w:ascii="仿宋_GB2312" w:eastAsia="仿宋_GB2312" w:cs="仿宋_GB2312" w:hint="eastAsia"/>
          <w:sz w:val="32"/>
          <w:szCs w:val="32"/>
          <w:lang w:val="en-US" w:eastAsia="zh-CN"/>
        </w:rPr>
        <w:t>12</w:t>
      </w:r>
      <w:r>
        <w:rPr>
          <w:rFonts w:ascii="仿宋_GB2312" w:eastAsia="仿宋_GB2312" w:cs="仿宋_GB2312" w:hint="eastAsia"/>
          <w:sz w:val="32"/>
          <w:szCs w:val="32"/>
        </w:rPr>
        <w:t>个项目开展了预算事前绩效评估，对</w:t>
      </w:r>
      <w:r>
        <w:rPr>
          <w:rFonts w:ascii="仿宋_GB2312" w:eastAsia="仿宋_GB2312" w:cs="仿宋_GB2312" w:hint="eastAsia"/>
          <w:sz w:val="32"/>
          <w:szCs w:val="32"/>
          <w:lang w:val="en-US" w:eastAsia="zh-CN"/>
        </w:rPr>
        <w:t>12</w:t>
      </w:r>
      <w:r>
        <w:rPr>
          <w:rFonts w:ascii="仿宋_GB2312" w:eastAsia="仿宋_GB2312" w:cs="仿宋_GB2312" w:hint="eastAsia"/>
          <w:sz w:val="32"/>
          <w:szCs w:val="32"/>
        </w:rPr>
        <w:t>个项目编制了绩效目标，预算执行过程中，选取</w:t>
      </w:r>
      <w:r>
        <w:rPr>
          <w:rFonts w:ascii="仿宋_GB2312" w:eastAsia="仿宋_GB2312" w:cs="仿宋_GB2312" w:hint="eastAsia"/>
          <w:sz w:val="32"/>
          <w:szCs w:val="32"/>
          <w:lang w:val="en-US" w:eastAsia="zh-CN"/>
        </w:rPr>
        <w:t>12</w:t>
      </w:r>
      <w:r>
        <w:rPr>
          <w:rFonts w:ascii="仿宋_GB2312" w:eastAsia="仿宋_GB2312" w:cs="仿宋_GB2312" w:hint="eastAsia"/>
          <w:sz w:val="32"/>
          <w:szCs w:val="32"/>
        </w:rPr>
        <w:t>个项目开展绩效监控。</w:t>
      </w:r>
    </w:p>
    <w:p>
      <w:pPr>
        <w:spacing w:line="580" w:lineRule="exact"/>
        <w:ind w:firstLineChars="200" w:firstLine="640"/>
        <w:rPr>
          <w:rFonts w:ascii="仿宋_GB2312" w:eastAsia="仿宋_GB2312" w:cs="仿宋_GB2312"/>
          <w:sz w:val="32"/>
          <w:szCs w:val="32"/>
        </w:rPr>
      </w:pPr>
      <w:r>
        <w:rPr>
          <w:rFonts w:ascii="仿宋_GB2312" w:eastAsia="仿宋_GB2312" w:cs="仿宋_GB2312" w:hint="eastAsia"/>
          <w:sz w:val="32"/>
          <w:szCs w:val="32"/>
        </w:rPr>
        <w:t>组织对202</w:t>
      </w:r>
      <w:r>
        <w:rPr>
          <w:rFonts w:ascii="仿宋_GB2312" w:eastAsia="仿宋_GB2312" w:cs="仿宋_GB2312" w:hint="eastAsia"/>
          <w:sz w:val="32"/>
          <w:szCs w:val="32"/>
          <w:lang w:val="en-US" w:eastAsia="zh-CN"/>
        </w:rPr>
        <w:t>5</w:t>
      </w:r>
      <w:r>
        <w:rPr>
          <w:rFonts w:ascii="仿宋_GB2312" w:eastAsia="仿宋_GB2312" w:cs="仿宋_GB2312" w:hint="eastAsia"/>
          <w:sz w:val="32"/>
          <w:szCs w:val="32"/>
        </w:rPr>
        <w:t>年度一般公共预算、政府性基金预算、国有资本经营预算、社会保险基金预算以及资本资产、债券资金等全面开展绩效自评，形成部门整体（含部门预算项目）绩效自评报告</w:t>
      </w:r>
      <w:r>
        <w:rPr>
          <w:rFonts w:ascii="仿宋_GB2312" w:eastAsia="仿宋_GB2312" w:cs="仿宋_GB2312" w:hint="eastAsia"/>
          <w:sz w:val="32"/>
          <w:szCs w:val="32"/>
          <w:lang w:eastAsia="zh-CN"/>
        </w:rPr>
        <w:t>，</w:t>
      </w:r>
      <w:r>
        <w:rPr>
          <w:rFonts w:ascii="仿宋_GB2312" w:eastAsia="仿宋_GB2312" w:cs="仿宋_GB2312" w:hint="eastAsia"/>
          <w:sz w:val="32"/>
          <w:szCs w:val="32"/>
        </w:rPr>
        <w:t>部门整体（含部门预算项目）绩效自评得分为</w:t>
      </w:r>
      <w:r>
        <w:rPr>
          <w:rFonts w:ascii="仿宋_GB2312" w:eastAsia="仿宋_GB2312" w:cs="仿宋_GB2312" w:hint="eastAsia"/>
          <w:sz w:val="32"/>
          <w:szCs w:val="32"/>
          <w:lang w:val="en-US" w:eastAsia="zh-CN"/>
        </w:rPr>
        <w:t>95</w:t>
      </w:r>
      <w:r>
        <w:rPr>
          <w:rFonts w:ascii="仿宋_GB2312" w:eastAsia="仿宋_GB2312" w:cs="仿宋_GB2312" w:hint="eastAsia"/>
          <w:sz w:val="32"/>
          <w:szCs w:val="32"/>
        </w:rPr>
        <w:t>分，绩效自评综述</w:t>
      </w:r>
      <w:r>
        <w:rPr>
          <w:rFonts w:ascii="仿宋_GB2312" w:eastAsia="仿宋_GB2312" w:cs="仿宋_GB2312" w:hint="eastAsia"/>
          <w:color w:val="000000"/>
          <w:kern w:val="0"/>
          <w:sz w:val="32"/>
          <w:szCs w:val="32"/>
          <w:lang w:val="en-US" w:eastAsia="zh-CN"/>
        </w:rPr>
        <w:t>（1）部门预算严格按照上级部门预算编制通知和有关要求，结合单位具体工作及县级相关规定编制，按时完成基础、项目报送工作，我局预算按时在红原县门户网站公开。</w:t>
        <w:br/>
        <w:t xml:space="preserve">   （2）严格执行支出预算，“三公经费”本着节约、高效的原则严格控制支出。</w:t>
        <w:br/>
        <w:t xml:space="preserve">   （3）认真开展部门绩效评价工作，绩效评价规章制度逐渐健全;严格按照相关法律、法规进行会计核算，严格资金管理，专款专用，资金拨付严格按相关程序报批后支付。认真开展部门整体绩效评价工作，绩效评价工作正逐步完善。</w:t>
      </w:r>
    </w:p>
    <w:p>
      <w:pPr>
        <w:pStyle w:val="1"/>
        <w:jc w:val="center"/>
      </w:pPr>
      <w:bookmarkStart w:id="64" w:name="_Toc12897"/>
      <w:r>
        <w:rPr>
          <w:rFonts w:hint="eastAsia"/>
        </w:rPr>
        <w:t>第三部分 名词解释</w:t>
      </w:r>
      <w:bookmarkEnd w:id="64"/>
    </w:p>
    <w:p/>
    <w:p>
      <w:pPr>
        <w:ind w:firstLineChars="200" w:firstLine="640"/>
        <w:rPr>
          <w:rFonts w:ascii="仿宋_GB2312" w:eastAsia="仿宋_GB2312" w:hint="eastAsia"/>
          <w:sz w:val="32"/>
          <w:szCs w:val="32"/>
        </w:rPr>
      </w:pPr>
      <w:r>
        <w:rPr>
          <w:rFonts w:ascii="仿宋_GB2312" w:eastAsia="仿宋_GB2312" w:hint="eastAsia"/>
          <w:sz w:val="32"/>
          <w:szCs w:val="32"/>
        </w:rPr>
        <w:t>1.财政拨款收入：指单位从同级财政部门取得的财政预算资金。</w:t>
      </w:r>
    </w:p>
    <w:p>
      <w:pPr>
        <w:ind w:firstLineChars="200" w:firstLine="640"/>
        <w:rPr>
          <w:rFonts w:ascii="仿宋_GB2312" w:eastAsia="仿宋_GB2312" w:hint="eastAsia"/>
          <w:sz w:val="32"/>
          <w:szCs w:val="32"/>
        </w:rPr>
      </w:pPr>
      <w:r>
        <w:rPr>
          <w:rFonts w:ascii="仿宋_GB2312" w:eastAsia="仿宋_GB2312" w:hint="eastAsia"/>
          <w:sz w:val="32"/>
          <w:szCs w:val="32"/>
        </w:rPr>
        <w:t>2.事业收入：指事业单位开展专业业务活动及辅助活动取得的收入。</w:t>
      </w:r>
    </w:p>
    <w:p>
      <w:pPr>
        <w:ind w:firstLineChars="200" w:firstLine="640"/>
        <w:rPr>
          <w:rFonts w:ascii="仿宋_GB2312" w:eastAsia="仿宋_GB2312" w:hint="eastAsia"/>
          <w:sz w:val="32"/>
          <w:szCs w:val="32"/>
        </w:rPr>
      </w:pPr>
      <w:r>
        <w:rPr>
          <w:rFonts w:ascii="仿宋_GB2312" w:eastAsia="仿宋_GB2312" w:hint="eastAsia"/>
          <w:sz w:val="32"/>
          <w:szCs w:val="32"/>
        </w:rPr>
        <w:t>3.经营收入：指事业单位在专业业务活动及其辅助活动之外开展非独立核算经营活动取得的收入。</w:t>
      </w:r>
    </w:p>
    <w:p>
      <w:pPr>
        <w:ind w:firstLineChars="200" w:firstLine="640"/>
        <w:rPr>
          <w:rFonts w:ascii="仿宋_GB2312" w:eastAsia="仿宋_GB2312" w:hint="eastAsia"/>
          <w:sz w:val="32"/>
          <w:szCs w:val="32"/>
        </w:rPr>
      </w:pPr>
      <w:r>
        <w:rPr>
          <w:rFonts w:ascii="仿宋_GB2312" w:eastAsia="仿宋_GB2312" w:hint="eastAsia"/>
          <w:sz w:val="32"/>
          <w:szCs w:val="32"/>
        </w:rPr>
        <w:t xml:space="preserve">4.其他收入：指单位取得的除上述收入以外的各项收入。 </w:t>
      </w:r>
    </w:p>
    <w:p>
      <w:pPr>
        <w:ind w:firstLineChars="200" w:firstLine="640"/>
        <w:rPr>
          <w:rFonts w:ascii="仿宋_GB2312" w:eastAsia="仿宋_GB2312" w:hint="eastAsia"/>
          <w:sz w:val="32"/>
          <w:szCs w:val="32"/>
        </w:rPr>
      </w:pPr>
      <w:r>
        <w:rPr>
          <w:rFonts w:ascii="仿宋_GB2312" w:eastAsia="仿宋_GB2312" w:hint="eastAsia"/>
          <w:sz w:val="32"/>
          <w:szCs w:val="32"/>
        </w:rPr>
        <w:t xml:space="preserve">5.使用非财政拨款结余（含专用结余）：指事业单位使用以前年度积累的非财政拨款结余弥补当年收支差额的金额。 </w:t>
      </w:r>
    </w:p>
    <w:p>
      <w:pPr>
        <w:ind w:firstLineChars="200" w:firstLine="640"/>
        <w:rPr>
          <w:rFonts w:ascii="仿宋_GB2312" w:eastAsia="仿宋_GB2312" w:hint="eastAsia"/>
          <w:sz w:val="32"/>
          <w:szCs w:val="32"/>
        </w:rPr>
      </w:pPr>
      <w:r>
        <w:rPr>
          <w:rFonts w:ascii="仿宋_GB2312" w:eastAsia="仿宋_GB2312" w:hint="eastAsia"/>
          <w:sz w:val="32"/>
          <w:szCs w:val="32"/>
        </w:rPr>
        <w:t xml:space="preserve">6.年初结转和结余：指以前年度尚未完成、结转到本年按有关规定继续使用的资金。 </w:t>
      </w:r>
    </w:p>
    <w:p>
      <w:pPr>
        <w:ind w:firstLineChars="200" w:firstLine="640"/>
        <w:rPr>
          <w:rFonts w:ascii="仿宋_GB2312" w:eastAsia="仿宋_GB2312" w:hint="eastAsia"/>
          <w:sz w:val="32"/>
          <w:szCs w:val="32"/>
        </w:rPr>
      </w:pPr>
      <w:r>
        <w:rPr>
          <w:rFonts w:ascii="仿宋_GB2312" w:eastAsia="仿宋_GB2312" w:hint="eastAsia"/>
          <w:sz w:val="32"/>
          <w:szCs w:val="32"/>
        </w:rPr>
        <w:t>7.结余分配：指事业单位按照会计制度规定缴纳的所得税、提取的专用结余以及转入非财政拨款结余的金额等。</w:t>
      </w:r>
    </w:p>
    <w:p>
      <w:pPr>
        <w:ind w:firstLineChars="200" w:firstLine="640"/>
        <w:rPr>
          <w:rFonts w:ascii="仿宋_GB2312" w:eastAsia="仿宋_GB2312" w:hint="eastAsia"/>
          <w:sz w:val="32"/>
          <w:szCs w:val="32"/>
        </w:rPr>
      </w:pPr>
      <w:r>
        <w:rPr>
          <w:rFonts w:ascii="仿宋_GB2312" w:eastAsia="仿宋_GB2312" w:hint="eastAsia"/>
          <w:sz w:val="32"/>
          <w:szCs w:val="32"/>
        </w:rPr>
        <w:t>8.年末结转和结余：指单位按有关规定结转到下年或以后年度继续使用的资金。</w:t>
      </w:r>
    </w:p>
    <w:p>
      <w:pPr>
        <w:ind w:firstLineChars="200" w:firstLine="640"/>
        <w:rPr>
          <w:rFonts w:ascii="仿宋_GB2312" w:eastAsia="仿宋_GB2312" w:hint="eastAsia"/>
          <w:sz w:val="32"/>
          <w:szCs w:val="32"/>
        </w:rPr>
      </w:pPr>
      <w:r>
        <w:rPr>
          <w:rFonts w:ascii="仿宋_GB2312" w:eastAsia="仿宋_GB2312" w:hint="eastAsia"/>
          <w:sz w:val="32"/>
          <w:szCs w:val="32"/>
        </w:rPr>
        <w:t>9.一般公共服务（类）…（款）…（项）：指……。</w:t>
      </w:r>
    </w:p>
    <w:p>
      <w:pPr>
        <w:ind w:firstLineChars="200" w:firstLine="640"/>
        <w:rPr>
          <w:rFonts w:ascii="仿宋_GB2312" w:eastAsia="仿宋_GB2312" w:hint="eastAsia"/>
          <w:sz w:val="32"/>
          <w:szCs w:val="32"/>
        </w:rPr>
      </w:pPr>
      <w:r>
        <w:rPr>
          <w:rFonts w:ascii="仿宋_GB2312" w:eastAsia="仿宋_GB2312" w:hint="eastAsia"/>
          <w:sz w:val="32"/>
          <w:szCs w:val="32"/>
        </w:rPr>
        <w:t>10.外交（类）…（款）…（项）：指……。</w:t>
      </w:r>
    </w:p>
    <w:p>
      <w:pPr>
        <w:ind w:firstLineChars="200" w:firstLine="640"/>
        <w:rPr>
          <w:rFonts w:ascii="仿宋_GB2312" w:eastAsia="仿宋_GB2312" w:hint="eastAsia"/>
          <w:sz w:val="32"/>
          <w:szCs w:val="32"/>
        </w:rPr>
      </w:pPr>
      <w:r>
        <w:rPr>
          <w:rFonts w:ascii="仿宋_GB2312" w:eastAsia="仿宋_GB2312" w:hint="eastAsia"/>
          <w:sz w:val="32"/>
          <w:szCs w:val="32"/>
        </w:rPr>
        <w:t>11.公共安全（类）…（款）…（项）：指……。</w:t>
      </w:r>
    </w:p>
    <w:p>
      <w:pPr>
        <w:ind w:firstLineChars="200" w:firstLine="640"/>
        <w:rPr>
          <w:rFonts w:ascii="仿宋_GB2312" w:eastAsia="仿宋_GB2312" w:hint="eastAsia"/>
          <w:sz w:val="32"/>
          <w:szCs w:val="32"/>
        </w:rPr>
      </w:pPr>
      <w:r>
        <w:rPr>
          <w:rFonts w:ascii="仿宋_GB2312" w:eastAsia="仿宋_GB2312" w:hint="eastAsia"/>
          <w:sz w:val="32"/>
          <w:szCs w:val="32"/>
        </w:rPr>
        <w:t>12.教育（类）…（款）…（项）：指……。</w:t>
      </w:r>
    </w:p>
    <w:p>
      <w:pPr>
        <w:ind w:firstLineChars="200" w:firstLine="640"/>
        <w:rPr>
          <w:rFonts w:ascii="仿宋_GB2312" w:eastAsia="仿宋_GB2312" w:hint="eastAsia"/>
          <w:sz w:val="32"/>
          <w:szCs w:val="32"/>
        </w:rPr>
      </w:pPr>
      <w:r>
        <w:rPr>
          <w:rFonts w:ascii="仿宋_GB2312" w:eastAsia="仿宋_GB2312" w:hint="eastAsia"/>
          <w:sz w:val="32"/>
          <w:szCs w:val="32"/>
        </w:rPr>
        <w:t>13.科学技术（类）…（款）…（项）：指……。</w:t>
      </w:r>
    </w:p>
    <w:p>
      <w:pPr>
        <w:ind w:firstLineChars="200" w:firstLine="640"/>
        <w:rPr>
          <w:rFonts w:ascii="仿宋_GB2312" w:eastAsia="仿宋_GB2312" w:hint="eastAsia"/>
          <w:sz w:val="32"/>
          <w:szCs w:val="32"/>
        </w:rPr>
      </w:pPr>
      <w:r>
        <w:rPr>
          <w:rFonts w:ascii="仿宋_GB2312" w:eastAsia="仿宋_GB2312" w:hint="eastAsia"/>
          <w:sz w:val="32"/>
          <w:szCs w:val="32"/>
        </w:rPr>
        <w:t>14.文化旅游体育与传媒（类）…（款）…（项）：指……。</w:t>
      </w:r>
    </w:p>
    <w:p>
      <w:pPr>
        <w:ind w:firstLineChars="200" w:firstLine="640"/>
        <w:rPr>
          <w:rFonts w:ascii="仿宋_GB2312" w:eastAsia="仿宋_GB2312" w:hint="eastAsia"/>
          <w:sz w:val="32"/>
          <w:szCs w:val="32"/>
        </w:rPr>
      </w:pPr>
      <w:r>
        <w:rPr>
          <w:rFonts w:ascii="仿宋_GB2312" w:eastAsia="仿宋_GB2312" w:hint="eastAsia"/>
          <w:sz w:val="32"/>
          <w:szCs w:val="32"/>
        </w:rPr>
        <w:t>15.社会保障和就业（类）…（款）…（项）：指……。</w:t>
      </w:r>
    </w:p>
    <w:p>
      <w:pPr>
        <w:ind w:firstLineChars="200" w:firstLine="640"/>
        <w:rPr>
          <w:rFonts w:ascii="仿宋_GB2312" w:eastAsia="仿宋_GB2312" w:hint="eastAsia"/>
          <w:sz w:val="32"/>
          <w:szCs w:val="32"/>
        </w:rPr>
      </w:pPr>
      <w:r>
        <w:rPr>
          <w:rFonts w:ascii="仿宋_GB2312" w:eastAsia="仿宋_GB2312" w:hint="eastAsia"/>
          <w:sz w:val="32"/>
          <w:szCs w:val="32"/>
        </w:rPr>
        <w:t>16.卫生健康（类）…（款）…（项）：指……。</w:t>
      </w:r>
    </w:p>
    <w:p>
      <w:pPr>
        <w:ind w:firstLineChars="200" w:firstLine="640"/>
        <w:rPr>
          <w:rFonts w:ascii="仿宋_GB2312" w:eastAsia="仿宋_GB2312" w:hint="eastAsia"/>
          <w:sz w:val="32"/>
          <w:szCs w:val="32"/>
        </w:rPr>
      </w:pPr>
      <w:r>
        <w:rPr>
          <w:rFonts w:ascii="仿宋_GB2312" w:eastAsia="仿宋_GB2312" w:hint="eastAsia"/>
          <w:sz w:val="32"/>
          <w:szCs w:val="32"/>
        </w:rPr>
        <w:t>17.节能环保（类）…（款）…（项）：指……。</w:t>
      </w:r>
    </w:p>
    <w:p>
      <w:pPr>
        <w:ind w:firstLineChars="200" w:firstLine="640"/>
        <w:rPr>
          <w:rFonts w:ascii="仿宋_GB2312" w:eastAsia="仿宋_GB2312" w:hint="eastAsia"/>
          <w:sz w:val="32"/>
          <w:szCs w:val="32"/>
        </w:rPr>
      </w:pPr>
      <w:r>
        <w:rPr>
          <w:rFonts w:ascii="仿宋_GB2312" w:eastAsia="仿宋_GB2312" w:hint="eastAsia"/>
          <w:sz w:val="32"/>
          <w:szCs w:val="32"/>
        </w:rPr>
        <w:t>18.城乡社区（类）…（款）…（项）：指……。</w:t>
      </w:r>
    </w:p>
    <w:p>
      <w:pPr>
        <w:ind w:firstLineChars="200" w:firstLine="640"/>
        <w:rPr>
          <w:rFonts w:ascii="仿宋_GB2312" w:eastAsia="仿宋_GB2312" w:hint="eastAsia"/>
          <w:sz w:val="32"/>
          <w:szCs w:val="32"/>
        </w:rPr>
      </w:pPr>
      <w:r>
        <w:rPr>
          <w:rFonts w:ascii="仿宋_GB2312" w:eastAsia="仿宋_GB2312" w:hint="eastAsia"/>
          <w:sz w:val="32"/>
          <w:szCs w:val="32"/>
        </w:rPr>
        <w:t>19.农林水（类）…（款）…（项）：指……。</w:t>
      </w:r>
    </w:p>
    <w:p>
      <w:pPr>
        <w:ind w:firstLineChars="200" w:firstLine="640"/>
        <w:rPr>
          <w:rFonts w:ascii="仿宋_GB2312" w:eastAsia="仿宋_GB2312" w:hint="eastAsia"/>
          <w:sz w:val="32"/>
          <w:szCs w:val="32"/>
        </w:rPr>
      </w:pPr>
      <w:r>
        <w:rPr>
          <w:rFonts w:ascii="仿宋_GB2312" w:eastAsia="仿宋_GB2312" w:hint="eastAsia"/>
          <w:sz w:val="32"/>
          <w:szCs w:val="32"/>
        </w:rPr>
        <w:t>20.交通运输（类）…（款）…（项）：指……。</w:t>
      </w:r>
    </w:p>
    <w:p>
      <w:pPr>
        <w:ind w:firstLineChars="200" w:firstLine="640"/>
        <w:rPr>
          <w:rFonts w:ascii="仿宋_GB2312" w:eastAsia="仿宋_GB2312" w:hint="eastAsia"/>
          <w:sz w:val="32"/>
          <w:szCs w:val="32"/>
        </w:rPr>
      </w:pPr>
      <w:r>
        <w:rPr>
          <w:rFonts w:ascii="仿宋_GB2312" w:eastAsia="仿宋_GB2312" w:hint="eastAsia"/>
          <w:sz w:val="32"/>
          <w:szCs w:val="32"/>
        </w:rPr>
        <w:t>21.资源勘探工业信息等（类）…（款）…（项）：指……。</w:t>
      </w:r>
    </w:p>
    <w:p>
      <w:pPr>
        <w:ind w:firstLineChars="200" w:firstLine="640"/>
        <w:rPr>
          <w:rFonts w:ascii="仿宋_GB2312" w:eastAsia="仿宋_GB2312" w:hint="eastAsia"/>
          <w:sz w:val="32"/>
          <w:szCs w:val="32"/>
        </w:rPr>
      </w:pPr>
      <w:r>
        <w:rPr>
          <w:rFonts w:ascii="仿宋_GB2312" w:eastAsia="仿宋_GB2312" w:hint="eastAsia"/>
          <w:sz w:val="32"/>
          <w:szCs w:val="32"/>
        </w:rPr>
        <w:t>22.商业服务业（类）…（款）…（项）：指……。</w:t>
      </w:r>
    </w:p>
    <w:p>
      <w:pPr>
        <w:ind w:firstLineChars="200" w:firstLine="640"/>
        <w:rPr>
          <w:rFonts w:ascii="仿宋_GB2312" w:eastAsia="仿宋_GB2312" w:hint="eastAsia"/>
          <w:sz w:val="32"/>
          <w:szCs w:val="32"/>
        </w:rPr>
      </w:pPr>
      <w:r>
        <w:rPr>
          <w:rFonts w:ascii="仿宋_GB2312" w:eastAsia="仿宋_GB2312" w:hint="eastAsia"/>
          <w:sz w:val="32"/>
          <w:szCs w:val="32"/>
        </w:rPr>
        <w:t>23.金融（类）…（款）…（项）：指……。</w:t>
      </w:r>
    </w:p>
    <w:p>
      <w:pPr>
        <w:ind w:firstLineChars="200" w:firstLine="640"/>
        <w:rPr>
          <w:rFonts w:ascii="仿宋_GB2312" w:eastAsia="仿宋_GB2312" w:hint="eastAsia"/>
          <w:sz w:val="32"/>
          <w:szCs w:val="32"/>
        </w:rPr>
      </w:pPr>
      <w:r>
        <w:rPr>
          <w:rFonts w:ascii="仿宋_GB2312" w:eastAsia="仿宋_GB2312" w:hint="eastAsia"/>
          <w:sz w:val="32"/>
          <w:szCs w:val="32"/>
        </w:rPr>
        <w:t>24.自然资源海洋气象等（类）…（款）…（项）：指……。</w:t>
      </w:r>
    </w:p>
    <w:p>
      <w:pPr>
        <w:ind w:firstLineChars="200" w:firstLine="640"/>
        <w:rPr>
          <w:rFonts w:ascii="仿宋_GB2312" w:eastAsia="仿宋_GB2312" w:hint="eastAsia"/>
          <w:sz w:val="32"/>
          <w:szCs w:val="32"/>
        </w:rPr>
      </w:pPr>
      <w:r>
        <w:rPr>
          <w:rFonts w:ascii="仿宋_GB2312" w:eastAsia="仿宋_GB2312" w:hint="eastAsia"/>
          <w:sz w:val="32"/>
          <w:szCs w:val="32"/>
        </w:rPr>
        <w:t>25.住房保障（类）…（款）…（项）：指……。</w:t>
      </w:r>
    </w:p>
    <w:p>
      <w:pPr>
        <w:ind w:firstLineChars="200" w:firstLine="640"/>
        <w:rPr>
          <w:rFonts w:ascii="仿宋_GB2312" w:eastAsia="仿宋_GB2312" w:hint="eastAsia"/>
          <w:sz w:val="32"/>
          <w:szCs w:val="32"/>
        </w:rPr>
      </w:pPr>
      <w:r>
        <w:rPr>
          <w:rFonts w:ascii="仿宋_GB2312" w:eastAsia="仿宋_GB2312" w:hint="eastAsia"/>
          <w:sz w:val="32"/>
          <w:szCs w:val="32"/>
        </w:rPr>
        <w:t>26.粮油物资储备（类）…（款）…（项）：指……。</w:t>
      </w:r>
    </w:p>
    <w:p>
      <w:pPr>
        <w:ind w:firstLineChars="200" w:firstLine="640"/>
        <w:rPr>
          <w:rFonts w:ascii="仿宋_GB2312" w:eastAsia="仿宋_GB2312"/>
          <w:sz w:val="32"/>
          <w:szCs w:val="32"/>
        </w:rPr>
      </w:pPr>
      <w:r>
        <w:rPr>
          <w:rFonts w:ascii="仿宋_GB2312" w:eastAsia="仿宋_GB2312" w:hint="eastAsia"/>
          <w:sz w:val="32"/>
          <w:szCs w:val="32"/>
        </w:rPr>
        <w:t>27.基本支出：指为保障机构正常运转、完成日常工作任务而发生的人员支出和公用支出。</w:t>
      </w:r>
    </w:p>
    <w:p>
      <w:pPr>
        <w:ind w:firstLineChars="200" w:firstLine="640"/>
        <w:rPr>
          <w:rFonts w:ascii="仿宋_GB2312" w:eastAsia="仿宋_GB2312"/>
          <w:sz w:val="32"/>
          <w:szCs w:val="32"/>
        </w:rPr>
      </w:pPr>
      <w:r>
        <w:rPr>
          <w:rFonts w:ascii="仿宋_GB2312" w:eastAsia="仿宋_GB2312" w:hint="eastAsia"/>
          <w:sz w:val="32"/>
          <w:szCs w:val="32"/>
        </w:rPr>
        <w:t xml:space="preserve">28.项目支出：指在基本支出之外为完成特定行政任务和事业发展目标所发生的支出。 </w:t>
      </w:r>
    </w:p>
    <w:p>
      <w:pPr>
        <w:ind w:firstLineChars="200" w:firstLine="640"/>
        <w:rPr>
          <w:rFonts w:ascii="仿宋_GB2312" w:eastAsia="仿宋_GB2312"/>
          <w:sz w:val="32"/>
          <w:szCs w:val="32"/>
        </w:rPr>
      </w:pPr>
      <w:r>
        <w:rPr>
          <w:rFonts w:ascii="仿宋_GB2312" w:eastAsia="仿宋_GB2312" w:hint="eastAsia"/>
          <w:sz w:val="32"/>
          <w:szCs w:val="32"/>
        </w:rPr>
        <w:t>29.经营支出：指事业单位在专业业务活动及其辅助活动之外开展非独立核算经营活动发生的支出。</w:t>
      </w:r>
    </w:p>
    <w:p>
      <w:pPr>
        <w:ind w:firstLineChars="200" w:firstLine="640"/>
        <w:rPr>
          <w:rFonts w:ascii="仿宋_GB2312" w:eastAsia="仿宋_GB2312"/>
          <w:sz w:val="32"/>
          <w:szCs w:val="32"/>
        </w:rPr>
      </w:pPr>
      <w:r>
        <w:rPr>
          <w:rFonts w:ascii="仿宋_GB2312" w:eastAsia="仿宋_GB2312" w:hint="eastAsia"/>
          <w:sz w:val="32"/>
          <w:szCs w:val="32"/>
        </w:rPr>
        <w:t>30.“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ind w:firstLineChars="200" w:firstLine="640"/>
        <w:rPr>
          <w:rFonts w:ascii="仿宋_GB2312" w:eastAsia="仿宋_GB2312"/>
          <w:sz w:val="32"/>
          <w:szCs w:val="32"/>
        </w:rPr>
      </w:pPr>
      <w:r>
        <w:rPr>
          <w:rFonts w:ascii="仿宋_GB2312" w:eastAsia="仿宋_GB2312" w:hint="eastAsia"/>
          <w:sz w:val="32"/>
          <w:szCs w:val="32"/>
        </w:rPr>
        <w:t>31.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ind w:firstLineChars="200" w:firstLine="640"/>
        <w:rPr>
          <w:rFonts w:ascii="仿宋" w:eastAsia="仿宋"/>
          <w:b/>
          <w:sz w:val="32"/>
          <w:szCs w:val="32"/>
        </w:rPr>
      </w:pPr>
      <w:r>
        <w:rPr>
          <w:rFonts w:ascii="仿宋" w:eastAsia="仿宋"/>
          <w:b/>
          <w:sz w:val="32"/>
          <w:szCs w:val="32"/>
        </w:rPr>
        <w:br w:type="page"/>
      </w:r>
    </w:p>
    <w:p>
      <w:pPr>
        <w:pStyle w:val="1"/>
        <w:jc w:val="center"/>
        <w:rPr>
          <w:rFonts w:ascii="黑体" w:eastAsia="黑体"/>
          <w:b w:val="0"/>
        </w:rPr>
      </w:pPr>
      <w:bookmarkStart w:id="65" w:name="_Toc239"/>
      <w:r>
        <w:rPr>
          <w:rFonts w:ascii="黑体" w:eastAsia="黑体" w:hint="eastAsia"/>
          <w:b w:val="0"/>
        </w:rPr>
        <w:t>第四部分 附件</w:t>
      </w:r>
      <w:bookmarkEnd w:id="65"/>
    </w:p>
    <w:p/>
    <w:p>
      <w:pPr>
        <w:rPr>
          <w:rFonts w:ascii="黑体" w:eastAsia="黑体"/>
          <w:sz w:val="32"/>
          <w:szCs w:val="32"/>
        </w:rPr>
      </w:pPr>
      <w:r>
        <w:rPr>
          <w:rFonts w:ascii="黑体" w:eastAsia="黑体" w:hint="eastAsia"/>
          <w:sz w:val="32"/>
          <w:szCs w:val="32"/>
        </w:rPr>
        <w:t>附件1</w:t>
      </w:r>
    </w:p>
    <w:p>
      <w:pPr>
        <w:jc w:val="center"/>
        <w:rPr>
          <w:rFonts w:ascii="方正小标宋简体" w:eastAsia="方正小标宋简体"/>
          <w:sz w:val="44"/>
          <w:szCs w:val="44"/>
        </w:rPr>
      </w:pPr>
      <w:r>
        <w:rPr>
          <w:rFonts w:ascii="方正小标宋简体" w:eastAsia="方正小标宋简体" w:hint="eastAsia"/>
          <w:sz w:val="44"/>
          <w:szCs w:val="44"/>
        </w:rPr>
        <w:t>部门预算绩效评价报告</w:t>
      </w:r>
    </w:p>
    <w:p/>
    <w:p>
      <w:pPr>
        <w:rPr>
          <w:rFonts w:ascii="黑体" w:eastAsia="黑体"/>
          <w:sz w:val="32"/>
          <w:szCs w:val="32"/>
        </w:rPr>
      </w:pPr>
      <w:r>
        <w:rPr>
          <w:rFonts w:ascii="黑体" w:eastAsia="黑体" w:hint="eastAsia"/>
          <w:sz w:val="32"/>
          <w:szCs w:val="32"/>
        </w:rPr>
        <w:t>一、部门（单位）基本情况</w:t>
      </w:r>
    </w:p>
    <w:p>
      <w:pPr>
        <w:ind w:firstLineChars="200" w:firstLine="640"/>
        <w:rPr>
          <w:rFonts w:ascii="楷体_GB2312" w:eastAsia="楷体_GB2312" w:hint="eastAsia"/>
          <w:b/>
          <w:sz w:val="32"/>
          <w:szCs w:val="32"/>
        </w:rPr>
      </w:pPr>
      <w:r>
        <w:rPr>
          <w:rFonts w:ascii="楷体_GB2312" w:eastAsia="楷体_GB2312" w:hint="eastAsia"/>
          <w:b/>
          <w:sz w:val="32"/>
          <w:szCs w:val="32"/>
        </w:rPr>
        <w:t>（一）机构组成。</w:t>
      </w:r>
    </w:p>
    <w:p>
      <w:pPr>
        <w:ind w:firstLineChars="200" w:firstLine="640"/>
        <w:rPr>
          <w:rFonts w:ascii="Times New Roman" w:eastAsia="仿宋_GB2312" w:cs="Times New Roman" w:hAnsi="Times New Roman" w:hint="eastAsia"/>
          <w:kern w:val="2"/>
          <w:sz w:val="32"/>
          <w:szCs w:val="32"/>
          <w:lang w:val="en-US" w:eastAsia="zh-CN" w:bidi="ar-SA"/>
        </w:rPr>
      </w:pPr>
      <w:r>
        <w:rPr>
          <w:rFonts w:ascii="Times New Roman" w:eastAsia="仿宋_GB2312" w:cs="Times New Roman" w:hAnsi="Times New Roman" w:hint="eastAsia"/>
          <w:kern w:val="2"/>
          <w:sz w:val="32"/>
          <w:szCs w:val="32"/>
          <w:lang w:val="en-US" w:eastAsia="zh-CN" w:bidi="ar-SA"/>
        </w:rPr>
        <w:t>本单位独立编制机构数共2个，比上年增加0个；独立核算机构数共2个，比上年增加0个。</w:t>
      </w:r>
    </w:p>
    <w:p>
      <w:pPr>
        <w:pStyle w:val="2"/>
        <w:keepNext w:val="0"/>
        <w:keepLines w:val="0"/>
        <w:pageBreakBefore w:val="0"/>
        <w:widowControl w:val="0"/>
        <w:numPr>
          <w:ilvl w:val="0"/>
          <w:numId w:val="4"/>
        </w:numPr>
        <w:suppressLineNumbers w:val="0"/>
        <w:kinsoku/>
        <w:wordWrap/>
        <w:overflowPunct/>
        <w:topLinePunct w:val="0"/>
        <w:autoSpaceDE w:val="0"/>
        <w:autoSpaceDN/>
        <w:bidi w:val="0"/>
        <w:adjustRightInd/>
        <w:snapToGrid/>
        <w:spacing w:before="0" w:beforeAutospacing="0" w:after="0" w:afterAutospacing="0" w:line="560" w:lineRule="exact"/>
        <w:ind w:left="0" w:firstLineChars="200" w:firstLine="640"/>
        <w:textAlignment w:val="auto"/>
        <w:rPr>
          <w:rFonts w:ascii="楷体_GB2312" w:eastAsia="楷体_GB2312" w:hint="eastAsia"/>
          <w:b/>
          <w:sz w:val="32"/>
          <w:szCs w:val="32"/>
        </w:rPr>
      </w:pPr>
      <w:r>
        <w:rPr>
          <w:rFonts w:ascii="楷体_GB2312" w:eastAsia="楷体_GB2312" w:hint="eastAsia"/>
          <w:b/>
          <w:sz w:val="32"/>
          <w:szCs w:val="32"/>
        </w:rPr>
        <w:t>机构职能。</w:t>
      </w:r>
    </w:p>
    <w:p>
      <w:pPr>
        <w:pStyle w:val="2"/>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firstLineChars="200" w:firstLine="640"/>
        <w:textAlignment w:val="auto"/>
        <w:rPr>
          <w:rFonts w:ascii="Times New Roman" w:eastAsia="仿宋_GB2312" w:cs="Times New Roman" w:hAnsi="Times New Roman" w:hint="eastAsia"/>
          <w:b w:val="0"/>
          <w:bCs w:val="0"/>
          <w:kern w:val="2"/>
          <w:sz w:val="32"/>
          <w:szCs w:val="32"/>
          <w:lang w:val="en-US" w:eastAsia="zh-CN" w:bidi="ar-SA"/>
        </w:rPr>
      </w:pPr>
      <w:r>
        <w:rPr>
          <w:rFonts w:ascii="Times New Roman" w:eastAsia="仿宋_GB2312" w:cs="Times New Roman" w:hAnsi="Times New Roman" w:hint="eastAsia"/>
          <w:b w:val="0"/>
          <w:bCs w:val="0"/>
          <w:kern w:val="2"/>
          <w:sz w:val="32"/>
          <w:szCs w:val="32"/>
          <w:lang w:val="en-US" w:eastAsia="zh-CN" w:bidi="ar-SA"/>
        </w:rPr>
        <w:t>县退役军人局贯彻落实党中央关于退役军人工作的方针政策和省委、州委、县委的决策部署，在履行职责过程中坚持和加强党对退役军人工作的集中统一领导。主要职责是：</w:t>
      </w:r>
    </w:p>
    <w:p>
      <w:pPr>
        <w:pStyle w:val="2"/>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firstLineChars="200" w:firstLine="640"/>
        <w:textAlignment w:val="auto"/>
        <w:rPr>
          <w:rFonts w:ascii="Times New Roman" w:eastAsia="仿宋_GB2312" w:cs="Times New Roman" w:hAnsi="Times New Roman" w:hint="eastAsia"/>
          <w:b w:val="0"/>
          <w:bCs w:val="0"/>
          <w:kern w:val="2"/>
          <w:sz w:val="32"/>
          <w:szCs w:val="32"/>
          <w:lang w:val="en-US" w:eastAsia="zh-CN" w:bidi="ar-SA"/>
        </w:rPr>
      </w:pPr>
      <w:r>
        <w:rPr>
          <w:rFonts w:ascii="Times New Roman" w:eastAsia="仿宋_GB2312" w:cs="Times New Roman" w:hAnsi="Times New Roman" w:hint="eastAsia"/>
          <w:b w:val="0"/>
          <w:bCs w:val="0"/>
          <w:kern w:val="2"/>
          <w:sz w:val="32"/>
          <w:szCs w:val="32"/>
          <w:lang w:val="en-US" w:eastAsia="zh-CN" w:bidi="ar-SA"/>
        </w:rPr>
        <w:t>1.贯彻执行有关退役军人思想政治、管理保障和安置优抚等法律法规，拟订退役军人工作政策并组织实施，褒扬彰显退役军人为党、国家和人民牺牲奉献的精神风范和价值导向。</w:t>
      </w:r>
    </w:p>
    <w:p>
      <w:pPr>
        <w:pStyle w:val="2"/>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firstLineChars="200" w:firstLine="640"/>
        <w:textAlignment w:val="auto"/>
        <w:rPr>
          <w:rFonts w:ascii="Times New Roman" w:eastAsia="仿宋_GB2312" w:cs="Times New Roman" w:hAnsi="Times New Roman" w:hint="eastAsia"/>
          <w:b w:val="0"/>
          <w:bCs w:val="0"/>
          <w:kern w:val="2"/>
          <w:sz w:val="32"/>
          <w:szCs w:val="32"/>
          <w:lang w:val="en-US" w:eastAsia="zh-CN" w:bidi="ar-SA"/>
        </w:rPr>
      </w:pPr>
      <w:r>
        <w:rPr>
          <w:rFonts w:ascii="Times New Roman" w:eastAsia="仿宋_GB2312" w:cs="Times New Roman" w:hAnsi="Times New Roman" w:hint="eastAsia"/>
          <w:b w:val="0"/>
          <w:bCs w:val="0"/>
          <w:kern w:val="2"/>
          <w:sz w:val="32"/>
          <w:szCs w:val="32"/>
          <w:lang w:val="en-US" w:eastAsia="zh-CN" w:bidi="ar-SA"/>
        </w:rPr>
        <w:t>2.负责军队转业干部、复员干部、离休退休干部、退役士兵和无军籍退休退职职工的移交安置和自主择业、就业退役军人服务管理工作。</w:t>
      </w:r>
    </w:p>
    <w:p>
      <w:pPr>
        <w:pStyle w:val="2"/>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firstLineChars="200" w:firstLine="640"/>
        <w:textAlignment w:val="auto"/>
        <w:rPr>
          <w:rFonts w:ascii="Times New Roman" w:eastAsia="仿宋_GB2312" w:cs="Times New Roman" w:hAnsi="Times New Roman" w:hint="eastAsia"/>
          <w:b w:val="0"/>
          <w:bCs w:val="0"/>
          <w:kern w:val="2"/>
          <w:sz w:val="32"/>
          <w:szCs w:val="32"/>
          <w:lang w:val="en-US" w:eastAsia="zh-CN" w:bidi="ar-SA"/>
        </w:rPr>
      </w:pPr>
      <w:r>
        <w:rPr>
          <w:rFonts w:ascii="Times New Roman" w:eastAsia="仿宋_GB2312" w:cs="Times New Roman" w:hAnsi="Times New Roman" w:hint="eastAsia"/>
          <w:b w:val="0"/>
          <w:bCs w:val="0"/>
          <w:kern w:val="2"/>
          <w:sz w:val="32"/>
          <w:szCs w:val="32"/>
          <w:lang w:val="en-US" w:eastAsia="zh-CN" w:bidi="ar-SA"/>
        </w:rPr>
        <w:t>3.组织、指导退役军人教育培训工作，承担退役军人和随军随调家属就业创业扶持工作。</w:t>
      </w:r>
    </w:p>
    <w:p>
      <w:pPr>
        <w:pStyle w:val="2"/>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firstLineChars="200" w:firstLine="640"/>
        <w:textAlignment w:val="auto"/>
        <w:rPr>
          <w:rFonts w:ascii="Times New Roman" w:eastAsia="仿宋_GB2312" w:cs="Times New Roman" w:hAnsi="Times New Roman" w:hint="eastAsia"/>
          <w:b w:val="0"/>
          <w:bCs w:val="0"/>
          <w:kern w:val="2"/>
          <w:sz w:val="32"/>
          <w:szCs w:val="32"/>
          <w:lang w:val="en-US" w:eastAsia="zh-CN" w:bidi="ar-SA"/>
        </w:rPr>
      </w:pPr>
      <w:r>
        <w:rPr>
          <w:rFonts w:ascii="Times New Roman" w:eastAsia="仿宋_GB2312" w:cs="Times New Roman" w:hAnsi="Times New Roman" w:hint="eastAsia"/>
          <w:b w:val="0"/>
          <w:bCs w:val="0"/>
          <w:kern w:val="2"/>
          <w:sz w:val="32"/>
          <w:szCs w:val="32"/>
          <w:lang w:val="en-US" w:eastAsia="zh-CN" w:bidi="ar-SA"/>
        </w:rPr>
        <w:t>4.贯彻执行国家有关退役军人特殊保障政策。</w:t>
      </w:r>
    </w:p>
    <w:p>
      <w:pPr>
        <w:pStyle w:val="2"/>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firstLineChars="200" w:firstLine="640"/>
        <w:textAlignment w:val="auto"/>
        <w:rPr>
          <w:rFonts w:ascii="Times New Roman" w:eastAsia="仿宋_GB2312" w:cs="Times New Roman" w:hAnsi="Times New Roman" w:hint="eastAsia"/>
          <w:b w:val="0"/>
          <w:bCs w:val="0"/>
          <w:kern w:val="2"/>
          <w:sz w:val="32"/>
          <w:szCs w:val="32"/>
          <w:lang w:val="en-US" w:eastAsia="zh-CN" w:bidi="ar-SA"/>
        </w:rPr>
      </w:pPr>
      <w:r>
        <w:rPr>
          <w:rFonts w:ascii="Times New Roman" w:eastAsia="仿宋_GB2312" w:cs="Times New Roman" w:hAnsi="Times New Roman" w:hint="eastAsia"/>
          <w:b w:val="0"/>
          <w:bCs w:val="0"/>
          <w:kern w:val="2"/>
          <w:sz w:val="32"/>
          <w:szCs w:val="32"/>
          <w:lang w:val="en-US" w:eastAsia="zh-CN" w:bidi="ar-SA"/>
        </w:rPr>
        <w:t>5.组织、协调落实移交地方的离休退休军人、符合条件的其他退役军人和无军籍退休退职职工的住房保障工作，以及退役军人医疗保障、社会保险等待遇保障工作。</w:t>
      </w:r>
    </w:p>
    <w:p>
      <w:pPr>
        <w:pStyle w:val="2"/>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firstLineChars="200" w:firstLine="640"/>
        <w:textAlignment w:val="auto"/>
        <w:rPr>
          <w:rFonts w:ascii="Times New Roman" w:eastAsia="仿宋_GB2312" w:cs="Times New Roman" w:hAnsi="Times New Roman" w:hint="eastAsia"/>
          <w:b w:val="0"/>
          <w:bCs w:val="0"/>
          <w:kern w:val="2"/>
          <w:sz w:val="32"/>
          <w:szCs w:val="32"/>
          <w:lang w:val="en-US" w:eastAsia="zh-CN" w:bidi="ar-SA"/>
        </w:rPr>
      </w:pPr>
      <w:r>
        <w:rPr>
          <w:rFonts w:ascii="Times New Roman" w:eastAsia="仿宋_GB2312" w:cs="Times New Roman" w:hAnsi="Times New Roman" w:hint="eastAsia"/>
          <w:b w:val="0"/>
          <w:bCs w:val="0"/>
          <w:kern w:val="2"/>
          <w:sz w:val="32"/>
          <w:szCs w:val="32"/>
          <w:lang w:val="en-US" w:eastAsia="zh-CN" w:bidi="ar-SA"/>
        </w:rPr>
        <w:t>6.负责伤病残退役军人服务管理和抚恤工作，贯彻执行有关</w:t>
      </w:r>
    </w:p>
    <w:p>
      <w:pPr>
        <w:pStyle w:val="2"/>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firstLineChars="200" w:firstLine="640"/>
        <w:textAlignment w:val="auto"/>
        <w:rPr>
          <w:rFonts w:ascii="Times New Roman" w:eastAsia="仿宋_GB2312" w:cs="Times New Roman" w:hAnsi="Times New Roman" w:hint="eastAsia"/>
          <w:b w:val="0"/>
          <w:bCs w:val="0"/>
          <w:kern w:val="2"/>
          <w:sz w:val="32"/>
          <w:szCs w:val="32"/>
          <w:lang w:val="en-US" w:eastAsia="zh-CN" w:bidi="ar-SA"/>
        </w:rPr>
      </w:pPr>
      <w:r>
        <w:rPr>
          <w:rFonts w:ascii="Times New Roman" w:eastAsia="仿宋_GB2312" w:cs="Times New Roman" w:hAnsi="Times New Roman" w:hint="eastAsia"/>
          <w:b w:val="0"/>
          <w:bCs w:val="0"/>
          <w:kern w:val="2"/>
          <w:sz w:val="32"/>
          <w:szCs w:val="32"/>
          <w:lang w:val="en-US" w:eastAsia="zh-CN" w:bidi="ar-SA"/>
        </w:rPr>
        <w:t>退役军人医疗、疗养、养老等机构的规划政策。承担不适宜继续服役的伤病残军人移交安置、退休安置、供等工作。</w:t>
      </w:r>
    </w:p>
    <w:p>
      <w:pPr>
        <w:pStyle w:val="2"/>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firstLineChars="200" w:firstLine="640"/>
        <w:textAlignment w:val="auto"/>
        <w:rPr>
          <w:rFonts w:ascii="Times New Roman" w:eastAsia="仿宋_GB2312" w:cs="Times New Roman" w:hAnsi="Times New Roman" w:hint="eastAsia"/>
          <w:b w:val="0"/>
          <w:bCs w:val="0"/>
          <w:kern w:val="2"/>
          <w:sz w:val="32"/>
          <w:szCs w:val="32"/>
          <w:lang w:val="en-US" w:eastAsia="zh-CN" w:bidi="ar-SA"/>
        </w:rPr>
      </w:pPr>
      <w:r>
        <w:rPr>
          <w:rFonts w:ascii="Times New Roman" w:eastAsia="仿宋_GB2312" w:cs="Times New Roman" w:hAnsi="Times New Roman" w:hint="eastAsia"/>
          <w:b w:val="0"/>
          <w:bCs w:val="0"/>
          <w:kern w:val="2"/>
          <w:sz w:val="32"/>
          <w:szCs w:val="32"/>
          <w:lang w:val="en-US" w:eastAsia="zh-CN" w:bidi="ar-SA"/>
        </w:rPr>
        <w:t>7.组织、指导拥军优属工作，承担现役军人、退役军人、军队文职人员和军属的优待、抚恤等工作。贯彻执行国家有关国民党抗战老兵等有关人员优待政策。</w:t>
      </w:r>
    </w:p>
    <w:p>
      <w:pPr>
        <w:pStyle w:val="2"/>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firstLineChars="200" w:firstLine="640"/>
        <w:textAlignment w:val="auto"/>
        <w:rPr>
          <w:rFonts w:ascii="Times New Roman" w:eastAsia="仿宋_GB2312" w:cs="Times New Roman" w:hAnsi="Times New Roman" w:hint="eastAsia"/>
          <w:b w:val="0"/>
          <w:bCs w:val="0"/>
          <w:kern w:val="2"/>
          <w:sz w:val="32"/>
          <w:szCs w:val="32"/>
          <w:lang w:val="en-US" w:eastAsia="zh-CN" w:bidi="ar-SA"/>
        </w:rPr>
      </w:pPr>
      <w:r>
        <w:rPr>
          <w:rFonts w:ascii="Times New Roman" w:eastAsia="仿宋_GB2312" w:cs="Times New Roman" w:hAnsi="Times New Roman" w:hint="eastAsia"/>
          <w:b w:val="0"/>
          <w:bCs w:val="0"/>
          <w:kern w:val="2"/>
          <w:sz w:val="32"/>
          <w:szCs w:val="32"/>
          <w:lang w:val="en-US" w:eastAsia="zh-CN" w:bidi="ar-SA"/>
        </w:rPr>
        <w:t>8.负责烈士及退役军人荣誉奖励、军人公墓和烈士纪念设施的建设管理、纪念活动等工作，依法承担英雄烈士保护相关工作，总结表彰和宣扬退役军人、退役军人工作单位和个人先进典型事迹。</w:t>
      </w:r>
    </w:p>
    <w:p>
      <w:pPr>
        <w:pStyle w:val="2"/>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firstLineChars="200" w:firstLine="640"/>
        <w:textAlignment w:val="auto"/>
        <w:rPr>
          <w:rFonts w:ascii="Times New Roman" w:eastAsia="仿宋_GB2312" w:cs="Times New Roman" w:hAnsi="Times New Roman" w:hint="eastAsia"/>
          <w:b w:val="0"/>
          <w:bCs w:val="0"/>
          <w:kern w:val="2"/>
          <w:sz w:val="32"/>
          <w:szCs w:val="32"/>
          <w:lang w:val="en-US" w:eastAsia="zh-CN" w:bidi="ar-SA"/>
        </w:rPr>
      </w:pPr>
      <w:r>
        <w:rPr>
          <w:rFonts w:ascii="Times New Roman" w:eastAsia="仿宋_GB2312" w:cs="Times New Roman" w:hAnsi="Times New Roman" w:hint="eastAsia"/>
          <w:b w:val="0"/>
          <w:bCs w:val="0"/>
          <w:kern w:val="2"/>
          <w:sz w:val="32"/>
          <w:szCs w:val="32"/>
          <w:lang w:val="en-US" w:eastAsia="zh-CN" w:bidi="ar-SA"/>
        </w:rPr>
        <w:t>9.指导并监督检查退役军人相关法律法规和政策措施的落实，组织开展退役军人权益维护和有关人员的帮扶援助工作。</w:t>
      </w:r>
    </w:p>
    <w:p>
      <w:pPr>
        <w:pStyle w:val="2"/>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firstLineChars="200" w:firstLine="640"/>
        <w:textAlignment w:val="auto"/>
        <w:rPr>
          <w:rFonts w:ascii="Times New Roman" w:eastAsia="仿宋_GB2312" w:cs="Times New Roman" w:hAnsi="Times New Roman" w:hint="eastAsia"/>
          <w:b w:val="0"/>
          <w:bCs w:val="0"/>
          <w:kern w:val="2"/>
          <w:sz w:val="32"/>
          <w:szCs w:val="32"/>
          <w:lang w:val="en-US" w:eastAsia="zh-CN" w:bidi="ar-SA"/>
        </w:rPr>
      </w:pPr>
      <w:r>
        <w:rPr>
          <w:rFonts w:ascii="Times New Roman" w:eastAsia="仿宋_GB2312" w:cs="Times New Roman" w:hAnsi="Times New Roman" w:hint="eastAsia"/>
          <w:b w:val="0"/>
          <w:bCs w:val="0"/>
          <w:kern w:val="2"/>
          <w:sz w:val="32"/>
          <w:szCs w:val="32"/>
          <w:lang w:val="en-US" w:eastAsia="zh-CN" w:bidi="ar-SA"/>
        </w:rPr>
        <w:t>10.推动建立退役军人事务分级负责和突发事件应急联动机制，组织、指导退役军人综合服务体系建设。配合指导退役军人党建工作。</w:t>
      </w:r>
    </w:p>
    <w:p>
      <w:pPr>
        <w:pStyle w:val="2"/>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firstLineChars="200" w:firstLine="640"/>
        <w:textAlignment w:val="auto"/>
        <w:rPr>
          <w:rFonts w:ascii="Times New Roman" w:eastAsia="仿宋_GB2312" w:cs="Times New Roman" w:hAnsi="Times New Roman" w:hint="eastAsia"/>
          <w:b w:val="0"/>
          <w:bCs w:val="0"/>
          <w:kern w:val="2"/>
          <w:sz w:val="32"/>
          <w:szCs w:val="32"/>
          <w:lang w:val="en-US" w:eastAsia="zh-CN" w:bidi="ar-SA"/>
        </w:rPr>
      </w:pPr>
      <w:r>
        <w:rPr>
          <w:rFonts w:ascii="Times New Roman" w:eastAsia="仿宋_GB2312" w:cs="Times New Roman" w:hAnsi="Times New Roman" w:hint="eastAsia"/>
          <w:b w:val="0"/>
          <w:bCs w:val="0"/>
          <w:kern w:val="2"/>
          <w:sz w:val="32"/>
          <w:szCs w:val="32"/>
          <w:lang w:val="en-US" w:eastAsia="zh-CN" w:bidi="ar-SA"/>
        </w:rPr>
        <w:t>11.负责职责范围内的安全生产和职业健康、生态环境保护、审批服务便民化工作。</w:t>
      </w:r>
    </w:p>
    <w:p>
      <w:pPr>
        <w:pStyle w:val="2"/>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firstLineChars="200" w:firstLine="640"/>
        <w:textAlignment w:val="auto"/>
        <w:rPr>
          <w:rFonts w:ascii="Times New Roman" w:eastAsia="仿宋_GB2312" w:cs="Times New Roman" w:hAnsi="Times New Roman" w:hint="eastAsia"/>
          <w:b w:val="0"/>
          <w:bCs w:val="0"/>
          <w:kern w:val="2"/>
          <w:sz w:val="32"/>
          <w:szCs w:val="32"/>
          <w:lang w:val="en-US" w:eastAsia="zh-CN" w:bidi="ar-SA"/>
        </w:rPr>
      </w:pPr>
      <w:r>
        <w:rPr>
          <w:rFonts w:ascii="Times New Roman" w:eastAsia="仿宋_GB2312" w:cs="Times New Roman" w:hAnsi="Times New Roman" w:hint="eastAsia"/>
          <w:b w:val="0"/>
          <w:bCs w:val="0"/>
          <w:kern w:val="2"/>
          <w:sz w:val="32"/>
          <w:szCs w:val="32"/>
          <w:lang w:val="en-US" w:eastAsia="zh-CN" w:bidi="ar-SA"/>
        </w:rPr>
        <w:t>12.完成县委、县政府和军方交办的其他任务。</w:t>
      </w:r>
    </w:p>
    <w:p>
      <w:pPr>
        <w:pStyle w:val="2"/>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firstLineChars="200" w:firstLine="640"/>
        <w:textAlignment w:val="auto"/>
        <w:rPr>
          <w:rFonts w:ascii="楷体_GB2312" w:eastAsia="楷体_GB2312"/>
          <w:b/>
          <w:sz w:val="32"/>
          <w:szCs w:val="32"/>
        </w:rPr>
      </w:pPr>
      <w:r>
        <w:rPr>
          <w:rFonts w:ascii="Times New Roman" w:eastAsia="仿宋_GB2312" w:cs="Times New Roman" w:hAnsi="Times New Roman" w:hint="eastAsia"/>
          <w:b w:val="0"/>
          <w:bCs w:val="0"/>
          <w:kern w:val="2"/>
          <w:sz w:val="32"/>
          <w:szCs w:val="32"/>
          <w:lang w:val="en-US" w:eastAsia="zh-CN" w:bidi="ar-SA"/>
        </w:rPr>
        <w:t>13.职能转变。加强全县退役军人思想政治工作以及服务保障体系建设，建立健全集中统一、职责清晰的退役军人管理保障机制，协调各方力量更好为军人军属服务，维护军人军属合法权益，让军人成为全社会尊崇的职业，褒扬彰显退役人为党、国家和人民牺牲奉献的精神风范和价值导向，更好地为增强部队战斗力和凝聚力做好组织保障。</w:t>
      </w:r>
    </w:p>
    <w:p>
      <w:pPr>
        <w:ind w:firstLineChars="200" w:firstLine="640"/>
        <w:rPr>
          <w:rFonts w:ascii="楷体_GB2312" w:eastAsia="楷体_GB2312" w:hint="eastAsia"/>
          <w:b/>
          <w:sz w:val="32"/>
          <w:szCs w:val="32"/>
        </w:rPr>
      </w:pPr>
      <w:r>
        <w:rPr>
          <w:rFonts w:ascii="楷体_GB2312" w:eastAsia="楷体_GB2312" w:hint="eastAsia"/>
          <w:b/>
          <w:sz w:val="32"/>
          <w:szCs w:val="32"/>
        </w:rPr>
        <w:t>（三）人员概况。</w:t>
      </w:r>
    </w:p>
    <w:p>
      <w:pPr>
        <w:ind w:firstLineChars="200" w:firstLine="640"/>
        <w:rPr>
          <w:rFonts w:ascii="Times New Roman" w:eastAsia="仿宋_GB2312" w:cs="Times New Roman" w:hAnsi="Times New Roman" w:hint="eastAsia"/>
          <w:b w:val="0"/>
          <w:bCs w:val="0"/>
          <w:kern w:val="2"/>
          <w:sz w:val="32"/>
          <w:szCs w:val="32"/>
          <w:lang w:val="en-US" w:eastAsia="zh-CN" w:bidi="ar-SA"/>
        </w:rPr>
      </w:pPr>
      <w:r>
        <w:rPr>
          <w:rFonts w:ascii="Times New Roman" w:eastAsia="仿宋_GB2312" w:cs="Times New Roman" w:hAnsi="Times New Roman"/>
          <w:b w:val="0"/>
          <w:bCs w:val="0"/>
          <w:kern w:val="2"/>
          <w:sz w:val="32"/>
          <w:szCs w:val="32"/>
          <w:lang w:val="en-US" w:eastAsia="zh-CN" w:bidi="ar-SA"/>
        </w:rPr>
        <w:t>截至202</w:t>
      </w:r>
      <w:r>
        <w:rPr>
          <w:rFonts w:eastAsia="仿宋_GB2312" w:cs="Times New Roman" w:hint="eastAsia"/>
          <w:b w:val="0"/>
          <w:bCs w:val="0"/>
          <w:kern w:val="2"/>
          <w:sz w:val="32"/>
          <w:szCs w:val="32"/>
          <w:lang w:val="en-US" w:eastAsia="zh-CN" w:bidi="ar-SA"/>
        </w:rPr>
        <w:t>5</w:t>
      </w:r>
      <w:r>
        <w:rPr>
          <w:rFonts w:ascii="Times New Roman" w:eastAsia="仿宋_GB2312" w:cs="Times New Roman" w:hAnsi="Times New Roman"/>
          <w:b w:val="0"/>
          <w:bCs w:val="0"/>
          <w:kern w:val="2"/>
          <w:sz w:val="32"/>
          <w:szCs w:val="32"/>
          <w:lang w:val="en-US" w:eastAsia="zh-CN" w:bidi="ar-SA"/>
        </w:rPr>
        <w:t>年末，</w:t>
      </w:r>
      <w:r>
        <w:rPr>
          <w:rFonts w:ascii="Times New Roman" w:eastAsia="仿宋_GB2312" w:cs="Times New Roman" w:hAnsi="Times New Roman" w:hint="eastAsia"/>
          <w:b w:val="0"/>
          <w:bCs w:val="0"/>
          <w:kern w:val="2"/>
          <w:sz w:val="32"/>
          <w:szCs w:val="32"/>
          <w:lang w:val="en-US" w:eastAsia="zh-CN" w:bidi="ar-SA"/>
        </w:rPr>
        <w:t>本单位实有人数为</w:t>
      </w:r>
      <w:r>
        <w:rPr>
          <w:rFonts w:eastAsia="仿宋_GB2312" w:cs="Times New Roman" w:hint="eastAsia"/>
          <w:b w:val="0"/>
          <w:bCs w:val="0"/>
          <w:kern w:val="2"/>
          <w:sz w:val="32"/>
          <w:szCs w:val="32"/>
          <w:lang w:val="en-US" w:eastAsia="zh-CN" w:bidi="ar-SA"/>
        </w:rPr>
        <w:t>8</w:t>
      </w:r>
      <w:r>
        <w:rPr>
          <w:rFonts w:ascii="Times New Roman" w:eastAsia="仿宋_GB2312" w:cs="Times New Roman" w:hAnsi="Times New Roman" w:hint="eastAsia"/>
          <w:b w:val="0"/>
          <w:bCs w:val="0"/>
          <w:kern w:val="2"/>
          <w:sz w:val="32"/>
          <w:szCs w:val="32"/>
          <w:lang w:val="en-US" w:eastAsia="zh-CN" w:bidi="ar-SA"/>
        </w:rPr>
        <w:t>人，其中行政编制数</w:t>
      </w:r>
      <w:r>
        <w:rPr>
          <w:rFonts w:eastAsia="仿宋_GB2312" w:cs="Times New Roman" w:hint="eastAsia"/>
          <w:b w:val="0"/>
          <w:bCs w:val="0"/>
          <w:kern w:val="2"/>
          <w:sz w:val="32"/>
          <w:szCs w:val="32"/>
          <w:lang w:val="en-US" w:eastAsia="zh-CN" w:bidi="ar-SA"/>
        </w:rPr>
        <w:t>3</w:t>
      </w:r>
      <w:r>
        <w:rPr>
          <w:rFonts w:ascii="Times New Roman" w:eastAsia="仿宋_GB2312" w:cs="Times New Roman" w:hAnsi="Times New Roman" w:hint="eastAsia"/>
          <w:b w:val="0"/>
          <w:bCs w:val="0"/>
          <w:kern w:val="2"/>
          <w:sz w:val="32"/>
          <w:szCs w:val="32"/>
          <w:lang w:val="en-US" w:eastAsia="zh-CN" w:bidi="ar-SA"/>
        </w:rPr>
        <w:t>人，事业编制数5人，比上年增加0人；年末实有离退休人数为0人，比上年增加0人。年末实有其他人数为0人，比上年增加0人。</w:t>
      </w:r>
    </w:p>
    <w:p>
      <w:pPr>
        <w:rPr>
          <w:rFonts w:ascii="黑体" w:eastAsia="黑体"/>
          <w:sz w:val="32"/>
          <w:szCs w:val="32"/>
        </w:rPr>
      </w:pPr>
      <w:r>
        <w:rPr>
          <w:rFonts w:ascii="黑体" w:eastAsia="黑体" w:hint="eastAsia"/>
          <w:sz w:val="32"/>
          <w:szCs w:val="32"/>
        </w:rPr>
        <w:t>二、部门资金收支情况</w:t>
      </w:r>
    </w:p>
    <w:p>
      <w:pPr>
        <w:keepNext w:val="0"/>
        <w:keepLines w:val="0"/>
        <w:pageBreakBefore w:val="0"/>
        <w:widowControl/>
        <w:kinsoku/>
        <w:wordWrap/>
        <w:overflowPunct/>
        <w:topLinePunct w:val="0"/>
        <w:autoSpaceDE/>
        <w:autoSpaceDN/>
        <w:bidi w:val="0"/>
        <w:adjustRightInd w:val="0"/>
        <w:snapToGrid w:val="0"/>
        <w:spacing w:line="578" w:lineRule="exact"/>
        <w:ind w:firstLineChars="200" w:firstLine="640"/>
        <w:contextualSpacing/>
        <w:jc w:val="left"/>
        <w:textAlignment w:val="auto"/>
        <w:outlineLvl w:val="9"/>
        <w:rPr>
          <w:rFonts w:ascii="楷体_GB2312" w:eastAsia="楷体_GB2312" w:hint="eastAsia"/>
          <w:b/>
          <w:sz w:val="32"/>
          <w:szCs w:val="32"/>
        </w:rPr>
      </w:pPr>
      <w:r>
        <w:rPr>
          <w:rFonts w:ascii="楷体_GB2312" w:eastAsia="楷体_GB2312" w:hint="eastAsia"/>
          <w:b/>
          <w:sz w:val="32"/>
          <w:szCs w:val="32"/>
        </w:rPr>
        <w:t>（一）收入情况。</w:t>
      </w:r>
    </w:p>
    <w:p>
      <w:pPr>
        <w:keepNext w:val="0"/>
        <w:keepLines w:val="0"/>
        <w:pageBreakBefore w:val="0"/>
        <w:widowControl/>
        <w:kinsoku/>
        <w:wordWrap/>
        <w:overflowPunct/>
        <w:topLinePunct w:val="0"/>
        <w:autoSpaceDE/>
        <w:autoSpaceDN/>
        <w:bidi w:val="0"/>
        <w:adjustRightInd w:val="0"/>
        <w:snapToGrid w:val="0"/>
        <w:spacing w:line="578" w:lineRule="exact"/>
        <w:ind w:firstLineChars="200" w:firstLine="640"/>
        <w:contextualSpacing/>
        <w:jc w:val="left"/>
        <w:textAlignment w:val="auto"/>
        <w:outlineLvl w:val="9"/>
        <w:rPr>
          <w:rFonts w:ascii="仿宋_GB2312" w:eastAsia="仿宋_GB2312"/>
          <w:sz w:val="32"/>
          <w:szCs w:val="32"/>
        </w:rPr>
      </w:pPr>
      <w:r>
        <w:rPr>
          <w:rFonts w:ascii="仿宋_GB2312" w:eastAsia="仿宋_GB2312" w:hint="eastAsia"/>
          <w:sz w:val="32"/>
          <w:szCs w:val="32"/>
        </w:rPr>
        <w:t>本单位</w:t>
      </w:r>
      <w:r>
        <w:rPr>
          <w:rFonts w:ascii="仿宋_GB2312" w:hAnsi="仿宋_GB2312" w:hint="eastAsia"/>
          <w:sz w:val="32"/>
          <w:szCs w:val="32"/>
          <w:lang w:val="en-US" w:eastAsia="zh-CN"/>
        </w:rPr>
        <w:t>2025年</w:t>
      </w:r>
      <w:r>
        <w:rPr>
          <w:rFonts w:ascii="仿宋_GB2312" w:eastAsia="仿宋_GB2312" w:hint="eastAsia"/>
          <w:sz w:val="32"/>
          <w:szCs w:val="32"/>
        </w:rPr>
        <w:t>收入全年预算数为</w:t>
      </w:r>
      <w:r>
        <w:rPr>
          <w:rFonts w:ascii="仿宋_GB2312" w:hAnsi="仿宋_GB2312" w:hint="eastAsia"/>
          <w:sz w:val="32"/>
          <w:szCs w:val="32"/>
          <w:lang w:val="en-US" w:eastAsia="zh-CN"/>
        </w:rPr>
        <w:t>1509.53</w:t>
      </w:r>
      <w:r>
        <w:rPr>
          <w:rFonts w:ascii="仿宋_GB2312" w:eastAsia="仿宋_GB2312" w:hint="eastAsia"/>
          <w:sz w:val="32"/>
          <w:szCs w:val="32"/>
        </w:rPr>
        <w:t>万元，收入决算数为</w:t>
      </w:r>
      <w:r>
        <w:rPr>
          <w:rFonts w:ascii="仿宋_GB2312" w:hAnsi="仿宋_GB2312" w:hint="eastAsia"/>
          <w:sz w:val="32"/>
          <w:szCs w:val="32"/>
          <w:lang w:val="en-US" w:eastAsia="zh-CN"/>
        </w:rPr>
        <w:t>1168.94</w:t>
      </w:r>
      <w:r>
        <w:rPr>
          <w:rFonts w:ascii="仿宋_GB2312" w:eastAsia="仿宋_GB2312" w:hint="eastAsia"/>
          <w:sz w:val="32"/>
          <w:szCs w:val="32"/>
        </w:rPr>
        <w:t>万元，预算完成度为</w:t>
      </w:r>
      <w:r>
        <w:rPr>
          <w:rFonts w:ascii="仿宋_GB2312" w:eastAsia="仿宋_GB2312" w:hint="eastAsia"/>
          <w:sz w:val="32"/>
          <w:szCs w:val="32"/>
          <w:lang w:val="en-US" w:eastAsia="zh-CN"/>
        </w:rPr>
        <w:t>77.44</w:t>
      </w:r>
      <w:r>
        <w:rPr>
          <w:rFonts w:ascii="仿宋_GB2312" w:eastAsia="仿宋_GB2312" w:hint="eastAsia"/>
          <w:sz w:val="32"/>
          <w:szCs w:val="32"/>
        </w:rPr>
        <w:t>%</w:t>
      </w:r>
      <w:r>
        <w:rPr>
          <w:rFonts w:ascii="仿宋_GB2312" w:hAnsi="仿宋_GB2312" w:hint="eastAsia"/>
          <w:sz w:val="32"/>
          <w:szCs w:val="32"/>
          <w:lang w:eastAsia="zh-CN"/>
        </w:rPr>
        <w:t>。</w:t>
      </w:r>
      <w:r>
        <w:rPr>
          <w:rFonts w:ascii="Times New Roman" w:eastAsia="仿宋_GB2312" w:cs="Times New Roman" w:hAnsi="Times New Roman" w:hint="eastAsia"/>
          <w:b w:val="0"/>
          <w:bCs w:val="0"/>
          <w:kern w:val="2"/>
          <w:sz w:val="32"/>
          <w:szCs w:val="32"/>
          <w:lang w:val="zh-CN" w:eastAsia="zh-CN" w:bidi="ar-SA"/>
        </w:rPr>
        <w:t>20</w:t>
      </w:r>
      <w:r>
        <w:rPr>
          <w:rFonts w:eastAsia="仿宋_GB2312" w:cs="Times New Roman" w:hint="eastAsia"/>
          <w:b w:val="0"/>
          <w:bCs w:val="0"/>
          <w:kern w:val="2"/>
          <w:sz w:val="32"/>
          <w:szCs w:val="32"/>
          <w:lang w:val="en-US" w:eastAsia="zh-CN" w:bidi="ar-SA"/>
        </w:rPr>
        <w:t>25</w:t>
      </w:r>
      <w:r>
        <w:rPr>
          <w:rFonts w:ascii="Times New Roman" w:eastAsia="仿宋_GB2312" w:cs="Times New Roman" w:hAnsi="Times New Roman" w:hint="eastAsia"/>
          <w:b w:val="0"/>
          <w:bCs w:val="0"/>
          <w:kern w:val="2"/>
          <w:sz w:val="32"/>
          <w:szCs w:val="32"/>
          <w:lang w:val="zh-CN" w:eastAsia="zh-CN" w:bidi="ar-SA"/>
        </w:rPr>
        <w:t>年</w:t>
      </w:r>
      <w:r>
        <w:rPr>
          <w:rFonts w:ascii="Times New Roman" w:cs="Times New Roman" w:hAnsi="Times New Roman" w:hint="eastAsia"/>
          <w:b w:val="0"/>
          <w:bCs w:val="0"/>
          <w:kern w:val="2"/>
          <w:sz w:val="32"/>
          <w:szCs w:val="32"/>
          <w:lang w:val="en-US" w:eastAsia="zh-CN" w:bidi="ar-SA"/>
        </w:rPr>
        <w:t>总</w:t>
      </w:r>
      <w:r>
        <w:rPr>
          <w:rFonts w:ascii="Times New Roman" w:eastAsia="仿宋_GB2312" w:cs="Times New Roman" w:hAnsi="Times New Roman" w:hint="eastAsia"/>
          <w:b w:val="0"/>
          <w:bCs w:val="0"/>
          <w:kern w:val="2"/>
          <w:sz w:val="32"/>
          <w:szCs w:val="32"/>
          <w:lang w:val="zh-CN" w:eastAsia="zh-CN" w:bidi="ar-SA"/>
        </w:rPr>
        <w:t>收入</w:t>
      </w:r>
      <w:r>
        <w:rPr>
          <w:rFonts w:eastAsia="仿宋_GB2312" w:cs="Times New Roman" w:hint="eastAsia"/>
          <w:b w:val="0"/>
          <w:bCs w:val="0"/>
          <w:kern w:val="2"/>
          <w:sz w:val="32"/>
          <w:szCs w:val="32"/>
          <w:lang w:val="en-US" w:eastAsia="zh-CN" w:bidi="ar-SA"/>
        </w:rPr>
        <w:t>1168.94</w:t>
      </w:r>
      <w:r>
        <w:rPr>
          <w:rFonts w:ascii="Times New Roman" w:eastAsia="仿宋_GB2312" w:cs="Times New Roman" w:hAnsi="Times New Roman" w:hint="eastAsia"/>
          <w:b w:val="0"/>
          <w:bCs w:val="0"/>
          <w:kern w:val="2"/>
          <w:sz w:val="32"/>
          <w:szCs w:val="32"/>
          <w:lang w:val="zh-CN" w:eastAsia="zh-CN" w:bidi="ar-SA"/>
        </w:rPr>
        <w:t>万元，其中：财政拨款收入</w:t>
      </w:r>
      <w:r>
        <w:rPr>
          <w:rFonts w:eastAsia="仿宋_GB2312" w:cs="Times New Roman" w:hint="eastAsia"/>
          <w:b w:val="0"/>
          <w:bCs w:val="0"/>
          <w:kern w:val="2"/>
          <w:sz w:val="32"/>
          <w:szCs w:val="32"/>
          <w:lang w:val="en-US" w:eastAsia="zh-CN" w:bidi="ar-SA"/>
        </w:rPr>
        <w:t>1168.94</w:t>
      </w:r>
      <w:r>
        <w:rPr>
          <w:rFonts w:ascii="Times New Roman" w:eastAsia="仿宋_GB2312" w:cs="Times New Roman" w:hAnsi="Times New Roman" w:hint="eastAsia"/>
          <w:b w:val="0"/>
          <w:bCs w:val="0"/>
          <w:kern w:val="2"/>
          <w:sz w:val="32"/>
          <w:szCs w:val="32"/>
          <w:lang w:val="zh-CN" w:eastAsia="zh-CN" w:bidi="ar-SA"/>
        </w:rPr>
        <w:t>万元，占</w:t>
      </w:r>
      <w:r>
        <w:rPr>
          <w:rFonts w:ascii="Times New Roman" w:eastAsia="仿宋_GB2312" w:cs="Times New Roman" w:hAnsi="Times New Roman" w:hint="eastAsia"/>
          <w:b w:val="0"/>
          <w:bCs w:val="0"/>
          <w:kern w:val="2"/>
          <w:sz w:val="32"/>
          <w:szCs w:val="32"/>
          <w:lang w:val="en-US" w:eastAsia="zh-CN" w:bidi="ar-SA"/>
        </w:rPr>
        <w:t>100</w:t>
      </w:r>
      <w:r>
        <w:rPr>
          <w:rFonts w:ascii="Times New Roman" w:eastAsia="仿宋_GB2312" w:cs="Times New Roman" w:hAnsi="Times New Roman" w:hint="eastAsia"/>
          <w:b w:val="0"/>
          <w:bCs w:val="0"/>
          <w:kern w:val="2"/>
          <w:sz w:val="32"/>
          <w:szCs w:val="32"/>
          <w:lang w:val="zh-CN" w:eastAsia="zh-CN" w:bidi="ar-SA"/>
        </w:rPr>
        <w:t>%</w:t>
      </w:r>
      <w:r>
        <w:rPr>
          <w:rFonts w:ascii="Times New Roman" w:cs="Times New Roman" w:hAnsi="Times New Roman" w:hint="eastAsia"/>
          <w:b w:val="0"/>
          <w:bCs w:val="0"/>
          <w:kern w:val="2"/>
          <w:sz w:val="32"/>
          <w:szCs w:val="32"/>
          <w:lang w:val="en-US" w:eastAsia="zh-CN" w:bidi="ar-SA"/>
        </w:rPr>
        <w:t>。</w:t>
      </w:r>
    </w:p>
    <w:p>
      <w:pPr>
        <w:keepNext w:val="0"/>
        <w:keepLines w:val="0"/>
        <w:pageBreakBefore w:val="0"/>
        <w:widowControl/>
        <w:numPr>
          <w:ilvl w:val="0"/>
          <w:numId w:val="4"/>
        </w:numPr>
        <w:kinsoku/>
        <w:wordWrap/>
        <w:overflowPunct/>
        <w:topLinePunct w:val="0"/>
        <w:autoSpaceDE/>
        <w:autoSpaceDN/>
        <w:bidi w:val="0"/>
        <w:adjustRightInd w:val="0"/>
        <w:snapToGrid w:val="0"/>
        <w:spacing w:line="578" w:lineRule="exact"/>
        <w:ind w:left="0" w:firstLineChars="200" w:firstLine="640"/>
        <w:contextualSpacing/>
        <w:jc w:val="left"/>
        <w:textAlignment w:val="auto"/>
        <w:outlineLvl w:val="9"/>
        <w:rPr>
          <w:rFonts w:ascii="楷体_GB2312" w:eastAsia="楷体_GB2312" w:hint="eastAsia"/>
          <w:b/>
          <w:sz w:val="32"/>
          <w:szCs w:val="32"/>
        </w:rPr>
      </w:pPr>
      <w:r>
        <w:rPr>
          <w:rFonts w:ascii="楷体_GB2312" w:eastAsia="楷体_GB2312" w:hint="eastAsia"/>
          <w:b/>
          <w:sz w:val="32"/>
          <w:szCs w:val="32"/>
        </w:rPr>
        <w:t>支出情况。</w:t>
      </w:r>
    </w:p>
    <w:p>
      <w:pPr>
        <w:keepNext w:val="0"/>
        <w:keepLines w:val="0"/>
        <w:pageBreakBefore w:val="0"/>
        <w:widowControl/>
        <w:kinsoku/>
        <w:wordWrap/>
        <w:overflowPunct/>
        <w:topLinePunct w:val="0"/>
        <w:autoSpaceDE/>
        <w:autoSpaceDN/>
        <w:bidi w:val="0"/>
        <w:adjustRightInd w:val="0"/>
        <w:snapToGrid w:val="0"/>
        <w:spacing w:line="578" w:lineRule="exact"/>
        <w:ind w:left="0" w:firstLineChars="200" w:firstLine="640"/>
        <w:contextualSpacing/>
        <w:jc w:val="left"/>
        <w:textAlignment w:val="auto"/>
        <w:outlineLvl w:val="9"/>
        <w:rPr>
          <w:rFonts w:ascii="仿宋_GB2312" w:eastAsia="仿宋_GB2312"/>
          <w:sz w:val="32"/>
          <w:szCs w:val="32"/>
        </w:rPr>
      </w:pPr>
      <w:r>
        <w:rPr>
          <w:rFonts w:ascii="仿宋_GB2312" w:eastAsia="仿宋_GB2312" w:hint="eastAsia"/>
          <w:sz w:val="32"/>
          <w:szCs w:val="32"/>
        </w:rPr>
        <w:t>本单位</w:t>
      </w:r>
      <w:r>
        <w:rPr>
          <w:rFonts w:ascii="仿宋_GB2312" w:hAnsi="仿宋_GB2312" w:hint="eastAsia"/>
          <w:sz w:val="32"/>
          <w:szCs w:val="32"/>
          <w:lang w:val="en-US" w:eastAsia="zh-CN"/>
        </w:rPr>
        <w:t>2025支出</w:t>
      </w:r>
      <w:r>
        <w:rPr>
          <w:rFonts w:ascii="仿宋_GB2312" w:eastAsia="仿宋_GB2312" w:hint="eastAsia"/>
          <w:sz w:val="32"/>
          <w:szCs w:val="32"/>
        </w:rPr>
        <w:t>全年预算数为</w:t>
      </w:r>
      <w:r>
        <w:rPr>
          <w:rFonts w:ascii="仿宋_GB2312" w:hAnsi="仿宋_GB2312" w:hint="eastAsia"/>
          <w:sz w:val="32"/>
          <w:szCs w:val="32"/>
          <w:lang w:val="en-US" w:eastAsia="zh-CN"/>
        </w:rPr>
        <w:t>1509.53</w:t>
      </w:r>
      <w:r>
        <w:rPr>
          <w:rFonts w:ascii="仿宋_GB2312" w:eastAsia="仿宋_GB2312" w:hint="eastAsia"/>
          <w:sz w:val="32"/>
          <w:szCs w:val="32"/>
        </w:rPr>
        <w:t>万元，</w:t>
      </w:r>
      <w:r>
        <w:rPr>
          <w:rFonts w:ascii="仿宋_GB2312" w:hAnsi="仿宋_GB2312" w:hint="eastAsia"/>
          <w:sz w:val="32"/>
          <w:szCs w:val="32"/>
          <w:lang w:val="en-US" w:eastAsia="zh-CN"/>
        </w:rPr>
        <w:t>支出</w:t>
      </w:r>
      <w:r>
        <w:rPr>
          <w:rFonts w:ascii="仿宋_GB2312" w:eastAsia="仿宋_GB2312" w:hint="eastAsia"/>
          <w:sz w:val="32"/>
          <w:szCs w:val="32"/>
        </w:rPr>
        <w:t>决算数为</w:t>
      </w:r>
      <w:r>
        <w:rPr>
          <w:rFonts w:ascii="仿宋_GB2312" w:hAnsi="仿宋_GB2312" w:hint="eastAsia"/>
          <w:sz w:val="32"/>
          <w:szCs w:val="32"/>
          <w:lang w:val="en-US" w:eastAsia="zh-CN"/>
        </w:rPr>
        <w:t>1168.94</w:t>
      </w:r>
      <w:r>
        <w:rPr>
          <w:rFonts w:ascii="仿宋_GB2312" w:eastAsia="仿宋_GB2312" w:hint="eastAsia"/>
          <w:sz w:val="32"/>
          <w:szCs w:val="32"/>
        </w:rPr>
        <w:t>万元，预算完成度为</w:t>
      </w:r>
      <w:r>
        <w:rPr>
          <w:rFonts w:ascii="仿宋_GB2312" w:eastAsia="仿宋_GB2312" w:hint="eastAsia"/>
          <w:sz w:val="32"/>
          <w:szCs w:val="32"/>
          <w:lang w:val="en-US" w:eastAsia="zh-CN"/>
        </w:rPr>
        <w:t>77.44</w:t>
      </w:r>
      <w:r>
        <w:rPr>
          <w:rFonts w:ascii="仿宋_GB2312" w:eastAsia="仿宋_GB2312" w:hint="eastAsia"/>
          <w:sz w:val="32"/>
          <w:szCs w:val="32"/>
        </w:rPr>
        <w:t>%</w:t>
      </w:r>
      <w:r>
        <w:rPr>
          <w:rFonts w:ascii="仿宋_GB2312" w:hAnsi="仿宋_GB2312" w:hint="eastAsia"/>
          <w:sz w:val="32"/>
          <w:szCs w:val="32"/>
          <w:lang w:eastAsia="zh-CN"/>
        </w:rPr>
        <w:t>。</w:t>
      </w:r>
      <w:r>
        <w:rPr>
          <w:rFonts w:ascii="仿宋_GB2312" w:eastAsia="仿宋_GB2312" w:cs="仿宋_GB2312" w:hint="eastAsia"/>
          <w:color w:val="000000"/>
          <w:kern w:val="0"/>
          <w:sz w:val="32"/>
          <w:szCs w:val="32"/>
          <w:lang w:val="zh-CN" w:eastAsia="zh-CN"/>
        </w:rPr>
        <w:t>20</w:t>
      </w:r>
      <w:r>
        <w:rPr>
          <w:rFonts w:ascii="仿宋_GB2312" w:eastAsia="仿宋_GB2312" w:cs="仿宋_GB2312" w:hint="eastAsia"/>
          <w:color w:val="000000"/>
          <w:kern w:val="0"/>
          <w:sz w:val="32"/>
          <w:szCs w:val="32"/>
          <w:lang w:val="en-US" w:eastAsia="zh-CN"/>
        </w:rPr>
        <w:t>25</w:t>
      </w:r>
      <w:r>
        <w:rPr>
          <w:rFonts w:ascii="仿宋_GB2312" w:eastAsia="仿宋_GB2312" w:cs="仿宋_GB2312" w:hint="eastAsia"/>
          <w:color w:val="000000"/>
          <w:kern w:val="0"/>
          <w:sz w:val="32"/>
          <w:szCs w:val="32"/>
          <w:lang w:val="zh-CN" w:eastAsia="zh-CN"/>
        </w:rPr>
        <w:t>年支出合计</w:t>
      </w:r>
      <w:r>
        <w:rPr>
          <w:rFonts w:ascii="仿宋_GB2312" w:eastAsia="仿宋_GB2312" w:cs="仿宋_GB2312" w:hint="eastAsia"/>
          <w:color w:val="000000"/>
          <w:kern w:val="0"/>
          <w:sz w:val="32"/>
          <w:szCs w:val="32"/>
          <w:lang w:val="en-US" w:eastAsia="zh-CN"/>
        </w:rPr>
        <w:t>1168.94</w:t>
      </w:r>
      <w:r>
        <w:rPr>
          <w:rFonts w:ascii="仿宋_GB2312" w:eastAsia="仿宋_GB2312" w:cs="仿宋_GB2312" w:hint="eastAsia"/>
          <w:color w:val="000000"/>
          <w:kern w:val="0"/>
          <w:sz w:val="32"/>
          <w:szCs w:val="32"/>
          <w:lang w:val="zh-CN" w:eastAsia="zh-CN"/>
        </w:rPr>
        <w:t>万元，其中：一般公共服务支出</w:t>
      </w:r>
      <w:r>
        <w:rPr>
          <w:rFonts w:ascii="仿宋_GB2312" w:eastAsia="仿宋_GB2312" w:cs="仿宋_GB2312" w:hint="eastAsia"/>
          <w:color w:val="000000"/>
          <w:kern w:val="0"/>
          <w:sz w:val="32"/>
          <w:szCs w:val="32"/>
          <w:lang w:val="en-US" w:eastAsia="zh-CN"/>
        </w:rPr>
        <w:t>0</w:t>
      </w:r>
      <w:r>
        <w:rPr>
          <w:rFonts w:ascii="仿宋_GB2312" w:eastAsia="仿宋_GB2312" w:cs="仿宋_GB2312" w:hint="eastAsia"/>
          <w:color w:val="000000"/>
          <w:kern w:val="0"/>
          <w:sz w:val="32"/>
          <w:szCs w:val="32"/>
          <w:lang w:val="zh-CN" w:eastAsia="zh-CN"/>
        </w:rPr>
        <w:t>万元，占</w:t>
      </w:r>
      <w:r>
        <w:rPr>
          <w:rFonts w:ascii="仿宋_GB2312" w:eastAsia="仿宋_GB2312" w:cs="仿宋_GB2312" w:hint="eastAsia"/>
          <w:color w:val="000000"/>
          <w:kern w:val="0"/>
          <w:sz w:val="32"/>
          <w:szCs w:val="32"/>
          <w:lang w:val="en-US" w:eastAsia="zh-CN"/>
        </w:rPr>
        <w:t>0</w:t>
      </w:r>
      <w:r>
        <w:rPr>
          <w:rFonts w:ascii="仿宋_GB2312" w:eastAsia="仿宋_GB2312" w:cs="仿宋_GB2312" w:hint="eastAsia"/>
          <w:color w:val="000000"/>
          <w:kern w:val="0"/>
          <w:sz w:val="32"/>
          <w:szCs w:val="32"/>
          <w:lang w:val="zh-CN" w:eastAsia="zh-CN"/>
        </w:rPr>
        <w:t>%；社会保障和就业支出</w:t>
      </w:r>
      <w:r>
        <w:rPr>
          <w:rFonts w:ascii="仿宋_GB2312" w:eastAsia="仿宋_GB2312" w:cs="仿宋_GB2312" w:hint="eastAsia"/>
          <w:color w:val="000000"/>
          <w:kern w:val="0"/>
          <w:sz w:val="32"/>
          <w:szCs w:val="32"/>
          <w:lang w:val="en-US" w:eastAsia="zh-CN"/>
        </w:rPr>
        <w:t>1117.58</w:t>
      </w:r>
      <w:r>
        <w:rPr>
          <w:rFonts w:ascii="仿宋_GB2312" w:eastAsia="仿宋_GB2312" w:cs="仿宋_GB2312" w:hint="eastAsia"/>
          <w:color w:val="000000"/>
          <w:kern w:val="0"/>
          <w:sz w:val="32"/>
          <w:szCs w:val="32"/>
          <w:lang w:val="zh-CN" w:eastAsia="zh-CN"/>
        </w:rPr>
        <w:t>万元，</w:t>
      </w:r>
      <w:r>
        <w:rPr>
          <w:rFonts w:ascii="仿宋_GB2312" w:eastAsia="仿宋_GB2312" w:cs="仿宋_GB2312" w:hint="eastAsia"/>
          <w:color w:val="000000"/>
          <w:kern w:val="0"/>
          <w:sz w:val="32"/>
          <w:szCs w:val="32"/>
          <w:lang w:val="en-US" w:eastAsia="zh-CN"/>
        </w:rPr>
        <w:t>占95.6</w:t>
      </w:r>
      <w:r>
        <w:rPr>
          <w:rFonts w:ascii="仿宋_GB2312" w:eastAsia="仿宋_GB2312" w:cs="仿宋_GB2312" w:hint="eastAsia"/>
          <w:color w:val="000000"/>
          <w:kern w:val="0"/>
          <w:sz w:val="32"/>
          <w:szCs w:val="32"/>
          <w:lang w:val="zh-CN" w:eastAsia="zh-CN"/>
        </w:rPr>
        <w:t>%；卫生健康支出</w:t>
      </w:r>
      <w:r>
        <w:rPr>
          <w:rFonts w:ascii="仿宋_GB2312" w:eastAsia="仿宋_GB2312" w:cs="仿宋_GB2312" w:hint="eastAsia"/>
          <w:color w:val="000000"/>
          <w:kern w:val="0"/>
          <w:sz w:val="32"/>
          <w:szCs w:val="32"/>
          <w:lang w:val="en-US" w:eastAsia="zh-CN"/>
        </w:rPr>
        <w:t>14.92</w:t>
      </w:r>
      <w:r>
        <w:rPr>
          <w:rFonts w:ascii="仿宋_GB2312" w:eastAsia="仿宋_GB2312" w:cs="仿宋_GB2312" w:hint="eastAsia"/>
          <w:color w:val="000000"/>
          <w:kern w:val="0"/>
          <w:sz w:val="32"/>
          <w:szCs w:val="32"/>
          <w:lang w:val="zh-CN" w:eastAsia="zh-CN"/>
        </w:rPr>
        <w:t>万元，占</w:t>
      </w:r>
      <w:r>
        <w:rPr>
          <w:rFonts w:ascii="仿宋_GB2312" w:eastAsia="仿宋_GB2312" w:cs="仿宋_GB2312" w:hint="eastAsia"/>
          <w:color w:val="000000"/>
          <w:kern w:val="0"/>
          <w:sz w:val="32"/>
          <w:szCs w:val="32"/>
          <w:lang w:val="en-US" w:eastAsia="zh-CN"/>
        </w:rPr>
        <w:t>1.28</w:t>
      </w:r>
      <w:r>
        <w:rPr>
          <w:rFonts w:ascii="仿宋_GB2312" w:eastAsia="仿宋_GB2312" w:cs="仿宋_GB2312" w:hint="eastAsia"/>
          <w:color w:val="000000"/>
          <w:kern w:val="0"/>
          <w:sz w:val="32"/>
          <w:szCs w:val="32"/>
          <w:lang w:val="zh-CN" w:eastAsia="zh-CN"/>
        </w:rPr>
        <w:t>%；住房保障支出</w:t>
      </w:r>
      <w:r>
        <w:rPr>
          <w:rFonts w:ascii="仿宋_GB2312" w:eastAsia="仿宋_GB2312" w:cs="仿宋_GB2312" w:hint="eastAsia"/>
          <w:color w:val="000000"/>
          <w:kern w:val="0"/>
          <w:sz w:val="32"/>
          <w:szCs w:val="32"/>
          <w:lang w:val="en-US" w:eastAsia="zh-CN"/>
        </w:rPr>
        <w:t>17.63</w:t>
      </w:r>
      <w:r>
        <w:rPr>
          <w:rFonts w:ascii="仿宋_GB2312" w:eastAsia="仿宋_GB2312" w:cs="仿宋_GB2312" w:hint="eastAsia"/>
          <w:color w:val="000000"/>
          <w:kern w:val="0"/>
          <w:sz w:val="32"/>
          <w:szCs w:val="32"/>
          <w:lang w:val="zh-CN" w:eastAsia="zh-CN"/>
        </w:rPr>
        <w:t>万元，占</w:t>
      </w:r>
      <w:r>
        <w:rPr>
          <w:rFonts w:ascii="仿宋_GB2312" w:eastAsia="仿宋_GB2312" w:cs="仿宋_GB2312" w:hint="eastAsia"/>
          <w:color w:val="000000"/>
          <w:kern w:val="0"/>
          <w:sz w:val="32"/>
          <w:szCs w:val="32"/>
          <w:lang w:val="en-US" w:eastAsia="zh-CN"/>
        </w:rPr>
        <w:t>1.51</w:t>
      </w:r>
      <w:r>
        <w:rPr>
          <w:rFonts w:ascii="仿宋_GB2312" w:eastAsia="仿宋_GB2312" w:cs="仿宋_GB2312" w:hint="eastAsia"/>
          <w:color w:val="000000"/>
          <w:kern w:val="0"/>
          <w:sz w:val="32"/>
          <w:szCs w:val="32"/>
          <w:lang w:val="zh-CN" w:eastAsia="zh-CN"/>
        </w:rPr>
        <w:t>%</w:t>
      </w:r>
      <w:r>
        <w:rPr>
          <w:rFonts w:ascii="仿宋_GB2312" w:cs="仿宋_GB2312" w:hAnsi="仿宋_GB2312" w:hint="eastAsia"/>
          <w:color w:val="000000"/>
          <w:kern w:val="0"/>
          <w:sz w:val="32"/>
          <w:szCs w:val="32"/>
          <w:lang w:val="en-US" w:eastAsia="zh-CN"/>
        </w:rPr>
        <w:t>。</w:t>
      </w:r>
    </w:p>
    <w:p>
      <w:pPr>
        <w:keepNext w:val="0"/>
        <w:keepLines w:val="0"/>
        <w:pageBreakBefore w:val="0"/>
        <w:widowControl/>
        <w:numPr>
          <w:ilvl w:val="0"/>
          <w:numId w:val="4"/>
        </w:numPr>
        <w:kinsoku/>
        <w:wordWrap/>
        <w:overflowPunct/>
        <w:topLinePunct w:val="0"/>
        <w:autoSpaceDE/>
        <w:autoSpaceDN/>
        <w:bidi w:val="0"/>
        <w:adjustRightInd w:val="0"/>
        <w:snapToGrid w:val="0"/>
        <w:spacing w:line="578" w:lineRule="exact"/>
        <w:ind w:left="0" w:firstLineChars="200" w:firstLine="640"/>
        <w:contextualSpacing/>
        <w:jc w:val="left"/>
        <w:textAlignment w:val="auto"/>
        <w:outlineLvl w:val="9"/>
        <w:rPr>
          <w:rFonts w:ascii="楷体_GB2312" w:eastAsia="楷体_GB2312" w:hint="eastAsia"/>
          <w:b/>
          <w:sz w:val="32"/>
          <w:szCs w:val="32"/>
        </w:rPr>
      </w:pPr>
      <w:r>
        <w:rPr>
          <w:rFonts w:ascii="楷体_GB2312" w:eastAsia="楷体_GB2312" w:hint="eastAsia"/>
          <w:b/>
          <w:sz w:val="32"/>
          <w:szCs w:val="32"/>
        </w:rPr>
        <w:t>结余分配和结转结余情况。</w:t>
      </w:r>
    </w:p>
    <w:p>
      <w:pPr>
        <w:keepNext w:val="0"/>
        <w:keepLines w:val="0"/>
        <w:pageBreakBefore w:val="0"/>
        <w:widowControl/>
        <w:kinsoku/>
        <w:wordWrap/>
        <w:overflowPunct/>
        <w:topLinePunct w:val="0"/>
        <w:autoSpaceDE/>
        <w:autoSpaceDN/>
        <w:bidi w:val="0"/>
        <w:adjustRightInd w:val="0"/>
        <w:snapToGrid w:val="0"/>
        <w:spacing w:line="578" w:lineRule="exact"/>
        <w:ind w:left="0" w:firstLineChars="200" w:firstLine="640"/>
        <w:contextualSpacing/>
        <w:jc w:val="left"/>
        <w:textAlignment w:val="auto"/>
        <w:outlineLvl w:val="9"/>
        <w:rPr>
          <w:rFonts w:ascii="仿宋_GB2312" w:eastAsia="仿宋_GB2312" w:cs="仿宋_GB2312"/>
          <w:color w:val="000000"/>
          <w:kern w:val="0"/>
          <w:sz w:val="32"/>
          <w:szCs w:val="32"/>
          <w:lang w:val="zh-CN" w:eastAsia="zh-CN"/>
        </w:rPr>
      </w:pPr>
      <w:r>
        <w:rPr>
          <w:rFonts w:ascii="仿宋_GB2312" w:eastAsia="仿宋_GB2312" w:cs="仿宋_GB2312" w:hint="eastAsia"/>
          <w:color w:val="000000"/>
          <w:kern w:val="0"/>
          <w:sz w:val="32"/>
          <w:szCs w:val="32"/>
          <w:lang w:val="en-US" w:eastAsia="zh-CN"/>
        </w:rPr>
        <w:t>红原县退役军人事务局2025年决算报表</w:t>
      </w:r>
      <w:r>
        <w:rPr>
          <w:rFonts w:ascii="仿宋_GB2312" w:eastAsia="仿宋_GB2312" w:cs="仿宋_GB2312"/>
          <w:color w:val="000000"/>
          <w:kern w:val="0"/>
          <w:sz w:val="32"/>
          <w:szCs w:val="32"/>
          <w:lang w:val="en-US" w:eastAsia="zh-CN"/>
        </w:rPr>
        <w:t>结转结余</w:t>
      </w:r>
      <w:r>
        <w:rPr>
          <w:rFonts w:ascii="仿宋_GB2312" w:cs="仿宋_GB2312" w:hAnsi="仿宋_GB2312" w:hint="eastAsia"/>
          <w:color w:val="000000"/>
          <w:kern w:val="0"/>
          <w:sz w:val="32"/>
          <w:szCs w:val="32"/>
          <w:lang w:val="en-US" w:eastAsia="zh-CN"/>
        </w:rPr>
        <w:t>为0元</w:t>
      </w:r>
      <w:r>
        <w:rPr>
          <w:rFonts w:ascii="仿宋_GB2312" w:eastAsia="仿宋_GB2312" w:cs="仿宋_GB2312"/>
          <w:color w:val="000000"/>
          <w:kern w:val="0"/>
          <w:sz w:val="32"/>
          <w:szCs w:val="32"/>
          <w:lang w:val="en-US" w:eastAsia="zh-CN"/>
        </w:rPr>
        <w:t>。</w:t>
      </w:r>
    </w:p>
    <w:p>
      <w:pPr>
        <w:rPr>
          <w:rFonts w:ascii="黑体" w:eastAsia="黑体"/>
          <w:sz w:val="32"/>
          <w:szCs w:val="32"/>
        </w:rPr>
      </w:pPr>
      <w:r>
        <w:rPr>
          <w:rFonts w:ascii="黑体" w:eastAsia="黑体" w:hint="eastAsia"/>
          <w:sz w:val="32"/>
          <w:szCs w:val="32"/>
        </w:rPr>
        <w:t>三、部门预算绩效分析</w:t>
      </w:r>
    </w:p>
    <w:p>
      <w:pPr>
        <w:rPr>
          <w:rFonts w:ascii="仿宋_GB2312" w:eastAsia="仿宋_GB2312"/>
          <w:sz w:val="32"/>
          <w:szCs w:val="32"/>
        </w:rPr>
      </w:pPr>
      <w:r>
        <w:rPr>
          <w:rFonts w:ascii="楷体_GB2312" w:eastAsia="楷体_GB2312" w:hint="eastAsia"/>
          <w:b/>
          <w:sz w:val="32"/>
          <w:szCs w:val="32"/>
        </w:rPr>
        <w:t>（一）部门预算总体绩效分析。</w:t>
      </w:r>
      <w:r>
        <w:rPr>
          <w:rFonts w:ascii="仿宋_GB2312" w:eastAsia="仿宋_GB2312" w:hint="eastAsia"/>
          <w:sz w:val="32"/>
          <w:szCs w:val="32"/>
        </w:rPr>
        <w:t>根据部门预算绩效评价指标体系“总体绩效”涉及二、三级指标进行逐项绩效分析并评分，依次包括履职效能、预算管理、财务管理、资产管理、采购管理等情况。</w:t>
      </w:r>
    </w:p>
    <w:p>
      <w:pPr>
        <w:keepNext w:val="0"/>
        <w:keepLines w:val="0"/>
        <w:pageBreakBefore w:val="0"/>
        <w:widowControl w:val="0"/>
        <w:kinsoku/>
        <w:wordWrap/>
        <w:overflowPunct/>
        <w:topLinePunct w:val="0"/>
        <w:autoSpaceDE/>
        <w:autoSpaceDN/>
        <w:bidi w:val="0"/>
        <w:adjustRightInd/>
        <w:snapToGrid/>
        <w:spacing w:line="578" w:lineRule="exact"/>
        <w:ind w:firstLineChars="200" w:firstLine="640"/>
        <w:textAlignment w:val="auto"/>
        <w:rPr>
          <w:rFonts w:ascii="楷体_GB2312" w:eastAsia="楷体_GB2312" w:cs="楷体_GB2312" w:hint="eastAsia"/>
          <w:color w:val="000000"/>
          <w:kern w:val="0"/>
          <w:sz w:val="32"/>
          <w:szCs w:val="32"/>
          <w:shd w:val="clear" w:color="auto" w:fill="FFFFFF"/>
          <w:lang w:val="zh-CN"/>
        </w:rPr>
      </w:pPr>
      <w:r>
        <w:rPr>
          <w:rFonts w:ascii="楷体_GB2312" w:eastAsia="楷体_GB2312" w:cs="楷体_GB2312" w:hint="eastAsia"/>
          <w:color w:val="000000"/>
          <w:kern w:val="0"/>
          <w:sz w:val="32"/>
          <w:szCs w:val="32"/>
          <w:shd w:val="clear" w:color="auto" w:fill="FFFFFF"/>
        </w:rPr>
        <w:t>1.</w:t>
      </w:r>
      <w:r>
        <w:rPr>
          <w:rFonts w:ascii="楷体_GB2312" w:eastAsia="楷体_GB2312" w:cs="楷体_GB2312" w:hint="eastAsia"/>
          <w:color w:val="000000"/>
          <w:kern w:val="0"/>
          <w:sz w:val="32"/>
          <w:szCs w:val="32"/>
          <w:shd w:val="clear" w:color="auto" w:fill="FFFFFF"/>
          <w:lang w:val="zh-CN"/>
        </w:rPr>
        <w:t>履职</w:t>
      </w:r>
      <w:r>
        <w:rPr>
          <w:rFonts w:ascii="楷体_GB2312" w:eastAsia="楷体_GB2312" w:cs="楷体_GB2312" w:hint="eastAsia"/>
          <w:color w:val="000000"/>
          <w:kern w:val="0"/>
          <w:sz w:val="32"/>
          <w:szCs w:val="32"/>
          <w:shd w:val="clear" w:color="auto" w:fill="FFFFFF"/>
        </w:rPr>
        <w:t>效能</w:t>
      </w:r>
      <w:r>
        <w:rPr>
          <w:rFonts w:ascii="楷体_GB2312" w:eastAsia="楷体_GB2312" w:cs="楷体_GB2312" w:hint="eastAsia"/>
          <w:color w:val="000000"/>
          <w:kern w:val="0"/>
          <w:sz w:val="32"/>
          <w:szCs w:val="32"/>
          <w:shd w:val="clear" w:color="auto" w:fill="FFFFFF"/>
          <w:lang w:val="zh-CN"/>
        </w:rPr>
        <w:t>。</w:t>
      </w:r>
    </w:p>
    <w:p>
      <w:pPr>
        <w:ind w:firstLineChars="200" w:firstLine="640"/>
        <w:rPr>
          <w:rFonts w:ascii="仿宋_GB2312" w:eastAsia="仿宋_GB2312" w:cs="Times New Roman" w:hint="eastAsia"/>
          <w:sz w:val="32"/>
          <w:szCs w:val="32"/>
          <w:lang w:val="en-US" w:eastAsia="zh-CN"/>
        </w:rPr>
      </w:pPr>
      <w:r>
        <w:rPr>
          <w:rFonts w:ascii="仿宋_GB2312" w:eastAsia="仿宋_GB2312" w:cs="Times New Roman" w:hint="eastAsia"/>
          <w:sz w:val="32"/>
          <w:szCs w:val="32"/>
          <w:lang w:val="en-US" w:eastAsia="zh-CN"/>
        </w:rPr>
        <w:t>产出指标：数量指标，军转干军休工资发放人数，定性指标，应保尽保，全年完成值应保尽保。</w:t>
      </w:r>
    </w:p>
    <w:p>
      <w:pPr>
        <w:ind w:firstLineChars="200" w:firstLine="640"/>
        <w:rPr>
          <w:rFonts w:ascii="仿宋_GB2312" w:eastAsia="仿宋_GB2312" w:cs="Times New Roman" w:hint="eastAsia"/>
          <w:sz w:val="32"/>
          <w:szCs w:val="32"/>
          <w:lang w:val="en-US" w:eastAsia="zh-CN"/>
        </w:rPr>
      </w:pPr>
      <w:r>
        <w:rPr>
          <w:rFonts w:ascii="仿宋_GB2312" w:eastAsia="仿宋_GB2312" w:cs="Times New Roman" w:hint="eastAsia"/>
          <w:sz w:val="32"/>
          <w:szCs w:val="32"/>
          <w:lang w:val="en-US" w:eastAsia="zh-CN"/>
        </w:rPr>
        <w:t>产出指标：数量指标，军转干医保补助人数，定性指标，应保尽保，全年完成值应保尽保。</w:t>
      </w:r>
    </w:p>
    <w:p>
      <w:pPr>
        <w:ind w:firstLineChars="200" w:firstLine="640"/>
        <w:rPr>
          <w:rFonts w:ascii="仿宋_GB2312" w:eastAsia="仿宋_GB2312" w:cs="Times New Roman" w:hint="eastAsia"/>
          <w:sz w:val="32"/>
          <w:szCs w:val="32"/>
          <w:lang w:val="en-US" w:eastAsia="zh-CN"/>
        </w:rPr>
      </w:pPr>
      <w:r>
        <w:rPr>
          <w:rFonts w:ascii="仿宋_GB2312" w:eastAsia="仿宋_GB2312" w:cs="Times New Roman" w:hint="eastAsia"/>
          <w:sz w:val="32"/>
          <w:szCs w:val="32"/>
          <w:lang w:val="en-US" w:eastAsia="zh-CN"/>
        </w:rPr>
        <w:t>产出指标：数量指标，义务兵优待金补助人数，定性指标，应保尽保，全年完成值应保尽保。</w:t>
      </w:r>
    </w:p>
    <w:p>
      <w:pPr>
        <w:ind w:firstLineChars="200" w:firstLine="640"/>
        <w:rPr>
          <w:rFonts w:ascii="仿宋_GB2312" w:eastAsia="仿宋_GB2312" w:cs="Times New Roman"/>
          <w:sz w:val="32"/>
          <w:szCs w:val="32"/>
          <w:lang w:val="en-US" w:eastAsia="zh-CN"/>
        </w:rPr>
      </w:pPr>
      <w:r>
        <w:rPr>
          <w:rFonts w:ascii="仿宋_GB2312" w:eastAsia="仿宋_GB2312" w:cs="Times New Roman" w:hint="eastAsia"/>
          <w:sz w:val="32"/>
          <w:szCs w:val="32"/>
          <w:lang w:val="en-US" w:eastAsia="zh-CN"/>
        </w:rPr>
        <w:t>效益指标：社会效益指标，维护优抚对象合法权益，维护涉军群体稳定，定性指标，进一步提高，全年完成值进一步提高。</w:t>
      </w:r>
    </w:p>
    <w:p>
      <w:pPr>
        <w:ind w:firstLineChars="200" w:firstLine="640"/>
        <w:rPr>
          <w:color w:val="000000"/>
          <w:kern w:val="0"/>
          <w:sz w:val="32"/>
          <w:szCs w:val="32"/>
          <w:shd w:val="clear" w:color="auto" w:fill="FFFFFF"/>
          <w:lang w:val="zh-CN"/>
        </w:rPr>
      </w:pPr>
      <w:r>
        <w:rPr>
          <w:rFonts w:ascii="仿宋_GB2312" w:eastAsia="仿宋_GB2312" w:cs="Times New Roman" w:hint="eastAsia"/>
          <w:sz w:val="32"/>
          <w:szCs w:val="32"/>
          <w:lang w:val="en-US" w:eastAsia="zh-CN"/>
        </w:rPr>
        <w:t>满意度指标：服务对象满意度指标，军休、义务兵服务对象满意度，定性指标，进一步提高，全年完成值进一步提高。</w:t>
      </w:r>
    </w:p>
    <w:p>
      <w:pPr>
        <w:keepNext w:val="0"/>
        <w:keepLines w:val="0"/>
        <w:pageBreakBefore w:val="0"/>
        <w:widowControl w:val="0"/>
        <w:numPr>
          <w:ilvl w:val="0"/>
          <w:numId w:val="5"/>
        </w:numPr>
        <w:kinsoku/>
        <w:wordWrap/>
        <w:overflowPunct/>
        <w:topLinePunct w:val="0"/>
        <w:autoSpaceDE/>
        <w:autoSpaceDN/>
        <w:bidi w:val="0"/>
        <w:adjustRightInd/>
        <w:snapToGrid/>
        <w:spacing w:line="578" w:lineRule="exact"/>
        <w:ind w:left="0" w:firstLineChars="200" w:firstLine="640"/>
        <w:textAlignment w:val="auto"/>
        <w:rPr>
          <w:rFonts w:ascii="楷体_GB2312" w:eastAsia="楷体_GB2312" w:cs="楷体_GB2312" w:hint="eastAsia"/>
          <w:color w:val="000000"/>
          <w:kern w:val="0"/>
          <w:sz w:val="32"/>
          <w:szCs w:val="32"/>
          <w:shd w:val="clear" w:color="auto" w:fill="FFFFFF"/>
          <w:lang w:val="zh-CN"/>
        </w:rPr>
      </w:pPr>
      <w:r>
        <w:rPr>
          <w:rFonts w:ascii="楷体_GB2312" w:eastAsia="楷体_GB2312" w:cs="楷体_GB2312" w:hint="eastAsia"/>
          <w:color w:val="000000"/>
          <w:kern w:val="0"/>
          <w:sz w:val="32"/>
          <w:szCs w:val="32"/>
          <w:shd w:val="clear" w:color="auto" w:fill="FFFFFF"/>
          <w:lang w:val="zh-CN"/>
        </w:rPr>
        <w:t>预算管理。</w:t>
      </w:r>
    </w:p>
    <w:p>
      <w:pPr>
        <w:ind w:firstLineChars="200" w:firstLine="640"/>
        <w:rPr>
          <w:rFonts w:ascii="仿宋_GB2312" w:eastAsia="仿宋_GB2312" w:cs="Times New Roman"/>
          <w:sz w:val="32"/>
          <w:szCs w:val="32"/>
          <w:lang w:val="en-US" w:eastAsia="zh-CN"/>
        </w:rPr>
      </w:pPr>
      <w:r>
        <w:rPr>
          <w:rFonts w:ascii="仿宋_GB2312" w:eastAsia="仿宋_GB2312" w:cs="Times New Roman" w:hint="eastAsia"/>
          <w:sz w:val="32"/>
          <w:szCs w:val="32"/>
          <w:lang w:val="zh-CN" w:eastAsia="zh-CN"/>
        </w:rPr>
        <w:t>预算编制质量：实际收入与预算收入无差异，实际支出与预算支出无差异。所有应纳入预算的项目被涵盖</w:t>
      </w:r>
      <w:r>
        <w:rPr>
          <w:rFonts w:ascii="仿宋_GB2312" w:eastAsia="仿宋_GB2312" w:cs="Times New Roman" w:hint="eastAsia"/>
          <w:sz w:val="32"/>
          <w:szCs w:val="32"/>
          <w:lang w:val="en-US" w:eastAsia="zh-CN"/>
        </w:rPr>
        <w:t>100%，预算分配与单位的年度总体目标相匹配。预算编制符合法律法规和内部政策制度。</w:t>
      </w:r>
    </w:p>
    <w:p>
      <w:pPr>
        <w:ind w:firstLineChars="200" w:firstLine="640"/>
        <w:rPr>
          <w:rFonts w:ascii="仿宋_GB2312" w:eastAsia="仿宋_GB2312" w:cs="Times New Roman" w:hint="eastAsia"/>
          <w:sz w:val="32"/>
          <w:szCs w:val="32"/>
          <w:lang w:val="zh-CN" w:eastAsia="zh-CN"/>
        </w:rPr>
      </w:pPr>
      <w:r>
        <w:rPr>
          <w:rFonts w:ascii="仿宋_GB2312" w:eastAsia="仿宋_GB2312" w:cs="Times New Roman" w:hint="eastAsia"/>
          <w:sz w:val="32"/>
          <w:szCs w:val="32"/>
          <w:lang w:val="zh-CN" w:eastAsia="zh-CN"/>
        </w:rPr>
        <w:t>单位收入统筹：</w:t>
      </w:r>
      <w:r>
        <w:rPr>
          <w:rFonts w:ascii="仿宋_GB2312" w:eastAsia="仿宋_GB2312" w:cs="Times New Roman" w:hint="eastAsia"/>
          <w:sz w:val="32"/>
          <w:szCs w:val="32"/>
          <w:lang w:val="en-US" w:eastAsia="zh-CN"/>
        </w:rPr>
        <w:t>本单位2025年收入全年预算数为1509.53万元，收入决算数为1168.94万元，预算完成度为77.4%。</w:t>
      </w:r>
      <w:r>
        <w:rPr>
          <w:rFonts w:ascii="仿宋_GB2312" w:eastAsia="仿宋_GB2312" w:cs="Times New Roman" w:hint="eastAsia"/>
          <w:sz w:val="32"/>
          <w:szCs w:val="32"/>
          <w:lang w:val="zh-CN" w:eastAsia="zh-CN"/>
        </w:rPr>
        <w:t>20</w:t>
      </w:r>
      <w:r>
        <w:rPr>
          <w:rFonts w:ascii="仿宋_GB2312" w:eastAsia="仿宋_GB2312" w:cs="Times New Roman" w:hint="eastAsia"/>
          <w:sz w:val="32"/>
          <w:szCs w:val="32"/>
          <w:lang w:val="en-US" w:eastAsia="zh-CN"/>
        </w:rPr>
        <w:t>25</w:t>
      </w:r>
      <w:r>
        <w:rPr>
          <w:rFonts w:ascii="仿宋_GB2312" w:eastAsia="仿宋_GB2312" w:cs="Times New Roman" w:hint="eastAsia"/>
          <w:sz w:val="32"/>
          <w:szCs w:val="32"/>
          <w:lang w:val="zh-CN" w:eastAsia="zh-CN"/>
        </w:rPr>
        <w:t>年度总收入</w:t>
      </w:r>
      <w:r>
        <w:rPr>
          <w:rFonts w:ascii="仿宋_GB2312" w:eastAsia="仿宋_GB2312" w:cs="Times New Roman" w:hint="eastAsia"/>
          <w:sz w:val="32"/>
          <w:szCs w:val="32"/>
          <w:lang w:val="en-US" w:eastAsia="zh-CN"/>
        </w:rPr>
        <w:t>1168..94</w:t>
      </w:r>
      <w:r>
        <w:rPr>
          <w:rFonts w:ascii="仿宋_GB2312" w:eastAsia="仿宋_GB2312" w:cs="Times New Roman" w:hint="eastAsia"/>
          <w:sz w:val="32"/>
          <w:szCs w:val="32"/>
          <w:lang w:val="zh-CN" w:eastAsia="zh-CN"/>
        </w:rPr>
        <w:t>万元，其中：财政拨款收入</w:t>
      </w:r>
      <w:r>
        <w:rPr>
          <w:rFonts w:ascii="仿宋_GB2312" w:eastAsia="仿宋_GB2312" w:cs="Times New Roman" w:hint="eastAsia"/>
          <w:sz w:val="32"/>
          <w:szCs w:val="32"/>
          <w:lang w:val="en-US" w:eastAsia="zh-CN"/>
        </w:rPr>
        <w:t>1168.94</w:t>
      </w:r>
      <w:r>
        <w:rPr>
          <w:rFonts w:ascii="仿宋_GB2312" w:eastAsia="仿宋_GB2312" w:cs="Times New Roman" w:hint="eastAsia"/>
          <w:sz w:val="32"/>
          <w:szCs w:val="32"/>
          <w:lang w:val="zh-CN" w:eastAsia="zh-CN"/>
        </w:rPr>
        <w:t>万元，占</w:t>
      </w:r>
      <w:r>
        <w:rPr>
          <w:rFonts w:ascii="仿宋_GB2312" w:eastAsia="仿宋_GB2312" w:cs="Times New Roman" w:hint="eastAsia"/>
          <w:sz w:val="32"/>
          <w:szCs w:val="32"/>
          <w:lang w:val="en-US" w:eastAsia="zh-CN"/>
        </w:rPr>
        <w:t>100</w:t>
      </w:r>
      <w:r>
        <w:rPr>
          <w:rFonts w:ascii="仿宋_GB2312" w:eastAsia="仿宋_GB2312" w:cs="Times New Roman" w:hint="eastAsia"/>
          <w:sz w:val="32"/>
          <w:szCs w:val="32"/>
          <w:lang w:val="zh-CN" w:eastAsia="zh-CN"/>
        </w:rPr>
        <w:t>%；政府性基金预算财政拨款</w:t>
      </w:r>
      <w:r>
        <w:rPr>
          <w:rFonts w:ascii="仿宋_GB2312" w:eastAsia="仿宋_GB2312" w:cs="Times New Roman" w:hint="eastAsia"/>
          <w:sz w:val="32"/>
          <w:szCs w:val="32"/>
          <w:lang w:val="en-US" w:eastAsia="zh-CN"/>
        </w:rPr>
        <w:t>0</w:t>
      </w:r>
      <w:r>
        <w:rPr>
          <w:rFonts w:ascii="仿宋_GB2312" w:eastAsia="仿宋_GB2312" w:cs="Times New Roman" w:hint="eastAsia"/>
          <w:sz w:val="32"/>
          <w:szCs w:val="32"/>
          <w:lang w:val="zh-CN" w:eastAsia="zh-CN"/>
        </w:rPr>
        <w:t>万元，占</w:t>
      </w:r>
      <w:r>
        <w:rPr>
          <w:rFonts w:ascii="仿宋_GB2312" w:eastAsia="仿宋_GB2312" w:cs="Times New Roman" w:hint="eastAsia"/>
          <w:sz w:val="32"/>
          <w:szCs w:val="32"/>
          <w:lang w:val="en-US" w:eastAsia="zh-CN"/>
        </w:rPr>
        <w:t>0</w:t>
      </w:r>
      <w:r>
        <w:rPr>
          <w:rFonts w:ascii="仿宋_GB2312" w:eastAsia="仿宋_GB2312" w:cs="Times New Roman" w:hint="eastAsia"/>
          <w:sz w:val="32"/>
          <w:szCs w:val="32"/>
          <w:lang w:val="zh-CN" w:eastAsia="zh-CN"/>
        </w:rPr>
        <w:t>%；其他收入</w:t>
      </w:r>
      <w:r>
        <w:rPr>
          <w:rFonts w:ascii="仿宋_GB2312" w:eastAsia="仿宋_GB2312" w:cs="Times New Roman" w:hint="eastAsia"/>
          <w:sz w:val="32"/>
          <w:szCs w:val="32"/>
          <w:lang w:val="en-US" w:eastAsia="zh-CN"/>
        </w:rPr>
        <w:t>0</w:t>
      </w:r>
      <w:r>
        <w:rPr>
          <w:rFonts w:ascii="仿宋_GB2312" w:eastAsia="仿宋_GB2312" w:cs="Times New Roman" w:hint="eastAsia"/>
          <w:sz w:val="32"/>
          <w:szCs w:val="32"/>
          <w:lang w:val="zh-CN" w:eastAsia="zh-CN"/>
        </w:rPr>
        <w:t>万元，占</w:t>
      </w:r>
      <w:r>
        <w:rPr>
          <w:rFonts w:ascii="仿宋_GB2312" w:eastAsia="仿宋_GB2312" w:cs="Times New Roman" w:hint="eastAsia"/>
          <w:sz w:val="32"/>
          <w:szCs w:val="32"/>
          <w:lang w:val="en-US" w:eastAsia="zh-CN"/>
        </w:rPr>
        <w:t>0</w:t>
      </w:r>
      <w:r>
        <w:rPr>
          <w:rFonts w:ascii="仿宋_GB2312" w:eastAsia="仿宋_GB2312" w:cs="Times New Roman" w:hint="eastAsia"/>
          <w:sz w:val="32"/>
          <w:szCs w:val="32"/>
          <w:lang w:val="zh-CN" w:eastAsia="zh-CN"/>
        </w:rPr>
        <w:t>%；上级补助收入0万元，占0%；事业收入0万元，占0%；经营收入0万元，占0%；附属单位上缴收入0万元，占0%；上年项目支出结转和结余</w:t>
      </w:r>
      <w:r>
        <w:rPr>
          <w:rFonts w:ascii="仿宋_GB2312" w:eastAsia="仿宋_GB2312" w:cs="Times New Roman" w:hint="eastAsia"/>
          <w:sz w:val="32"/>
          <w:szCs w:val="32"/>
          <w:lang w:val="en-US" w:eastAsia="zh-CN"/>
        </w:rPr>
        <w:t>0</w:t>
      </w:r>
      <w:r>
        <w:rPr>
          <w:rFonts w:ascii="仿宋_GB2312" w:eastAsia="仿宋_GB2312" w:cs="Times New Roman" w:hint="eastAsia"/>
          <w:sz w:val="32"/>
          <w:szCs w:val="32"/>
          <w:lang w:val="zh-CN" w:eastAsia="zh-CN"/>
        </w:rPr>
        <w:t>万元，占</w:t>
      </w:r>
      <w:r>
        <w:rPr>
          <w:rFonts w:ascii="仿宋_GB2312" w:eastAsia="仿宋_GB2312" w:cs="Times New Roman" w:hint="eastAsia"/>
          <w:sz w:val="32"/>
          <w:szCs w:val="32"/>
          <w:lang w:val="en-US" w:eastAsia="zh-CN"/>
        </w:rPr>
        <w:t>0</w:t>
      </w:r>
      <w:r>
        <w:rPr>
          <w:rFonts w:ascii="仿宋_GB2312" w:eastAsia="仿宋_GB2312" w:cs="Times New Roman" w:hint="eastAsia"/>
          <w:sz w:val="32"/>
          <w:szCs w:val="32"/>
          <w:lang w:val="zh-CN" w:eastAsia="zh-CN"/>
        </w:rPr>
        <w:t>%。</w:t>
      </w:r>
    </w:p>
    <w:p>
      <w:pPr>
        <w:ind w:firstLineChars="200" w:firstLine="640"/>
        <w:rPr>
          <w:rFonts w:ascii="仿宋_GB2312" w:eastAsia="仿宋_GB2312" w:cs="Times New Roman"/>
          <w:sz w:val="32"/>
          <w:szCs w:val="32"/>
          <w:lang w:val="en-US" w:eastAsia="zh-CN"/>
        </w:rPr>
      </w:pPr>
      <w:r>
        <w:rPr>
          <w:rFonts w:ascii="仿宋_GB2312" w:eastAsia="仿宋_GB2312" w:cs="Times New Roman" w:hint="eastAsia"/>
          <w:sz w:val="32"/>
          <w:szCs w:val="32"/>
          <w:lang w:val="zh-CN" w:eastAsia="zh-CN"/>
        </w:rPr>
        <w:t>支出执行进度：</w:t>
      </w:r>
      <w:r>
        <w:rPr>
          <w:rFonts w:ascii="仿宋_GB2312" w:eastAsia="仿宋_GB2312" w:cs="Times New Roman" w:hint="eastAsia"/>
          <w:sz w:val="32"/>
          <w:szCs w:val="32"/>
          <w:lang w:val="en-US" w:eastAsia="zh-CN"/>
        </w:rPr>
        <w:t>2025年度支出全年预算数为1509.53万元，支出决算数为1168.94万元，预算完成度为77.44%，执行进度77.44%。</w:t>
      </w:r>
    </w:p>
    <w:p>
      <w:pPr>
        <w:ind w:firstLineChars="200" w:firstLine="640"/>
        <w:rPr>
          <w:rFonts w:ascii="楷体_GB2312" w:eastAsia="楷体_GB2312" w:cs="楷体_GB2312"/>
          <w:color w:val="000000"/>
          <w:kern w:val="0"/>
          <w:sz w:val="32"/>
          <w:szCs w:val="32"/>
          <w:shd w:val="clear" w:color="auto" w:fill="FFFFFF"/>
          <w:lang w:val="zh-CN"/>
        </w:rPr>
      </w:pPr>
      <w:r>
        <w:rPr>
          <w:rFonts w:ascii="仿宋_GB2312" w:eastAsia="仿宋_GB2312" w:cs="Times New Roman" w:hint="eastAsia"/>
          <w:sz w:val="32"/>
          <w:szCs w:val="32"/>
          <w:lang w:val="zh-CN" w:eastAsia="zh-CN"/>
        </w:rPr>
        <w:t>预算年终结余：无。</w:t>
      </w:r>
    </w:p>
    <w:p>
      <w:pPr>
        <w:numPr>
          <w:ilvl w:val="0"/>
          <w:numId w:val="5"/>
        </w:numPr>
        <w:adjustRightInd w:val="0"/>
        <w:snapToGrid w:val="0"/>
        <w:spacing w:line="578" w:lineRule="exact"/>
        <w:ind w:left="0" w:firstLineChars="200" w:firstLine="640"/>
        <w:jc w:val="left"/>
        <w:rPr>
          <w:rFonts w:eastAsia="仿宋_GB2312" w:hint="eastAsia"/>
          <w:sz w:val="32"/>
          <w:szCs w:val="32"/>
          <w:lang w:val="zh-CN"/>
        </w:rPr>
      </w:pPr>
      <w:r>
        <w:rPr>
          <w:rFonts w:ascii="楷体_GB2312" w:eastAsia="楷体_GB2312" w:cs="楷体_GB2312" w:hint="eastAsia"/>
          <w:color w:val="000000"/>
          <w:kern w:val="0"/>
          <w:sz w:val="32"/>
          <w:szCs w:val="32"/>
          <w:shd w:val="clear" w:color="auto" w:fill="FFFFFF"/>
          <w:lang w:val="zh-CN"/>
        </w:rPr>
        <w:t>财务管理。</w:t>
      </w:r>
      <w:r>
        <w:rPr>
          <w:rFonts w:eastAsia="仿宋_GB2312" w:hint="eastAsia"/>
          <w:sz w:val="32"/>
          <w:szCs w:val="32"/>
          <w:lang w:val="zh-CN"/>
        </w:rPr>
        <w:t>围绕财务管理制度、财务岗位设置、资金使用规范进行绩效分析。</w:t>
      </w:r>
    </w:p>
    <w:p>
      <w:pPr>
        <w:keepNext w:val="0"/>
        <w:keepLines w:val="0"/>
        <w:pageBreakBefore w:val="0"/>
        <w:widowControl w:val="0"/>
        <w:kinsoku/>
        <w:wordWrap/>
        <w:overflowPunct/>
        <w:topLinePunct w:val="0"/>
        <w:autoSpaceDE/>
        <w:autoSpaceDN/>
        <w:bidi w:val="0"/>
        <w:adjustRightInd w:val="0"/>
        <w:snapToGrid w:val="0"/>
        <w:spacing w:line="578" w:lineRule="exact"/>
        <w:ind w:left="0" w:firstLineChars="200" w:firstLine="640"/>
        <w:contextualSpacing/>
        <w:jc w:val="left"/>
        <w:textAlignment w:val="auto"/>
        <w:outlineLvl w:val="9"/>
        <w:rPr>
          <w:rFonts w:ascii="仿宋" w:eastAsia="仿宋" w:cs="仿宋" w:hint="eastAsia"/>
          <w:color w:val="000000"/>
          <w:kern w:val="0"/>
          <w:sz w:val="32"/>
          <w:szCs w:val="32"/>
          <w:shd w:val="clear" w:color="auto" w:fill="FFFFFF"/>
          <w:lang w:val="zh-CN"/>
          <w:highlight w:val="auto"/>
        </w:rPr>
      </w:pPr>
      <w:r>
        <w:rPr>
          <w:rFonts w:ascii="仿宋" w:eastAsia="仿宋" w:cs="仿宋" w:hint="eastAsia"/>
          <w:color w:val="000000"/>
          <w:kern w:val="0"/>
          <w:sz w:val="32"/>
          <w:szCs w:val="32"/>
          <w:shd w:val="clear" w:color="auto" w:fill="FFFFFF"/>
          <w:lang w:val="zh-CN"/>
          <w:highlight w:val="auto"/>
        </w:rPr>
        <w:t>执行国家有关财务法律法规的同时，建立健全内部财务管理制度，按照党风廉政建设的要求，全体干部职工廉洁奉公、忠于职守。禁止利用职权和职务上的便利谋取不正当的利益。制定了相关规章制度，加强了项目资金的管理和监督，杜绝违规违法事件的发生。本着勤俭节约原则，管理好用好每笔资金。财务活动接受审计、财政、纪检监察等部门的监督检查，无存在违规进行资产购置，擅自处置财产、对外投资，财政票据管理、使用不规范等问题，按照规定保管会计档案，并建立完善的内部控制制度和监督制度。</w:t>
      </w:r>
    </w:p>
    <w:p>
      <w:pPr>
        <w:keepNext w:val="0"/>
        <w:keepLines w:val="0"/>
        <w:pageBreakBefore w:val="0"/>
        <w:widowControl w:val="0"/>
        <w:kinsoku/>
        <w:wordWrap/>
        <w:overflowPunct/>
        <w:topLinePunct w:val="0"/>
        <w:autoSpaceDE/>
        <w:autoSpaceDN/>
        <w:bidi w:val="0"/>
        <w:adjustRightInd w:val="0"/>
        <w:snapToGrid w:val="0"/>
        <w:spacing w:line="578" w:lineRule="exact"/>
        <w:ind w:left="0" w:firstLineChars="200" w:firstLine="640"/>
        <w:contextualSpacing/>
        <w:jc w:val="left"/>
        <w:textAlignment w:val="auto"/>
        <w:outlineLvl w:val="9"/>
        <w:rPr>
          <w:rFonts w:ascii="仿宋" w:eastAsia="仿宋" w:cs="仿宋" w:hint="eastAsia"/>
          <w:color w:val="000000"/>
          <w:kern w:val="0"/>
          <w:sz w:val="32"/>
          <w:szCs w:val="32"/>
          <w:shd w:val="clear" w:color="auto" w:fill="FFFFFF"/>
          <w:lang w:val="zh-CN"/>
          <w:highlight w:val="auto"/>
        </w:rPr>
      </w:pPr>
      <w:r>
        <w:rPr>
          <w:rFonts w:ascii="仿宋" w:eastAsia="仿宋" w:cs="仿宋" w:hint="eastAsia"/>
          <w:color w:val="000000"/>
          <w:kern w:val="0"/>
          <w:sz w:val="32"/>
          <w:szCs w:val="32"/>
          <w:shd w:val="clear" w:color="auto" w:fill="FFFFFF"/>
          <w:lang w:val="zh-CN"/>
          <w:highlight w:val="auto"/>
        </w:rPr>
        <w:t>根据本单位工作实际，在建立并实施内部监督和控制制度过程中，建立和完善各项制度的同时，相关人员在工作过程中严格遵守这些规章制度，有效地实施了内部监督和控制，保证了会计工作的真实性、完整性以及单位财产的安全，加强了对本单位财产物资的监督和管理，杜绝了各种漏洞的发生，达到了以下四点要求：</w:t>
      </w:r>
    </w:p>
    <w:p>
      <w:pPr>
        <w:keepNext w:val="0"/>
        <w:keepLines w:val="0"/>
        <w:pageBreakBefore w:val="0"/>
        <w:widowControl w:val="0"/>
        <w:kinsoku/>
        <w:wordWrap/>
        <w:overflowPunct/>
        <w:topLinePunct w:val="0"/>
        <w:autoSpaceDE/>
        <w:autoSpaceDN/>
        <w:bidi w:val="0"/>
        <w:adjustRightInd w:val="0"/>
        <w:snapToGrid w:val="0"/>
        <w:spacing w:line="578" w:lineRule="exact"/>
        <w:ind w:left="0" w:firstLineChars="200" w:firstLine="640"/>
        <w:contextualSpacing/>
        <w:jc w:val="left"/>
        <w:textAlignment w:val="auto"/>
        <w:outlineLvl w:val="9"/>
        <w:rPr>
          <w:rFonts w:ascii="仿宋" w:eastAsia="仿宋" w:cs="仿宋" w:hint="eastAsia"/>
          <w:color w:val="000000"/>
          <w:kern w:val="0"/>
          <w:sz w:val="32"/>
          <w:szCs w:val="32"/>
          <w:shd w:val="clear" w:color="auto" w:fill="FFFFFF"/>
          <w:lang w:val="zh-CN"/>
          <w:highlight w:val="auto"/>
        </w:rPr>
      </w:pPr>
      <w:r>
        <w:rPr>
          <w:rFonts w:ascii="仿宋" w:eastAsia="仿宋" w:cs="仿宋" w:hint="eastAsia"/>
          <w:color w:val="000000"/>
          <w:kern w:val="0"/>
          <w:sz w:val="32"/>
          <w:szCs w:val="32"/>
          <w:shd w:val="clear" w:color="auto" w:fill="FFFFFF"/>
          <w:lang w:val="en-US" w:eastAsia="zh-CN"/>
          <w:highlight w:val="auto"/>
        </w:rPr>
        <w:t>A</w:t>
      </w:r>
      <w:r>
        <w:rPr>
          <w:rFonts w:ascii="仿宋" w:eastAsia="仿宋" w:cs="仿宋" w:hint="eastAsia"/>
          <w:color w:val="000000"/>
          <w:kern w:val="0"/>
          <w:sz w:val="32"/>
          <w:szCs w:val="32"/>
          <w:shd w:val="clear" w:color="auto" w:fill="FFFFFF"/>
          <w:lang w:val="zh-CN"/>
          <w:highlight w:val="auto"/>
        </w:rPr>
        <w:t>、明确了记账人员与审批人员、经办人员的职责权限，使其相互分离、相互制约，以明确责任，防止舞弊，各项业务事项得以有序进行。</w:t>
      </w:r>
    </w:p>
    <w:p>
      <w:pPr>
        <w:keepNext w:val="0"/>
        <w:keepLines w:val="0"/>
        <w:pageBreakBefore w:val="0"/>
        <w:widowControl w:val="0"/>
        <w:kinsoku/>
        <w:wordWrap/>
        <w:overflowPunct/>
        <w:topLinePunct w:val="0"/>
        <w:autoSpaceDE/>
        <w:autoSpaceDN/>
        <w:bidi w:val="0"/>
        <w:adjustRightInd w:val="0"/>
        <w:snapToGrid w:val="0"/>
        <w:spacing w:line="578" w:lineRule="exact"/>
        <w:ind w:left="0" w:firstLineChars="200" w:firstLine="640"/>
        <w:contextualSpacing/>
        <w:jc w:val="left"/>
        <w:textAlignment w:val="auto"/>
        <w:outlineLvl w:val="9"/>
        <w:rPr>
          <w:rFonts w:ascii="仿宋" w:eastAsia="仿宋" w:cs="仿宋" w:hint="eastAsia"/>
          <w:color w:val="000000"/>
          <w:kern w:val="0"/>
          <w:sz w:val="32"/>
          <w:szCs w:val="32"/>
          <w:shd w:val="clear" w:color="auto" w:fill="FFFFFF"/>
          <w:lang w:val="zh-CN"/>
          <w:highlight w:val="auto"/>
        </w:rPr>
      </w:pPr>
      <w:r>
        <w:rPr>
          <w:rFonts w:ascii="仿宋" w:eastAsia="仿宋" w:cs="仿宋" w:hint="eastAsia"/>
          <w:color w:val="000000"/>
          <w:kern w:val="0"/>
          <w:sz w:val="32"/>
          <w:szCs w:val="32"/>
          <w:shd w:val="clear" w:color="auto" w:fill="FFFFFF"/>
          <w:lang w:val="en-US" w:eastAsia="zh-CN"/>
          <w:highlight w:val="auto"/>
        </w:rPr>
        <w:t>B</w:t>
      </w:r>
      <w:r>
        <w:rPr>
          <w:rFonts w:ascii="仿宋" w:eastAsia="仿宋" w:cs="仿宋" w:hint="eastAsia"/>
          <w:color w:val="000000"/>
          <w:kern w:val="0"/>
          <w:sz w:val="32"/>
          <w:szCs w:val="32"/>
          <w:shd w:val="clear" w:color="auto" w:fill="FFFFFF"/>
          <w:lang w:val="zh-CN"/>
          <w:highlight w:val="auto"/>
        </w:rPr>
        <w:t>、明确了财务收支审批程序和审批人的权限和责任，规范了各项资金的使用，提高了资金使用效益。</w:t>
      </w:r>
    </w:p>
    <w:p>
      <w:pPr>
        <w:keepNext w:val="0"/>
        <w:keepLines w:val="0"/>
        <w:pageBreakBefore w:val="0"/>
        <w:widowControl w:val="0"/>
        <w:kinsoku/>
        <w:wordWrap/>
        <w:overflowPunct/>
        <w:topLinePunct w:val="0"/>
        <w:autoSpaceDE/>
        <w:autoSpaceDN/>
        <w:bidi w:val="0"/>
        <w:adjustRightInd w:val="0"/>
        <w:snapToGrid w:val="0"/>
        <w:spacing w:line="578" w:lineRule="exact"/>
        <w:ind w:left="0" w:firstLineChars="200" w:firstLine="640"/>
        <w:contextualSpacing/>
        <w:jc w:val="left"/>
        <w:textAlignment w:val="auto"/>
        <w:outlineLvl w:val="9"/>
        <w:rPr>
          <w:rFonts w:ascii="仿宋" w:eastAsia="仿宋" w:cs="仿宋" w:hint="eastAsia"/>
          <w:color w:val="000000"/>
          <w:kern w:val="0"/>
          <w:sz w:val="32"/>
          <w:szCs w:val="32"/>
          <w:shd w:val="clear" w:color="auto" w:fill="FFFFFF"/>
          <w:lang w:val="zh-CN"/>
          <w:highlight w:val="auto"/>
        </w:rPr>
      </w:pPr>
      <w:r>
        <w:rPr>
          <w:rFonts w:ascii="仿宋" w:eastAsia="仿宋" w:cs="仿宋" w:hint="eastAsia"/>
          <w:color w:val="000000"/>
          <w:kern w:val="0"/>
          <w:sz w:val="32"/>
          <w:szCs w:val="32"/>
          <w:shd w:val="clear" w:color="auto" w:fill="FFFFFF"/>
          <w:lang w:val="en-US" w:eastAsia="zh-CN"/>
          <w:highlight w:val="auto"/>
        </w:rPr>
        <w:t>C</w:t>
      </w:r>
      <w:r>
        <w:rPr>
          <w:rFonts w:ascii="仿宋" w:eastAsia="仿宋" w:cs="仿宋" w:hint="eastAsia"/>
          <w:color w:val="000000"/>
          <w:kern w:val="0"/>
          <w:sz w:val="32"/>
          <w:szCs w:val="32"/>
          <w:shd w:val="clear" w:color="auto" w:fill="FFFFFF"/>
          <w:lang w:val="zh-CN"/>
          <w:highlight w:val="auto"/>
        </w:rPr>
        <w:t>、明确经费支出的范围和开支标准，采取各种有效措施控制经费开支，杜绝了浪费现象的发生。</w:t>
      </w:r>
    </w:p>
    <w:p>
      <w:pPr>
        <w:keepNext w:val="0"/>
        <w:keepLines w:val="0"/>
        <w:pageBreakBefore w:val="0"/>
        <w:widowControl w:val="0"/>
        <w:kinsoku/>
        <w:wordWrap/>
        <w:overflowPunct/>
        <w:topLinePunct w:val="0"/>
        <w:autoSpaceDE/>
        <w:autoSpaceDN/>
        <w:bidi w:val="0"/>
        <w:adjustRightInd w:val="0"/>
        <w:snapToGrid w:val="0"/>
        <w:spacing w:line="578" w:lineRule="exact"/>
        <w:ind w:left="0" w:firstLineChars="200" w:firstLine="640"/>
        <w:contextualSpacing/>
        <w:jc w:val="left"/>
        <w:textAlignment w:val="auto"/>
        <w:outlineLvl w:val="9"/>
        <w:rPr>
          <w:lang w:val="zh-CN"/>
        </w:rPr>
      </w:pPr>
      <w:r>
        <w:rPr>
          <w:rFonts w:ascii="仿宋" w:eastAsia="仿宋" w:cs="仿宋" w:hint="eastAsia"/>
          <w:color w:val="000000"/>
          <w:kern w:val="0"/>
          <w:sz w:val="32"/>
          <w:szCs w:val="32"/>
          <w:shd w:val="clear" w:color="auto" w:fill="FFFFFF"/>
          <w:lang w:val="en-US" w:eastAsia="zh-CN"/>
          <w:highlight w:val="auto"/>
        </w:rPr>
        <w:t>D</w:t>
      </w:r>
      <w:r>
        <w:rPr>
          <w:rFonts w:ascii="仿宋" w:eastAsia="仿宋" w:cs="仿宋" w:hint="eastAsia"/>
          <w:color w:val="000000"/>
          <w:kern w:val="0"/>
          <w:sz w:val="32"/>
          <w:szCs w:val="32"/>
          <w:shd w:val="clear" w:color="auto" w:fill="FFFFFF"/>
          <w:lang w:val="zh-CN"/>
          <w:highlight w:val="auto"/>
        </w:rPr>
        <w:t>、明确账务处理程序，根据机关事业单位会计制度的规定，确定单位会计科目和明细科目的设置和使用范围；确定本单位会计凭证格式、填制要求、审核要求、传递程序、保管要求等；确定本单位的总账、明细账、银行存款日记账、各种辅助账等的设置、格式、登记、对账、结算、改错等要求，确保会计核算准确无误。</w:t>
      </w:r>
    </w:p>
    <w:p>
      <w:pPr>
        <w:keepNext w:val="0"/>
        <w:keepLines w:val="0"/>
        <w:pageBreakBefore w:val="0"/>
        <w:widowControl w:val="0"/>
        <w:kinsoku/>
        <w:wordWrap/>
        <w:overflowPunct/>
        <w:topLinePunct w:val="0"/>
        <w:autoSpaceDE/>
        <w:autoSpaceDN/>
        <w:bidi w:val="0"/>
        <w:adjustRightInd w:val="0"/>
        <w:snapToGrid w:val="0"/>
        <w:spacing w:line="578" w:lineRule="exact"/>
        <w:ind w:left="0" w:firstLineChars="200" w:firstLine="640"/>
        <w:contextualSpacing/>
        <w:jc w:val="left"/>
        <w:textAlignment w:val="auto"/>
        <w:outlineLvl w:val="9"/>
        <w:rPr>
          <w:rFonts w:ascii="楷体_GB2312" w:eastAsia="楷体_GB2312" w:cs="楷体_GB2312" w:hint="eastAsia"/>
          <w:color w:val="000000"/>
          <w:kern w:val="0"/>
          <w:sz w:val="32"/>
          <w:szCs w:val="32"/>
          <w:shd w:val="clear" w:color="auto" w:fill="FFFFFF"/>
          <w:lang w:val="zh-CN"/>
        </w:rPr>
      </w:pPr>
      <w:r>
        <w:rPr>
          <w:rFonts w:ascii="楷体_GB2312" w:eastAsia="楷体_GB2312" w:cs="楷体_GB2312" w:hint="eastAsia"/>
          <w:color w:val="000000"/>
          <w:kern w:val="0"/>
          <w:sz w:val="32"/>
          <w:szCs w:val="32"/>
          <w:shd w:val="clear" w:color="auto" w:fill="FFFFFF"/>
        </w:rPr>
        <w:t>4.</w:t>
      </w:r>
      <w:r>
        <w:rPr>
          <w:rFonts w:ascii="楷体_GB2312" w:eastAsia="楷体_GB2312" w:cs="楷体_GB2312" w:hint="eastAsia"/>
          <w:color w:val="000000"/>
          <w:kern w:val="0"/>
          <w:sz w:val="32"/>
          <w:szCs w:val="32"/>
          <w:shd w:val="clear" w:color="auto" w:fill="FFFFFF"/>
          <w:lang w:val="zh-CN"/>
        </w:rPr>
        <w:t>资产管理。</w:t>
      </w:r>
    </w:p>
    <w:p>
      <w:pPr>
        <w:keepNext w:val="0"/>
        <w:keepLines w:val="0"/>
        <w:pageBreakBefore w:val="0"/>
        <w:widowControl w:val="0"/>
        <w:kinsoku/>
        <w:wordWrap/>
        <w:overflowPunct/>
        <w:topLinePunct w:val="0"/>
        <w:autoSpaceDE/>
        <w:autoSpaceDN/>
        <w:bidi w:val="0"/>
        <w:adjustRightInd w:val="0"/>
        <w:snapToGrid w:val="0"/>
        <w:spacing w:line="578" w:lineRule="exact"/>
        <w:ind w:left="0" w:firstLineChars="200" w:firstLine="640"/>
        <w:contextualSpacing/>
        <w:jc w:val="left"/>
        <w:textAlignment w:val="auto"/>
        <w:outlineLvl w:val="9"/>
        <w:rPr>
          <w:rFonts w:ascii="仿宋" w:eastAsia="仿宋" w:cs="仿宋" w:hint="eastAsia"/>
          <w:color w:val="000000"/>
          <w:kern w:val="0"/>
          <w:sz w:val="32"/>
          <w:szCs w:val="32"/>
          <w:shd w:val="clear" w:color="auto" w:fill="FFFFFF"/>
          <w:lang w:val="zh-CN"/>
          <w:highlight w:val="auto"/>
        </w:rPr>
      </w:pPr>
      <w:r>
        <w:rPr>
          <w:rFonts w:ascii="仿宋" w:eastAsia="仿宋" w:cs="仿宋" w:hint="eastAsia"/>
          <w:color w:val="000000"/>
          <w:kern w:val="0"/>
          <w:sz w:val="32"/>
          <w:szCs w:val="32"/>
          <w:shd w:val="clear" w:color="auto" w:fill="FFFFFF"/>
          <w:lang w:val="zh-CN"/>
          <w:highlight w:val="auto"/>
        </w:rPr>
        <w:t>人均资产变化率：无变化。</w:t>
      </w:r>
    </w:p>
    <w:p>
      <w:pPr>
        <w:keepNext w:val="0"/>
        <w:keepLines w:val="0"/>
        <w:pageBreakBefore w:val="0"/>
        <w:widowControl w:val="0"/>
        <w:kinsoku/>
        <w:wordWrap/>
        <w:overflowPunct/>
        <w:topLinePunct w:val="0"/>
        <w:autoSpaceDE/>
        <w:autoSpaceDN/>
        <w:bidi w:val="0"/>
        <w:adjustRightInd w:val="0"/>
        <w:snapToGrid w:val="0"/>
        <w:spacing w:line="578" w:lineRule="exact"/>
        <w:ind w:left="0" w:firstLineChars="200" w:firstLine="640"/>
        <w:contextualSpacing/>
        <w:jc w:val="left"/>
        <w:textAlignment w:val="auto"/>
        <w:outlineLvl w:val="9"/>
        <w:rPr>
          <w:rFonts w:ascii="仿宋" w:eastAsia="仿宋" w:cs="仿宋" w:hint="eastAsia"/>
          <w:color w:val="000000"/>
          <w:kern w:val="0"/>
          <w:sz w:val="32"/>
          <w:szCs w:val="32"/>
          <w:shd w:val="clear" w:color="auto" w:fill="FFFFFF"/>
          <w:lang w:val="en-US" w:eastAsia="zh-CN"/>
          <w:highlight w:val="auto"/>
        </w:rPr>
      </w:pPr>
      <w:r>
        <w:rPr>
          <w:rFonts w:ascii="仿宋" w:eastAsia="仿宋" w:cs="仿宋" w:hint="eastAsia"/>
          <w:color w:val="000000"/>
          <w:kern w:val="0"/>
          <w:sz w:val="32"/>
          <w:szCs w:val="32"/>
          <w:shd w:val="clear" w:color="auto" w:fill="FFFFFF"/>
          <w:lang w:val="zh-CN"/>
          <w:highlight w:val="auto"/>
        </w:rPr>
        <w:t>资产利用率：</w:t>
      </w:r>
      <w:r>
        <w:rPr>
          <w:rFonts w:ascii="仿宋" w:eastAsia="仿宋" w:cs="仿宋" w:hint="eastAsia"/>
          <w:color w:val="000000"/>
          <w:kern w:val="0"/>
          <w:sz w:val="32"/>
          <w:szCs w:val="32"/>
          <w:shd w:val="clear" w:color="auto" w:fill="FFFFFF"/>
          <w:lang w:val="en-US" w:eastAsia="zh-CN"/>
          <w:highlight w:val="auto"/>
        </w:rPr>
        <w:t>100%。</w:t>
      </w:r>
    </w:p>
    <w:p>
      <w:pPr>
        <w:keepNext w:val="0"/>
        <w:keepLines w:val="0"/>
        <w:pageBreakBefore w:val="0"/>
        <w:widowControl w:val="0"/>
        <w:kinsoku/>
        <w:wordWrap/>
        <w:overflowPunct/>
        <w:topLinePunct w:val="0"/>
        <w:autoSpaceDE/>
        <w:autoSpaceDN/>
        <w:bidi w:val="0"/>
        <w:adjustRightInd w:val="0"/>
        <w:snapToGrid w:val="0"/>
        <w:spacing w:line="578" w:lineRule="exact"/>
        <w:ind w:left="0" w:firstLineChars="200" w:firstLine="640"/>
        <w:contextualSpacing/>
        <w:jc w:val="left"/>
        <w:textAlignment w:val="auto"/>
        <w:outlineLvl w:val="9"/>
        <w:rPr>
          <w:rFonts w:ascii="仿宋" w:eastAsia="仿宋" w:cs="仿宋"/>
          <w:color w:val="000000"/>
          <w:kern w:val="0"/>
          <w:sz w:val="32"/>
          <w:szCs w:val="32"/>
          <w:shd w:val="clear" w:color="auto" w:fill="FFFFFF"/>
          <w:lang w:val="en-US" w:eastAsia="zh-CN"/>
          <w:highlight w:val="auto"/>
        </w:rPr>
      </w:pPr>
      <w:r>
        <w:rPr>
          <w:rFonts w:ascii="仿宋" w:eastAsia="仿宋" w:cs="仿宋" w:hint="eastAsia"/>
          <w:color w:val="000000"/>
          <w:kern w:val="0"/>
          <w:sz w:val="32"/>
          <w:szCs w:val="32"/>
          <w:shd w:val="clear" w:color="auto" w:fill="FFFFFF"/>
          <w:lang w:val="zh-CN"/>
          <w:highlight w:val="auto"/>
        </w:rPr>
        <w:t>资产盘活率：</w:t>
      </w:r>
      <w:r>
        <w:rPr>
          <w:rFonts w:ascii="仿宋" w:eastAsia="仿宋" w:cs="仿宋" w:hint="eastAsia"/>
          <w:color w:val="000000"/>
          <w:kern w:val="0"/>
          <w:sz w:val="32"/>
          <w:szCs w:val="32"/>
          <w:shd w:val="clear" w:color="auto" w:fill="FFFFFF"/>
          <w:lang w:val="en-US" w:eastAsia="zh-CN"/>
          <w:highlight w:val="auto"/>
        </w:rPr>
        <w:t>90%。</w:t>
      </w:r>
    </w:p>
    <w:p>
      <w:pPr>
        <w:keepNext w:val="0"/>
        <w:keepLines w:val="0"/>
        <w:pageBreakBefore w:val="0"/>
        <w:widowControl w:val="0"/>
        <w:kinsoku/>
        <w:wordWrap/>
        <w:overflowPunct/>
        <w:topLinePunct w:val="0"/>
        <w:autoSpaceDE/>
        <w:autoSpaceDN/>
        <w:bidi w:val="0"/>
        <w:adjustRightInd w:val="0"/>
        <w:snapToGrid w:val="0"/>
        <w:spacing w:line="578" w:lineRule="exact"/>
        <w:ind w:left="0" w:firstLineChars="200" w:firstLine="640"/>
        <w:contextualSpacing/>
        <w:jc w:val="left"/>
        <w:textAlignment w:val="auto"/>
        <w:outlineLvl w:val="9"/>
        <w:rPr>
          <w:rFonts w:ascii="楷体_GB2312" w:eastAsia="楷体_GB2312" w:cs="楷体_GB2312"/>
          <w:color w:val="000000"/>
          <w:kern w:val="0"/>
          <w:sz w:val="32"/>
          <w:szCs w:val="32"/>
          <w:shd w:val="clear" w:color="auto" w:fill="FFFFFF"/>
          <w:lang w:val="zh-CN"/>
        </w:rPr>
      </w:pPr>
      <w:r>
        <w:rPr>
          <w:rFonts w:ascii="仿宋" w:eastAsia="仿宋" w:cs="仿宋" w:hint="eastAsia"/>
          <w:color w:val="000000"/>
          <w:kern w:val="0"/>
          <w:sz w:val="32"/>
          <w:szCs w:val="32"/>
          <w:shd w:val="clear" w:color="auto" w:fill="FFFFFF"/>
          <w:lang w:val="zh-CN"/>
          <w:highlight w:val="auto"/>
        </w:rPr>
        <w:t>单位资产管理由办公室总负责，使用人具体负责管理，对不能继续使用的资产由使用人交回办公室并提出申请，由办公室提供材料交给财务室按照相关程序统一购置。财政所每年对单位资产进行一次集中清理，对不能使用的资产及时报相关部门进行报废处理。</w:t>
      </w:r>
    </w:p>
    <w:p>
      <w:pPr>
        <w:numPr>
          <w:ilvl w:val="0"/>
          <w:numId w:val="5"/>
        </w:numPr>
        <w:adjustRightInd w:val="0"/>
        <w:snapToGrid w:val="0"/>
        <w:spacing w:line="578" w:lineRule="exact"/>
        <w:ind w:left="0" w:firstLineChars="200" w:firstLine="640"/>
        <w:jc w:val="left"/>
        <w:rPr>
          <w:rFonts w:eastAsia="仿宋_GB2312" w:hint="eastAsia"/>
          <w:sz w:val="32"/>
          <w:szCs w:val="32"/>
          <w:lang w:val="zh-CN"/>
        </w:rPr>
      </w:pPr>
      <w:r>
        <w:rPr>
          <w:rFonts w:ascii="楷体_GB2312" w:eastAsia="楷体_GB2312" w:cs="楷体_GB2312" w:hint="eastAsia"/>
          <w:color w:val="000000"/>
          <w:kern w:val="0"/>
          <w:sz w:val="32"/>
          <w:szCs w:val="32"/>
          <w:shd w:val="clear" w:color="auto" w:fill="FFFFFF"/>
          <w:lang w:val="zh-CN"/>
        </w:rPr>
        <w:t>采购管理。</w:t>
      </w:r>
      <w:r>
        <w:rPr>
          <w:rFonts w:eastAsia="仿宋_GB2312" w:hint="eastAsia"/>
          <w:sz w:val="32"/>
          <w:szCs w:val="32"/>
          <w:lang w:val="zh-CN"/>
        </w:rPr>
        <w:t>围绕支持中小企业发展、采购执行率进行绩效分析。</w:t>
      </w:r>
    </w:p>
    <w:p>
      <w:pPr>
        <w:pStyle w:val="18"/>
        <w:ind w:leftChars="200" w:left="420"/>
        <w:rPr>
          <w:lang w:val="zh-CN"/>
        </w:rPr>
      </w:pPr>
      <w:r>
        <w:rPr>
          <w:rFonts w:ascii="Times New Roman" w:eastAsia="仿宋_GB2312" w:cs="Times New Roman" w:hAnsi="Times New Roman" w:hint="eastAsia"/>
          <w:kern w:val="2"/>
          <w:sz w:val="32"/>
          <w:szCs w:val="32"/>
          <w:lang w:val="en-US" w:eastAsia="zh-CN" w:bidi="ar-SA"/>
        </w:rPr>
        <w:t>本单位无采购。</w:t>
      </w:r>
    </w:p>
    <w:p>
      <w:pPr>
        <w:ind w:firstLineChars="200" w:firstLine="640"/>
        <w:rPr>
          <w:rFonts w:eastAsia="仿宋_GB2312"/>
          <w:sz w:val="32"/>
          <w:szCs w:val="32"/>
          <w:lang w:val="zh-CN"/>
        </w:rPr>
      </w:pPr>
      <w:r>
        <w:rPr>
          <w:rFonts w:ascii="楷体_GB2312" w:eastAsia="楷体_GB2312" w:hint="eastAsia"/>
          <w:b/>
          <w:sz w:val="32"/>
          <w:szCs w:val="32"/>
        </w:rPr>
        <w:t>（二）部门预算项目绩效分析。</w:t>
      </w:r>
      <w:r>
        <w:rPr>
          <w:rFonts w:eastAsia="仿宋_GB2312" w:hint="eastAsia"/>
          <w:sz w:val="32"/>
          <w:szCs w:val="32"/>
          <w:lang w:val="zh-CN"/>
        </w:rPr>
        <w:t>填报以下数据，并根据部门预算绩效评价指标体系“项目绩效”涉及二、三级指标进行逐项绩效分析并评分，依次包括项目决策、项目执行、目标实现等情况。</w:t>
      </w:r>
    </w:p>
    <w:p>
      <w:pPr>
        <w:ind w:firstLineChars="200" w:firstLine="640"/>
        <w:rPr>
          <w:rFonts w:eastAsia="仿宋_GB2312" w:hint="eastAsia"/>
          <w:sz w:val="32"/>
          <w:szCs w:val="32"/>
          <w:lang w:val="zh-CN"/>
        </w:rPr>
      </w:pPr>
      <w:r>
        <w:rPr>
          <w:rFonts w:eastAsia="仿宋_GB2312" w:hint="eastAsia"/>
          <w:sz w:val="32"/>
          <w:szCs w:val="32"/>
          <w:lang w:val="zh-CN"/>
        </w:rPr>
        <w:t>常年项目绩效分析。该类项目总数3个，涉及预算总金额</w:t>
      </w:r>
      <w:r>
        <w:rPr>
          <w:rFonts w:eastAsia="仿宋_GB2312" w:hint="eastAsia"/>
          <w:sz w:val="32"/>
          <w:szCs w:val="32"/>
          <w:lang w:val="en-US" w:eastAsia="zh-CN"/>
        </w:rPr>
        <w:t>229.23</w:t>
      </w:r>
      <w:r>
        <w:rPr>
          <w:rFonts w:eastAsia="仿宋_GB2312" w:hint="eastAsia"/>
          <w:sz w:val="32"/>
          <w:szCs w:val="32"/>
          <w:lang w:val="zh-CN"/>
        </w:rPr>
        <w:t>万元，1—12月预算执行总体进度为100%，其中：预算结余率大于10%的项目共计0个。</w:t>
      </w:r>
    </w:p>
    <w:p>
      <w:pPr>
        <w:ind w:firstLineChars="200" w:firstLine="640"/>
        <w:rPr>
          <w:rFonts w:eastAsia="仿宋_GB2312" w:hint="eastAsia"/>
          <w:sz w:val="32"/>
          <w:szCs w:val="32"/>
          <w:lang w:val="zh-CN" w:eastAsia="zh-CN"/>
        </w:rPr>
      </w:pPr>
      <w:r>
        <w:rPr>
          <w:rFonts w:eastAsia="仿宋_GB2312" w:hint="eastAsia"/>
          <w:sz w:val="32"/>
          <w:szCs w:val="32"/>
          <w:lang w:val="zh-CN"/>
        </w:rPr>
        <w:t>阶段（含一次性）项目绩效分析。该类项目总数</w:t>
      </w:r>
      <w:r>
        <w:rPr>
          <w:rFonts w:eastAsia="仿宋_GB2312" w:hint="eastAsia"/>
          <w:sz w:val="32"/>
          <w:szCs w:val="32"/>
          <w:lang w:val="en-US" w:eastAsia="zh-CN"/>
        </w:rPr>
        <w:t>3</w:t>
      </w:r>
      <w:r>
        <w:rPr>
          <w:rFonts w:eastAsia="仿宋_GB2312" w:hint="eastAsia"/>
          <w:sz w:val="32"/>
          <w:szCs w:val="32"/>
          <w:lang w:val="zh-CN"/>
        </w:rPr>
        <w:t>个，涉及预算总金额</w:t>
      </w:r>
      <w:r>
        <w:rPr>
          <w:rFonts w:eastAsia="仿宋_GB2312" w:hint="eastAsia"/>
          <w:sz w:val="32"/>
          <w:szCs w:val="32"/>
          <w:lang w:val="en-US" w:eastAsia="zh-CN"/>
        </w:rPr>
        <w:t>279.75</w:t>
      </w:r>
      <w:r>
        <w:rPr>
          <w:rFonts w:eastAsia="仿宋_GB2312" w:hint="eastAsia"/>
          <w:sz w:val="32"/>
          <w:szCs w:val="32"/>
          <w:lang w:val="zh-CN"/>
        </w:rPr>
        <w:t>万元，1—12月预算执行总体进度为</w:t>
      </w:r>
      <w:r>
        <w:rPr>
          <w:rFonts w:eastAsia="仿宋_GB2312" w:hint="eastAsia"/>
          <w:sz w:val="32"/>
          <w:szCs w:val="32"/>
          <w:lang w:val="en-US" w:eastAsia="zh-CN"/>
        </w:rPr>
        <w:t>67.78</w:t>
      </w:r>
      <w:r>
        <w:rPr>
          <w:rFonts w:eastAsia="仿宋_GB2312" w:hint="eastAsia"/>
          <w:sz w:val="32"/>
          <w:szCs w:val="32"/>
          <w:lang w:val="zh-CN"/>
        </w:rPr>
        <w:t>%，其中：预算结余率大于10%的项目共计</w:t>
      </w:r>
      <w:r>
        <w:rPr>
          <w:rFonts w:eastAsia="仿宋_GB2312" w:hint="eastAsia"/>
          <w:sz w:val="32"/>
          <w:szCs w:val="32"/>
          <w:lang w:val="en-US" w:eastAsia="zh-CN"/>
        </w:rPr>
        <w:t>1</w:t>
      </w:r>
      <w:r>
        <w:rPr>
          <w:rFonts w:eastAsia="仿宋_GB2312" w:hint="eastAsia"/>
          <w:sz w:val="32"/>
          <w:szCs w:val="32"/>
          <w:lang w:val="zh-CN"/>
        </w:rPr>
        <w:t>个</w:t>
      </w:r>
      <w:r>
        <w:rPr>
          <w:rFonts w:eastAsia="仿宋_GB2312" w:hint="eastAsia"/>
          <w:sz w:val="32"/>
          <w:szCs w:val="32"/>
          <w:lang w:val="zh-CN" w:eastAsia="zh-CN"/>
        </w:rPr>
        <w:t>。</w:t>
      </w:r>
    </w:p>
    <w:p>
      <w:pPr>
        <w:keepNext w:val="0"/>
        <w:keepLines w:val="0"/>
        <w:pageBreakBefore w:val="0"/>
        <w:widowControl w:val="0"/>
        <w:numPr>
          <w:ilvl w:val="0"/>
          <w:numId w:val="6"/>
        </w:numPr>
        <w:kinsoku/>
        <w:wordWrap/>
        <w:overflowPunct/>
        <w:topLinePunct w:val="0"/>
        <w:autoSpaceDE/>
        <w:autoSpaceDN/>
        <w:bidi w:val="0"/>
        <w:adjustRightInd w:val="0"/>
        <w:snapToGrid w:val="0"/>
        <w:spacing w:line="578" w:lineRule="exact"/>
        <w:ind w:left="0" w:firstLineChars="200" w:firstLine="640"/>
        <w:contextualSpacing/>
        <w:jc w:val="left"/>
        <w:textAlignment w:val="auto"/>
        <w:outlineLvl w:val="9"/>
        <w:rPr>
          <w:rFonts w:ascii="楷体_GB2312" w:eastAsia="楷体_GB2312" w:cs="楷体_GB2312" w:hint="eastAsia"/>
          <w:color w:val="000000"/>
          <w:kern w:val="0"/>
          <w:sz w:val="32"/>
          <w:szCs w:val="32"/>
          <w:shd w:val="clear" w:color="auto" w:fill="FFFFFF"/>
        </w:rPr>
      </w:pPr>
      <w:r>
        <w:rPr>
          <w:rFonts w:ascii="楷体_GB2312" w:eastAsia="楷体_GB2312" w:cs="楷体_GB2312" w:hint="eastAsia"/>
          <w:color w:val="000000"/>
          <w:kern w:val="0"/>
          <w:sz w:val="32"/>
          <w:szCs w:val="32"/>
          <w:shd w:val="clear" w:color="auto" w:fill="FFFFFF"/>
        </w:rPr>
        <w:t>项目决策。</w:t>
      </w:r>
    </w:p>
    <w:p>
      <w:pPr>
        <w:ind w:firstLineChars="200" w:firstLine="640"/>
        <w:rPr>
          <w:rFonts w:ascii="Times New Roman" w:eastAsia="仿宋_GB2312" w:cs="Times New Roman" w:hAnsi="Times New Roman" w:hint="eastAsia"/>
          <w:sz w:val="32"/>
          <w:szCs w:val="32"/>
          <w:lang w:val="en-US" w:eastAsia="zh-CN"/>
        </w:rPr>
      </w:pPr>
      <w:r>
        <w:rPr>
          <w:rFonts w:ascii="Times New Roman" w:eastAsia="仿宋_GB2312" w:cs="Times New Roman" w:hAnsi="Times New Roman" w:hint="eastAsia"/>
          <w:sz w:val="32"/>
          <w:szCs w:val="32"/>
          <w:lang w:val="zh-CN" w:eastAsia="zh-CN"/>
        </w:rPr>
        <w:t>决策程序：</w:t>
      </w:r>
      <w:r>
        <w:rPr>
          <w:rFonts w:ascii="Times New Roman" w:eastAsia="仿宋_GB2312" w:cs="Times New Roman" w:hAnsi="Times New Roman" w:hint="eastAsia"/>
          <w:sz w:val="32"/>
          <w:szCs w:val="32"/>
          <w:lang w:val="en-US" w:eastAsia="zh-CN"/>
        </w:rPr>
        <w:t>加强对领导机关、领导干部特别是各级领导班子主要负责人的监督。认真检查党的路线、方针、政策和决议的执行情况，监督民主集中制及领导班子议事规则落实情况，反属重大决策、重要干部任免、重大项目安排和大额度资金的使用，必须由领导班子集体作出决定。</w:t>
      </w:r>
    </w:p>
    <w:p>
      <w:pPr>
        <w:ind w:firstLineChars="200" w:firstLine="640"/>
        <w:rPr>
          <w:rFonts w:ascii="Times New Roman" w:eastAsia="仿宋_GB2312" w:cs="Times New Roman" w:hAnsi="Times New Roman" w:hint="eastAsia"/>
          <w:sz w:val="32"/>
          <w:szCs w:val="32"/>
          <w:lang w:val="zh-CN" w:eastAsia="zh-CN"/>
        </w:rPr>
      </w:pPr>
      <w:r>
        <w:rPr>
          <w:rFonts w:ascii="Times New Roman" w:eastAsia="仿宋_GB2312" w:cs="Times New Roman" w:hAnsi="Times New Roman" w:hint="eastAsia"/>
          <w:sz w:val="32"/>
          <w:szCs w:val="32"/>
          <w:lang w:val="zh-CN" w:eastAsia="zh-CN"/>
        </w:rPr>
        <w:t>目标设置：履行政治领导责任，做好理论武装何思想政治工作，负责学习、宣传、贯彻执行党的理论和路线方针政策，贯彻落实党中央、省委、州委和县委的，决策部署，发挥好把方向、管大局、保落实;提高退役军人思想政治、管理保障和安置优抚等法律法规，拟定退役军人工作政策并组织实施，褒扬彰显退役军人为党、国家和人民牺牲奉献的精神风范和价值导向;</w:t>
      </w:r>
    </w:p>
    <w:p>
      <w:pPr>
        <w:ind w:firstLineChars="200" w:firstLine="640"/>
        <w:rPr>
          <w:rFonts w:ascii="Times New Roman" w:eastAsia="仿宋_GB2312" w:cs="Times New Roman" w:hAnsi="Times New Roman" w:hint="eastAsia"/>
          <w:sz w:val="32"/>
          <w:szCs w:val="32"/>
          <w:lang w:val="zh-CN" w:eastAsia="zh-CN"/>
        </w:rPr>
      </w:pPr>
      <w:r>
        <w:rPr>
          <w:rFonts w:ascii="Times New Roman" w:eastAsia="仿宋_GB2312" w:cs="Times New Roman" w:hAnsi="Times New Roman" w:hint="eastAsia"/>
          <w:sz w:val="32"/>
          <w:szCs w:val="32"/>
          <w:lang w:val="zh-CN" w:eastAsia="zh-CN"/>
        </w:rPr>
        <w:t>项目入库：</w:t>
      </w:r>
      <w:r>
        <w:rPr>
          <w:rFonts w:ascii="Times New Roman" w:eastAsia="仿宋_GB2312" w:cs="Times New Roman" w:hAnsi="Times New Roman" w:hint="eastAsia"/>
          <w:sz w:val="32"/>
          <w:szCs w:val="32"/>
          <w:lang w:val="en-US" w:eastAsia="zh-CN"/>
        </w:rPr>
        <w:t>严格</w:t>
      </w:r>
      <w:r>
        <w:rPr>
          <w:rFonts w:ascii="Times New Roman" w:eastAsia="仿宋_GB2312" w:cs="Times New Roman" w:hAnsi="Times New Roman" w:hint="eastAsia"/>
          <w:sz w:val="32"/>
          <w:szCs w:val="32"/>
          <w:lang w:val="zh-CN" w:eastAsia="zh-CN"/>
        </w:rPr>
        <w:t>按照程序以及要求，项目在资金使用前必须进行项目入库。</w:t>
      </w:r>
    </w:p>
    <w:p>
      <w:pPr>
        <w:keepNext w:val="0"/>
        <w:keepLines w:val="0"/>
        <w:pageBreakBefore w:val="0"/>
        <w:widowControl w:val="0"/>
        <w:numPr>
          <w:ilvl w:val="0"/>
          <w:numId w:val="6"/>
        </w:numPr>
        <w:kinsoku/>
        <w:wordWrap/>
        <w:overflowPunct/>
        <w:topLinePunct w:val="0"/>
        <w:autoSpaceDE/>
        <w:autoSpaceDN/>
        <w:bidi w:val="0"/>
        <w:adjustRightInd w:val="0"/>
        <w:snapToGrid w:val="0"/>
        <w:spacing w:line="578" w:lineRule="exact"/>
        <w:ind w:left="0" w:firstLineChars="200" w:firstLine="640"/>
        <w:contextualSpacing/>
        <w:jc w:val="left"/>
        <w:textAlignment w:val="auto"/>
        <w:outlineLvl w:val="9"/>
        <w:rPr>
          <w:rFonts w:ascii="楷体_GB2312" w:eastAsia="楷体_GB2312" w:cs="楷体_GB2312" w:hint="eastAsia"/>
          <w:color w:val="000000"/>
          <w:kern w:val="0"/>
          <w:sz w:val="32"/>
          <w:szCs w:val="32"/>
          <w:shd w:val="clear" w:color="auto" w:fill="FFFFFF"/>
        </w:rPr>
      </w:pPr>
      <w:r>
        <w:rPr>
          <w:rFonts w:ascii="楷体_GB2312" w:eastAsia="楷体_GB2312" w:cs="楷体_GB2312" w:hint="eastAsia"/>
          <w:color w:val="000000"/>
          <w:kern w:val="0"/>
          <w:sz w:val="32"/>
          <w:szCs w:val="32"/>
          <w:shd w:val="clear" w:color="auto" w:fill="FFFFFF"/>
        </w:rPr>
        <w:t>项目执行。</w:t>
      </w:r>
    </w:p>
    <w:p>
      <w:pPr>
        <w:ind w:firstLineChars="200" w:firstLine="640"/>
        <w:rPr>
          <w:rFonts w:ascii="Times New Roman" w:eastAsia="仿宋_GB2312" w:cs="Times New Roman" w:hAnsi="Times New Roman" w:hint="eastAsia"/>
          <w:sz w:val="32"/>
          <w:szCs w:val="32"/>
          <w:lang w:val="en-US" w:eastAsia="zh-CN"/>
        </w:rPr>
      </w:pPr>
      <w:r>
        <w:rPr>
          <w:rFonts w:ascii="Times New Roman" w:eastAsia="仿宋_GB2312" w:cs="Times New Roman" w:hAnsi="Times New Roman" w:hint="eastAsia"/>
          <w:sz w:val="32"/>
          <w:szCs w:val="32"/>
          <w:lang w:val="en-US" w:eastAsia="zh-CN"/>
        </w:rPr>
        <w:t>202</w:t>
      </w:r>
      <w:r>
        <w:rPr>
          <w:rFonts w:eastAsia="仿宋_GB2312" w:cs="Times New Roman" w:hint="eastAsia"/>
          <w:sz w:val="32"/>
          <w:szCs w:val="32"/>
          <w:lang w:val="en-US" w:eastAsia="zh-CN"/>
        </w:rPr>
        <w:t>5</w:t>
      </w:r>
      <w:r>
        <w:rPr>
          <w:rFonts w:ascii="Times New Roman" w:eastAsia="仿宋_GB2312" w:cs="Times New Roman" w:hAnsi="Times New Roman" w:hint="eastAsia"/>
          <w:sz w:val="32"/>
          <w:szCs w:val="32"/>
          <w:lang w:val="en-US" w:eastAsia="zh-CN"/>
        </w:rPr>
        <w:t>年预算决算总收入</w:t>
      </w:r>
      <w:r>
        <w:rPr>
          <w:rFonts w:eastAsia="仿宋_GB2312" w:cs="Times New Roman" w:hint="eastAsia"/>
          <w:sz w:val="32"/>
          <w:szCs w:val="32"/>
          <w:lang w:val="en-US" w:eastAsia="zh-CN"/>
        </w:rPr>
        <w:t>1168.94</w:t>
      </w:r>
      <w:r>
        <w:rPr>
          <w:rFonts w:ascii="Times New Roman" w:eastAsia="仿宋_GB2312" w:cs="Times New Roman" w:hAnsi="Times New Roman" w:hint="eastAsia"/>
          <w:sz w:val="32"/>
          <w:szCs w:val="32"/>
          <w:lang w:val="zh-CN" w:eastAsia="zh-CN"/>
        </w:rPr>
        <w:t>万元，</w:t>
      </w:r>
      <w:r>
        <w:rPr>
          <w:rFonts w:ascii="Times New Roman" w:eastAsia="仿宋_GB2312" w:cs="Times New Roman" w:hAnsi="Times New Roman" w:hint="eastAsia"/>
          <w:sz w:val="32"/>
          <w:szCs w:val="32"/>
          <w:lang w:val="en-US" w:eastAsia="zh-CN"/>
        </w:rPr>
        <w:t>202</w:t>
      </w:r>
      <w:r>
        <w:rPr>
          <w:rFonts w:eastAsia="仿宋_GB2312" w:cs="Times New Roman" w:hint="eastAsia"/>
          <w:sz w:val="32"/>
          <w:szCs w:val="32"/>
          <w:lang w:val="en-US" w:eastAsia="zh-CN"/>
        </w:rPr>
        <w:t>5</w:t>
      </w:r>
      <w:r>
        <w:rPr>
          <w:rFonts w:ascii="Times New Roman" w:eastAsia="仿宋_GB2312" w:cs="Times New Roman" w:hAnsi="Times New Roman" w:hint="eastAsia"/>
          <w:sz w:val="32"/>
          <w:szCs w:val="32"/>
          <w:lang w:val="en-US" w:eastAsia="zh-CN"/>
        </w:rPr>
        <w:t>年支出合计</w:t>
      </w:r>
      <w:r>
        <w:rPr>
          <w:rFonts w:eastAsia="仿宋_GB2312" w:cs="Times New Roman" w:hint="eastAsia"/>
          <w:sz w:val="32"/>
          <w:szCs w:val="32"/>
          <w:lang w:val="en-US" w:eastAsia="zh-CN"/>
        </w:rPr>
        <w:t>1168.94</w:t>
      </w:r>
      <w:r>
        <w:rPr>
          <w:rFonts w:ascii="Times New Roman" w:eastAsia="仿宋_GB2312" w:cs="Times New Roman" w:hAnsi="Times New Roman" w:hint="eastAsia"/>
          <w:sz w:val="32"/>
          <w:szCs w:val="32"/>
          <w:lang w:val="zh-CN" w:eastAsia="zh-CN"/>
        </w:rPr>
        <w:t>万元，</w:t>
      </w:r>
      <w:r>
        <w:rPr>
          <w:rFonts w:ascii="Times New Roman" w:eastAsia="仿宋_GB2312" w:cs="Times New Roman" w:hAnsi="Times New Roman" w:hint="eastAsia"/>
          <w:sz w:val="32"/>
          <w:szCs w:val="32"/>
          <w:lang w:val="en-US" w:eastAsia="zh-CN"/>
        </w:rPr>
        <w:t>资金使用率</w:t>
      </w:r>
      <w:r>
        <w:rPr>
          <w:rFonts w:ascii="Times New Roman" w:eastAsia="仿宋_GB2312" w:cs="Times New Roman" w:hAnsi="Times New Roman" w:hint="eastAsia"/>
          <w:sz w:val="32"/>
          <w:szCs w:val="32"/>
          <w:lang w:val="zh-CN" w:eastAsia="zh-CN"/>
        </w:rPr>
        <w:t>100%。其中：一般公共服务支出</w:t>
      </w:r>
      <w:r>
        <w:rPr>
          <w:rFonts w:ascii="Times New Roman" w:eastAsia="仿宋_GB2312" w:cs="Times New Roman" w:hAnsi="Times New Roman" w:hint="eastAsia"/>
          <w:sz w:val="32"/>
          <w:szCs w:val="32"/>
          <w:lang w:val="en-US" w:eastAsia="zh-CN"/>
        </w:rPr>
        <w:t>0</w:t>
      </w:r>
      <w:r>
        <w:rPr>
          <w:rFonts w:ascii="Times New Roman" w:eastAsia="仿宋_GB2312" w:cs="Times New Roman" w:hAnsi="Times New Roman" w:hint="eastAsia"/>
          <w:sz w:val="32"/>
          <w:szCs w:val="32"/>
          <w:lang w:val="zh-CN" w:eastAsia="zh-CN"/>
        </w:rPr>
        <w:t>万元，占</w:t>
      </w:r>
      <w:r>
        <w:rPr>
          <w:rFonts w:ascii="Times New Roman" w:eastAsia="仿宋_GB2312" w:cs="Times New Roman" w:hAnsi="Times New Roman" w:hint="eastAsia"/>
          <w:sz w:val="32"/>
          <w:szCs w:val="32"/>
          <w:lang w:val="en-US" w:eastAsia="zh-CN"/>
        </w:rPr>
        <w:t>0</w:t>
      </w:r>
      <w:r>
        <w:rPr>
          <w:rFonts w:ascii="Times New Roman" w:eastAsia="仿宋_GB2312" w:cs="Times New Roman" w:hAnsi="Times New Roman" w:hint="eastAsia"/>
          <w:sz w:val="32"/>
          <w:szCs w:val="32"/>
          <w:lang w:val="zh-CN" w:eastAsia="zh-CN"/>
        </w:rPr>
        <w:t>%；</w:t>
      </w:r>
      <w:r>
        <w:rPr>
          <w:rFonts w:eastAsia="仿宋_GB2312" w:cs="Times New Roman" w:hint="eastAsia"/>
          <w:sz w:val="32"/>
          <w:szCs w:val="32"/>
          <w:lang w:val="en-US" w:eastAsia="zh-CN"/>
        </w:rPr>
        <w:t>国防支出18.8万元,占1.61%；</w:t>
      </w:r>
      <w:r>
        <w:rPr>
          <w:rFonts w:ascii="Times New Roman" w:eastAsia="仿宋_GB2312" w:cs="Times New Roman" w:hAnsi="Times New Roman" w:hint="eastAsia"/>
          <w:sz w:val="32"/>
          <w:szCs w:val="32"/>
          <w:lang w:val="zh-CN" w:eastAsia="zh-CN"/>
        </w:rPr>
        <w:t>社会保障和就业支出</w:t>
      </w:r>
      <w:r>
        <w:rPr>
          <w:rFonts w:eastAsia="仿宋_GB2312" w:cs="Times New Roman" w:hint="eastAsia"/>
          <w:sz w:val="32"/>
          <w:szCs w:val="32"/>
          <w:lang w:val="en-US" w:eastAsia="zh-CN"/>
        </w:rPr>
        <w:t>1117.58</w:t>
      </w:r>
      <w:r>
        <w:rPr>
          <w:rFonts w:ascii="Times New Roman" w:eastAsia="仿宋_GB2312" w:cs="Times New Roman" w:hAnsi="Times New Roman" w:hint="eastAsia"/>
          <w:sz w:val="32"/>
          <w:szCs w:val="32"/>
          <w:lang w:val="zh-CN" w:eastAsia="zh-CN"/>
        </w:rPr>
        <w:t>万元，</w:t>
      </w:r>
      <w:r>
        <w:rPr>
          <w:rFonts w:ascii="Times New Roman" w:eastAsia="仿宋_GB2312" w:cs="Times New Roman" w:hAnsi="Times New Roman" w:hint="eastAsia"/>
          <w:sz w:val="32"/>
          <w:szCs w:val="32"/>
          <w:lang w:val="en-US" w:eastAsia="zh-CN"/>
        </w:rPr>
        <w:t>占</w:t>
      </w:r>
      <w:r>
        <w:rPr>
          <w:rFonts w:eastAsia="仿宋_GB2312" w:cs="Times New Roman" w:hint="eastAsia"/>
          <w:sz w:val="32"/>
          <w:szCs w:val="32"/>
          <w:lang w:val="en-US" w:eastAsia="zh-CN"/>
        </w:rPr>
        <w:t>95.6</w:t>
      </w:r>
      <w:r>
        <w:rPr>
          <w:rFonts w:ascii="Times New Roman" w:eastAsia="仿宋_GB2312" w:cs="Times New Roman" w:hAnsi="Times New Roman" w:hint="eastAsia"/>
          <w:sz w:val="32"/>
          <w:szCs w:val="32"/>
          <w:lang w:val="zh-CN" w:eastAsia="zh-CN"/>
        </w:rPr>
        <w:t>%；卫生健康支出</w:t>
      </w:r>
      <w:r>
        <w:rPr>
          <w:rFonts w:eastAsia="仿宋_GB2312" w:cs="Times New Roman" w:hint="eastAsia"/>
          <w:sz w:val="32"/>
          <w:szCs w:val="32"/>
          <w:lang w:val="en-US" w:eastAsia="zh-CN"/>
        </w:rPr>
        <w:t>14.92</w:t>
      </w:r>
      <w:r>
        <w:rPr>
          <w:rFonts w:ascii="Times New Roman" w:eastAsia="仿宋_GB2312" w:cs="Times New Roman" w:hAnsi="Times New Roman" w:hint="eastAsia"/>
          <w:sz w:val="32"/>
          <w:szCs w:val="32"/>
          <w:lang w:val="zh-CN" w:eastAsia="zh-CN"/>
        </w:rPr>
        <w:t>万元，占</w:t>
      </w:r>
      <w:r>
        <w:rPr>
          <w:rFonts w:eastAsia="仿宋_GB2312" w:cs="Times New Roman" w:hint="eastAsia"/>
          <w:sz w:val="32"/>
          <w:szCs w:val="32"/>
          <w:lang w:val="en-US" w:eastAsia="zh-CN"/>
        </w:rPr>
        <w:t>1.28</w:t>
      </w:r>
      <w:r>
        <w:rPr>
          <w:rFonts w:ascii="Times New Roman" w:eastAsia="仿宋_GB2312" w:cs="Times New Roman" w:hAnsi="Times New Roman" w:hint="eastAsia"/>
          <w:sz w:val="32"/>
          <w:szCs w:val="32"/>
          <w:lang w:val="zh-CN" w:eastAsia="zh-CN"/>
        </w:rPr>
        <w:t>%；住房保障支出</w:t>
      </w:r>
      <w:r>
        <w:rPr>
          <w:rFonts w:eastAsia="仿宋_GB2312" w:cs="Times New Roman" w:hint="eastAsia"/>
          <w:sz w:val="32"/>
          <w:szCs w:val="32"/>
          <w:lang w:val="en-US" w:eastAsia="zh-CN"/>
        </w:rPr>
        <w:t>17.63</w:t>
      </w:r>
      <w:r>
        <w:rPr>
          <w:rFonts w:ascii="Times New Roman" w:eastAsia="仿宋_GB2312" w:cs="Times New Roman" w:hAnsi="Times New Roman" w:hint="eastAsia"/>
          <w:sz w:val="32"/>
          <w:szCs w:val="32"/>
          <w:lang w:val="zh-CN" w:eastAsia="zh-CN"/>
        </w:rPr>
        <w:t>万元，占</w:t>
      </w:r>
      <w:r>
        <w:rPr>
          <w:rFonts w:eastAsia="仿宋_GB2312" w:cs="Times New Roman" w:hint="eastAsia"/>
          <w:sz w:val="32"/>
          <w:szCs w:val="32"/>
          <w:lang w:val="en-US" w:eastAsia="zh-CN"/>
        </w:rPr>
        <w:t>1.51</w:t>
      </w:r>
      <w:r>
        <w:rPr>
          <w:rFonts w:ascii="Times New Roman" w:eastAsia="仿宋_GB2312" w:cs="Times New Roman" w:hAnsi="Times New Roman" w:hint="eastAsia"/>
          <w:sz w:val="32"/>
          <w:szCs w:val="32"/>
          <w:lang w:val="zh-CN" w:eastAsia="zh-CN"/>
        </w:rPr>
        <w:t>%</w:t>
      </w:r>
      <w:r>
        <w:rPr>
          <w:rFonts w:ascii="Times New Roman" w:eastAsia="仿宋_GB2312" w:cs="Times New Roman" w:hAnsi="Times New Roman" w:hint="eastAsia"/>
          <w:sz w:val="32"/>
          <w:szCs w:val="32"/>
          <w:lang w:val="en-US" w:eastAsia="zh-CN"/>
        </w:rPr>
        <w:t>。</w:t>
      </w:r>
    </w:p>
    <w:p>
      <w:pPr>
        <w:ind w:firstLineChars="200" w:firstLine="640"/>
        <w:rPr>
          <w:rFonts w:eastAsia="仿宋_GB2312"/>
          <w:sz w:val="32"/>
          <w:szCs w:val="32"/>
          <w:lang w:val="zh-CN"/>
        </w:rPr>
      </w:pPr>
      <w:r>
        <w:rPr>
          <w:rFonts w:ascii="楷体_GB2312" w:eastAsia="楷体_GB2312" w:cs="楷体_GB2312" w:hint="eastAsia"/>
          <w:color w:val="000000"/>
          <w:kern w:val="0"/>
          <w:sz w:val="32"/>
          <w:szCs w:val="32"/>
          <w:shd w:val="clear" w:color="auto" w:fill="FFFFFF"/>
        </w:rPr>
        <w:t>3.目标实现。</w:t>
      </w:r>
      <w:r>
        <w:rPr>
          <w:rFonts w:eastAsia="仿宋_GB2312" w:hint="eastAsia"/>
          <w:sz w:val="32"/>
          <w:szCs w:val="32"/>
          <w:lang w:val="zh-CN"/>
        </w:rPr>
        <w:t>围绕目标完成、目标偏离、实现效果进行绩效分析。</w:t>
      </w:r>
    </w:p>
    <w:p>
      <w:pPr>
        <w:ind w:firstLineChars="200" w:firstLine="640"/>
        <w:rPr>
          <w:rFonts w:ascii="Times New Roman" w:eastAsia="仿宋_GB2312" w:cs="Times New Roman" w:hAnsi="Times New Roman" w:hint="eastAsia"/>
          <w:sz w:val="32"/>
          <w:szCs w:val="32"/>
          <w:lang w:val="zh-CN"/>
        </w:rPr>
      </w:pPr>
      <w:r>
        <w:rPr>
          <w:rFonts w:ascii="Times New Roman" w:eastAsia="仿宋_GB2312" w:cs="Times New Roman" w:hAnsi="Times New Roman" w:hint="eastAsia"/>
          <w:sz w:val="32"/>
          <w:szCs w:val="32"/>
          <w:lang w:val="en-US" w:eastAsia="zh-CN"/>
        </w:rPr>
        <w:t>202</w:t>
      </w:r>
      <w:r>
        <w:rPr>
          <w:rFonts w:eastAsia="仿宋_GB2312" w:cs="Times New Roman" w:hint="eastAsia"/>
          <w:sz w:val="32"/>
          <w:szCs w:val="32"/>
          <w:lang w:val="en-US" w:eastAsia="zh-CN"/>
        </w:rPr>
        <w:t>5</w:t>
      </w:r>
      <w:r>
        <w:rPr>
          <w:rFonts w:ascii="Times New Roman" w:eastAsia="仿宋_GB2312" w:cs="Times New Roman" w:hAnsi="Times New Roman" w:hint="eastAsia"/>
          <w:sz w:val="32"/>
          <w:szCs w:val="32"/>
          <w:lang w:val="en-US" w:eastAsia="zh-CN"/>
        </w:rPr>
        <w:t>年</w:t>
      </w:r>
      <w:r>
        <w:rPr>
          <w:rFonts w:ascii="Times New Roman" w:eastAsia="仿宋_GB2312" w:cs="Times New Roman" w:hAnsi="Times New Roman" w:hint="eastAsia"/>
          <w:sz w:val="32"/>
          <w:szCs w:val="32"/>
          <w:lang w:val="zh-CN"/>
        </w:rPr>
        <w:t>我局</w:t>
      </w:r>
      <w:r>
        <w:rPr>
          <w:rFonts w:ascii="Times New Roman" w:eastAsia="仿宋_GB2312" w:cs="Times New Roman" w:hAnsi="Times New Roman" w:hint="eastAsia"/>
          <w:sz w:val="32"/>
          <w:szCs w:val="32"/>
          <w:lang w:val="en-US" w:eastAsia="zh-CN"/>
        </w:rPr>
        <w:t>目标完成100%，未偏离目标。</w:t>
      </w:r>
      <w:r>
        <w:rPr>
          <w:rFonts w:ascii="Times New Roman" w:eastAsia="仿宋_GB2312" w:cs="Times New Roman" w:hAnsi="Times New Roman" w:hint="eastAsia"/>
          <w:sz w:val="32"/>
          <w:szCs w:val="32"/>
          <w:lang w:val="zh-CN" w:eastAsia="zh-CN"/>
        </w:rPr>
        <w:t>履行政治领导责任，做好理论武装何思想政治工作，负责学习、宣传、贯彻执行党的理论和路线方针政策，贯彻落实党中央、省委、州委和县委的，决策部署，发挥好把方向、管大局、保落实;提高退役军人思想政治、管理保障和安置优抚等法律法规，拟定退役军人工作政策并组织实施，褒扬彰显退役军人为党、国家和人民牺牲奉献的精神风范和价值导向。</w:t>
      </w:r>
    </w:p>
    <w:p>
      <w:pPr>
        <w:keepNext w:val="0"/>
        <w:keepLines w:val="0"/>
        <w:pageBreakBefore w:val="0"/>
        <w:widowControl/>
        <w:numPr>
          <w:ilvl w:val="0"/>
          <w:numId w:val="7"/>
        </w:numPr>
        <w:kinsoku/>
        <w:wordWrap/>
        <w:overflowPunct/>
        <w:topLinePunct w:val="0"/>
        <w:autoSpaceDE/>
        <w:autoSpaceDN/>
        <w:bidi w:val="0"/>
        <w:adjustRightInd w:val="0"/>
        <w:snapToGrid w:val="0"/>
        <w:spacing w:line="578" w:lineRule="exact"/>
        <w:ind w:left="0" w:firstLineChars="200" w:firstLine="640"/>
        <w:contextualSpacing/>
        <w:jc w:val="left"/>
        <w:textAlignment w:val="auto"/>
        <w:outlineLvl w:val="9"/>
        <w:rPr>
          <w:rFonts w:ascii="楷体_GB2312" w:eastAsia="楷体_GB2312" w:hint="eastAsia"/>
          <w:b/>
          <w:sz w:val="32"/>
          <w:szCs w:val="32"/>
        </w:rPr>
      </w:pPr>
      <w:r>
        <w:rPr>
          <w:rFonts w:ascii="楷体_GB2312" w:eastAsia="楷体_GB2312" w:hint="eastAsia"/>
          <w:b/>
          <w:sz w:val="32"/>
          <w:szCs w:val="32"/>
        </w:rPr>
        <w:t>重点领域绩效分析。</w:t>
      </w:r>
    </w:p>
    <w:p>
      <w:pPr>
        <w:ind w:firstLineChars="200" w:firstLine="640"/>
        <w:rPr>
          <w:rFonts w:ascii="Times New Roman" w:eastAsia="仿宋_GB2312" w:cs="Times New Roman" w:hAnsi="Times New Roman"/>
          <w:sz w:val="32"/>
          <w:szCs w:val="32"/>
          <w:lang w:val="en-US" w:eastAsia="zh-CN"/>
        </w:rPr>
      </w:pPr>
      <w:r>
        <w:rPr>
          <w:rFonts w:ascii="Times New Roman" w:eastAsia="仿宋_GB2312" w:cs="Times New Roman" w:hAnsi="Times New Roman" w:hint="eastAsia"/>
          <w:sz w:val="32"/>
          <w:szCs w:val="32"/>
          <w:lang w:val="en-US" w:eastAsia="zh-CN"/>
        </w:rPr>
        <w:t>我单位202</w:t>
      </w:r>
      <w:r>
        <w:rPr>
          <w:rFonts w:eastAsia="仿宋_GB2312" w:cs="Times New Roman" w:hint="eastAsia"/>
          <w:sz w:val="32"/>
          <w:szCs w:val="32"/>
          <w:lang w:val="en-US" w:eastAsia="zh-CN"/>
        </w:rPr>
        <w:t>5</w:t>
      </w:r>
      <w:r>
        <w:rPr>
          <w:rFonts w:ascii="Times New Roman" w:eastAsia="仿宋_GB2312" w:cs="Times New Roman" w:hAnsi="Times New Roman" w:hint="eastAsia"/>
          <w:sz w:val="32"/>
          <w:szCs w:val="32"/>
          <w:lang w:val="en-US" w:eastAsia="zh-CN"/>
        </w:rPr>
        <w:t>年未涉及重点领域事项。</w:t>
      </w:r>
    </w:p>
    <w:p>
      <w:pPr>
        <w:numPr>
          <w:ilvl w:val="0"/>
          <w:numId w:val="7"/>
        </w:numPr>
        <w:spacing w:line="560" w:lineRule="exact"/>
        <w:ind w:left="0" w:firstLineChars="200" w:firstLine="640"/>
        <w:rPr>
          <w:rFonts w:ascii="楷体_GB2312" w:eastAsia="楷体_GB2312" w:hint="eastAsia"/>
          <w:b/>
          <w:sz w:val="32"/>
          <w:szCs w:val="32"/>
        </w:rPr>
      </w:pPr>
      <w:r>
        <w:rPr>
          <w:rFonts w:ascii="楷体_GB2312" w:eastAsia="楷体_GB2312" w:hint="eastAsia"/>
          <w:b/>
          <w:sz w:val="32"/>
          <w:szCs w:val="32"/>
        </w:rPr>
        <w:t>绩效结果应用情况。</w:t>
      </w:r>
    </w:p>
    <w:p>
      <w:pPr>
        <w:ind w:firstLineChars="200" w:firstLine="640"/>
        <w:rPr>
          <w:rFonts w:eastAsia="仿宋_GB2312"/>
          <w:sz w:val="32"/>
          <w:szCs w:val="32"/>
          <w:lang w:val="zh-CN"/>
        </w:rPr>
      </w:pPr>
      <w:r>
        <w:rPr>
          <w:rFonts w:ascii="Times New Roman" w:eastAsia="仿宋_GB2312" w:cs="Times New Roman" w:hAnsi="Times New Roman" w:hint="eastAsia"/>
          <w:sz w:val="32"/>
          <w:szCs w:val="32"/>
          <w:lang w:val="zh-CN" w:eastAsia="zh-CN"/>
        </w:rPr>
        <w:t>我局部门绩效结果应用到了下一年的绩效目标设定与调整。根据支出预决算，为下一年度的预算提供了基础预算数据。优化了</w:t>
      </w:r>
      <w:r>
        <w:rPr>
          <w:rFonts w:ascii="Times New Roman" w:eastAsia="仿宋_GB2312" w:cs="Times New Roman" w:hAnsi="Times New Roman" w:hint="eastAsia"/>
          <w:sz w:val="32"/>
          <w:szCs w:val="32"/>
          <w:lang w:val="en-US" w:eastAsia="zh-CN"/>
        </w:rPr>
        <w:t>单位</w:t>
      </w:r>
      <w:r>
        <w:rPr>
          <w:rFonts w:ascii="Times New Roman" w:eastAsia="仿宋_GB2312" w:cs="Times New Roman" w:hAnsi="Times New Roman" w:hint="eastAsia"/>
          <w:sz w:val="32"/>
          <w:szCs w:val="32"/>
          <w:lang w:val="zh-CN" w:eastAsia="zh-CN"/>
        </w:rPr>
        <w:t>资金的使用率。保障了机关日常正常运转，专项资金保障了</w:t>
      </w:r>
      <w:r>
        <w:rPr>
          <w:rFonts w:ascii="Times New Roman" w:eastAsia="仿宋_GB2312" w:cs="Times New Roman" w:hAnsi="Times New Roman" w:hint="eastAsia"/>
          <w:sz w:val="32"/>
          <w:szCs w:val="32"/>
          <w:lang w:val="en-US" w:eastAsia="zh-CN"/>
        </w:rPr>
        <w:t>退役军人</w:t>
      </w:r>
      <w:r>
        <w:rPr>
          <w:rFonts w:ascii="Times New Roman" w:eastAsia="仿宋_GB2312" w:cs="Times New Roman" w:hAnsi="Times New Roman" w:hint="eastAsia"/>
          <w:sz w:val="32"/>
          <w:szCs w:val="32"/>
          <w:lang w:val="zh-CN" w:eastAsia="zh-CN"/>
        </w:rPr>
        <w:t>的基本生活，同时在维护少数名族地区的社会稳定，提高人民生活水平，改善人民生活质量等方面有着极其重要的意义，有力促进了社会和谐发展，为全县及乡镇的经济发展作出了应有的贡献，</w:t>
      </w:r>
      <w:r>
        <w:rPr>
          <w:rFonts w:ascii="Times New Roman" w:eastAsia="仿宋_GB2312" w:cs="Times New Roman" w:hAnsi="Times New Roman" w:hint="eastAsia"/>
          <w:sz w:val="32"/>
          <w:szCs w:val="32"/>
          <w:lang w:val="en-US" w:eastAsia="zh-CN"/>
        </w:rPr>
        <w:t>202</w:t>
      </w:r>
      <w:r>
        <w:rPr>
          <w:rFonts w:eastAsia="仿宋_GB2312" w:cs="Times New Roman" w:hint="eastAsia"/>
          <w:sz w:val="32"/>
          <w:szCs w:val="32"/>
          <w:lang w:val="en-US" w:eastAsia="zh-CN"/>
        </w:rPr>
        <w:t>5</w:t>
      </w:r>
      <w:r>
        <w:rPr>
          <w:rFonts w:ascii="Times New Roman" w:eastAsia="仿宋_GB2312" w:cs="Times New Roman" w:hAnsi="Times New Roman" w:hint="eastAsia"/>
          <w:sz w:val="32"/>
          <w:szCs w:val="32"/>
          <w:lang w:val="en-US" w:eastAsia="zh-CN"/>
        </w:rPr>
        <w:t>年预算及决算已在政府信息公开网站进行了公开。</w:t>
      </w:r>
    </w:p>
    <w:p>
      <w:pPr>
        <w:ind w:firstLineChars="200" w:firstLine="640"/>
        <w:rPr>
          <w:rFonts w:ascii="黑体" w:eastAsia="黑体"/>
          <w:sz w:val="32"/>
          <w:szCs w:val="32"/>
        </w:rPr>
      </w:pPr>
      <w:r>
        <w:rPr>
          <w:rFonts w:ascii="黑体" w:eastAsia="黑体" w:hint="eastAsia"/>
          <w:sz w:val="32"/>
          <w:szCs w:val="32"/>
        </w:rPr>
        <w:t>四、评价结论及建议</w:t>
      </w:r>
    </w:p>
    <w:p>
      <w:pPr>
        <w:keepNext w:val="0"/>
        <w:keepLines w:val="0"/>
        <w:pageBreakBefore w:val="0"/>
        <w:widowControl/>
        <w:kinsoku/>
        <w:wordWrap/>
        <w:overflowPunct/>
        <w:topLinePunct w:val="0"/>
        <w:autoSpaceDE/>
        <w:autoSpaceDN/>
        <w:bidi w:val="0"/>
        <w:adjustRightInd w:val="0"/>
        <w:snapToGrid w:val="0"/>
        <w:spacing w:line="578" w:lineRule="exact"/>
        <w:ind w:firstLineChars="200" w:firstLine="640"/>
        <w:contextualSpacing/>
        <w:jc w:val="left"/>
        <w:textAlignment w:val="auto"/>
        <w:outlineLvl w:val="9"/>
        <w:rPr>
          <w:rFonts w:ascii="楷体_GB2312" w:eastAsia="楷体_GB2312" w:hint="eastAsia"/>
          <w:b/>
          <w:sz w:val="32"/>
          <w:szCs w:val="32"/>
        </w:rPr>
      </w:pPr>
      <w:r>
        <w:rPr>
          <w:rFonts w:ascii="楷体_GB2312" w:eastAsia="楷体_GB2312" w:hint="eastAsia"/>
          <w:b/>
          <w:sz w:val="32"/>
          <w:szCs w:val="32"/>
        </w:rPr>
        <w:t>（一）评价结论。</w:t>
      </w:r>
    </w:p>
    <w:p>
      <w:pPr>
        <w:keepNext w:val="0"/>
        <w:keepLines w:val="0"/>
        <w:pageBreakBefore w:val="0"/>
        <w:widowControl/>
        <w:kinsoku/>
        <w:wordWrap/>
        <w:overflowPunct/>
        <w:topLinePunct w:val="0"/>
        <w:autoSpaceDE/>
        <w:autoSpaceDN/>
        <w:bidi w:val="0"/>
        <w:adjustRightInd w:val="0"/>
        <w:snapToGrid w:val="0"/>
        <w:spacing w:line="578" w:lineRule="exact"/>
        <w:ind w:firstLineChars="200" w:firstLine="640"/>
        <w:contextualSpacing/>
        <w:jc w:val="left"/>
        <w:textAlignment w:val="auto"/>
        <w:outlineLvl w:val="9"/>
        <w:rPr>
          <w:rFonts w:ascii="仿宋_GB2312" w:hAnsi="仿宋_GB2312" w:hint="eastAsia"/>
          <w:sz w:val="32"/>
          <w:lang w:val="zh-CN"/>
        </w:rPr>
      </w:pPr>
      <w:r>
        <w:rPr>
          <w:rFonts w:ascii="Times New Roman" w:eastAsia="仿宋_GB2312" w:cs="Times New Roman" w:hAnsi="Times New Roman" w:hint="eastAsia"/>
          <w:sz w:val="32"/>
          <w:szCs w:val="32"/>
          <w:lang w:val="zh-CN" w:eastAsia="zh-CN"/>
        </w:rPr>
        <w:t>我局部门支出预算，保障了机关日常正常运转，专项资金保障了</w:t>
      </w:r>
      <w:r>
        <w:rPr>
          <w:rFonts w:ascii="Times New Roman" w:eastAsia="仿宋_GB2312" w:cs="Times New Roman" w:hAnsi="Times New Roman" w:hint="eastAsia"/>
          <w:sz w:val="32"/>
          <w:szCs w:val="32"/>
          <w:lang w:val="en-US" w:eastAsia="zh-CN"/>
        </w:rPr>
        <w:t>退役军人</w:t>
      </w:r>
      <w:r>
        <w:rPr>
          <w:rFonts w:ascii="Times New Roman" w:eastAsia="仿宋_GB2312" w:cs="Times New Roman" w:hAnsi="Times New Roman" w:hint="eastAsia"/>
          <w:sz w:val="32"/>
          <w:szCs w:val="32"/>
          <w:lang w:val="zh-CN" w:eastAsia="zh-CN"/>
        </w:rPr>
        <w:t>的基本生活，同时在维护少数名族地区的社会稳定，提高人民生活水平，改善人民生活质量等方面有着极其重要的意义，有力促进了社会和谐发展，为全县及乡镇的经济发展作出了应有的贡献，部门整体支出绩效自评等级为优秀。</w:t>
      </w:r>
    </w:p>
    <w:p>
      <w:pPr>
        <w:numPr>
          <w:ilvl w:val="0"/>
          <w:numId w:val="8"/>
        </w:numPr>
        <w:ind w:left="0" w:firstLineChars="200" w:firstLine="640"/>
        <w:rPr>
          <w:rFonts w:ascii="楷体_GB2312" w:eastAsia="楷体_GB2312" w:hint="eastAsia"/>
          <w:b/>
          <w:sz w:val="32"/>
          <w:szCs w:val="32"/>
        </w:rPr>
      </w:pPr>
      <w:r>
        <w:rPr>
          <w:rFonts w:ascii="楷体_GB2312" w:eastAsia="楷体_GB2312" w:hint="eastAsia"/>
          <w:b/>
          <w:sz w:val="32"/>
          <w:szCs w:val="32"/>
        </w:rPr>
        <w:t>存在问题。</w:t>
      </w:r>
    </w:p>
    <w:p>
      <w:pPr>
        <w:ind w:left="0" w:firstLineChars="200" w:firstLine="640"/>
        <w:rPr>
          <w:rFonts w:ascii="仿宋_GB2312" w:eastAsia="仿宋_GB2312" w:cs="仿宋_GB2312" w:hint="eastAsia"/>
          <w:color w:val="000000"/>
          <w:kern w:val="0"/>
          <w:sz w:val="32"/>
          <w:szCs w:val="32"/>
          <w:lang w:val="en-US" w:eastAsia="zh-CN"/>
        </w:rPr>
      </w:pPr>
      <w:r>
        <w:rPr>
          <w:rFonts w:ascii="仿宋_GB2312" w:eastAsia="仿宋_GB2312" w:cs="仿宋_GB2312" w:hint="eastAsia"/>
          <w:color w:val="000000"/>
          <w:kern w:val="0"/>
          <w:sz w:val="32"/>
          <w:szCs w:val="32"/>
          <w:lang w:val="en-US" w:eastAsia="zh-CN"/>
        </w:rPr>
        <w:t>由于财政支出的多样性和复杂性，绩效评价指标体系设置难度大，即使可以量化，但实际操作中很多项目间缺乏可比性且指标本身也在逐步变化，需要逐步完善。</w:t>
        <w:br/>
      </w:r>
      <w:r>
        <w:rPr>
          <w:rFonts w:ascii="仿宋_GB2312" w:cs="仿宋_GB2312" w:hAnsi="仿宋_GB2312" w:hint="eastAsia"/>
          <w:color w:val="000000"/>
          <w:kern w:val="0"/>
          <w:sz w:val="32"/>
          <w:szCs w:val="32"/>
          <w:lang w:val="en-US" w:eastAsia="zh-CN"/>
        </w:rPr>
        <w:t xml:space="preserve">    </w:t>
      </w:r>
      <w:r>
        <w:rPr>
          <w:rFonts w:ascii="仿宋_GB2312" w:eastAsia="仿宋_GB2312" w:cs="仿宋_GB2312" w:hint="eastAsia"/>
          <w:color w:val="000000"/>
          <w:kern w:val="0"/>
          <w:sz w:val="32"/>
          <w:szCs w:val="32"/>
          <w:lang w:val="en-US" w:eastAsia="zh-CN"/>
        </w:rPr>
        <w:t>在平时工作推进过程中，缺乏技术人员进行专业指导及培训，工作推进存在一定困难，预算编制还需更加精准。</w:t>
      </w:r>
    </w:p>
    <w:p>
      <w:pPr>
        <w:keepNext w:val="0"/>
        <w:keepLines w:val="0"/>
        <w:pageBreakBefore w:val="0"/>
        <w:widowControl w:val="0"/>
        <w:numPr>
          <w:ilvl w:val="0"/>
          <w:numId w:val="8"/>
        </w:numPr>
        <w:suppressLineNumbers w:val="0"/>
        <w:kinsoku/>
        <w:wordWrap/>
        <w:overflowPunct/>
        <w:topLinePunct w:val="0"/>
        <w:autoSpaceDE w:val="0"/>
        <w:autoSpaceDN/>
        <w:bidi w:val="0"/>
        <w:adjustRightInd/>
        <w:snapToGrid/>
        <w:spacing w:before="0" w:beforeAutospacing="0" w:after="0" w:afterAutospacing="0" w:line="560" w:lineRule="exact"/>
        <w:ind w:left="0" w:right="0" w:firstLineChars="200" w:firstLine="640"/>
        <w:jc w:val="left"/>
        <w:textAlignment w:val="auto"/>
        <w:rPr>
          <w:rFonts w:ascii="楷体_GB2312" w:eastAsia="楷体_GB2312" w:hint="eastAsia"/>
          <w:b/>
          <w:sz w:val="32"/>
          <w:szCs w:val="32"/>
        </w:rPr>
      </w:pPr>
      <w:r>
        <w:rPr>
          <w:rFonts w:ascii="楷体_GB2312" w:eastAsia="楷体_GB2312" w:hint="eastAsia"/>
          <w:b/>
          <w:sz w:val="32"/>
          <w:szCs w:val="32"/>
        </w:rPr>
        <w:t>改进建议。</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firstLineChars="200" w:firstLine="640"/>
        <w:jc w:val="left"/>
        <w:textAlignment w:val="auto"/>
        <w:rPr>
          <w:rFonts w:ascii="仿宋_GB2312" w:eastAsia="仿宋_GB2312" w:cs="仿宋_GB2312" w:hint="eastAsia"/>
          <w:color w:val="000000"/>
          <w:kern w:val="0"/>
          <w:sz w:val="32"/>
          <w:szCs w:val="32"/>
          <w:lang w:val="en-US" w:eastAsia="zh-CN"/>
        </w:rPr>
      </w:pPr>
      <w:r>
        <w:rPr>
          <w:rFonts w:ascii="仿宋_GB2312" w:eastAsia="仿宋_GB2312" w:cs="仿宋_GB2312" w:hint="eastAsia"/>
          <w:color w:val="000000"/>
          <w:kern w:val="0"/>
          <w:sz w:val="32"/>
          <w:szCs w:val="32"/>
          <w:lang w:val="en-US" w:eastAsia="zh-CN"/>
        </w:rPr>
        <w:t>1.通过各种途径加强绩效管理学习，科学合理编制预算，严格执行预算。</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firstLineChars="200" w:firstLine="640"/>
        <w:jc w:val="left"/>
        <w:textAlignment w:val="auto"/>
        <w:rPr>
          <w:rFonts w:ascii="仿宋_GB2312" w:eastAsia="仿宋_GB2312" w:cs="仿宋_GB2312" w:hint="eastAsia"/>
          <w:color w:val="000000"/>
          <w:kern w:val="0"/>
          <w:sz w:val="32"/>
          <w:szCs w:val="32"/>
          <w:lang w:val="zh-CN" w:eastAsia="zh-CN"/>
        </w:rPr>
      </w:pPr>
      <w:r>
        <w:rPr>
          <w:rFonts w:ascii="仿宋_GB2312" w:eastAsia="仿宋_GB2312" w:cs="仿宋_GB2312" w:hint="eastAsia"/>
          <w:color w:val="000000"/>
          <w:kern w:val="0"/>
          <w:sz w:val="32"/>
          <w:szCs w:val="32"/>
          <w:lang w:val="en-US" w:eastAsia="zh-CN"/>
        </w:rPr>
        <w:t>2.规范账务处理，提高财务信息质量。</w:t>
      </w:r>
    </w:p>
    <w:p>
      <w:pPr>
        <w:ind w:firstLineChars="200" w:firstLine="640"/>
        <w:rPr>
          <w:rFonts w:eastAsia="仿宋_GB2312"/>
          <w:sz w:val="32"/>
          <w:szCs w:val="32"/>
          <w:lang w:val="zh-CN"/>
        </w:rPr>
      </w:pPr>
    </w:p>
    <w:p>
      <w:pPr>
        <w:ind w:firstLineChars="200" w:firstLine="640"/>
        <w:rPr>
          <w:rFonts w:ascii="宋体" w:eastAsia="宋体" w:hint="eastAsia"/>
          <w:sz w:val="32"/>
          <w:szCs w:val="32"/>
          <w:lang w:val="zh-CN"/>
        </w:rPr>
      </w:pPr>
    </w:p>
    <w:p>
      <w:pPr>
        <w:ind w:firstLineChars="200" w:firstLine="640"/>
        <w:rPr>
          <w:rFonts w:ascii="宋体" w:eastAsia="宋体" w:hint="eastAsia"/>
          <w:sz w:val="32"/>
          <w:szCs w:val="32"/>
          <w:lang w:val="zh-CN"/>
        </w:rPr>
      </w:pPr>
    </w:p>
    <w:p>
      <w:pPr>
        <w:ind w:firstLineChars="200" w:firstLine="640"/>
        <w:rPr>
          <w:rFonts w:ascii="宋体" w:eastAsia="宋体" w:hint="eastAsia"/>
          <w:sz w:val="32"/>
          <w:szCs w:val="32"/>
          <w:lang w:val="zh-CN"/>
        </w:rPr>
      </w:pPr>
    </w:p>
    <w:p>
      <w:pPr>
        <w:ind w:firstLineChars="200" w:firstLine="640"/>
        <w:rPr>
          <w:rFonts w:ascii="宋体" w:eastAsia="宋体" w:hint="eastAsia"/>
          <w:sz w:val="32"/>
          <w:szCs w:val="32"/>
          <w:lang w:val="zh-CN"/>
        </w:rPr>
      </w:pPr>
    </w:p>
    <w:p>
      <w:pPr>
        <w:ind w:firstLineChars="200" w:firstLine="640"/>
        <w:rPr>
          <w:rFonts w:ascii="宋体" w:eastAsia="宋体" w:hint="eastAsia"/>
          <w:sz w:val="32"/>
          <w:szCs w:val="32"/>
          <w:lang w:val="zh-CN"/>
        </w:rPr>
      </w:pPr>
    </w:p>
    <w:p>
      <w:pPr>
        <w:ind w:firstLineChars="200" w:firstLine="640"/>
        <w:rPr>
          <w:rFonts w:ascii="宋体" w:eastAsia="宋体" w:hint="eastAsia"/>
          <w:sz w:val="32"/>
          <w:szCs w:val="32"/>
          <w:lang w:val="zh-CN"/>
        </w:rPr>
      </w:pPr>
    </w:p>
    <w:p>
      <w:pPr>
        <w:ind w:firstLineChars="200" w:firstLine="640"/>
        <w:rPr>
          <w:rFonts w:ascii="宋体" w:eastAsia="宋体" w:hint="eastAsia"/>
          <w:sz w:val="32"/>
          <w:szCs w:val="32"/>
          <w:lang w:val="zh-CN"/>
        </w:rPr>
      </w:pPr>
    </w:p>
    <w:p>
      <w:pPr>
        <w:ind w:firstLineChars="200" w:firstLine="640"/>
        <w:rPr>
          <w:rFonts w:ascii="宋体" w:eastAsia="宋体" w:hint="eastAsia"/>
          <w:sz w:val="32"/>
          <w:szCs w:val="32"/>
          <w:lang w:val="zh-CN"/>
        </w:rPr>
      </w:pPr>
    </w:p>
    <w:p>
      <w:pPr>
        <w:ind w:firstLineChars="200" w:firstLine="640"/>
        <w:rPr>
          <w:rFonts w:ascii="宋体" w:eastAsia="宋体" w:hint="eastAsia"/>
          <w:sz w:val="32"/>
          <w:szCs w:val="32"/>
          <w:lang w:val="zh-CN"/>
        </w:rPr>
      </w:pPr>
      <w:r>
        <w:rPr>
          <w:rFonts w:ascii="宋体" w:eastAsia="宋体" w:hint="eastAsia"/>
          <w:sz w:val="32"/>
          <w:szCs w:val="32"/>
          <w:lang w:val="zh-CN"/>
        </w:rPr>
        <w:t>附表：</w:t>
      </w:r>
      <w:r>
        <w:rPr>
          <w:rFonts w:ascii="宋体" w:eastAsia="宋体" w:hint="eastAsia"/>
          <w:sz w:val="32"/>
          <w:szCs w:val="32"/>
        </w:rPr>
        <w:t>部门</w:t>
      </w:r>
      <w:r>
        <w:rPr>
          <w:rFonts w:ascii="宋体" w:eastAsia="宋体" w:hint="eastAsia"/>
          <w:sz w:val="32"/>
          <w:szCs w:val="32"/>
          <w:lang w:val="zh-CN"/>
        </w:rPr>
        <w:t>预算项目支出绩效自评表（202</w:t>
      </w:r>
      <w:r>
        <w:rPr>
          <w:rFonts w:ascii="宋体" w:eastAsia="宋体" w:hint="eastAsia"/>
          <w:sz w:val="32"/>
          <w:szCs w:val="32"/>
          <w:lang w:val="en-US" w:eastAsia="zh-CN"/>
        </w:rPr>
        <w:t>5</w:t>
      </w:r>
      <w:r>
        <w:rPr>
          <w:rFonts w:ascii="宋体" w:eastAsia="宋体" w:hint="eastAsia"/>
          <w:sz w:val="32"/>
          <w:szCs w:val="32"/>
          <w:lang w:val="zh-CN"/>
        </w:rPr>
        <w:t>年度）</w:t>
      </w:r>
    </w:p>
    <w:p>
      <w:pPr>
        <w:pStyle w:val="15"/>
        <w:tabs>
          <w:tab w:val="center" w:pos="4153"/>
          <w:tab w:val="right" w:pos="8306"/>
        </w:tabs>
      </w:pPr>
      <w:r>
        <w:drawing>
          <wp:inline distT="0" distB="0" distL="114300" distR="114300">
            <wp:extent cx="5273040" cy="3773170"/>
            <wp:effectExtent l="0" t="0" r="15" b="6"/>
            <wp:docPr id="7" name="图片 1"/>
            <wp:cNvGraphicFramePr>
              <a:graphicFrameLocks noChangeAspect="1"/>
            </wp:cNvGraphicFramePr>
            <a:graphic>
              <a:graphicData uri="http://schemas.openxmlformats.org/drawingml/2006/picture">
                <pic:pic>
                  <pic:nvPicPr>
                    <pic:cNvPr id="9" name="图片 1 9"/>
                    <pic:cNvPicPr/>
                  </pic:nvPicPr>
                  <pic:blipFill>
                    <a:blip r:embed="rId10"/>
                    <a:stretch>
                      <a:fillRect/>
                    </a:stretch>
                  </pic:blipFill>
                  <pic:spPr>
                    <a:xfrm rot="0">
                      <a:off x="0" y="0"/>
                      <a:ext cx="5273040" cy="3773170"/>
                    </a:xfrm>
                    <a:prstGeom prst="rect"/>
                    <a:noFill/>
                    <a:ln w="9525" cmpd="sng" cap="flat">
                      <a:noFill/>
                      <a:prstDash val="solid"/>
                      <a:round/>
                    </a:ln>
                  </pic:spPr>
                </pic:pic>
              </a:graphicData>
            </a:graphic>
          </wp:inline>
        </w:drawing>
      </w:r>
      <w:r>
        <w:drawing>
          <wp:inline distT="0" distB="0" distL="114300" distR="114300">
            <wp:extent cx="5272404" cy="4113529"/>
            <wp:effectExtent l="0" t="0" r="16" b="30"/>
            <wp:docPr id="10" name="图片 2"/>
            <wp:cNvGraphicFramePr>
              <a:graphicFrameLocks noChangeAspect="1"/>
            </wp:cNvGraphicFramePr>
            <a:graphic>
              <a:graphicData uri="http://schemas.openxmlformats.org/drawingml/2006/picture">
                <pic:pic>
                  <pic:nvPicPr>
                    <pic:cNvPr id="12" name="图片 2 12"/>
                    <pic:cNvPicPr/>
                  </pic:nvPicPr>
                  <pic:blipFill>
                    <a:blip r:embed="rId11"/>
                    <a:stretch>
                      <a:fillRect/>
                    </a:stretch>
                  </pic:blipFill>
                  <pic:spPr>
                    <a:xfrm rot="0">
                      <a:off x="0" y="0"/>
                      <a:ext cx="5272404" cy="4113529"/>
                    </a:xfrm>
                    <a:prstGeom prst="rect"/>
                    <a:noFill/>
                    <a:ln w="9525" cmpd="sng" cap="flat">
                      <a:noFill/>
                      <a:prstDash val="solid"/>
                      <a:round/>
                    </a:ln>
                  </pic:spPr>
                </pic:pic>
              </a:graphicData>
            </a:graphic>
          </wp:inline>
        </w:drawing>
      </w:r>
      <w:r>
        <w:drawing>
          <wp:inline distT="0" distB="0" distL="114300" distR="114300">
            <wp:extent cx="5274310" cy="4143375"/>
            <wp:effectExtent l="0" t="0" r="17" b="32"/>
            <wp:docPr id="13" name="图片 3"/>
            <wp:cNvGraphicFramePr>
              <a:graphicFrameLocks noChangeAspect="1"/>
            </wp:cNvGraphicFramePr>
            <a:graphic>
              <a:graphicData uri="http://schemas.openxmlformats.org/drawingml/2006/picture">
                <pic:pic>
                  <pic:nvPicPr>
                    <pic:cNvPr id="15" name="图片 3 15"/>
                    <pic:cNvPicPr/>
                  </pic:nvPicPr>
                  <pic:blipFill>
                    <a:blip r:embed="rId12"/>
                    <a:stretch>
                      <a:fillRect/>
                    </a:stretch>
                  </pic:blipFill>
                  <pic:spPr>
                    <a:xfrm rot="0">
                      <a:off x="0" y="0"/>
                      <a:ext cx="5274310" cy="4143375"/>
                    </a:xfrm>
                    <a:prstGeom prst="rect"/>
                    <a:noFill/>
                    <a:ln w="9525" cmpd="sng" cap="flat">
                      <a:noFill/>
                      <a:prstDash val="solid"/>
                      <a:round/>
                    </a:ln>
                  </pic:spPr>
                </pic:pic>
              </a:graphicData>
            </a:graphic>
          </wp:inline>
        </w:drawing>
      </w:r>
      <w:r>
        <w:drawing>
          <wp:inline distT="0" distB="0" distL="114300" distR="114300">
            <wp:extent cx="5272404" cy="4174490"/>
            <wp:effectExtent l="0" t="0" r="16" b="32"/>
            <wp:docPr id="16" name="图片 4"/>
            <wp:cNvGraphicFramePr>
              <a:graphicFrameLocks noChangeAspect="1"/>
            </wp:cNvGraphicFramePr>
            <a:graphic>
              <a:graphicData uri="http://schemas.openxmlformats.org/drawingml/2006/picture">
                <pic:pic>
                  <pic:nvPicPr>
                    <pic:cNvPr id="18" name="图片 4 18"/>
                    <pic:cNvPicPr/>
                  </pic:nvPicPr>
                  <pic:blipFill>
                    <a:blip r:embed="rId13"/>
                    <a:stretch>
                      <a:fillRect/>
                    </a:stretch>
                  </pic:blipFill>
                  <pic:spPr>
                    <a:xfrm rot="0">
                      <a:off x="0" y="0"/>
                      <a:ext cx="5272404" cy="4174490"/>
                    </a:xfrm>
                    <a:prstGeom prst="rect"/>
                    <a:noFill/>
                    <a:ln w="9525" cmpd="sng" cap="flat">
                      <a:noFill/>
                      <a:prstDash val="solid"/>
                      <a:round/>
                    </a:ln>
                  </pic:spPr>
                </pic:pic>
              </a:graphicData>
            </a:graphic>
          </wp:inline>
        </w:drawing>
      </w:r>
      <w:r>
        <w:drawing>
          <wp:inline distT="0" distB="0" distL="114300" distR="114300">
            <wp:extent cx="5273040" cy="4189095"/>
            <wp:effectExtent l="0" t="0" r="15" b="31"/>
            <wp:docPr id="19" name="图片 5"/>
            <wp:cNvGraphicFramePr>
              <a:graphicFrameLocks noChangeAspect="1"/>
            </wp:cNvGraphicFramePr>
            <a:graphic>
              <a:graphicData uri="http://schemas.openxmlformats.org/drawingml/2006/picture">
                <pic:pic>
                  <pic:nvPicPr>
                    <pic:cNvPr id="21" name="图片 5 21"/>
                    <pic:cNvPicPr/>
                  </pic:nvPicPr>
                  <pic:blipFill>
                    <a:blip r:embed="rId14"/>
                    <a:stretch>
                      <a:fillRect/>
                    </a:stretch>
                  </pic:blipFill>
                  <pic:spPr>
                    <a:xfrm rot="0">
                      <a:off x="0" y="0"/>
                      <a:ext cx="5273040" cy="4189095"/>
                    </a:xfrm>
                    <a:prstGeom prst="rect"/>
                    <a:noFill/>
                    <a:ln w="9525" cmpd="sng" cap="flat">
                      <a:noFill/>
                      <a:prstDash val="solid"/>
                      <a:round/>
                    </a:ln>
                  </pic:spPr>
                </pic:pic>
              </a:graphicData>
            </a:graphic>
          </wp:inline>
        </w:drawing>
      </w:r>
      <w:r>
        <w:drawing>
          <wp:inline distT="0" distB="0" distL="114300" distR="114300">
            <wp:extent cx="5274310" cy="4100830"/>
            <wp:effectExtent l="0" t="0" r="17" b="1"/>
            <wp:docPr id="22" name="图片 6"/>
            <wp:cNvGraphicFramePr>
              <a:graphicFrameLocks noChangeAspect="1"/>
            </wp:cNvGraphicFramePr>
            <a:graphic>
              <a:graphicData uri="http://schemas.openxmlformats.org/drawingml/2006/picture">
                <pic:pic>
                  <pic:nvPicPr>
                    <pic:cNvPr id="24" name="图片 6 24"/>
                    <pic:cNvPicPr/>
                  </pic:nvPicPr>
                  <pic:blipFill>
                    <a:blip r:embed="rId15"/>
                    <a:stretch>
                      <a:fillRect/>
                    </a:stretch>
                  </pic:blipFill>
                  <pic:spPr>
                    <a:xfrm rot="0">
                      <a:off x="0" y="0"/>
                      <a:ext cx="5274310" cy="4100830"/>
                    </a:xfrm>
                    <a:prstGeom prst="rect"/>
                    <a:noFill/>
                    <a:ln w="9525" cmpd="sng" cap="flat">
                      <a:noFill/>
                      <a:prstDash val="solid"/>
                      <a:round/>
                    </a:ln>
                  </pic:spPr>
                </pic:pic>
              </a:graphicData>
            </a:graphic>
          </wp:inline>
        </w:drawing>
      </w:r>
      <w:r>
        <w:drawing>
          <wp:inline distT="0" distB="0" distL="114300" distR="114300">
            <wp:extent cx="5270499" cy="3901440"/>
            <wp:effectExtent l="0" t="0" r="16" b="35"/>
            <wp:docPr id="25" name="图片 7"/>
            <wp:cNvGraphicFramePr>
              <a:graphicFrameLocks noChangeAspect="1"/>
            </wp:cNvGraphicFramePr>
            <a:graphic>
              <a:graphicData uri="http://schemas.openxmlformats.org/drawingml/2006/picture">
                <pic:pic>
                  <pic:nvPicPr>
                    <pic:cNvPr id="27" name="图片 7 27"/>
                    <pic:cNvPicPr/>
                  </pic:nvPicPr>
                  <pic:blipFill>
                    <a:blip r:embed="rId16"/>
                    <a:stretch>
                      <a:fillRect/>
                    </a:stretch>
                  </pic:blipFill>
                  <pic:spPr>
                    <a:xfrm rot="0">
                      <a:off x="0" y="0"/>
                      <a:ext cx="5270499" cy="3901440"/>
                    </a:xfrm>
                    <a:prstGeom prst="rect"/>
                    <a:noFill/>
                    <a:ln w="9525" cmpd="sng" cap="flat">
                      <a:noFill/>
                      <a:prstDash val="solid"/>
                      <a:round/>
                    </a:ln>
                  </pic:spPr>
                </pic:pic>
              </a:graphicData>
            </a:graphic>
          </wp:inline>
        </w:drawing>
      </w:r>
    </w:p>
    <w:p>
      <w:pPr>
        <w:pStyle w:val="15"/>
        <w:tabs>
          <w:tab w:val="center" w:pos="4153"/>
          <w:tab w:val="right" w:pos="8306"/>
        </w:tabs>
        <w:rPr>
          <w:rFonts w:hint="eastAsia"/>
          <w:lang w:val="zh-CN"/>
        </w:rPr>
      </w:pPr>
    </w:p>
    <w:p>
      <w:pPr>
        <w:pStyle w:val="15"/>
        <w:tabs>
          <w:tab w:val="center" w:pos="4153"/>
          <w:tab w:val="right" w:pos="8306"/>
        </w:tabs>
        <w:rPr>
          <w:rFonts w:ascii="宋体" w:eastAsia="宋体" w:hint="eastAsia"/>
          <w:sz w:val="32"/>
          <w:szCs w:val="32"/>
          <w:lang w:val="zh-CN"/>
        </w:rPr>
      </w:pPr>
    </w:p>
    <w:p>
      <w:pPr>
        <w:pStyle w:val="15"/>
        <w:tabs>
          <w:tab w:val="center" w:pos="4153"/>
          <w:tab w:val="right" w:pos="8306"/>
        </w:tabs>
        <w:rPr>
          <w:rFonts w:ascii="宋体" w:eastAsia="宋体" w:hint="eastAsia"/>
          <w:sz w:val="32"/>
          <w:szCs w:val="32"/>
          <w:lang w:val="zh-CN"/>
        </w:rPr>
      </w:pPr>
    </w:p>
    <w:p>
      <w:pPr>
        <w:pStyle w:val="15"/>
        <w:tabs>
          <w:tab w:val="center" w:pos="4153"/>
          <w:tab w:val="right" w:pos="8306"/>
        </w:tabs>
        <w:rPr>
          <w:rFonts w:ascii="宋体" w:eastAsia="宋体" w:hint="eastAsia"/>
          <w:sz w:val="32"/>
          <w:szCs w:val="32"/>
          <w:lang w:val="zh-CN"/>
        </w:rPr>
      </w:pPr>
    </w:p>
    <w:p>
      <w:pPr>
        <w:pStyle w:val="15"/>
        <w:tabs>
          <w:tab w:val="center" w:pos="4153"/>
          <w:tab w:val="right" w:pos="8306"/>
        </w:tabs>
      </w:pPr>
    </w:p>
    <w:p>
      <w:pPr>
        <w:pStyle w:val="15"/>
        <w:tabs>
          <w:tab w:val="center" w:pos="4153"/>
          <w:tab w:val="right" w:pos="8306"/>
        </w:tabs>
      </w:pPr>
    </w:p>
    <w:p>
      <w:pPr>
        <w:pStyle w:val="15"/>
        <w:tabs>
          <w:tab w:val="center" w:pos="4153"/>
          <w:tab w:val="right" w:pos="8306"/>
        </w:tabs>
        <w:rPr>
          <w:rFonts w:hint="eastAsia"/>
          <w:lang w:val="zh-CN"/>
        </w:rPr>
      </w:pPr>
    </w:p>
    <w:p>
      <w:pPr>
        <w:pStyle w:val="15"/>
        <w:tabs>
          <w:tab w:val="center" w:pos="4153"/>
          <w:tab w:val="right" w:pos="8306"/>
        </w:tabs>
        <w:rPr>
          <w:rFonts w:ascii="宋体" w:eastAsia="宋体" w:hint="eastAsia"/>
          <w:sz w:val="32"/>
          <w:szCs w:val="32"/>
          <w:lang w:val="zh-CN"/>
        </w:rPr>
      </w:pPr>
    </w:p>
    <w:p>
      <w:pPr>
        <w:pStyle w:val="15"/>
        <w:tabs>
          <w:tab w:val="center" w:pos="4153"/>
          <w:tab w:val="right" w:pos="8306"/>
        </w:tabs>
        <w:rPr>
          <w:rFonts w:ascii="宋体" w:eastAsia="宋体" w:hint="eastAsia"/>
          <w:sz w:val="32"/>
          <w:szCs w:val="32"/>
          <w:lang w:val="zh-CN"/>
        </w:rPr>
      </w:pPr>
    </w:p>
    <w:p>
      <w:pPr>
        <w:pStyle w:val="15"/>
        <w:tabs>
          <w:tab w:val="center" w:pos="4153"/>
          <w:tab w:val="right" w:pos="8306"/>
        </w:tabs>
      </w:pPr>
    </w:p>
    <w:p>
      <w:pPr>
        <w:pStyle w:val="15"/>
        <w:tabs>
          <w:tab w:val="center" w:pos="4153"/>
          <w:tab w:val="right" w:pos="8306"/>
        </w:tabs>
      </w:pPr>
    </w:p>
    <w:p>
      <w:pPr>
        <w:pStyle w:val="15"/>
        <w:tabs>
          <w:tab w:val="center" w:pos="4153"/>
          <w:tab w:val="right" w:pos="8306"/>
        </w:tabs>
        <w:rPr>
          <w:rFonts w:hint="eastAsia"/>
          <w:lang w:val="zh-CN"/>
        </w:rPr>
      </w:pPr>
    </w:p>
    <w:p>
      <w:pPr>
        <w:pStyle w:val="15"/>
        <w:tabs>
          <w:tab w:val="center" w:pos="4153"/>
          <w:tab w:val="right" w:pos="8306"/>
        </w:tabs>
        <w:rPr>
          <w:rFonts w:ascii="宋体" w:eastAsia="宋体" w:hint="eastAsia"/>
          <w:sz w:val="32"/>
          <w:szCs w:val="32"/>
          <w:lang w:val="zh-CN"/>
        </w:rPr>
      </w:pPr>
    </w:p>
    <w:p>
      <w:pPr>
        <w:pStyle w:val="15"/>
        <w:tabs>
          <w:tab w:val="center" w:pos="4153"/>
          <w:tab w:val="right" w:pos="8306"/>
        </w:tabs>
        <w:rPr>
          <w:rFonts w:ascii="宋体" w:eastAsia="宋体" w:hint="eastAsia"/>
          <w:sz w:val="32"/>
          <w:szCs w:val="32"/>
          <w:lang w:val="zh-CN"/>
        </w:rPr>
      </w:pPr>
    </w:p>
    <w:p>
      <w:pPr>
        <w:pStyle w:val="15"/>
        <w:tabs>
          <w:tab w:val="center" w:pos="4153"/>
          <w:tab w:val="right" w:pos="8306"/>
        </w:tabs>
        <w:rPr>
          <w:rFonts w:ascii="宋体" w:eastAsia="宋体" w:hint="eastAsia"/>
          <w:sz w:val="32"/>
          <w:szCs w:val="32"/>
          <w:lang w:val="zh-CN"/>
        </w:rPr>
      </w:pPr>
    </w:p>
    <w:p>
      <w:pPr>
        <w:pStyle w:val="15"/>
        <w:tabs>
          <w:tab w:val="center" w:pos="4153"/>
          <w:tab w:val="right" w:pos="8306"/>
        </w:tabs>
        <w:rPr>
          <w:rFonts w:ascii="宋体" w:eastAsia="宋体" w:hint="eastAsia"/>
          <w:sz w:val="32"/>
          <w:szCs w:val="32"/>
          <w:lang w:val="zh-CN"/>
        </w:rPr>
      </w:pPr>
    </w:p>
    <w:p>
      <w:pPr>
        <w:pStyle w:val="15"/>
        <w:tabs>
          <w:tab w:val="center" w:pos="4153"/>
          <w:tab w:val="right" w:pos="8306"/>
        </w:tabs>
        <w:rPr>
          <w:rFonts w:ascii="宋体" w:eastAsia="宋体" w:hint="eastAsia"/>
          <w:sz w:val="32"/>
          <w:szCs w:val="32"/>
          <w:lang w:val="zh-CN"/>
        </w:rPr>
      </w:pPr>
    </w:p>
    <w:p>
      <w:pPr>
        <w:pStyle w:val="15"/>
        <w:tabs>
          <w:tab w:val="center" w:pos="4153"/>
          <w:tab w:val="right" w:pos="8306"/>
        </w:tabs>
        <w:rPr>
          <w:rFonts w:ascii="宋体" w:eastAsia="宋体" w:hint="eastAsia"/>
          <w:sz w:val="32"/>
          <w:szCs w:val="32"/>
          <w:lang w:val="zh-CN"/>
        </w:rPr>
      </w:pPr>
    </w:p>
    <w:p>
      <w:pPr>
        <w:pStyle w:val="15"/>
        <w:tabs>
          <w:tab w:val="center" w:pos="4153"/>
          <w:tab w:val="right" w:pos="8306"/>
        </w:tabs>
        <w:rPr>
          <w:rFonts w:ascii="宋体" w:eastAsia="宋体" w:hint="eastAsia"/>
          <w:sz w:val="32"/>
          <w:szCs w:val="32"/>
          <w:lang w:val="zh-CN"/>
        </w:rPr>
      </w:pPr>
    </w:p>
    <w:p>
      <w:pPr>
        <w:pStyle w:val="15"/>
        <w:tabs>
          <w:tab w:val="center" w:pos="4153"/>
          <w:tab w:val="right" w:pos="8306"/>
        </w:tabs>
        <w:rPr>
          <w:rFonts w:ascii="宋体" w:eastAsia="宋体" w:hint="eastAsia"/>
          <w:sz w:val="32"/>
          <w:szCs w:val="32"/>
          <w:lang w:val="zh-CN"/>
        </w:rPr>
      </w:pPr>
    </w:p>
    <w:p>
      <w:pPr>
        <w:pStyle w:val="15"/>
        <w:tabs>
          <w:tab w:val="center" w:pos="4153"/>
          <w:tab w:val="right" w:pos="8306"/>
        </w:tabs>
        <w:rPr>
          <w:rFonts w:ascii="宋体" w:eastAsia="宋体" w:hint="eastAsia"/>
          <w:sz w:val="32"/>
          <w:szCs w:val="32"/>
          <w:lang w:val="zh-CN"/>
        </w:rPr>
      </w:pPr>
    </w:p>
    <w:p>
      <w:pPr>
        <w:pStyle w:val="15"/>
        <w:tabs>
          <w:tab w:val="center" w:pos="4153"/>
          <w:tab w:val="right" w:pos="8306"/>
        </w:tabs>
        <w:rPr>
          <w:rFonts w:ascii="宋体" w:eastAsia="宋体" w:hint="eastAsia"/>
          <w:sz w:val="32"/>
          <w:szCs w:val="32"/>
          <w:lang w:val="zh-CN"/>
        </w:rPr>
      </w:pPr>
    </w:p>
    <w:p>
      <w:pPr>
        <w:pStyle w:val="1"/>
        <w:jc w:val="center"/>
        <w:rPr>
          <w:rFonts w:ascii="黑体" w:eastAsia="黑体"/>
        </w:rPr>
      </w:pPr>
      <w:bookmarkStart w:id="66" w:name="_Toc19766"/>
      <w:r>
        <w:rPr>
          <w:rFonts w:ascii="黑体" w:eastAsia="黑体" w:hint="eastAsia"/>
        </w:rPr>
        <w:t>第五部分 附表</w:t>
      </w:r>
      <w:bookmarkEnd w:id="66"/>
    </w:p>
    <w:p>
      <w:pPr>
        <w:rPr>
          <w:rFonts w:ascii="仿宋" w:eastAsia="仿宋"/>
          <w:sz w:val="32"/>
          <w:szCs w:val="32"/>
        </w:rPr>
      </w:pPr>
      <w:r>
        <w:rPr>
          <w:rFonts w:ascii="仿宋" w:eastAsia="仿宋" w:hint="eastAsia"/>
          <w:sz w:val="32"/>
          <w:szCs w:val="32"/>
        </w:rPr>
        <w:t>一、收入支出决算总表</w:t>
      </w:r>
    </w:p>
    <w:p>
      <w:pPr>
        <w:rPr>
          <w:rFonts w:ascii="仿宋" w:eastAsia="仿宋"/>
          <w:sz w:val="32"/>
          <w:szCs w:val="32"/>
        </w:rPr>
      </w:pPr>
      <w:r>
        <w:rPr>
          <w:rFonts w:ascii="仿宋" w:eastAsia="仿宋" w:hint="eastAsia"/>
          <w:sz w:val="32"/>
          <w:szCs w:val="32"/>
        </w:rPr>
        <w:t>二、收入决算表</w:t>
      </w:r>
    </w:p>
    <w:p>
      <w:pPr>
        <w:rPr>
          <w:rFonts w:ascii="仿宋" w:eastAsia="仿宋"/>
          <w:sz w:val="32"/>
          <w:szCs w:val="32"/>
        </w:rPr>
      </w:pPr>
      <w:r>
        <w:rPr>
          <w:rFonts w:ascii="仿宋" w:eastAsia="仿宋" w:hint="eastAsia"/>
          <w:sz w:val="32"/>
          <w:szCs w:val="32"/>
        </w:rPr>
        <w:t>三、支出决算表</w:t>
      </w:r>
    </w:p>
    <w:p>
      <w:pPr>
        <w:rPr>
          <w:rFonts w:ascii="仿宋" w:eastAsia="仿宋"/>
          <w:sz w:val="32"/>
          <w:szCs w:val="32"/>
        </w:rPr>
      </w:pPr>
      <w:r>
        <w:rPr>
          <w:rFonts w:ascii="仿宋" w:eastAsia="仿宋" w:hint="eastAsia"/>
          <w:sz w:val="32"/>
          <w:szCs w:val="32"/>
        </w:rPr>
        <w:t>四、财政拨款收入支出决算总表</w:t>
      </w:r>
    </w:p>
    <w:p>
      <w:pPr>
        <w:rPr>
          <w:rFonts w:ascii="仿宋" w:eastAsia="仿宋"/>
          <w:sz w:val="32"/>
          <w:szCs w:val="32"/>
        </w:rPr>
      </w:pPr>
      <w:r>
        <w:rPr>
          <w:rFonts w:ascii="仿宋" w:eastAsia="仿宋" w:hint="eastAsia"/>
          <w:sz w:val="32"/>
          <w:szCs w:val="32"/>
        </w:rPr>
        <w:t>五、财政拨款支出决算明细表</w:t>
      </w:r>
    </w:p>
    <w:p>
      <w:pPr>
        <w:rPr>
          <w:rFonts w:ascii="仿宋" w:eastAsia="仿宋"/>
          <w:sz w:val="32"/>
          <w:szCs w:val="32"/>
        </w:rPr>
      </w:pPr>
      <w:r>
        <w:rPr>
          <w:rFonts w:ascii="仿宋" w:eastAsia="仿宋" w:hint="eastAsia"/>
          <w:sz w:val="32"/>
          <w:szCs w:val="32"/>
        </w:rPr>
        <w:t>六、一般公共预算财政拨款支出决算表</w:t>
      </w:r>
    </w:p>
    <w:p>
      <w:pPr>
        <w:rPr>
          <w:rFonts w:ascii="仿宋" w:eastAsia="仿宋"/>
          <w:sz w:val="32"/>
          <w:szCs w:val="32"/>
        </w:rPr>
      </w:pPr>
      <w:r>
        <w:rPr>
          <w:rFonts w:ascii="仿宋" w:eastAsia="仿宋" w:hint="eastAsia"/>
          <w:sz w:val="32"/>
          <w:szCs w:val="32"/>
        </w:rPr>
        <w:t>七、一般公共预算财政拨款支出决算明细表</w:t>
      </w:r>
    </w:p>
    <w:p>
      <w:pPr>
        <w:rPr>
          <w:rFonts w:ascii="仿宋" w:eastAsia="仿宋"/>
          <w:sz w:val="32"/>
          <w:szCs w:val="32"/>
        </w:rPr>
      </w:pPr>
      <w:r>
        <w:rPr>
          <w:rFonts w:ascii="仿宋" w:eastAsia="仿宋" w:hint="eastAsia"/>
          <w:sz w:val="32"/>
          <w:szCs w:val="32"/>
        </w:rPr>
        <w:t>八、一般公共预算财政拨款基本支出决算表</w:t>
      </w:r>
    </w:p>
    <w:p>
      <w:pPr>
        <w:rPr>
          <w:rFonts w:ascii="仿宋" w:eastAsia="仿宋"/>
          <w:sz w:val="32"/>
          <w:szCs w:val="32"/>
        </w:rPr>
      </w:pPr>
      <w:r>
        <w:rPr>
          <w:rFonts w:ascii="仿宋" w:eastAsia="仿宋" w:hint="eastAsia"/>
          <w:sz w:val="32"/>
          <w:szCs w:val="32"/>
        </w:rPr>
        <w:t>九、一般公共预算财政拨款项目支出决算表</w:t>
      </w:r>
    </w:p>
    <w:p>
      <w:pPr>
        <w:rPr>
          <w:rFonts w:ascii="仿宋" w:eastAsia="仿宋"/>
          <w:sz w:val="32"/>
          <w:szCs w:val="32"/>
        </w:rPr>
      </w:pPr>
      <w:r>
        <w:rPr>
          <w:rFonts w:ascii="仿宋" w:eastAsia="仿宋" w:hint="eastAsia"/>
          <w:sz w:val="32"/>
          <w:szCs w:val="32"/>
        </w:rPr>
        <w:t>十、政府性基金预算财政拨款收入支出决算表</w:t>
      </w:r>
    </w:p>
    <w:p>
      <w:pPr>
        <w:rPr>
          <w:rFonts w:ascii="仿宋" w:eastAsia="仿宋"/>
          <w:sz w:val="32"/>
          <w:szCs w:val="32"/>
        </w:rPr>
      </w:pPr>
      <w:r>
        <w:rPr>
          <w:rFonts w:ascii="仿宋" w:eastAsia="仿宋" w:hint="eastAsia"/>
          <w:sz w:val="32"/>
          <w:szCs w:val="32"/>
        </w:rPr>
        <w:t>十一、国有资本经营预算财政拨款收入支出决算表</w:t>
      </w:r>
    </w:p>
    <w:p>
      <w:pPr>
        <w:rPr>
          <w:rFonts w:ascii="仿宋" w:eastAsia="仿宋"/>
          <w:sz w:val="32"/>
          <w:szCs w:val="32"/>
        </w:rPr>
      </w:pPr>
      <w:r>
        <w:rPr>
          <w:rFonts w:ascii="仿宋" w:eastAsia="仿宋" w:hint="eastAsia"/>
          <w:sz w:val="32"/>
          <w:szCs w:val="32"/>
        </w:rPr>
        <w:t>十二、国有资本经营预算财政拨款支出决算表</w:t>
      </w:r>
    </w:p>
    <w:p>
      <w:pPr>
        <w:rPr>
          <w:rFonts w:ascii="仿宋" w:eastAsia="仿宋"/>
          <w:sz w:val="32"/>
          <w:szCs w:val="32"/>
        </w:rPr>
      </w:pPr>
      <w:r>
        <w:rPr>
          <w:rFonts w:ascii="仿宋" w:eastAsia="仿宋" w:hint="eastAsia"/>
          <w:sz w:val="32"/>
          <w:szCs w:val="32"/>
        </w:rPr>
        <w:t>十三、财政拨款“三公”经费支出决算表</w:t>
      </w:r>
    </w:p>
    <w:sectPr>
      <w:headerReference w:type="default" r:id="rId2"/>
      <w:footerReference w:type="default" r:id="rId3"/>
      <w:pgSz w:w="11906" w:h="16838"/>
      <w:pgMar w:top="1440" w:right="1800" w:bottom="1440" w:left="1800" w:header="851" w:footer="992" w:gutter="0"/>
      <w:pgNumType w:start="1"/>
      <w:titlePg/>
      <w:docGrid w:type="lines" w:linePitch="312" w:charSpace="0"/>
    </w:sectPr>
  </w:body>
</w:document>
</file>

<file path=word/fontTable.xml><?xml version="1.0" encoding="utf-8"?>
<w:fonts xmlns:w="http://schemas.openxmlformats.org/wordprocessingml/2006/main" xmlns:r="http://schemas.openxmlformats.org/officeDocument/2006/relationships">
  <w:font w:name="方正小标宋简体">
    <w:panose1 w:val="03000509000000000000"/>
    <w:charset w:val="86"/>
    <w:family w:val="script"/>
    <w:pitch w:val="variable"/>
    <w:sig w:usb0="00000001" w:usb1="080E0000" w:usb2="00000000" w:usb3="00000000" w:csb0="00040000" w:csb1="00000000"/>
  </w:font>
  <w:font w:name="黑体">
    <w:panose1 w:val="02010609060101010101"/>
    <w:charset w:val="86"/>
    <w:family w:val="auto"/>
    <w:pitch w:val="variable"/>
    <w:sig w:usb0="800002BF" w:usb1="38CF7CFA" w:usb2="00000016" w:usb3="00000000" w:csb0="00040001" w:csb1="00000000"/>
  </w:font>
  <w:font w:name="Arial">
    <w:panose1 w:val="020B0604020202020204"/>
    <w:charset w:val="01"/>
    <w:family w:val="swiss"/>
    <w:pitch w:val="variable"/>
    <w:sig w:usb0="E0002EFF" w:usb1="C000785B" w:usb2="00000009" w:usb3="00000000" w:csb0="400001FF" w:csb1="FFFF0000"/>
  </w:font>
  <w:font w:name="宋体">
    <w:panose1 w:val="02010600030101010101"/>
    <w:charset w:val="7A"/>
    <w:family w:val="auto"/>
    <w:pitch w:val="variable"/>
    <w:sig w:usb0="00000203" w:usb1="288F0000" w:usb2="00000006" w:usb3="00000000" w:csb0="00040001" w:csb1="00000000"/>
  </w:font>
  <w:font w:name="Times New Roman">
    <w:panose1 w:val="02020603050405020304"/>
    <w:charset w:val="01"/>
    <w:family w:val="auto"/>
    <w:pitch w:val="variable"/>
    <w:sig w:usb0="E0002EFF" w:usb1="C000785B" w:usb2="00000009" w:usb3="00000000" w:csb0="400001FF" w:csb1="FFFF0000"/>
  </w:font>
  <w:font w:name="仿宋">
    <w:panose1 w:val="02010609060101010101"/>
    <w:charset w:val="86"/>
    <w:family w:val="auto"/>
    <w:pitch w:val="variable"/>
    <w:sig w:usb0="800002BF" w:usb1="38CF7CFA" w:usb2="00000016" w:usb3="00000000" w:csb0="00040001" w:csb1="00000000"/>
  </w:font>
  <w:font w:name="仿宋_GB2312">
    <w:altName w:val="仿宋"/>
    <w:panose1 w:val="00000000000000000000"/>
    <w:charset w:val="86"/>
    <w:family w:val="modern"/>
    <w:pitch w:val="variable"/>
    <w:sig w:usb0="00000000" w:usb1="00000000" w:usb2="00000000" w:usb3="00000000" w:csb0="00040000" w:csb1="00000000"/>
  </w:font>
  <w:font w:name="楷体_GB2312">
    <w:altName w:val="楷体"/>
    <w:panose1 w:val="00000000000000000000"/>
    <w:charset w:val="86"/>
    <w:family w:val="auto"/>
    <w:pitch w:val="variable"/>
    <w:sig w:usb0="00000000" w:usb1="00000000" w:usb2="00000000" w:usb3="00000000" w:csb0="00040000" w:csb1="00000000"/>
  </w:font>
  <w:font w:name="Cambria">
    <w:panose1 w:val="02040503050406030204"/>
    <w:charset w:val="00"/>
    <w:family w:val="roman"/>
    <w:pitch w:val="variable"/>
    <w:sig w:usb0="E00006FF" w:usb1="420024FF" w:usb2="02000000" w:usb3="00000000" w:csb0="2000019F" w:csb1="00000000"/>
  </w:font>
  <w:font w:name="Calibri">
    <w:panose1 w:val="020F0502020204030204"/>
    <w:charset w:val="00"/>
    <w:family w:val="swiss"/>
    <w:pitch w:val="variable"/>
    <w:sig w:usb0="E4002EFF" w:usb1="C000247B" w:usb2="00000009" w:usb3="00000000" w:csb0="200001FF" w:csb1="00000000"/>
  </w:font>
  <w:font w:name="??">
    <w:altName w:val="Times New Roman"/>
    <w:panose1 w:val="00000000000000000000"/>
    <w:charset w:val="00"/>
    <w:family w:val="roman"/>
    <w:pitch w:val="variable"/>
    <w:sig w:usb0="00000000" w:usb1="00000000" w:usb2="00000000" w:usb3="00000000" w:csb0="0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sdt>
    <w:sdtPr>
      <w:id w:val="1639082077"/>
    </w:sdtPr>
    <w:sdtContent>
      <w:p>
        <w:pPr>
          <w:pStyle w:val="15"/>
          <w:tabs>
            <w:tab w:val="center" w:pos="4153"/>
            <w:tab w:val="right" w:pos="8306"/>
          </w:tabs>
          <w:jc w:val="center"/>
        </w:pPr>
        <w:r>
          <w:fldChar w:fldCharType="begin"/>
        </w:r>
        <w:r>
          <w:instrText>PAGE   \* MERGEFORMAT</w:instrText>
        </w:r>
        <w:r>
          <w:fldChar w:fldCharType="separate"/>
        </w:r>
        <w:r>
          <w:rPr>
            <w:lang w:val="zh-CN"/>
          </w:rPr>
          <w:t>23</w:t>
        </w:r>
        <w:r>
          <w:fldChar w:fldCharType="end"/>
        </w:r>
      </w:p>
    </w:sdtContent>
  </w:sdt>
  <w:p>
    <w:pPr>
      <w:pStyle w:val="15"/>
      <w:tabs>
        <w:tab w:val="center" w:pos="4153"/>
        <w:tab w:val="right" w:pos="8306"/>
      </w:tabs>
    </w:pPr>
  </w:p>
</w:ftr>
</file>

<file path=word/header1.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22"/>
      <w:pBdr>
        <w:bottom w:val="none" w:sz="0" w:space="0" w:color="auto"/>
      </w:pBdr>
      <w:tabs>
        <w:tab w:val="center" w:pos="4153"/>
        <w:tab w:val="right" w:pos="8306"/>
      </w:tabs>
    </w:pPr>
  </w:p>
</w:hd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nsid w:val="7A05EA7E"/>
    <w:multiLevelType w:val="singleLevel"/>
    <w:tmpl w:val="7A05EA7E"/>
    <w:lvl w:ilvl="0">
      <w:start w:val="1"/>
      <w:numFmt w:val="chineseCounting"/>
      <w:lvlRestart w:val="0"/>
      <w:suff w:val="nothing"/>
      <w:lvlText w:val="%1、"/>
      <w:lvlJc w:val="left"/>
      <w:pPr>
        <w:ind w:left="0" w:hanging="0"/>
      </w:pPr>
      <w:rPr>
        <w:rFonts w:hint="eastAsia"/>
      </w:rPr>
    </w:lvl>
  </w:abstractNum>
  <w:abstractNum w:abstractNumId="1">
    <w:nsid w:val="1272550B"/>
    <w:multiLevelType w:val="multilevel"/>
    <w:tmpl w:val="1272550B"/>
    <w:lvl w:ilvl="0">
      <w:start w:val="1"/>
      <w:numFmt w:val="japaneseCounting"/>
      <w:lvlRestart w:val="0"/>
      <w:lvlText w:val="%1、"/>
      <w:lvlJc w:val="left"/>
      <w:pPr>
        <w:ind w:left="1360" w:hanging="720"/>
      </w:pPr>
      <w:rPr>
        <w:rFonts w:hint="default"/>
        <w:b w:val="0"/>
      </w:rPr>
    </w:lvl>
    <w:lvl w:ilvl="1">
      <w:start w:val="1"/>
      <w:numFmt w:val="lowerLetter"/>
      <w:lvlText w:val="%2)"/>
      <w:lvlJc w:val="left"/>
      <w:pPr>
        <w:ind w:left="1480" w:hanging="420"/>
      </w:pPr>
    </w:lvl>
    <w:lvl w:ilvl="2">
      <w:start w:val="1"/>
      <w:numFmt w:val="lowerRoman"/>
      <w:lvlText w:val="%3."/>
      <w:lvlJc w:val="right"/>
      <w:pPr>
        <w:ind w:left="1900" w:hanging="420"/>
      </w:pPr>
    </w:lvl>
    <w:lvl w:ilvl="3">
      <w:start w:val="1"/>
      <w:numFmt w:val="decimal"/>
      <w:lvlText w:val="%4."/>
      <w:lvlJc w:val="left"/>
      <w:pPr>
        <w:ind w:left="2320" w:hanging="420"/>
      </w:pPr>
    </w:lvl>
    <w:lvl w:ilvl="4">
      <w:start w:val="1"/>
      <w:numFmt w:val="lowerLetter"/>
      <w:lvlText w:val="%5)"/>
      <w:lvlJc w:val="left"/>
      <w:pPr>
        <w:ind w:left="2740" w:hanging="420"/>
      </w:pPr>
    </w:lvl>
    <w:lvl w:ilvl="5">
      <w:start w:val="1"/>
      <w:numFmt w:val="lowerRoman"/>
      <w:lvlText w:val="%6."/>
      <w:lvlJc w:val="right"/>
      <w:pPr>
        <w:ind w:left="3160" w:hanging="420"/>
      </w:pPr>
    </w:lvl>
    <w:lvl w:ilvl="6">
      <w:start w:val="1"/>
      <w:numFmt w:val="decimal"/>
      <w:lvlText w:val="%7."/>
      <w:lvlJc w:val="left"/>
      <w:pPr>
        <w:ind w:left="3580" w:hanging="420"/>
      </w:pPr>
    </w:lvl>
    <w:lvl w:ilvl="7">
      <w:start w:val="1"/>
      <w:numFmt w:val="lowerLetter"/>
      <w:lvlText w:val="%8)"/>
      <w:lvlJc w:val="left"/>
      <w:pPr>
        <w:ind w:left="4000" w:hanging="420"/>
      </w:pPr>
    </w:lvl>
    <w:lvl w:ilvl="8">
      <w:start w:val="1"/>
      <w:numFmt w:val="lowerRoman"/>
      <w:lvlText w:val="%9."/>
      <w:lvlJc w:val="right"/>
      <w:pPr>
        <w:ind w:left="4420" w:hanging="420"/>
      </w:pPr>
    </w:lvl>
  </w:abstractNum>
  <w:abstractNum w:abstractNumId="2">
    <w:nsid w:val="CF652CEC"/>
    <w:multiLevelType w:val="singleLevel"/>
    <w:tmpl w:val="CF652CEC"/>
    <w:lvl w:ilvl="0">
      <w:start w:val="9"/>
      <w:numFmt w:val="chineseCounting"/>
      <w:lvlRestart w:val="0"/>
      <w:suff w:val="nothing"/>
      <w:lvlText w:val="%1、"/>
      <w:lvlJc w:val="left"/>
      <w:pPr>
        <w:ind w:left="0" w:hanging="0"/>
      </w:pPr>
      <w:rPr>
        <w:rFonts w:hint="eastAsia"/>
      </w:rPr>
    </w:lvl>
  </w:abstractNum>
  <w:abstractNum w:abstractNumId="3">
    <w:nsid w:val="AE623D64"/>
    <w:multiLevelType w:val="singleLevel"/>
    <w:tmpl w:val="AE623D64"/>
    <w:lvl w:ilvl="0">
      <w:start w:val="2"/>
      <w:numFmt w:val="chineseCounting"/>
      <w:lvlRestart w:val="0"/>
      <w:suff w:val="nothing"/>
      <w:lvlText w:val="（%1）"/>
      <w:lvlJc w:val="left"/>
      <w:pPr>
        <w:ind w:left="0" w:hanging="0"/>
      </w:pPr>
      <w:rPr>
        <w:rFonts w:hint="eastAsia"/>
      </w:rPr>
    </w:lvl>
  </w:abstractNum>
  <w:abstractNum w:abstractNumId="4">
    <w:nsid w:val="1EC51E60"/>
    <w:multiLevelType w:val="singleLevel"/>
    <w:tmpl w:val="1EC51E60"/>
    <w:lvl w:ilvl="0">
      <w:start w:val="2"/>
      <w:numFmt w:val="decimal"/>
      <w:lvlRestart w:val="0"/>
      <w:lvlText w:val="%1."/>
      <w:lvlJc w:val="left"/>
      <w:pPr>
        <w:ind w:left="0" w:hanging="0"/>
      </w:pPr>
    </w:lvl>
  </w:abstractNum>
  <w:abstractNum w:abstractNumId="5">
    <w:nsid w:val="DAA92D48"/>
    <w:multiLevelType w:val="singleLevel"/>
    <w:tmpl w:val="DAA92D48"/>
    <w:lvl w:ilvl="0">
      <w:start w:val="1"/>
      <w:numFmt w:val="decimal"/>
      <w:lvlRestart w:val="0"/>
      <w:lvlText w:val="%1."/>
      <w:lvlJc w:val="left"/>
      <w:pPr>
        <w:ind w:left="0" w:hanging="0"/>
      </w:pPr>
    </w:lvl>
  </w:abstractNum>
  <w:abstractNum w:abstractNumId="6">
    <w:nsid w:val="642D7446"/>
    <w:multiLevelType w:val="singleLevel"/>
    <w:tmpl w:val="642D7446"/>
    <w:lvl w:ilvl="0">
      <w:start w:val="3"/>
      <w:numFmt w:val="chineseCounting"/>
      <w:lvlRestart w:val="0"/>
      <w:suff w:val="nothing"/>
      <w:lvlText w:val="（%1）"/>
      <w:lvlJc w:val="left"/>
      <w:pPr>
        <w:ind w:left="0" w:hanging="0"/>
      </w:pPr>
      <w:rPr>
        <w:rFonts w:hint="eastAsia"/>
      </w:rPr>
    </w:lvl>
  </w:abstractNum>
  <w:abstractNum w:abstractNumId="7">
    <w:nsid w:val="728A41A7"/>
    <w:multiLevelType w:val="singleLevel"/>
    <w:tmpl w:val="728A41A7"/>
    <w:lvl w:ilvl="0">
      <w:start w:val="2"/>
      <w:numFmt w:val="chineseCounting"/>
      <w:lvlRestart w:val="0"/>
      <w:suff w:val="nothing"/>
      <w:lvlText w:val="（%1）"/>
      <w:lvlJc w:val="left"/>
      <w:pPr>
        <w:ind w:left="0" w:hanging="0"/>
      </w:pPr>
      <w:rPr>
        <w:rFonts w:hint="eastAsia"/>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70"/>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characterSpacingControl w:val="compressPunctuation"/>
  <w:compat>
    <w:spaceForUL/>
    <w:balanceSingleByteDoubleByteWidth/>
    <w:ulTrailSpace/>
    <w:doNotExpandShiftReturn/>
    <w:adjustLineHeightInTable/>
    <w:doNotUseIndentAsNumberingTabStop/>
    <w:useAltKinsokuLineBreakRules/>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next w:val="15"/>
    <w:pPr>
      <w:widowControl w:val="0"/>
      <w:jc w:val="both"/>
    </w:pPr>
    <w:rPr>
      <w:rFonts w:ascii="Times New Roman" w:eastAsia="宋体" w:cs="Times New Roman" w:hAnsi="Times New Roman"/>
      <w:kern w:val="2"/>
      <w:sz w:val="21"/>
      <w:szCs w:val="24"/>
      <w:lang w:val="en-US" w:eastAsia="zh-CN" w:bidi="ar-SA"/>
    </w:rPr>
  </w:style>
  <w:style w:type="paragraph" w:styleId="1">
    <w:name w:val="heading 1"/>
    <w:basedOn w:val="0"/>
    <w:next w:val="0"/>
    <w:link w:val="1Char"/>
    <w:pPr>
      <w:keepNext/>
      <w:keepLines/>
      <w:widowControl w:val="0"/>
      <w:spacing w:before="340" w:after="330" w:line="578" w:lineRule="auto"/>
      <w:outlineLvl w:val="0"/>
    </w:pPr>
    <w:rPr>
      <w:b/>
      <w:bCs/>
      <w:kern w:val="44"/>
      <w:sz w:val="44"/>
      <w:szCs w:val="44"/>
    </w:rPr>
  </w:style>
  <w:style w:type="character" w:customStyle="1" w:styleId="1Char">
    <w:name w:val="heading 1 Char"/>
    <w:basedOn w:val="10"/>
    <w:link w:val="1"/>
    <w:rPr>
      <w:rFonts w:ascii="Times New Roman" w:eastAsia="宋体" w:cs="Times New Roman" w:hAnsi="Times New Roman"/>
      <w:b/>
      <w:bCs/>
      <w:kern w:val="44"/>
      <w:sz w:val="44"/>
      <w:szCs w:val="44"/>
      <w:lang w:val="en-US" w:eastAsia="zh-CN" w:bidi="ar-SA"/>
    </w:rPr>
  </w:style>
  <w:style w:type="paragraph" w:styleId="2">
    <w:name w:val="heading 2"/>
    <w:basedOn w:val="0"/>
    <w:next w:val="0"/>
    <w:link w:val="2Char"/>
    <w:pPr>
      <w:keepNext/>
      <w:keepLines/>
      <w:widowControl w:val="0"/>
      <w:spacing w:before="260" w:after="260" w:line="415" w:lineRule="auto"/>
      <w:outlineLvl w:val="1"/>
    </w:pPr>
    <w:rPr>
      <w:rFonts w:ascii="Cambria" w:eastAsia="宋体" w:cs="Times New Roman" w:hAnsi="Cambria"/>
      <w:b/>
      <w:bCs/>
      <w:sz w:val="32"/>
      <w:szCs w:val="32"/>
    </w:rPr>
  </w:style>
  <w:style w:type="character" w:customStyle="1" w:styleId="2Char">
    <w:name w:val="heading 2 Char"/>
    <w:basedOn w:val="10"/>
    <w:link w:val="2"/>
    <w:rPr>
      <w:rFonts w:ascii="Cambria" w:eastAsia="宋体" w:cs="Times New Roman" w:hAnsi="Cambria"/>
      <w:b/>
      <w:bCs/>
      <w:kern w:val="2"/>
      <w:sz w:val="32"/>
      <w:szCs w:val="32"/>
      <w:lang w:val="en-US" w:eastAsia="zh-CN" w:bidi="ar-SA"/>
    </w:rPr>
  </w:style>
  <w:style w:type="paragraph" w:styleId="3">
    <w:name w:val="heading 3"/>
    <w:basedOn w:val="0"/>
    <w:next w:val="0"/>
    <w:pPr>
      <w:keepNext/>
      <w:keepLines/>
      <w:widowControl w:val="0"/>
      <w:spacing w:before="260" w:after="260" w:line="415" w:lineRule="auto"/>
      <w:outlineLvl w:val="2"/>
    </w:pPr>
    <w:rPr>
      <w:b/>
      <w:bCs/>
      <w:sz w:val="32"/>
      <w:szCs w:val="32"/>
    </w:rPr>
  </w:style>
  <w:style w:type="character" w:default="1" w:styleId="10">
    <w:name w:val="Default Paragraph Font"/>
  </w:style>
  <w:style w:type="paragraph" w:styleId="15">
    <w:name w:val="footer"/>
    <w:basedOn w:val="0"/>
    <w:pPr>
      <w:tabs>
        <w:tab w:val="center" w:pos="4153"/>
        <w:tab w:val="right" w:pos="8306"/>
      </w:tabs>
      <w:snapToGrid w:val="0"/>
      <w:jc w:val="left"/>
    </w:pPr>
    <w:rPr>
      <w:rFonts w:ascii="Calibri" w:hAnsi="Calibri"/>
      <w:kern w:val="0"/>
      <w:sz w:val="18"/>
      <w:szCs w:val="18"/>
    </w:rPr>
  </w:style>
  <w:style w:type="paragraph" w:styleId="16">
    <w:name w:val="Body Text"/>
    <w:basedOn w:val="0"/>
    <w:pPr>
      <w:spacing w:beforeLines="30" w:before="30"/>
    </w:pPr>
    <w:rPr>
      <w:rFonts w:ascii="仿宋_GB2312" w:eastAsia="仿宋_GB2312"/>
      <w:kern w:val="0"/>
      <w:sz w:val="30"/>
    </w:rPr>
  </w:style>
  <w:style w:type="paragraph" w:styleId="17">
    <w:name w:val="Body Text Indent"/>
    <w:basedOn w:val="0"/>
    <w:next w:val="18"/>
    <w:pPr>
      <w:spacing w:after="120"/>
      <w:ind w:leftChars="200" w:left="200"/>
    </w:pPr>
    <w:rPr>
      <w:rFonts w:ascii="仿宋_GB2312" w:hAnsi="仿宋_GB2312"/>
      <w:szCs w:val="32"/>
    </w:rPr>
  </w:style>
  <w:style w:type="paragraph" w:styleId="18">
    <w:name w:val="Body Text First Indent 2"/>
    <w:basedOn w:val="17"/>
    <w:next w:val="0"/>
    <w:pPr>
      <w:ind w:firstLineChars="200" w:firstLine="200"/>
    </w:pPr>
  </w:style>
  <w:style w:type="paragraph" w:styleId="19">
    <w:name w:val="toc 3"/>
    <w:basedOn w:val="0"/>
    <w:next w:val="0"/>
    <w:pPr>
      <w:tabs>
        <w:tab w:val="right" w:leader="dot" w:pos="8296"/>
      </w:tabs>
      <w:ind w:leftChars="400" w:left="400"/>
    </w:pPr>
  </w:style>
  <w:style w:type="paragraph" w:styleId="20">
    <w:name w:val="Plain Text"/>
    <w:basedOn w:val="0"/>
    <w:rPr>
      <w:rFonts w:ascii="宋体"/>
    </w:rPr>
  </w:style>
  <w:style w:type="paragraph" w:styleId="21">
    <w:name w:val="Balloon Text"/>
    <w:basedOn w:val="0"/>
    <w:rPr>
      <w:sz w:val="18"/>
      <w:szCs w:val="18"/>
    </w:rPr>
  </w:style>
  <w:style w:type="paragraph" w:styleId="22">
    <w:name w:val="header"/>
    <w:basedOn w:val="0"/>
    <w:pPr>
      <w:pBdr>
        <w:bottom w:val="single" w:sz="6" w:space="1" w:color="auto"/>
      </w:pBdr>
      <w:tabs>
        <w:tab w:val="center" w:pos="4153"/>
        <w:tab w:val="right" w:pos="8306"/>
      </w:tabs>
      <w:snapToGrid w:val="0"/>
      <w:jc w:val="center"/>
    </w:pPr>
    <w:rPr>
      <w:rFonts w:ascii="Calibri" w:hAnsi="Calibri"/>
      <w:kern w:val="0"/>
      <w:sz w:val="18"/>
      <w:szCs w:val="18"/>
    </w:rPr>
  </w:style>
  <w:style w:type="paragraph" w:styleId="23">
    <w:name w:val="toc 1"/>
    <w:basedOn w:val="0"/>
    <w:next w:val="0"/>
    <w:pPr>
      <w:tabs>
        <w:tab w:val="right" w:leader="dot" w:pos="8296"/>
      </w:tabs>
      <w:spacing w:before="93"/>
      <w:jc w:val="center"/>
    </w:pPr>
    <w:rPr>
      <w:rFonts w:ascii="仿宋" w:eastAsia="仿宋"/>
      <w:sz w:val="28"/>
      <w:szCs w:val="28"/>
    </w:rPr>
  </w:style>
  <w:style w:type="paragraph" w:styleId="24">
    <w:name w:val="toc 2"/>
    <w:basedOn w:val="0"/>
    <w:next w:val="0"/>
    <w:pPr>
      <w:tabs>
        <w:tab w:val="right" w:leader="dot" w:pos="8296"/>
      </w:tabs>
      <w:ind w:leftChars="200" w:left="200"/>
    </w:pPr>
  </w:style>
  <w:style w:type="paragraph" w:styleId="25">
    <w:name w:val="Normal (Web)"/>
    <w:basedOn w:val="0"/>
    <w:pPr>
      <w:shd w:val="clear" w:color="auto" w:fill="auto"/>
      <w:spacing w:before="100" w:beforeAutospacing="1" w:after="100" w:afterAutospacing="1"/>
      <w:ind w:left="0" w:right="0"/>
      <w:jc w:val="left"/>
    </w:pPr>
    <w:rPr>
      <w:kern w:val="0"/>
      <w:sz w:val="24"/>
      <w:shd w:val="clear" w:color="auto" w:fill="auto"/>
      <w:lang w:val="en-US" w:eastAsia="zh-CN"/>
    </w:rPr>
  </w:style>
  <w:style w:type="character" w:styleId="26">
    <w:name w:val="Strong"/>
    <w:basedOn w:val="10"/>
    <w:rPr>
      <w:b/>
    </w:rPr>
  </w:style>
  <w:style w:type="character" w:styleId="27">
    <w:name w:val="Hyperlink"/>
    <w:basedOn w:val="10"/>
    <w:rPr>
      <w:color w:val="0000FF"/>
      <w:u w:val="single"/>
    </w:rPr>
  </w:style>
  <w:style w:type="paragraph" w:customStyle="1" w:styleId="28">
    <w:name w:val="标题 5（有编号）（绿盟科技）"/>
    <w:next w:val="0"/>
    <w:pPr>
      <w:keepNext/>
      <w:keepLines/>
      <w:widowControl w:val="0"/>
      <w:spacing w:before="280" w:after="156" w:line="377" w:lineRule="auto"/>
      <w:outlineLvl w:val="4"/>
    </w:pPr>
    <w:rPr>
      <w:rFonts w:ascii="Arial" w:eastAsia="黑体" w:cs="Times New Roman" w:hAnsi="Arial"/>
      <w:b/>
      <w:kern w:val="2"/>
      <w:sz w:val="24"/>
      <w:szCs w:val="28"/>
      <w:lang w:val="en-US" w:eastAsia="zh-CN" w:bidi="ar-SA"/>
    </w:rPr>
  </w:style>
  <w:style w:type="character" w:customStyle="1" w:styleId="29">
    <w:name w:val="Header Char"/>
    <w:basedOn w:val="10"/>
    <w:rPr>
      <w:rFonts w:ascii="Times New Roman" w:hAnsi="Times New Roman"/>
      <w:sz w:val="18"/>
      <w:szCs w:val="18"/>
    </w:rPr>
  </w:style>
  <w:style w:type="character" w:customStyle="1" w:styleId="30">
    <w:name w:val="Footer Char"/>
    <w:basedOn w:val="10"/>
    <w:rPr>
      <w:rFonts w:ascii="Times New Roman" w:hAnsi="Times New Roman"/>
      <w:sz w:val="18"/>
      <w:szCs w:val="18"/>
    </w:rPr>
  </w:style>
  <w:style w:type="character" w:customStyle="1" w:styleId="31">
    <w:name w:val="Body Text Char"/>
    <w:basedOn w:val="10"/>
    <w:rPr>
      <w:rFonts w:ascii="Times New Roman" w:hAnsi="Times New Roman"/>
      <w:szCs w:val="24"/>
    </w:rPr>
  </w:style>
  <w:style w:type="paragraph" w:customStyle="1" w:styleId="32">
    <w:name w:val="Default"/>
    <w:pPr>
      <w:widowControl w:val="0"/>
      <w:autoSpaceDE w:val="0"/>
      <w:autoSpaceDN w:val="0"/>
      <w:adjustRightInd w:val="0"/>
    </w:pPr>
    <w:rPr>
      <w:rFonts w:ascii="仿宋" w:eastAsia="仿宋" w:cs="仿宋"/>
      <w:color w:val="000000"/>
      <w:sz w:val="24"/>
      <w:szCs w:val="24"/>
      <w:lang w:val="en-US" w:eastAsia="zh-CN" w:bidi="ar-SA"/>
    </w:rPr>
  </w:style>
  <w:style w:type="paragraph" w:styleId="33">
    <w:name w:val="List Paragraph"/>
    <w:basedOn w:val="0"/>
    <w:pPr>
      <w:ind w:firstLineChars="200" w:firstLine="200"/>
    </w:pPr>
  </w:style>
  <w:style w:type="paragraph" w:customStyle="1" w:styleId="34">
    <w:name w:val="TOC 标题1"/>
    <w:basedOn w:val="1"/>
    <w:next w:val="0"/>
    <w:pPr>
      <w:keepNext/>
      <w:keepLines/>
      <w:widowControl/>
      <w:spacing w:before="480" w:after="0" w:line="276" w:lineRule="auto"/>
      <w:jc w:val="left"/>
      <w:outlineLvl w:val="9"/>
    </w:pPr>
    <w:rPr>
      <w:rFonts w:ascii="Cambria" w:eastAsia="宋体" w:cs="Times New Roman" w:hAnsi="Cambria"/>
      <w:color w:val="376092"/>
      <w:kern w:val="0"/>
      <w:sz w:val="28"/>
      <w:szCs w:val="28"/>
    </w:rPr>
  </w:style>
  <w:style w:type="paragraph" w:customStyle="1" w:styleId="35">
    <w:name w:val="TOC 标题2"/>
    <w:basedOn w:val="1"/>
    <w:next w:val="0"/>
    <w:pPr>
      <w:keepNext/>
      <w:keepLines/>
      <w:widowControl/>
      <w:spacing w:before="480" w:after="0" w:line="276" w:lineRule="auto"/>
      <w:jc w:val="left"/>
      <w:outlineLvl w:val="9"/>
    </w:pPr>
    <w:rPr>
      <w:rFonts w:ascii="Cambria" w:eastAsia="宋体" w:cs="Times New Roman" w:hAnsi="Cambria"/>
      <w:color w:val="376092"/>
      <w:kern w:val="0"/>
      <w:sz w:val="28"/>
      <w:szCs w:val="28"/>
    </w:rPr>
  </w:style>
  <w:style w:type="paragraph" w:customStyle="1" w:styleId="36">
    <w:name w:val="四号正文"/>
    <w:basedOn w:val="0"/>
    <w:pPr>
      <w:spacing w:line="360" w:lineRule="auto"/>
    </w:pPr>
    <w:rPr>
      <w:rFonts w:ascii="??" w:hAnsi="??"/>
      <w:color w:val="000000"/>
      <w:kern w:val="0"/>
      <w:sz w:val="28"/>
      <w:szCs w:val="21"/>
      <w:lang w:val="zh-CN"/>
    </w:rPr>
  </w:style>
  <w:style w:type="paragraph" w:customStyle="1" w:styleId="37">
    <w:name w:val="WPSOffice手动目录 1"/>
    <w:rPr>
      <w:rFonts w:ascii="Calibri" w:eastAsia="宋体" w:cs="Arial" w:hAnsi="Calibri"/>
      <w:sz w:val="20"/>
      <w:szCs w:val="2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chart" Target="charts/chart1.xml"/><Relationship Id="rId5" Type="http://schemas.openxmlformats.org/officeDocument/2006/relationships/chart" Target="charts/chart2.xml"/><Relationship Id="rId6" Type="http://schemas.openxmlformats.org/officeDocument/2006/relationships/chart" Target="charts/chart3.xml"/><Relationship Id="rId7" Type="http://schemas.openxmlformats.org/officeDocument/2006/relationships/chart" Target="charts/chart4.xml"/><Relationship Id="rId8" Type="http://schemas.openxmlformats.org/officeDocument/2006/relationships/chart" Target="charts/chart5.xml"/><Relationship Id="rId9" Type="http://schemas.openxmlformats.org/officeDocument/2006/relationships/chart" Target="charts/chart6.xml"/><Relationship Id="rId10" Type="http://schemas.openxmlformats.org/officeDocument/2006/relationships/image" Target="media/8.png"/><Relationship Id="rId11" Type="http://schemas.openxmlformats.org/officeDocument/2006/relationships/image" Target="media/11.png"/><Relationship Id="rId12" Type="http://schemas.openxmlformats.org/officeDocument/2006/relationships/image" Target="media/14.png"/><Relationship Id="rId13" Type="http://schemas.openxmlformats.org/officeDocument/2006/relationships/image" Target="media/17.png"/><Relationship Id="rId14" Type="http://schemas.openxmlformats.org/officeDocument/2006/relationships/image" Target="media/20.png"/><Relationship Id="rId15" Type="http://schemas.openxmlformats.org/officeDocument/2006/relationships/image" Target="media/23.png"/><Relationship Id="rId16" Type="http://schemas.openxmlformats.org/officeDocument/2006/relationships/image" Target="media/26.png"/><Relationship Id="rId17" Type="http://schemas.openxmlformats.org/officeDocument/2006/relationships/styles" Target="styles.xml"/><Relationship Id="rId18" Type="http://schemas.openxmlformats.org/officeDocument/2006/relationships/numbering" Target="numbering.xml"/><Relationship Id="rId1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char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char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char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char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char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chart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04595"/>
          <c:y val="0.036666665"/>
          <c:w val="0.927925"/>
          <c:h val="0.8069"/>
        </c:manualLayout>
      </c:layout>
      <c:barChart>
        <c:barDir val="col"/>
        <c:grouping val="clustered"/>
        <c:varyColors val="0"/>
        <c:ser>
          <c:idx val="0"/>
          <c:order val="0"/>
          <c:tx>
            <c:strRef>
              <c:f>'Sheet1'!$B$1</c:f>
              <c:strCache>
                <c:ptCount val="1"/>
                <c:pt idx="0">
                  <c:v>收入</c:v>
                </c:pt>
              </c:strCache>
            </c:strRef>
          </c:tx>
          <c:spPr>
            <a:solidFill>
              <a:srgbClr val="4F81BD"/>
            </a:solidFill>
            <a:ln>
              <a:noFill/>
            </a:ln>
          </c:spPr>
          <c:invertIfNegative val="0"/>
          <c:dLbls>
            <c:spPr>
              <a:noFill/>
              <a:ln>
                <a:noFill/>
              </a:ln>
            </c:spPr>
            <c:txPr>
              <a:bodyPr vert="horz"/>
              <a:lstStyle/>
              <a:p>
                <a:pPr>
                  <a:defRPr sz="900" b="0" i="0" u="none" strike="noStrike" baseline="0">
                    <a:solidFill>
                      <a:srgbClr val="404040"/>
                    </a:solidFill>
                    <a:latin typeface="Times New Roman"/>
                    <a:ea typeface="宋体"/>
                    <a:cs typeface="Arial"/>
                  </a:defRPr>
                </a:pPr>
                <a:endParaRPr lang="zh-CN"/>
              </a:p>
            </c:txPr>
            <c:numFmt formatCode="General" sourceLinked="1"/>
            <c:dLblPos val="outEnd"/>
            <c:showLegendKey val="0"/>
            <c:showVal val="1"/>
            <c:showCatName val="0"/>
            <c:showSerName val="0"/>
            <c:showPercent val="0"/>
            <c:showBubbleSize val="0"/>
            <c:showLeaderLines val="1"/>
            <c:extLst>
              <c:ext xmlns:c15="http://schemas.microsoft.com/office/drawing/2012/chart" uri="{CE6537A1-D6FC-4f65-9D91-7224C49458BB}">
                <c15:showLeaderLines val="1"/>
              </c:ext>
            </c:extLst>
          </c:dLbls>
          <c:cat>
            <c:strRef>
              <c:f>'Sheet1'!$A$2:$A$6</c:f>
              <c:strCache>
                <c:ptCount val="5"/>
                <c:pt idx="0">
                  <c:v>2024年</c:v>
                </c:pt>
                <c:pt idx="1">
                  <c:v>2025年</c:v>
                </c:pt>
              </c:strCache>
            </c:strRef>
          </c:cat>
          <c:val>
            <c:numRef>
              <c:f>'Sheet1'!$B$2:$B$6</c:f>
              <c:numCache>
                <c:formatCode>General</c:formatCode>
                <c:ptCount val="5"/>
                <c:pt idx="0">
                  <c:v>1262.08</c:v>
                </c:pt>
                <c:pt idx="1">
                  <c:v>1168.94</c:v>
                </c:pt>
              </c:numCache>
            </c:numRef>
          </c:val>
        </c:ser>
        <c:ser>
          <c:idx val="1"/>
          <c:order val="1"/>
          <c:tx>
            <c:strRef>
              <c:f>'Sheet1'!$C$1</c:f>
              <c:strCache>
                <c:ptCount val="1"/>
                <c:pt idx="0">
                  <c:v>支出</c:v>
                </c:pt>
              </c:strCache>
            </c:strRef>
          </c:tx>
          <c:spPr>
            <a:solidFill>
              <a:srgbClr val="C0504D"/>
            </a:solidFill>
            <a:ln>
              <a:noFill/>
            </a:ln>
          </c:spPr>
          <c:invertIfNegative val="0"/>
          <c:dLbls>
            <c:spPr>
              <a:noFill/>
              <a:ln>
                <a:noFill/>
              </a:ln>
            </c:spPr>
            <c:txPr>
              <a:bodyPr vert="horz"/>
              <a:lstStyle/>
              <a:p>
                <a:pPr>
                  <a:defRPr sz="900" b="0" i="0" u="none" strike="noStrike" baseline="0">
                    <a:solidFill>
                      <a:srgbClr val="404040"/>
                    </a:solidFill>
                    <a:latin typeface="Times New Roman"/>
                    <a:ea typeface="宋体"/>
                    <a:cs typeface="Arial"/>
                  </a:defRPr>
                </a:pPr>
                <a:endParaRPr lang="zh-CN"/>
              </a:p>
            </c:txPr>
            <c:numFmt formatCode="General" sourceLinked="1"/>
            <c:dLblPos val="outEnd"/>
            <c:showLegendKey val="0"/>
            <c:showVal val="1"/>
            <c:showCatName val="0"/>
            <c:showSerName val="0"/>
            <c:showPercent val="0"/>
            <c:showBubbleSize val="0"/>
            <c:showLeaderLines val="1"/>
            <c:extLst>
              <c:ext xmlns:c15="http://schemas.microsoft.com/office/drawing/2012/chart" uri="{CE6537A1-D6FC-4f65-9D91-7224C49458BB}">
                <c15:showLeaderLines val="1"/>
              </c:ext>
            </c:extLst>
          </c:dLbls>
          <c:cat>
            <c:strRef>
              <c:f>'Sheet1'!$A$2:$A$6</c:f>
              <c:strCache>
                <c:ptCount val="5"/>
                <c:pt idx="0">
                  <c:v>2024年</c:v>
                </c:pt>
                <c:pt idx="1">
                  <c:v>2025年</c:v>
                </c:pt>
              </c:strCache>
            </c:strRef>
          </c:cat>
          <c:val>
            <c:numRef>
              <c:f>'Sheet1'!$C$2:$C$6</c:f>
              <c:numCache>
                <c:formatCode>General</c:formatCode>
                <c:ptCount val="5"/>
                <c:pt idx="0">
                  <c:v>1262.08</c:v>
                </c:pt>
                <c:pt idx="1">
                  <c:v>1168.94</c:v>
                </c:pt>
              </c:numCache>
            </c:numRef>
          </c:val>
        </c:ser>
        <c:ser>
          <c:idx val="2"/>
          <c:order val="2"/>
          <c:tx>
            <c:strRef>
              <c:f>'Sheet1'!$D$1</c:f>
              <c:strCache>
                <c:ptCount val="1"/>
                <c:pt idx="0">
                  <c:v/>
                </c:pt>
              </c:strCache>
            </c:strRef>
          </c:tx>
          <c:spPr>
            <a:solidFill>
              <a:srgbClr val="9BBB59"/>
            </a:solidFill>
            <a:ln>
              <a:noFill/>
            </a:ln>
          </c:spPr>
          <c:invertIfNegative val="0"/>
          <c:dLbls>
            <c:spPr>
              <a:noFill/>
              <a:ln>
                <a:noFill/>
              </a:ln>
            </c:spPr>
            <c:txPr>
              <a:bodyPr vert="horz"/>
              <a:lstStyle/>
              <a:p>
                <a:pPr>
                  <a:defRPr sz="900" b="0" i="0" u="none" strike="noStrike" baseline="0">
                    <a:solidFill>
                      <a:srgbClr val="404040"/>
                    </a:solidFill>
                    <a:latin typeface="Times New Roman"/>
                    <a:ea typeface="宋体"/>
                    <a:cs typeface="Arial"/>
                  </a:defRPr>
                </a:pPr>
                <a:endParaRPr lang="zh-CN"/>
              </a:p>
            </c:txPr>
            <c:numFmt formatCode="General" sourceLinked="1"/>
            <c:dLblPos val="outEnd"/>
            <c:showLegendKey val="0"/>
            <c:showVal val="1"/>
            <c:showCatName val="0"/>
            <c:showSerName val="0"/>
            <c:showPercent val="0"/>
            <c:showBubbleSize val="0"/>
            <c:showLeaderLines val="1"/>
            <c:extLst>
              <c:ext xmlns:c15="http://schemas.microsoft.com/office/drawing/2012/chart" uri="{CE6537A1-D6FC-4f65-9D91-7224C49458BB}">
                <c15:showLeaderLines val="1"/>
              </c:ext>
            </c:extLst>
          </c:dLbls>
          <c:cat>
            <c:strRef>
              <c:f>'Sheet1'!$A$2:$A$6</c:f>
              <c:strCache>
                <c:ptCount val="5"/>
                <c:pt idx="0">
                  <c:v>2024年</c:v>
                </c:pt>
                <c:pt idx="1">
                  <c:v>2025年</c:v>
                </c:pt>
              </c:strCache>
            </c:strRef>
          </c:cat>
          <c:val>
            <c:numRef>
              <c:f>'Sheet1'!$D$2:$D$6</c:f>
              <c:numCache>
                <c:formatCode>General</c:formatCode>
                <c:ptCount val="5"/>
              </c:numCache>
            </c:numRef>
          </c:val>
        </c:ser>
        <c:overlap val="-27"/>
        <c:gapWidth val="219"/>
        <c:axId val="0"/>
        <c:axId val="1"/>
      </c:barChart>
      <c:catAx>
        <c:axId val="0"/>
        <c:scaling>
          <c:orientation val="minMax"/>
        </c:scaling>
        <c:delete val="0"/>
        <c:axPos val="b"/>
        <c:numFmt formatCode="General" sourceLinked="1"/>
        <c:majorTickMark val="none"/>
        <c:minorTickMark val="none"/>
        <c:tickLblPos val="nextTo"/>
        <c:spPr>
          <a:ln w="6350">
            <a:solidFill>
              <a:srgbClr val="D9D9D9"/>
            </a:solidFill>
            <a:prstDash val="solid"/>
          </a:ln>
        </c:spPr>
        <c:txPr>
          <a:bodyPr/>
          <a:lstStyle/>
          <a:p>
            <a:pPr>
              <a:defRPr sz="900" b="0" i="0" u="none" strike="noStrike" baseline="0">
                <a:solidFill>
                  <a:srgbClr val="595959"/>
                </a:solidFill>
                <a:latin typeface="Times New Roman"/>
                <a:ea typeface="宋体"/>
                <a:cs typeface="Arial"/>
              </a:defRPr>
            </a:pPr>
            <a:endParaRPr lang="zh-CN"/>
          </a:p>
        </c:txPr>
        <c:crosses val="autoZero"/>
        <c:auto val="1"/>
        <c:lblOffset val="100"/>
        <c:lblAlgn val="ctr"/>
        <c:noMultiLvlLbl val="0"/>
        <c:crossAx val="1"/>
      </c:catAx>
      <c:valAx>
        <c:axId val="1"/>
        <c:scaling>
          <c:orientation val="minMax"/>
        </c:scaling>
        <c:delete val="0"/>
        <c:axPos val="l"/>
        <c:majorGridlines>
          <c:spPr>
            <a:ln w="6350">
              <a:solidFill>
                <a:srgbClr val="D9D9D9"/>
              </a:solidFill>
              <a:prstDash val="solid"/>
            </a:ln>
          </c:spPr>
        </c:majorGridlines>
        <c:numFmt formatCode="General" sourceLinked="1"/>
        <c:majorTickMark val="none"/>
        <c:minorTickMark val="none"/>
        <c:tickLblPos val="nextTo"/>
        <c:spPr>
          <a:ln>
            <a:noFill/>
          </a:ln>
        </c:spPr>
        <c:txPr>
          <a:bodyPr/>
          <a:lstStyle/>
          <a:p>
            <a:pPr>
              <a:defRPr sz="900" b="0" i="0" u="none" strike="noStrike" baseline="0">
                <a:solidFill>
                  <a:srgbClr val="595959"/>
                </a:solidFill>
                <a:latin typeface="Times New Roman"/>
                <a:ea typeface="宋体"/>
                <a:cs typeface="Arial"/>
              </a:defRPr>
            </a:pPr>
            <a:endParaRPr lang="zh-CN"/>
          </a:p>
        </c:txPr>
        <c:crossesAt val="1.0"/>
        <c:crossBetween val="between"/>
        <c:crossAx val="0"/>
      </c:valAx>
      <c:spPr>
        <a:noFill/>
        <a:ln>
          <a:noFill/>
        </a:ln>
      </c:spPr>
    </c:plotArea>
    <c:legend>
      <c:legendPos val="b"/>
      <c:layout/>
      <c:overlay val="0"/>
      <c:spPr>
        <a:noFill/>
        <a:ln>
          <a:noFill/>
        </a:ln>
      </c:spPr>
      <c:txPr>
        <a:bodyPr/>
        <a:lstStyle/>
        <a:p>
          <a:pPr>
            <a:defRPr sz="900" b="0" i="0" u="none" strike="noStrike" baseline="0">
              <a:solidFill>
                <a:srgbClr val="595959"/>
              </a:solidFill>
              <a:latin typeface="Times New Roman"/>
              <a:ea typeface="宋体"/>
              <a:cs typeface="Arial"/>
            </a:defRPr>
          </a:pPr>
          <a:endParaRPr lang="zh-CN"/>
        </a:p>
      </c:txPr>
    </c:legend>
    <c:plotVisOnly val="1"/>
    <c:dispBlanksAs val="gap"/>
    <c:showDLblsOverMax val="0"/>
  </c:chart>
  <c:spPr>
    <a:solidFill>
      <a:srgbClr val="FFFFFF"/>
    </a:solidFill>
    <a:ln w="6350">
      <a:solidFill>
        <a:srgbClr val="D9D9D9"/>
      </a:solidFill>
      <a:prstDash val="solid"/>
    </a:ln>
  </c:spPr>
  <c:txPr>
    <a:bodyPr/>
    <a:lstStyle/>
    <a:p>
      <a:pPr>
        <a:defRPr sz="1000" b="0" i="0" u="none" strike="noStrike" baseline="0">
          <a:solidFill>
            <a:srgbClr val="000000"/>
          </a:solidFill>
          <a:latin typeface="Times New Roman"/>
          <a:ea typeface="宋体"/>
          <a:cs typeface="Arial"/>
        </a:defRPr>
      </a:pPr>
      <a:endParaRPr lang="zh-CN"/>
    </a:p>
  </c:txPr>
  <c:printSettings>
    <c:headerFooter/>
    <c:pageMargins b="0.75" l="0.7" r="0.7" t="0.75" header="0.3" footer="0.3"/>
    <c:pageSetup/>
  </c:printSettings>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tx>
            <c:strRef>
              <c:f>'Sheet1 (2)'!$B$1</c:f>
              <c:strCache>
                <c:ptCount val="1"/>
                <c:pt idx="0">
                  <c:v>本年度收入</c:v>
                </c:pt>
              </c:strCache>
            </c:strRef>
          </c:tx>
          <c:spPr>
            <a:solidFill>
              <a:srgbClr val="4F81BD"/>
            </a:solidFill>
          </c:spPr>
          <c:dPt>
            <c:idx val="0"/>
            <c:bubble3D val="0"/>
            <c:spPr>
              <a:solidFill>
                <a:srgbClr val="4F81BD"/>
              </a:solidFill>
              <a:ln w="19050">
                <a:solidFill>
                  <a:srgbClr val="FFFFFF"/>
                </a:solidFill>
                <a:prstDash val="solid"/>
              </a:ln>
            </c:spPr>
          </c:dPt>
          <c:dPt>
            <c:idx val="1"/>
            <c:bubble3D val="0"/>
            <c:spPr>
              <a:solidFill>
                <a:srgbClr val="C0504D"/>
              </a:solidFill>
              <a:ln w="19050">
                <a:solidFill>
                  <a:srgbClr val="FFFFFF"/>
                </a:solidFill>
                <a:prstDash val="solid"/>
              </a:ln>
            </c:spPr>
          </c:dPt>
          <c:dPt>
            <c:idx val="2"/>
            <c:bubble3D val="0"/>
            <c:spPr>
              <a:solidFill>
                <a:srgbClr val="9BBB59"/>
              </a:solidFill>
              <a:ln w="19050">
                <a:solidFill>
                  <a:srgbClr val="FFFFFF"/>
                </a:solidFill>
                <a:prstDash val="solid"/>
              </a:ln>
            </c:spPr>
          </c:dPt>
          <c:dPt>
            <c:idx val="3"/>
            <c:bubble3D val="0"/>
            <c:spPr>
              <a:solidFill>
                <a:srgbClr val="8064A2"/>
              </a:solidFill>
              <a:ln w="19050">
                <a:solidFill>
                  <a:srgbClr val="FFFFFF"/>
                </a:solidFill>
                <a:prstDash val="solid"/>
              </a:ln>
            </c:spPr>
          </c:dPt>
          <c:dLbls>
            <c:spPr>
              <a:noFill/>
              <a:ln>
                <a:noFill/>
              </a:ln>
            </c:spPr>
            <c:txPr>
              <a:bodyPr vert="horz"/>
              <a:lstStyle/>
              <a:p>
                <a:pPr>
                  <a:defRPr sz="900" b="0" i="0" u="none" strike="noStrike" baseline="0">
                    <a:solidFill>
                      <a:srgbClr val="404040"/>
                    </a:solidFill>
                    <a:latin typeface="Times New Roman"/>
                    <a:ea typeface="宋体"/>
                    <a:cs typeface="Arial"/>
                  </a:defRPr>
                </a:pPr>
                <a:endParaRPr lang="zh-CN"/>
              </a:p>
            </c:txPr>
            <c:numFmt formatCode="General" sourceLinked="1"/>
            <c:showLegendKey val="0"/>
            <c:showVal val="1"/>
            <c:showCatName val="0"/>
            <c:showSerName val="0"/>
            <c:showPercent val="0"/>
            <c:showBubbleSize val="0"/>
            <c:showLeaderLines val="1"/>
          </c:dLbls>
          <c:cat>
            <c:strRef>
              <c:f>'Sheet1 (2)'!$A$2:$A$5</c:f>
              <c:strCache>
                <c:ptCount val="4"/>
                <c:pt idx="0">
                  <c:v>一般公共预算财政拨款收入</c:v>
                </c:pt>
              </c:strCache>
            </c:strRef>
          </c:cat>
          <c:val>
            <c:numRef>
              <c:f>'Sheet1 (2)'!$B$2:$B$5</c:f>
              <c:numCache>
                <c:formatCode>General</c:formatCode>
                <c:ptCount val="4"/>
                <c:pt idx="0">
                  <c:v>1168.94</c:v>
                </c:pt>
              </c:numCache>
            </c:numRef>
          </c:val>
        </c:ser>
        <c:ser>
          <c:idx val="1"/>
          <c:order val="1"/>
          <c:tx>
            <c:strRef>
              <c:f>'Sheet1 (2)'!$C$1</c:f>
              <c:strCache>
                <c:ptCount val="1"/>
                <c:pt idx="0">
                  <c:v/>
                </c:pt>
              </c:strCache>
            </c:strRef>
          </c:tx>
          <c:spPr>
            <a:solidFill>
              <a:srgbClr val="C0504D"/>
            </a:solidFill>
          </c:spPr>
          <c:dPt>
            <c:idx val="0"/>
            <c:invertIfNegative val="0"/>
            <c:bubble3D val="0"/>
            <c:spPr>
              <a:ln w="19050">
                <a:solidFill>
                  <a:srgbClr val="FFFFFF"/>
                </a:solidFill>
                <a:prstDash val="solid"/>
              </a:ln>
            </c:spPr>
          </c:dPt>
          <c:dPt>
            <c:idx val="1"/>
            <c:invertIfNegative val="0"/>
            <c:bubble3D val="0"/>
            <c:spPr>
              <a:ln w="19050">
                <a:solidFill>
                  <a:srgbClr val="FFFFFF"/>
                </a:solidFill>
                <a:prstDash val="solid"/>
              </a:ln>
            </c:spPr>
          </c:dPt>
          <c:dPt>
            <c:idx val="2"/>
            <c:invertIfNegative val="0"/>
            <c:bubble3D val="0"/>
            <c:spPr>
              <a:ln w="19050">
                <a:solidFill>
                  <a:srgbClr val="FFFFFF"/>
                </a:solidFill>
                <a:prstDash val="solid"/>
              </a:ln>
            </c:spPr>
          </c:dPt>
          <c:dPt>
            <c:idx val="3"/>
            <c:invertIfNegative val="0"/>
            <c:bubble3D val="0"/>
            <c:spPr>
              <a:ln w="19050">
                <a:solidFill>
                  <a:srgbClr val="FFFFFF"/>
                </a:solidFill>
                <a:prstDash val="solid"/>
              </a:ln>
            </c:spPr>
          </c:dPt>
          <c:dLbls>
            <c:txPr>
              <a:bodyPr/>
              <a:lstStyle/>
              <a:p>
                <a:pPr>
                  <a:defRPr sz="1000" b="0" i="0" u="none" strike="noStrike" baseline="0">
                    <a:solidFill>
                      <a:srgbClr val="000000"/>
                    </a:solidFill>
                    <a:latin typeface="Times New Roman"/>
                    <a:ea typeface="宋体"/>
                    <a:cs typeface="Arial"/>
                  </a:defRPr>
                </a:pPr>
                <a:endParaRPr lang="zh-CN"/>
              </a:p>
            </c:txPr>
            <c:numFmt formatCode="General" sourceLinked="1"/>
            <c:showLegendKey val="0"/>
            <c:showVal val="0"/>
            <c:showCatName val="0"/>
            <c:showSerName val="0"/>
            <c:showPercent val="0"/>
            <c:showBubbleSize val="0"/>
            <c:showLeaderLines val="1"/>
          </c:dLbls>
          <c:cat>
            <c:strRef>
              <c:f>'Sheet1 (2)'!$A$2:$A$5</c:f>
              <c:strCache>
                <c:ptCount val="4"/>
                <c:pt idx="0">
                  <c:v>一般公共预算财政拨款收入</c:v>
                </c:pt>
              </c:strCache>
            </c:strRef>
          </c:cat>
          <c:val>
            <c:numRef>
              <c:f>'Sheet1 (2)'!$C$2:$C$5</c:f>
              <c:numCache>
                <c:formatCode>General</c:formatCode>
                <c:ptCount val="4"/>
              </c:numCache>
            </c:numRef>
          </c:val>
        </c:ser>
        <c:firstSliceAng val="0"/>
      </c:pieChart>
      <c:spPr>
        <a:noFill/>
        <a:ln>
          <a:noFill/>
        </a:ln>
      </c:spPr>
    </c:plotArea>
    <c:legend>
      <c:legendPos val="b"/>
      <c:layout/>
      <c:overlay val="0"/>
      <c:spPr>
        <a:noFill/>
        <a:ln>
          <a:noFill/>
        </a:ln>
      </c:spPr>
      <c:txPr>
        <a:bodyPr/>
        <a:lstStyle/>
        <a:p>
          <a:pPr>
            <a:defRPr sz="900" b="0" i="0" u="none" strike="noStrike" baseline="0">
              <a:solidFill>
                <a:srgbClr val="595959"/>
              </a:solidFill>
              <a:latin typeface="Times New Roman"/>
              <a:ea typeface="宋体"/>
              <a:cs typeface="Arial"/>
            </a:defRPr>
          </a:pPr>
          <a:endParaRPr lang="zh-CN"/>
        </a:p>
      </c:txPr>
    </c:legend>
    <c:plotVisOnly val="1"/>
    <c:dispBlanksAs val="gap"/>
    <c:showDLblsOverMax val="0"/>
  </c:chart>
  <c:spPr>
    <a:solidFill>
      <a:srgbClr val="FFFFFF"/>
    </a:solidFill>
    <a:ln w="6350">
      <a:solidFill>
        <a:srgbClr val="D9D9D9"/>
      </a:solidFill>
      <a:prstDash val="solid"/>
    </a:ln>
  </c:spPr>
  <c:txPr>
    <a:bodyPr/>
    <a:lstStyle/>
    <a:p>
      <a:pPr>
        <a:defRPr sz="1000" b="0" i="0" u="none" strike="noStrike" baseline="0">
          <a:solidFill>
            <a:srgbClr val="000000"/>
          </a:solidFill>
          <a:latin typeface="Times New Roman"/>
          <a:ea typeface="宋体"/>
          <a:cs typeface="Arial"/>
        </a:defRPr>
      </a:pPr>
      <a:endParaRPr lang="zh-CN"/>
    </a:p>
  </c:txPr>
  <c:printSettings>
    <c:headerFooter/>
    <c:pageMargins b="0.75" l="0.7" r="0.7" t="0.75" header="0.3" footer="0.3"/>
    <c:pageSetup/>
  </c:printSettings>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tx>
            <c:strRef>
              <c:f>'Sheet1 (3)'!$B$1</c:f>
              <c:strCache>
                <c:ptCount val="1"/>
                <c:pt idx="0">
                  <c:v>本年度支出情况</c:v>
                </c:pt>
              </c:strCache>
            </c:strRef>
          </c:tx>
          <c:spPr>
            <a:solidFill>
              <a:srgbClr val="4F81BD"/>
            </a:solidFill>
          </c:spPr>
          <c:dPt>
            <c:idx val="0"/>
            <c:bubble3D val="0"/>
            <c:spPr>
              <a:solidFill>
                <a:srgbClr val="4F81BD"/>
              </a:solidFill>
              <a:ln w="19050">
                <a:solidFill>
                  <a:srgbClr val="FFFFFF"/>
                </a:solidFill>
                <a:prstDash val="solid"/>
              </a:ln>
            </c:spPr>
          </c:dPt>
          <c:dPt>
            <c:idx val="1"/>
            <c:bubble3D val="0"/>
            <c:spPr>
              <a:solidFill>
                <a:srgbClr val="C0504D"/>
              </a:solidFill>
              <a:ln w="19050">
                <a:solidFill>
                  <a:srgbClr val="FFFFFF"/>
                </a:solidFill>
                <a:prstDash val="solid"/>
              </a:ln>
            </c:spPr>
          </c:dPt>
          <c:dPt>
            <c:idx val="2"/>
            <c:bubble3D val="0"/>
            <c:spPr>
              <a:solidFill>
                <a:srgbClr val="9BBB59"/>
              </a:solidFill>
              <a:ln w="19050">
                <a:solidFill>
                  <a:srgbClr val="FFFFFF"/>
                </a:solidFill>
                <a:prstDash val="solid"/>
              </a:ln>
            </c:spPr>
          </c:dPt>
          <c:dPt>
            <c:idx val="3"/>
            <c:bubble3D val="0"/>
            <c:spPr>
              <a:solidFill>
                <a:srgbClr val="8064A2"/>
              </a:solidFill>
              <a:ln w="19050">
                <a:solidFill>
                  <a:srgbClr val="FFFFFF"/>
                </a:solidFill>
                <a:prstDash val="solid"/>
              </a:ln>
            </c:spPr>
          </c:dPt>
          <c:dLbls>
            <c:spPr>
              <a:noFill/>
              <a:ln>
                <a:noFill/>
              </a:ln>
            </c:spPr>
            <c:txPr>
              <a:bodyPr vert="horz"/>
              <a:lstStyle/>
              <a:p>
                <a:pPr>
                  <a:defRPr sz="900" b="0" i="0" u="none" strike="noStrike" baseline="0">
                    <a:solidFill>
                      <a:srgbClr val="404040"/>
                    </a:solidFill>
                    <a:latin typeface="Times New Roman"/>
                    <a:ea typeface="宋体"/>
                    <a:cs typeface="Arial"/>
                  </a:defRPr>
                </a:pPr>
                <a:endParaRPr lang="zh-CN"/>
              </a:p>
            </c:txPr>
            <c:numFmt formatCode="General" sourceLinked="1"/>
            <c:showLegendKey val="0"/>
            <c:showVal val="1"/>
            <c:showCatName val="0"/>
            <c:showSerName val="0"/>
            <c:showPercent val="0"/>
            <c:showBubbleSize val="0"/>
            <c:showLeaderLines val="1"/>
          </c:dLbls>
          <c:cat>
            <c:strRef>
              <c:f>'Sheet1 (3)'!$A$2:$A$5</c:f>
              <c:strCache>
                <c:ptCount val="4"/>
                <c:pt idx="0">
                  <c:v>基本支出</c:v>
                </c:pt>
                <c:pt idx="1">
                  <c:v>项目支出</c:v>
                </c:pt>
              </c:strCache>
            </c:strRef>
          </c:cat>
          <c:val>
            <c:numRef>
              <c:f>'Sheet1 (3)'!$B$2:$B$5</c:f>
              <c:numCache>
                <c:formatCode>General</c:formatCode>
                <c:ptCount val="4"/>
                <c:pt idx="0">
                  <c:v>245.51</c:v>
                </c:pt>
                <c:pt idx="1">
                  <c:v>923.43</c:v>
                </c:pt>
              </c:numCache>
            </c:numRef>
          </c:val>
        </c:ser>
        <c:ser>
          <c:idx val="1"/>
          <c:order val="1"/>
          <c:tx>
            <c:strRef>
              <c:f>'Sheet1 (3)'!$C$1</c:f>
              <c:strCache>
                <c:ptCount val="1"/>
                <c:pt idx="0">
                  <c:v/>
                </c:pt>
              </c:strCache>
            </c:strRef>
          </c:tx>
          <c:spPr>
            <a:solidFill>
              <a:srgbClr val="C0504D"/>
            </a:solidFill>
          </c:spPr>
          <c:dPt>
            <c:idx val="0"/>
            <c:invertIfNegative val="0"/>
            <c:bubble3D val="0"/>
            <c:spPr>
              <a:ln w="19050">
                <a:solidFill>
                  <a:srgbClr val="FFFFFF"/>
                </a:solidFill>
                <a:prstDash val="solid"/>
              </a:ln>
            </c:spPr>
          </c:dPt>
          <c:dPt>
            <c:idx val="1"/>
            <c:invertIfNegative val="0"/>
            <c:bubble3D val="0"/>
            <c:spPr>
              <a:ln w="19050">
                <a:solidFill>
                  <a:srgbClr val="FFFFFF"/>
                </a:solidFill>
                <a:prstDash val="solid"/>
              </a:ln>
            </c:spPr>
          </c:dPt>
          <c:dPt>
            <c:idx val="2"/>
            <c:invertIfNegative val="0"/>
            <c:bubble3D val="0"/>
            <c:spPr>
              <a:ln w="19050">
                <a:solidFill>
                  <a:srgbClr val="FFFFFF"/>
                </a:solidFill>
                <a:prstDash val="solid"/>
              </a:ln>
            </c:spPr>
          </c:dPt>
          <c:dPt>
            <c:idx val="3"/>
            <c:invertIfNegative val="0"/>
            <c:bubble3D val="0"/>
            <c:spPr>
              <a:ln w="19050">
                <a:solidFill>
                  <a:srgbClr val="FFFFFF"/>
                </a:solidFill>
                <a:prstDash val="solid"/>
              </a:ln>
            </c:spPr>
          </c:dPt>
          <c:dLbls>
            <c:txPr>
              <a:bodyPr/>
              <a:lstStyle/>
              <a:p>
                <a:pPr>
                  <a:defRPr sz="1000" b="0" i="0" u="none" strike="noStrike" baseline="0">
                    <a:solidFill>
                      <a:srgbClr val="000000"/>
                    </a:solidFill>
                    <a:latin typeface="Times New Roman"/>
                    <a:ea typeface="宋体"/>
                    <a:cs typeface="Arial"/>
                  </a:defRPr>
                </a:pPr>
                <a:endParaRPr lang="zh-CN"/>
              </a:p>
            </c:txPr>
            <c:numFmt formatCode="General" sourceLinked="1"/>
            <c:showLegendKey val="0"/>
            <c:showVal val="0"/>
            <c:showCatName val="0"/>
            <c:showSerName val="0"/>
            <c:showPercent val="0"/>
            <c:showBubbleSize val="0"/>
            <c:showLeaderLines val="1"/>
          </c:dLbls>
          <c:cat>
            <c:strRef>
              <c:f>'Sheet1 (3)'!$A$2:$A$5</c:f>
              <c:strCache>
                <c:ptCount val="4"/>
                <c:pt idx="0">
                  <c:v>基本支出</c:v>
                </c:pt>
                <c:pt idx="1">
                  <c:v>项目支出</c:v>
                </c:pt>
              </c:strCache>
            </c:strRef>
          </c:cat>
          <c:val>
            <c:numRef>
              <c:f>'Sheet1 (3)'!$C$2:$C$5</c:f>
              <c:numCache>
                <c:formatCode>General</c:formatCode>
                <c:ptCount val="4"/>
              </c:numCache>
            </c:numRef>
          </c:val>
        </c:ser>
        <c:firstSliceAng val="0"/>
      </c:pieChart>
      <c:spPr>
        <a:noFill/>
        <a:ln>
          <a:noFill/>
        </a:ln>
      </c:spPr>
    </c:plotArea>
    <c:legend>
      <c:legendPos val="b"/>
      <c:layout/>
      <c:overlay val="0"/>
      <c:spPr>
        <a:noFill/>
        <a:ln>
          <a:noFill/>
        </a:ln>
      </c:spPr>
      <c:txPr>
        <a:bodyPr/>
        <a:lstStyle/>
        <a:p>
          <a:pPr>
            <a:defRPr sz="900" b="0" i="0" u="none" strike="noStrike" baseline="0">
              <a:solidFill>
                <a:srgbClr val="595959"/>
              </a:solidFill>
              <a:latin typeface="Times New Roman"/>
              <a:ea typeface="宋体"/>
              <a:cs typeface="Arial"/>
            </a:defRPr>
          </a:pPr>
          <a:endParaRPr lang="zh-CN"/>
        </a:p>
      </c:txPr>
    </c:legend>
    <c:plotVisOnly val="1"/>
    <c:dispBlanksAs val="gap"/>
    <c:showDLblsOverMax val="0"/>
  </c:chart>
  <c:spPr>
    <a:solidFill>
      <a:srgbClr val="FFFFFF"/>
    </a:solidFill>
    <a:ln w="6350">
      <a:solidFill>
        <a:srgbClr val="D9D9D9"/>
      </a:solidFill>
      <a:prstDash val="solid"/>
    </a:ln>
  </c:spPr>
  <c:txPr>
    <a:bodyPr/>
    <a:lstStyle/>
    <a:p>
      <a:pPr>
        <a:defRPr sz="1000" b="0" i="0" u="none" strike="noStrike" baseline="0">
          <a:solidFill>
            <a:srgbClr val="000000"/>
          </a:solidFill>
          <a:latin typeface="Times New Roman"/>
          <a:ea typeface="宋体"/>
          <a:cs typeface="Arial"/>
        </a:defRPr>
      </a:pPr>
      <a:endParaRPr lang="zh-CN"/>
    </a:p>
  </c:txPr>
  <c:printSettings>
    <c:headerFooter/>
    <c:pageMargins b="0.75" l="0.7" r="0.7" t="0.75" header="0.3" footer="0.3"/>
    <c:pageSetup/>
  </c:printSettings>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 (4)'!$B$1</c:f>
              <c:strCache>
                <c:ptCount val="1"/>
                <c:pt idx="0">
                  <c:v>收入</c:v>
                </c:pt>
              </c:strCache>
            </c:strRef>
          </c:tx>
          <c:spPr>
            <a:solidFill>
              <a:srgbClr val="4F81BD"/>
            </a:solidFill>
            <a:ln>
              <a:noFill/>
            </a:ln>
          </c:spPr>
          <c:invertIfNegative val="0"/>
          <c:dLbls>
            <c:txPr>
              <a:bodyPr/>
              <a:lstStyle/>
              <a:p>
                <a:pPr>
                  <a:defRPr sz="1000" b="0" i="0" u="none" strike="noStrike" baseline="0">
                    <a:solidFill>
                      <a:srgbClr val="000000"/>
                    </a:solidFill>
                    <a:latin typeface="Times New Roman"/>
                    <a:ea typeface="宋体"/>
                    <a:cs typeface="Arial"/>
                  </a:defRPr>
                </a:pPr>
                <a:endParaRPr lang="zh-CN"/>
              </a:p>
            </c:txPr>
            <c:numFmt formatCode="General" sourceLinked="1"/>
            <c:showLegendKey val="0"/>
            <c:showVal val="0"/>
            <c:showCatName val="0"/>
            <c:showSerName val="0"/>
            <c:showPercent val="0"/>
            <c:showBubbleSize val="0"/>
            <c:showLeaderLines val="0"/>
          </c:dLbls>
          <c:cat>
            <c:strRef>
              <c:f>'Sheet1 (4)'!$A$2:$A$5</c:f>
              <c:strCache>
                <c:ptCount val="4"/>
                <c:pt idx="0">
                  <c:v>2024年</c:v>
                </c:pt>
                <c:pt idx="1">
                  <c:v>2025年</c:v>
                </c:pt>
              </c:strCache>
            </c:strRef>
          </c:cat>
          <c:val>
            <c:numRef>
              <c:f>'Sheet1 (4)'!$B$2:$B$5</c:f>
              <c:numCache>
                <c:formatCode>General</c:formatCode>
                <c:ptCount val="4"/>
                <c:pt idx="0">
                  <c:v>1262.08</c:v>
                </c:pt>
                <c:pt idx="1">
                  <c:v>1168.94</c:v>
                </c:pt>
              </c:numCache>
            </c:numRef>
          </c:val>
        </c:ser>
        <c:ser>
          <c:idx val="1"/>
          <c:order val="1"/>
          <c:tx>
            <c:strRef>
              <c:f>'Sheet1 (4)'!$C$1</c:f>
              <c:strCache>
                <c:ptCount val="1"/>
                <c:pt idx="0">
                  <c:v>支出</c:v>
                </c:pt>
              </c:strCache>
            </c:strRef>
          </c:tx>
          <c:spPr>
            <a:solidFill>
              <a:srgbClr val="C0504D"/>
            </a:solidFill>
            <a:ln>
              <a:noFill/>
            </a:ln>
          </c:spPr>
          <c:invertIfNegative val="0"/>
          <c:dLbls>
            <c:txPr>
              <a:bodyPr/>
              <a:lstStyle/>
              <a:p>
                <a:pPr>
                  <a:defRPr sz="1000" b="0" i="0" u="none" strike="noStrike" baseline="0">
                    <a:solidFill>
                      <a:srgbClr val="000000"/>
                    </a:solidFill>
                    <a:latin typeface="Times New Roman"/>
                    <a:ea typeface="宋体"/>
                    <a:cs typeface="Arial"/>
                  </a:defRPr>
                </a:pPr>
                <a:endParaRPr lang="zh-CN"/>
              </a:p>
            </c:txPr>
            <c:numFmt formatCode="General" sourceLinked="1"/>
            <c:showLegendKey val="0"/>
            <c:showVal val="0"/>
            <c:showCatName val="0"/>
            <c:showSerName val="0"/>
            <c:showPercent val="0"/>
            <c:showBubbleSize val="0"/>
            <c:showLeaderLines val="0"/>
          </c:dLbls>
          <c:cat>
            <c:strRef>
              <c:f>'Sheet1 (4)'!$A$2:$A$5</c:f>
              <c:strCache>
                <c:ptCount val="4"/>
                <c:pt idx="0">
                  <c:v>2024年</c:v>
                </c:pt>
                <c:pt idx="1">
                  <c:v>2025年</c:v>
                </c:pt>
              </c:strCache>
            </c:strRef>
          </c:cat>
          <c:val>
            <c:numRef>
              <c:f>'Sheet1 (4)'!$C$2:$C$5</c:f>
              <c:numCache>
                <c:formatCode>General</c:formatCode>
                <c:ptCount val="4"/>
                <c:pt idx="0">
                  <c:v>1262.08</c:v>
                </c:pt>
                <c:pt idx="1">
                  <c:v>1168.94</c:v>
                </c:pt>
              </c:numCache>
            </c:numRef>
          </c:val>
        </c:ser>
        <c:ser>
          <c:idx val="2"/>
          <c:order val="2"/>
          <c:tx>
            <c:strRef>
              <c:f>'Sheet1 (4)'!$D$1</c:f>
              <c:strCache>
                <c:ptCount val="1"/>
                <c:pt idx="0">
                  <c:v/>
                </c:pt>
              </c:strCache>
            </c:strRef>
          </c:tx>
          <c:spPr>
            <a:solidFill>
              <a:srgbClr val="9BBB59"/>
            </a:solidFill>
            <a:ln>
              <a:noFill/>
            </a:ln>
          </c:spPr>
          <c:invertIfNegative val="0"/>
          <c:dLbls>
            <c:txPr>
              <a:bodyPr/>
              <a:lstStyle/>
              <a:p>
                <a:pPr>
                  <a:defRPr sz="1000" b="0" i="0" u="none" strike="noStrike" baseline="0">
                    <a:solidFill>
                      <a:srgbClr val="000000"/>
                    </a:solidFill>
                    <a:latin typeface="Times New Roman"/>
                    <a:ea typeface="宋体"/>
                    <a:cs typeface="Arial"/>
                  </a:defRPr>
                </a:pPr>
                <a:endParaRPr lang="zh-CN"/>
              </a:p>
            </c:txPr>
            <c:numFmt formatCode="General" sourceLinked="1"/>
            <c:showLegendKey val="0"/>
            <c:showVal val="0"/>
            <c:showCatName val="0"/>
            <c:showSerName val="0"/>
            <c:showPercent val="0"/>
            <c:showBubbleSize val="0"/>
            <c:showLeaderLines val="0"/>
          </c:dLbls>
          <c:cat>
            <c:strRef>
              <c:f>'Sheet1 (4)'!$A$2:$A$5</c:f>
              <c:strCache>
                <c:ptCount val="4"/>
                <c:pt idx="0">
                  <c:v>2024年</c:v>
                </c:pt>
                <c:pt idx="1">
                  <c:v>2025年</c:v>
                </c:pt>
              </c:strCache>
            </c:strRef>
          </c:cat>
          <c:val>
            <c:numRef>
              <c:f>'Sheet1 (4)'!$D$2:$D$5</c:f>
              <c:numCache>
                <c:formatCode>General</c:formatCode>
                <c:ptCount val="4"/>
              </c:numCache>
            </c:numRef>
          </c:val>
        </c:ser>
        <c:overlap val="-27"/>
        <c:gapWidth val="219"/>
        <c:axId val="0"/>
        <c:axId val="1"/>
      </c:barChart>
      <c:catAx>
        <c:axId val="0"/>
        <c:scaling>
          <c:orientation val="minMax"/>
        </c:scaling>
        <c:delete val="0"/>
        <c:axPos val="b"/>
        <c:numFmt formatCode="General" sourceLinked="1"/>
        <c:majorTickMark val="none"/>
        <c:minorTickMark val="none"/>
        <c:tickLblPos val="nextTo"/>
        <c:spPr>
          <a:ln w="6350">
            <a:solidFill>
              <a:srgbClr val="D9D9D9"/>
            </a:solidFill>
            <a:prstDash val="solid"/>
          </a:ln>
        </c:spPr>
        <c:txPr>
          <a:bodyPr/>
          <a:lstStyle/>
          <a:p>
            <a:pPr>
              <a:defRPr sz="900" b="0" i="0" u="none" strike="noStrike" baseline="0">
                <a:solidFill>
                  <a:srgbClr val="595959"/>
                </a:solidFill>
                <a:latin typeface="Times New Roman"/>
                <a:ea typeface="宋体"/>
                <a:cs typeface="Arial"/>
              </a:defRPr>
            </a:pPr>
            <a:endParaRPr lang="zh-CN"/>
          </a:p>
        </c:txPr>
        <c:crosses val="autoZero"/>
        <c:auto val="1"/>
        <c:lblOffset val="100"/>
        <c:lblAlgn val="ctr"/>
        <c:noMultiLvlLbl val="0"/>
        <c:crossAx val="1"/>
      </c:catAx>
      <c:valAx>
        <c:axId val="1"/>
        <c:scaling>
          <c:orientation val="minMax"/>
        </c:scaling>
        <c:delete val="0"/>
        <c:axPos val="l"/>
        <c:majorGridlines>
          <c:spPr>
            <a:ln w="6350">
              <a:solidFill>
                <a:srgbClr val="D9D9D9"/>
              </a:solidFill>
              <a:prstDash val="solid"/>
            </a:ln>
          </c:spPr>
        </c:majorGridlines>
        <c:numFmt formatCode="General" sourceLinked="1"/>
        <c:majorTickMark val="none"/>
        <c:minorTickMark val="none"/>
        <c:tickLblPos val="nextTo"/>
        <c:spPr>
          <a:ln>
            <a:noFill/>
          </a:ln>
        </c:spPr>
        <c:txPr>
          <a:bodyPr/>
          <a:lstStyle/>
          <a:p>
            <a:pPr>
              <a:defRPr sz="900" b="0" i="0" u="none" strike="noStrike" baseline="0">
                <a:solidFill>
                  <a:srgbClr val="595959"/>
                </a:solidFill>
                <a:latin typeface="Times New Roman"/>
                <a:ea typeface="宋体"/>
                <a:cs typeface="Arial"/>
              </a:defRPr>
            </a:pPr>
            <a:endParaRPr lang="zh-CN"/>
          </a:p>
        </c:txPr>
        <c:crossesAt val="1.0"/>
        <c:crossBetween val="between"/>
        <c:crossAx val="0"/>
      </c:valAx>
      <c:spPr>
        <a:noFill/>
        <a:ln>
          <a:noFill/>
        </a:ln>
      </c:spPr>
    </c:plotArea>
    <c:legend>
      <c:legendPos val="b"/>
      <c:layout/>
      <c:overlay val="0"/>
      <c:spPr>
        <a:noFill/>
        <a:ln>
          <a:noFill/>
        </a:ln>
      </c:spPr>
      <c:txPr>
        <a:bodyPr/>
        <a:lstStyle/>
        <a:p>
          <a:pPr>
            <a:defRPr sz="900" b="0" i="0" u="none" strike="noStrike" baseline="0">
              <a:solidFill>
                <a:srgbClr val="595959"/>
              </a:solidFill>
              <a:latin typeface="Times New Roman"/>
              <a:ea typeface="宋体"/>
              <a:cs typeface="Arial"/>
            </a:defRPr>
          </a:pPr>
          <a:endParaRPr lang="zh-CN"/>
        </a:p>
      </c:txPr>
    </c:legend>
    <c:plotVisOnly val="1"/>
    <c:dispBlanksAs val="gap"/>
    <c:showDLblsOverMax val="0"/>
  </c:chart>
  <c:spPr>
    <a:solidFill>
      <a:srgbClr val="FFFFFF"/>
    </a:solidFill>
    <a:ln w="6350">
      <a:solidFill>
        <a:srgbClr val="D9D9D9"/>
      </a:solidFill>
      <a:prstDash val="solid"/>
    </a:ln>
  </c:spPr>
  <c:txPr>
    <a:bodyPr/>
    <a:lstStyle/>
    <a:p>
      <a:pPr>
        <a:defRPr sz="1000" b="0" i="0" u="none" strike="noStrike" baseline="0">
          <a:solidFill>
            <a:srgbClr val="000000"/>
          </a:solidFill>
          <a:latin typeface="Times New Roman"/>
          <a:ea typeface="宋体"/>
          <a:cs typeface="Arial"/>
        </a:defRPr>
      </a:pPr>
      <a:endParaRPr lang="zh-CN"/>
    </a:p>
  </c:txPr>
  <c:printSettings>
    <c:headerFooter/>
    <c:pageMargins b="0.75" l="0.7" r="0.7" t="0.75" header="0.3" footer="0.3"/>
    <c:pageSetup/>
  </c:printSettings>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 (5)'!$B$1</c:f>
              <c:strCache>
                <c:ptCount val="1"/>
                <c:pt idx="0">
                  <c:v>财政拨款支出变动情况</c:v>
                </c:pt>
              </c:strCache>
            </c:strRef>
          </c:tx>
          <c:spPr>
            <a:solidFill>
              <a:srgbClr val="4F81BD"/>
            </a:solidFill>
            <a:ln>
              <a:noFill/>
            </a:ln>
          </c:spPr>
          <c:invertIfNegative val="0"/>
          <c:dLbls>
            <c:spPr>
              <a:noFill/>
              <a:ln>
                <a:noFill/>
              </a:ln>
            </c:spPr>
            <c:txPr>
              <a:bodyPr vert="horz"/>
              <a:lstStyle/>
              <a:p>
                <a:pPr>
                  <a:defRPr sz="900" b="0" i="0" u="none" strike="noStrike" baseline="0">
                    <a:solidFill>
                      <a:srgbClr val="404040"/>
                    </a:solidFill>
                    <a:latin typeface="Times New Roman"/>
                    <a:ea typeface="宋体"/>
                    <a:cs typeface="Arial"/>
                  </a:defRPr>
                </a:pPr>
                <a:endParaRPr lang="zh-CN"/>
              </a:p>
            </c:txPr>
            <c:numFmt formatCode="General" sourceLinked="1"/>
            <c:dLblPos val="ctr"/>
            <c:showLegendKey val="0"/>
            <c:showVal val="1"/>
            <c:showCatName val="0"/>
            <c:showSerName val="0"/>
            <c:showPercent val="0"/>
            <c:showBubbleSize val="0"/>
            <c:showLeaderLines val="1"/>
            <c:extLst>
              <c:ext xmlns:c15="http://schemas.microsoft.com/office/drawing/2012/chart" uri="{CE6537A1-D6FC-4f65-9D91-7224C49458BB}">
                <c15:showLeaderLines val="1"/>
              </c:ext>
            </c:extLst>
          </c:dLbls>
          <c:cat>
            <c:strRef>
              <c:f>'Sheet1 (5)'!$A$2:$A$5</c:f>
              <c:strCache>
                <c:ptCount val="4"/>
                <c:pt idx="0">
                  <c:v>2024年</c:v>
                </c:pt>
                <c:pt idx="1">
                  <c:v>2025年</c:v>
                </c:pt>
              </c:strCache>
            </c:strRef>
          </c:cat>
          <c:val>
            <c:numRef>
              <c:f>'Sheet1 (5)'!$B$2:$B$5</c:f>
              <c:numCache>
                <c:formatCode>General</c:formatCode>
                <c:ptCount val="4"/>
                <c:pt idx="0">
                  <c:v>1262.08</c:v>
                </c:pt>
              </c:numCache>
            </c:numRef>
          </c:val>
        </c:ser>
        <c:ser>
          <c:idx val="1"/>
          <c:order val="1"/>
          <c:tx>
            <c:strRef>
              <c:f>'Sheet1 (5)'!$C$1</c:f>
              <c:strCache>
                <c:ptCount val="1"/>
                <c:pt idx="0">
                  <c:v/>
                </c:pt>
              </c:strCache>
            </c:strRef>
          </c:tx>
          <c:spPr>
            <a:solidFill>
              <a:srgbClr val="C0504D"/>
            </a:solidFill>
            <a:ln>
              <a:noFill/>
            </a:ln>
          </c:spPr>
          <c:invertIfNegative val="0"/>
          <c:dLbls>
            <c:spPr>
              <a:noFill/>
              <a:ln>
                <a:noFill/>
              </a:ln>
            </c:spPr>
            <c:txPr>
              <a:bodyPr vert="horz"/>
              <a:lstStyle/>
              <a:p>
                <a:pPr>
                  <a:defRPr sz="900" b="0" i="0" u="none" strike="noStrike" baseline="0">
                    <a:solidFill>
                      <a:srgbClr val="404040"/>
                    </a:solidFill>
                    <a:latin typeface="Times New Roman"/>
                    <a:ea typeface="宋体"/>
                    <a:cs typeface="Arial"/>
                  </a:defRPr>
                </a:pPr>
                <a:endParaRPr lang="zh-CN"/>
              </a:p>
            </c:txPr>
            <c:numFmt formatCode="General" sourceLinked="1"/>
            <c:dLblPos val="ctr"/>
            <c:showLegendKey val="0"/>
            <c:showVal val="1"/>
            <c:showCatName val="0"/>
            <c:showSerName val="0"/>
            <c:showPercent val="0"/>
            <c:showBubbleSize val="0"/>
            <c:showLeaderLines val="1"/>
            <c:extLst>
              <c:ext xmlns:c15="http://schemas.microsoft.com/office/drawing/2012/chart" uri="{CE6537A1-D6FC-4f65-9D91-7224C49458BB}">
                <c15:showLeaderLines val="1"/>
              </c:ext>
            </c:extLst>
          </c:dLbls>
          <c:cat>
            <c:strRef>
              <c:f>'Sheet1 (5)'!$A$2:$A$5</c:f>
              <c:strCache>
                <c:ptCount val="4"/>
                <c:pt idx="0">
                  <c:v>2024年</c:v>
                </c:pt>
                <c:pt idx="1">
                  <c:v>2025年</c:v>
                </c:pt>
              </c:strCache>
            </c:strRef>
          </c:cat>
          <c:val>
            <c:numRef>
              <c:f>'Sheet1 (5)'!$C$2:$C$5</c:f>
              <c:numCache>
                <c:formatCode>General</c:formatCode>
                <c:ptCount val="4"/>
                <c:pt idx="1">
                  <c:v>1168.94</c:v>
                </c:pt>
              </c:numCache>
            </c:numRef>
          </c:val>
        </c:ser>
        <c:ser>
          <c:idx val="2"/>
          <c:order val="2"/>
          <c:tx>
            <c:strRef>
              <c:f>'Sheet1 (5)'!$D$1</c:f>
              <c:strCache>
                <c:ptCount val="1"/>
                <c:pt idx="0">
                  <c:v/>
                </c:pt>
              </c:strCache>
            </c:strRef>
          </c:tx>
          <c:spPr>
            <a:solidFill>
              <a:srgbClr val="9BBB59"/>
            </a:solidFill>
            <a:ln>
              <a:noFill/>
            </a:ln>
          </c:spPr>
          <c:invertIfNegative val="0"/>
          <c:dLbls>
            <c:spPr>
              <a:noFill/>
              <a:ln>
                <a:noFill/>
              </a:ln>
            </c:spPr>
            <c:txPr>
              <a:bodyPr vert="horz"/>
              <a:lstStyle/>
              <a:p>
                <a:pPr>
                  <a:defRPr sz="900" b="0" i="0" u="none" strike="noStrike" baseline="0">
                    <a:solidFill>
                      <a:srgbClr val="404040"/>
                    </a:solidFill>
                    <a:latin typeface="Times New Roman"/>
                    <a:ea typeface="宋体"/>
                    <a:cs typeface="Arial"/>
                  </a:defRPr>
                </a:pPr>
                <a:endParaRPr lang="zh-CN"/>
              </a:p>
            </c:txPr>
            <c:numFmt formatCode="General" sourceLinked="1"/>
            <c:dLblPos val="ctr"/>
            <c:showLegendKey val="0"/>
            <c:showVal val="1"/>
            <c:showCatName val="0"/>
            <c:showSerName val="0"/>
            <c:showPercent val="0"/>
            <c:showBubbleSize val="0"/>
            <c:showLeaderLines val="1"/>
            <c:extLst>
              <c:ext xmlns:c15="http://schemas.microsoft.com/office/drawing/2012/chart" uri="{CE6537A1-D6FC-4f65-9D91-7224C49458BB}">
                <c15:showLeaderLines val="1"/>
              </c:ext>
            </c:extLst>
          </c:dLbls>
          <c:cat>
            <c:strRef>
              <c:f>'Sheet1 (5)'!$A$2:$A$5</c:f>
              <c:strCache>
                <c:ptCount val="4"/>
                <c:pt idx="0">
                  <c:v>2024年</c:v>
                </c:pt>
                <c:pt idx="1">
                  <c:v>2025年</c:v>
                </c:pt>
              </c:strCache>
            </c:strRef>
          </c:cat>
          <c:val>
            <c:numRef>
              <c:f>'Sheet1 (5)'!$D$2:$D$5</c:f>
              <c:numCache>
                <c:formatCode>General</c:formatCode>
                <c:ptCount val="4"/>
              </c:numCache>
            </c:numRef>
          </c:val>
        </c:ser>
        <c:overlap val="100"/>
        <c:gapWidth val="150"/>
        <c:axId val="0"/>
        <c:axId val="1"/>
      </c:barChart>
      <c:catAx>
        <c:axId val="0"/>
        <c:scaling>
          <c:orientation val="minMax"/>
        </c:scaling>
        <c:delete val="0"/>
        <c:axPos val="b"/>
        <c:numFmt formatCode="General" sourceLinked="1"/>
        <c:majorTickMark val="none"/>
        <c:minorTickMark val="none"/>
        <c:tickLblPos val="nextTo"/>
        <c:spPr>
          <a:ln w="6350">
            <a:solidFill>
              <a:srgbClr val="D9D9D9"/>
            </a:solidFill>
            <a:prstDash val="solid"/>
          </a:ln>
        </c:spPr>
        <c:txPr>
          <a:bodyPr/>
          <a:lstStyle/>
          <a:p>
            <a:pPr>
              <a:defRPr sz="900" b="0" i="0" u="none" strike="noStrike" baseline="0">
                <a:solidFill>
                  <a:srgbClr val="595959"/>
                </a:solidFill>
                <a:latin typeface="Times New Roman"/>
                <a:ea typeface="宋体"/>
                <a:cs typeface="Arial"/>
              </a:defRPr>
            </a:pPr>
            <a:endParaRPr lang="zh-CN"/>
          </a:p>
        </c:txPr>
        <c:crosses val="autoZero"/>
        <c:auto val="1"/>
        <c:lblOffset val="100"/>
        <c:lblAlgn val="ctr"/>
        <c:noMultiLvlLbl val="0"/>
        <c:crossAx val="1"/>
      </c:catAx>
      <c:valAx>
        <c:axId val="1"/>
        <c:scaling>
          <c:orientation val="minMax"/>
        </c:scaling>
        <c:delete val="0"/>
        <c:axPos val="l"/>
        <c:majorGridlines>
          <c:spPr>
            <a:ln w="6350">
              <a:solidFill>
                <a:srgbClr val="D9D9D9"/>
              </a:solidFill>
              <a:prstDash val="solid"/>
            </a:ln>
          </c:spPr>
        </c:majorGridlines>
        <c:numFmt formatCode="General" sourceLinked="1"/>
        <c:majorTickMark val="none"/>
        <c:minorTickMark val="none"/>
        <c:tickLblPos val="nextTo"/>
        <c:spPr>
          <a:ln>
            <a:noFill/>
          </a:ln>
        </c:spPr>
        <c:txPr>
          <a:bodyPr/>
          <a:lstStyle/>
          <a:p>
            <a:pPr>
              <a:defRPr sz="900" b="0" i="0" u="none" strike="noStrike" baseline="0">
                <a:solidFill>
                  <a:srgbClr val="595959"/>
                </a:solidFill>
                <a:latin typeface="Times New Roman"/>
                <a:ea typeface="宋体"/>
                <a:cs typeface="Arial"/>
              </a:defRPr>
            </a:pPr>
            <a:endParaRPr lang="zh-CN"/>
          </a:p>
        </c:txPr>
        <c:crossesAt val="1.0"/>
        <c:crossBetween val="between"/>
        <c:crossAx val="0"/>
      </c:valAx>
      <c:spPr>
        <a:noFill/>
        <a:ln>
          <a:noFill/>
        </a:ln>
      </c:spPr>
    </c:plotArea>
    <c:legend>
      <c:legendPos val="b"/>
      <c:layout/>
      <c:overlay val="0"/>
      <c:spPr>
        <a:noFill/>
        <a:ln>
          <a:noFill/>
        </a:ln>
      </c:spPr>
      <c:txPr>
        <a:bodyPr/>
        <a:lstStyle/>
        <a:p>
          <a:pPr>
            <a:defRPr sz="900" b="0" i="0" u="none" strike="noStrike" baseline="0">
              <a:solidFill>
                <a:srgbClr val="595959"/>
              </a:solidFill>
              <a:latin typeface="Times New Roman"/>
              <a:ea typeface="宋体"/>
              <a:cs typeface="Arial"/>
            </a:defRPr>
          </a:pPr>
          <a:endParaRPr lang="zh-CN"/>
        </a:p>
      </c:txPr>
    </c:legend>
    <c:plotVisOnly val="1"/>
    <c:dispBlanksAs val="gap"/>
    <c:showDLblsOverMax val="0"/>
  </c:chart>
  <c:spPr>
    <a:solidFill>
      <a:srgbClr val="FFFFFF"/>
    </a:solidFill>
    <a:ln w="6350">
      <a:solidFill>
        <a:srgbClr val="D9D9D9"/>
      </a:solidFill>
      <a:prstDash val="solid"/>
    </a:ln>
  </c:spPr>
  <c:txPr>
    <a:bodyPr/>
    <a:lstStyle/>
    <a:p>
      <a:pPr>
        <a:defRPr sz="1000" b="0" i="0" u="none" strike="noStrike" baseline="0">
          <a:solidFill>
            <a:srgbClr val="000000"/>
          </a:solidFill>
          <a:latin typeface="Times New Roman"/>
          <a:ea typeface="宋体"/>
          <a:cs typeface="Arial"/>
        </a:defRPr>
      </a:pPr>
      <a:endParaRPr lang="zh-CN"/>
    </a:p>
  </c:txPr>
  <c:printSettings>
    <c:headerFooter/>
    <c:pageMargins b="0.75" l="0.7" r="0.7" t="0.75" header="0.3" footer="0.3"/>
    <c:pageSetup/>
  </c:printSettings>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tx>
            <c:strRef>
              <c:f>'Sheet1 (6)'!$B$1</c:f>
              <c:strCache>
                <c:ptCount val="1"/>
                <c:pt idx="0">
                  <c:v>一般公共预算财政支出</c:v>
                </c:pt>
              </c:strCache>
            </c:strRef>
          </c:tx>
          <c:spPr>
            <a:solidFill>
              <a:srgbClr val="4F81BD"/>
            </a:solidFill>
          </c:spPr>
          <c:dPt>
            <c:idx val="0"/>
            <c:bubble3D val="0"/>
            <c:spPr>
              <a:solidFill>
                <a:srgbClr val="4F81BD"/>
              </a:solidFill>
              <a:ln w="19050">
                <a:solidFill>
                  <a:srgbClr val="FFFFFF"/>
                </a:solidFill>
                <a:prstDash val="solid"/>
              </a:ln>
            </c:spPr>
          </c:dPt>
          <c:dPt>
            <c:idx val="1"/>
            <c:bubble3D val="0"/>
            <c:spPr>
              <a:solidFill>
                <a:srgbClr val="C0504D"/>
              </a:solidFill>
              <a:ln w="19050">
                <a:solidFill>
                  <a:srgbClr val="FFFFFF"/>
                </a:solidFill>
                <a:prstDash val="solid"/>
              </a:ln>
            </c:spPr>
          </c:dPt>
          <c:dPt>
            <c:idx val="2"/>
            <c:bubble3D val="0"/>
            <c:spPr>
              <a:solidFill>
                <a:srgbClr val="9BBB59"/>
              </a:solidFill>
              <a:ln w="19050">
                <a:solidFill>
                  <a:srgbClr val="FFFFFF"/>
                </a:solidFill>
                <a:prstDash val="solid"/>
              </a:ln>
            </c:spPr>
          </c:dPt>
          <c:dPt>
            <c:idx val="3"/>
            <c:bubble3D val="0"/>
            <c:spPr>
              <a:solidFill>
                <a:srgbClr val="8064A2"/>
              </a:solidFill>
              <a:ln w="19050">
                <a:solidFill>
                  <a:srgbClr val="FFFFFF"/>
                </a:solidFill>
                <a:prstDash val="solid"/>
              </a:ln>
            </c:spPr>
          </c:dPt>
          <c:dLbls>
            <c:spPr>
              <a:noFill/>
              <a:ln>
                <a:noFill/>
              </a:ln>
            </c:spPr>
            <c:txPr>
              <a:bodyPr vert="horz"/>
              <a:lstStyle/>
              <a:p>
                <a:pPr>
                  <a:defRPr sz="900" b="0" i="0" u="none" strike="noStrike" baseline="0">
                    <a:solidFill>
                      <a:srgbClr val="404040"/>
                    </a:solidFill>
                    <a:latin typeface="Times New Roman"/>
                    <a:ea typeface="宋体"/>
                    <a:cs typeface="Arial"/>
                  </a:defRPr>
                </a:pPr>
                <a:endParaRPr lang="zh-CN"/>
              </a:p>
            </c:txPr>
            <c:numFmt formatCode="General" sourceLinked="1"/>
            <c:showLegendKey val="0"/>
            <c:showVal val="1"/>
            <c:showCatName val="0"/>
            <c:showSerName val="0"/>
            <c:showPercent val="0"/>
            <c:showBubbleSize val="0"/>
            <c:showLeaderLines val="1"/>
          </c:dLbls>
          <c:cat>
            <c:strRef>
              <c:f>'Sheet1 (6)'!$A$2:$A$5</c:f>
              <c:strCache>
                <c:ptCount val="4"/>
                <c:pt idx="0">
                  <c:v>社会保障支出</c:v>
                </c:pt>
                <c:pt idx="1">
                  <c:v>卫生健康</c:v>
                </c:pt>
                <c:pt idx="2">
                  <c:v>住房保障支出</c:v>
                </c:pt>
                <c:pt idx="3">
                  <c:v>国防支出</c:v>
                </c:pt>
              </c:strCache>
            </c:strRef>
          </c:cat>
          <c:val>
            <c:numRef>
              <c:f>'Sheet1 (6)'!$B$2:$B$5</c:f>
              <c:numCache>
                <c:formatCode>General</c:formatCode>
                <c:ptCount val="4"/>
                <c:pt idx="0">
                  <c:v>117.58</c:v>
                </c:pt>
                <c:pt idx="1">
                  <c:v>14.92</c:v>
                </c:pt>
                <c:pt idx="2">
                  <c:v>17.63</c:v>
                </c:pt>
                <c:pt idx="3">
                  <c:v>18.8</c:v>
                </c:pt>
              </c:numCache>
            </c:numRef>
          </c:val>
        </c:ser>
        <c:ser>
          <c:idx val="1"/>
          <c:order val="1"/>
          <c:tx>
            <c:strRef>
              <c:f>'Sheet1 (6)'!$C$1</c:f>
              <c:strCache>
                <c:ptCount val="1"/>
                <c:pt idx="0">
                  <c:v/>
                </c:pt>
              </c:strCache>
            </c:strRef>
          </c:tx>
          <c:spPr>
            <a:solidFill>
              <a:srgbClr val="C0504D"/>
            </a:solidFill>
          </c:spPr>
          <c:dPt>
            <c:idx val="0"/>
            <c:invertIfNegative val="0"/>
            <c:bubble3D val="0"/>
            <c:spPr>
              <a:ln w="19050">
                <a:solidFill>
                  <a:srgbClr val="FFFFFF"/>
                </a:solidFill>
                <a:prstDash val="solid"/>
              </a:ln>
            </c:spPr>
          </c:dPt>
          <c:dPt>
            <c:idx val="1"/>
            <c:invertIfNegative val="0"/>
            <c:bubble3D val="0"/>
            <c:spPr>
              <a:ln w="19050">
                <a:solidFill>
                  <a:srgbClr val="FFFFFF"/>
                </a:solidFill>
                <a:prstDash val="solid"/>
              </a:ln>
            </c:spPr>
          </c:dPt>
          <c:dPt>
            <c:idx val="2"/>
            <c:invertIfNegative val="0"/>
            <c:bubble3D val="0"/>
            <c:spPr>
              <a:ln w="19050">
                <a:solidFill>
                  <a:srgbClr val="FFFFFF"/>
                </a:solidFill>
                <a:prstDash val="solid"/>
              </a:ln>
            </c:spPr>
          </c:dPt>
          <c:dPt>
            <c:idx val="3"/>
            <c:invertIfNegative val="0"/>
            <c:bubble3D val="0"/>
            <c:spPr>
              <a:ln w="19050">
                <a:solidFill>
                  <a:srgbClr val="FFFFFF"/>
                </a:solidFill>
                <a:prstDash val="solid"/>
              </a:ln>
            </c:spPr>
          </c:dPt>
          <c:dLbls>
            <c:spPr>
              <a:noFill/>
              <a:ln>
                <a:noFill/>
              </a:ln>
            </c:spPr>
            <c:txPr>
              <a:bodyPr vert="horz"/>
              <a:lstStyle/>
              <a:p>
                <a:pPr>
                  <a:defRPr sz="900" b="0" i="0" u="none" strike="noStrike" baseline="0">
                    <a:solidFill>
                      <a:srgbClr val="404040"/>
                    </a:solidFill>
                    <a:latin typeface="Times New Roman"/>
                    <a:ea typeface="宋体"/>
                    <a:cs typeface="Arial"/>
                  </a:defRPr>
                </a:pPr>
                <a:endParaRPr lang="zh-CN"/>
              </a:p>
            </c:txPr>
            <c:numFmt formatCode="General" sourceLinked="1"/>
            <c:showLegendKey val="0"/>
            <c:showVal val="1"/>
            <c:showCatName val="0"/>
            <c:showSerName val="0"/>
            <c:showPercent val="0"/>
            <c:showBubbleSize val="0"/>
            <c:showLeaderLines val="1"/>
          </c:dLbls>
          <c:cat>
            <c:strRef>
              <c:f>'Sheet1 (6)'!$A$2:$A$5</c:f>
              <c:strCache>
                <c:ptCount val="4"/>
                <c:pt idx="0">
                  <c:v>社会保障支出</c:v>
                </c:pt>
                <c:pt idx="1">
                  <c:v>卫生健康</c:v>
                </c:pt>
                <c:pt idx="2">
                  <c:v>住房保障支出</c:v>
                </c:pt>
                <c:pt idx="3">
                  <c:v>国防支出</c:v>
                </c:pt>
              </c:strCache>
            </c:strRef>
          </c:cat>
          <c:val>
            <c:numRef>
              <c:f>'Sheet1 (6)'!$C$2:$C$5</c:f>
              <c:numCache>
                <c:formatCode>General</c:formatCode>
                <c:ptCount val="4"/>
              </c:numCache>
            </c:numRef>
          </c:val>
        </c:ser>
        <c:firstSliceAng val="0"/>
      </c:pieChart>
      <c:spPr>
        <a:noFill/>
        <a:ln>
          <a:noFill/>
        </a:ln>
      </c:spPr>
    </c:plotArea>
    <c:legend>
      <c:legendPos val="b"/>
      <c:layout/>
      <c:overlay val="0"/>
      <c:spPr>
        <a:noFill/>
        <a:ln>
          <a:noFill/>
        </a:ln>
      </c:spPr>
      <c:txPr>
        <a:bodyPr/>
        <a:lstStyle/>
        <a:p>
          <a:pPr>
            <a:defRPr sz="900" b="0" i="0" u="none" strike="noStrike" baseline="0">
              <a:solidFill>
                <a:srgbClr val="595959"/>
              </a:solidFill>
              <a:latin typeface="Times New Roman"/>
              <a:ea typeface="宋体"/>
              <a:cs typeface="Arial"/>
            </a:defRPr>
          </a:pPr>
          <a:endParaRPr lang="zh-CN"/>
        </a:p>
      </c:txPr>
    </c:legend>
    <c:plotVisOnly val="1"/>
    <c:dispBlanksAs val="gap"/>
    <c:showDLblsOverMax val="0"/>
  </c:chart>
  <c:spPr>
    <a:solidFill>
      <a:srgbClr val="FFFFFF"/>
    </a:solidFill>
    <a:ln w="6350">
      <a:solidFill>
        <a:srgbClr val="D9D9D9"/>
      </a:solidFill>
      <a:prstDash val="solid"/>
    </a:ln>
  </c:spPr>
  <c:txPr>
    <a:bodyPr/>
    <a:lstStyle/>
    <a:p>
      <a:pPr>
        <a:defRPr sz="1000" b="0" i="0" u="none" strike="noStrike" baseline="0">
          <a:solidFill>
            <a:srgbClr val="000000"/>
          </a:solidFill>
          <a:latin typeface="Times New Roman"/>
          <a:ea typeface="宋体"/>
          <a:cs typeface="Arial"/>
        </a:defRPr>
      </a:pPr>
      <a:endParaRPr lang="zh-CN"/>
    </a:p>
  </c:txPr>
  <c:printSettings>
    <c:headerFooter/>
    <c:pageMargins b="0.75" l="0.7" r="0.7" t="0.75" header="0.3" footer="0.3"/>
    <c:pageSetup/>
  </c:printSettings>
  <c:externalData r:id="rId1">
    <c:autoUpdate val="0"/>
  </c:externalData>
</c:chartSpace>
</file>

<file path=docProps/app.xml><?xml version="1.0" encoding="utf-8"?>
<Properties xmlns="http://schemas.openxmlformats.org/officeDocument/2006/extended-properties">
  <Template>Normal.eit</Template>
  <TotalTime>5</TotalTime>
  <Application>Yozo_Office27021597764231179</Application>
  <Pages>35</Pages>
  <Words>10528</Words>
  <Characters>11613</Characters>
  <Lines>617</Lines>
  <Paragraphs>238</Paragraphs>
  <CharactersWithSpaces>11674</CharactersWithSpaces>
  <Company>四川省财政厅</Company>
</Properties>
</file>

<file path=docProps/core.xml><?xml version="1.0" encoding="utf-8"?>
<cp:coreProperties xmlns:cp="http://schemas.openxmlformats.org/package/2006/metadata/core-properties" xmlns:dc="http://purl.org/dc/elements/1.1/" xmlns:dcterms="http://purl.org/dc/terms/" xmlns:xsi="http://www.w3.org/2001/XMLSchema-instance">
  <dc:title>四川省***</dc:title>
  <dc:creator>曹颖</dc:creator>
  <cp:lastModifiedBy>Administrator</cp:lastModifiedBy>
  <cp:revision>13</cp:revision>
  <cp:lastPrinted>2023-08-03T10:35:00Z</cp:lastPrinted>
  <dcterms:created xsi:type="dcterms:W3CDTF">2024-08-05T07:12:00Z</dcterms:created>
  <dcterms:modified xsi:type="dcterms:W3CDTF">2026-10-26T02:27:40Z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2052-11.1.0.9021</vt:lpwstr>
  </property>
  <property fmtid="{D5CDD505-2E9C-101B-9397-08002B2CF9AE}" pid="3" name="ICV">
    <vt:lpwstr>D042E783FEA342258C88DF42424A0CAF</vt:lpwstr>
  </property>
</Properties>
</file>