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A508E">
      <w:pPr>
        <w:pStyle w:val="21"/>
        <w:bidi w:val="0"/>
      </w:pPr>
      <w:bookmarkStart w:id="0" w:name="_Toc15306267"/>
    </w:p>
    <w:p w14:paraId="270459AB">
      <w:pPr>
        <w:spacing w:line="600" w:lineRule="exact"/>
        <w:jc w:val="center"/>
        <w:outlineLvl w:val="0"/>
        <w:rPr>
          <w:rFonts w:ascii="方正小标宋简体" w:eastAsia="方正小标宋简体"/>
          <w:sz w:val="72"/>
          <w:szCs w:val="72"/>
        </w:rPr>
      </w:pPr>
    </w:p>
    <w:p w14:paraId="6CE97FAB">
      <w:pPr>
        <w:spacing w:line="600" w:lineRule="exact"/>
        <w:jc w:val="center"/>
        <w:outlineLvl w:val="0"/>
        <w:rPr>
          <w:rFonts w:ascii="方正小标宋简体" w:eastAsia="方正小标宋简体"/>
          <w:sz w:val="72"/>
          <w:szCs w:val="72"/>
        </w:rPr>
      </w:pPr>
    </w:p>
    <w:p w14:paraId="03EEE9C2">
      <w:pPr>
        <w:spacing w:line="600" w:lineRule="exact"/>
        <w:jc w:val="center"/>
        <w:outlineLvl w:val="0"/>
        <w:rPr>
          <w:rFonts w:ascii="方正小标宋简体" w:eastAsia="方正小标宋简体"/>
          <w:sz w:val="72"/>
          <w:szCs w:val="72"/>
        </w:rPr>
      </w:pPr>
    </w:p>
    <w:p w14:paraId="313FFAA8">
      <w:pPr>
        <w:adjustRightInd w:val="0"/>
        <w:snapToGrid w:val="0"/>
        <w:spacing w:line="360" w:lineRule="auto"/>
        <w:jc w:val="center"/>
        <w:outlineLvl w:val="0"/>
        <w:rPr>
          <w:rFonts w:ascii="方正小标宋简体" w:eastAsia="方正小标宋简体" w:cs="方正小标宋简体"/>
          <w:sz w:val="72"/>
          <w:szCs w:val="72"/>
        </w:rPr>
      </w:pPr>
      <w:bookmarkStart w:id="1" w:name="_Toc15377425"/>
      <w:bookmarkStart w:id="2" w:name="_Toc15377193"/>
      <w:bookmarkStart w:id="3" w:name="_Toc15396597"/>
      <w:bookmarkStart w:id="4" w:name="_Toc15396475"/>
      <w:bookmarkStart w:id="5" w:name="_Toc15378441"/>
      <w:r>
        <w:rPr>
          <w:rFonts w:hint="eastAsia" w:ascii="方正小标宋简体" w:eastAsia="方正小标宋简体" w:cs="方正小标宋简体"/>
          <w:sz w:val="72"/>
          <w:szCs w:val="72"/>
        </w:rPr>
        <w:t>202</w:t>
      </w:r>
      <w:r>
        <w:rPr>
          <w:rFonts w:hint="eastAsia" w:ascii="方正小标宋简体" w:eastAsia="方正小标宋简体" w:cs="方正小标宋简体"/>
          <w:sz w:val="72"/>
          <w:szCs w:val="72"/>
          <w:lang w:val="en-US" w:eastAsia="zh-CN"/>
        </w:rPr>
        <w:t>5</w:t>
      </w:r>
      <w:r>
        <w:rPr>
          <w:rFonts w:hint="eastAsia" w:ascii="方正小标宋简体" w:eastAsia="方正小标宋简体" w:cs="方正小标宋简体"/>
          <w:sz w:val="72"/>
          <w:szCs w:val="72"/>
        </w:rPr>
        <w:t>年度</w:t>
      </w:r>
      <w:bookmarkEnd w:id="1"/>
      <w:bookmarkEnd w:id="2"/>
      <w:bookmarkEnd w:id="3"/>
      <w:bookmarkEnd w:id="4"/>
      <w:bookmarkEnd w:id="5"/>
    </w:p>
    <w:p w14:paraId="3CC6E520">
      <w:pPr>
        <w:pStyle w:val="33"/>
        <w:keepNext w:val="0"/>
        <w:keepLines w:val="0"/>
        <w:widowControl/>
        <w:suppressLineNumbers w:val="0"/>
        <w:spacing w:before="0" w:beforeAutospacing="0"/>
        <w:ind w:left="0"/>
        <w:jc w:val="center"/>
        <w:rPr>
          <w:rFonts w:hint="eastAsia" w:ascii="方正小标宋简体" w:eastAsia="方正小标宋简体" w:cs="方正小标宋简体"/>
          <w:sz w:val="72"/>
          <w:szCs w:val="72"/>
        </w:rPr>
      </w:pPr>
      <w:bookmarkStart w:id="6" w:name="_Toc15377426"/>
      <w:bookmarkStart w:id="7" w:name="_Toc15378442"/>
      <w:bookmarkStart w:id="8" w:name="_Toc15396598"/>
      <w:bookmarkStart w:id="9" w:name="_Toc15377194"/>
      <w:bookmarkStart w:id="10" w:name="_Toc15396476"/>
      <w:r>
        <w:rPr>
          <w:rFonts w:ascii="方正小标宋简体" w:eastAsia="方正小标宋简体" w:cs="方正小标宋简体"/>
          <w:sz w:val="72"/>
          <w:szCs w:val="72"/>
        </w:rPr>
        <w:t>阿坝州</w:t>
      </w:r>
      <w:bookmarkEnd w:id="0"/>
      <w:bookmarkStart w:id="11" w:name="_Toc15306268"/>
      <w:r>
        <w:rPr>
          <w:rFonts w:hint="eastAsia" w:ascii="方正小标宋简体" w:eastAsia="方正小标宋简体" w:cs="方正小标宋简体"/>
          <w:sz w:val="72"/>
          <w:szCs w:val="72"/>
        </w:rPr>
        <w:t>红原县人民医院</w:t>
      </w:r>
    </w:p>
    <w:p w14:paraId="2C392626">
      <w:pPr>
        <w:pStyle w:val="33"/>
        <w:keepNext w:val="0"/>
        <w:keepLines w:val="0"/>
        <w:widowControl/>
        <w:suppressLineNumbers w:val="0"/>
        <w:spacing w:before="0" w:beforeAutospacing="0"/>
        <w:ind w:left="0"/>
        <w:jc w:val="center"/>
        <w:rPr>
          <w:rFonts w:hint="default" w:ascii="方正小标宋简体" w:eastAsia="方正小标宋简体" w:cs="方正小标宋简体"/>
          <w:sz w:val="72"/>
          <w:szCs w:val="72"/>
          <w:lang w:val="en-US" w:eastAsia="zh-CN"/>
        </w:rPr>
      </w:pPr>
      <w:r>
        <w:rPr>
          <w:rFonts w:hint="eastAsia" w:ascii="方正小标宋简体" w:eastAsia="方正小标宋简体" w:cs="方正小标宋简体"/>
          <w:sz w:val="72"/>
          <w:szCs w:val="72"/>
          <w:lang w:val="en-US" w:eastAsia="zh-CN"/>
        </w:rPr>
        <w:t>单位</w:t>
      </w:r>
      <w:r>
        <w:rPr>
          <w:rFonts w:hint="eastAsia" w:ascii="方正小标宋简体" w:eastAsia="方正小标宋简体" w:cs="方正小标宋简体"/>
          <w:sz w:val="72"/>
          <w:szCs w:val="72"/>
        </w:rPr>
        <w:t>决算公开</w:t>
      </w:r>
      <w:r>
        <w:rPr>
          <w:rFonts w:hint="eastAsia" w:ascii="方正小标宋简体" w:eastAsia="方正小标宋简体" w:cs="方正小标宋简体"/>
          <w:sz w:val="72"/>
          <w:szCs w:val="72"/>
          <w:lang w:val="en-US" w:eastAsia="zh-CN"/>
        </w:rPr>
        <w:t>编制说明</w:t>
      </w:r>
    </w:p>
    <w:bookmarkEnd w:id="6"/>
    <w:bookmarkEnd w:id="7"/>
    <w:bookmarkEnd w:id="8"/>
    <w:bookmarkEnd w:id="9"/>
    <w:bookmarkEnd w:id="10"/>
    <w:bookmarkEnd w:id="11"/>
    <w:p w14:paraId="5307657B">
      <w:pPr>
        <w:pStyle w:val="6"/>
        <w:spacing w:before="93"/>
      </w:pPr>
    </w:p>
    <w:p w14:paraId="06B7FC8E">
      <w:pPr>
        <w:pStyle w:val="6"/>
        <w:spacing w:before="93"/>
      </w:pPr>
    </w:p>
    <w:p w14:paraId="3AB5F5A5">
      <w:pPr>
        <w:pStyle w:val="6"/>
        <w:spacing w:before="93"/>
      </w:pPr>
    </w:p>
    <w:p w14:paraId="4C9CCFA8">
      <w:pPr>
        <w:pStyle w:val="6"/>
        <w:spacing w:before="93"/>
      </w:pPr>
    </w:p>
    <w:p w14:paraId="09E34CCF">
      <w:pPr>
        <w:pStyle w:val="6"/>
        <w:spacing w:before="93"/>
      </w:pPr>
    </w:p>
    <w:p w14:paraId="55E44E26">
      <w:pPr>
        <w:pStyle w:val="6"/>
        <w:spacing w:before="93"/>
      </w:pPr>
    </w:p>
    <w:p w14:paraId="2C1F5EFD">
      <w:pPr>
        <w:pStyle w:val="6"/>
        <w:spacing w:before="93"/>
      </w:pPr>
    </w:p>
    <w:p w14:paraId="23ADF673">
      <w:pPr>
        <w:pStyle w:val="6"/>
        <w:spacing w:before="93"/>
        <w:jc w:val="center"/>
        <w:rPr>
          <w:rFonts w:hint="eastAsia"/>
        </w:rPr>
      </w:pPr>
      <w:bookmarkStart w:id="12" w:name="_Hlk113547609"/>
      <w:r>
        <w:rPr>
          <w:rFonts w:hint="eastAsia" w:cs="仿宋_GB2312"/>
          <w:sz w:val="32"/>
          <w:szCs w:val="32"/>
        </w:rPr>
        <w:t>已经保密审查、内容审定，同意对外公开</w:t>
      </w:r>
      <w:bookmarkEnd w:id="12"/>
    </w:p>
    <w:p w14:paraId="32B8CFD4">
      <w:pPr>
        <w:widowControl/>
        <w:jc w:val="center"/>
        <w:rPr>
          <w:rFonts w:hint="eastAsia" w:ascii="黑体" w:eastAsia="黑体"/>
          <w:sz w:val="48"/>
          <w:szCs w:val="4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p w14:paraId="47DB1118">
      <w:pPr>
        <w:widowControl/>
        <w:jc w:val="center"/>
        <w:rPr>
          <w:rFonts w:ascii="黑体" w:eastAsia="黑体"/>
          <w:sz w:val="48"/>
          <w:szCs w:val="48"/>
        </w:rPr>
      </w:pPr>
      <w:r>
        <w:rPr>
          <w:rFonts w:hint="eastAsia" w:ascii="黑体" w:eastAsia="黑体"/>
          <w:sz w:val="48"/>
          <w:szCs w:val="48"/>
        </w:rPr>
        <w:t>目录</w:t>
      </w:r>
    </w:p>
    <w:p w14:paraId="2F035226">
      <w:pPr>
        <w:widowControl/>
        <w:jc w:val="center"/>
        <w:rPr>
          <w:rFonts w:ascii="黑体" w:eastAsia="黑体" w:cs="Arial"/>
          <w:sz w:val="28"/>
          <w:szCs w:val="28"/>
        </w:rPr>
      </w:pPr>
    </w:p>
    <w:p w14:paraId="16B5677B">
      <w:pPr>
        <w:pStyle w:val="13"/>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19</w:t>
      </w:r>
      <w:r>
        <w:rPr>
          <w:rFonts w:hint="eastAsia"/>
        </w:rPr>
        <w:t>日</w:t>
      </w:r>
    </w:p>
    <w:p w14:paraId="64845BB9"/>
    <w:p w14:paraId="5EC11C93">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第一部分 单位概况</w:t>
      </w:r>
      <w:r>
        <w:rPr>
          <w:rFonts w:hint="eastAsia" w:ascii="仿宋" w:hAnsi="仿宋" w:eastAsia="仿宋" w:cs="仿宋"/>
          <w:sz w:val="24"/>
          <w:szCs w:val="24"/>
          <w:lang w:val="en-US" w:eastAsia="zh-CN"/>
        </w:rPr>
        <w:t>.....................................</w:t>
      </w:r>
      <w:r>
        <w:rPr>
          <w:rFonts w:hint="eastAsia" w:ascii="仿宋" w:hAnsi="仿宋" w:eastAsia="仿宋" w:cs="仿宋"/>
          <w:kern w:val="0"/>
          <w:sz w:val="24"/>
          <w:szCs w:val="24"/>
          <w:shd w:val="clear" w:color="auto" w:fill="FFFFFF"/>
          <w:lang w:val="en-US" w:eastAsia="zh-CN" w:bidi="ar"/>
        </w:rPr>
        <w:t>...</w:t>
      </w:r>
      <w:r>
        <w:rPr>
          <w:rFonts w:hint="eastAsia" w:hAnsi="仿宋" w:cs="仿宋"/>
          <w:kern w:val="0"/>
          <w:sz w:val="24"/>
          <w:szCs w:val="24"/>
          <w:shd w:val="clear" w:color="auto" w:fill="FFFFFF"/>
          <w:lang w:val="en-US" w:eastAsia="zh-CN" w:bidi="ar"/>
        </w:rPr>
        <w:t>3</w:t>
      </w:r>
    </w:p>
    <w:p w14:paraId="0FC5B8EB">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一、</w:t>
      </w:r>
      <w:r>
        <w:rPr>
          <w:rFonts w:hint="eastAsia" w:ascii="仿宋" w:hAnsi="仿宋" w:eastAsia="仿宋" w:cs="仿宋"/>
          <w:sz w:val="24"/>
          <w:szCs w:val="24"/>
          <w:lang w:val="en-US" w:eastAsia="zh-CN"/>
        </w:rPr>
        <w:t>机构设置情况</w:t>
      </w:r>
      <w:r>
        <w:rPr>
          <w:rFonts w:hint="eastAsia" w:ascii="仿宋" w:hAnsi="仿宋" w:eastAsia="仿宋" w:cs="仿宋"/>
          <w:kern w:val="0"/>
          <w:sz w:val="24"/>
          <w:szCs w:val="24"/>
          <w:shd w:val="clear" w:color="auto" w:fill="FFFFFF"/>
          <w:lang w:val="en-US" w:eastAsia="zh-CN" w:bidi="ar"/>
        </w:rPr>
        <w:t>......................................3</w:t>
      </w:r>
    </w:p>
    <w:p w14:paraId="0C9C5D46">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二、职能简介</w:t>
      </w:r>
      <w:r>
        <w:rPr>
          <w:rFonts w:hint="eastAsia" w:ascii="仿宋" w:hAnsi="仿宋" w:eastAsia="仿宋" w:cs="仿宋"/>
          <w:kern w:val="0"/>
          <w:sz w:val="24"/>
          <w:szCs w:val="24"/>
          <w:shd w:val="clear" w:color="auto" w:fill="FFFFFF"/>
          <w:lang w:val="en-US" w:eastAsia="zh-CN" w:bidi="ar"/>
        </w:rPr>
        <w:t>..........................................3</w:t>
      </w:r>
    </w:p>
    <w:p w14:paraId="2E5395F9">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三</w:t>
      </w:r>
      <w:r>
        <w:rPr>
          <w:rFonts w:hint="eastAsia" w:ascii="仿宋" w:hAnsi="仿宋" w:eastAsia="仿宋" w:cs="仿宋"/>
          <w:sz w:val="24"/>
          <w:szCs w:val="24"/>
        </w:rPr>
        <w:t>、202</w:t>
      </w:r>
      <w:r>
        <w:rPr>
          <w:rFonts w:hint="eastAsia" w:ascii="仿宋" w:hAnsi="仿宋" w:eastAsia="仿宋" w:cs="仿宋"/>
          <w:sz w:val="24"/>
          <w:szCs w:val="24"/>
          <w:lang w:val="en-US" w:eastAsia="zh-CN"/>
        </w:rPr>
        <w:t>5</w:t>
      </w:r>
      <w:r>
        <w:rPr>
          <w:rFonts w:hint="eastAsia" w:ascii="仿宋" w:hAnsi="仿宋" w:eastAsia="仿宋" w:cs="仿宋"/>
          <w:sz w:val="24"/>
          <w:szCs w:val="24"/>
        </w:rPr>
        <w:t>年重点工作完成情况</w:t>
      </w:r>
      <w:r>
        <w:rPr>
          <w:rFonts w:hint="eastAsia" w:ascii="仿宋" w:hAnsi="仿宋" w:eastAsia="仿宋" w:cs="仿宋"/>
          <w:kern w:val="0"/>
          <w:sz w:val="24"/>
          <w:szCs w:val="24"/>
          <w:shd w:val="clear" w:color="auto" w:fill="FFFFFF"/>
          <w:lang w:val="en-US" w:eastAsia="zh-CN" w:bidi="ar"/>
        </w:rPr>
        <w:t>...........................3</w:t>
      </w:r>
    </w:p>
    <w:p w14:paraId="5F64C2B9">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仿宋" w:hAnsi="仿宋" w:eastAsia="仿宋" w:cs="仿宋"/>
          <w:sz w:val="24"/>
          <w:szCs w:val="24"/>
          <w:lang w:val="en-US"/>
        </w:rPr>
      </w:pPr>
      <w:r>
        <w:rPr>
          <w:rFonts w:hint="eastAsia" w:ascii="仿宋" w:hAnsi="仿宋" w:eastAsia="仿宋" w:cs="仿宋"/>
          <w:sz w:val="24"/>
          <w:szCs w:val="24"/>
        </w:rPr>
        <w:t>第二部分 202</w:t>
      </w:r>
      <w:r>
        <w:rPr>
          <w:rFonts w:hint="eastAsia" w:hAnsi="仿宋" w:cs="仿宋"/>
          <w:sz w:val="24"/>
          <w:szCs w:val="24"/>
          <w:lang w:val="en-US" w:eastAsia="zh-CN"/>
        </w:rPr>
        <w:t>5</w:t>
      </w:r>
      <w:r>
        <w:rPr>
          <w:rFonts w:hint="eastAsia" w:ascii="仿宋" w:hAnsi="仿宋" w:eastAsia="仿宋" w:cs="仿宋"/>
          <w:sz w:val="24"/>
          <w:szCs w:val="24"/>
        </w:rPr>
        <w:t>年度单位决算情况说明</w:t>
      </w:r>
      <w:r>
        <w:rPr>
          <w:rFonts w:hint="eastAsia" w:ascii="仿宋" w:hAnsi="仿宋" w:eastAsia="仿宋" w:cs="仿宋"/>
          <w:kern w:val="0"/>
          <w:sz w:val="24"/>
          <w:szCs w:val="24"/>
          <w:shd w:val="clear" w:color="auto" w:fill="FFFFFF"/>
          <w:lang w:val="en-US" w:eastAsia="zh-CN" w:bidi="ar"/>
        </w:rPr>
        <w:t>........................</w:t>
      </w:r>
      <w:r>
        <w:rPr>
          <w:rFonts w:hint="eastAsia" w:hAnsi="仿宋" w:cs="仿宋"/>
          <w:kern w:val="0"/>
          <w:sz w:val="24"/>
          <w:szCs w:val="24"/>
          <w:shd w:val="clear" w:color="auto" w:fill="FFFFFF"/>
          <w:lang w:val="en-US" w:eastAsia="zh-CN" w:bidi="ar"/>
        </w:rPr>
        <w:t>6</w:t>
      </w:r>
    </w:p>
    <w:p w14:paraId="088FD4ED">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一、收入支出决算总体情况说明</w:t>
      </w:r>
      <w:r>
        <w:rPr>
          <w:rFonts w:hint="eastAsia" w:ascii="仿宋" w:hAnsi="仿宋" w:eastAsia="仿宋" w:cs="仿宋"/>
          <w:kern w:val="0"/>
          <w:sz w:val="24"/>
          <w:szCs w:val="24"/>
          <w:shd w:val="clear" w:color="auto" w:fill="FFFFFF"/>
          <w:lang w:val="en-US" w:eastAsia="zh-CN" w:bidi="ar"/>
        </w:rPr>
        <w:t>..........................6</w:t>
      </w:r>
    </w:p>
    <w:p w14:paraId="12249474">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二、收入决算情况说明</w:t>
      </w:r>
      <w:r>
        <w:rPr>
          <w:rFonts w:hint="eastAsia" w:ascii="仿宋" w:hAnsi="仿宋" w:eastAsia="仿宋" w:cs="仿宋"/>
          <w:kern w:val="0"/>
          <w:sz w:val="24"/>
          <w:szCs w:val="24"/>
          <w:shd w:val="clear" w:color="auto" w:fill="FFFFFF"/>
          <w:lang w:val="en-US" w:eastAsia="zh-CN" w:bidi="ar"/>
        </w:rPr>
        <w:t>..................................7</w:t>
      </w:r>
    </w:p>
    <w:p w14:paraId="5E88C75C">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三、支出决算情况说明</w:t>
      </w:r>
      <w:r>
        <w:rPr>
          <w:rFonts w:hint="eastAsia" w:ascii="仿宋" w:hAnsi="仿宋" w:eastAsia="仿宋" w:cs="仿宋"/>
          <w:kern w:val="0"/>
          <w:sz w:val="24"/>
          <w:szCs w:val="24"/>
          <w:shd w:val="clear" w:color="auto" w:fill="FFFFFF"/>
          <w:lang w:val="en-US" w:eastAsia="zh-CN" w:bidi="ar"/>
        </w:rPr>
        <w:t>..................................8</w:t>
      </w:r>
    </w:p>
    <w:p w14:paraId="6E96FB1D">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四、财政拨款收入支出决算总体情况说明</w:t>
      </w:r>
      <w:r>
        <w:rPr>
          <w:rFonts w:hint="eastAsia" w:ascii="仿宋" w:hAnsi="仿宋" w:eastAsia="仿宋" w:cs="仿宋"/>
          <w:kern w:val="0"/>
          <w:sz w:val="24"/>
          <w:szCs w:val="24"/>
          <w:shd w:val="clear" w:color="auto" w:fill="FFFFFF"/>
          <w:lang w:val="en-US" w:eastAsia="zh-CN" w:bidi="ar"/>
        </w:rPr>
        <w:t>..................9</w:t>
      </w:r>
    </w:p>
    <w:p w14:paraId="2BCDE734">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五、一般公共预算财政拨款支出决算情况说明</w:t>
      </w:r>
      <w:r>
        <w:rPr>
          <w:rFonts w:hint="eastAsia" w:ascii="仿宋" w:hAnsi="仿宋" w:eastAsia="仿宋" w:cs="仿宋"/>
          <w:kern w:val="0"/>
          <w:sz w:val="24"/>
          <w:szCs w:val="24"/>
          <w:shd w:val="clear" w:color="auto" w:fill="FFFFFF"/>
          <w:lang w:val="en-US" w:eastAsia="zh-CN" w:bidi="ar"/>
        </w:rPr>
        <w:t>..............9</w:t>
      </w:r>
    </w:p>
    <w:p w14:paraId="1638D30A">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六、一般公共预算财政拨款基本支出决算情况说明</w:t>
      </w:r>
      <w:r>
        <w:rPr>
          <w:rFonts w:hint="eastAsia" w:ascii="仿宋" w:hAnsi="仿宋" w:eastAsia="仿宋" w:cs="仿宋"/>
          <w:kern w:val="0"/>
          <w:sz w:val="24"/>
          <w:szCs w:val="24"/>
          <w:shd w:val="clear" w:color="auto" w:fill="FFFFFF"/>
          <w:lang w:val="en-US" w:eastAsia="zh-CN" w:bidi="ar"/>
        </w:rPr>
        <w:t>..........11</w:t>
      </w:r>
    </w:p>
    <w:p w14:paraId="7D956E31">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七、“三公”经费财政拨款支出决算情况说明</w:t>
      </w:r>
      <w:r>
        <w:rPr>
          <w:rFonts w:hint="eastAsia" w:ascii="仿宋" w:hAnsi="仿宋" w:eastAsia="仿宋" w:cs="仿宋"/>
          <w:kern w:val="0"/>
          <w:sz w:val="24"/>
          <w:szCs w:val="24"/>
          <w:shd w:val="clear" w:color="auto" w:fill="FFFFFF"/>
          <w:lang w:val="en-US" w:eastAsia="zh-CN" w:bidi="ar"/>
        </w:rPr>
        <w:t>..............12</w:t>
      </w:r>
    </w:p>
    <w:p w14:paraId="29A62B83">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八、政府性基金预算支出决算情况说明</w:t>
      </w:r>
      <w:r>
        <w:rPr>
          <w:rFonts w:hint="eastAsia" w:ascii="仿宋" w:hAnsi="仿宋" w:eastAsia="仿宋" w:cs="仿宋"/>
          <w:kern w:val="0"/>
          <w:sz w:val="24"/>
          <w:szCs w:val="24"/>
          <w:shd w:val="clear" w:color="auto" w:fill="FFFFFF"/>
          <w:lang w:val="en-US" w:eastAsia="zh-CN" w:bidi="ar"/>
        </w:rPr>
        <w:t>....................13</w:t>
      </w:r>
    </w:p>
    <w:p w14:paraId="7FCAE7CD">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九、国有资本经营预算支出决算情况说明</w:t>
      </w:r>
      <w:r>
        <w:rPr>
          <w:rFonts w:hint="eastAsia" w:ascii="仿宋" w:hAnsi="仿宋" w:eastAsia="仿宋" w:cs="仿宋"/>
          <w:kern w:val="0"/>
          <w:sz w:val="24"/>
          <w:szCs w:val="24"/>
          <w:shd w:val="clear" w:color="auto" w:fill="FFFFFF"/>
          <w:lang w:val="en-US" w:eastAsia="zh-CN" w:bidi="ar"/>
        </w:rPr>
        <w:t>..................13</w:t>
      </w:r>
    </w:p>
    <w:p w14:paraId="2ADA4F5F">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十、其他重要事项的情况说明</w:t>
      </w:r>
      <w:r>
        <w:rPr>
          <w:rFonts w:hint="eastAsia" w:ascii="仿宋" w:hAnsi="仿宋" w:eastAsia="仿宋" w:cs="仿宋"/>
          <w:kern w:val="0"/>
          <w:sz w:val="24"/>
          <w:szCs w:val="24"/>
          <w:shd w:val="clear" w:color="auto" w:fill="FFFFFF"/>
          <w:lang w:val="en-US" w:eastAsia="zh-CN" w:bidi="ar"/>
        </w:rPr>
        <w:t>............................13</w:t>
      </w:r>
    </w:p>
    <w:p w14:paraId="1C6FCE1D">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仿宋" w:hAnsi="仿宋" w:eastAsia="仿宋" w:cs="仿宋"/>
          <w:sz w:val="24"/>
          <w:szCs w:val="24"/>
          <w:lang w:val="en-US"/>
        </w:rPr>
      </w:pPr>
      <w:r>
        <w:rPr>
          <w:rFonts w:hint="eastAsia" w:ascii="仿宋" w:hAnsi="仿宋" w:eastAsia="仿宋" w:cs="仿宋"/>
          <w:sz w:val="24"/>
          <w:szCs w:val="24"/>
        </w:rPr>
        <w:t>第三部分 名词解释</w:t>
      </w:r>
      <w:r>
        <w:rPr>
          <w:rFonts w:hint="eastAsia" w:ascii="仿宋" w:hAnsi="仿宋" w:eastAsia="仿宋" w:cs="仿宋"/>
          <w:kern w:val="0"/>
          <w:sz w:val="24"/>
          <w:szCs w:val="24"/>
          <w:shd w:val="clear" w:color="auto" w:fill="FFFFFF"/>
          <w:lang w:val="en-US" w:eastAsia="zh-CN" w:bidi="ar"/>
        </w:rPr>
        <w:t>..............................</w:t>
      </w:r>
      <w:r>
        <w:rPr>
          <w:rFonts w:hint="eastAsia" w:hAnsi="仿宋" w:cs="仿宋"/>
          <w:kern w:val="0"/>
          <w:sz w:val="24"/>
          <w:szCs w:val="24"/>
          <w:shd w:val="clear" w:color="auto" w:fill="FFFFFF"/>
          <w:lang w:val="en-US" w:eastAsia="zh-CN" w:bidi="ar"/>
        </w:rPr>
        <w:t>..........</w:t>
      </w:r>
      <w:r>
        <w:rPr>
          <w:rFonts w:hint="eastAsia" w:ascii="仿宋" w:hAnsi="仿宋" w:eastAsia="仿宋" w:cs="仿宋"/>
          <w:kern w:val="0"/>
          <w:sz w:val="24"/>
          <w:szCs w:val="24"/>
          <w:shd w:val="clear" w:color="auto" w:fill="FFFFFF"/>
          <w:lang w:val="en-US" w:eastAsia="zh-CN" w:bidi="ar"/>
        </w:rPr>
        <w:t>1</w:t>
      </w:r>
      <w:r>
        <w:rPr>
          <w:rFonts w:hint="eastAsia" w:hAnsi="仿宋" w:cs="仿宋"/>
          <w:kern w:val="0"/>
          <w:sz w:val="24"/>
          <w:szCs w:val="24"/>
          <w:shd w:val="clear" w:color="auto" w:fill="FFFFFF"/>
          <w:lang w:val="en-US" w:eastAsia="zh-CN" w:bidi="ar"/>
        </w:rPr>
        <w:t>4</w:t>
      </w:r>
    </w:p>
    <w:p w14:paraId="037EAFC1">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第四部分 附件</w:t>
      </w:r>
      <w:r>
        <w:rPr>
          <w:rFonts w:hint="eastAsia" w:ascii="仿宋" w:hAnsi="仿宋" w:eastAsia="仿宋" w:cs="仿宋"/>
          <w:kern w:val="0"/>
          <w:sz w:val="24"/>
          <w:szCs w:val="24"/>
          <w:shd w:val="clear" w:color="auto" w:fill="FFFFFF"/>
          <w:lang w:val="en-US" w:eastAsia="zh-CN" w:bidi="ar"/>
        </w:rPr>
        <w:t>.................................</w:t>
      </w:r>
      <w:r>
        <w:rPr>
          <w:rFonts w:hint="eastAsia" w:hAnsi="仿宋" w:cs="仿宋"/>
          <w:kern w:val="0"/>
          <w:sz w:val="24"/>
          <w:szCs w:val="24"/>
          <w:shd w:val="clear" w:color="auto" w:fill="FFFFFF"/>
          <w:lang w:val="en-US" w:eastAsia="zh-CN" w:bidi="ar"/>
        </w:rPr>
        <w:t>............</w:t>
      </w:r>
      <w:r>
        <w:rPr>
          <w:rFonts w:hint="eastAsia" w:ascii="仿宋" w:hAnsi="仿宋" w:eastAsia="仿宋" w:cs="仿宋"/>
          <w:kern w:val="0"/>
          <w:sz w:val="24"/>
          <w:szCs w:val="24"/>
          <w:shd w:val="clear" w:color="auto" w:fill="FFFFFF"/>
          <w:lang w:val="en-US" w:eastAsia="zh-CN" w:bidi="ar"/>
        </w:rPr>
        <w:t>1</w:t>
      </w:r>
      <w:r>
        <w:rPr>
          <w:rFonts w:hint="eastAsia" w:hAnsi="仿宋" w:cs="仿宋"/>
          <w:kern w:val="0"/>
          <w:sz w:val="24"/>
          <w:szCs w:val="24"/>
          <w:shd w:val="clear" w:color="auto" w:fill="FFFFFF"/>
          <w:lang w:val="en-US" w:eastAsia="zh-CN" w:bidi="ar"/>
        </w:rPr>
        <w:t>8</w:t>
      </w:r>
    </w:p>
    <w:p w14:paraId="30311737">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仿宋" w:hAnsi="仿宋" w:eastAsia="仿宋" w:cs="仿宋"/>
          <w:sz w:val="24"/>
          <w:szCs w:val="24"/>
          <w:lang w:val="en-US"/>
        </w:rPr>
      </w:pPr>
      <w:r>
        <w:rPr>
          <w:rFonts w:hint="eastAsia" w:ascii="仿宋" w:hAnsi="仿宋" w:eastAsia="仿宋" w:cs="仿宋"/>
          <w:sz w:val="24"/>
          <w:szCs w:val="24"/>
        </w:rPr>
        <w:t>第五部分 附表</w:t>
      </w:r>
      <w:r>
        <w:rPr>
          <w:rFonts w:hint="eastAsia" w:ascii="仿宋" w:hAnsi="仿宋" w:eastAsia="仿宋" w:cs="仿宋"/>
          <w:kern w:val="0"/>
          <w:sz w:val="24"/>
          <w:szCs w:val="24"/>
          <w:shd w:val="clear" w:color="auto" w:fill="FFFFFF"/>
          <w:lang w:val="en-US" w:eastAsia="zh-CN" w:bidi="ar"/>
        </w:rPr>
        <w:t>.................................</w:t>
      </w:r>
      <w:r>
        <w:rPr>
          <w:rFonts w:hint="eastAsia" w:hAnsi="仿宋" w:cs="仿宋"/>
          <w:kern w:val="0"/>
          <w:sz w:val="24"/>
          <w:szCs w:val="24"/>
          <w:shd w:val="clear" w:color="auto" w:fill="FFFFFF"/>
          <w:lang w:val="en-US" w:eastAsia="zh-CN" w:bidi="ar"/>
        </w:rPr>
        <w:t>............33</w:t>
      </w:r>
    </w:p>
    <w:p w14:paraId="5AB88653">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一、收入支出决算总表</w:t>
      </w:r>
      <w:r>
        <w:rPr>
          <w:rFonts w:hint="eastAsia" w:ascii="仿宋" w:hAnsi="仿宋" w:eastAsia="仿宋" w:cs="仿宋"/>
          <w:kern w:val="0"/>
          <w:sz w:val="24"/>
          <w:szCs w:val="24"/>
          <w:shd w:val="clear" w:color="auto" w:fill="FFFFFF"/>
          <w:lang w:val="en-US" w:eastAsia="zh-CN" w:bidi="ar"/>
        </w:rPr>
        <w:t>...............................33</w:t>
      </w:r>
    </w:p>
    <w:p w14:paraId="19F80518">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二、收入决算表</w:t>
      </w:r>
      <w:r>
        <w:rPr>
          <w:rFonts w:hint="eastAsia" w:ascii="仿宋" w:hAnsi="仿宋" w:eastAsia="仿宋" w:cs="仿宋"/>
          <w:kern w:val="0"/>
          <w:sz w:val="24"/>
          <w:szCs w:val="24"/>
          <w:shd w:val="clear" w:color="auto" w:fill="FFFFFF"/>
          <w:lang w:val="en-US" w:eastAsia="zh-CN" w:bidi="ar"/>
        </w:rPr>
        <w:t>.....................................33</w:t>
      </w:r>
    </w:p>
    <w:p w14:paraId="1F0D18DB">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三、支出决算表</w:t>
      </w:r>
      <w:r>
        <w:rPr>
          <w:rFonts w:hint="eastAsia" w:ascii="仿宋" w:hAnsi="仿宋" w:eastAsia="仿宋" w:cs="仿宋"/>
          <w:kern w:val="0"/>
          <w:sz w:val="24"/>
          <w:szCs w:val="24"/>
          <w:shd w:val="clear" w:color="auto" w:fill="FFFFFF"/>
          <w:lang w:val="en-US" w:eastAsia="zh-CN" w:bidi="ar"/>
        </w:rPr>
        <w:t>.....................................33</w:t>
      </w:r>
    </w:p>
    <w:p w14:paraId="4FFE17DD">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四、财政拨款收入支出决算总表</w:t>
      </w:r>
      <w:r>
        <w:rPr>
          <w:rFonts w:hint="eastAsia" w:ascii="仿宋" w:hAnsi="仿宋" w:eastAsia="仿宋" w:cs="仿宋"/>
          <w:kern w:val="0"/>
          <w:sz w:val="24"/>
          <w:szCs w:val="24"/>
          <w:shd w:val="clear" w:color="auto" w:fill="FFFFFF"/>
          <w:lang w:val="en-US" w:eastAsia="zh-CN" w:bidi="ar"/>
        </w:rPr>
        <w:t>.......................33</w:t>
      </w:r>
    </w:p>
    <w:p w14:paraId="590E7BC3">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五、财政拨款支出决算明细表</w:t>
      </w:r>
      <w:r>
        <w:rPr>
          <w:rFonts w:hint="eastAsia" w:ascii="仿宋" w:hAnsi="仿宋" w:eastAsia="仿宋" w:cs="仿宋"/>
          <w:kern w:val="0"/>
          <w:sz w:val="24"/>
          <w:szCs w:val="24"/>
          <w:shd w:val="clear" w:color="auto" w:fill="FFFFFF"/>
          <w:lang w:val="en-US" w:eastAsia="zh-CN" w:bidi="ar"/>
        </w:rPr>
        <w:t>.........................33</w:t>
      </w:r>
    </w:p>
    <w:p w14:paraId="23A6247F">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六、一般公共预算财政拨款支出决算表</w:t>
      </w:r>
      <w:r>
        <w:rPr>
          <w:rFonts w:hint="eastAsia" w:ascii="仿宋" w:hAnsi="仿宋" w:eastAsia="仿宋" w:cs="仿宋"/>
          <w:kern w:val="0"/>
          <w:sz w:val="24"/>
          <w:szCs w:val="24"/>
          <w:shd w:val="clear" w:color="auto" w:fill="FFFFFF"/>
          <w:lang w:val="en-US" w:eastAsia="zh-CN" w:bidi="ar"/>
        </w:rPr>
        <w:t>.................33</w:t>
      </w:r>
    </w:p>
    <w:p w14:paraId="2F36DF28">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七、一般公共预算财政拨款支出决算明细表</w:t>
      </w:r>
      <w:r>
        <w:rPr>
          <w:rFonts w:hint="eastAsia" w:ascii="仿宋" w:hAnsi="仿宋" w:eastAsia="仿宋" w:cs="仿宋"/>
          <w:kern w:val="0"/>
          <w:sz w:val="24"/>
          <w:szCs w:val="24"/>
          <w:shd w:val="clear" w:color="auto" w:fill="FFFFFF"/>
          <w:lang w:val="en-US" w:eastAsia="zh-CN" w:bidi="ar"/>
        </w:rPr>
        <w:t>.............33</w:t>
      </w:r>
    </w:p>
    <w:p w14:paraId="7C4697AF">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八、一般公共预算财政拨款基本支出决算表</w:t>
      </w:r>
      <w:r>
        <w:rPr>
          <w:rFonts w:hint="eastAsia" w:ascii="仿宋" w:hAnsi="仿宋" w:eastAsia="仿宋" w:cs="仿宋"/>
          <w:kern w:val="0"/>
          <w:sz w:val="24"/>
          <w:szCs w:val="24"/>
          <w:shd w:val="clear" w:color="auto" w:fill="FFFFFF"/>
          <w:lang w:val="en-US" w:eastAsia="zh-CN" w:bidi="ar"/>
        </w:rPr>
        <w:t>.............33</w:t>
      </w:r>
    </w:p>
    <w:p w14:paraId="108B8631">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九、一般公共预算财政拨款项目支出决算表</w:t>
      </w:r>
      <w:r>
        <w:rPr>
          <w:rFonts w:hint="eastAsia" w:ascii="仿宋" w:hAnsi="仿宋" w:eastAsia="仿宋" w:cs="仿宋"/>
          <w:kern w:val="0"/>
          <w:sz w:val="24"/>
          <w:szCs w:val="24"/>
          <w:shd w:val="clear" w:color="auto" w:fill="FFFFFF"/>
          <w:lang w:val="en-US" w:eastAsia="zh-CN" w:bidi="ar"/>
        </w:rPr>
        <w:t>.............33</w:t>
      </w:r>
    </w:p>
    <w:p w14:paraId="660B10B1">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十、政府性基金预算财政拨款收入支出决算表</w:t>
      </w:r>
      <w:r>
        <w:rPr>
          <w:rFonts w:hint="eastAsia" w:ascii="仿宋" w:hAnsi="仿宋" w:eastAsia="仿宋" w:cs="仿宋"/>
          <w:kern w:val="0"/>
          <w:sz w:val="24"/>
          <w:szCs w:val="24"/>
          <w:shd w:val="clear" w:color="auto" w:fill="FFFFFF"/>
          <w:lang w:val="en-US" w:eastAsia="zh-CN" w:bidi="ar"/>
        </w:rPr>
        <w:t>...........33</w:t>
      </w:r>
    </w:p>
    <w:p w14:paraId="181789C5">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rPr>
      </w:pPr>
      <w:r>
        <w:rPr>
          <w:rFonts w:hint="eastAsia" w:ascii="仿宋" w:hAnsi="仿宋" w:eastAsia="仿宋" w:cs="仿宋"/>
          <w:sz w:val="24"/>
          <w:szCs w:val="24"/>
        </w:rPr>
        <w:t>十</w:t>
      </w:r>
      <w:r>
        <w:rPr>
          <w:rFonts w:hint="eastAsia" w:ascii="仿宋" w:hAnsi="仿宋" w:eastAsia="仿宋" w:cs="仿宋"/>
          <w:sz w:val="24"/>
          <w:szCs w:val="24"/>
          <w:lang w:val="en-US" w:eastAsia="zh-CN"/>
        </w:rPr>
        <w:t>一</w:t>
      </w:r>
      <w:r>
        <w:rPr>
          <w:rFonts w:hint="eastAsia" w:ascii="仿宋" w:hAnsi="仿宋" w:eastAsia="仿宋" w:cs="仿宋"/>
          <w:sz w:val="24"/>
          <w:szCs w:val="24"/>
        </w:rPr>
        <w:t>、国有资本经营预算财政拨款收入支出决算表</w:t>
      </w:r>
      <w:r>
        <w:rPr>
          <w:rFonts w:hint="eastAsia" w:ascii="仿宋" w:hAnsi="仿宋" w:eastAsia="仿宋" w:cs="仿宋"/>
          <w:kern w:val="0"/>
          <w:sz w:val="24"/>
          <w:szCs w:val="24"/>
          <w:shd w:val="clear" w:color="auto" w:fill="FFFFFF"/>
          <w:lang w:val="en-US" w:eastAsia="zh-CN" w:bidi="ar"/>
        </w:rPr>
        <w:t>.......33</w:t>
      </w:r>
    </w:p>
    <w:p w14:paraId="24028509">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kern w:val="0"/>
          <w:sz w:val="24"/>
          <w:szCs w:val="24"/>
          <w:shd w:val="clear" w:color="auto" w:fill="FFFFFF"/>
          <w:lang w:val="en-US" w:eastAsia="zh-CN" w:bidi="ar"/>
        </w:rPr>
      </w:pPr>
      <w:r>
        <w:rPr>
          <w:rFonts w:hint="eastAsia" w:ascii="仿宋" w:hAnsi="仿宋" w:eastAsia="仿宋" w:cs="仿宋"/>
          <w:sz w:val="24"/>
          <w:szCs w:val="24"/>
        </w:rPr>
        <w:t>十</w:t>
      </w:r>
      <w:r>
        <w:rPr>
          <w:rFonts w:hint="eastAsia" w:ascii="仿宋" w:hAnsi="仿宋" w:eastAsia="仿宋" w:cs="仿宋"/>
          <w:sz w:val="24"/>
          <w:szCs w:val="24"/>
          <w:lang w:val="en-US" w:eastAsia="zh-CN"/>
        </w:rPr>
        <w:t>二</w:t>
      </w:r>
      <w:r>
        <w:rPr>
          <w:rFonts w:hint="eastAsia" w:ascii="仿宋" w:hAnsi="仿宋" w:eastAsia="仿宋" w:cs="仿宋"/>
          <w:sz w:val="24"/>
          <w:szCs w:val="24"/>
        </w:rPr>
        <w:t>、国有资本经营预算财政拨款支出决算表</w:t>
      </w:r>
      <w:r>
        <w:rPr>
          <w:rFonts w:hint="eastAsia" w:ascii="仿宋" w:hAnsi="仿宋" w:eastAsia="仿宋" w:cs="仿宋"/>
          <w:kern w:val="0"/>
          <w:sz w:val="24"/>
          <w:szCs w:val="24"/>
          <w:shd w:val="clear" w:color="auto" w:fill="FFFFFF"/>
          <w:lang w:val="en-US" w:eastAsia="zh-CN" w:bidi="ar"/>
        </w:rPr>
        <w:t>...........33</w:t>
      </w:r>
    </w:p>
    <w:p w14:paraId="2CC918E7">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十</w:t>
      </w:r>
      <w:r>
        <w:rPr>
          <w:rFonts w:hint="eastAsia" w:ascii="仿宋" w:hAnsi="仿宋" w:eastAsia="仿宋" w:cs="仿宋"/>
          <w:sz w:val="24"/>
          <w:szCs w:val="24"/>
          <w:lang w:val="en-US" w:eastAsia="zh-CN"/>
        </w:rPr>
        <w:t>三</w:t>
      </w:r>
      <w:r>
        <w:rPr>
          <w:rFonts w:hint="eastAsia" w:ascii="仿宋" w:hAnsi="仿宋" w:eastAsia="仿宋" w:cs="仿宋"/>
          <w:sz w:val="24"/>
          <w:szCs w:val="24"/>
        </w:rPr>
        <w:t>、</w:t>
      </w:r>
      <w:r>
        <w:rPr>
          <w:rFonts w:hint="default" w:ascii="仿宋" w:hAnsi="仿宋" w:eastAsia="仿宋" w:cs="仿宋"/>
          <w:sz w:val="24"/>
          <w:szCs w:val="24"/>
          <w:lang w:val="en-US"/>
        </w:rPr>
        <w:t>财政拨款“三公”经费支出决算表</w:t>
      </w:r>
      <w:r>
        <w:rPr>
          <w:rFonts w:hint="eastAsia" w:ascii="仿宋" w:hAnsi="仿宋" w:eastAsia="仿宋" w:cs="仿宋"/>
          <w:sz w:val="24"/>
          <w:szCs w:val="24"/>
          <w:lang w:val="en-US" w:eastAsia="zh-CN"/>
        </w:rPr>
        <w:t>...............</w:t>
      </w:r>
      <w:r>
        <w:rPr>
          <w:rFonts w:hint="eastAsia" w:ascii="仿宋" w:hAnsi="仿宋" w:eastAsia="仿宋" w:cs="仿宋"/>
          <w:kern w:val="0"/>
          <w:sz w:val="24"/>
          <w:szCs w:val="24"/>
          <w:shd w:val="clear" w:color="auto" w:fill="FFFFFF"/>
          <w:lang w:val="en-US" w:eastAsia="zh-CN" w:bidi="ar"/>
        </w:rPr>
        <w:t>33</w:t>
      </w:r>
    </w:p>
    <w:p w14:paraId="7A8C6CC2">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十四、取消药品加成项目绩效自评表...................</w:t>
      </w:r>
      <w:r>
        <w:rPr>
          <w:rFonts w:hint="eastAsia" w:ascii="仿宋" w:hAnsi="仿宋" w:eastAsia="仿宋" w:cs="仿宋"/>
          <w:kern w:val="0"/>
          <w:sz w:val="24"/>
          <w:szCs w:val="24"/>
          <w:shd w:val="clear" w:color="auto" w:fill="FFFFFF"/>
          <w:lang w:val="en-US" w:eastAsia="zh-CN" w:bidi="ar"/>
        </w:rPr>
        <w:t>33</w:t>
      </w:r>
    </w:p>
    <w:p w14:paraId="5ED05CDA">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eastAsia" w:ascii="仿宋" w:hAnsi="仿宋" w:eastAsia="仿宋" w:cs="仿宋"/>
          <w:kern w:val="0"/>
          <w:sz w:val="24"/>
          <w:szCs w:val="24"/>
          <w:shd w:val="clear" w:color="auto" w:fill="FFFFFF"/>
          <w:lang w:val="en-US" w:eastAsia="zh-CN" w:bidi="ar"/>
        </w:rPr>
      </w:pPr>
      <w:bookmarkStart w:id="13" w:name="_Toc15377196"/>
      <w:bookmarkStart w:id="14" w:name="_Toc15396599"/>
      <w:r>
        <w:rPr>
          <w:rFonts w:hint="eastAsia" w:ascii="仿宋" w:hAnsi="仿宋" w:eastAsia="仿宋" w:cs="仿宋"/>
          <w:sz w:val="24"/>
          <w:szCs w:val="24"/>
          <w:lang w:val="en-US" w:eastAsia="zh-CN"/>
        </w:rPr>
        <w:t>十五、重大疾病防控项目绩效自评表...................</w:t>
      </w:r>
      <w:r>
        <w:rPr>
          <w:rFonts w:hint="eastAsia" w:ascii="仿宋" w:hAnsi="仿宋" w:eastAsia="仿宋" w:cs="仿宋"/>
          <w:kern w:val="0"/>
          <w:sz w:val="24"/>
          <w:szCs w:val="24"/>
          <w:shd w:val="clear" w:color="auto" w:fill="FFFFFF"/>
          <w:lang w:val="en-US" w:eastAsia="zh-CN" w:bidi="ar"/>
        </w:rPr>
        <w:t>33</w:t>
      </w:r>
    </w:p>
    <w:p w14:paraId="4432594E">
      <w:pPr>
        <w:pStyle w:val="14"/>
        <w:keepNext w:val="0"/>
        <w:keepLines w:val="0"/>
        <w:pageBreakBefore w:val="0"/>
        <w:kinsoku/>
        <w:wordWrap/>
        <w:overflowPunct/>
        <w:topLinePunct w:val="0"/>
        <w:autoSpaceDE/>
        <w:autoSpaceDN/>
        <w:bidi w:val="0"/>
        <w:adjustRightInd w:val="0"/>
        <w:snapToGrid w:val="0"/>
        <w:spacing w:line="560" w:lineRule="exact"/>
        <w:ind w:left="42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十六、部门整体绩效目标自评表.......................</w:t>
      </w:r>
      <w:r>
        <w:rPr>
          <w:rFonts w:hint="eastAsia" w:ascii="仿宋" w:hAnsi="仿宋" w:eastAsia="仿宋" w:cs="仿宋"/>
          <w:kern w:val="0"/>
          <w:sz w:val="24"/>
          <w:szCs w:val="24"/>
          <w:shd w:val="clear" w:color="auto" w:fill="FFFFFF"/>
          <w:lang w:val="en-US" w:eastAsia="zh-CN" w:bidi="ar"/>
        </w:rPr>
        <w:t>33</w:t>
      </w:r>
    </w:p>
    <w:p w14:paraId="585B76DE">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bCs/>
          <w:kern w:val="44"/>
          <w:sz w:val="24"/>
          <w:szCs w:val="24"/>
        </w:rPr>
      </w:pPr>
      <w:r>
        <w:rPr>
          <w:rFonts w:hint="eastAsia" w:ascii="仿宋" w:hAnsi="仿宋" w:eastAsia="仿宋" w:cs="仿宋"/>
          <w:b/>
          <w:sz w:val="24"/>
          <w:szCs w:val="24"/>
        </w:rPr>
        <w:br w:type="page"/>
      </w:r>
    </w:p>
    <w:p w14:paraId="2385A547">
      <w:pPr>
        <w:pStyle w:val="2"/>
        <w:pageBreakBefore w:val="0"/>
        <w:kinsoku/>
        <w:wordWrap/>
        <w:overflowPunct/>
        <w:topLinePunct w:val="0"/>
        <w:autoSpaceDE/>
        <w:autoSpaceDN/>
        <w:bidi w:val="0"/>
        <w:adjustRightInd/>
        <w:snapToGrid/>
        <w:spacing w:line="560" w:lineRule="exact"/>
        <w:ind w:right="440"/>
        <w:jc w:val="center"/>
        <w:textAlignment w:val="auto"/>
        <w:rPr>
          <w:rFonts w:hint="eastAsia" w:ascii="黑体" w:eastAsia="黑体"/>
          <w:b w:val="0"/>
          <w:lang w:val="en-US" w:eastAsia="zh-CN"/>
        </w:rPr>
      </w:pPr>
      <w:r>
        <w:rPr>
          <w:rFonts w:hint="eastAsia" w:ascii="黑体" w:eastAsia="黑体"/>
          <w:b w:val="0"/>
          <w:lang w:val="en-US" w:eastAsia="zh-CN"/>
        </w:rPr>
        <w:t>第一部分</w:t>
      </w:r>
      <w:r>
        <w:rPr>
          <w:rFonts w:hint="eastAsia" w:ascii="黑体" w:eastAsia="黑体"/>
          <w:b w:val="0"/>
        </w:rPr>
        <w:t>单位概况</w:t>
      </w:r>
      <w:bookmarkEnd w:id="13"/>
      <w:bookmarkEnd w:id="14"/>
    </w:p>
    <w:p w14:paraId="038FE36C">
      <w:pPr>
        <w:widowControl/>
        <w:numPr>
          <w:ilvl w:val="0"/>
          <w:numId w:val="1"/>
        </w:numPr>
        <w:ind w:firstLine="640" w:firstLineChars="200"/>
        <w:jc w:val="left"/>
        <w:rPr>
          <w:rFonts w:hint="eastAsia" w:ascii="黑体" w:hAnsi="Times New Roman" w:eastAsia="黑体" w:cs="Times New Roman"/>
          <w:kern w:val="2"/>
          <w:sz w:val="32"/>
          <w:szCs w:val="32"/>
          <w:lang w:val="en-US" w:eastAsia="zh-CN" w:bidi="ar-SA"/>
        </w:rPr>
      </w:pPr>
      <w:r>
        <w:rPr>
          <w:rFonts w:hint="eastAsia" w:ascii="黑体" w:hAnsi="Times New Roman" w:eastAsia="黑体" w:cs="Times New Roman"/>
          <w:kern w:val="2"/>
          <w:sz w:val="32"/>
          <w:szCs w:val="32"/>
          <w:lang w:val="en-US" w:eastAsia="zh-CN" w:bidi="ar-SA"/>
        </w:rPr>
        <w:t>机构设置情况</w:t>
      </w:r>
    </w:p>
    <w:p w14:paraId="15D46391">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方正仿宋_GB2312" w:hAnsi="方正仿宋_GB2312" w:eastAsia="方正仿宋_GB2312" w:cs="方正仿宋_GB2312"/>
          <w:color w:val="auto"/>
          <w:kern w:val="0"/>
          <w:sz w:val="32"/>
          <w:szCs w:val="32"/>
          <w:lang w:val="en-US" w:eastAsia="zh-CN" w:bidi="ar"/>
        </w:rPr>
      </w:pPr>
      <w:r>
        <w:rPr>
          <w:rFonts w:hint="eastAsia" w:ascii="仿宋" w:hAnsi="宋体" w:eastAsia="仿宋" w:cs="宋体"/>
          <w:color w:val="auto"/>
          <w:kern w:val="0"/>
          <w:sz w:val="32"/>
          <w:szCs w:val="32"/>
          <w:lang w:val="en-US" w:eastAsia="zh-CN" w:bidi="ar"/>
        </w:rPr>
        <w:t>设临床科室：</w:t>
      </w:r>
      <w:r>
        <w:rPr>
          <w:rFonts w:hint="eastAsia" w:ascii="方正仿宋_GB2312" w:hAnsi="方正仿宋_GB2312" w:eastAsia="方正仿宋_GB2312" w:cs="方正仿宋_GB2312"/>
          <w:color w:val="auto"/>
          <w:kern w:val="0"/>
          <w:sz w:val="32"/>
          <w:szCs w:val="32"/>
          <w:lang w:val="en-US" w:eastAsia="zh-CN" w:bidi="ar"/>
        </w:rPr>
        <w:t>内科、外科、妇产科、儿科、急诊科、五官科、口腔科、麻醉科、中医康复科、皮肤科、疼痛科等多个</w:t>
      </w:r>
      <w:r>
        <w:rPr>
          <w:rFonts w:hint="eastAsia" w:ascii="仿宋" w:hAnsi="宋体" w:eastAsia="仿宋" w:cs="宋体"/>
          <w:color w:val="auto"/>
          <w:kern w:val="0"/>
          <w:sz w:val="32"/>
          <w:szCs w:val="32"/>
          <w:lang w:val="en-US" w:eastAsia="zh-CN" w:bidi="ar"/>
        </w:rPr>
        <w:t>等科室。</w:t>
      </w:r>
    </w:p>
    <w:p w14:paraId="3C2D3C1B">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黑体" w:hAnsi="Times New Roman" w:eastAsia="黑体" w:cs="Times New Roman"/>
          <w:color w:val="auto"/>
          <w:kern w:val="2"/>
          <w:sz w:val="32"/>
          <w:szCs w:val="32"/>
          <w:lang w:val="en-US" w:eastAsia="zh-CN" w:bidi="ar-SA"/>
        </w:rPr>
      </w:pPr>
      <w:r>
        <w:rPr>
          <w:rFonts w:hint="eastAsia" w:ascii="仿宋" w:hAnsi="宋体" w:eastAsia="仿宋" w:cs="宋体"/>
          <w:color w:val="auto"/>
          <w:kern w:val="0"/>
          <w:sz w:val="32"/>
          <w:szCs w:val="32"/>
          <w:lang w:val="en-US" w:eastAsia="zh-CN" w:bidi="ar"/>
        </w:rPr>
        <w:t>设医疗辅助科室：</w:t>
      </w:r>
      <w:r>
        <w:rPr>
          <w:rFonts w:hint="eastAsia" w:ascii="方正仿宋_GB2312" w:hAnsi="方正仿宋_GB2312" w:eastAsia="方正仿宋_GB2312" w:cs="方正仿宋_GB2312"/>
          <w:color w:val="auto"/>
          <w:kern w:val="0"/>
          <w:sz w:val="32"/>
          <w:szCs w:val="32"/>
          <w:lang w:val="en-US" w:eastAsia="zh-CN" w:bidi="ar"/>
        </w:rPr>
        <w:t>药剂科、检验科、放射科、手术室、消毒供应室、超声科、心电图室、体检科</w:t>
      </w:r>
      <w:r>
        <w:rPr>
          <w:rFonts w:hint="eastAsia" w:ascii="仿宋" w:hAnsi="宋体" w:eastAsia="仿宋" w:cs="宋体"/>
          <w:color w:val="auto"/>
          <w:kern w:val="0"/>
          <w:sz w:val="32"/>
          <w:szCs w:val="32"/>
          <w:lang w:val="en-US" w:eastAsia="zh-CN" w:bidi="ar"/>
        </w:rPr>
        <w:t>等医技科室</w:t>
      </w:r>
      <w:r>
        <w:rPr>
          <w:rFonts w:hint="eastAsia" w:ascii="方正仿宋_GB2312" w:hAnsi="方正仿宋_GB2312" w:eastAsia="方正仿宋_GB2312" w:cs="方正仿宋_GB2312"/>
          <w:color w:val="auto"/>
          <w:kern w:val="0"/>
          <w:sz w:val="32"/>
          <w:szCs w:val="32"/>
          <w:lang w:val="en-US" w:eastAsia="zh-CN" w:bidi="ar"/>
        </w:rPr>
        <w:t>。</w:t>
      </w:r>
    </w:p>
    <w:p w14:paraId="779A7964">
      <w:pPr>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黑体" w:hAnsi="Times New Roman" w:eastAsia="黑体" w:cs="Times New Roman"/>
          <w:color w:val="auto"/>
          <w:kern w:val="2"/>
          <w:sz w:val="32"/>
          <w:szCs w:val="32"/>
          <w:lang w:val="en-US" w:eastAsia="zh-CN" w:bidi="ar-SA"/>
        </w:rPr>
      </w:pPr>
      <w:r>
        <w:rPr>
          <w:rFonts w:hint="eastAsia" w:ascii="仿宋" w:hAnsi="宋体" w:eastAsia="仿宋" w:cs="宋体"/>
          <w:color w:val="auto"/>
          <w:kern w:val="0"/>
          <w:sz w:val="32"/>
          <w:szCs w:val="32"/>
          <w:lang w:val="en-US" w:eastAsia="zh-CN" w:bidi="ar"/>
        </w:rPr>
        <w:t>设职能科室：院感科、党政办公室、医务科、护理部、信息科、病案统计科、财务科、后勤保障科。  </w:t>
      </w:r>
    </w:p>
    <w:p w14:paraId="4BC76471">
      <w:pPr>
        <w:widowControl/>
        <w:ind w:firstLine="640" w:firstLineChars="200"/>
        <w:jc w:val="left"/>
        <w:rPr>
          <w:rFonts w:hint="eastAsia" w:ascii="黑体" w:hAnsi="Times New Roman" w:eastAsia="黑体" w:cs="Times New Roman"/>
          <w:color w:val="auto"/>
          <w:kern w:val="2"/>
          <w:sz w:val="32"/>
          <w:szCs w:val="32"/>
          <w:lang w:val="en-US" w:eastAsia="zh-CN" w:bidi="ar-SA"/>
        </w:rPr>
      </w:pPr>
      <w:bookmarkStart w:id="15" w:name="_Toc15396600"/>
      <w:bookmarkStart w:id="16" w:name="_Toc15377197"/>
    </w:p>
    <w:p w14:paraId="722670DB">
      <w:pPr>
        <w:widowControl/>
        <w:ind w:firstLine="640" w:firstLineChars="200"/>
        <w:jc w:val="left"/>
        <w:rPr>
          <w:rFonts w:hint="eastAsia"/>
          <w:color w:val="auto"/>
          <w:lang w:val="en-US" w:eastAsia="zh-CN"/>
        </w:rPr>
      </w:pPr>
      <w:r>
        <w:rPr>
          <w:rFonts w:hint="eastAsia" w:ascii="黑体" w:hAnsi="Times New Roman" w:eastAsia="黑体" w:cs="Times New Roman"/>
          <w:color w:val="auto"/>
          <w:kern w:val="2"/>
          <w:sz w:val="32"/>
          <w:szCs w:val="32"/>
          <w:lang w:val="en-US" w:eastAsia="zh-CN" w:bidi="ar-SA"/>
        </w:rPr>
        <w:t>二、职能简</w:t>
      </w:r>
      <w:r>
        <w:rPr>
          <w:rFonts w:hint="eastAsia" w:ascii="黑体" w:hAnsi="Times New Roman" w:eastAsia="黑体" w:cs="Times New Roman"/>
          <w:b w:val="0"/>
          <w:bCs w:val="0"/>
          <w:color w:val="auto"/>
          <w:kern w:val="2"/>
          <w:sz w:val="32"/>
          <w:szCs w:val="32"/>
          <w:lang w:val="en-US" w:eastAsia="zh-CN" w:bidi="ar-SA"/>
        </w:rPr>
        <w:t>介</w:t>
      </w:r>
    </w:p>
    <w:p w14:paraId="692A4FE1">
      <w:pPr>
        <w:widowControl/>
        <w:jc w:val="left"/>
        <w:rPr>
          <w:rFonts w:hint="eastAsia" w:ascii="仿宋" w:hAnsi="宋体" w:eastAsia="仿宋" w:cs="宋体"/>
          <w:color w:val="auto"/>
          <w:kern w:val="0"/>
          <w:sz w:val="32"/>
          <w:szCs w:val="32"/>
          <w:lang w:val="en-US" w:eastAsia="zh-CN" w:bidi="ar"/>
        </w:rPr>
      </w:pPr>
      <w:r>
        <w:rPr>
          <w:rFonts w:hint="eastAsia" w:ascii="仿宋" w:hAnsi="宋体" w:eastAsia="仿宋" w:cs="宋体"/>
          <w:color w:val="auto"/>
          <w:kern w:val="0"/>
          <w:sz w:val="32"/>
          <w:szCs w:val="32"/>
          <w:lang w:val="en-US" w:eastAsia="zh-CN" w:bidi="ar"/>
        </w:rPr>
        <w:t xml:space="preserve">    承担县内常见病、多发病的诊治任务，承担急危重症抢救和复杂疑难病症诊治任务;承担120急救和各类突发事故的现场抢救及院内急救;接受下级医疗卫生机构的转诊，指导乡(镇)卫生院做好医疗、康复、预防保健等业务技术工作;贯彻执行传染病预防诊治和管理工作,开展健康教育，进行防病指导;承担基层医疗卫生机构卫生技术人员的进修和培训。</w:t>
      </w:r>
    </w:p>
    <w:p w14:paraId="3C5EFFB6">
      <w:pPr>
        <w:widowControl/>
        <w:ind w:firstLine="640" w:firstLineChars="200"/>
        <w:jc w:val="left"/>
        <w:rPr>
          <w:rFonts w:hint="eastAsia" w:ascii="黑体" w:hAnsi="Times New Roman" w:eastAsia="黑体" w:cs="Times New Roman"/>
          <w:color w:val="auto"/>
          <w:kern w:val="2"/>
          <w:sz w:val="32"/>
          <w:szCs w:val="32"/>
          <w:lang w:val="en-US" w:eastAsia="zh-CN" w:bidi="ar-SA"/>
        </w:rPr>
      </w:pPr>
    </w:p>
    <w:p w14:paraId="504789DD">
      <w:pPr>
        <w:widowControl/>
        <w:ind w:firstLine="640" w:firstLineChars="200"/>
        <w:jc w:val="left"/>
        <w:rPr>
          <w:rFonts w:hint="eastAsia" w:ascii="黑体" w:hAnsi="Times New Roman" w:eastAsia="黑体" w:cs="Times New Roman"/>
          <w:color w:val="auto"/>
          <w:kern w:val="2"/>
          <w:sz w:val="32"/>
          <w:szCs w:val="32"/>
          <w:lang w:val="en-US" w:eastAsia="zh-CN" w:bidi="ar-SA"/>
        </w:rPr>
      </w:pPr>
      <w:r>
        <w:rPr>
          <w:rFonts w:hint="eastAsia" w:ascii="黑体" w:hAnsi="Times New Roman" w:eastAsia="黑体" w:cs="Times New Roman"/>
          <w:color w:val="auto"/>
          <w:kern w:val="2"/>
          <w:sz w:val="32"/>
          <w:szCs w:val="32"/>
          <w:lang w:val="en-US" w:eastAsia="zh-CN" w:bidi="ar-SA"/>
        </w:rPr>
        <w:t>三、202</w:t>
      </w:r>
      <w:r>
        <w:rPr>
          <w:rFonts w:hint="eastAsia" w:ascii="黑体" w:eastAsia="黑体" w:cs="Times New Roman"/>
          <w:color w:val="auto"/>
          <w:kern w:val="2"/>
          <w:sz w:val="32"/>
          <w:szCs w:val="32"/>
          <w:lang w:val="en-US" w:eastAsia="zh-CN" w:bidi="ar-SA"/>
        </w:rPr>
        <w:t>5</w:t>
      </w:r>
      <w:r>
        <w:rPr>
          <w:rFonts w:hint="eastAsia" w:ascii="黑体" w:hAnsi="Times New Roman" w:eastAsia="黑体" w:cs="Times New Roman"/>
          <w:color w:val="auto"/>
          <w:kern w:val="2"/>
          <w:sz w:val="32"/>
          <w:szCs w:val="32"/>
          <w:lang w:val="en-US" w:eastAsia="zh-CN" w:bidi="ar-SA"/>
        </w:rPr>
        <w:t>年重点工作</w:t>
      </w:r>
      <w:bookmarkEnd w:id="15"/>
      <w:bookmarkEnd w:id="16"/>
      <w:r>
        <w:rPr>
          <w:rFonts w:hint="eastAsia" w:ascii="黑体" w:hAnsi="Times New Roman" w:eastAsia="黑体" w:cs="Times New Roman"/>
          <w:color w:val="auto"/>
          <w:kern w:val="2"/>
          <w:sz w:val="32"/>
          <w:szCs w:val="32"/>
          <w:lang w:val="en-US" w:eastAsia="zh-CN" w:bidi="ar-SA"/>
        </w:rPr>
        <w:t>完成情况</w:t>
      </w:r>
    </w:p>
    <w:p w14:paraId="07D13F2D">
      <w:pPr>
        <w:keepNext w:val="0"/>
        <w:keepLines w:val="0"/>
        <w:pageBreakBefore w:val="0"/>
        <w:widowControl w:val="0"/>
        <w:numPr>
          <w:ilvl w:val="0"/>
          <w:numId w:val="0"/>
        </w:numPr>
        <w:tabs>
          <w:tab w:val="left" w:pos="530"/>
        </w:tabs>
        <w:kinsoku/>
        <w:wordWrap/>
        <w:overflowPunct/>
        <w:topLinePunct w:val="0"/>
        <w:autoSpaceDE/>
        <w:autoSpaceDN/>
        <w:bidi w:val="0"/>
        <w:adjustRightInd/>
        <w:snapToGrid/>
        <w:spacing w:line="560" w:lineRule="exact"/>
        <w:ind w:firstLine="640" w:firstLineChars="200"/>
        <w:textAlignment w:val="auto"/>
        <w:rPr>
          <w:rFonts w:hint="default" w:ascii="楷体_GB2312" w:hAnsi="楷体_GB2312" w:eastAsia="楷体_GB2312" w:cs="楷体_GB2312"/>
          <w:color w:val="000000"/>
          <w:sz w:val="32"/>
          <w:szCs w:val="32"/>
          <w:lang w:val="en-US" w:eastAsia="zh-CN"/>
        </w:rPr>
      </w:pPr>
      <w:r>
        <w:rPr>
          <w:rFonts w:hint="eastAsia" w:ascii="楷体_GB2312" w:hAnsi="楷体_GB2312" w:eastAsia="楷体_GB2312" w:cs="楷体_GB2312"/>
          <w:color w:val="000000"/>
          <w:sz w:val="32"/>
          <w:szCs w:val="32"/>
          <w:lang w:val="en-US" w:eastAsia="zh-CN"/>
        </w:rPr>
        <w:t>（1）推动医疗服务高质量发展</w:t>
      </w:r>
    </w:p>
    <w:p w14:paraId="4AA11A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bCs/>
          <w:color w:val="000000"/>
          <w:sz w:val="32"/>
          <w:szCs w:val="32"/>
          <w:lang w:val="en-US" w:eastAsia="zh-CN"/>
        </w:rPr>
        <w:t>一是</w:t>
      </w:r>
      <w:r>
        <w:rPr>
          <w:rFonts w:hint="eastAsia" w:ascii="仿宋" w:hAnsi="仿宋" w:eastAsia="仿宋" w:cs="仿宋"/>
          <w:color w:val="000000"/>
          <w:sz w:val="32"/>
          <w:szCs w:val="32"/>
        </w:rPr>
        <w:t>继续强化急诊急救“五大中心”内涵建设。</w:t>
      </w:r>
      <w:r>
        <w:rPr>
          <w:rFonts w:hint="eastAsia" w:ascii="仿宋" w:hAnsi="仿宋" w:eastAsia="仿宋" w:cs="仿宋"/>
          <w:color w:val="000000"/>
          <w:sz w:val="32"/>
          <w:szCs w:val="32"/>
          <w:lang w:val="en-US" w:eastAsia="zh-CN"/>
        </w:rPr>
        <w:t>年度内</w:t>
      </w:r>
      <w:r>
        <w:rPr>
          <w:rFonts w:hint="eastAsia" w:ascii="仿宋" w:hAnsi="仿宋" w:eastAsia="仿宋" w:cs="仿宋"/>
          <w:color w:val="000000"/>
          <w:sz w:val="32"/>
          <w:szCs w:val="32"/>
        </w:rPr>
        <w:t>各中心完成演练</w:t>
      </w:r>
      <w:r>
        <w:rPr>
          <w:rFonts w:hint="eastAsia" w:ascii="仿宋" w:hAnsi="仿宋" w:eastAsia="仿宋" w:cs="仿宋"/>
          <w:color w:val="000000"/>
          <w:sz w:val="32"/>
          <w:szCs w:val="32"/>
          <w:lang w:val="en-US" w:eastAsia="zh-CN"/>
        </w:rPr>
        <w:t>15</w:t>
      </w:r>
      <w:r>
        <w:rPr>
          <w:rFonts w:hint="eastAsia" w:ascii="仿宋" w:hAnsi="仿宋" w:eastAsia="仿宋" w:cs="仿宋"/>
          <w:color w:val="000000"/>
          <w:sz w:val="32"/>
          <w:szCs w:val="32"/>
        </w:rPr>
        <w:t>次，院内培训</w:t>
      </w:r>
      <w:r>
        <w:rPr>
          <w:rFonts w:hint="eastAsia" w:ascii="仿宋" w:hAnsi="仿宋" w:eastAsia="仿宋" w:cs="仿宋"/>
          <w:color w:val="000000"/>
          <w:sz w:val="32"/>
          <w:szCs w:val="32"/>
          <w:lang w:val="en-US" w:eastAsia="zh-CN"/>
        </w:rPr>
        <w:t>200余</w:t>
      </w:r>
      <w:r>
        <w:rPr>
          <w:rFonts w:hint="eastAsia" w:ascii="仿宋" w:hAnsi="仿宋" w:eastAsia="仿宋" w:cs="仿宋"/>
          <w:color w:val="000000"/>
          <w:sz w:val="32"/>
          <w:szCs w:val="32"/>
        </w:rPr>
        <w:t>次；卒中中心完成</w:t>
      </w:r>
      <w:r>
        <w:rPr>
          <w:rFonts w:hint="eastAsia" w:ascii="仿宋" w:hAnsi="仿宋" w:eastAsia="仿宋" w:cs="仿宋"/>
          <w:color w:val="000000"/>
          <w:sz w:val="32"/>
          <w:szCs w:val="32"/>
          <w:lang w:val="en-US" w:eastAsia="zh-CN"/>
        </w:rPr>
        <w:t>15</w:t>
      </w:r>
      <w:r>
        <w:rPr>
          <w:rFonts w:hint="eastAsia" w:ascii="仿宋" w:hAnsi="仿宋" w:eastAsia="仿宋" w:cs="仿宋"/>
          <w:color w:val="000000"/>
          <w:sz w:val="32"/>
          <w:szCs w:val="32"/>
        </w:rPr>
        <w:t>例救治、胸痛中心完成</w:t>
      </w:r>
      <w:r>
        <w:rPr>
          <w:rFonts w:hint="eastAsia" w:ascii="仿宋" w:hAnsi="仿宋" w:eastAsia="仿宋" w:cs="仿宋"/>
          <w:color w:val="000000"/>
          <w:sz w:val="32"/>
          <w:szCs w:val="32"/>
          <w:lang w:val="en-US" w:eastAsia="zh-CN"/>
        </w:rPr>
        <w:t>7</w:t>
      </w:r>
      <w:r>
        <w:rPr>
          <w:rFonts w:hint="eastAsia" w:ascii="仿宋" w:hAnsi="仿宋" w:eastAsia="仿宋" w:cs="仿宋"/>
          <w:color w:val="000000"/>
          <w:sz w:val="32"/>
          <w:szCs w:val="32"/>
        </w:rPr>
        <w:t>0例救治；危重儿童和新生儿救治中心完成</w:t>
      </w:r>
      <w:r>
        <w:rPr>
          <w:rFonts w:hint="eastAsia" w:ascii="仿宋" w:hAnsi="仿宋" w:eastAsia="仿宋" w:cs="仿宋"/>
          <w:color w:val="000000"/>
          <w:sz w:val="32"/>
          <w:szCs w:val="32"/>
          <w:lang w:val="en-US" w:eastAsia="zh-CN"/>
        </w:rPr>
        <w:t>75</w:t>
      </w:r>
      <w:r>
        <w:rPr>
          <w:rFonts w:hint="eastAsia" w:ascii="仿宋" w:hAnsi="仿宋" w:eastAsia="仿宋" w:cs="仿宋"/>
          <w:color w:val="000000"/>
          <w:sz w:val="32"/>
          <w:szCs w:val="32"/>
        </w:rPr>
        <w:t>例救治；危重孕产妇救治中心完成</w:t>
      </w:r>
      <w:r>
        <w:rPr>
          <w:rFonts w:hint="eastAsia" w:ascii="仿宋" w:hAnsi="仿宋" w:eastAsia="仿宋" w:cs="仿宋"/>
          <w:color w:val="000000"/>
          <w:sz w:val="32"/>
          <w:szCs w:val="32"/>
          <w:lang w:val="en-US" w:eastAsia="zh-CN"/>
        </w:rPr>
        <w:t>30</w:t>
      </w:r>
      <w:r>
        <w:rPr>
          <w:rFonts w:hint="eastAsia" w:ascii="仿宋" w:hAnsi="仿宋" w:eastAsia="仿宋" w:cs="仿宋"/>
          <w:color w:val="000000"/>
          <w:sz w:val="32"/>
          <w:szCs w:val="32"/>
        </w:rPr>
        <w:t>例救治；创伤中心完成</w:t>
      </w:r>
      <w:r>
        <w:rPr>
          <w:rFonts w:hint="eastAsia" w:ascii="仿宋" w:hAnsi="仿宋" w:eastAsia="仿宋" w:cs="仿宋"/>
          <w:color w:val="000000"/>
          <w:sz w:val="32"/>
          <w:szCs w:val="32"/>
          <w:lang w:val="en-US" w:eastAsia="zh-CN"/>
        </w:rPr>
        <w:t>26</w:t>
      </w:r>
      <w:r>
        <w:rPr>
          <w:rFonts w:hint="eastAsia" w:ascii="仿宋" w:hAnsi="仿宋" w:eastAsia="仿宋" w:cs="仿宋"/>
          <w:color w:val="000000"/>
          <w:sz w:val="32"/>
          <w:szCs w:val="32"/>
        </w:rPr>
        <w:t>例救治。</w:t>
      </w:r>
      <w:r>
        <w:rPr>
          <w:rFonts w:hint="eastAsia" w:ascii="仿宋" w:hAnsi="仿宋" w:eastAsia="仿宋" w:cs="仿宋"/>
          <w:b/>
          <w:bCs/>
          <w:color w:val="000000"/>
          <w:sz w:val="32"/>
          <w:szCs w:val="32"/>
          <w:lang w:val="en-US" w:eastAsia="zh-CN"/>
        </w:rPr>
        <w:t>二是</w:t>
      </w:r>
      <w:r>
        <w:rPr>
          <w:rFonts w:hint="eastAsia" w:ascii="仿宋" w:hAnsi="仿宋" w:eastAsia="仿宋" w:cs="仿宋"/>
          <w:b w:val="0"/>
          <w:bCs w:val="0"/>
          <w:color w:val="000000"/>
          <w:sz w:val="32"/>
          <w:szCs w:val="32"/>
          <w:lang w:val="en-US" w:eastAsia="zh-CN"/>
        </w:rPr>
        <w:t>全年开展新技术，填补了核磁共振、深静脉置管、连续性有创血压监测等多项医疗技术短板。</w:t>
      </w:r>
      <w:r>
        <w:rPr>
          <w:rFonts w:hint="eastAsia" w:ascii="仿宋" w:hAnsi="仿宋" w:eastAsia="仿宋" w:cs="仿宋"/>
          <w:b/>
          <w:bCs/>
          <w:color w:val="000000"/>
          <w:kern w:val="2"/>
          <w:sz w:val="32"/>
          <w:szCs w:val="32"/>
          <w:u w:val="none"/>
          <w:shd w:val="clear" w:color="auto" w:fill="auto"/>
          <w:lang w:val="en-US" w:eastAsia="zh-CN" w:bidi="zh-TW"/>
        </w:rPr>
        <w:t>三是</w:t>
      </w:r>
      <w:r>
        <w:rPr>
          <w:rFonts w:hint="eastAsia" w:ascii="仿宋" w:hAnsi="仿宋" w:eastAsia="仿宋" w:cs="仿宋"/>
          <w:b w:val="0"/>
          <w:bCs w:val="0"/>
          <w:color w:val="000000"/>
          <w:kern w:val="2"/>
          <w:sz w:val="32"/>
          <w:szCs w:val="32"/>
          <w:u w:val="none"/>
          <w:shd w:val="clear" w:color="auto" w:fill="auto"/>
          <w:lang w:val="en-US" w:eastAsia="zh-CN" w:bidi="zh-TW"/>
        </w:rPr>
        <w:t>专科建设再获突破，在持续做强州级重点专科呼吸内科的基础上，检验科成功创建为州级重点专科，目前正在申报放射科为州级重点专科，专科辐射力不断增强。</w:t>
      </w:r>
      <w:r>
        <w:rPr>
          <w:rFonts w:hint="eastAsia" w:ascii="仿宋" w:hAnsi="仿宋" w:eastAsia="仿宋" w:cs="仿宋"/>
          <w:b/>
          <w:bCs/>
          <w:color w:val="000000"/>
          <w:sz w:val="32"/>
          <w:szCs w:val="32"/>
          <w:lang w:val="en-US" w:eastAsia="zh-CN"/>
        </w:rPr>
        <w:t>四是</w:t>
      </w:r>
      <w:r>
        <w:rPr>
          <w:rFonts w:hint="eastAsia" w:ascii="仿宋" w:hAnsi="仿宋" w:eastAsia="仿宋" w:cs="仿宋"/>
          <w:b w:val="0"/>
          <w:bCs w:val="0"/>
          <w:color w:val="000000"/>
          <w:sz w:val="32"/>
          <w:szCs w:val="32"/>
          <w:u w:val="none"/>
          <w:lang w:val="en-US" w:eastAsia="zh-CN"/>
        </w:rPr>
        <w:t>引进绵阳市第三人民医院董琼兰重症医学团队及重症医学科医</w:t>
      </w:r>
      <w:r>
        <w:rPr>
          <w:rFonts w:hint="eastAsia" w:ascii="仿宋" w:hAnsi="仿宋" w:eastAsia="仿宋" w:cs="仿宋"/>
          <w:b w:val="0"/>
          <w:bCs w:val="0"/>
          <w:color w:val="000000"/>
          <w:sz w:val="32"/>
          <w:szCs w:val="32"/>
          <w:lang w:val="en-US" w:eastAsia="zh-CN"/>
        </w:rPr>
        <w:t>疗技术，建强省级重点专科“重症医学科”。</w:t>
      </w:r>
    </w:p>
    <w:p w14:paraId="431E82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楷体_GB2312" w:hAnsi="楷体_GB2312" w:eastAsia="楷体_GB2312" w:cs="楷体_GB2312"/>
          <w:color w:val="000000"/>
          <w:sz w:val="32"/>
          <w:szCs w:val="32"/>
          <w:lang w:val="en-US" w:eastAsia="zh-CN"/>
        </w:rPr>
      </w:pPr>
      <w:r>
        <w:rPr>
          <w:rFonts w:hint="eastAsia" w:ascii="楷体_GB2312" w:hAnsi="楷体_GB2312" w:eastAsia="楷体_GB2312" w:cs="楷体_GB2312"/>
          <w:color w:val="000000"/>
          <w:sz w:val="32"/>
          <w:szCs w:val="32"/>
          <w:lang w:val="en-US" w:eastAsia="zh-CN"/>
        </w:rPr>
        <w:t>（2）深耕惠民健康服务</w:t>
      </w:r>
    </w:p>
    <w:p w14:paraId="7989E6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000000"/>
          <w:sz w:val="32"/>
          <w:szCs w:val="32"/>
          <w:lang w:val="en-US" w:eastAsia="zh-CN"/>
        </w:rPr>
      </w:pPr>
      <w:r>
        <w:rPr>
          <w:rFonts w:hint="eastAsia" w:ascii="仿宋" w:hAnsi="仿宋" w:eastAsia="仿宋" w:cs="仿宋"/>
          <w:b/>
          <w:bCs/>
          <w:color w:val="000000"/>
          <w:sz w:val="32"/>
          <w:szCs w:val="32"/>
          <w:lang w:val="en-US" w:eastAsia="zh-CN"/>
        </w:rPr>
        <w:t>一是</w:t>
      </w:r>
      <w:r>
        <w:rPr>
          <w:rFonts w:hint="eastAsia" w:ascii="仿宋" w:hAnsi="仿宋" w:eastAsia="仿宋" w:cs="仿宋"/>
          <w:b w:val="0"/>
          <w:bCs w:val="0"/>
          <w:color w:val="000000"/>
          <w:sz w:val="32"/>
          <w:szCs w:val="32"/>
          <w:lang w:val="en-US" w:eastAsia="zh-CN"/>
        </w:rPr>
        <w:t>与上海永嘉商会持续落实“草原鹰眼睛”项目，累计完成</w:t>
      </w:r>
      <w:r>
        <w:rPr>
          <w:rFonts w:hint="eastAsia" w:ascii="仿宋" w:hAnsi="仿宋" w:eastAsia="仿宋" w:cs="仿宋"/>
          <w:b w:val="0"/>
          <w:color w:val="000000"/>
          <w:sz w:val="32"/>
          <w:u w:val="none"/>
          <w:shd w:val="clear" w:color="auto" w:fill="auto"/>
          <w:lang w:val="en-US" w:eastAsia="zh-CN" w:bidi="ar"/>
        </w:rPr>
        <w:t>免费“翼状胬肉”和“白内障”手术57台。二</w:t>
      </w:r>
      <w:r>
        <w:rPr>
          <w:rFonts w:hint="eastAsia" w:ascii="仿宋" w:hAnsi="仿宋" w:eastAsia="仿宋" w:cs="仿宋"/>
          <w:b/>
          <w:bCs/>
          <w:color w:val="000000"/>
          <w:sz w:val="32"/>
          <w:u w:val="none"/>
          <w:shd w:val="clear" w:color="auto" w:fill="auto"/>
          <w:lang w:val="en-US" w:eastAsia="zh-CN" w:bidi="ar"/>
        </w:rPr>
        <w:t>是</w:t>
      </w:r>
      <w:r>
        <w:rPr>
          <w:rFonts w:hint="eastAsia" w:ascii="仿宋" w:hAnsi="仿宋" w:eastAsia="仿宋" w:cs="仿宋"/>
          <w:b w:val="0"/>
          <w:color w:val="000000"/>
          <w:sz w:val="32"/>
          <w:u w:val="none"/>
          <w:shd w:val="clear" w:color="auto" w:fill="auto"/>
          <w:lang w:val="en-US" w:eastAsia="zh-CN" w:bidi="ar"/>
        </w:rPr>
        <w:t>扎实开展群众工作“石榴籽工程”健康保障行动，圆满完成全县健康体检工作，把健康服务送到群众身边。</w:t>
      </w:r>
      <w:r>
        <w:rPr>
          <w:rFonts w:hint="eastAsia" w:ascii="仿宋" w:hAnsi="仿宋" w:eastAsia="仿宋" w:cs="仿宋"/>
          <w:b/>
          <w:bCs/>
          <w:color w:val="000000"/>
          <w:sz w:val="32"/>
          <w:u w:val="none"/>
          <w:shd w:val="clear" w:color="auto" w:fill="auto"/>
          <w:lang w:val="en-US" w:eastAsia="zh-CN" w:bidi="ar"/>
        </w:rPr>
        <w:t>三是</w:t>
      </w:r>
      <w:r>
        <w:rPr>
          <w:rFonts w:hint="eastAsia" w:ascii="仿宋" w:hAnsi="仿宋" w:eastAsia="仿宋" w:cs="仿宋"/>
          <w:b w:val="0"/>
          <w:color w:val="000000"/>
          <w:sz w:val="32"/>
          <w:u w:val="none"/>
          <w:shd w:val="clear" w:color="auto" w:fill="auto"/>
          <w:lang w:val="en-US" w:eastAsia="zh-CN" w:bidi="ar"/>
        </w:rPr>
        <w:t>开展“骨病清零 精准护航”阳光行动，特邀华西医院、绵阳市第三人民医院、遂宁市中心医院骨科专家莅临我院为78名患者免费实施大骨节病手术。</w:t>
      </w:r>
      <w:r>
        <w:rPr>
          <w:rFonts w:hint="eastAsia" w:ascii="仿宋" w:hAnsi="仿宋" w:eastAsia="仿宋" w:cs="仿宋"/>
          <w:b/>
          <w:bCs/>
          <w:color w:val="000000"/>
          <w:sz w:val="32"/>
          <w:u w:val="none"/>
          <w:shd w:val="clear" w:color="auto" w:fill="auto"/>
          <w:lang w:val="en-US" w:eastAsia="zh-CN" w:bidi="ar"/>
        </w:rPr>
        <w:t>四是</w:t>
      </w:r>
      <w:r>
        <w:rPr>
          <w:rFonts w:hint="eastAsia" w:ascii="仿宋" w:hAnsi="仿宋" w:eastAsia="仿宋" w:cs="仿宋"/>
          <w:color w:val="000000"/>
          <w:sz w:val="32"/>
          <w:szCs w:val="32"/>
        </w:rPr>
        <w:t>确保重点人群结核筛查工作落实落地，开展了</w:t>
      </w:r>
      <w:r>
        <w:rPr>
          <w:rFonts w:hint="eastAsia" w:ascii="仿宋" w:hAnsi="仿宋" w:eastAsia="仿宋" w:cs="仿宋"/>
          <w:color w:val="000000"/>
          <w:sz w:val="32"/>
          <w:szCs w:val="32"/>
          <w:lang w:val="en-US" w:eastAsia="zh-CN"/>
        </w:rPr>
        <w:t>结核</w:t>
      </w:r>
      <w:r>
        <w:rPr>
          <w:rFonts w:hint="eastAsia" w:ascii="仿宋" w:hAnsi="仿宋" w:eastAsia="仿宋" w:cs="仿宋"/>
          <w:color w:val="000000"/>
          <w:sz w:val="32"/>
          <w:szCs w:val="32"/>
        </w:rPr>
        <w:t>筛查。</w:t>
      </w:r>
      <w:r>
        <w:rPr>
          <w:rFonts w:hint="eastAsia" w:ascii="仿宋" w:hAnsi="仿宋" w:eastAsia="仿宋" w:cs="仿宋"/>
          <w:color w:val="000000"/>
          <w:sz w:val="32"/>
          <w:szCs w:val="32"/>
          <w:lang w:val="en-US" w:eastAsia="zh-CN"/>
        </w:rPr>
        <w:t>为学校师生及肺结核密切接触者免费筛查。</w:t>
      </w:r>
      <w:r>
        <w:rPr>
          <w:rFonts w:hint="eastAsia" w:ascii="仿宋" w:hAnsi="仿宋" w:eastAsia="仿宋" w:cs="仿宋"/>
          <w:b/>
          <w:bCs/>
          <w:color w:val="000000"/>
          <w:sz w:val="32"/>
          <w:szCs w:val="32"/>
          <w:lang w:val="en-US" w:eastAsia="zh-CN"/>
        </w:rPr>
        <w:t>九是</w:t>
      </w:r>
      <w:r>
        <w:rPr>
          <w:rFonts w:hint="eastAsia" w:ascii="仿宋" w:hAnsi="仿宋" w:eastAsia="仿宋" w:cs="仿宋"/>
          <w:b w:val="0"/>
          <w:bCs w:val="0"/>
          <w:color w:val="000000"/>
          <w:sz w:val="32"/>
          <w:szCs w:val="32"/>
          <w:lang w:val="en-US" w:eastAsia="zh-CN"/>
        </w:rPr>
        <w:t>完成</w:t>
      </w:r>
      <w:r>
        <w:rPr>
          <w:rFonts w:hint="eastAsia" w:ascii="仿宋_GB2312" w:hAnsi="仿宋_GB2312" w:eastAsia="仿宋_GB2312" w:cs="仿宋_GB2312"/>
          <w:b w:val="0"/>
          <w:bCs w:val="0"/>
          <w:color w:val="000000"/>
          <w:sz w:val="32"/>
          <w:szCs w:val="32"/>
          <w:lang w:val="en-US" w:eastAsia="zh-CN"/>
        </w:rPr>
        <w:t>全</w:t>
      </w:r>
      <w:r>
        <w:rPr>
          <w:rFonts w:hint="eastAsia" w:ascii="仿宋_GB2312" w:hAnsi="仿宋_GB2312" w:eastAsia="仿宋_GB2312" w:cs="仿宋_GB2312"/>
          <w:color w:val="000000"/>
          <w:sz w:val="32"/>
          <w:szCs w:val="32"/>
          <w:lang w:val="en-US" w:eastAsia="zh-CN"/>
        </w:rPr>
        <w:t>县中小学视力筛查、全县中小学常见疾病筛查。</w:t>
      </w:r>
    </w:p>
    <w:p w14:paraId="221FE96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楷体_GB2312" w:hAnsi="楷体_GB2312" w:eastAsia="楷体_GB2312" w:cs="楷体_GB2312"/>
          <w:color w:val="000000"/>
          <w:sz w:val="32"/>
          <w:szCs w:val="32"/>
          <w:lang w:val="en-US" w:eastAsia="zh-CN"/>
        </w:rPr>
      </w:pPr>
      <w:r>
        <w:rPr>
          <w:rFonts w:hint="eastAsia" w:ascii="楷体_GB2312" w:hAnsi="楷体_GB2312" w:eastAsia="楷体_GB2312" w:cs="楷体_GB2312"/>
          <w:color w:val="000000"/>
          <w:sz w:val="32"/>
          <w:szCs w:val="32"/>
          <w:lang w:val="en-US" w:eastAsia="zh-CN"/>
        </w:rPr>
        <w:t>（3）狠抓项目建设</w:t>
      </w:r>
    </w:p>
    <w:p w14:paraId="6D74AC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color w:val="000000"/>
          <w:sz w:val="32"/>
          <w:u w:val="none"/>
          <w:shd w:val="clear" w:color="auto" w:fill="auto"/>
          <w:lang w:val="en-US" w:eastAsia="zh-CN" w:bidi="ar"/>
        </w:rPr>
        <w:t>稳步推进“智慧医院”建设，智慧医院获评“三星”。完成急诊科EICU建设并投入使用。建成病理科，</w:t>
      </w:r>
      <w:r>
        <w:rPr>
          <w:rFonts w:hint="eastAsia" w:ascii="仿宋" w:hAnsi="仿宋" w:eastAsia="仿宋" w:cs="仿宋"/>
          <w:color w:val="000000"/>
          <w:sz w:val="32"/>
          <w:szCs w:val="32"/>
          <w:lang w:val="en-US" w:eastAsia="zh-CN"/>
        </w:rPr>
        <w:t>已通过校验</w:t>
      </w:r>
      <w:r>
        <w:rPr>
          <w:rFonts w:hint="eastAsia" w:ascii="仿宋" w:hAnsi="仿宋" w:eastAsia="仿宋" w:cs="仿宋"/>
          <w:b w:val="0"/>
          <w:color w:val="000000"/>
          <w:sz w:val="32"/>
          <w:u w:val="none"/>
          <w:shd w:val="clear" w:color="auto" w:fill="auto"/>
          <w:lang w:val="en-US" w:eastAsia="zh-CN" w:bidi="ar"/>
        </w:rPr>
        <w:t>并正式运营。购置64排CT设备，高标准打造医学影像中心，大幅提升了影像检查的精准度与效率。</w:t>
      </w:r>
    </w:p>
    <w:p w14:paraId="2B2B19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黑体" w:hAnsi="黑体" w:eastAsia="黑体" w:cs="黑体"/>
          <w:color w:val="000000"/>
          <w:sz w:val="32"/>
          <w:szCs w:val="32"/>
          <w:lang w:val="en-US" w:eastAsia="zh-CN"/>
        </w:rPr>
      </w:pPr>
      <w:r>
        <w:rPr>
          <w:rFonts w:hint="eastAsia" w:ascii="楷体_GB2312" w:hAnsi="楷体_GB2312" w:eastAsia="楷体_GB2312" w:cs="楷体_GB2312"/>
          <w:color w:val="000000"/>
          <w:sz w:val="32"/>
          <w:szCs w:val="32"/>
          <w:lang w:val="en-US" w:eastAsia="zh-CN"/>
        </w:rPr>
        <w:t>（4）对口帮扶工作</w:t>
      </w:r>
    </w:p>
    <w:p w14:paraId="22A956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楷体_GB2312" w:hAnsi="楷体_GB2312" w:eastAsia="楷体_GB2312" w:cs="楷体_GB2312"/>
          <w:b/>
          <w:bCs/>
          <w:color w:val="000000"/>
          <w:sz w:val="32"/>
          <w:szCs w:val="32"/>
          <w:lang w:val="en-US" w:eastAsia="zh-CN"/>
        </w:rPr>
      </w:pPr>
      <w:r>
        <w:rPr>
          <w:rFonts w:hint="eastAsia" w:ascii="仿宋" w:hAnsi="仿宋" w:eastAsia="仿宋" w:cs="仿宋"/>
          <w:b/>
          <w:bCs/>
          <w:color w:val="000000"/>
          <w:sz w:val="32"/>
          <w:szCs w:val="32"/>
          <w:lang w:val="en-US" w:eastAsia="zh-CN"/>
        </w:rPr>
        <w:t>一是</w:t>
      </w:r>
      <w:r>
        <w:rPr>
          <w:rFonts w:hint="eastAsia" w:ascii="仿宋" w:hAnsi="仿宋" w:eastAsia="仿宋" w:cs="仿宋"/>
          <w:color w:val="000000"/>
          <w:sz w:val="32"/>
          <w:szCs w:val="32"/>
          <w:lang w:val="en-US" w:eastAsia="zh-CN"/>
        </w:rPr>
        <w:t>2025年</w:t>
      </w:r>
      <w:r>
        <w:rPr>
          <w:rFonts w:hint="eastAsia" w:ascii="仿宋" w:hAnsi="仿宋" w:eastAsia="仿宋" w:cs="仿宋"/>
          <w:color w:val="000000"/>
          <w:sz w:val="32"/>
          <w:szCs w:val="32"/>
        </w:rPr>
        <w:t>分别于202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年1月</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日和6月</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日完成了“传帮带”和“组团式”帮扶队员轮换工作</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来自绵阳市第三人民医院和盐亭县人民医院</w:t>
      </w:r>
      <w:r>
        <w:rPr>
          <w:rFonts w:hint="eastAsia" w:ascii="仿宋" w:hAnsi="仿宋" w:eastAsia="仿宋" w:cs="仿宋"/>
          <w:color w:val="000000"/>
          <w:sz w:val="32"/>
          <w:szCs w:val="32"/>
        </w:rPr>
        <w:t>“组团式”“传帮带”人员</w:t>
      </w:r>
      <w:r>
        <w:rPr>
          <w:rFonts w:hint="eastAsia" w:ascii="仿宋" w:hAnsi="仿宋" w:eastAsia="仿宋" w:cs="仿宋"/>
          <w:color w:val="000000"/>
          <w:sz w:val="32"/>
          <w:szCs w:val="32"/>
          <w:lang w:val="en-US" w:eastAsia="zh-CN"/>
        </w:rPr>
        <w:t>共</w:t>
      </w:r>
      <w:r>
        <w:rPr>
          <w:rFonts w:hint="eastAsia" w:ascii="仿宋" w:hAnsi="仿宋" w:eastAsia="仿宋" w:cs="仿宋"/>
          <w:color w:val="000000"/>
          <w:sz w:val="32"/>
          <w:szCs w:val="32"/>
        </w:rPr>
        <w:t>2</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人</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来自浙江永嘉县对口支援人员5人</w:t>
      </w:r>
      <w:r>
        <w:rPr>
          <w:rFonts w:hint="eastAsia" w:ascii="仿宋" w:hAnsi="仿宋" w:eastAsia="仿宋" w:cs="仿宋"/>
          <w:color w:val="000000"/>
          <w:sz w:val="32"/>
          <w:szCs w:val="32"/>
        </w:rPr>
        <w:t>。</w:t>
      </w:r>
      <w:r>
        <w:rPr>
          <w:rFonts w:hint="eastAsia" w:ascii="仿宋" w:hAnsi="仿宋" w:eastAsia="仿宋" w:cs="仿宋"/>
          <w:b/>
          <w:bCs/>
          <w:color w:val="000000"/>
          <w:sz w:val="32"/>
          <w:szCs w:val="32"/>
          <w:lang w:val="en-US" w:eastAsia="zh-CN"/>
        </w:rPr>
        <w:t>二是</w:t>
      </w:r>
      <w:r>
        <w:rPr>
          <w:rFonts w:hint="eastAsia" w:ascii="仿宋" w:hAnsi="仿宋" w:eastAsia="仿宋" w:cs="仿宋"/>
          <w:color w:val="000000"/>
          <w:sz w:val="32"/>
          <w:szCs w:val="32"/>
        </w:rPr>
        <w:t>支援人员制定了有针对性的帮扶带教计划，一对一、一对多进行指导</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签订“师带徒”协议</w:t>
      </w:r>
      <w:r>
        <w:rPr>
          <w:rFonts w:hint="eastAsia" w:ascii="仿宋" w:hAnsi="仿宋" w:eastAsia="仿宋" w:cs="仿宋"/>
          <w:color w:val="000000"/>
          <w:sz w:val="32"/>
          <w:szCs w:val="32"/>
          <w:lang w:val="en-US" w:eastAsia="zh-CN"/>
        </w:rPr>
        <w:t>45</w:t>
      </w:r>
      <w:r>
        <w:rPr>
          <w:rFonts w:hint="eastAsia" w:ascii="仿宋" w:hAnsi="仿宋" w:eastAsia="仿宋" w:cs="仿宋"/>
          <w:color w:val="000000"/>
          <w:sz w:val="32"/>
          <w:szCs w:val="32"/>
        </w:rPr>
        <w:t>份。</w:t>
      </w:r>
      <w:r>
        <w:rPr>
          <w:rFonts w:hint="eastAsia" w:ascii="仿宋" w:hAnsi="仿宋" w:eastAsia="仿宋" w:cs="仿宋"/>
          <w:b/>
          <w:bCs/>
          <w:color w:val="000000"/>
          <w:sz w:val="32"/>
          <w:szCs w:val="32"/>
          <w:lang w:val="en-US" w:eastAsia="zh-CN"/>
        </w:rPr>
        <w:t>三是</w:t>
      </w:r>
      <w:r>
        <w:rPr>
          <w:rFonts w:hint="eastAsia" w:ascii="仿宋" w:hAnsi="仿宋" w:eastAsia="仿宋" w:cs="仿宋"/>
          <w:color w:val="000000"/>
          <w:sz w:val="32"/>
          <w:szCs w:val="32"/>
          <w:lang w:val="en-US" w:eastAsia="zh-CN"/>
        </w:rPr>
        <w:t>医疗帮扶队员</w:t>
      </w:r>
      <w:r>
        <w:rPr>
          <w:rFonts w:hint="eastAsia" w:ascii="仿宋" w:hAnsi="仿宋" w:eastAsia="仿宋" w:cs="仿宋"/>
          <w:color w:val="000000"/>
          <w:sz w:val="32"/>
          <w:szCs w:val="32"/>
        </w:rPr>
        <w:t>充分发挥“组团式”与“传帮带”工作质效，强化“对口支援人员”对我院急诊急救五大中心、临床重点专科、人才培养、业务发展等工作的指导与带教，促进医院上当升级、提质增效。</w:t>
      </w:r>
    </w:p>
    <w:p w14:paraId="43553E21">
      <w:pPr>
        <w:pStyle w:val="2"/>
        <w:pageBreakBefore w:val="0"/>
        <w:kinsoku/>
        <w:wordWrap/>
        <w:overflowPunct/>
        <w:topLinePunct w:val="0"/>
        <w:autoSpaceDE/>
        <w:autoSpaceDN/>
        <w:bidi w:val="0"/>
        <w:adjustRightInd/>
        <w:snapToGrid/>
        <w:spacing w:line="560" w:lineRule="exact"/>
        <w:ind w:right="440"/>
        <w:jc w:val="both"/>
        <w:textAlignment w:val="auto"/>
        <w:rPr>
          <w:rFonts w:hint="eastAsia" w:ascii="黑体" w:eastAsia="黑体"/>
          <w:b w:val="0"/>
          <w:lang w:val="en-US" w:eastAsia="zh-CN"/>
        </w:rPr>
      </w:pPr>
      <w:bookmarkStart w:id="17" w:name="_Toc15377204"/>
      <w:bookmarkStart w:id="18" w:name="_Toc15396602"/>
    </w:p>
    <w:p w14:paraId="0B0EA059">
      <w:pPr>
        <w:pStyle w:val="2"/>
        <w:pageBreakBefore w:val="0"/>
        <w:kinsoku/>
        <w:wordWrap/>
        <w:overflowPunct/>
        <w:topLinePunct w:val="0"/>
        <w:autoSpaceDE/>
        <w:autoSpaceDN/>
        <w:bidi w:val="0"/>
        <w:adjustRightInd/>
        <w:snapToGrid/>
        <w:spacing w:line="560" w:lineRule="exact"/>
        <w:ind w:right="440"/>
        <w:jc w:val="both"/>
        <w:textAlignment w:val="auto"/>
      </w:pPr>
      <w:r>
        <w:rPr>
          <w:rFonts w:hint="eastAsia" w:ascii="黑体" w:eastAsia="黑体"/>
          <w:b w:val="0"/>
          <w:lang w:val="en-US" w:eastAsia="zh-CN"/>
        </w:rPr>
        <w:t xml:space="preserve"> </w:t>
      </w:r>
      <w:r>
        <w:rPr>
          <w:rFonts w:hint="eastAsia" w:ascii="黑体" w:eastAsia="黑体"/>
          <w:b w:val="0"/>
        </w:rPr>
        <w:t>第二部分 202</w:t>
      </w:r>
      <w:r>
        <w:rPr>
          <w:rFonts w:hint="eastAsia" w:ascii="黑体" w:eastAsia="黑体"/>
          <w:b w:val="0"/>
          <w:lang w:val="en-US" w:eastAsia="zh-CN"/>
        </w:rPr>
        <w:t>5</w:t>
      </w:r>
      <w:r>
        <w:rPr>
          <w:rFonts w:hint="eastAsia" w:ascii="黑体" w:eastAsia="黑体"/>
          <w:b w:val="0"/>
        </w:rPr>
        <w:t>年度</w:t>
      </w:r>
      <w:r>
        <w:rPr>
          <w:rStyle w:val="24"/>
          <w:rFonts w:hint="eastAsia" w:ascii="黑体" w:eastAsia="黑体"/>
          <w:b w:val="0"/>
          <w:bCs/>
        </w:rPr>
        <w:t>单位决算情况说明</w:t>
      </w:r>
      <w:bookmarkEnd w:id="17"/>
      <w:bookmarkEnd w:id="18"/>
    </w:p>
    <w:p w14:paraId="08D20146">
      <w:pPr>
        <w:pStyle w:val="30"/>
        <w:pageBreakBefore w:val="0"/>
        <w:numPr>
          <w:ilvl w:val="0"/>
          <w:numId w:val="3"/>
        </w:numPr>
        <w:kinsoku/>
        <w:wordWrap/>
        <w:overflowPunct/>
        <w:topLinePunct w:val="0"/>
        <w:autoSpaceDE/>
        <w:autoSpaceDN/>
        <w:bidi w:val="0"/>
        <w:adjustRightInd/>
        <w:snapToGrid/>
        <w:spacing w:line="560" w:lineRule="exact"/>
        <w:ind w:firstLineChars="0"/>
        <w:textAlignment w:val="auto"/>
        <w:outlineLvl w:val="1"/>
        <w:rPr>
          <w:rStyle w:val="25"/>
          <w:rFonts w:ascii="黑体" w:eastAsia="黑体"/>
          <w:b w:val="0"/>
        </w:rPr>
      </w:pPr>
      <w:bookmarkStart w:id="19" w:name="_Toc15377205"/>
      <w:bookmarkStart w:id="20" w:name="_Toc15396603"/>
      <w:r>
        <w:rPr>
          <w:rFonts w:hint="eastAsia" w:ascii="黑体" w:eastAsia="黑体"/>
          <w:sz w:val="32"/>
          <w:szCs w:val="32"/>
        </w:rPr>
        <w:t>收</w:t>
      </w:r>
      <w:r>
        <w:rPr>
          <w:rStyle w:val="25"/>
          <w:rFonts w:hint="eastAsia" w:ascii="黑体" w:eastAsia="黑体"/>
          <w:b w:val="0"/>
        </w:rPr>
        <w:t>入支出决算总体情况说明</w:t>
      </w:r>
      <w:bookmarkEnd w:id="19"/>
      <w:bookmarkEnd w:id="20"/>
    </w:p>
    <w:p w14:paraId="4D16A8FD">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 w:eastAsia="仿宋"/>
          <w:color w:val="auto"/>
          <w:sz w:val="32"/>
          <w:szCs w:val="32"/>
          <w:lang w:val="en-US" w:eastAsia="zh-CN"/>
        </w:rPr>
      </w:pPr>
      <w:r>
        <w:rPr>
          <w:rFonts w:hint="eastAsia" w:ascii="仿宋" w:eastAsia="仿宋"/>
          <w:sz w:val="32"/>
          <w:szCs w:val="32"/>
        </w:rPr>
        <w:t>202</w:t>
      </w:r>
      <w:r>
        <w:rPr>
          <w:rFonts w:hint="eastAsia" w:ascii="仿宋" w:eastAsia="仿宋"/>
          <w:sz w:val="32"/>
          <w:szCs w:val="32"/>
          <w:lang w:val="en-US" w:eastAsia="zh-CN"/>
        </w:rPr>
        <w:t>5</w:t>
      </w:r>
      <w:r>
        <w:rPr>
          <w:rFonts w:hint="eastAsia" w:ascii="仿宋" w:eastAsia="仿宋"/>
          <w:sz w:val="32"/>
          <w:szCs w:val="32"/>
        </w:rPr>
        <w:t>年度收</w:t>
      </w:r>
      <w:r>
        <w:rPr>
          <w:rFonts w:hint="eastAsia" w:ascii="仿宋" w:eastAsia="仿宋"/>
          <w:sz w:val="32"/>
          <w:szCs w:val="32"/>
          <w:lang w:val="en-US" w:eastAsia="zh-CN"/>
        </w:rPr>
        <w:t>入6495.11</w:t>
      </w:r>
      <w:r>
        <w:rPr>
          <w:rFonts w:hint="eastAsia" w:ascii="仿宋" w:eastAsia="仿宋"/>
          <w:sz w:val="32"/>
          <w:szCs w:val="32"/>
        </w:rPr>
        <w:t>万元、支</w:t>
      </w:r>
      <w:r>
        <w:rPr>
          <w:rFonts w:hint="eastAsia" w:ascii="仿宋" w:eastAsia="仿宋"/>
          <w:sz w:val="32"/>
          <w:szCs w:val="32"/>
          <w:lang w:val="en-US" w:eastAsia="zh-CN"/>
        </w:rPr>
        <w:t>出6156.55</w:t>
      </w:r>
      <w:r>
        <w:rPr>
          <w:rFonts w:hint="eastAsia" w:ascii="仿宋" w:eastAsia="仿宋"/>
          <w:sz w:val="32"/>
          <w:szCs w:val="32"/>
        </w:rPr>
        <w:t>万元。与202</w:t>
      </w:r>
      <w:r>
        <w:rPr>
          <w:rFonts w:hint="eastAsia" w:ascii="仿宋" w:eastAsia="仿宋"/>
          <w:sz w:val="32"/>
          <w:szCs w:val="32"/>
          <w:lang w:val="en-US" w:eastAsia="zh-CN"/>
        </w:rPr>
        <w:t>4</w:t>
      </w:r>
      <w:r>
        <w:rPr>
          <w:rFonts w:hint="eastAsia" w:ascii="仿宋" w:eastAsia="仿宋"/>
          <w:sz w:val="32"/>
          <w:szCs w:val="32"/>
        </w:rPr>
        <w:t>年相比，</w:t>
      </w:r>
      <w:r>
        <w:rPr>
          <w:rFonts w:hint="eastAsia" w:ascii="仿宋" w:eastAsia="仿宋"/>
          <w:sz w:val="32"/>
          <w:szCs w:val="32"/>
          <w:lang w:val="en-US" w:eastAsia="zh-CN"/>
        </w:rPr>
        <w:t>收入减少690.55万元、支出减少1028.98万元，收入减少9.6%，支出</w:t>
      </w:r>
      <w:r>
        <w:rPr>
          <w:rFonts w:hint="eastAsia" w:ascii="仿宋" w:eastAsia="仿宋"/>
          <w:color w:val="auto"/>
          <w:sz w:val="32"/>
          <w:szCs w:val="32"/>
          <w:lang w:val="en-US" w:eastAsia="zh-CN"/>
        </w:rPr>
        <w:t>减少14.32%。主要变动原因是2025年财政专项资金收入和支出较上年减少，所以本年收入支出数较上年变动较大。</w:t>
      </w:r>
    </w:p>
    <w:p w14:paraId="098B61CE">
      <w:pPr>
        <w:pStyle w:val="8"/>
        <w:ind w:left="0" w:leftChars="0" w:firstLine="416" w:firstLineChars="0"/>
        <w:rPr>
          <w:rFonts w:hint="eastAsia" w:eastAsia="宋体"/>
          <w:lang w:eastAsia="zh-CN"/>
        </w:rPr>
      </w:pPr>
      <w:r>
        <w:rPr>
          <w:rFonts w:hint="eastAsia" w:eastAsia="宋体"/>
          <w:lang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C746814">
      <w:pPr>
        <w:pStyle w:val="30"/>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Chars="0"/>
        <w:textAlignment w:val="auto"/>
        <w:outlineLvl w:val="1"/>
        <w:rPr>
          <w:rStyle w:val="25"/>
          <w:rFonts w:ascii="黑体" w:eastAsia="黑体"/>
          <w:b w:val="0"/>
        </w:rPr>
      </w:pPr>
      <w:bookmarkStart w:id="21" w:name="_Toc15377206"/>
      <w:bookmarkStart w:id="22" w:name="_Toc15396604"/>
      <w:r>
        <w:rPr>
          <w:rFonts w:hint="eastAsia" w:ascii="黑体" w:eastAsia="黑体"/>
          <w:sz w:val="32"/>
          <w:szCs w:val="32"/>
        </w:rPr>
        <w:t>收</w:t>
      </w:r>
      <w:r>
        <w:rPr>
          <w:rStyle w:val="25"/>
          <w:rFonts w:hint="eastAsia" w:ascii="黑体" w:eastAsia="黑体"/>
          <w:b w:val="0"/>
        </w:rPr>
        <w:t>入决算情况说明</w:t>
      </w:r>
      <w:bookmarkEnd w:id="21"/>
      <w:bookmarkEnd w:id="22"/>
    </w:p>
    <w:p w14:paraId="60EEAC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 w:eastAsia="仿宋"/>
          <w:color w:val="auto"/>
          <w:sz w:val="32"/>
          <w:szCs w:val="32"/>
        </w:rPr>
      </w:pPr>
      <w:r>
        <w:rPr>
          <w:rFonts w:ascii="仿宋" w:eastAsia="仿宋"/>
          <w:color w:val="auto"/>
          <w:sz w:val="32"/>
          <w:szCs w:val="32"/>
        </w:rPr>
        <w:t>20</w:t>
      </w:r>
      <w:r>
        <w:rPr>
          <w:rFonts w:hint="eastAsia" w:ascii="仿宋" w:eastAsia="仿宋"/>
          <w:color w:val="auto"/>
          <w:sz w:val="32"/>
          <w:szCs w:val="32"/>
        </w:rPr>
        <w:t>2</w:t>
      </w:r>
      <w:r>
        <w:rPr>
          <w:rFonts w:hint="eastAsia" w:ascii="仿宋" w:eastAsia="仿宋"/>
          <w:color w:val="auto"/>
          <w:sz w:val="32"/>
          <w:szCs w:val="32"/>
          <w:lang w:val="en-US" w:eastAsia="zh-CN"/>
        </w:rPr>
        <w:t>5</w:t>
      </w:r>
      <w:r>
        <w:rPr>
          <w:rFonts w:hint="eastAsia" w:ascii="仿宋" w:eastAsia="仿宋"/>
          <w:color w:val="auto"/>
          <w:sz w:val="32"/>
          <w:szCs w:val="32"/>
        </w:rPr>
        <w:t>年本</w:t>
      </w:r>
      <w:r>
        <w:rPr>
          <w:rFonts w:hint="eastAsia" w:ascii="仿宋" w:eastAsia="仿宋"/>
          <w:sz w:val="32"/>
          <w:szCs w:val="32"/>
        </w:rPr>
        <w:t>年收入合计</w:t>
      </w:r>
      <w:r>
        <w:rPr>
          <w:rFonts w:hint="eastAsia" w:ascii="仿宋" w:eastAsia="仿宋"/>
          <w:sz w:val="32"/>
          <w:szCs w:val="32"/>
          <w:lang w:val="en-US" w:eastAsia="zh-CN"/>
        </w:rPr>
        <w:t>6495.11</w:t>
      </w:r>
      <w:r>
        <w:rPr>
          <w:rFonts w:hint="eastAsia" w:ascii="仿宋" w:eastAsia="仿宋"/>
          <w:sz w:val="32"/>
          <w:szCs w:val="32"/>
        </w:rPr>
        <w:t>万元，其中：一般公共预算财政拨款收入</w:t>
      </w:r>
      <w:r>
        <w:rPr>
          <w:rFonts w:hint="eastAsia" w:ascii="仿宋" w:eastAsia="仿宋"/>
          <w:sz w:val="32"/>
          <w:szCs w:val="32"/>
          <w:lang w:val="en-US" w:eastAsia="zh-CN"/>
        </w:rPr>
        <w:t>3962.37</w:t>
      </w:r>
      <w:r>
        <w:rPr>
          <w:rFonts w:hint="eastAsia" w:ascii="仿宋" w:eastAsia="仿宋"/>
          <w:sz w:val="32"/>
          <w:szCs w:val="32"/>
        </w:rPr>
        <w:t>万元，占</w:t>
      </w:r>
      <w:r>
        <w:rPr>
          <w:rFonts w:hint="eastAsia" w:ascii="仿宋" w:eastAsia="仿宋"/>
          <w:color w:val="auto"/>
          <w:sz w:val="32"/>
          <w:szCs w:val="32"/>
          <w:lang w:val="en-US" w:eastAsia="zh-CN"/>
        </w:rPr>
        <w:t>61</w:t>
      </w:r>
      <w:r>
        <w:rPr>
          <w:rFonts w:hint="eastAsia" w:ascii="仿宋" w:eastAsia="仿宋"/>
          <w:color w:val="auto"/>
          <w:sz w:val="32"/>
          <w:szCs w:val="32"/>
        </w:rPr>
        <w:t>%；政府性基金预算财政拨款收入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%；国有资本经营预算财政拨款收入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%；上级补助收入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%；事业收入</w:t>
      </w:r>
      <w:r>
        <w:rPr>
          <w:rFonts w:hint="eastAsia" w:ascii="仿宋" w:eastAsia="仿宋"/>
          <w:color w:val="auto"/>
          <w:sz w:val="32"/>
          <w:szCs w:val="32"/>
          <w:lang w:val="en-US" w:eastAsia="zh-CN"/>
        </w:rPr>
        <w:t>2532.75</w:t>
      </w:r>
      <w:r>
        <w:rPr>
          <w:rFonts w:hint="eastAsia" w:ascii="仿宋" w:eastAsia="仿宋"/>
          <w:color w:val="auto"/>
          <w:sz w:val="32"/>
          <w:szCs w:val="32"/>
        </w:rPr>
        <w:t>万元，占</w:t>
      </w:r>
      <w:r>
        <w:rPr>
          <w:rFonts w:hint="eastAsia" w:ascii="仿宋" w:eastAsia="仿宋"/>
          <w:color w:val="auto"/>
          <w:sz w:val="32"/>
          <w:szCs w:val="32"/>
          <w:lang w:val="en-US" w:eastAsia="zh-CN"/>
        </w:rPr>
        <w:t>39</w:t>
      </w:r>
      <w:r>
        <w:rPr>
          <w:rFonts w:hint="eastAsia" w:ascii="仿宋" w:eastAsia="仿宋"/>
          <w:color w:val="auto"/>
          <w:sz w:val="32"/>
          <w:szCs w:val="32"/>
        </w:rPr>
        <w:t>%；经营收入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%；附属单位上缴收入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%；其他收入</w:t>
      </w:r>
      <w:r>
        <w:rPr>
          <w:rFonts w:hint="eastAsia" w:ascii="仿宋" w:eastAsia="仿宋"/>
          <w:color w:val="auto"/>
          <w:sz w:val="32"/>
          <w:szCs w:val="32"/>
          <w:lang w:val="en-US" w:eastAsia="zh-CN"/>
        </w:rPr>
        <w:t>0</w:t>
      </w:r>
      <w:r>
        <w:rPr>
          <w:rFonts w:hint="eastAsia" w:ascii="仿宋" w:eastAsia="仿宋"/>
          <w:color w:val="auto"/>
          <w:sz w:val="32"/>
          <w:szCs w:val="32"/>
        </w:rPr>
        <w:t>万元，占</w:t>
      </w:r>
      <w:r>
        <w:rPr>
          <w:rFonts w:hint="eastAsia" w:ascii="仿宋" w:eastAsia="仿宋"/>
          <w:color w:val="auto"/>
          <w:sz w:val="32"/>
          <w:szCs w:val="32"/>
          <w:lang w:val="en-US" w:eastAsia="zh-CN"/>
        </w:rPr>
        <w:t>0</w:t>
      </w:r>
      <w:r>
        <w:rPr>
          <w:rFonts w:hint="eastAsia" w:ascii="仿宋" w:eastAsia="仿宋"/>
          <w:color w:val="auto"/>
          <w:sz w:val="32"/>
          <w:szCs w:val="32"/>
        </w:rPr>
        <w:t>%。</w:t>
      </w:r>
    </w:p>
    <w:p w14:paraId="6F2153CD">
      <w:pPr>
        <w:pStyle w:val="8"/>
        <w:numPr>
          <w:ilvl w:val="0"/>
          <w:numId w:val="0"/>
        </w:numPr>
        <w:tabs>
          <w:tab w:val="left" w:pos="300"/>
        </w:tabs>
        <w:ind w:left="120" w:leftChars="0" w:right="0" w:rightChars="0" w:hanging="120" w:firstLineChars="0"/>
        <w:jc w:val="left"/>
        <w:rPr>
          <w:rFonts w:hint="eastAsia" w:ascii="仿宋_GB2312" w:eastAsia="仿宋_GB2312"/>
          <w:sz w:val="32"/>
          <w:szCs w:val="32"/>
          <w:lang w:eastAsia="zh-CN"/>
        </w:rPr>
      </w:pPr>
      <w:r>
        <w:rPr>
          <w:rFonts w:hint="default" w:ascii="Wingdings" w:hAnsi="Wingdings" w:eastAsia="仿宋_GB2312" w:cs="宋体"/>
          <w:kern w:val="0"/>
          <w:sz w:val="32"/>
          <w:szCs w:val="32"/>
          <w:lang w:val="en-US" w:eastAsia="zh-CN" w:bidi="ar"/>
        </w:rPr>
        <w:t></w:t>
      </w:r>
      <w:r>
        <w:rPr>
          <w:rFonts w:hint="eastAsia" w:ascii="仿宋_GB2312" w:eastAsia="仿宋_GB2312"/>
          <w:sz w:val="32"/>
          <w:szCs w:val="32"/>
          <w:lang w:eastAsia="zh-CN"/>
        </w:rPr>
        <w:tab/>
      </w:r>
      <w:r>
        <w:rPr>
          <w:rFonts w:hint="eastAsia" w:ascii="仿宋_GB2312" w:eastAsia="仿宋_GB2312"/>
          <w:sz w:val="32"/>
          <w:szCs w:val="32"/>
          <w:lang w:eastAsia="zh-CN"/>
        </w:rPr>
        <w:drawing>
          <wp:inline distT="0" distB="0" distL="114300" distR="114300">
            <wp:extent cx="5256530" cy="2988310"/>
            <wp:effectExtent l="5080" t="4445" r="15240" b="1714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3269FA">
      <w:pPr>
        <w:pStyle w:val="30"/>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Chars="0"/>
        <w:textAlignment w:val="auto"/>
        <w:outlineLvl w:val="1"/>
        <w:rPr>
          <w:rStyle w:val="25"/>
          <w:rFonts w:ascii="黑体" w:eastAsia="黑体"/>
          <w:b w:val="0"/>
        </w:rPr>
      </w:pPr>
      <w:bookmarkStart w:id="23" w:name="_Toc15396605"/>
      <w:bookmarkStart w:id="24" w:name="_Toc15377207"/>
      <w:r>
        <w:rPr>
          <w:rFonts w:hint="eastAsia" w:ascii="黑体" w:eastAsia="黑体"/>
          <w:sz w:val="32"/>
          <w:szCs w:val="32"/>
        </w:rPr>
        <w:t>支</w:t>
      </w:r>
      <w:r>
        <w:rPr>
          <w:rStyle w:val="25"/>
          <w:rFonts w:hint="eastAsia" w:ascii="黑体" w:eastAsia="黑体"/>
          <w:b w:val="0"/>
        </w:rPr>
        <w:t>出决算情况说明</w:t>
      </w:r>
      <w:bookmarkEnd w:id="23"/>
      <w:bookmarkEnd w:id="24"/>
    </w:p>
    <w:p w14:paraId="610FC2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年本年支出合计</w:t>
      </w:r>
      <w:r>
        <w:rPr>
          <w:rFonts w:hint="eastAsia" w:ascii="仿宋" w:eastAsia="仿宋"/>
          <w:sz w:val="32"/>
          <w:szCs w:val="32"/>
          <w:lang w:val="en-US" w:eastAsia="zh-CN"/>
        </w:rPr>
        <w:t>6156.55</w:t>
      </w:r>
      <w:r>
        <w:rPr>
          <w:rFonts w:hint="eastAsia" w:ascii="仿宋" w:eastAsia="仿宋"/>
          <w:sz w:val="32"/>
          <w:szCs w:val="32"/>
        </w:rPr>
        <w:t>万元，其中：基本支出</w:t>
      </w:r>
      <w:r>
        <w:rPr>
          <w:rFonts w:hint="eastAsia" w:ascii="仿宋" w:eastAsia="仿宋"/>
          <w:sz w:val="32"/>
          <w:szCs w:val="32"/>
          <w:lang w:val="en-US" w:eastAsia="zh-CN"/>
        </w:rPr>
        <w:t>4885.85</w:t>
      </w:r>
      <w:r>
        <w:rPr>
          <w:rFonts w:hint="eastAsia" w:ascii="仿宋" w:eastAsia="仿宋"/>
          <w:sz w:val="32"/>
          <w:szCs w:val="32"/>
        </w:rPr>
        <w:t>万元，占</w:t>
      </w:r>
      <w:r>
        <w:rPr>
          <w:rFonts w:hint="eastAsia" w:ascii="仿宋" w:eastAsia="仿宋"/>
          <w:sz w:val="32"/>
          <w:szCs w:val="32"/>
          <w:lang w:val="en-US" w:eastAsia="zh-CN"/>
        </w:rPr>
        <w:t>79.36</w:t>
      </w:r>
      <w:r>
        <w:rPr>
          <w:rFonts w:ascii="仿宋" w:eastAsia="仿宋"/>
          <w:sz w:val="32"/>
          <w:szCs w:val="32"/>
        </w:rPr>
        <w:t>%</w:t>
      </w:r>
      <w:r>
        <w:rPr>
          <w:rFonts w:hint="eastAsia" w:ascii="仿宋" w:eastAsia="仿宋"/>
          <w:sz w:val="32"/>
          <w:szCs w:val="32"/>
        </w:rPr>
        <w:t>；项目支出</w:t>
      </w:r>
      <w:r>
        <w:rPr>
          <w:rFonts w:hint="eastAsia" w:ascii="仿宋" w:eastAsia="仿宋"/>
          <w:sz w:val="32"/>
          <w:szCs w:val="32"/>
          <w:lang w:val="en-US" w:eastAsia="zh-CN"/>
        </w:rPr>
        <w:t>1270.7</w:t>
      </w:r>
      <w:r>
        <w:rPr>
          <w:rFonts w:hint="eastAsia" w:ascii="仿宋" w:eastAsia="仿宋"/>
          <w:sz w:val="32"/>
          <w:szCs w:val="32"/>
        </w:rPr>
        <w:t>万元，占</w:t>
      </w:r>
      <w:r>
        <w:rPr>
          <w:rFonts w:hint="eastAsia" w:ascii="仿宋" w:eastAsia="仿宋"/>
          <w:sz w:val="32"/>
          <w:szCs w:val="32"/>
          <w:lang w:val="en-US" w:eastAsia="zh-CN"/>
        </w:rPr>
        <w:t>20.64</w:t>
      </w:r>
      <w:r>
        <w:rPr>
          <w:rFonts w:ascii="仿宋" w:eastAsia="仿宋"/>
          <w:sz w:val="32"/>
          <w:szCs w:val="32"/>
        </w:rPr>
        <w:t>%</w:t>
      </w:r>
      <w:r>
        <w:rPr>
          <w:rFonts w:hint="eastAsia" w:ascii="仿宋" w:eastAsia="仿宋"/>
          <w:sz w:val="32"/>
          <w:szCs w:val="32"/>
        </w:rPr>
        <w:t>；上缴上级支出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；经营支出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；对附属单位补助支出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p>
    <w:p w14:paraId="5C3FA258">
      <w:pPr>
        <w:pStyle w:val="8"/>
        <w:ind w:left="421" w:leftChars="48" w:hanging="320" w:hangingChars="100"/>
        <w:rPr>
          <w:rFonts w:hint="eastAsia" w:ascii="仿宋_GB2312" w:eastAsia="仿宋_GB2312"/>
          <w:sz w:val="32"/>
          <w:szCs w:val="32"/>
          <w:lang w:eastAsia="zh-CN"/>
        </w:rPr>
      </w:pPr>
      <w:r>
        <w:rPr>
          <w:rFonts w:hint="eastAsia" w:ascii="仿宋_GB2312" w:eastAsia="仿宋_GB2312"/>
          <w:sz w:val="32"/>
          <w:szCs w:val="32"/>
          <w:lang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DB4E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Style w:val="25"/>
          <w:rFonts w:ascii="黑体" w:eastAsia="黑体"/>
          <w:b w:val="0"/>
        </w:rPr>
      </w:pPr>
      <w:bookmarkStart w:id="25" w:name="_Toc15396606"/>
      <w:bookmarkStart w:id="26" w:name="_Toc15377208"/>
      <w:r>
        <w:rPr>
          <w:rFonts w:hint="eastAsia" w:ascii="黑体" w:eastAsia="黑体"/>
          <w:color w:val="auto"/>
          <w:sz w:val="32"/>
          <w:szCs w:val="32"/>
        </w:rPr>
        <w:t>四、</w:t>
      </w:r>
      <w:r>
        <w:rPr>
          <w:rFonts w:hint="eastAsia" w:ascii="黑体" w:eastAsia="黑体"/>
          <w:sz w:val="32"/>
          <w:szCs w:val="32"/>
        </w:rPr>
        <w:t>财</w:t>
      </w:r>
      <w:r>
        <w:rPr>
          <w:rStyle w:val="25"/>
          <w:rFonts w:hint="eastAsia" w:ascii="黑体" w:eastAsia="黑体"/>
          <w:b w:val="0"/>
        </w:rPr>
        <w:t>政拨款收入支出决算总体情况说明</w:t>
      </w:r>
      <w:bookmarkEnd w:id="25"/>
      <w:bookmarkEnd w:id="26"/>
    </w:p>
    <w:p w14:paraId="6A2FE9A6">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年财政拨款收</w:t>
      </w:r>
      <w:r>
        <w:rPr>
          <w:rFonts w:hint="eastAsia" w:ascii="仿宋" w:eastAsia="仿宋"/>
          <w:sz w:val="32"/>
          <w:szCs w:val="32"/>
          <w:lang w:val="en-US" w:eastAsia="zh-CN"/>
        </w:rPr>
        <w:t>入3962.37</w:t>
      </w:r>
      <w:r>
        <w:rPr>
          <w:rFonts w:hint="eastAsia" w:ascii="仿宋" w:eastAsia="仿宋"/>
          <w:sz w:val="32"/>
          <w:szCs w:val="32"/>
        </w:rPr>
        <w:t>万元、支</w:t>
      </w:r>
      <w:r>
        <w:rPr>
          <w:rFonts w:hint="eastAsia" w:ascii="仿宋" w:eastAsia="仿宋"/>
          <w:sz w:val="32"/>
          <w:szCs w:val="32"/>
          <w:lang w:val="en-US" w:eastAsia="zh-CN"/>
        </w:rPr>
        <w:t>出3962.37</w:t>
      </w:r>
      <w:r>
        <w:rPr>
          <w:rFonts w:hint="eastAsia" w:ascii="仿宋" w:eastAsia="仿宋"/>
          <w:sz w:val="32"/>
          <w:szCs w:val="32"/>
        </w:rPr>
        <w:t>万元。与</w:t>
      </w: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4</w:t>
      </w:r>
      <w:r>
        <w:rPr>
          <w:rFonts w:hint="eastAsia" w:ascii="仿宋" w:eastAsia="仿宋"/>
          <w:sz w:val="32"/>
          <w:szCs w:val="32"/>
        </w:rPr>
        <w:t>年相比，财政拨款收</w:t>
      </w:r>
      <w:r>
        <w:rPr>
          <w:rFonts w:hint="eastAsia" w:ascii="仿宋" w:eastAsia="仿宋"/>
          <w:sz w:val="32"/>
          <w:szCs w:val="32"/>
          <w:lang w:val="en-US" w:eastAsia="zh-CN"/>
        </w:rPr>
        <w:t>入减少847.36</w:t>
      </w:r>
      <w:r>
        <w:rPr>
          <w:rFonts w:hint="eastAsia" w:ascii="仿宋" w:eastAsia="仿宋"/>
          <w:sz w:val="32"/>
          <w:szCs w:val="32"/>
        </w:rPr>
        <w:t>万元、支</w:t>
      </w:r>
      <w:r>
        <w:rPr>
          <w:rFonts w:hint="eastAsia" w:ascii="仿宋" w:eastAsia="仿宋"/>
          <w:sz w:val="32"/>
          <w:szCs w:val="32"/>
          <w:lang w:val="en-US" w:eastAsia="zh-CN"/>
        </w:rPr>
        <w:t>出增加847.36</w:t>
      </w:r>
      <w:r>
        <w:rPr>
          <w:rFonts w:hint="eastAsia" w:ascii="仿宋" w:eastAsia="仿宋"/>
          <w:sz w:val="32"/>
          <w:szCs w:val="32"/>
        </w:rPr>
        <w:t>万元</w:t>
      </w:r>
      <w:r>
        <w:rPr>
          <w:rFonts w:hint="eastAsia" w:ascii="仿宋" w:eastAsia="仿宋"/>
          <w:sz w:val="32"/>
          <w:szCs w:val="32"/>
          <w:lang w:eastAsia="zh-CN"/>
        </w:rPr>
        <w:t>，</w:t>
      </w:r>
      <w:r>
        <w:rPr>
          <w:rFonts w:hint="eastAsia" w:ascii="仿宋" w:eastAsia="仿宋"/>
          <w:sz w:val="32"/>
          <w:szCs w:val="32"/>
          <w:lang w:val="en-US" w:eastAsia="zh-CN"/>
        </w:rPr>
        <w:t>收入减少17.62</w:t>
      </w:r>
      <w:r>
        <w:rPr>
          <w:rFonts w:hint="eastAsia" w:ascii="仿宋" w:eastAsia="仿宋"/>
          <w:sz w:val="32"/>
          <w:szCs w:val="32"/>
        </w:rPr>
        <w:t>%</w:t>
      </w:r>
      <w:r>
        <w:rPr>
          <w:rFonts w:hint="eastAsia" w:ascii="仿宋" w:eastAsia="仿宋"/>
          <w:sz w:val="32"/>
          <w:szCs w:val="32"/>
          <w:lang w:eastAsia="zh-CN"/>
        </w:rPr>
        <w:t>、</w:t>
      </w:r>
      <w:r>
        <w:rPr>
          <w:rFonts w:hint="eastAsia" w:ascii="仿宋" w:eastAsia="仿宋"/>
          <w:sz w:val="32"/>
          <w:szCs w:val="32"/>
          <w:lang w:val="en-US" w:eastAsia="zh-CN"/>
        </w:rPr>
        <w:t>支出减少17.62</w:t>
      </w:r>
      <w:r>
        <w:rPr>
          <w:rFonts w:hint="eastAsia" w:ascii="仿宋" w:eastAsia="仿宋"/>
          <w:sz w:val="32"/>
          <w:szCs w:val="32"/>
        </w:rPr>
        <w:t>%。主要变动原因</w:t>
      </w:r>
      <w:r>
        <w:rPr>
          <w:rFonts w:hint="eastAsia" w:ascii="仿宋" w:eastAsia="仿宋"/>
          <w:color w:val="auto"/>
          <w:sz w:val="32"/>
          <w:szCs w:val="32"/>
          <w:lang w:val="en-US" w:eastAsia="zh-CN"/>
        </w:rPr>
        <w:t>是2025年财政专项资金收入和支出较上年减少，所以本年收入支出数较上年变动较大</w:t>
      </w:r>
      <w:r>
        <w:rPr>
          <w:rFonts w:hint="eastAsia" w:ascii="仿宋" w:eastAsia="仿宋"/>
          <w:sz w:val="32"/>
          <w:szCs w:val="32"/>
        </w:rPr>
        <w:t>。</w:t>
      </w:r>
    </w:p>
    <w:p w14:paraId="44481987">
      <w:pPr>
        <w:pStyle w:val="8"/>
        <w:tabs>
          <w:tab w:val="left" w:pos="898"/>
        </w:tabs>
        <w:ind w:left="0" w:leftChars="0" w:firstLine="480" w:firstLineChars="0"/>
        <w:rPr>
          <w:rFonts w:hint="eastAsia" w:ascii="仿宋" w:eastAsia="仿宋"/>
          <w:sz w:val="32"/>
          <w:szCs w:val="32"/>
        </w:rPr>
      </w:pPr>
      <w:r>
        <w:rPr>
          <w:rFonts w:hint="eastAsia" w:eastAsia="宋体"/>
          <w:lang w:eastAsia="zh-CN"/>
        </w:rPr>
        <w:drawing>
          <wp:inline distT="0" distB="0" distL="114300" distR="114300">
            <wp:extent cx="5256530" cy="2988310"/>
            <wp:effectExtent l="5080" t="4445" r="15240" b="1714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5B2FB3">
      <w:pPr>
        <w:spacing w:line="600" w:lineRule="exact"/>
        <w:ind w:firstLine="640" w:firstLineChars="200"/>
        <w:outlineLvl w:val="1"/>
        <w:rPr>
          <w:rStyle w:val="25"/>
          <w:rFonts w:ascii="黑体" w:eastAsia="黑体"/>
          <w:b w:val="0"/>
        </w:rPr>
      </w:pPr>
      <w:bookmarkStart w:id="27" w:name="_Toc15396607"/>
      <w:bookmarkStart w:id="28" w:name="_Toc15377209"/>
      <w:r>
        <w:rPr>
          <w:rFonts w:hint="eastAsia" w:ascii="黑体" w:eastAsia="黑体"/>
          <w:sz w:val="32"/>
          <w:szCs w:val="32"/>
        </w:rPr>
        <w:t>五、</w:t>
      </w:r>
      <w:r>
        <w:rPr>
          <w:rFonts w:hint="eastAsia" w:ascii="黑体" w:eastAsia="黑体"/>
          <w:b/>
          <w:sz w:val="32"/>
          <w:szCs w:val="32"/>
        </w:rPr>
        <w:t>一</w:t>
      </w:r>
      <w:r>
        <w:rPr>
          <w:rStyle w:val="25"/>
          <w:rFonts w:hint="eastAsia" w:ascii="黑体" w:eastAsia="黑体"/>
          <w:b w:val="0"/>
        </w:rPr>
        <w:t>般公共预算财政拨款支出决算情况说明</w:t>
      </w:r>
      <w:bookmarkEnd w:id="27"/>
      <w:bookmarkEnd w:id="28"/>
    </w:p>
    <w:p w14:paraId="54EB498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ascii="仿宋" w:eastAsia="仿宋"/>
          <w:b/>
          <w:sz w:val="32"/>
          <w:szCs w:val="32"/>
        </w:rPr>
      </w:pPr>
      <w:bookmarkStart w:id="29" w:name="_Toc15377210"/>
      <w:r>
        <w:rPr>
          <w:rFonts w:hint="eastAsia" w:ascii="仿宋" w:eastAsia="仿宋"/>
          <w:b/>
          <w:sz w:val="32"/>
          <w:szCs w:val="32"/>
        </w:rPr>
        <w:t>（一）一般公共预算财政拨款支出决算总体情况</w:t>
      </w:r>
      <w:bookmarkEnd w:id="29"/>
    </w:p>
    <w:p w14:paraId="2E91837D">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rPr>
          <w:rFonts w:hint="eastAsia" w:ascii="仿宋_GB2312" w:hAnsi="仿宋_GB2312" w:eastAsia="仿宋_GB2312" w:cs="仿宋_GB2312"/>
          <w:kern w:val="0"/>
          <w:sz w:val="32"/>
          <w:szCs w:val="32"/>
          <w:shd w:val="clear" w:color="auto" w:fill="FFFFFF"/>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年一般公共预算财政拨款支出</w:t>
      </w:r>
      <w:r>
        <w:rPr>
          <w:rFonts w:hint="eastAsia" w:ascii="仿宋" w:eastAsia="仿宋"/>
          <w:sz w:val="32"/>
          <w:szCs w:val="32"/>
          <w:lang w:val="en-US" w:eastAsia="zh-CN"/>
        </w:rPr>
        <w:t>3962.37</w:t>
      </w:r>
      <w:r>
        <w:rPr>
          <w:rFonts w:hint="eastAsia" w:ascii="仿宋" w:eastAsia="仿宋"/>
          <w:sz w:val="32"/>
          <w:szCs w:val="32"/>
        </w:rPr>
        <w:t>万元，占本年支出合计的</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。与</w:t>
      </w: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4</w:t>
      </w:r>
      <w:r>
        <w:rPr>
          <w:rFonts w:hint="eastAsia" w:ascii="仿宋" w:eastAsia="仿宋"/>
          <w:sz w:val="32"/>
          <w:szCs w:val="32"/>
        </w:rPr>
        <w:t>年相比，一般公共预算财政拨款支出</w:t>
      </w:r>
      <w:r>
        <w:rPr>
          <w:rFonts w:hint="eastAsia" w:ascii="仿宋" w:eastAsia="仿宋"/>
          <w:sz w:val="32"/>
          <w:szCs w:val="32"/>
          <w:lang w:val="en-US" w:eastAsia="zh-CN"/>
        </w:rPr>
        <w:t>减少847.36</w:t>
      </w:r>
      <w:r>
        <w:rPr>
          <w:rFonts w:hint="eastAsia" w:ascii="仿宋" w:eastAsia="仿宋"/>
          <w:sz w:val="32"/>
          <w:szCs w:val="32"/>
        </w:rPr>
        <w:t>万元，</w:t>
      </w:r>
      <w:r>
        <w:rPr>
          <w:rFonts w:hint="eastAsia" w:ascii="仿宋" w:eastAsia="仿宋"/>
          <w:sz w:val="32"/>
          <w:szCs w:val="32"/>
          <w:lang w:val="en-US" w:eastAsia="zh-CN"/>
        </w:rPr>
        <w:t>减少17.62</w:t>
      </w:r>
      <w:r>
        <w:rPr>
          <w:rFonts w:ascii="仿宋" w:eastAsia="仿宋"/>
          <w:sz w:val="32"/>
          <w:szCs w:val="32"/>
        </w:rPr>
        <w:t>%</w:t>
      </w:r>
      <w:r>
        <w:rPr>
          <w:rFonts w:hint="eastAsia" w:ascii="仿宋" w:eastAsia="仿宋"/>
          <w:sz w:val="32"/>
          <w:szCs w:val="32"/>
        </w:rPr>
        <w:t>。主要变动原因是</w:t>
      </w:r>
      <w:r>
        <w:rPr>
          <w:rFonts w:hint="eastAsia" w:ascii="仿宋_GB2312" w:hAnsi="仿宋_GB2312" w:eastAsia="仿宋_GB2312" w:cs="仿宋_GB2312"/>
          <w:kern w:val="0"/>
          <w:sz w:val="32"/>
          <w:szCs w:val="32"/>
          <w:shd w:val="clear" w:color="auto" w:fill="FFFFFF"/>
        </w:rPr>
        <w:t>今年财政项目收支</w:t>
      </w:r>
      <w:r>
        <w:rPr>
          <w:rFonts w:hint="eastAsia" w:ascii="仿宋_GB2312" w:hAnsi="仿宋_GB2312" w:eastAsia="仿宋_GB2312" w:cs="仿宋_GB2312"/>
          <w:kern w:val="0"/>
          <w:sz w:val="32"/>
          <w:szCs w:val="32"/>
          <w:shd w:val="clear" w:color="auto" w:fill="FFFFFF"/>
          <w:lang w:val="en-US" w:eastAsia="zh-CN"/>
        </w:rPr>
        <w:t>减少</w:t>
      </w:r>
      <w:r>
        <w:rPr>
          <w:rFonts w:hint="eastAsia" w:ascii="仿宋_GB2312" w:hAnsi="仿宋_GB2312" w:eastAsia="仿宋_GB2312" w:cs="仿宋_GB2312"/>
          <w:kern w:val="0"/>
          <w:sz w:val="32"/>
          <w:szCs w:val="32"/>
          <w:shd w:val="clear" w:color="auto" w:fill="FFFFFF"/>
        </w:rPr>
        <w:t>。</w:t>
      </w:r>
    </w:p>
    <w:p w14:paraId="38827823">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both"/>
        <w:textAlignment w:val="auto"/>
      </w:pPr>
      <w:r>
        <w:rPr>
          <w:rFonts w:hint="eastAsia" w:ascii="仿宋_GB2312" w:hAnsi="仿宋_GB2312" w:eastAsia="仿宋_GB2312" w:cs="仿宋_GB2312"/>
          <w:kern w:val="0"/>
          <w:sz w:val="32"/>
          <w:szCs w:val="32"/>
          <w:shd w:val="clear" w:color="auto" w:fill="FFFFFF"/>
          <w:lang w:eastAsia="zh-CN"/>
        </w:rPr>
        <w:drawing>
          <wp:anchor distT="0" distB="0" distL="114300" distR="114300" simplePos="0" relativeHeight="251659264" behindDoc="0" locked="0" layoutInCell="1" allowOverlap="1">
            <wp:simplePos x="0" y="0"/>
            <wp:positionH relativeFrom="column">
              <wp:posOffset>157480</wp:posOffset>
            </wp:positionH>
            <wp:positionV relativeFrom="paragraph">
              <wp:posOffset>-79375</wp:posOffset>
            </wp:positionV>
            <wp:extent cx="5256530" cy="2988310"/>
            <wp:effectExtent l="5080" t="4445" r="15240" b="17145"/>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28E32C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2"/>
        <w:rPr>
          <w:rFonts w:ascii="仿宋" w:eastAsia="仿宋"/>
          <w:b/>
          <w:sz w:val="32"/>
          <w:szCs w:val="32"/>
        </w:rPr>
      </w:pPr>
      <w:bookmarkStart w:id="30" w:name="_Toc15377211"/>
      <w:r>
        <w:rPr>
          <w:rFonts w:hint="eastAsia" w:ascii="仿宋" w:eastAsia="仿宋"/>
          <w:b/>
          <w:sz w:val="32"/>
          <w:szCs w:val="32"/>
        </w:rPr>
        <w:t>（二）一般公共预算财政拨款支出决算结构情况</w:t>
      </w:r>
      <w:bookmarkEnd w:id="30"/>
    </w:p>
    <w:p w14:paraId="63B1966F">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eastAsia="仿宋"/>
          <w:color w:val="auto"/>
          <w:sz w:val="32"/>
          <w:szCs w:val="32"/>
          <w:lang w:eastAsia="zh-CN"/>
        </w:rPr>
      </w:pPr>
      <w:r>
        <w:rPr>
          <w:rFonts w:hint="eastAsia" w:ascii="仿宋" w:eastAsia="仿宋"/>
          <w:sz w:val="32"/>
          <w:szCs w:val="32"/>
          <w:lang w:val="en-US" w:eastAsia="zh-CN"/>
        </w:rPr>
        <w:t>2025</w:t>
      </w:r>
      <w:r>
        <w:rPr>
          <w:rFonts w:hint="eastAsia" w:ascii="仿宋" w:eastAsia="仿宋"/>
          <w:sz w:val="32"/>
          <w:szCs w:val="32"/>
        </w:rPr>
        <w:t>年一般公共预算财政拨款支出</w:t>
      </w:r>
      <w:r>
        <w:rPr>
          <w:rFonts w:hint="eastAsia" w:ascii="仿宋" w:eastAsia="仿宋"/>
          <w:sz w:val="32"/>
          <w:szCs w:val="32"/>
          <w:lang w:val="en-US" w:eastAsia="zh-CN"/>
        </w:rPr>
        <w:t>3962.37</w:t>
      </w:r>
      <w:r>
        <w:rPr>
          <w:rFonts w:hint="eastAsia" w:ascii="仿宋" w:eastAsia="仿宋"/>
          <w:sz w:val="32"/>
          <w:szCs w:val="32"/>
        </w:rPr>
        <w:t>万元，主要用于以下方面</w:t>
      </w:r>
      <w:r>
        <w:rPr>
          <w:rFonts w:ascii="仿宋" w:eastAsia="仿宋"/>
          <w:sz w:val="32"/>
          <w:szCs w:val="32"/>
        </w:rPr>
        <w:t>:</w:t>
      </w:r>
      <w:r>
        <w:rPr>
          <w:rFonts w:hint="eastAsia" w:ascii="仿宋" w:eastAsia="仿宋"/>
          <w:b/>
          <w:sz w:val="32"/>
          <w:szCs w:val="32"/>
        </w:rPr>
        <w:t>一般公共服务（类）</w:t>
      </w:r>
      <w:r>
        <w:rPr>
          <w:rFonts w:hint="eastAsia" w:ascii="仿宋" w:eastAsia="仿宋"/>
          <w:sz w:val="32"/>
          <w:szCs w:val="32"/>
        </w:rPr>
        <w:t>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r>
        <w:rPr>
          <w:rFonts w:hint="eastAsia" w:ascii="仿宋" w:eastAsia="仿宋"/>
          <w:b/>
          <w:sz w:val="32"/>
          <w:szCs w:val="32"/>
        </w:rPr>
        <w:t>教育支出（类）</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r>
        <w:rPr>
          <w:rFonts w:hint="eastAsia" w:ascii="仿宋" w:eastAsia="仿宋"/>
          <w:b/>
          <w:sz w:val="32"/>
          <w:szCs w:val="32"/>
        </w:rPr>
        <w:t>科学技术（类）</w:t>
      </w:r>
      <w:r>
        <w:rPr>
          <w:rFonts w:hint="eastAsia" w:ascii="仿宋" w:eastAsia="仿宋"/>
          <w:sz w:val="32"/>
          <w:szCs w:val="32"/>
        </w:rPr>
        <w:t>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文化旅游体育与传媒（类）支出</w:t>
      </w:r>
      <w:r>
        <w:rPr>
          <w:rFonts w:hint="eastAsia" w:ascii="仿宋" w:eastAsia="仿宋"/>
          <w:b/>
          <w:bCs/>
          <w:sz w:val="32"/>
          <w:szCs w:val="32"/>
          <w:lang w:val="en-US" w:eastAsia="zh-CN"/>
        </w:rPr>
        <w:t>0</w:t>
      </w:r>
      <w:r>
        <w:rPr>
          <w:rFonts w:hint="eastAsia" w:ascii="仿宋" w:eastAsia="仿宋"/>
          <w:b/>
          <w:bCs/>
          <w:sz w:val="32"/>
          <w:szCs w:val="32"/>
        </w:rPr>
        <w:t>万元，占</w:t>
      </w:r>
      <w:r>
        <w:rPr>
          <w:rFonts w:hint="eastAsia" w:ascii="仿宋" w:eastAsia="仿宋"/>
          <w:b/>
          <w:bCs/>
          <w:sz w:val="32"/>
          <w:szCs w:val="32"/>
          <w:lang w:val="en-US" w:eastAsia="zh-CN"/>
        </w:rPr>
        <w:t>0</w:t>
      </w:r>
      <w:r>
        <w:rPr>
          <w:rFonts w:ascii="仿宋" w:eastAsia="仿宋"/>
          <w:b/>
          <w:bCs/>
          <w:sz w:val="32"/>
          <w:szCs w:val="32"/>
        </w:rPr>
        <w:t>%</w:t>
      </w:r>
      <w:r>
        <w:rPr>
          <w:rFonts w:hint="eastAsia" w:ascii="仿宋" w:eastAsia="仿宋"/>
          <w:sz w:val="32"/>
          <w:szCs w:val="32"/>
        </w:rPr>
        <w:t>；</w:t>
      </w:r>
      <w:bookmarkStart w:id="31" w:name="OLE_LINK1"/>
      <w:r>
        <w:rPr>
          <w:rFonts w:hint="eastAsia" w:ascii="仿宋" w:eastAsia="仿宋"/>
          <w:b/>
          <w:sz w:val="32"/>
          <w:szCs w:val="32"/>
        </w:rPr>
        <w:t>社会保障和就业</w:t>
      </w:r>
      <w:bookmarkEnd w:id="31"/>
      <w:r>
        <w:rPr>
          <w:rFonts w:hint="eastAsia" w:ascii="仿宋" w:eastAsia="仿宋"/>
          <w:b/>
          <w:sz w:val="32"/>
          <w:szCs w:val="32"/>
        </w:rPr>
        <w:t>（类）</w:t>
      </w:r>
      <w:r>
        <w:rPr>
          <w:rFonts w:hint="eastAsia" w:ascii="仿宋" w:eastAsia="仿宋"/>
          <w:sz w:val="32"/>
          <w:szCs w:val="32"/>
        </w:rPr>
        <w:t>支出</w:t>
      </w:r>
      <w:r>
        <w:rPr>
          <w:rFonts w:hint="eastAsia" w:ascii="仿宋" w:eastAsia="仿宋"/>
          <w:sz w:val="32"/>
          <w:szCs w:val="32"/>
          <w:lang w:val="en-US" w:eastAsia="zh-CN"/>
        </w:rPr>
        <w:t>381.52</w:t>
      </w:r>
      <w:r>
        <w:rPr>
          <w:rFonts w:hint="eastAsia" w:ascii="仿宋" w:eastAsia="仿宋"/>
          <w:color w:val="auto"/>
          <w:sz w:val="32"/>
          <w:szCs w:val="32"/>
        </w:rPr>
        <w:t>万元，占</w:t>
      </w:r>
      <w:r>
        <w:rPr>
          <w:rFonts w:hint="eastAsia" w:ascii="仿宋" w:eastAsia="仿宋"/>
          <w:color w:val="auto"/>
          <w:sz w:val="32"/>
          <w:szCs w:val="32"/>
          <w:lang w:val="en-US" w:eastAsia="zh-CN"/>
        </w:rPr>
        <w:t>9.63</w:t>
      </w:r>
      <w:r>
        <w:rPr>
          <w:rFonts w:ascii="仿宋" w:eastAsia="仿宋"/>
          <w:color w:val="auto"/>
          <w:sz w:val="32"/>
          <w:szCs w:val="32"/>
        </w:rPr>
        <w:t>%</w:t>
      </w:r>
      <w:r>
        <w:rPr>
          <w:rFonts w:hint="eastAsia" w:ascii="仿宋" w:eastAsia="仿宋"/>
          <w:color w:val="auto"/>
          <w:sz w:val="32"/>
          <w:szCs w:val="32"/>
        </w:rPr>
        <w:t>；</w:t>
      </w:r>
      <w:r>
        <w:rPr>
          <w:rFonts w:hint="eastAsia" w:ascii="仿宋" w:eastAsia="仿宋"/>
          <w:b/>
          <w:bCs/>
          <w:color w:val="auto"/>
          <w:sz w:val="32"/>
          <w:szCs w:val="32"/>
        </w:rPr>
        <w:t>卫生健康支出</w:t>
      </w:r>
      <w:r>
        <w:rPr>
          <w:rFonts w:hint="eastAsia" w:ascii="仿宋" w:eastAsia="仿宋"/>
          <w:color w:val="auto"/>
          <w:sz w:val="32"/>
          <w:szCs w:val="32"/>
          <w:lang w:val="en-US" w:eastAsia="zh-CN"/>
        </w:rPr>
        <w:t>3360.08</w:t>
      </w:r>
      <w:r>
        <w:rPr>
          <w:rFonts w:hint="eastAsia" w:ascii="仿宋" w:eastAsia="仿宋"/>
          <w:color w:val="auto"/>
          <w:sz w:val="32"/>
          <w:szCs w:val="32"/>
        </w:rPr>
        <w:t>万元，占</w:t>
      </w:r>
      <w:r>
        <w:rPr>
          <w:rFonts w:hint="eastAsia" w:ascii="仿宋" w:eastAsia="仿宋"/>
          <w:color w:val="auto"/>
          <w:sz w:val="32"/>
          <w:szCs w:val="32"/>
          <w:lang w:val="en-US" w:eastAsia="zh-CN"/>
        </w:rPr>
        <w:t>84.8</w:t>
      </w:r>
      <w:r>
        <w:rPr>
          <w:rFonts w:ascii="仿宋" w:eastAsia="仿宋"/>
          <w:color w:val="auto"/>
          <w:sz w:val="32"/>
          <w:szCs w:val="32"/>
        </w:rPr>
        <w:t>%</w:t>
      </w:r>
      <w:r>
        <w:rPr>
          <w:rFonts w:hint="eastAsia" w:ascii="仿宋" w:eastAsia="仿宋"/>
          <w:b/>
          <w:bCs/>
          <w:color w:val="auto"/>
          <w:sz w:val="32"/>
          <w:szCs w:val="32"/>
        </w:rPr>
        <w:t>；住房保障</w:t>
      </w:r>
      <w:r>
        <w:rPr>
          <w:rFonts w:hint="eastAsia" w:ascii="仿宋" w:eastAsia="仿宋"/>
          <w:b/>
          <w:color w:val="auto"/>
          <w:sz w:val="32"/>
          <w:szCs w:val="32"/>
        </w:rPr>
        <w:t>（类）</w:t>
      </w:r>
      <w:r>
        <w:rPr>
          <w:rFonts w:hint="eastAsia" w:ascii="仿宋" w:eastAsia="仿宋"/>
          <w:b/>
          <w:color w:val="auto"/>
          <w:sz w:val="32"/>
          <w:szCs w:val="32"/>
          <w:lang w:val="en-US" w:eastAsia="zh-CN"/>
        </w:rPr>
        <w:t>支出</w:t>
      </w:r>
      <w:r>
        <w:rPr>
          <w:rFonts w:hint="eastAsia" w:ascii="仿宋" w:eastAsia="仿宋"/>
          <w:color w:val="auto"/>
          <w:sz w:val="32"/>
          <w:szCs w:val="32"/>
          <w:lang w:val="en-US" w:eastAsia="zh-CN"/>
        </w:rPr>
        <w:t>220.76</w:t>
      </w:r>
      <w:r>
        <w:rPr>
          <w:rFonts w:hint="eastAsia" w:ascii="仿宋" w:eastAsia="仿宋"/>
          <w:color w:val="auto"/>
          <w:sz w:val="32"/>
          <w:szCs w:val="32"/>
        </w:rPr>
        <w:t>万元，占</w:t>
      </w:r>
      <w:r>
        <w:rPr>
          <w:rFonts w:hint="eastAsia" w:ascii="仿宋" w:eastAsia="仿宋"/>
          <w:color w:val="auto"/>
          <w:sz w:val="32"/>
          <w:szCs w:val="32"/>
          <w:lang w:val="en-US" w:eastAsia="zh-CN"/>
        </w:rPr>
        <w:t>5.57</w:t>
      </w:r>
      <w:r>
        <w:rPr>
          <w:rFonts w:ascii="仿宋" w:eastAsia="仿宋"/>
          <w:color w:val="auto"/>
          <w:sz w:val="32"/>
          <w:szCs w:val="32"/>
        </w:rPr>
        <w:t>%</w:t>
      </w:r>
      <w:r>
        <w:rPr>
          <w:rFonts w:hint="eastAsia" w:ascii="仿宋" w:eastAsia="仿宋"/>
          <w:color w:val="auto"/>
          <w:sz w:val="32"/>
          <w:szCs w:val="32"/>
        </w:rPr>
        <w:t>。</w:t>
      </w:r>
    </w:p>
    <w:p w14:paraId="5ED86990">
      <w:pPr>
        <w:pStyle w:val="8"/>
      </w:pPr>
      <w:r>
        <w:rPr>
          <w:rFonts w:hint="eastAsia" w:ascii="仿宋" w:eastAsia="仿宋"/>
          <w:color w:val="auto"/>
          <w:sz w:val="32"/>
          <w:szCs w:val="32"/>
          <w:lang w:eastAsia="zh-CN"/>
        </w:rPr>
        <w:drawing>
          <wp:anchor distT="0" distB="0" distL="114300" distR="114300" simplePos="0" relativeHeight="251660288" behindDoc="0" locked="0" layoutInCell="1" allowOverlap="0">
            <wp:simplePos x="0" y="0"/>
            <wp:positionH relativeFrom="column">
              <wp:posOffset>173355</wp:posOffset>
            </wp:positionH>
            <wp:positionV relativeFrom="paragraph">
              <wp:posOffset>291465</wp:posOffset>
            </wp:positionV>
            <wp:extent cx="5256530" cy="2280285"/>
            <wp:effectExtent l="4445" t="4445" r="15875" b="20320"/>
            <wp:wrapTopAndBottom/>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3AE1BEE">
      <w:pPr>
        <w:keepNext w:val="0"/>
        <w:keepLines w:val="0"/>
        <w:pageBreakBefore w:val="0"/>
        <w:kinsoku/>
        <w:wordWrap/>
        <w:overflowPunct/>
        <w:topLinePunct w:val="0"/>
        <w:bidi w:val="0"/>
        <w:snapToGrid/>
        <w:spacing w:line="560" w:lineRule="exact"/>
        <w:ind w:firstLine="643" w:firstLineChars="200"/>
        <w:textAlignment w:val="auto"/>
        <w:outlineLvl w:val="2"/>
        <w:rPr>
          <w:rFonts w:ascii="仿宋" w:eastAsia="仿宋"/>
          <w:b/>
          <w:sz w:val="32"/>
          <w:szCs w:val="32"/>
        </w:rPr>
      </w:pPr>
      <w:bookmarkStart w:id="32" w:name="_Toc15377212"/>
      <w:r>
        <w:rPr>
          <w:rFonts w:hint="eastAsia" w:ascii="仿宋" w:eastAsia="仿宋"/>
          <w:b/>
          <w:sz w:val="32"/>
          <w:szCs w:val="32"/>
        </w:rPr>
        <w:t>（三）一般公共预算财政拨款支出决算具体情况</w:t>
      </w:r>
      <w:bookmarkEnd w:id="32"/>
    </w:p>
    <w:p w14:paraId="4D60E22A">
      <w:pPr>
        <w:keepNext w:val="0"/>
        <w:keepLines w:val="0"/>
        <w:pageBreakBefore w:val="0"/>
        <w:kinsoku/>
        <w:wordWrap/>
        <w:overflowPunct/>
        <w:topLinePunct w:val="0"/>
        <w:bidi w:val="0"/>
        <w:snapToGrid/>
        <w:spacing w:line="560" w:lineRule="exact"/>
        <w:ind w:firstLine="643" w:firstLineChars="200"/>
        <w:textAlignment w:val="auto"/>
        <w:outlineLvl w:val="2"/>
        <w:rPr>
          <w:rFonts w:ascii="仿宋" w:eastAsia="仿宋"/>
          <w:b w:val="0"/>
          <w:bCs w:val="0"/>
          <w:color w:val="FF0000"/>
          <w:sz w:val="32"/>
          <w:szCs w:val="32"/>
        </w:rPr>
      </w:pPr>
      <w:bookmarkStart w:id="33" w:name="_Toc15377444"/>
      <w:bookmarkStart w:id="34" w:name="_Toc15377213"/>
      <w:bookmarkStart w:id="35" w:name="_Toc15378460"/>
      <w:r>
        <w:rPr>
          <w:rFonts w:hint="eastAsia" w:ascii="仿宋" w:eastAsia="仿宋"/>
          <w:b/>
          <w:sz w:val="32"/>
          <w:szCs w:val="32"/>
        </w:rPr>
        <w:t>202</w:t>
      </w:r>
      <w:r>
        <w:rPr>
          <w:rFonts w:hint="eastAsia" w:ascii="仿宋" w:eastAsia="仿宋"/>
          <w:b/>
          <w:sz w:val="32"/>
          <w:szCs w:val="32"/>
          <w:lang w:val="en-US" w:eastAsia="zh-CN"/>
        </w:rPr>
        <w:t>5</w:t>
      </w:r>
      <w:r>
        <w:rPr>
          <w:rFonts w:hint="eastAsia" w:ascii="仿宋" w:eastAsia="仿宋"/>
          <w:b/>
          <w:color w:val="auto"/>
          <w:sz w:val="32"/>
          <w:szCs w:val="32"/>
        </w:rPr>
        <w:t>年一般公共预算支出决算数为</w:t>
      </w:r>
      <w:r>
        <w:rPr>
          <w:rFonts w:hint="eastAsia" w:ascii="仿宋" w:eastAsia="仿宋"/>
          <w:sz w:val="32"/>
          <w:szCs w:val="32"/>
          <w:lang w:val="en-US" w:eastAsia="zh-CN"/>
        </w:rPr>
        <w:t>3962.37</w:t>
      </w:r>
      <w:r>
        <w:rPr>
          <w:rFonts w:hint="eastAsia" w:ascii="仿宋" w:eastAsia="仿宋"/>
          <w:b w:val="0"/>
          <w:bCs w:val="0"/>
          <w:color w:val="auto"/>
          <w:sz w:val="32"/>
          <w:szCs w:val="32"/>
        </w:rPr>
        <w:t>万元，</w:t>
      </w:r>
      <w:r>
        <w:rPr>
          <w:rStyle w:val="18"/>
          <w:rFonts w:hint="eastAsia" w:ascii="仿宋" w:eastAsia="仿宋"/>
          <w:b w:val="0"/>
          <w:bCs w:val="0"/>
          <w:color w:val="auto"/>
          <w:sz w:val="32"/>
          <w:szCs w:val="32"/>
        </w:rPr>
        <w:t>完成预算</w:t>
      </w:r>
      <w:r>
        <w:rPr>
          <w:rStyle w:val="18"/>
          <w:rFonts w:hint="eastAsia" w:ascii="仿宋" w:eastAsia="仿宋"/>
          <w:b w:val="0"/>
          <w:bCs w:val="0"/>
          <w:color w:val="auto"/>
          <w:sz w:val="32"/>
          <w:szCs w:val="32"/>
          <w:lang w:val="en-US" w:eastAsia="zh-CN"/>
        </w:rPr>
        <w:t>100</w:t>
      </w:r>
      <w:r>
        <w:rPr>
          <w:rStyle w:val="18"/>
          <w:rFonts w:ascii="仿宋" w:eastAsia="仿宋"/>
          <w:b w:val="0"/>
          <w:bCs w:val="0"/>
          <w:color w:val="auto"/>
          <w:sz w:val="32"/>
          <w:szCs w:val="32"/>
        </w:rPr>
        <w:t>%</w:t>
      </w:r>
      <w:r>
        <w:rPr>
          <w:rStyle w:val="18"/>
          <w:rFonts w:hint="eastAsia" w:ascii="仿宋" w:eastAsia="仿宋"/>
          <w:b w:val="0"/>
          <w:bCs w:val="0"/>
          <w:color w:val="auto"/>
          <w:sz w:val="32"/>
          <w:szCs w:val="32"/>
        </w:rPr>
        <w:t>。其中：</w:t>
      </w:r>
      <w:bookmarkEnd w:id="33"/>
      <w:bookmarkEnd w:id="34"/>
      <w:bookmarkEnd w:id="35"/>
    </w:p>
    <w:p w14:paraId="4AF04014">
      <w:pPr>
        <w:keepNext w:val="0"/>
        <w:keepLines w:val="0"/>
        <w:pageBreakBefore w:val="0"/>
        <w:kinsoku/>
        <w:wordWrap/>
        <w:overflowPunct/>
        <w:topLinePunct w:val="0"/>
        <w:bidi w:val="0"/>
        <w:snapToGrid/>
        <w:spacing w:line="560" w:lineRule="exact"/>
        <w:ind w:firstLine="645"/>
        <w:textAlignment w:val="auto"/>
        <w:rPr>
          <w:rFonts w:hint="eastAsia" w:ascii="仿宋" w:eastAsia="仿宋"/>
          <w:sz w:val="32"/>
          <w:szCs w:val="32"/>
          <w:lang w:val="en-US" w:eastAsia="zh-CN"/>
        </w:rPr>
      </w:pPr>
      <w:r>
        <w:rPr>
          <w:rFonts w:hint="eastAsia" w:ascii="仿宋" w:eastAsia="仿宋"/>
          <w:b/>
          <w:bCs/>
          <w:sz w:val="32"/>
          <w:szCs w:val="32"/>
          <w:lang w:val="en-US" w:eastAsia="zh-CN"/>
        </w:rPr>
        <w:t xml:space="preserve">1.社会保障和就业: </w:t>
      </w:r>
      <w:r>
        <w:rPr>
          <w:rFonts w:hint="eastAsia" w:ascii="仿宋" w:eastAsia="仿宋"/>
          <w:sz w:val="32"/>
          <w:szCs w:val="32"/>
          <w:lang w:val="en-US" w:eastAsia="zh-CN"/>
        </w:rPr>
        <w:t>支出决算为381.52万元，完成预算100%。</w:t>
      </w:r>
    </w:p>
    <w:p w14:paraId="46D43E8E">
      <w:pPr>
        <w:keepNext w:val="0"/>
        <w:keepLines w:val="0"/>
        <w:pageBreakBefore w:val="0"/>
        <w:kinsoku/>
        <w:wordWrap/>
        <w:overflowPunct/>
        <w:topLinePunct w:val="0"/>
        <w:bidi w:val="0"/>
        <w:snapToGrid/>
        <w:spacing w:line="560" w:lineRule="exact"/>
        <w:ind w:firstLine="645"/>
        <w:textAlignment w:val="auto"/>
        <w:rPr>
          <w:rFonts w:hint="eastAsia" w:ascii="仿宋" w:eastAsia="仿宋"/>
          <w:sz w:val="32"/>
          <w:szCs w:val="32"/>
          <w:lang w:val="en-US" w:eastAsia="zh-CN"/>
        </w:rPr>
      </w:pPr>
      <w:r>
        <w:rPr>
          <w:rFonts w:hint="eastAsia" w:ascii="仿宋" w:eastAsia="仿宋"/>
          <w:b/>
          <w:bCs/>
          <w:sz w:val="32"/>
          <w:szCs w:val="32"/>
          <w:lang w:val="en-US" w:eastAsia="zh-CN"/>
        </w:rPr>
        <w:t>2.卫生健康:</w:t>
      </w:r>
      <w:r>
        <w:rPr>
          <w:rFonts w:hint="eastAsia" w:ascii="仿宋" w:eastAsia="仿宋"/>
          <w:sz w:val="32"/>
          <w:szCs w:val="32"/>
          <w:lang w:val="en-US" w:eastAsia="zh-CN"/>
        </w:rPr>
        <w:t>支出决算为</w:t>
      </w:r>
      <w:r>
        <w:rPr>
          <w:rFonts w:hint="eastAsia" w:ascii="仿宋" w:eastAsia="仿宋"/>
          <w:color w:val="auto"/>
          <w:sz w:val="32"/>
          <w:szCs w:val="32"/>
          <w:lang w:val="en-US" w:eastAsia="zh-CN"/>
        </w:rPr>
        <w:t>3360.08</w:t>
      </w:r>
      <w:r>
        <w:rPr>
          <w:rFonts w:hint="eastAsia" w:ascii="仿宋" w:eastAsia="仿宋"/>
          <w:sz w:val="32"/>
          <w:szCs w:val="32"/>
          <w:lang w:val="en-US" w:eastAsia="zh-CN"/>
        </w:rPr>
        <w:t>万元，完成预算100%。</w:t>
      </w:r>
    </w:p>
    <w:p w14:paraId="1CDB3B2D">
      <w:pPr>
        <w:keepNext w:val="0"/>
        <w:keepLines w:val="0"/>
        <w:pageBreakBefore w:val="0"/>
        <w:kinsoku/>
        <w:wordWrap/>
        <w:overflowPunct/>
        <w:topLinePunct w:val="0"/>
        <w:bidi w:val="0"/>
        <w:snapToGrid/>
        <w:spacing w:line="560" w:lineRule="exact"/>
        <w:ind w:firstLine="645"/>
        <w:textAlignment w:val="auto"/>
        <w:rPr>
          <w:rFonts w:hint="eastAsia" w:ascii="仿宋" w:eastAsia="仿宋"/>
          <w:sz w:val="32"/>
          <w:szCs w:val="32"/>
          <w:lang w:val="en-US" w:eastAsia="zh-CN"/>
        </w:rPr>
      </w:pPr>
      <w:r>
        <w:rPr>
          <w:rFonts w:hint="eastAsia" w:ascii="仿宋" w:eastAsia="仿宋"/>
          <w:b/>
          <w:bCs/>
          <w:sz w:val="32"/>
          <w:szCs w:val="32"/>
          <w:lang w:val="en-US" w:eastAsia="zh-CN"/>
        </w:rPr>
        <w:t>3.住房保障:</w:t>
      </w:r>
      <w:r>
        <w:rPr>
          <w:rFonts w:hint="eastAsia" w:ascii="仿宋" w:eastAsia="仿宋"/>
          <w:sz w:val="32"/>
          <w:szCs w:val="32"/>
          <w:lang w:val="en-US" w:eastAsia="zh-CN"/>
        </w:rPr>
        <w:t>支出决算为</w:t>
      </w:r>
      <w:r>
        <w:rPr>
          <w:rFonts w:hint="eastAsia" w:ascii="仿宋" w:eastAsia="仿宋"/>
          <w:color w:val="auto"/>
          <w:sz w:val="32"/>
          <w:szCs w:val="32"/>
          <w:lang w:val="en-US" w:eastAsia="zh-CN"/>
        </w:rPr>
        <w:t>220.76</w:t>
      </w:r>
      <w:r>
        <w:rPr>
          <w:rFonts w:hint="eastAsia" w:ascii="仿宋" w:eastAsia="仿宋"/>
          <w:sz w:val="32"/>
          <w:szCs w:val="32"/>
          <w:lang w:val="en-US" w:eastAsia="zh-CN"/>
        </w:rPr>
        <w:t>万元，完成预算100%。</w:t>
      </w:r>
    </w:p>
    <w:p w14:paraId="4A268CCF">
      <w:pPr>
        <w:keepNext w:val="0"/>
        <w:keepLines w:val="0"/>
        <w:pageBreakBefore w:val="0"/>
        <w:tabs>
          <w:tab w:val="right" w:pos="8306"/>
        </w:tabs>
        <w:kinsoku/>
        <w:wordWrap/>
        <w:overflowPunct/>
        <w:topLinePunct w:val="0"/>
        <w:bidi w:val="0"/>
        <w:snapToGrid/>
        <w:spacing w:line="560" w:lineRule="exact"/>
        <w:ind w:firstLine="640"/>
        <w:textAlignment w:val="auto"/>
        <w:outlineLvl w:val="1"/>
        <w:rPr>
          <w:rFonts w:hint="eastAsia" w:ascii="黑体" w:eastAsia="黑体"/>
          <w:sz w:val="32"/>
          <w:szCs w:val="32"/>
        </w:rPr>
      </w:pPr>
      <w:bookmarkStart w:id="36" w:name="_Toc15396608"/>
      <w:bookmarkStart w:id="37" w:name="_Toc15377214"/>
    </w:p>
    <w:p w14:paraId="1B1922BC">
      <w:pPr>
        <w:keepNext w:val="0"/>
        <w:keepLines w:val="0"/>
        <w:pageBreakBefore w:val="0"/>
        <w:tabs>
          <w:tab w:val="right" w:pos="8306"/>
        </w:tabs>
        <w:kinsoku/>
        <w:wordWrap/>
        <w:overflowPunct/>
        <w:topLinePunct w:val="0"/>
        <w:bidi w:val="0"/>
        <w:snapToGrid/>
        <w:spacing w:line="560" w:lineRule="exact"/>
        <w:ind w:firstLine="640"/>
        <w:textAlignment w:val="auto"/>
        <w:outlineLvl w:val="1"/>
        <w:rPr>
          <w:rStyle w:val="25"/>
        </w:rPr>
      </w:pPr>
      <w:r>
        <w:rPr>
          <w:rFonts w:hint="eastAsia" w:ascii="黑体" w:eastAsia="黑体"/>
          <w:sz w:val="32"/>
          <w:szCs w:val="32"/>
        </w:rPr>
        <w:t>六</w:t>
      </w:r>
      <w:r>
        <w:rPr>
          <w:rFonts w:hint="eastAsia" w:ascii="黑体" w:eastAsia="黑体"/>
          <w:b/>
          <w:sz w:val="32"/>
          <w:szCs w:val="32"/>
        </w:rPr>
        <w:t>、一</w:t>
      </w:r>
      <w:r>
        <w:rPr>
          <w:rStyle w:val="25"/>
          <w:rFonts w:hint="eastAsia" w:ascii="黑体" w:eastAsia="黑体"/>
          <w:b w:val="0"/>
        </w:rPr>
        <w:t>般公共预算财政拨款基本支出决算情况说明</w:t>
      </w:r>
      <w:bookmarkEnd w:id="36"/>
      <w:bookmarkEnd w:id="37"/>
      <w:r>
        <w:rPr>
          <w:rStyle w:val="25"/>
          <w:rFonts w:ascii="黑体" w:eastAsia="黑体"/>
          <w:b w:val="0"/>
        </w:rPr>
        <w:tab/>
      </w:r>
    </w:p>
    <w:p w14:paraId="1300BD45">
      <w:pPr>
        <w:keepNext w:val="0"/>
        <w:keepLines w:val="0"/>
        <w:pageBreakBefore w:val="0"/>
        <w:kinsoku/>
        <w:wordWrap/>
        <w:overflowPunct/>
        <w:topLinePunct w:val="0"/>
        <w:bidi w:val="0"/>
        <w:snapToGrid/>
        <w:spacing w:line="560" w:lineRule="exact"/>
        <w:ind w:firstLine="645"/>
        <w:textAlignment w:val="auto"/>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4</w:t>
      </w:r>
      <w:r>
        <w:rPr>
          <w:rFonts w:hint="eastAsia" w:ascii="仿宋" w:eastAsia="仿宋"/>
          <w:sz w:val="32"/>
          <w:szCs w:val="32"/>
        </w:rPr>
        <w:t>年一般公共预算财政拨款基本支出</w:t>
      </w:r>
      <w:r>
        <w:rPr>
          <w:rFonts w:hint="eastAsia" w:ascii="仿宋" w:eastAsia="仿宋"/>
          <w:sz w:val="32"/>
          <w:szCs w:val="32"/>
          <w:lang w:val="en-US" w:eastAsia="zh-CN"/>
        </w:rPr>
        <w:t>2691.67</w:t>
      </w:r>
      <w:r>
        <w:rPr>
          <w:rFonts w:hint="eastAsia" w:ascii="仿宋" w:eastAsia="仿宋"/>
          <w:sz w:val="32"/>
          <w:szCs w:val="32"/>
        </w:rPr>
        <w:t>万元，其中：</w:t>
      </w:r>
    </w:p>
    <w:p w14:paraId="1C9B3DF5">
      <w:pPr>
        <w:keepNext w:val="0"/>
        <w:keepLines w:val="0"/>
        <w:pageBreakBefore w:val="0"/>
        <w:kinsoku/>
        <w:wordWrap/>
        <w:overflowPunct/>
        <w:topLinePunct w:val="0"/>
        <w:bidi w:val="0"/>
        <w:snapToGrid/>
        <w:spacing w:line="560" w:lineRule="exact"/>
        <w:ind w:firstLine="645"/>
        <w:textAlignment w:val="auto"/>
        <w:rPr>
          <w:rFonts w:ascii="仿宋" w:eastAsia="仿宋"/>
          <w:b/>
          <w:sz w:val="32"/>
          <w:szCs w:val="32"/>
        </w:rPr>
      </w:pPr>
      <w:r>
        <w:rPr>
          <w:rFonts w:hint="eastAsia" w:ascii="仿宋" w:eastAsia="仿宋"/>
          <w:sz w:val="32"/>
          <w:szCs w:val="32"/>
        </w:rPr>
        <w:t>人员经费</w:t>
      </w:r>
      <w:r>
        <w:rPr>
          <w:rFonts w:hint="eastAsia" w:ascii="仿宋" w:eastAsia="仿宋"/>
          <w:sz w:val="32"/>
          <w:szCs w:val="32"/>
          <w:lang w:val="en-US" w:eastAsia="zh-CN"/>
        </w:rPr>
        <w:t>2601.78</w:t>
      </w:r>
      <w:r>
        <w:rPr>
          <w:rFonts w:hint="eastAsia" w:ascii="仿宋" w:eastAsia="仿宋"/>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ascii="仿宋" w:eastAsia="仿宋"/>
          <w:sz w:val="32"/>
          <w:szCs w:val="32"/>
        </w:rPr>
        <w:br w:type="textWrapping"/>
      </w:r>
      <w:r>
        <w:rPr>
          <w:rFonts w:hint="eastAsia" w:ascii="仿宋" w:eastAsia="仿宋"/>
          <w:sz w:val="32"/>
          <w:szCs w:val="32"/>
        </w:rPr>
        <w:t>　　公用经费</w:t>
      </w:r>
      <w:r>
        <w:rPr>
          <w:rFonts w:hint="eastAsia" w:ascii="仿宋" w:eastAsia="仿宋"/>
          <w:sz w:val="32"/>
          <w:szCs w:val="32"/>
          <w:lang w:val="en-US" w:eastAsia="zh-CN"/>
        </w:rPr>
        <w:t>89.88</w:t>
      </w:r>
      <w:r>
        <w:rPr>
          <w:rFonts w:hint="eastAsia" w:ascii="仿宋" w:eastAsia="仿宋"/>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5F4F5263">
      <w:pPr>
        <w:keepNext w:val="0"/>
        <w:keepLines w:val="0"/>
        <w:pageBreakBefore w:val="0"/>
        <w:kinsoku/>
        <w:wordWrap/>
        <w:overflowPunct/>
        <w:topLinePunct w:val="0"/>
        <w:bidi w:val="0"/>
        <w:snapToGrid/>
        <w:spacing w:line="560" w:lineRule="exact"/>
        <w:ind w:firstLine="640"/>
        <w:textAlignment w:val="auto"/>
        <w:outlineLvl w:val="1"/>
        <w:rPr>
          <w:rStyle w:val="25"/>
          <w:rFonts w:ascii="黑体" w:eastAsia="黑体"/>
          <w:b w:val="0"/>
        </w:rPr>
      </w:pPr>
      <w:bookmarkStart w:id="38" w:name="_Toc15396609"/>
      <w:bookmarkStart w:id="39" w:name="_Toc15377215"/>
      <w:r>
        <w:rPr>
          <w:rFonts w:hint="eastAsia" w:ascii="黑体" w:eastAsia="黑体"/>
          <w:sz w:val="32"/>
          <w:szCs w:val="32"/>
        </w:rPr>
        <w:t>七、</w:t>
      </w:r>
      <w:r>
        <w:rPr>
          <w:rStyle w:val="25"/>
          <w:rFonts w:hint="eastAsia" w:ascii="黑体" w:eastAsia="黑体"/>
        </w:rPr>
        <w:t>“</w:t>
      </w:r>
      <w:r>
        <w:rPr>
          <w:rStyle w:val="25"/>
          <w:rFonts w:hint="eastAsia" w:ascii="黑体" w:eastAsia="黑体"/>
          <w:b w:val="0"/>
        </w:rPr>
        <w:t>三公”经费财政拨款支出决算情况说明</w:t>
      </w:r>
      <w:bookmarkEnd w:id="38"/>
      <w:bookmarkEnd w:id="39"/>
    </w:p>
    <w:p w14:paraId="7C5A533A">
      <w:pPr>
        <w:keepNext w:val="0"/>
        <w:keepLines w:val="0"/>
        <w:pageBreakBefore w:val="0"/>
        <w:kinsoku/>
        <w:wordWrap/>
        <w:overflowPunct/>
        <w:topLinePunct w:val="0"/>
        <w:bidi w:val="0"/>
        <w:snapToGrid/>
        <w:spacing w:line="560" w:lineRule="exact"/>
        <w:ind w:firstLine="640"/>
        <w:textAlignment w:val="auto"/>
        <w:outlineLvl w:val="2"/>
        <w:rPr>
          <w:rFonts w:ascii="仿宋" w:eastAsia="仿宋"/>
          <w:b/>
          <w:sz w:val="32"/>
          <w:szCs w:val="32"/>
        </w:rPr>
      </w:pPr>
      <w:bookmarkStart w:id="40" w:name="_Toc15377216"/>
      <w:r>
        <w:rPr>
          <w:rFonts w:hint="eastAsia" w:ascii="仿宋" w:eastAsia="仿宋"/>
          <w:b/>
          <w:sz w:val="32"/>
          <w:szCs w:val="32"/>
        </w:rPr>
        <w:t>（一）“三公”经费财政拨款支出决算总体情况说明</w:t>
      </w:r>
      <w:bookmarkEnd w:id="40"/>
    </w:p>
    <w:p w14:paraId="3C1ABAB7">
      <w:pPr>
        <w:keepNext w:val="0"/>
        <w:keepLines w:val="0"/>
        <w:pageBreakBefore w:val="0"/>
        <w:kinsoku/>
        <w:wordWrap/>
        <w:overflowPunct/>
        <w:topLinePunct w:val="0"/>
        <w:bidi w:val="0"/>
        <w:snapToGrid/>
        <w:spacing w:line="560" w:lineRule="exact"/>
        <w:ind w:firstLine="640"/>
        <w:textAlignment w:val="auto"/>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年“三公”经费财政拨款支出决算为</w:t>
      </w:r>
      <w:r>
        <w:rPr>
          <w:rFonts w:hint="eastAsia" w:ascii="仿宋" w:eastAsia="仿宋"/>
          <w:sz w:val="32"/>
          <w:szCs w:val="32"/>
          <w:lang w:val="en-US" w:eastAsia="zh-CN"/>
        </w:rPr>
        <w:t>0</w:t>
      </w:r>
      <w:r>
        <w:rPr>
          <w:rFonts w:hint="eastAsia" w:ascii="仿宋" w:eastAsia="仿宋"/>
          <w:sz w:val="32"/>
          <w:szCs w:val="32"/>
        </w:rPr>
        <w:t>万元，完成预算</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，决算数与预算数持平的主要原因是</w:t>
      </w:r>
      <w:r>
        <w:rPr>
          <w:rFonts w:hint="eastAsia" w:ascii="仿宋" w:eastAsia="仿宋"/>
          <w:sz w:val="32"/>
          <w:szCs w:val="32"/>
          <w:lang w:val="en-US" w:eastAsia="zh-CN"/>
        </w:rPr>
        <w:t>我院无</w:t>
      </w:r>
      <w:r>
        <w:rPr>
          <w:rFonts w:hint="eastAsia" w:ascii="仿宋" w:eastAsia="仿宋"/>
          <w:sz w:val="32"/>
          <w:szCs w:val="32"/>
        </w:rPr>
        <w:t>“三公”经费财政拨款支出。</w:t>
      </w:r>
    </w:p>
    <w:p w14:paraId="7157D512">
      <w:pPr>
        <w:keepNext w:val="0"/>
        <w:keepLines w:val="0"/>
        <w:pageBreakBefore w:val="0"/>
        <w:kinsoku/>
        <w:wordWrap/>
        <w:overflowPunct/>
        <w:topLinePunct w:val="0"/>
        <w:bidi w:val="0"/>
        <w:snapToGrid/>
        <w:spacing w:line="560" w:lineRule="exact"/>
        <w:ind w:firstLine="640"/>
        <w:textAlignment w:val="auto"/>
        <w:outlineLvl w:val="2"/>
        <w:rPr>
          <w:rFonts w:ascii="仿宋" w:eastAsia="仿宋"/>
          <w:b/>
          <w:sz w:val="32"/>
          <w:szCs w:val="32"/>
        </w:rPr>
      </w:pPr>
      <w:bookmarkStart w:id="41" w:name="_Toc15377217"/>
      <w:r>
        <w:rPr>
          <w:rFonts w:hint="eastAsia" w:ascii="仿宋" w:eastAsia="仿宋"/>
          <w:b/>
          <w:sz w:val="32"/>
          <w:szCs w:val="32"/>
        </w:rPr>
        <w:t>（二）“三公”经费财政拨款支出决算具体情况说明</w:t>
      </w:r>
      <w:bookmarkEnd w:id="41"/>
    </w:p>
    <w:p w14:paraId="2CDF8683">
      <w:pPr>
        <w:keepNext w:val="0"/>
        <w:keepLines w:val="0"/>
        <w:pageBreakBefore w:val="0"/>
        <w:kinsoku/>
        <w:wordWrap/>
        <w:overflowPunct/>
        <w:topLinePunct w:val="0"/>
        <w:bidi w:val="0"/>
        <w:snapToGrid/>
        <w:spacing w:line="560" w:lineRule="exact"/>
        <w:ind w:firstLine="640"/>
        <w:textAlignment w:val="auto"/>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年“三公”经费财政拨款支出决算中，因公出国（境）费支出决算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；公务用车购置及运行维护费支出决算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；公务接待费支出决算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。具体情况如下：</w:t>
      </w:r>
    </w:p>
    <w:p w14:paraId="26F4173F">
      <w:pPr>
        <w:keepNext w:val="0"/>
        <w:keepLines w:val="0"/>
        <w:pageBreakBefore w:val="0"/>
        <w:kinsoku/>
        <w:wordWrap/>
        <w:overflowPunct/>
        <w:topLinePunct w:val="0"/>
        <w:bidi w:val="0"/>
        <w:snapToGrid/>
        <w:spacing w:line="560" w:lineRule="exact"/>
        <w:ind w:firstLine="640"/>
        <w:textAlignment w:val="auto"/>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rFonts w:hint="eastAsia" w:ascii="仿宋_GB2312" w:eastAsia="仿宋_GB2312"/>
          <w:sz w:val="32"/>
          <w:szCs w:val="32"/>
          <w:lang w:val="en-US" w:eastAsia="zh-CN"/>
        </w:rPr>
        <w:t>0</w:t>
      </w:r>
      <w:r>
        <w:rPr>
          <w:rFonts w:hint="eastAsia" w:ascii="仿宋_GB2312" w:eastAsia="仿宋_GB2312"/>
          <w:sz w:val="32"/>
          <w:szCs w:val="32"/>
        </w:rPr>
        <w:t>万元，</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0</w:t>
      </w:r>
      <w:r>
        <w:rPr>
          <w:rStyle w:val="18"/>
          <w:rFonts w:ascii="仿宋" w:eastAsia="仿宋"/>
          <w:b w:val="0"/>
          <w:bCs/>
          <w:sz w:val="32"/>
          <w:szCs w:val="32"/>
        </w:rPr>
        <w:t>%</w:t>
      </w:r>
      <w:r>
        <w:rPr>
          <w:rStyle w:val="18"/>
          <w:rFonts w:hint="eastAsia" w:ascii="仿宋" w:eastAsia="仿宋"/>
          <w:b w:val="0"/>
          <w:bCs/>
          <w:sz w:val="32"/>
          <w:szCs w:val="32"/>
        </w:rPr>
        <w:t>。</w:t>
      </w:r>
      <w:r>
        <w:rPr>
          <w:rFonts w:hint="eastAsia" w:ascii="仿宋_GB2312" w:eastAsia="仿宋_GB2312"/>
          <w:sz w:val="32"/>
          <w:szCs w:val="32"/>
        </w:rPr>
        <w:t>全年安排因公出国（境）团组</w:t>
      </w:r>
      <w:r>
        <w:rPr>
          <w:rFonts w:hint="eastAsia" w:ascii="仿宋_GB2312" w:eastAsia="仿宋_GB2312"/>
          <w:sz w:val="32"/>
          <w:szCs w:val="32"/>
          <w:lang w:val="en-US" w:eastAsia="zh-CN"/>
        </w:rPr>
        <w:t>0</w:t>
      </w:r>
      <w:r>
        <w:rPr>
          <w:rFonts w:hint="eastAsia" w:ascii="仿宋_GB2312" w:eastAsia="仿宋_GB2312"/>
          <w:sz w:val="32"/>
          <w:szCs w:val="32"/>
        </w:rPr>
        <w:t>次，出国（境）</w:t>
      </w:r>
      <w:r>
        <w:rPr>
          <w:rFonts w:hint="eastAsia" w:ascii="仿宋_GB2312" w:eastAsia="仿宋_GB2312"/>
          <w:sz w:val="32"/>
          <w:szCs w:val="32"/>
          <w:lang w:val="en-US" w:eastAsia="zh-CN"/>
        </w:rPr>
        <w:t>0</w:t>
      </w:r>
      <w:r>
        <w:rPr>
          <w:rFonts w:hint="eastAsia" w:ascii="仿宋_GB2312" w:eastAsia="仿宋_GB2312"/>
          <w:sz w:val="32"/>
          <w:szCs w:val="32"/>
        </w:rPr>
        <w:t>人。因公出国（境）支出决算</w:t>
      </w:r>
      <w:r>
        <w:rPr>
          <w:rFonts w:hint="eastAsia" w:ascii="仿宋_GB2312" w:eastAsia="仿宋_GB2312"/>
          <w:sz w:val="32"/>
          <w:szCs w:val="32"/>
          <w:lang w:val="en-US" w:eastAsia="zh-CN"/>
        </w:rPr>
        <w:t>与</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w:t>
      </w:r>
      <w:r>
        <w:rPr>
          <w:rFonts w:hint="eastAsia" w:ascii="仿宋_GB2312" w:eastAsia="仿宋_GB2312"/>
          <w:sz w:val="32"/>
          <w:szCs w:val="32"/>
          <w:lang w:val="en-US" w:eastAsia="zh-CN"/>
        </w:rPr>
        <w:t>相等</w:t>
      </w:r>
      <w:r>
        <w:rPr>
          <w:rFonts w:hint="eastAsia" w:ascii="仿宋_GB2312" w:eastAsia="仿宋_GB2312"/>
          <w:sz w:val="32"/>
          <w:szCs w:val="32"/>
        </w:rPr>
        <w:t>。</w:t>
      </w:r>
    </w:p>
    <w:p w14:paraId="60771EB5">
      <w:pPr>
        <w:keepNext w:val="0"/>
        <w:keepLines w:val="0"/>
        <w:pageBreakBefore w:val="0"/>
        <w:kinsoku/>
        <w:wordWrap/>
        <w:overflowPunct/>
        <w:topLinePunct w:val="0"/>
        <w:bidi w:val="0"/>
        <w:snapToGrid/>
        <w:spacing w:line="560" w:lineRule="exact"/>
        <w:ind w:firstLine="640"/>
        <w:textAlignment w:val="auto"/>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仿宋_GB2312" w:eastAsia="仿宋_GB2312"/>
          <w:sz w:val="32"/>
          <w:szCs w:val="32"/>
          <w:lang w:val="en-US" w:eastAsia="zh-CN"/>
        </w:rPr>
        <w:t>0</w:t>
      </w:r>
      <w:r>
        <w:rPr>
          <w:rFonts w:hint="eastAsia" w:ascii="仿宋_GB2312" w:eastAsia="仿宋_GB2312"/>
          <w:sz w:val="32"/>
          <w:szCs w:val="32"/>
        </w:rPr>
        <w:t>万元,</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0</w:t>
      </w:r>
      <w:r>
        <w:rPr>
          <w:rStyle w:val="18"/>
          <w:rFonts w:ascii="仿宋" w:eastAsia="仿宋"/>
          <w:b w:val="0"/>
          <w:bCs/>
          <w:sz w:val="32"/>
          <w:szCs w:val="32"/>
        </w:rPr>
        <w:t>%</w:t>
      </w:r>
      <w:r>
        <w:rPr>
          <w:rStyle w:val="18"/>
          <w:rFonts w:hint="eastAsia" w:ascii="仿宋" w:eastAsia="仿宋"/>
          <w:b w:val="0"/>
          <w:bCs/>
          <w:sz w:val="32"/>
          <w:szCs w:val="32"/>
        </w:rPr>
        <w:t>。</w:t>
      </w:r>
      <w:r>
        <w:rPr>
          <w:rFonts w:hint="eastAsia" w:ascii="仿宋_GB2312" w:eastAsia="仿宋_GB2312"/>
          <w:sz w:val="32"/>
          <w:szCs w:val="32"/>
        </w:rPr>
        <w:t>公务用车购置及运行维护费支出决算</w:t>
      </w:r>
      <w:r>
        <w:rPr>
          <w:rFonts w:hint="eastAsia" w:ascii="仿宋_GB2312" w:eastAsia="仿宋_GB2312"/>
          <w:sz w:val="32"/>
          <w:szCs w:val="32"/>
          <w:lang w:val="en-US" w:eastAsia="zh-CN"/>
        </w:rPr>
        <w:t>与</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w:t>
      </w:r>
      <w:r>
        <w:rPr>
          <w:rFonts w:hint="eastAsia" w:ascii="仿宋_GB2312" w:eastAsia="仿宋_GB2312"/>
          <w:sz w:val="32"/>
          <w:szCs w:val="32"/>
          <w:lang w:val="en-US" w:eastAsia="zh-CN"/>
        </w:rPr>
        <w:t>相等</w:t>
      </w:r>
      <w:r>
        <w:rPr>
          <w:rFonts w:hint="eastAsia" w:ascii="仿宋_GB2312" w:eastAsia="仿宋_GB2312"/>
          <w:sz w:val="32"/>
          <w:szCs w:val="32"/>
        </w:rPr>
        <w:t>。</w:t>
      </w:r>
    </w:p>
    <w:p w14:paraId="08531337">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eastAsia="仿宋_GB2312"/>
          <w:color w:val="auto"/>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rFonts w:hint="eastAsia" w:ascii="仿宋_GB2312" w:eastAsia="仿宋_GB2312"/>
          <w:sz w:val="32"/>
          <w:szCs w:val="32"/>
          <w:lang w:val="en-US" w:eastAsia="zh-CN"/>
        </w:rPr>
        <w:t>0</w:t>
      </w:r>
      <w:r>
        <w:rPr>
          <w:rFonts w:hint="eastAsia" w:ascii="仿宋_GB2312" w:eastAsia="仿宋_GB2312"/>
          <w:sz w:val="32"/>
          <w:szCs w:val="32"/>
        </w:rPr>
        <w:t>万元。</w:t>
      </w:r>
      <w:r>
        <w:rPr>
          <w:rFonts w:hint="eastAsia" w:ascii="仿宋_GB2312" w:eastAsia="仿宋_GB2312"/>
          <w:color w:val="auto"/>
          <w:sz w:val="32"/>
          <w:szCs w:val="32"/>
        </w:rPr>
        <w:t>全年</w:t>
      </w:r>
      <w:r>
        <w:rPr>
          <w:rFonts w:hint="eastAsia" w:ascii="仿宋_GB2312" w:hAnsi="Times New Roman" w:eastAsia="仿宋_GB2312" w:cs="Times New Roman"/>
          <w:color w:val="auto"/>
          <w:sz w:val="32"/>
          <w:szCs w:val="32"/>
        </w:rPr>
        <w:t>按规定更新购置公务用车</w:t>
      </w:r>
      <w:r>
        <w:rPr>
          <w:rFonts w:hint="eastAsia" w:ascii="仿宋_GB2312" w:hAnsi="Times New Roman" w:eastAsia="仿宋_GB2312" w:cs="Times New Roman"/>
          <w:color w:val="auto"/>
          <w:sz w:val="32"/>
          <w:szCs w:val="32"/>
          <w:lang w:val="en-US" w:eastAsia="zh-CN"/>
        </w:rPr>
        <w:t>0</w:t>
      </w:r>
      <w:r>
        <w:rPr>
          <w:rFonts w:hint="eastAsia" w:ascii="仿宋_GB2312" w:hAnsi="Times New Roman" w:eastAsia="仿宋_GB2312" w:cs="Times New Roman"/>
          <w:color w:val="auto"/>
          <w:sz w:val="32"/>
          <w:szCs w:val="32"/>
        </w:rPr>
        <w:t>辆，其中：轿车</w:t>
      </w:r>
      <w:r>
        <w:rPr>
          <w:rFonts w:hint="eastAsia" w:ascii="仿宋_GB2312" w:hAnsi="Times New Roman" w:eastAsia="仿宋_GB2312" w:cs="Times New Roman"/>
          <w:color w:val="auto"/>
          <w:sz w:val="32"/>
          <w:szCs w:val="32"/>
          <w:lang w:val="en-US" w:eastAsia="zh-CN"/>
        </w:rPr>
        <w:t>0</w:t>
      </w:r>
      <w:r>
        <w:rPr>
          <w:rFonts w:hint="eastAsia" w:ascii="仿宋_GB2312" w:hAnsi="Times New Roman" w:eastAsia="仿宋_GB2312" w:cs="Times New Roman"/>
          <w:color w:val="auto"/>
          <w:sz w:val="32"/>
          <w:szCs w:val="32"/>
        </w:rPr>
        <w:t>辆、金额</w:t>
      </w:r>
      <w:r>
        <w:rPr>
          <w:rFonts w:hint="eastAsia" w:ascii="仿宋_GB2312" w:hAnsi="Times New Roman" w:eastAsia="仿宋_GB2312" w:cs="Times New Roman"/>
          <w:color w:val="auto"/>
          <w:sz w:val="32"/>
          <w:szCs w:val="32"/>
          <w:lang w:val="en-US" w:eastAsia="zh-CN"/>
        </w:rPr>
        <w:t>0</w:t>
      </w:r>
      <w:r>
        <w:rPr>
          <w:rFonts w:hint="eastAsia" w:ascii="仿宋_GB2312" w:hAnsi="Times New Roman" w:eastAsia="仿宋_GB2312" w:cs="Times New Roman"/>
          <w:color w:val="auto"/>
          <w:sz w:val="32"/>
          <w:szCs w:val="32"/>
        </w:rPr>
        <w:t>万元，越野车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万元，载客汽车</w:t>
      </w:r>
      <w:r>
        <w:rPr>
          <w:rFonts w:hint="eastAsia" w:ascii="仿宋_GB2312" w:eastAsia="仿宋_GB2312"/>
          <w:sz w:val="32"/>
          <w:szCs w:val="32"/>
          <w:lang w:val="en-US" w:eastAsia="zh-CN"/>
        </w:rPr>
        <w:t>0</w:t>
      </w:r>
      <w:r>
        <w:rPr>
          <w:rFonts w:hint="eastAsia" w:ascii="仿宋_GB2312" w:eastAsia="仿宋_GB2312"/>
          <w:sz w:val="32"/>
          <w:szCs w:val="32"/>
        </w:rPr>
        <w:t>辆、</w:t>
      </w:r>
      <w:r>
        <w:rPr>
          <w:rFonts w:hint="eastAsia" w:ascii="仿宋_GB2312" w:hAnsi="Times New Roman" w:eastAsia="仿宋_GB2312" w:cs="Times New Roman"/>
          <w:sz w:val="32"/>
          <w:szCs w:val="32"/>
        </w:rPr>
        <w:t>金额</w:t>
      </w:r>
      <w:r>
        <w:rPr>
          <w:rFonts w:hint="eastAsia" w:ascii="仿宋_GB2312" w:hAnsi="Times New Roman" w:eastAsia="仿宋_GB2312" w:cs="Times New Roman"/>
          <w:sz w:val="32"/>
          <w:szCs w:val="32"/>
          <w:lang w:val="en-US" w:eastAsia="zh-CN"/>
        </w:rPr>
        <w:t>0</w:t>
      </w:r>
      <w:r>
        <w:rPr>
          <w:rFonts w:hint="eastAsia" w:ascii="仿宋_GB2312" w:hAnsi="Times New Roman" w:eastAsia="仿宋_GB2312" w:cs="Times New Roman"/>
          <w:sz w:val="32"/>
          <w:szCs w:val="32"/>
        </w:rPr>
        <w:t>万元。截至202</w:t>
      </w:r>
      <w:r>
        <w:rPr>
          <w:rFonts w:hint="eastAsia" w:ascii="仿宋_GB2312" w:eastAsia="仿宋_GB2312" w:cs="Times New Roman"/>
          <w:sz w:val="32"/>
          <w:szCs w:val="32"/>
          <w:lang w:val="en-US" w:eastAsia="zh-CN"/>
        </w:rPr>
        <w:t>5</w:t>
      </w:r>
      <w:r>
        <w:rPr>
          <w:rFonts w:hint="eastAsia" w:ascii="仿宋_GB2312" w:eastAsia="仿宋_GB2312"/>
          <w:color w:val="auto"/>
          <w:sz w:val="32"/>
          <w:szCs w:val="32"/>
        </w:rPr>
        <w:t>年12月底，单位共有公务用车</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辆，其中：轿车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辆、越野车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辆、载客汽车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w:t>
      </w:r>
      <w:r>
        <w:rPr>
          <w:rFonts w:hint="eastAsia" w:ascii="仿宋_GB2312" w:eastAsia="仿宋_GB2312"/>
          <w:color w:val="auto"/>
          <w:sz w:val="32"/>
          <w:szCs w:val="32"/>
          <w:lang w:eastAsia="zh-CN"/>
        </w:rPr>
        <w:t>、应急保障用车</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辆、</w:t>
      </w:r>
      <w:r>
        <w:rPr>
          <w:rFonts w:hint="eastAsia" w:ascii="仿宋_GB2312" w:eastAsia="仿宋_GB2312"/>
          <w:color w:val="auto"/>
          <w:sz w:val="32"/>
          <w:szCs w:val="32"/>
          <w:lang w:val="en-US" w:eastAsia="zh-CN"/>
        </w:rPr>
        <w:t>特种专业技术车0</w:t>
      </w:r>
      <w:r>
        <w:rPr>
          <w:rFonts w:hint="eastAsia" w:ascii="仿宋_GB2312" w:eastAsia="仿宋_GB2312"/>
          <w:color w:val="auto"/>
          <w:sz w:val="32"/>
          <w:szCs w:val="32"/>
        </w:rPr>
        <w:t>辆。</w:t>
      </w:r>
      <w:r>
        <w:rPr>
          <w:rFonts w:hint="eastAsia" w:ascii="仿宋_GB2312" w:eastAsia="仿宋_GB2312"/>
          <w:b/>
          <w:color w:val="auto"/>
          <w:sz w:val="32"/>
          <w:szCs w:val="32"/>
        </w:rPr>
        <w:t>公务用车运行维护费支出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14:paraId="6A6594A1">
      <w:pPr>
        <w:keepNext w:val="0"/>
        <w:keepLines w:val="0"/>
        <w:pageBreakBefore w:val="0"/>
        <w:numPr>
          <w:ilvl w:val="0"/>
          <w:numId w:val="0"/>
        </w:numPr>
        <w:kinsoku/>
        <w:wordWrap/>
        <w:overflowPunct/>
        <w:topLinePunct w:val="0"/>
        <w:bidi w:val="0"/>
        <w:snapToGrid/>
        <w:spacing w:line="560" w:lineRule="exact"/>
        <w:ind w:firstLine="643" w:firstLineChars="200"/>
        <w:textAlignment w:val="auto"/>
        <w:rPr>
          <w:rFonts w:hint="eastAsia" w:ascii="仿宋_GB2312" w:eastAsia="仿宋_GB2312"/>
          <w:color w:val="auto"/>
          <w:sz w:val="32"/>
          <w:szCs w:val="32"/>
          <w:lang w:eastAsia="zh-CN"/>
        </w:rPr>
      </w:pPr>
      <w:r>
        <w:rPr>
          <w:rFonts w:hint="eastAsia" w:ascii="仿宋_GB2312" w:eastAsia="仿宋_GB2312"/>
          <w:b/>
          <w:color w:val="auto"/>
          <w:sz w:val="32"/>
          <w:szCs w:val="32"/>
          <w:lang w:val="en-US" w:eastAsia="zh-CN"/>
        </w:rPr>
        <w:t>3.</w:t>
      </w:r>
      <w:r>
        <w:rPr>
          <w:rFonts w:hint="eastAsia" w:ascii="仿宋_GB2312" w:eastAsia="仿宋_GB2312"/>
          <w:b/>
          <w:color w:val="auto"/>
          <w:sz w:val="32"/>
          <w:szCs w:val="32"/>
        </w:rPr>
        <w:t>公务接待费支出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Style w:val="18"/>
          <w:rFonts w:hint="eastAsia" w:ascii="仿宋" w:eastAsia="仿宋"/>
          <w:b w:val="0"/>
          <w:bCs/>
          <w:color w:val="auto"/>
          <w:sz w:val="32"/>
          <w:szCs w:val="32"/>
        </w:rPr>
        <w:t>完成预算</w:t>
      </w:r>
      <w:r>
        <w:rPr>
          <w:rStyle w:val="18"/>
          <w:rFonts w:hint="eastAsia" w:ascii="仿宋" w:eastAsia="仿宋"/>
          <w:b w:val="0"/>
          <w:bCs/>
          <w:color w:val="auto"/>
          <w:sz w:val="32"/>
          <w:szCs w:val="32"/>
          <w:lang w:val="en-US" w:eastAsia="zh-CN"/>
        </w:rPr>
        <w:t>0</w:t>
      </w:r>
      <w:r>
        <w:rPr>
          <w:rStyle w:val="18"/>
          <w:rFonts w:ascii="仿宋" w:eastAsia="仿宋"/>
          <w:b w:val="0"/>
          <w:bCs/>
          <w:color w:val="auto"/>
          <w:sz w:val="32"/>
          <w:szCs w:val="32"/>
        </w:rPr>
        <w:t>%</w:t>
      </w:r>
      <w:r>
        <w:rPr>
          <w:rStyle w:val="18"/>
          <w:rFonts w:hint="eastAsia" w:ascii="仿宋" w:eastAsia="仿宋"/>
          <w:b w:val="0"/>
          <w:bCs/>
          <w:color w:val="auto"/>
          <w:sz w:val="32"/>
          <w:szCs w:val="32"/>
        </w:rPr>
        <w:t>。</w:t>
      </w:r>
      <w:r>
        <w:rPr>
          <w:rFonts w:hint="eastAsia" w:ascii="仿宋_GB2312" w:eastAsia="仿宋_GB2312"/>
          <w:color w:val="auto"/>
          <w:sz w:val="32"/>
          <w:szCs w:val="32"/>
        </w:rPr>
        <w:t>公务接待费支出决算</w:t>
      </w:r>
      <w:r>
        <w:rPr>
          <w:rFonts w:hint="eastAsia" w:ascii="仿宋_GB2312" w:eastAsia="仿宋_GB2312"/>
          <w:color w:val="auto"/>
          <w:sz w:val="32"/>
          <w:szCs w:val="32"/>
          <w:lang w:val="en-US" w:eastAsia="zh-CN"/>
        </w:rPr>
        <w:t>与</w:t>
      </w: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年</w:t>
      </w:r>
      <w:r>
        <w:rPr>
          <w:rFonts w:hint="eastAsia" w:ascii="仿宋_GB2312" w:eastAsia="仿宋_GB2312"/>
          <w:color w:val="auto"/>
          <w:sz w:val="32"/>
          <w:szCs w:val="32"/>
          <w:lang w:val="en-US" w:eastAsia="zh-CN"/>
        </w:rPr>
        <w:t>相等</w:t>
      </w:r>
      <w:r>
        <w:rPr>
          <w:rFonts w:hint="eastAsia" w:ascii="仿宋_GB2312" w:eastAsia="仿宋_GB2312"/>
          <w:color w:val="auto"/>
          <w:sz w:val="32"/>
          <w:szCs w:val="32"/>
        </w:rPr>
        <w:t>。</w:t>
      </w:r>
      <w:r>
        <w:rPr>
          <w:rFonts w:hint="eastAsia" w:ascii="仿宋" w:eastAsia="仿宋"/>
          <w:b/>
          <w:color w:val="auto"/>
          <w:sz w:val="32"/>
          <w:szCs w:val="32"/>
        </w:rPr>
        <w:t>国内公务接待支出</w:t>
      </w:r>
      <w:r>
        <w:rPr>
          <w:rFonts w:hint="eastAsia" w:ascii="仿宋" w:eastAsia="仿宋"/>
          <w:color w:val="auto"/>
          <w:sz w:val="32"/>
          <w:szCs w:val="32"/>
          <w:lang w:val="en-US" w:eastAsia="zh-CN"/>
        </w:rPr>
        <w:t>0</w:t>
      </w:r>
      <w:r>
        <w:rPr>
          <w:rFonts w:hint="eastAsia" w:ascii="仿宋_GB2312" w:eastAsia="仿宋_GB2312"/>
          <w:color w:val="auto"/>
          <w:sz w:val="32"/>
          <w:szCs w:val="32"/>
        </w:rPr>
        <w:t>万元。</w:t>
      </w:r>
      <w:r>
        <w:rPr>
          <w:rFonts w:hint="eastAsia" w:ascii="仿宋" w:eastAsia="仿宋"/>
          <w:b/>
          <w:color w:val="auto"/>
          <w:sz w:val="32"/>
          <w:szCs w:val="32"/>
        </w:rPr>
        <w:t>外事接待支出</w:t>
      </w:r>
      <w:r>
        <w:rPr>
          <w:rFonts w:hint="eastAsia" w:ascii="仿宋" w:eastAsia="仿宋"/>
          <w:color w:val="auto"/>
          <w:sz w:val="32"/>
          <w:szCs w:val="32"/>
          <w:lang w:val="en-US" w:eastAsia="zh-CN"/>
        </w:rPr>
        <w:t>0</w:t>
      </w:r>
      <w:r>
        <w:rPr>
          <w:rFonts w:hint="eastAsia" w:ascii="仿宋_GB2312" w:eastAsia="仿宋_GB2312"/>
          <w:color w:val="auto"/>
          <w:sz w:val="32"/>
          <w:szCs w:val="32"/>
        </w:rPr>
        <w:t>万元</w:t>
      </w:r>
      <w:bookmarkStart w:id="42" w:name="_Toc15377218"/>
      <w:bookmarkStart w:id="43" w:name="_Toc15396610"/>
      <w:r>
        <w:rPr>
          <w:rFonts w:hint="eastAsia" w:ascii="仿宋_GB2312" w:eastAsia="仿宋_GB2312"/>
          <w:color w:val="auto"/>
          <w:sz w:val="32"/>
          <w:szCs w:val="32"/>
          <w:lang w:eastAsia="zh-CN"/>
        </w:rPr>
        <w:t>。</w:t>
      </w:r>
    </w:p>
    <w:p w14:paraId="4E54C116">
      <w:pPr>
        <w:keepNext w:val="0"/>
        <w:keepLines w:val="0"/>
        <w:pageBreakBefore w:val="0"/>
        <w:kinsoku/>
        <w:wordWrap/>
        <w:overflowPunct/>
        <w:topLinePunct w:val="0"/>
        <w:bidi w:val="0"/>
        <w:snapToGrid/>
        <w:spacing w:line="560" w:lineRule="exact"/>
        <w:ind w:firstLine="640"/>
        <w:textAlignment w:val="auto"/>
        <w:outlineLvl w:val="1"/>
        <w:rPr>
          <w:rStyle w:val="25"/>
          <w:rFonts w:ascii="黑体" w:eastAsia="黑体"/>
          <w:color w:val="auto"/>
        </w:rPr>
      </w:pPr>
      <w:r>
        <w:rPr>
          <w:rFonts w:hint="eastAsia" w:ascii="黑体" w:eastAsia="黑体"/>
          <w:color w:val="auto"/>
          <w:sz w:val="32"/>
          <w:szCs w:val="32"/>
        </w:rPr>
        <w:t>八、</w:t>
      </w:r>
      <w:r>
        <w:rPr>
          <w:rStyle w:val="25"/>
          <w:rFonts w:hint="eastAsia" w:ascii="黑体" w:eastAsia="黑体"/>
          <w:b w:val="0"/>
          <w:color w:val="auto"/>
        </w:rPr>
        <w:t>政府性基金预算支出决算情况说明</w:t>
      </w:r>
      <w:bookmarkEnd w:id="42"/>
      <w:bookmarkEnd w:id="43"/>
    </w:p>
    <w:p w14:paraId="5E7D87CA">
      <w:pPr>
        <w:keepNext w:val="0"/>
        <w:keepLines w:val="0"/>
        <w:pageBreakBefore w:val="0"/>
        <w:kinsoku/>
        <w:wordWrap/>
        <w:overflowPunct/>
        <w:topLinePunct w:val="0"/>
        <w:bidi w:val="0"/>
        <w:snapToGrid/>
        <w:spacing w:line="560" w:lineRule="exact"/>
        <w:ind w:firstLine="640"/>
        <w:textAlignment w:val="auto"/>
        <w:rPr>
          <w:rFonts w:ascii="仿宋_GB2312" w:eastAsia="仿宋_GB2312"/>
          <w:color w:val="auto"/>
          <w:sz w:val="32"/>
          <w:szCs w:val="32"/>
        </w:rPr>
      </w:pP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年政府性基金预算财政拨款支出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14:paraId="16EE1909">
      <w:pPr>
        <w:keepNext w:val="0"/>
        <w:keepLines w:val="0"/>
        <w:pageBreakBefore w:val="0"/>
        <w:numPr>
          <w:ilvl w:val="0"/>
          <w:numId w:val="4"/>
        </w:numPr>
        <w:kinsoku/>
        <w:wordWrap/>
        <w:overflowPunct/>
        <w:topLinePunct w:val="0"/>
        <w:bidi w:val="0"/>
        <w:snapToGrid/>
        <w:spacing w:line="560" w:lineRule="exact"/>
        <w:ind w:firstLine="640"/>
        <w:textAlignment w:val="auto"/>
        <w:outlineLvl w:val="1"/>
        <w:rPr>
          <w:rStyle w:val="25"/>
          <w:rFonts w:ascii="黑体" w:eastAsia="黑体"/>
          <w:b w:val="0"/>
          <w:color w:val="auto"/>
        </w:rPr>
      </w:pPr>
      <w:bookmarkStart w:id="44" w:name="_Toc15396611"/>
      <w:bookmarkStart w:id="45" w:name="_Toc15377219"/>
      <w:r>
        <w:rPr>
          <w:rStyle w:val="25"/>
          <w:rFonts w:hint="eastAsia" w:ascii="黑体" w:eastAsia="黑体"/>
          <w:b w:val="0"/>
          <w:color w:val="auto"/>
        </w:rPr>
        <w:t>国有资本经营预算支出决算情况说明</w:t>
      </w:r>
      <w:bookmarkEnd w:id="44"/>
      <w:bookmarkEnd w:id="45"/>
    </w:p>
    <w:p w14:paraId="34A4B0E5">
      <w:pPr>
        <w:keepNext w:val="0"/>
        <w:keepLines w:val="0"/>
        <w:pageBreakBefore w:val="0"/>
        <w:kinsoku/>
        <w:wordWrap/>
        <w:overflowPunct/>
        <w:topLinePunct w:val="0"/>
        <w:bidi w:val="0"/>
        <w:snapToGrid/>
        <w:spacing w:line="560" w:lineRule="exact"/>
        <w:ind w:firstLine="640"/>
        <w:textAlignment w:val="auto"/>
        <w:rPr>
          <w:rFonts w:ascii="方正小标宋简体" w:eastAsia="方正小标宋简体" w:cs="方正小标宋简体"/>
          <w:color w:val="auto"/>
          <w:sz w:val="44"/>
          <w:szCs w:val="44"/>
        </w:rPr>
      </w:pP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年国有资本经营预算财政拨款支出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14:paraId="15503DA7">
      <w:pPr>
        <w:keepNext w:val="0"/>
        <w:keepLines w:val="0"/>
        <w:pageBreakBefore w:val="0"/>
        <w:numPr>
          <w:ilvl w:val="0"/>
          <w:numId w:val="4"/>
        </w:numPr>
        <w:kinsoku/>
        <w:wordWrap/>
        <w:overflowPunct/>
        <w:topLinePunct w:val="0"/>
        <w:bidi w:val="0"/>
        <w:snapToGrid/>
        <w:spacing w:line="560" w:lineRule="exact"/>
        <w:ind w:firstLine="640"/>
        <w:textAlignment w:val="auto"/>
        <w:outlineLvl w:val="1"/>
        <w:rPr>
          <w:rStyle w:val="25"/>
          <w:rFonts w:ascii="黑体" w:eastAsia="黑体"/>
          <w:b w:val="0"/>
          <w:color w:val="auto"/>
        </w:rPr>
      </w:pPr>
      <w:bookmarkStart w:id="46" w:name="_Toc15396612"/>
      <w:bookmarkStart w:id="47" w:name="_Toc15377221"/>
      <w:r>
        <w:rPr>
          <w:rStyle w:val="25"/>
          <w:rFonts w:hint="eastAsia" w:ascii="黑体" w:eastAsia="黑体"/>
          <w:b w:val="0"/>
          <w:color w:val="auto"/>
        </w:rPr>
        <w:t>其他重要事项的情况说明</w:t>
      </w:r>
      <w:bookmarkEnd w:id="46"/>
      <w:bookmarkEnd w:id="47"/>
    </w:p>
    <w:p w14:paraId="2072AFE5">
      <w:pPr>
        <w:keepNext w:val="0"/>
        <w:keepLines w:val="0"/>
        <w:pageBreakBefore w:val="0"/>
        <w:kinsoku/>
        <w:wordWrap/>
        <w:overflowPunct/>
        <w:topLinePunct w:val="0"/>
        <w:bidi w:val="0"/>
        <w:snapToGrid/>
        <w:spacing w:line="560" w:lineRule="exact"/>
        <w:ind w:firstLine="643" w:firstLineChars="200"/>
        <w:textAlignment w:val="auto"/>
        <w:outlineLvl w:val="2"/>
        <w:rPr>
          <w:rFonts w:ascii="仿宋" w:eastAsia="仿宋"/>
          <w:color w:val="auto"/>
          <w:sz w:val="32"/>
          <w:szCs w:val="32"/>
        </w:rPr>
      </w:pPr>
      <w:bookmarkStart w:id="48" w:name="_Toc15377222"/>
      <w:r>
        <w:rPr>
          <w:rFonts w:hint="eastAsia" w:ascii="仿宋" w:eastAsia="仿宋"/>
          <w:b/>
          <w:color w:val="auto"/>
          <w:sz w:val="32"/>
          <w:szCs w:val="32"/>
        </w:rPr>
        <w:t>（一）机关运行经费支出情况</w:t>
      </w:r>
      <w:bookmarkEnd w:id="48"/>
    </w:p>
    <w:p w14:paraId="61227BC2">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eastAsia="仿宋_GB2312"/>
          <w:color w:val="auto"/>
          <w:sz w:val="32"/>
          <w:szCs w:val="32"/>
          <w:lang w:val="en-US" w:eastAsia="zh-CN"/>
        </w:rPr>
      </w:pP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年机关运行经费支出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万元，比</w:t>
      </w: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年增加</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我院无</w:t>
      </w:r>
      <w:r>
        <w:rPr>
          <w:rFonts w:hint="eastAsia" w:ascii="仿宋_GB2312" w:eastAsia="仿宋_GB2312"/>
          <w:color w:val="auto"/>
          <w:sz w:val="32"/>
          <w:szCs w:val="32"/>
        </w:rPr>
        <w:t>机关运行经费</w:t>
      </w:r>
      <w:r>
        <w:rPr>
          <w:rFonts w:hint="eastAsia" w:ascii="仿宋_GB2312" w:eastAsia="仿宋_GB2312"/>
          <w:color w:val="auto"/>
          <w:sz w:val="32"/>
          <w:szCs w:val="32"/>
          <w:lang w:eastAsia="zh-CN"/>
        </w:rPr>
        <w:t>。</w:t>
      </w:r>
    </w:p>
    <w:p w14:paraId="57928E3F">
      <w:pPr>
        <w:keepNext w:val="0"/>
        <w:keepLines w:val="0"/>
        <w:pageBreakBefore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ascii="仿宋" w:eastAsia="仿宋"/>
          <w:b/>
          <w:color w:val="auto"/>
          <w:sz w:val="32"/>
          <w:szCs w:val="32"/>
        </w:rPr>
      </w:pPr>
      <w:bookmarkStart w:id="49" w:name="_Toc15377223"/>
      <w:r>
        <w:rPr>
          <w:rFonts w:hint="eastAsia" w:ascii="仿宋" w:eastAsia="仿宋"/>
          <w:b/>
          <w:color w:val="auto"/>
          <w:sz w:val="32"/>
          <w:szCs w:val="32"/>
        </w:rPr>
        <w:t>（二）政府采购支出情况</w:t>
      </w:r>
      <w:bookmarkEnd w:id="49"/>
    </w:p>
    <w:p w14:paraId="2797F798">
      <w:pPr>
        <w:keepNext w:val="0"/>
        <w:keepLines w:val="0"/>
        <w:pageBreakBefore w:val="0"/>
        <w:kinsoku/>
        <w:wordWrap/>
        <w:overflowPunct/>
        <w:topLinePunct w:val="0"/>
        <w:bidi w:val="0"/>
        <w:snapToGrid/>
        <w:spacing w:line="560" w:lineRule="exact"/>
        <w:ind w:firstLine="640" w:firstLineChars="200"/>
        <w:textAlignment w:val="auto"/>
        <w:rPr>
          <w:rFonts w:ascii="仿宋_GB2312" w:eastAsia="仿宋_GB2312"/>
          <w:color w:val="FF0000"/>
          <w:sz w:val="32"/>
          <w:szCs w:val="32"/>
        </w:rPr>
      </w:pP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年</w:t>
      </w:r>
      <w:r>
        <w:rPr>
          <w:rFonts w:hint="eastAsia" w:ascii="仿宋_GB2312" w:eastAsia="仿宋_GB2312"/>
          <w:color w:val="FF0000"/>
          <w:sz w:val="32"/>
          <w:szCs w:val="32"/>
        </w:rPr>
        <w:t>，</w:t>
      </w:r>
      <w:r>
        <w:rPr>
          <w:rFonts w:hint="eastAsia" w:ascii="仿宋_GB2312" w:hAnsi="仿宋_GB2312" w:eastAsia="仿宋_GB2312" w:cs="仿宋_GB2312"/>
          <w:color w:val="auto"/>
          <w:kern w:val="0"/>
          <w:sz w:val="32"/>
          <w:szCs w:val="32"/>
          <w:shd w:val="clear" w:color="auto" w:fill="FFFFFF"/>
        </w:rPr>
        <w:t>红原县人民医院</w:t>
      </w:r>
      <w:r>
        <w:rPr>
          <w:rFonts w:hint="eastAsia" w:ascii="仿宋_GB2312" w:eastAsia="仿宋_GB2312"/>
          <w:color w:val="auto"/>
          <w:sz w:val="32"/>
          <w:szCs w:val="32"/>
        </w:rPr>
        <w:t>政府</w:t>
      </w:r>
      <w:bookmarkStart w:id="66" w:name="_GoBack"/>
      <w:bookmarkEnd w:id="66"/>
      <w:r>
        <w:rPr>
          <w:rFonts w:hint="eastAsia" w:ascii="仿宋_GB2312" w:eastAsia="仿宋_GB2312"/>
          <w:color w:val="auto"/>
          <w:sz w:val="32"/>
          <w:szCs w:val="32"/>
        </w:rPr>
        <w:t>采购支出总额</w:t>
      </w:r>
      <w:r>
        <w:rPr>
          <w:rFonts w:hint="eastAsia" w:ascii="仿宋_GB2312" w:eastAsia="仿宋_GB2312"/>
          <w:color w:val="auto"/>
          <w:sz w:val="32"/>
          <w:szCs w:val="32"/>
          <w:lang w:val="en-US" w:eastAsia="zh-CN"/>
        </w:rPr>
        <w:t>1151</w:t>
      </w:r>
      <w:r>
        <w:rPr>
          <w:rFonts w:hint="eastAsia" w:ascii="仿宋_GB2312" w:eastAsia="仿宋_GB2312"/>
          <w:color w:val="auto"/>
          <w:sz w:val="32"/>
          <w:szCs w:val="32"/>
        </w:rPr>
        <w:t>万元</w:t>
      </w:r>
      <w:r>
        <w:rPr>
          <w:rFonts w:hint="eastAsia" w:ascii="仿宋_GB2312" w:eastAsia="仿宋_GB2312"/>
          <w:color w:val="FF0000"/>
          <w:sz w:val="32"/>
          <w:szCs w:val="32"/>
        </w:rPr>
        <w:t>，</w:t>
      </w:r>
      <w:r>
        <w:rPr>
          <w:rFonts w:hint="eastAsia" w:ascii="仿宋_GB2312" w:eastAsia="仿宋_GB2312"/>
          <w:color w:val="auto"/>
          <w:sz w:val="32"/>
          <w:szCs w:val="32"/>
        </w:rPr>
        <w:t>其中：政府采购货物支出</w:t>
      </w:r>
      <w:r>
        <w:rPr>
          <w:rFonts w:hint="eastAsia" w:ascii="仿宋_GB2312" w:eastAsia="仿宋_GB2312"/>
          <w:color w:val="auto"/>
          <w:sz w:val="32"/>
          <w:szCs w:val="32"/>
          <w:lang w:val="en-US" w:eastAsia="zh-CN"/>
        </w:rPr>
        <w:t>1074.12</w:t>
      </w:r>
      <w:r>
        <w:rPr>
          <w:rFonts w:hint="eastAsia" w:ascii="仿宋_GB2312" w:eastAsia="仿宋_GB2312"/>
          <w:color w:val="auto"/>
          <w:sz w:val="32"/>
          <w:szCs w:val="32"/>
        </w:rPr>
        <w:t>万元、政府采购工程支出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万元、政府采购服务支出</w:t>
      </w:r>
      <w:r>
        <w:rPr>
          <w:rFonts w:hint="eastAsia" w:ascii="仿宋_GB2312" w:eastAsia="仿宋_GB2312"/>
          <w:color w:val="auto"/>
          <w:sz w:val="32"/>
          <w:szCs w:val="32"/>
          <w:lang w:val="en-US" w:eastAsia="zh-CN"/>
        </w:rPr>
        <w:t>76.90</w:t>
      </w:r>
      <w:r>
        <w:rPr>
          <w:rFonts w:hint="eastAsia" w:ascii="仿宋_GB2312" w:eastAsia="仿宋_GB2312"/>
          <w:color w:val="auto"/>
          <w:sz w:val="32"/>
          <w:szCs w:val="32"/>
        </w:rPr>
        <w:t>万元。授予中小企业合同金额</w:t>
      </w:r>
      <w:r>
        <w:rPr>
          <w:rFonts w:hint="eastAsia" w:ascii="仿宋_GB2312" w:eastAsia="仿宋_GB2312"/>
          <w:color w:val="auto"/>
          <w:sz w:val="32"/>
          <w:szCs w:val="32"/>
          <w:lang w:val="en-US" w:eastAsia="zh-CN"/>
        </w:rPr>
        <w:t>118</w:t>
      </w:r>
      <w:r>
        <w:rPr>
          <w:rFonts w:hint="eastAsia" w:ascii="仿宋_GB2312" w:eastAsia="仿宋_GB2312"/>
          <w:color w:val="auto"/>
          <w:sz w:val="32"/>
          <w:szCs w:val="32"/>
        </w:rPr>
        <w:t>万元，占政府采购支出总额的</w:t>
      </w:r>
      <w:r>
        <w:rPr>
          <w:rFonts w:hint="eastAsia" w:ascii="仿宋_GB2312" w:eastAsia="仿宋_GB2312"/>
          <w:color w:val="auto"/>
          <w:sz w:val="32"/>
          <w:szCs w:val="32"/>
          <w:lang w:val="en-US" w:eastAsia="zh-CN"/>
        </w:rPr>
        <w:t>100</w:t>
      </w:r>
      <w:r>
        <w:rPr>
          <w:rFonts w:ascii="仿宋_GB2312" w:eastAsia="仿宋_GB2312"/>
          <w:color w:val="auto"/>
          <w:sz w:val="32"/>
          <w:szCs w:val="32"/>
        </w:rPr>
        <w:t>%</w:t>
      </w:r>
      <w:r>
        <w:rPr>
          <w:rFonts w:hint="eastAsia" w:ascii="仿宋_GB2312" w:eastAsia="仿宋_GB2312"/>
          <w:color w:val="auto"/>
          <w:sz w:val="32"/>
          <w:szCs w:val="32"/>
        </w:rPr>
        <w:t>，其中：授予小微企业合同金额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万元，占政府采购支出总额的</w:t>
      </w:r>
      <w:r>
        <w:rPr>
          <w:rFonts w:hint="eastAsia" w:ascii="仿宋_GB2312" w:eastAsia="仿宋_GB2312"/>
          <w:color w:val="auto"/>
          <w:sz w:val="32"/>
          <w:szCs w:val="32"/>
          <w:lang w:val="en-US" w:eastAsia="zh-CN"/>
        </w:rPr>
        <w:t>0</w:t>
      </w:r>
      <w:r>
        <w:rPr>
          <w:rFonts w:ascii="仿宋_GB2312" w:eastAsia="仿宋_GB2312"/>
          <w:color w:val="auto"/>
          <w:sz w:val="32"/>
          <w:szCs w:val="32"/>
        </w:rPr>
        <w:t>%</w:t>
      </w:r>
      <w:r>
        <w:rPr>
          <w:rFonts w:hint="eastAsia" w:ascii="仿宋_GB2312" w:eastAsia="仿宋_GB2312"/>
          <w:color w:val="auto"/>
          <w:sz w:val="32"/>
          <w:szCs w:val="32"/>
        </w:rPr>
        <w:t>。</w:t>
      </w:r>
    </w:p>
    <w:p w14:paraId="6B5087F5">
      <w:pPr>
        <w:keepNext w:val="0"/>
        <w:keepLines w:val="0"/>
        <w:pageBreakBefore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ascii="仿宋" w:eastAsia="仿宋"/>
          <w:b/>
          <w:color w:val="auto"/>
          <w:sz w:val="32"/>
          <w:szCs w:val="32"/>
        </w:rPr>
      </w:pPr>
      <w:bookmarkStart w:id="50" w:name="_Toc15377224"/>
      <w:r>
        <w:rPr>
          <w:rFonts w:hint="eastAsia" w:ascii="仿宋" w:eastAsia="仿宋"/>
          <w:b/>
          <w:color w:val="auto"/>
          <w:sz w:val="32"/>
          <w:szCs w:val="32"/>
        </w:rPr>
        <w:t>（三）国有资产占有使用情况</w:t>
      </w:r>
      <w:bookmarkEnd w:id="50"/>
    </w:p>
    <w:p w14:paraId="2127ED1E">
      <w:pPr>
        <w:keepNext w:val="0"/>
        <w:keepLines w:val="0"/>
        <w:pageBreakBefore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_GB2312" w:hAnsi="Times New Roman" w:eastAsia="仿宋_GB2312" w:cs="Times New Roman"/>
          <w:color w:val="auto"/>
          <w:sz w:val="32"/>
          <w:szCs w:val="32"/>
        </w:rPr>
      </w:pPr>
      <w:r>
        <w:rPr>
          <w:rFonts w:hint="eastAsia" w:ascii="仿宋_GB2312" w:eastAsia="仿宋_GB2312"/>
          <w:color w:val="auto"/>
          <w:sz w:val="32"/>
          <w:szCs w:val="32"/>
        </w:rPr>
        <w:t>截至</w:t>
      </w:r>
      <w:r>
        <w:rPr>
          <w:rFonts w:ascii="仿宋_GB2312" w:eastAsia="仿宋_GB2312"/>
          <w:color w:val="auto"/>
          <w:sz w:val="32"/>
          <w:szCs w:val="32"/>
        </w:rPr>
        <w:t>20</w:t>
      </w:r>
      <w:r>
        <w:rPr>
          <w:rFonts w:hint="eastAsia" w:ascii="仿宋_GB2312" w:eastAsia="仿宋_GB2312"/>
          <w:color w:val="auto"/>
          <w:sz w:val="32"/>
          <w:szCs w:val="32"/>
        </w:rPr>
        <w:t>2</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年</w:t>
      </w:r>
      <w:r>
        <w:rPr>
          <w:rFonts w:ascii="仿宋_GB2312" w:eastAsia="仿宋_GB2312"/>
          <w:color w:val="auto"/>
          <w:sz w:val="32"/>
          <w:szCs w:val="32"/>
        </w:rPr>
        <w:t>12</w:t>
      </w:r>
      <w:r>
        <w:rPr>
          <w:rFonts w:hint="eastAsia" w:ascii="仿宋_GB2312" w:eastAsia="仿宋_GB2312"/>
          <w:color w:val="auto"/>
          <w:sz w:val="32"/>
          <w:szCs w:val="32"/>
        </w:rPr>
        <w:t>月</w:t>
      </w:r>
      <w:r>
        <w:rPr>
          <w:rFonts w:ascii="仿宋_GB2312" w:eastAsia="仿宋_GB2312"/>
          <w:color w:val="auto"/>
          <w:sz w:val="32"/>
          <w:szCs w:val="32"/>
        </w:rPr>
        <w:t>31</w:t>
      </w:r>
      <w:r>
        <w:rPr>
          <w:rFonts w:hint="eastAsia" w:ascii="仿宋_GB2312" w:eastAsia="仿宋_GB2312"/>
          <w:color w:val="auto"/>
          <w:sz w:val="32"/>
          <w:szCs w:val="32"/>
        </w:rPr>
        <w:t>日共有车辆</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辆，其中：主要领导干部用车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辆、机要通信用车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辆、应急保障用车</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辆</w:t>
      </w:r>
      <w:r>
        <w:rPr>
          <w:rFonts w:hint="eastAsia" w:ascii="仿宋_GB2312" w:hAnsi="Times New Roman" w:eastAsia="仿宋_GB2312" w:cs="Times New Roman"/>
          <w:color w:val="auto"/>
          <w:sz w:val="32"/>
          <w:szCs w:val="32"/>
        </w:rPr>
        <w:t>、其他</w:t>
      </w:r>
      <w:r>
        <w:rPr>
          <w:rFonts w:hint="eastAsia" w:ascii="仿宋_GB2312" w:eastAsia="仿宋_GB2312" w:cs="Times New Roman"/>
          <w:color w:val="auto"/>
          <w:sz w:val="32"/>
          <w:szCs w:val="32"/>
          <w:lang w:eastAsia="zh-CN"/>
        </w:rPr>
        <w:t>用车</w:t>
      </w:r>
      <w:r>
        <w:rPr>
          <w:rFonts w:hint="eastAsia" w:ascii="仿宋_GB2312" w:eastAsia="仿宋_GB2312" w:cs="Times New Roman"/>
          <w:color w:val="auto"/>
          <w:sz w:val="32"/>
          <w:szCs w:val="32"/>
          <w:lang w:val="en-US" w:eastAsia="zh-CN"/>
        </w:rPr>
        <w:t>0</w:t>
      </w:r>
      <w:r>
        <w:rPr>
          <w:rFonts w:hint="eastAsia" w:ascii="仿宋_GB2312" w:hAnsi="Times New Roman" w:eastAsia="仿宋_GB2312" w:cs="Times New Roman"/>
          <w:color w:val="auto"/>
          <w:sz w:val="32"/>
          <w:szCs w:val="32"/>
        </w:rPr>
        <w:t>辆、</w:t>
      </w:r>
      <w:r>
        <w:rPr>
          <w:rFonts w:hint="eastAsia" w:ascii="仿宋_GB2312" w:hAnsi="Times New Roman" w:eastAsia="仿宋_GB2312" w:cs="Times New Roman"/>
          <w:color w:val="auto"/>
          <w:sz w:val="32"/>
          <w:szCs w:val="32"/>
          <w:lang w:val="en-US" w:eastAsia="zh-CN"/>
        </w:rPr>
        <w:t>特种专业技术用车</w:t>
      </w:r>
      <w:r>
        <w:rPr>
          <w:rFonts w:hint="eastAsia" w:ascii="仿宋_GB2312" w:eastAsia="仿宋_GB2312" w:cs="Times New Roman"/>
          <w:color w:val="auto"/>
          <w:sz w:val="32"/>
          <w:szCs w:val="32"/>
          <w:lang w:val="en-US" w:eastAsia="zh-CN"/>
        </w:rPr>
        <w:t>0</w:t>
      </w:r>
      <w:r>
        <w:rPr>
          <w:rFonts w:hint="eastAsia" w:ascii="仿宋_GB2312" w:hAnsi="Times New Roman" w:eastAsia="仿宋_GB2312" w:cs="Times New Roman"/>
          <w:color w:val="auto"/>
          <w:sz w:val="32"/>
          <w:szCs w:val="32"/>
        </w:rPr>
        <w:t>辆</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color w:val="auto"/>
          <w:sz w:val="32"/>
          <w:szCs w:val="32"/>
        </w:rPr>
        <w:t>主要是用于</w:t>
      </w:r>
      <w:r>
        <w:rPr>
          <w:rFonts w:hint="eastAsia" w:ascii="仿宋_GB2312" w:hAnsi="Times New Roman" w:eastAsia="仿宋_GB2312" w:cs="Times New Roman"/>
          <w:color w:val="auto"/>
          <w:sz w:val="32"/>
          <w:szCs w:val="32"/>
          <w:lang w:val="en-US" w:eastAsia="zh-CN"/>
        </w:rPr>
        <w:t>医院医疗救治。</w:t>
      </w:r>
      <w:r>
        <w:rPr>
          <w:rFonts w:hint="eastAsia" w:ascii="仿宋_GB2312" w:hAnsi="Times New Roman" w:eastAsia="仿宋_GB2312" w:cs="Times New Roman"/>
          <w:color w:val="auto"/>
          <w:sz w:val="32"/>
          <w:szCs w:val="32"/>
        </w:rPr>
        <w:t>单价50万元以上通用设备</w:t>
      </w:r>
      <w:r>
        <w:rPr>
          <w:rFonts w:hint="eastAsia" w:ascii="仿宋_GB2312" w:eastAsia="仿宋_GB2312" w:cs="Times New Roman"/>
          <w:color w:val="auto"/>
          <w:sz w:val="32"/>
          <w:szCs w:val="32"/>
          <w:lang w:val="en-US" w:eastAsia="zh-CN"/>
        </w:rPr>
        <w:t>4</w:t>
      </w:r>
      <w:r>
        <w:rPr>
          <w:rFonts w:hint="eastAsia" w:ascii="仿宋_GB2312" w:hAnsi="Times New Roman" w:eastAsia="仿宋_GB2312" w:cs="Times New Roman"/>
          <w:color w:val="auto"/>
          <w:sz w:val="32"/>
          <w:szCs w:val="32"/>
        </w:rPr>
        <w:t>台（套），单价100万元以上专用设备</w:t>
      </w:r>
      <w:r>
        <w:rPr>
          <w:rFonts w:hint="eastAsia" w:ascii="仿宋_GB2312" w:eastAsia="仿宋_GB2312" w:cs="Times New Roman"/>
          <w:color w:val="auto"/>
          <w:sz w:val="32"/>
          <w:szCs w:val="32"/>
          <w:lang w:val="en-US" w:eastAsia="zh-CN"/>
        </w:rPr>
        <w:t>9</w:t>
      </w:r>
      <w:r>
        <w:rPr>
          <w:rFonts w:hint="eastAsia" w:ascii="仿宋_GB2312" w:hAnsi="Times New Roman" w:eastAsia="仿宋_GB2312" w:cs="Times New Roman"/>
          <w:color w:val="auto"/>
          <w:sz w:val="32"/>
          <w:szCs w:val="32"/>
        </w:rPr>
        <w:t>台（套）。</w:t>
      </w:r>
    </w:p>
    <w:p w14:paraId="2A7E2BD6">
      <w:pPr>
        <w:keepNext w:val="0"/>
        <w:keepLines w:val="0"/>
        <w:pageBreakBefore w:val="0"/>
        <w:kinsoku/>
        <w:wordWrap/>
        <w:overflowPunct/>
        <w:topLinePunct w:val="0"/>
        <w:autoSpaceDE w:val="0"/>
        <w:autoSpaceDN w:val="0"/>
        <w:bidi w:val="0"/>
        <w:adjustRightInd w:val="0"/>
        <w:snapToGrid/>
        <w:spacing w:line="560" w:lineRule="exact"/>
        <w:ind w:firstLine="643" w:firstLineChars="200"/>
        <w:jc w:val="left"/>
        <w:textAlignment w:val="auto"/>
        <w:outlineLvl w:val="2"/>
        <w:rPr>
          <w:rFonts w:ascii="仿宋" w:eastAsia="仿宋"/>
          <w:b/>
          <w:sz w:val="32"/>
          <w:szCs w:val="32"/>
        </w:rPr>
      </w:pPr>
      <w:r>
        <w:rPr>
          <w:rFonts w:hint="eastAsia" w:ascii="仿宋" w:eastAsia="仿宋"/>
          <w:b/>
          <w:sz w:val="32"/>
          <w:szCs w:val="32"/>
        </w:rPr>
        <w:t>（四）预算绩效管理情况</w:t>
      </w:r>
    </w:p>
    <w:p w14:paraId="5B43597C">
      <w:pPr>
        <w:keepNext w:val="0"/>
        <w:keepLines w:val="0"/>
        <w:pageBreakBefore w:val="0"/>
        <w:widowControl/>
        <w:kinsoku/>
        <w:wordWrap/>
        <w:overflowPunct/>
        <w:topLinePunct w:val="0"/>
        <w:bidi w:val="0"/>
        <w:snapToGrid/>
        <w:spacing w:line="560" w:lineRule="exact"/>
        <w:ind w:firstLine="640" w:firstLineChars="200"/>
        <w:jc w:val="left"/>
        <w:textAlignment w:val="auto"/>
        <w:rPr>
          <w:rFonts w:ascii="仿宋_GB2312" w:eastAsia="仿宋_GB2312"/>
          <w:b/>
          <w:sz w:val="32"/>
          <w:szCs w:val="32"/>
        </w:rPr>
      </w:pPr>
      <w:r>
        <w:rPr>
          <w:rFonts w:hint="eastAsia" w:ascii="仿宋_GB2312" w:eastAsia="仿宋_GB2312" w:cs="仿宋_GB2312"/>
          <w:color w:val="auto"/>
          <w:sz w:val="32"/>
          <w:szCs w:val="32"/>
        </w:rPr>
        <w:t>根据预算绩效管理要求，本单位在202</w:t>
      </w:r>
      <w:r>
        <w:rPr>
          <w:rFonts w:hint="eastAsia" w:ascii="仿宋_GB2312" w:eastAsia="仿宋_GB2312" w:cs="仿宋_GB2312"/>
          <w:color w:val="auto"/>
          <w:sz w:val="32"/>
          <w:szCs w:val="32"/>
          <w:lang w:val="en-US" w:eastAsia="zh-CN"/>
        </w:rPr>
        <w:t>5</w:t>
      </w:r>
      <w:r>
        <w:rPr>
          <w:rFonts w:hint="eastAsia" w:ascii="仿宋_GB2312" w:eastAsia="仿宋_GB2312" w:cs="仿宋_GB2312"/>
          <w:color w:val="auto"/>
          <w:sz w:val="32"/>
          <w:szCs w:val="32"/>
        </w:rPr>
        <w:t>年度预算编制阶段，组织对</w:t>
      </w:r>
      <w:r>
        <w:rPr>
          <w:rFonts w:hint="eastAsia" w:ascii="仿宋_GB2312" w:eastAsia="仿宋_GB2312" w:cs="仿宋_GB2312"/>
          <w:color w:val="auto"/>
          <w:sz w:val="32"/>
          <w:szCs w:val="32"/>
          <w:lang w:eastAsia="zh-CN"/>
        </w:rPr>
        <w:t>取消药品加成</w:t>
      </w:r>
      <w:r>
        <w:rPr>
          <w:rFonts w:hint="eastAsia" w:ascii="仿宋_GB2312" w:eastAsia="仿宋_GB2312" w:cs="仿宋_GB2312"/>
          <w:color w:val="auto"/>
          <w:sz w:val="32"/>
          <w:szCs w:val="32"/>
        </w:rPr>
        <w:t>项目等开展了预算事前绩效评估，对</w:t>
      </w:r>
      <w:r>
        <w:rPr>
          <w:rFonts w:hint="eastAsia" w:ascii="仿宋_GB2312" w:eastAsia="仿宋_GB2312" w:cs="仿宋_GB2312"/>
          <w:color w:val="auto"/>
          <w:sz w:val="32"/>
          <w:szCs w:val="32"/>
          <w:lang w:val="en-US" w:eastAsia="zh-CN"/>
        </w:rPr>
        <w:t>2</w:t>
      </w:r>
      <w:r>
        <w:rPr>
          <w:rFonts w:hint="eastAsia" w:ascii="仿宋_GB2312" w:eastAsia="仿宋_GB2312" w:cs="仿宋_GB2312"/>
          <w:color w:val="auto"/>
          <w:sz w:val="32"/>
          <w:szCs w:val="32"/>
        </w:rPr>
        <w:t>个项目编制了绩效目标</w:t>
      </w:r>
      <w:r>
        <w:rPr>
          <w:rFonts w:hint="eastAsia" w:ascii="仿宋_GB2312" w:eastAsia="仿宋_GB2312" w:cs="仿宋_GB2312"/>
          <w:color w:val="auto"/>
          <w:sz w:val="32"/>
          <w:szCs w:val="32"/>
          <w:lang w:eastAsia="zh-CN"/>
        </w:rPr>
        <w:t>，在</w:t>
      </w:r>
      <w:r>
        <w:rPr>
          <w:rFonts w:hint="eastAsia" w:ascii="仿宋_GB2312" w:eastAsia="仿宋_GB2312" w:cs="仿宋_GB2312"/>
          <w:color w:val="auto"/>
          <w:sz w:val="32"/>
          <w:szCs w:val="32"/>
        </w:rPr>
        <w:t>预算执行过程中，选取</w:t>
      </w:r>
      <w:r>
        <w:rPr>
          <w:rFonts w:hint="eastAsia" w:ascii="仿宋_GB2312" w:eastAsia="仿宋_GB2312" w:cs="仿宋_GB2312"/>
          <w:color w:val="auto"/>
          <w:sz w:val="32"/>
          <w:szCs w:val="32"/>
          <w:lang w:val="en-US" w:eastAsia="zh-CN"/>
        </w:rPr>
        <w:t>2</w:t>
      </w:r>
      <w:r>
        <w:rPr>
          <w:rFonts w:hint="eastAsia" w:ascii="仿宋_GB2312" w:eastAsia="仿宋_GB2312" w:cs="仿宋_GB2312"/>
          <w:color w:val="auto"/>
          <w:sz w:val="32"/>
          <w:szCs w:val="32"/>
        </w:rPr>
        <w:t>个项目开展绩效监控，年终执行完毕后，对</w:t>
      </w:r>
      <w:r>
        <w:rPr>
          <w:rFonts w:hint="eastAsia" w:ascii="仿宋_GB2312" w:eastAsia="仿宋_GB2312" w:cs="仿宋_GB2312"/>
          <w:color w:val="auto"/>
          <w:sz w:val="32"/>
          <w:szCs w:val="32"/>
          <w:lang w:val="en-US" w:eastAsia="zh-CN"/>
        </w:rPr>
        <w:t>2</w:t>
      </w:r>
      <w:r>
        <w:rPr>
          <w:rFonts w:hint="eastAsia" w:ascii="仿宋_GB2312" w:eastAsia="仿宋_GB2312" w:cs="仿宋_GB2312"/>
          <w:color w:val="auto"/>
          <w:sz w:val="32"/>
          <w:szCs w:val="32"/>
        </w:rPr>
        <w:t>个项目</w:t>
      </w:r>
      <w:r>
        <w:rPr>
          <w:rFonts w:hint="eastAsia" w:ascii="仿宋_GB2312" w:eastAsia="仿宋_GB2312" w:cs="仿宋_GB2312"/>
          <w:color w:val="auto"/>
          <w:sz w:val="32"/>
          <w:szCs w:val="32"/>
          <w:lang w:eastAsia="zh-CN"/>
        </w:rPr>
        <w:t>取消药品加成</w:t>
      </w:r>
      <w:r>
        <w:rPr>
          <w:rFonts w:hint="eastAsia" w:ascii="仿宋_GB2312" w:hAnsi="Times New Roman" w:eastAsia="仿宋_GB2312" w:cs="仿宋_GB2312"/>
          <w:color w:val="auto"/>
          <w:sz w:val="32"/>
          <w:szCs w:val="32"/>
          <w:lang w:val="en-US" w:eastAsia="zh-CN"/>
        </w:rPr>
        <w:t>项目和</w:t>
      </w:r>
      <w:r>
        <w:rPr>
          <w:rFonts w:hint="eastAsia" w:ascii="仿宋_GB2312" w:hAnsi="Times New Roman" w:eastAsia="仿宋_GB2312" w:cs="仿宋_GB2312"/>
          <w:color w:val="auto"/>
          <w:sz w:val="32"/>
          <w:szCs w:val="32"/>
        </w:rPr>
        <w:t>202</w:t>
      </w:r>
      <w:r>
        <w:rPr>
          <w:rFonts w:hint="eastAsia" w:ascii="仿宋_GB2312" w:eastAsia="仿宋_GB2312" w:cs="仿宋_GB2312"/>
          <w:color w:val="auto"/>
          <w:sz w:val="32"/>
          <w:szCs w:val="32"/>
          <w:lang w:val="en-US" w:eastAsia="zh-CN"/>
        </w:rPr>
        <w:t>5</w:t>
      </w:r>
      <w:r>
        <w:rPr>
          <w:rFonts w:hint="eastAsia" w:ascii="仿宋_GB2312" w:hAnsi="Times New Roman" w:eastAsia="仿宋_GB2312" w:cs="仿宋_GB2312"/>
          <w:color w:val="auto"/>
          <w:sz w:val="32"/>
          <w:szCs w:val="32"/>
        </w:rPr>
        <w:t>年度重大疾病防控项目开展了绩效自评</w:t>
      </w:r>
      <w:r>
        <w:rPr>
          <w:rFonts w:hint="eastAsia" w:ascii="仿宋_GB2312" w:hAnsi="Times New Roman" w:eastAsia="仿宋_GB2312" w:cs="仿宋_GB2312"/>
          <w:color w:val="auto"/>
          <w:sz w:val="32"/>
          <w:szCs w:val="32"/>
          <w:lang w:eastAsia="zh-CN"/>
        </w:rPr>
        <w:t>。</w:t>
      </w:r>
      <w:r>
        <w:rPr>
          <w:rFonts w:hint="eastAsia" w:ascii="仿宋_GB2312" w:hAnsi="Times New Roman" w:eastAsia="仿宋_GB2312" w:cs="仿宋_GB2312"/>
          <w:color w:val="auto"/>
          <w:sz w:val="32"/>
          <w:szCs w:val="32"/>
        </w:rPr>
        <w:t>绩效自评报告详见附件</w:t>
      </w:r>
      <w:r>
        <w:rPr>
          <w:rFonts w:hint="eastAsia" w:ascii="仿宋_GB2312" w:hAnsi="Times New Roman" w:eastAsia="仿宋_GB2312" w:cs="仿宋_GB2312"/>
          <w:color w:val="auto"/>
          <w:sz w:val="32"/>
          <w:szCs w:val="32"/>
          <w:lang w:eastAsia="zh-CN"/>
        </w:rPr>
        <w:t>。</w:t>
      </w:r>
      <w:r>
        <w:rPr>
          <w:rFonts w:hint="eastAsia" w:ascii="仿宋_GB2312" w:hAnsi="Times New Roman" w:eastAsia="仿宋_GB2312" w:cs="仿宋_GB2312"/>
          <w:sz w:val="32"/>
          <w:szCs w:val="32"/>
        </w:rPr>
        <w:br w:type="page"/>
      </w:r>
    </w:p>
    <w:p w14:paraId="6781184B">
      <w:pPr>
        <w:numPr>
          <w:ilvl w:val="0"/>
          <w:numId w:val="5"/>
        </w:numPr>
        <w:spacing w:line="600" w:lineRule="exact"/>
        <w:ind w:firstLine="660" w:firstLineChars="150"/>
        <w:jc w:val="center"/>
        <w:outlineLvl w:val="0"/>
        <w:rPr>
          <w:rStyle w:val="24"/>
          <w:rFonts w:ascii="黑体" w:eastAsia="黑体"/>
          <w:b w:val="0"/>
        </w:rPr>
      </w:pPr>
      <w:bookmarkStart w:id="51" w:name="_Toc15377225"/>
      <w:bookmarkStart w:id="52" w:name="_Toc15396613"/>
      <w:r>
        <w:rPr>
          <w:rFonts w:hint="eastAsia" w:ascii="黑体" w:eastAsia="黑体"/>
          <w:sz w:val="44"/>
          <w:szCs w:val="44"/>
        </w:rPr>
        <w:t>名</w:t>
      </w:r>
      <w:r>
        <w:rPr>
          <w:rStyle w:val="24"/>
          <w:rFonts w:hint="eastAsia" w:ascii="黑体" w:eastAsia="黑体"/>
          <w:b w:val="0"/>
        </w:rPr>
        <w:t>词解释</w:t>
      </w:r>
      <w:bookmarkEnd w:id="51"/>
      <w:bookmarkEnd w:id="52"/>
    </w:p>
    <w:p w14:paraId="06423706">
      <w:pPr>
        <w:spacing w:line="600" w:lineRule="exact"/>
        <w:jc w:val="left"/>
        <w:rPr>
          <w:rFonts w:ascii="宋体"/>
          <w:b/>
          <w:sz w:val="44"/>
          <w:szCs w:val="44"/>
        </w:rPr>
      </w:pPr>
    </w:p>
    <w:p w14:paraId="2A107C28">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14:paraId="424B0C44">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事业收入：指事业单位开展专业业务活动及辅助活动取得的收入。如…（二级预算单位事业收入情况）等。</w:t>
      </w:r>
    </w:p>
    <w:p w14:paraId="2BCD4CB0">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经营收入：指事业单位在专业业务活动及其辅助活动之外开展非独立核算经营活动取得的收入。如…（二级预算单位经营收入情况）等。</w:t>
      </w:r>
    </w:p>
    <w:p w14:paraId="6271B595">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其他收入：指单位取得的除上述收入以外的各项收入。主要是…（收入类型）等。</w:t>
      </w:r>
      <w:r>
        <w:rPr>
          <w:rFonts w:ascii="仿宋_GB2312" w:eastAsia="仿宋_GB2312"/>
          <w:color w:val="auto"/>
          <w:sz w:val="32"/>
          <w:szCs w:val="32"/>
        </w:rPr>
        <w:t xml:space="preserve"> </w:t>
      </w:r>
    </w:p>
    <w:p w14:paraId="7B94702F">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5.</w:t>
      </w:r>
      <w:r>
        <w:rPr>
          <w:rFonts w:hint="eastAsia" w:ascii="仿宋_GB2312" w:eastAsia="仿宋_GB2312"/>
          <w:color w:val="auto"/>
          <w:sz w:val="32"/>
          <w:szCs w:val="32"/>
        </w:rPr>
        <w:t>使用非财政拨款结余：指事业单位使用以前年度积累的非财政拨款结余弥补当年收支差额的金额。</w:t>
      </w:r>
      <w:r>
        <w:rPr>
          <w:rFonts w:ascii="仿宋_GB2312" w:eastAsia="仿宋_GB2312"/>
          <w:color w:val="auto"/>
          <w:sz w:val="32"/>
          <w:szCs w:val="32"/>
        </w:rPr>
        <w:t xml:space="preserve"> </w:t>
      </w:r>
    </w:p>
    <w:p w14:paraId="0A338D9D">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14:paraId="76234E03">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14:paraId="738E5798">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8</w:t>
      </w:r>
      <w:r>
        <w:rPr>
          <w:rFonts w:hint="eastAsia" w:ascii="仿宋_GB2312" w:eastAsia="仿宋_GB2312"/>
          <w:color w:val="auto"/>
          <w:sz w:val="32"/>
          <w:szCs w:val="32"/>
        </w:rPr>
        <w:t>、年末结转和结余：指单位按有关规定结转到下年或以后年度继续使用的资金。</w:t>
      </w:r>
    </w:p>
    <w:p w14:paraId="7D404086">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9.</w:t>
      </w:r>
      <w:r>
        <w:rPr>
          <w:rFonts w:hint="eastAsia" w:ascii="仿宋_GB2312" w:eastAsia="仿宋_GB2312"/>
          <w:sz w:val="32"/>
          <w:szCs w:val="32"/>
        </w:rPr>
        <w:t>一般公共服务（类）…（款）…（项）：指……。</w:t>
      </w:r>
    </w:p>
    <w:p w14:paraId="2CFAF4E0">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10.</w:t>
      </w:r>
      <w:r>
        <w:rPr>
          <w:rFonts w:hint="eastAsia" w:ascii="仿宋_GB2312" w:eastAsia="仿宋_GB2312"/>
          <w:sz w:val="32"/>
          <w:szCs w:val="32"/>
        </w:rPr>
        <w:t>外交（类）…（款）…（项）：指……。</w:t>
      </w:r>
    </w:p>
    <w:p w14:paraId="0EA63E25">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11.</w:t>
      </w:r>
      <w:r>
        <w:rPr>
          <w:rFonts w:hint="eastAsia" w:ascii="仿宋_GB2312" w:eastAsia="仿宋_GB2312"/>
          <w:sz w:val="32"/>
          <w:szCs w:val="32"/>
        </w:rPr>
        <w:t>公共安全（类）…（款）…（项）：指……。</w:t>
      </w:r>
    </w:p>
    <w:p w14:paraId="0C9EC607">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12.</w:t>
      </w:r>
      <w:r>
        <w:rPr>
          <w:rFonts w:hint="eastAsia" w:ascii="仿宋_GB2312" w:eastAsia="仿宋_GB2312"/>
          <w:sz w:val="32"/>
          <w:szCs w:val="32"/>
        </w:rPr>
        <w:t>教育（类）…（款）…（项）：指……。</w:t>
      </w:r>
    </w:p>
    <w:p w14:paraId="03563234">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13.</w:t>
      </w:r>
      <w:r>
        <w:rPr>
          <w:rFonts w:hint="eastAsia" w:ascii="仿宋_GB2312" w:eastAsia="仿宋_GB2312"/>
          <w:sz w:val="32"/>
          <w:szCs w:val="32"/>
        </w:rPr>
        <w:t>科学技术（类）…（款）…（项）：指……。</w:t>
      </w:r>
    </w:p>
    <w:p w14:paraId="2568583C">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14.</w:t>
      </w:r>
      <w:r>
        <w:rPr>
          <w:rFonts w:hint="eastAsia" w:ascii="仿宋_GB2312" w:eastAsia="仿宋_GB2312"/>
          <w:sz w:val="32"/>
          <w:szCs w:val="32"/>
        </w:rPr>
        <w:t>文化体育与传媒（类）…（款）…（项）：指……。</w:t>
      </w:r>
    </w:p>
    <w:p w14:paraId="76B0B1C2">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15.</w:t>
      </w:r>
      <w:r>
        <w:rPr>
          <w:rFonts w:hint="eastAsia" w:ascii="仿宋_GB2312" w:eastAsia="仿宋_GB2312"/>
          <w:sz w:val="32"/>
          <w:szCs w:val="32"/>
        </w:rPr>
        <w:t>社会保障和就业（类）…（款）…（项）：指……。</w:t>
      </w:r>
    </w:p>
    <w:p w14:paraId="1DDC1535">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医疗卫生与计划生育（类）…（款）…（项）：指……。</w:t>
      </w:r>
    </w:p>
    <w:p w14:paraId="6F36C668">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17.</w:t>
      </w:r>
      <w:r>
        <w:rPr>
          <w:rFonts w:hint="eastAsia" w:ascii="仿宋_GB2312" w:eastAsia="仿宋_GB2312"/>
          <w:sz w:val="32"/>
          <w:szCs w:val="32"/>
        </w:rPr>
        <w:t>节能环保（类）…（款）…（项）：指……。</w:t>
      </w:r>
    </w:p>
    <w:p w14:paraId="299E7D3D">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18.</w:t>
      </w:r>
      <w:r>
        <w:rPr>
          <w:rFonts w:hint="eastAsia" w:ascii="仿宋_GB2312" w:eastAsia="仿宋_GB2312"/>
          <w:sz w:val="32"/>
          <w:szCs w:val="32"/>
        </w:rPr>
        <w:t>城乡社区（类）…（款）…（项）：指……。</w:t>
      </w:r>
    </w:p>
    <w:p w14:paraId="36611143">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19.</w:t>
      </w:r>
      <w:r>
        <w:rPr>
          <w:rFonts w:hint="eastAsia" w:ascii="仿宋_GB2312" w:eastAsia="仿宋_GB2312"/>
          <w:sz w:val="32"/>
          <w:szCs w:val="32"/>
        </w:rPr>
        <w:t>农林水（类）…（款）…（项）：指……。</w:t>
      </w:r>
    </w:p>
    <w:p w14:paraId="61802792">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交通运输（类）…（款）…（项）：指……。</w:t>
      </w:r>
    </w:p>
    <w:p w14:paraId="2BF52D88">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21.</w:t>
      </w:r>
      <w:r>
        <w:rPr>
          <w:rFonts w:hint="eastAsia" w:ascii="仿宋_GB2312" w:eastAsia="仿宋_GB2312"/>
          <w:sz w:val="32"/>
          <w:szCs w:val="32"/>
        </w:rPr>
        <w:t>资源勘探信息等（类）…（款）…（项）：指……。</w:t>
      </w:r>
    </w:p>
    <w:p w14:paraId="6173303B">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22.</w:t>
      </w:r>
      <w:r>
        <w:rPr>
          <w:rFonts w:hint="eastAsia" w:ascii="仿宋_GB2312" w:eastAsia="仿宋_GB2312"/>
          <w:sz w:val="32"/>
          <w:szCs w:val="32"/>
        </w:rPr>
        <w:t>商业服务业（类）…（款）…（项）：指……。</w:t>
      </w:r>
    </w:p>
    <w:p w14:paraId="32515907">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23.</w:t>
      </w:r>
      <w:r>
        <w:rPr>
          <w:rFonts w:hint="eastAsia" w:ascii="仿宋_GB2312" w:eastAsia="仿宋_GB2312"/>
          <w:sz w:val="32"/>
          <w:szCs w:val="32"/>
        </w:rPr>
        <w:t>金融（类）…（款）…（项）：指……。</w:t>
      </w:r>
    </w:p>
    <w:p w14:paraId="282B78C9">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24.</w:t>
      </w:r>
      <w:r>
        <w:rPr>
          <w:rFonts w:hint="eastAsia" w:ascii="仿宋_GB2312" w:eastAsia="仿宋_GB2312"/>
          <w:sz w:val="32"/>
          <w:szCs w:val="32"/>
        </w:rPr>
        <w:t>国土海洋气象等（类）…（款）…（项）：指……。</w:t>
      </w:r>
    </w:p>
    <w:p w14:paraId="635EB7DB">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25.</w:t>
      </w:r>
      <w:r>
        <w:rPr>
          <w:rFonts w:hint="eastAsia" w:ascii="仿宋_GB2312" w:eastAsia="仿宋_GB2312"/>
          <w:sz w:val="32"/>
          <w:szCs w:val="32"/>
        </w:rPr>
        <w:t>住房保障（类）…（款）…（项）：指……。</w:t>
      </w:r>
    </w:p>
    <w:p w14:paraId="6607C4DA">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26.</w:t>
      </w:r>
      <w:r>
        <w:rPr>
          <w:rFonts w:hint="eastAsia" w:ascii="仿宋_GB2312" w:eastAsia="仿宋_GB2312"/>
          <w:sz w:val="32"/>
          <w:szCs w:val="32"/>
        </w:rPr>
        <w:t>粮油物资储备（类）…（款）…（项）：指……。</w:t>
      </w:r>
    </w:p>
    <w:p w14:paraId="6357711D">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w:t>
      </w:r>
    </w:p>
    <w:p w14:paraId="5A5D021E">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w:t>
      </w:r>
    </w:p>
    <w:p w14:paraId="45F70AF9">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w:t>
      </w:r>
    </w:p>
    <w:p w14:paraId="65F50730">
      <w:pPr>
        <w:keepNext w:val="0"/>
        <w:keepLines w:val="0"/>
        <w:pageBreakBefore w:val="0"/>
        <w:widowControl w:val="0"/>
        <w:kinsoku/>
        <w:wordWrap/>
        <w:overflowPunct/>
        <w:topLinePunct w:val="0"/>
        <w:bidi w:val="0"/>
        <w:snapToGrid/>
        <w:spacing w:line="560" w:lineRule="exact"/>
        <w:ind w:firstLine="640"/>
        <w:textAlignment w:val="auto"/>
        <w:rPr>
          <w:rFonts w:ascii="仿宋" w:eastAsia="仿宋"/>
          <w:b/>
          <w:sz w:val="32"/>
          <w:szCs w:val="32"/>
        </w:rPr>
      </w:pPr>
      <w:r>
        <w:rPr>
          <w:rFonts w:hint="eastAsia" w:ascii="仿宋" w:eastAsia="仿宋"/>
          <w:b/>
          <w:sz w:val="32"/>
          <w:szCs w:val="32"/>
        </w:rPr>
        <w:t>（解释本单位决算报表中涉及的全部功能分类科目至项级，不涉及的科目请自行删除。请参照《</w:t>
      </w:r>
      <w:r>
        <w:rPr>
          <w:rFonts w:ascii="仿宋" w:eastAsia="仿宋"/>
          <w:b/>
          <w:sz w:val="32"/>
          <w:szCs w:val="32"/>
        </w:rPr>
        <w:t>20</w:t>
      </w:r>
      <w:r>
        <w:rPr>
          <w:rFonts w:hint="eastAsia" w:ascii="仿宋" w:eastAsia="仿宋"/>
          <w:b/>
          <w:sz w:val="32"/>
          <w:szCs w:val="32"/>
        </w:rPr>
        <w:t>21年政府收支分类科目》增减内容。）</w:t>
      </w:r>
    </w:p>
    <w:p w14:paraId="1C37F51C">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27.</w:t>
      </w:r>
      <w:r>
        <w:rPr>
          <w:rFonts w:hint="eastAsia" w:ascii="仿宋_GB2312" w:eastAsia="仿宋_GB2312"/>
          <w:sz w:val="32"/>
          <w:szCs w:val="32"/>
        </w:rPr>
        <w:t>基本支出：指为保障机构正常运转、完成日常工作任务而发生的人员支出和公用支出。</w:t>
      </w:r>
    </w:p>
    <w:p w14:paraId="07D5A8D4">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28.</w:t>
      </w:r>
      <w:r>
        <w:rPr>
          <w:rFonts w:hint="eastAsia" w:ascii="仿宋_GB2312" w:eastAsia="仿宋_GB2312"/>
          <w:sz w:val="32"/>
          <w:szCs w:val="32"/>
        </w:rPr>
        <w:t>项目支出：指在基本支出之外为完成特定行政任务和事业发展目标所发生的支出。</w:t>
      </w:r>
      <w:r>
        <w:rPr>
          <w:rFonts w:ascii="仿宋_GB2312" w:eastAsia="仿宋_GB2312"/>
          <w:sz w:val="32"/>
          <w:szCs w:val="32"/>
        </w:rPr>
        <w:t xml:space="preserve"> </w:t>
      </w:r>
    </w:p>
    <w:p w14:paraId="092A5A46">
      <w:pPr>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sz w:val="32"/>
          <w:szCs w:val="32"/>
        </w:rPr>
      </w:pPr>
      <w:r>
        <w:rPr>
          <w:rFonts w:ascii="仿宋_GB2312" w:eastAsia="仿宋_GB2312"/>
          <w:sz w:val="32"/>
          <w:szCs w:val="32"/>
        </w:rPr>
        <w:t>29.</w:t>
      </w:r>
      <w:r>
        <w:rPr>
          <w:rFonts w:hint="eastAsia" w:ascii="仿宋_GB2312" w:eastAsia="仿宋_GB2312"/>
          <w:sz w:val="32"/>
          <w:szCs w:val="32"/>
        </w:rPr>
        <w:t>经营支出：指事业单位在专业业务活动及其辅助活动之外开展非独立核算经营活动发生的支出。</w:t>
      </w:r>
    </w:p>
    <w:p w14:paraId="78C70270">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30.</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D59B348">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31.</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E873ACB">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olor w:val="auto"/>
          <w:sz w:val="32"/>
          <w:szCs w:val="32"/>
        </w:rPr>
      </w:pPr>
      <w:r>
        <w:rPr>
          <w:rFonts w:ascii="仿宋_GB2312" w:eastAsia="仿宋_GB2312"/>
          <w:color w:val="auto"/>
          <w:sz w:val="32"/>
          <w:szCs w:val="32"/>
        </w:rPr>
        <w:t>32.</w:t>
      </w:r>
      <w:r>
        <w:rPr>
          <w:rFonts w:hint="eastAsia" w:ascii="仿宋_GB2312" w:eastAsia="仿宋_GB2312"/>
          <w:color w:val="auto"/>
          <w:sz w:val="32"/>
          <w:szCs w:val="32"/>
        </w:rPr>
        <w:t>……。</w:t>
      </w:r>
    </w:p>
    <w:p w14:paraId="7B604B25">
      <w:pPr>
        <w:pStyle w:val="29"/>
        <w:keepNext w:val="0"/>
        <w:keepLines w:val="0"/>
        <w:pageBreakBefore w:val="0"/>
        <w:widowControl w:val="0"/>
        <w:kinsoku/>
        <w:wordWrap/>
        <w:overflowPunct/>
        <w:topLinePunct w:val="0"/>
        <w:bidi w:val="0"/>
        <w:snapToGrid/>
        <w:spacing w:line="560" w:lineRule="exact"/>
        <w:ind w:firstLine="640" w:firstLineChars="200"/>
        <w:textAlignment w:val="auto"/>
        <w:rPr>
          <w:rFonts w:ascii="仿宋_GB2312" w:eastAsia="仿宋_GB2312" w:cs="黑体"/>
          <w:color w:val="auto"/>
          <w:sz w:val="32"/>
          <w:szCs w:val="32"/>
        </w:rPr>
      </w:pPr>
    </w:p>
    <w:p w14:paraId="0D0D056A">
      <w:pPr>
        <w:keepNext w:val="0"/>
        <w:keepLines w:val="0"/>
        <w:pageBreakBefore w:val="0"/>
        <w:widowControl w:val="0"/>
        <w:kinsoku/>
        <w:wordWrap/>
        <w:overflowPunct/>
        <w:topLinePunct w:val="0"/>
        <w:bidi w:val="0"/>
        <w:snapToGrid/>
        <w:spacing w:line="560" w:lineRule="exact"/>
        <w:ind w:firstLine="643" w:firstLineChars="200"/>
        <w:textAlignment w:val="auto"/>
        <w:rPr>
          <w:rFonts w:ascii="仿宋" w:eastAsia="仿宋"/>
          <w:b/>
          <w:sz w:val="32"/>
          <w:szCs w:val="32"/>
        </w:rPr>
      </w:pPr>
      <w:r>
        <w:rPr>
          <w:rFonts w:hint="eastAsia" w:ascii="仿宋" w:eastAsia="仿宋"/>
          <w:b/>
          <w:sz w:val="32"/>
          <w:szCs w:val="32"/>
        </w:rPr>
        <w:t>（名词解释部分请根据各单位实际列支情况罗列，并根据本单位职责职能增减名词解释内容。）</w:t>
      </w:r>
    </w:p>
    <w:p w14:paraId="35F980B0">
      <w:pPr>
        <w:keepNext w:val="0"/>
        <w:keepLines w:val="0"/>
        <w:pageBreakBefore w:val="0"/>
        <w:widowControl w:val="0"/>
        <w:kinsoku/>
        <w:wordWrap/>
        <w:overflowPunct/>
        <w:topLinePunct w:val="0"/>
        <w:autoSpaceDE/>
        <w:autoSpaceDN/>
        <w:bidi w:val="0"/>
        <w:snapToGrid/>
        <w:spacing w:line="560" w:lineRule="exact"/>
        <w:jc w:val="center"/>
        <w:textAlignment w:val="auto"/>
        <w:outlineLvl w:val="0"/>
        <w:rPr>
          <w:rStyle w:val="24"/>
          <w:rFonts w:ascii="黑体" w:eastAsia="黑体"/>
          <w:b w:val="0"/>
        </w:rPr>
      </w:pPr>
      <w:bookmarkStart w:id="53" w:name="_Toc15377226"/>
      <w:r>
        <w:rPr>
          <w:rFonts w:ascii="宋体"/>
          <w:b/>
          <w:sz w:val="44"/>
          <w:szCs w:val="44"/>
        </w:rPr>
        <w:br w:type="page"/>
      </w:r>
      <w:bookmarkStart w:id="54" w:name="_Toc15396614"/>
      <w:r>
        <w:rPr>
          <w:rFonts w:hint="eastAsia" w:ascii="黑体" w:eastAsia="黑体"/>
          <w:sz w:val="44"/>
          <w:szCs w:val="44"/>
        </w:rPr>
        <w:t>第</w:t>
      </w:r>
      <w:r>
        <w:rPr>
          <w:rStyle w:val="24"/>
          <w:rFonts w:hint="eastAsia" w:ascii="黑体" w:eastAsia="黑体"/>
          <w:b w:val="0"/>
        </w:rPr>
        <w:t>四部分 附件</w:t>
      </w:r>
      <w:bookmarkEnd w:id="54"/>
    </w:p>
    <w:p w14:paraId="698DEB6B">
      <w:pPr>
        <w:pStyle w:val="35"/>
        <w:keepNext w:val="0"/>
        <w:keepLines w:val="0"/>
        <w:pageBreakBefore w:val="0"/>
        <w:widowControl w:val="0"/>
        <w:kinsoku/>
        <w:wordWrap/>
        <w:overflowPunct/>
        <w:topLinePunct w:val="0"/>
        <w:autoSpaceDE/>
        <w:autoSpaceDN/>
        <w:bidi w:val="0"/>
        <w:spacing w:line="578" w:lineRule="exact"/>
        <w:ind w:left="0" w:leftChars="0"/>
        <w:jc w:val="both"/>
        <w:textAlignment w:val="auto"/>
        <w:rPr>
          <w:rFonts w:hint="eastAsia" w:ascii="Times New Roman" w:hAnsi="Times New Roman" w:eastAsia="方正小标宋简体" w:cs="Times New Roman"/>
          <w:color w:val="auto"/>
          <w:kern w:val="2"/>
          <w:sz w:val="44"/>
          <w:szCs w:val="44"/>
          <w:highlight w:val="none"/>
          <w:lang w:val="en-US" w:eastAsia="zh-CN"/>
        </w:rPr>
      </w:pPr>
      <w:bookmarkStart w:id="55" w:name="_Toc15396618"/>
    </w:p>
    <w:p w14:paraId="3A1213C1">
      <w:pPr>
        <w:pStyle w:val="35"/>
        <w:keepNext w:val="0"/>
        <w:keepLines w:val="0"/>
        <w:pageBreakBefore w:val="0"/>
        <w:widowControl w:val="0"/>
        <w:kinsoku/>
        <w:wordWrap/>
        <w:overflowPunct/>
        <w:topLinePunct w:val="0"/>
        <w:autoSpaceDE/>
        <w:autoSpaceDN/>
        <w:bidi w:val="0"/>
        <w:spacing w:line="578" w:lineRule="exact"/>
        <w:ind w:left="0" w:leftChars="0" w:firstLine="1320" w:firstLineChars="300"/>
        <w:jc w:val="center"/>
        <w:textAlignment w:val="auto"/>
        <w:rPr>
          <w:rFonts w:hint="default" w:ascii="Times New Roman" w:hAnsi="Times New Roman" w:cs="Times New Roman"/>
          <w:color w:val="auto"/>
          <w:kern w:val="2"/>
          <w:sz w:val="32"/>
          <w:szCs w:val="32"/>
          <w:highlight w:val="none"/>
        </w:rPr>
      </w:pPr>
      <w:r>
        <w:rPr>
          <w:rFonts w:hint="eastAsia" w:ascii="Times New Roman" w:hAnsi="Times New Roman" w:eastAsia="方正小标宋简体" w:cs="Times New Roman"/>
          <w:color w:val="auto"/>
          <w:kern w:val="2"/>
          <w:sz w:val="44"/>
          <w:szCs w:val="44"/>
          <w:highlight w:val="none"/>
          <w:lang w:val="en-US" w:eastAsia="zh-CN"/>
        </w:rPr>
        <w:t>2025年取消药品加成项目</w:t>
      </w:r>
      <w:r>
        <w:rPr>
          <w:rFonts w:hint="default" w:ascii="Times New Roman" w:hAnsi="Times New Roman" w:eastAsia="方正小标宋简体" w:cs="Times New Roman"/>
          <w:color w:val="auto"/>
          <w:kern w:val="2"/>
          <w:sz w:val="44"/>
          <w:szCs w:val="44"/>
          <w:highlight w:val="none"/>
          <w:lang w:val="en-US" w:eastAsia="zh-CN"/>
        </w:rPr>
        <w:t>预算绩效自评报告</w:t>
      </w:r>
    </w:p>
    <w:p w14:paraId="7B6F6D62">
      <w:pPr>
        <w:keepNext w:val="0"/>
        <w:keepLines w:val="0"/>
        <w:pageBreakBefore w:val="0"/>
        <w:widowControl w:val="0"/>
        <w:kinsoku/>
        <w:wordWrap/>
        <w:overflowPunct/>
        <w:topLinePunct w:val="0"/>
        <w:autoSpaceDE/>
        <w:autoSpaceDN/>
        <w:bidi w:val="0"/>
        <w:adjustRightInd w:val="0"/>
        <w:snapToGrid w:val="0"/>
        <w:spacing w:line="578" w:lineRule="exact"/>
        <w:ind w:firstLine="643" w:firstLineChars="200"/>
        <w:textAlignment w:val="auto"/>
        <w:rPr>
          <w:rFonts w:hint="eastAsia" w:ascii="仿宋" w:hAnsi="仿宋" w:eastAsia="仿宋" w:cs="仿宋"/>
          <w:b/>
          <w:bCs/>
          <w:sz w:val="32"/>
          <w:szCs w:val="32"/>
          <w:highlight w:val="none"/>
        </w:rPr>
      </w:pPr>
    </w:p>
    <w:p w14:paraId="3FEA63C5">
      <w:pPr>
        <w:keepNext w:val="0"/>
        <w:keepLines w:val="0"/>
        <w:pageBreakBefore w:val="0"/>
        <w:widowControl w:val="0"/>
        <w:kinsoku/>
        <w:wordWrap/>
        <w:overflowPunct/>
        <w:topLinePunct w:val="0"/>
        <w:autoSpaceDE/>
        <w:autoSpaceDN/>
        <w:bidi w:val="0"/>
        <w:adjustRightInd w:val="0"/>
        <w:snapToGrid w:val="0"/>
        <w:spacing w:line="578" w:lineRule="exact"/>
        <w:ind w:firstLine="643" w:firstLineChars="200"/>
        <w:textAlignment w:val="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rPr>
        <w:t>一、</w:t>
      </w:r>
      <w:r>
        <w:rPr>
          <w:rFonts w:hint="eastAsia" w:ascii="仿宋" w:hAnsi="仿宋" w:eastAsia="仿宋" w:cs="仿宋"/>
          <w:b/>
          <w:bCs/>
          <w:sz w:val="32"/>
          <w:szCs w:val="32"/>
          <w:highlight w:val="none"/>
          <w:lang w:val="zh-CN"/>
        </w:rPr>
        <w:t>项目概况</w:t>
      </w:r>
    </w:p>
    <w:p w14:paraId="73C7CFE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b/>
          <w:color w:val="auto"/>
          <w:sz w:val="32"/>
          <w:szCs w:val="32"/>
          <w:highlight w:val="none"/>
          <w:u w:val="none"/>
          <w:lang w:val="zh-CN"/>
        </w:rPr>
      </w:pPr>
      <w:r>
        <w:rPr>
          <w:rFonts w:hint="eastAsia" w:ascii="仿宋" w:hAnsi="仿宋" w:eastAsia="仿宋" w:cs="仿宋"/>
          <w:b/>
          <w:color w:val="auto"/>
          <w:sz w:val="32"/>
          <w:szCs w:val="32"/>
          <w:highlight w:val="none"/>
          <w:u w:val="none"/>
          <w:lang w:val="zh-CN"/>
        </w:rPr>
        <w:t>（一）设立背景及基本情况。</w:t>
      </w:r>
    </w:p>
    <w:p w14:paraId="2622FFE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 w:hAnsi="仿宋" w:eastAsia="仿宋" w:cs="仿宋"/>
          <w:color w:val="auto"/>
          <w:kern w:val="0"/>
          <w:sz w:val="32"/>
          <w:szCs w:val="32"/>
          <w:highlight w:val="none"/>
          <w:u w:val="none"/>
          <w:shd w:val="clear" w:color="auto" w:fill="FFFFFF"/>
          <w:lang w:val="zh-CN"/>
        </w:rPr>
      </w:pPr>
      <w:r>
        <w:rPr>
          <w:rFonts w:hint="eastAsia" w:ascii="仿宋" w:hAnsi="仿宋" w:eastAsia="仿宋" w:cs="仿宋"/>
          <w:color w:val="auto"/>
          <w:kern w:val="0"/>
          <w:sz w:val="32"/>
          <w:szCs w:val="32"/>
          <w:highlight w:val="none"/>
          <w:u w:val="none"/>
          <w:shd w:val="clear" w:color="auto" w:fill="FFFFFF"/>
          <w:lang w:val="zh-CN" w:eastAsia="zh-CN"/>
        </w:rPr>
        <w:t>我院按阿坝州发展和改革委员会等五部门贯彻《关于印发四川省县级公立医院取消药品加成经费补偿办法的通知的意见》阿州发改价格[201</w:t>
      </w:r>
      <w:r>
        <w:rPr>
          <w:rFonts w:hint="eastAsia" w:ascii="仿宋" w:hAnsi="仿宋" w:eastAsia="仿宋" w:cs="仿宋"/>
          <w:color w:val="auto"/>
          <w:kern w:val="0"/>
          <w:sz w:val="32"/>
          <w:szCs w:val="32"/>
          <w:highlight w:val="none"/>
          <w:u w:val="none"/>
          <w:shd w:val="clear" w:color="auto" w:fill="FFFFFF"/>
          <w:lang w:val="en-US" w:eastAsia="zh-CN"/>
        </w:rPr>
        <w:t>3</w:t>
      </w:r>
      <w:r>
        <w:rPr>
          <w:rFonts w:hint="eastAsia" w:ascii="仿宋" w:hAnsi="仿宋" w:eastAsia="仿宋" w:cs="仿宋"/>
          <w:color w:val="auto"/>
          <w:kern w:val="0"/>
          <w:sz w:val="32"/>
          <w:szCs w:val="32"/>
          <w:highlight w:val="none"/>
          <w:u w:val="none"/>
          <w:shd w:val="clear" w:color="auto" w:fill="FFFFFF"/>
          <w:lang w:val="zh-CN" w:eastAsia="zh-CN"/>
        </w:rPr>
        <w:t>]</w:t>
      </w:r>
      <w:r>
        <w:rPr>
          <w:rFonts w:hint="eastAsia" w:ascii="仿宋" w:hAnsi="仿宋" w:eastAsia="仿宋" w:cs="仿宋"/>
          <w:color w:val="auto"/>
          <w:kern w:val="0"/>
          <w:sz w:val="32"/>
          <w:szCs w:val="32"/>
          <w:highlight w:val="none"/>
          <w:u w:val="none"/>
          <w:shd w:val="clear" w:color="auto" w:fill="FFFFFF"/>
          <w:lang w:val="en-US" w:eastAsia="zh-CN"/>
        </w:rPr>
        <w:t>695</w:t>
      </w:r>
      <w:r>
        <w:rPr>
          <w:rFonts w:hint="eastAsia" w:ascii="仿宋" w:hAnsi="仿宋" w:eastAsia="仿宋" w:cs="仿宋"/>
          <w:color w:val="auto"/>
          <w:kern w:val="0"/>
          <w:sz w:val="32"/>
          <w:szCs w:val="32"/>
          <w:highlight w:val="none"/>
          <w:u w:val="none"/>
          <w:shd w:val="clear" w:color="auto" w:fill="FFFFFF"/>
          <w:lang w:val="zh-CN" w:eastAsia="zh-CN"/>
        </w:rPr>
        <w:t>号文件，</w:t>
      </w:r>
      <w:r>
        <w:rPr>
          <w:rFonts w:hint="eastAsia" w:ascii="仿宋" w:hAnsi="仿宋" w:eastAsia="仿宋" w:cs="仿宋"/>
          <w:color w:val="auto"/>
          <w:kern w:val="0"/>
          <w:sz w:val="32"/>
          <w:szCs w:val="32"/>
          <w:highlight w:val="none"/>
          <w:u w:val="none"/>
          <w:shd w:val="clear" w:color="auto" w:fill="FFFFFF"/>
          <w:lang w:val="en-US" w:eastAsia="zh-CN"/>
        </w:rPr>
        <w:t>2013年10月1日起</w:t>
      </w:r>
      <w:r>
        <w:rPr>
          <w:rFonts w:hint="eastAsia" w:ascii="仿宋" w:hAnsi="仿宋" w:eastAsia="仿宋" w:cs="仿宋"/>
          <w:color w:val="auto"/>
          <w:kern w:val="0"/>
          <w:sz w:val="32"/>
          <w:szCs w:val="32"/>
          <w:highlight w:val="none"/>
          <w:u w:val="none"/>
          <w:shd w:val="clear" w:color="auto" w:fill="FFFFFF"/>
          <w:lang w:val="zh-CN" w:eastAsia="zh-CN"/>
        </w:rPr>
        <w:t>取消了所有西药及中成药品加成。</w:t>
      </w:r>
    </w:p>
    <w:p w14:paraId="5CF84384">
      <w:pPr>
        <w:keepNext w:val="0"/>
        <w:keepLines w:val="0"/>
        <w:pageBreakBefore w:val="0"/>
        <w:widowControl w:val="0"/>
        <w:numPr>
          <w:ilvl w:val="0"/>
          <w:numId w:val="6"/>
        </w:numPr>
        <w:kinsoku/>
        <w:wordWrap/>
        <w:overflowPunct/>
        <w:topLinePunct w:val="0"/>
        <w:autoSpaceDE/>
        <w:autoSpaceDN/>
        <w:bidi w:val="0"/>
        <w:adjustRightInd w:val="0"/>
        <w:snapToGrid w:val="0"/>
        <w:spacing w:line="576" w:lineRule="exact"/>
        <w:ind w:left="1283" w:leftChars="0" w:right="0" w:hanging="643" w:firstLineChars="0"/>
        <w:textAlignment w:val="auto"/>
        <w:outlineLvl w:val="9"/>
        <w:rPr>
          <w:rFonts w:hint="eastAsia" w:ascii="仿宋" w:hAnsi="仿宋" w:eastAsia="仿宋" w:cs="仿宋"/>
          <w:b/>
          <w:color w:val="auto"/>
          <w:sz w:val="32"/>
          <w:szCs w:val="32"/>
          <w:highlight w:val="none"/>
          <w:u w:val="none"/>
          <w:lang w:val="en-US" w:eastAsia="zh-CN"/>
        </w:rPr>
      </w:pPr>
      <w:r>
        <w:rPr>
          <w:rFonts w:hint="eastAsia" w:ascii="仿宋" w:hAnsi="仿宋" w:eastAsia="仿宋" w:cs="仿宋"/>
          <w:b/>
          <w:color w:val="auto"/>
          <w:sz w:val="32"/>
          <w:szCs w:val="32"/>
          <w:highlight w:val="none"/>
          <w:u w:val="none"/>
          <w:lang w:val="en-US" w:eastAsia="zh-CN"/>
        </w:rPr>
        <w:t>实施目的及支持方向。</w:t>
      </w:r>
    </w:p>
    <w:p w14:paraId="743E0CA6">
      <w:pPr>
        <w:numPr>
          <w:ilvl w:val="0"/>
          <w:numId w:val="0"/>
        </w:numPr>
        <w:wordWrap/>
        <w:adjustRightInd w:val="0"/>
        <w:snapToGrid w:val="0"/>
        <w:spacing w:line="576" w:lineRule="exact"/>
        <w:ind w:right="0" w:rightChars="0" w:firstLine="640" w:firstLineChars="200"/>
        <w:textAlignment w:val="auto"/>
        <w:outlineLvl w:val="9"/>
        <w:rPr>
          <w:rFonts w:hint="eastAsia" w:ascii="仿宋" w:hAnsi="仿宋" w:eastAsia="仿宋" w:cs="仿宋"/>
          <w:color w:val="auto"/>
          <w:kern w:val="0"/>
          <w:sz w:val="32"/>
          <w:szCs w:val="32"/>
          <w:highlight w:val="none"/>
          <w:u w:val="none"/>
          <w:shd w:val="clear" w:color="auto" w:fill="FFFFFF"/>
          <w:lang w:val="zh-CN"/>
        </w:rPr>
      </w:pPr>
      <w:r>
        <w:rPr>
          <w:rFonts w:hint="eastAsia" w:ascii="仿宋" w:hAnsi="仿宋" w:eastAsia="仿宋" w:cs="仿宋"/>
          <w:color w:val="auto"/>
          <w:kern w:val="0"/>
          <w:sz w:val="32"/>
          <w:szCs w:val="32"/>
          <w:highlight w:val="none"/>
          <w:u w:val="none"/>
          <w:shd w:val="clear" w:color="auto" w:fill="FFFFFF"/>
          <w:lang w:val="zh-CN" w:eastAsia="zh-CN"/>
        </w:rPr>
        <w:t>我院财务管理制度健全，严格执行财务管理制度，账务处理及时，会计核算规范。严格按照国家有关法律、法规和财务规章，加强项目资金的管理，做到专帐管理、专项核算、专款专用。严禁以任何形式截留或挪用项目资金。</w:t>
      </w:r>
    </w:p>
    <w:p w14:paraId="2B8B321B">
      <w:pPr>
        <w:numPr>
          <w:ilvl w:val="0"/>
          <w:numId w:val="6"/>
        </w:numPr>
        <w:spacing w:line="560" w:lineRule="exact"/>
        <w:ind w:left="640" w:leftChars="0" w:firstLine="0" w:firstLineChars="0"/>
        <w:rPr>
          <w:rFonts w:hint="eastAsia" w:ascii="仿宋" w:hAnsi="仿宋" w:eastAsia="仿宋" w:cs="仿宋"/>
          <w:b/>
          <w:color w:val="auto"/>
          <w:sz w:val="32"/>
          <w:szCs w:val="32"/>
          <w:highlight w:val="none"/>
          <w:u w:val="none"/>
          <w:lang w:val="zh-CN" w:eastAsia="zh-CN"/>
        </w:rPr>
      </w:pPr>
      <w:r>
        <w:rPr>
          <w:rFonts w:hint="eastAsia" w:ascii="仿宋" w:hAnsi="仿宋" w:eastAsia="仿宋" w:cs="仿宋"/>
          <w:b/>
          <w:color w:val="auto"/>
          <w:sz w:val="32"/>
          <w:szCs w:val="32"/>
          <w:highlight w:val="none"/>
          <w:u w:val="none"/>
          <w:lang w:val="en-US" w:eastAsia="zh-CN"/>
        </w:rPr>
        <w:t>预算安排及分配管理</w:t>
      </w:r>
      <w:r>
        <w:rPr>
          <w:rFonts w:hint="eastAsia" w:ascii="仿宋" w:hAnsi="仿宋" w:eastAsia="仿宋" w:cs="仿宋"/>
          <w:b/>
          <w:color w:val="auto"/>
          <w:sz w:val="32"/>
          <w:szCs w:val="32"/>
          <w:highlight w:val="none"/>
          <w:u w:val="none"/>
          <w:lang w:val="zh-CN" w:eastAsia="zh-CN"/>
        </w:rPr>
        <w:t>。</w:t>
      </w:r>
    </w:p>
    <w:p w14:paraId="3E04F954">
      <w:pPr>
        <w:numPr>
          <w:ilvl w:val="0"/>
          <w:numId w:val="0"/>
        </w:numPr>
        <w:wordWrap/>
        <w:adjustRightInd w:val="0"/>
        <w:snapToGrid w:val="0"/>
        <w:spacing w:line="576" w:lineRule="exact"/>
        <w:ind w:left="640" w:leftChars="0" w:right="0" w:rightChars="0"/>
        <w:textAlignment w:val="auto"/>
        <w:outlineLvl w:val="9"/>
        <w:rPr>
          <w:rFonts w:hint="eastAsia" w:ascii="仿宋" w:hAnsi="仿宋" w:eastAsia="仿宋" w:cs="仿宋"/>
          <w:b/>
          <w:color w:val="auto"/>
          <w:sz w:val="32"/>
          <w:szCs w:val="32"/>
          <w:highlight w:val="none"/>
          <w:u w:val="none"/>
          <w:lang w:val="zh-CN" w:eastAsia="zh-CN"/>
        </w:rPr>
      </w:pPr>
      <w:r>
        <w:rPr>
          <w:rFonts w:hint="eastAsia" w:ascii="仿宋" w:hAnsi="仿宋" w:eastAsia="仿宋" w:cs="仿宋"/>
          <w:color w:val="auto"/>
          <w:sz w:val="32"/>
          <w:szCs w:val="32"/>
          <w:lang w:val="en-US" w:eastAsia="zh-CN"/>
        </w:rPr>
        <w:t xml:space="preserve"> 阿州财社〔2025〕43号、阿州财社〔2025〕52号资金到位共计4.69万元，资金已支付4.69万元</w:t>
      </w:r>
      <w:r>
        <w:rPr>
          <w:rFonts w:hint="eastAsia" w:ascii="仿宋" w:hAnsi="仿宋" w:eastAsia="仿宋" w:cs="仿宋"/>
          <w:b/>
          <w:color w:val="auto"/>
          <w:sz w:val="32"/>
          <w:szCs w:val="32"/>
          <w:highlight w:val="none"/>
          <w:u w:val="none"/>
          <w:lang w:val="zh-CN" w:eastAsia="zh-CN"/>
        </w:rPr>
        <w:t>。</w:t>
      </w:r>
    </w:p>
    <w:p w14:paraId="0EED32FF">
      <w:pPr>
        <w:numPr>
          <w:ilvl w:val="0"/>
          <w:numId w:val="0"/>
        </w:numPr>
        <w:wordWrap/>
        <w:adjustRightInd w:val="0"/>
        <w:snapToGrid w:val="0"/>
        <w:spacing w:line="576" w:lineRule="exact"/>
        <w:ind w:right="0" w:rightChars="0" w:firstLine="640" w:firstLineChars="200"/>
        <w:textAlignment w:val="auto"/>
        <w:outlineLvl w:val="9"/>
        <w:rPr>
          <w:rFonts w:hint="eastAsia" w:ascii="仿宋" w:hAnsi="仿宋" w:eastAsia="仿宋" w:cs="仿宋"/>
          <w:color w:val="auto"/>
          <w:kern w:val="0"/>
          <w:sz w:val="32"/>
          <w:szCs w:val="32"/>
          <w:highlight w:val="none"/>
          <w:u w:val="none"/>
          <w:shd w:val="clear" w:color="auto" w:fill="FFFFFF"/>
          <w:lang w:val="en-US" w:eastAsia="zh-CN"/>
        </w:rPr>
      </w:pPr>
      <w:r>
        <w:rPr>
          <w:rFonts w:hint="eastAsia" w:ascii="仿宋" w:hAnsi="仿宋" w:eastAsia="仿宋" w:cs="仿宋"/>
          <w:color w:val="auto"/>
          <w:kern w:val="0"/>
          <w:sz w:val="32"/>
          <w:szCs w:val="32"/>
          <w:highlight w:val="none"/>
          <w:u w:val="none"/>
          <w:shd w:val="clear" w:color="auto" w:fill="FFFFFF"/>
          <w:lang w:val="en-US" w:eastAsia="zh-CN"/>
        </w:rPr>
        <w:t>从2013年10月1日零点</w:t>
      </w:r>
      <w:r>
        <w:rPr>
          <w:rFonts w:hint="eastAsia" w:ascii="仿宋" w:hAnsi="仿宋" w:eastAsia="仿宋" w:cs="仿宋"/>
          <w:color w:val="auto"/>
          <w:kern w:val="0"/>
          <w:sz w:val="32"/>
          <w:szCs w:val="32"/>
          <w:highlight w:val="none"/>
          <w:u w:val="none"/>
          <w:shd w:val="clear" w:color="auto" w:fill="FFFFFF"/>
          <w:lang w:val="zh-CN" w:eastAsia="zh-CN"/>
        </w:rPr>
        <w:t>一直执行西药及中成药品零加成制度。我院严格执行西药和中成药零加成制度。</w:t>
      </w:r>
      <w:r>
        <w:rPr>
          <w:rFonts w:hint="eastAsia" w:ascii="仿宋" w:hAnsi="仿宋" w:eastAsia="仿宋" w:cs="仿宋"/>
          <w:color w:val="auto"/>
          <w:kern w:val="0"/>
          <w:sz w:val="32"/>
          <w:szCs w:val="32"/>
          <w:highlight w:val="none"/>
          <w:u w:val="none"/>
          <w:shd w:val="clear" w:color="auto" w:fill="FFFFFF"/>
          <w:lang w:val="en-US" w:eastAsia="zh-CN"/>
        </w:rPr>
        <w:t>按照建机制、控费用、调结构、强监管的原则，通过落实政府办医责任、调整医疗服务价格、改革收付费方式以及加强公立医院成本管理等综合措施和联动政策，破除“以药补医”机制，降低患者医药费用负担。</w:t>
      </w:r>
    </w:p>
    <w:p w14:paraId="31F5819F">
      <w:pPr>
        <w:numPr>
          <w:ilvl w:val="0"/>
          <w:numId w:val="0"/>
        </w:numPr>
        <w:wordWrap/>
        <w:adjustRightInd w:val="0"/>
        <w:snapToGrid w:val="0"/>
        <w:spacing w:line="576" w:lineRule="exact"/>
        <w:ind w:right="0"/>
        <w:textAlignment w:val="auto"/>
        <w:outlineLvl w:val="9"/>
        <w:rPr>
          <w:rFonts w:hint="eastAsia" w:ascii="仿宋" w:hAnsi="仿宋" w:eastAsia="仿宋" w:cs="仿宋"/>
          <w:color w:val="auto"/>
          <w:kern w:val="0"/>
          <w:sz w:val="32"/>
          <w:szCs w:val="32"/>
          <w:highlight w:val="none"/>
          <w:u w:val="none"/>
          <w:shd w:val="clear" w:color="auto" w:fill="FFFFFF"/>
          <w:lang w:val="zh-CN" w:eastAsia="zh-CN"/>
        </w:rPr>
      </w:pPr>
      <w:r>
        <w:rPr>
          <w:rFonts w:hint="eastAsia" w:ascii="仿宋" w:hAnsi="仿宋" w:eastAsia="仿宋" w:cs="仿宋"/>
          <w:color w:val="auto"/>
          <w:kern w:val="0"/>
          <w:sz w:val="32"/>
          <w:szCs w:val="32"/>
          <w:highlight w:val="none"/>
          <w:u w:val="none"/>
          <w:shd w:val="clear" w:color="auto" w:fill="FFFFFF"/>
          <w:lang w:val="en-US" w:eastAsia="zh-CN"/>
        </w:rPr>
        <w:t xml:space="preserve">     </w:t>
      </w:r>
      <w:r>
        <w:rPr>
          <w:rFonts w:hint="eastAsia" w:ascii="仿宋" w:hAnsi="仿宋" w:eastAsia="仿宋" w:cs="仿宋"/>
          <w:color w:val="auto"/>
          <w:kern w:val="0"/>
          <w:sz w:val="32"/>
          <w:szCs w:val="32"/>
          <w:highlight w:val="none"/>
          <w:u w:val="none"/>
          <w:shd w:val="clear" w:color="auto" w:fill="FFFFFF"/>
          <w:lang w:val="zh-CN" w:eastAsia="zh-CN"/>
        </w:rPr>
        <w:t>严格按照专款专用组织实施，</w:t>
      </w:r>
      <w:r>
        <w:rPr>
          <w:rFonts w:hint="eastAsia" w:ascii="仿宋" w:hAnsi="仿宋" w:eastAsia="仿宋" w:cs="仿宋"/>
          <w:color w:val="auto"/>
          <w:kern w:val="0"/>
          <w:sz w:val="32"/>
          <w:szCs w:val="32"/>
          <w:highlight w:val="none"/>
          <w:u w:val="none"/>
          <w:shd w:val="clear" w:color="auto" w:fill="FFFFFF"/>
          <w:lang w:val="en-US" w:eastAsia="zh-CN"/>
        </w:rPr>
        <w:t>通过政府财政管理信息系统专款专用支付购药款。</w:t>
      </w:r>
    </w:p>
    <w:p w14:paraId="030F5C03">
      <w:pPr>
        <w:keepNext w:val="0"/>
        <w:keepLines w:val="0"/>
        <w:pageBreakBefore w:val="0"/>
        <w:widowControl w:val="0"/>
        <w:kinsoku/>
        <w:wordWrap/>
        <w:overflowPunct/>
        <w:topLinePunct w:val="0"/>
        <w:autoSpaceDE/>
        <w:autoSpaceDN/>
        <w:bidi w:val="0"/>
        <w:adjustRightInd w:val="0"/>
        <w:snapToGrid w:val="0"/>
        <w:spacing w:line="578" w:lineRule="exact"/>
        <w:ind w:firstLine="643" w:firstLineChars="200"/>
        <w:textAlignment w:val="auto"/>
        <w:outlineLvl w:val="9"/>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二、</w:t>
      </w:r>
      <w:r>
        <w:rPr>
          <w:rFonts w:hint="eastAsia" w:ascii="仿宋" w:hAnsi="仿宋" w:eastAsia="仿宋" w:cs="仿宋"/>
          <w:b/>
          <w:bCs/>
          <w:sz w:val="32"/>
          <w:szCs w:val="32"/>
          <w:highlight w:val="none"/>
          <w:lang w:eastAsia="zh-CN"/>
        </w:rPr>
        <w:t>评价实施</w:t>
      </w:r>
    </w:p>
    <w:p w14:paraId="3E1CF9E3">
      <w:pPr>
        <w:ind w:firstLine="321" w:firstLineChars="100"/>
        <w:rPr>
          <w:rFonts w:hint="eastAsia" w:ascii="仿宋" w:hAnsi="仿宋" w:eastAsia="仿宋" w:cs="仿宋"/>
          <w:b/>
          <w:color w:val="auto"/>
          <w:sz w:val="32"/>
          <w:szCs w:val="32"/>
          <w:highlight w:val="none"/>
          <w:u w:val="none"/>
          <w:lang w:val="zh-CN"/>
        </w:rPr>
      </w:pPr>
      <w:r>
        <w:rPr>
          <w:rFonts w:hint="eastAsia" w:ascii="仿宋" w:hAnsi="仿宋" w:eastAsia="仿宋" w:cs="仿宋"/>
          <w:b/>
          <w:color w:val="auto"/>
          <w:sz w:val="32"/>
          <w:szCs w:val="32"/>
          <w:highlight w:val="none"/>
          <w:u w:val="none"/>
          <w:lang w:val="zh-CN"/>
        </w:rPr>
        <w:t>（一）评价目的。</w:t>
      </w:r>
    </w:p>
    <w:p w14:paraId="3427887E">
      <w:pPr>
        <w:ind w:firstLine="640" w:firstLineChars="200"/>
        <w:rPr>
          <w:rFonts w:hint="eastAsia" w:ascii="仿宋" w:hAnsi="仿宋" w:eastAsia="仿宋" w:cs="仿宋"/>
          <w:color w:val="FF0000"/>
          <w:sz w:val="32"/>
          <w:szCs w:val="32"/>
          <w:lang w:eastAsia="zh-CN"/>
        </w:rPr>
      </w:pPr>
      <w:r>
        <w:rPr>
          <w:rFonts w:hint="eastAsia" w:ascii="仿宋" w:hAnsi="仿宋" w:eastAsia="仿宋" w:cs="仿宋"/>
          <w:color w:val="auto"/>
          <w:sz w:val="32"/>
          <w:szCs w:val="32"/>
        </w:rPr>
        <w:t>本次项目绩效自评旨在全面、客观、公正地评价项目的实施情况和绩效成果，实现以下目的：1. 衡量项目目标的达成程度，明确项目是否按照预期计划完成了各项任务和指标。2. 评估项目资金的使用效率和合理性，检查资金是否得到了合规、有效的运用。3. 发现项目实施过程中存在的问题和不足之处，为今后类似项目的策划、实施和管理提供经验教训和改进建议。4. 增强项目责任主体的绩效意识，促进项目管理水平的提升，提高公共资源的配置效率和使用效益。</w:t>
      </w:r>
    </w:p>
    <w:p w14:paraId="4BDD8C4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321" w:firstLineChars="100"/>
        <w:textAlignment w:val="auto"/>
        <w:outlineLvl w:val="9"/>
        <w:rPr>
          <w:rFonts w:hint="eastAsia" w:ascii="仿宋" w:hAnsi="仿宋" w:eastAsia="仿宋" w:cs="仿宋"/>
          <w:b/>
          <w:color w:val="auto"/>
          <w:sz w:val="32"/>
          <w:szCs w:val="32"/>
          <w:highlight w:val="none"/>
          <w:u w:val="none"/>
          <w:lang w:val="zh-CN"/>
        </w:rPr>
      </w:pPr>
      <w:r>
        <w:rPr>
          <w:rFonts w:hint="eastAsia" w:ascii="仿宋" w:hAnsi="仿宋" w:eastAsia="仿宋" w:cs="仿宋"/>
          <w:b/>
          <w:color w:val="auto"/>
          <w:sz w:val="32"/>
          <w:szCs w:val="32"/>
          <w:highlight w:val="none"/>
          <w:u w:val="none"/>
          <w:lang w:val="zh-CN"/>
        </w:rPr>
        <w:t>（</w:t>
      </w:r>
      <w:r>
        <w:rPr>
          <w:rFonts w:hint="eastAsia" w:ascii="仿宋" w:hAnsi="仿宋" w:eastAsia="仿宋" w:cs="仿宋"/>
          <w:b/>
          <w:color w:val="auto"/>
          <w:sz w:val="32"/>
          <w:szCs w:val="32"/>
          <w:highlight w:val="none"/>
          <w:u w:val="none"/>
          <w:lang w:val="en-US" w:eastAsia="zh-CN"/>
        </w:rPr>
        <w:t>二</w:t>
      </w:r>
      <w:r>
        <w:rPr>
          <w:rFonts w:hint="eastAsia" w:ascii="仿宋" w:hAnsi="仿宋" w:eastAsia="仿宋" w:cs="仿宋"/>
          <w:b/>
          <w:color w:val="auto"/>
          <w:sz w:val="32"/>
          <w:szCs w:val="32"/>
          <w:highlight w:val="none"/>
          <w:u w:val="none"/>
          <w:lang w:val="zh-CN"/>
        </w:rPr>
        <w:t>）评价选点。</w:t>
      </w:r>
    </w:p>
    <w:p w14:paraId="69B5DF5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textAlignment w:val="auto"/>
        <w:outlineLvl w:val="9"/>
        <w:rPr>
          <w:rFonts w:hint="eastAsia" w:ascii="仿宋" w:hAnsi="仿宋" w:eastAsia="仿宋" w:cs="仿宋"/>
          <w:sz w:val="32"/>
          <w:szCs w:val="32"/>
          <w:lang w:val="zh-CN" w:eastAsia="zh-CN"/>
        </w:rPr>
      </w:pPr>
      <w:r>
        <w:rPr>
          <w:rFonts w:hint="eastAsia" w:ascii="仿宋" w:hAnsi="仿宋" w:eastAsia="仿宋" w:cs="仿宋"/>
          <w:sz w:val="32"/>
          <w:szCs w:val="32"/>
        </w:rPr>
        <w:t>抽取了项目资金支出凭证和相关文件进行审查。</w:t>
      </w:r>
    </w:p>
    <w:p w14:paraId="4AAA55CE">
      <w:pPr>
        <w:keepNext w:val="0"/>
        <w:keepLines w:val="0"/>
        <w:pageBreakBefore w:val="0"/>
        <w:widowControl w:val="0"/>
        <w:numPr>
          <w:ilvl w:val="0"/>
          <w:numId w:val="7"/>
        </w:numPr>
        <w:kinsoku/>
        <w:wordWrap/>
        <w:overflowPunct/>
        <w:topLinePunct w:val="0"/>
        <w:autoSpaceDE/>
        <w:autoSpaceDN/>
        <w:bidi w:val="0"/>
        <w:adjustRightInd w:val="0"/>
        <w:snapToGrid w:val="0"/>
        <w:spacing w:line="578" w:lineRule="exact"/>
        <w:ind w:leftChars="200"/>
        <w:textAlignment w:val="auto"/>
        <w:outlineLvl w:val="9"/>
        <w:rPr>
          <w:rFonts w:hint="eastAsia" w:ascii="仿宋" w:hAnsi="仿宋" w:eastAsia="仿宋" w:cs="仿宋"/>
          <w:b/>
          <w:color w:val="auto"/>
          <w:sz w:val="32"/>
          <w:szCs w:val="32"/>
          <w:highlight w:val="none"/>
          <w:u w:val="none"/>
          <w:lang w:val="zh-CN" w:eastAsia="zh-CN"/>
        </w:rPr>
      </w:pPr>
      <w:r>
        <w:rPr>
          <w:rFonts w:hint="eastAsia" w:ascii="仿宋" w:hAnsi="仿宋" w:eastAsia="仿宋" w:cs="仿宋"/>
          <w:b/>
          <w:color w:val="auto"/>
          <w:sz w:val="32"/>
          <w:szCs w:val="32"/>
          <w:highlight w:val="none"/>
          <w:u w:val="none"/>
          <w:lang w:val="zh-CN"/>
        </w:rPr>
        <w:t>评价方法。</w:t>
      </w:r>
    </w:p>
    <w:p w14:paraId="221C265B">
      <w:pPr>
        <w:keepNext w:val="0"/>
        <w:keepLines w:val="0"/>
        <w:pageBreakBefore w:val="0"/>
        <w:widowControl w:val="0"/>
        <w:numPr>
          <w:ilvl w:val="0"/>
          <w:numId w:val="0"/>
        </w:numPr>
        <w:kinsoku/>
        <w:wordWrap/>
        <w:overflowPunct/>
        <w:topLinePunct w:val="0"/>
        <w:autoSpaceDE/>
        <w:autoSpaceDN/>
        <w:bidi w:val="0"/>
        <w:spacing w:line="578" w:lineRule="exact"/>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单位自评法</w:t>
      </w:r>
      <w:r>
        <w:rPr>
          <w:rFonts w:hint="eastAsia" w:ascii="仿宋" w:hAnsi="仿宋" w:eastAsia="仿宋" w:cs="仿宋"/>
          <w:sz w:val="32"/>
          <w:szCs w:val="32"/>
          <w:lang w:val="en-US" w:eastAsia="zh-CN"/>
        </w:rPr>
        <w:t>:</w:t>
      </w:r>
      <w:r>
        <w:rPr>
          <w:rFonts w:hint="eastAsia" w:ascii="仿宋" w:hAnsi="仿宋" w:eastAsia="仿宋" w:cs="仿宋"/>
          <w:sz w:val="32"/>
          <w:szCs w:val="32"/>
        </w:rPr>
        <w:t>项目实施单位对项目的绩效情况进行自我评价，提交自评报告。评价组对自评报告进行审核和分析，结合其他评价方法进行综合评估。</w:t>
      </w:r>
    </w:p>
    <w:p w14:paraId="0F2DA049">
      <w:pPr>
        <w:numPr>
          <w:ilvl w:val="0"/>
          <w:numId w:val="7"/>
        </w:numPr>
        <w:ind w:left="420" w:leftChars="200" w:firstLine="0" w:firstLineChars="0"/>
        <w:rPr>
          <w:rFonts w:hint="eastAsia" w:ascii="仿宋" w:hAnsi="仿宋" w:eastAsia="仿宋" w:cs="仿宋"/>
          <w:b/>
          <w:color w:val="auto"/>
          <w:sz w:val="32"/>
          <w:szCs w:val="32"/>
          <w:highlight w:val="none"/>
          <w:u w:val="none"/>
          <w:lang w:val="zh-CN"/>
        </w:rPr>
      </w:pPr>
      <w:r>
        <w:rPr>
          <w:rFonts w:hint="eastAsia" w:ascii="仿宋" w:hAnsi="仿宋" w:eastAsia="仿宋" w:cs="仿宋"/>
          <w:b/>
          <w:color w:val="auto"/>
          <w:sz w:val="32"/>
          <w:szCs w:val="32"/>
          <w:highlight w:val="none"/>
          <w:u w:val="none"/>
          <w:lang w:val="zh-CN"/>
        </w:rPr>
        <w:t>评价组织。</w:t>
      </w:r>
    </w:p>
    <w:p w14:paraId="06F2BC0D">
      <w:pPr>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评价组人员构成</w:t>
      </w:r>
      <w:r>
        <w:rPr>
          <w:rFonts w:hint="eastAsia" w:ascii="仿宋" w:hAnsi="仿宋" w:eastAsia="仿宋" w:cs="仿宋"/>
          <w:sz w:val="32"/>
          <w:szCs w:val="32"/>
          <w:lang w:val="en-US" w:eastAsia="zh-CN"/>
        </w:rPr>
        <w:t>一名组长两名成员</w:t>
      </w:r>
      <w:r>
        <w:rPr>
          <w:rFonts w:hint="eastAsia" w:ascii="仿宋" w:hAnsi="仿宋" w:eastAsia="仿宋" w:cs="仿宋"/>
          <w:sz w:val="32"/>
          <w:szCs w:val="32"/>
          <w:lang w:eastAsia="zh-CN"/>
        </w:rPr>
        <w:t>。</w:t>
      </w:r>
    </w:p>
    <w:p w14:paraId="722463C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Cs/>
          <w:sz w:val="32"/>
          <w:szCs w:val="32"/>
          <w:lang w:eastAsia="zh-CN"/>
        </w:rPr>
      </w:pPr>
    </w:p>
    <w:p w14:paraId="67E699C3">
      <w:pPr>
        <w:keepNext w:val="0"/>
        <w:keepLines w:val="0"/>
        <w:pageBreakBefore w:val="0"/>
        <w:numPr>
          <w:ilvl w:val="0"/>
          <w:numId w:val="0"/>
        </w:numPr>
        <w:kinsoku/>
        <w:wordWrap/>
        <w:overflowPunct/>
        <w:topLinePunct w:val="0"/>
        <w:autoSpaceDE/>
        <w:autoSpaceDN/>
        <w:bidi w:val="0"/>
        <w:adjustRightInd w:val="0"/>
        <w:snapToGrid w:val="0"/>
        <w:spacing w:line="578" w:lineRule="exact"/>
        <w:ind w:left="640" w:leftChars="0"/>
        <w:textAlignment w:val="auto"/>
        <w:rPr>
          <w:rFonts w:hint="eastAsia" w:ascii="仿宋" w:hAnsi="仿宋" w:eastAsia="仿宋" w:cs="仿宋"/>
          <w:color w:val="auto"/>
          <w:sz w:val="32"/>
          <w:szCs w:val="32"/>
          <w:highlight w:val="none"/>
          <w:u w:val="none"/>
          <w:lang w:val="zh-CN"/>
        </w:rPr>
      </w:pPr>
      <w:r>
        <w:rPr>
          <w:rFonts w:hint="eastAsia" w:ascii="仿宋" w:hAnsi="仿宋" w:eastAsia="仿宋" w:cs="仿宋"/>
          <w:b/>
          <w:bCs/>
          <w:color w:val="auto"/>
          <w:sz w:val="32"/>
          <w:szCs w:val="32"/>
          <w:highlight w:val="none"/>
          <w:u w:val="none"/>
          <w:lang w:val="en-US" w:eastAsia="zh-CN"/>
        </w:rPr>
        <w:t>三、</w:t>
      </w:r>
      <w:r>
        <w:rPr>
          <w:rFonts w:hint="eastAsia" w:ascii="仿宋" w:hAnsi="仿宋" w:eastAsia="仿宋" w:cs="仿宋"/>
          <w:b/>
          <w:bCs/>
          <w:color w:val="auto"/>
          <w:sz w:val="32"/>
          <w:szCs w:val="32"/>
          <w:highlight w:val="none"/>
          <w:u w:val="none"/>
          <w:lang w:eastAsia="zh-CN"/>
        </w:rPr>
        <w:t>绩效分析</w:t>
      </w:r>
      <w:r>
        <w:rPr>
          <w:rFonts w:hint="eastAsia" w:ascii="仿宋" w:hAnsi="仿宋" w:eastAsia="仿宋" w:cs="仿宋"/>
          <w:color w:val="auto"/>
          <w:sz w:val="32"/>
          <w:szCs w:val="32"/>
          <w:highlight w:val="none"/>
          <w:u w:val="none"/>
          <w:lang w:val="zh-CN"/>
        </w:rPr>
        <w:tab/>
      </w:r>
    </w:p>
    <w:tbl>
      <w:tblPr>
        <w:tblStyle w:val="16"/>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4"/>
        <w:gridCol w:w="1116"/>
        <w:gridCol w:w="1836"/>
        <w:gridCol w:w="1027"/>
        <w:gridCol w:w="1027"/>
        <w:gridCol w:w="994"/>
        <w:gridCol w:w="895"/>
        <w:gridCol w:w="851"/>
      </w:tblGrid>
      <w:tr w14:paraId="3F9D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AD1E2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预算执行情况（10分）</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49C51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年度预算数（万元）</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4AF5A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27C7F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调整后预算数</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4DA9E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预算执行数</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365737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预算执行率</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26494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权重</w:t>
            </w:r>
          </w:p>
        </w:tc>
        <w:tc>
          <w:tcPr>
            <w:tcW w:w="1080" w:type="dxa"/>
            <w:tcBorders>
              <w:top w:val="single" w:color="000000" w:sz="8" w:space="0"/>
              <w:left w:val="nil"/>
              <w:bottom w:val="single" w:color="000000" w:sz="8" w:space="0"/>
              <w:right w:val="single" w:color="000000" w:sz="8" w:space="0"/>
            </w:tcBorders>
            <w:shd w:val="clear" w:color="auto" w:fill="auto"/>
            <w:vAlign w:val="center"/>
          </w:tcPr>
          <w:p w14:paraId="02FC87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20A2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63C892">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7994B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总额</w:t>
            </w:r>
          </w:p>
        </w:tc>
        <w:tc>
          <w:tcPr>
            <w:tcW w:w="1080" w:type="dxa"/>
            <w:tcBorders>
              <w:top w:val="nil"/>
              <w:left w:val="nil"/>
              <w:bottom w:val="single" w:color="000000" w:sz="8" w:space="0"/>
              <w:right w:val="single" w:color="000000" w:sz="8" w:space="0"/>
            </w:tcBorders>
            <w:shd w:val="clear" w:color="auto" w:fill="auto"/>
            <w:vAlign w:val="center"/>
          </w:tcPr>
          <w:p w14:paraId="24184B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612DFA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w:t>
            </w:r>
          </w:p>
        </w:tc>
        <w:tc>
          <w:tcPr>
            <w:tcW w:w="1080" w:type="dxa"/>
            <w:tcBorders>
              <w:top w:val="nil"/>
              <w:left w:val="nil"/>
              <w:bottom w:val="single" w:color="000000" w:sz="8" w:space="0"/>
              <w:right w:val="single" w:color="000000" w:sz="8" w:space="0"/>
            </w:tcBorders>
            <w:shd w:val="clear" w:color="auto" w:fill="auto"/>
            <w:vAlign w:val="center"/>
          </w:tcPr>
          <w:p w14:paraId="5120F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w:t>
            </w:r>
          </w:p>
        </w:tc>
        <w:tc>
          <w:tcPr>
            <w:tcW w:w="1080" w:type="dxa"/>
            <w:tcBorders>
              <w:top w:val="nil"/>
              <w:left w:val="nil"/>
              <w:bottom w:val="single" w:color="000000" w:sz="8" w:space="0"/>
              <w:right w:val="single" w:color="000000" w:sz="8" w:space="0"/>
            </w:tcBorders>
            <w:shd w:val="clear" w:color="auto" w:fill="auto"/>
            <w:vAlign w:val="center"/>
          </w:tcPr>
          <w:p w14:paraId="59AD7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080" w:type="dxa"/>
            <w:tcBorders>
              <w:top w:val="nil"/>
              <w:left w:val="nil"/>
              <w:bottom w:val="single" w:color="000000" w:sz="8" w:space="0"/>
              <w:right w:val="single" w:color="000000" w:sz="8" w:space="0"/>
            </w:tcBorders>
            <w:shd w:val="clear" w:color="auto" w:fill="auto"/>
            <w:vAlign w:val="center"/>
          </w:tcPr>
          <w:p w14:paraId="14B95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80" w:type="dxa"/>
            <w:tcBorders>
              <w:top w:val="nil"/>
              <w:left w:val="nil"/>
              <w:bottom w:val="single" w:color="000000" w:sz="8" w:space="0"/>
              <w:right w:val="single" w:color="000000" w:sz="8" w:space="0"/>
            </w:tcBorders>
            <w:shd w:val="clear" w:color="auto" w:fill="auto"/>
            <w:vAlign w:val="center"/>
          </w:tcPr>
          <w:p w14:paraId="535EA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59AE8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6D06DC">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04AAF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其中：财政资金</w:t>
            </w:r>
          </w:p>
        </w:tc>
        <w:tc>
          <w:tcPr>
            <w:tcW w:w="1080" w:type="dxa"/>
            <w:tcBorders>
              <w:top w:val="nil"/>
              <w:left w:val="nil"/>
              <w:bottom w:val="single" w:color="000000" w:sz="8" w:space="0"/>
              <w:right w:val="single" w:color="000000" w:sz="8" w:space="0"/>
            </w:tcBorders>
            <w:shd w:val="clear" w:color="auto" w:fill="auto"/>
            <w:vAlign w:val="center"/>
          </w:tcPr>
          <w:p w14:paraId="00B25F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622DC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1080" w:type="dxa"/>
            <w:tcBorders>
              <w:top w:val="nil"/>
              <w:left w:val="nil"/>
              <w:bottom w:val="single" w:color="000000" w:sz="8" w:space="0"/>
              <w:right w:val="single" w:color="000000" w:sz="8" w:space="0"/>
            </w:tcBorders>
            <w:shd w:val="clear" w:color="auto" w:fill="auto"/>
            <w:vAlign w:val="center"/>
          </w:tcPr>
          <w:p w14:paraId="35E54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4.69</w:t>
            </w:r>
          </w:p>
        </w:tc>
        <w:tc>
          <w:tcPr>
            <w:tcW w:w="1080" w:type="dxa"/>
            <w:tcBorders>
              <w:top w:val="nil"/>
              <w:left w:val="nil"/>
              <w:bottom w:val="single" w:color="000000" w:sz="8" w:space="0"/>
              <w:right w:val="single" w:color="000000" w:sz="8" w:space="0"/>
            </w:tcBorders>
            <w:shd w:val="clear" w:color="auto" w:fill="auto"/>
            <w:vAlign w:val="center"/>
          </w:tcPr>
          <w:p w14:paraId="2250B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080" w:type="dxa"/>
            <w:tcBorders>
              <w:top w:val="nil"/>
              <w:left w:val="nil"/>
              <w:bottom w:val="single" w:color="000000" w:sz="8" w:space="0"/>
              <w:right w:val="single" w:color="000000" w:sz="8" w:space="0"/>
            </w:tcBorders>
            <w:shd w:val="clear" w:color="auto" w:fill="auto"/>
            <w:vAlign w:val="center"/>
          </w:tcPr>
          <w:p w14:paraId="4AEA01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080" w:type="dxa"/>
            <w:tcBorders>
              <w:top w:val="nil"/>
              <w:left w:val="nil"/>
              <w:bottom w:val="single" w:color="000000" w:sz="8" w:space="0"/>
              <w:right w:val="single" w:color="000000" w:sz="8" w:space="0"/>
            </w:tcBorders>
            <w:shd w:val="clear" w:color="auto" w:fill="auto"/>
            <w:vAlign w:val="center"/>
          </w:tcPr>
          <w:p w14:paraId="2B9487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2F9F0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89F5AD">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7F3C7F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财政专户管理资金</w:t>
            </w:r>
          </w:p>
        </w:tc>
        <w:tc>
          <w:tcPr>
            <w:tcW w:w="1080" w:type="dxa"/>
            <w:tcBorders>
              <w:top w:val="nil"/>
              <w:left w:val="nil"/>
              <w:bottom w:val="single" w:color="000000" w:sz="8" w:space="0"/>
              <w:right w:val="single" w:color="000000" w:sz="8" w:space="0"/>
            </w:tcBorders>
            <w:shd w:val="clear" w:color="auto" w:fill="auto"/>
            <w:vAlign w:val="center"/>
          </w:tcPr>
          <w:p w14:paraId="04F12E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16226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372D5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04316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080" w:type="dxa"/>
            <w:tcBorders>
              <w:top w:val="nil"/>
              <w:left w:val="nil"/>
              <w:bottom w:val="single" w:color="000000" w:sz="8" w:space="0"/>
              <w:right w:val="single" w:color="000000" w:sz="8" w:space="0"/>
            </w:tcBorders>
            <w:shd w:val="clear" w:color="auto" w:fill="auto"/>
            <w:vAlign w:val="center"/>
          </w:tcPr>
          <w:p w14:paraId="376034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080" w:type="dxa"/>
            <w:tcBorders>
              <w:top w:val="nil"/>
              <w:left w:val="nil"/>
              <w:bottom w:val="single" w:color="000000" w:sz="8" w:space="0"/>
              <w:right w:val="single" w:color="000000" w:sz="8" w:space="0"/>
            </w:tcBorders>
            <w:shd w:val="clear" w:color="auto" w:fill="auto"/>
            <w:vAlign w:val="center"/>
          </w:tcPr>
          <w:p w14:paraId="2249B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4A8E8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6DCACF">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66A412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单位资金</w:t>
            </w:r>
          </w:p>
        </w:tc>
        <w:tc>
          <w:tcPr>
            <w:tcW w:w="1080" w:type="dxa"/>
            <w:tcBorders>
              <w:top w:val="nil"/>
              <w:left w:val="nil"/>
              <w:bottom w:val="single" w:color="000000" w:sz="8" w:space="0"/>
              <w:right w:val="single" w:color="000000" w:sz="8" w:space="0"/>
            </w:tcBorders>
            <w:shd w:val="clear" w:color="auto" w:fill="auto"/>
            <w:vAlign w:val="center"/>
          </w:tcPr>
          <w:p w14:paraId="17E398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50FD8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796CD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w:t>
            </w:r>
          </w:p>
        </w:tc>
        <w:tc>
          <w:tcPr>
            <w:tcW w:w="1080" w:type="dxa"/>
            <w:tcBorders>
              <w:top w:val="nil"/>
              <w:left w:val="nil"/>
              <w:bottom w:val="single" w:color="000000" w:sz="8" w:space="0"/>
              <w:right w:val="single" w:color="000000" w:sz="8" w:space="0"/>
            </w:tcBorders>
            <w:shd w:val="clear" w:color="auto" w:fill="auto"/>
            <w:vAlign w:val="center"/>
          </w:tcPr>
          <w:p w14:paraId="2252D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080" w:type="dxa"/>
            <w:tcBorders>
              <w:top w:val="nil"/>
              <w:left w:val="nil"/>
              <w:bottom w:val="single" w:color="000000" w:sz="8" w:space="0"/>
              <w:right w:val="single" w:color="000000" w:sz="8" w:space="0"/>
            </w:tcBorders>
            <w:shd w:val="clear" w:color="auto" w:fill="auto"/>
            <w:vAlign w:val="center"/>
          </w:tcPr>
          <w:p w14:paraId="685A35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080" w:type="dxa"/>
            <w:tcBorders>
              <w:top w:val="nil"/>
              <w:left w:val="nil"/>
              <w:bottom w:val="single" w:color="000000" w:sz="8" w:space="0"/>
              <w:right w:val="single" w:color="000000" w:sz="8" w:space="0"/>
            </w:tcBorders>
            <w:shd w:val="clear" w:color="auto" w:fill="auto"/>
            <w:vAlign w:val="center"/>
          </w:tcPr>
          <w:p w14:paraId="30F98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20F83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406041">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7913F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其他资金</w:t>
            </w:r>
          </w:p>
        </w:tc>
        <w:tc>
          <w:tcPr>
            <w:tcW w:w="1080" w:type="dxa"/>
            <w:tcBorders>
              <w:top w:val="nil"/>
              <w:left w:val="nil"/>
              <w:bottom w:val="single" w:color="000000" w:sz="8" w:space="0"/>
              <w:right w:val="single" w:color="000000" w:sz="8" w:space="0"/>
            </w:tcBorders>
            <w:shd w:val="clear" w:color="auto" w:fill="auto"/>
            <w:vAlign w:val="center"/>
          </w:tcPr>
          <w:p w14:paraId="7D23294A">
            <w:pPr>
              <w:jc w:val="center"/>
              <w:rPr>
                <w:rFonts w:hint="eastAsia" w:ascii="微软雅黑" w:hAnsi="微软雅黑" w:eastAsia="微软雅黑" w:cs="微软雅黑"/>
                <w:i/>
                <w:iCs/>
                <w:color w:val="000000"/>
                <w:sz w:val="16"/>
                <w:szCs w:val="16"/>
                <w:u w:val="none"/>
              </w:rPr>
            </w:pPr>
          </w:p>
        </w:tc>
        <w:tc>
          <w:tcPr>
            <w:tcW w:w="1080" w:type="dxa"/>
            <w:tcBorders>
              <w:top w:val="nil"/>
              <w:left w:val="nil"/>
              <w:bottom w:val="single" w:color="000000" w:sz="8" w:space="0"/>
              <w:right w:val="single" w:color="000000" w:sz="8" w:space="0"/>
            </w:tcBorders>
            <w:shd w:val="clear" w:color="auto" w:fill="auto"/>
            <w:vAlign w:val="center"/>
          </w:tcPr>
          <w:p w14:paraId="57418A89">
            <w:pPr>
              <w:jc w:val="center"/>
              <w:rPr>
                <w:rFonts w:hint="eastAsia" w:ascii="微软雅黑" w:hAnsi="微软雅黑" w:eastAsia="微软雅黑" w:cs="微软雅黑"/>
                <w:i/>
                <w:iCs/>
                <w:color w:val="000000"/>
                <w:sz w:val="16"/>
                <w:szCs w:val="16"/>
                <w:u w:val="none"/>
              </w:rPr>
            </w:pPr>
          </w:p>
        </w:tc>
        <w:tc>
          <w:tcPr>
            <w:tcW w:w="1080" w:type="dxa"/>
            <w:tcBorders>
              <w:top w:val="nil"/>
              <w:left w:val="nil"/>
              <w:bottom w:val="single" w:color="000000" w:sz="8" w:space="0"/>
              <w:right w:val="single" w:color="000000" w:sz="8" w:space="0"/>
            </w:tcBorders>
            <w:shd w:val="clear" w:color="auto" w:fill="auto"/>
            <w:vAlign w:val="center"/>
          </w:tcPr>
          <w:p w14:paraId="606BE75D">
            <w:pPr>
              <w:jc w:val="center"/>
              <w:rPr>
                <w:rFonts w:hint="eastAsia" w:ascii="微软雅黑" w:hAnsi="微软雅黑" w:eastAsia="微软雅黑" w:cs="微软雅黑"/>
                <w:i/>
                <w:iCs/>
                <w:color w:val="000000"/>
                <w:sz w:val="16"/>
                <w:szCs w:val="16"/>
                <w:u w:val="none"/>
              </w:rPr>
            </w:pPr>
          </w:p>
        </w:tc>
        <w:tc>
          <w:tcPr>
            <w:tcW w:w="1080" w:type="dxa"/>
            <w:tcBorders>
              <w:top w:val="nil"/>
              <w:left w:val="nil"/>
              <w:bottom w:val="single" w:color="000000" w:sz="8" w:space="0"/>
              <w:right w:val="single" w:color="000000" w:sz="8" w:space="0"/>
            </w:tcBorders>
            <w:shd w:val="clear" w:color="auto" w:fill="auto"/>
            <w:vAlign w:val="center"/>
          </w:tcPr>
          <w:p w14:paraId="0CB8339A">
            <w:pPr>
              <w:jc w:val="center"/>
              <w:rPr>
                <w:rFonts w:hint="eastAsia" w:ascii="宋体" w:hAnsi="宋体" w:eastAsia="宋体" w:cs="宋体"/>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27171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080" w:type="dxa"/>
            <w:tcBorders>
              <w:top w:val="nil"/>
              <w:left w:val="nil"/>
              <w:bottom w:val="single" w:color="000000" w:sz="8" w:space="0"/>
              <w:right w:val="single" w:color="000000" w:sz="8" w:space="0"/>
            </w:tcBorders>
            <w:shd w:val="clear" w:color="auto" w:fill="auto"/>
            <w:vAlign w:val="center"/>
          </w:tcPr>
          <w:p w14:paraId="292F9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6638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14:paraId="37DFB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绩效指标（90分）</w:t>
            </w:r>
          </w:p>
        </w:tc>
        <w:tc>
          <w:tcPr>
            <w:tcW w:w="0" w:type="auto"/>
            <w:tcBorders>
              <w:top w:val="nil"/>
              <w:left w:val="nil"/>
              <w:bottom w:val="single" w:color="000000" w:sz="8" w:space="0"/>
              <w:right w:val="single" w:color="000000" w:sz="8" w:space="0"/>
            </w:tcBorders>
            <w:shd w:val="clear" w:color="auto" w:fill="auto"/>
            <w:noWrap/>
            <w:vAlign w:val="center"/>
          </w:tcPr>
          <w:p w14:paraId="28ECAD10">
            <w:pPr>
              <w:keepNext w:val="0"/>
              <w:keepLines w:val="0"/>
              <w:widowControl/>
              <w:suppressLineNumbers w:val="0"/>
              <w:jc w:val="center"/>
              <w:textAlignment w:val="center"/>
              <w:rPr>
                <w:rFonts w:ascii="等线" w:hAnsi="等线" w:eastAsia="等线" w:cs="等线"/>
                <w:b/>
                <w:bCs/>
                <w:i w:val="0"/>
                <w:iCs w:val="0"/>
                <w:color w:val="000000"/>
                <w:sz w:val="18"/>
                <w:szCs w:val="18"/>
                <w:u w:val="none"/>
              </w:rPr>
            </w:pPr>
            <w:r>
              <w:rPr>
                <w:rFonts w:hint="eastAsia" w:ascii="等线" w:hAnsi="等线" w:eastAsia="等线" w:cs="等线"/>
                <w:b/>
                <w:bCs/>
                <w:i w:val="0"/>
                <w:iCs w:val="0"/>
                <w:color w:val="000000"/>
                <w:kern w:val="0"/>
                <w:sz w:val="18"/>
                <w:szCs w:val="18"/>
                <w:u w:val="none"/>
                <w:lang w:val="en-US" w:eastAsia="zh-CN" w:bidi="ar"/>
              </w:rPr>
              <w:t>一级指标</w:t>
            </w:r>
          </w:p>
        </w:tc>
        <w:tc>
          <w:tcPr>
            <w:tcW w:w="0" w:type="auto"/>
            <w:tcBorders>
              <w:top w:val="nil"/>
              <w:left w:val="nil"/>
              <w:bottom w:val="single" w:color="000000" w:sz="8" w:space="0"/>
              <w:right w:val="single" w:color="000000" w:sz="8" w:space="0"/>
            </w:tcBorders>
            <w:shd w:val="clear" w:color="auto" w:fill="auto"/>
            <w:noWrap/>
            <w:vAlign w:val="center"/>
          </w:tcPr>
          <w:p w14:paraId="0E049A72">
            <w:pPr>
              <w:keepNext w:val="0"/>
              <w:keepLines w:val="0"/>
              <w:widowControl/>
              <w:suppressLineNumbers w:val="0"/>
              <w:jc w:val="center"/>
              <w:textAlignment w:val="center"/>
              <w:rPr>
                <w:rFonts w:hint="eastAsia" w:ascii="等线" w:hAnsi="等线" w:eastAsia="等线" w:cs="等线"/>
                <w:b/>
                <w:bCs/>
                <w:i w:val="0"/>
                <w:iCs w:val="0"/>
                <w:color w:val="000000"/>
                <w:sz w:val="18"/>
                <w:szCs w:val="18"/>
                <w:u w:val="none"/>
              </w:rPr>
            </w:pPr>
            <w:r>
              <w:rPr>
                <w:rFonts w:hint="eastAsia" w:ascii="等线" w:hAnsi="等线" w:eastAsia="等线" w:cs="等线"/>
                <w:b/>
                <w:bCs/>
                <w:i w:val="0"/>
                <w:iCs w:val="0"/>
                <w:color w:val="000000"/>
                <w:kern w:val="0"/>
                <w:sz w:val="18"/>
                <w:szCs w:val="18"/>
                <w:u w:val="none"/>
                <w:lang w:val="en-US" w:eastAsia="zh-CN" w:bidi="ar"/>
              </w:rPr>
              <w:t>二级指标</w:t>
            </w:r>
          </w:p>
        </w:tc>
        <w:tc>
          <w:tcPr>
            <w:tcW w:w="0" w:type="auto"/>
            <w:tcBorders>
              <w:top w:val="nil"/>
              <w:left w:val="nil"/>
              <w:bottom w:val="single" w:color="000000" w:sz="8" w:space="0"/>
              <w:right w:val="single" w:color="000000" w:sz="8" w:space="0"/>
            </w:tcBorders>
            <w:shd w:val="clear" w:color="auto" w:fill="auto"/>
            <w:noWrap/>
            <w:vAlign w:val="center"/>
          </w:tcPr>
          <w:p w14:paraId="67997849">
            <w:pPr>
              <w:keepNext w:val="0"/>
              <w:keepLines w:val="0"/>
              <w:widowControl/>
              <w:suppressLineNumbers w:val="0"/>
              <w:jc w:val="center"/>
              <w:textAlignment w:val="center"/>
              <w:rPr>
                <w:rFonts w:hint="eastAsia" w:ascii="等线" w:hAnsi="等线" w:eastAsia="等线" w:cs="等线"/>
                <w:b/>
                <w:bCs/>
                <w:i w:val="0"/>
                <w:iCs w:val="0"/>
                <w:color w:val="000000"/>
                <w:sz w:val="18"/>
                <w:szCs w:val="18"/>
                <w:u w:val="none"/>
              </w:rPr>
            </w:pPr>
            <w:r>
              <w:rPr>
                <w:rFonts w:hint="eastAsia" w:ascii="等线" w:hAnsi="等线" w:eastAsia="等线" w:cs="等线"/>
                <w:b/>
                <w:bCs/>
                <w:i w:val="0"/>
                <w:iCs w:val="0"/>
                <w:color w:val="000000"/>
                <w:kern w:val="0"/>
                <w:sz w:val="18"/>
                <w:szCs w:val="18"/>
                <w:u w:val="none"/>
                <w:lang w:val="en-US" w:eastAsia="zh-CN" w:bidi="ar"/>
              </w:rPr>
              <w:t>三级指标</w:t>
            </w:r>
          </w:p>
        </w:tc>
        <w:tc>
          <w:tcPr>
            <w:tcW w:w="0" w:type="auto"/>
            <w:tcBorders>
              <w:top w:val="nil"/>
              <w:left w:val="nil"/>
              <w:bottom w:val="single" w:color="000000" w:sz="8" w:space="0"/>
              <w:right w:val="single" w:color="000000" w:sz="8" w:space="0"/>
            </w:tcBorders>
            <w:shd w:val="clear" w:color="auto" w:fill="auto"/>
            <w:noWrap/>
            <w:vAlign w:val="center"/>
          </w:tcPr>
          <w:p w14:paraId="5912A662">
            <w:pPr>
              <w:keepNext w:val="0"/>
              <w:keepLines w:val="0"/>
              <w:widowControl/>
              <w:suppressLineNumbers w:val="0"/>
              <w:jc w:val="center"/>
              <w:textAlignment w:val="center"/>
              <w:rPr>
                <w:rFonts w:hint="eastAsia" w:ascii="等线" w:hAnsi="等线" w:eastAsia="等线" w:cs="等线"/>
                <w:b/>
                <w:bCs/>
                <w:i w:val="0"/>
                <w:iCs w:val="0"/>
                <w:color w:val="000000"/>
                <w:sz w:val="18"/>
                <w:szCs w:val="18"/>
                <w:u w:val="none"/>
              </w:rPr>
            </w:pPr>
            <w:r>
              <w:rPr>
                <w:rFonts w:hint="eastAsia" w:ascii="等线" w:hAnsi="等线" w:eastAsia="等线" w:cs="等线"/>
                <w:b/>
                <w:bCs/>
                <w:i w:val="0"/>
                <w:iCs w:val="0"/>
                <w:color w:val="000000"/>
                <w:kern w:val="0"/>
                <w:sz w:val="18"/>
                <w:szCs w:val="18"/>
                <w:u w:val="none"/>
                <w:lang w:val="en-US" w:eastAsia="zh-CN" w:bidi="ar"/>
              </w:rPr>
              <w:t>指标性质</w:t>
            </w:r>
          </w:p>
        </w:tc>
        <w:tc>
          <w:tcPr>
            <w:tcW w:w="0" w:type="auto"/>
            <w:tcBorders>
              <w:top w:val="nil"/>
              <w:left w:val="nil"/>
              <w:bottom w:val="single" w:color="000000" w:sz="8" w:space="0"/>
              <w:right w:val="single" w:color="000000" w:sz="8" w:space="0"/>
            </w:tcBorders>
            <w:shd w:val="clear" w:color="auto" w:fill="auto"/>
            <w:noWrap/>
            <w:vAlign w:val="center"/>
          </w:tcPr>
          <w:p w14:paraId="6B5B30A9">
            <w:pPr>
              <w:keepNext w:val="0"/>
              <w:keepLines w:val="0"/>
              <w:widowControl/>
              <w:suppressLineNumbers w:val="0"/>
              <w:jc w:val="center"/>
              <w:textAlignment w:val="center"/>
              <w:rPr>
                <w:rFonts w:hint="eastAsia" w:ascii="等线" w:hAnsi="等线" w:eastAsia="等线" w:cs="等线"/>
                <w:b/>
                <w:bCs/>
                <w:i w:val="0"/>
                <w:iCs w:val="0"/>
                <w:color w:val="000000"/>
                <w:sz w:val="18"/>
                <w:szCs w:val="18"/>
                <w:u w:val="none"/>
              </w:rPr>
            </w:pPr>
            <w:r>
              <w:rPr>
                <w:rFonts w:hint="eastAsia" w:ascii="等线" w:hAnsi="等线" w:eastAsia="等线" w:cs="等线"/>
                <w:b/>
                <w:bCs/>
                <w:i w:val="0"/>
                <w:iCs w:val="0"/>
                <w:color w:val="000000"/>
                <w:kern w:val="0"/>
                <w:sz w:val="18"/>
                <w:szCs w:val="18"/>
                <w:u w:val="none"/>
                <w:lang w:val="en-US" w:eastAsia="zh-CN" w:bidi="ar"/>
              </w:rPr>
              <w:t>指标值</w:t>
            </w:r>
          </w:p>
        </w:tc>
        <w:tc>
          <w:tcPr>
            <w:tcW w:w="1080" w:type="dxa"/>
            <w:tcBorders>
              <w:top w:val="nil"/>
              <w:left w:val="nil"/>
              <w:bottom w:val="single" w:color="000000" w:sz="8" w:space="0"/>
              <w:right w:val="single" w:color="000000" w:sz="8" w:space="0"/>
            </w:tcBorders>
            <w:shd w:val="clear" w:color="auto" w:fill="auto"/>
            <w:vAlign w:val="center"/>
          </w:tcPr>
          <w:p w14:paraId="4C210D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权重</w:t>
            </w:r>
          </w:p>
        </w:tc>
        <w:tc>
          <w:tcPr>
            <w:tcW w:w="1080" w:type="dxa"/>
            <w:tcBorders>
              <w:top w:val="nil"/>
              <w:left w:val="nil"/>
              <w:bottom w:val="single" w:color="000000" w:sz="8" w:space="0"/>
              <w:right w:val="single" w:color="000000" w:sz="8" w:space="0"/>
            </w:tcBorders>
            <w:shd w:val="clear" w:color="auto" w:fill="auto"/>
            <w:vAlign w:val="center"/>
          </w:tcPr>
          <w:p w14:paraId="21408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73FD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4D9A618A">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3065FD73">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产出指标</w:t>
            </w:r>
          </w:p>
        </w:tc>
        <w:tc>
          <w:tcPr>
            <w:tcW w:w="1080" w:type="dxa"/>
            <w:tcBorders>
              <w:top w:val="nil"/>
              <w:left w:val="nil"/>
              <w:bottom w:val="single" w:color="000000" w:sz="8" w:space="0"/>
              <w:right w:val="single" w:color="000000" w:sz="8" w:space="0"/>
            </w:tcBorders>
            <w:shd w:val="clear" w:color="auto" w:fill="auto"/>
            <w:vAlign w:val="center"/>
          </w:tcPr>
          <w:p w14:paraId="53973EE5">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数量指标</w:t>
            </w:r>
          </w:p>
        </w:tc>
        <w:tc>
          <w:tcPr>
            <w:tcW w:w="1080" w:type="dxa"/>
            <w:tcBorders>
              <w:top w:val="nil"/>
              <w:left w:val="nil"/>
              <w:bottom w:val="single" w:color="000000" w:sz="8" w:space="0"/>
              <w:right w:val="single" w:color="000000" w:sz="8" w:space="0"/>
            </w:tcBorders>
            <w:shd w:val="clear" w:color="auto" w:fill="auto"/>
            <w:vAlign w:val="center"/>
          </w:tcPr>
          <w:p w14:paraId="090AD46B">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医疗服务收入（不含药品、耗材、检查、化验收入）占公立医院医疗收入的比例</w:t>
            </w:r>
          </w:p>
        </w:tc>
        <w:tc>
          <w:tcPr>
            <w:tcW w:w="0" w:type="auto"/>
            <w:tcBorders>
              <w:top w:val="nil"/>
              <w:left w:val="nil"/>
              <w:bottom w:val="single" w:color="000000" w:sz="8" w:space="0"/>
              <w:right w:val="single" w:color="000000" w:sz="8" w:space="0"/>
            </w:tcBorders>
            <w:shd w:val="clear" w:color="auto" w:fill="auto"/>
            <w:noWrap/>
            <w:vAlign w:val="center"/>
          </w:tcPr>
          <w:p w14:paraId="143908AF">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w:t>
            </w:r>
          </w:p>
        </w:tc>
        <w:tc>
          <w:tcPr>
            <w:tcW w:w="0" w:type="auto"/>
            <w:tcBorders>
              <w:top w:val="nil"/>
              <w:left w:val="nil"/>
              <w:bottom w:val="single" w:color="000000" w:sz="8" w:space="0"/>
              <w:right w:val="single" w:color="000000" w:sz="8" w:space="0"/>
            </w:tcBorders>
            <w:shd w:val="clear" w:color="auto" w:fill="auto"/>
            <w:noWrap/>
            <w:vAlign w:val="center"/>
          </w:tcPr>
          <w:p w14:paraId="3738D875">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30</w:t>
            </w:r>
          </w:p>
        </w:tc>
        <w:tc>
          <w:tcPr>
            <w:tcW w:w="0" w:type="auto"/>
            <w:tcBorders>
              <w:top w:val="nil"/>
              <w:left w:val="nil"/>
              <w:bottom w:val="single" w:color="000000" w:sz="8" w:space="0"/>
              <w:right w:val="single" w:color="000000" w:sz="8" w:space="0"/>
            </w:tcBorders>
            <w:shd w:val="clear" w:color="auto" w:fill="auto"/>
            <w:noWrap/>
            <w:vAlign w:val="center"/>
          </w:tcPr>
          <w:p w14:paraId="33D085F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nil"/>
              <w:left w:val="nil"/>
              <w:bottom w:val="single" w:color="000000" w:sz="8" w:space="0"/>
              <w:right w:val="single" w:color="000000" w:sz="8" w:space="0"/>
            </w:tcBorders>
            <w:shd w:val="clear" w:color="auto" w:fill="auto"/>
            <w:noWrap/>
            <w:vAlign w:val="center"/>
          </w:tcPr>
          <w:p w14:paraId="2574C5B5">
            <w:pPr>
              <w:keepNext w:val="0"/>
              <w:keepLines w:val="0"/>
              <w:widowControl/>
              <w:suppressLineNumbers w:val="0"/>
              <w:jc w:val="center"/>
              <w:textAlignment w:val="center"/>
              <w:rPr>
                <w:rFonts w:hint="default" w:ascii="等线" w:hAnsi="等线" w:eastAsia="等线" w:cs="等线"/>
                <w:i w:val="0"/>
                <w:iCs w:val="0"/>
                <w:color w:val="000000"/>
                <w:sz w:val="18"/>
                <w:szCs w:val="18"/>
                <w:u w:val="none"/>
                <w:lang w:val="en-US"/>
              </w:rPr>
            </w:pPr>
            <w:r>
              <w:rPr>
                <w:rFonts w:hint="eastAsia" w:ascii="等线" w:hAnsi="等线" w:eastAsia="等线" w:cs="等线"/>
                <w:i w:val="0"/>
                <w:iCs w:val="0"/>
                <w:color w:val="000000"/>
                <w:kern w:val="0"/>
                <w:sz w:val="18"/>
                <w:szCs w:val="18"/>
                <w:u w:val="none"/>
                <w:lang w:val="en-US" w:eastAsia="zh-CN" w:bidi="ar"/>
              </w:rPr>
              <w:t>19</w:t>
            </w:r>
          </w:p>
        </w:tc>
      </w:tr>
      <w:tr w14:paraId="40C1D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5AE03F15">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78E7A66F">
            <w:pPr>
              <w:jc w:val="center"/>
              <w:rPr>
                <w:rFonts w:hint="eastAsia" w:ascii="等线" w:hAnsi="等线" w:eastAsia="等线" w:cs="等线"/>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569E5742">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质量指标</w:t>
            </w:r>
          </w:p>
        </w:tc>
        <w:tc>
          <w:tcPr>
            <w:tcW w:w="1080" w:type="dxa"/>
            <w:tcBorders>
              <w:top w:val="nil"/>
              <w:left w:val="nil"/>
              <w:bottom w:val="single" w:color="000000" w:sz="8" w:space="0"/>
              <w:right w:val="single" w:color="000000" w:sz="8" w:space="0"/>
            </w:tcBorders>
            <w:shd w:val="clear" w:color="auto" w:fill="auto"/>
            <w:vAlign w:val="center"/>
          </w:tcPr>
          <w:p w14:paraId="551C9808">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保障了医疗卫生的正常开展，医疗服务水平提升。</w:t>
            </w:r>
          </w:p>
        </w:tc>
        <w:tc>
          <w:tcPr>
            <w:tcW w:w="0" w:type="auto"/>
            <w:tcBorders>
              <w:top w:val="nil"/>
              <w:left w:val="nil"/>
              <w:bottom w:val="single" w:color="000000" w:sz="8" w:space="0"/>
              <w:right w:val="single" w:color="000000" w:sz="8" w:space="0"/>
            </w:tcBorders>
            <w:shd w:val="clear" w:color="auto" w:fill="auto"/>
            <w:noWrap/>
            <w:vAlign w:val="center"/>
          </w:tcPr>
          <w:p w14:paraId="414F61EE">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定性</w:t>
            </w:r>
          </w:p>
        </w:tc>
        <w:tc>
          <w:tcPr>
            <w:tcW w:w="0" w:type="auto"/>
            <w:tcBorders>
              <w:top w:val="nil"/>
              <w:left w:val="nil"/>
              <w:bottom w:val="single" w:color="000000" w:sz="8" w:space="0"/>
              <w:right w:val="single" w:color="000000" w:sz="8" w:space="0"/>
            </w:tcBorders>
            <w:shd w:val="clear" w:color="auto" w:fill="auto"/>
            <w:noWrap/>
            <w:vAlign w:val="center"/>
          </w:tcPr>
          <w:p w14:paraId="5BDE6AC8">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优良中</w:t>
            </w:r>
          </w:p>
        </w:tc>
        <w:tc>
          <w:tcPr>
            <w:tcW w:w="0" w:type="auto"/>
            <w:tcBorders>
              <w:top w:val="nil"/>
              <w:left w:val="nil"/>
              <w:bottom w:val="single" w:color="000000" w:sz="8" w:space="0"/>
              <w:right w:val="single" w:color="000000" w:sz="8" w:space="0"/>
            </w:tcBorders>
            <w:shd w:val="clear" w:color="auto" w:fill="auto"/>
            <w:noWrap/>
            <w:vAlign w:val="center"/>
          </w:tcPr>
          <w:p w14:paraId="3E87A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nil"/>
              <w:left w:val="nil"/>
              <w:bottom w:val="single" w:color="000000" w:sz="8" w:space="0"/>
              <w:right w:val="single" w:color="000000" w:sz="8" w:space="0"/>
            </w:tcBorders>
            <w:shd w:val="clear" w:color="auto" w:fill="auto"/>
            <w:noWrap/>
            <w:vAlign w:val="center"/>
          </w:tcPr>
          <w:p w14:paraId="4163D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r>
      <w:tr w14:paraId="49910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5818BCF4">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6509A676">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效益指标</w:t>
            </w:r>
          </w:p>
        </w:tc>
        <w:tc>
          <w:tcPr>
            <w:tcW w:w="1080" w:type="dxa"/>
            <w:tcBorders>
              <w:top w:val="nil"/>
              <w:left w:val="nil"/>
              <w:bottom w:val="single" w:color="000000" w:sz="8" w:space="0"/>
              <w:right w:val="single" w:color="000000" w:sz="8" w:space="0"/>
            </w:tcBorders>
            <w:shd w:val="clear" w:color="auto" w:fill="auto"/>
            <w:vAlign w:val="center"/>
          </w:tcPr>
          <w:p w14:paraId="3C3D45C3">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可持续影响指标</w:t>
            </w:r>
          </w:p>
        </w:tc>
        <w:tc>
          <w:tcPr>
            <w:tcW w:w="1080" w:type="dxa"/>
            <w:tcBorders>
              <w:top w:val="nil"/>
              <w:left w:val="nil"/>
              <w:bottom w:val="single" w:color="000000" w:sz="8" w:space="0"/>
              <w:right w:val="single" w:color="000000" w:sz="8" w:space="0"/>
            </w:tcBorders>
            <w:shd w:val="clear" w:color="auto" w:fill="auto"/>
            <w:vAlign w:val="center"/>
          </w:tcPr>
          <w:p w14:paraId="5A7ACEA0">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实现收支平衡的公立医院数占公立医院总数的比例</w:t>
            </w:r>
          </w:p>
        </w:tc>
        <w:tc>
          <w:tcPr>
            <w:tcW w:w="0" w:type="auto"/>
            <w:tcBorders>
              <w:top w:val="nil"/>
              <w:left w:val="nil"/>
              <w:bottom w:val="single" w:color="000000" w:sz="8" w:space="0"/>
              <w:right w:val="single" w:color="000000" w:sz="8" w:space="0"/>
            </w:tcBorders>
            <w:shd w:val="clear" w:color="auto" w:fill="auto"/>
            <w:noWrap/>
            <w:vAlign w:val="center"/>
          </w:tcPr>
          <w:p w14:paraId="239919AA">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w:t>
            </w:r>
          </w:p>
        </w:tc>
        <w:tc>
          <w:tcPr>
            <w:tcW w:w="0" w:type="auto"/>
            <w:tcBorders>
              <w:top w:val="nil"/>
              <w:left w:val="nil"/>
              <w:bottom w:val="single" w:color="000000" w:sz="8" w:space="0"/>
              <w:right w:val="single" w:color="000000" w:sz="8" w:space="0"/>
            </w:tcBorders>
            <w:shd w:val="clear" w:color="auto" w:fill="auto"/>
            <w:noWrap/>
            <w:vAlign w:val="center"/>
          </w:tcPr>
          <w:p w14:paraId="1032B30B">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1</w:t>
            </w:r>
          </w:p>
        </w:tc>
        <w:tc>
          <w:tcPr>
            <w:tcW w:w="0" w:type="auto"/>
            <w:tcBorders>
              <w:top w:val="nil"/>
              <w:left w:val="nil"/>
              <w:bottom w:val="single" w:color="000000" w:sz="8" w:space="0"/>
              <w:right w:val="single" w:color="000000" w:sz="8" w:space="0"/>
            </w:tcBorders>
            <w:shd w:val="clear" w:color="auto" w:fill="auto"/>
            <w:noWrap/>
            <w:vAlign w:val="center"/>
          </w:tcPr>
          <w:p w14:paraId="70560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nil"/>
              <w:left w:val="nil"/>
              <w:bottom w:val="single" w:color="000000" w:sz="8" w:space="0"/>
              <w:right w:val="single" w:color="000000" w:sz="8" w:space="0"/>
            </w:tcBorders>
            <w:shd w:val="clear" w:color="auto" w:fill="auto"/>
            <w:noWrap/>
            <w:vAlign w:val="center"/>
          </w:tcPr>
          <w:p w14:paraId="5263DD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0732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1B994FAE">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544D2756">
            <w:pPr>
              <w:jc w:val="center"/>
              <w:rPr>
                <w:rFonts w:hint="eastAsia" w:ascii="等线" w:hAnsi="等线" w:eastAsia="等线" w:cs="等线"/>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0CCBDF4E">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社会效益指标</w:t>
            </w:r>
          </w:p>
        </w:tc>
        <w:tc>
          <w:tcPr>
            <w:tcW w:w="1080" w:type="dxa"/>
            <w:tcBorders>
              <w:top w:val="nil"/>
              <w:left w:val="nil"/>
              <w:bottom w:val="single" w:color="000000" w:sz="8" w:space="0"/>
              <w:right w:val="single" w:color="000000" w:sz="8" w:space="0"/>
            </w:tcBorders>
            <w:shd w:val="clear" w:color="auto" w:fill="auto"/>
            <w:vAlign w:val="center"/>
          </w:tcPr>
          <w:p w14:paraId="7DF41EE3">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取消药品加成契合政策实质为患者节约就医成本，减轻群众就医贵问题，群众也将更加信赖医院</w:t>
            </w:r>
          </w:p>
        </w:tc>
        <w:tc>
          <w:tcPr>
            <w:tcW w:w="0" w:type="auto"/>
            <w:tcBorders>
              <w:top w:val="nil"/>
              <w:left w:val="nil"/>
              <w:bottom w:val="single" w:color="000000" w:sz="8" w:space="0"/>
              <w:right w:val="single" w:color="000000" w:sz="8" w:space="0"/>
            </w:tcBorders>
            <w:shd w:val="clear" w:color="auto" w:fill="auto"/>
            <w:noWrap/>
            <w:vAlign w:val="center"/>
          </w:tcPr>
          <w:p w14:paraId="7BEB6F81">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定性</w:t>
            </w:r>
          </w:p>
        </w:tc>
        <w:tc>
          <w:tcPr>
            <w:tcW w:w="0" w:type="auto"/>
            <w:tcBorders>
              <w:top w:val="nil"/>
              <w:left w:val="nil"/>
              <w:bottom w:val="single" w:color="000000" w:sz="8" w:space="0"/>
              <w:right w:val="single" w:color="000000" w:sz="8" w:space="0"/>
            </w:tcBorders>
            <w:shd w:val="clear" w:color="auto" w:fill="auto"/>
            <w:noWrap/>
            <w:vAlign w:val="center"/>
          </w:tcPr>
          <w:p w14:paraId="7D0C7764">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优良中</w:t>
            </w:r>
          </w:p>
        </w:tc>
        <w:tc>
          <w:tcPr>
            <w:tcW w:w="0" w:type="auto"/>
            <w:tcBorders>
              <w:top w:val="nil"/>
              <w:left w:val="nil"/>
              <w:bottom w:val="single" w:color="000000" w:sz="8" w:space="0"/>
              <w:right w:val="single" w:color="000000" w:sz="8" w:space="0"/>
            </w:tcBorders>
            <w:shd w:val="clear" w:color="auto" w:fill="auto"/>
            <w:noWrap/>
            <w:vAlign w:val="center"/>
          </w:tcPr>
          <w:p w14:paraId="49EF7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nil"/>
              <w:left w:val="nil"/>
              <w:bottom w:val="single" w:color="000000" w:sz="8" w:space="0"/>
              <w:right w:val="single" w:color="000000" w:sz="8" w:space="0"/>
            </w:tcBorders>
            <w:shd w:val="clear" w:color="auto" w:fill="auto"/>
            <w:noWrap/>
            <w:vAlign w:val="center"/>
          </w:tcPr>
          <w:p w14:paraId="39A16B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07F0E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03A55B60">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4FA8C9D9">
            <w:pPr>
              <w:jc w:val="center"/>
              <w:rPr>
                <w:rFonts w:hint="eastAsia" w:ascii="等线" w:hAnsi="等线" w:eastAsia="等线" w:cs="等线"/>
                <w:i w:val="0"/>
                <w:iCs w:val="0"/>
                <w:color w:val="000000"/>
                <w:sz w:val="18"/>
                <w:szCs w:val="18"/>
                <w:u w:val="none"/>
              </w:rPr>
            </w:pPr>
          </w:p>
        </w:tc>
        <w:tc>
          <w:tcPr>
            <w:tcW w:w="1080" w:type="dxa"/>
            <w:tcBorders>
              <w:top w:val="nil"/>
              <w:left w:val="nil"/>
              <w:bottom w:val="single" w:color="000000" w:sz="8" w:space="0"/>
              <w:right w:val="single" w:color="000000" w:sz="8" w:space="0"/>
            </w:tcBorders>
            <w:shd w:val="clear" w:color="auto" w:fill="auto"/>
            <w:vAlign w:val="center"/>
          </w:tcPr>
          <w:p w14:paraId="26CF98BC">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可持续影响指标</w:t>
            </w:r>
          </w:p>
        </w:tc>
        <w:tc>
          <w:tcPr>
            <w:tcW w:w="1080" w:type="dxa"/>
            <w:tcBorders>
              <w:top w:val="nil"/>
              <w:left w:val="nil"/>
              <w:bottom w:val="single" w:color="000000" w:sz="8" w:space="0"/>
              <w:right w:val="single" w:color="000000" w:sz="8" w:space="0"/>
            </w:tcBorders>
            <w:shd w:val="clear" w:color="auto" w:fill="auto"/>
            <w:vAlign w:val="center"/>
          </w:tcPr>
          <w:p w14:paraId="71FDD675">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公立医院资产负债率</w:t>
            </w:r>
          </w:p>
        </w:tc>
        <w:tc>
          <w:tcPr>
            <w:tcW w:w="0" w:type="auto"/>
            <w:tcBorders>
              <w:top w:val="nil"/>
              <w:left w:val="nil"/>
              <w:bottom w:val="single" w:color="000000" w:sz="8" w:space="0"/>
              <w:right w:val="single" w:color="000000" w:sz="8" w:space="0"/>
            </w:tcBorders>
            <w:shd w:val="clear" w:color="auto" w:fill="auto"/>
            <w:noWrap/>
            <w:vAlign w:val="center"/>
          </w:tcPr>
          <w:p w14:paraId="2C57E43F">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w:t>
            </w:r>
          </w:p>
        </w:tc>
        <w:tc>
          <w:tcPr>
            <w:tcW w:w="0" w:type="auto"/>
            <w:tcBorders>
              <w:top w:val="nil"/>
              <w:left w:val="nil"/>
              <w:bottom w:val="single" w:color="000000" w:sz="8" w:space="0"/>
              <w:right w:val="single" w:color="000000" w:sz="8" w:space="0"/>
            </w:tcBorders>
            <w:shd w:val="clear" w:color="auto" w:fill="auto"/>
            <w:noWrap/>
            <w:vAlign w:val="center"/>
          </w:tcPr>
          <w:p w14:paraId="50FA0A13">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10</w:t>
            </w:r>
          </w:p>
        </w:tc>
        <w:tc>
          <w:tcPr>
            <w:tcW w:w="0" w:type="auto"/>
            <w:tcBorders>
              <w:top w:val="nil"/>
              <w:left w:val="nil"/>
              <w:bottom w:val="single" w:color="000000" w:sz="8" w:space="0"/>
              <w:right w:val="single" w:color="000000" w:sz="8" w:space="0"/>
            </w:tcBorders>
            <w:shd w:val="clear" w:color="auto" w:fill="auto"/>
            <w:noWrap/>
            <w:vAlign w:val="center"/>
          </w:tcPr>
          <w:p w14:paraId="7CA99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nil"/>
              <w:left w:val="nil"/>
              <w:bottom w:val="single" w:color="000000" w:sz="8" w:space="0"/>
              <w:right w:val="single" w:color="000000" w:sz="8" w:space="0"/>
            </w:tcBorders>
            <w:shd w:val="clear" w:color="auto" w:fill="auto"/>
            <w:noWrap/>
            <w:vAlign w:val="center"/>
          </w:tcPr>
          <w:p w14:paraId="183AD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791A1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556C4BD8">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8" w:space="0"/>
              <w:right w:val="single" w:color="000000" w:sz="8" w:space="0"/>
            </w:tcBorders>
            <w:shd w:val="clear" w:color="auto" w:fill="auto"/>
            <w:noWrap/>
            <w:vAlign w:val="center"/>
          </w:tcPr>
          <w:p w14:paraId="0E2B4A27">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满意度指标</w:t>
            </w:r>
          </w:p>
        </w:tc>
        <w:tc>
          <w:tcPr>
            <w:tcW w:w="1080" w:type="dxa"/>
            <w:tcBorders>
              <w:top w:val="nil"/>
              <w:left w:val="nil"/>
              <w:bottom w:val="single" w:color="000000" w:sz="8" w:space="0"/>
              <w:right w:val="single" w:color="000000" w:sz="8" w:space="0"/>
            </w:tcBorders>
            <w:shd w:val="clear" w:color="auto" w:fill="auto"/>
            <w:vAlign w:val="center"/>
          </w:tcPr>
          <w:p w14:paraId="663076BB">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服务对象满意度指标</w:t>
            </w:r>
          </w:p>
        </w:tc>
        <w:tc>
          <w:tcPr>
            <w:tcW w:w="1080" w:type="dxa"/>
            <w:tcBorders>
              <w:top w:val="nil"/>
              <w:left w:val="nil"/>
              <w:bottom w:val="single" w:color="000000" w:sz="8" w:space="0"/>
              <w:right w:val="single" w:color="000000" w:sz="8" w:space="0"/>
            </w:tcBorders>
            <w:shd w:val="clear" w:color="auto" w:fill="auto"/>
            <w:vAlign w:val="center"/>
          </w:tcPr>
          <w:p w14:paraId="1166B459">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公立医院次均门诊住院费用增幅</w:t>
            </w:r>
          </w:p>
        </w:tc>
        <w:tc>
          <w:tcPr>
            <w:tcW w:w="0" w:type="auto"/>
            <w:tcBorders>
              <w:top w:val="nil"/>
              <w:left w:val="nil"/>
              <w:bottom w:val="single" w:color="000000" w:sz="8" w:space="0"/>
              <w:right w:val="single" w:color="000000" w:sz="8" w:space="0"/>
            </w:tcBorders>
            <w:shd w:val="clear" w:color="auto" w:fill="auto"/>
            <w:noWrap/>
            <w:vAlign w:val="center"/>
          </w:tcPr>
          <w:p w14:paraId="07DAF4AD">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w:t>
            </w:r>
          </w:p>
        </w:tc>
        <w:tc>
          <w:tcPr>
            <w:tcW w:w="0" w:type="auto"/>
            <w:tcBorders>
              <w:top w:val="nil"/>
              <w:left w:val="nil"/>
              <w:bottom w:val="single" w:color="000000" w:sz="8" w:space="0"/>
              <w:right w:val="single" w:color="000000" w:sz="8" w:space="0"/>
            </w:tcBorders>
            <w:shd w:val="clear" w:color="auto" w:fill="auto"/>
            <w:noWrap/>
            <w:vAlign w:val="center"/>
          </w:tcPr>
          <w:p w14:paraId="478372FD">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10</w:t>
            </w:r>
          </w:p>
        </w:tc>
        <w:tc>
          <w:tcPr>
            <w:tcW w:w="0" w:type="auto"/>
            <w:tcBorders>
              <w:top w:val="nil"/>
              <w:left w:val="nil"/>
              <w:bottom w:val="single" w:color="000000" w:sz="8" w:space="0"/>
              <w:right w:val="single" w:color="000000" w:sz="8" w:space="0"/>
            </w:tcBorders>
            <w:shd w:val="clear" w:color="auto" w:fill="auto"/>
            <w:noWrap/>
            <w:vAlign w:val="center"/>
          </w:tcPr>
          <w:p w14:paraId="25F990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nil"/>
              <w:left w:val="nil"/>
              <w:bottom w:val="single" w:color="000000" w:sz="8" w:space="0"/>
              <w:right w:val="single" w:color="000000" w:sz="8" w:space="0"/>
            </w:tcBorders>
            <w:shd w:val="clear" w:color="auto" w:fill="auto"/>
            <w:noWrap/>
            <w:vAlign w:val="center"/>
          </w:tcPr>
          <w:p w14:paraId="24CB6B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6599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14:paraId="156053B4">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single" w:color="000000" w:sz="8" w:space="0"/>
            </w:tcBorders>
            <w:shd w:val="clear" w:color="auto" w:fill="auto"/>
            <w:noWrap/>
            <w:vAlign w:val="center"/>
          </w:tcPr>
          <w:p w14:paraId="264030FD">
            <w:pPr>
              <w:jc w:val="center"/>
              <w:rPr>
                <w:rFonts w:hint="eastAsia" w:ascii="等线" w:hAnsi="等线" w:eastAsia="等线" w:cs="等线"/>
                <w:i w:val="0"/>
                <w:iCs w:val="0"/>
                <w:color w:val="000000"/>
                <w:sz w:val="18"/>
                <w:szCs w:val="18"/>
                <w:u w:val="none"/>
              </w:rPr>
            </w:pPr>
          </w:p>
        </w:tc>
        <w:tc>
          <w:tcPr>
            <w:tcW w:w="0" w:type="auto"/>
            <w:tcBorders>
              <w:top w:val="nil"/>
              <w:left w:val="nil"/>
              <w:bottom w:val="nil"/>
              <w:right w:val="single" w:color="000000" w:sz="8" w:space="0"/>
            </w:tcBorders>
            <w:shd w:val="clear" w:color="auto" w:fill="auto"/>
            <w:noWrap/>
            <w:vAlign w:val="center"/>
          </w:tcPr>
          <w:p w14:paraId="783A9E7D">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服务对象满意度指标</w:t>
            </w:r>
          </w:p>
        </w:tc>
        <w:tc>
          <w:tcPr>
            <w:tcW w:w="1080" w:type="dxa"/>
            <w:tcBorders>
              <w:top w:val="nil"/>
              <w:left w:val="nil"/>
              <w:bottom w:val="nil"/>
              <w:right w:val="single" w:color="000000" w:sz="8" w:space="0"/>
            </w:tcBorders>
            <w:shd w:val="clear" w:color="auto" w:fill="auto"/>
            <w:vAlign w:val="center"/>
          </w:tcPr>
          <w:p w14:paraId="021286F9">
            <w:pPr>
              <w:keepNext w:val="0"/>
              <w:keepLines w:val="0"/>
              <w:widowControl/>
              <w:suppressLineNumbers w:val="0"/>
              <w:jc w:val="left"/>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保障了医疗卫生的正常开展，提升了患者的满意度</w:t>
            </w:r>
          </w:p>
        </w:tc>
        <w:tc>
          <w:tcPr>
            <w:tcW w:w="0" w:type="auto"/>
            <w:tcBorders>
              <w:top w:val="nil"/>
              <w:left w:val="nil"/>
              <w:bottom w:val="nil"/>
              <w:right w:val="single" w:color="000000" w:sz="8" w:space="0"/>
            </w:tcBorders>
            <w:shd w:val="clear" w:color="auto" w:fill="auto"/>
            <w:noWrap/>
            <w:vAlign w:val="center"/>
          </w:tcPr>
          <w:p w14:paraId="39A08DD6">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w:t>
            </w:r>
          </w:p>
        </w:tc>
        <w:tc>
          <w:tcPr>
            <w:tcW w:w="0" w:type="auto"/>
            <w:tcBorders>
              <w:top w:val="nil"/>
              <w:left w:val="nil"/>
              <w:bottom w:val="nil"/>
              <w:right w:val="single" w:color="000000" w:sz="8" w:space="0"/>
            </w:tcBorders>
            <w:shd w:val="clear" w:color="auto" w:fill="auto"/>
            <w:noWrap/>
            <w:vAlign w:val="center"/>
          </w:tcPr>
          <w:p w14:paraId="77DCAF21">
            <w:pPr>
              <w:keepNext w:val="0"/>
              <w:keepLines w:val="0"/>
              <w:widowControl/>
              <w:suppressLineNumbers w:val="0"/>
              <w:jc w:val="center"/>
              <w:textAlignment w:val="center"/>
              <w:rPr>
                <w:rFonts w:hint="eastAsia" w:ascii="等线" w:hAnsi="等线" w:eastAsia="等线" w:cs="等线"/>
                <w:i w:val="0"/>
                <w:iCs w:val="0"/>
                <w:color w:val="000000"/>
                <w:sz w:val="18"/>
                <w:szCs w:val="18"/>
                <w:u w:val="none"/>
              </w:rPr>
            </w:pPr>
            <w:r>
              <w:rPr>
                <w:rFonts w:hint="eastAsia" w:ascii="等线" w:hAnsi="等线" w:eastAsia="等线" w:cs="等线"/>
                <w:i w:val="0"/>
                <w:iCs w:val="0"/>
                <w:color w:val="000000"/>
                <w:kern w:val="0"/>
                <w:sz w:val="18"/>
                <w:szCs w:val="18"/>
                <w:u w:val="none"/>
                <w:lang w:val="en-US" w:eastAsia="zh-CN" w:bidi="ar"/>
              </w:rPr>
              <w:t>95</w:t>
            </w:r>
          </w:p>
        </w:tc>
        <w:tc>
          <w:tcPr>
            <w:tcW w:w="0" w:type="auto"/>
            <w:tcBorders>
              <w:top w:val="nil"/>
              <w:left w:val="nil"/>
              <w:bottom w:val="nil"/>
              <w:right w:val="single" w:color="000000" w:sz="8" w:space="0"/>
            </w:tcBorders>
            <w:shd w:val="clear" w:color="auto" w:fill="auto"/>
            <w:noWrap/>
            <w:vAlign w:val="center"/>
          </w:tcPr>
          <w:p w14:paraId="55FFE5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nil"/>
              <w:left w:val="nil"/>
              <w:bottom w:val="nil"/>
              <w:right w:val="single" w:color="000000" w:sz="8" w:space="0"/>
            </w:tcBorders>
            <w:shd w:val="clear" w:color="auto" w:fill="auto"/>
            <w:noWrap/>
            <w:vAlign w:val="center"/>
          </w:tcPr>
          <w:p w14:paraId="48A63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4F923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EF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4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1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r>
    </w:tbl>
    <w:p w14:paraId="20F0D369">
      <w:pPr>
        <w:keepNext w:val="0"/>
        <w:keepLines w:val="0"/>
        <w:pageBreakBefore w:val="0"/>
        <w:numPr>
          <w:ilvl w:val="0"/>
          <w:numId w:val="0"/>
        </w:numPr>
        <w:kinsoku/>
        <w:wordWrap/>
        <w:overflowPunct/>
        <w:topLinePunct w:val="0"/>
        <w:autoSpaceDE/>
        <w:autoSpaceDN/>
        <w:bidi w:val="0"/>
        <w:adjustRightInd w:val="0"/>
        <w:snapToGrid w:val="0"/>
        <w:spacing w:line="578" w:lineRule="exact"/>
        <w:ind w:left="640" w:leftChars="0"/>
        <w:textAlignment w:val="auto"/>
        <w:rPr>
          <w:rFonts w:hint="eastAsia" w:ascii="仿宋" w:hAnsi="仿宋" w:eastAsia="仿宋" w:cs="仿宋"/>
          <w:color w:val="auto"/>
          <w:sz w:val="32"/>
          <w:szCs w:val="32"/>
          <w:highlight w:val="none"/>
          <w:u w:val="none"/>
          <w:lang w:val="zh-CN"/>
        </w:rPr>
      </w:pPr>
    </w:p>
    <w:p w14:paraId="50ADAF49">
      <w:pPr>
        <w:keepNext w:val="0"/>
        <w:keepLines w:val="0"/>
        <w:pageBreakBefore w:val="0"/>
        <w:kinsoku/>
        <w:wordWrap/>
        <w:overflowPunct/>
        <w:topLinePunct w:val="0"/>
        <w:autoSpaceDE/>
        <w:autoSpaceDN/>
        <w:bidi w:val="0"/>
        <w:adjustRightInd w:val="0"/>
        <w:snapToGrid w:val="0"/>
        <w:spacing w:line="578" w:lineRule="exact"/>
        <w:textAlignment w:val="auto"/>
        <w:rPr>
          <w:rFonts w:hint="eastAsia" w:ascii="仿宋" w:hAnsi="仿宋" w:eastAsia="仿宋" w:cs="仿宋"/>
          <w:color w:val="auto"/>
          <w:sz w:val="32"/>
          <w:szCs w:val="32"/>
          <w:highlight w:val="none"/>
          <w:u w:val="none"/>
          <w:lang w:val="zh-CN"/>
        </w:rPr>
      </w:pPr>
    </w:p>
    <w:p w14:paraId="7A20CED5">
      <w:pPr>
        <w:numPr>
          <w:ilvl w:val="0"/>
          <w:numId w:val="0"/>
        </w:numPr>
        <w:ind w:firstLine="640" w:firstLineChars="2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项目目标完成情况较好，产品质量达到了国家标准，经济效益和社会效益显著。项目按时完成，在规定的时间内交付使用。</w:t>
      </w:r>
    </w:p>
    <w:p w14:paraId="0E8498CF">
      <w:pPr>
        <w:pStyle w:val="6"/>
        <w:pageBreakBefore w:val="0"/>
        <w:numPr>
          <w:ilvl w:val="0"/>
          <w:numId w:val="0"/>
        </w:numPr>
        <w:tabs>
          <w:tab w:val="left" w:pos="2160"/>
        </w:tabs>
        <w:kinsoku/>
        <w:wordWrap/>
        <w:overflowPunct/>
        <w:topLinePunct w:val="0"/>
        <w:autoSpaceDE/>
        <w:autoSpaceDN/>
        <w:bidi w:val="0"/>
        <w:adjustRightInd/>
        <w:spacing w:line="600" w:lineRule="exact"/>
        <w:ind w:firstLine="643" w:firstLineChars="200"/>
        <w:textAlignment w:val="auto"/>
        <w:rPr>
          <w:rFonts w:hint="eastAsia" w:ascii="仿宋" w:hAnsi="仿宋" w:eastAsia="仿宋" w:cs="仿宋"/>
          <w:b/>
          <w:bCs/>
          <w:color w:val="auto"/>
          <w:kern w:val="2"/>
          <w:sz w:val="32"/>
          <w:szCs w:val="32"/>
          <w:highlight w:val="none"/>
          <w:u w:val="none"/>
          <w:lang w:val="en-US" w:eastAsia="zh-CN" w:bidi="ar-SA"/>
        </w:rPr>
      </w:pPr>
      <w:r>
        <w:rPr>
          <w:rFonts w:hint="eastAsia" w:ascii="仿宋" w:hAnsi="仿宋" w:eastAsia="仿宋" w:cs="仿宋"/>
          <w:b/>
          <w:bCs/>
          <w:color w:val="auto"/>
          <w:kern w:val="2"/>
          <w:sz w:val="32"/>
          <w:szCs w:val="32"/>
          <w:highlight w:val="none"/>
          <w:u w:val="none"/>
          <w:lang w:val="en-US" w:eastAsia="zh-CN" w:bidi="ar-SA"/>
        </w:rPr>
        <w:t>四、评价结论</w:t>
      </w:r>
    </w:p>
    <w:p w14:paraId="2A016C92">
      <w:pPr>
        <w:pStyle w:val="6"/>
        <w:pageBreakBefore w:val="0"/>
        <w:numPr>
          <w:ilvl w:val="0"/>
          <w:numId w:val="0"/>
        </w:numPr>
        <w:tabs>
          <w:tab w:val="left" w:pos="2160"/>
        </w:tabs>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t>进一步推动落实了各项公立医院综合改革任务，在一定程度上降低药品收费，减轻患者的</w:t>
      </w:r>
      <w:r>
        <w:rPr>
          <w:rFonts w:hint="eastAsia" w:ascii="仿宋" w:hAnsi="仿宋" w:eastAsia="仿宋" w:cs="仿宋"/>
          <w:color w:val="auto"/>
          <w:sz w:val="32"/>
          <w:szCs w:val="32"/>
          <w:lang w:val="zh-CN" w:eastAsia="zh-CN"/>
        </w:rPr>
        <w:t>购药</w:t>
      </w:r>
      <w:r>
        <w:rPr>
          <w:rFonts w:hint="eastAsia" w:ascii="仿宋" w:hAnsi="仿宋" w:eastAsia="仿宋" w:cs="仿宋"/>
          <w:b w:val="0"/>
          <w:bCs w:val="0"/>
          <w:kern w:val="0"/>
          <w:position w:val="0"/>
          <w:sz w:val="32"/>
          <w:szCs w:val="32"/>
          <w:highlight w:val="none"/>
          <w:lang w:val="en-US" w:eastAsia="zh-CN" w:bidi="ar-SA"/>
        </w:rPr>
        <w:t>负担，缓解“看病难，看病贵”的问题。进一步端正医疗态度，规范医生的用药行为。</w:t>
      </w:r>
      <w:r>
        <w:rPr>
          <w:rFonts w:hint="eastAsia" w:ascii="仿宋" w:hAnsi="仿宋" w:eastAsia="仿宋" w:cs="仿宋"/>
          <w:b w:val="0"/>
          <w:bCs w:val="0"/>
          <w:color w:val="000000"/>
          <w:kern w:val="0"/>
          <w:position w:val="0"/>
          <w:sz w:val="32"/>
          <w:szCs w:val="32"/>
          <w:highlight w:val="none"/>
          <w:lang w:val="en-US" w:eastAsia="zh-CN" w:bidi="ar-SA"/>
        </w:rPr>
        <w:t>绩效自评分97分</w:t>
      </w:r>
      <w:r>
        <w:rPr>
          <w:rFonts w:hint="eastAsia" w:ascii="仿宋" w:hAnsi="仿宋" w:eastAsia="仿宋" w:cs="仿宋"/>
          <w:b w:val="0"/>
          <w:bCs w:val="0"/>
          <w:kern w:val="0"/>
          <w:position w:val="0"/>
          <w:sz w:val="32"/>
          <w:szCs w:val="32"/>
          <w:highlight w:val="none"/>
          <w:lang w:val="en-US" w:eastAsia="zh-CN" w:bidi="ar-SA"/>
        </w:rPr>
        <w:t>。</w:t>
      </w:r>
    </w:p>
    <w:p w14:paraId="31C01516">
      <w:pPr>
        <w:pStyle w:val="6"/>
        <w:pageBreakBefore w:val="0"/>
        <w:numPr>
          <w:ilvl w:val="0"/>
          <w:numId w:val="0"/>
        </w:numPr>
        <w:tabs>
          <w:tab w:val="left" w:pos="2160"/>
        </w:tabs>
        <w:kinsoku/>
        <w:wordWrap/>
        <w:overflowPunct/>
        <w:topLinePunct w:val="0"/>
        <w:autoSpaceDE/>
        <w:autoSpaceDN/>
        <w:bidi w:val="0"/>
        <w:adjustRightInd/>
        <w:spacing w:line="600" w:lineRule="exact"/>
        <w:ind w:firstLine="643" w:firstLineChars="200"/>
        <w:textAlignment w:val="auto"/>
        <w:rPr>
          <w:rFonts w:hint="eastAsia" w:ascii="仿宋" w:hAnsi="仿宋" w:eastAsia="仿宋" w:cs="仿宋"/>
          <w:b/>
          <w:bCs/>
          <w:color w:val="auto"/>
          <w:kern w:val="2"/>
          <w:sz w:val="32"/>
          <w:szCs w:val="32"/>
          <w:highlight w:val="none"/>
          <w:u w:val="none"/>
          <w:lang w:val="en-US" w:eastAsia="zh-CN" w:bidi="ar-SA"/>
        </w:rPr>
      </w:pPr>
      <w:r>
        <w:rPr>
          <w:rFonts w:hint="eastAsia" w:ascii="仿宋" w:hAnsi="仿宋" w:eastAsia="仿宋" w:cs="仿宋"/>
          <w:b/>
          <w:bCs/>
          <w:color w:val="auto"/>
          <w:kern w:val="2"/>
          <w:sz w:val="32"/>
          <w:szCs w:val="32"/>
          <w:highlight w:val="none"/>
          <w:u w:val="none"/>
          <w:lang w:val="en-US" w:eastAsia="zh-CN" w:bidi="ar-SA"/>
        </w:rPr>
        <w:t>五、存在主要问题</w:t>
      </w:r>
    </w:p>
    <w:p w14:paraId="0D31276F">
      <w:pPr>
        <w:pStyle w:val="6"/>
        <w:pageBreakBefore w:val="0"/>
        <w:numPr>
          <w:ilvl w:val="0"/>
          <w:numId w:val="0"/>
        </w:numPr>
        <w:tabs>
          <w:tab w:val="left" w:pos="2160"/>
        </w:tabs>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eastAsia" w:ascii="仿宋" w:hAnsi="仿宋" w:eastAsia="仿宋" w:cs="仿宋"/>
          <w:b w:val="0"/>
          <w:bCs w:val="0"/>
          <w:kern w:val="0"/>
          <w:position w:val="0"/>
          <w:sz w:val="32"/>
          <w:szCs w:val="32"/>
          <w:highlight w:val="none"/>
          <w:lang w:val="en-US" w:eastAsia="zh-CN" w:bidi="ar-SA"/>
        </w:rPr>
        <w:t>无</w:t>
      </w:r>
    </w:p>
    <w:p w14:paraId="24754735">
      <w:pPr>
        <w:pStyle w:val="6"/>
        <w:pageBreakBefore w:val="0"/>
        <w:numPr>
          <w:ilvl w:val="0"/>
          <w:numId w:val="0"/>
        </w:numPr>
        <w:tabs>
          <w:tab w:val="left" w:pos="2160"/>
        </w:tabs>
        <w:kinsoku/>
        <w:wordWrap/>
        <w:overflowPunct/>
        <w:topLinePunct w:val="0"/>
        <w:autoSpaceDE/>
        <w:autoSpaceDN/>
        <w:bidi w:val="0"/>
        <w:adjustRightInd/>
        <w:spacing w:line="600" w:lineRule="exact"/>
        <w:ind w:firstLine="643" w:firstLineChars="200"/>
        <w:textAlignment w:val="auto"/>
        <w:rPr>
          <w:rFonts w:hint="default" w:ascii="仿宋" w:hAnsi="仿宋" w:eastAsia="仿宋" w:cs="仿宋"/>
          <w:b/>
          <w:bCs/>
          <w:color w:val="auto"/>
          <w:kern w:val="2"/>
          <w:sz w:val="32"/>
          <w:szCs w:val="32"/>
          <w:highlight w:val="none"/>
          <w:u w:val="none"/>
          <w:lang w:val="zh-CN" w:eastAsia="zh-CN" w:bidi="ar-SA"/>
        </w:rPr>
      </w:pPr>
      <w:r>
        <w:rPr>
          <w:rFonts w:hint="default" w:ascii="仿宋" w:hAnsi="仿宋" w:eastAsia="仿宋" w:cs="仿宋"/>
          <w:b/>
          <w:bCs/>
          <w:color w:val="auto"/>
          <w:kern w:val="2"/>
          <w:sz w:val="32"/>
          <w:szCs w:val="32"/>
          <w:highlight w:val="none"/>
          <w:u w:val="none"/>
          <w:lang w:val="zh-CN" w:eastAsia="zh-CN" w:bidi="ar-SA"/>
        </w:rPr>
        <w:t>六、改进建议</w:t>
      </w:r>
    </w:p>
    <w:p w14:paraId="10EF2A83">
      <w:pPr>
        <w:tabs>
          <w:tab w:val="left" w:pos="1911"/>
        </w:tabs>
        <w:ind w:firstLine="640"/>
        <w:jc w:val="left"/>
        <w:rPr>
          <w:rFonts w:hint="eastAsia"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无</w:t>
      </w:r>
      <w:bookmarkStart w:id="56" w:name="_Hlk110546638"/>
    </w:p>
    <w:p w14:paraId="754AE918">
      <w:pPr>
        <w:jc w:val="both"/>
        <w:rPr>
          <w:rFonts w:hint="eastAsia" w:ascii="方正小标宋_GBK" w:hAnsi="方正小标宋_GBK" w:eastAsia="方正小标宋_GBK" w:cs="方正小标宋_GBK"/>
          <w:b w:val="0"/>
          <w:bCs/>
          <w:kern w:val="0"/>
          <w:sz w:val="36"/>
          <w:szCs w:val="44"/>
          <w:lang w:val="en-US" w:eastAsia="zh-CN" w:bidi="ar"/>
        </w:rPr>
      </w:pPr>
    </w:p>
    <w:p w14:paraId="32BCE1F3">
      <w:pPr>
        <w:jc w:val="center"/>
        <w:rPr>
          <w:rFonts w:hint="eastAsia" w:ascii="方正小标宋_GBK" w:hAnsi="方正小标宋_GBK" w:eastAsia="方正小标宋_GBK" w:cs="方正小标宋_GBK"/>
          <w:b w:val="0"/>
          <w:bCs/>
          <w:color w:val="auto"/>
          <w:kern w:val="0"/>
          <w:sz w:val="36"/>
          <w:szCs w:val="44"/>
          <w:lang w:val="en-US" w:eastAsia="zh-CN" w:bidi="ar"/>
        </w:rPr>
      </w:pPr>
      <w:r>
        <w:rPr>
          <w:rFonts w:hint="eastAsia" w:ascii="方正小标宋_GBK" w:hAnsi="方正小标宋_GBK" w:eastAsia="方正小标宋_GBK" w:cs="方正小标宋_GBK"/>
          <w:b w:val="0"/>
          <w:bCs/>
          <w:color w:val="auto"/>
          <w:kern w:val="0"/>
          <w:sz w:val="36"/>
          <w:szCs w:val="44"/>
          <w:lang w:val="en-US" w:eastAsia="zh-CN" w:bidi="ar"/>
        </w:rPr>
        <w:t>红原县人民医院</w:t>
      </w:r>
    </w:p>
    <w:p w14:paraId="768D2F93">
      <w:pPr>
        <w:pStyle w:val="15"/>
        <w:keepNext w:val="0"/>
        <w:keepLines w:val="0"/>
        <w:widowControl/>
        <w:suppressLineNumbers w:val="0"/>
        <w:spacing w:before="0" w:beforeAutospacing="0" w:after="0" w:afterAutospacing="0"/>
        <w:ind w:left="0" w:right="0" w:firstLine="0"/>
        <w:jc w:val="center"/>
        <w:rPr>
          <w:rFonts w:hint="eastAsia" w:ascii="方正小标宋_GBK" w:hAnsi="方正小标宋_GBK" w:eastAsia="方正小标宋_GBK" w:cs="方正小标宋_GBK"/>
          <w:b w:val="0"/>
          <w:bCs/>
          <w:color w:val="auto"/>
          <w:sz w:val="36"/>
          <w:szCs w:val="44"/>
        </w:rPr>
      </w:pPr>
      <w:r>
        <w:rPr>
          <w:rFonts w:hint="eastAsia" w:ascii="方正小标宋_GBK" w:hAnsi="方正小标宋_GBK" w:eastAsia="方正小标宋_GBK" w:cs="方正小标宋_GBK"/>
          <w:b w:val="0"/>
          <w:bCs/>
          <w:color w:val="auto"/>
          <w:sz w:val="36"/>
          <w:szCs w:val="44"/>
        </w:rPr>
        <w:t>202</w:t>
      </w:r>
      <w:r>
        <w:rPr>
          <w:rFonts w:hint="eastAsia" w:ascii="方正小标宋_GBK" w:hAnsi="方正小标宋_GBK" w:eastAsia="方正小标宋_GBK" w:cs="方正小标宋_GBK"/>
          <w:b w:val="0"/>
          <w:bCs/>
          <w:color w:val="auto"/>
          <w:sz w:val="36"/>
          <w:szCs w:val="44"/>
          <w:lang w:val="en-US" w:eastAsia="zh-CN"/>
        </w:rPr>
        <w:t>5</w:t>
      </w:r>
      <w:r>
        <w:rPr>
          <w:rFonts w:hint="eastAsia" w:ascii="方正小标宋_GBK" w:hAnsi="方正小标宋_GBK" w:eastAsia="方正小标宋_GBK" w:cs="方正小标宋_GBK"/>
          <w:b w:val="0"/>
          <w:bCs/>
          <w:color w:val="auto"/>
          <w:sz w:val="36"/>
          <w:szCs w:val="44"/>
        </w:rPr>
        <w:t>年度重大疾病防控项目</w:t>
      </w:r>
    </w:p>
    <w:p w14:paraId="35D6AC99">
      <w:pPr>
        <w:pStyle w:val="15"/>
        <w:keepNext w:val="0"/>
        <w:keepLines w:val="0"/>
        <w:widowControl/>
        <w:suppressLineNumbers w:val="0"/>
        <w:spacing w:before="0" w:beforeAutospacing="0" w:after="0" w:afterAutospacing="0"/>
        <w:ind w:left="0" w:right="0" w:firstLine="0"/>
        <w:jc w:val="center"/>
        <w:rPr>
          <w:color w:val="auto"/>
        </w:rPr>
      </w:pPr>
      <w:r>
        <w:rPr>
          <w:rFonts w:hint="eastAsia" w:ascii="方正小标宋_GBK" w:hAnsi="方正小标宋_GBK" w:eastAsia="方正小标宋_GBK" w:cs="方正小标宋_GBK"/>
          <w:b w:val="0"/>
          <w:bCs/>
          <w:color w:val="auto"/>
          <w:sz w:val="36"/>
          <w:szCs w:val="44"/>
        </w:rPr>
        <w:t>绩效自评报告</w:t>
      </w:r>
    </w:p>
    <w:p w14:paraId="3AE784E1">
      <w:pPr>
        <w:jc w:val="center"/>
        <w:rPr>
          <w:rFonts w:hint="eastAsia" w:ascii="方正小标宋_GBK" w:hAnsi="方正小标宋_GBK" w:eastAsia="方正小标宋_GBK" w:cs="方正小标宋_GBK"/>
          <w:b w:val="0"/>
          <w:bCs/>
          <w:color w:val="FF0000"/>
          <w:sz w:val="36"/>
          <w:szCs w:val="44"/>
        </w:rPr>
      </w:pPr>
    </w:p>
    <w:p w14:paraId="1524E0FA">
      <w:pPr>
        <w:jc w:val="center"/>
        <w:rPr>
          <w:rFonts w:ascii="仿宋_GB2312" w:hAnsi="华文中宋"/>
          <w:bCs/>
          <w:color w:val="FF0000"/>
          <w:szCs w:val="32"/>
        </w:rPr>
      </w:pPr>
    </w:p>
    <w:p w14:paraId="17DD6FB2">
      <w:pPr>
        <w:ind w:firstLine="643" w:firstLineChars="200"/>
        <w:rPr>
          <w:rFonts w:hint="eastAsia" w:ascii="仿宋" w:hAnsi="仿宋" w:eastAsia="仿宋" w:cs="仿宋"/>
          <w:b/>
          <w:bCs w:val="0"/>
          <w:color w:val="auto"/>
          <w:sz w:val="32"/>
          <w:szCs w:val="32"/>
          <w:lang w:eastAsia="zh-CN"/>
        </w:rPr>
      </w:pPr>
      <w:r>
        <w:rPr>
          <w:rFonts w:hint="eastAsia" w:ascii="仿宋" w:hAnsi="仿宋" w:eastAsia="仿宋" w:cs="仿宋"/>
          <w:b/>
          <w:bCs w:val="0"/>
          <w:color w:val="auto"/>
          <w:sz w:val="32"/>
          <w:szCs w:val="32"/>
        </w:rPr>
        <w:t>一、</w:t>
      </w:r>
      <w:r>
        <w:rPr>
          <w:rFonts w:hint="eastAsia" w:ascii="仿宋" w:hAnsi="仿宋" w:eastAsia="仿宋" w:cs="仿宋"/>
          <w:b/>
          <w:bCs w:val="0"/>
          <w:color w:val="auto"/>
          <w:sz w:val="32"/>
          <w:szCs w:val="32"/>
          <w:lang w:eastAsia="zh-CN"/>
        </w:rPr>
        <w:t>基本情况</w:t>
      </w:r>
    </w:p>
    <w:p w14:paraId="61D3B44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b/>
          <w:bCs w:val="0"/>
          <w:color w:val="auto"/>
          <w:kern w:val="2"/>
          <w:sz w:val="32"/>
          <w:szCs w:val="32"/>
          <w:lang w:val="en-US" w:eastAsia="zh-CN" w:bidi="ar-SA"/>
        </w:rPr>
      </w:pPr>
      <w:r>
        <w:rPr>
          <w:rFonts w:hint="eastAsia" w:ascii="仿宋" w:hAnsi="仿宋" w:eastAsia="仿宋" w:cs="仿宋"/>
          <w:b/>
          <w:bCs w:val="0"/>
          <w:color w:val="auto"/>
          <w:kern w:val="2"/>
          <w:sz w:val="32"/>
          <w:szCs w:val="32"/>
          <w:lang w:val="en-US" w:eastAsia="zh-CN" w:bidi="ar-SA"/>
        </w:rPr>
        <w:t>（一）项目资金情况。</w:t>
      </w:r>
    </w:p>
    <w:p w14:paraId="058EB76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阿州财社〔2025〕38号资金共计下达17.13万元，</w:t>
      </w:r>
      <w:r>
        <w:rPr>
          <w:rFonts w:hint="eastAsia" w:ascii="仿宋" w:hAnsi="仿宋" w:eastAsia="仿宋" w:cs="仿宋"/>
          <w:color w:val="auto"/>
          <w:kern w:val="2"/>
          <w:sz w:val="32"/>
          <w:szCs w:val="32"/>
          <w:lang w:val="en-US" w:eastAsia="zh-CN" w:bidi="ar-SA"/>
        </w:rPr>
        <w:t>此项目资金主要用于支持扩大国家免疫规划、艾滋病防治、结核病防治等工作。</w:t>
      </w:r>
    </w:p>
    <w:p w14:paraId="03564209">
      <w:pPr>
        <w:numPr>
          <w:ilvl w:val="0"/>
          <w:numId w:val="8"/>
        </w:numPr>
        <w:ind w:firstLine="643" w:firstLineChars="200"/>
        <w:outlineLvl w:val="0"/>
        <w:rPr>
          <w:rFonts w:hint="eastAsia" w:ascii="仿宋" w:hAnsi="仿宋" w:eastAsia="仿宋" w:cs="仿宋"/>
          <w:b/>
          <w:bCs/>
          <w:color w:val="auto"/>
          <w:sz w:val="32"/>
          <w:szCs w:val="32"/>
        </w:rPr>
      </w:pPr>
      <w:r>
        <w:rPr>
          <w:rFonts w:hint="eastAsia" w:ascii="仿宋" w:hAnsi="仿宋" w:eastAsia="仿宋" w:cs="仿宋"/>
          <w:b/>
          <w:bCs/>
          <w:color w:val="auto"/>
          <w:sz w:val="32"/>
          <w:szCs w:val="32"/>
          <w:lang w:eastAsia="zh-CN"/>
        </w:rPr>
        <w:t>整体绩效目标情况。</w:t>
      </w:r>
      <w:r>
        <w:rPr>
          <w:rFonts w:hint="eastAsia" w:ascii="仿宋" w:hAnsi="仿宋" w:eastAsia="仿宋" w:cs="仿宋"/>
          <w:b/>
          <w:bCs/>
          <w:color w:val="auto"/>
          <w:sz w:val="32"/>
          <w:szCs w:val="32"/>
        </w:rPr>
        <w:tab/>
      </w:r>
    </w:p>
    <w:p w14:paraId="25B4DB7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产出指标情况：本项目设置数量指标、质量指标2个二级指标，分别对应相应三级指标。数量指标为艾滋病免费抗病毒治疗任务，指标值≥95%；质量指标定性要求为优，目标为保障医疗卫生的正常开展，医疗服务水平提升。</w:t>
      </w:r>
    </w:p>
    <w:p w14:paraId="4849FBD9">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效益指标情况：本项目设置可持续影响指标、社会效益指标2个二级指标，分别对应相应三级指标。可持续影响指标包含两项，一是实现收支平衡的公立医院数占公立医院总数的比例，指标值≥1所；二是公立医院资产负债率，指标值≥10%。社会效益指标为艾滋病病毒感染者和艾滋病的治疗管理，减少艾滋病在我县广泛传播，降低因艾滋病感染的死亡率，降低新发感染，提高艾滋病病毒感染者和艾滋病的生活质量，定性指标目标为优。</w:t>
      </w:r>
    </w:p>
    <w:p w14:paraId="0375CB4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color w:val="auto"/>
          <w:sz w:val="32"/>
          <w:szCs w:val="32"/>
        </w:rPr>
      </w:pPr>
      <w:r>
        <w:rPr>
          <w:rFonts w:hint="eastAsia" w:ascii="仿宋" w:hAnsi="仿宋" w:eastAsia="仿宋" w:cs="仿宋"/>
          <w:color w:val="auto"/>
          <w:kern w:val="2"/>
          <w:sz w:val="32"/>
          <w:szCs w:val="32"/>
          <w:lang w:val="en-US" w:eastAsia="zh-CN" w:bidi="ar-SA"/>
        </w:rPr>
        <w:t>服务对象满意度指标情况：本项目设置服务对象满意度指标，指标内容为保障医疗卫生的正常开展，提升了患者的满意度，指标值≥95%。</w:t>
      </w:r>
    </w:p>
    <w:p w14:paraId="43279C5C">
      <w:pPr>
        <w:ind w:firstLine="643" w:firstLineChars="200"/>
        <w:rPr>
          <w:rFonts w:hint="eastAsia" w:ascii="仿宋" w:hAnsi="仿宋" w:eastAsia="仿宋" w:cs="仿宋"/>
          <w:b/>
          <w:bCs w:val="0"/>
          <w:color w:val="auto"/>
          <w:sz w:val="32"/>
          <w:szCs w:val="32"/>
          <w:lang w:eastAsia="zh-CN"/>
        </w:rPr>
      </w:pPr>
      <w:r>
        <w:rPr>
          <w:rFonts w:hint="eastAsia" w:ascii="仿宋" w:hAnsi="仿宋" w:eastAsia="仿宋" w:cs="仿宋"/>
          <w:b/>
          <w:bCs w:val="0"/>
          <w:color w:val="auto"/>
          <w:sz w:val="32"/>
          <w:szCs w:val="32"/>
          <w:lang w:eastAsia="zh-CN"/>
        </w:rPr>
        <w:t>二、综合评价结论</w:t>
      </w:r>
    </w:p>
    <w:p w14:paraId="4D5BCD80">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rFonts w:hint="eastAsia" w:ascii="仿宋" w:hAnsi="仿宋" w:eastAsia="仿宋" w:cs="仿宋"/>
          <w:color w:val="FF0000"/>
          <w:kern w:val="2"/>
          <w:sz w:val="32"/>
          <w:szCs w:val="32"/>
          <w:lang w:val="en-US" w:eastAsia="zh-CN" w:bidi="ar-SA"/>
        </w:rPr>
      </w:pPr>
      <w:r>
        <w:rPr>
          <w:rFonts w:hint="eastAsia" w:ascii="仿宋" w:hAnsi="仿宋" w:eastAsia="仿宋" w:cs="仿宋"/>
          <w:color w:val="auto"/>
          <w:kern w:val="2"/>
          <w:sz w:val="32"/>
          <w:szCs w:val="32"/>
          <w:lang w:val="en-US" w:eastAsia="zh-CN" w:bidi="ar-SA"/>
        </w:rPr>
        <w:t>整体项目得分为 92分，资金投入指标得分4分，资金管理得分40分，产出指标28分，效益指标15分，满意度指标中服务对象满意度得分5分。</w:t>
      </w:r>
    </w:p>
    <w:p w14:paraId="6152E02C">
      <w:pPr>
        <w:ind w:firstLine="643" w:firstLineChars="200"/>
        <w:rPr>
          <w:rFonts w:hint="eastAsia" w:ascii="仿宋" w:hAnsi="仿宋" w:eastAsia="仿宋" w:cs="仿宋"/>
          <w:b/>
          <w:bCs w:val="0"/>
          <w:color w:val="auto"/>
          <w:sz w:val="32"/>
          <w:szCs w:val="32"/>
          <w:lang w:eastAsia="zh-CN"/>
        </w:rPr>
      </w:pPr>
      <w:r>
        <w:rPr>
          <w:rFonts w:hint="eastAsia" w:ascii="仿宋" w:hAnsi="仿宋" w:eastAsia="仿宋" w:cs="仿宋"/>
          <w:b/>
          <w:bCs w:val="0"/>
          <w:color w:val="auto"/>
          <w:sz w:val="32"/>
          <w:szCs w:val="32"/>
          <w:lang w:eastAsia="zh-CN"/>
        </w:rPr>
        <w:t>三</w:t>
      </w:r>
      <w:r>
        <w:rPr>
          <w:rFonts w:hint="eastAsia" w:ascii="仿宋" w:hAnsi="仿宋" w:eastAsia="仿宋" w:cs="仿宋"/>
          <w:b/>
          <w:bCs w:val="0"/>
          <w:color w:val="auto"/>
          <w:sz w:val="32"/>
          <w:szCs w:val="32"/>
        </w:rPr>
        <w:t>、</w:t>
      </w:r>
      <w:r>
        <w:rPr>
          <w:rFonts w:hint="eastAsia" w:ascii="仿宋" w:hAnsi="仿宋" w:eastAsia="仿宋" w:cs="仿宋"/>
          <w:b/>
          <w:bCs w:val="0"/>
          <w:color w:val="auto"/>
          <w:sz w:val="32"/>
          <w:szCs w:val="32"/>
          <w:lang w:eastAsia="zh-CN"/>
        </w:rPr>
        <w:t>绩效情况分析</w:t>
      </w:r>
    </w:p>
    <w:p w14:paraId="4DEED347">
      <w:pPr>
        <w:ind w:firstLine="643" w:firstLineChars="200"/>
        <w:outlineLvl w:val="0"/>
        <w:rPr>
          <w:rFonts w:hint="eastAsia" w:ascii="仿宋" w:hAnsi="仿宋" w:eastAsia="仿宋" w:cs="仿宋"/>
          <w:b/>
          <w:bCs/>
          <w:color w:val="auto"/>
          <w:sz w:val="32"/>
          <w:szCs w:val="32"/>
        </w:rPr>
      </w:pPr>
      <w:r>
        <w:rPr>
          <w:rFonts w:hint="eastAsia" w:ascii="仿宋" w:hAnsi="仿宋" w:eastAsia="仿宋" w:cs="仿宋"/>
          <w:b/>
          <w:bCs/>
          <w:color w:val="auto"/>
          <w:sz w:val="32"/>
          <w:szCs w:val="32"/>
        </w:rPr>
        <w:t>（一）资金情况分析。</w:t>
      </w:r>
    </w:p>
    <w:p w14:paraId="679B3C4B">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该项目总下达资金17.13万元，资金及时到位，3.45万元已用于结核疾病筛查工作，4.69万元已用于艾滋病防治工作。</w:t>
      </w:r>
    </w:p>
    <w:p w14:paraId="52EAD5ED">
      <w:pPr>
        <w:ind w:firstLine="643" w:firstLineChars="200"/>
        <w:outlineLvl w:val="0"/>
        <w:rPr>
          <w:rFonts w:hint="eastAsia" w:ascii="仿宋" w:hAnsi="仿宋" w:eastAsia="仿宋" w:cs="仿宋"/>
          <w:b/>
          <w:bCs/>
          <w:color w:val="FF0000"/>
          <w:sz w:val="32"/>
          <w:szCs w:val="32"/>
        </w:rPr>
      </w:pPr>
      <w:r>
        <w:rPr>
          <w:rFonts w:hint="eastAsia" w:ascii="仿宋" w:hAnsi="仿宋" w:eastAsia="仿宋" w:cs="仿宋"/>
          <w:b/>
          <w:bCs/>
          <w:color w:val="auto"/>
          <w:sz w:val="32"/>
          <w:szCs w:val="32"/>
        </w:rPr>
        <w:t>（二）</w:t>
      </w:r>
      <w:r>
        <w:rPr>
          <w:rFonts w:hint="eastAsia" w:ascii="仿宋" w:hAnsi="仿宋" w:eastAsia="仿宋" w:cs="仿宋"/>
          <w:b/>
          <w:bCs/>
          <w:color w:val="auto"/>
          <w:sz w:val="32"/>
          <w:szCs w:val="32"/>
          <w:lang w:eastAsia="zh-CN"/>
        </w:rPr>
        <w:t>资金管理情况分析</w:t>
      </w:r>
      <w:r>
        <w:rPr>
          <w:rFonts w:hint="eastAsia" w:ascii="仿宋" w:hAnsi="仿宋" w:eastAsia="仿宋" w:cs="仿宋"/>
          <w:b/>
          <w:bCs/>
          <w:color w:val="auto"/>
          <w:sz w:val="32"/>
          <w:szCs w:val="32"/>
        </w:rPr>
        <w:t>。</w:t>
      </w:r>
    </w:p>
    <w:p w14:paraId="5CA1A29C">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该资金分配合理、及时下达、拨付合规、使用合理、执行准确、全面实现预算绩效管理。</w:t>
      </w:r>
    </w:p>
    <w:p w14:paraId="446332AD">
      <w:pPr>
        <w:ind w:firstLine="643" w:firstLineChars="200"/>
        <w:outlineLvl w:val="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rPr>
        <w:t>（</w:t>
      </w:r>
      <w:r>
        <w:rPr>
          <w:rFonts w:hint="eastAsia" w:ascii="仿宋" w:hAnsi="仿宋" w:eastAsia="仿宋" w:cs="仿宋"/>
          <w:b/>
          <w:bCs/>
          <w:color w:val="auto"/>
          <w:sz w:val="32"/>
          <w:szCs w:val="32"/>
          <w:lang w:val="en-US" w:eastAsia="zh-CN"/>
        </w:rPr>
        <w:t>三</w:t>
      </w:r>
      <w:r>
        <w:rPr>
          <w:rFonts w:hint="eastAsia" w:ascii="仿宋" w:hAnsi="仿宋" w:eastAsia="仿宋" w:cs="仿宋"/>
          <w:b/>
          <w:bCs/>
          <w:color w:val="auto"/>
          <w:sz w:val="32"/>
          <w:szCs w:val="32"/>
        </w:rPr>
        <w:t>）</w:t>
      </w:r>
      <w:r>
        <w:rPr>
          <w:rFonts w:hint="eastAsia" w:ascii="仿宋" w:hAnsi="仿宋" w:eastAsia="仿宋" w:cs="仿宋"/>
          <w:b/>
          <w:bCs/>
          <w:color w:val="auto"/>
          <w:sz w:val="32"/>
          <w:szCs w:val="32"/>
          <w:lang w:val="en-US" w:eastAsia="zh-CN"/>
        </w:rPr>
        <w:t>绩效指标完成情况分析</w:t>
      </w:r>
    </w:p>
    <w:p w14:paraId="77992635">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本年度我院严格对照重大疾病防控（艾滋病、结核病）项目绩效目标开展工作，各项指标整体完成良好，项目运行规范、成效稳定。</w:t>
      </w:r>
    </w:p>
    <w:p w14:paraId="52B54F1D">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1、产出指标完成情况</w:t>
      </w:r>
    </w:p>
    <w:p w14:paraId="07606915">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艾滋病防控方面，全面完成年度重点人群HIV筛查任务，阳性病例上报及时、准确，疫情处置规范到位。在管患者均落实规范化随访及抗病毒治疗管理，整体指标达标。因县域内流动人口较多，个别外出人员随访精细化管理仍需加强。</w:t>
      </w:r>
    </w:p>
    <w:p w14:paraId="393A2E20">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结核病防控方面，全面开展可疑症状者筛查，完成年度筛查任务。严格落实结核患者督导服药、复查随访及健康管理，项目产出总体可控达标。</w:t>
      </w:r>
    </w:p>
    <w:p w14:paraId="1A932CE4">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2、效益指标完成情况</w:t>
      </w:r>
    </w:p>
    <w:p w14:paraId="659E6A70">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通过常态化筛查、早诊早治和规范化管理，有效降低县域内艾滋病、结核病传播风险，全年无聚集性疫情发生。医务人员重大传染病识别、报告、处置能力持续提升，群众防病知晓率不断提高。医院已建立完善常态化防控工作机制，资料归档完整，防控工作可持续、规范化开展。</w:t>
      </w:r>
    </w:p>
    <w:p w14:paraId="36A4789C">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3、满意度指标完成情况</w:t>
      </w:r>
    </w:p>
    <w:p w14:paraId="25319D1F">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我院持续优化随访服务、诊疗指导和健康宣教，服务流程规范、服务态度良好，群众及患者满意度达标。部分群众防病认知仍有待提升。</w:t>
      </w:r>
    </w:p>
    <w:p w14:paraId="7610111A">
      <w:pPr>
        <w:ind w:firstLine="640" w:firstLineChars="200"/>
        <w:outlineLvl w:val="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4、总体分析</w:t>
      </w:r>
    </w:p>
    <w:p w14:paraId="290DA25B">
      <w:pPr>
        <w:ind w:firstLine="640" w:firstLineChars="200"/>
        <w:outlineLvl w:val="0"/>
        <w:rPr>
          <w:rFonts w:hint="eastAsia" w:ascii="仿宋" w:hAnsi="仿宋" w:eastAsia="仿宋" w:cs="仿宋"/>
          <w:color w:val="FF0000"/>
          <w:sz w:val="32"/>
          <w:szCs w:val="32"/>
          <w:lang w:val="en-US" w:eastAsia="zh-CN"/>
        </w:rPr>
      </w:pPr>
      <w:r>
        <w:rPr>
          <w:rFonts w:hint="eastAsia" w:ascii="仿宋" w:hAnsi="仿宋" w:eastAsia="仿宋" w:cs="仿宋"/>
          <w:color w:val="auto"/>
          <w:kern w:val="2"/>
          <w:sz w:val="32"/>
          <w:szCs w:val="32"/>
          <w:lang w:val="en-US" w:eastAsia="zh-CN" w:bidi="ar-SA"/>
        </w:rPr>
        <w:t>本年度项目各项绩效指标基本完成年度目标，预算执行规范、项目产出达标、社会效益明显。存在短板主要为流动患者随访难度大、宣教精细化不足。下一步我院将细化随访管理、丰富宣传方式、强化过程质控，持续提升项目整体绩效。</w:t>
      </w:r>
    </w:p>
    <w:p w14:paraId="4902BD77">
      <w:pPr>
        <w:ind w:firstLine="643" w:firstLineChars="200"/>
        <w:outlineLvl w:val="0"/>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四</w:t>
      </w:r>
      <w:r>
        <w:rPr>
          <w:rFonts w:hint="eastAsia" w:ascii="仿宋" w:hAnsi="仿宋" w:eastAsia="仿宋" w:cs="仿宋"/>
          <w:b/>
          <w:bCs/>
          <w:color w:val="auto"/>
          <w:sz w:val="32"/>
          <w:szCs w:val="32"/>
        </w:rPr>
        <w:t>、其他需要说明的问题</w:t>
      </w:r>
    </w:p>
    <w:p w14:paraId="5D7F5B12">
      <w:pPr>
        <w:ind w:firstLine="640" w:firstLineChars="200"/>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无</w:t>
      </w:r>
    </w:p>
    <w:p w14:paraId="7D1BA8B4">
      <w:pPr>
        <w:pStyle w:val="20"/>
        <w:rPr>
          <w:rFonts w:hint="eastAsia" w:ascii="仿宋" w:hAnsi="仿宋" w:eastAsia="仿宋" w:cs="仿宋"/>
          <w:sz w:val="32"/>
          <w:szCs w:val="32"/>
        </w:rPr>
      </w:pPr>
    </w:p>
    <w:p w14:paraId="241688D6">
      <w:pPr>
        <w:rPr>
          <w:rFonts w:hint="eastAsia" w:ascii="仿宋" w:hAnsi="仿宋" w:eastAsia="仿宋" w:cs="仿宋"/>
          <w:sz w:val="32"/>
          <w:szCs w:val="32"/>
        </w:rPr>
      </w:pPr>
    </w:p>
    <w:p w14:paraId="6E3CA683">
      <w:pPr>
        <w:pStyle w:val="20"/>
        <w:rPr>
          <w:rFonts w:hint="eastAsia" w:ascii="仿宋" w:hAnsi="仿宋" w:eastAsia="仿宋" w:cs="仿宋"/>
          <w:sz w:val="32"/>
          <w:szCs w:val="32"/>
        </w:rPr>
      </w:pPr>
    </w:p>
    <w:p w14:paraId="25F8D941">
      <w:pPr>
        <w:rPr>
          <w:rFonts w:hint="eastAsia" w:ascii="仿宋" w:hAnsi="仿宋" w:eastAsia="仿宋" w:cs="仿宋"/>
          <w:sz w:val="32"/>
          <w:szCs w:val="32"/>
        </w:rPr>
      </w:pPr>
    </w:p>
    <w:p w14:paraId="79A33DC6">
      <w:pPr>
        <w:pStyle w:val="20"/>
        <w:rPr>
          <w:rFonts w:hint="eastAsia"/>
        </w:rPr>
      </w:pPr>
    </w:p>
    <w:p w14:paraId="468769F6">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方正大标宋简体" w:hAnsi="方正大标宋简体" w:eastAsia="方正大标宋简体" w:cs="方正大标宋简体"/>
          <w:b/>
          <w:color w:val="000000"/>
          <w:kern w:val="0"/>
          <w:sz w:val="44"/>
          <w:szCs w:val="44"/>
          <w:lang w:val="en-US" w:eastAsia="zh-CN" w:bidi="ar"/>
        </w:rPr>
      </w:pPr>
    </w:p>
    <w:p w14:paraId="495C2683">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方正大标宋简体" w:hAnsi="方正大标宋简体" w:eastAsia="方正大标宋简体" w:cs="方正大标宋简体"/>
          <w:b/>
          <w:color w:val="000000"/>
          <w:kern w:val="0"/>
          <w:sz w:val="44"/>
          <w:szCs w:val="44"/>
          <w:lang w:val="en-US" w:eastAsia="zh-CN" w:bidi="ar"/>
        </w:rPr>
      </w:pPr>
      <w:r>
        <w:rPr>
          <w:rFonts w:hint="eastAsia" w:ascii="方正大标宋简体" w:hAnsi="方正大标宋简体" w:eastAsia="方正大标宋简体" w:cs="方正大标宋简体"/>
          <w:b/>
          <w:color w:val="000000"/>
          <w:kern w:val="0"/>
          <w:sz w:val="44"/>
          <w:szCs w:val="44"/>
          <w:lang w:val="en-US" w:eastAsia="zh-CN" w:bidi="ar"/>
        </w:rPr>
        <w:t>红原县人民医院</w:t>
      </w:r>
    </w:p>
    <w:p w14:paraId="23C898C7">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方正大标宋简体" w:hAnsi="方正大标宋简体" w:eastAsia="方正大标宋简体" w:cs="方正大标宋简体"/>
          <w:b/>
          <w:color w:val="000000"/>
          <w:kern w:val="0"/>
          <w:sz w:val="44"/>
          <w:szCs w:val="44"/>
          <w:lang w:val="en-US" w:eastAsia="zh-CN" w:bidi="ar"/>
        </w:rPr>
      </w:pPr>
      <w:r>
        <w:rPr>
          <w:rFonts w:hint="eastAsia" w:ascii="方正大标宋简体" w:hAnsi="方正大标宋简体" w:eastAsia="方正大标宋简体" w:cs="方正大标宋简体"/>
          <w:b/>
          <w:color w:val="000000"/>
          <w:kern w:val="0"/>
          <w:sz w:val="44"/>
          <w:szCs w:val="44"/>
          <w:lang w:val="en-US" w:eastAsia="zh-CN" w:bidi="ar"/>
        </w:rPr>
        <w:t>2025年度部门整体支出绩效评价自评报告</w:t>
      </w:r>
    </w:p>
    <w:p w14:paraId="4C9ABB65">
      <w:pPr>
        <w:keepNext w:val="0"/>
        <w:keepLines w:val="0"/>
        <w:pageBreakBefore w:val="0"/>
        <w:widowControl/>
        <w:kinsoku/>
        <w:wordWrap/>
        <w:overflowPunct/>
        <w:topLinePunct w:val="0"/>
        <w:bidi w:val="0"/>
        <w:adjustRightInd w:val="0"/>
        <w:snapToGrid w:val="0"/>
        <w:spacing w:line="560" w:lineRule="exact"/>
        <w:ind w:firstLine="480" w:firstLineChars="200"/>
        <w:contextualSpacing/>
        <w:jc w:val="left"/>
        <w:rPr>
          <w:rFonts w:ascii="黑体" w:hAnsi="宋体" w:eastAsia="黑体" w:cs="宋体"/>
          <w:color w:val="000000"/>
          <w:kern w:val="0"/>
          <w:sz w:val="24"/>
          <w:szCs w:val="32"/>
          <w:shd w:val="clear" w:color="auto" w:fill="FFFFFF"/>
        </w:rPr>
      </w:pPr>
    </w:p>
    <w:p w14:paraId="5C95216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 w:val="32"/>
          <w:szCs w:val="32"/>
        </w:rPr>
      </w:pPr>
      <w:r>
        <w:rPr>
          <w:rFonts w:hint="default" w:ascii="Times New Roman" w:hAnsi="Times New Roman" w:eastAsia="黑体" w:cs="Times New Roman"/>
          <w:color w:val="000000"/>
          <w:kern w:val="0"/>
          <w:sz w:val="32"/>
          <w:szCs w:val="32"/>
          <w:highlight w:val="none"/>
          <w:shd w:val="clear" w:color="auto" w:fill="FFFFFF"/>
          <w:lang w:val="zh-CN"/>
        </w:rPr>
        <w:t>一、部门（单位）基本情况</w:t>
      </w:r>
    </w:p>
    <w:p w14:paraId="7F1E06C1">
      <w:pPr>
        <w:pStyle w:val="8"/>
        <w:keepNext w:val="0"/>
        <w:keepLines w:val="0"/>
        <w:pageBreakBefore w:val="0"/>
        <w:kinsoku/>
        <w:wordWrap/>
        <w:overflowPunct/>
        <w:topLinePunct w:val="0"/>
        <w:bidi w:val="0"/>
        <w:spacing w:line="560" w:lineRule="exact"/>
        <w:ind w:left="0" w:leftChars="0" w:firstLine="643" w:firstLineChars="200"/>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（一）机构组成。</w:t>
      </w:r>
    </w:p>
    <w:p w14:paraId="1CBC187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方正仿宋_GB2312" w:hAnsi="方正仿宋_GB2312" w:eastAsia="方正仿宋_GB2312" w:cs="方正仿宋_GB2312"/>
          <w:color w:val="auto"/>
          <w:kern w:val="0"/>
          <w:sz w:val="32"/>
          <w:szCs w:val="32"/>
          <w:lang w:val="en-US" w:eastAsia="zh-CN" w:bidi="ar"/>
        </w:rPr>
      </w:pPr>
      <w:r>
        <w:rPr>
          <w:rFonts w:hint="eastAsia" w:ascii="方正仿宋_GB2312" w:hAnsi="方正仿宋_GB2312" w:eastAsia="方正仿宋_GB2312" w:cs="方正仿宋_GB2312"/>
          <w:color w:val="auto"/>
          <w:kern w:val="0"/>
          <w:sz w:val="32"/>
          <w:szCs w:val="32"/>
          <w:lang w:val="en-US" w:eastAsia="zh-CN" w:bidi="ar"/>
        </w:rPr>
        <w:t>1.</w:t>
      </w:r>
      <w:r>
        <w:rPr>
          <w:rFonts w:hint="eastAsia" w:ascii="仿宋" w:hAnsi="宋体" w:eastAsia="仿宋" w:cs="宋体"/>
          <w:color w:val="auto"/>
          <w:kern w:val="0"/>
          <w:sz w:val="32"/>
          <w:szCs w:val="32"/>
          <w:lang w:val="en-US" w:eastAsia="zh-CN" w:bidi="ar"/>
        </w:rPr>
        <w:t>设临床科室：</w:t>
      </w:r>
      <w:r>
        <w:rPr>
          <w:rFonts w:hint="eastAsia" w:ascii="方正仿宋_GB2312" w:hAnsi="方正仿宋_GB2312" w:eastAsia="方正仿宋_GB2312" w:cs="方正仿宋_GB2312"/>
          <w:color w:val="auto"/>
          <w:kern w:val="0"/>
          <w:sz w:val="32"/>
          <w:szCs w:val="32"/>
          <w:lang w:val="en-US" w:eastAsia="zh-CN" w:bidi="ar"/>
        </w:rPr>
        <w:t>内科、外科、妇产科、儿科、急诊科、五官科、口腔科、麻醉科、中医康复科、皮肤科、疼痛科等多个</w:t>
      </w:r>
      <w:r>
        <w:rPr>
          <w:rFonts w:hint="eastAsia" w:ascii="仿宋" w:hAnsi="宋体" w:eastAsia="仿宋" w:cs="宋体"/>
          <w:color w:val="auto"/>
          <w:kern w:val="0"/>
          <w:sz w:val="32"/>
          <w:szCs w:val="32"/>
          <w:lang w:val="en-US" w:eastAsia="zh-CN" w:bidi="ar"/>
        </w:rPr>
        <w:t>等科室。</w:t>
      </w:r>
    </w:p>
    <w:p w14:paraId="6434B1B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黑体" w:hAnsi="Times New Roman" w:eastAsia="黑体" w:cs="Times New Roman"/>
          <w:color w:val="auto"/>
          <w:kern w:val="2"/>
          <w:sz w:val="32"/>
          <w:szCs w:val="32"/>
          <w:lang w:val="en-US" w:eastAsia="zh-CN" w:bidi="ar-SA"/>
        </w:rPr>
      </w:pPr>
      <w:r>
        <w:rPr>
          <w:rFonts w:hint="eastAsia" w:ascii="黑体" w:hAnsi="Times New Roman" w:eastAsia="黑体" w:cs="Times New Roman"/>
          <w:color w:val="auto"/>
          <w:kern w:val="2"/>
          <w:sz w:val="32"/>
          <w:szCs w:val="32"/>
          <w:lang w:val="en-US" w:eastAsia="zh-CN" w:bidi="ar-SA"/>
        </w:rPr>
        <w:t>2.</w:t>
      </w:r>
      <w:r>
        <w:rPr>
          <w:rFonts w:hint="eastAsia" w:ascii="仿宋" w:hAnsi="宋体" w:eastAsia="仿宋" w:cs="宋体"/>
          <w:color w:val="auto"/>
          <w:kern w:val="0"/>
          <w:sz w:val="32"/>
          <w:szCs w:val="32"/>
          <w:lang w:val="en-US" w:eastAsia="zh-CN" w:bidi="ar"/>
        </w:rPr>
        <w:t>设医疗辅助科室：</w:t>
      </w:r>
      <w:r>
        <w:rPr>
          <w:rFonts w:hint="eastAsia" w:ascii="方正仿宋_GB2312" w:hAnsi="方正仿宋_GB2312" w:eastAsia="方正仿宋_GB2312" w:cs="方正仿宋_GB2312"/>
          <w:color w:val="auto"/>
          <w:kern w:val="0"/>
          <w:sz w:val="32"/>
          <w:szCs w:val="32"/>
          <w:lang w:val="en-US" w:eastAsia="zh-CN" w:bidi="ar"/>
        </w:rPr>
        <w:t>药剂科、检验科、放射科、手术室、消毒供应室、超声科、心电图室、体检科</w:t>
      </w:r>
      <w:r>
        <w:rPr>
          <w:rFonts w:hint="eastAsia" w:ascii="仿宋" w:hAnsi="宋体" w:eastAsia="仿宋" w:cs="宋体"/>
          <w:color w:val="auto"/>
          <w:kern w:val="0"/>
          <w:sz w:val="32"/>
          <w:szCs w:val="32"/>
          <w:lang w:val="en-US" w:eastAsia="zh-CN" w:bidi="ar"/>
        </w:rPr>
        <w:t>等医技科室</w:t>
      </w:r>
      <w:r>
        <w:rPr>
          <w:rFonts w:hint="eastAsia" w:ascii="方正仿宋_GB2312" w:hAnsi="方正仿宋_GB2312" w:eastAsia="方正仿宋_GB2312" w:cs="方正仿宋_GB2312"/>
          <w:color w:val="auto"/>
          <w:kern w:val="0"/>
          <w:sz w:val="32"/>
          <w:szCs w:val="32"/>
          <w:lang w:val="en-US" w:eastAsia="zh-CN" w:bidi="ar"/>
        </w:rPr>
        <w:t>。</w:t>
      </w:r>
    </w:p>
    <w:p w14:paraId="2959358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560" w:lineRule="exact"/>
        <w:ind w:left="410" w:leftChars="0" w:firstLine="640" w:firstLineChars="0"/>
        <w:jc w:val="both"/>
        <w:textAlignment w:val="auto"/>
        <w:rPr>
          <w:rFonts w:hint="eastAsia" w:ascii="黑体" w:hAnsi="Times New Roman" w:eastAsia="黑体" w:cs="Times New Roman"/>
          <w:color w:val="auto"/>
          <w:kern w:val="2"/>
          <w:sz w:val="32"/>
          <w:szCs w:val="32"/>
          <w:lang w:val="en-US" w:eastAsia="zh-CN" w:bidi="ar-SA"/>
        </w:rPr>
      </w:pPr>
      <w:r>
        <w:rPr>
          <w:rFonts w:hint="eastAsia" w:ascii="黑体" w:hAnsi="Times New Roman" w:eastAsia="黑体" w:cs="Times New Roman"/>
          <w:color w:val="auto"/>
          <w:kern w:val="2"/>
          <w:sz w:val="32"/>
          <w:szCs w:val="32"/>
          <w:lang w:val="en-US" w:eastAsia="zh-CN" w:bidi="ar-SA"/>
        </w:rPr>
        <w:t>3.</w:t>
      </w:r>
      <w:r>
        <w:rPr>
          <w:rFonts w:hint="eastAsia" w:ascii="仿宋" w:hAnsi="宋体" w:eastAsia="仿宋" w:cs="宋体"/>
          <w:color w:val="auto"/>
          <w:kern w:val="0"/>
          <w:sz w:val="32"/>
          <w:szCs w:val="32"/>
          <w:lang w:val="en-US" w:eastAsia="zh-CN" w:bidi="ar"/>
        </w:rPr>
        <w:t>设职能科室：院感科、党政办公室、医务科、护理部、信息科、病案统计科、财务科、后勤保障科。  </w:t>
      </w:r>
    </w:p>
    <w:p w14:paraId="28D6B013">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（二）机构职能。</w:t>
      </w:r>
    </w:p>
    <w:p w14:paraId="338107CB">
      <w:pPr>
        <w:pStyle w:val="6"/>
        <w:keepNext w:val="0"/>
        <w:keepLines w:val="0"/>
        <w:pageBreakBefore w:val="0"/>
        <w:kinsoku/>
        <w:wordWrap/>
        <w:overflowPunct/>
        <w:topLinePunct w:val="0"/>
        <w:autoSpaceDE/>
        <w:autoSpaceDN/>
        <w:bidi w:val="0"/>
        <w:adjustRightInd w:val="0"/>
        <w:snapToGrid w:val="0"/>
        <w:spacing w:line="560" w:lineRule="exact"/>
        <w:ind w:right="0" w:rightChars="0" w:firstLine="640" w:firstLineChars="200"/>
        <w:textAlignment w:val="auto"/>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val="0"/>
          <w:bCs/>
          <w:kern w:val="0"/>
          <w:sz w:val="32"/>
          <w:szCs w:val="32"/>
          <w:lang w:val="en-US" w:eastAsia="zh-CN" w:bidi="ar"/>
        </w:rPr>
        <w:t>1.作为全县医疗业务技术服务中心，承担县内常见病、多发病的诊治任务，开展二级专科服务，承担急危重症抢救和复杂疑难病症诊治任务；2.作为县人民医院承担120急救和突发事故的现场抢救及院内急救；3.接受下级医疗卫生机构的转诊，指导乡（镇）卫生院做好医疗、康复、预防保健等业务技术工作；4.贯彻执行传染病预防诊治和管理工作，开展健康教育进行防病指导；5.承担基层医疗卫生机构卫生技术人员的进修和培训，承担医院校临床教学、实习任务；6.做好城镇职工基本医疗保险、城镇居民基本医疗保险等定点医疗机构的各项工作。参与卫生扶贫、重要会议与重大活动的医疗卫生保障工作。承担县委政府及县卫健局交办的其他卫生工作。</w:t>
      </w:r>
    </w:p>
    <w:p w14:paraId="73908BA9">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（三）人员概况。</w:t>
      </w:r>
    </w:p>
    <w:p w14:paraId="423CF0B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截至202</w:t>
      </w:r>
      <w:r>
        <w:rPr>
          <w:rFonts w:hint="eastAsia" w:ascii="仿宋" w:hAnsi="仿宋" w:eastAsia="仿宋" w:cs="仿宋"/>
          <w:sz w:val="32"/>
          <w:szCs w:val="32"/>
          <w:lang w:val="en-US" w:eastAsia="zh-CN"/>
        </w:rPr>
        <w:t>5</w:t>
      </w:r>
      <w:r>
        <w:rPr>
          <w:rFonts w:hint="eastAsia" w:ascii="仿宋" w:hAnsi="仿宋" w:eastAsia="仿宋" w:cs="仿宋"/>
          <w:sz w:val="32"/>
          <w:szCs w:val="32"/>
        </w:rPr>
        <w:t>年末，</w:t>
      </w:r>
      <w:r>
        <w:rPr>
          <w:rFonts w:hint="eastAsia" w:ascii="仿宋" w:hAnsi="仿宋" w:eastAsia="仿宋" w:cs="仿宋"/>
          <w:b w:val="0"/>
          <w:bCs/>
          <w:kern w:val="0"/>
          <w:sz w:val="32"/>
          <w:szCs w:val="32"/>
          <w:lang w:val="zh-CN" w:eastAsia="zh-CN" w:bidi="ar"/>
        </w:rPr>
        <w:t>本单位编制人数</w:t>
      </w:r>
      <w:r>
        <w:rPr>
          <w:rFonts w:hint="eastAsia" w:ascii="仿宋" w:hAnsi="仿宋" w:eastAsia="仿宋" w:cs="仿宋"/>
          <w:b w:val="0"/>
          <w:bCs/>
          <w:kern w:val="0"/>
          <w:sz w:val="32"/>
          <w:szCs w:val="32"/>
          <w:lang w:val="en-US" w:eastAsia="zh-CN" w:bidi="ar"/>
        </w:rPr>
        <w:t>117</w:t>
      </w:r>
      <w:r>
        <w:rPr>
          <w:rFonts w:hint="eastAsia" w:ascii="仿宋" w:hAnsi="仿宋" w:eastAsia="仿宋" w:cs="仿宋"/>
          <w:b w:val="0"/>
          <w:bCs/>
          <w:kern w:val="0"/>
          <w:sz w:val="32"/>
          <w:szCs w:val="32"/>
          <w:lang w:val="zh-CN" w:eastAsia="zh-CN" w:bidi="ar"/>
        </w:rPr>
        <w:t>人，全部为事业编制；</w:t>
      </w:r>
      <w:r>
        <w:rPr>
          <w:rFonts w:hint="eastAsia" w:ascii="仿宋" w:hAnsi="仿宋" w:eastAsia="仿宋" w:cs="仿宋"/>
          <w:b w:val="0"/>
          <w:bCs/>
          <w:kern w:val="0"/>
          <w:sz w:val="32"/>
          <w:szCs w:val="32"/>
          <w:lang w:val="en-US" w:eastAsia="zh-CN" w:bidi="ar"/>
        </w:rPr>
        <w:t>年末</w:t>
      </w:r>
      <w:r>
        <w:rPr>
          <w:rFonts w:hint="eastAsia" w:ascii="仿宋" w:hAnsi="仿宋" w:eastAsia="仿宋" w:cs="仿宋"/>
          <w:b w:val="0"/>
          <w:bCs/>
          <w:kern w:val="0"/>
          <w:sz w:val="32"/>
          <w:szCs w:val="32"/>
          <w:lang w:val="zh-CN" w:eastAsia="zh-CN" w:bidi="ar"/>
        </w:rPr>
        <w:t>实有人数</w:t>
      </w:r>
      <w:r>
        <w:rPr>
          <w:rFonts w:hint="eastAsia" w:ascii="仿宋" w:hAnsi="仿宋" w:eastAsia="仿宋" w:cs="仿宋"/>
          <w:b w:val="0"/>
          <w:bCs/>
          <w:kern w:val="0"/>
          <w:sz w:val="32"/>
          <w:szCs w:val="32"/>
          <w:lang w:val="en-US" w:eastAsia="zh-CN" w:bidi="ar"/>
        </w:rPr>
        <w:t>117</w:t>
      </w:r>
      <w:r>
        <w:rPr>
          <w:rFonts w:hint="eastAsia" w:ascii="仿宋" w:hAnsi="仿宋" w:eastAsia="仿宋" w:cs="仿宋"/>
          <w:b w:val="0"/>
          <w:bCs/>
          <w:kern w:val="0"/>
          <w:sz w:val="32"/>
          <w:szCs w:val="32"/>
          <w:lang w:val="zh-CN" w:eastAsia="zh-CN" w:bidi="ar"/>
        </w:rPr>
        <w:t>人。</w:t>
      </w:r>
    </w:p>
    <w:p w14:paraId="1636318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rPr>
      </w:pPr>
      <w:r>
        <w:rPr>
          <w:rFonts w:hint="default" w:ascii="Times New Roman" w:hAnsi="Times New Roman" w:eastAsia="黑体" w:cs="Times New Roman"/>
          <w:color w:val="000000"/>
          <w:kern w:val="0"/>
          <w:sz w:val="32"/>
          <w:szCs w:val="32"/>
          <w:highlight w:val="none"/>
          <w:shd w:val="clear" w:color="auto" w:fill="FFFFFF"/>
        </w:rPr>
        <w:t>二、</w:t>
      </w:r>
      <w:r>
        <w:rPr>
          <w:rFonts w:hint="default" w:ascii="Times New Roman" w:hAnsi="Times New Roman" w:eastAsia="黑体" w:cs="Times New Roman"/>
          <w:color w:val="000000"/>
          <w:kern w:val="0"/>
          <w:sz w:val="32"/>
          <w:szCs w:val="32"/>
          <w:highlight w:val="none"/>
          <w:shd w:val="clear" w:color="auto" w:fill="FFFFFF"/>
          <w:lang w:eastAsia="zh-CN"/>
        </w:rPr>
        <w:t>部门</w:t>
      </w:r>
      <w:r>
        <w:rPr>
          <w:rFonts w:hint="default" w:ascii="Times New Roman" w:hAnsi="Times New Roman" w:eastAsia="黑体" w:cs="Times New Roman"/>
          <w:color w:val="000000"/>
          <w:kern w:val="0"/>
          <w:sz w:val="32"/>
          <w:szCs w:val="32"/>
          <w:highlight w:val="none"/>
          <w:shd w:val="clear" w:color="auto" w:fill="FFFFFF"/>
        </w:rPr>
        <w:t>资金收支情况</w:t>
      </w:r>
    </w:p>
    <w:p w14:paraId="7BB8A27F">
      <w:pPr>
        <w:pStyle w:val="8"/>
        <w:keepNext w:val="0"/>
        <w:keepLines w:val="0"/>
        <w:pageBreakBefore w:val="0"/>
        <w:kinsoku/>
        <w:wordWrap/>
        <w:overflowPunct/>
        <w:topLinePunct w:val="0"/>
        <w:bidi w:val="0"/>
        <w:spacing w:line="560" w:lineRule="exact"/>
        <w:ind w:left="0" w:leftChars="0" w:firstLine="643" w:firstLineChars="200"/>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（一）收入情况。</w:t>
      </w:r>
    </w:p>
    <w:p w14:paraId="07E99F0D">
      <w:pPr>
        <w:pStyle w:val="8"/>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cs="仿宋"/>
          <w:b/>
          <w:bCs/>
          <w:color w:val="000000"/>
          <w:kern w:val="0"/>
          <w:sz w:val="32"/>
          <w:szCs w:val="32"/>
          <w:highlight w:val="none"/>
          <w:shd w:val="clear" w:color="auto" w:fill="FFFFFF"/>
          <w:lang w:val="en-US"/>
        </w:rPr>
      </w:pPr>
      <w:r>
        <w:rPr>
          <w:rFonts w:hint="eastAsia" w:ascii="仿宋" w:hAnsi="仿宋" w:eastAsia="仿宋" w:cs="仿宋"/>
          <w:color w:val="000000"/>
          <w:kern w:val="0"/>
          <w:sz w:val="32"/>
          <w:szCs w:val="32"/>
          <w:shd w:val="clear" w:color="auto" w:fill="FFFFFF"/>
          <w:lang w:val="en-US" w:eastAsia="zh-CN" w:bidi="ar-SA"/>
        </w:rPr>
        <w:t>单位2025年年初预算收入</w:t>
      </w:r>
      <w:r>
        <w:rPr>
          <w:rFonts w:hint="eastAsia" w:ascii="仿宋" w:hAnsi="仿宋" w:eastAsia="仿宋" w:cs="仿宋"/>
          <w:color w:val="000000"/>
          <w:kern w:val="0"/>
          <w:sz w:val="32"/>
          <w:szCs w:val="32"/>
          <w:highlight w:val="none"/>
          <w:shd w:val="clear" w:color="auto" w:fill="FFFFFF"/>
          <w:lang w:val="en-US" w:eastAsia="zh-CN" w:bidi="ar-SA"/>
        </w:rPr>
        <w:t>5047</w:t>
      </w:r>
      <w:r>
        <w:rPr>
          <w:rFonts w:hint="eastAsia" w:ascii="仿宋" w:hAnsi="仿宋" w:eastAsia="仿宋" w:cs="仿宋"/>
          <w:color w:val="000000"/>
          <w:kern w:val="0"/>
          <w:sz w:val="32"/>
          <w:szCs w:val="32"/>
          <w:shd w:val="clear" w:color="auto" w:fill="FFFFFF"/>
          <w:lang w:val="en-US" w:eastAsia="zh-CN" w:bidi="ar-SA"/>
        </w:rPr>
        <w:t>万元，决算报表收入6495.11万元。2025年事业收入2532.75万元，占39%。财政收入总计3962.37万元，占 61%，其中：一般公共预算财政拨款收入3962.37万元，占 100%；政府性基金预算财政拨款收入0万元，占0%；国有资本经营预算财政拨款收入0.00万元，占 0.00%，</w:t>
      </w:r>
    </w:p>
    <w:p w14:paraId="109A7B47">
      <w:pPr>
        <w:keepNext w:val="0"/>
        <w:keepLines w:val="0"/>
        <w:pageBreakBefore w:val="0"/>
        <w:widowControl/>
        <w:numPr>
          <w:ilvl w:val="0"/>
          <w:numId w:val="9"/>
        </w:numPr>
        <w:kinsoku/>
        <w:wordWrap/>
        <w:overflowPunct/>
        <w:topLinePunct w:val="0"/>
        <w:bidi w:val="0"/>
        <w:adjustRightInd w:val="0"/>
        <w:snapToGrid w:val="0"/>
        <w:spacing w:line="560" w:lineRule="exact"/>
        <w:ind w:firstLine="643" w:firstLineChars="200"/>
        <w:contextualSpacing/>
        <w:jc w:val="left"/>
        <w:rPr>
          <w:rFonts w:hint="eastAsia" w:ascii="仿宋" w:hAnsi="仿宋" w:eastAsia="仿宋" w:cs="仿宋"/>
          <w:b/>
          <w:bCs/>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支出情况。</w:t>
      </w:r>
    </w:p>
    <w:p w14:paraId="1F24D0A3">
      <w:pPr>
        <w:keepNext w:val="0"/>
        <w:keepLines w:val="0"/>
        <w:pageBreakBefore w:val="0"/>
        <w:widowControl/>
        <w:numPr>
          <w:ilvl w:val="0"/>
          <w:numId w:val="0"/>
        </w:numPr>
        <w:kinsoku/>
        <w:wordWrap/>
        <w:overflowPunct/>
        <w:topLinePunct w:val="0"/>
        <w:bidi w:val="0"/>
        <w:adjustRightInd w:val="0"/>
        <w:snapToGrid w:val="0"/>
        <w:spacing w:line="560" w:lineRule="exact"/>
        <w:ind w:firstLine="640" w:firstLineChars="200"/>
        <w:contextualSpacing/>
        <w:jc w:val="left"/>
        <w:rPr>
          <w:rFonts w:hint="eastAsia" w:ascii="仿宋" w:hAnsi="仿宋" w:eastAsia="仿宋" w:cs="仿宋"/>
          <w:color w:val="000000"/>
          <w:kern w:val="0"/>
          <w:sz w:val="32"/>
          <w:szCs w:val="32"/>
          <w:shd w:val="clear" w:color="auto" w:fill="FFFFFF"/>
          <w:lang w:val="en-US" w:eastAsia="zh-CN" w:bidi="ar-SA"/>
        </w:rPr>
      </w:pPr>
      <w:r>
        <w:rPr>
          <w:rFonts w:hint="eastAsia" w:ascii="仿宋" w:hAnsi="仿宋" w:eastAsia="仿宋" w:cs="仿宋"/>
          <w:color w:val="000000"/>
          <w:kern w:val="0"/>
          <w:sz w:val="32"/>
          <w:szCs w:val="32"/>
          <w:shd w:val="clear" w:color="auto" w:fill="FFFFFF"/>
          <w:lang w:val="en-US" w:eastAsia="zh-CN" w:bidi="ar-SA"/>
        </w:rPr>
        <w:t>单位2025年年初预算支出情况</w:t>
      </w:r>
      <w:r>
        <w:rPr>
          <w:rFonts w:hint="eastAsia" w:ascii="仿宋" w:hAnsi="仿宋" w:eastAsia="仿宋" w:cs="仿宋"/>
          <w:color w:val="000000"/>
          <w:kern w:val="0"/>
          <w:sz w:val="32"/>
          <w:szCs w:val="32"/>
          <w:highlight w:val="none"/>
          <w:shd w:val="clear" w:color="auto" w:fill="FFFFFF"/>
          <w:lang w:val="en-US" w:eastAsia="zh-CN" w:bidi="ar-SA"/>
        </w:rPr>
        <w:t>5606.52</w:t>
      </w:r>
      <w:r>
        <w:rPr>
          <w:rFonts w:hint="eastAsia" w:ascii="仿宋" w:hAnsi="仿宋" w:eastAsia="仿宋" w:cs="仿宋"/>
          <w:color w:val="000000"/>
          <w:kern w:val="0"/>
          <w:sz w:val="32"/>
          <w:szCs w:val="32"/>
          <w:shd w:val="clear" w:color="auto" w:fill="FFFFFF"/>
          <w:lang w:val="en-US" w:eastAsia="zh-CN" w:bidi="ar-SA"/>
        </w:rPr>
        <w:t>万元，决算报表支出6156.55万元。</w:t>
      </w:r>
      <w:r>
        <w:rPr>
          <w:rFonts w:hint="eastAsia" w:ascii="仿宋" w:hAnsi="仿宋" w:eastAsia="仿宋" w:cs="仿宋"/>
          <w:color w:val="000000"/>
          <w:kern w:val="0"/>
          <w:sz w:val="32"/>
          <w:szCs w:val="32"/>
          <w:shd w:val="clear" w:color="auto" w:fill="FFFFFF"/>
          <w:lang w:val="zh-CN" w:eastAsia="zh-CN" w:bidi="ar-SA"/>
        </w:rPr>
        <w:t>202</w:t>
      </w:r>
      <w:r>
        <w:rPr>
          <w:rFonts w:hint="eastAsia" w:ascii="仿宋" w:hAnsi="仿宋" w:eastAsia="仿宋" w:cs="仿宋"/>
          <w:color w:val="000000"/>
          <w:kern w:val="0"/>
          <w:sz w:val="32"/>
          <w:szCs w:val="32"/>
          <w:shd w:val="clear" w:color="auto" w:fill="FFFFFF"/>
          <w:lang w:val="en-US" w:eastAsia="zh-CN" w:bidi="ar-SA"/>
        </w:rPr>
        <w:t>5</w:t>
      </w:r>
      <w:r>
        <w:rPr>
          <w:rFonts w:hint="eastAsia" w:ascii="仿宋" w:hAnsi="仿宋" w:eastAsia="仿宋" w:cs="仿宋"/>
          <w:color w:val="000000"/>
          <w:kern w:val="0"/>
          <w:sz w:val="32"/>
          <w:szCs w:val="32"/>
          <w:shd w:val="clear" w:color="auto" w:fill="FFFFFF"/>
          <w:lang w:val="zh-CN" w:eastAsia="zh-CN" w:bidi="ar-SA"/>
        </w:rPr>
        <w:t>年</w:t>
      </w:r>
      <w:r>
        <w:rPr>
          <w:rFonts w:hint="eastAsia" w:ascii="仿宋" w:hAnsi="仿宋" w:eastAsia="仿宋" w:cs="仿宋"/>
          <w:color w:val="000000"/>
          <w:kern w:val="0"/>
          <w:sz w:val="32"/>
          <w:szCs w:val="32"/>
          <w:shd w:val="clear" w:color="auto" w:fill="FFFFFF"/>
          <w:lang w:val="en-US" w:eastAsia="zh-CN" w:bidi="ar-SA"/>
        </w:rPr>
        <w:t>事业支出2194.18万元</w:t>
      </w:r>
      <w:r>
        <w:rPr>
          <w:rFonts w:hint="eastAsia" w:ascii="仿宋" w:hAnsi="仿宋" w:eastAsia="仿宋" w:cs="仿宋"/>
          <w:color w:val="000000"/>
          <w:kern w:val="0"/>
          <w:sz w:val="32"/>
          <w:szCs w:val="32"/>
          <w:shd w:val="clear" w:color="auto" w:fill="FFFFFF"/>
          <w:lang w:val="zh-CN" w:eastAsia="zh-CN" w:bidi="ar-SA"/>
        </w:rPr>
        <w:t>，占</w:t>
      </w:r>
      <w:r>
        <w:rPr>
          <w:rFonts w:hint="eastAsia" w:ascii="仿宋" w:hAnsi="仿宋" w:eastAsia="仿宋" w:cs="仿宋"/>
          <w:color w:val="000000"/>
          <w:kern w:val="0"/>
          <w:sz w:val="32"/>
          <w:szCs w:val="32"/>
          <w:shd w:val="clear" w:color="auto" w:fill="FFFFFF"/>
          <w:lang w:val="en-US" w:eastAsia="zh-CN" w:bidi="ar-SA"/>
        </w:rPr>
        <w:t>35.64</w:t>
      </w:r>
      <w:r>
        <w:rPr>
          <w:rFonts w:hint="eastAsia" w:ascii="仿宋" w:hAnsi="仿宋" w:eastAsia="仿宋" w:cs="仿宋"/>
          <w:color w:val="000000"/>
          <w:kern w:val="0"/>
          <w:sz w:val="32"/>
          <w:szCs w:val="32"/>
          <w:shd w:val="clear" w:color="auto" w:fill="FFFFFF"/>
          <w:lang w:val="zh-CN" w:eastAsia="zh-CN" w:bidi="ar-SA"/>
        </w:rPr>
        <w:t>%</w:t>
      </w:r>
      <w:r>
        <w:rPr>
          <w:rFonts w:hint="eastAsia" w:ascii="仿宋" w:hAnsi="仿宋" w:eastAsia="仿宋" w:cs="仿宋"/>
          <w:color w:val="000000"/>
          <w:kern w:val="0"/>
          <w:sz w:val="32"/>
          <w:szCs w:val="32"/>
          <w:shd w:val="clear" w:color="auto" w:fill="FFFFFF"/>
          <w:lang w:val="en-US" w:eastAsia="zh-CN" w:bidi="ar-SA"/>
        </w:rPr>
        <w:t>，</w:t>
      </w:r>
      <w:r>
        <w:rPr>
          <w:rFonts w:hint="eastAsia" w:ascii="仿宋" w:hAnsi="仿宋" w:eastAsia="仿宋" w:cs="仿宋"/>
          <w:color w:val="000000"/>
          <w:kern w:val="0"/>
          <w:sz w:val="32"/>
          <w:szCs w:val="32"/>
          <w:shd w:val="clear" w:color="auto" w:fill="FFFFFF"/>
          <w:lang w:val="zh-CN" w:eastAsia="zh-CN" w:bidi="ar-SA"/>
        </w:rPr>
        <w:t>主要用于卫生健康支出（类）</w:t>
      </w:r>
      <w:r>
        <w:rPr>
          <w:rFonts w:hint="eastAsia" w:ascii="仿宋" w:hAnsi="仿宋" w:eastAsia="仿宋" w:cs="仿宋"/>
          <w:color w:val="000000"/>
          <w:kern w:val="0"/>
          <w:sz w:val="32"/>
          <w:szCs w:val="32"/>
          <w:shd w:val="clear" w:color="auto" w:fill="FFFFFF"/>
          <w:lang w:val="en-US" w:eastAsia="zh-CN" w:bidi="ar-SA"/>
        </w:rPr>
        <w:t>3360.08万元。</w:t>
      </w:r>
      <w:r>
        <w:rPr>
          <w:rFonts w:hint="eastAsia" w:ascii="仿宋" w:hAnsi="仿宋" w:eastAsia="仿宋" w:cs="仿宋"/>
          <w:color w:val="000000"/>
          <w:kern w:val="0"/>
          <w:sz w:val="32"/>
          <w:szCs w:val="32"/>
          <w:shd w:val="clear" w:color="auto" w:fill="FFFFFF"/>
          <w:lang w:val="zh-CN" w:eastAsia="zh-CN" w:bidi="ar-SA"/>
        </w:rPr>
        <w:t>202</w:t>
      </w:r>
      <w:r>
        <w:rPr>
          <w:rFonts w:hint="eastAsia" w:ascii="仿宋" w:hAnsi="仿宋" w:eastAsia="仿宋" w:cs="仿宋"/>
          <w:color w:val="000000"/>
          <w:kern w:val="0"/>
          <w:sz w:val="32"/>
          <w:szCs w:val="32"/>
          <w:shd w:val="clear" w:color="auto" w:fill="FFFFFF"/>
          <w:lang w:val="en-US" w:eastAsia="zh-CN" w:bidi="ar-SA"/>
        </w:rPr>
        <w:t>5</w:t>
      </w:r>
      <w:r>
        <w:rPr>
          <w:rFonts w:hint="eastAsia" w:ascii="仿宋" w:hAnsi="仿宋" w:eastAsia="仿宋" w:cs="仿宋"/>
          <w:color w:val="000000"/>
          <w:kern w:val="0"/>
          <w:sz w:val="32"/>
          <w:szCs w:val="32"/>
          <w:shd w:val="clear" w:color="auto" w:fill="FFFFFF"/>
          <w:lang w:val="zh-CN" w:eastAsia="zh-CN" w:bidi="ar-SA"/>
        </w:rPr>
        <w:t>年一般公共预算财政拨款支出</w:t>
      </w:r>
      <w:r>
        <w:rPr>
          <w:rFonts w:hint="eastAsia" w:ascii="仿宋" w:hAnsi="仿宋" w:eastAsia="仿宋" w:cs="仿宋"/>
          <w:color w:val="000000"/>
          <w:kern w:val="0"/>
          <w:sz w:val="32"/>
          <w:szCs w:val="32"/>
          <w:shd w:val="clear" w:color="auto" w:fill="FFFFFF"/>
          <w:lang w:val="en-US" w:eastAsia="zh-CN" w:bidi="ar-SA"/>
        </w:rPr>
        <w:t>3962.37</w:t>
      </w:r>
      <w:r>
        <w:rPr>
          <w:rFonts w:hint="eastAsia" w:ascii="仿宋" w:hAnsi="仿宋" w:eastAsia="仿宋" w:cs="仿宋"/>
          <w:color w:val="000000"/>
          <w:kern w:val="0"/>
          <w:sz w:val="32"/>
          <w:szCs w:val="32"/>
          <w:shd w:val="clear" w:color="auto" w:fill="FFFFFF"/>
          <w:lang w:val="zh-CN" w:eastAsia="zh-CN" w:bidi="ar-SA"/>
        </w:rPr>
        <w:t>万元，占</w:t>
      </w:r>
      <w:r>
        <w:rPr>
          <w:rFonts w:hint="eastAsia" w:ascii="仿宋" w:hAnsi="仿宋" w:eastAsia="仿宋" w:cs="仿宋"/>
          <w:color w:val="000000"/>
          <w:kern w:val="0"/>
          <w:sz w:val="32"/>
          <w:szCs w:val="32"/>
          <w:shd w:val="clear" w:color="auto" w:fill="FFFFFF"/>
          <w:lang w:val="en-US" w:eastAsia="zh-CN" w:bidi="ar-SA"/>
        </w:rPr>
        <w:t>66.58</w:t>
      </w:r>
      <w:r>
        <w:rPr>
          <w:rFonts w:hint="eastAsia" w:ascii="仿宋" w:hAnsi="仿宋" w:eastAsia="仿宋" w:cs="仿宋"/>
          <w:color w:val="000000"/>
          <w:kern w:val="0"/>
          <w:sz w:val="32"/>
          <w:szCs w:val="32"/>
          <w:shd w:val="clear" w:color="auto" w:fill="FFFFFF"/>
          <w:lang w:val="zh-CN" w:eastAsia="zh-CN" w:bidi="ar-SA"/>
        </w:rPr>
        <w:t>%，主要用于以下方面:卫生健康支出（类）</w:t>
      </w:r>
      <w:r>
        <w:rPr>
          <w:rFonts w:hint="eastAsia" w:ascii="仿宋" w:hAnsi="仿宋" w:eastAsia="仿宋" w:cs="仿宋"/>
          <w:color w:val="000000"/>
          <w:kern w:val="0"/>
          <w:sz w:val="32"/>
          <w:szCs w:val="32"/>
          <w:shd w:val="clear" w:color="auto" w:fill="FFFFFF"/>
          <w:lang w:val="en-US" w:eastAsia="zh-CN" w:bidi="ar-SA"/>
        </w:rPr>
        <w:t>3360.08</w:t>
      </w:r>
      <w:r>
        <w:rPr>
          <w:rFonts w:hint="eastAsia" w:ascii="仿宋" w:hAnsi="仿宋" w:eastAsia="仿宋" w:cs="仿宋"/>
          <w:color w:val="000000"/>
          <w:kern w:val="0"/>
          <w:sz w:val="32"/>
          <w:szCs w:val="32"/>
          <w:shd w:val="clear" w:color="auto" w:fill="FFFFFF"/>
          <w:lang w:val="zh-CN" w:eastAsia="zh-CN" w:bidi="ar-SA"/>
        </w:rPr>
        <w:t>万元，占</w:t>
      </w:r>
      <w:r>
        <w:rPr>
          <w:rFonts w:hint="eastAsia" w:ascii="仿宋" w:hAnsi="仿宋" w:eastAsia="仿宋" w:cs="仿宋"/>
          <w:color w:val="000000"/>
          <w:kern w:val="0"/>
          <w:sz w:val="32"/>
          <w:szCs w:val="32"/>
          <w:shd w:val="clear" w:color="auto" w:fill="FFFFFF"/>
          <w:lang w:val="en-US" w:eastAsia="zh-CN" w:bidi="ar-SA"/>
        </w:rPr>
        <w:t>85.22</w:t>
      </w:r>
      <w:r>
        <w:rPr>
          <w:rFonts w:hint="eastAsia" w:ascii="仿宋" w:hAnsi="仿宋" w:eastAsia="仿宋" w:cs="仿宋"/>
          <w:color w:val="000000"/>
          <w:kern w:val="0"/>
          <w:sz w:val="32"/>
          <w:szCs w:val="32"/>
          <w:shd w:val="clear" w:color="auto" w:fill="FFFFFF"/>
          <w:lang w:val="zh-CN" w:eastAsia="zh-CN" w:bidi="ar-SA"/>
        </w:rPr>
        <w:t>%；</w:t>
      </w:r>
      <w:r>
        <w:rPr>
          <w:rFonts w:hint="eastAsia" w:ascii="仿宋" w:hAnsi="仿宋" w:eastAsia="仿宋" w:cs="仿宋"/>
          <w:color w:val="000000"/>
          <w:kern w:val="0"/>
          <w:sz w:val="32"/>
          <w:szCs w:val="32"/>
          <w:shd w:val="clear" w:color="auto" w:fill="FFFFFF"/>
          <w:lang w:val="en-US" w:eastAsia="zh-CN" w:bidi="ar-SA"/>
        </w:rPr>
        <w:t>社会保障和就业支出381.52，占11.35%；住房保障支出220.76万元，占5.57%。</w:t>
      </w:r>
    </w:p>
    <w:p w14:paraId="2E70C5D2">
      <w:pPr>
        <w:keepNext w:val="0"/>
        <w:keepLines w:val="0"/>
        <w:pageBreakBefore w:val="0"/>
        <w:widowControl/>
        <w:numPr>
          <w:ilvl w:val="0"/>
          <w:numId w:val="9"/>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outlineLvl w:val="9"/>
        <w:rPr>
          <w:rFonts w:hint="eastAsia" w:ascii="仿宋" w:hAnsi="仿宋" w:eastAsia="仿宋" w:cs="仿宋"/>
          <w:b/>
          <w:sz w:val="32"/>
          <w:szCs w:val="32"/>
          <w:lang w:eastAsia="zh-CN"/>
        </w:rPr>
      </w:pPr>
      <w:r>
        <w:rPr>
          <w:rFonts w:hint="eastAsia" w:ascii="仿宋" w:hAnsi="仿宋" w:eastAsia="仿宋" w:cs="仿宋"/>
          <w:b/>
          <w:sz w:val="32"/>
          <w:szCs w:val="32"/>
        </w:rPr>
        <w:t>结余分配和结转结余情况</w:t>
      </w:r>
      <w:r>
        <w:rPr>
          <w:rFonts w:hint="eastAsia" w:ascii="仿宋" w:hAnsi="仿宋" w:eastAsia="仿宋" w:cs="仿宋"/>
          <w:b/>
          <w:sz w:val="32"/>
          <w:szCs w:val="32"/>
          <w:lang w:eastAsia="zh-CN"/>
        </w:rPr>
        <w:t>。</w:t>
      </w:r>
    </w:p>
    <w:p w14:paraId="677D200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 w:val="0"/>
          <w:bCs w:val="0"/>
          <w:color w:val="000000"/>
          <w:kern w:val="0"/>
          <w:sz w:val="32"/>
          <w:szCs w:val="32"/>
          <w:highlight w:val="none"/>
          <w:shd w:val="clear" w:color="auto" w:fill="FFFFFF"/>
          <w:lang w:val="zh-CN" w:eastAsia="zh-CN"/>
        </w:rPr>
      </w:pPr>
      <w:r>
        <w:rPr>
          <w:rFonts w:hint="eastAsia" w:ascii="仿宋" w:hAnsi="仿宋" w:eastAsia="仿宋" w:cs="仿宋"/>
          <w:b w:val="0"/>
          <w:bCs w:val="0"/>
          <w:color w:val="000000"/>
          <w:kern w:val="0"/>
          <w:sz w:val="32"/>
          <w:szCs w:val="32"/>
          <w:highlight w:val="none"/>
          <w:shd w:val="clear" w:color="auto" w:fill="FFFFFF"/>
          <w:lang w:val="en-US" w:eastAsia="zh-CN"/>
        </w:rPr>
        <w:t>本单位</w:t>
      </w:r>
      <w:r>
        <w:rPr>
          <w:rFonts w:hint="eastAsia" w:ascii="仿宋" w:hAnsi="仿宋" w:eastAsia="仿宋" w:cs="仿宋"/>
          <w:sz w:val="32"/>
          <w:szCs w:val="32"/>
          <w:lang w:val="en-US" w:eastAsia="zh-CN"/>
        </w:rPr>
        <w:t>2025年决算报表</w:t>
      </w:r>
      <w:r>
        <w:rPr>
          <w:rFonts w:hint="eastAsia" w:ascii="仿宋" w:hAnsi="仿宋" w:eastAsia="仿宋" w:cs="仿宋"/>
          <w:b w:val="0"/>
          <w:bCs w:val="0"/>
          <w:color w:val="000000"/>
          <w:kern w:val="0"/>
          <w:sz w:val="32"/>
          <w:szCs w:val="32"/>
          <w:highlight w:val="none"/>
          <w:shd w:val="clear" w:color="auto" w:fill="FFFFFF"/>
          <w:lang w:val="en-US" w:eastAsia="zh-CN"/>
        </w:rPr>
        <w:t>结转结余情况。年初结转结余559.49万元、年末结转结余898.05万元。</w:t>
      </w:r>
    </w:p>
    <w:p w14:paraId="4D9A94E9">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themeColor="text1"/>
          <w:kern w:val="0"/>
          <w:sz w:val="32"/>
          <w:szCs w:val="32"/>
          <w:highlight w:val="none"/>
          <w:shd w:val="clear" w:color="auto" w:fill="FFFFFF"/>
          <w14:textFill>
            <w14:solidFill>
              <w14:schemeClr w14:val="tx1"/>
            </w14:solidFill>
          </w14:textFill>
        </w:rPr>
      </w:pPr>
      <w:r>
        <w:rPr>
          <w:rFonts w:hint="default" w:ascii="Times New Roman" w:hAnsi="Times New Roman" w:eastAsia="黑体" w:cs="Times New Roman"/>
          <w:color w:val="000000"/>
          <w:kern w:val="0"/>
          <w:sz w:val="32"/>
          <w:szCs w:val="32"/>
          <w:highlight w:val="none"/>
          <w:shd w:val="clear" w:color="auto" w:fill="FFFFFF"/>
        </w:rPr>
        <w:t>三、</w:t>
      </w:r>
      <w:r>
        <w:rPr>
          <w:rFonts w:hint="default" w:ascii="Times New Roman" w:hAnsi="Times New Roman" w:eastAsia="黑体" w:cs="Times New Roman"/>
          <w:color w:val="000000"/>
          <w:kern w:val="0"/>
          <w:sz w:val="32"/>
          <w:szCs w:val="32"/>
          <w:highlight w:val="none"/>
          <w:u w:val="none"/>
          <w:shd w:val="clear" w:color="auto" w:fill="FFFFFF"/>
        </w:rPr>
        <w:t>部门</w:t>
      </w:r>
      <w:r>
        <w:rPr>
          <w:rFonts w:hint="default" w:ascii="Times New Roman" w:hAnsi="Times New Roman" w:eastAsia="黑体" w:cs="Times New Roman"/>
          <w:color w:val="000000"/>
          <w:kern w:val="0"/>
          <w:sz w:val="32"/>
          <w:szCs w:val="32"/>
          <w:highlight w:val="none"/>
          <w:u w:val="none"/>
          <w:shd w:val="clear" w:color="auto" w:fill="FFFFFF"/>
          <w:lang w:eastAsia="zh-CN"/>
        </w:rPr>
        <w:t>预算</w:t>
      </w:r>
      <w:r>
        <w:rPr>
          <w:rFonts w:hint="default" w:ascii="Times New Roman" w:hAnsi="Times New Roman" w:eastAsia="黑体" w:cs="Times New Roman"/>
          <w:color w:val="000000"/>
          <w:kern w:val="0"/>
          <w:sz w:val="32"/>
          <w:szCs w:val="32"/>
          <w:highlight w:val="none"/>
          <w:u w:val="none"/>
          <w:shd w:val="clear" w:color="auto" w:fill="FFFFFF"/>
        </w:rPr>
        <w:t>绩效</w:t>
      </w:r>
      <w:r>
        <w:rPr>
          <w:rFonts w:hint="default" w:ascii="Times New Roman" w:hAnsi="Times New Roman" w:eastAsia="黑体" w:cs="Times New Roman"/>
          <w:color w:val="000000"/>
          <w:kern w:val="0"/>
          <w:sz w:val="32"/>
          <w:szCs w:val="32"/>
          <w:highlight w:val="none"/>
          <w:u w:val="none"/>
          <w:shd w:val="clear" w:color="auto" w:fill="FFFFFF"/>
          <w:lang w:eastAsia="zh-CN"/>
        </w:rPr>
        <w:t>分析</w:t>
      </w:r>
    </w:p>
    <w:p w14:paraId="46B9393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 w:hAnsi="仿宋" w:eastAsia="仿宋" w:cs="仿宋"/>
          <w:color w:val="000000"/>
          <w:kern w:val="0"/>
          <w:sz w:val="32"/>
          <w:szCs w:val="32"/>
          <w:highlight w:val="none"/>
          <w:shd w:val="clear" w:color="auto" w:fill="FFFFFF"/>
          <w:lang w:val="zh-CN"/>
        </w:rPr>
      </w:pPr>
      <w:r>
        <w:rPr>
          <w:rFonts w:hint="eastAsia" w:ascii="仿宋" w:hAnsi="仿宋" w:eastAsia="仿宋" w:cs="仿宋"/>
          <w:b/>
          <w:bCs/>
          <w:color w:val="000000"/>
          <w:kern w:val="0"/>
          <w:sz w:val="32"/>
          <w:szCs w:val="32"/>
          <w:highlight w:val="none"/>
          <w:shd w:val="clear" w:color="auto" w:fill="FFFFFF"/>
          <w:lang w:val="zh-CN"/>
        </w:rPr>
        <w:t>（一）部门预算总体绩效分析。</w:t>
      </w:r>
    </w:p>
    <w:p w14:paraId="2586B3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1.</w:t>
      </w:r>
      <w:r>
        <w:rPr>
          <w:rFonts w:hint="eastAsia" w:ascii="仿宋" w:hAnsi="仿宋" w:eastAsia="仿宋" w:cs="仿宋"/>
          <w:color w:val="auto"/>
          <w:kern w:val="0"/>
          <w:sz w:val="32"/>
          <w:szCs w:val="32"/>
          <w:highlight w:val="none"/>
          <w:shd w:val="clear" w:color="auto" w:fill="FFFFFF"/>
          <w:lang w:val="zh-CN"/>
        </w:rPr>
        <w:t>履职效能。</w:t>
      </w:r>
    </w:p>
    <w:p w14:paraId="7DCD1A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zh-CN"/>
        </w:rPr>
        <w:t>本年度，我院严格履行县级公立医院公益职能，依托部门整体预算保障，全面落实基本医疗服务、基本公共卫生服务、重大疾病防控、健康促进与行业管理等法定履职任务，预算资金与履职需求高度匹配，整体履职效能稳步提升，财政资金保障作用充分彰显。</w:t>
      </w:r>
    </w:p>
    <w:p w14:paraId="63E032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zh-CN"/>
        </w:rPr>
        <w:t>一是基本医疗履职高效落实。依托基本支出经费保障，持续完善院内科室设置、诊疗流程、人员运维及日常运转保障，全面开展门急诊、住院诊疗、手术救治、危急重症处置等基础医疗服务。诊疗服务总量稳定，诊疗质量持续规范，平均住院日控制合理，床位使用效率稳步提升，有效满足</w:t>
      </w:r>
      <w:r>
        <w:rPr>
          <w:rFonts w:hint="eastAsia" w:ascii="仿宋" w:hAnsi="仿宋" w:eastAsia="仿宋" w:cs="仿宋"/>
          <w:color w:val="auto"/>
          <w:kern w:val="0"/>
          <w:sz w:val="32"/>
          <w:szCs w:val="32"/>
          <w:highlight w:val="none"/>
          <w:shd w:val="clear" w:color="auto" w:fill="FFFFFF"/>
          <w:lang w:val="en-US" w:eastAsia="zh-CN"/>
        </w:rPr>
        <w:t>县域内</w:t>
      </w:r>
      <w:r>
        <w:rPr>
          <w:rFonts w:hint="eastAsia" w:ascii="仿宋" w:hAnsi="仿宋" w:eastAsia="仿宋" w:cs="仿宋"/>
          <w:color w:val="auto"/>
          <w:kern w:val="0"/>
          <w:sz w:val="32"/>
          <w:szCs w:val="32"/>
          <w:highlight w:val="none"/>
          <w:shd w:val="clear" w:color="auto" w:fill="FFFFFF"/>
          <w:lang w:val="zh-CN"/>
        </w:rPr>
        <w:t>群众常见病、多发病就医需求，县域就近就医保障能力持续增强，充分发挥县级公立医院龙头兜底作用。</w:t>
      </w:r>
    </w:p>
    <w:p w14:paraId="1D6AAC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zh-CN"/>
        </w:rPr>
        <w:t>二是公共卫生与专项防控履职扎实到位。依托财政专项项目资金，常态化开展重大疾病（艾滋病、结核病）防控、传染病监测报告、重点人群筛查、病例随访管理、健康宣教、业务培训等专项工作。严格落实传染病“早发现、早报告、早处置”工作要求，有效夯实</w:t>
      </w:r>
      <w:r>
        <w:rPr>
          <w:rFonts w:hint="eastAsia" w:ascii="仿宋" w:hAnsi="仿宋" w:eastAsia="仿宋" w:cs="仿宋"/>
          <w:color w:val="auto"/>
          <w:kern w:val="0"/>
          <w:sz w:val="32"/>
          <w:szCs w:val="32"/>
          <w:highlight w:val="none"/>
          <w:shd w:val="clear" w:color="auto" w:fill="FFFFFF"/>
          <w:lang w:val="en-US" w:eastAsia="zh-CN"/>
        </w:rPr>
        <w:t>县域内</w:t>
      </w:r>
      <w:r>
        <w:rPr>
          <w:rFonts w:hint="eastAsia" w:ascii="仿宋" w:hAnsi="仿宋" w:eastAsia="仿宋" w:cs="仿宋"/>
          <w:color w:val="auto"/>
          <w:kern w:val="0"/>
          <w:sz w:val="32"/>
          <w:szCs w:val="32"/>
          <w:highlight w:val="none"/>
          <w:shd w:val="clear" w:color="auto" w:fill="FFFFFF"/>
          <w:lang w:val="zh-CN"/>
        </w:rPr>
        <w:t>重大传染病防控屏障，公共卫生履职成效显著。</w:t>
      </w:r>
    </w:p>
    <w:p w14:paraId="2024F4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FF0000"/>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zh-CN"/>
        </w:rPr>
        <w:t>三是项目执行履职规范有序。年度各类卫生专项项目严格按照绩效目标、实施方案及财政资金管理要求组织实施，项目立项合规、执行有序、台账完善、资料归档完整。专项资金坚持专款专用、专账核算，无截留、挪用、超范围支出情况，项目产出达标、效益落地良好，专项履职任务全面落地见效。</w:t>
      </w:r>
    </w:p>
    <w:p w14:paraId="46A5B99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FF0000"/>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2.</w:t>
      </w:r>
      <w:r>
        <w:rPr>
          <w:rFonts w:hint="eastAsia" w:ascii="仿宋" w:hAnsi="仿宋" w:eastAsia="仿宋" w:cs="仿宋"/>
          <w:color w:val="auto"/>
          <w:kern w:val="0"/>
          <w:sz w:val="32"/>
          <w:szCs w:val="32"/>
          <w:highlight w:val="none"/>
          <w:shd w:val="clear" w:color="auto" w:fill="FFFFFF"/>
          <w:lang w:val="zh-CN"/>
        </w:rPr>
        <w:t>预算管理。</w:t>
      </w:r>
    </w:p>
    <w:p w14:paraId="57B23DE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en-US" w:eastAsia="zh-CN"/>
        </w:rPr>
      </w:pPr>
      <w:r>
        <w:rPr>
          <w:rFonts w:hint="eastAsia" w:ascii="仿宋" w:hAnsi="仿宋" w:eastAsia="仿宋" w:cs="仿宋"/>
          <w:color w:val="auto"/>
          <w:kern w:val="0"/>
          <w:sz w:val="32"/>
          <w:szCs w:val="32"/>
          <w:highlight w:val="none"/>
          <w:shd w:val="clear" w:color="auto" w:fill="FFFFFF"/>
          <w:lang w:val="en-US" w:eastAsia="zh-CN"/>
        </w:rPr>
        <w:t>本单位</w:t>
      </w:r>
      <w:r>
        <w:rPr>
          <w:rFonts w:hint="eastAsia" w:ascii="仿宋" w:hAnsi="仿宋" w:eastAsia="仿宋" w:cs="仿宋"/>
          <w:color w:val="auto"/>
          <w:kern w:val="0"/>
          <w:sz w:val="32"/>
          <w:szCs w:val="32"/>
          <w:highlight w:val="none"/>
          <w:shd w:val="clear" w:color="auto" w:fill="FFFFFF"/>
          <w:lang w:val="zh-CN"/>
        </w:rPr>
        <w:t>严格按要求编制年初部门预算，基于可靠的数据和合理的预测，对未来的收支和资源做出</w:t>
      </w:r>
      <w:r>
        <w:rPr>
          <w:rFonts w:hint="eastAsia" w:ascii="仿宋" w:hAnsi="仿宋" w:eastAsia="仿宋" w:cs="仿宋"/>
          <w:color w:val="auto"/>
          <w:kern w:val="0"/>
          <w:sz w:val="32"/>
          <w:szCs w:val="32"/>
          <w:highlight w:val="none"/>
          <w:shd w:val="clear" w:color="auto" w:fill="FFFFFF"/>
          <w:lang w:val="en-US" w:eastAsia="zh-CN"/>
        </w:rPr>
        <w:t>的较</w:t>
      </w:r>
      <w:r>
        <w:rPr>
          <w:rFonts w:hint="eastAsia" w:ascii="仿宋" w:hAnsi="仿宋" w:eastAsia="仿宋" w:cs="仿宋"/>
          <w:color w:val="auto"/>
          <w:kern w:val="0"/>
          <w:sz w:val="32"/>
          <w:szCs w:val="32"/>
          <w:highlight w:val="none"/>
          <w:shd w:val="clear" w:color="auto" w:fill="FFFFFF"/>
          <w:lang w:val="zh-CN"/>
        </w:rPr>
        <w:t>精确的估计。</w:t>
      </w:r>
      <w:r>
        <w:rPr>
          <w:rFonts w:hint="eastAsia" w:ascii="仿宋" w:hAnsi="仿宋" w:eastAsia="仿宋" w:cs="仿宋"/>
          <w:color w:val="auto"/>
          <w:kern w:val="0"/>
          <w:sz w:val="32"/>
          <w:szCs w:val="32"/>
          <w:highlight w:val="none"/>
          <w:shd w:val="clear" w:color="auto" w:fill="FFFFFF"/>
          <w:lang w:val="en-US" w:eastAsia="zh-CN"/>
        </w:rPr>
        <w:t>与本单位的计划和目标相适应，符合实际情况和发展趋势，预算编制结构清晰，各项内容易于理解和解读，方便不同部门和人员之间的沟通和协作；合理统筹自有收入，提高资金使用效率，实现资金的最大化利用；本单位严控“三公”经费、会议、培训、差旅、办节办展、办公设备购置、信息网络及软件购置更新、课题经费等一般性支出，一般性支出财政拨款年初预算数和一般性支出财政拨款预算执行数较上年无增减。</w:t>
      </w:r>
    </w:p>
    <w:p w14:paraId="56247C1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3.</w:t>
      </w:r>
      <w:r>
        <w:rPr>
          <w:rFonts w:hint="eastAsia" w:ascii="仿宋" w:hAnsi="仿宋" w:eastAsia="仿宋" w:cs="仿宋"/>
          <w:color w:val="auto"/>
          <w:kern w:val="0"/>
          <w:sz w:val="32"/>
          <w:szCs w:val="32"/>
          <w:highlight w:val="none"/>
          <w:shd w:val="clear" w:color="auto" w:fill="FFFFFF"/>
          <w:lang w:val="zh-CN"/>
        </w:rPr>
        <w:t>财务管理。</w:t>
      </w:r>
    </w:p>
    <w:p w14:paraId="550BD58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en-US" w:eastAsia="zh-CN"/>
        </w:rPr>
      </w:pPr>
      <w:r>
        <w:rPr>
          <w:rFonts w:hint="eastAsia" w:ascii="仿宋" w:hAnsi="仿宋" w:eastAsia="仿宋" w:cs="仿宋"/>
          <w:color w:val="auto"/>
          <w:kern w:val="0"/>
          <w:sz w:val="32"/>
          <w:szCs w:val="32"/>
          <w:highlight w:val="none"/>
          <w:shd w:val="clear" w:color="auto" w:fill="FFFFFF"/>
          <w:lang w:val="en-US" w:eastAsia="zh-CN"/>
        </w:rPr>
        <w:t>本单位</w:t>
      </w:r>
      <w:r>
        <w:rPr>
          <w:rFonts w:hint="eastAsia" w:ascii="仿宋" w:hAnsi="仿宋" w:eastAsia="仿宋" w:cs="仿宋"/>
          <w:color w:val="auto"/>
          <w:kern w:val="0"/>
          <w:sz w:val="32"/>
          <w:szCs w:val="32"/>
          <w:highlight w:val="none"/>
          <w:shd w:val="clear" w:color="auto" w:fill="FFFFFF"/>
          <w:lang w:val="zh-CN"/>
        </w:rPr>
        <w:t>已制定内部财务管理制度等制度机制，</w:t>
      </w:r>
      <w:r>
        <w:rPr>
          <w:rFonts w:hint="eastAsia" w:ascii="仿宋" w:hAnsi="仿宋" w:eastAsia="仿宋" w:cs="仿宋"/>
          <w:color w:val="auto"/>
          <w:kern w:val="0"/>
          <w:sz w:val="32"/>
          <w:szCs w:val="32"/>
          <w:highlight w:val="none"/>
          <w:shd w:val="clear" w:color="auto" w:fill="FFFFFF"/>
          <w:lang w:val="en-US" w:eastAsia="zh-CN"/>
        </w:rPr>
        <w:t>并且</w:t>
      </w:r>
      <w:r>
        <w:rPr>
          <w:rFonts w:hint="eastAsia" w:ascii="仿宋" w:hAnsi="仿宋" w:eastAsia="仿宋" w:cs="仿宋"/>
          <w:color w:val="auto"/>
          <w:kern w:val="0"/>
          <w:sz w:val="32"/>
          <w:szCs w:val="32"/>
          <w:highlight w:val="none"/>
          <w:shd w:val="clear" w:color="auto" w:fill="FFFFFF"/>
          <w:lang w:val="zh-CN"/>
        </w:rPr>
        <w:t>财务管理制度得到落实；</w:t>
      </w:r>
      <w:r>
        <w:rPr>
          <w:rFonts w:hint="eastAsia" w:ascii="仿宋" w:hAnsi="仿宋" w:eastAsia="仿宋" w:cs="仿宋"/>
          <w:color w:val="auto"/>
          <w:kern w:val="0"/>
          <w:sz w:val="32"/>
          <w:szCs w:val="32"/>
          <w:highlight w:val="none"/>
          <w:shd w:val="clear" w:color="auto" w:fill="FFFFFF"/>
          <w:lang w:val="en-US" w:eastAsia="zh-CN"/>
        </w:rPr>
        <w:t>单位</w:t>
      </w:r>
      <w:r>
        <w:rPr>
          <w:rFonts w:hint="eastAsia" w:ascii="仿宋" w:hAnsi="仿宋" w:eastAsia="仿宋" w:cs="仿宋"/>
          <w:color w:val="auto"/>
          <w:kern w:val="0"/>
          <w:sz w:val="32"/>
          <w:szCs w:val="32"/>
          <w:highlight w:val="none"/>
          <w:shd w:val="clear" w:color="auto" w:fill="FFFFFF"/>
          <w:lang w:val="zh-CN"/>
        </w:rPr>
        <w:t>合理设置财务工作岗位，明确</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rPr>
        <w:t>职责权限，并严格实行不相容岗位分离；部门资金使用符合相关财务管理制度规定。</w:t>
      </w:r>
    </w:p>
    <w:p w14:paraId="06DF6F6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4.</w:t>
      </w:r>
      <w:r>
        <w:rPr>
          <w:rFonts w:hint="eastAsia" w:ascii="仿宋" w:hAnsi="仿宋" w:eastAsia="仿宋" w:cs="仿宋"/>
          <w:color w:val="auto"/>
          <w:kern w:val="0"/>
          <w:sz w:val="32"/>
          <w:szCs w:val="32"/>
          <w:highlight w:val="none"/>
          <w:shd w:val="clear" w:color="auto" w:fill="FFFFFF"/>
          <w:lang w:val="zh-CN"/>
        </w:rPr>
        <w:t>资产管理。</w:t>
      </w:r>
    </w:p>
    <w:p w14:paraId="31887E5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en-US" w:eastAsia="zh-CN"/>
        </w:rPr>
      </w:pPr>
      <w:r>
        <w:rPr>
          <w:rFonts w:hint="eastAsia" w:ascii="仿宋" w:hAnsi="仿宋" w:eastAsia="仿宋" w:cs="仿宋"/>
          <w:color w:val="auto"/>
          <w:kern w:val="0"/>
          <w:sz w:val="32"/>
          <w:szCs w:val="32"/>
          <w:highlight w:val="none"/>
          <w:shd w:val="clear" w:color="auto" w:fill="FFFFFF"/>
          <w:lang w:val="en-US" w:eastAsia="zh-CN"/>
        </w:rPr>
        <w:t>我单位部门在预算编制时同步编制新增资产配置预算；国有资产交付使用后及时准确入账；明确资产使用和保管责任人、落实资产使用人在资产管理中的责任；国有资产折旧的计提符合相关会计规范；定期清理盘点资产、确保账实相符；行政事业性国有资产纳入四川省行政事业单位资产管理信息系统动态管理。</w:t>
      </w:r>
    </w:p>
    <w:p w14:paraId="70836D9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5.</w:t>
      </w:r>
      <w:r>
        <w:rPr>
          <w:rFonts w:hint="eastAsia" w:ascii="仿宋" w:hAnsi="仿宋" w:eastAsia="仿宋" w:cs="仿宋"/>
          <w:color w:val="auto"/>
          <w:kern w:val="0"/>
          <w:sz w:val="32"/>
          <w:szCs w:val="32"/>
          <w:highlight w:val="none"/>
          <w:shd w:val="clear" w:color="auto" w:fill="FFFFFF"/>
          <w:lang w:val="zh-CN"/>
        </w:rPr>
        <w:t>采购管理。</w:t>
      </w:r>
    </w:p>
    <w:p w14:paraId="76C8938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eastAsia="zh-CN"/>
        </w:rPr>
      </w:pPr>
      <w:r>
        <w:rPr>
          <w:rFonts w:hint="eastAsia" w:ascii="仿宋" w:hAnsi="仿宋" w:eastAsia="仿宋" w:cs="仿宋"/>
          <w:color w:val="auto"/>
          <w:kern w:val="0"/>
          <w:sz w:val="32"/>
          <w:szCs w:val="32"/>
          <w:highlight w:val="none"/>
          <w:shd w:val="clear" w:color="auto" w:fill="FFFFFF"/>
          <w:lang w:val="en-US" w:eastAsia="zh-CN"/>
        </w:rPr>
        <w:t>本单位严格执行政府采购促进中小企业发展相关管理办法。</w:t>
      </w:r>
    </w:p>
    <w:p w14:paraId="15E9A3E8">
      <w:pPr>
        <w:keepNext w:val="0"/>
        <w:keepLines w:val="0"/>
        <w:pageBreakBefore w:val="0"/>
        <w:widowControl/>
        <w:numPr>
          <w:ilvl w:val="0"/>
          <w:numId w:val="1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outlineLvl w:val="9"/>
        <w:rPr>
          <w:rFonts w:hint="eastAsia" w:ascii="仿宋" w:hAnsi="仿宋" w:eastAsia="仿宋" w:cs="仿宋"/>
          <w:b/>
          <w:bCs/>
          <w:color w:val="auto"/>
          <w:kern w:val="0"/>
          <w:sz w:val="32"/>
          <w:szCs w:val="32"/>
          <w:highlight w:val="none"/>
          <w:shd w:val="clear" w:color="auto" w:fill="FFFFFF"/>
          <w:lang w:val="zh-CN"/>
        </w:rPr>
      </w:pPr>
      <w:r>
        <w:rPr>
          <w:rFonts w:hint="eastAsia" w:ascii="仿宋" w:hAnsi="仿宋" w:eastAsia="仿宋" w:cs="仿宋"/>
          <w:b/>
          <w:bCs/>
          <w:color w:val="auto"/>
          <w:kern w:val="0"/>
          <w:sz w:val="32"/>
          <w:szCs w:val="32"/>
          <w:highlight w:val="none"/>
          <w:shd w:val="clear" w:color="auto" w:fill="FFFFFF"/>
          <w:lang w:val="zh-CN"/>
        </w:rPr>
        <w:t>部门预算项目绩效分析。</w:t>
      </w:r>
    </w:p>
    <w:p w14:paraId="2379EF8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en-US" w:eastAsia="zh-CN"/>
        </w:rPr>
      </w:pPr>
      <w:r>
        <w:rPr>
          <w:rFonts w:hint="eastAsia" w:ascii="仿宋" w:hAnsi="仿宋" w:eastAsia="仿宋" w:cs="仿宋"/>
          <w:color w:val="auto"/>
          <w:kern w:val="0"/>
          <w:sz w:val="32"/>
          <w:szCs w:val="32"/>
          <w:highlight w:val="none"/>
          <w:shd w:val="clear" w:color="auto" w:fill="FFFFFF"/>
          <w:lang w:val="zh-CN" w:eastAsia="zh-CN"/>
        </w:rPr>
        <w:t>填报以下数据，</w:t>
      </w:r>
      <w:r>
        <w:rPr>
          <w:rFonts w:hint="eastAsia" w:ascii="仿宋" w:hAnsi="仿宋" w:eastAsia="仿宋" w:cs="仿宋"/>
          <w:color w:val="auto"/>
          <w:kern w:val="0"/>
          <w:sz w:val="32"/>
          <w:szCs w:val="32"/>
          <w:highlight w:val="none"/>
          <w:shd w:val="clear" w:color="auto" w:fill="FFFFFF"/>
          <w:lang w:val="zh-CN"/>
        </w:rPr>
        <w:t>并根据部门预算绩效评价指标体系“项目绩效”涉及二、三级指标进行逐项绩效分析并评分，依次包括项目</w:t>
      </w:r>
      <w:r>
        <w:rPr>
          <w:rFonts w:hint="eastAsia" w:ascii="仿宋" w:hAnsi="仿宋" w:eastAsia="仿宋" w:cs="仿宋"/>
          <w:color w:val="auto"/>
          <w:kern w:val="0"/>
          <w:sz w:val="32"/>
          <w:szCs w:val="32"/>
          <w:highlight w:val="none"/>
          <w:shd w:val="clear" w:color="auto" w:fill="FFFFFF"/>
          <w:lang w:val="en-US" w:eastAsia="zh-CN"/>
        </w:rPr>
        <w:t>决策、项目执行、目标实现等情况。</w:t>
      </w:r>
    </w:p>
    <w:p w14:paraId="73A851B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FF0000"/>
          <w:kern w:val="0"/>
          <w:sz w:val="32"/>
          <w:szCs w:val="32"/>
          <w:highlight w:val="none"/>
          <w:shd w:val="clear" w:color="auto" w:fill="FFFFFF"/>
          <w:lang w:val="zh-CN" w:eastAsia="zh-CN"/>
        </w:rPr>
      </w:pPr>
      <w:r>
        <w:rPr>
          <w:rFonts w:hint="eastAsia" w:ascii="仿宋" w:hAnsi="仿宋" w:eastAsia="仿宋" w:cs="仿宋"/>
          <w:color w:val="auto"/>
          <w:kern w:val="0"/>
          <w:sz w:val="32"/>
          <w:szCs w:val="32"/>
          <w:highlight w:val="none"/>
          <w:shd w:val="clear" w:color="auto" w:fill="FFFFFF"/>
          <w:lang w:val="en-US" w:eastAsia="zh-CN"/>
        </w:rPr>
        <w:t>常年项目绩效分析。</w:t>
      </w:r>
      <w:r>
        <w:rPr>
          <w:rFonts w:hint="eastAsia" w:ascii="仿宋" w:hAnsi="仿宋" w:eastAsia="仿宋" w:cs="仿宋"/>
          <w:color w:val="auto"/>
          <w:kern w:val="0"/>
          <w:sz w:val="32"/>
          <w:szCs w:val="32"/>
          <w:highlight w:val="none"/>
          <w:shd w:val="clear" w:color="auto" w:fill="FFFFFF"/>
          <w:lang w:val="zh-CN" w:eastAsia="zh-CN"/>
        </w:rPr>
        <w:t>该类项目总数</w:t>
      </w:r>
      <w:r>
        <w:rPr>
          <w:rFonts w:hint="eastAsia" w:ascii="仿宋" w:hAnsi="仿宋" w:eastAsia="仿宋" w:cs="仿宋"/>
          <w:color w:val="auto"/>
          <w:kern w:val="0"/>
          <w:sz w:val="32"/>
          <w:szCs w:val="32"/>
          <w:highlight w:val="none"/>
          <w:shd w:val="clear" w:color="auto" w:fill="FFFFFF"/>
          <w:lang w:val="en-US" w:eastAsia="zh-CN"/>
        </w:rPr>
        <w:t>1</w:t>
      </w:r>
      <w:r>
        <w:rPr>
          <w:rFonts w:hint="eastAsia" w:ascii="仿宋" w:hAnsi="仿宋" w:eastAsia="仿宋" w:cs="仿宋"/>
          <w:color w:val="auto"/>
          <w:kern w:val="0"/>
          <w:sz w:val="32"/>
          <w:szCs w:val="32"/>
          <w:highlight w:val="none"/>
          <w:shd w:val="clear" w:color="auto" w:fill="FFFFFF"/>
          <w:lang w:val="zh-CN" w:eastAsia="zh-CN"/>
        </w:rPr>
        <w:t>个，涉及预算总金额</w:t>
      </w:r>
      <w:r>
        <w:rPr>
          <w:rFonts w:hint="eastAsia" w:ascii="仿宋" w:hAnsi="仿宋" w:eastAsia="仿宋" w:cs="仿宋"/>
          <w:color w:val="auto"/>
          <w:kern w:val="0"/>
          <w:sz w:val="32"/>
          <w:szCs w:val="32"/>
          <w:highlight w:val="none"/>
          <w:shd w:val="clear" w:color="auto" w:fill="FFFFFF"/>
          <w:lang w:val="en-US" w:eastAsia="zh-CN"/>
        </w:rPr>
        <w:t xml:space="preserve">   9.58</w:t>
      </w:r>
      <w:r>
        <w:rPr>
          <w:rFonts w:hint="eastAsia" w:ascii="仿宋" w:hAnsi="仿宋" w:eastAsia="仿宋" w:cs="仿宋"/>
          <w:color w:val="auto"/>
          <w:kern w:val="0"/>
          <w:sz w:val="32"/>
          <w:szCs w:val="32"/>
          <w:highlight w:val="none"/>
          <w:shd w:val="clear" w:color="auto" w:fill="FFFFFF"/>
          <w:lang w:val="zh-CN" w:eastAsia="zh-CN"/>
        </w:rPr>
        <w:t>万元，</w:t>
      </w:r>
      <w:r>
        <w:rPr>
          <w:rFonts w:hint="eastAsia" w:ascii="仿宋" w:hAnsi="仿宋" w:eastAsia="仿宋" w:cs="仿宋"/>
          <w:color w:val="auto"/>
          <w:kern w:val="0"/>
          <w:sz w:val="32"/>
          <w:szCs w:val="32"/>
          <w:highlight w:val="none"/>
          <w:shd w:val="clear" w:color="auto" w:fill="FFFFFF"/>
          <w:lang w:val="zh-CN"/>
        </w:rPr>
        <w:t>1</w:t>
      </w:r>
      <w:r>
        <w:rPr>
          <w:rFonts w:hint="eastAsia" w:ascii="仿宋" w:hAnsi="仿宋" w:eastAsia="仿宋" w:cs="仿宋"/>
          <w:color w:val="auto"/>
          <w:kern w:val="0"/>
          <w:sz w:val="32"/>
          <w:szCs w:val="32"/>
          <w:highlight w:val="none"/>
          <w:shd w:val="clear" w:color="auto" w:fill="FFFFFF"/>
          <w:lang w:val="zh-CN" w:eastAsia="zh-CN"/>
        </w:rPr>
        <w:t>—</w:t>
      </w:r>
      <w:r>
        <w:rPr>
          <w:rFonts w:hint="eastAsia" w:ascii="仿宋" w:hAnsi="仿宋" w:eastAsia="仿宋" w:cs="仿宋"/>
          <w:color w:val="auto"/>
          <w:kern w:val="0"/>
          <w:sz w:val="32"/>
          <w:szCs w:val="32"/>
          <w:highlight w:val="none"/>
          <w:shd w:val="clear" w:color="auto" w:fill="FFFFFF"/>
          <w:lang w:val="zh-CN"/>
        </w:rPr>
        <w:t>1</w:t>
      </w:r>
      <w:r>
        <w:rPr>
          <w:rFonts w:hint="eastAsia" w:ascii="仿宋" w:hAnsi="仿宋" w:eastAsia="仿宋" w:cs="仿宋"/>
          <w:color w:val="auto"/>
          <w:kern w:val="0"/>
          <w:sz w:val="32"/>
          <w:szCs w:val="32"/>
          <w:highlight w:val="none"/>
          <w:shd w:val="clear" w:color="auto" w:fill="FFFFFF"/>
          <w:lang w:val="en-US" w:eastAsia="zh-CN"/>
        </w:rPr>
        <w:t>2</w:t>
      </w:r>
      <w:r>
        <w:rPr>
          <w:rFonts w:hint="eastAsia" w:ascii="仿宋" w:hAnsi="仿宋" w:eastAsia="仿宋" w:cs="仿宋"/>
          <w:color w:val="auto"/>
          <w:kern w:val="0"/>
          <w:sz w:val="32"/>
          <w:szCs w:val="32"/>
          <w:highlight w:val="none"/>
          <w:shd w:val="clear" w:color="auto" w:fill="FFFFFF"/>
          <w:lang w:val="zh-CN"/>
        </w:rPr>
        <w:t>月预算执行总体进度为</w:t>
      </w:r>
      <w:r>
        <w:rPr>
          <w:rFonts w:hint="eastAsia" w:ascii="仿宋" w:hAnsi="仿宋" w:eastAsia="仿宋" w:cs="仿宋"/>
          <w:color w:val="auto"/>
          <w:kern w:val="0"/>
          <w:sz w:val="32"/>
          <w:szCs w:val="32"/>
          <w:highlight w:val="none"/>
          <w:shd w:val="clear" w:color="auto" w:fill="FFFFFF"/>
          <w:lang w:val="en-US" w:eastAsia="zh-CN"/>
        </w:rPr>
        <w:t xml:space="preserve"> 100 </w:t>
      </w:r>
      <w:r>
        <w:rPr>
          <w:rFonts w:hint="eastAsia" w:ascii="仿宋" w:hAnsi="仿宋" w:eastAsia="仿宋" w:cs="仿宋"/>
          <w:color w:val="auto"/>
          <w:kern w:val="0"/>
          <w:sz w:val="32"/>
          <w:szCs w:val="32"/>
          <w:highlight w:val="none"/>
          <w:shd w:val="clear" w:color="auto" w:fill="FFFFFF"/>
          <w:lang w:val="zh-CN"/>
        </w:rPr>
        <w:t>%</w:t>
      </w:r>
      <w:r>
        <w:rPr>
          <w:rFonts w:hint="eastAsia" w:ascii="仿宋" w:hAnsi="仿宋" w:eastAsia="仿宋" w:cs="仿宋"/>
          <w:color w:val="auto"/>
          <w:kern w:val="0"/>
          <w:sz w:val="32"/>
          <w:szCs w:val="32"/>
          <w:highlight w:val="none"/>
          <w:shd w:val="clear" w:color="auto" w:fill="FFFFFF"/>
          <w:lang w:val="zh-CN" w:eastAsia="zh-CN"/>
        </w:rPr>
        <w:t>。</w:t>
      </w:r>
    </w:p>
    <w:p w14:paraId="3F7D20D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FF0000"/>
          <w:kern w:val="0"/>
          <w:sz w:val="32"/>
          <w:szCs w:val="32"/>
          <w:highlight w:val="none"/>
          <w:shd w:val="clear" w:color="auto" w:fill="FFFFFF"/>
          <w:lang w:val="zh-CN" w:eastAsia="zh-CN"/>
        </w:rPr>
      </w:pPr>
      <w:r>
        <w:rPr>
          <w:rFonts w:hint="eastAsia" w:ascii="仿宋" w:hAnsi="仿宋" w:eastAsia="仿宋" w:cs="仿宋"/>
          <w:color w:val="auto"/>
          <w:kern w:val="0"/>
          <w:sz w:val="32"/>
          <w:szCs w:val="32"/>
          <w:highlight w:val="none"/>
          <w:shd w:val="clear" w:color="auto" w:fill="FFFFFF"/>
          <w:lang w:val="en-US" w:eastAsia="zh-CN"/>
        </w:rPr>
        <w:t>阶段（含一次性）项目绩效分析。</w:t>
      </w:r>
      <w:r>
        <w:rPr>
          <w:rFonts w:hint="eastAsia" w:ascii="仿宋" w:hAnsi="仿宋" w:eastAsia="仿宋" w:cs="仿宋"/>
          <w:color w:val="auto"/>
          <w:kern w:val="0"/>
          <w:sz w:val="32"/>
          <w:szCs w:val="32"/>
          <w:highlight w:val="none"/>
          <w:shd w:val="clear" w:color="auto" w:fill="FFFFFF"/>
          <w:lang w:val="zh-CN" w:eastAsia="zh-CN"/>
        </w:rPr>
        <w:t>该类项目总数</w:t>
      </w:r>
      <w:r>
        <w:rPr>
          <w:rFonts w:hint="eastAsia" w:ascii="仿宋" w:hAnsi="仿宋" w:eastAsia="仿宋" w:cs="仿宋"/>
          <w:color w:val="auto"/>
          <w:kern w:val="0"/>
          <w:sz w:val="32"/>
          <w:szCs w:val="32"/>
          <w:highlight w:val="none"/>
          <w:shd w:val="clear" w:color="auto" w:fill="FFFFFF"/>
          <w:lang w:val="en-US" w:eastAsia="zh-CN"/>
        </w:rPr>
        <w:t xml:space="preserve"> 14</w:t>
      </w:r>
      <w:r>
        <w:rPr>
          <w:rFonts w:hint="eastAsia" w:ascii="仿宋" w:hAnsi="仿宋" w:eastAsia="仿宋" w:cs="仿宋"/>
          <w:color w:val="auto"/>
          <w:kern w:val="0"/>
          <w:sz w:val="32"/>
          <w:szCs w:val="32"/>
          <w:highlight w:val="none"/>
          <w:shd w:val="clear" w:color="auto" w:fill="FFFFFF"/>
          <w:lang w:val="zh-CN" w:eastAsia="zh-CN"/>
        </w:rPr>
        <w:t>个，涉及预算总金额</w:t>
      </w:r>
      <w:r>
        <w:rPr>
          <w:rFonts w:hint="eastAsia" w:ascii="仿宋" w:hAnsi="仿宋" w:eastAsia="仿宋" w:cs="仿宋"/>
          <w:color w:val="auto"/>
          <w:kern w:val="0"/>
          <w:sz w:val="32"/>
          <w:szCs w:val="32"/>
          <w:highlight w:val="none"/>
          <w:shd w:val="clear" w:color="auto" w:fill="FFFFFF"/>
          <w:lang w:val="en-US" w:eastAsia="zh-CN"/>
        </w:rPr>
        <w:t>1592.85</w:t>
      </w:r>
      <w:r>
        <w:rPr>
          <w:rFonts w:hint="eastAsia" w:ascii="仿宋" w:hAnsi="仿宋" w:eastAsia="仿宋" w:cs="仿宋"/>
          <w:color w:val="auto"/>
          <w:kern w:val="0"/>
          <w:sz w:val="32"/>
          <w:szCs w:val="32"/>
          <w:highlight w:val="none"/>
          <w:shd w:val="clear" w:color="auto" w:fill="FFFFFF"/>
          <w:lang w:val="zh-CN" w:eastAsia="zh-CN"/>
        </w:rPr>
        <w:t>万元，</w:t>
      </w:r>
      <w:r>
        <w:rPr>
          <w:rFonts w:hint="eastAsia" w:ascii="仿宋" w:hAnsi="仿宋" w:eastAsia="仿宋" w:cs="仿宋"/>
          <w:color w:val="auto"/>
          <w:kern w:val="0"/>
          <w:sz w:val="32"/>
          <w:szCs w:val="32"/>
          <w:highlight w:val="none"/>
          <w:shd w:val="clear" w:color="auto" w:fill="FFFFFF"/>
          <w:lang w:val="zh-CN"/>
        </w:rPr>
        <w:t>1</w:t>
      </w:r>
      <w:r>
        <w:rPr>
          <w:rFonts w:hint="eastAsia" w:ascii="仿宋" w:hAnsi="仿宋" w:eastAsia="仿宋" w:cs="仿宋"/>
          <w:color w:val="auto"/>
          <w:kern w:val="0"/>
          <w:sz w:val="32"/>
          <w:szCs w:val="32"/>
          <w:highlight w:val="none"/>
          <w:shd w:val="clear" w:color="auto" w:fill="FFFFFF"/>
          <w:lang w:val="zh-CN" w:eastAsia="zh-CN"/>
        </w:rPr>
        <w:t>—</w:t>
      </w:r>
      <w:r>
        <w:rPr>
          <w:rFonts w:hint="eastAsia" w:ascii="仿宋" w:hAnsi="仿宋" w:eastAsia="仿宋" w:cs="仿宋"/>
          <w:color w:val="auto"/>
          <w:kern w:val="0"/>
          <w:sz w:val="32"/>
          <w:szCs w:val="32"/>
          <w:highlight w:val="none"/>
          <w:shd w:val="clear" w:color="auto" w:fill="FFFFFF"/>
          <w:lang w:val="zh-CN"/>
        </w:rPr>
        <w:t>1</w:t>
      </w:r>
      <w:r>
        <w:rPr>
          <w:rFonts w:hint="eastAsia" w:ascii="仿宋" w:hAnsi="仿宋" w:eastAsia="仿宋" w:cs="仿宋"/>
          <w:color w:val="auto"/>
          <w:kern w:val="0"/>
          <w:sz w:val="32"/>
          <w:szCs w:val="32"/>
          <w:highlight w:val="none"/>
          <w:shd w:val="clear" w:color="auto" w:fill="FFFFFF"/>
          <w:lang w:val="en-US" w:eastAsia="zh-CN"/>
        </w:rPr>
        <w:t>2</w:t>
      </w:r>
      <w:r>
        <w:rPr>
          <w:rFonts w:hint="eastAsia" w:ascii="仿宋" w:hAnsi="仿宋" w:eastAsia="仿宋" w:cs="仿宋"/>
          <w:color w:val="auto"/>
          <w:kern w:val="0"/>
          <w:sz w:val="32"/>
          <w:szCs w:val="32"/>
          <w:highlight w:val="none"/>
          <w:shd w:val="clear" w:color="auto" w:fill="FFFFFF"/>
          <w:lang w:val="zh-CN"/>
        </w:rPr>
        <w:t>月预算执行总体进度为</w:t>
      </w:r>
      <w:r>
        <w:rPr>
          <w:rFonts w:hint="eastAsia" w:ascii="仿宋" w:hAnsi="仿宋" w:eastAsia="仿宋" w:cs="仿宋"/>
          <w:color w:val="auto"/>
          <w:kern w:val="0"/>
          <w:sz w:val="32"/>
          <w:szCs w:val="32"/>
          <w:highlight w:val="none"/>
          <w:shd w:val="clear" w:color="auto" w:fill="FFFFFF"/>
          <w:lang w:val="en-US" w:eastAsia="zh-CN"/>
        </w:rPr>
        <w:t xml:space="preserve"> 1261.95万元</w:t>
      </w:r>
      <w:r>
        <w:rPr>
          <w:rFonts w:hint="eastAsia" w:ascii="仿宋" w:hAnsi="仿宋" w:eastAsia="仿宋" w:cs="仿宋"/>
          <w:color w:val="auto"/>
          <w:kern w:val="0"/>
          <w:sz w:val="32"/>
          <w:szCs w:val="32"/>
          <w:highlight w:val="none"/>
          <w:shd w:val="clear" w:color="auto" w:fill="FFFFFF"/>
          <w:lang w:val="zh-CN"/>
        </w:rPr>
        <w:t>，其中：</w:t>
      </w:r>
      <w:r>
        <w:rPr>
          <w:rFonts w:hint="eastAsia" w:ascii="仿宋" w:hAnsi="仿宋" w:eastAsia="仿宋" w:cs="仿宋"/>
          <w:color w:val="auto"/>
          <w:kern w:val="0"/>
          <w:sz w:val="32"/>
          <w:szCs w:val="32"/>
          <w:highlight w:val="none"/>
          <w:shd w:val="clear" w:color="auto" w:fill="FFFFFF"/>
          <w:lang w:val="zh-CN" w:eastAsia="zh-CN"/>
        </w:rPr>
        <w:t>预算结余率大于</w:t>
      </w:r>
      <w:r>
        <w:rPr>
          <w:rFonts w:hint="eastAsia" w:ascii="仿宋" w:hAnsi="仿宋" w:eastAsia="仿宋" w:cs="仿宋"/>
          <w:color w:val="auto"/>
          <w:kern w:val="0"/>
          <w:sz w:val="32"/>
          <w:szCs w:val="32"/>
          <w:highlight w:val="none"/>
          <w:shd w:val="clear" w:color="auto" w:fill="FFFFFF"/>
          <w:lang w:val="en-US" w:eastAsia="zh-CN"/>
        </w:rPr>
        <w:t>10%</w:t>
      </w:r>
      <w:r>
        <w:rPr>
          <w:rFonts w:hint="eastAsia" w:ascii="仿宋" w:hAnsi="仿宋" w:eastAsia="仿宋" w:cs="仿宋"/>
          <w:color w:val="auto"/>
          <w:kern w:val="0"/>
          <w:sz w:val="32"/>
          <w:szCs w:val="32"/>
          <w:highlight w:val="none"/>
          <w:shd w:val="clear" w:color="auto" w:fill="FFFFFF"/>
          <w:lang w:val="zh-CN" w:eastAsia="zh-CN"/>
        </w:rPr>
        <w:t>的项目共计</w:t>
      </w:r>
      <w:r>
        <w:rPr>
          <w:rFonts w:hint="eastAsia" w:ascii="仿宋" w:hAnsi="仿宋" w:eastAsia="仿宋" w:cs="仿宋"/>
          <w:color w:val="auto"/>
          <w:kern w:val="0"/>
          <w:sz w:val="32"/>
          <w:szCs w:val="32"/>
          <w:highlight w:val="none"/>
          <w:shd w:val="clear" w:color="auto" w:fill="FFFFFF"/>
          <w:lang w:val="en-US" w:eastAsia="zh-CN"/>
        </w:rPr>
        <w:t xml:space="preserve"> 3 </w:t>
      </w:r>
      <w:r>
        <w:rPr>
          <w:rFonts w:hint="eastAsia" w:ascii="仿宋" w:hAnsi="仿宋" w:eastAsia="仿宋" w:cs="仿宋"/>
          <w:color w:val="auto"/>
          <w:kern w:val="0"/>
          <w:sz w:val="32"/>
          <w:szCs w:val="32"/>
          <w:highlight w:val="none"/>
          <w:shd w:val="clear" w:color="auto" w:fill="FFFFFF"/>
          <w:lang w:val="zh-CN" w:eastAsia="zh-CN"/>
        </w:rPr>
        <w:t>个。</w:t>
      </w:r>
    </w:p>
    <w:p w14:paraId="48EC624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FF0000"/>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1.</w:t>
      </w:r>
      <w:r>
        <w:rPr>
          <w:rFonts w:hint="eastAsia" w:ascii="仿宋" w:hAnsi="仿宋" w:eastAsia="仿宋" w:cs="仿宋"/>
          <w:color w:val="auto"/>
          <w:kern w:val="0"/>
          <w:sz w:val="32"/>
          <w:szCs w:val="32"/>
          <w:highlight w:val="none"/>
          <w:shd w:val="clear" w:color="auto" w:fill="FFFFFF"/>
          <w:lang w:val="zh-CN"/>
        </w:rPr>
        <w:t>项目决策。</w:t>
      </w:r>
    </w:p>
    <w:p w14:paraId="349BCFD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单位</w:t>
      </w:r>
      <w:r>
        <w:rPr>
          <w:rFonts w:hint="eastAsia" w:ascii="仿宋" w:hAnsi="仿宋" w:eastAsia="仿宋" w:cs="仿宋"/>
          <w:color w:val="auto"/>
          <w:kern w:val="0"/>
          <w:sz w:val="32"/>
          <w:szCs w:val="32"/>
          <w:highlight w:val="none"/>
          <w:shd w:val="clear" w:color="auto" w:fill="FFFFFF"/>
          <w:lang w:val="zh-CN"/>
        </w:rPr>
        <w:t>预算项目设立按规定履行评估论证、申报程序；预算项目绩效目标与计划期内的任务量、预算安排的资金量匹配，绩效目标设置科学合理、规范完整、量化细化、预算匹配；预算项目在规定时间完成项目入库。</w:t>
      </w:r>
    </w:p>
    <w:p w14:paraId="075F798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2.项目执行</w:t>
      </w:r>
      <w:r>
        <w:rPr>
          <w:rFonts w:hint="eastAsia" w:ascii="仿宋" w:hAnsi="仿宋" w:eastAsia="仿宋" w:cs="仿宋"/>
          <w:color w:val="auto"/>
          <w:kern w:val="0"/>
          <w:sz w:val="32"/>
          <w:szCs w:val="32"/>
          <w:highlight w:val="none"/>
          <w:shd w:val="clear" w:color="auto" w:fill="FFFFFF"/>
          <w:lang w:val="zh-CN"/>
        </w:rPr>
        <w:t>。</w:t>
      </w:r>
    </w:p>
    <w:p w14:paraId="0C08A16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FF0000"/>
          <w:kern w:val="0"/>
          <w:sz w:val="32"/>
          <w:szCs w:val="32"/>
          <w:highlight w:val="none"/>
          <w:shd w:val="clear" w:color="auto" w:fill="FFFFFF"/>
          <w:lang w:val="en-US" w:eastAsia="zh-CN"/>
        </w:rPr>
      </w:pPr>
      <w:r>
        <w:rPr>
          <w:rFonts w:hint="eastAsia" w:ascii="仿宋" w:hAnsi="仿宋" w:eastAsia="仿宋" w:cs="仿宋"/>
          <w:color w:val="auto"/>
          <w:kern w:val="0"/>
          <w:sz w:val="32"/>
          <w:szCs w:val="32"/>
          <w:highlight w:val="none"/>
          <w:shd w:val="clear" w:color="auto" w:fill="FFFFFF"/>
          <w:lang w:val="en-US" w:eastAsia="zh-CN"/>
        </w:rPr>
        <w:t>单位</w:t>
      </w:r>
      <w:r>
        <w:rPr>
          <w:rFonts w:hint="eastAsia" w:ascii="仿宋" w:hAnsi="仿宋" w:eastAsia="仿宋" w:cs="仿宋"/>
          <w:color w:val="auto"/>
          <w:kern w:val="0"/>
          <w:sz w:val="32"/>
          <w:szCs w:val="32"/>
          <w:highlight w:val="none"/>
          <w:shd w:val="clear" w:color="auto" w:fill="FFFFFF"/>
          <w:lang w:val="zh-CN"/>
        </w:rPr>
        <w:t>预算项目在规定时间完成</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rPr>
        <w:t>项目入库；预算项目实际列支内容与绩效目标设置方向相符；预算项目</w:t>
      </w:r>
      <w:r>
        <w:rPr>
          <w:rFonts w:hint="eastAsia" w:ascii="仿宋" w:hAnsi="仿宋" w:eastAsia="仿宋" w:cs="仿宋"/>
          <w:color w:val="auto"/>
          <w:kern w:val="0"/>
          <w:sz w:val="32"/>
          <w:szCs w:val="32"/>
          <w:highlight w:val="none"/>
          <w:shd w:val="clear" w:color="auto" w:fill="FFFFFF"/>
          <w:lang w:val="en-US" w:eastAsia="zh-CN"/>
        </w:rPr>
        <w:t>需要调整的</w:t>
      </w:r>
      <w:r>
        <w:rPr>
          <w:rFonts w:hint="eastAsia" w:ascii="仿宋" w:hAnsi="仿宋" w:eastAsia="仿宋" w:cs="仿宋"/>
          <w:color w:val="auto"/>
          <w:kern w:val="0"/>
          <w:sz w:val="32"/>
          <w:szCs w:val="32"/>
          <w:highlight w:val="none"/>
          <w:shd w:val="clear" w:color="auto" w:fill="FFFFFF"/>
          <w:lang w:val="zh-CN"/>
        </w:rPr>
        <w:t>采取</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rPr>
        <w:t>对应调整措施；预算项目预算执行</w:t>
      </w:r>
      <w:r>
        <w:rPr>
          <w:rFonts w:hint="eastAsia" w:ascii="仿宋" w:hAnsi="仿宋" w:eastAsia="仿宋" w:cs="仿宋"/>
          <w:color w:val="auto"/>
          <w:kern w:val="0"/>
          <w:sz w:val="32"/>
          <w:szCs w:val="32"/>
          <w:highlight w:val="none"/>
          <w:shd w:val="clear" w:color="auto" w:fill="FFFFFF"/>
          <w:lang w:val="en-US" w:eastAsia="zh-CN"/>
        </w:rPr>
        <w:t>率较低，目前正在实施，未达到验收条件的，只拨付了部分进度款。</w:t>
      </w:r>
    </w:p>
    <w:p w14:paraId="66649C1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en-US" w:eastAsia="zh-CN"/>
        </w:rPr>
        <w:t>3.</w:t>
      </w:r>
      <w:r>
        <w:rPr>
          <w:rFonts w:hint="eastAsia" w:ascii="仿宋" w:hAnsi="仿宋" w:eastAsia="仿宋" w:cs="仿宋"/>
          <w:color w:val="auto"/>
          <w:kern w:val="0"/>
          <w:sz w:val="32"/>
          <w:szCs w:val="32"/>
          <w:highlight w:val="none"/>
          <w:shd w:val="clear" w:color="auto" w:fill="FFFFFF"/>
          <w:lang w:val="zh-CN"/>
        </w:rPr>
        <w:t>目标实现。</w:t>
      </w:r>
    </w:p>
    <w:p w14:paraId="24C697F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auto"/>
          <w:kern w:val="0"/>
          <w:sz w:val="32"/>
          <w:szCs w:val="32"/>
          <w:highlight w:val="none"/>
          <w:shd w:val="clear" w:color="auto" w:fill="FFFFFF"/>
          <w:lang w:val="zh-CN"/>
        </w:rPr>
      </w:pPr>
      <w:r>
        <w:rPr>
          <w:rFonts w:hint="eastAsia" w:ascii="仿宋" w:hAnsi="仿宋" w:eastAsia="仿宋" w:cs="仿宋"/>
          <w:color w:val="auto"/>
          <w:kern w:val="0"/>
          <w:sz w:val="32"/>
          <w:szCs w:val="32"/>
          <w:highlight w:val="none"/>
          <w:shd w:val="clear" w:color="auto" w:fill="FFFFFF"/>
          <w:lang w:val="zh-CN"/>
        </w:rPr>
        <w:t>预算项目在规定时间完成</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rPr>
        <w:t>项目入库；预算项目实际列支内容与绩效目标设置方向相符</w:t>
      </w:r>
    </w:p>
    <w:p w14:paraId="6B209246">
      <w:pPr>
        <w:keepNext w:val="0"/>
        <w:keepLines w:val="0"/>
        <w:pageBreakBefore w:val="0"/>
        <w:widowControl w:val="0"/>
        <w:numPr>
          <w:ilvl w:val="0"/>
          <w:numId w:val="9"/>
        </w:numPr>
        <w:kinsoku/>
        <w:wordWrap/>
        <w:overflowPunct/>
        <w:topLinePunct w:val="0"/>
        <w:autoSpaceDE/>
        <w:autoSpaceDN/>
        <w:bidi w:val="0"/>
        <w:snapToGrid w:val="0"/>
        <w:spacing w:line="600" w:lineRule="exact"/>
        <w:ind w:left="0" w:leftChars="0" w:firstLine="643" w:firstLineChars="200"/>
        <w:textAlignment w:val="auto"/>
        <w:rPr>
          <w:rFonts w:hint="eastAsia" w:ascii="仿宋" w:hAnsi="仿宋" w:eastAsia="仿宋" w:cs="仿宋"/>
          <w:b/>
          <w:bCs/>
          <w:color w:val="auto"/>
          <w:sz w:val="32"/>
          <w:szCs w:val="32"/>
          <w:lang w:val="zh-CN"/>
        </w:rPr>
      </w:pPr>
      <w:r>
        <w:rPr>
          <w:rFonts w:hint="eastAsia" w:ascii="仿宋" w:hAnsi="仿宋" w:eastAsia="仿宋" w:cs="仿宋"/>
          <w:b/>
          <w:bCs/>
          <w:color w:val="auto"/>
          <w:sz w:val="32"/>
          <w:szCs w:val="32"/>
          <w:lang w:val="zh-CN"/>
        </w:rPr>
        <w:t>绩效结果应用情况。</w:t>
      </w:r>
    </w:p>
    <w:p w14:paraId="0D8C5A1E">
      <w:pPr>
        <w:keepNext w:val="0"/>
        <w:keepLines w:val="0"/>
        <w:pageBreakBefore w:val="0"/>
        <w:widowControl w:val="0"/>
        <w:numPr>
          <w:ilvl w:val="0"/>
          <w:numId w:val="0"/>
        </w:numPr>
        <w:kinsoku/>
        <w:wordWrap/>
        <w:overflowPunct/>
        <w:topLinePunct w:val="0"/>
        <w:autoSpaceDE/>
        <w:autoSpaceDN/>
        <w:bidi w:val="0"/>
        <w:snapToGrid w:val="0"/>
        <w:spacing w:line="600" w:lineRule="exact"/>
        <w:ind w:firstLine="640" w:firstLineChars="200"/>
        <w:textAlignment w:val="auto"/>
        <w:rPr>
          <w:rFonts w:hint="eastAsia" w:ascii="仿宋" w:hAnsi="仿宋" w:eastAsia="仿宋" w:cs="仿宋"/>
          <w:b/>
          <w:bCs w:val="0"/>
          <w:color w:val="auto"/>
          <w:sz w:val="32"/>
          <w:szCs w:val="32"/>
        </w:rPr>
      </w:pPr>
      <w:r>
        <w:rPr>
          <w:rFonts w:hint="eastAsia" w:ascii="仿宋" w:hAnsi="仿宋" w:eastAsia="仿宋" w:cs="仿宋"/>
          <w:color w:val="auto"/>
          <w:kern w:val="0"/>
          <w:sz w:val="32"/>
          <w:szCs w:val="32"/>
          <w:highlight w:val="none"/>
          <w:shd w:val="clear" w:color="auto" w:fill="FFFFFF"/>
          <w:lang w:val="zh-CN" w:eastAsia="zh-CN"/>
        </w:rPr>
        <w:t>1、严把预算编制。在编制年度单位预算时，认真贯彻</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eastAsia="zh-CN"/>
        </w:rPr>
        <w:t>厉行勤俭节约、严控各项目经费编制，严审编报资料、预算建议及计划，对项目资金申请综合考虑。2、及时关注预算完成情况、预算使用情况及比例。3、在绩效申报时，综合研判项目绩效及整体绩效目标依据是否充分，是否符合客观事实，绩效指标是否清晰、细化、可衡量。</w:t>
      </w:r>
      <w:r>
        <w:rPr>
          <w:rFonts w:hint="eastAsia" w:ascii="仿宋" w:hAnsi="仿宋" w:eastAsia="仿宋" w:cs="仿宋"/>
          <w:color w:val="auto"/>
          <w:kern w:val="0"/>
          <w:sz w:val="32"/>
          <w:szCs w:val="32"/>
          <w:highlight w:val="none"/>
          <w:shd w:val="clear" w:color="auto" w:fill="FFFFFF"/>
          <w:lang w:val="en-US" w:eastAsia="zh-CN"/>
        </w:rPr>
        <w:t>4</w:t>
      </w:r>
      <w:r>
        <w:rPr>
          <w:rFonts w:hint="eastAsia" w:ascii="仿宋" w:hAnsi="仿宋" w:eastAsia="仿宋" w:cs="仿宋"/>
          <w:color w:val="auto"/>
          <w:kern w:val="0"/>
          <w:sz w:val="32"/>
          <w:szCs w:val="32"/>
          <w:highlight w:val="none"/>
          <w:shd w:val="clear" w:color="auto" w:fill="FFFFFF"/>
          <w:lang w:val="zh-CN" w:eastAsia="zh-CN"/>
        </w:rPr>
        <w:t>、严格把控各项目等资金的使用。控制节约情况，保证项目资金使用的合理性。</w:t>
      </w:r>
      <w:r>
        <w:rPr>
          <w:rFonts w:hint="eastAsia" w:ascii="仿宋" w:hAnsi="仿宋" w:eastAsia="仿宋" w:cs="仿宋"/>
          <w:color w:val="auto"/>
          <w:kern w:val="0"/>
          <w:sz w:val="32"/>
          <w:szCs w:val="32"/>
          <w:highlight w:val="none"/>
          <w:shd w:val="clear" w:color="auto" w:fill="FFFFFF"/>
          <w:lang w:val="en-US" w:eastAsia="zh-CN"/>
        </w:rPr>
        <w:t>5</w:t>
      </w:r>
      <w:r>
        <w:rPr>
          <w:rFonts w:hint="eastAsia" w:ascii="仿宋" w:hAnsi="仿宋" w:eastAsia="仿宋" w:cs="仿宋"/>
          <w:color w:val="auto"/>
          <w:kern w:val="0"/>
          <w:sz w:val="32"/>
          <w:szCs w:val="32"/>
          <w:highlight w:val="none"/>
          <w:shd w:val="clear" w:color="auto" w:fill="FFFFFF"/>
          <w:lang w:val="zh-CN" w:eastAsia="zh-CN"/>
        </w:rPr>
        <w:t>、做好</w:t>
      </w:r>
      <w:r>
        <w:rPr>
          <w:rFonts w:hint="eastAsia" w:ascii="仿宋" w:hAnsi="仿宋" w:eastAsia="仿宋" w:cs="仿宋"/>
          <w:color w:val="auto"/>
          <w:kern w:val="0"/>
          <w:sz w:val="32"/>
          <w:szCs w:val="32"/>
          <w:highlight w:val="none"/>
          <w:shd w:val="clear" w:color="auto" w:fill="FFFFFF"/>
          <w:lang w:val="en-US" w:eastAsia="zh-CN"/>
        </w:rPr>
        <w:t>了</w:t>
      </w:r>
      <w:r>
        <w:rPr>
          <w:rFonts w:hint="eastAsia" w:ascii="仿宋" w:hAnsi="仿宋" w:eastAsia="仿宋" w:cs="仿宋"/>
          <w:color w:val="auto"/>
          <w:kern w:val="0"/>
          <w:sz w:val="32"/>
          <w:szCs w:val="32"/>
          <w:highlight w:val="none"/>
          <w:shd w:val="clear" w:color="auto" w:fill="FFFFFF"/>
          <w:lang w:val="zh-CN" w:eastAsia="zh-CN"/>
        </w:rPr>
        <w:t>预决算</w:t>
      </w:r>
      <w:r>
        <w:rPr>
          <w:rFonts w:hint="eastAsia" w:ascii="仿宋" w:hAnsi="仿宋" w:eastAsia="仿宋" w:cs="仿宋"/>
          <w:color w:val="auto"/>
          <w:kern w:val="0"/>
          <w:sz w:val="32"/>
          <w:szCs w:val="32"/>
          <w:highlight w:val="none"/>
          <w:shd w:val="clear" w:color="auto" w:fill="FFFFFF"/>
          <w:lang w:val="en-US" w:eastAsia="zh-CN"/>
        </w:rPr>
        <w:t>公开</w:t>
      </w:r>
      <w:r>
        <w:rPr>
          <w:rFonts w:hint="eastAsia" w:ascii="仿宋" w:hAnsi="仿宋" w:eastAsia="仿宋" w:cs="仿宋"/>
          <w:color w:val="auto"/>
          <w:kern w:val="0"/>
          <w:sz w:val="32"/>
          <w:szCs w:val="32"/>
          <w:highlight w:val="none"/>
          <w:shd w:val="clear" w:color="auto" w:fill="FFFFFF"/>
          <w:lang w:val="zh-CN" w:eastAsia="zh-CN"/>
        </w:rPr>
        <w:t>。按照要求及时、准确公布单位预决算。</w:t>
      </w:r>
      <w:r>
        <w:rPr>
          <w:rFonts w:hint="eastAsia" w:ascii="仿宋" w:hAnsi="仿宋" w:eastAsia="仿宋" w:cs="仿宋"/>
          <w:color w:val="auto"/>
          <w:kern w:val="0"/>
          <w:sz w:val="32"/>
          <w:szCs w:val="32"/>
          <w:highlight w:val="none"/>
          <w:shd w:val="clear" w:color="auto" w:fill="FFFFFF"/>
          <w:lang w:val="en-US" w:eastAsia="zh-CN"/>
        </w:rPr>
        <w:t xml:space="preserve"> </w:t>
      </w:r>
    </w:p>
    <w:p w14:paraId="32F0C5F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auto"/>
          <w:kern w:val="0"/>
          <w:sz w:val="32"/>
          <w:szCs w:val="32"/>
          <w:highlight w:val="none"/>
          <w:shd w:val="clear" w:color="auto" w:fill="FFFFFF"/>
        </w:rPr>
      </w:pPr>
      <w:r>
        <w:rPr>
          <w:rFonts w:hint="default" w:ascii="Times New Roman" w:hAnsi="Times New Roman" w:eastAsia="黑体" w:cs="Times New Roman"/>
          <w:color w:val="auto"/>
          <w:kern w:val="0"/>
          <w:sz w:val="32"/>
          <w:szCs w:val="32"/>
          <w:highlight w:val="none"/>
          <w:shd w:val="clear" w:color="auto" w:fill="FFFFFF"/>
          <w:lang w:eastAsia="zh-CN"/>
        </w:rPr>
        <w:t>四、</w:t>
      </w:r>
      <w:r>
        <w:rPr>
          <w:rFonts w:hint="default" w:ascii="Times New Roman" w:hAnsi="Times New Roman" w:eastAsia="黑体" w:cs="Times New Roman"/>
          <w:color w:val="auto"/>
          <w:kern w:val="0"/>
          <w:sz w:val="32"/>
          <w:szCs w:val="32"/>
          <w:highlight w:val="none"/>
          <w:shd w:val="clear" w:color="auto" w:fill="FFFFFF"/>
        </w:rPr>
        <w:t>评价结论及建议</w:t>
      </w:r>
    </w:p>
    <w:p w14:paraId="2851DD5C">
      <w:pPr>
        <w:pStyle w:val="6"/>
        <w:pageBreakBefore w:val="0"/>
        <w:numPr>
          <w:ilvl w:val="0"/>
          <w:numId w:val="0"/>
        </w:numPr>
        <w:tabs>
          <w:tab w:val="left" w:pos="2160"/>
        </w:tabs>
        <w:kinsoku/>
        <w:wordWrap/>
        <w:overflowPunct/>
        <w:topLinePunct w:val="0"/>
        <w:autoSpaceDE/>
        <w:autoSpaceDN/>
        <w:bidi w:val="0"/>
        <w:adjustRightInd/>
        <w:spacing w:line="600" w:lineRule="exact"/>
        <w:ind w:firstLine="643" w:firstLineChars="200"/>
        <w:textAlignment w:val="auto"/>
        <w:rPr>
          <w:rFonts w:hint="eastAsia" w:ascii="仿宋" w:hAnsi="仿宋" w:eastAsia="仿宋" w:cs="仿宋"/>
          <w:b/>
          <w:bCs/>
          <w:color w:val="auto"/>
          <w:kern w:val="0"/>
          <w:sz w:val="32"/>
          <w:szCs w:val="32"/>
          <w:highlight w:val="none"/>
          <w:shd w:val="clear" w:color="auto" w:fill="FFFFFF"/>
          <w:lang w:val="zh-CN"/>
        </w:rPr>
      </w:pPr>
      <w:r>
        <w:rPr>
          <w:rFonts w:hint="eastAsia" w:ascii="仿宋" w:hAnsi="仿宋" w:eastAsia="仿宋" w:cs="仿宋"/>
          <w:b/>
          <w:bCs/>
          <w:color w:val="auto"/>
          <w:kern w:val="0"/>
          <w:sz w:val="32"/>
          <w:szCs w:val="32"/>
          <w:highlight w:val="none"/>
          <w:shd w:val="clear" w:color="auto" w:fill="FFFFFF"/>
          <w:lang w:val="zh-CN"/>
        </w:rPr>
        <w:t>（一）评价结论。</w:t>
      </w:r>
    </w:p>
    <w:p w14:paraId="3591C2DF">
      <w:pPr>
        <w:pStyle w:val="6"/>
        <w:pageBreakBefore w:val="0"/>
        <w:numPr>
          <w:ilvl w:val="0"/>
          <w:numId w:val="0"/>
        </w:numPr>
        <w:tabs>
          <w:tab w:val="left" w:pos="2160"/>
        </w:tabs>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b w:val="0"/>
          <w:bCs w:val="0"/>
          <w:color w:val="auto"/>
          <w:kern w:val="2"/>
          <w:position w:val="0"/>
          <w:sz w:val="32"/>
          <w:szCs w:val="32"/>
          <w:highlight w:val="none"/>
          <w:lang w:val="en-US" w:eastAsia="zh-CN" w:bidi="ar-SA"/>
        </w:rPr>
      </w:pPr>
      <w:r>
        <w:rPr>
          <w:rFonts w:hint="eastAsia" w:ascii="仿宋" w:hAnsi="仿宋" w:eastAsia="仿宋" w:cs="仿宋"/>
          <w:b w:val="0"/>
          <w:bCs w:val="0"/>
          <w:color w:val="auto"/>
          <w:kern w:val="0"/>
          <w:position w:val="0"/>
          <w:sz w:val="32"/>
          <w:szCs w:val="32"/>
          <w:highlight w:val="none"/>
          <w:lang w:val="en-US" w:eastAsia="zh-CN" w:bidi="ar-SA"/>
        </w:rPr>
        <w:t>在实施的过程中无违纪、违法情况发生</w:t>
      </w:r>
      <w:r>
        <w:rPr>
          <w:rFonts w:hint="eastAsia" w:ascii="仿宋" w:hAnsi="仿宋" w:eastAsia="仿宋" w:cs="仿宋"/>
          <w:b w:val="0"/>
          <w:bCs w:val="0"/>
          <w:color w:val="auto"/>
          <w:sz w:val="32"/>
          <w:szCs w:val="32"/>
          <w:highlight w:val="none"/>
          <w:lang w:val="zh-CN"/>
        </w:rPr>
        <w:t>。绩效自评</w:t>
      </w:r>
      <w:r>
        <w:rPr>
          <w:rFonts w:hint="eastAsia" w:ascii="仿宋" w:hAnsi="仿宋" w:eastAsia="仿宋" w:cs="仿宋"/>
          <w:b w:val="0"/>
          <w:bCs w:val="0"/>
          <w:color w:val="auto"/>
          <w:sz w:val="32"/>
          <w:szCs w:val="32"/>
          <w:highlight w:val="none"/>
          <w:lang w:val="en-US" w:eastAsia="zh-CN"/>
        </w:rPr>
        <w:t>得分92分</w:t>
      </w:r>
      <w:r>
        <w:rPr>
          <w:rFonts w:hint="eastAsia" w:ascii="仿宋" w:hAnsi="仿宋" w:eastAsia="仿宋" w:cs="仿宋"/>
          <w:b w:val="0"/>
          <w:bCs w:val="0"/>
          <w:color w:val="auto"/>
          <w:sz w:val="32"/>
          <w:szCs w:val="32"/>
          <w:highlight w:val="none"/>
          <w:lang w:val="zh-CN"/>
        </w:rPr>
        <w:t>。</w:t>
      </w:r>
    </w:p>
    <w:p w14:paraId="34DA1FB5">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 w:hAnsi="仿宋" w:eastAsia="仿宋" w:cs="仿宋"/>
          <w:b/>
          <w:bCs/>
          <w:color w:val="auto"/>
          <w:kern w:val="0"/>
          <w:sz w:val="32"/>
          <w:szCs w:val="32"/>
          <w:highlight w:val="none"/>
          <w:shd w:val="clear" w:color="auto" w:fill="FFFFFF"/>
          <w:lang w:val="zh-CN"/>
        </w:rPr>
      </w:pPr>
      <w:r>
        <w:rPr>
          <w:rFonts w:hint="eastAsia" w:ascii="仿宋" w:hAnsi="仿宋" w:eastAsia="仿宋" w:cs="仿宋"/>
          <w:b/>
          <w:bCs/>
          <w:color w:val="auto"/>
          <w:kern w:val="0"/>
          <w:sz w:val="32"/>
          <w:szCs w:val="32"/>
          <w:highlight w:val="none"/>
          <w:shd w:val="clear" w:color="auto" w:fill="FFFFFF"/>
          <w:lang w:val="zh-CN"/>
        </w:rPr>
        <w:t>（二）存在问题。</w:t>
      </w:r>
    </w:p>
    <w:p w14:paraId="5720C0E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b w:val="0"/>
          <w:bCs w:val="0"/>
          <w:color w:val="auto"/>
          <w:kern w:val="0"/>
          <w:position w:val="0"/>
          <w:sz w:val="32"/>
          <w:szCs w:val="32"/>
          <w:highlight w:val="none"/>
          <w:lang w:val="en-US" w:eastAsia="zh-CN" w:bidi="ar-SA"/>
        </w:rPr>
      </w:pPr>
      <w:r>
        <w:rPr>
          <w:rFonts w:hint="eastAsia" w:ascii="仿宋" w:hAnsi="仿宋" w:eastAsia="仿宋" w:cs="仿宋"/>
          <w:b w:val="0"/>
          <w:bCs w:val="0"/>
          <w:color w:val="auto"/>
          <w:kern w:val="0"/>
          <w:position w:val="0"/>
          <w:sz w:val="32"/>
          <w:szCs w:val="32"/>
          <w:highlight w:val="none"/>
          <w:lang w:val="en-US" w:eastAsia="zh-CN" w:bidi="ar-SA"/>
        </w:rPr>
        <w:t>无</w:t>
      </w:r>
    </w:p>
    <w:p w14:paraId="3E855E68">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eastAsia" w:ascii="仿宋" w:hAnsi="仿宋" w:eastAsia="仿宋" w:cs="仿宋"/>
          <w:b/>
          <w:bCs/>
          <w:color w:val="auto"/>
          <w:kern w:val="0"/>
          <w:sz w:val="32"/>
          <w:szCs w:val="32"/>
          <w:highlight w:val="none"/>
          <w:shd w:val="clear" w:color="auto" w:fill="FFFFFF"/>
          <w:lang w:val="zh-CN" w:eastAsia="zh-CN"/>
        </w:rPr>
      </w:pPr>
      <w:r>
        <w:rPr>
          <w:rFonts w:hint="eastAsia" w:ascii="仿宋" w:hAnsi="仿宋" w:eastAsia="仿宋" w:cs="仿宋"/>
          <w:b/>
          <w:bCs/>
          <w:color w:val="auto"/>
          <w:kern w:val="0"/>
          <w:sz w:val="32"/>
          <w:szCs w:val="32"/>
          <w:highlight w:val="none"/>
          <w:shd w:val="clear" w:color="auto" w:fill="FFFFFF"/>
          <w:lang w:val="zh-CN" w:eastAsia="zh-CN"/>
        </w:rPr>
        <w:t>（三）改进建议。</w:t>
      </w:r>
    </w:p>
    <w:p w14:paraId="0009ABFD">
      <w:pPr>
        <w:keepNext w:val="0"/>
        <w:keepLines w:val="0"/>
        <w:pageBreakBefore w:val="0"/>
        <w:widowControl w:val="0"/>
        <w:kinsoku/>
        <w:wordWrap/>
        <w:overflowPunct/>
        <w:topLinePunct w:val="0"/>
        <w:autoSpaceDE/>
        <w:autoSpaceDN/>
        <w:bidi w:val="0"/>
        <w:snapToGrid w:val="0"/>
        <w:spacing w:line="600" w:lineRule="exact"/>
        <w:ind w:firstLine="640" w:firstLineChars="200"/>
        <w:textAlignment w:val="auto"/>
        <w:rPr>
          <w:rFonts w:hint="eastAsia" w:ascii="仿宋" w:hAnsi="仿宋" w:eastAsia="仿宋" w:cs="仿宋"/>
          <w:b/>
          <w:bCs w:val="0"/>
          <w:color w:val="auto"/>
          <w:sz w:val="32"/>
          <w:szCs w:val="32"/>
        </w:rPr>
      </w:pPr>
      <w:r>
        <w:rPr>
          <w:rFonts w:hint="eastAsia" w:ascii="仿宋" w:hAnsi="仿宋" w:eastAsia="仿宋" w:cs="仿宋"/>
          <w:color w:val="auto"/>
          <w:kern w:val="0"/>
          <w:sz w:val="32"/>
          <w:szCs w:val="32"/>
          <w:highlight w:val="none"/>
          <w:shd w:val="clear" w:color="auto" w:fill="FFFFFF"/>
          <w:lang w:val="zh-CN" w:eastAsia="zh-CN"/>
        </w:rPr>
        <w:t>定期开展项目绩效推进会，做到理清原因并提出了改进建议，以切实提高资金使用效益，为强化预算支出的责任的效率提供参考依据。同时充分应用预算绩效评估、执行、监控、评价结果，以保证</w:t>
      </w:r>
      <w:r>
        <w:rPr>
          <w:rFonts w:hint="eastAsia" w:ascii="仿宋" w:hAnsi="仿宋" w:eastAsia="仿宋" w:cs="仿宋"/>
          <w:color w:val="auto"/>
          <w:kern w:val="0"/>
          <w:sz w:val="32"/>
          <w:szCs w:val="32"/>
          <w:highlight w:val="none"/>
          <w:shd w:val="clear" w:color="auto" w:fill="FFFFFF"/>
          <w:lang w:val="en-US" w:eastAsia="zh-CN"/>
        </w:rPr>
        <w:t>医院</w:t>
      </w:r>
      <w:r>
        <w:rPr>
          <w:rFonts w:hint="eastAsia" w:ascii="仿宋" w:hAnsi="仿宋" w:eastAsia="仿宋" w:cs="仿宋"/>
          <w:color w:val="auto"/>
          <w:kern w:val="0"/>
          <w:sz w:val="32"/>
          <w:szCs w:val="32"/>
          <w:highlight w:val="none"/>
          <w:shd w:val="clear" w:color="auto" w:fill="FFFFFF"/>
          <w:lang w:val="zh-CN" w:eastAsia="zh-CN"/>
        </w:rPr>
        <w:t>正常运转、可持续发展。</w:t>
      </w:r>
    </w:p>
    <w:p w14:paraId="74D8E412">
      <w:pPr>
        <w:ind w:firstLine="600"/>
        <w:rPr>
          <w:rFonts w:hint="eastAsia" w:ascii="仿宋" w:hAnsi="仿宋" w:eastAsia="仿宋" w:cs="仿宋"/>
          <w:sz w:val="32"/>
          <w:szCs w:val="32"/>
          <w:lang w:val="en-US" w:eastAsia="zh-CN"/>
        </w:rPr>
      </w:pPr>
    </w:p>
    <w:p w14:paraId="389D0B46">
      <w:pPr>
        <w:ind w:firstLine="600"/>
        <w:rPr>
          <w:rFonts w:hint="eastAsia" w:ascii="仿宋" w:hAnsi="仿宋" w:eastAsia="仿宋" w:cs="仿宋"/>
          <w:sz w:val="32"/>
          <w:szCs w:val="32"/>
          <w:lang w:val="en-US" w:eastAsia="zh-CN"/>
        </w:rPr>
      </w:pPr>
    </w:p>
    <w:p w14:paraId="55A6F562">
      <w:pPr>
        <w:ind w:firstLine="600"/>
        <w:rPr>
          <w:rFonts w:hint="eastAsia" w:ascii="仿宋" w:hAnsi="仿宋" w:eastAsia="仿宋" w:cs="仿宋"/>
          <w:sz w:val="32"/>
          <w:szCs w:val="32"/>
          <w:lang w:val="en-US" w:eastAsia="zh-CN"/>
        </w:rPr>
      </w:pPr>
    </w:p>
    <w:p w14:paraId="08056395">
      <w:pPr>
        <w:tabs>
          <w:tab w:val="left" w:pos="1911"/>
        </w:tabs>
        <w:ind w:firstLine="640"/>
        <w:jc w:val="left"/>
        <w:rPr>
          <w:rFonts w:hint="default" w:cs="Times New Roman"/>
          <w:b w:val="0"/>
          <w:bCs w:val="0"/>
          <w:kern w:val="0"/>
          <w:position w:val="0"/>
          <w:sz w:val="32"/>
          <w:szCs w:val="32"/>
          <w:highlight w:val="none"/>
          <w:lang w:val="en" w:eastAsia="zh-CN" w:bidi="ar-SA"/>
        </w:rPr>
      </w:pPr>
    </w:p>
    <w:bookmarkEnd w:id="56"/>
    <w:p w14:paraId="2A9B03E2">
      <w:pPr>
        <w:pageBreakBefore w:val="0"/>
        <w:widowControl w:val="0"/>
        <w:kinsoku/>
        <w:wordWrap/>
        <w:overflowPunct/>
        <w:topLinePunct w:val="0"/>
        <w:autoSpaceDE/>
        <w:autoSpaceDN/>
        <w:bidi w:val="0"/>
        <w:spacing w:line="560" w:lineRule="exact"/>
        <w:jc w:val="both"/>
        <w:textAlignment w:val="auto"/>
        <w:outlineLvl w:val="0"/>
        <w:rPr>
          <w:rFonts w:ascii="黑体" w:eastAsia="黑体"/>
          <w:sz w:val="44"/>
          <w:szCs w:val="44"/>
        </w:rPr>
      </w:pPr>
    </w:p>
    <w:p w14:paraId="6E07E732">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2145E059">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47992644">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2D697DAA">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4FEC94D8">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2EA559A9">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190AEFDD">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6C301C37">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5EA47727">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2CCB264C">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5AB56FA5">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073ABCE0">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10A40265">
      <w:pPr>
        <w:pageBreakBefore w:val="0"/>
        <w:widowControl w:val="0"/>
        <w:kinsoku/>
        <w:wordWrap/>
        <w:overflowPunct/>
        <w:topLinePunct w:val="0"/>
        <w:autoSpaceDE/>
        <w:autoSpaceDN/>
        <w:bidi w:val="0"/>
        <w:spacing w:line="560" w:lineRule="exact"/>
        <w:jc w:val="center"/>
        <w:textAlignment w:val="auto"/>
        <w:outlineLvl w:val="0"/>
        <w:rPr>
          <w:rFonts w:hint="eastAsia" w:ascii="黑体" w:eastAsia="黑体"/>
          <w:sz w:val="44"/>
          <w:szCs w:val="44"/>
        </w:rPr>
      </w:pPr>
    </w:p>
    <w:p w14:paraId="02B9E11B">
      <w:pPr>
        <w:pageBreakBefore w:val="0"/>
        <w:widowControl w:val="0"/>
        <w:kinsoku/>
        <w:wordWrap/>
        <w:overflowPunct/>
        <w:topLinePunct w:val="0"/>
        <w:autoSpaceDE/>
        <w:autoSpaceDN/>
        <w:bidi w:val="0"/>
        <w:spacing w:line="560" w:lineRule="exact"/>
        <w:jc w:val="center"/>
        <w:textAlignment w:val="auto"/>
        <w:outlineLvl w:val="0"/>
        <w:rPr>
          <w:rFonts w:ascii="仿宋" w:eastAsia="仿宋"/>
        </w:rPr>
      </w:pPr>
      <w:r>
        <w:rPr>
          <w:rFonts w:hint="eastAsia" w:ascii="黑体" w:eastAsia="黑体"/>
          <w:sz w:val="44"/>
          <w:szCs w:val="44"/>
        </w:rPr>
        <w:t>第</w:t>
      </w:r>
      <w:r>
        <w:rPr>
          <w:rStyle w:val="24"/>
          <w:rFonts w:hint="eastAsia" w:ascii="黑体" w:eastAsia="黑体"/>
          <w:b w:val="0"/>
        </w:rPr>
        <w:t>五部分 附表</w:t>
      </w:r>
      <w:bookmarkEnd w:id="53"/>
      <w:bookmarkEnd w:id="55"/>
      <w:bookmarkStart w:id="57" w:name="_Toc15396619"/>
    </w:p>
    <w:p w14:paraId="5BE8AFD6">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r>
        <w:rPr>
          <w:rFonts w:hint="eastAsia" w:ascii="仿宋" w:eastAsia="仿宋"/>
          <w:b w:val="0"/>
          <w:sz w:val="32"/>
          <w:szCs w:val="32"/>
        </w:rPr>
        <w:t>一、收</w:t>
      </w:r>
      <w:r>
        <w:rPr>
          <w:rStyle w:val="25"/>
          <w:rFonts w:hint="eastAsia" w:ascii="仿宋" w:eastAsia="仿宋"/>
          <w:b w:val="0"/>
          <w:bCs w:val="0"/>
          <w:sz w:val="32"/>
          <w:szCs w:val="32"/>
        </w:rPr>
        <w:t>入支出决算总表</w:t>
      </w:r>
      <w:bookmarkEnd w:id="57"/>
    </w:p>
    <w:p w14:paraId="784F6698">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bookmarkStart w:id="58" w:name="_Toc15396620"/>
      <w:r>
        <w:rPr>
          <w:rFonts w:hint="eastAsia" w:ascii="仿宋" w:eastAsia="仿宋"/>
          <w:b w:val="0"/>
          <w:sz w:val="32"/>
          <w:szCs w:val="32"/>
        </w:rPr>
        <w:t>二、收</w:t>
      </w:r>
      <w:r>
        <w:rPr>
          <w:rStyle w:val="25"/>
          <w:rFonts w:hint="eastAsia" w:ascii="仿宋" w:eastAsia="仿宋"/>
          <w:b w:val="0"/>
          <w:bCs w:val="0"/>
          <w:sz w:val="32"/>
          <w:szCs w:val="32"/>
        </w:rPr>
        <w:t>入决算表</w:t>
      </w:r>
      <w:bookmarkEnd w:id="58"/>
    </w:p>
    <w:p w14:paraId="5D44DD13">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bookmarkStart w:id="59" w:name="_Toc15396621"/>
      <w:r>
        <w:rPr>
          <w:rStyle w:val="25"/>
          <w:rFonts w:hint="eastAsia" w:ascii="仿宋" w:eastAsia="仿宋"/>
          <w:b w:val="0"/>
          <w:bCs w:val="0"/>
          <w:sz w:val="32"/>
          <w:szCs w:val="32"/>
        </w:rPr>
        <w:t>三、</w:t>
      </w:r>
      <w:r>
        <w:rPr>
          <w:rFonts w:hint="eastAsia" w:ascii="仿宋" w:eastAsia="仿宋"/>
          <w:b w:val="0"/>
          <w:sz w:val="32"/>
          <w:szCs w:val="32"/>
        </w:rPr>
        <w:t>支</w:t>
      </w:r>
      <w:r>
        <w:rPr>
          <w:rStyle w:val="25"/>
          <w:rFonts w:hint="eastAsia" w:ascii="仿宋" w:eastAsia="仿宋"/>
          <w:b w:val="0"/>
          <w:bCs w:val="0"/>
          <w:sz w:val="32"/>
          <w:szCs w:val="32"/>
        </w:rPr>
        <w:t>出决算表</w:t>
      </w:r>
      <w:bookmarkEnd w:id="59"/>
    </w:p>
    <w:p w14:paraId="1CBBE494">
      <w:pPr>
        <w:pStyle w:val="3"/>
        <w:pageBreakBefore w:val="0"/>
        <w:widowControl w:val="0"/>
        <w:kinsoku/>
        <w:wordWrap/>
        <w:overflowPunct/>
        <w:topLinePunct w:val="0"/>
        <w:autoSpaceDE/>
        <w:autoSpaceDN/>
        <w:bidi w:val="0"/>
        <w:spacing w:line="560" w:lineRule="exact"/>
        <w:textAlignment w:val="auto"/>
        <w:rPr>
          <w:rFonts w:ascii="仿宋" w:eastAsia="仿宋"/>
          <w:b w:val="0"/>
          <w:sz w:val="32"/>
          <w:szCs w:val="32"/>
        </w:rPr>
      </w:pPr>
      <w:bookmarkStart w:id="60" w:name="_Toc15396622"/>
      <w:r>
        <w:rPr>
          <w:rStyle w:val="25"/>
          <w:rFonts w:hint="eastAsia" w:ascii="仿宋" w:eastAsia="仿宋"/>
          <w:b w:val="0"/>
          <w:bCs w:val="0"/>
          <w:sz w:val="32"/>
          <w:szCs w:val="32"/>
        </w:rPr>
        <w:t>四、</w:t>
      </w:r>
      <w:r>
        <w:rPr>
          <w:rFonts w:hint="eastAsia" w:ascii="仿宋" w:eastAsia="仿宋"/>
          <w:b w:val="0"/>
          <w:sz w:val="32"/>
          <w:szCs w:val="32"/>
        </w:rPr>
        <w:t>财</w:t>
      </w:r>
      <w:r>
        <w:rPr>
          <w:rStyle w:val="25"/>
          <w:rFonts w:hint="eastAsia" w:ascii="仿宋" w:eastAsia="仿宋"/>
          <w:b w:val="0"/>
          <w:bCs w:val="0"/>
          <w:sz w:val="32"/>
          <w:szCs w:val="32"/>
        </w:rPr>
        <w:t>政拨款收入支出决算总表</w:t>
      </w:r>
      <w:bookmarkEnd w:id="60"/>
    </w:p>
    <w:p w14:paraId="6C3B7869">
      <w:pPr>
        <w:pStyle w:val="3"/>
        <w:pageBreakBefore w:val="0"/>
        <w:widowControl w:val="0"/>
        <w:kinsoku/>
        <w:wordWrap/>
        <w:overflowPunct/>
        <w:topLinePunct w:val="0"/>
        <w:autoSpaceDE/>
        <w:autoSpaceDN/>
        <w:bidi w:val="0"/>
        <w:spacing w:line="560" w:lineRule="exact"/>
        <w:textAlignment w:val="auto"/>
        <w:rPr>
          <w:rStyle w:val="25"/>
          <w:rFonts w:ascii="仿宋" w:eastAsia="仿宋"/>
          <w:b w:val="0"/>
          <w:bCs w:val="0"/>
          <w:sz w:val="32"/>
          <w:szCs w:val="32"/>
        </w:rPr>
      </w:pPr>
      <w:bookmarkStart w:id="61" w:name="_Toc15396623"/>
      <w:r>
        <w:rPr>
          <w:rStyle w:val="25"/>
          <w:rFonts w:hint="eastAsia" w:ascii="仿宋" w:eastAsia="仿宋"/>
          <w:b w:val="0"/>
          <w:bCs w:val="0"/>
          <w:sz w:val="32"/>
          <w:szCs w:val="32"/>
        </w:rPr>
        <w:t>五、</w:t>
      </w:r>
      <w:r>
        <w:rPr>
          <w:rFonts w:hint="eastAsia" w:ascii="仿宋" w:eastAsia="仿宋"/>
          <w:b w:val="0"/>
          <w:sz w:val="32"/>
          <w:szCs w:val="32"/>
        </w:rPr>
        <w:t>财</w:t>
      </w:r>
      <w:r>
        <w:rPr>
          <w:rStyle w:val="25"/>
          <w:rFonts w:hint="eastAsia" w:ascii="仿宋" w:eastAsia="仿宋"/>
          <w:b w:val="0"/>
          <w:bCs w:val="0"/>
          <w:sz w:val="32"/>
          <w:szCs w:val="32"/>
        </w:rPr>
        <w:t>政拨款支出决算明细表</w:t>
      </w:r>
      <w:bookmarkEnd w:id="61"/>
      <w:bookmarkStart w:id="62" w:name="_Toc15396624"/>
    </w:p>
    <w:p w14:paraId="5D7BF9D2">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r>
        <w:rPr>
          <w:rStyle w:val="25"/>
          <w:rFonts w:hint="eastAsia" w:ascii="仿宋" w:eastAsia="仿宋"/>
          <w:b w:val="0"/>
          <w:bCs w:val="0"/>
          <w:sz w:val="32"/>
          <w:szCs w:val="32"/>
        </w:rPr>
        <w:t>六、</w:t>
      </w:r>
      <w:r>
        <w:rPr>
          <w:rFonts w:hint="eastAsia" w:ascii="仿宋" w:eastAsia="仿宋"/>
          <w:b w:val="0"/>
          <w:sz w:val="32"/>
          <w:szCs w:val="32"/>
        </w:rPr>
        <w:t>一</w:t>
      </w:r>
      <w:r>
        <w:rPr>
          <w:rStyle w:val="25"/>
          <w:rFonts w:hint="eastAsia" w:ascii="仿宋" w:eastAsia="仿宋"/>
          <w:b w:val="0"/>
          <w:bCs w:val="0"/>
          <w:sz w:val="32"/>
          <w:szCs w:val="32"/>
        </w:rPr>
        <w:t>般公共预算财政拨款支出决算表</w:t>
      </w:r>
      <w:bookmarkEnd w:id="62"/>
    </w:p>
    <w:p w14:paraId="0187393D">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bookmarkStart w:id="63" w:name="_Toc15396625"/>
      <w:r>
        <w:rPr>
          <w:rStyle w:val="25"/>
          <w:rFonts w:hint="eastAsia" w:ascii="仿宋" w:eastAsia="仿宋"/>
          <w:b w:val="0"/>
          <w:bCs w:val="0"/>
          <w:sz w:val="32"/>
          <w:szCs w:val="32"/>
        </w:rPr>
        <w:t>七、</w:t>
      </w:r>
      <w:r>
        <w:rPr>
          <w:rFonts w:hint="eastAsia" w:ascii="仿宋" w:eastAsia="仿宋"/>
          <w:b w:val="0"/>
          <w:sz w:val="32"/>
          <w:szCs w:val="32"/>
        </w:rPr>
        <w:t>一</w:t>
      </w:r>
      <w:r>
        <w:rPr>
          <w:rStyle w:val="25"/>
          <w:rFonts w:hint="eastAsia" w:ascii="仿宋" w:eastAsia="仿宋"/>
          <w:b w:val="0"/>
          <w:bCs w:val="0"/>
          <w:sz w:val="32"/>
          <w:szCs w:val="32"/>
        </w:rPr>
        <w:t>般公共预算财政拨款支出决算明细表</w:t>
      </w:r>
      <w:bookmarkEnd w:id="63"/>
    </w:p>
    <w:p w14:paraId="3FD90663">
      <w:pPr>
        <w:pStyle w:val="3"/>
        <w:pageBreakBefore w:val="0"/>
        <w:widowControl w:val="0"/>
        <w:kinsoku/>
        <w:wordWrap/>
        <w:overflowPunct/>
        <w:topLinePunct w:val="0"/>
        <w:autoSpaceDE/>
        <w:autoSpaceDN/>
        <w:bidi w:val="0"/>
        <w:spacing w:line="560" w:lineRule="exact"/>
        <w:textAlignment w:val="auto"/>
        <w:rPr>
          <w:rFonts w:ascii="仿宋" w:eastAsia="仿宋"/>
          <w:sz w:val="32"/>
          <w:szCs w:val="32"/>
        </w:rPr>
      </w:pPr>
      <w:bookmarkStart w:id="64" w:name="_Toc15396626"/>
      <w:r>
        <w:rPr>
          <w:rStyle w:val="25"/>
          <w:rFonts w:hint="eastAsia" w:ascii="仿宋" w:eastAsia="仿宋"/>
          <w:b w:val="0"/>
          <w:bCs w:val="0"/>
          <w:sz w:val="32"/>
          <w:szCs w:val="32"/>
        </w:rPr>
        <w:t>八、</w:t>
      </w:r>
      <w:r>
        <w:rPr>
          <w:rFonts w:hint="eastAsia" w:ascii="仿宋" w:eastAsia="仿宋"/>
          <w:b w:val="0"/>
          <w:sz w:val="32"/>
          <w:szCs w:val="32"/>
        </w:rPr>
        <w:t>一</w:t>
      </w:r>
      <w:r>
        <w:rPr>
          <w:rStyle w:val="25"/>
          <w:rFonts w:hint="eastAsia" w:ascii="仿宋" w:eastAsia="仿宋"/>
          <w:b w:val="0"/>
          <w:bCs w:val="0"/>
          <w:sz w:val="32"/>
          <w:szCs w:val="32"/>
        </w:rPr>
        <w:t>般公共预算财政拨款基本支出决算表</w:t>
      </w:r>
      <w:bookmarkEnd w:id="64"/>
    </w:p>
    <w:p w14:paraId="412A8871">
      <w:pPr>
        <w:pStyle w:val="3"/>
        <w:pageBreakBefore w:val="0"/>
        <w:widowControl w:val="0"/>
        <w:kinsoku/>
        <w:wordWrap/>
        <w:overflowPunct/>
        <w:topLinePunct w:val="0"/>
        <w:autoSpaceDE/>
        <w:autoSpaceDN/>
        <w:bidi w:val="0"/>
        <w:spacing w:line="560" w:lineRule="exact"/>
        <w:textAlignment w:val="auto"/>
        <w:rPr>
          <w:rStyle w:val="25"/>
          <w:rFonts w:hint="eastAsia" w:ascii="仿宋" w:eastAsia="仿宋"/>
          <w:b w:val="0"/>
          <w:bCs w:val="0"/>
          <w:sz w:val="32"/>
          <w:szCs w:val="32"/>
        </w:rPr>
      </w:pPr>
      <w:bookmarkStart w:id="65" w:name="_Toc15396627"/>
      <w:r>
        <w:rPr>
          <w:rStyle w:val="25"/>
          <w:rFonts w:hint="eastAsia" w:ascii="仿宋" w:eastAsia="仿宋"/>
          <w:b w:val="0"/>
          <w:bCs w:val="0"/>
          <w:sz w:val="32"/>
          <w:szCs w:val="32"/>
        </w:rPr>
        <w:t>九、一般公共预算财政拨款项目支出决算表</w:t>
      </w:r>
      <w:bookmarkEnd w:id="65"/>
    </w:p>
    <w:p w14:paraId="6E7B027E">
      <w:pPr>
        <w:pStyle w:val="3"/>
        <w:pageBreakBefore w:val="0"/>
        <w:widowControl w:val="0"/>
        <w:kinsoku/>
        <w:wordWrap/>
        <w:overflowPunct/>
        <w:topLinePunct w:val="0"/>
        <w:autoSpaceDE/>
        <w:autoSpaceDN/>
        <w:bidi w:val="0"/>
        <w:spacing w:line="560" w:lineRule="exact"/>
        <w:textAlignment w:val="auto"/>
        <w:rPr>
          <w:rStyle w:val="25"/>
          <w:rFonts w:hint="eastAsia" w:ascii="仿宋" w:eastAsia="仿宋"/>
          <w:b w:val="0"/>
          <w:bCs w:val="0"/>
          <w:sz w:val="32"/>
          <w:szCs w:val="32"/>
          <w:lang w:val="en-US" w:eastAsia="zh-CN"/>
        </w:rPr>
      </w:pPr>
      <w:r>
        <w:rPr>
          <w:rStyle w:val="25"/>
          <w:rFonts w:hint="eastAsia" w:ascii="仿宋" w:eastAsia="仿宋"/>
          <w:b w:val="0"/>
          <w:bCs w:val="0"/>
          <w:sz w:val="32"/>
          <w:szCs w:val="32"/>
        </w:rPr>
        <w:t>十、政府性基金预算财政拨款收入支出决算表</w:t>
      </w:r>
    </w:p>
    <w:p w14:paraId="0237E5AA">
      <w:pPr>
        <w:pStyle w:val="3"/>
        <w:pageBreakBefore w:val="0"/>
        <w:widowControl w:val="0"/>
        <w:kinsoku/>
        <w:wordWrap/>
        <w:overflowPunct/>
        <w:topLinePunct w:val="0"/>
        <w:autoSpaceDE/>
        <w:autoSpaceDN/>
        <w:bidi w:val="0"/>
        <w:spacing w:line="560" w:lineRule="exact"/>
        <w:textAlignment w:val="auto"/>
        <w:rPr>
          <w:rStyle w:val="25"/>
          <w:rFonts w:hint="default" w:ascii="仿宋" w:eastAsia="仿宋"/>
          <w:b w:val="0"/>
          <w:bCs w:val="0"/>
          <w:sz w:val="32"/>
          <w:szCs w:val="32"/>
          <w:lang w:val="en-US"/>
        </w:rPr>
      </w:pPr>
      <w:r>
        <w:rPr>
          <w:rStyle w:val="25"/>
          <w:rFonts w:hint="eastAsia" w:ascii="仿宋" w:eastAsia="仿宋"/>
          <w:b w:val="0"/>
          <w:bCs w:val="0"/>
          <w:sz w:val="32"/>
          <w:szCs w:val="32"/>
        </w:rPr>
        <w:t>十</w:t>
      </w:r>
      <w:r>
        <w:rPr>
          <w:rStyle w:val="25"/>
          <w:rFonts w:hint="eastAsia" w:ascii="仿宋" w:eastAsia="仿宋"/>
          <w:b w:val="0"/>
          <w:bCs w:val="0"/>
          <w:sz w:val="32"/>
          <w:szCs w:val="32"/>
          <w:lang w:val="en-US" w:eastAsia="zh-CN"/>
        </w:rPr>
        <w:t>一</w:t>
      </w:r>
      <w:r>
        <w:rPr>
          <w:rStyle w:val="25"/>
          <w:rFonts w:hint="eastAsia" w:ascii="仿宋" w:eastAsia="仿宋"/>
          <w:b w:val="0"/>
          <w:bCs w:val="0"/>
          <w:sz w:val="32"/>
          <w:szCs w:val="32"/>
        </w:rPr>
        <w:t>、国有资本经营预算财政拨款收入支出决算表</w:t>
      </w:r>
    </w:p>
    <w:p w14:paraId="0ADC25EB">
      <w:pPr>
        <w:pStyle w:val="3"/>
        <w:pageBreakBefore w:val="0"/>
        <w:widowControl w:val="0"/>
        <w:kinsoku/>
        <w:wordWrap/>
        <w:overflowPunct/>
        <w:topLinePunct w:val="0"/>
        <w:autoSpaceDE/>
        <w:autoSpaceDN/>
        <w:bidi w:val="0"/>
        <w:spacing w:line="560" w:lineRule="exact"/>
        <w:textAlignment w:val="auto"/>
        <w:rPr>
          <w:rStyle w:val="25"/>
          <w:rFonts w:hint="eastAsia" w:ascii="仿宋" w:eastAsia="仿宋"/>
          <w:b w:val="0"/>
          <w:bCs w:val="0"/>
          <w:sz w:val="32"/>
          <w:szCs w:val="32"/>
          <w:lang w:val="en-US" w:eastAsia="zh-CN"/>
        </w:rPr>
      </w:pPr>
      <w:r>
        <w:rPr>
          <w:rStyle w:val="25"/>
          <w:rFonts w:hint="eastAsia" w:ascii="仿宋" w:eastAsia="仿宋"/>
          <w:b w:val="0"/>
          <w:bCs w:val="0"/>
          <w:sz w:val="32"/>
          <w:szCs w:val="32"/>
        </w:rPr>
        <w:t>十</w:t>
      </w:r>
      <w:r>
        <w:rPr>
          <w:rStyle w:val="25"/>
          <w:rFonts w:hint="eastAsia" w:ascii="仿宋" w:eastAsia="仿宋"/>
          <w:b w:val="0"/>
          <w:bCs w:val="0"/>
          <w:sz w:val="32"/>
          <w:szCs w:val="32"/>
          <w:lang w:val="en-US" w:eastAsia="zh-CN"/>
        </w:rPr>
        <w:t>二</w:t>
      </w:r>
      <w:r>
        <w:rPr>
          <w:rStyle w:val="25"/>
          <w:rFonts w:hint="eastAsia" w:ascii="仿宋" w:eastAsia="仿宋"/>
          <w:b w:val="0"/>
          <w:bCs w:val="0"/>
          <w:sz w:val="32"/>
          <w:szCs w:val="32"/>
        </w:rPr>
        <w:t>、国有资本经营预算财政拨款支出决算表</w:t>
      </w:r>
    </w:p>
    <w:p w14:paraId="0AA3DC45">
      <w:pPr>
        <w:pStyle w:val="3"/>
        <w:pageBreakBefore w:val="0"/>
        <w:widowControl w:val="0"/>
        <w:kinsoku/>
        <w:wordWrap/>
        <w:overflowPunct/>
        <w:topLinePunct w:val="0"/>
        <w:autoSpaceDE/>
        <w:autoSpaceDN/>
        <w:bidi w:val="0"/>
        <w:spacing w:line="560" w:lineRule="exact"/>
        <w:textAlignment w:val="auto"/>
        <w:rPr>
          <w:rStyle w:val="25"/>
          <w:rFonts w:hint="default" w:ascii="仿宋" w:eastAsia="仿宋"/>
          <w:b w:val="0"/>
          <w:bCs w:val="0"/>
          <w:sz w:val="32"/>
          <w:szCs w:val="32"/>
          <w:lang w:val="en-US"/>
        </w:rPr>
      </w:pPr>
      <w:r>
        <w:rPr>
          <w:rStyle w:val="25"/>
          <w:rFonts w:hint="eastAsia" w:ascii="仿宋" w:eastAsia="仿宋"/>
          <w:b w:val="0"/>
          <w:bCs w:val="0"/>
          <w:sz w:val="32"/>
          <w:szCs w:val="32"/>
        </w:rPr>
        <w:t>十</w:t>
      </w:r>
      <w:r>
        <w:rPr>
          <w:rStyle w:val="25"/>
          <w:rFonts w:hint="eastAsia" w:ascii="仿宋" w:eastAsia="仿宋"/>
          <w:b w:val="0"/>
          <w:bCs w:val="0"/>
          <w:sz w:val="32"/>
          <w:szCs w:val="32"/>
          <w:lang w:val="en-US" w:eastAsia="zh-CN"/>
        </w:rPr>
        <w:t>三</w:t>
      </w:r>
      <w:r>
        <w:rPr>
          <w:rStyle w:val="25"/>
          <w:rFonts w:hint="eastAsia" w:ascii="仿宋" w:eastAsia="仿宋"/>
          <w:b w:val="0"/>
          <w:bCs w:val="0"/>
          <w:sz w:val="32"/>
          <w:szCs w:val="32"/>
        </w:rPr>
        <w:t>、</w:t>
      </w:r>
      <w:r>
        <w:rPr>
          <w:rStyle w:val="25"/>
          <w:rFonts w:hint="default" w:ascii="仿宋" w:eastAsia="仿宋"/>
          <w:b w:val="0"/>
          <w:bCs w:val="0"/>
          <w:sz w:val="32"/>
          <w:szCs w:val="32"/>
          <w:lang w:val="en-US"/>
        </w:rPr>
        <w:t>财政拨款“三公”经费支出决算表</w:t>
      </w:r>
    </w:p>
    <w:p w14:paraId="6CA96287">
      <w:pPr>
        <w:pStyle w:val="22"/>
        <w:rPr>
          <w:rStyle w:val="25"/>
          <w:rFonts w:hint="eastAsia" w:ascii="仿宋" w:eastAsia="仿宋"/>
          <w:b w:val="0"/>
          <w:bCs w:val="0"/>
        </w:rPr>
      </w:pPr>
    </w:p>
    <w:sectPr>
      <w:footerReference r:id="rId7" w:type="first"/>
      <w:footerReference r:id="rId6" w:type="default"/>
      <w:pgSz w:w="11906" w:h="16838"/>
      <w:pgMar w:top="1984"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3000509000000000000"/>
    <w:charset w:val="86"/>
    <w:family w:val="script"/>
    <w:pitch w:val="default"/>
    <w:sig w:usb0="00000000" w:usb1="0000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方正小标宋_GBK">
    <w:altName w:val="微软雅黑"/>
    <w:panose1 w:val="03000509000000000000"/>
    <w:charset w:val="86"/>
    <w:family w:val="auto"/>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大标宋简体">
    <w:altName w:val="微软雅黑"/>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78EFF">
    <w:pPr>
      <w:pStyle w:val="11"/>
      <w:jc w:val="center"/>
    </w:pPr>
  </w:p>
  <w:p w14:paraId="251E5F13">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74221">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0A575">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11887915"/>
                          </w:sdtPr>
                          <w:sdtContent>
                            <w:p w14:paraId="3C98BC88">
                              <w:pPr>
                                <w:pStyle w:val="11"/>
                                <w:jc w:val="center"/>
                              </w:pPr>
                              <w:r>
                                <w:fldChar w:fldCharType="begin"/>
                              </w:r>
                              <w:r>
                                <w:instrText xml:space="preserve">PAGE   \* MERGEFORMAT</w:instrText>
                              </w:r>
                              <w:r>
                                <w:fldChar w:fldCharType="separate"/>
                              </w:r>
                              <w:r>
                                <w:rPr>
                                  <w:lang w:val="zh-CN"/>
                                </w:rPr>
                                <w:t>8</w:t>
                              </w:r>
                              <w:r>
                                <w:fldChar w:fldCharType="end"/>
                              </w:r>
                            </w:p>
                          </w:sdtContent>
                        </w:sdt>
                        <w:p w14:paraId="443AEA19">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sdt>
                    <w:sdtPr>
                      <w:id w:val="-611887915"/>
                    </w:sdtPr>
                    <w:sdtContent>
                      <w:p w14:paraId="3C98BC88">
                        <w:pPr>
                          <w:pStyle w:val="11"/>
                          <w:jc w:val="center"/>
                        </w:pPr>
                        <w:r>
                          <w:fldChar w:fldCharType="begin"/>
                        </w:r>
                        <w:r>
                          <w:instrText xml:space="preserve">PAGE   \* MERGEFORMAT</w:instrText>
                        </w:r>
                        <w:r>
                          <w:fldChar w:fldCharType="separate"/>
                        </w:r>
                        <w:r>
                          <w:rPr>
                            <w:lang w:val="zh-CN"/>
                          </w:rPr>
                          <w:t>8</w:t>
                        </w:r>
                        <w:r>
                          <w:fldChar w:fldCharType="end"/>
                        </w:r>
                      </w:p>
                    </w:sdtContent>
                  </w:sdt>
                  <w:p w14:paraId="443AEA19">
                    <w:pPr>
                      <w:pStyle w:val="8"/>
                    </w:pPr>
                  </w:p>
                </w:txbxContent>
              </v:textbox>
            </v:shape>
          </w:pict>
        </mc:Fallback>
      </mc:AlternateContent>
    </w:r>
  </w:p>
  <w:p w14:paraId="33AFFF1D">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7722E">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5A42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1B5A42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DDF7F">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4770E8"/>
    <w:multiLevelType w:val="singleLevel"/>
    <w:tmpl w:val="854770E8"/>
    <w:lvl w:ilvl="0" w:tentative="0">
      <w:start w:val="2"/>
      <w:numFmt w:val="chineseCounting"/>
      <w:suff w:val="nothing"/>
      <w:lvlText w:val="（%1）"/>
      <w:lvlJc w:val="left"/>
      <w:rPr>
        <w:rFonts w:hint="eastAsia"/>
      </w:rPr>
    </w:lvl>
  </w:abstractNum>
  <w:abstractNum w:abstractNumId="1">
    <w:nsid w:val="A89757C7"/>
    <w:multiLevelType w:val="singleLevel"/>
    <w:tmpl w:val="A89757C7"/>
    <w:lvl w:ilvl="0" w:tentative="0">
      <w:start w:val="1"/>
      <w:numFmt w:val="chineseCounting"/>
      <w:suff w:val="nothing"/>
      <w:lvlText w:val="%1、"/>
      <w:lvlJc w:val="left"/>
      <w:rPr>
        <w:rFonts w:hint="eastAsia"/>
      </w:rPr>
    </w:lvl>
  </w:abstractNum>
  <w:abstractNum w:abstractNumId="2">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3">
    <w:nsid w:val="E2FA047D"/>
    <w:multiLevelType w:val="singleLevel"/>
    <w:tmpl w:val="E2FA047D"/>
    <w:lvl w:ilvl="0" w:tentative="0">
      <w:start w:val="3"/>
      <w:numFmt w:val="chineseCounting"/>
      <w:suff w:val="space"/>
      <w:lvlText w:val="第%1部分"/>
      <w:lvlJc w:val="left"/>
      <w:pPr>
        <w:ind w:left="0" w:firstLine="0"/>
      </w:pPr>
      <w:rPr>
        <w:rFonts w:hint="eastAsia" w:ascii="黑体" w:hAnsi="黑体" w:eastAsia="黑体" w:cs="黑体"/>
        <w:sz w:val="44"/>
        <w:szCs w:val="44"/>
      </w:rPr>
    </w:lvl>
  </w:abstractNum>
  <w:abstractNum w:abstractNumId="4">
    <w:nsid w:val="F5A541FB"/>
    <w:multiLevelType w:val="singleLevel"/>
    <w:tmpl w:val="F5A541FB"/>
    <w:lvl w:ilvl="0" w:tentative="0">
      <w:start w:val="3"/>
      <w:numFmt w:val="chineseCounting"/>
      <w:suff w:val="nothing"/>
      <w:lvlText w:val="（%1）"/>
      <w:lvlJc w:val="left"/>
      <w:rPr>
        <w:rFonts w:hint="eastAsia"/>
      </w:rPr>
    </w:lvl>
  </w:abstractNum>
  <w:abstractNum w:abstractNumId="5">
    <w:nsid w:val="0F3B70AE"/>
    <w:multiLevelType w:val="singleLevel"/>
    <w:tmpl w:val="0F3B70AE"/>
    <w:lvl w:ilvl="0" w:tentative="0">
      <w:start w:val="2"/>
      <w:numFmt w:val="chineseCounting"/>
      <w:suff w:val="nothing"/>
      <w:lvlText w:val="（%1）"/>
      <w:lvlJc w:val="left"/>
      <w:rPr>
        <w:rFonts w:hint="eastAsia"/>
      </w:rPr>
    </w:lvl>
  </w:abstractNum>
  <w:abstractNum w:abstractNumId="6">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7">
    <w:nsid w:val="355666A7"/>
    <w:multiLevelType w:val="singleLevel"/>
    <w:tmpl w:val="355666A7"/>
    <w:lvl w:ilvl="0" w:tentative="0">
      <w:start w:val="2"/>
      <w:numFmt w:val="chineseCounting"/>
      <w:suff w:val="nothing"/>
      <w:lvlText w:val="（%1）"/>
      <w:lvlJc w:val="left"/>
      <w:rPr>
        <w:rFonts w:hint="eastAsia"/>
      </w:rPr>
    </w:lvl>
  </w:abstractNum>
  <w:abstractNum w:abstractNumId="8">
    <w:nsid w:val="3635C27D"/>
    <w:multiLevelType w:val="singleLevel"/>
    <w:tmpl w:val="3635C27D"/>
    <w:lvl w:ilvl="0" w:tentative="0">
      <w:start w:val="2"/>
      <w:numFmt w:val="chineseCounting"/>
      <w:suff w:val="nothing"/>
      <w:lvlText w:val="（%1）"/>
      <w:lvlJc w:val="left"/>
      <w:pPr>
        <w:ind w:left="640"/>
      </w:pPr>
      <w:rPr>
        <w:rFonts w:hint="eastAsia"/>
      </w:rPr>
    </w:lvl>
  </w:abstractNum>
  <w:abstractNum w:abstractNumId="9">
    <w:nsid w:val="5C9C3141"/>
    <w:multiLevelType w:val="singleLevel"/>
    <w:tmpl w:val="5C9C3141"/>
    <w:lvl w:ilvl="0" w:tentative="0">
      <w:start w:val="1"/>
      <w:numFmt w:val="chineseCounting"/>
      <w:suff w:val="nothing"/>
      <w:lvlText w:val="（%1）"/>
      <w:lvlJc w:val="left"/>
      <w:pPr>
        <w:ind w:left="410"/>
      </w:pPr>
      <w:rPr>
        <w:rFonts w:hint="eastAsia"/>
      </w:rPr>
    </w:lvl>
  </w:abstractNum>
  <w:num w:numId="1">
    <w:abstractNumId w:val="1"/>
  </w:num>
  <w:num w:numId="2">
    <w:abstractNumId w:val="9"/>
  </w:num>
  <w:num w:numId="3">
    <w:abstractNumId w:val="6"/>
  </w:num>
  <w:num w:numId="4">
    <w:abstractNumId w:val="2"/>
  </w:num>
  <w:num w:numId="5">
    <w:abstractNumId w:val="3"/>
  </w:num>
  <w:num w:numId="6">
    <w:abstractNumId w:val="8"/>
  </w:num>
  <w:num w:numId="7">
    <w:abstractNumId w:val="4"/>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NWExZGUxMzYwMjFkZjVhNThjZTAxOTFmZGZiNGRjODIifQ=="/>
  </w:docVars>
  <w:rsids>
    <w:rsidRoot w:val="008C6A67"/>
    <w:rsid w:val="00135135"/>
    <w:rsid w:val="00190606"/>
    <w:rsid w:val="002D0ED7"/>
    <w:rsid w:val="004F482C"/>
    <w:rsid w:val="00733E26"/>
    <w:rsid w:val="008C6A67"/>
    <w:rsid w:val="0119677B"/>
    <w:rsid w:val="01270291"/>
    <w:rsid w:val="01837B27"/>
    <w:rsid w:val="01A324E9"/>
    <w:rsid w:val="01B464A4"/>
    <w:rsid w:val="0210361D"/>
    <w:rsid w:val="02241011"/>
    <w:rsid w:val="02404E4B"/>
    <w:rsid w:val="027C6540"/>
    <w:rsid w:val="02820350"/>
    <w:rsid w:val="02897931"/>
    <w:rsid w:val="02F474A0"/>
    <w:rsid w:val="02FD4578"/>
    <w:rsid w:val="03816D4F"/>
    <w:rsid w:val="039D7B38"/>
    <w:rsid w:val="03B0401B"/>
    <w:rsid w:val="03C05D91"/>
    <w:rsid w:val="03D1333D"/>
    <w:rsid w:val="03E72B61"/>
    <w:rsid w:val="043B2184"/>
    <w:rsid w:val="045771CA"/>
    <w:rsid w:val="04640482"/>
    <w:rsid w:val="04AF3257"/>
    <w:rsid w:val="04C44507"/>
    <w:rsid w:val="04DA4474"/>
    <w:rsid w:val="04DE21B6"/>
    <w:rsid w:val="055C757F"/>
    <w:rsid w:val="05CB05C6"/>
    <w:rsid w:val="062A4A34"/>
    <w:rsid w:val="06501977"/>
    <w:rsid w:val="073562D9"/>
    <w:rsid w:val="073575CE"/>
    <w:rsid w:val="07642C1E"/>
    <w:rsid w:val="077D6E60"/>
    <w:rsid w:val="07AB2622"/>
    <w:rsid w:val="07BF4B46"/>
    <w:rsid w:val="07F7533D"/>
    <w:rsid w:val="086506C6"/>
    <w:rsid w:val="08A74FB5"/>
    <w:rsid w:val="093A7267"/>
    <w:rsid w:val="09440A55"/>
    <w:rsid w:val="09615163"/>
    <w:rsid w:val="096513FA"/>
    <w:rsid w:val="096A5973"/>
    <w:rsid w:val="096E7880"/>
    <w:rsid w:val="097D251D"/>
    <w:rsid w:val="09A757A5"/>
    <w:rsid w:val="0A206DCD"/>
    <w:rsid w:val="0A287A2F"/>
    <w:rsid w:val="0A40381D"/>
    <w:rsid w:val="0A6B7243"/>
    <w:rsid w:val="0B4C4D17"/>
    <w:rsid w:val="0BB23E19"/>
    <w:rsid w:val="0BB66944"/>
    <w:rsid w:val="0BBE4AEF"/>
    <w:rsid w:val="0BFB5DB4"/>
    <w:rsid w:val="0C122745"/>
    <w:rsid w:val="0C1621E1"/>
    <w:rsid w:val="0C336D77"/>
    <w:rsid w:val="0C7C0C8C"/>
    <w:rsid w:val="0C803E0F"/>
    <w:rsid w:val="0CD65E68"/>
    <w:rsid w:val="0CD81BE1"/>
    <w:rsid w:val="0D0344B1"/>
    <w:rsid w:val="0D444B80"/>
    <w:rsid w:val="0D8E7604"/>
    <w:rsid w:val="0DAE2303"/>
    <w:rsid w:val="0DAF1295"/>
    <w:rsid w:val="0DEA1BCB"/>
    <w:rsid w:val="0E673CAF"/>
    <w:rsid w:val="0E856AE3"/>
    <w:rsid w:val="0EB2020F"/>
    <w:rsid w:val="0F096081"/>
    <w:rsid w:val="0F7B2CC4"/>
    <w:rsid w:val="0FB9365C"/>
    <w:rsid w:val="1010343F"/>
    <w:rsid w:val="10233173"/>
    <w:rsid w:val="102C0118"/>
    <w:rsid w:val="10392996"/>
    <w:rsid w:val="10C430FC"/>
    <w:rsid w:val="11496C09"/>
    <w:rsid w:val="11D81D3B"/>
    <w:rsid w:val="11E85E6F"/>
    <w:rsid w:val="1279351E"/>
    <w:rsid w:val="12C34799"/>
    <w:rsid w:val="12F108A0"/>
    <w:rsid w:val="132545E3"/>
    <w:rsid w:val="133E4C1F"/>
    <w:rsid w:val="135D42E1"/>
    <w:rsid w:val="1372082B"/>
    <w:rsid w:val="13B01DD4"/>
    <w:rsid w:val="13B64C70"/>
    <w:rsid w:val="13BF7656"/>
    <w:rsid w:val="13D57C19"/>
    <w:rsid w:val="13E72483"/>
    <w:rsid w:val="13FF3EF7"/>
    <w:rsid w:val="141212D2"/>
    <w:rsid w:val="14777F31"/>
    <w:rsid w:val="147F2942"/>
    <w:rsid w:val="148E15C6"/>
    <w:rsid w:val="14E14C31"/>
    <w:rsid w:val="150177FB"/>
    <w:rsid w:val="15A5462A"/>
    <w:rsid w:val="15C87289"/>
    <w:rsid w:val="15D13671"/>
    <w:rsid w:val="160E21CF"/>
    <w:rsid w:val="161B3331"/>
    <w:rsid w:val="166242C9"/>
    <w:rsid w:val="167209B0"/>
    <w:rsid w:val="16734728"/>
    <w:rsid w:val="16C02152"/>
    <w:rsid w:val="16E73D24"/>
    <w:rsid w:val="170B4961"/>
    <w:rsid w:val="170D252C"/>
    <w:rsid w:val="171F21BA"/>
    <w:rsid w:val="17237EFC"/>
    <w:rsid w:val="1763654B"/>
    <w:rsid w:val="178C5AA1"/>
    <w:rsid w:val="179B3E23"/>
    <w:rsid w:val="17FA7064"/>
    <w:rsid w:val="18194E5B"/>
    <w:rsid w:val="181F6915"/>
    <w:rsid w:val="18481362"/>
    <w:rsid w:val="18740F2C"/>
    <w:rsid w:val="18C70CEC"/>
    <w:rsid w:val="18F51424"/>
    <w:rsid w:val="18F7512B"/>
    <w:rsid w:val="197D395D"/>
    <w:rsid w:val="19B60BB4"/>
    <w:rsid w:val="19CD414F"/>
    <w:rsid w:val="1A1D6E85"/>
    <w:rsid w:val="1A623B0D"/>
    <w:rsid w:val="1A6905F8"/>
    <w:rsid w:val="1A907657"/>
    <w:rsid w:val="1AC44BF5"/>
    <w:rsid w:val="1B796274"/>
    <w:rsid w:val="1B7E3953"/>
    <w:rsid w:val="1BBC5647"/>
    <w:rsid w:val="1C3041CB"/>
    <w:rsid w:val="1C746B04"/>
    <w:rsid w:val="1C86133B"/>
    <w:rsid w:val="1C862BC0"/>
    <w:rsid w:val="1CAB7398"/>
    <w:rsid w:val="1CEB3DD2"/>
    <w:rsid w:val="1D172BCC"/>
    <w:rsid w:val="1D4E55A7"/>
    <w:rsid w:val="1D70551D"/>
    <w:rsid w:val="1E4470D6"/>
    <w:rsid w:val="1EB959E8"/>
    <w:rsid w:val="1EEB1EAF"/>
    <w:rsid w:val="1EF03BDF"/>
    <w:rsid w:val="1F0B19A2"/>
    <w:rsid w:val="1F415D71"/>
    <w:rsid w:val="1F642E60"/>
    <w:rsid w:val="1F867B54"/>
    <w:rsid w:val="1FBD78B3"/>
    <w:rsid w:val="205E1FA5"/>
    <w:rsid w:val="206B4E60"/>
    <w:rsid w:val="207A3855"/>
    <w:rsid w:val="20B816B5"/>
    <w:rsid w:val="20C92F13"/>
    <w:rsid w:val="2117483A"/>
    <w:rsid w:val="21C423DC"/>
    <w:rsid w:val="21F62075"/>
    <w:rsid w:val="2254540E"/>
    <w:rsid w:val="227B0BEC"/>
    <w:rsid w:val="231A1384"/>
    <w:rsid w:val="23256DAA"/>
    <w:rsid w:val="233314C7"/>
    <w:rsid w:val="23474F72"/>
    <w:rsid w:val="234B4A63"/>
    <w:rsid w:val="23BF2D5B"/>
    <w:rsid w:val="240C3731"/>
    <w:rsid w:val="2423778D"/>
    <w:rsid w:val="24505746"/>
    <w:rsid w:val="24D10F97"/>
    <w:rsid w:val="251D6EAD"/>
    <w:rsid w:val="25560C22"/>
    <w:rsid w:val="25B21B8A"/>
    <w:rsid w:val="2613738E"/>
    <w:rsid w:val="26467B59"/>
    <w:rsid w:val="2670658E"/>
    <w:rsid w:val="26B172D2"/>
    <w:rsid w:val="26E179D7"/>
    <w:rsid w:val="26E30CDC"/>
    <w:rsid w:val="26EA6341"/>
    <w:rsid w:val="273121C1"/>
    <w:rsid w:val="273B6B9C"/>
    <w:rsid w:val="275B2D9A"/>
    <w:rsid w:val="276205CD"/>
    <w:rsid w:val="2762122A"/>
    <w:rsid w:val="276C7B5F"/>
    <w:rsid w:val="277F01E4"/>
    <w:rsid w:val="277F76C7"/>
    <w:rsid w:val="2790513A"/>
    <w:rsid w:val="27A74232"/>
    <w:rsid w:val="27ED0A9F"/>
    <w:rsid w:val="286E6264"/>
    <w:rsid w:val="289E3886"/>
    <w:rsid w:val="28EE2BAE"/>
    <w:rsid w:val="29162311"/>
    <w:rsid w:val="29170EB2"/>
    <w:rsid w:val="29472944"/>
    <w:rsid w:val="297B7724"/>
    <w:rsid w:val="29890093"/>
    <w:rsid w:val="29E25DC6"/>
    <w:rsid w:val="2A3A138D"/>
    <w:rsid w:val="2A655741"/>
    <w:rsid w:val="2AA607D0"/>
    <w:rsid w:val="2AE80BF4"/>
    <w:rsid w:val="2B513946"/>
    <w:rsid w:val="2C092CED"/>
    <w:rsid w:val="2C9A00F3"/>
    <w:rsid w:val="2D47298B"/>
    <w:rsid w:val="2D947006"/>
    <w:rsid w:val="2D962D7E"/>
    <w:rsid w:val="2DC378EB"/>
    <w:rsid w:val="2E163EBF"/>
    <w:rsid w:val="2E5845FC"/>
    <w:rsid w:val="2E6E39E1"/>
    <w:rsid w:val="2E905A1F"/>
    <w:rsid w:val="2EA9088F"/>
    <w:rsid w:val="2EF508C3"/>
    <w:rsid w:val="2F2148C9"/>
    <w:rsid w:val="2F370591"/>
    <w:rsid w:val="2F394DAF"/>
    <w:rsid w:val="2F3A598B"/>
    <w:rsid w:val="2F3B1E2F"/>
    <w:rsid w:val="2F5C1DA5"/>
    <w:rsid w:val="2F854E58"/>
    <w:rsid w:val="2F9846A2"/>
    <w:rsid w:val="2FDB0F1C"/>
    <w:rsid w:val="2FDE5A1A"/>
    <w:rsid w:val="2FE14059"/>
    <w:rsid w:val="2FEF4EA2"/>
    <w:rsid w:val="303D1BD7"/>
    <w:rsid w:val="304271ED"/>
    <w:rsid w:val="30A734F4"/>
    <w:rsid w:val="30E26576"/>
    <w:rsid w:val="3103599E"/>
    <w:rsid w:val="310821E5"/>
    <w:rsid w:val="310E70CF"/>
    <w:rsid w:val="310F13B2"/>
    <w:rsid w:val="314B3E80"/>
    <w:rsid w:val="31EA5447"/>
    <w:rsid w:val="32743B56"/>
    <w:rsid w:val="328238D1"/>
    <w:rsid w:val="32877139"/>
    <w:rsid w:val="328F2182"/>
    <w:rsid w:val="329F4483"/>
    <w:rsid w:val="3307529A"/>
    <w:rsid w:val="33134E71"/>
    <w:rsid w:val="33C82C9C"/>
    <w:rsid w:val="34057765"/>
    <w:rsid w:val="348F22D5"/>
    <w:rsid w:val="34C06933"/>
    <w:rsid w:val="34CC52D7"/>
    <w:rsid w:val="34FA590E"/>
    <w:rsid w:val="35267A5F"/>
    <w:rsid w:val="354C54FD"/>
    <w:rsid w:val="35576957"/>
    <w:rsid w:val="35B93B6F"/>
    <w:rsid w:val="363F160E"/>
    <w:rsid w:val="36814A24"/>
    <w:rsid w:val="36AB4A13"/>
    <w:rsid w:val="36CE5337"/>
    <w:rsid w:val="36EC083E"/>
    <w:rsid w:val="372C3815"/>
    <w:rsid w:val="37936580"/>
    <w:rsid w:val="381E22EE"/>
    <w:rsid w:val="386C5BAC"/>
    <w:rsid w:val="38AE3672"/>
    <w:rsid w:val="38FD1F03"/>
    <w:rsid w:val="390C2146"/>
    <w:rsid w:val="3962445C"/>
    <w:rsid w:val="39677CC5"/>
    <w:rsid w:val="39894A2E"/>
    <w:rsid w:val="399F2FBB"/>
    <w:rsid w:val="39AA41B7"/>
    <w:rsid w:val="39DC7D6B"/>
    <w:rsid w:val="39F407A5"/>
    <w:rsid w:val="3A267859"/>
    <w:rsid w:val="3A301503"/>
    <w:rsid w:val="3A461688"/>
    <w:rsid w:val="3A5B15D7"/>
    <w:rsid w:val="3AC3717D"/>
    <w:rsid w:val="3B070E17"/>
    <w:rsid w:val="3B3911ED"/>
    <w:rsid w:val="3B5725EA"/>
    <w:rsid w:val="3B8C75C1"/>
    <w:rsid w:val="3C1926A8"/>
    <w:rsid w:val="3C2F484C"/>
    <w:rsid w:val="3C382211"/>
    <w:rsid w:val="3C5B5562"/>
    <w:rsid w:val="3C753C66"/>
    <w:rsid w:val="3CA174DE"/>
    <w:rsid w:val="3CCE00B6"/>
    <w:rsid w:val="3CE33F43"/>
    <w:rsid w:val="3D10193C"/>
    <w:rsid w:val="3DA768E2"/>
    <w:rsid w:val="3DDE1C46"/>
    <w:rsid w:val="3E6B7973"/>
    <w:rsid w:val="3E9F7AC9"/>
    <w:rsid w:val="3EE63AC0"/>
    <w:rsid w:val="3EEB27FE"/>
    <w:rsid w:val="3F073ADC"/>
    <w:rsid w:val="3F095E8F"/>
    <w:rsid w:val="3F620D12"/>
    <w:rsid w:val="3F6B3D19"/>
    <w:rsid w:val="3FBA0B4E"/>
    <w:rsid w:val="3FD538C2"/>
    <w:rsid w:val="40C71F4C"/>
    <w:rsid w:val="40CF0B79"/>
    <w:rsid w:val="415B3C6B"/>
    <w:rsid w:val="41823260"/>
    <w:rsid w:val="41C71300"/>
    <w:rsid w:val="427A2817"/>
    <w:rsid w:val="42AD6748"/>
    <w:rsid w:val="42CC7BA3"/>
    <w:rsid w:val="438439C9"/>
    <w:rsid w:val="438602D6"/>
    <w:rsid w:val="43AD2778"/>
    <w:rsid w:val="43C52C83"/>
    <w:rsid w:val="444E3F5B"/>
    <w:rsid w:val="44D160F3"/>
    <w:rsid w:val="44DF2E05"/>
    <w:rsid w:val="4519136F"/>
    <w:rsid w:val="451A3E3D"/>
    <w:rsid w:val="451F76A5"/>
    <w:rsid w:val="45A01C4B"/>
    <w:rsid w:val="45B47DEE"/>
    <w:rsid w:val="45FC3543"/>
    <w:rsid w:val="45FF1C64"/>
    <w:rsid w:val="4625224C"/>
    <w:rsid w:val="463830C3"/>
    <w:rsid w:val="465E7A7F"/>
    <w:rsid w:val="46847726"/>
    <w:rsid w:val="475B1F20"/>
    <w:rsid w:val="47723ABC"/>
    <w:rsid w:val="477C0DDF"/>
    <w:rsid w:val="47FF736B"/>
    <w:rsid w:val="486275B7"/>
    <w:rsid w:val="48657AFC"/>
    <w:rsid w:val="48800083"/>
    <w:rsid w:val="48AA50C6"/>
    <w:rsid w:val="491F5EC6"/>
    <w:rsid w:val="4924528A"/>
    <w:rsid w:val="49570AD5"/>
    <w:rsid w:val="4968161B"/>
    <w:rsid w:val="498B355B"/>
    <w:rsid w:val="49E730A6"/>
    <w:rsid w:val="4A723154"/>
    <w:rsid w:val="4A8E6E5F"/>
    <w:rsid w:val="4AAF22A8"/>
    <w:rsid w:val="4ACE0369"/>
    <w:rsid w:val="4AE90BCD"/>
    <w:rsid w:val="4AF929AE"/>
    <w:rsid w:val="4B165A7F"/>
    <w:rsid w:val="4B220EEC"/>
    <w:rsid w:val="4B3E507F"/>
    <w:rsid w:val="4B840262"/>
    <w:rsid w:val="4BB53DC4"/>
    <w:rsid w:val="4BF31D33"/>
    <w:rsid w:val="4C043151"/>
    <w:rsid w:val="4C0F4ADE"/>
    <w:rsid w:val="4C83676C"/>
    <w:rsid w:val="4D7A3337"/>
    <w:rsid w:val="4D7F68B2"/>
    <w:rsid w:val="4D956757"/>
    <w:rsid w:val="4DB36BDD"/>
    <w:rsid w:val="4DED20EF"/>
    <w:rsid w:val="4E116CCD"/>
    <w:rsid w:val="4E353A96"/>
    <w:rsid w:val="4EBF69BD"/>
    <w:rsid w:val="4EC07803"/>
    <w:rsid w:val="4F267B6A"/>
    <w:rsid w:val="4F3E697A"/>
    <w:rsid w:val="4FBA4253"/>
    <w:rsid w:val="4FE13ED5"/>
    <w:rsid w:val="5006393C"/>
    <w:rsid w:val="50615016"/>
    <w:rsid w:val="506A5C79"/>
    <w:rsid w:val="506B379F"/>
    <w:rsid w:val="5088576D"/>
    <w:rsid w:val="511018A7"/>
    <w:rsid w:val="51864D34"/>
    <w:rsid w:val="51E23F34"/>
    <w:rsid w:val="51EC30C9"/>
    <w:rsid w:val="520A56A8"/>
    <w:rsid w:val="52135DFE"/>
    <w:rsid w:val="521C41DC"/>
    <w:rsid w:val="524F1A19"/>
    <w:rsid w:val="52622E1E"/>
    <w:rsid w:val="52B471BF"/>
    <w:rsid w:val="52C13B4A"/>
    <w:rsid w:val="53081779"/>
    <w:rsid w:val="531E2D4A"/>
    <w:rsid w:val="53352CD6"/>
    <w:rsid w:val="54C811C0"/>
    <w:rsid w:val="556C4241"/>
    <w:rsid w:val="55A97243"/>
    <w:rsid w:val="55CE071F"/>
    <w:rsid w:val="55CF47D0"/>
    <w:rsid w:val="55D75763"/>
    <w:rsid w:val="55E13070"/>
    <w:rsid w:val="560D0856"/>
    <w:rsid w:val="56D025AE"/>
    <w:rsid w:val="56E12A0D"/>
    <w:rsid w:val="574A366F"/>
    <w:rsid w:val="57DB3900"/>
    <w:rsid w:val="581A7F84"/>
    <w:rsid w:val="587C1A74"/>
    <w:rsid w:val="589D7591"/>
    <w:rsid w:val="58A12453"/>
    <w:rsid w:val="58B54151"/>
    <w:rsid w:val="58C957A0"/>
    <w:rsid w:val="591305FD"/>
    <w:rsid w:val="596C65C3"/>
    <w:rsid w:val="59B42737"/>
    <w:rsid w:val="59CA59DA"/>
    <w:rsid w:val="59CB2660"/>
    <w:rsid w:val="59E6628D"/>
    <w:rsid w:val="5A7125EE"/>
    <w:rsid w:val="5A8F49C7"/>
    <w:rsid w:val="5A910924"/>
    <w:rsid w:val="5AC82FFD"/>
    <w:rsid w:val="5AD54636"/>
    <w:rsid w:val="5AEA7ACA"/>
    <w:rsid w:val="5AEF673F"/>
    <w:rsid w:val="5B5A4801"/>
    <w:rsid w:val="5BE308F8"/>
    <w:rsid w:val="5C104619"/>
    <w:rsid w:val="5C5E2199"/>
    <w:rsid w:val="5CA85A91"/>
    <w:rsid w:val="5CDB4FE6"/>
    <w:rsid w:val="5CFF4C0D"/>
    <w:rsid w:val="5D395350"/>
    <w:rsid w:val="5D3B49B3"/>
    <w:rsid w:val="5D4A130C"/>
    <w:rsid w:val="5D665A1A"/>
    <w:rsid w:val="5DD010E5"/>
    <w:rsid w:val="5DF748C4"/>
    <w:rsid w:val="5E0240EC"/>
    <w:rsid w:val="5E1F7999"/>
    <w:rsid w:val="5E4C2E61"/>
    <w:rsid w:val="5E9071F2"/>
    <w:rsid w:val="5F37766E"/>
    <w:rsid w:val="5F5543F5"/>
    <w:rsid w:val="5F632657"/>
    <w:rsid w:val="5F777E2D"/>
    <w:rsid w:val="5F926458"/>
    <w:rsid w:val="5FAC7002"/>
    <w:rsid w:val="5FC101C7"/>
    <w:rsid w:val="5FC16FA8"/>
    <w:rsid w:val="5FF859B3"/>
    <w:rsid w:val="601654D5"/>
    <w:rsid w:val="604030F9"/>
    <w:rsid w:val="606851B7"/>
    <w:rsid w:val="60A81824"/>
    <w:rsid w:val="60F6689E"/>
    <w:rsid w:val="611D0AE5"/>
    <w:rsid w:val="612471AB"/>
    <w:rsid w:val="61361F5C"/>
    <w:rsid w:val="614D367C"/>
    <w:rsid w:val="61F2764D"/>
    <w:rsid w:val="62571338"/>
    <w:rsid w:val="6283706E"/>
    <w:rsid w:val="628864B6"/>
    <w:rsid w:val="629E7A04"/>
    <w:rsid w:val="6472739A"/>
    <w:rsid w:val="649B4C85"/>
    <w:rsid w:val="64EB6A8D"/>
    <w:rsid w:val="650877CF"/>
    <w:rsid w:val="654839FF"/>
    <w:rsid w:val="657432EA"/>
    <w:rsid w:val="657D13E8"/>
    <w:rsid w:val="66624B3C"/>
    <w:rsid w:val="66824595"/>
    <w:rsid w:val="66F127F8"/>
    <w:rsid w:val="6734593C"/>
    <w:rsid w:val="6759214B"/>
    <w:rsid w:val="679C7788"/>
    <w:rsid w:val="67B21A22"/>
    <w:rsid w:val="67F85E08"/>
    <w:rsid w:val="68774F7F"/>
    <w:rsid w:val="687D22F9"/>
    <w:rsid w:val="6888718C"/>
    <w:rsid w:val="68D51CA5"/>
    <w:rsid w:val="691C78D4"/>
    <w:rsid w:val="692C7B17"/>
    <w:rsid w:val="69731BEA"/>
    <w:rsid w:val="6A0C16F7"/>
    <w:rsid w:val="6A892D47"/>
    <w:rsid w:val="6ADA35A3"/>
    <w:rsid w:val="6B064398"/>
    <w:rsid w:val="6B166CD1"/>
    <w:rsid w:val="6B3453A9"/>
    <w:rsid w:val="6B77103C"/>
    <w:rsid w:val="6C0E769F"/>
    <w:rsid w:val="6C180827"/>
    <w:rsid w:val="6C450EF0"/>
    <w:rsid w:val="6C53360D"/>
    <w:rsid w:val="6C8B629B"/>
    <w:rsid w:val="6CAD6BDB"/>
    <w:rsid w:val="6CBB3BFD"/>
    <w:rsid w:val="6CD209D6"/>
    <w:rsid w:val="6CD219FF"/>
    <w:rsid w:val="6CE150BD"/>
    <w:rsid w:val="6CFA1CDB"/>
    <w:rsid w:val="6D486AFE"/>
    <w:rsid w:val="6D67600A"/>
    <w:rsid w:val="6DC6021C"/>
    <w:rsid w:val="6DDB5FB0"/>
    <w:rsid w:val="6E1D3ED3"/>
    <w:rsid w:val="6E426C72"/>
    <w:rsid w:val="6E4964A3"/>
    <w:rsid w:val="6E625D89"/>
    <w:rsid w:val="6E730F69"/>
    <w:rsid w:val="6E7C509D"/>
    <w:rsid w:val="6EC61449"/>
    <w:rsid w:val="6F0230C8"/>
    <w:rsid w:val="6F252AE8"/>
    <w:rsid w:val="6FF3443A"/>
    <w:rsid w:val="6FF704D5"/>
    <w:rsid w:val="7013357E"/>
    <w:rsid w:val="70473489"/>
    <w:rsid w:val="7064228D"/>
    <w:rsid w:val="706B2DFF"/>
    <w:rsid w:val="70710506"/>
    <w:rsid w:val="708278F0"/>
    <w:rsid w:val="70FF3672"/>
    <w:rsid w:val="718B22F5"/>
    <w:rsid w:val="71CE71C3"/>
    <w:rsid w:val="71F60387"/>
    <w:rsid w:val="72023B0B"/>
    <w:rsid w:val="72072820"/>
    <w:rsid w:val="72920205"/>
    <w:rsid w:val="72AE5A41"/>
    <w:rsid w:val="72AE7B36"/>
    <w:rsid w:val="72E326E7"/>
    <w:rsid w:val="732E6B82"/>
    <w:rsid w:val="732F2BE6"/>
    <w:rsid w:val="739C3F3B"/>
    <w:rsid w:val="743D52CE"/>
    <w:rsid w:val="747B1953"/>
    <w:rsid w:val="75A31161"/>
    <w:rsid w:val="764861AD"/>
    <w:rsid w:val="76573DB4"/>
    <w:rsid w:val="76634D94"/>
    <w:rsid w:val="766F3739"/>
    <w:rsid w:val="76923833"/>
    <w:rsid w:val="76EE0B02"/>
    <w:rsid w:val="7717695B"/>
    <w:rsid w:val="772E0EFE"/>
    <w:rsid w:val="77B5517C"/>
    <w:rsid w:val="77FB2D90"/>
    <w:rsid w:val="782D565A"/>
    <w:rsid w:val="78353345"/>
    <w:rsid w:val="7840538D"/>
    <w:rsid w:val="784F7772"/>
    <w:rsid w:val="786E5018"/>
    <w:rsid w:val="795736BA"/>
    <w:rsid w:val="79E104AA"/>
    <w:rsid w:val="7A1A39BC"/>
    <w:rsid w:val="7A3905A1"/>
    <w:rsid w:val="7A603AC5"/>
    <w:rsid w:val="7AAA62CC"/>
    <w:rsid w:val="7AFB559C"/>
    <w:rsid w:val="7B0D52CF"/>
    <w:rsid w:val="7B447BC3"/>
    <w:rsid w:val="7BA961EF"/>
    <w:rsid w:val="7BC42DCB"/>
    <w:rsid w:val="7C061372"/>
    <w:rsid w:val="7C213CD7"/>
    <w:rsid w:val="7C9E6B26"/>
    <w:rsid w:val="7CA80172"/>
    <w:rsid w:val="7CC85E69"/>
    <w:rsid w:val="7D8349B7"/>
    <w:rsid w:val="7DC205F3"/>
    <w:rsid w:val="7DDA27CE"/>
    <w:rsid w:val="7DE95B7F"/>
    <w:rsid w:val="7DF033B2"/>
    <w:rsid w:val="7DFA5FDE"/>
    <w:rsid w:val="7E125364"/>
    <w:rsid w:val="7E296083"/>
    <w:rsid w:val="7EB42631"/>
    <w:rsid w:val="7EB51F05"/>
    <w:rsid w:val="7EEA6A1B"/>
    <w:rsid w:val="7EFB02D5"/>
    <w:rsid w:val="7F0A04A3"/>
    <w:rsid w:val="7F58347D"/>
    <w:rsid w:val="7F700B24"/>
    <w:rsid w:val="7FA77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5" w:lineRule="auto"/>
      <w:outlineLvl w:val="1"/>
    </w:pPr>
    <w:rPr>
      <w:rFonts w:ascii="Cambria" w:hAnsi="Cambria"/>
      <w:b/>
      <w:bCs/>
      <w:sz w:val="32"/>
      <w:szCs w:val="32"/>
    </w:rPr>
  </w:style>
  <w:style w:type="paragraph" w:styleId="4">
    <w:name w:val="heading 3"/>
    <w:basedOn w:val="1"/>
    <w:next w:val="1"/>
    <w:semiHidden/>
    <w:unhideWhenUsed/>
    <w:qFormat/>
    <w:uiPriority w:val="9"/>
    <w:pPr>
      <w:keepNext/>
      <w:keepLines/>
      <w:spacing w:before="260" w:after="260" w:line="415"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Salutation"/>
    <w:basedOn w:val="1"/>
    <w:next w:val="1"/>
    <w:qFormat/>
    <w:uiPriority w:val="0"/>
    <w:rPr>
      <w:rFonts w:ascii="Times New Roman" w:hAnsi="Times New Roman" w:eastAsia="宋体" w:cs="Times New Roman"/>
    </w:rPr>
  </w:style>
  <w:style w:type="paragraph" w:styleId="6">
    <w:name w:val="Body Text"/>
    <w:basedOn w:val="1"/>
    <w:qFormat/>
    <w:uiPriority w:val="0"/>
    <w:pPr>
      <w:spacing w:before="30" w:beforeLines="30"/>
    </w:pPr>
    <w:rPr>
      <w:rFonts w:ascii="仿宋_GB2312" w:eastAsia="仿宋_GB2312"/>
      <w:kern w:val="0"/>
      <w:sz w:val="30"/>
    </w:rPr>
  </w:style>
  <w:style w:type="paragraph" w:styleId="7">
    <w:name w:val="Body Text Indent"/>
    <w:basedOn w:val="1"/>
    <w:next w:val="8"/>
    <w:qFormat/>
    <w:uiPriority w:val="99"/>
    <w:pPr>
      <w:spacing w:before="0" w:beforeAutospacing="0" w:after="120" w:afterAutospacing="0"/>
      <w:ind w:left="420" w:leftChars="200" w:right="0"/>
      <w:jc w:val="left"/>
    </w:pPr>
    <w:rPr>
      <w:rFonts w:hint="eastAsia" w:ascii="宋体" w:hAnsi="宋体" w:eastAsia="宋体" w:cs="宋体"/>
      <w:kern w:val="0"/>
      <w:sz w:val="24"/>
      <w:szCs w:val="24"/>
      <w:lang w:val="en-US" w:eastAsia="zh-CN" w:bidi="ar"/>
    </w:rPr>
  </w:style>
  <w:style w:type="paragraph" w:styleId="8">
    <w:name w:val="Body Text First Indent 2"/>
    <w:basedOn w:val="7"/>
    <w:next w:val="1"/>
    <w:qFormat/>
    <w:uiPriority w:val="99"/>
    <w:pPr>
      <w:spacing w:before="0" w:beforeAutospacing="0" w:after="120" w:afterAutospacing="0"/>
      <w:ind w:left="420" w:leftChars="200" w:right="0" w:firstLine="420" w:firstLineChars="200"/>
      <w:jc w:val="left"/>
    </w:pPr>
    <w:rPr>
      <w:rFonts w:hint="eastAsia" w:ascii="宋体" w:hAnsi="宋体" w:eastAsia="宋体" w:cs="宋体"/>
      <w:kern w:val="0"/>
      <w:sz w:val="24"/>
      <w:szCs w:val="24"/>
      <w:lang w:val="en-US" w:eastAsia="zh-CN" w:bidi="ar"/>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0"/>
    <w:pPr>
      <w:tabs>
        <w:tab w:val="right" w:leader="dot" w:pos="8296"/>
      </w:tabs>
      <w:spacing w:before="93"/>
      <w:jc w:val="center"/>
    </w:pPr>
    <w:rPr>
      <w:rFonts w:ascii="仿宋" w:eastAsia="仿宋"/>
      <w:sz w:val="28"/>
      <w:szCs w:val="28"/>
    </w:rPr>
  </w:style>
  <w:style w:type="paragraph" w:styleId="14">
    <w:name w:val="toc 2"/>
    <w:basedOn w:val="1"/>
    <w:next w:val="1"/>
    <w:qFormat/>
    <w:uiPriority w:val="0"/>
    <w:pPr>
      <w:tabs>
        <w:tab w:val="right" w:leader="dot" w:pos="8296"/>
      </w:tabs>
      <w:ind w:left="20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1">
    <w:name w:val="首行缩进"/>
    <w:basedOn w:val="1"/>
    <w:qFormat/>
    <w:uiPriority w:val="0"/>
    <w:pPr>
      <w:ind w:firstLine="200" w:firstLineChars="200"/>
    </w:pPr>
  </w:style>
  <w:style w:type="paragraph" w:customStyle="1" w:styleId="22">
    <w:name w:val="BodyText"/>
    <w:basedOn w:val="1"/>
    <w:next w:val="23"/>
    <w:qFormat/>
    <w:uiPriority w:val="0"/>
    <w:pPr>
      <w:jc w:val="both"/>
      <w:textAlignment w:val="baseline"/>
    </w:pPr>
  </w:style>
  <w:style w:type="paragraph" w:customStyle="1" w:styleId="23">
    <w:name w:val="Index5"/>
    <w:basedOn w:val="1"/>
    <w:next w:val="1"/>
    <w:qFormat/>
    <w:uiPriority w:val="0"/>
    <w:pPr>
      <w:ind w:left="1680"/>
      <w:jc w:val="both"/>
      <w:textAlignment w:val="baseline"/>
    </w:pPr>
  </w:style>
  <w:style w:type="character" w:customStyle="1" w:styleId="24">
    <w:name w:val="标题 1 字符"/>
    <w:basedOn w:val="17"/>
    <w:link w:val="2"/>
    <w:qFormat/>
    <w:uiPriority w:val="0"/>
    <w:rPr>
      <w:rFonts w:ascii="Times New Roman" w:hAnsi="Times New Roman" w:eastAsia="宋体" w:cs="Times New Roman"/>
      <w:b/>
      <w:bCs/>
      <w:kern w:val="44"/>
      <w:sz w:val="44"/>
      <w:szCs w:val="44"/>
      <w:lang w:val="en-US" w:eastAsia="zh-CN" w:bidi="ar-SA"/>
    </w:rPr>
  </w:style>
  <w:style w:type="character" w:customStyle="1" w:styleId="25">
    <w:name w:val="标题 2 字符"/>
    <w:basedOn w:val="17"/>
    <w:link w:val="3"/>
    <w:qFormat/>
    <w:uiPriority w:val="0"/>
    <w:rPr>
      <w:rFonts w:ascii="Cambria" w:hAnsi="Cambria" w:eastAsia="宋体" w:cs="Times New Roman"/>
      <w:b/>
      <w:bCs/>
      <w:kern w:val="2"/>
      <w:sz w:val="32"/>
      <w:szCs w:val="32"/>
      <w:lang w:val="en-US" w:eastAsia="zh-CN" w:bidi="ar-SA"/>
    </w:rPr>
  </w:style>
  <w:style w:type="character" w:customStyle="1" w:styleId="26">
    <w:name w:val="Header Char"/>
    <w:basedOn w:val="17"/>
    <w:qFormat/>
    <w:uiPriority w:val="0"/>
    <w:rPr>
      <w:rFonts w:ascii="Times New Roman" w:hAnsi="Times New Roman"/>
      <w:sz w:val="18"/>
      <w:szCs w:val="18"/>
    </w:rPr>
  </w:style>
  <w:style w:type="character" w:customStyle="1" w:styleId="27">
    <w:name w:val="Footer Char"/>
    <w:basedOn w:val="17"/>
    <w:qFormat/>
    <w:uiPriority w:val="0"/>
    <w:rPr>
      <w:rFonts w:ascii="Times New Roman" w:hAnsi="Times New Roman"/>
      <w:sz w:val="18"/>
      <w:szCs w:val="18"/>
    </w:rPr>
  </w:style>
  <w:style w:type="character" w:customStyle="1" w:styleId="28">
    <w:name w:val="Body Text Char"/>
    <w:basedOn w:val="17"/>
    <w:qFormat/>
    <w:uiPriority w:val="0"/>
    <w:rPr>
      <w:rFonts w:ascii="Times New Roman" w:hAnsi="Times New Roman"/>
      <w:szCs w:val="24"/>
    </w:rPr>
  </w:style>
  <w:style w:type="paragraph" w:customStyle="1" w:styleId="2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30">
    <w:name w:val="List Paragraph"/>
    <w:basedOn w:val="1"/>
    <w:qFormat/>
    <w:uiPriority w:val="0"/>
    <w:pPr>
      <w:ind w:firstLine="200" w:firstLineChars="200"/>
    </w:pPr>
  </w:style>
  <w:style w:type="paragraph" w:customStyle="1" w:styleId="31">
    <w:name w:val="TOC 标题1"/>
    <w:basedOn w:val="2"/>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2">
    <w:name w:val="TOC 标题2"/>
    <w:basedOn w:val="2"/>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3">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character" w:customStyle="1" w:styleId="34">
    <w:name w:val="21"/>
    <w:basedOn w:val="17"/>
    <w:qFormat/>
    <w:uiPriority w:val="0"/>
    <w:rPr>
      <w:rFonts w:hint="default" w:ascii="Times New Roman" w:hAnsi="Times New Roman" w:cs="Times New Roman"/>
      <w:b/>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rPr>
  </w:style>
  <w:style w:type="paragraph" w:customStyle="1" w:styleId="36">
    <w:name w:val="Body Text First Indent 21"/>
    <w:basedOn w:val="37"/>
    <w:qFormat/>
    <w:uiPriority w:val="0"/>
    <w:pPr>
      <w:ind w:firstLine="420" w:firstLineChars="200"/>
    </w:pPr>
    <w:rPr>
      <w:rFonts w:ascii="Calibri" w:hAnsi="Calibri" w:eastAsia="宋体" w:cs="Times New Roman"/>
    </w:rPr>
  </w:style>
  <w:style w:type="paragraph" w:customStyle="1" w:styleId="37">
    <w:name w:val="Body Text Indent1"/>
    <w:basedOn w:val="1"/>
    <w:qFormat/>
    <w:uiPriority w:val="0"/>
    <w:pPr>
      <w:ind w:left="420" w:leftChars="200"/>
    </w:pPr>
    <w:rPr>
      <w:rFonts w:ascii="Calibri" w:hAnsi="Calibri"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收支决算情况变动图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7185.66</c:v>
                </c:pt>
                <c:pt idx="1">
                  <c:v>7185.53</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6495.11</c:v>
                </c:pt>
                <c:pt idx="1">
                  <c:v>6156.55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46"/>
        <c:overlap val="-28"/>
        <c:axId val="94504388"/>
        <c:axId val="378623289"/>
      </c:barChart>
      <c:catAx>
        <c:axId val="9450438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8623289"/>
        <c:crosses val="autoZero"/>
        <c:auto val="1"/>
        <c:lblAlgn val="ctr"/>
        <c:lblOffset val="100"/>
        <c:noMultiLvlLbl val="0"/>
      </c:catAx>
      <c:valAx>
        <c:axId val="37862328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4504388"/>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cbd73f5-ebd0-431c-bcd7-49eb58d50ad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收入决算结构图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一般公共预算财政拨款收入</c:v>
                </c:pt>
                <c:pt idx="1">
                  <c:v>事业收入</c:v>
                </c:pt>
              </c:strCache>
            </c:strRef>
          </c:cat>
          <c:val>
            <c:numRef>
              <c:f>Sheet1!$B$2:$B$3</c:f>
              <c:numCache>
                <c:formatCode>General</c:formatCode>
                <c:ptCount val="2"/>
                <c:pt idx="0">
                  <c:v>3962.37</c:v>
                </c:pt>
                <c:pt idx="1">
                  <c:v>2532.75</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一般公共预算财政拨款收入</c:v>
                </c:pt>
                <c:pt idx="1">
                  <c:v>事业收入</c:v>
                </c:pt>
              </c:strCache>
            </c:strRef>
          </c:cat>
          <c:val>
            <c:numRef>
              <c:f>Sheet1!$C$2:$C$3</c:f>
              <c:numCache>
                <c:formatCode>General</c:formatCode>
                <c:ptCount val="2"/>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d11629f-571b-412a-af4e-ea1732d10c2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支出决算结构图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基本支出79</a:t>
                    </a:r>
                    <a:r>
                      <a:rPr lang="en-US" altLang="zh-CN"/>
                      <a:t>.36</a:t>
                    </a:r>
                    <a:r>
                      <a:t>%</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项目支出2</a:t>
                    </a:r>
                    <a:r>
                      <a:rPr lang="en-US" altLang="zh-CN"/>
                      <a:t>0.64</a:t>
                    </a:r>
                    <a:r>
                      <a:t>%</a:t>
                    </a:r>
                  </a:p>
                </c:rich>
              </c:tx>
              <c:dLblPos val="inEnd"/>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4885.85</c:v>
                </c:pt>
                <c:pt idx="1">
                  <c:v>1270.7</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7e2e3f1e-37af-4c09-ba58-ecb913cf0a6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财政拨款收、支决算变动情况图</a:t>
            </a:r>
          </a:p>
        </c:rich>
      </c:tx>
      <c:layout>
        <c:manualLayout>
          <c:xMode val="edge"/>
          <c:yMode val="edge"/>
          <c:x val="0.220222275912056"/>
          <c:y val="0.00637484062898428"/>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4809.73</c:v>
                </c:pt>
                <c:pt idx="1">
                  <c:v>3962.37</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4809.73</c:v>
                </c:pt>
                <c:pt idx="1">
                  <c:v>3962.37</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975689944"/>
        <c:axId val="634462626"/>
      </c:barChart>
      <c:catAx>
        <c:axId val="9756899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4462626"/>
        <c:crosses val="autoZero"/>
        <c:auto val="1"/>
        <c:lblAlgn val="ctr"/>
        <c:lblOffset val="100"/>
        <c:noMultiLvlLbl val="0"/>
      </c:catAx>
      <c:valAx>
        <c:axId val="63446262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5689944"/>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109e7cc-41ad-49e4-bffe-9055ea442cd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财政拨款支出决算变动图</a:t>
            </a:r>
          </a:p>
        </c:rich>
      </c:tx>
      <c:layout/>
      <c:overlay val="0"/>
      <c:spPr>
        <a:noFill/>
        <a:ln>
          <a:noFill/>
        </a:ln>
        <a:effectLst/>
      </c:spPr>
    </c:title>
    <c:autoTitleDeleted val="0"/>
    <c:plotArea>
      <c:layout>
        <c:manualLayout>
          <c:layoutTarget val="inner"/>
          <c:xMode val="edge"/>
          <c:yMode val="edge"/>
          <c:x val="0.0779898526214061"/>
          <c:y val="0.15958351041224"/>
          <c:w val="0.895433679632762"/>
          <c:h val="0.639481512962176"/>
        </c:manualLayout>
      </c:layout>
      <c:barChart>
        <c:barDir val="col"/>
        <c:grouping val="clustered"/>
        <c:varyColors val="0"/>
        <c:ser>
          <c:idx val="0"/>
          <c:order val="0"/>
          <c:tx>
            <c:strRef>
              <c:f>Sheet1!$B$1</c:f>
              <c:strCache>
                <c:ptCount val="1"/>
                <c:pt idx="0">
                  <c:v> 财政拨款支出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4809.73</c:v>
                </c:pt>
                <c:pt idx="1">
                  <c:v>3962.37</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562658347"/>
        <c:axId val="333802539"/>
      </c:barChart>
      <c:catAx>
        <c:axId val="56265834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3802539"/>
        <c:crosses val="autoZero"/>
        <c:auto val="1"/>
        <c:lblAlgn val="ctr"/>
        <c:lblOffset val="100"/>
        <c:noMultiLvlLbl val="0"/>
      </c:catAx>
      <c:valAx>
        <c:axId val="3338025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62658347"/>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fd048f0-b825-4008-b9b3-fedab99344e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一般公共预算财政拨款支出决算结构图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elete val="1"/>
          </c:dLbls>
          <c:cat>
            <c:strRef>
              <c:f>Sheet1!$A$2:$A$4</c:f>
              <c:strCache>
                <c:ptCount val="3"/>
                <c:pt idx="0">
                  <c:v>社会保障和就业支出</c:v>
                </c:pt>
                <c:pt idx="1">
                  <c:v>卫生健康支出</c:v>
                </c:pt>
                <c:pt idx="2">
                  <c:v>住房保障支出</c:v>
                </c:pt>
              </c:strCache>
            </c:strRef>
          </c:cat>
          <c:val>
            <c:numRef>
              <c:f>Sheet1!$B$2:$B$4</c:f>
              <c:numCache>
                <c:formatCode>General</c:formatCode>
                <c:ptCount val="3"/>
                <c:pt idx="0">
                  <c:v>381.52</c:v>
                </c:pt>
                <c:pt idx="1">
                  <c:v>3360.08</c:v>
                </c:pt>
                <c:pt idx="2">
                  <c:v>220.76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f8b19a2-c111-4ef1-bf01-2c4612a9166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33</Pages>
  <Words>920</Words>
  <Characters>1794</Characters>
  <Lines>44</Lines>
  <Paragraphs>12</Paragraphs>
  <TotalTime>39</TotalTime>
  <ScaleCrop>false</ScaleCrop>
  <LinksUpToDate>false</LinksUpToDate>
  <CharactersWithSpaces>1805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2020-08-05T01:49:00Z</dcterms:created>
  <dc:creator>曹颖</dc:creator>
  <cp:lastModifiedBy>巧媳妇</cp:lastModifiedBy>
  <cp:lastPrinted>2022-08-06T02:23:00Z</cp:lastPrinted>
  <dcterms:modified xsi:type="dcterms:W3CDTF">2026-10-19T03:25:47Z</dcterms:modified>
  <dc:title>四川省***</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667E986B24684B47998FC8D06259A73A_13</vt:lpwstr>
  </property>
  <property fmtid="{D5CDD505-2E9C-101B-9397-08002B2CF9AE}" pid="4" name="KSOTemplateDocerSaveRecord">
    <vt:lpwstr>eyJoZGlkIjoiY2UyZjU4M2Q4N2I0NmY2ZWMzMjMxZWNiYzMxZDM1ODAiLCJ1c2VySWQiOiIzMjk4MDAzMjkifQ==</vt:lpwstr>
  </property>
</Properties>
</file>