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830BA">
      <w:pPr>
        <w:pStyle w:val="2"/>
        <w:pageBreakBefore w:val="0"/>
        <w:kinsoku/>
        <w:overflowPunct/>
        <w:topLinePunct w:val="0"/>
        <w:bidi w:val="0"/>
        <w:spacing w:beforeLines="0" w:beforeAutospacing="0" w:after="120" w:afterAutospacing="0" w:line="240" w:lineRule="auto"/>
        <w:ind w:left="0" w:leftChars="0" w:right="0" w:firstLine="640" w:firstLineChars="200"/>
        <w:textAlignment w:val="auto"/>
        <w:rPr>
          <w:rFonts w:hint="eastAsia" w:ascii="黑体" w:hAnsi="黑体" w:eastAsia="黑体" w:cs="黑体"/>
          <w:color w:val="auto"/>
          <w:kern w:val="2"/>
          <w:sz w:val="32"/>
          <w:szCs w:val="32"/>
          <w:highlight w:val="none"/>
          <w:lang w:val="en-US" w:eastAsia="zh-CN" w:bidi="ar-SA"/>
        </w:rPr>
      </w:pPr>
      <w:bookmarkStart w:id="0" w:name="_Toc15306267"/>
      <w:bookmarkStart w:id="1" w:name="_Toc15378441"/>
      <w:bookmarkStart w:id="2" w:name="_Toc15396475"/>
      <w:bookmarkStart w:id="3" w:name="_Toc15377425"/>
      <w:bookmarkStart w:id="4" w:name="_Toc15377193"/>
      <w:bookmarkStart w:id="5" w:name="_Toc15396597"/>
      <w:r>
        <w:rPr>
          <w:rFonts w:hint="eastAsia" w:ascii="黑体" w:hAnsi="黑体" w:eastAsia="黑体" w:cs="黑体"/>
          <w:color w:val="auto"/>
          <w:kern w:val="2"/>
          <w:sz w:val="32"/>
          <w:szCs w:val="32"/>
          <w:highlight w:val="none"/>
          <w:lang w:val="en-US" w:eastAsia="zh-CN" w:bidi="ar-SA"/>
        </w:rPr>
        <w:t>附件4</w:t>
      </w:r>
    </w:p>
    <w:p w14:paraId="36ADAAC9">
      <w:pPr>
        <w:pStyle w:val="2"/>
        <w:pageBreakBefore w:val="0"/>
        <w:kinsoku/>
        <w:overflowPunct/>
        <w:topLinePunct w:val="0"/>
        <w:bidi w:val="0"/>
        <w:spacing w:beforeLines="0" w:beforeAutospacing="0" w:after="120" w:afterAutospacing="0" w:line="240" w:lineRule="auto"/>
        <w:ind w:left="0" w:leftChars="0" w:right="0" w:firstLine="1440" w:firstLineChars="200"/>
        <w:textAlignment w:val="auto"/>
        <w:rPr>
          <w:rFonts w:hint="eastAsia" w:ascii="Times New Roman" w:hAnsi="Times New Roman" w:eastAsia="方正小标宋简体" w:cs="Times New Roman"/>
          <w:color w:val="auto"/>
          <w:kern w:val="2"/>
          <w:sz w:val="72"/>
          <w:szCs w:val="72"/>
          <w:highlight w:val="none"/>
          <w:lang w:val="en-US" w:eastAsia="zh-CN" w:bidi="ar-SA"/>
        </w:rPr>
      </w:pPr>
    </w:p>
    <w:p w14:paraId="7BEB8966">
      <w:pPr>
        <w:pStyle w:val="2"/>
        <w:pageBreakBefore w:val="0"/>
        <w:kinsoku/>
        <w:overflowPunct/>
        <w:topLinePunct w:val="0"/>
        <w:bidi w:val="0"/>
        <w:spacing w:beforeLines="0" w:beforeAutospacing="0" w:after="120" w:afterAutospacing="0" w:line="240" w:lineRule="auto"/>
        <w:ind w:left="0" w:leftChars="0" w:right="0" w:firstLine="1440" w:firstLineChars="200"/>
        <w:textAlignment w:val="auto"/>
        <w:rPr>
          <w:rFonts w:hint="eastAsia" w:ascii="Times New Roman" w:hAnsi="Times New Roman" w:eastAsia="方正小标宋简体" w:cs="Times New Roman"/>
          <w:color w:val="auto"/>
          <w:kern w:val="2"/>
          <w:sz w:val="72"/>
          <w:szCs w:val="72"/>
          <w:highlight w:val="none"/>
          <w:lang w:val="en-US" w:eastAsia="zh-CN" w:bidi="ar-SA"/>
        </w:rPr>
      </w:pPr>
    </w:p>
    <w:p w14:paraId="337212DC">
      <w:pPr>
        <w:pStyle w:val="2"/>
        <w:pageBreakBefore w:val="0"/>
        <w:kinsoku/>
        <w:overflowPunct/>
        <w:topLinePunct w:val="0"/>
        <w:bidi w:val="0"/>
        <w:spacing w:beforeLines="0" w:beforeAutospacing="0" w:after="120" w:afterAutospacing="0" w:line="240" w:lineRule="auto"/>
        <w:ind w:left="0" w:leftChars="0" w:right="0" w:firstLine="1440" w:firstLineChars="200"/>
        <w:textAlignment w:val="auto"/>
        <w:rPr>
          <w:rFonts w:hint="eastAsia" w:ascii="Times New Roman" w:hAnsi="Times New Roman" w:eastAsia="方正小标宋简体" w:cs="Times New Roman"/>
          <w:color w:val="auto"/>
          <w:kern w:val="2"/>
          <w:sz w:val="72"/>
          <w:szCs w:val="72"/>
          <w:highlight w:val="none"/>
          <w:lang w:val="en-US" w:eastAsia="zh-CN" w:bidi="ar-SA"/>
        </w:rPr>
      </w:pPr>
    </w:p>
    <w:p w14:paraId="1383532C">
      <w:pPr>
        <w:pStyle w:val="2"/>
        <w:pageBreakBefore w:val="0"/>
        <w:kinsoku/>
        <w:overflowPunct/>
        <w:topLinePunct w:val="0"/>
        <w:bidi w:val="0"/>
        <w:spacing w:beforeLines="0" w:beforeAutospacing="0" w:after="120" w:afterAutospacing="0" w:line="240" w:lineRule="auto"/>
        <w:ind w:left="0" w:leftChars="0" w:right="0" w:firstLine="880" w:firstLineChars="200"/>
        <w:jc w:val="center"/>
        <w:textAlignment w:val="auto"/>
        <w:rPr>
          <w:rFonts w:hint="default" w:ascii="Times New Roman" w:eastAsia="方正小标宋简体" w:cs="Times New Roman"/>
          <w:color w:val="auto"/>
          <w:kern w:val="2"/>
          <w:sz w:val="44"/>
          <w:szCs w:val="44"/>
          <w:highlight w:val="none"/>
          <w:lang w:val="en-US" w:eastAsia="zh-CN" w:bidi="ar-SA"/>
        </w:rPr>
      </w:pPr>
      <w:r>
        <w:rPr>
          <w:rFonts w:hint="eastAsia" w:ascii="Times New Roman" w:eastAsia="方正小标宋简体" w:cs="Times New Roman"/>
          <w:color w:val="auto"/>
          <w:kern w:val="2"/>
          <w:sz w:val="44"/>
          <w:szCs w:val="44"/>
          <w:highlight w:val="none"/>
          <w:lang w:val="en-US" w:eastAsia="zh-CN" w:bidi="ar-SA"/>
        </w:rPr>
        <w:t>2025年度</w:t>
      </w:r>
    </w:p>
    <w:p w14:paraId="5FDF6856">
      <w:pPr>
        <w:pStyle w:val="2"/>
        <w:pageBreakBefore w:val="0"/>
        <w:kinsoku/>
        <w:overflowPunct/>
        <w:topLinePunct w:val="0"/>
        <w:bidi w:val="0"/>
        <w:spacing w:beforeLines="0" w:beforeAutospacing="0" w:after="120" w:afterAutospacing="0" w:line="240" w:lineRule="auto"/>
        <w:ind w:left="0" w:leftChars="0" w:right="0" w:firstLine="880" w:firstLineChars="200"/>
        <w:jc w:val="center"/>
        <w:textAlignment w:val="auto"/>
        <w:rPr>
          <w:rFonts w:hint="eastAsia" w:ascii="Times New Roman" w:eastAsia="方正小标宋简体" w:cs="Times New Roman"/>
          <w:color w:val="auto"/>
          <w:kern w:val="2"/>
          <w:sz w:val="44"/>
          <w:szCs w:val="44"/>
          <w:highlight w:val="none"/>
          <w:lang w:val="en-US" w:eastAsia="zh-CN" w:bidi="ar-SA"/>
        </w:rPr>
      </w:pPr>
      <w:r>
        <w:rPr>
          <w:rFonts w:hint="eastAsia" w:ascii="Times New Roman" w:eastAsia="方正小标宋简体" w:cs="Times New Roman"/>
          <w:color w:val="auto"/>
          <w:kern w:val="2"/>
          <w:sz w:val="44"/>
          <w:szCs w:val="44"/>
          <w:highlight w:val="none"/>
          <w:lang w:val="en-US" w:eastAsia="zh-CN" w:bidi="ar-SA"/>
        </w:rPr>
        <w:t>红原县阿木乡人民政府</w:t>
      </w:r>
    </w:p>
    <w:p w14:paraId="16C03FBB">
      <w:pPr>
        <w:pStyle w:val="2"/>
        <w:pageBreakBefore w:val="0"/>
        <w:kinsoku/>
        <w:overflowPunct/>
        <w:topLinePunct w:val="0"/>
        <w:bidi w:val="0"/>
        <w:spacing w:beforeLines="0" w:beforeAutospacing="0" w:after="120" w:afterAutospacing="0" w:line="240" w:lineRule="auto"/>
        <w:ind w:left="0" w:leftChars="0" w:right="0" w:firstLine="880" w:firstLineChars="200"/>
        <w:jc w:val="center"/>
        <w:textAlignment w:val="auto"/>
        <w:rPr>
          <w:rFonts w:hint="eastAsia" w:ascii="Times New Roman" w:eastAsia="方正小标宋简体" w:cs="Times New Roman"/>
          <w:color w:val="auto"/>
          <w:kern w:val="2"/>
          <w:sz w:val="44"/>
          <w:szCs w:val="44"/>
          <w:highlight w:val="none"/>
          <w:lang w:val="en-US" w:eastAsia="zh-CN" w:bidi="ar-SA"/>
        </w:rPr>
      </w:pPr>
      <w:r>
        <w:rPr>
          <w:rFonts w:hint="eastAsia" w:ascii="Times New Roman" w:eastAsia="方正小标宋简体" w:cs="Times New Roman"/>
          <w:color w:val="auto"/>
          <w:kern w:val="2"/>
          <w:sz w:val="44"/>
          <w:szCs w:val="44"/>
          <w:highlight w:val="none"/>
          <w:lang w:val="en-US" w:eastAsia="zh-CN" w:bidi="ar-SA"/>
        </w:rPr>
        <w:t>部门决算公开编制说明</w:t>
      </w:r>
    </w:p>
    <w:p w14:paraId="675983D9">
      <w:pPr>
        <w:pStyle w:val="2"/>
        <w:pageBreakBefore w:val="0"/>
        <w:kinsoku/>
        <w:overflowPunct/>
        <w:topLinePunct w:val="0"/>
        <w:bidi w:val="0"/>
        <w:spacing w:beforeLines="0" w:beforeAutospacing="0" w:after="120" w:afterAutospacing="0" w:line="240" w:lineRule="auto"/>
        <w:ind w:left="0" w:leftChars="0" w:right="0" w:firstLine="880" w:firstLineChars="200"/>
        <w:jc w:val="both"/>
        <w:textAlignment w:val="auto"/>
        <w:rPr>
          <w:rFonts w:hint="eastAsia" w:ascii="Times New Roman" w:hAnsi="Times New Roman" w:eastAsia="方正小标宋简体" w:cs="Times New Roman"/>
          <w:color w:val="auto"/>
          <w:kern w:val="2"/>
          <w:sz w:val="44"/>
          <w:szCs w:val="44"/>
          <w:highlight w:val="none"/>
          <w:lang w:val="en-US" w:eastAsia="zh-CN" w:bidi="ar-SA"/>
        </w:rPr>
      </w:pPr>
    </w:p>
    <w:p w14:paraId="6D3ABD59">
      <w:pPr>
        <w:pStyle w:val="2"/>
        <w:pageBreakBefore w:val="0"/>
        <w:kinsoku/>
        <w:overflowPunct/>
        <w:topLinePunct w:val="0"/>
        <w:bidi w:val="0"/>
        <w:spacing w:beforeLines="0" w:beforeAutospacing="0" w:after="120" w:afterAutospacing="0" w:line="240" w:lineRule="auto"/>
        <w:ind w:left="0" w:leftChars="0" w:right="0" w:firstLine="880" w:firstLineChars="200"/>
        <w:jc w:val="both"/>
        <w:textAlignment w:val="auto"/>
        <w:rPr>
          <w:rFonts w:hint="eastAsia" w:ascii="Times New Roman" w:hAnsi="Times New Roman" w:eastAsia="方正小标宋简体" w:cs="Times New Roman"/>
          <w:color w:val="auto"/>
          <w:kern w:val="2"/>
          <w:sz w:val="44"/>
          <w:szCs w:val="44"/>
          <w:highlight w:val="none"/>
          <w:lang w:val="en-US" w:eastAsia="zh-CN" w:bidi="ar-SA"/>
        </w:rPr>
      </w:pPr>
    </w:p>
    <w:p w14:paraId="3B4DF634">
      <w:pPr>
        <w:pStyle w:val="2"/>
        <w:pageBreakBefore w:val="0"/>
        <w:kinsoku/>
        <w:overflowPunct/>
        <w:topLinePunct w:val="0"/>
        <w:bidi w:val="0"/>
        <w:spacing w:beforeLines="0" w:beforeAutospacing="0" w:after="120" w:afterAutospacing="0" w:line="240" w:lineRule="auto"/>
        <w:ind w:left="0" w:leftChars="0" w:right="0" w:firstLine="880" w:firstLineChars="200"/>
        <w:jc w:val="both"/>
        <w:textAlignment w:val="auto"/>
        <w:rPr>
          <w:rFonts w:hint="eastAsia" w:ascii="Times New Roman" w:hAnsi="Times New Roman" w:eastAsia="方正小标宋简体" w:cs="Times New Roman"/>
          <w:color w:val="auto"/>
          <w:kern w:val="2"/>
          <w:sz w:val="44"/>
          <w:szCs w:val="44"/>
          <w:highlight w:val="none"/>
          <w:lang w:val="en-US" w:eastAsia="zh-CN" w:bidi="ar-SA"/>
        </w:rPr>
      </w:pPr>
    </w:p>
    <w:p w14:paraId="15F1BA00">
      <w:pPr>
        <w:pStyle w:val="2"/>
        <w:pageBreakBefore w:val="0"/>
        <w:kinsoku/>
        <w:overflowPunct/>
        <w:topLinePunct w:val="0"/>
        <w:bidi w:val="0"/>
        <w:spacing w:beforeLines="0" w:beforeAutospacing="0" w:after="120" w:afterAutospacing="0" w:line="240" w:lineRule="auto"/>
        <w:ind w:left="0" w:leftChars="0" w:right="0" w:firstLine="880" w:firstLineChars="200"/>
        <w:jc w:val="both"/>
        <w:textAlignment w:val="auto"/>
        <w:rPr>
          <w:rFonts w:hint="eastAsia" w:ascii="Times New Roman" w:hAnsi="Times New Roman" w:eastAsia="方正小标宋简体" w:cs="Times New Roman"/>
          <w:color w:val="auto"/>
          <w:kern w:val="2"/>
          <w:sz w:val="44"/>
          <w:szCs w:val="44"/>
          <w:highlight w:val="none"/>
          <w:lang w:val="en-US" w:eastAsia="zh-CN" w:bidi="ar-SA"/>
        </w:rPr>
      </w:pPr>
    </w:p>
    <w:p w14:paraId="2A07A169">
      <w:pPr>
        <w:pStyle w:val="2"/>
        <w:pageBreakBefore w:val="0"/>
        <w:kinsoku/>
        <w:overflowPunct/>
        <w:topLinePunct w:val="0"/>
        <w:bidi w:val="0"/>
        <w:spacing w:beforeLines="0" w:beforeAutospacing="0" w:after="120" w:afterAutospacing="0" w:line="240" w:lineRule="auto"/>
        <w:ind w:left="0" w:leftChars="0" w:right="0" w:firstLine="880" w:firstLineChars="200"/>
        <w:jc w:val="both"/>
        <w:textAlignment w:val="auto"/>
        <w:rPr>
          <w:rFonts w:hint="eastAsia" w:ascii="Times New Roman" w:hAnsi="Times New Roman" w:eastAsia="方正小标宋简体" w:cs="Times New Roman"/>
          <w:color w:val="auto"/>
          <w:kern w:val="2"/>
          <w:sz w:val="44"/>
          <w:szCs w:val="44"/>
          <w:highlight w:val="none"/>
          <w:lang w:val="en-US" w:eastAsia="zh-CN" w:bidi="ar-SA"/>
        </w:rPr>
      </w:pPr>
    </w:p>
    <w:p w14:paraId="63698E89">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31369449">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3A52A94E">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601235A1">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425B6420">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6C49C6BE">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53250C6B">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1C389C61">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49BC0B65">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41DF49C1">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2FBA74AC">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3C286AF1">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3F9D6271">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34D70DB2">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4D17EB3F">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0589171B">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320D9DB4">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4E0ED9B4">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0D051D0F">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1C3C89FC">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2052C5A4">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08EF4D2B">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21CB2F7B">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5316015D">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7E135522">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067AE632">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1CDF5048">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5371D7F3">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5BAB0FD2">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7D229FA8">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79738203">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sz w:val="24"/>
          <w:szCs w:val="24"/>
          <w:shd w:val="clear" w:color="auto" w:fill="FFFFFF"/>
        </w:rPr>
      </w:pPr>
    </w:p>
    <w:p w14:paraId="3E90AB1D">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pPr>
      <w:r>
        <w:rPr>
          <w:sz w:val="24"/>
          <w:szCs w:val="24"/>
          <w:shd w:val="clear" w:color="auto" w:fill="FFFFFF"/>
        </w:rPr>
        <w:t>保密审查情况：已审查，内容审定</w:t>
      </w:r>
    </w:p>
    <w:p w14:paraId="3F69B390">
      <w:pPr>
        <w:pStyle w:val="17"/>
        <w:keepNext w:val="0"/>
        <w:keepLines w:val="0"/>
        <w:pageBreakBefore w:val="0"/>
        <w:widowControl/>
        <w:suppressLineNumbers w:val="0"/>
        <w:kinsoku/>
        <w:overflowPunct/>
        <w:topLinePunct w:val="0"/>
        <w:bidi w:val="0"/>
        <w:spacing w:before="0" w:beforeAutospacing="0" w:after="120" w:afterAutospacing="0" w:line="240" w:lineRule="auto"/>
        <w:ind w:left="0" w:leftChars="0" w:right="0" w:firstLine="480" w:firstLineChars="200"/>
        <w:jc w:val="left"/>
        <w:textAlignment w:val="auto"/>
        <w:rPr>
          <w:rStyle w:val="20"/>
          <w:sz w:val="30"/>
          <w:szCs w:val="30"/>
          <w:shd w:val="clear" w:color="auto" w:fill="FFFFFF"/>
        </w:rPr>
        <w:sectPr>
          <w:footerReference r:id="rId3" w:type="default"/>
          <w:pgSz w:w="11906" w:h="16838"/>
          <w:pgMar w:top="2098" w:right="1474" w:bottom="1984" w:left="1587" w:header="851" w:footer="992" w:gutter="0"/>
          <w:cols w:space="0" w:num="1"/>
          <w:rtlGutter w:val="0"/>
          <w:docGrid w:type="lines" w:linePitch="312" w:charSpace="0"/>
        </w:sectPr>
      </w:pPr>
      <w:r>
        <w:rPr>
          <w:sz w:val="24"/>
          <w:szCs w:val="24"/>
          <w:shd w:val="clear" w:color="auto" w:fill="FFFFFF"/>
        </w:rPr>
        <w:t>部门主要负责人审签情况：已审签，同意对外公</w:t>
      </w:r>
    </w:p>
    <w:bookmarkEnd w:id="0"/>
    <w:bookmarkEnd w:id="1"/>
    <w:bookmarkEnd w:id="2"/>
    <w:bookmarkEnd w:id="3"/>
    <w:bookmarkEnd w:id="4"/>
    <w:bookmarkEnd w:id="5"/>
    <w:p w14:paraId="40227521">
      <w:pPr>
        <w:spacing w:before="0" w:beforeLines="0" w:after="0" w:afterLines="0" w:line="240" w:lineRule="auto"/>
        <w:ind w:left="0" w:leftChars="0" w:right="0" w:rightChars="0" w:firstLine="0" w:firstLineChars="0"/>
        <w:jc w:val="center"/>
        <w:rPr>
          <w:rFonts w:hint="eastAsia" w:ascii="方正小标宋_GBK" w:hAnsi="方正小标宋_GBK" w:eastAsia="方正小标宋_GBK" w:cs="方正小标宋_GBK"/>
          <w:sz w:val="44"/>
          <w:szCs w:val="44"/>
          <w:lang w:val="en-US" w:eastAsia="zh-CN"/>
        </w:rPr>
      </w:pPr>
      <w:bookmarkStart w:id="6" w:name="_Toc15396599"/>
      <w:bookmarkStart w:id="7" w:name="_Toc15377196"/>
      <w:r>
        <w:rPr>
          <w:rFonts w:hint="eastAsia" w:ascii="方正小标宋_GBK" w:hAnsi="方正小标宋_GBK" w:eastAsia="方正小标宋_GBK" w:cs="方正小标宋_GBK"/>
          <w:sz w:val="44"/>
          <w:szCs w:val="44"/>
          <w:lang w:val="en-US" w:eastAsia="zh-CN"/>
        </w:rPr>
        <w:t>目  录</w:t>
      </w:r>
    </w:p>
    <w:p w14:paraId="473183E0">
      <w:pPr>
        <w:pStyle w:val="13"/>
        <w:tabs>
          <w:tab w:val="right" w:leader="dot" w:pos="8306"/>
          <w:tab w:val="clear" w:pos="8296"/>
        </w:tabs>
      </w:pPr>
      <w:r>
        <w:rPr>
          <w:rStyle w:val="40"/>
          <w:rFonts w:hint="eastAsia" w:ascii="黑体" w:hAnsi="黑体" w:eastAsia="黑体" w:cs="Times New Roman"/>
          <w:b w:val="0"/>
          <w:bCs w:val="0"/>
        </w:rPr>
        <w:fldChar w:fldCharType="begin"/>
      </w:r>
      <w:r>
        <w:rPr>
          <w:rStyle w:val="40"/>
          <w:rFonts w:hint="eastAsia" w:ascii="黑体" w:hAnsi="黑体" w:eastAsia="黑体" w:cs="Times New Roman"/>
          <w:b w:val="0"/>
          <w:bCs w:val="0"/>
        </w:rPr>
        <w:instrText xml:space="preserve">TOC \o "1-2" \h \u </w:instrText>
      </w:r>
      <w:r>
        <w:rPr>
          <w:rStyle w:val="40"/>
          <w:rFonts w:hint="eastAsia" w:ascii="黑体" w:hAnsi="黑体" w:eastAsia="黑体" w:cs="Times New Roman"/>
          <w:b w:val="0"/>
          <w:bCs w:val="0"/>
        </w:rPr>
        <w:fldChar w:fldCharType="separate"/>
      </w: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_Toc16802 </w:instrText>
      </w:r>
      <w:r>
        <w:rPr>
          <w:rFonts w:hint="eastAsia" w:ascii="黑体" w:hAnsi="黑体" w:eastAsia="黑体" w:cs="Times New Roman"/>
          <w:bCs w:val="0"/>
        </w:rPr>
        <w:fldChar w:fldCharType="separate"/>
      </w:r>
      <w:r>
        <w:rPr>
          <w:rFonts w:hint="eastAsia" w:ascii="黑体" w:hAnsi="黑体" w:eastAsia="黑体" w:cs="Times New Roman"/>
          <w:bCs w:val="0"/>
        </w:rPr>
        <w:t xml:space="preserve">第一部分 </w:t>
      </w:r>
      <w:r>
        <w:rPr>
          <w:rFonts w:hint="eastAsia" w:ascii="黑体" w:hAnsi="黑体" w:eastAsia="黑体"/>
          <w:bCs w:val="0"/>
        </w:rPr>
        <w:t>部门概况</w:t>
      </w:r>
      <w:r>
        <w:tab/>
      </w:r>
      <w:r>
        <w:rPr>
          <w:rFonts w:hint="eastAsia"/>
          <w:lang w:val="en-US" w:eastAsia="zh-CN"/>
        </w:rPr>
        <w:t>1</w:t>
      </w:r>
      <w:r>
        <w:rPr>
          <w:rFonts w:hint="eastAsia" w:ascii="黑体" w:hAnsi="黑体" w:eastAsia="黑体" w:cs="Times New Roman"/>
          <w:bCs w:val="0"/>
        </w:rPr>
        <w:fldChar w:fldCharType="end"/>
      </w:r>
    </w:p>
    <w:p w14:paraId="2E0EC14C">
      <w:pPr>
        <w:pStyle w:val="16"/>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_Toc7331 </w:instrText>
      </w:r>
      <w:r>
        <w:rPr>
          <w:rFonts w:hint="eastAsia" w:ascii="黑体" w:hAnsi="黑体" w:eastAsia="黑体" w:cs="Times New Roman"/>
          <w:bCs w:val="0"/>
        </w:rPr>
        <w:fldChar w:fldCharType="separate"/>
      </w:r>
      <w:r>
        <w:rPr>
          <w:rFonts w:hint="eastAsia" w:ascii="黑体" w:eastAsia="黑体" w:hAnsiTheme="majorHAnsi" w:cstheme="majorBidi"/>
          <w:bCs/>
          <w:kern w:val="2"/>
          <w:szCs w:val="32"/>
          <w:lang w:val="en-US" w:eastAsia="zh-CN" w:bidi="ar-SA"/>
        </w:rPr>
        <w:t>一、基本职能及主要工作</w:t>
      </w:r>
      <w:r>
        <w:tab/>
      </w:r>
      <w:r>
        <w:rPr>
          <w:rFonts w:hint="eastAsia"/>
          <w:lang w:val="en-US" w:eastAsia="zh-CN"/>
        </w:rPr>
        <w:t>1</w:t>
      </w:r>
      <w:r>
        <w:rPr>
          <w:rFonts w:hint="eastAsia" w:ascii="黑体" w:hAnsi="黑体" w:eastAsia="黑体" w:cs="Times New Roman"/>
          <w:bCs w:val="0"/>
        </w:rPr>
        <w:fldChar w:fldCharType="end"/>
      </w:r>
    </w:p>
    <w:p w14:paraId="52EE3346">
      <w:pPr>
        <w:pStyle w:val="16"/>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_Toc2098 </w:instrText>
      </w:r>
      <w:r>
        <w:rPr>
          <w:rFonts w:hint="eastAsia" w:ascii="黑体" w:hAnsi="黑体" w:eastAsia="黑体" w:cs="Times New Roman"/>
          <w:bCs w:val="0"/>
        </w:rPr>
        <w:fldChar w:fldCharType="separate"/>
      </w:r>
      <w:r>
        <w:rPr>
          <w:rFonts w:hint="eastAsia" w:ascii="黑体" w:hAnsi="黑体" w:eastAsia="黑体"/>
          <w:bCs w:val="0"/>
        </w:rPr>
        <w:t>二、机构设置</w:t>
      </w:r>
      <w:r>
        <w:tab/>
      </w:r>
      <w:r>
        <w:rPr>
          <w:rFonts w:hint="eastAsia"/>
          <w:lang w:val="en-US" w:eastAsia="zh-CN"/>
        </w:rPr>
        <w:t>3</w:t>
      </w:r>
      <w:r>
        <w:rPr>
          <w:rFonts w:hint="eastAsia" w:ascii="黑体" w:hAnsi="黑体" w:eastAsia="黑体" w:cs="Times New Roman"/>
          <w:bCs w:val="0"/>
        </w:rPr>
        <w:fldChar w:fldCharType="end"/>
      </w:r>
    </w:p>
    <w:p w14:paraId="36C93F92">
      <w:pPr>
        <w:pStyle w:val="13"/>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_Toc27460 </w:instrText>
      </w:r>
      <w:r>
        <w:rPr>
          <w:rFonts w:hint="eastAsia" w:ascii="黑体" w:hAnsi="黑体" w:eastAsia="黑体" w:cs="Times New Roman"/>
          <w:bCs w:val="0"/>
        </w:rPr>
        <w:fldChar w:fldCharType="separate"/>
      </w:r>
      <w:r>
        <w:rPr>
          <w:rFonts w:hint="eastAsia" w:ascii="黑体" w:hAnsi="黑体" w:eastAsia="黑体"/>
        </w:rPr>
        <w:t xml:space="preserve">第二部分 </w:t>
      </w:r>
      <w:r>
        <w:rPr>
          <w:rFonts w:hint="eastAsia" w:ascii="黑体" w:hAnsi="黑体" w:eastAsia="黑体"/>
          <w:lang w:eastAsia="zh-CN"/>
        </w:rPr>
        <w:t>2025年</w:t>
      </w:r>
      <w:r>
        <w:rPr>
          <w:rFonts w:hint="eastAsia" w:ascii="黑体" w:hAnsi="黑体" w:eastAsia="黑体"/>
        </w:rPr>
        <w:t>度</w:t>
      </w:r>
      <w:r>
        <w:rPr>
          <w:rFonts w:hint="eastAsia" w:ascii="黑体" w:hAnsi="黑体" w:eastAsia="黑体"/>
          <w:bCs/>
        </w:rPr>
        <w:t>部门决算情况说明</w:t>
      </w:r>
      <w:r>
        <w:tab/>
      </w:r>
      <w:r>
        <w:rPr>
          <w:rFonts w:hint="eastAsia"/>
          <w:lang w:val="en-US" w:eastAsia="zh-CN"/>
        </w:rPr>
        <w:t>4</w:t>
      </w:r>
      <w:r>
        <w:rPr>
          <w:rFonts w:hint="eastAsia" w:ascii="黑体" w:hAnsi="黑体" w:eastAsia="黑体" w:cs="Times New Roman"/>
          <w:bCs w:val="0"/>
        </w:rPr>
        <w:fldChar w:fldCharType="end"/>
      </w:r>
    </w:p>
    <w:p w14:paraId="066AEFCD">
      <w:pPr>
        <w:pStyle w:val="16"/>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_Toc15999 </w:instrText>
      </w:r>
      <w:r>
        <w:rPr>
          <w:rFonts w:hint="eastAsia" w:ascii="黑体" w:hAnsi="黑体" w:eastAsia="黑体" w:cs="Times New Roman"/>
          <w:bCs w:val="0"/>
        </w:rPr>
        <w:fldChar w:fldCharType="separate"/>
      </w:r>
      <w:r>
        <w:rPr>
          <w:rFonts w:hint="eastAsia" w:ascii="黑体" w:hAnsi="黑体" w:eastAsia="黑体"/>
          <w:bCs w:val="0"/>
          <w:lang w:eastAsia="zh-CN"/>
        </w:rPr>
        <w:t>一、</w:t>
      </w:r>
      <w:r>
        <w:rPr>
          <w:rFonts w:hint="eastAsia" w:ascii="黑体" w:hAnsi="黑体" w:eastAsia="黑体"/>
          <w:bCs w:val="0"/>
        </w:rPr>
        <w:t>收入支出决算总体情况说明</w:t>
      </w:r>
      <w:r>
        <w:tab/>
      </w:r>
      <w:r>
        <w:rPr>
          <w:rFonts w:hint="eastAsia"/>
          <w:lang w:val="en-US" w:eastAsia="zh-CN"/>
        </w:rPr>
        <w:t>4</w:t>
      </w:r>
      <w:r>
        <w:rPr>
          <w:rFonts w:hint="eastAsia" w:ascii="黑体" w:hAnsi="黑体" w:eastAsia="黑体" w:cs="Times New Roman"/>
          <w:bCs w:val="0"/>
        </w:rPr>
        <w:fldChar w:fldCharType="end"/>
      </w:r>
    </w:p>
    <w:p w14:paraId="3A7AFBFD">
      <w:pPr>
        <w:pStyle w:val="16"/>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_Toc18027 </w:instrText>
      </w:r>
      <w:r>
        <w:rPr>
          <w:rFonts w:hint="eastAsia" w:ascii="黑体" w:hAnsi="黑体" w:eastAsia="黑体" w:cs="Times New Roman"/>
          <w:bCs w:val="0"/>
        </w:rPr>
        <w:fldChar w:fldCharType="separate"/>
      </w:r>
      <w:r>
        <w:rPr>
          <w:rFonts w:hint="eastAsia" w:ascii="黑体" w:hAnsi="黑体" w:eastAsia="黑体"/>
          <w:szCs w:val="32"/>
          <w:lang w:eastAsia="zh-CN"/>
        </w:rPr>
        <w:t>二、</w:t>
      </w:r>
      <w:r>
        <w:rPr>
          <w:rFonts w:hint="eastAsia" w:ascii="黑体" w:hAnsi="黑体" w:eastAsia="黑体"/>
          <w:szCs w:val="32"/>
        </w:rPr>
        <w:t>收</w:t>
      </w:r>
      <w:r>
        <w:rPr>
          <w:rFonts w:hint="eastAsia" w:ascii="黑体" w:hAnsi="黑体" w:eastAsia="黑体"/>
        </w:rPr>
        <w:t>入决算情况说明</w:t>
      </w:r>
      <w:r>
        <w:tab/>
      </w:r>
      <w:r>
        <w:rPr>
          <w:rFonts w:hint="eastAsia"/>
          <w:lang w:val="en-US" w:eastAsia="zh-CN"/>
        </w:rPr>
        <w:t>4</w:t>
      </w:r>
      <w:r>
        <w:rPr>
          <w:rFonts w:hint="eastAsia" w:ascii="黑体" w:hAnsi="黑体" w:eastAsia="黑体" w:cs="Times New Roman"/>
          <w:bCs w:val="0"/>
        </w:rPr>
        <w:fldChar w:fldCharType="end"/>
      </w:r>
    </w:p>
    <w:p w14:paraId="5B725EC1">
      <w:pPr>
        <w:pStyle w:val="16"/>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_Toc29867 </w:instrText>
      </w:r>
      <w:r>
        <w:rPr>
          <w:rFonts w:hint="eastAsia" w:ascii="黑体" w:hAnsi="黑体" w:eastAsia="黑体" w:cs="Times New Roman"/>
          <w:bCs w:val="0"/>
        </w:rPr>
        <w:fldChar w:fldCharType="separate"/>
      </w:r>
      <w:r>
        <w:rPr>
          <w:rFonts w:hint="eastAsia" w:ascii="黑体" w:hAnsi="黑体" w:eastAsia="黑体"/>
          <w:szCs w:val="32"/>
          <w:lang w:eastAsia="zh-CN"/>
        </w:rPr>
        <w:t>三、</w:t>
      </w:r>
      <w:r>
        <w:rPr>
          <w:rFonts w:hint="eastAsia" w:ascii="黑体" w:hAnsi="黑体" w:eastAsia="黑体"/>
          <w:szCs w:val="32"/>
        </w:rPr>
        <w:t>支</w:t>
      </w:r>
      <w:r>
        <w:rPr>
          <w:rFonts w:hint="eastAsia" w:ascii="黑体" w:hAnsi="黑体" w:eastAsia="黑体"/>
        </w:rPr>
        <w:t>出决算情况说明</w:t>
      </w:r>
      <w:r>
        <w:tab/>
      </w:r>
      <w:r>
        <w:rPr>
          <w:rFonts w:hint="eastAsia"/>
          <w:lang w:val="en-US" w:eastAsia="zh-CN"/>
        </w:rPr>
        <w:t>4</w:t>
      </w:r>
      <w:r>
        <w:rPr>
          <w:rFonts w:hint="eastAsia" w:ascii="黑体" w:hAnsi="黑体" w:eastAsia="黑体" w:cs="Times New Roman"/>
          <w:bCs w:val="0"/>
        </w:rPr>
        <w:fldChar w:fldCharType="end"/>
      </w:r>
    </w:p>
    <w:p w14:paraId="727C4870">
      <w:pPr>
        <w:pStyle w:val="16"/>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_Toc14377 </w:instrText>
      </w:r>
      <w:r>
        <w:rPr>
          <w:rFonts w:hint="eastAsia" w:ascii="黑体" w:hAnsi="黑体" w:eastAsia="黑体" w:cs="Times New Roman"/>
          <w:bCs w:val="0"/>
        </w:rPr>
        <w:fldChar w:fldCharType="separate"/>
      </w:r>
      <w:r>
        <w:rPr>
          <w:rFonts w:hint="eastAsia" w:ascii="黑体" w:hAnsi="黑体" w:eastAsia="黑体"/>
          <w:szCs w:val="32"/>
          <w:lang w:eastAsia="zh-CN"/>
        </w:rPr>
        <w:t>四、</w:t>
      </w:r>
      <w:r>
        <w:rPr>
          <w:rFonts w:hint="eastAsia" w:ascii="黑体" w:hAnsi="黑体" w:eastAsia="黑体"/>
          <w:szCs w:val="32"/>
        </w:rPr>
        <w:t>财</w:t>
      </w:r>
      <w:r>
        <w:rPr>
          <w:rFonts w:hint="eastAsia" w:ascii="黑体" w:hAnsi="黑体" w:eastAsia="黑体"/>
        </w:rPr>
        <w:t>政拨款收入支出决算总体情况说明</w:t>
      </w:r>
      <w:r>
        <w:tab/>
      </w:r>
      <w:r>
        <w:rPr>
          <w:rFonts w:hint="eastAsia"/>
          <w:lang w:val="en-US" w:eastAsia="zh-CN"/>
        </w:rPr>
        <w:t>5</w:t>
      </w:r>
      <w:r>
        <w:rPr>
          <w:rFonts w:hint="eastAsia" w:ascii="黑体" w:hAnsi="黑体" w:eastAsia="黑体" w:cs="Times New Roman"/>
          <w:bCs w:val="0"/>
        </w:rPr>
        <w:fldChar w:fldCharType="end"/>
      </w:r>
    </w:p>
    <w:p w14:paraId="0661D294">
      <w:pPr>
        <w:pStyle w:val="16"/>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_Toc21241 </w:instrText>
      </w:r>
      <w:r>
        <w:rPr>
          <w:rFonts w:hint="eastAsia" w:ascii="黑体" w:hAnsi="黑体" w:eastAsia="黑体" w:cs="Times New Roman"/>
          <w:bCs w:val="0"/>
        </w:rPr>
        <w:fldChar w:fldCharType="separate"/>
      </w:r>
      <w:r>
        <w:rPr>
          <w:rFonts w:hint="eastAsia" w:ascii="黑体" w:hAnsi="黑体" w:eastAsia="黑体"/>
          <w:szCs w:val="32"/>
          <w:lang w:eastAsia="zh-CN"/>
        </w:rPr>
        <w:t>五</w:t>
      </w:r>
      <w:r>
        <w:rPr>
          <w:rFonts w:hint="eastAsia" w:ascii="黑体" w:hAnsi="黑体" w:eastAsia="黑体"/>
          <w:szCs w:val="32"/>
        </w:rPr>
        <w:t>、一</w:t>
      </w:r>
      <w:r>
        <w:rPr>
          <w:rFonts w:hint="eastAsia" w:ascii="黑体" w:hAnsi="黑体" w:eastAsia="黑体"/>
        </w:rPr>
        <w:t>般公共预算财政拨款支出决算情况说明</w:t>
      </w:r>
      <w:r>
        <w:tab/>
      </w:r>
      <w:r>
        <w:rPr>
          <w:rFonts w:hint="eastAsia"/>
          <w:lang w:val="en-US" w:eastAsia="zh-CN"/>
        </w:rPr>
        <w:t>5</w:t>
      </w:r>
      <w:r>
        <w:rPr>
          <w:rFonts w:hint="eastAsia" w:ascii="黑体" w:hAnsi="黑体" w:eastAsia="黑体" w:cs="Times New Roman"/>
          <w:bCs w:val="0"/>
        </w:rPr>
        <w:fldChar w:fldCharType="end"/>
      </w:r>
    </w:p>
    <w:p w14:paraId="7B5383E1">
      <w:pPr>
        <w:pStyle w:val="16"/>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_Toc6998 </w:instrText>
      </w:r>
      <w:r>
        <w:rPr>
          <w:rFonts w:hint="eastAsia" w:ascii="黑体" w:hAnsi="黑体" w:eastAsia="黑体" w:cs="Times New Roman"/>
          <w:bCs w:val="0"/>
        </w:rPr>
        <w:fldChar w:fldCharType="separate"/>
      </w:r>
      <w:r>
        <w:rPr>
          <w:rFonts w:hint="eastAsia" w:ascii="黑体" w:eastAsia="黑体"/>
          <w:szCs w:val="32"/>
          <w:lang w:val="en-US" w:eastAsia="zh-CN"/>
        </w:rPr>
        <w:t>六</w:t>
      </w:r>
      <w:r>
        <w:rPr>
          <w:rFonts w:hint="eastAsia" w:ascii="黑体" w:eastAsia="黑体"/>
          <w:szCs w:val="32"/>
        </w:rPr>
        <w:t>、</w:t>
      </w:r>
      <w:r>
        <w:rPr>
          <w:rFonts w:hint="eastAsia" w:ascii="黑体" w:hAnsi="黑体" w:eastAsia="黑体"/>
          <w:szCs w:val="32"/>
        </w:rPr>
        <w:t>一</w:t>
      </w:r>
      <w:r>
        <w:rPr>
          <w:rFonts w:hint="eastAsia" w:ascii="黑体" w:hAnsi="黑体" w:eastAsia="黑体"/>
        </w:rPr>
        <w:t>般公共预算财政拨款基本支出决算情况说明</w:t>
      </w:r>
      <w:r>
        <w:tab/>
      </w:r>
      <w:r>
        <w:rPr>
          <w:rFonts w:hint="eastAsia"/>
          <w:lang w:val="en-US" w:eastAsia="zh-CN"/>
        </w:rPr>
        <w:t>6</w:t>
      </w:r>
      <w:r>
        <w:rPr>
          <w:rFonts w:hint="eastAsia" w:ascii="黑体" w:hAnsi="黑体" w:eastAsia="黑体" w:cs="Times New Roman"/>
          <w:bCs w:val="0"/>
        </w:rPr>
        <w:fldChar w:fldCharType="end"/>
      </w:r>
    </w:p>
    <w:p w14:paraId="40971AB6">
      <w:pPr>
        <w:pStyle w:val="16"/>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_Toc5349 </w:instrText>
      </w:r>
      <w:r>
        <w:rPr>
          <w:rFonts w:hint="eastAsia" w:ascii="黑体" w:hAnsi="黑体" w:eastAsia="黑体" w:cs="Times New Roman"/>
          <w:bCs w:val="0"/>
        </w:rPr>
        <w:fldChar w:fldCharType="separate"/>
      </w:r>
      <w:r>
        <w:rPr>
          <w:rFonts w:hint="eastAsia" w:ascii="黑体" w:eastAsia="黑体"/>
          <w:szCs w:val="32"/>
          <w:lang w:val="en-US" w:eastAsia="zh-CN"/>
        </w:rPr>
        <w:t>七</w:t>
      </w:r>
      <w:r>
        <w:rPr>
          <w:rFonts w:hint="eastAsia" w:ascii="黑体" w:eastAsia="黑体"/>
          <w:szCs w:val="32"/>
        </w:rPr>
        <w:t>、</w:t>
      </w:r>
      <w:r>
        <w:rPr>
          <w:rFonts w:hint="eastAsia" w:ascii="黑体" w:hAnsi="黑体" w:eastAsia="黑体"/>
        </w:rPr>
        <w:t>“三公”经费财政拨款支出决算情况说明</w:t>
      </w:r>
      <w:r>
        <w:tab/>
      </w:r>
      <w:r>
        <w:rPr>
          <w:rFonts w:hint="eastAsia"/>
          <w:lang w:val="en-US" w:eastAsia="zh-CN"/>
        </w:rPr>
        <w:t>7</w:t>
      </w:r>
      <w:r>
        <w:rPr>
          <w:rFonts w:hint="eastAsia" w:ascii="黑体" w:hAnsi="黑体" w:eastAsia="黑体" w:cs="Times New Roman"/>
          <w:bCs w:val="0"/>
        </w:rPr>
        <w:fldChar w:fldCharType="end"/>
      </w:r>
    </w:p>
    <w:p w14:paraId="7592838D">
      <w:pPr>
        <w:pStyle w:val="16"/>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_Toc27925 </w:instrText>
      </w:r>
      <w:r>
        <w:rPr>
          <w:rFonts w:hint="eastAsia" w:ascii="黑体" w:hAnsi="黑体" w:eastAsia="黑体" w:cs="Times New Roman"/>
          <w:bCs w:val="0"/>
        </w:rPr>
        <w:fldChar w:fldCharType="separate"/>
      </w:r>
      <w:r>
        <w:rPr>
          <w:rFonts w:hint="eastAsia" w:ascii="黑体" w:eastAsia="黑体"/>
          <w:szCs w:val="32"/>
          <w:lang w:val="en-US" w:eastAsia="zh-CN"/>
        </w:rPr>
        <w:t>八</w:t>
      </w:r>
      <w:r>
        <w:rPr>
          <w:rFonts w:hint="eastAsia" w:ascii="黑体" w:eastAsia="黑体"/>
          <w:szCs w:val="32"/>
        </w:rPr>
        <w:t>、</w:t>
      </w:r>
      <w:r>
        <w:rPr>
          <w:rFonts w:hint="eastAsia" w:ascii="黑体" w:hAnsi="黑体" w:eastAsia="黑体"/>
        </w:rPr>
        <w:t>政府性基金预算支出决算情况说明</w:t>
      </w:r>
      <w:r>
        <w:tab/>
      </w:r>
      <w:r>
        <w:rPr>
          <w:rFonts w:hint="eastAsia"/>
          <w:lang w:val="en-US" w:eastAsia="zh-CN"/>
        </w:rPr>
        <w:t>8</w:t>
      </w:r>
      <w:r>
        <w:rPr>
          <w:rFonts w:hint="eastAsia" w:ascii="黑体" w:hAnsi="黑体" w:eastAsia="黑体" w:cs="Times New Roman"/>
          <w:bCs w:val="0"/>
        </w:rPr>
        <w:fldChar w:fldCharType="end"/>
      </w:r>
    </w:p>
    <w:p w14:paraId="62AF5873">
      <w:pPr>
        <w:pStyle w:val="16"/>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_Toc14939 </w:instrText>
      </w:r>
      <w:r>
        <w:rPr>
          <w:rFonts w:hint="eastAsia" w:ascii="黑体" w:hAnsi="黑体" w:eastAsia="黑体" w:cs="Times New Roman"/>
          <w:bCs w:val="0"/>
        </w:rPr>
        <w:fldChar w:fldCharType="separate"/>
      </w:r>
      <w:r>
        <w:rPr>
          <w:rFonts w:hint="eastAsia" w:ascii="黑体" w:hAnsi="黑体" w:eastAsia="黑体"/>
          <w:lang w:val="en-US" w:eastAsia="zh-CN"/>
        </w:rPr>
        <w:t>九、</w:t>
      </w:r>
      <w:r>
        <w:rPr>
          <w:rFonts w:hint="eastAsia" w:ascii="黑体" w:hAnsi="黑体" w:eastAsia="黑体"/>
        </w:rPr>
        <w:t>国有资本经营预算支出决算情况说明</w:t>
      </w:r>
      <w:r>
        <w:tab/>
      </w:r>
      <w:r>
        <w:rPr>
          <w:rFonts w:hint="eastAsia"/>
          <w:lang w:val="en-US" w:eastAsia="zh-CN"/>
        </w:rPr>
        <w:t>8</w:t>
      </w:r>
      <w:r>
        <w:rPr>
          <w:rFonts w:hint="eastAsia" w:ascii="黑体" w:hAnsi="黑体" w:eastAsia="黑体" w:cs="Times New Roman"/>
          <w:bCs w:val="0"/>
        </w:rPr>
        <w:fldChar w:fldCharType="end"/>
      </w:r>
    </w:p>
    <w:p w14:paraId="1244FD79">
      <w:pPr>
        <w:pStyle w:val="16"/>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_Toc9147 </w:instrText>
      </w:r>
      <w:r>
        <w:rPr>
          <w:rFonts w:hint="eastAsia" w:ascii="黑体" w:hAnsi="黑体" w:eastAsia="黑体" w:cs="Times New Roman"/>
          <w:bCs w:val="0"/>
        </w:rPr>
        <w:fldChar w:fldCharType="separate"/>
      </w:r>
      <w:r>
        <w:rPr>
          <w:rFonts w:hint="eastAsia" w:ascii="黑体" w:hAnsi="黑体" w:eastAsia="黑体"/>
          <w:szCs w:val="32"/>
          <w:lang w:val="en-US" w:eastAsia="zh-CN"/>
        </w:rPr>
        <w:t>十、</w:t>
      </w:r>
      <w:r>
        <w:rPr>
          <w:rFonts w:hint="eastAsia" w:ascii="黑体" w:hAnsi="黑体" w:eastAsia="黑体"/>
        </w:rPr>
        <w:t>其他重要事项的情况说明</w:t>
      </w:r>
      <w:r>
        <w:tab/>
      </w:r>
      <w:r>
        <w:rPr>
          <w:rFonts w:hint="eastAsia"/>
          <w:lang w:val="en-US" w:eastAsia="zh-CN"/>
        </w:rPr>
        <w:t>8</w:t>
      </w:r>
      <w:r>
        <w:rPr>
          <w:rFonts w:hint="eastAsia" w:ascii="黑体" w:hAnsi="黑体" w:eastAsia="黑体" w:cs="Times New Roman"/>
          <w:bCs w:val="0"/>
        </w:rPr>
        <w:fldChar w:fldCharType="end"/>
      </w:r>
    </w:p>
    <w:p w14:paraId="60BBFFC9">
      <w:pPr>
        <w:pStyle w:val="13"/>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_Toc15351 </w:instrText>
      </w:r>
      <w:r>
        <w:rPr>
          <w:rFonts w:hint="eastAsia" w:ascii="黑体" w:hAnsi="黑体" w:eastAsia="黑体" w:cs="Times New Roman"/>
          <w:bCs w:val="0"/>
        </w:rPr>
        <w:fldChar w:fldCharType="separate"/>
      </w:r>
      <w:r>
        <w:rPr>
          <w:rFonts w:hint="eastAsia" w:ascii="黑体" w:hAnsi="黑体" w:eastAsia="黑体" w:cs="Times New Roman"/>
          <w:bCs/>
          <w:kern w:val="44"/>
          <w:szCs w:val="44"/>
          <w:lang w:val="en-US" w:eastAsia="zh-CN" w:bidi="ar-SA"/>
        </w:rPr>
        <w:t xml:space="preserve">第三部分 </w:t>
      </w:r>
      <w:r>
        <w:rPr>
          <w:rFonts w:hint="eastAsia" w:ascii="黑体" w:hAnsi="黑体" w:eastAsia="黑体"/>
          <w:szCs w:val="44"/>
        </w:rPr>
        <w:t>名</w:t>
      </w:r>
      <w:r>
        <w:rPr>
          <w:rFonts w:hint="eastAsia" w:ascii="黑体" w:hAnsi="黑体" w:eastAsia="黑体"/>
        </w:rPr>
        <w:t>词解释</w:t>
      </w:r>
      <w:r>
        <w:tab/>
      </w:r>
      <w:r>
        <w:rPr>
          <w:rFonts w:hint="eastAsia"/>
          <w:lang w:val="en-US" w:eastAsia="zh-CN"/>
        </w:rPr>
        <w:t>9</w:t>
      </w:r>
      <w:r>
        <w:rPr>
          <w:rFonts w:hint="eastAsia" w:ascii="黑体" w:hAnsi="黑体" w:eastAsia="黑体" w:cs="Times New Roman"/>
          <w:bCs w:val="0"/>
        </w:rPr>
        <w:fldChar w:fldCharType="end"/>
      </w:r>
    </w:p>
    <w:p w14:paraId="15E1A467">
      <w:pPr>
        <w:pStyle w:val="13"/>
        <w:tabs>
          <w:tab w:val="right" w:leader="dot" w:pos="8306"/>
          <w:tab w:val="clear" w:pos="8296"/>
        </w:tabs>
        <w:rPr>
          <w:rFonts w:hint="eastAsia" w:eastAsia="黑体"/>
          <w:lang w:val="en-US" w:eastAsia="zh-CN"/>
        </w:rPr>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_Toc24157 </w:instrText>
      </w:r>
      <w:r>
        <w:rPr>
          <w:rFonts w:hint="eastAsia" w:ascii="黑体" w:hAnsi="黑体" w:eastAsia="黑体" w:cs="Times New Roman"/>
          <w:bCs w:val="0"/>
        </w:rPr>
        <w:fldChar w:fldCharType="separate"/>
      </w:r>
      <w:r>
        <w:rPr>
          <w:rFonts w:hint="eastAsia" w:ascii="黑体" w:hAnsi="黑体" w:eastAsia="黑体"/>
          <w:szCs w:val="44"/>
        </w:rPr>
        <w:t>第</w:t>
      </w:r>
      <w:r>
        <w:rPr>
          <w:rFonts w:hint="eastAsia" w:ascii="黑体" w:hAnsi="黑体" w:eastAsia="黑体"/>
          <w:lang w:eastAsia="zh-CN"/>
        </w:rPr>
        <w:t>四</w:t>
      </w:r>
      <w:r>
        <w:rPr>
          <w:rFonts w:hint="eastAsia" w:ascii="黑体" w:hAnsi="黑体" w:eastAsia="黑体"/>
        </w:rPr>
        <w:t>部分 附件</w:t>
      </w:r>
      <w:r>
        <w:tab/>
      </w:r>
      <w:r>
        <w:rPr>
          <w:rFonts w:hint="eastAsia"/>
          <w:lang w:val="en-US" w:eastAsia="zh-CN"/>
        </w:rPr>
        <w:t>1</w:t>
      </w:r>
      <w:r>
        <w:rPr>
          <w:rFonts w:hint="eastAsia" w:ascii="黑体" w:hAnsi="黑体" w:eastAsia="黑体" w:cs="Times New Roman"/>
          <w:bCs w:val="0"/>
        </w:rPr>
        <w:fldChar w:fldCharType="end"/>
      </w:r>
      <w:r>
        <w:rPr>
          <w:rFonts w:hint="eastAsia" w:ascii="黑体" w:hAnsi="黑体" w:eastAsia="黑体" w:cs="Times New Roman"/>
          <w:bCs w:val="0"/>
          <w:lang w:val="en-US" w:eastAsia="zh-CN"/>
        </w:rPr>
        <w:t>0</w:t>
      </w:r>
    </w:p>
    <w:p w14:paraId="14938040">
      <w:pPr>
        <w:pStyle w:val="16"/>
        <w:tabs>
          <w:tab w:val="right" w:leader="dot" w:pos="8306"/>
          <w:tab w:val="clear" w:pos="8296"/>
        </w:tabs>
        <w:rPr>
          <w:rFonts w:hint="eastAsia" w:eastAsia="黑体"/>
          <w:lang w:val="en-US" w:eastAsia="zh-CN"/>
        </w:rPr>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_Toc15690 </w:instrText>
      </w:r>
      <w:r>
        <w:rPr>
          <w:rFonts w:hint="eastAsia" w:ascii="黑体" w:hAnsi="黑体" w:eastAsia="黑体" w:cs="Times New Roman"/>
          <w:bCs w:val="0"/>
        </w:rPr>
        <w:fldChar w:fldCharType="separate"/>
      </w:r>
      <w:r>
        <w:rPr>
          <w:rFonts w:hint="eastAsia" w:ascii="黑体" w:hAnsi="黑体" w:eastAsia="黑体" w:cs="黑体"/>
          <w:szCs w:val="32"/>
        </w:rPr>
        <w:t>附件1</w:t>
      </w:r>
      <w:r>
        <w:rPr>
          <w:rFonts w:hint="eastAsia" w:ascii="黑体" w:hAnsi="黑体" w:eastAsia="黑体" w:cs="黑体"/>
          <w:szCs w:val="32"/>
          <w:lang w:val="en-US" w:eastAsia="zh-CN"/>
        </w:rPr>
        <w:t>红原县阿木乡人民政府</w:t>
      </w:r>
      <w:r>
        <w:rPr>
          <w:rFonts w:hint="eastAsia" w:ascii="黑体" w:hAnsi="黑体" w:eastAsia="黑体" w:cs="黑体"/>
          <w:szCs w:val="32"/>
        </w:rPr>
        <w:t>部门</w:t>
      </w:r>
      <w:r>
        <w:rPr>
          <w:rFonts w:hint="eastAsia" w:ascii="黑体" w:hAnsi="黑体" w:eastAsia="黑体" w:cs="黑体"/>
          <w:szCs w:val="32"/>
          <w:lang w:eastAsia="zh-CN"/>
        </w:rPr>
        <w:t>预算</w:t>
      </w:r>
      <w:r>
        <w:rPr>
          <w:rFonts w:hint="eastAsia" w:ascii="黑体" w:hAnsi="黑体" w:eastAsia="黑体" w:cs="黑体"/>
          <w:szCs w:val="32"/>
        </w:rPr>
        <w:t>绩效</w:t>
      </w:r>
      <w:r>
        <w:rPr>
          <w:rFonts w:hint="eastAsia" w:ascii="黑体" w:hAnsi="黑体" w:eastAsia="黑体" w:cs="黑体"/>
          <w:szCs w:val="32"/>
          <w:lang w:eastAsia="zh-CN"/>
        </w:rPr>
        <w:t>评价</w:t>
      </w:r>
      <w:r>
        <w:rPr>
          <w:rFonts w:hint="eastAsia" w:ascii="黑体" w:hAnsi="黑体" w:eastAsia="黑体" w:cs="黑体"/>
          <w:szCs w:val="32"/>
        </w:rPr>
        <w:t>报告</w:t>
      </w:r>
      <w:r>
        <w:tab/>
      </w:r>
      <w:r>
        <w:rPr>
          <w:rFonts w:hint="eastAsia"/>
          <w:lang w:val="en-US" w:eastAsia="zh-CN"/>
        </w:rPr>
        <w:t>1</w:t>
      </w:r>
      <w:r>
        <w:rPr>
          <w:rFonts w:hint="eastAsia" w:ascii="黑体" w:hAnsi="黑体" w:eastAsia="黑体" w:cs="Times New Roman"/>
          <w:bCs w:val="0"/>
        </w:rPr>
        <w:fldChar w:fldCharType="end"/>
      </w:r>
      <w:r>
        <w:rPr>
          <w:rFonts w:hint="eastAsia" w:ascii="黑体" w:hAnsi="黑体" w:eastAsia="黑体" w:cs="Times New Roman"/>
          <w:bCs w:val="0"/>
          <w:lang w:val="en-US" w:eastAsia="zh-CN"/>
        </w:rPr>
        <w:t>0</w:t>
      </w:r>
    </w:p>
    <w:p w14:paraId="14B33680">
      <w:pPr>
        <w:pStyle w:val="16"/>
        <w:tabs>
          <w:tab w:val="right" w:leader="dot" w:pos="8306"/>
          <w:tab w:val="clear" w:pos="8296"/>
        </w:tabs>
        <w:rPr>
          <w:rFonts w:hint="eastAsia" w:eastAsia="黑体"/>
          <w:lang w:val="en-US" w:eastAsia="zh-CN"/>
        </w:rPr>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_Toc30678 </w:instrText>
      </w:r>
      <w:r>
        <w:rPr>
          <w:rFonts w:hint="eastAsia" w:ascii="黑体" w:hAnsi="黑体" w:eastAsia="黑体" w:cs="Times New Roman"/>
          <w:bCs w:val="0"/>
        </w:rPr>
        <w:fldChar w:fldCharType="separate"/>
      </w:r>
      <w:r>
        <w:rPr>
          <w:rFonts w:hint="eastAsia" w:ascii="黑体" w:hAnsi="黑体" w:eastAsia="黑体" w:cs="黑体"/>
          <w:szCs w:val="32"/>
        </w:rPr>
        <w:t>附件2</w:t>
      </w:r>
      <w:r>
        <w:rPr>
          <w:rFonts w:hint="eastAsia" w:ascii="黑体" w:hAnsi="黑体" w:eastAsia="黑体" w:cs="黑体"/>
          <w:szCs w:val="32"/>
          <w:lang w:eastAsia="zh-CN"/>
        </w:rPr>
        <w:t>阿木乡</w:t>
      </w:r>
      <w:r>
        <w:rPr>
          <w:rFonts w:hint="eastAsia" w:ascii="黑体" w:hAnsi="黑体" w:eastAsia="黑体" w:cs="黑体"/>
          <w:szCs w:val="32"/>
          <w:lang w:val="en-US" w:eastAsia="zh-CN"/>
        </w:rPr>
        <w:t>2025年</w:t>
      </w:r>
      <w:r>
        <w:rPr>
          <w:rFonts w:hint="eastAsia" w:ascii="黑体" w:hAnsi="黑体" w:eastAsia="黑体" w:cs="黑体"/>
          <w:szCs w:val="32"/>
        </w:rPr>
        <w:t>财政</w:t>
      </w:r>
      <w:r>
        <w:rPr>
          <w:rFonts w:hint="eastAsia" w:ascii="黑体" w:hAnsi="黑体" w:eastAsia="黑体" w:cs="黑体"/>
          <w:szCs w:val="32"/>
          <w:lang w:eastAsia="zh-CN"/>
        </w:rPr>
        <w:t>衔接资金</w:t>
      </w:r>
      <w:r>
        <w:rPr>
          <w:rFonts w:hint="eastAsia" w:ascii="黑体" w:hAnsi="黑体" w:eastAsia="黑体" w:cs="黑体"/>
          <w:szCs w:val="32"/>
        </w:rPr>
        <w:t>资金绩效自评总结报告</w:t>
      </w:r>
      <w:r>
        <w:tab/>
      </w:r>
      <w:r>
        <w:rPr>
          <w:rFonts w:hint="eastAsia"/>
          <w:lang w:val="en-US" w:eastAsia="zh-CN"/>
        </w:rPr>
        <w:t>2</w:t>
      </w:r>
      <w:r>
        <w:rPr>
          <w:rFonts w:hint="eastAsia" w:ascii="黑体" w:hAnsi="黑体" w:eastAsia="黑体" w:cs="Times New Roman"/>
          <w:bCs w:val="0"/>
        </w:rPr>
        <w:fldChar w:fldCharType="end"/>
      </w:r>
      <w:r>
        <w:rPr>
          <w:rFonts w:hint="eastAsia" w:ascii="黑体" w:hAnsi="黑体" w:eastAsia="黑体" w:cs="Times New Roman"/>
          <w:bCs w:val="0"/>
          <w:lang w:val="en-US" w:eastAsia="zh-CN"/>
        </w:rPr>
        <w:t>5</w:t>
      </w:r>
    </w:p>
    <w:p w14:paraId="270FF568">
      <w:pPr>
        <w:pStyle w:val="13"/>
        <w:tabs>
          <w:tab w:val="right" w:leader="dot" w:pos="8306"/>
          <w:tab w:val="clear" w:pos="8296"/>
        </w:tabs>
        <w:rPr>
          <w:rFonts w:hint="default" w:eastAsia="宋体"/>
          <w:lang w:val="en-US" w:eastAsia="zh-CN"/>
        </w:rPr>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_Toc1319 </w:instrText>
      </w:r>
      <w:r>
        <w:rPr>
          <w:rFonts w:hint="eastAsia" w:ascii="黑体" w:hAnsi="黑体" w:eastAsia="黑体" w:cs="Times New Roman"/>
          <w:bCs w:val="0"/>
        </w:rPr>
        <w:fldChar w:fldCharType="separate"/>
      </w:r>
      <w:r>
        <w:rPr>
          <w:rFonts w:hint="eastAsia" w:ascii="黑体" w:hAnsi="黑体" w:eastAsia="黑体"/>
          <w:szCs w:val="44"/>
        </w:rPr>
        <w:t>第</w:t>
      </w:r>
      <w:r>
        <w:rPr>
          <w:rFonts w:hint="eastAsia" w:ascii="黑体" w:hAnsi="黑体" w:eastAsia="黑体"/>
          <w:lang w:eastAsia="zh-CN"/>
        </w:rPr>
        <w:t>五</w:t>
      </w:r>
      <w:r>
        <w:rPr>
          <w:rFonts w:hint="eastAsia" w:ascii="黑体" w:hAnsi="黑体" w:eastAsia="黑体"/>
        </w:rPr>
        <w:t>部分 附表</w:t>
      </w:r>
      <w:r>
        <w:tab/>
      </w:r>
      <w:r>
        <w:rPr>
          <w:rFonts w:hint="eastAsia"/>
          <w:lang w:val="en-US" w:eastAsia="zh-CN"/>
        </w:rPr>
        <w:t>5</w:t>
      </w:r>
      <w:r>
        <w:rPr>
          <w:rFonts w:hint="eastAsia" w:ascii="黑体" w:hAnsi="黑体" w:eastAsia="黑体" w:cs="Times New Roman"/>
          <w:bCs w:val="0"/>
        </w:rPr>
        <w:fldChar w:fldCharType="end"/>
      </w:r>
      <w:r>
        <w:rPr>
          <w:rFonts w:hint="eastAsia" w:ascii="黑体" w:hAnsi="黑体" w:eastAsia="黑体" w:cs="Times New Roman"/>
          <w:bCs w:val="0"/>
          <w:lang w:val="en-US" w:eastAsia="zh-CN"/>
        </w:rPr>
        <w:t>2</w:t>
      </w:r>
    </w:p>
    <w:p w14:paraId="6753DAEE">
      <w:pPr>
        <w:pStyle w:val="16"/>
        <w:tabs>
          <w:tab w:val="right" w:leader="dot" w:pos="8306"/>
          <w:tab w:val="clear" w:pos="8296"/>
        </w:tabs>
        <w:rPr>
          <w:rFonts w:hint="default"/>
          <w:lang w:val="en-US"/>
        </w:rPr>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_Toc28121 </w:instrText>
      </w:r>
      <w:r>
        <w:rPr>
          <w:rFonts w:hint="eastAsia" w:ascii="黑体" w:hAnsi="黑体" w:eastAsia="黑体" w:cs="Times New Roman"/>
          <w:bCs w:val="0"/>
        </w:rPr>
        <w:fldChar w:fldCharType="separate"/>
      </w:r>
      <w:r>
        <w:rPr>
          <w:rFonts w:hint="eastAsia" w:ascii="仿宋" w:hAnsi="仿宋" w:eastAsia="仿宋"/>
        </w:rPr>
        <w:t>二、收入决算表</w:t>
      </w:r>
      <w:r>
        <w:tab/>
      </w:r>
      <w:r>
        <w:rPr>
          <w:rFonts w:hint="eastAsia"/>
          <w:lang w:val="en-US" w:eastAsia="zh-CN"/>
        </w:rPr>
        <w:t>5</w:t>
      </w:r>
      <w:r>
        <w:rPr>
          <w:rFonts w:hint="eastAsia" w:ascii="黑体" w:hAnsi="黑体" w:eastAsia="黑体" w:cs="Times New Roman"/>
          <w:bCs w:val="0"/>
        </w:rPr>
        <w:fldChar w:fldCharType="end"/>
      </w:r>
      <w:r>
        <w:rPr>
          <w:rFonts w:hint="eastAsia" w:ascii="黑体" w:hAnsi="黑体" w:eastAsia="黑体" w:cs="Times New Roman"/>
          <w:bCs w:val="0"/>
          <w:lang w:val="en-US" w:eastAsia="zh-CN"/>
        </w:rPr>
        <w:t>2</w:t>
      </w:r>
    </w:p>
    <w:p w14:paraId="5678E19F">
      <w:pPr>
        <w:pStyle w:val="16"/>
        <w:tabs>
          <w:tab w:val="right" w:leader="dot" w:pos="8306"/>
          <w:tab w:val="clear" w:pos="8296"/>
        </w:tabs>
        <w:rPr>
          <w:rFonts w:hint="eastAsia" w:eastAsia="黑体"/>
          <w:lang w:val="en-US" w:eastAsia="zh-CN"/>
        </w:rPr>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_Toc2066 </w:instrText>
      </w:r>
      <w:r>
        <w:rPr>
          <w:rFonts w:hint="eastAsia" w:ascii="黑体" w:hAnsi="黑体" w:eastAsia="黑体" w:cs="Times New Roman"/>
          <w:bCs w:val="0"/>
        </w:rPr>
        <w:fldChar w:fldCharType="separate"/>
      </w:r>
      <w:r>
        <w:rPr>
          <w:rFonts w:hint="eastAsia" w:ascii="仿宋" w:hAnsi="仿宋" w:eastAsia="仿宋"/>
          <w:bCs w:val="0"/>
        </w:rPr>
        <w:t>四、</w:t>
      </w:r>
      <w:r>
        <w:rPr>
          <w:rFonts w:hint="eastAsia" w:ascii="仿宋" w:hAnsi="仿宋" w:eastAsia="仿宋"/>
          <w:bCs w:val="0"/>
          <w:lang w:eastAsia="zh-CN"/>
        </w:rPr>
        <w:t>财政拨款收入支出决算总表</w:t>
      </w:r>
      <w:r>
        <w:tab/>
      </w:r>
      <w:r>
        <w:rPr>
          <w:rFonts w:hint="eastAsia"/>
          <w:lang w:val="en-US" w:eastAsia="zh-CN"/>
        </w:rPr>
        <w:t>5</w:t>
      </w:r>
      <w:r>
        <w:rPr>
          <w:rFonts w:hint="eastAsia" w:ascii="黑体" w:hAnsi="黑体" w:eastAsia="黑体" w:cs="Times New Roman"/>
          <w:bCs w:val="0"/>
        </w:rPr>
        <w:fldChar w:fldCharType="end"/>
      </w:r>
      <w:r>
        <w:rPr>
          <w:rFonts w:hint="eastAsia" w:ascii="黑体" w:hAnsi="黑体" w:eastAsia="黑体" w:cs="Times New Roman"/>
          <w:bCs w:val="0"/>
          <w:lang w:val="en-US" w:eastAsia="zh-CN"/>
        </w:rPr>
        <w:t>2</w:t>
      </w:r>
    </w:p>
    <w:p w14:paraId="4762F7DA">
      <w:pPr>
        <w:pStyle w:val="16"/>
        <w:tabs>
          <w:tab w:val="right" w:leader="dot" w:pos="8306"/>
          <w:tab w:val="clear" w:pos="8296"/>
        </w:tabs>
        <w:rPr>
          <w:rFonts w:hint="eastAsia" w:eastAsia="黑体"/>
          <w:lang w:val="en-US" w:eastAsia="zh-CN"/>
        </w:rPr>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_Toc18126 </w:instrText>
      </w:r>
      <w:r>
        <w:rPr>
          <w:rFonts w:hint="eastAsia" w:ascii="黑体" w:hAnsi="黑体" w:eastAsia="黑体" w:cs="Times New Roman"/>
          <w:bCs w:val="0"/>
        </w:rPr>
        <w:fldChar w:fldCharType="separate"/>
      </w:r>
      <w:r>
        <w:rPr>
          <w:rFonts w:hint="eastAsia" w:ascii="仿宋" w:hAnsi="仿宋" w:eastAsia="仿宋"/>
          <w:bCs w:val="0"/>
        </w:rPr>
        <w:t>五、</w:t>
      </w:r>
      <w:r>
        <w:rPr>
          <w:rFonts w:hint="eastAsia" w:ascii="仿宋" w:hAnsi="仿宋" w:eastAsia="仿宋"/>
          <w:lang w:eastAsia="zh-CN"/>
        </w:rPr>
        <w:t>财政拨款支出决算明细表</w:t>
      </w:r>
      <w:r>
        <w:tab/>
      </w:r>
      <w:r>
        <w:rPr>
          <w:rFonts w:hint="eastAsia"/>
          <w:lang w:val="en-US" w:eastAsia="zh-CN"/>
        </w:rPr>
        <w:t>5</w:t>
      </w:r>
      <w:r>
        <w:rPr>
          <w:rFonts w:hint="eastAsia" w:ascii="黑体" w:hAnsi="黑体" w:eastAsia="黑体" w:cs="Times New Roman"/>
          <w:bCs w:val="0"/>
        </w:rPr>
        <w:fldChar w:fldCharType="end"/>
      </w:r>
      <w:r>
        <w:rPr>
          <w:rFonts w:hint="eastAsia" w:ascii="黑体" w:hAnsi="黑体" w:eastAsia="黑体" w:cs="Times New Roman"/>
          <w:bCs w:val="0"/>
          <w:lang w:val="en-US" w:eastAsia="zh-CN"/>
        </w:rPr>
        <w:t>2</w:t>
      </w:r>
    </w:p>
    <w:p w14:paraId="1E6821FD">
      <w:pPr>
        <w:pStyle w:val="16"/>
        <w:tabs>
          <w:tab w:val="right" w:leader="dot" w:pos="8306"/>
          <w:tab w:val="clear" w:pos="8296"/>
        </w:tabs>
        <w:rPr>
          <w:rFonts w:hint="eastAsia" w:eastAsia="黑体"/>
          <w:lang w:val="en-US" w:eastAsia="zh-CN"/>
        </w:rPr>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_Toc3633 </w:instrText>
      </w:r>
      <w:r>
        <w:rPr>
          <w:rFonts w:hint="eastAsia" w:ascii="黑体" w:hAnsi="黑体" w:eastAsia="黑体" w:cs="Times New Roman"/>
          <w:bCs w:val="0"/>
        </w:rPr>
        <w:fldChar w:fldCharType="separate"/>
      </w:r>
      <w:r>
        <w:rPr>
          <w:rFonts w:hint="eastAsia" w:ascii="仿宋" w:hAnsi="仿宋" w:eastAsia="仿宋"/>
          <w:bCs w:val="0"/>
        </w:rPr>
        <w:t>六、一般公共预算财政拨款支出决算表</w:t>
      </w:r>
      <w:r>
        <w:tab/>
      </w:r>
      <w:r>
        <w:rPr>
          <w:rFonts w:hint="eastAsia"/>
          <w:lang w:val="en-US" w:eastAsia="zh-CN"/>
        </w:rPr>
        <w:t>5</w:t>
      </w:r>
      <w:r>
        <w:rPr>
          <w:rFonts w:hint="eastAsia" w:ascii="黑体" w:hAnsi="黑体" w:eastAsia="黑体" w:cs="Times New Roman"/>
          <w:bCs w:val="0"/>
        </w:rPr>
        <w:fldChar w:fldCharType="end"/>
      </w:r>
      <w:r>
        <w:rPr>
          <w:rFonts w:hint="eastAsia" w:ascii="黑体" w:hAnsi="黑体" w:eastAsia="黑体" w:cs="Times New Roman"/>
          <w:bCs w:val="0"/>
          <w:lang w:val="en-US" w:eastAsia="zh-CN"/>
        </w:rPr>
        <w:t>2</w:t>
      </w:r>
    </w:p>
    <w:p w14:paraId="54CBF49A">
      <w:pPr>
        <w:pStyle w:val="16"/>
        <w:tabs>
          <w:tab w:val="right" w:leader="dot" w:pos="8306"/>
          <w:tab w:val="clear" w:pos="8296"/>
        </w:tabs>
        <w:rPr>
          <w:rFonts w:hint="eastAsia" w:eastAsia="黑体"/>
          <w:lang w:val="en-US" w:eastAsia="zh-CN"/>
        </w:rPr>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_Toc5365 </w:instrText>
      </w:r>
      <w:r>
        <w:rPr>
          <w:rFonts w:hint="eastAsia" w:ascii="黑体" w:hAnsi="黑体" w:eastAsia="黑体" w:cs="Times New Roman"/>
          <w:bCs w:val="0"/>
        </w:rPr>
        <w:fldChar w:fldCharType="separate"/>
      </w:r>
      <w:r>
        <w:rPr>
          <w:rFonts w:hint="eastAsia" w:ascii="仿宋" w:hAnsi="仿宋" w:eastAsia="仿宋"/>
          <w:bCs w:val="0"/>
        </w:rPr>
        <w:t>七、</w:t>
      </w:r>
      <w:r>
        <w:rPr>
          <w:rFonts w:hint="eastAsia" w:ascii="仿宋" w:hAnsi="仿宋" w:eastAsia="仿宋"/>
        </w:rPr>
        <w:t>一般公共预算财政拨款支出决算明细表</w:t>
      </w:r>
      <w:r>
        <w:tab/>
      </w:r>
      <w:r>
        <w:rPr>
          <w:rFonts w:hint="eastAsia"/>
          <w:lang w:val="en-US" w:eastAsia="zh-CN"/>
        </w:rPr>
        <w:t>5</w:t>
      </w:r>
      <w:r>
        <w:rPr>
          <w:rFonts w:hint="eastAsia" w:ascii="黑体" w:hAnsi="黑体" w:eastAsia="黑体" w:cs="Times New Roman"/>
          <w:bCs w:val="0"/>
        </w:rPr>
        <w:fldChar w:fldCharType="end"/>
      </w:r>
      <w:r>
        <w:rPr>
          <w:rFonts w:hint="eastAsia" w:ascii="黑体" w:hAnsi="黑体" w:eastAsia="黑体" w:cs="Times New Roman"/>
          <w:bCs w:val="0"/>
          <w:lang w:val="en-US" w:eastAsia="zh-CN"/>
        </w:rPr>
        <w:t>2</w:t>
      </w:r>
    </w:p>
    <w:p w14:paraId="62D63804">
      <w:pPr>
        <w:pStyle w:val="16"/>
        <w:tabs>
          <w:tab w:val="right" w:leader="dot" w:pos="8306"/>
          <w:tab w:val="clear" w:pos="8296"/>
        </w:tabs>
        <w:rPr>
          <w:rFonts w:hint="eastAsia" w:eastAsia="黑体"/>
          <w:lang w:val="en-US" w:eastAsia="zh-CN"/>
        </w:rPr>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_Toc29392 </w:instrText>
      </w:r>
      <w:r>
        <w:rPr>
          <w:rFonts w:hint="eastAsia" w:ascii="黑体" w:hAnsi="黑体" w:eastAsia="黑体" w:cs="Times New Roman"/>
          <w:bCs w:val="0"/>
        </w:rPr>
        <w:fldChar w:fldCharType="separate"/>
      </w:r>
      <w:r>
        <w:rPr>
          <w:rFonts w:hint="eastAsia" w:ascii="仿宋" w:hAnsi="仿宋" w:eastAsia="仿宋"/>
          <w:bCs w:val="0"/>
        </w:rPr>
        <w:t>八、</w:t>
      </w:r>
      <w:r>
        <w:rPr>
          <w:rFonts w:hint="eastAsia" w:ascii="仿宋" w:hAnsi="仿宋" w:eastAsia="仿宋"/>
        </w:rPr>
        <w:t>一般公共预算财政拨款基本支出决算明细表</w:t>
      </w:r>
      <w:r>
        <w:tab/>
      </w:r>
      <w:r>
        <w:rPr>
          <w:rFonts w:hint="eastAsia"/>
          <w:lang w:val="en-US" w:eastAsia="zh-CN"/>
        </w:rPr>
        <w:t>5</w:t>
      </w:r>
      <w:r>
        <w:rPr>
          <w:rFonts w:hint="eastAsia" w:ascii="黑体" w:hAnsi="黑体" w:eastAsia="黑体" w:cs="Times New Roman"/>
          <w:bCs w:val="0"/>
        </w:rPr>
        <w:fldChar w:fldCharType="end"/>
      </w:r>
      <w:r>
        <w:rPr>
          <w:rFonts w:hint="eastAsia" w:ascii="黑体" w:hAnsi="黑体" w:eastAsia="黑体" w:cs="Times New Roman"/>
          <w:bCs w:val="0"/>
          <w:lang w:val="en-US" w:eastAsia="zh-CN"/>
        </w:rPr>
        <w:t>2</w:t>
      </w:r>
    </w:p>
    <w:p w14:paraId="74029584">
      <w:pPr>
        <w:pStyle w:val="16"/>
        <w:tabs>
          <w:tab w:val="right" w:leader="dot" w:pos="8306"/>
          <w:tab w:val="clear" w:pos="8296"/>
        </w:tabs>
        <w:rPr>
          <w:rFonts w:hint="eastAsia" w:eastAsia="黑体"/>
          <w:lang w:val="en-US" w:eastAsia="zh-CN"/>
        </w:rPr>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_Toc10234 </w:instrText>
      </w:r>
      <w:r>
        <w:rPr>
          <w:rFonts w:hint="eastAsia" w:ascii="黑体" w:hAnsi="黑体" w:eastAsia="黑体" w:cs="Times New Roman"/>
          <w:bCs w:val="0"/>
        </w:rPr>
        <w:fldChar w:fldCharType="separate"/>
      </w:r>
      <w:r>
        <w:rPr>
          <w:rFonts w:hint="eastAsia" w:ascii="仿宋" w:hAnsi="仿宋" w:eastAsia="仿宋"/>
          <w:bCs w:val="0"/>
        </w:rPr>
        <w:t>九、</w:t>
      </w:r>
      <w:r>
        <w:rPr>
          <w:rFonts w:hint="eastAsia" w:ascii="仿宋" w:hAnsi="仿宋" w:eastAsia="仿宋"/>
        </w:rPr>
        <w:t>一般公共预算财政拨款项目支出决算表</w:t>
      </w:r>
      <w:r>
        <w:tab/>
      </w:r>
      <w:r>
        <w:rPr>
          <w:rFonts w:hint="eastAsia"/>
          <w:lang w:val="en-US" w:eastAsia="zh-CN"/>
        </w:rPr>
        <w:t>5</w:t>
      </w:r>
      <w:r>
        <w:rPr>
          <w:rFonts w:hint="eastAsia" w:ascii="黑体" w:hAnsi="黑体" w:eastAsia="黑体" w:cs="Times New Roman"/>
          <w:bCs w:val="0"/>
        </w:rPr>
        <w:fldChar w:fldCharType="end"/>
      </w:r>
      <w:r>
        <w:rPr>
          <w:rFonts w:hint="eastAsia" w:ascii="黑体" w:hAnsi="黑体" w:eastAsia="黑体" w:cs="Times New Roman"/>
          <w:bCs w:val="0"/>
          <w:lang w:val="en-US" w:eastAsia="zh-CN"/>
        </w:rPr>
        <w:t>2</w:t>
      </w:r>
    </w:p>
    <w:p w14:paraId="656A85E9">
      <w:pPr>
        <w:pStyle w:val="16"/>
        <w:tabs>
          <w:tab w:val="right" w:leader="dot" w:pos="8306"/>
          <w:tab w:val="clear" w:pos="8296"/>
        </w:tabs>
        <w:rPr>
          <w:rFonts w:hint="eastAsia" w:eastAsia="黑体"/>
          <w:lang w:val="en-US" w:eastAsia="zh-CN"/>
        </w:rPr>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_Toc27838 </w:instrText>
      </w:r>
      <w:r>
        <w:rPr>
          <w:rFonts w:hint="eastAsia" w:ascii="黑体" w:hAnsi="黑体" w:eastAsia="黑体" w:cs="Times New Roman"/>
          <w:bCs w:val="0"/>
        </w:rPr>
        <w:fldChar w:fldCharType="separate"/>
      </w:r>
      <w:r>
        <w:rPr>
          <w:rFonts w:hint="eastAsia" w:ascii="仿宋" w:hAnsi="仿宋" w:eastAsia="仿宋"/>
          <w:bCs w:val="0"/>
        </w:rPr>
        <w:t>十、</w:t>
      </w:r>
      <w:r>
        <w:rPr>
          <w:rFonts w:hint="eastAsia" w:ascii="仿宋" w:hAnsi="仿宋" w:eastAsia="仿宋"/>
        </w:rPr>
        <w:t>政府性基金预算财政拨款收入支出决算表</w:t>
      </w:r>
      <w:r>
        <w:tab/>
      </w:r>
      <w:r>
        <w:rPr>
          <w:rFonts w:hint="eastAsia"/>
          <w:lang w:val="en-US" w:eastAsia="zh-CN"/>
        </w:rPr>
        <w:t>5</w:t>
      </w:r>
      <w:r>
        <w:rPr>
          <w:rFonts w:hint="eastAsia" w:ascii="黑体" w:hAnsi="黑体" w:eastAsia="黑体" w:cs="Times New Roman"/>
          <w:bCs w:val="0"/>
        </w:rPr>
        <w:fldChar w:fldCharType="end"/>
      </w:r>
      <w:r>
        <w:rPr>
          <w:rFonts w:hint="eastAsia" w:ascii="黑体" w:hAnsi="黑体" w:eastAsia="黑体" w:cs="Times New Roman"/>
          <w:bCs w:val="0"/>
          <w:lang w:val="en-US" w:eastAsia="zh-CN"/>
        </w:rPr>
        <w:t>2</w:t>
      </w:r>
    </w:p>
    <w:p w14:paraId="5D8D74AB">
      <w:pPr>
        <w:pStyle w:val="16"/>
        <w:tabs>
          <w:tab w:val="right" w:leader="dot" w:pos="8306"/>
          <w:tab w:val="clear" w:pos="8296"/>
        </w:tabs>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_Toc16470 </w:instrText>
      </w:r>
      <w:r>
        <w:rPr>
          <w:rFonts w:hint="eastAsia" w:ascii="黑体" w:hAnsi="黑体" w:eastAsia="黑体" w:cs="Times New Roman"/>
          <w:bCs w:val="0"/>
        </w:rPr>
        <w:fldChar w:fldCharType="separate"/>
      </w:r>
      <w:r>
        <w:rPr>
          <w:rFonts w:hint="eastAsia" w:ascii="仿宋" w:hAnsi="仿宋" w:eastAsia="仿宋"/>
          <w:bCs w:val="0"/>
        </w:rPr>
        <w:t>十一、</w:t>
      </w:r>
      <w:r>
        <w:rPr>
          <w:rFonts w:hint="eastAsia" w:ascii="仿宋" w:hAnsi="仿宋" w:eastAsia="仿宋"/>
        </w:rPr>
        <w:t>国有资本经营预算财政拨款收入支出决算表</w:t>
      </w:r>
      <w:r>
        <w:tab/>
      </w:r>
      <w:r>
        <w:fldChar w:fldCharType="begin"/>
      </w:r>
      <w:r>
        <w:instrText xml:space="preserve"> PAGEREF _Toc16470 \h </w:instrText>
      </w:r>
      <w:r>
        <w:fldChar w:fldCharType="separate"/>
      </w:r>
      <w:r>
        <w:rPr>
          <w:rFonts w:hint="eastAsia"/>
          <w:lang w:val="en-US" w:eastAsia="zh-CN"/>
        </w:rPr>
        <w:t>52</w:t>
      </w:r>
      <w:r>
        <w:fldChar w:fldCharType="end"/>
      </w:r>
      <w:r>
        <w:rPr>
          <w:rFonts w:hint="eastAsia" w:ascii="黑体" w:hAnsi="黑体" w:eastAsia="黑体" w:cs="Times New Roman"/>
          <w:bCs w:val="0"/>
        </w:rPr>
        <w:fldChar w:fldCharType="end"/>
      </w:r>
    </w:p>
    <w:p w14:paraId="7EC5AD53">
      <w:pPr>
        <w:pStyle w:val="16"/>
        <w:tabs>
          <w:tab w:val="right" w:leader="dot" w:pos="8306"/>
          <w:tab w:val="clear" w:pos="8296"/>
        </w:tabs>
        <w:rPr>
          <w:rFonts w:hint="eastAsia" w:eastAsia="黑体"/>
          <w:lang w:val="en-US" w:eastAsia="zh-CN"/>
        </w:rPr>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_Toc13267 </w:instrText>
      </w:r>
      <w:r>
        <w:rPr>
          <w:rFonts w:hint="eastAsia" w:ascii="黑体" w:hAnsi="黑体" w:eastAsia="黑体" w:cs="Times New Roman"/>
          <w:bCs w:val="0"/>
        </w:rPr>
        <w:fldChar w:fldCharType="separate"/>
      </w:r>
      <w:r>
        <w:rPr>
          <w:rFonts w:hint="eastAsia" w:ascii="仿宋" w:hAnsi="仿宋" w:eastAsia="仿宋"/>
          <w:bCs w:val="0"/>
        </w:rPr>
        <w:t>十二、</w:t>
      </w:r>
      <w:r>
        <w:rPr>
          <w:rFonts w:hint="eastAsia" w:ascii="仿宋" w:hAnsi="仿宋" w:eastAsia="仿宋"/>
        </w:rPr>
        <w:t>国有资本经营预算财政拨款支出决算表</w:t>
      </w:r>
      <w:r>
        <w:tab/>
      </w:r>
      <w:r>
        <w:rPr>
          <w:rFonts w:hint="eastAsia"/>
          <w:lang w:val="en-US" w:eastAsia="zh-CN"/>
        </w:rPr>
        <w:t>5</w:t>
      </w:r>
      <w:r>
        <w:rPr>
          <w:rFonts w:hint="eastAsia" w:ascii="黑体" w:hAnsi="黑体" w:eastAsia="黑体" w:cs="Times New Roman"/>
          <w:bCs w:val="0"/>
        </w:rPr>
        <w:fldChar w:fldCharType="end"/>
      </w:r>
      <w:r>
        <w:rPr>
          <w:rFonts w:hint="eastAsia" w:ascii="黑体" w:hAnsi="黑体" w:eastAsia="黑体" w:cs="Times New Roman"/>
          <w:bCs w:val="0"/>
          <w:lang w:val="en-US" w:eastAsia="zh-CN"/>
        </w:rPr>
        <w:t>2</w:t>
      </w:r>
    </w:p>
    <w:p w14:paraId="4EC366C7">
      <w:pPr>
        <w:pStyle w:val="16"/>
        <w:tabs>
          <w:tab w:val="right" w:leader="dot" w:pos="8306"/>
          <w:tab w:val="clear" w:pos="8296"/>
        </w:tabs>
        <w:rPr>
          <w:rFonts w:hint="eastAsia" w:eastAsia="黑体"/>
          <w:lang w:val="en-US" w:eastAsia="zh-CN"/>
        </w:rPr>
      </w:pPr>
      <w:r>
        <w:rPr>
          <w:rFonts w:hint="eastAsia" w:ascii="黑体" w:hAnsi="黑体" w:eastAsia="黑体" w:cs="Times New Roman"/>
          <w:bCs w:val="0"/>
        </w:rPr>
        <w:fldChar w:fldCharType="begin"/>
      </w:r>
      <w:r>
        <w:rPr>
          <w:rFonts w:hint="eastAsia" w:ascii="黑体" w:hAnsi="黑体" w:eastAsia="黑体" w:cs="Times New Roman"/>
          <w:bCs w:val="0"/>
        </w:rPr>
        <w:instrText xml:space="preserve"> HYPERLINK \l _Toc21185 </w:instrText>
      </w:r>
      <w:r>
        <w:rPr>
          <w:rFonts w:hint="eastAsia" w:ascii="黑体" w:hAnsi="黑体" w:eastAsia="黑体" w:cs="Times New Roman"/>
          <w:bCs w:val="0"/>
        </w:rPr>
        <w:fldChar w:fldCharType="separate"/>
      </w:r>
      <w:r>
        <w:rPr>
          <w:rFonts w:hint="eastAsia" w:ascii="仿宋" w:hAnsi="仿宋" w:eastAsia="仿宋"/>
          <w:bCs w:val="0"/>
        </w:rPr>
        <w:t>十三、</w:t>
      </w:r>
      <w:r>
        <w:rPr>
          <w:rFonts w:hint="eastAsia" w:ascii="仿宋" w:hAnsi="仿宋" w:eastAsia="仿宋"/>
        </w:rPr>
        <w:t>财政拨款“三公”经费支出决算表</w:t>
      </w:r>
      <w:r>
        <w:tab/>
      </w:r>
      <w:r>
        <w:rPr>
          <w:rFonts w:hint="eastAsia"/>
          <w:lang w:val="en-US" w:eastAsia="zh-CN"/>
        </w:rPr>
        <w:t>5</w:t>
      </w:r>
      <w:r>
        <w:rPr>
          <w:rFonts w:hint="eastAsia" w:ascii="黑体" w:hAnsi="黑体" w:eastAsia="黑体" w:cs="Times New Roman"/>
          <w:bCs w:val="0"/>
        </w:rPr>
        <w:fldChar w:fldCharType="end"/>
      </w:r>
      <w:r>
        <w:rPr>
          <w:rFonts w:hint="eastAsia" w:ascii="黑体" w:hAnsi="黑体" w:eastAsia="黑体" w:cs="Times New Roman"/>
          <w:bCs w:val="0"/>
          <w:lang w:val="en-US" w:eastAsia="zh-CN"/>
        </w:rPr>
        <w:t>2</w:t>
      </w:r>
    </w:p>
    <w:p w14:paraId="7F93F8E9">
      <w:pPr>
        <w:jc w:val="both"/>
        <w:rPr>
          <w:rFonts w:hint="eastAsia" w:ascii="黑体" w:hAnsi="黑体" w:eastAsia="黑体" w:cs="Times New Roman"/>
          <w:bCs w:val="0"/>
          <w:kern w:val="2"/>
          <w:sz w:val="21"/>
          <w:szCs w:val="24"/>
          <w:lang w:val="en-US" w:eastAsia="zh-CN" w:bidi="ar-SA"/>
        </w:rPr>
        <w:sectPr>
          <w:headerReference r:id="rId4" w:type="default"/>
          <w:footerReference r:id="rId5" w:type="default"/>
          <w:pgSz w:w="11906" w:h="16838"/>
          <w:pgMar w:top="1440" w:right="1800" w:bottom="1440" w:left="1800" w:header="851" w:footer="992" w:gutter="0"/>
          <w:pgNumType w:fmt="decimal" w:start="1"/>
          <w:cols w:space="425" w:num="1"/>
          <w:docGrid w:type="lines" w:linePitch="312" w:charSpace="0"/>
        </w:sectPr>
      </w:pPr>
      <w:r>
        <w:rPr>
          <w:rFonts w:hint="eastAsia" w:ascii="黑体" w:hAnsi="黑体" w:eastAsia="黑体" w:cs="Times New Roman"/>
          <w:bCs w:val="0"/>
        </w:rPr>
        <w:fldChar w:fldCharType="end"/>
      </w:r>
      <w:bookmarkStart w:id="76" w:name="_GoBack"/>
      <w:bookmarkEnd w:id="76"/>
    </w:p>
    <w:p w14:paraId="508D24FF">
      <w:pPr>
        <w:pStyle w:val="3"/>
        <w:pageBreakBefore w:val="0"/>
        <w:kinsoku/>
        <w:overflowPunct/>
        <w:topLinePunct w:val="0"/>
        <w:bidi w:val="0"/>
        <w:spacing w:before="0" w:beforeAutospacing="0" w:after="120" w:afterAutospacing="0" w:line="240" w:lineRule="auto"/>
        <w:ind w:right="0"/>
        <w:jc w:val="center"/>
        <w:textAlignment w:val="auto"/>
        <w:rPr>
          <w:rStyle w:val="31"/>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31"/>
          <w:rFonts w:hint="eastAsia" w:ascii="Times New Roman" w:hAnsi="Times New Roman" w:eastAsia="方正小标宋简体" w:cs="方正小标宋简体"/>
          <w:b w:val="0"/>
          <w:bCs w:val="0"/>
          <w:color w:val="auto"/>
          <w:highlight w:val="none"/>
        </w:rPr>
        <w:t>部门概况</w:t>
      </w:r>
      <w:bookmarkEnd w:id="6"/>
      <w:bookmarkEnd w:id="7"/>
    </w:p>
    <w:p w14:paraId="43D9CF85">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Style w:val="32"/>
          <w:rFonts w:hint="eastAsia" w:ascii="Times New Roman" w:hAnsi="Times New Roman" w:eastAsia="黑体"/>
          <w:b w:val="0"/>
          <w:bCs w:val="0"/>
          <w:color w:val="auto"/>
          <w:highlight w:val="none"/>
          <w:lang w:eastAsia="zh-CN"/>
        </w:rPr>
      </w:pPr>
      <w:bookmarkStart w:id="8" w:name="_Toc15377197"/>
      <w:bookmarkStart w:id="9" w:name="_Toc15396600"/>
      <w:r>
        <w:rPr>
          <w:rFonts w:hint="eastAsia" w:ascii="Times New Roman" w:hAnsi="Times New Roman" w:eastAsia="黑体"/>
          <w:b w:val="0"/>
          <w:color w:val="auto"/>
          <w:highlight w:val="none"/>
        </w:rPr>
        <w:t>一、</w:t>
      </w:r>
      <w:r>
        <w:rPr>
          <w:rFonts w:hint="eastAsia" w:ascii="Times New Roman" w:hAnsi="Times New Roman" w:eastAsia="黑体"/>
          <w:b w:val="0"/>
          <w:color w:val="auto"/>
          <w:highlight w:val="none"/>
          <w:lang w:eastAsia="zh-CN"/>
        </w:rPr>
        <w:t>部门职责</w:t>
      </w:r>
    </w:p>
    <w:bookmarkEnd w:id="8"/>
    <w:bookmarkEnd w:id="9"/>
    <w:p w14:paraId="1BDD93EF">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bookmarkStart w:id="10" w:name="_Toc15396601"/>
      <w:bookmarkStart w:id="11" w:name="_Toc15377200"/>
      <w:r>
        <w:rPr>
          <w:rFonts w:hint="eastAsia" w:ascii="方正仿宋_GBK" w:hAnsi="方正仿宋_GBK" w:eastAsia="方正仿宋_GBK" w:cs="方正仿宋_GBK"/>
          <w:b w:val="0"/>
          <w:color w:val="auto"/>
          <w:highlight w:val="none"/>
        </w:rPr>
        <w:t>（一）乡党委工作职责</w:t>
      </w:r>
    </w:p>
    <w:p w14:paraId="67ABC8C3">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（1）宣传和贯彻执行党的路线、方针、政策和党中央、上级党组织及辖区内党委（或党员大会）的决议；</w:t>
      </w:r>
    </w:p>
    <w:p w14:paraId="02994A76">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（2）领导乡政府机关、群众组织和其他各类组织，加强指导和规范，支持和保证这些机关和组织依照国家法律法规及各自章程履行职责；</w:t>
      </w:r>
    </w:p>
    <w:p w14:paraId="3124108C">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3）讨论和决定辖区内经济建设、政治建设、文化建设、社会建设、生态文明建设、党的建设、乡村振兴中和社会发展中的重大问题。需由乡政权机关或集体经济组织决定的重要事项，经乡党委研究讨论后，由乡政权机关或集体经济组织依照法律和有关规定作出决定；</w:t>
      </w:r>
    </w:p>
    <w:p w14:paraId="0B0895E9">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（4）加强党委自身建设和以党支部为核心的村级组织建设，以及其他隶属乡党委的党组织建设，抓好发展党员工作，加强党</w:t>
      </w:r>
    </w:p>
    <w:p w14:paraId="717608F6">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员队伍建设。维护和执行党的纪律，监督党员干部和其他任何工作人员严格遵守国家法律法规；</w:t>
      </w:r>
    </w:p>
    <w:p w14:paraId="2930362A">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（5）按照干部管理权限，负责对本级乡村干部的教育、管理、选拔和监督工作。协助管理上级有关部门驻乡单位的干部。做好人才服务和引进工作；</w:t>
      </w:r>
    </w:p>
    <w:p w14:paraId="64DF7561">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（6）领导本乡的基层治理，加强社会主义民主法治建设和精神文明建设，加强社会治安综合治理，做好生态环保、美丽乡村建设、民主保障、巩固脱贫成果、民族宗教、微网实格、群众工作等工作；</w:t>
      </w:r>
    </w:p>
    <w:p w14:paraId="71D648ED">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（7）完成县委交办的其他工作任务。</w:t>
      </w:r>
    </w:p>
    <w:p w14:paraId="6EF0BEDB">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（二）乡人民代表大会工作职责</w:t>
      </w:r>
    </w:p>
    <w:p w14:paraId="232ABFFD">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（1）坚持党的领导，监督保证宪法、法律、法规及乡人民代表大会和上级人民代表大会及其常务委员会的决议、决定在本行政区域内的遵守和执行；</w:t>
      </w:r>
    </w:p>
    <w:p w14:paraId="49796E1C">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（2）决定召集和主持本届人民代表大会会议，对本届人民代表大会负责并报告工作，决定召集下届人民代表大会第一次会议；</w:t>
      </w:r>
    </w:p>
    <w:p w14:paraId="0A337DD7">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（3）听取、审议本级人民政府工作报告，通过相应决议、决定，检查、督促本级人民政府对乡人民代表大会决议、决定的贯彻执行；</w:t>
      </w:r>
    </w:p>
    <w:p w14:paraId="60E7B9D4">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（4）讨论辖区内的重大事项，向乡人民政府提出建议或者提请乡人民代表大会会议审议决定；撤销本级人民政府不适当的决定；</w:t>
      </w:r>
    </w:p>
    <w:p w14:paraId="59CB0B86">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（5）根据乡人民政府的建议，决定乡人民代表大会通过的建设计划、财政预算的部分变更；</w:t>
      </w:r>
    </w:p>
    <w:p w14:paraId="30A82F68">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（6）督促乡人民政府研究办理乡人民代表大会代表的视察和调查，指导代表小组开展活动，密切联系代表，听取和反映他们的意见和要求；</w:t>
      </w:r>
    </w:p>
    <w:p w14:paraId="0A895FE0">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（7）受理人民群众对本级国家机关和工作人员的申诉和意见；</w:t>
      </w:r>
    </w:p>
    <w:p w14:paraId="2D4D2B0A">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（8）选举本级人民代表大会主席团成员、主席，乡人民政府乡长、副乡长；决定接受乡长、副乡长的辞职，并报下一次人民代表大会会议备案；乡长因故不能担任职务时，从副乡长中决定代理人选；</w:t>
      </w:r>
    </w:p>
    <w:p w14:paraId="14D006DB">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（9）指导选区依法罢免和补选人民代表大会代表；</w:t>
      </w:r>
    </w:p>
    <w:p w14:paraId="1D3D6AB7">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（IO）保护社会主义全民所有财产和劳动群众集体所有财产;保障公民人身、民主、财产等合法权利；保障各种经济组织合法权利；</w:t>
      </w:r>
    </w:p>
    <w:p w14:paraId="604BB706">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（11）完成乡人民代表大会和上级人民代表大会常务委员会交办的其他事项。</w:t>
      </w:r>
    </w:p>
    <w:p w14:paraId="45334B92">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（三）乡人民政府工作职责</w:t>
      </w:r>
    </w:p>
    <w:p w14:paraId="3FD817BB">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1）落实国家政策，严格依法行政，发挥经济管理职能，加强政策引导，制定发展规划，服务市场主体和营造发展环境，搞好市场监管，大力促进社会事业发展，发展乡村经济、文化和社会事业，提供公共服务，维护社会稳定，构建社会主义和谐社会；</w:t>
      </w:r>
    </w:p>
    <w:p w14:paraId="524492EA">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（2）贯彻执行党的路线、方针、政策及国家法律法规，执行本级人民代表大会决议和上级国家行政机关决定、命令，发布决定、命令；</w:t>
      </w:r>
    </w:p>
    <w:p w14:paraId="3520C714">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3）制定辖区内经济建设和社会发展规划、政策，促进本行政区域内经济和社会发展，做好招商引资工作，努力提高本地区经济实力和可持续发展水平，提高人民群众生活水平和质量；负责乡村建设规划、实施、管理和服务工作，推动乡村振兴宜居宜业和美丽乡村建设；</w:t>
      </w:r>
    </w:p>
    <w:p w14:paraId="4BE1B5AE">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4）编制和执行辖区内国民经济和社会发展计划，领导管理全乡经济、教育、科技、文化、卫生、城乡建设，环境保护事业和财政、民政、公安、司法行政、行政监察、审计、计划生育等行政工作，领导和协助辖区内机关和企事业单位；</w:t>
      </w:r>
    </w:p>
    <w:p w14:paraId="01E97846">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（5）保护社会主义的全民所有的财产和劳动群众集体所有的财产，保护公民私人所有的合法财产，维护社会秩序，保障公民的人身权利、民主权利和其他权利；</w:t>
      </w:r>
    </w:p>
    <w:p w14:paraId="5261F965">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（6）负责辖区内综合行政执法工作，维护社会秩序；</w:t>
      </w:r>
    </w:p>
    <w:p w14:paraId="5A174F60">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（7）保障公民人身、民主、财产等合法权利；</w:t>
      </w:r>
    </w:p>
    <w:p w14:paraId="7EA35024">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（8）保护各种经济组织的合法权益；</w:t>
      </w:r>
    </w:p>
    <w:p w14:paraId="3D5513EA">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（9）保障少数民族的权利和尊重少数民族的风俗习惯;</w:t>
      </w:r>
    </w:p>
    <w:p w14:paraId="662C68FA">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（10）统筹管理辖区内寺庙及僧侣工作，规范寺庙管理制度；</w:t>
      </w:r>
    </w:p>
    <w:p w14:paraId="64304CFB">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（11）履行法律规定赋予的其他职责；</w:t>
      </w:r>
    </w:p>
    <w:p w14:paraId="1894AED8">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（12）完成县委、县政府交办的其他事项。</w:t>
      </w:r>
    </w:p>
    <w:p w14:paraId="6CD65802">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（四）乡纪检监察工作职责</w:t>
      </w:r>
    </w:p>
    <w:p w14:paraId="155FCA5D">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（1）负责贯彻落实中央和上级党委、政府关于加强党风廉政的决定；维护党的章程和其他党内法规，检查党的路线、方针、政策和决议执行情况；负责对党风廉政建设责任制执行情况进行监督检查；</w:t>
      </w:r>
    </w:p>
    <w:p w14:paraId="2672C79F">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（2）贯彻落实上级纪委相关工作决定，监督检查本乡各部门及其工作人员执行国家法律法规、政策和乡党委决定、决议情况；负责部署全乡纠正行业不正之风工作并进行监督、检查、指导；</w:t>
      </w:r>
    </w:p>
    <w:p w14:paraId="0308F88F">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（3）负责组织协调全乡党风廉政建设及反腐败工作；协助乡党委抓好农村基层党风廉政建设工作；</w:t>
      </w:r>
    </w:p>
    <w:p w14:paraId="237783E0">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（4）负责调查处理全乡各单位各部门及工作人员违反国家法律法规、政策或违反政纪行为，并根据责任人所犯错误，按有关程序，作出处分决定；</w:t>
      </w:r>
    </w:p>
    <w:p w14:paraId="1C17996D">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（5）受理基层党支部、党员和领导干部违反党纪政纪的信访和举报；调查处理基层党支部和党员、领导干部违反党纪政纪的行为或提出处理建议；</w:t>
      </w:r>
    </w:p>
    <w:p w14:paraId="4D9D3229">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（6）受理党员、党员领导干部及行政干部不服党纪政纪处分的申诉；受理监察对象不服政纪处分申诉，保护党员和国家工作人员正当权利及合法权益；</w:t>
      </w:r>
    </w:p>
    <w:p w14:paraId="386E7482">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（7）会同有关部门做好党风党纪和廉洁从政的教育、宣传、调研等工作，对乡、村党员及干部进行遵纪守法、廉洁从政教育;</w:t>
      </w:r>
    </w:p>
    <w:p w14:paraId="275CA4C9">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（8）做好执法监察工作；</w:t>
      </w:r>
    </w:p>
    <w:p w14:paraId="47B2480A">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（9）完成乡党委、乡政府和上级纪检监察机关交办的有关工作。</w:t>
      </w:r>
    </w:p>
    <w:p w14:paraId="34D4BF05">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（五）乡人民武装部工作职责</w:t>
      </w:r>
    </w:p>
    <w:p w14:paraId="5CEFFA8D">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（1）负责本区域的民兵组织建设、政治教育、军事训练、武器装备管理；</w:t>
      </w:r>
    </w:p>
    <w:p w14:paraId="33C70F1E">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（2）组织带领民兵完成战备执勤任务，配合公安部门维护社会治安。协助做好地方群防群治巡逻，协助地方维护社会政治稳定；</w:t>
      </w:r>
    </w:p>
    <w:p w14:paraId="71E53BD8">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（3）发动和组织民兵参加三个文明建设，开展以劳养武活动，完成急难险重任务；</w:t>
      </w:r>
    </w:p>
    <w:p w14:paraId="31C1087A">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（4）战时组织带领民兵参军参战，支援前线；</w:t>
      </w:r>
    </w:p>
    <w:p w14:paraId="0F648A0F">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（5）负责本区域的征兵工作和预备役士兵，预备役军官登记统计工作；</w:t>
      </w:r>
    </w:p>
    <w:p w14:paraId="680E386B">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（6）会同有关部门进行战争潜力调查，做好相关的动员准备工作；</w:t>
      </w:r>
    </w:p>
    <w:p w14:paraId="5BE8A9EF">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（7）协同预备役部（分）队落实参训人员，做好兵役管理、动员集结等工作；</w:t>
      </w:r>
    </w:p>
    <w:p w14:paraId="51018A7E">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（8）协助有关部门开展国防教育，做好退伍军人的安置和优烈军属的优抚工作;</w:t>
      </w:r>
    </w:p>
    <w:p w14:paraId="6F38EE92">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(9)协助军队做好本区域的军事设施保护工作；</w:t>
      </w:r>
    </w:p>
    <w:p w14:paraId="01E38097">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(10)为退役退伍干部提供管理及服务；</w:t>
      </w:r>
    </w:p>
    <w:p w14:paraId="6BD01463">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b w:val="0"/>
          <w:color w:val="auto"/>
          <w:highlight w:val="none"/>
        </w:rPr>
      </w:pPr>
      <w:r>
        <w:rPr>
          <w:rFonts w:hint="eastAsia" w:ascii="方正仿宋_GBK" w:hAnsi="方正仿宋_GBK" w:eastAsia="方正仿宋_GBK" w:cs="方正仿宋_GBK"/>
          <w:b w:val="0"/>
          <w:color w:val="auto"/>
          <w:highlight w:val="none"/>
        </w:rPr>
        <w:t>(II)完成乡党委、乡政府和上级军事机关交办的其他工作任务。</w:t>
      </w:r>
    </w:p>
    <w:p w14:paraId="2BC231E2">
      <w:pPr>
        <w:pStyle w:val="4"/>
        <w:pageBreakBefore w:val="0"/>
        <w:kinsoku/>
        <w:overflowPunct/>
        <w:topLinePunct w:val="0"/>
        <w:bidi w:val="0"/>
        <w:spacing w:before="0" w:beforeAutospacing="0" w:after="120" w:afterAutospacing="0" w:line="240" w:lineRule="auto"/>
        <w:ind w:left="0" w:leftChars="0" w:right="0" w:firstLine="640" w:firstLineChars="200"/>
        <w:textAlignment w:val="auto"/>
        <w:rPr>
          <w:rStyle w:val="32"/>
          <w:rFonts w:ascii="Times New Roman" w:hAnsi="Times New Roman"/>
          <w:b w:val="0"/>
          <w:bCs w:val="0"/>
          <w:color w:val="auto"/>
          <w:highlight w:val="none"/>
        </w:rPr>
      </w:pPr>
      <w:r>
        <w:rPr>
          <w:rFonts w:hint="eastAsia" w:ascii="Times New Roman" w:hAnsi="Times New Roman" w:eastAsia="黑体"/>
          <w:b w:val="0"/>
          <w:color w:val="auto"/>
          <w:highlight w:val="none"/>
        </w:rPr>
        <w:t>二、机</w:t>
      </w:r>
      <w:r>
        <w:rPr>
          <w:rStyle w:val="32"/>
          <w:rFonts w:hint="eastAsia" w:ascii="Times New Roman" w:hAnsi="Times New Roman" w:eastAsia="黑体"/>
          <w:b w:val="0"/>
          <w:bCs w:val="0"/>
          <w:color w:val="auto"/>
          <w:highlight w:val="none"/>
        </w:rPr>
        <w:t>构设置</w:t>
      </w:r>
      <w:bookmarkEnd w:id="10"/>
      <w:bookmarkEnd w:id="11"/>
    </w:p>
    <w:p w14:paraId="71A9203A">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红原县阿木乡人民政府下属二级预算单位</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个，其中行政单位</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个，参照公务员法管理的事业单位</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个，其他事业单位0个。本单位为独立核算的一级预算单位。</w:t>
      </w:r>
    </w:p>
    <w:p w14:paraId="4B240A7C">
      <w:pPr>
        <w:pStyle w:val="2"/>
        <w:pageBreakBefore w:val="0"/>
        <w:kinsoku/>
        <w:overflowPunct/>
        <w:topLinePunct w:val="0"/>
        <w:bidi w:val="0"/>
        <w:adjustRightInd w:val="0"/>
        <w:snapToGrid w:val="0"/>
        <w:spacing w:beforeLines="0"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纳入</w:t>
      </w:r>
      <w:r>
        <w:rPr>
          <w:rFonts w:hint="eastAsia" w:ascii="仿宋_GB2312" w:hAnsi="仿宋_GB2312" w:eastAsia="仿宋_GB2312" w:cs="仿宋_GB2312"/>
          <w:color w:val="auto"/>
          <w:sz w:val="32"/>
          <w:szCs w:val="32"/>
          <w:highlight w:val="none"/>
        </w:rPr>
        <w:t>红原县阿木乡人民政府</w:t>
      </w:r>
      <w:r>
        <w:rPr>
          <w:rFonts w:hint="eastAsia" w:ascii="Times New Roman"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rPr>
        <w:t>部门决算编制范围的二级预算单位包括：</w:t>
      </w:r>
    </w:p>
    <w:p w14:paraId="473C1FCC">
      <w:pPr>
        <w:pStyle w:val="2"/>
        <w:pageBreakBefore w:val="0"/>
        <w:numPr>
          <w:ilvl w:val="0"/>
          <w:numId w:val="1"/>
        </w:numPr>
        <w:kinsoku/>
        <w:overflowPunct/>
        <w:topLinePunct w:val="0"/>
        <w:bidi w:val="0"/>
        <w:adjustRightInd w:val="0"/>
        <w:snapToGrid w:val="0"/>
        <w:spacing w:beforeLines="0" w:beforeAutospacing="0" w:after="120" w:afterAutospacing="0" w:line="240" w:lineRule="auto"/>
        <w:ind w:left="0" w:leftChars="0" w:right="0" w:firstLine="640" w:firstLineChars="200"/>
        <w:textAlignment w:val="auto"/>
        <w:outlineLvl w:val="2"/>
        <w:rPr>
          <w:rFonts w:hint="eastAsia" w:ascii="Times New Roman" w:hAnsi="Times New Roman" w:eastAsia="仿宋_GB2312" w:cs="仿宋_GB2312"/>
          <w:color w:val="auto"/>
          <w:sz w:val="32"/>
          <w:szCs w:val="32"/>
          <w:highlight w:val="none"/>
        </w:rPr>
      </w:pPr>
      <w:bookmarkStart w:id="12" w:name="_Toc15378448"/>
      <w:bookmarkEnd w:id="12"/>
      <w:bookmarkStart w:id="13" w:name="_Toc15306275"/>
      <w:bookmarkEnd w:id="13"/>
      <w:bookmarkStart w:id="14" w:name="_Toc15377432"/>
      <w:bookmarkEnd w:id="14"/>
      <w:bookmarkStart w:id="15" w:name="_Toc15377201"/>
      <w:bookmarkEnd w:id="15"/>
      <w:r>
        <w:rPr>
          <w:rFonts w:hint="eastAsia" w:ascii="Times New Roman" w:cs="仿宋_GB2312"/>
          <w:color w:val="auto"/>
          <w:sz w:val="32"/>
          <w:szCs w:val="32"/>
          <w:highlight w:val="none"/>
          <w:lang w:val="en-US" w:eastAsia="zh-CN"/>
        </w:rPr>
        <w:t>红原县阿木乡机关</w:t>
      </w:r>
    </w:p>
    <w:p w14:paraId="176759D3">
      <w:pPr>
        <w:pStyle w:val="2"/>
        <w:pageBreakBefore w:val="0"/>
        <w:numPr>
          <w:ilvl w:val="0"/>
          <w:numId w:val="1"/>
        </w:numPr>
        <w:kinsoku/>
        <w:overflowPunct/>
        <w:topLinePunct w:val="0"/>
        <w:bidi w:val="0"/>
        <w:adjustRightInd w:val="0"/>
        <w:snapToGrid w:val="0"/>
        <w:spacing w:beforeLines="0" w:beforeAutospacing="0" w:after="120" w:afterAutospacing="0" w:line="240" w:lineRule="auto"/>
        <w:ind w:left="0" w:leftChars="0" w:right="0" w:firstLine="640" w:firstLineChars="200"/>
        <w:textAlignment w:val="auto"/>
        <w:outlineLvl w:val="2"/>
        <w:rPr>
          <w:rFonts w:hint="eastAsia" w:ascii="Times New Roman" w:hAnsi="Times New Roman" w:eastAsia="仿宋_GB2312" w:cs="仿宋_GB2312"/>
          <w:color w:val="auto"/>
          <w:sz w:val="32"/>
          <w:szCs w:val="32"/>
          <w:highlight w:val="none"/>
        </w:rPr>
      </w:pPr>
      <w:bookmarkStart w:id="16" w:name="_Toc15377202"/>
      <w:bookmarkEnd w:id="16"/>
      <w:bookmarkStart w:id="17" w:name="_Toc15306276"/>
      <w:bookmarkEnd w:id="17"/>
      <w:bookmarkStart w:id="18" w:name="_Toc15377433"/>
      <w:bookmarkEnd w:id="18"/>
      <w:bookmarkStart w:id="19" w:name="_Toc15378449"/>
      <w:bookmarkEnd w:id="19"/>
      <w:r>
        <w:rPr>
          <w:rFonts w:hint="eastAsia" w:ascii="Times New Roman" w:hAnsi="Times New Roman" w:eastAsia="仿宋_GB2312" w:cs="仿宋_GB2312"/>
          <w:color w:val="auto"/>
          <w:sz w:val="32"/>
          <w:szCs w:val="32"/>
          <w:highlight w:val="none"/>
        </w:rPr>
        <w:t>红原县阿木乡便民服务中心</w:t>
      </w:r>
    </w:p>
    <w:p w14:paraId="4EF13EEC">
      <w:pPr>
        <w:pStyle w:val="2"/>
        <w:pageBreakBefore w:val="0"/>
        <w:kinsoku/>
        <w:overflowPunct/>
        <w:topLinePunct w:val="0"/>
        <w:bidi w:val="0"/>
        <w:adjustRightInd w:val="0"/>
        <w:snapToGrid w:val="0"/>
        <w:spacing w:beforeLines="0"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sz w:val="32"/>
          <w:szCs w:val="32"/>
          <w:highlight w:val="none"/>
        </w:rPr>
      </w:pPr>
      <w:bookmarkStart w:id="20" w:name="_Toc15306277"/>
      <w:bookmarkEnd w:id="20"/>
      <w:bookmarkStart w:id="21" w:name="_Toc15377434"/>
      <w:bookmarkEnd w:id="21"/>
      <w:bookmarkStart w:id="22" w:name="_Toc15378450"/>
      <w:bookmarkEnd w:id="22"/>
      <w:bookmarkStart w:id="23" w:name="_Toc15377203"/>
      <w:bookmarkEnd w:id="23"/>
    </w:p>
    <w:p w14:paraId="378B8F16">
      <w:pPr>
        <w:pageBreakBefore w:val="0"/>
        <w:widowControl/>
        <w:kinsoku/>
        <w:overflowPunct/>
        <w:topLinePunct w:val="0"/>
        <w:bidi w:val="0"/>
        <w:spacing w:beforeAutospacing="0" w:after="120" w:afterAutospacing="0" w:line="240" w:lineRule="auto"/>
        <w:ind w:left="0" w:leftChars="0" w:right="0" w:firstLine="640" w:firstLineChars="200"/>
        <w:jc w:val="left"/>
        <w:textAlignment w:val="auto"/>
        <w:rPr>
          <w:rFonts w:ascii="Times New Roman" w:hAnsi="Times New Roman" w:eastAsia="仿宋"/>
          <w:color w:val="auto"/>
          <w:kern w:val="0"/>
          <w:sz w:val="32"/>
          <w:szCs w:val="32"/>
          <w:highlight w:val="none"/>
        </w:rPr>
      </w:pPr>
      <w:r>
        <w:rPr>
          <w:rFonts w:ascii="Times New Roman" w:hAnsi="Times New Roman" w:eastAsia="仿宋"/>
          <w:color w:val="auto"/>
          <w:sz w:val="32"/>
          <w:szCs w:val="32"/>
          <w:highlight w:val="none"/>
        </w:rPr>
        <w:br w:type="page"/>
      </w:r>
    </w:p>
    <w:p w14:paraId="3590D3F0">
      <w:pPr>
        <w:pStyle w:val="3"/>
        <w:pageBreakBefore w:val="0"/>
        <w:kinsoku/>
        <w:overflowPunct/>
        <w:topLinePunct w:val="0"/>
        <w:bidi w:val="0"/>
        <w:spacing w:before="0" w:beforeAutospacing="0" w:after="120" w:afterAutospacing="0" w:line="240" w:lineRule="auto"/>
        <w:ind w:left="0" w:leftChars="0" w:right="0" w:firstLine="880" w:firstLineChars="200"/>
        <w:jc w:val="center"/>
        <w:textAlignment w:val="auto"/>
        <w:rPr>
          <w:rFonts w:hint="eastAsia" w:ascii="Times New Roman" w:hAnsi="Times New Roman" w:eastAsia="方正小标宋简体" w:cs="方正小标宋简体"/>
          <w:b w:val="0"/>
          <w:color w:val="auto"/>
          <w:highlight w:val="none"/>
        </w:rPr>
      </w:pPr>
      <w:bookmarkStart w:id="24" w:name="_Toc15377204"/>
      <w:bookmarkStart w:id="25" w:name="_Toc15396602"/>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24"/>
      <w:bookmarkEnd w:id="25"/>
    </w:p>
    <w:p w14:paraId="2085954D">
      <w:pPr>
        <w:pageBreakBefore w:val="0"/>
        <w:kinsoku/>
        <w:overflowPunct/>
        <w:topLinePunct w:val="0"/>
        <w:bidi w:val="0"/>
        <w:spacing w:beforeAutospacing="0" w:after="120" w:afterAutospacing="0" w:line="240" w:lineRule="auto"/>
        <w:ind w:left="0" w:leftChars="0" w:right="0" w:firstLine="420" w:firstLineChars="200"/>
        <w:textAlignment w:val="auto"/>
        <w:rPr>
          <w:rFonts w:ascii="Times New Roman" w:hAnsi="Times New Roman"/>
          <w:color w:val="auto"/>
          <w:highlight w:val="none"/>
        </w:rPr>
      </w:pPr>
    </w:p>
    <w:p w14:paraId="6ED7BEAB">
      <w:pPr>
        <w:pStyle w:val="30"/>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outlineLvl w:val="1"/>
        <w:rPr>
          <w:rStyle w:val="32"/>
          <w:rFonts w:hint="eastAsia" w:ascii="Times New Roman" w:hAnsi="Times New Roman" w:eastAsia="黑体"/>
          <w:b w:val="0"/>
          <w:color w:val="auto"/>
          <w:highlight w:val="none"/>
        </w:rPr>
      </w:pPr>
      <w:bookmarkStart w:id="26" w:name="_Toc15377205"/>
      <w:bookmarkStart w:id="27"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2"/>
          <w:rFonts w:hint="eastAsia" w:ascii="Times New Roman" w:hAnsi="Times New Roman" w:eastAsia="黑体"/>
          <w:b w:val="0"/>
          <w:color w:val="auto"/>
          <w:highlight w:val="none"/>
        </w:rPr>
        <w:t>入支出决算总体情况说明</w:t>
      </w:r>
      <w:bookmarkEnd w:id="26"/>
      <w:bookmarkEnd w:id="27"/>
    </w:p>
    <w:p w14:paraId="03616A19">
      <w:pPr>
        <w:pStyle w:val="30"/>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val="en-US" w:eastAsia="zh-CN"/>
        </w:rPr>
        <w:t>2</w:t>
      </w:r>
      <w:r>
        <w:rPr>
          <w:rFonts w:hint="eastAsia" w:ascii="Times New Roman" w:hAnsi="Times New Roman" w:eastAsia="仿宋_GB2312" w:cs="仿宋_GB2312"/>
          <w:color w:val="auto"/>
          <w:sz w:val="32"/>
          <w:szCs w:val="32"/>
          <w:highlight w:val="none"/>
          <w:lang w:eastAsia="zh-CN"/>
        </w:rPr>
        <w:t>025 年度收入 1693.07 万元，支出 1693.07 万元。资金与 2024 年相比，收入增加了211.42万元，上升了14.27%，支出增加了211.42万元，上升了14.27%。主要变动原因：农林水方面巩固拓展脱贫攻坚成果同乡村振兴有效衔接项目资金增加，导致本年度收支规模较上年有所增长。</w:t>
      </w:r>
    </w:p>
    <w:p w14:paraId="5499C24F">
      <w:pPr>
        <w:pStyle w:val="30"/>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14:paraId="3298383E">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sz w:val="32"/>
          <w:szCs w:val="32"/>
          <w:highlight w:val="none"/>
        </w:rPr>
      </w:pPr>
      <w:r>
        <w:rPr>
          <w:rFonts w:hint="eastAsia" w:ascii="仿宋_GB2312" w:eastAsia="仿宋_GB2312"/>
          <w:sz w:val="32"/>
          <w:szCs w:val="32"/>
          <w:lang w:eastAsia="zh-CN"/>
        </w:rPr>
        <w:drawing>
          <wp:inline distT="0" distB="0" distL="114300" distR="114300">
            <wp:extent cx="4213860" cy="2065020"/>
            <wp:effectExtent l="4445" t="4445" r="10795" b="698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7B994AA">
      <w:pPr>
        <w:pStyle w:val="30"/>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outlineLvl w:val="1"/>
        <w:rPr>
          <w:rFonts w:hint="eastAsia" w:ascii="Times New Roman" w:hAnsi="Times New Roman" w:eastAsia="黑体"/>
          <w:color w:val="auto"/>
          <w:sz w:val="32"/>
          <w:szCs w:val="32"/>
          <w:highlight w:val="none"/>
          <w:lang w:eastAsia="zh-CN"/>
        </w:rPr>
      </w:pPr>
      <w:bookmarkStart w:id="28" w:name="_Toc15396604"/>
      <w:bookmarkStart w:id="29" w:name="_Toc15377206"/>
      <w:r>
        <w:rPr>
          <w:rFonts w:hint="eastAsia" w:ascii="Times New Roman" w:hAnsi="Times New Roman" w:eastAsia="黑体"/>
          <w:color w:val="auto"/>
          <w:sz w:val="32"/>
          <w:szCs w:val="32"/>
          <w:highlight w:val="none"/>
          <w:lang w:eastAsia="zh-CN"/>
        </w:rPr>
        <w:t>二、收入决算情况说明</w:t>
      </w:r>
      <w:bookmarkEnd w:id="28"/>
      <w:bookmarkEnd w:id="29"/>
    </w:p>
    <w:p w14:paraId="172F3B7A">
      <w:pPr>
        <w:pStyle w:val="30"/>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1693.07</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1693.07</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（注：仅罗列本部门涉及的收入）</w:t>
      </w:r>
    </w:p>
    <w:p w14:paraId="224034E1">
      <w:pPr>
        <w:pStyle w:val="30"/>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14:paraId="2ED64070">
      <w:pPr>
        <w:pageBreakBefore w:val="0"/>
        <w:kinsoku/>
        <w:overflowPunct/>
        <w:topLinePunct w:val="0"/>
        <w:bidi w:val="0"/>
        <w:spacing w:beforeAutospacing="0" w:after="120" w:afterAutospacing="0" w:line="240" w:lineRule="auto"/>
        <w:ind w:left="0" w:leftChars="0" w:right="0" w:firstLine="420" w:firstLineChars="200"/>
        <w:textAlignment w:val="auto"/>
        <w:rPr>
          <w:rFonts w:hint="eastAsia" w:ascii="Times New Roman" w:hAnsi="Times New Roman" w:eastAsia="仿宋_GB2312" w:cs="仿宋_GB2312"/>
          <w:color w:val="auto"/>
          <w:sz w:val="32"/>
          <w:szCs w:val="32"/>
          <w:highlight w:val="none"/>
          <w:lang w:eastAsia="zh-CN"/>
        </w:rPr>
      </w:pPr>
      <w:r>
        <w:rPr>
          <w:rFonts w:hint="eastAsia" w:eastAsia="仿宋_GB2312"/>
          <w:lang w:eastAsia="zh-CN"/>
        </w:rPr>
        <w:drawing>
          <wp:inline distT="0" distB="0" distL="114300" distR="114300">
            <wp:extent cx="4319270" cy="2099310"/>
            <wp:effectExtent l="4445" t="5080" r="19685" b="10160"/>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E07AF1A">
      <w:pPr>
        <w:pStyle w:val="30"/>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outlineLvl w:val="1"/>
        <w:rPr>
          <w:rStyle w:val="32"/>
          <w:rFonts w:hint="eastAsia" w:ascii="Times New Roman" w:hAnsi="Times New Roman" w:eastAsia="黑体"/>
          <w:b w:val="0"/>
          <w:color w:val="auto"/>
          <w:highlight w:val="none"/>
        </w:rPr>
      </w:pPr>
      <w:bookmarkStart w:id="30" w:name="_Toc15396605"/>
      <w:bookmarkStart w:id="31"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2"/>
          <w:rFonts w:hint="eastAsia" w:ascii="Times New Roman" w:hAnsi="Times New Roman" w:eastAsia="黑体"/>
          <w:b w:val="0"/>
          <w:color w:val="auto"/>
          <w:highlight w:val="none"/>
        </w:rPr>
        <w:t>出决算情况说明</w:t>
      </w:r>
      <w:bookmarkEnd w:id="30"/>
      <w:bookmarkEnd w:id="31"/>
    </w:p>
    <w:p w14:paraId="05E3C540">
      <w:pPr>
        <w:pStyle w:val="30"/>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1693.07</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962.77</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56.86</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730.3</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43.13</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（注：仅罗列本部门涉及的支出）</w:t>
      </w:r>
    </w:p>
    <w:p w14:paraId="5EE0E89F">
      <w:pPr>
        <w:pStyle w:val="30"/>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14:paraId="54B2A028">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sz w:val="32"/>
          <w:szCs w:val="32"/>
          <w:highlight w:val="none"/>
          <w:lang w:eastAsia="zh-CN"/>
        </w:rPr>
      </w:pPr>
      <w:r>
        <w:rPr>
          <w:rFonts w:hint="eastAsia" w:ascii="仿宋_GB2312" w:eastAsia="仿宋_GB2312"/>
          <w:sz w:val="32"/>
          <w:szCs w:val="32"/>
          <w:lang w:eastAsia="zh-CN"/>
        </w:rPr>
        <w:drawing>
          <wp:inline distT="0" distB="0" distL="114300" distR="114300">
            <wp:extent cx="4185285" cy="2640330"/>
            <wp:effectExtent l="4445" t="4445" r="20320" b="2222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B3A6271">
      <w:pPr>
        <w:pageBreakBefore w:val="0"/>
        <w:kinsoku/>
        <w:overflowPunct/>
        <w:topLinePunct w:val="0"/>
        <w:bidi w:val="0"/>
        <w:spacing w:beforeAutospacing="0" w:after="120" w:afterAutospacing="0" w:line="240" w:lineRule="auto"/>
        <w:ind w:left="0" w:leftChars="0" w:right="0" w:firstLine="640" w:firstLineChars="200"/>
        <w:textAlignment w:val="auto"/>
        <w:outlineLvl w:val="1"/>
        <w:rPr>
          <w:rStyle w:val="32"/>
          <w:rFonts w:ascii="Times New Roman" w:hAnsi="Times New Roman" w:eastAsia="黑体"/>
          <w:b w:val="0"/>
          <w:color w:val="auto"/>
          <w:highlight w:val="none"/>
        </w:rPr>
      </w:pPr>
      <w:bookmarkStart w:id="32" w:name="_Toc15377208"/>
      <w:bookmarkStart w:id="33" w:name="_Toc15396606"/>
      <w:r>
        <w:rPr>
          <w:rFonts w:hint="eastAsia" w:ascii="Times New Roman" w:hAnsi="Times New Roman" w:eastAsia="黑体"/>
          <w:color w:val="auto"/>
          <w:sz w:val="32"/>
          <w:szCs w:val="32"/>
          <w:highlight w:val="none"/>
        </w:rPr>
        <w:t>四、财</w:t>
      </w:r>
      <w:r>
        <w:rPr>
          <w:rStyle w:val="32"/>
          <w:rFonts w:hint="eastAsia" w:ascii="Times New Roman" w:hAnsi="Times New Roman" w:eastAsia="黑体"/>
          <w:b w:val="0"/>
          <w:color w:val="auto"/>
          <w:highlight w:val="none"/>
        </w:rPr>
        <w:t>政拨款收入支出决算总体情况说明</w:t>
      </w:r>
      <w:bookmarkEnd w:id="32"/>
      <w:bookmarkEnd w:id="33"/>
    </w:p>
    <w:p w14:paraId="0AEE604A">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sz w:val="32"/>
          <w:szCs w:val="32"/>
          <w:highlight w:val="none"/>
          <w:lang w:val="en-US" w:eastAsia="zh-CN"/>
        </w:rPr>
        <w:t>2</w:t>
      </w:r>
      <w:r>
        <w:rPr>
          <w:rFonts w:hint="eastAsia" w:ascii="Times New Roman" w:hAnsi="Times New Roman" w:eastAsia="仿宋_GB2312" w:cs="仿宋_GB2312"/>
          <w:color w:val="auto"/>
          <w:sz w:val="32"/>
          <w:szCs w:val="32"/>
          <w:highlight w:val="none"/>
          <w:lang w:eastAsia="zh-CN"/>
        </w:rPr>
        <w:t>025年度财政拨款收入 1693.07 万元，财政拨款支出 1693.07 万元。资金与 2024 年相比，收入增加了211.42万元，上升了14.27%，支出增加了211.42万元，上升了14.27%。</w:t>
      </w:r>
      <w:r>
        <w:rPr>
          <w:rFonts w:hint="eastAsia" w:eastAsia="仿宋_GB2312" w:cs="仿宋_GB2312"/>
          <w:color w:val="auto"/>
          <w:kern w:val="2"/>
          <w:sz w:val="32"/>
          <w:szCs w:val="32"/>
          <w:highlight w:val="none"/>
          <w:lang w:val="en-US" w:eastAsia="zh-CN" w:bidi="ar-SA"/>
        </w:rPr>
        <w:t>主要变动原因是：本年度项目资金安排较上年增加，主要为农村基础设施建设等农林水项目支出增长。</w:t>
      </w:r>
    </w:p>
    <w:p w14:paraId="4BE67082">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14:paraId="5AD6B2F7">
      <w:pPr>
        <w:pageBreakBefore w:val="0"/>
        <w:kinsoku/>
        <w:overflowPunct/>
        <w:topLinePunct w:val="0"/>
        <w:bidi w:val="0"/>
        <w:spacing w:beforeAutospacing="0" w:after="120" w:afterAutospacing="0" w:line="240" w:lineRule="auto"/>
        <w:ind w:left="0" w:leftChars="0" w:right="0" w:firstLine="640" w:firstLineChars="200"/>
        <w:jc w:val="center"/>
        <w:textAlignment w:val="auto"/>
        <w:rPr>
          <w:rFonts w:hint="eastAsia"/>
          <w:lang w:val="en-US" w:eastAsia="zh-CN"/>
        </w:rPr>
      </w:pPr>
      <w:r>
        <w:rPr>
          <w:rFonts w:hint="eastAsia" w:ascii="仿宋_GB2312" w:eastAsia="仿宋_GB2312"/>
          <w:sz w:val="32"/>
          <w:szCs w:val="32"/>
          <w:lang w:eastAsia="zh-CN"/>
        </w:rPr>
        <w:drawing>
          <wp:inline distT="0" distB="0" distL="114300" distR="114300">
            <wp:extent cx="4956810" cy="2254885"/>
            <wp:effectExtent l="4445" t="4445" r="10795" b="762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0DFA02E">
      <w:pPr>
        <w:pageBreakBefore w:val="0"/>
        <w:kinsoku/>
        <w:overflowPunct/>
        <w:topLinePunct w:val="0"/>
        <w:bidi w:val="0"/>
        <w:spacing w:beforeAutospacing="0" w:after="120" w:afterAutospacing="0" w:line="240" w:lineRule="auto"/>
        <w:ind w:left="0" w:leftChars="0" w:right="0" w:firstLine="640" w:firstLineChars="200"/>
        <w:textAlignment w:val="auto"/>
        <w:outlineLvl w:val="1"/>
        <w:rPr>
          <w:rStyle w:val="32"/>
          <w:rFonts w:ascii="Times New Roman" w:hAnsi="Times New Roman" w:eastAsia="黑体"/>
          <w:b w:val="0"/>
          <w:color w:val="auto"/>
          <w:highlight w:val="none"/>
        </w:rPr>
      </w:pPr>
      <w:bookmarkStart w:id="34" w:name="_Toc15396607"/>
      <w:bookmarkStart w:id="35" w:name="_Toc15377209"/>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2"/>
          <w:rFonts w:hint="eastAsia" w:ascii="Times New Roman" w:hAnsi="Times New Roman" w:eastAsia="黑体"/>
          <w:b w:val="0"/>
          <w:color w:val="auto"/>
          <w:highlight w:val="none"/>
        </w:rPr>
        <w:t>般公共预算财政拨款支出决算情况说明</w:t>
      </w:r>
      <w:bookmarkEnd w:id="34"/>
      <w:bookmarkEnd w:id="35"/>
    </w:p>
    <w:p w14:paraId="4C5CE81D">
      <w:pPr>
        <w:pageBreakBefore w:val="0"/>
        <w:kinsoku/>
        <w:overflowPunct/>
        <w:topLinePunct w:val="0"/>
        <w:bidi w:val="0"/>
        <w:spacing w:beforeAutospacing="0" w:after="120" w:afterAutospacing="0" w:line="240" w:lineRule="auto"/>
        <w:ind w:left="0" w:leftChars="0" w:right="0" w:firstLine="643" w:firstLineChars="200"/>
        <w:textAlignment w:val="auto"/>
        <w:outlineLvl w:val="2"/>
        <w:rPr>
          <w:rFonts w:hint="eastAsia" w:ascii="Times New Roman" w:hAnsi="Times New Roman" w:eastAsia="楷体_GB2312" w:cs="楷体_GB2312"/>
          <w:b/>
          <w:color w:val="auto"/>
          <w:sz w:val="32"/>
          <w:szCs w:val="32"/>
          <w:highlight w:val="none"/>
        </w:rPr>
      </w:pPr>
      <w:bookmarkStart w:id="36"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36"/>
    </w:p>
    <w:p w14:paraId="35FFA291">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一般公共预算财政拨款支出1693.07万元，占本年支出合计的100%。与上年度相比，一般公共预算财政拨款支出增加211.42万元，增长14.27%。主要变动原因是：本年度农村基础设施建设等项目资金增加，基本支出中人员经费及公用经费也随标准调整有所增长。</w:t>
      </w:r>
    </w:p>
    <w:p w14:paraId="44609EBD">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14:paraId="7021C2CD">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p>
    <w:p w14:paraId="46196B49">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p>
    <w:p w14:paraId="16DD4AE6">
      <w:pPr>
        <w:pStyle w:val="14"/>
        <w:pageBreakBefore w:val="0"/>
        <w:kinsoku/>
        <w:overflowPunct/>
        <w:topLinePunct w:val="0"/>
        <w:bidi w:val="0"/>
        <w:spacing w:beforeAutospacing="0" w:after="120" w:afterAutospacing="0" w:line="240" w:lineRule="auto"/>
        <w:ind w:left="0" w:leftChars="0" w:right="0" w:firstLine="640" w:firstLineChars="200"/>
        <w:jc w:val="center"/>
        <w:textAlignment w:val="auto"/>
        <w:rPr>
          <w:rFonts w:hint="eastAsia"/>
          <w:lang w:val="en-US" w:eastAsia="zh-CN"/>
        </w:rPr>
      </w:pPr>
      <w:r>
        <w:rPr>
          <w:rFonts w:hint="eastAsia" w:ascii="仿宋_GB2312" w:eastAsia="仿宋_GB2312"/>
          <w:sz w:val="32"/>
          <w:szCs w:val="32"/>
          <w:lang w:eastAsia="zh-CN"/>
        </w:rPr>
        <w:drawing>
          <wp:inline distT="0" distB="0" distL="114300" distR="114300">
            <wp:extent cx="4498975" cy="2069465"/>
            <wp:effectExtent l="4445" t="4445" r="11430" b="21590"/>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F33D384">
      <w:pPr>
        <w:pageBreakBefore w:val="0"/>
        <w:kinsoku/>
        <w:overflowPunct/>
        <w:topLinePunct w:val="0"/>
        <w:bidi w:val="0"/>
        <w:spacing w:beforeAutospacing="0" w:after="120" w:afterAutospacing="0" w:line="240" w:lineRule="auto"/>
        <w:ind w:left="0" w:leftChars="0" w:right="0" w:firstLine="643" w:firstLineChars="200"/>
        <w:textAlignment w:val="auto"/>
        <w:outlineLvl w:val="2"/>
        <w:rPr>
          <w:rFonts w:hint="eastAsia" w:ascii="Times New Roman" w:hAnsi="Times New Roman" w:eastAsia="楷体_GB2312" w:cs="楷体_GB2312"/>
          <w:b/>
          <w:color w:val="auto"/>
          <w:sz w:val="32"/>
          <w:szCs w:val="32"/>
          <w:highlight w:val="none"/>
        </w:rPr>
      </w:pPr>
      <w:bookmarkStart w:id="37"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37"/>
    </w:p>
    <w:p w14:paraId="234912F7">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一般公共预算财政拨款支出1693.07万元，主要用于以下方面：一般公共服务支出774.83万元，占45.76%；国防支出3.00万元，占0.18%；文化旅游体育与传媒支出5.16万元，占0.30%；社会保障和就业支出107.15万元，占6.33%；卫生健康支出39.22万元，占2.32%；城乡社区支出6.00万元，占0.35%；农林水支出694.17万元，占41.00%；住房保障支出63.03万元，占3.72%；灾害防治及应急管理支出0.50万元，占0.03%。</w:t>
      </w:r>
    </w:p>
    <w:p w14:paraId="03207DED">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14:paraId="6AF13321">
      <w:pPr>
        <w:pageBreakBefore w:val="0"/>
        <w:kinsoku/>
        <w:overflowPunct/>
        <w:topLinePunct w:val="0"/>
        <w:bidi w:val="0"/>
        <w:spacing w:beforeAutospacing="0" w:after="120" w:afterAutospacing="0" w:line="240" w:lineRule="auto"/>
        <w:ind w:left="0" w:leftChars="0" w:right="0" w:firstLine="420" w:firstLineChars="200"/>
        <w:textAlignment w:val="auto"/>
        <w:rPr>
          <w:rFonts w:hint="eastAsia"/>
          <w:lang w:val="en-US" w:eastAsia="zh-CN"/>
        </w:rPr>
      </w:pPr>
    </w:p>
    <w:p w14:paraId="533CBFCC">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lang w:val="en-US" w:eastAsia="zh-CN"/>
        </w:rPr>
      </w:pPr>
      <w:r>
        <w:rPr>
          <w:rFonts w:hint="eastAsia" w:ascii="仿宋" w:eastAsia="仿宋"/>
          <w:sz w:val="32"/>
          <w:szCs w:val="32"/>
          <w:lang w:eastAsia="zh-CN"/>
        </w:rPr>
        <w:drawing>
          <wp:anchor distT="0" distB="0" distL="114300" distR="114300" simplePos="0" relativeHeight="251659264" behindDoc="1" locked="0" layoutInCell="1" allowOverlap="1">
            <wp:simplePos x="0" y="0"/>
            <wp:positionH relativeFrom="column">
              <wp:posOffset>378460</wp:posOffset>
            </wp:positionH>
            <wp:positionV relativeFrom="paragraph">
              <wp:posOffset>160655</wp:posOffset>
            </wp:positionV>
            <wp:extent cx="4858385" cy="2126615"/>
            <wp:effectExtent l="4445" t="5080" r="13970" b="20955"/>
            <wp:wrapTight wrapText="bothSides">
              <wp:wrapPolygon>
                <wp:start x="-20" y="-52"/>
                <wp:lineTo x="-20" y="21426"/>
                <wp:lineTo x="21577" y="21426"/>
                <wp:lineTo x="21577" y="-52"/>
                <wp:lineTo x="-20" y="-52"/>
              </wp:wrapPolygon>
            </wp:wrapTight>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1E191F73">
      <w:pPr>
        <w:pageBreakBefore w:val="0"/>
        <w:kinsoku/>
        <w:overflowPunct/>
        <w:topLinePunct w:val="0"/>
        <w:bidi w:val="0"/>
        <w:spacing w:beforeAutospacing="0" w:after="120" w:afterAutospacing="0" w:line="240" w:lineRule="auto"/>
        <w:ind w:left="0" w:leftChars="0" w:right="0" w:firstLine="420" w:firstLineChars="200"/>
        <w:textAlignment w:val="auto"/>
        <w:rPr>
          <w:rFonts w:hint="eastAsia"/>
          <w:lang w:val="en-US" w:eastAsia="zh-CN"/>
        </w:rPr>
      </w:pPr>
    </w:p>
    <w:p w14:paraId="6C1F3AF8">
      <w:pPr>
        <w:pageBreakBefore w:val="0"/>
        <w:kinsoku/>
        <w:overflowPunct/>
        <w:topLinePunct w:val="0"/>
        <w:bidi w:val="0"/>
        <w:spacing w:beforeAutospacing="0" w:after="120" w:afterAutospacing="0" w:line="240" w:lineRule="auto"/>
        <w:ind w:left="0" w:leftChars="0" w:right="0" w:firstLine="420" w:firstLineChars="200"/>
        <w:textAlignment w:val="auto"/>
        <w:rPr>
          <w:rFonts w:hint="eastAsia"/>
          <w:lang w:val="en-US" w:eastAsia="zh-CN"/>
        </w:rPr>
      </w:pPr>
    </w:p>
    <w:p w14:paraId="61757316">
      <w:pPr>
        <w:pageBreakBefore w:val="0"/>
        <w:kinsoku/>
        <w:overflowPunct/>
        <w:topLinePunct w:val="0"/>
        <w:bidi w:val="0"/>
        <w:spacing w:beforeAutospacing="0" w:after="120" w:afterAutospacing="0" w:line="240" w:lineRule="auto"/>
        <w:ind w:left="0" w:leftChars="0" w:right="0" w:firstLine="420" w:firstLineChars="200"/>
        <w:textAlignment w:val="auto"/>
        <w:rPr>
          <w:rFonts w:hint="eastAsia"/>
          <w:lang w:val="en-US" w:eastAsia="zh-CN"/>
        </w:rPr>
      </w:pPr>
    </w:p>
    <w:p w14:paraId="07FD5815">
      <w:pPr>
        <w:pageBreakBefore w:val="0"/>
        <w:kinsoku/>
        <w:overflowPunct/>
        <w:topLinePunct w:val="0"/>
        <w:bidi w:val="0"/>
        <w:spacing w:beforeAutospacing="0" w:after="120" w:afterAutospacing="0" w:line="240" w:lineRule="auto"/>
        <w:ind w:left="0" w:leftChars="0" w:right="0" w:firstLine="420" w:firstLineChars="200"/>
        <w:textAlignment w:val="auto"/>
        <w:rPr>
          <w:rFonts w:hint="eastAsia"/>
          <w:lang w:val="en-US" w:eastAsia="zh-CN"/>
        </w:rPr>
      </w:pPr>
    </w:p>
    <w:p w14:paraId="7BCED138">
      <w:pPr>
        <w:pageBreakBefore w:val="0"/>
        <w:kinsoku/>
        <w:overflowPunct/>
        <w:topLinePunct w:val="0"/>
        <w:bidi w:val="0"/>
        <w:spacing w:beforeAutospacing="0" w:after="120" w:afterAutospacing="0" w:line="240" w:lineRule="auto"/>
        <w:ind w:left="0" w:leftChars="0" w:right="0" w:firstLine="420" w:firstLineChars="200"/>
        <w:textAlignment w:val="auto"/>
        <w:rPr>
          <w:rFonts w:hint="eastAsia"/>
          <w:lang w:val="en-US" w:eastAsia="zh-CN"/>
        </w:rPr>
      </w:pPr>
    </w:p>
    <w:p w14:paraId="47EF58CD">
      <w:pPr>
        <w:pageBreakBefore w:val="0"/>
        <w:kinsoku/>
        <w:overflowPunct/>
        <w:topLinePunct w:val="0"/>
        <w:bidi w:val="0"/>
        <w:spacing w:beforeAutospacing="0" w:after="120" w:afterAutospacing="0" w:line="240" w:lineRule="auto"/>
        <w:ind w:left="0" w:leftChars="0" w:right="0" w:firstLine="420" w:firstLineChars="200"/>
        <w:textAlignment w:val="auto"/>
        <w:rPr>
          <w:rFonts w:hint="eastAsia"/>
          <w:lang w:val="en-US" w:eastAsia="zh-CN"/>
        </w:rPr>
      </w:pPr>
    </w:p>
    <w:p w14:paraId="05AA6514">
      <w:pPr>
        <w:pageBreakBefore w:val="0"/>
        <w:kinsoku/>
        <w:overflowPunct/>
        <w:topLinePunct w:val="0"/>
        <w:bidi w:val="0"/>
        <w:spacing w:beforeAutospacing="0" w:after="120" w:afterAutospacing="0" w:line="240" w:lineRule="auto"/>
        <w:ind w:left="0" w:leftChars="0" w:right="0" w:firstLine="420" w:firstLineChars="200"/>
        <w:textAlignment w:val="auto"/>
        <w:rPr>
          <w:rFonts w:hint="eastAsia"/>
          <w:lang w:val="en-US" w:eastAsia="zh-CN"/>
        </w:rPr>
      </w:pPr>
    </w:p>
    <w:p w14:paraId="4DD7449E">
      <w:pPr>
        <w:pageBreakBefore w:val="0"/>
        <w:kinsoku/>
        <w:overflowPunct/>
        <w:topLinePunct w:val="0"/>
        <w:bidi w:val="0"/>
        <w:spacing w:beforeAutospacing="0" w:after="120" w:afterAutospacing="0" w:line="240" w:lineRule="auto"/>
        <w:ind w:left="0" w:leftChars="0" w:right="0" w:firstLine="420" w:firstLineChars="200"/>
        <w:textAlignment w:val="auto"/>
        <w:rPr>
          <w:rFonts w:hint="eastAsia"/>
          <w:lang w:val="en-US" w:eastAsia="zh-CN"/>
        </w:rPr>
      </w:pPr>
    </w:p>
    <w:p w14:paraId="4738F5BC">
      <w:pPr>
        <w:pageBreakBefore w:val="0"/>
        <w:kinsoku/>
        <w:overflowPunct/>
        <w:topLinePunct w:val="0"/>
        <w:bidi w:val="0"/>
        <w:spacing w:beforeAutospacing="0" w:after="120" w:afterAutospacing="0" w:line="240" w:lineRule="auto"/>
        <w:ind w:left="0" w:leftChars="0" w:right="0" w:firstLine="420" w:firstLineChars="200"/>
        <w:textAlignment w:val="auto"/>
        <w:rPr>
          <w:rFonts w:hint="eastAsia"/>
          <w:lang w:val="en-US" w:eastAsia="zh-CN"/>
        </w:rPr>
      </w:pPr>
    </w:p>
    <w:p w14:paraId="222B0C54">
      <w:pPr>
        <w:pageBreakBefore w:val="0"/>
        <w:kinsoku/>
        <w:overflowPunct/>
        <w:topLinePunct w:val="0"/>
        <w:bidi w:val="0"/>
        <w:spacing w:beforeAutospacing="0" w:after="120" w:afterAutospacing="0" w:line="240" w:lineRule="auto"/>
        <w:ind w:left="0" w:leftChars="0" w:right="0" w:firstLine="643" w:firstLineChars="200"/>
        <w:textAlignment w:val="auto"/>
        <w:outlineLvl w:val="2"/>
        <w:rPr>
          <w:rFonts w:hint="eastAsia" w:ascii="Times New Roman" w:hAnsi="Times New Roman" w:eastAsia="楷体_GB2312" w:cs="楷体_GB2312"/>
          <w:b/>
          <w:color w:val="auto"/>
          <w:sz w:val="32"/>
          <w:szCs w:val="32"/>
          <w:highlight w:val="none"/>
        </w:rPr>
      </w:pPr>
      <w:bookmarkStart w:id="38" w:name="_Toc15377212"/>
    </w:p>
    <w:p w14:paraId="6B8E592E">
      <w:pPr>
        <w:pageBreakBefore w:val="0"/>
        <w:kinsoku/>
        <w:overflowPunct/>
        <w:topLinePunct w:val="0"/>
        <w:bidi w:val="0"/>
        <w:spacing w:beforeAutospacing="0" w:after="120" w:afterAutospacing="0" w:line="240" w:lineRule="auto"/>
        <w:ind w:left="0" w:leftChars="0" w:right="0" w:firstLine="643" w:firstLineChars="200"/>
        <w:textAlignment w:val="auto"/>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（三）一般公共预算财政拨款支出决算具体情况</w:t>
      </w:r>
      <w:bookmarkEnd w:id="38"/>
    </w:p>
    <w:p w14:paraId="0D96216C">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bookmarkStart w:id="39" w:name="_Toc15378460"/>
      <w:bookmarkStart w:id="40" w:name="_Toc15377444"/>
      <w:bookmarkStart w:id="41" w:name="_Toc15377213"/>
      <w:r>
        <w:rPr>
          <w:rFonts w:hint="eastAsia" w:eastAsia="仿宋_GB2312" w:cs="仿宋_GB2312"/>
          <w:color w:val="auto"/>
          <w:kern w:val="2"/>
          <w:sz w:val="32"/>
          <w:szCs w:val="32"/>
          <w:highlight w:val="none"/>
          <w:lang w:val="en-US" w:eastAsia="zh-CN" w:bidi="ar-SA"/>
        </w:rPr>
        <w:t>2025年度一般公共预算支出决算数为1693.07万元，完成预算100%。其中：</w:t>
      </w:r>
      <w:bookmarkEnd w:id="39"/>
      <w:bookmarkEnd w:id="40"/>
      <w:bookmarkEnd w:id="41"/>
    </w:p>
    <w:p w14:paraId="1592CADC">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1.一般公共服务（类）：支出决算为774.83万元，完成预算100%，主要用于人大事务5.67万元、政协事务1.00万元、政府办公厅（室）及相关机构事务733.16万元、群众团体事务2.00万元、社会工作事务33.00万元等。</w:t>
      </w:r>
    </w:p>
    <w:p w14:paraId="516C75D6">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2.国防（类）国防动员（款）民兵（项）：支出决算为3.00万元，完成预算100%，主要用于民兵训练等国防动员相关支出。</w:t>
      </w:r>
    </w:p>
    <w:p w14:paraId="0578E6E0">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3.文化旅游体育与传媒（类）文化和旅游（款）：支出决算为5.16万元，完成预算100%，主要用于图书馆4.04万元、群众文化0.40万元及其他文化和旅游支出0.72万元。</w:t>
      </w:r>
    </w:p>
    <w:p w14:paraId="315C4222">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4.社会保障和就业（类）：支出决算为107.15万元，完成预算100%，主要用于机关事业单位基本养老保险缴费支出71.30万元、机关事业单位职业年金缴费支出35.65万元及其他残疾人事业支出0.20万元。</w:t>
      </w:r>
    </w:p>
    <w:p w14:paraId="6F64AF84">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5.卫生健康（类）行政事业单位医疗（款）：支出决算为39.22万元，完成预算100%，主要用于行政单位医疗20.93万元、事业单位医疗12.58万元、公务员医疗补助3.63万元及其他行政事业单位医疗支出2.08万元。</w:t>
      </w:r>
    </w:p>
    <w:p w14:paraId="5D462520">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6.城乡社区（类）城乡社区环境卫生（款）城乡社区环境卫生（项）：支出决算为6.00万元，完成预算100%，主要用于辖区环境卫生整治等支出。</w:t>
      </w:r>
    </w:p>
    <w:p w14:paraId="7401C36A">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农林水（类）：支出决算为694.17万元，完成预算100%，主要用于对高校毕业生到基层任职补助4.32万元、农村基础设施建设581.88万元（巩固脱贫攻坚成果衔接乡村振兴）、对村民委员会和村党支部的补助107.97万元。</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8.住房保障（类）住房改革支出（款）住房公积金（项）：支出决算为63.03万元，完成预算100%，主要用于职工住房公积金缴存。</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9.灾害防治及应急管理（类）应急管理事务（款）安全监管（项）：支出决算为0.50万元，完成预算100%，主要用于安全生产监管相关支出。</w:t>
      </w:r>
    </w:p>
    <w:p w14:paraId="1B93D7A3">
      <w:pPr>
        <w:pageBreakBefore w:val="0"/>
        <w:kinsoku/>
        <w:overflowPunct/>
        <w:topLinePunct w:val="0"/>
        <w:bidi w:val="0"/>
        <w:spacing w:beforeAutospacing="0" w:after="120" w:afterAutospacing="0" w:line="240" w:lineRule="auto"/>
        <w:ind w:left="0" w:leftChars="0" w:right="0" w:firstLine="643"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（注：仅罗列本部门涉及的全部功能分类科目，至项级。上述“预算”口径为全年预算数。增减变动原因为决算数&lt;项级&gt;和全年预算数&lt;项级&gt;比较，与预算数持平可以不写原因）</w:t>
      </w:r>
    </w:p>
    <w:p w14:paraId="1A366698">
      <w:pPr>
        <w:pageBreakBefore w:val="0"/>
        <w:tabs>
          <w:tab w:val="right" w:pos="8306"/>
        </w:tabs>
        <w:kinsoku/>
        <w:overflowPunct/>
        <w:topLinePunct w:val="0"/>
        <w:bidi w:val="0"/>
        <w:spacing w:beforeAutospacing="0" w:after="120" w:afterAutospacing="0" w:line="240" w:lineRule="auto"/>
        <w:ind w:left="0" w:leftChars="0" w:right="0" w:firstLine="640" w:firstLineChars="200"/>
        <w:textAlignment w:val="auto"/>
        <w:outlineLvl w:val="1"/>
        <w:rPr>
          <w:rStyle w:val="32"/>
          <w:rFonts w:ascii="Times New Roman" w:hAnsi="Times New Roman"/>
          <w:color w:val="auto"/>
          <w:highlight w:val="none"/>
        </w:rPr>
      </w:pPr>
      <w:bookmarkStart w:id="42" w:name="_Toc15396608"/>
      <w:bookmarkStart w:id="43"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2"/>
          <w:rFonts w:hint="eastAsia" w:ascii="Times New Roman" w:hAnsi="Times New Roman" w:eastAsia="黑体"/>
          <w:b w:val="0"/>
          <w:color w:val="auto"/>
          <w:highlight w:val="none"/>
        </w:rPr>
        <w:t>般公共预算财政拨款基本支出决算情况说明</w:t>
      </w:r>
      <w:bookmarkEnd w:id="42"/>
      <w:bookmarkEnd w:id="43"/>
      <w:r>
        <w:rPr>
          <w:rStyle w:val="32"/>
          <w:rFonts w:ascii="Times New Roman" w:hAnsi="Times New Roman" w:eastAsia="黑体"/>
          <w:b w:val="0"/>
          <w:color w:val="auto"/>
          <w:highlight w:val="none"/>
        </w:rPr>
        <w:tab/>
      </w:r>
    </w:p>
    <w:p w14:paraId="39A1C29C">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962.77</w:t>
      </w:r>
      <w:r>
        <w:rPr>
          <w:rFonts w:hint="eastAsia" w:ascii="Times New Roman" w:hAnsi="Times New Roman" w:eastAsia="仿宋_GB2312" w:cs="仿宋_GB2312"/>
          <w:color w:val="auto"/>
          <w:kern w:val="2"/>
          <w:sz w:val="32"/>
          <w:szCs w:val="32"/>
          <w:highlight w:val="none"/>
          <w:lang w:val="en-US" w:eastAsia="zh-CN" w:bidi="ar-SA"/>
        </w:rPr>
        <w:t>万元，其中：</w:t>
      </w:r>
    </w:p>
    <w:p w14:paraId="10839A61">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 年度一般公共预算财政拨款基本支出 962.77 万元，其中： 人员经费 872.03 万元，主要包括：基本工资 142.24 万元、津贴补贴 216.94 万元、奖金 172.23 万元、伙食补助费 0.00 万元、绩效工资 35.13 万元、机关事业单位基本养老保险缴费 71.30 万元、职业年金缴费 35.65 万元、职工基本医疗保险缴费 33.51 万元、公务员医疗补助缴费 5.71 万元、其他社会保障缴费 2.34 万元、住房公积金 63.03 万元、医疗费 4.32 万元、其他工资福利支出 6.72 万元；离休费 0.00 万元、退休费 0.00 万元、抚恤金 0.00 万元、生活补助 82.46 万元、救济费 0.00 万元、医疗费补助 0.45 万元、奖励金 0.00 万元、个人农业生产补贴 0.00 万元、代缴社会保险费 0.00 万元、其他对个人和家庭的补助支出 0.00 万元。</w:t>
      </w:r>
    </w:p>
    <w:p w14:paraId="68C806A6">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公用经费 90.74 万元，主要包括：办公费 18.72 万元、印刷费 14.53 万元、咨询费 0.00 万元、手续费 0.00 万元、水费 0.00 万元、电费 10.00 万元、邮电费 7.00 万元、取暖费 0.00 万元、物业管理费 0.00 万元、差旅费 3.13 万元、因公出国（境）费用 0.00 万元、维修（护）费 0.00 万元、租赁费 0.00 万元、会议费 0.00 万元、培训费 1.10 万元、公务接待费 0.00 万元、劳务费 0.00 万元、委托业务费 2.40 万元、工会经费 5.70 万元、福利费 11.86 万元、公务用车运行维护费 9.59 万元、其他交通费 0.00 万元、税金及附加费用 0.00 万元、其他商品和服务支出 6.72 万元；办公设备购置 0.00 万元、专用设备购置 0.00 万元、信息网络及软件购置更新 0.00 万元、其他资本性支出 0.00 万元。</w:t>
      </w:r>
    </w:p>
    <w:p w14:paraId="7E847555">
      <w:pPr>
        <w:pageBreakBefore w:val="0"/>
        <w:kinsoku/>
        <w:overflowPunct/>
        <w:topLinePunct w:val="0"/>
        <w:bidi w:val="0"/>
        <w:spacing w:beforeAutospacing="0" w:after="120" w:afterAutospacing="0" w:line="240" w:lineRule="auto"/>
        <w:ind w:left="0" w:leftChars="0" w:right="0" w:firstLine="643"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14:paraId="39036F63">
      <w:pPr>
        <w:pageBreakBefore w:val="0"/>
        <w:kinsoku/>
        <w:overflowPunct/>
        <w:topLinePunct w:val="0"/>
        <w:bidi w:val="0"/>
        <w:spacing w:beforeAutospacing="0" w:after="120" w:afterAutospacing="0" w:line="240" w:lineRule="auto"/>
        <w:ind w:left="0" w:leftChars="0" w:right="0" w:firstLine="640" w:firstLineChars="200"/>
        <w:textAlignment w:val="auto"/>
        <w:outlineLvl w:val="1"/>
        <w:rPr>
          <w:rStyle w:val="32"/>
          <w:rFonts w:ascii="Times New Roman" w:hAnsi="Times New Roman" w:eastAsia="黑体"/>
          <w:b w:val="0"/>
          <w:color w:val="auto"/>
          <w:highlight w:val="none"/>
        </w:rPr>
      </w:pPr>
      <w:bookmarkStart w:id="44" w:name="_Toc15377215"/>
      <w:bookmarkStart w:id="45" w:name="_Toc15396609"/>
      <w:r>
        <w:rPr>
          <w:rFonts w:hint="eastAsia" w:ascii="Times New Roman" w:hAnsi="Times New Roman" w:eastAsia="黑体"/>
          <w:color w:val="auto"/>
          <w:sz w:val="32"/>
          <w:szCs w:val="32"/>
          <w:highlight w:val="none"/>
        </w:rPr>
        <w:t>七、</w:t>
      </w:r>
      <w:r>
        <w:rPr>
          <w:rStyle w:val="32"/>
          <w:rFonts w:hint="eastAsia" w:ascii="Times New Roman" w:hAnsi="Times New Roman" w:eastAsia="黑体"/>
          <w:b w:val="0"/>
          <w:color w:val="auto"/>
          <w:highlight w:val="none"/>
        </w:rPr>
        <w:t>财政拨款</w:t>
      </w:r>
      <w:r>
        <w:rPr>
          <w:rStyle w:val="32"/>
          <w:rFonts w:hint="eastAsia" w:ascii="Times New Roman" w:hAnsi="Times New Roman" w:eastAsia="黑体"/>
          <w:color w:val="auto"/>
          <w:highlight w:val="none"/>
        </w:rPr>
        <w:t>“</w:t>
      </w:r>
      <w:r>
        <w:rPr>
          <w:rStyle w:val="32"/>
          <w:rFonts w:hint="eastAsia" w:ascii="Times New Roman" w:hAnsi="Times New Roman" w:eastAsia="黑体"/>
          <w:b w:val="0"/>
          <w:color w:val="auto"/>
          <w:highlight w:val="none"/>
        </w:rPr>
        <w:t>三公”经费支出决算情况说明</w:t>
      </w:r>
      <w:bookmarkEnd w:id="44"/>
      <w:bookmarkEnd w:id="45"/>
    </w:p>
    <w:p w14:paraId="59DE7828">
      <w:pPr>
        <w:pageBreakBefore w:val="0"/>
        <w:kinsoku/>
        <w:overflowPunct/>
        <w:topLinePunct w:val="0"/>
        <w:bidi w:val="0"/>
        <w:spacing w:beforeAutospacing="0" w:after="120" w:afterAutospacing="0" w:line="240" w:lineRule="auto"/>
        <w:ind w:left="0" w:leftChars="0" w:right="0" w:firstLine="643" w:firstLineChars="200"/>
        <w:textAlignment w:val="auto"/>
        <w:outlineLvl w:val="2"/>
        <w:rPr>
          <w:rFonts w:hint="eastAsia" w:ascii="Times New Roman" w:hAnsi="Times New Roman" w:eastAsia="楷体_GB2312" w:cs="楷体_GB2312"/>
          <w:b/>
          <w:color w:val="auto"/>
          <w:sz w:val="32"/>
          <w:szCs w:val="32"/>
          <w:highlight w:val="none"/>
        </w:rPr>
      </w:pPr>
      <w:bookmarkStart w:id="46"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46"/>
    </w:p>
    <w:p w14:paraId="377C0E6A">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 年度财政拨款 “三公” 经费支出决算为 9.59 万元，完成预算 95.89%，较上年度增加0.39万元，增长4.24%。决算数小于预算数的主要原因是：严格贯彻落实厉行节约相关要求，从严控制公务用车运行相关开支，强化日常用车管理，压减非必要出行，公务用车运行维护费未达到预算额度；较上年略有增长主要是受车辆老化，维修保养成本有所上升影响。</w:t>
      </w:r>
    </w:p>
    <w:p w14:paraId="5CDCF932">
      <w:pPr>
        <w:pageBreakBefore w:val="0"/>
        <w:kinsoku/>
        <w:overflowPunct/>
        <w:topLinePunct w:val="0"/>
        <w:bidi w:val="0"/>
        <w:spacing w:beforeAutospacing="0" w:after="120" w:afterAutospacing="0" w:line="240" w:lineRule="auto"/>
        <w:ind w:left="0" w:leftChars="0" w:right="0" w:firstLine="643" w:firstLineChars="200"/>
        <w:textAlignment w:val="auto"/>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（注：上述“预算”口径为全年预算数，包括一般公共预算和政府性基金预算财政拨款支出决算情况，与预算数持平可以不写原因）</w:t>
      </w:r>
    </w:p>
    <w:p w14:paraId="5A0061FA">
      <w:pPr>
        <w:pageBreakBefore w:val="0"/>
        <w:kinsoku/>
        <w:overflowPunct/>
        <w:topLinePunct w:val="0"/>
        <w:bidi w:val="0"/>
        <w:spacing w:beforeAutospacing="0" w:after="120" w:afterAutospacing="0" w:line="240" w:lineRule="auto"/>
        <w:ind w:left="0" w:leftChars="0" w:right="0" w:firstLine="643" w:firstLineChars="200"/>
        <w:textAlignment w:val="auto"/>
        <w:outlineLvl w:val="2"/>
        <w:rPr>
          <w:rFonts w:hint="eastAsia" w:ascii="Times New Roman" w:hAnsi="Times New Roman" w:eastAsia="楷体_GB2312" w:cs="楷体_GB2312"/>
          <w:b/>
          <w:color w:val="auto"/>
          <w:sz w:val="32"/>
          <w:szCs w:val="32"/>
          <w:highlight w:val="none"/>
        </w:rPr>
      </w:pPr>
      <w:bookmarkStart w:id="47"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47"/>
    </w:p>
    <w:p w14:paraId="6E84C51A">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2025年度财政拨款“三公”经费支出决算中，因公出国（境）费支出决算0万元，占0%；公务用车购置及运行维护费支出决算9.59万元，占100%；公务接待费支出决算0万元，占0%。具体情况如下：</w:t>
      </w:r>
    </w:p>
    <w:p w14:paraId="65FCC003">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14:paraId="46B68DD6">
      <w:pPr>
        <w:pStyle w:val="14"/>
        <w:pageBreakBefore w:val="0"/>
        <w:kinsoku/>
        <w:overflowPunct/>
        <w:topLinePunct w:val="0"/>
        <w:bidi w:val="0"/>
        <w:spacing w:beforeAutospacing="0" w:after="120" w:afterAutospacing="0" w:line="240" w:lineRule="auto"/>
        <w:ind w:left="0" w:leftChars="0" w:right="0" w:firstLine="640" w:firstLineChars="200"/>
        <w:textAlignment w:val="auto"/>
        <w:rPr>
          <w:rFonts w:hint="eastAsia"/>
          <w:lang w:val="en-US" w:eastAsia="zh-CN"/>
        </w:rPr>
      </w:pPr>
      <w:r>
        <w:rPr>
          <w:rFonts w:hint="eastAsia" w:ascii="仿宋" w:eastAsia="仿宋"/>
          <w:sz w:val="32"/>
          <w:szCs w:val="32"/>
          <w:lang w:eastAsia="zh-CN"/>
        </w:rPr>
        <w:drawing>
          <wp:inline distT="0" distB="0" distL="114300" distR="114300">
            <wp:extent cx="5080000" cy="2381885"/>
            <wp:effectExtent l="5080" t="4445" r="20320" b="13970"/>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0D31943">
      <w:pPr>
        <w:pageBreakBefore w:val="0"/>
        <w:kinsoku/>
        <w:overflowPunct/>
        <w:topLinePunct w:val="0"/>
        <w:bidi w:val="0"/>
        <w:spacing w:beforeAutospacing="0" w:after="120" w:afterAutospacing="0" w:line="240" w:lineRule="auto"/>
        <w:ind w:left="0" w:leftChars="0" w:right="0" w:firstLine="643"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1.因公出国（境）经费支出0万元，完成预算0%。全年安排因公出国（境）团组0次，出国（境）0人。本年无因公出国（境）支出。</w:t>
      </w:r>
    </w:p>
    <w:p w14:paraId="1FFA9798">
      <w:pPr>
        <w:pageBreakBefore w:val="0"/>
        <w:kinsoku/>
        <w:overflowPunct/>
        <w:topLinePunct w:val="0"/>
        <w:bidi w:val="0"/>
        <w:spacing w:beforeAutospacing="0" w:after="120" w:afterAutospacing="0" w:line="240" w:lineRule="auto"/>
        <w:ind w:left="0" w:leftChars="0" w:right="0" w:firstLine="643"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2.公务用车购置及运行维护费支出9.59万元，完成预算95.9%。公务用车购置及运行维护费支出决算比上年度增加0.39万元，增长4.24%。主要原因是：公务用车使用年限较长，维修保养费用略有增加。</w:t>
      </w:r>
    </w:p>
    <w:p w14:paraId="1FB03849">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其中：公务用车购置支出0万元。全年未更新购置公务用车。截至2025年12月31日，单位共有公务用车4辆，均为应急保障用车。</w:t>
      </w:r>
    </w:p>
    <w:p w14:paraId="5BB271F6">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公务用车运行维护费支出9.59万元。主要用于保障乡机关日常公务出行所需的公务用车燃料费、维修费、过路过桥费、保险费等支出。</w:t>
      </w:r>
    </w:p>
    <w:p w14:paraId="0615347C">
      <w:pPr>
        <w:pageBreakBefore w:val="0"/>
        <w:kinsoku/>
        <w:overflowPunct/>
        <w:topLinePunct w:val="0"/>
        <w:bidi w:val="0"/>
        <w:spacing w:beforeAutospacing="0" w:after="120" w:afterAutospacing="0" w:line="240" w:lineRule="auto"/>
        <w:ind w:left="0" w:leftChars="0" w:right="0" w:firstLine="643"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3.公务接待费支出0万元，完成预算0%。本年无公务接待支出。</w:t>
      </w:r>
    </w:p>
    <w:p w14:paraId="259A2EA7">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p>
    <w:p w14:paraId="0886CCFC">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bookmarkStart w:id="48" w:name="_Toc15377218"/>
      <w:bookmarkStart w:id="49" w:name="_Toc15396610"/>
    </w:p>
    <w:p w14:paraId="1B41FB05">
      <w:pPr>
        <w:pageBreakBefore w:val="0"/>
        <w:kinsoku/>
        <w:overflowPunct/>
        <w:topLinePunct w:val="0"/>
        <w:bidi w:val="0"/>
        <w:spacing w:beforeAutospacing="0" w:after="120" w:afterAutospacing="0" w:line="240" w:lineRule="auto"/>
        <w:ind w:left="0" w:leftChars="0" w:right="0" w:firstLine="640" w:firstLineChars="200"/>
        <w:textAlignment w:val="auto"/>
        <w:outlineLvl w:val="1"/>
        <w:rPr>
          <w:rStyle w:val="32"/>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2"/>
          <w:rFonts w:hint="eastAsia" w:ascii="Times New Roman" w:hAnsi="Times New Roman" w:eastAsia="黑体"/>
          <w:b w:val="0"/>
          <w:color w:val="auto"/>
          <w:highlight w:val="none"/>
        </w:rPr>
        <w:t>政府性基金预算支出决算情况说明</w:t>
      </w:r>
      <w:bookmarkEnd w:id="48"/>
      <w:bookmarkEnd w:id="49"/>
    </w:p>
    <w:p w14:paraId="65C08428">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2025年度政府性基金预算财政拨款支出0万元，占本年支出合计的0%。本单位无政府性基金预算财政拨款收支。</w:t>
      </w:r>
    </w:p>
    <w:p w14:paraId="1D45C6DD">
      <w:pPr>
        <w:pageBreakBefore w:val="0"/>
        <w:numPr>
          <w:ilvl w:val="0"/>
          <w:numId w:val="0"/>
        </w:numPr>
        <w:kinsoku/>
        <w:overflowPunct/>
        <w:topLinePunct w:val="0"/>
        <w:bidi w:val="0"/>
        <w:spacing w:beforeAutospacing="0" w:after="120" w:afterAutospacing="0" w:line="240" w:lineRule="auto"/>
        <w:ind w:left="0" w:leftChars="0" w:right="0" w:firstLine="640" w:firstLineChars="200"/>
        <w:textAlignment w:val="auto"/>
        <w:outlineLvl w:val="1"/>
        <w:rPr>
          <w:rStyle w:val="32"/>
          <w:rFonts w:ascii="Times New Roman" w:hAnsi="Times New Roman" w:eastAsia="黑体"/>
          <w:b w:val="0"/>
          <w:color w:val="auto"/>
          <w:highlight w:val="none"/>
        </w:rPr>
      </w:pPr>
      <w:bookmarkStart w:id="50" w:name="_Toc15377219"/>
      <w:bookmarkStart w:id="51" w:name="_Toc15396611"/>
      <w:r>
        <w:rPr>
          <w:rStyle w:val="32"/>
          <w:rFonts w:hint="eastAsia" w:ascii="Times New Roman" w:hAnsi="Times New Roman" w:eastAsia="黑体"/>
          <w:b w:val="0"/>
          <w:color w:val="auto"/>
          <w:highlight w:val="none"/>
          <w:lang w:eastAsia="zh-CN"/>
        </w:rPr>
        <w:t>九、</w:t>
      </w:r>
      <w:r>
        <w:rPr>
          <w:rStyle w:val="32"/>
          <w:rFonts w:hint="eastAsia" w:ascii="Times New Roman" w:hAnsi="Times New Roman" w:eastAsia="黑体"/>
          <w:b w:val="0"/>
          <w:color w:val="auto"/>
          <w:highlight w:val="none"/>
        </w:rPr>
        <w:t>国有资本经营预算支出决算情况说明</w:t>
      </w:r>
      <w:bookmarkEnd w:id="50"/>
      <w:bookmarkEnd w:id="51"/>
    </w:p>
    <w:p w14:paraId="04674D74">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2025年度国有资本经营预算财政拨款支出0万元，占本年支出合计的0%。本单位无国有资本经营预算财政拨款收支。</w:t>
      </w:r>
    </w:p>
    <w:p w14:paraId="459A968C">
      <w:pPr>
        <w:pageBreakBefore w:val="0"/>
        <w:numPr>
          <w:ilvl w:val="0"/>
          <w:numId w:val="0"/>
        </w:numPr>
        <w:kinsoku/>
        <w:overflowPunct/>
        <w:topLinePunct w:val="0"/>
        <w:bidi w:val="0"/>
        <w:spacing w:beforeAutospacing="0" w:after="120" w:afterAutospacing="0" w:line="240" w:lineRule="auto"/>
        <w:ind w:left="0" w:leftChars="0" w:right="0" w:firstLine="640" w:firstLineChars="200"/>
        <w:textAlignment w:val="auto"/>
        <w:outlineLvl w:val="1"/>
        <w:rPr>
          <w:rStyle w:val="32"/>
          <w:rFonts w:hint="eastAsia" w:ascii="Times New Roman" w:hAnsi="Times New Roman" w:eastAsia="黑体"/>
          <w:b w:val="0"/>
          <w:color w:val="auto"/>
          <w:highlight w:val="none"/>
        </w:rPr>
      </w:pPr>
      <w:bookmarkStart w:id="52" w:name="_Toc15396612"/>
      <w:bookmarkStart w:id="53" w:name="_Toc15377221"/>
      <w:r>
        <w:rPr>
          <w:rStyle w:val="32"/>
          <w:rFonts w:hint="eastAsia" w:ascii="Times New Roman" w:hAnsi="Times New Roman" w:eastAsia="黑体"/>
          <w:b w:val="0"/>
          <w:color w:val="auto"/>
          <w:highlight w:val="none"/>
          <w:lang w:eastAsia="zh-CN"/>
        </w:rPr>
        <w:t>十、</w:t>
      </w:r>
      <w:r>
        <w:rPr>
          <w:rStyle w:val="32"/>
          <w:rFonts w:hint="eastAsia" w:ascii="Times New Roman" w:hAnsi="Times New Roman" w:eastAsia="黑体"/>
          <w:b w:val="0"/>
          <w:color w:val="auto"/>
          <w:highlight w:val="none"/>
        </w:rPr>
        <w:t>其他重要事项的情况说明</w:t>
      </w:r>
      <w:bookmarkEnd w:id="52"/>
      <w:bookmarkEnd w:id="53"/>
    </w:p>
    <w:p w14:paraId="003B6732">
      <w:pPr>
        <w:pageBreakBefore w:val="0"/>
        <w:kinsoku/>
        <w:overflowPunct/>
        <w:topLinePunct w:val="0"/>
        <w:bidi w:val="0"/>
        <w:spacing w:beforeAutospacing="0" w:after="120" w:afterAutospacing="0" w:line="240" w:lineRule="auto"/>
        <w:ind w:left="0" w:leftChars="0" w:right="0" w:firstLine="643" w:firstLineChars="200"/>
        <w:textAlignment w:val="auto"/>
        <w:outlineLvl w:val="2"/>
        <w:rPr>
          <w:rFonts w:hint="eastAsia" w:ascii="Times New Roman" w:hAnsi="Times New Roman" w:eastAsia="楷体_GB2312" w:cs="楷体_GB2312"/>
          <w:b/>
          <w:color w:val="auto"/>
          <w:sz w:val="32"/>
          <w:szCs w:val="32"/>
          <w:highlight w:val="none"/>
        </w:rPr>
      </w:pPr>
      <w:bookmarkStart w:id="54" w:name="_Toc15377222"/>
      <w:r>
        <w:rPr>
          <w:rFonts w:hint="eastAsia" w:ascii="Times New Roman" w:hAnsi="Times New Roman" w:eastAsia="楷体_GB2312" w:cs="楷体_GB2312"/>
          <w:b/>
          <w:color w:val="auto"/>
          <w:sz w:val="32"/>
          <w:szCs w:val="32"/>
          <w:highlight w:val="none"/>
        </w:rPr>
        <w:t>（一）机关运行经费支出情况</w:t>
      </w:r>
      <w:bookmarkEnd w:id="54"/>
    </w:p>
    <w:p w14:paraId="490F03D0">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红原县阿木乡人民政府机关运行经费支出60.16万元，比上年度增加7.87万元，增长14.99%。主要原因是：办公费、印刷费、福利费等日常运转支出随业务量增加有所增长。机关运行经费主要用于保障机关日常运转的办公费、印刷费、水电费、邮电费、差旅费、工会经费、福利费、公务用车运行维护费等商品和服务支出。</w:t>
      </w:r>
    </w:p>
    <w:p w14:paraId="2B7F2D9B">
      <w:pPr>
        <w:pageBreakBefore w:val="0"/>
        <w:kinsoku/>
        <w:overflowPunct/>
        <w:topLinePunct w:val="0"/>
        <w:bidi w:val="0"/>
        <w:spacing w:beforeAutospacing="0" w:after="120" w:afterAutospacing="0" w:line="240" w:lineRule="auto"/>
        <w:ind w:left="0" w:leftChars="0" w:right="0" w:firstLine="643" w:firstLineChars="200"/>
        <w:textAlignment w:val="auto"/>
        <w:outlineLvl w:val="2"/>
        <w:rPr>
          <w:rFonts w:hint="eastAsia" w:ascii="Times New Roman" w:hAnsi="Times New Roman" w:eastAsia="楷体_GB2312" w:cs="楷体_GB2312"/>
          <w:b/>
          <w:color w:val="auto"/>
          <w:sz w:val="32"/>
          <w:szCs w:val="32"/>
          <w:highlight w:val="none"/>
        </w:rPr>
      </w:pPr>
      <w:bookmarkStart w:id="55" w:name="_Toc15377223"/>
      <w:r>
        <w:rPr>
          <w:rFonts w:hint="eastAsia" w:ascii="Times New Roman" w:hAnsi="Times New Roman" w:eastAsia="楷体_GB2312" w:cs="楷体_GB2312"/>
          <w:b/>
          <w:color w:val="auto"/>
          <w:sz w:val="32"/>
          <w:szCs w:val="32"/>
          <w:highlight w:val="none"/>
        </w:rPr>
        <w:t>（二）政府采购支出情况</w:t>
      </w:r>
      <w:bookmarkEnd w:id="55"/>
    </w:p>
    <w:p w14:paraId="0B1085AA">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红原县阿木乡人民政府政府采购支出总额348.62万元，其中：政府采购货物支出120.65万元、政府采购工程支出222.28万元、政府采购服务支出5.69万元。主要用于农村基础设施建设、办公设备购置及日常运维服务等。授予中小企业合同金额0万元，占政府采购支出总额的0%，其中：授予小微企业合同金额0万元，占政府采购支出总额的0%。</w:t>
      </w:r>
    </w:p>
    <w:p w14:paraId="75D2468F">
      <w:pPr>
        <w:pageBreakBefore w:val="0"/>
        <w:kinsoku/>
        <w:overflowPunct/>
        <w:topLinePunct w:val="0"/>
        <w:bidi w:val="0"/>
        <w:spacing w:beforeAutospacing="0" w:after="120" w:afterAutospacing="0" w:line="240" w:lineRule="auto"/>
        <w:ind w:left="0" w:leftChars="0" w:right="0" w:firstLine="643" w:firstLineChars="200"/>
        <w:textAlignment w:val="auto"/>
        <w:outlineLvl w:val="2"/>
        <w:rPr>
          <w:rFonts w:hint="eastAsia" w:ascii="Times New Roman" w:hAnsi="Times New Roman" w:eastAsia="楷体_GB2312" w:cs="楷体_GB2312"/>
          <w:b/>
          <w:color w:val="auto"/>
          <w:sz w:val="32"/>
          <w:szCs w:val="32"/>
          <w:highlight w:val="none"/>
        </w:rPr>
      </w:pPr>
      <w:bookmarkStart w:id="56" w:name="_Toc15377224"/>
      <w:r>
        <w:rPr>
          <w:rFonts w:hint="eastAsia" w:ascii="Times New Roman" w:hAnsi="Times New Roman" w:eastAsia="楷体_GB2312" w:cs="楷体_GB2312"/>
          <w:b/>
          <w:color w:val="auto"/>
          <w:sz w:val="32"/>
          <w:szCs w:val="32"/>
          <w:highlight w:val="none"/>
        </w:rPr>
        <w:t>（三）国有资产占有使用情况</w:t>
      </w:r>
      <w:bookmarkEnd w:id="56"/>
    </w:p>
    <w:p w14:paraId="78F8F7D3">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红原县阿木乡人民政府</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4</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4</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14:paraId="1E41F88E">
      <w:pPr>
        <w:pageBreakBefore w:val="0"/>
        <w:kinsoku/>
        <w:overflowPunct/>
        <w:topLinePunct w:val="0"/>
        <w:bidi w:val="0"/>
        <w:spacing w:beforeAutospacing="0" w:after="120" w:afterAutospacing="0" w:line="240" w:lineRule="auto"/>
        <w:ind w:left="0" w:leftChars="0" w:right="0" w:firstLine="643" w:firstLineChars="200"/>
        <w:textAlignment w:val="auto"/>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4C3F9D22">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根据预算绩效管理要求，红原县阿木乡人民政府在2025年度，按规定开展预算绩效管理相关工作。本单位预算安排支出主要用于保障机关正常运转、完成日常工作任务以及承担阿木乡事业发展相关工作。基本支出962.77万元，其中人员经费872.03万元、机关运行经费90.74万元；项目支出730.30万元，主要用于农村基础设施建设等巩固脱贫攻坚成果衔接乡村振兴项目。</w:t>
      </w:r>
    </w:p>
    <w:p w14:paraId="52D786E7">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组织对2025年度一般公共预算全面开展绩效自评。预算编制方面，预算编制合理，项目细化程度较高；收入统筹方面，积极统筹各类收入，收入来源稳定；支出执行方面，总体支出执行进度较为合理；财务管理方面，严格执行《红原县阿木乡财务管理办法》，财务岗位设置合理，资金使用规范，审批流程严格，未发现违规使用资金情况。2025年度本单位预算绩效自评结果为：目标完成率90%以上，群众满意度90%以上，整体绩效良好。</w:t>
      </w:r>
    </w:p>
    <w:p w14:paraId="1FF95035">
      <w:pPr>
        <w:pageBreakBefore w:val="0"/>
        <w:numPr>
          <w:ilvl w:val="0"/>
          <w:numId w:val="0"/>
        </w:numPr>
        <w:kinsoku/>
        <w:overflowPunct/>
        <w:topLinePunct w:val="0"/>
        <w:bidi w:val="0"/>
        <w:spacing w:beforeAutospacing="0" w:after="120" w:afterAutospacing="0" w:line="240" w:lineRule="auto"/>
        <w:ind w:left="0" w:leftChars="0" w:right="0" w:firstLine="880" w:firstLineChars="200"/>
        <w:jc w:val="center"/>
        <w:textAlignment w:val="auto"/>
        <w:outlineLvl w:val="0"/>
        <w:rPr>
          <w:rFonts w:hint="eastAsia" w:ascii="Times New Roman" w:hAnsi="Times New Roman" w:eastAsia="黑体"/>
          <w:color w:val="auto"/>
          <w:sz w:val="44"/>
          <w:szCs w:val="44"/>
          <w:highlight w:val="none"/>
        </w:rPr>
      </w:pPr>
      <w:bookmarkStart w:id="57" w:name="_Toc15377225"/>
      <w:bookmarkStart w:id="58" w:name="_Toc15396613"/>
    </w:p>
    <w:p w14:paraId="09B72FC3">
      <w:pPr>
        <w:pageBreakBefore w:val="0"/>
        <w:numPr>
          <w:ilvl w:val="0"/>
          <w:numId w:val="0"/>
        </w:numPr>
        <w:kinsoku/>
        <w:overflowPunct/>
        <w:topLinePunct w:val="0"/>
        <w:bidi w:val="0"/>
        <w:spacing w:beforeAutospacing="0" w:after="120" w:afterAutospacing="0" w:line="240" w:lineRule="auto"/>
        <w:ind w:left="0" w:leftChars="0" w:right="0" w:firstLine="880" w:firstLineChars="200"/>
        <w:jc w:val="center"/>
        <w:textAlignment w:val="auto"/>
        <w:outlineLvl w:val="0"/>
        <w:rPr>
          <w:rFonts w:hint="eastAsia" w:ascii="Times New Roman" w:hAnsi="Times New Roman" w:eastAsia="黑体"/>
          <w:color w:val="auto"/>
          <w:sz w:val="44"/>
          <w:szCs w:val="44"/>
          <w:highlight w:val="none"/>
        </w:rPr>
      </w:pPr>
    </w:p>
    <w:p w14:paraId="25CF91DB">
      <w:pPr>
        <w:pageBreakBefore w:val="0"/>
        <w:numPr>
          <w:ilvl w:val="0"/>
          <w:numId w:val="0"/>
        </w:numPr>
        <w:kinsoku/>
        <w:overflowPunct/>
        <w:topLinePunct w:val="0"/>
        <w:bidi w:val="0"/>
        <w:spacing w:beforeAutospacing="0" w:after="120" w:afterAutospacing="0" w:line="240" w:lineRule="auto"/>
        <w:ind w:left="0" w:leftChars="0" w:right="0" w:firstLine="880" w:firstLineChars="200"/>
        <w:jc w:val="center"/>
        <w:textAlignment w:val="auto"/>
        <w:outlineLvl w:val="0"/>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57"/>
      <w:bookmarkEnd w:id="58"/>
    </w:p>
    <w:p w14:paraId="6B40297B">
      <w:pPr>
        <w:pageBreakBefore w:val="0"/>
        <w:kinsoku/>
        <w:overflowPunct/>
        <w:topLinePunct w:val="0"/>
        <w:bidi w:val="0"/>
        <w:spacing w:beforeAutospacing="0" w:after="120" w:afterAutospacing="0" w:line="240" w:lineRule="auto"/>
        <w:ind w:left="0" w:leftChars="0" w:right="0" w:firstLine="883" w:firstLineChars="200"/>
        <w:jc w:val="left"/>
        <w:textAlignment w:val="auto"/>
        <w:rPr>
          <w:rFonts w:ascii="Times New Roman" w:hAnsi="Times New Roman"/>
          <w:b/>
          <w:color w:val="auto"/>
          <w:sz w:val="44"/>
          <w:szCs w:val="44"/>
          <w:highlight w:val="none"/>
        </w:rPr>
      </w:pPr>
    </w:p>
    <w:p w14:paraId="352E1449">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04ED4296">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2.事业收入：指事业单位开展专业业务活动及辅助活动取得的收入。本单位无事业收入。</w:t>
      </w:r>
    </w:p>
    <w:p w14:paraId="542C7009">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3.经营收入：指事业单位在专业业务活动及其辅助活动之外开展非独立核算经营活动取得的收入。本单位无经营收入。</w:t>
      </w:r>
    </w:p>
    <w:p w14:paraId="5894FD31">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4.其他收入：指单位取得的除上述收入以外的各项收入。本单位无其他收入。</w:t>
      </w:r>
    </w:p>
    <w:p w14:paraId="71A1B8EA">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5.使用非财政拨款结余（含专用结余）：指事业单位使用以前年度积累的非财政拨款结余弥补当年收支差额的金额。 </w:t>
      </w:r>
    </w:p>
    <w:p w14:paraId="44537BA6">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6.年初结转和结余：指以前年度尚未完成、结转到本年按有关规定继续使用的资金。 </w:t>
      </w:r>
    </w:p>
    <w:p w14:paraId="086CC975">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14:paraId="13137177">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14:paraId="18D39C45">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9.一般公共服务（类）：指政府提供公共管理服务方面的支出。</w:t>
      </w:r>
    </w:p>
    <w:p w14:paraId="7DC08C39">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10</w:t>
      </w:r>
      <w:r>
        <w:rPr>
          <w:rFonts w:hint="eastAsia" w:ascii="Times New Roman" w:hAnsi="Times New Roman" w:eastAsia="仿宋_GB2312" w:cs="仿宋_GB2312"/>
          <w:color w:val="auto"/>
          <w:kern w:val="2"/>
          <w:sz w:val="32"/>
          <w:szCs w:val="32"/>
          <w:highlight w:val="none"/>
          <w:lang w:val="en-US" w:eastAsia="zh-CN" w:bidi="ar-SA"/>
        </w:rPr>
        <w:t>.文化旅游体育与传媒（类）：指政府在文化、旅游、体育、媒体等方面的支出。</w:t>
      </w:r>
    </w:p>
    <w:p w14:paraId="09BBA7B9">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.社会保障和就业（类）：指政府在社会保障和就业方面的支出。</w:t>
      </w:r>
    </w:p>
    <w:p w14:paraId="69FC6D2F">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eastAsia="仿宋_GB2312" w:cs="仿宋_GB2312"/>
          <w:color w:val="auto"/>
          <w:kern w:val="2"/>
          <w:sz w:val="32"/>
          <w:szCs w:val="32"/>
          <w:highlight w:val="none"/>
          <w:lang w:val="en-US" w:eastAsia="zh-CN" w:bidi="ar-SA"/>
        </w:rPr>
        <w:t>2</w:t>
      </w:r>
      <w:r>
        <w:rPr>
          <w:rFonts w:hint="eastAsia" w:ascii="Times New Roman" w:hAnsi="Times New Roman" w:eastAsia="仿宋_GB2312" w:cs="仿宋_GB2312"/>
          <w:color w:val="auto"/>
          <w:kern w:val="2"/>
          <w:sz w:val="32"/>
          <w:szCs w:val="32"/>
          <w:highlight w:val="none"/>
          <w:lang w:val="en-US" w:eastAsia="zh-CN" w:bidi="ar-SA"/>
        </w:rPr>
        <w:t>卫生健康（类）：指政府在卫生健康方面的支出。</w:t>
      </w:r>
    </w:p>
    <w:p w14:paraId="64BD96AA">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.城乡社区（类）：指政府在城乡社区事务方面的支出。</w:t>
      </w:r>
    </w:p>
    <w:p w14:paraId="41EF79FB">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.农林水（类）：指政府在农业、林业、水利、扶贫等方面的支出。</w:t>
      </w:r>
    </w:p>
    <w:p w14:paraId="498FA705">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15</w:t>
      </w:r>
      <w:r>
        <w:rPr>
          <w:rFonts w:hint="eastAsia" w:ascii="Times New Roman" w:hAnsi="Times New Roman" w:eastAsia="仿宋_GB2312" w:cs="仿宋_GB2312"/>
          <w:color w:val="auto"/>
          <w:kern w:val="2"/>
          <w:sz w:val="32"/>
          <w:szCs w:val="32"/>
          <w:highlight w:val="none"/>
          <w:lang w:val="en-US" w:eastAsia="zh-CN" w:bidi="ar-SA"/>
        </w:rPr>
        <w:t>.住房保障（类）：指政府在住房保障方面的支出。</w:t>
      </w:r>
    </w:p>
    <w:p w14:paraId="17A43FDF">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16</w:t>
      </w:r>
      <w:r>
        <w:rPr>
          <w:rFonts w:hint="eastAsia" w:ascii="Times New Roman" w:hAnsi="Times New Roman" w:eastAsia="仿宋_GB2312" w:cs="仿宋_GB2312"/>
          <w:color w:val="auto"/>
          <w:kern w:val="2"/>
          <w:sz w:val="32"/>
          <w:szCs w:val="32"/>
          <w:highlight w:val="none"/>
          <w:lang w:val="en-US" w:eastAsia="zh-CN" w:bidi="ar-SA"/>
        </w:rPr>
        <w:t>.基本支出：指为保障机构正常运转、完成日常工作任务而发生的人员支出和公用支出。</w:t>
      </w:r>
    </w:p>
    <w:p w14:paraId="1F1C7881">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17</w:t>
      </w:r>
      <w:r>
        <w:rPr>
          <w:rFonts w:hint="eastAsia" w:ascii="Times New Roman" w:hAnsi="Times New Roman" w:eastAsia="仿宋_GB2312" w:cs="仿宋_GB2312"/>
          <w:color w:val="auto"/>
          <w:kern w:val="2"/>
          <w:sz w:val="32"/>
          <w:szCs w:val="32"/>
          <w:highlight w:val="none"/>
          <w:lang w:val="en-US" w:eastAsia="zh-CN" w:bidi="ar-SA"/>
        </w:rPr>
        <w:t xml:space="preserve">项目支出：指在基本支出之外为完成特定行政任务和事业发展目标所发生的支出。 </w:t>
      </w:r>
    </w:p>
    <w:p w14:paraId="3E97D07B">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18</w:t>
      </w:r>
      <w:r>
        <w:rPr>
          <w:rFonts w:hint="eastAsia" w:ascii="Times New Roman" w:hAnsi="Times New Roman" w:eastAsia="仿宋_GB2312" w:cs="仿宋_GB2312"/>
          <w:color w:val="auto"/>
          <w:kern w:val="2"/>
          <w:sz w:val="32"/>
          <w:szCs w:val="32"/>
          <w:highlight w:val="none"/>
          <w:lang w:val="en-US" w:eastAsia="zh-CN" w:bidi="ar-SA"/>
        </w:rPr>
        <w:t>.经营支出：指事业单位在专业业务活动及其辅助活动之外开展非独立核算经营活动发生的支出。</w:t>
      </w:r>
    </w:p>
    <w:p w14:paraId="1FC36569">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19.“</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2DEC1ED9">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w:t>
      </w:r>
      <w:r>
        <w:rPr>
          <w:rFonts w:hint="eastAsia" w:ascii="Times New Roman" w:hAnsi="Times New Roman" w:eastAsia="仿宋_GB2312" w:cs="仿宋_GB2312"/>
          <w:color w:val="auto"/>
          <w:kern w:val="2"/>
          <w:sz w:val="32"/>
          <w:szCs w:val="32"/>
          <w:highlight w:val="none"/>
          <w:lang w:val="en-US" w:eastAsia="zh-CN" w:bidi="ar-SA"/>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4B2AC6B9">
      <w:pPr>
        <w:pageBreakBefore w:val="0"/>
        <w:kinsoku/>
        <w:overflowPunct/>
        <w:topLinePunct w:val="0"/>
        <w:bidi w:val="0"/>
        <w:spacing w:beforeAutospacing="0" w:after="120" w:afterAutospacing="0" w:line="240" w:lineRule="auto"/>
        <w:ind w:left="0" w:leftChars="0" w:right="0" w:firstLine="640" w:firstLineChars="200"/>
        <w:jc w:val="center"/>
        <w:textAlignment w:val="auto"/>
        <w:rPr>
          <w:rStyle w:val="31"/>
          <w:rFonts w:hint="eastAsia" w:ascii="Times New Roman" w:hAnsi="Times New Roman" w:eastAsia="黑体"/>
          <w:b w:val="0"/>
          <w:color w:val="auto"/>
          <w:highlight w:val="none"/>
          <w:lang w:eastAsia="zh-CN"/>
        </w:rPr>
      </w:pPr>
      <w:bookmarkStart w:id="59" w:name="_Toc15377226"/>
      <w:r>
        <w:rPr>
          <w:rFonts w:hint="eastAsia" w:ascii="Times New Roman" w:hAnsi="Times New Roman" w:eastAsia="仿宋_GB2312" w:cs="仿宋_GB2312"/>
          <w:color w:val="auto"/>
          <w:kern w:val="2"/>
          <w:sz w:val="32"/>
          <w:szCs w:val="32"/>
          <w:highlight w:val="none"/>
          <w:lang w:val="en-US" w:eastAsia="zh-CN" w:bidi="ar-SA"/>
        </w:rPr>
        <w:br w:type="page"/>
      </w:r>
      <w:bookmarkStart w:id="60" w:name="_Toc15396614"/>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60"/>
    </w:p>
    <w:p w14:paraId="2514775F">
      <w:pPr>
        <w:keepNext w:val="0"/>
        <w:keepLines w:val="0"/>
        <w:pageBreakBefore w:val="0"/>
        <w:kinsoku/>
        <w:wordWrap/>
        <w:overflowPunct/>
        <w:topLinePunct w:val="0"/>
        <w:autoSpaceDE/>
        <w:autoSpaceDN/>
        <w:bidi w:val="0"/>
        <w:spacing w:beforeAutospacing="0" w:after="120" w:afterAutospacing="0" w:line="240" w:lineRule="auto"/>
        <w:ind w:left="0" w:leftChars="0" w:right="0" w:firstLine="640" w:firstLineChars="200"/>
        <w:jc w:val="left"/>
        <w:textAlignment w:val="auto"/>
        <w:outlineLvl w:val="0"/>
        <w:rPr>
          <w:rFonts w:hint="eastAsia" w:ascii="Times New Roman" w:hAnsi="Times New Roman" w:eastAsia="黑体" w:cs="黑体"/>
          <w:color w:val="FF0000"/>
          <w:sz w:val="32"/>
          <w:szCs w:val="32"/>
          <w:highlight w:val="none"/>
        </w:rPr>
      </w:pPr>
    </w:p>
    <w:p w14:paraId="3D258780">
      <w:pPr>
        <w:keepNext w:val="0"/>
        <w:keepLines w:val="0"/>
        <w:pageBreakBefore w:val="0"/>
        <w:kinsoku/>
        <w:wordWrap/>
        <w:overflowPunct/>
        <w:topLinePunct w:val="0"/>
        <w:autoSpaceDE/>
        <w:autoSpaceDN/>
        <w:bidi w:val="0"/>
        <w:spacing w:beforeAutospacing="0" w:after="120" w:afterAutospacing="0" w:line="240" w:lineRule="auto"/>
        <w:ind w:left="0" w:leftChars="0" w:right="0" w:firstLine="640" w:firstLineChars="200"/>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14:paraId="69251310">
      <w:pPr>
        <w:keepNext w:val="0"/>
        <w:keepLines w:val="0"/>
        <w:pageBreakBefore w:val="0"/>
        <w:widowControl/>
        <w:kinsoku/>
        <w:wordWrap/>
        <w:overflowPunct/>
        <w:topLinePunct w:val="0"/>
        <w:autoSpaceDE/>
        <w:autoSpaceDN/>
        <w:bidi w:val="0"/>
        <w:spacing w:beforeAutospacing="0" w:after="120" w:afterAutospacing="0" w:line="240" w:lineRule="auto"/>
        <w:ind w:left="0" w:leftChars="0" w:right="0" w:firstLine="880" w:firstLineChars="200"/>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lang w:val="en-US" w:eastAsia="zh-CN"/>
        </w:rPr>
      </w:pPr>
      <w:r>
        <w:rPr>
          <w:rFonts w:hint="eastAsia" w:eastAsia="方正小标宋简体" w:cs="Times New Roman"/>
          <w:b w:val="0"/>
          <w:bCs/>
          <w:sz w:val="44"/>
          <w:szCs w:val="44"/>
          <w:highlight w:val="none"/>
          <w:shd w:val="clear" w:color="auto" w:fill="FFFFFF"/>
          <w:lang w:val="en-US" w:eastAsia="zh-CN"/>
        </w:rPr>
        <w:t>红原县阿木乡人民政府</w:t>
      </w:r>
    </w:p>
    <w:p w14:paraId="26652346">
      <w:pPr>
        <w:keepNext w:val="0"/>
        <w:keepLines w:val="0"/>
        <w:pageBreakBefore w:val="0"/>
        <w:widowControl/>
        <w:kinsoku/>
        <w:wordWrap/>
        <w:overflowPunct/>
        <w:topLinePunct w:val="0"/>
        <w:autoSpaceDE/>
        <w:autoSpaceDN/>
        <w:bidi w:val="0"/>
        <w:spacing w:beforeAutospacing="0" w:after="120" w:afterAutospacing="0" w:line="240" w:lineRule="auto"/>
        <w:ind w:left="0" w:leftChars="0" w:right="0" w:firstLine="880" w:firstLineChars="200"/>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r>
        <w:rPr>
          <w:rFonts w:hint="default" w:ascii="Times New Roman" w:hAnsi="Times New Roman" w:eastAsia="方正小标宋简体" w:cs="Times New Roman"/>
          <w:b w:val="0"/>
          <w:bCs/>
          <w:sz w:val="44"/>
          <w:szCs w:val="44"/>
          <w:highlight w:val="none"/>
          <w:shd w:val="clear" w:color="auto" w:fill="FFFFFF"/>
        </w:rPr>
        <w:t>部门</w:t>
      </w:r>
      <w:r>
        <w:rPr>
          <w:rFonts w:hint="default" w:ascii="Times New Roman" w:hAnsi="Times New Roman" w:eastAsia="方正小标宋简体" w:cs="Times New Roman"/>
          <w:b w:val="0"/>
          <w:bCs/>
          <w:sz w:val="44"/>
          <w:szCs w:val="44"/>
          <w:highlight w:val="none"/>
          <w:shd w:val="clear" w:color="auto" w:fill="FFFFFF"/>
          <w:lang w:eastAsia="zh-CN"/>
        </w:rPr>
        <w:t>预算</w:t>
      </w:r>
      <w:r>
        <w:rPr>
          <w:rFonts w:hint="default" w:ascii="Times New Roman" w:hAnsi="Times New Roman" w:eastAsia="方正小标宋简体" w:cs="Times New Roman"/>
          <w:b w:val="0"/>
          <w:bCs/>
          <w:sz w:val="44"/>
          <w:szCs w:val="44"/>
          <w:highlight w:val="none"/>
          <w:shd w:val="clear" w:color="auto" w:fill="FFFFFF"/>
        </w:rPr>
        <w:t>绩效</w:t>
      </w:r>
      <w:r>
        <w:rPr>
          <w:rFonts w:hint="eastAsia" w:ascii="Times New Roman" w:hAnsi="Times New Roman" w:eastAsia="方正小标宋简体" w:cs="Times New Roman"/>
          <w:b w:val="0"/>
          <w:bCs/>
          <w:sz w:val="44"/>
          <w:szCs w:val="44"/>
          <w:highlight w:val="none"/>
          <w:shd w:val="clear" w:color="auto" w:fill="FFFFFF"/>
          <w:lang w:eastAsia="zh-CN"/>
        </w:rPr>
        <w:t>评价</w:t>
      </w:r>
      <w:r>
        <w:rPr>
          <w:rFonts w:hint="default" w:ascii="Times New Roman" w:hAnsi="Times New Roman" w:eastAsia="方正小标宋简体" w:cs="Times New Roman"/>
          <w:b w:val="0"/>
          <w:bCs/>
          <w:sz w:val="44"/>
          <w:szCs w:val="44"/>
          <w:highlight w:val="none"/>
          <w:shd w:val="clear" w:color="auto" w:fill="FFFFFF"/>
        </w:rPr>
        <w:t>报告</w:t>
      </w:r>
    </w:p>
    <w:p w14:paraId="7A5CF066">
      <w:pPr>
        <w:keepNext w:val="0"/>
        <w:keepLines w:val="0"/>
        <w:pageBreakBefore w:val="0"/>
        <w:widowControl/>
        <w:kinsoku/>
        <w:wordWrap/>
        <w:overflowPunct/>
        <w:topLinePunct w:val="0"/>
        <w:autoSpaceDE/>
        <w:autoSpaceDN/>
        <w:bidi w:val="0"/>
        <w:adjustRightInd w:val="0"/>
        <w:snapToGrid w:val="0"/>
        <w:spacing w:beforeAutospacing="0" w:after="120" w:afterAutospacing="0" w:line="240" w:lineRule="auto"/>
        <w:ind w:left="0" w:leftChars="0" w:right="0" w:firstLine="480" w:firstLineChars="200"/>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14:paraId="0BFDE199">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14:paraId="5D202268">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120" w:afterAutospacing="0" w:line="240" w:lineRule="auto"/>
        <w:ind w:left="0" w:leftChars="0" w:right="0" w:firstLine="643" w:firstLineChars="200"/>
        <w:contextualSpacing/>
        <w:jc w:val="left"/>
        <w:textAlignment w:val="auto"/>
        <w:outlineLvl w:val="9"/>
        <w:rPr>
          <w:rFonts w:hint="eastAsia" w:ascii="Times New Roman" w:hAnsi="Times New Roman" w:eastAsia="楷体_GB2312" w:cs="楷体_GB2312"/>
          <w:b/>
          <w:color w:val="auto"/>
          <w:sz w:val="32"/>
          <w:szCs w:val="32"/>
          <w:highlight w:val="none"/>
          <w:lang w:val="zh-CN"/>
        </w:rPr>
      </w:pPr>
      <w:r>
        <w:rPr>
          <w:rFonts w:hint="eastAsia" w:ascii="Times New Roman" w:hAnsi="Times New Roman" w:eastAsia="楷体_GB2312" w:cs="楷体_GB2312"/>
          <w:b/>
          <w:color w:val="auto"/>
          <w:sz w:val="32"/>
          <w:szCs w:val="32"/>
          <w:highlight w:val="none"/>
          <w:lang w:val="zh-CN"/>
        </w:rPr>
        <w:t>（一）机构组成。红原县阿木乡人民政府内设机构及下属单位情况。</w:t>
      </w:r>
    </w:p>
    <w:p w14:paraId="0F148F1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jc w:val="left"/>
        <w:textAlignment w:val="auto"/>
        <w:rPr>
          <w:rFonts w:hint="default" w:ascii="方正仿宋_GBK" w:hAnsi="方正仿宋_GBK" w:eastAsia="方正仿宋_GBK" w:cs="方正仿宋_GBK"/>
          <w:i w:val="0"/>
          <w:iCs w:val="0"/>
          <w:caps w:val="0"/>
          <w:color w:val="333333"/>
          <w:spacing w:val="0"/>
          <w:sz w:val="32"/>
          <w:szCs w:val="32"/>
          <w:shd w:val="clear" w:fill="FFFFFF"/>
          <w:lang w:val="en-US" w:eastAsia="zh-CN"/>
        </w:rPr>
      </w:pPr>
      <w:r>
        <w:rPr>
          <w:rFonts w:hint="eastAsia" w:ascii="方正仿宋_GBK" w:hAnsi="方正仿宋_GBK" w:eastAsia="方正仿宋_GBK" w:cs="方正仿宋_GBK"/>
          <w:i w:val="0"/>
          <w:iCs w:val="0"/>
          <w:caps w:val="0"/>
          <w:color w:val="333333"/>
          <w:spacing w:val="0"/>
          <w:sz w:val="32"/>
          <w:szCs w:val="32"/>
          <w:shd w:val="clear" w:fill="FFFFFF"/>
          <w:lang w:val="zh-CN" w:eastAsia="zh-CN"/>
        </w:rPr>
        <w:t>红原县阿木乡人民政府</w:t>
      </w:r>
      <w:r>
        <w:rPr>
          <w:rFonts w:hint="eastAsia" w:ascii="方正仿宋_GBK" w:hAnsi="方正仿宋_GBK" w:eastAsia="方正仿宋_GBK" w:cs="方正仿宋_GBK"/>
          <w:i w:val="0"/>
          <w:iCs w:val="0"/>
          <w:caps w:val="0"/>
          <w:color w:val="333333"/>
          <w:spacing w:val="0"/>
          <w:sz w:val="32"/>
          <w:szCs w:val="32"/>
          <w:shd w:val="clear" w:fill="FFFFFF"/>
          <w:lang w:val="en-US" w:eastAsia="zh-CN"/>
        </w:rPr>
        <w:t>为独立核算全额拨款行政单位，共设内设机构5个，分别为：党政和群团工作办公室、党建工作办公室、应急管理和综合行政执法办公室、经济发展和乡村振兴办公室、社会治理和维护稳定办公室；直属事业单位3个，分别为：便民服务中心、农业农村服务中心、社会事务和退役军人服务中心。</w:t>
      </w:r>
    </w:p>
    <w:p w14:paraId="0DC0B8BA">
      <w:pPr>
        <w:keepNext w:val="0"/>
        <w:keepLines w:val="0"/>
        <w:pageBreakBefore w:val="0"/>
        <w:widowControl/>
        <w:kinsoku/>
        <w:wordWrap/>
        <w:overflowPunct/>
        <w:topLinePunct w:val="0"/>
        <w:autoSpaceDE/>
        <w:autoSpaceDN/>
        <w:bidi w:val="0"/>
        <w:adjustRightInd w:val="0"/>
        <w:snapToGrid w:val="0"/>
        <w:spacing w:beforeAutospacing="0" w:after="120" w:afterAutospacing="0" w:line="240" w:lineRule="auto"/>
        <w:ind w:left="0" w:leftChars="0" w:right="0" w:firstLine="643" w:firstLineChars="200"/>
        <w:contextualSpacing/>
        <w:jc w:val="left"/>
        <w:textAlignment w:val="auto"/>
        <w:outlineLvl w:val="9"/>
        <w:rPr>
          <w:rFonts w:hint="default" w:ascii="Times New Roman" w:hAnsi="Times New Roman" w:eastAsia="楷体_GB2312" w:cs="楷体_GB2312"/>
          <w:b/>
          <w:color w:val="auto"/>
          <w:sz w:val="32"/>
          <w:szCs w:val="32"/>
          <w:highlight w:val="none"/>
          <w:lang w:val="zh-CN"/>
        </w:rPr>
      </w:pPr>
      <w:r>
        <w:rPr>
          <w:rFonts w:hint="default" w:ascii="Times New Roman" w:hAnsi="Times New Roman" w:eastAsia="楷体_GB2312" w:cs="楷体_GB2312"/>
          <w:b/>
          <w:color w:val="auto"/>
          <w:sz w:val="32"/>
          <w:szCs w:val="32"/>
          <w:highlight w:val="none"/>
          <w:lang w:val="zh-CN"/>
        </w:rPr>
        <w:t>（二）机构职能。</w:t>
      </w:r>
    </w:p>
    <w:p w14:paraId="0E52535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根据上述职责和《红原县机构改革方案》(红委〔2024〕14号)文件精神，阿木乡设下列内设机构。</w:t>
      </w:r>
    </w:p>
    <w:p w14:paraId="45172F6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lang w:val="en-US" w:eastAsia="zh-CN"/>
        </w:rPr>
        <w:t>1.</w:t>
      </w:r>
      <w:r>
        <w:rPr>
          <w:rFonts w:hint="eastAsia" w:ascii="方正仿宋_GBK" w:hAnsi="方正仿宋_GBK" w:eastAsia="方正仿宋_GBK" w:cs="方正仿宋_GBK"/>
          <w:i w:val="0"/>
          <w:iCs w:val="0"/>
          <w:caps w:val="0"/>
          <w:color w:val="333333"/>
          <w:spacing w:val="0"/>
          <w:sz w:val="32"/>
          <w:szCs w:val="32"/>
          <w:shd w:val="clear" w:fill="FFFFFF"/>
        </w:rPr>
        <w:t>党政和群团工作办公室（负责人：李丹）</w:t>
      </w:r>
    </w:p>
    <w:p w14:paraId="7E51F82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综合协调机关政务工作，负责乡党委、乡人大、乡政府日常事务性工作和群团相关工作，主要职责为：</w:t>
      </w:r>
    </w:p>
    <w:p w14:paraId="28F64DD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(1)负责重大问题归口报告，做好上传下达工作；根据乡党委、乡政府意见组织起草党委、政府工作计划、报告、决定总结等文件或材料；</w:t>
      </w:r>
    </w:p>
    <w:p w14:paraId="28A4AC3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(2)负责本单位各内设机构工作的综合协调，确保各内设机构正常运转；</w:t>
      </w:r>
    </w:p>
    <w:p w14:paraId="6DFAE4E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(3)负责征集、整理、组织编写本乡党史、史志、年鉴等资料；</w:t>
      </w:r>
    </w:p>
    <w:p w14:paraId="55A124A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(4)负责文件收发、公文处理、组织制订各项规章制度，发布行政事务通知、通告；</w:t>
      </w:r>
    </w:p>
    <w:p w14:paraId="34F1052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(5)负责安排各类会议和会务等；</w:t>
      </w:r>
    </w:p>
    <w:p w14:paraId="5387FEC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(6)负责政务信息、政务公开、档案管理工作；</w:t>
      </w:r>
    </w:p>
    <w:p w14:paraId="6540442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(7)严格按照国家有关规定做好机要事务处理和保密工作；</w:t>
      </w:r>
    </w:p>
    <w:p w14:paraId="79AEB6F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(8)负责机关日常考勤、公车管理、食堂管理等后勤保障工作；</w:t>
      </w:r>
    </w:p>
    <w:p w14:paraId="68EA7CF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(9)负责乡人大主席团和人大代表的联络工作；</w:t>
      </w:r>
    </w:p>
    <w:p w14:paraId="0E19F0E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(IO)负责本单位的工会、共青团、妇联、红十字会、工商联等群团工作；</w:t>
      </w:r>
    </w:p>
    <w:p w14:paraId="017CF10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(11)负责联络对接好村两委工作，做好县、乡、村三级工作协调；</w:t>
      </w:r>
    </w:p>
    <w:p w14:paraId="68FB2E1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(12)组织制订和监督实施机关内部各项规章制度；</w:t>
      </w:r>
    </w:p>
    <w:p w14:paraId="45E5792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(13)负责机关干部职工考勤工作、目标考核、干部考核、人员编制管理等工作；^</w:t>
      </w:r>
    </w:p>
    <w:p w14:paraId="07EC742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(14)负责行政区划、行政区划界线和地名管理有关政策的实施；</w:t>
      </w:r>
    </w:p>
    <w:p w14:paraId="0116F73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(15)完成乡党委、乡人大、乡政府交办的其他工作任务。</w:t>
      </w:r>
    </w:p>
    <w:p w14:paraId="162DC89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lang w:val="en-US" w:eastAsia="zh-CN"/>
        </w:rPr>
        <w:t>2.</w:t>
      </w:r>
      <w:r>
        <w:rPr>
          <w:rFonts w:hint="eastAsia" w:ascii="方正仿宋_GBK" w:hAnsi="方正仿宋_GBK" w:eastAsia="方正仿宋_GBK" w:cs="方正仿宋_GBK"/>
          <w:i w:val="0"/>
          <w:iCs w:val="0"/>
          <w:caps w:val="0"/>
          <w:color w:val="333333"/>
          <w:spacing w:val="0"/>
          <w:sz w:val="32"/>
          <w:szCs w:val="32"/>
          <w:shd w:val="clear" w:fill="FFFFFF"/>
        </w:rPr>
        <w:t>党建工作办公室（负责人：邹双全）</w:t>
      </w:r>
    </w:p>
    <w:p w14:paraId="40202A6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统筹推进基层党的建设、党风廉政、意识形态、对外宣传、精神文明等工作，主要职责为：</w:t>
      </w:r>
    </w:p>
    <w:p w14:paraId="11BB04B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(1)负责统筹谋划、组织实施基层党组织建设工作；</w:t>
      </w:r>
    </w:p>
    <w:p w14:paraId="4C72A22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(2)负责宣传执行党的路线、方针、政策，宣传执行上级党组织、上级组织部门决定决议及工作安排；</w:t>
      </w:r>
    </w:p>
    <w:p w14:paraId="1FCB5F0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(3)负责党的政治建设、组织建设、队伍建设、能力建设、作风建设、教育培训、农村党支部建设标准化、抓党建促乡村振兴等工作；</w:t>
      </w:r>
    </w:p>
    <w:p w14:paraId="0740C10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（4）对基层党组织换届选举工作进行指导；</w:t>
      </w:r>
    </w:p>
    <w:p w14:paraId="558A3E1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（5）指导村委会民主选举、民主决策、民主管理、民主监督工作，负责完善党组织领导下的村民自治工作；</w:t>
      </w:r>
    </w:p>
    <w:p w14:paraId="5A89417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（6）指导做好党员教育、管理、发展工作；</w:t>
      </w:r>
    </w:p>
    <w:p w14:paraId="2632C5A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（7）负责本乡党内统计、组织关系接转等工作，做好党费收缴、管理和使用工作；</w:t>
      </w:r>
    </w:p>
    <w:p w14:paraId="3717792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（8）负责推进"两学一做"学习教育常态化制度化，检查指导基层党组织坚持党的民主生活会制度、组织生活会制度及"三会一课"等各项党内制度的执行；</w:t>
      </w:r>
    </w:p>
    <w:p w14:paraId="66E4CE0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（9）负责机关人事、人力资源发展，负责全乡人才工作政策宣传和人才引进管理服务，加强后备人才培养储备；</w:t>
      </w:r>
    </w:p>
    <w:p w14:paraId="1D53EBE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（10）负责本乡精神文明建设和意识形态工作；抓好对党员干部党的理论政策、党纪政纪宣传教育、党风廉政宣传教育、精神文明创建宣传教育，抓好相关制度建设；</w:t>
      </w:r>
    </w:p>
    <w:p w14:paraId="6D0587B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（11）负责指导工会、团委、妇联等群团组织工作；</w:t>
      </w:r>
    </w:p>
    <w:p w14:paraId="644563B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（12）完成乡党委、乡政府交办的其他工作任务。</w:t>
      </w:r>
    </w:p>
    <w:p w14:paraId="38DB381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lang w:val="en-US" w:eastAsia="zh-CN"/>
        </w:rPr>
        <w:t>3.</w:t>
      </w:r>
      <w:r>
        <w:rPr>
          <w:rFonts w:hint="eastAsia" w:ascii="方正仿宋_GBK" w:hAnsi="方正仿宋_GBK" w:eastAsia="方正仿宋_GBK" w:cs="方正仿宋_GBK"/>
          <w:i w:val="0"/>
          <w:iCs w:val="0"/>
          <w:caps w:val="0"/>
          <w:color w:val="333333"/>
          <w:spacing w:val="0"/>
          <w:sz w:val="32"/>
          <w:szCs w:val="32"/>
          <w:shd w:val="clear" w:fill="FFFFFF"/>
        </w:rPr>
        <w:t>社会治理和维护稳定办公室（负责人：索朗兰美）</w:t>
      </w:r>
    </w:p>
    <w:p w14:paraId="60BAFFC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负责社会治安综合治理、维护稳定、统一战线、寺庙管理、民族宗教、群众信访等工作，主要职责为：</w:t>
      </w:r>
    </w:p>
    <w:p w14:paraId="135B433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贯彻落实中央、省、州、县、乡维护稳定工作的指示和部署，贯彻落实统一战线、寺庙管理、民族宗教的决策部署。充分发挥统战工作的优势推进地方稳定工作，积极组织统战成员服务于地方社会事业建设，加强党外干部、党外知识分子和党外代表人士的队伍建设，关心党外人士和民主党派成员的工作和生活，充分发挥他们在地方建设和维护稳定中的积极作用；</w:t>
      </w:r>
    </w:p>
    <w:p w14:paraId="591D55F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（2）负责贯彻落实国家有关社会治安综合治理的法律法规、方针政策，牵头推进辖区社会基层治理，制订本乡综治年度工作计划及阶段性工作方案，协调解决影响社会稳定和社会治安的重点、难点、热点问题；</w:t>
      </w:r>
    </w:p>
    <w:p w14:paraId="799E727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（3）负责基层治理信息收集、分析研判、风险评估、督办反馈等工作；</w:t>
      </w:r>
    </w:p>
    <w:p w14:paraId="228B5B2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（4）负责指导好乡、村调解委员会工作。负责辖区矛盾纠纷的摸排和处理，切实化解各类矛盾纠纷和信访诉求，及时上报事关大局和影响全局的信访矛盾纠纷；</w:t>
      </w:r>
    </w:p>
    <w:p w14:paraId="25F2FAE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（5）负责本乡"微网实格”工作及日常事务管理，组织、协调、指导乡、村（社区）网格化服务管理工作；</w:t>
      </w:r>
    </w:p>
    <w:p w14:paraId="5CEE179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（6）负责社会治安综合治理、维护稳定、群众信访等工作；</w:t>
      </w:r>
    </w:p>
    <w:p w14:paraId="2F2CA71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（7）负责组织实施居民最低生活保障、医疗救助、临时救助、城乡医保、社会保险、残疾人康复和救助及辖区的劳动保障、农民工权益保障、就业等工作；</w:t>
      </w:r>
    </w:p>
    <w:p w14:paraId="5DDE33F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（8）负责协调推进本乡法治建设，协调指导本乡开展重大行政决策、行政规范性文件、重大合同合法性审查审核等工作，指导推动普法宣传和法治文化建设等司法工作；</w:t>
      </w:r>
    </w:p>
    <w:p w14:paraId="47C371E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（9）定期检查、指导、督促辖区内综治工作落实情况；</w:t>
      </w:r>
    </w:p>
    <w:p w14:paraId="3242301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(10)依法收集、登记、核实、上报、处理辖区社情民意、矛盾纠纷、社会治安、安全隐患、政治稳定、民族宗教、寺庙管理等情况，及时向乡党委、乡政府和县维稳办报告影响稳定的重大问题和重要情况；</w:t>
      </w:r>
    </w:p>
    <w:p w14:paraId="6E6889F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(11)加强调查研究、定期对全乡影响稳定的情况进行分析预测，及时向乡党委和乡政府提出超前性、预警性的工作建议,对全乡维护稳定工作进行协调、检查和督办，指导全乡各单位的维稳工作；</w:t>
      </w:r>
    </w:p>
    <w:p w14:paraId="60B657C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(12)在敏感期、党和国家重大政治活动和重大节日期间，制定重大事件处置预案、维稳工作方案，及时向乡党委、乡政府提出工作意见，协调有关部门做好安全稳定工作；</w:t>
      </w:r>
    </w:p>
    <w:p w14:paraId="6987E32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(13)对全乡可能发生的群体性事件，协调组织制定和完善处置工作预案，向乡党委、乡政府提出工作措施建议。对发生的群体性事件，及时准确掌握情报信息，积极协调有关部门依法妥善处置；</w:t>
      </w:r>
    </w:p>
    <w:p w14:paraId="6176D62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(14)主动为非公企业做好服务协调工作，积极宣传有关政策法规，努力维护他们的合法权益；引导非公企业在经济发展和社会稳定中发挥积极的作用；</w:t>
      </w:r>
    </w:p>
    <w:p w14:paraId="04BD48D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(15)完成乡党委、乡政府交办的其他工作任务。</w:t>
      </w:r>
    </w:p>
    <w:p w14:paraId="2C2E321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lang w:val="en-US" w:eastAsia="zh-CN"/>
        </w:rPr>
        <w:t>4.</w:t>
      </w:r>
      <w:r>
        <w:rPr>
          <w:rFonts w:hint="eastAsia" w:ascii="方正仿宋_GBK" w:hAnsi="方正仿宋_GBK" w:eastAsia="方正仿宋_GBK" w:cs="方正仿宋_GBK"/>
          <w:i w:val="0"/>
          <w:iCs w:val="0"/>
          <w:caps w:val="0"/>
          <w:color w:val="333333"/>
          <w:spacing w:val="0"/>
          <w:sz w:val="32"/>
          <w:szCs w:val="32"/>
          <w:shd w:val="clear" w:fill="FFFFFF"/>
        </w:rPr>
        <w:t>经济发展和乡村振兴办公室（负责人：蒲世超）</w:t>
      </w:r>
    </w:p>
    <w:p w14:paraId="1F720DB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统筹推进经济发展、商务工作、乡村振兴、生态环境、市政规划建设、财政等工作，主要职责为：</w:t>
      </w:r>
    </w:p>
    <w:p w14:paraId="24B33A7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(1)贯彻执行国家财政、税收、物价、审计等方面方针、政策、法规，大力开展宣传工作，依法管理和监督乡内各类生产经营活动，维护企业和生产者的合法权益；</w:t>
      </w:r>
    </w:p>
    <w:p w14:paraId="4409A17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(2)负责集体资产与村级财务的管理指导，加强村集体产权制度改革指导和后期管理监督指导工作，加强村级财务的管理指导工作，管理乡行政事业单位和其他组织的各类固定资产、财政资金等工作；</w:t>
      </w:r>
    </w:p>
    <w:p w14:paraId="610792D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(3)负责贯彻落实上级乡村振兴战略政策措施，拟订全乡乡村振兴工作目标、工作措施、发展规划、目标任务和年度计划,并组织实施；</w:t>
      </w:r>
    </w:p>
    <w:p w14:paraId="658CAAA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(4)负责制定辖区内农牧业经济、产业化发展、工业、商贸流通、三产服务、脱贫攻坚、乡村振兴、生态环境保护、市政建设、保护方面的总体规划和年度计划并组织实施；</w:t>
      </w:r>
    </w:p>
    <w:p w14:paraId="57FBFD3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(5)负责各级预算和财政资金项目建设和推进工作；</w:t>
      </w:r>
    </w:p>
    <w:p w14:paraId="0FAC29A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(6)负责全乡各类项目储备、申报、招投标、日常管理、组织实施等工作；</w:t>
      </w:r>
    </w:p>
    <w:p w14:paraId="682A7B3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(7)负责本行政区域的各类工程项目建设的审批、管理、推进等工作；</w:t>
      </w:r>
    </w:p>
    <w:p w14:paraId="34B1C81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(8)负责城市建设、村庄建设、市政公用设施建设、农村基础设施建设；</w:t>
      </w:r>
    </w:p>
    <w:p w14:paraId="3A4A4C8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(9)负责招商政策宣传和组织、协调、推进招商引资活动；</w:t>
      </w:r>
    </w:p>
    <w:p w14:paraId="2E950FC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(10)负责工业和信息化管理、社会经济组织管理等；</w:t>
      </w:r>
    </w:p>
    <w:p w14:paraId="3A31BC1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(II)负责旅游产业发展，统筹规划和负责文化、旅游、文物、体育事业发展；</w:t>
      </w:r>
    </w:p>
    <w:p w14:paraId="128B483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(12)负责国土资源、矿产资源、林业资源、草原资源、水利资源、砂石资源、河道资源等的管理工作；</w:t>
      </w:r>
    </w:p>
    <w:p w14:paraId="0D57CEC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(13)负责农村宅基地和承包草场的管理，严禁改变土地用途；</w:t>
      </w:r>
    </w:p>
    <w:p w14:paraId="795B424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(14)加强饮用水管理，确保安全用水；</w:t>
      </w:r>
    </w:p>
    <w:p w14:paraId="544C390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(15)加强草原保护工作，做好草原病虫害防治、草原荒漠化、草原退化等防治工作；</w:t>
      </w:r>
    </w:p>
    <w:p w14:paraId="40CBB64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(16)负责加强森林和草原管护，严格落实护林防火工作责任制、草原防火工作责任制；</w:t>
      </w:r>
    </w:p>
    <w:p w14:paraId="693B4EF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(17)了解掌握辖区环境污染现状及治理状况，建立污染防治和节能减排档案，积极配合上级部门开展生态环境保护和治理工作；</w:t>
      </w:r>
    </w:p>
    <w:p w14:paraId="37557AD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(18)完成乡党委、乡政府交办的其他工作任务。</w:t>
      </w:r>
    </w:p>
    <w:p w14:paraId="6CF3598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lang w:val="en-US" w:eastAsia="zh-CN"/>
        </w:rPr>
        <w:t>5.</w:t>
      </w:r>
      <w:r>
        <w:rPr>
          <w:rFonts w:hint="eastAsia" w:ascii="方正仿宋_GBK" w:hAnsi="方正仿宋_GBK" w:eastAsia="方正仿宋_GBK" w:cs="方正仿宋_GBK"/>
          <w:i w:val="0"/>
          <w:iCs w:val="0"/>
          <w:caps w:val="0"/>
          <w:color w:val="333333"/>
          <w:spacing w:val="0"/>
          <w:sz w:val="32"/>
          <w:szCs w:val="32"/>
          <w:shd w:val="clear" w:fill="FFFFFF"/>
        </w:rPr>
        <w:t>应急管理和综合行政执法办公室（负责人：蒲世超）</w:t>
      </w:r>
    </w:p>
    <w:p w14:paraId="157B809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负责处理应急管理、综合行政执法、道路交通、安全生产监督管理、食品药品安全、残疾人管理、统计、人民武装、依法行政、基层治理、退伍军人事务等行政事务工作，主要职责为：</w:t>
      </w:r>
    </w:p>
    <w:p w14:paraId="6E2F579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贯彻党和国家关于教育、科学、卫生健康、民政、劳动保障、道路交通、安全生产、食品药品安全、残疾人管理、统计、应急管理、人民武装、退伍军人事务等方面的方针政策和法律法规，制定相关工作规划、年度计划并组织实施；</w:t>
      </w:r>
    </w:p>
    <w:p w14:paraId="0EE8AA9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（2）负责各类公共安全和突发事件的应急预案制定、推演、演练及相关工作的物资储备、调运和统筹，组织编制本乡应急总体预案及规划，建立灾情报告系统并统一发布灾情；</w:t>
      </w:r>
    </w:p>
    <w:p w14:paraId="7F826EB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3）负责辖区安全生产、应急管理、防灾减灾、抗震救灾、防汛抗旱、地质灾害、消防安全、道路交通安全、公共卫生、危险化学品安全、食（药）品安全等日常监管和各类突发事件应急处置、救灾救济组织等工作；</w:t>
      </w:r>
    </w:p>
    <w:p w14:paraId="7AC01B5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（4）负责全乡依法行政、法治宣传，贯彻落实综合行政执法领域各项方针政策、法律法规、规章制度，协助县级行政执法部门开展好行政执法相关工作；</w:t>
      </w:r>
    </w:p>
    <w:p w14:paraId="632D561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（5）负责统筹协调各驻乡单位（站所）、县级部门派出执法力量和资源，履行明确赋予或授权乡镇的行政执法职责；</w:t>
      </w:r>
    </w:p>
    <w:p w14:paraId="7A49DFF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（6）负责辖区内行政执法的日常监督管理、行政复议及行政诉讼应诉工作，统一指挥和协调辖反内的派驻执法力量和基层执法力量，实行联合执法；</w:t>
      </w:r>
    </w:p>
    <w:p w14:paraId="7389EE9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（7）负责辖区市场监督管理工作，负责生产、流通及餐饮服务环节食（药）品安全综合协调工作，承担消费者权益保护责任；</w:t>
      </w:r>
    </w:p>
    <w:p w14:paraId="4C30E38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（8）在法律法规和上级人民政府的授权下行使行政执法权，负责乡内的综合行政执法工作；</w:t>
      </w:r>
    </w:p>
    <w:p w14:paraId="2F3A7A1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（9）完成乡党委、乡政府交办的其他工作任务。</w:t>
      </w:r>
    </w:p>
    <w:p w14:paraId="4E68FCB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3" w:firstLineChars="200"/>
        <w:textAlignment w:val="auto"/>
        <w:rPr>
          <w:rFonts w:hint="eastAsia" w:ascii="方正楷体_GBK" w:hAnsi="方正楷体_GBK" w:eastAsia="方正楷体_GBK" w:cs="方正楷体_GBK"/>
          <w:b/>
          <w:bCs/>
          <w:i w:val="0"/>
          <w:iCs w:val="0"/>
          <w:caps w:val="0"/>
          <w:color w:val="333333"/>
          <w:spacing w:val="0"/>
          <w:sz w:val="32"/>
          <w:szCs w:val="32"/>
        </w:rPr>
      </w:pPr>
      <w:r>
        <w:rPr>
          <w:rFonts w:hint="eastAsia" w:ascii="方正楷体_GBK" w:hAnsi="方正楷体_GBK" w:eastAsia="方正楷体_GBK" w:cs="方正楷体_GBK"/>
          <w:b/>
          <w:bCs/>
          <w:i w:val="0"/>
          <w:iCs w:val="0"/>
          <w:caps w:val="0"/>
          <w:color w:val="333333"/>
          <w:spacing w:val="0"/>
          <w:sz w:val="32"/>
          <w:szCs w:val="32"/>
          <w:shd w:val="clear" w:fill="FFFFFF"/>
          <w:lang w:val="en-US" w:eastAsia="zh-CN"/>
        </w:rPr>
        <w:t>（三）</w:t>
      </w:r>
      <w:r>
        <w:rPr>
          <w:rFonts w:hint="eastAsia" w:ascii="方正楷体_GBK" w:hAnsi="方正楷体_GBK" w:eastAsia="方正楷体_GBK" w:cs="方正楷体_GBK"/>
          <w:b/>
          <w:bCs/>
          <w:i w:val="0"/>
          <w:iCs w:val="0"/>
          <w:caps w:val="0"/>
          <w:color w:val="333333"/>
          <w:spacing w:val="0"/>
          <w:sz w:val="32"/>
          <w:szCs w:val="32"/>
          <w:shd w:val="clear" w:fill="FFFFFF"/>
        </w:rPr>
        <w:t>直属事业机构及职能</w:t>
      </w:r>
    </w:p>
    <w:p w14:paraId="46B1F1E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根据《红原县机构改革方案》（红委〔2024〕14号）文件精神，结合地方实际，阿木乡设下列事业机构。</w:t>
      </w:r>
    </w:p>
    <w:p w14:paraId="578603F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lang w:val="en-US" w:eastAsia="zh-CN"/>
        </w:rPr>
        <w:t>1.</w:t>
      </w:r>
      <w:r>
        <w:rPr>
          <w:rFonts w:hint="eastAsia" w:ascii="方正仿宋_GBK" w:hAnsi="方正仿宋_GBK" w:eastAsia="方正仿宋_GBK" w:cs="方正仿宋_GBK"/>
          <w:i w:val="0"/>
          <w:iCs w:val="0"/>
          <w:caps w:val="0"/>
          <w:color w:val="333333"/>
          <w:spacing w:val="0"/>
          <w:sz w:val="32"/>
          <w:szCs w:val="32"/>
          <w:shd w:val="clear" w:fill="FFFFFF"/>
        </w:rPr>
        <w:t>便民服务中心（负责人：谭雪梅）</w:t>
      </w:r>
    </w:p>
    <w:p w14:paraId="0298DA0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牵头承担乡便民服务、党群服务等工作，主要职责为：</w:t>
      </w:r>
    </w:p>
    <w:p w14:paraId="5E8ED37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（1）负责宣传各项惠民政策、法律法规，受理各类咨询、投诉、信息公开工作；</w:t>
      </w:r>
    </w:p>
    <w:p w14:paraId="44EF64F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（2）负责组织开展群众性文化体育活动，进行社会主义思想道德、党的方针政策、科技、文化、法制知识普及教育，活跃群众文化生活，指导村文化室工作；</w:t>
      </w:r>
    </w:p>
    <w:p w14:paraId="0A02D8E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（3）制定和组织实施各服务窗口的各项管理制度，简化工作流程，规范提高便民、利民服务水平；负责社会保障、教育、科学、卫生健康、旅游、体育、医疗保障、劳动保障、民政等社会事务具体办理工作；</w:t>
      </w:r>
    </w:p>
    <w:p w14:paraId="7B3D3A0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（4）会同有关部门，审查、受理、办理纳入便民服务大厅的所有审批、收费服务项目，检查协调各窗口部门按规定办理服务对象的审批事项；</w:t>
      </w:r>
    </w:p>
    <w:p w14:paraId="655171A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（5）协调和监督各窗口受理、办理的政务服务事项、适时通报服务工作情况；</w:t>
      </w:r>
    </w:p>
    <w:p w14:paraId="53E5208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（6）对进入便民服务中心的各窗口及其窗口工作人员进行日常管理和考核；</w:t>
      </w:r>
    </w:p>
    <w:p w14:paraId="4B14079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（7）受理公民、法人和其他组织对便民服务中心工作人员的投诉举报；</w:t>
      </w:r>
    </w:p>
    <w:p w14:paraId="146BB86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（8）负责对村（居委会）服务代办点工作的指导和监督；</w:t>
      </w:r>
    </w:p>
    <w:p w14:paraId="5E5B937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（9）负责广播电视的传输、维修、整治、扩展和管理，搞好中央、市、区广播电视节目的转播，围绕党委、政府中心工作开展宣传，为辖区内的"三个文明"建设营造良好的舆论环境服务;</w:t>
      </w:r>
    </w:p>
    <w:p w14:paraId="79C3CD0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（IO）完成乡党委、乡政府交办的其他工作任务</w:t>
      </w:r>
    </w:p>
    <w:p w14:paraId="3DDBD63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lang w:val="en-US" w:eastAsia="zh-CN"/>
        </w:rPr>
        <w:t>2.</w:t>
      </w:r>
      <w:r>
        <w:rPr>
          <w:rFonts w:hint="eastAsia" w:ascii="方正仿宋_GBK" w:hAnsi="方正仿宋_GBK" w:eastAsia="方正仿宋_GBK" w:cs="方正仿宋_GBK"/>
          <w:i w:val="0"/>
          <w:iCs w:val="0"/>
          <w:caps w:val="0"/>
          <w:color w:val="333333"/>
          <w:spacing w:val="0"/>
          <w:sz w:val="32"/>
          <w:szCs w:val="32"/>
          <w:shd w:val="clear" w:fill="FFFFFF"/>
        </w:rPr>
        <w:t>社会事务和退役军人服务中心（负责人：蒲世超）</w:t>
      </w:r>
    </w:p>
    <w:p w14:paraId="03C1635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负责全乡教育、科学、卫生健康、民政、劳动就业、社会保障、退役军人服务等社会事业服务性工作，主要职责为：</w:t>
      </w:r>
    </w:p>
    <w:p w14:paraId="6D7E5B7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（1）协助乡人武部开展国防教育、拥军优属、民兵整组、退伍人员安置等工作；</w:t>
      </w:r>
    </w:p>
    <w:p w14:paraId="6435892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（2）宣传贯彻退役军人有关政策法规，保障退役军人合法权益落实；建立健全本辖区退役军人基本信息台账，实行动态管理；</w:t>
      </w:r>
    </w:p>
    <w:p w14:paraId="5D744A9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（3）组织建立退役军人联系制度，掌握本辖区退役军人政策落实、主要诉求、帮扶解困等方面情况，开展常态化走访慰问、帮扶解困、化解矛盾和思想教育工作，加强日常报告和应急反馈；</w:t>
      </w:r>
    </w:p>
    <w:p w14:paraId="26191B7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（4）负责新型农村合作医疗和新型农村社会养老保险工作；开展失业、工伤、生育、养老、医疗保险、教育救助、医疗救助等服务工作；</w:t>
      </w:r>
    </w:p>
    <w:p w14:paraId="6C2DE0C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（5）负责民政救助工作。负责群众最低生活保障，救灾救济工作，落实农村五保供养政策。承担优抚救济、社会互助事务性和服务性工作；</w:t>
      </w:r>
    </w:p>
    <w:p w14:paraId="3EFF4BD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（6）负责授权范围内各项社会救助人员调查统计、申报工作，承担农村富余劳动力转移服务工作；</w:t>
      </w:r>
    </w:p>
    <w:p w14:paraId="1DD260E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（7）做好信访接待，资料建档归类工作；</w:t>
      </w:r>
    </w:p>
    <w:p w14:paraId="286D47B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（8）完成乡党委、乡政府交办的其他工作任务。</w:t>
      </w:r>
    </w:p>
    <w:p w14:paraId="5EFA623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lang w:val="en-US" w:eastAsia="zh-CN"/>
        </w:rPr>
        <w:t>3.</w:t>
      </w:r>
      <w:r>
        <w:rPr>
          <w:rFonts w:hint="eastAsia" w:ascii="方正仿宋_GBK" w:hAnsi="方正仿宋_GBK" w:eastAsia="方正仿宋_GBK" w:cs="方正仿宋_GBK"/>
          <w:i w:val="0"/>
          <w:iCs w:val="0"/>
          <w:caps w:val="0"/>
          <w:color w:val="333333"/>
          <w:spacing w:val="0"/>
          <w:sz w:val="32"/>
          <w:szCs w:val="32"/>
          <w:shd w:val="clear" w:fill="FFFFFF"/>
        </w:rPr>
        <w:t>农业农村服务中心(负责人：供秋卓玛）</w:t>
      </w:r>
    </w:p>
    <w:p w14:paraId="387B790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负责农技推广、农产品质量安全技术服务、畜牧兽医、畜牧业生产经济、合作社管理等工作，主要职责为：</w:t>
      </w:r>
    </w:p>
    <w:p w14:paraId="1F0B005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（1）贯彻执行党在牧区的一系列农牧业法律、法规和方针、政策；做好农科教结合协调工作；</w:t>
      </w:r>
    </w:p>
    <w:p w14:paraId="4A26D61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（2）编制乡农牧业（含种植、养殖业）和现代农牧业的发展规划、计划并组织实施；</w:t>
      </w:r>
    </w:p>
    <w:p w14:paraId="1BDF0E2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（3）负责农牧民负担的监督管理工作；</w:t>
      </w:r>
    </w:p>
    <w:p w14:paraId="6FC89BF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（4）负责组织实施农用运输车等农牧业机械的安全监理、农机培训等工作和农机维修行业的管理工作；</w:t>
      </w:r>
    </w:p>
    <w:p w14:paraId="19AAE99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（5）组织实施科研课题攻关与科研成果的引进、推广；</w:t>
      </w:r>
    </w:p>
    <w:p w14:paraId="796557E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（6）组织实施畜种改良、牧草改良的引进、试验、示范和推广，指导和协调畜牧业系列化服务体系建设；</w:t>
      </w:r>
    </w:p>
    <w:p w14:paraId="5D9ED45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(7)组织实施好现代畜牧业试点示范建设和后期畜牧业设施管理工作，加强暖棚、巷道圈、牧道、网围栏等设施设备的管护工作；</w:t>
      </w:r>
    </w:p>
    <w:p w14:paraId="0FAF0FF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(8)指导农牧业社会化服务体系建设和农村集体经济组织、合作经济组织、专合经济组织建设；</w:t>
      </w:r>
    </w:p>
    <w:p w14:paraId="42ACA0C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(9)指导好畜牧业产业化发展，引导牛、马、羊产业结构的合理调整，做好草场载畜能力的调查研究和牲畜数量的调整；</w:t>
      </w:r>
    </w:p>
    <w:p w14:paraId="3C0B1CD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(10)参与制定农村经济体制改革的方案；</w:t>
      </w:r>
    </w:p>
    <w:p w14:paraId="2DF2864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(11)做好牲畜防疫检疫、农产品安全检测、动物产地检疫、春秋两防、动物药物销售、出巡诊等服务工作；</w:t>
      </w:r>
    </w:p>
    <w:p w14:paraId="5F517E9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(12)做好畜牧兽医从业人员培训工作，加强业务人员技能提升工作；</w:t>
      </w:r>
    </w:p>
    <w:p w14:paraId="5706084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i w:val="0"/>
          <w:iCs w:val="0"/>
          <w:caps w:val="0"/>
          <w:color w:val="333333"/>
          <w:spacing w:val="0"/>
          <w:sz w:val="32"/>
          <w:szCs w:val="32"/>
        </w:rPr>
      </w:pPr>
      <w:r>
        <w:rPr>
          <w:rFonts w:hint="eastAsia" w:ascii="方正仿宋_GBK" w:hAnsi="方正仿宋_GBK" w:eastAsia="方正仿宋_GBK" w:cs="方正仿宋_GBK"/>
          <w:i w:val="0"/>
          <w:iCs w:val="0"/>
          <w:caps w:val="0"/>
          <w:color w:val="333333"/>
          <w:spacing w:val="0"/>
          <w:sz w:val="32"/>
          <w:szCs w:val="32"/>
          <w:shd w:val="clear" w:fill="FFFFFF"/>
        </w:rPr>
        <w:t>(13)落实好政策性卷牛保险工作，切实降低牧民牲畜死亡风险。加强病死牲畜的无害化处理，严禁病死牲畜流入市场和污案环境；</w:t>
      </w:r>
    </w:p>
    <w:p w14:paraId="077BF23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bidi w:val="0"/>
        <w:spacing w:before="0" w:beforeAutospacing="0" w:after="120" w:afterAutospacing="0" w:line="240" w:lineRule="auto"/>
        <w:ind w:left="0" w:leftChars="0" w:right="0" w:firstLine="640" w:firstLineChars="200"/>
        <w:textAlignment w:val="auto"/>
        <w:rPr>
          <w:rFonts w:hint="eastAsia" w:ascii="方正仿宋_GBK" w:hAnsi="方正仿宋_GBK" w:eastAsia="方正仿宋_GBK" w:cs="方正仿宋_GBK"/>
          <w:sz w:val="32"/>
          <w:szCs w:val="32"/>
          <w:lang w:val="zh-CN"/>
        </w:rPr>
      </w:pPr>
      <w:r>
        <w:rPr>
          <w:rFonts w:hint="eastAsia" w:ascii="方正仿宋_GBK" w:hAnsi="方正仿宋_GBK" w:eastAsia="方正仿宋_GBK" w:cs="方正仿宋_GBK"/>
          <w:i w:val="0"/>
          <w:iCs w:val="0"/>
          <w:caps w:val="0"/>
          <w:color w:val="333333"/>
          <w:spacing w:val="0"/>
          <w:sz w:val="32"/>
          <w:szCs w:val="32"/>
          <w:shd w:val="clear" w:fill="FFFFFF"/>
        </w:rPr>
        <w:t>(14)完成乡党委、乡政府交办的其他工作任务。</w:t>
      </w:r>
    </w:p>
    <w:p w14:paraId="0E5990A0">
      <w:pPr>
        <w:keepNext w:val="0"/>
        <w:keepLines w:val="0"/>
        <w:pageBreakBefore w:val="0"/>
        <w:widowControl/>
        <w:suppressLineNumbers w:val="0"/>
        <w:kinsoku/>
        <w:overflowPunct/>
        <w:topLinePunct w:val="0"/>
        <w:autoSpaceDE w:val="0"/>
        <w:autoSpaceDN/>
        <w:bidi w:val="0"/>
        <w:adjustRightInd w:val="0"/>
        <w:snapToGrid w:val="0"/>
        <w:spacing w:beforeAutospacing="0" w:after="120" w:afterAutospacing="0" w:line="240" w:lineRule="auto"/>
        <w:ind w:left="0" w:leftChars="0" w:right="0" w:firstLine="643" w:firstLineChars="200"/>
        <w:jc w:val="left"/>
        <w:textAlignment w:val="auto"/>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eastAsia="楷体_GB2312" w:cs="Times New Roman"/>
          <w:b/>
          <w:bCs/>
          <w:color w:val="000000"/>
          <w:kern w:val="0"/>
          <w:sz w:val="32"/>
          <w:szCs w:val="32"/>
          <w:highlight w:val="none"/>
          <w:shd w:val="clear" w:color="auto" w:fill="FFFFFF"/>
          <w:lang w:val="en-US" w:eastAsia="zh-CN"/>
        </w:rPr>
        <w:t>四</w:t>
      </w:r>
      <w:r>
        <w:rPr>
          <w:rFonts w:hint="default" w:ascii="Times New Roman" w:hAnsi="Times New Roman" w:eastAsia="楷体_GB2312" w:cs="Times New Roman"/>
          <w:b/>
          <w:bCs/>
          <w:color w:val="000000"/>
          <w:kern w:val="0"/>
          <w:sz w:val="32"/>
          <w:szCs w:val="32"/>
          <w:highlight w:val="none"/>
          <w:shd w:val="clear" w:color="auto" w:fill="FFFFFF"/>
          <w:lang w:val="zh-CN"/>
        </w:rPr>
        <w:t>）人员概况。</w:t>
      </w:r>
    </w:p>
    <w:p w14:paraId="416094AD">
      <w:pPr>
        <w:keepNext w:val="0"/>
        <w:keepLines w:val="0"/>
        <w:pageBreakBefore w:val="0"/>
        <w:widowControl/>
        <w:suppressLineNumbers w:val="0"/>
        <w:kinsoku/>
        <w:overflowPunct/>
        <w:topLinePunct w:val="0"/>
        <w:autoSpaceDE w:val="0"/>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仿宋_GB2312" w:hAnsi="宋体" w:eastAsia="仿宋_GB2312" w:cs="宋体"/>
          <w:color w:val="000000"/>
          <w:kern w:val="0"/>
          <w:sz w:val="32"/>
          <w:szCs w:val="32"/>
        </w:rPr>
      </w:pPr>
      <w:r>
        <w:rPr>
          <w:rFonts w:hint="default" w:ascii="仿宋_GB2312" w:hAnsi="宋体" w:eastAsia="仿宋_GB2312" w:cs="仿宋_GB2312"/>
          <w:color w:val="000000"/>
          <w:kern w:val="0"/>
          <w:sz w:val="32"/>
          <w:szCs w:val="32"/>
          <w:lang w:val="zh-CN" w:eastAsia="zh-CN" w:bidi="ar"/>
        </w:rPr>
        <w:t>截至2025年末</w:t>
      </w:r>
      <w:r>
        <w:rPr>
          <w:rFonts w:hint="eastAsia" w:ascii="仿宋_GB2312" w:hAnsi="宋体" w:eastAsia="仿宋_GB2312" w:cs="仿宋_GB2312"/>
          <w:color w:val="000000"/>
          <w:kern w:val="0"/>
          <w:sz w:val="32"/>
          <w:szCs w:val="32"/>
          <w:lang w:val="en-US" w:eastAsia="zh-CN" w:bidi="ar"/>
        </w:rPr>
        <w:t>，本单位机关行政编制18个，机关工勤编制1个；事业编制12个，其中：便民服务中心5个，农业农村服务中心5个，社会事务和退役军人服务中心2个。</w:t>
      </w:r>
    </w:p>
    <w:p w14:paraId="63A2B2FD">
      <w:pPr>
        <w:keepNext w:val="0"/>
        <w:keepLines w:val="0"/>
        <w:pageBreakBefore w:val="0"/>
        <w:widowControl/>
        <w:suppressLineNumbers w:val="0"/>
        <w:kinsoku/>
        <w:overflowPunct/>
        <w:topLinePunct w:val="0"/>
        <w:autoSpaceDE w:val="0"/>
        <w:autoSpaceDN/>
        <w:bidi w:val="0"/>
        <w:adjustRightInd w:val="0"/>
        <w:snapToGrid w:val="0"/>
        <w:spacing w:beforeAutospacing="0" w:after="120" w:afterAutospacing="0" w:line="240" w:lineRule="auto"/>
        <w:ind w:left="0" w:leftChars="0" w:right="0" w:firstLine="640" w:firstLineChars="200"/>
        <w:jc w:val="left"/>
        <w:textAlignment w:val="auto"/>
        <w:rPr>
          <w:rFonts w:hint="default"/>
        </w:rPr>
      </w:pPr>
      <w:r>
        <w:rPr>
          <w:rFonts w:hint="eastAsia" w:ascii="仿宋_GB2312" w:hAnsi="宋体" w:eastAsia="仿宋_GB2312" w:cs="仿宋_GB2312"/>
          <w:color w:val="000000"/>
          <w:kern w:val="0"/>
          <w:sz w:val="32"/>
          <w:szCs w:val="32"/>
          <w:lang w:val="en-US" w:eastAsia="zh-CN" w:bidi="ar"/>
        </w:rPr>
        <w:t>截止2025年底</w:t>
      </w:r>
      <w:r>
        <w:rPr>
          <w:rFonts w:hint="eastAsia" w:ascii="仿宋_GB2312" w:hAnsi="Times New Roman" w:eastAsia="仿宋_GB2312" w:cs="仿宋_GB2312"/>
          <w:bCs/>
          <w:kern w:val="2"/>
          <w:sz w:val="32"/>
          <w:szCs w:val="32"/>
          <w:lang w:val="en-US" w:eastAsia="zh-CN" w:bidi="ar"/>
        </w:rPr>
        <w:t>在职职工</w:t>
      </w:r>
      <w:r>
        <w:rPr>
          <w:rFonts w:hint="eastAsia" w:ascii="仿宋_GB2312" w:eastAsia="仿宋_GB2312" w:cs="仿宋_GB2312"/>
          <w:bCs/>
          <w:kern w:val="2"/>
          <w:sz w:val="32"/>
          <w:szCs w:val="32"/>
          <w:lang w:val="en-US" w:eastAsia="zh-CN" w:bidi="ar"/>
        </w:rPr>
        <w:t>29</w:t>
      </w:r>
      <w:r>
        <w:rPr>
          <w:rFonts w:hint="eastAsia" w:ascii="仿宋_GB2312" w:hAnsi="Times New Roman" w:eastAsia="仿宋_GB2312" w:cs="仿宋_GB2312"/>
          <w:bCs/>
          <w:kern w:val="2"/>
          <w:sz w:val="32"/>
          <w:szCs w:val="32"/>
          <w:lang w:val="en-US" w:eastAsia="zh-CN" w:bidi="ar"/>
        </w:rPr>
        <w:t>人，其中公务员</w:t>
      </w:r>
      <w:r>
        <w:rPr>
          <w:rFonts w:hint="eastAsia" w:ascii="仿宋_GB2312" w:eastAsia="仿宋_GB2312" w:cs="仿宋_GB2312"/>
          <w:bCs/>
          <w:kern w:val="2"/>
          <w:sz w:val="32"/>
          <w:szCs w:val="32"/>
          <w:lang w:val="en-US" w:eastAsia="zh-CN" w:bidi="ar"/>
        </w:rPr>
        <w:t>16</w:t>
      </w:r>
      <w:r>
        <w:rPr>
          <w:rFonts w:hint="eastAsia" w:ascii="仿宋_GB2312" w:hAnsi="Times New Roman" w:eastAsia="仿宋_GB2312" w:cs="仿宋_GB2312"/>
          <w:bCs/>
          <w:kern w:val="2"/>
          <w:sz w:val="32"/>
          <w:szCs w:val="32"/>
          <w:lang w:val="en-US" w:eastAsia="zh-CN" w:bidi="ar"/>
        </w:rPr>
        <w:t>人，行政工勤</w:t>
      </w:r>
      <w:r>
        <w:rPr>
          <w:rFonts w:hint="eastAsia" w:ascii="仿宋_GB2312" w:eastAsia="仿宋_GB2312" w:cs="仿宋_GB2312"/>
          <w:bCs/>
          <w:kern w:val="2"/>
          <w:sz w:val="32"/>
          <w:szCs w:val="32"/>
          <w:lang w:val="en-US" w:eastAsia="zh-CN" w:bidi="ar"/>
        </w:rPr>
        <w:t>1</w:t>
      </w:r>
      <w:r>
        <w:rPr>
          <w:rFonts w:hint="eastAsia" w:ascii="仿宋_GB2312" w:hAnsi="Times New Roman" w:eastAsia="仿宋_GB2312" w:cs="仿宋_GB2312"/>
          <w:bCs/>
          <w:kern w:val="2"/>
          <w:sz w:val="32"/>
          <w:szCs w:val="32"/>
          <w:lang w:val="en-US" w:eastAsia="zh-CN" w:bidi="ar"/>
        </w:rPr>
        <w:t>人，事业人员</w:t>
      </w:r>
      <w:r>
        <w:rPr>
          <w:rFonts w:hint="eastAsia" w:ascii="仿宋_GB2312" w:eastAsia="仿宋_GB2312" w:cs="仿宋_GB2312"/>
          <w:bCs/>
          <w:kern w:val="2"/>
          <w:sz w:val="32"/>
          <w:szCs w:val="32"/>
          <w:lang w:val="en-US" w:eastAsia="zh-CN" w:bidi="ar"/>
        </w:rPr>
        <w:t>12</w:t>
      </w:r>
      <w:r>
        <w:rPr>
          <w:rFonts w:hint="eastAsia" w:ascii="仿宋_GB2312" w:hAnsi="Times New Roman" w:eastAsia="仿宋_GB2312" w:cs="仿宋_GB2312"/>
          <w:bCs/>
          <w:kern w:val="2"/>
          <w:sz w:val="32"/>
          <w:szCs w:val="32"/>
          <w:lang w:val="en-US" w:eastAsia="zh-CN" w:bidi="ar"/>
        </w:rPr>
        <w:t>人。</w:t>
      </w:r>
    </w:p>
    <w:p w14:paraId="61FB4C32">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14:paraId="76D6E123">
      <w:pPr>
        <w:keepNext w:val="0"/>
        <w:keepLines w:val="0"/>
        <w:pageBreakBefore w:val="0"/>
        <w:widowControl/>
        <w:suppressLineNumbers w:val="0"/>
        <w:kinsoku/>
        <w:overflowPunct/>
        <w:topLinePunct w:val="0"/>
        <w:autoSpaceDE w:val="0"/>
        <w:autoSpaceDN/>
        <w:bidi w:val="0"/>
        <w:adjustRightInd w:val="0"/>
        <w:snapToGrid w:val="0"/>
        <w:spacing w:beforeAutospacing="0" w:after="120" w:afterAutospacing="0" w:line="240" w:lineRule="auto"/>
        <w:ind w:left="0" w:leftChars="0" w:right="0" w:firstLine="643" w:firstLineChars="200"/>
        <w:contextualSpacing/>
        <w:jc w:val="left"/>
        <w:textAlignment w:val="auto"/>
        <w:rPr>
          <w:rFonts w:hint="default" w:ascii="Times New Roman" w:hAnsi="Times New Roman" w:eastAsia="楷体_GB2312" w:cs="Times New Roman"/>
          <w:b/>
          <w:bCs/>
          <w:color w:val="000000"/>
          <w:kern w:val="0"/>
          <w:sz w:val="32"/>
          <w:szCs w:val="32"/>
          <w:shd w:val="clear" w:fill="FFFFFF"/>
        </w:rPr>
      </w:pPr>
      <w:r>
        <w:rPr>
          <w:rFonts w:hint="eastAsia" w:ascii="楷体_GB2312" w:hAnsi="Times New Roman" w:eastAsia="楷体_GB2312" w:cs="楷体_GB2312"/>
          <w:b/>
          <w:bCs/>
          <w:color w:val="000000"/>
          <w:kern w:val="0"/>
          <w:sz w:val="32"/>
          <w:szCs w:val="32"/>
          <w:shd w:val="clear" w:fill="FFFFFF"/>
          <w:lang w:val="en-US" w:eastAsia="zh-CN" w:bidi="ar"/>
        </w:rPr>
        <w:t>（一）收入情况。</w:t>
      </w:r>
    </w:p>
    <w:p w14:paraId="74C7DD62">
      <w:pPr>
        <w:keepNext w:val="0"/>
        <w:keepLines w:val="0"/>
        <w:pageBreakBefore w:val="0"/>
        <w:widowControl/>
        <w:suppressLineNumbers w:val="0"/>
        <w:kinsoku/>
        <w:overflowPunct/>
        <w:topLinePunct w:val="0"/>
        <w:autoSpaceDE w:val="0"/>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仿宋_GB2312" w:eastAsia="仿宋_GB2312" w:cs="仿宋_GB2312"/>
          <w:bCs/>
          <w:kern w:val="2"/>
          <w:sz w:val="32"/>
          <w:szCs w:val="32"/>
        </w:rPr>
      </w:pPr>
      <w:r>
        <w:rPr>
          <w:rFonts w:hint="eastAsia" w:ascii="仿宋_GB2312" w:eastAsia="仿宋_GB2312" w:cs="仿宋_GB2312"/>
          <w:bCs/>
          <w:kern w:val="2"/>
          <w:sz w:val="32"/>
          <w:szCs w:val="32"/>
          <w:lang w:val="en-US" w:eastAsia="zh-CN" w:bidi="ar"/>
        </w:rPr>
        <w:t>我单位</w:t>
      </w:r>
      <w:r>
        <w:rPr>
          <w:rFonts w:hint="eastAsia" w:ascii="仿宋_GB2312" w:hAnsi="Times New Roman" w:eastAsia="仿宋_GB2312" w:cs="仿宋_GB2312"/>
          <w:bCs/>
          <w:kern w:val="2"/>
          <w:sz w:val="32"/>
          <w:szCs w:val="32"/>
          <w:lang w:val="en-US" w:eastAsia="zh-CN" w:bidi="ar"/>
        </w:rPr>
        <w:t>2025年年初部门预算收入</w:t>
      </w:r>
      <w:r>
        <w:rPr>
          <w:rFonts w:hint="eastAsia" w:ascii="仿宋_GB2312" w:eastAsia="仿宋_GB2312" w:cs="仿宋_GB2312"/>
          <w:bCs/>
          <w:kern w:val="2"/>
          <w:sz w:val="32"/>
          <w:szCs w:val="32"/>
          <w:lang w:val="en-US" w:eastAsia="zh-CN" w:bidi="ar"/>
        </w:rPr>
        <w:t>1015.41</w:t>
      </w:r>
      <w:r>
        <w:rPr>
          <w:rFonts w:hint="eastAsia" w:ascii="仿宋_GB2312" w:hAnsi="Times New Roman" w:eastAsia="仿宋_GB2312" w:cs="仿宋_GB2312"/>
          <w:bCs/>
          <w:kern w:val="2"/>
          <w:sz w:val="32"/>
          <w:szCs w:val="32"/>
          <w:lang w:val="en-US" w:eastAsia="zh-CN" w:bidi="ar"/>
        </w:rPr>
        <w:t>万元，比上年减少</w:t>
      </w:r>
      <w:r>
        <w:rPr>
          <w:rFonts w:hint="eastAsia" w:ascii="仿宋_GB2312" w:eastAsia="仿宋_GB2312" w:cs="仿宋_GB2312"/>
          <w:bCs/>
          <w:kern w:val="2"/>
          <w:sz w:val="32"/>
          <w:szCs w:val="32"/>
          <w:lang w:val="en-US" w:eastAsia="zh-CN" w:bidi="ar"/>
        </w:rPr>
        <w:t>33.4</w:t>
      </w:r>
      <w:r>
        <w:rPr>
          <w:rFonts w:hint="eastAsia" w:ascii="仿宋_GB2312" w:hAnsi="Times New Roman" w:eastAsia="仿宋_GB2312" w:cs="仿宋_GB2312"/>
          <w:bCs/>
          <w:kern w:val="2"/>
          <w:sz w:val="32"/>
          <w:szCs w:val="32"/>
          <w:lang w:val="en-US" w:eastAsia="zh-CN" w:bidi="ar"/>
        </w:rPr>
        <w:t>万元，减少主要原因是人员经费工资保险等调整变化。决算报表2025年收入</w:t>
      </w:r>
      <w:r>
        <w:rPr>
          <w:rFonts w:hint="eastAsia" w:ascii="仿宋_GB2312" w:eastAsia="仿宋_GB2312" w:cs="仿宋_GB2312"/>
          <w:bCs/>
          <w:kern w:val="2"/>
          <w:sz w:val="32"/>
          <w:szCs w:val="32"/>
          <w:lang w:val="en-US" w:eastAsia="zh-CN" w:bidi="ar"/>
        </w:rPr>
        <w:t>1693.07</w:t>
      </w:r>
      <w:r>
        <w:rPr>
          <w:rFonts w:hint="eastAsia" w:ascii="仿宋_GB2312" w:hAnsi="Times New Roman" w:eastAsia="仿宋_GB2312" w:cs="仿宋_GB2312"/>
          <w:bCs/>
          <w:kern w:val="2"/>
          <w:sz w:val="32"/>
          <w:szCs w:val="32"/>
          <w:lang w:val="en-US" w:eastAsia="zh-CN" w:bidi="ar"/>
        </w:rPr>
        <w:t xml:space="preserve"> 万元，比上年增加</w:t>
      </w:r>
      <w:r>
        <w:rPr>
          <w:rFonts w:hint="eastAsia" w:ascii="仿宋_GB2312" w:eastAsia="仿宋_GB2312" w:cs="仿宋_GB2312"/>
          <w:bCs/>
          <w:kern w:val="2"/>
          <w:sz w:val="32"/>
          <w:szCs w:val="32"/>
          <w:lang w:val="en-US" w:eastAsia="zh-CN" w:bidi="ar"/>
        </w:rPr>
        <w:t>211.42</w:t>
      </w:r>
      <w:r>
        <w:rPr>
          <w:rFonts w:hint="eastAsia" w:ascii="仿宋_GB2312" w:hAnsi="Times New Roman" w:eastAsia="仿宋_GB2312" w:cs="仿宋_GB2312"/>
          <w:bCs/>
          <w:kern w:val="2"/>
          <w:sz w:val="32"/>
          <w:szCs w:val="32"/>
          <w:lang w:val="en-US" w:eastAsia="zh-CN" w:bidi="ar"/>
        </w:rPr>
        <w:t>万元，增加主要原因是</w:t>
      </w:r>
      <w:r>
        <w:rPr>
          <w:rFonts w:hint="eastAsia" w:ascii="仿宋_GB2312" w:eastAsia="仿宋_GB2312" w:cs="仿宋_GB2312"/>
          <w:bCs/>
          <w:kern w:val="2"/>
          <w:sz w:val="32"/>
          <w:szCs w:val="32"/>
          <w:lang w:val="en-US" w:eastAsia="zh-CN" w:bidi="ar"/>
        </w:rPr>
        <w:t>本年度建设项目资金增加</w:t>
      </w:r>
      <w:r>
        <w:rPr>
          <w:rFonts w:hint="eastAsia" w:ascii="仿宋_GB2312" w:hAnsi="Times New Roman" w:eastAsia="仿宋_GB2312" w:cs="仿宋_GB2312"/>
          <w:bCs/>
          <w:kern w:val="2"/>
          <w:sz w:val="32"/>
          <w:szCs w:val="32"/>
          <w:lang w:val="en-US" w:eastAsia="zh-CN" w:bidi="ar"/>
        </w:rPr>
        <w:t>。</w:t>
      </w:r>
    </w:p>
    <w:p w14:paraId="2859BC9D">
      <w:pPr>
        <w:keepNext w:val="0"/>
        <w:keepLines w:val="0"/>
        <w:pageBreakBefore w:val="0"/>
        <w:widowControl/>
        <w:numPr>
          <w:ilvl w:val="0"/>
          <w:numId w:val="2"/>
        </w:numPr>
        <w:suppressLineNumbers w:val="0"/>
        <w:kinsoku/>
        <w:overflowPunct/>
        <w:topLinePunct w:val="0"/>
        <w:autoSpaceDE w:val="0"/>
        <w:autoSpaceDN/>
        <w:bidi w:val="0"/>
        <w:adjustRightInd w:val="0"/>
        <w:snapToGrid w:val="0"/>
        <w:spacing w:beforeAutospacing="0" w:after="120" w:afterAutospacing="0" w:line="240" w:lineRule="auto"/>
        <w:ind w:left="0" w:leftChars="0" w:right="0" w:firstLine="643" w:firstLineChars="200"/>
        <w:contextualSpacing/>
        <w:jc w:val="left"/>
        <w:textAlignment w:val="auto"/>
        <w:rPr>
          <w:rFonts w:hint="default" w:ascii="Times New Roman" w:hAnsi="Times New Roman" w:eastAsia="仿宋_GB2312" w:cs="Times New Roman"/>
          <w:kern w:val="2"/>
          <w:sz w:val="32"/>
          <w:szCs w:val="32"/>
        </w:rPr>
      </w:pPr>
      <w:r>
        <w:rPr>
          <w:rFonts w:hint="eastAsia" w:ascii="楷体_GB2312" w:hAnsi="Times New Roman" w:eastAsia="楷体_GB2312" w:cs="楷体_GB2312"/>
          <w:b/>
          <w:bCs/>
          <w:color w:val="000000"/>
          <w:kern w:val="0"/>
          <w:sz w:val="32"/>
          <w:szCs w:val="32"/>
          <w:shd w:val="clear" w:fill="FFFFFF"/>
          <w:lang w:val="en-US" w:eastAsia="zh-CN" w:bidi="ar"/>
        </w:rPr>
        <w:t>支出情况。</w:t>
      </w:r>
    </w:p>
    <w:p w14:paraId="3AA9987D">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lang w:val="en-US" w:eastAsia="zh-CN" w:bidi="ar"/>
        </w:rPr>
        <w:t>2025</w:t>
      </w:r>
      <w:r>
        <w:rPr>
          <w:rFonts w:hint="eastAsia" w:ascii="仿宋_GB2312" w:hAnsi="Times New Roman" w:eastAsia="仿宋_GB2312" w:cs="仿宋_GB2312"/>
          <w:kern w:val="2"/>
          <w:sz w:val="32"/>
          <w:szCs w:val="32"/>
          <w:lang w:val="en-US" w:eastAsia="zh-CN" w:bidi="ar"/>
        </w:rPr>
        <w:t>年</w:t>
      </w:r>
      <w:r>
        <w:rPr>
          <w:rFonts w:hint="eastAsia" w:ascii="仿宋_GB2312" w:eastAsia="仿宋_GB2312" w:cs="仿宋_GB2312"/>
          <w:kern w:val="2"/>
          <w:sz w:val="32"/>
          <w:szCs w:val="32"/>
          <w:lang w:val="en-US" w:eastAsia="zh-CN" w:bidi="ar"/>
        </w:rPr>
        <w:t>我单位</w:t>
      </w:r>
      <w:r>
        <w:rPr>
          <w:rFonts w:hint="eastAsia" w:ascii="仿宋_GB2312" w:hAnsi="Times New Roman" w:eastAsia="仿宋_GB2312" w:cs="仿宋_GB2312"/>
          <w:kern w:val="2"/>
          <w:sz w:val="32"/>
          <w:szCs w:val="32"/>
          <w:lang w:val="en-US" w:eastAsia="zh-CN" w:bidi="ar"/>
        </w:rPr>
        <w:t>决算支出</w:t>
      </w:r>
      <w:r>
        <w:rPr>
          <w:rFonts w:hint="eastAsia" w:eastAsia="仿宋_GB2312" w:cs="Times New Roman"/>
          <w:kern w:val="2"/>
          <w:sz w:val="32"/>
          <w:szCs w:val="32"/>
          <w:lang w:val="en-US" w:eastAsia="zh-CN" w:bidi="ar"/>
        </w:rPr>
        <w:t>1693.07</w:t>
      </w:r>
      <w:r>
        <w:rPr>
          <w:rFonts w:hint="default" w:ascii="Times New Roman" w:hAnsi="Times New Roman" w:eastAsia="仿宋_GB2312" w:cs="Times New Roman"/>
          <w:kern w:val="2"/>
          <w:sz w:val="32"/>
          <w:szCs w:val="32"/>
          <w:lang w:val="en-US" w:eastAsia="zh-CN" w:bidi="ar"/>
        </w:rPr>
        <w:t xml:space="preserve"> </w:t>
      </w:r>
      <w:r>
        <w:rPr>
          <w:rFonts w:hint="eastAsia" w:ascii="仿宋_GB2312" w:hAnsi="Times New Roman" w:eastAsia="仿宋_GB2312" w:cs="仿宋_GB2312"/>
          <w:kern w:val="2"/>
          <w:sz w:val="32"/>
          <w:szCs w:val="32"/>
          <w:lang w:val="en-US" w:eastAsia="zh-CN" w:bidi="ar"/>
        </w:rPr>
        <w:t>万元，其中：</w:t>
      </w:r>
      <w:r>
        <w:rPr>
          <w:rFonts w:hint="eastAsia" w:eastAsia="仿宋_GB2312" w:cs="仿宋_GB2312"/>
          <w:color w:val="auto"/>
          <w:kern w:val="2"/>
          <w:sz w:val="32"/>
          <w:szCs w:val="32"/>
          <w:highlight w:val="none"/>
          <w:lang w:val="en-US" w:eastAsia="zh-CN" w:bidi="ar-SA"/>
        </w:rPr>
        <w:t>一般公共服务支出774.83万元；国防支出3.00万元；文化旅游体育与传媒支出5.16万元；社会保障和就业支出107.15万元；卫生健康支出39.22万元；城乡社区支出6.00万元；农林水支出694.17万元；住房保障支出63.03万元；灾害防治及应急管理支出0.50万元。</w:t>
      </w:r>
    </w:p>
    <w:p w14:paraId="28511F19">
      <w:pPr>
        <w:keepNext w:val="0"/>
        <w:keepLines w:val="0"/>
        <w:pageBreakBefore w:val="0"/>
        <w:widowControl/>
        <w:numPr>
          <w:ilvl w:val="0"/>
          <w:numId w:val="2"/>
        </w:numPr>
        <w:suppressLineNumbers w:val="0"/>
        <w:kinsoku/>
        <w:overflowPunct/>
        <w:topLinePunct w:val="0"/>
        <w:autoSpaceDE w:val="0"/>
        <w:autoSpaceDN/>
        <w:bidi w:val="0"/>
        <w:adjustRightInd w:val="0"/>
        <w:snapToGrid w:val="0"/>
        <w:spacing w:beforeAutospacing="0" w:after="120" w:afterAutospacing="0" w:line="240" w:lineRule="auto"/>
        <w:ind w:left="0" w:leftChars="0" w:right="0" w:firstLine="643" w:firstLineChars="200"/>
        <w:contextualSpacing/>
        <w:jc w:val="left"/>
        <w:textAlignment w:val="auto"/>
        <w:rPr>
          <w:rFonts w:hint="default" w:ascii="Times New Roman" w:hAnsi="Times New Roman" w:eastAsia="楷体_GB2312" w:cs="Times New Roman"/>
          <w:b/>
          <w:bCs w:val="0"/>
          <w:kern w:val="2"/>
          <w:sz w:val="32"/>
          <w:szCs w:val="32"/>
        </w:rPr>
      </w:pPr>
      <w:r>
        <w:rPr>
          <w:rFonts w:hint="eastAsia" w:ascii="楷体_GB2312" w:hAnsi="Times New Roman" w:eastAsia="楷体_GB2312" w:cs="楷体_GB2312"/>
          <w:b/>
          <w:bCs w:val="0"/>
          <w:kern w:val="2"/>
          <w:sz w:val="32"/>
          <w:szCs w:val="32"/>
          <w:lang w:val="en-US" w:eastAsia="zh-CN" w:bidi="ar"/>
        </w:rPr>
        <w:t>结余分配和结转结余情况。</w:t>
      </w:r>
    </w:p>
    <w:p w14:paraId="49FBE905">
      <w:pPr>
        <w:keepNext w:val="0"/>
        <w:keepLines w:val="0"/>
        <w:pageBreakBefore w:val="0"/>
        <w:widowControl/>
        <w:suppressLineNumbers w:val="0"/>
        <w:kinsoku/>
        <w:overflowPunct/>
        <w:topLinePunct w:val="0"/>
        <w:autoSpaceDE w:val="0"/>
        <w:autoSpaceDN/>
        <w:bidi w:val="0"/>
        <w:adjustRightInd w:val="0"/>
        <w:snapToGrid w:val="0"/>
        <w:spacing w:beforeAutospacing="0" w:after="120" w:afterAutospacing="0" w:line="240" w:lineRule="auto"/>
        <w:ind w:left="0" w:leftChars="0" w:right="0" w:firstLine="640" w:firstLineChars="200"/>
        <w:contextualSpacing/>
        <w:jc w:val="left"/>
        <w:textAlignment w:val="auto"/>
        <w:rPr>
          <w:rFonts w:hint="default" w:ascii="Times New Roman" w:hAnsi="Times New Roman" w:eastAsia="仿宋_GB2312" w:cs="Times New Roman"/>
          <w:b w:val="0"/>
          <w:bCs w:val="0"/>
          <w:color w:val="000000"/>
          <w:kern w:val="0"/>
          <w:sz w:val="32"/>
          <w:szCs w:val="32"/>
          <w:shd w:val="clear" w:fill="FFFFFF"/>
        </w:rPr>
      </w:pPr>
      <w:r>
        <w:rPr>
          <w:rFonts w:hint="default" w:ascii="Times New Roman" w:hAnsi="Times New Roman" w:eastAsia="仿宋_GB2312" w:cs="Times New Roman"/>
          <w:kern w:val="2"/>
          <w:sz w:val="32"/>
          <w:szCs w:val="32"/>
          <w:lang w:val="en-US" w:eastAsia="zh-CN" w:bidi="ar"/>
        </w:rPr>
        <w:t>2025</w:t>
      </w:r>
      <w:r>
        <w:rPr>
          <w:rFonts w:hint="eastAsia" w:ascii="仿宋_GB2312" w:hAnsi="Times New Roman" w:eastAsia="仿宋_GB2312" w:cs="仿宋_GB2312"/>
          <w:kern w:val="2"/>
          <w:sz w:val="32"/>
          <w:szCs w:val="32"/>
          <w:lang w:val="en-US" w:eastAsia="zh-CN" w:bidi="ar"/>
        </w:rPr>
        <w:t>年无结转结余</w:t>
      </w:r>
      <w:r>
        <w:rPr>
          <w:rFonts w:hint="eastAsia" w:ascii="仿宋_GB2312" w:hAnsi="Times New Roman" w:eastAsia="仿宋_GB2312" w:cs="仿宋_GB2312"/>
          <w:b w:val="0"/>
          <w:bCs w:val="0"/>
          <w:color w:val="000000"/>
          <w:kern w:val="0"/>
          <w:sz w:val="32"/>
          <w:szCs w:val="32"/>
          <w:shd w:val="clear" w:fill="FFFFFF"/>
          <w:lang w:val="en-US" w:eastAsia="zh-CN" w:bidi="ar"/>
        </w:rPr>
        <w:t>结情况。</w:t>
      </w:r>
    </w:p>
    <w:p w14:paraId="46D09258">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三、部门预算绩效分析</w:t>
      </w:r>
    </w:p>
    <w:p w14:paraId="048B4773">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120" w:afterAutospacing="0" w:line="240" w:lineRule="auto"/>
        <w:ind w:left="0" w:leftChars="0" w:right="0" w:firstLine="643"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总体绩效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，依次包括履职效能、预算管理、财务管理、资产管理、采购管理等情况。</w:t>
      </w:r>
    </w:p>
    <w:p w14:paraId="75241460">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rPr>
          <w:rFonts w:hint="eastAsia" w:ascii="仿宋_GB2312" w:hAnsi="仿宋_GB2312" w:eastAsia="仿宋_GB2312" w:cs="仿宋_GB2312"/>
          <w:b/>
          <w:bCs/>
          <w:sz w:val="32"/>
          <w:szCs w:val="32"/>
          <w:lang w:val="zh-CN" w:eastAsia="zh-CN"/>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仿宋_GB2312" w:hAnsi="仿宋_GB2312" w:eastAsia="仿宋_GB2312" w:cs="仿宋_GB2312"/>
          <w:b/>
          <w:bCs/>
          <w:sz w:val="32"/>
          <w:szCs w:val="32"/>
          <w:lang w:val="zh-CN" w:eastAsia="zh-CN"/>
        </w:rPr>
        <w:t>履职效能。</w:t>
      </w:r>
    </w:p>
    <w:p w14:paraId="6E074CCD">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阿木乡</w:t>
      </w:r>
      <w:r>
        <w:rPr>
          <w:rFonts w:hint="eastAsia" w:ascii="仿宋_GB2312" w:hAnsi="仿宋_GB2312" w:eastAsia="仿宋_GB2312" w:cs="仿宋_GB2312"/>
          <w:sz w:val="32"/>
          <w:szCs w:val="32"/>
          <w:lang w:val="zh-CN" w:eastAsia="zh-CN"/>
        </w:rPr>
        <w:t>城乡环境综合治理专项经费及“道安办”经费，下达资金</w:t>
      </w:r>
      <w:r>
        <w:rPr>
          <w:rFonts w:hint="eastAsia" w:ascii="仿宋_GB2312" w:hAnsi="仿宋_GB2312" w:eastAsia="仿宋_GB2312" w:cs="仿宋_GB2312"/>
          <w:sz w:val="32"/>
          <w:szCs w:val="32"/>
          <w:lang w:val="en-US" w:eastAsia="zh-CN"/>
        </w:rPr>
        <w:t>6万元。项目绩效目标为</w:t>
      </w:r>
      <w:r>
        <w:rPr>
          <w:rFonts w:hint="eastAsia" w:ascii="仿宋_GB2312" w:hAnsi="仿宋_GB2312" w:eastAsia="仿宋_GB2312" w:cs="仿宋_GB2312"/>
          <w:sz w:val="32"/>
          <w:szCs w:val="32"/>
          <w:lang w:val="zh-CN" w:eastAsia="zh-CN"/>
        </w:rPr>
        <w:t>以该项目为支撑，对全乡辖区环境卫生进行整治，进一步提升群众生活环境和生活质量。该项目已完工，资金支付率为</w:t>
      </w:r>
      <w:r>
        <w:rPr>
          <w:rFonts w:hint="eastAsia" w:ascii="仿宋_GB2312" w:hAnsi="仿宋_GB2312" w:eastAsia="仿宋_GB2312" w:cs="仿宋_GB2312"/>
          <w:sz w:val="32"/>
          <w:szCs w:val="32"/>
          <w:lang w:val="en-US" w:eastAsia="zh-CN"/>
        </w:rPr>
        <w:t>100%。</w:t>
      </w:r>
    </w:p>
    <w:p w14:paraId="654839C9">
      <w:pPr>
        <w:keepNext w:val="0"/>
        <w:keepLines w:val="0"/>
        <w:pageBreakBefore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仿宋_GB2312" w:hAnsi="仿宋" w:eastAsia="仿宋_GB2312"/>
          <w:bCs/>
          <w:sz w:val="32"/>
          <w:lang w:val="en-US" w:eastAsia="zh-CN"/>
        </w:rPr>
      </w:pPr>
      <w:r>
        <w:rPr>
          <w:rFonts w:hint="eastAsia" w:ascii="仿宋_GB2312" w:hAnsi="仿宋" w:eastAsia="仿宋_GB2312"/>
          <w:bCs/>
          <w:sz w:val="32"/>
          <w:lang w:val="en-US" w:eastAsia="zh-CN"/>
        </w:rPr>
        <w:t>政法统战维稳经费 0.5 万元，主要用于政策宣传、矛盾隐患排查、平安建设资料印制等工作。资金管理规范，专款专用，有效保障民族团结宣讲、基层风险摸排、矛盾源头疏导等职能落地，辖区社会大局稳定，完成年度预期目标</w:t>
      </w:r>
      <w:r>
        <w:rPr>
          <w:rFonts w:hint="eastAsia" w:ascii="仿宋_GB2312" w:hAnsi="仿宋_GB2312" w:eastAsia="仿宋_GB2312" w:cs="仿宋_GB2312"/>
          <w:sz w:val="32"/>
          <w:szCs w:val="32"/>
          <w:lang w:val="zh-CN" w:eastAsia="zh-CN"/>
        </w:rPr>
        <w:t>，资金支付率为</w:t>
      </w:r>
      <w:r>
        <w:rPr>
          <w:rFonts w:hint="eastAsia" w:ascii="仿宋_GB2312" w:hAnsi="仿宋_GB2312" w:eastAsia="仿宋_GB2312" w:cs="仿宋_GB2312"/>
          <w:sz w:val="32"/>
          <w:szCs w:val="32"/>
          <w:lang w:val="en-US" w:eastAsia="zh-CN"/>
        </w:rPr>
        <w:t>100%</w:t>
      </w:r>
      <w:r>
        <w:rPr>
          <w:rFonts w:hint="eastAsia" w:ascii="仿宋_GB2312" w:hAnsi="仿宋" w:eastAsia="仿宋_GB2312"/>
          <w:bCs/>
          <w:sz w:val="32"/>
          <w:lang w:val="en-US" w:eastAsia="zh-CN"/>
        </w:rPr>
        <w:t>。</w:t>
      </w:r>
    </w:p>
    <w:p w14:paraId="0FB7F601">
      <w:pPr>
        <w:keepNext w:val="0"/>
        <w:keepLines w:val="0"/>
        <w:pageBreakBefore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仿宋_GB2312" w:hAnsi="仿宋" w:eastAsia="仿宋_GB2312" w:cs="Times New Roman"/>
          <w:bCs/>
          <w:sz w:val="32"/>
          <w:lang w:val="en-US" w:eastAsia="zh-CN"/>
        </w:rPr>
      </w:pPr>
      <w:r>
        <w:rPr>
          <w:rFonts w:hint="eastAsia" w:ascii="仿宋_GB2312" w:hAnsi="仿宋" w:eastAsia="仿宋_GB2312" w:cs="Times New Roman"/>
          <w:bCs/>
          <w:sz w:val="32"/>
          <w:lang w:val="en-US" w:eastAsia="zh-CN"/>
        </w:rPr>
        <w:t>阿木乡人大会议费 0.76 万元，主要用于乡人民代表大会会务、会议资料印制等支出。资金使用合规，保障乡人民代表大会依法召开，保障人大代表依法审议报告、收集群众意见建议，顺利完成年度会议任务，基层民主议事监督职能有效落实，达到预期绩效目标，</w:t>
      </w:r>
      <w:r>
        <w:rPr>
          <w:rFonts w:hint="eastAsia" w:ascii="仿宋_GB2312" w:hAnsi="仿宋_GB2312" w:eastAsia="仿宋_GB2312" w:cs="仿宋_GB2312"/>
          <w:sz w:val="32"/>
          <w:szCs w:val="32"/>
          <w:lang w:val="zh-CN" w:eastAsia="zh-CN"/>
        </w:rPr>
        <w:t>资金支付率为</w:t>
      </w:r>
      <w:r>
        <w:rPr>
          <w:rFonts w:hint="eastAsia" w:ascii="仿宋_GB2312" w:hAnsi="仿宋_GB2312" w:eastAsia="仿宋_GB2312" w:cs="仿宋_GB2312"/>
          <w:sz w:val="32"/>
          <w:szCs w:val="32"/>
          <w:lang w:val="en-US" w:eastAsia="zh-CN"/>
        </w:rPr>
        <w:t>100%</w:t>
      </w:r>
      <w:r>
        <w:rPr>
          <w:rFonts w:hint="eastAsia" w:ascii="仿宋_GB2312" w:hAnsi="仿宋" w:eastAsia="仿宋_GB2312" w:cs="Times New Roman"/>
          <w:bCs/>
          <w:sz w:val="32"/>
          <w:lang w:val="en-US" w:eastAsia="zh-CN"/>
        </w:rPr>
        <w:t>。</w:t>
      </w:r>
    </w:p>
    <w:p w14:paraId="455BD758">
      <w:pPr>
        <w:keepNext w:val="0"/>
        <w:keepLines w:val="0"/>
        <w:pageBreakBefore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rightChars="0" w:firstLine="643" w:firstLineChars="200"/>
        <w:jc w:val="both"/>
        <w:textAlignment w:val="auto"/>
        <w:rPr>
          <w:rFonts w:hint="eastAsia" w:ascii="仿宋_GB2312" w:hAnsi="仿宋" w:eastAsia="仿宋_GB2312" w:cs="Times New Roman"/>
          <w:b/>
          <w:bCs w:val="0"/>
          <w:sz w:val="32"/>
          <w:lang w:val="zh-CN" w:eastAsia="zh-CN"/>
        </w:rPr>
      </w:pPr>
      <w:r>
        <w:rPr>
          <w:rFonts w:hint="eastAsia" w:ascii="仿宋_GB2312" w:hAnsi="仿宋" w:eastAsia="仿宋_GB2312" w:cs="Times New Roman"/>
          <w:b/>
          <w:bCs w:val="0"/>
          <w:sz w:val="32"/>
          <w:lang w:val="en-US" w:eastAsia="zh-CN"/>
        </w:rPr>
        <w:t>2.</w:t>
      </w:r>
      <w:r>
        <w:rPr>
          <w:rFonts w:hint="default" w:ascii="仿宋_GB2312" w:hAnsi="仿宋" w:eastAsia="仿宋_GB2312" w:cs="Times New Roman"/>
          <w:b/>
          <w:bCs w:val="0"/>
          <w:sz w:val="32"/>
          <w:lang w:val="zh-CN" w:eastAsia="zh-CN"/>
        </w:rPr>
        <w:t>预算管理</w:t>
      </w:r>
      <w:r>
        <w:rPr>
          <w:rFonts w:hint="eastAsia" w:ascii="仿宋_GB2312" w:hAnsi="仿宋" w:eastAsia="仿宋_GB2312" w:cs="Times New Roman"/>
          <w:b/>
          <w:bCs w:val="0"/>
          <w:sz w:val="32"/>
          <w:lang w:val="zh-CN" w:eastAsia="zh-CN"/>
        </w:rPr>
        <w:t>。</w:t>
      </w:r>
    </w:p>
    <w:p w14:paraId="1B9B9306">
      <w:pPr>
        <w:pStyle w:val="17"/>
        <w:keepNext w:val="0"/>
        <w:keepLines w:val="0"/>
        <w:pageBreakBefore w:val="0"/>
        <w:widowControl/>
        <w:shd w:val="clear" w:color="auto"/>
        <w:kinsoku/>
        <w:wordWrap/>
        <w:overflowPunct/>
        <w:topLinePunct w:val="0"/>
        <w:autoSpaceDN/>
        <w:bidi w:val="0"/>
        <w:spacing w:before="0" w:beforeAutospacing="0" w:after="120" w:afterAutospacing="0" w:line="240" w:lineRule="auto"/>
        <w:ind w:left="0" w:leftChars="0" w:right="0" w:firstLine="480" w:firstLineChars="200"/>
        <w:textAlignment w:val="auto"/>
        <w:rPr>
          <w:rFonts w:hint="default"/>
          <w:lang w:val="en-US" w:eastAsia="zh-CN"/>
        </w:rPr>
      </w:pPr>
      <w:r>
        <w:rPr>
          <w:rFonts w:hint="eastAsia"/>
          <w:lang w:val="en-US" w:eastAsia="zh-CN"/>
        </w:rPr>
        <w:t xml:space="preserve">  </w:t>
      </w:r>
      <w:r>
        <w:rPr>
          <w:rFonts w:hint="eastAsia" w:ascii="仿宋_GB2312" w:hAnsi="Times New Roman" w:eastAsia="仿宋_GB2312" w:cs="仿宋_GB2312"/>
          <w:kern w:val="2"/>
          <w:sz w:val="32"/>
          <w:szCs w:val="32"/>
          <w:lang w:val="zh-CN" w:eastAsia="zh-CN"/>
        </w:rPr>
        <w:t>我乡严格按照相关编制要求、编制程序</w:t>
      </w:r>
      <w:r>
        <w:rPr>
          <w:rFonts w:hint="eastAsia" w:ascii="仿宋_GB2312" w:hAnsi="Times New Roman" w:eastAsia="仿宋_GB2312" w:cs="仿宋_GB2312"/>
          <w:kern w:val="2"/>
          <w:sz w:val="32"/>
          <w:szCs w:val="32"/>
          <w:lang w:val="en-US" w:eastAsia="zh-CN"/>
        </w:rPr>
        <w:t>及时组织财务人员进行</w:t>
      </w:r>
      <w:r>
        <w:rPr>
          <w:rFonts w:hint="eastAsia" w:ascii="仿宋_GB2312" w:hAnsi="Times New Roman" w:eastAsia="仿宋_GB2312" w:cs="仿宋_GB2312"/>
          <w:kern w:val="2"/>
          <w:sz w:val="32"/>
          <w:szCs w:val="32"/>
          <w:lang w:val="zh-CN" w:eastAsia="zh-CN"/>
        </w:rPr>
        <w:t>部门预算编制。</w:t>
      </w:r>
      <w:r>
        <w:rPr>
          <w:rFonts w:hint="eastAsia" w:ascii="仿宋_GB2312" w:hAnsi="Times New Roman" w:eastAsia="仿宋_GB2312" w:cs="仿宋_GB2312"/>
          <w:kern w:val="2"/>
          <w:sz w:val="32"/>
          <w:szCs w:val="32"/>
          <w:lang w:val="en-US" w:eastAsia="zh-CN"/>
        </w:rPr>
        <w:t>对本年度预算款项进行及时清理和处理，做到账账相符、账实相符、账证相符,按先有预算再有支出的原则，及时处理相关事务；对绩效目标进行梳理和分析，及时上报相关报表；对专项预算提前细化，分科目上报，做到收支平衡。</w:t>
      </w:r>
    </w:p>
    <w:p w14:paraId="464435B0">
      <w:pPr>
        <w:keepNext w:val="0"/>
        <w:keepLines w:val="0"/>
        <w:pageBreakBefore w:val="0"/>
        <w:widowControl w:val="0"/>
        <w:numPr>
          <w:ilvl w:val="0"/>
          <w:numId w:val="1"/>
        </w:numPr>
        <w:kinsoku/>
        <w:wordWrap/>
        <w:overflowPunct/>
        <w:topLinePunct w:val="0"/>
        <w:autoSpaceDE/>
        <w:autoSpaceDN/>
        <w:bidi w:val="0"/>
        <w:adjustRightInd/>
        <w:snapToGrid/>
        <w:spacing w:beforeAutospacing="0" w:after="120" w:afterAutospacing="0" w:line="240" w:lineRule="auto"/>
        <w:ind w:left="0" w:leftChars="0" w:right="0" w:firstLine="643" w:firstLineChars="200"/>
        <w:textAlignment w:val="auto"/>
        <w:rPr>
          <w:rFonts w:hint="eastAsia" w:ascii="Times New Roman" w:hAnsi="Times New Roman" w:eastAsia="仿宋_GB2312" w:cs="仿宋_GB2312"/>
          <w:b/>
          <w:bCs/>
          <w:color w:val="auto"/>
          <w:kern w:val="2"/>
          <w:sz w:val="32"/>
          <w:szCs w:val="32"/>
          <w:highlight w:val="none"/>
          <w:lang w:val="zh-CN" w:eastAsia="zh-CN" w:bidi="ar-SA"/>
        </w:rPr>
      </w:pPr>
      <w:r>
        <w:rPr>
          <w:rFonts w:hint="default" w:ascii="Times New Roman" w:hAnsi="Times New Roman" w:eastAsia="仿宋_GB2312" w:cs="仿宋_GB2312"/>
          <w:b/>
          <w:bCs/>
          <w:color w:val="auto"/>
          <w:kern w:val="2"/>
          <w:sz w:val="32"/>
          <w:szCs w:val="32"/>
          <w:highlight w:val="none"/>
          <w:lang w:val="zh-CN" w:eastAsia="zh-CN" w:bidi="ar-SA"/>
        </w:rPr>
        <w:t>财务管理</w:t>
      </w:r>
      <w:r>
        <w:rPr>
          <w:rFonts w:hint="eastAsia" w:ascii="Times New Roman" w:hAnsi="Times New Roman" w:eastAsia="仿宋_GB2312" w:cs="仿宋_GB2312"/>
          <w:b/>
          <w:bCs/>
          <w:color w:val="auto"/>
          <w:kern w:val="2"/>
          <w:sz w:val="32"/>
          <w:szCs w:val="32"/>
          <w:highlight w:val="none"/>
          <w:lang w:val="zh-CN" w:eastAsia="zh-CN" w:bidi="ar-SA"/>
        </w:rPr>
        <w:t>。</w:t>
      </w:r>
    </w:p>
    <w:p w14:paraId="1F790DE3">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执行国家有关财务法律法规的同时,建 立健全内部财务管理制度,按照党风廉政建设的要求,全体干部职工廉洁奉公、忠于职守。禁止利用职权和职务上的便利谋取不正当的利益。制定了相关规章制度,加强了项目资金的管理和监督,杜绝违规违法事件的发生。本着勤俭节约原则,管 理好用好每笔资金。财务活动接受审计、财政、纪检监察等部门的监督检查,无存在违规进行 </w:t>
      </w:r>
    </w:p>
    <w:p w14:paraId="14859348">
      <w:pPr>
        <w:keepNext w:val="0"/>
        <w:keepLines w:val="0"/>
        <w:pageBreakBefore w:val="0"/>
        <w:widowControl w:val="0"/>
        <w:numPr>
          <w:ilvl w:val="0"/>
          <w:numId w:val="1"/>
        </w:numPr>
        <w:kinsoku/>
        <w:wordWrap/>
        <w:overflowPunct/>
        <w:topLinePunct w:val="0"/>
        <w:autoSpaceDE/>
        <w:autoSpaceDN/>
        <w:bidi w:val="0"/>
        <w:adjustRightInd/>
        <w:snapToGrid/>
        <w:spacing w:beforeAutospacing="0" w:after="120" w:afterAutospacing="0" w:line="240" w:lineRule="auto"/>
        <w:ind w:left="0" w:leftChars="0" w:right="0" w:firstLine="643" w:firstLineChars="200"/>
        <w:textAlignment w:val="auto"/>
        <w:rPr>
          <w:rFonts w:hint="eastAsia" w:ascii="仿宋_GB2312" w:hAnsi="仿宋_GB2312" w:eastAsia="仿宋_GB2312" w:cs="仿宋_GB2312"/>
          <w:b/>
          <w:bCs/>
          <w:sz w:val="32"/>
          <w:szCs w:val="32"/>
          <w:lang w:val="zh-CN" w:eastAsia="zh-CN"/>
        </w:rPr>
      </w:pPr>
      <w:r>
        <w:rPr>
          <w:rFonts w:hint="eastAsia" w:ascii="仿宋_GB2312" w:hAnsi="仿宋_GB2312" w:eastAsia="仿宋_GB2312" w:cs="仿宋_GB2312"/>
          <w:b/>
          <w:bCs/>
          <w:sz w:val="32"/>
          <w:szCs w:val="32"/>
          <w:lang w:val="zh-CN" w:eastAsia="zh-CN"/>
        </w:rPr>
        <w:t>资产管理。</w:t>
      </w:r>
    </w:p>
    <w:p w14:paraId="60AA9F23">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资产购置,擅自处置财产、对外投资,财政票据管理、使用不规范等问题,按 照规定保管会计档案,并建立完善的内部控制制度和监督制度。 </w:t>
      </w:r>
    </w:p>
    <w:p w14:paraId="4A34728E">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本单位工作实际,在建立并实施内部监督和控制制度过程中,建立和完善各项制度的同时,相关人员在工作过程中严格遵守这些规章制度,有效地实施了内部监督和控制,保证了会计工作的真实性、完整性以及单位财产的安全,加 强了对本单位财产物资的监督和管理,杜绝了各种漏洞的发生,达到了以下四点要求</w:t>
      </w:r>
    </w:p>
    <w:p w14:paraId="2AB426F8">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A、明确了记账人员与审批人员、经办人员的职责权限,使其相互分离、相互制约,以明确责任,防止舞弊,各项业务事项得以有序进行。 </w:t>
      </w:r>
    </w:p>
    <w:p w14:paraId="7EE40393">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B、明确了财务收支审批程序和审批人的权限和责任,规 范了各项资金的使用,提高了资金使用效益。 </w:t>
      </w:r>
    </w:p>
    <w:p w14:paraId="2AA36C81">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C、明确经费支出的范围和开支标准,采取各种有效措施控制经费开支,杜绝了浪费现象的发生。 </w:t>
      </w:r>
    </w:p>
    <w:p w14:paraId="2B3391D0">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color w:val="auto"/>
          <w:kern w:val="2"/>
          <w:sz w:val="32"/>
          <w:szCs w:val="32"/>
          <w:highlight w:val="none"/>
          <w:lang w:val="zh-CN" w:eastAsia="zh-CN" w:bidi="ar-SA"/>
        </w:rPr>
      </w:pPr>
      <w:r>
        <w:rPr>
          <w:rFonts w:hint="eastAsia" w:ascii="仿宋_GB2312" w:hAnsi="仿宋_GB2312" w:eastAsia="仿宋_GB2312" w:cs="仿宋_GB2312"/>
          <w:sz w:val="32"/>
          <w:szCs w:val="32"/>
          <w:lang w:val="en-US" w:eastAsia="zh-CN"/>
        </w:rPr>
        <w:t>D、明确账务处理程序,根 据机关事业单位会计制度的规定, 确定单位会计科目和明细科目的设置和使用范围;确 定本单位会计凭证格式、填制要求、审核要求、传递程序、保管要求等;确定本单位的总账 、明细账 、银行存款日记账、各种辅助账等的设置、格式、登记 、对账 、结算、改错等要求,确 保会计核算准确无误</w:t>
      </w:r>
      <w:r>
        <w:rPr>
          <w:rFonts w:hint="eastAsia" w:ascii="Times New Roman" w:hAnsi="Times New Roman" w:eastAsia="仿宋_GB2312" w:cs="仿宋_GB2312"/>
          <w:color w:val="auto"/>
          <w:kern w:val="2"/>
          <w:sz w:val="32"/>
          <w:szCs w:val="32"/>
          <w:highlight w:val="none"/>
          <w:lang w:val="zh-CN" w:eastAsia="zh-CN" w:bidi="ar-SA"/>
        </w:rPr>
        <w:t>。</w:t>
      </w:r>
    </w:p>
    <w:p w14:paraId="50E185BC">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en-US" w:eastAsia="zh-CN"/>
        </w:rPr>
        <w:t xml:space="preserve">人均资产变化率:无 变化。 </w:t>
      </w:r>
    </w:p>
    <w:p w14:paraId="7D89CE90">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en-US" w:eastAsia="zh-CN"/>
        </w:rPr>
        <w:t xml:space="preserve">资产利用率:100%。 </w:t>
      </w:r>
    </w:p>
    <w:p w14:paraId="242E23B6">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en-US" w:eastAsia="zh-CN"/>
        </w:rPr>
        <w:t xml:space="preserve">资产盘活率:90%。 </w:t>
      </w:r>
    </w:p>
    <w:p w14:paraId="47093679">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单位资产管理由办公室总负责,使用人具体负责管理,对不能继续使用的资产由使用人交回办公室并提出申请,由 办公室提供材料交给财务室按照相关程序统一购置。财政所每年对单位资产进行一次集中清理,对 不能使用的资产及时报相关部门进行报废处理。</w:t>
      </w:r>
    </w:p>
    <w:p w14:paraId="1F018BE4">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b/>
          <w:bCs/>
          <w:sz w:val="32"/>
          <w:szCs w:val="32"/>
          <w:lang w:val="zh-CN" w:eastAsia="zh-CN"/>
        </w:rPr>
        <w:t>采购管理。</w:t>
      </w:r>
      <w:r>
        <w:rPr>
          <w:rFonts w:hint="eastAsia" w:ascii="仿宋_GB2312" w:hAnsi="仿宋_GB2312" w:eastAsia="仿宋_GB2312" w:cs="仿宋_GB2312"/>
          <w:sz w:val="32"/>
          <w:szCs w:val="32"/>
          <w:lang w:val="en-US" w:eastAsia="zh-CN"/>
        </w:rPr>
        <w:t>围绕支持中小企业发展、采购执行率进行绩效分析。采购项目必须按规定程序报批,要求必须落实统一采购预算资金;一是坚持按《政府采购管理办法》规定的条件,确定采购方式;二是坚持回避制度,与统一采购工作有利害关系的人员不得进入评委。在具体管理过程中,要坚持信息公开;资格审查标准公开;合同条款公开;评标标准、方法公开。</w:t>
      </w:r>
    </w:p>
    <w:p w14:paraId="4A6CD9DE">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120" w:afterAutospacing="0" w:line="240" w:lineRule="auto"/>
        <w:ind w:left="0" w:leftChars="0" w:right="0"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p>
    <w:p w14:paraId="263C17CF">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仿宋_GB2312" w:cs="仿宋_GB2312"/>
          <w:color w:val="auto"/>
          <w:kern w:val="2"/>
          <w:sz w:val="32"/>
          <w:szCs w:val="32"/>
          <w:highlight w:val="none"/>
          <w:lang w:val="en-US" w:eastAsia="zh-CN" w:bidi="ar-SA"/>
        </w:rPr>
        <w:t>常年项目绩效分析。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eastAsia="仿宋_GB2312" w:cs="仿宋_GB2312"/>
          <w:color w:val="auto"/>
          <w:kern w:val="2"/>
          <w:sz w:val="32"/>
          <w:szCs w:val="32"/>
          <w:highlight w:val="none"/>
          <w:lang w:val="en-US" w:eastAsia="zh-CN" w:bidi="ar-SA"/>
        </w:rPr>
        <w:t>9</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eastAsia="仿宋_GB2312" w:cs="仿宋_GB2312"/>
          <w:color w:val="auto"/>
          <w:kern w:val="2"/>
          <w:sz w:val="32"/>
          <w:szCs w:val="32"/>
          <w:highlight w:val="none"/>
          <w:lang w:val="en-US" w:eastAsia="zh-CN" w:bidi="ar-SA"/>
        </w:rPr>
        <w:t>47.65</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eastAsia="仿宋_GB2312" w:cs="仿宋_GB2312"/>
          <w:color w:val="auto"/>
          <w:kern w:val="2"/>
          <w:sz w:val="32"/>
          <w:szCs w:val="32"/>
          <w:highlight w:val="none"/>
          <w:lang w:val="en-US" w:eastAsia="zh-CN" w:bidi="ar-SA"/>
        </w:rPr>
        <w:t>97.40</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eastAsia="仿宋_GB2312" w:cs="仿宋_GB2312"/>
          <w:color w:val="auto"/>
          <w:kern w:val="2"/>
          <w:sz w:val="32"/>
          <w:szCs w:val="32"/>
          <w:highlight w:val="none"/>
          <w:lang w:val="en-US" w:eastAsia="zh-CN" w:bidi="ar-SA"/>
        </w:rPr>
        <w:t>1</w:t>
      </w:r>
      <w:r>
        <w:rPr>
          <w:rFonts w:hint="default" w:ascii="Times New Roman" w:hAnsi="Times New Roman" w:eastAsia="仿宋_GB2312" w:cs="仿宋_GB2312"/>
          <w:color w:val="auto"/>
          <w:kern w:val="2"/>
          <w:sz w:val="32"/>
          <w:szCs w:val="32"/>
          <w:highlight w:val="none"/>
          <w:lang w:val="zh-CN" w:eastAsia="zh-CN" w:bidi="ar-SA"/>
        </w:rPr>
        <w:t>个</w:t>
      </w:r>
      <w:r>
        <w:rPr>
          <w:rFonts w:hint="eastAsia"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en-US" w:eastAsia="zh-CN" w:bidi="ar-SA"/>
        </w:rPr>
        <w:t>为驻村干部工作日生活补助结余，原因是县级派驻干部年中减少，发放补助减少，产生结余</w:t>
      </w:r>
      <w:r>
        <w:rPr>
          <w:rFonts w:hint="default" w:ascii="Times New Roman" w:hAnsi="Times New Roman" w:eastAsia="仿宋_GB2312" w:cs="仿宋_GB2312"/>
          <w:color w:val="auto"/>
          <w:kern w:val="2"/>
          <w:sz w:val="32"/>
          <w:szCs w:val="32"/>
          <w:highlight w:val="none"/>
          <w:lang w:val="zh-CN" w:eastAsia="zh-CN" w:bidi="ar-SA"/>
        </w:rPr>
        <w:t>。</w:t>
      </w:r>
      <w:r>
        <w:rPr>
          <w:rFonts w:hint="eastAsia" w:eastAsia="仿宋_GB2312" w:cs="仿宋_GB2312"/>
          <w:color w:val="auto"/>
          <w:kern w:val="2"/>
          <w:sz w:val="32"/>
          <w:szCs w:val="32"/>
          <w:highlight w:val="none"/>
          <w:lang w:val="en-US" w:eastAsia="zh-CN" w:bidi="ar-SA"/>
        </w:rPr>
        <w:t xml:space="preserve"> </w:t>
      </w:r>
    </w:p>
    <w:p w14:paraId="54BAB523">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contextualSpacing/>
        <w:jc w:val="both"/>
        <w:textAlignment w:val="auto"/>
        <w:outlineLvl w:val="9"/>
        <w:rPr>
          <w:rFonts w:hint="eastAsia" w:eastAsia="仿宋_GB2312" w:cs="仿宋_GB2312"/>
          <w:color w:val="auto"/>
          <w:kern w:val="2"/>
          <w:sz w:val="32"/>
          <w:szCs w:val="32"/>
          <w:highlight w:val="none"/>
          <w:lang w:val="en-US" w:eastAsia="zh-CN" w:bidi="ar-SA"/>
        </w:rPr>
      </w:pPr>
      <w:r>
        <w:rPr>
          <w:rFonts w:hint="default" w:ascii="Times New Roman" w:hAnsi="Times New Roman" w:eastAsia="仿宋_GB2312" w:cs="仿宋_GB2312"/>
          <w:color w:val="auto"/>
          <w:kern w:val="2"/>
          <w:sz w:val="32"/>
          <w:szCs w:val="32"/>
          <w:highlight w:val="none"/>
          <w:lang w:val="en-US" w:eastAsia="zh-CN" w:bidi="ar-SA"/>
        </w:rPr>
        <w:t>阶段</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一次性</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eastAsia="仿宋_GB2312" w:cs="仿宋_GB2312"/>
          <w:color w:val="auto"/>
          <w:kern w:val="2"/>
          <w:sz w:val="32"/>
          <w:szCs w:val="32"/>
          <w:highlight w:val="none"/>
          <w:lang w:val="en-US" w:eastAsia="zh-CN" w:bidi="ar-SA"/>
        </w:rPr>
        <w:t>0</w:t>
      </w:r>
      <w:r>
        <w:rPr>
          <w:rFonts w:hint="default" w:ascii="Times New Roman" w:hAnsi="Times New Roman" w:eastAsia="仿宋_GB2312" w:cs="仿宋_GB2312"/>
          <w:color w:val="auto"/>
          <w:kern w:val="2"/>
          <w:sz w:val="32"/>
          <w:szCs w:val="32"/>
          <w:highlight w:val="none"/>
          <w:lang w:val="zh-CN" w:eastAsia="zh-CN" w:bidi="ar-SA"/>
        </w:rPr>
        <w:t>个。</w:t>
      </w:r>
    </w:p>
    <w:p w14:paraId="48720675">
      <w:pPr>
        <w:keepNext w:val="0"/>
        <w:keepLines w:val="0"/>
        <w:pageBreakBefore w:val="0"/>
        <w:widowControl w:val="0"/>
        <w:numPr>
          <w:ilvl w:val="0"/>
          <w:numId w:val="2"/>
        </w:numPr>
        <w:kinsoku/>
        <w:wordWrap/>
        <w:overflowPunct/>
        <w:topLinePunct w:val="0"/>
        <w:autoSpaceDE/>
        <w:autoSpaceDN/>
        <w:bidi w:val="0"/>
        <w:adjustRightInd w:val="0"/>
        <w:snapToGrid w:val="0"/>
        <w:spacing w:beforeAutospacing="0" w:after="120" w:afterAutospacing="0" w:line="240" w:lineRule="auto"/>
        <w:ind w:left="0" w:leftChars="0" w:right="0" w:firstLine="643" w:firstLineChars="200"/>
        <w:contextualSpacing/>
        <w:jc w:val="both"/>
        <w:textAlignment w:val="auto"/>
        <w:outlineLvl w:val="9"/>
        <w:rPr>
          <w:rFonts w:hint="eastAsia" w:ascii="Times New Roman" w:hAnsi="Times New Roman" w:eastAsia="楷体_GB2312" w:cs="Times New Roman"/>
          <w:b/>
          <w:bCs/>
          <w:color w:val="000000"/>
          <w:kern w:val="0"/>
          <w:sz w:val="32"/>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p>
    <w:p w14:paraId="50102560">
      <w:pPr>
        <w:pStyle w:val="17"/>
        <w:keepNext w:val="0"/>
        <w:keepLines w:val="0"/>
        <w:pageBreakBefore w:val="0"/>
        <w:widowControl w:val="0"/>
        <w:suppressLineNumbers w:val="0"/>
        <w:kinsoku/>
        <w:overflowPunct/>
        <w:topLinePunct w:val="0"/>
        <w:bidi w:val="0"/>
        <w:spacing w:before="0" w:beforeAutospacing="0" w:after="120" w:afterAutospacing="0" w:line="240" w:lineRule="auto"/>
        <w:ind w:left="0" w:leftChars="0" w:right="0" w:firstLine="640" w:firstLineChars="200"/>
        <w:jc w:val="both"/>
        <w:textAlignment w:val="auto"/>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1.内部应用情况</w:t>
      </w:r>
      <w:r>
        <w:rPr>
          <w:rFonts w:hint="eastAsia" w:ascii="仿宋_GB2312" w:hAnsi="Times New Roman" w:eastAsia="仿宋_GB2312" w:cs="Times New Roman"/>
          <w:kern w:val="2"/>
          <w:sz w:val="32"/>
          <w:szCs w:val="32"/>
          <w:lang w:val="en-US" w:eastAsia="zh-CN" w:bidi="ar"/>
        </w:rPr>
        <w:t xml:space="preserve"> </w:t>
      </w:r>
    </w:p>
    <w:p w14:paraId="1A8DB927">
      <w:pPr>
        <w:pStyle w:val="17"/>
        <w:keepNext w:val="0"/>
        <w:keepLines w:val="0"/>
        <w:pageBreakBefore w:val="0"/>
        <w:widowControl w:val="0"/>
        <w:suppressLineNumbers w:val="0"/>
        <w:kinsoku/>
        <w:overflowPunct/>
        <w:topLinePunct w:val="0"/>
        <w:bidi w:val="0"/>
        <w:spacing w:before="0" w:beforeAutospacing="0" w:after="120" w:afterAutospacing="0" w:line="240" w:lineRule="auto"/>
        <w:ind w:left="0" w:leftChars="0" w:right="0" w:firstLine="640" w:firstLineChars="200"/>
        <w:jc w:val="both"/>
        <w:textAlignment w:val="auto"/>
        <w:rPr>
          <w:rFonts w:hint="eastAsia" w:ascii="宋体" w:hAnsi="Courier New" w:eastAsia="仿宋_GB2312" w:cs="Times New Roman"/>
          <w:kern w:val="2"/>
          <w:sz w:val="32"/>
          <w:szCs w:val="32"/>
        </w:rPr>
      </w:pPr>
      <w:r>
        <w:rPr>
          <w:rFonts w:hint="eastAsia" w:ascii="宋体" w:hAnsi="Courier New" w:eastAsia="仿宋_GB2312" w:cs="Times New Roman"/>
          <w:kern w:val="2"/>
          <w:sz w:val="32"/>
          <w:szCs w:val="32"/>
          <w:lang w:val="en-US" w:eastAsia="zh-CN" w:bidi="ar"/>
        </w:rPr>
        <w:t xml:space="preserve">    </w:t>
      </w:r>
      <w:r>
        <w:rPr>
          <w:rFonts w:hint="eastAsia" w:ascii="仿宋_GB2312" w:hAnsi="Courier New" w:eastAsia="仿宋_GB2312" w:cs="仿宋_GB2312"/>
          <w:kern w:val="2"/>
          <w:sz w:val="32"/>
          <w:szCs w:val="32"/>
          <w:lang w:val="en-US" w:eastAsia="zh-CN" w:bidi="ar"/>
        </w:rPr>
        <w:t>通过绩效评价找准了病根，如预算编制精准度不够，绩效指标设置不够细化全面。我单位通过全面掌握预算需求，细心测算预算需求等办法，逐年提高了预算编制的精准度；通过加强学习，提升业务能力等办法，</w:t>
      </w:r>
      <w:r>
        <w:rPr>
          <w:rFonts w:hint="eastAsia" w:ascii="宋体" w:hAnsi="宋体" w:eastAsia="宋体" w:cs="宋体"/>
          <w:kern w:val="2"/>
          <w:sz w:val="32"/>
          <w:szCs w:val="32"/>
          <w:lang w:val="en-US" w:eastAsia="zh-CN" w:bidi="ar"/>
        </w:rPr>
        <w:t>2026</w:t>
      </w:r>
      <w:r>
        <w:rPr>
          <w:rFonts w:hint="eastAsia" w:ascii="仿宋_GB2312" w:hAnsi="Courier New" w:eastAsia="仿宋_GB2312" w:cs="仿宋_GB2312"/>
          <w:kern w:val="2"/>
          <w:sz w:val="32"/>
          <w:szCs w:val="32"/>
          <w:lang w:val="en-US" w:eastAsia="zh-CN" w:bidi="ar"/>
        </w:rPr>
        <w:t>年我单位绩效目标设置更加细化、合理。</w:t>
      </w:r>
    </w:p>
    <w:p w14:paraId="51B0951A">
      <w:pPr>
        <w:pStyle w:val="17"/>
        <w:keepNext w:val="0"/>
        <w:keepLines w:val="0"/>
        <w:pageBreakBefore w:val="0"/>
        <w:widowControl w:val="0"/>
        <w:suppressLineNumbers w:val="0"/>
        <w:kinsoku/>
        <w:overflowPunct/>
        <w:topLinePunct w:val="0"/>
        <w:bidi w:val="0"/>
        <w:spacing w:before="0" w:beforeAutospacing="0" w:after="120" w:afterAutospacing="0" w:line="240" w:lineRule="auto"/>
        <w:ind w:left="0" w:leftChars="0" w:right="0" w:firstLine="640" w:firstLineChars="200"/>
        <w:jc w:val="both"/>
        <w:textAlignment w:val="auto"/>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2.信息公开情况</w:t>
      </w:r>
      <w:r>
        <w:rPr>
          <w:rFonts w:hint="eastAsia" w:ascii="仿宋_GB2312" w:hAnsi="Times New Roman" w:eastAsia="仿宋_GB2312" w:cs="Times New Roman"/>
          <w:kern w:val="2"/>
          <w:sz w:val="32"/>
          <w:szCs w:val="32"/>
          <w:lang w:val="en-US" w:eastAsia="zh-CN" w:bidi="ar"/>
        </w:rPr>
        <w:t xml:space="preserve"> </w:t>
      </w:r>
    </w:p>
    <w:p w14:paraId="1D89BA0A">
      <w:pPr>
        <w:pStyle w:val="17"/>
        <w:keepNext w:val="0"/>
        <w:keepLines w:val="0"/>
        <w:pageBreakBefore w:val="0"/>
        <w:widowControl w:val="0"/>
        <w:suppressLineNumbers w:val="0"/>
        <w:kinsoku/>
        <w:overflowPunct/>
        <w:topLinePunct w:val="0"/>
        <w:bidi w:val="0"/>
        <w:spacing w:before="0" w:beforeAutospacing="0" w:after="120" w:afterAutospacing="0" w:line="240" w:lineRule="auto"/>
        <w:ind w:left="0" w:leftChars="0" w:right="0" w:firstLine="640" w:firstLineChars="200"/>
        <w:jc w:val="both"/>
        <w:textAlignment w:val="auto"/>
        <w:rPr>
          <w:rFonts w:hint="eastAsia" w:ascii="仿宋_GB2312" w:hAnsi="Times New Roman" w:eastAsia="仿宋_GB2312" w:cs="Times New Roman"/>
          <w:kern w:val="2"/>
          <w:sz w:val="32"/>
          <w:szCs w:val="32"/>
          <w:lang w:val="en-US" w:eastAsia="zh-CN" w:bidi="ar"/>
        </w:rPr>
      </w:pPr>
      <w:r>
        <w:rPr>
          <w:rFonts w:hint="eastAsia" w:ascii="仿宋_GB2312" w:hAnsi="Courier New" w:eastAsia="仿宋_GB2312" w:cs="仿宋_GB2312"/>
          <w:kern w:val="2"/>
          <w:sz w:val="32"/>
          <w:szCs w:val="32"/>
          <w:lang w:val="en-US" w:eastAsia="zh-CN" w:bidi="ar"/>
        </w:rPr>
        <w:t>公开范围：预决算均已按照相关文件要求在规定时限内在政府门户网站公开。</w:t>
      </w:r>
      <w:r>
        <w:rPr>
          <w:rFonts w:hint="eastAsia" w:ascii="宋体" w:hAnsi="Courier New" w:eastAsia="仿宋_GB2312" w:cs="Times New Roman"/>
          <w:kern w:val="2"/>
          <w:sz w:val="32"/>
          <w:szCs w:val="32"/>
          <w:lang w:val="en-US" w:eastAsia="zh-CN" w:bidi="ar"/>
        </w:rPr>
        <w:t xml:space="preserve"> </w:t>
      </w:r>
      <w:r>
        <w:rPr>
          <w:rFonts w:hint="eastAsia" w:ascii="仿宋_GB2312" w:hAnsi="Times New Roman" w:eastAsia="仿宋_GB2312" w:cs="Times New Roman"/>
          <w:kern w:val="2"/>
          <w:sz w:val="32"/>
          <w:szCs w:val="32"/>
          <w:lang w:val="en-US" w:eastAsia="zh-CN" w:bidi="ar"/>
        </w:rPr>
        <w:t xml:space="preserve"> </w:t>
      </w:r>
    </w:p>
    <w:p w14:paraId="087E8677">
      <w:pPr>
        <w:pStyle w:val="17"/>
        <w:keepNext w:val="0"/>
        <w:keepLines w:val="0"/>
        <w:pageBreakBefore w:val="0"/>
        <w:widowControl w:val="0"/>
        <w:suppressLineNumbers w:val="0"/>
        <w:kinsoku/>
        <w:overflowPunct/>
        <w:topLinePunct w:val="0"/>
        <w:bidi w:val="0"/>
        <w:spacing w:before="0" w:beforeAutospacing="0" w:after="120" w:afterAutospacing="0" w:line="240" w:lineRule="auto"/>
        <w:ind w:left="0" w:leftChars="0" w:right="0" w:firstLine="640" w:firstLineChars="200"/>
        <w:jc w:val="both"/>
        <w:textAlignment w:val="auto"/>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公开时效：按要求在预决算批复后</w:t>
      </w:r>
      <w:r>
        <w:rPr>
          <w:rFonts w:hint="eastAsia" w:ascii="仿宋_GB2312" w:hAnsi="Times New Roman" w:eastAsia="仿宋_GB2312" w:cs="Times New Roman"/>
          <w:kern w:val="2"/>
          <w:sz w:val="32"/>
          <w:szCs w:val="32"/>
          <w:lang w:val="en-US" w:eastAsia="zh-CN" w:bidi="ar"/>
        </w:rPr>
        <w:t xml:space="preserve">20日内公开。  </w:t>
      </w:r>
    </w:p>
    <w:p w14:paraId="3682D9B8">
      <w:pPr>
        <w:pStyle w:val="17"/>
        <w:keepNext w:val="0"/>
        <w:keepLines w:val="0"/>
        <w:pageBreakBefore w:val="0"/>
        <w:widowControl w:val="0"/>
        <w:suppressLineNumbers w:val="0"/>
        <w:kinsoku/>
        <w:overflowPunct/>
        <w:topLinePunct w:val="0"/>
        <w:bidi w:val="0"/>
        <w:spacing w:before="0" w:beforeAutospacing="0" w:after="120" w:afterAutospacing="0" w:line="240" w:lineRule="auto"/>
        <w:ind w:left="0" w:leftChars="0" w:right="0" w:firstLine="640" w:firstLineChars="200"/>
        <w:jc w:val="both"/>
        <w:textAlignment w:val="auto"/>
        <w:rPr>
          <w:rFonts w:hint="eastAsia" w:ascii="仿宋_GB2312"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3.整改反馈情况</w:t>
      </w:r>
      <w:r>
        <w:rPr>
          <w:rFonts w:hint="eastAsia" w:ascii="仿宋_GB2312" w:hAnsi="Times New Roman" w:eastAsia="仿宋_GB2312" w:cs="Times New Roman"/>
          <w:kern w:val="2"/>
          <w:sz w:val="32"/>
          <w:szCs w:val="32"/>
          <w:lang w:val="en-US" w:eastAsia="zh-CN" w:bidi="ar"/>
        </w:rPr>
        <w:t xml:space="preserve">  </w:t>
      </w:r>
    </w:p>
    <w:p w14:paraId="3D87717F">
      <w:pPr>
        <w:pStyle w:val="17"/>
        <w:keepNext w:val="0"/>
        <w:keepLines w:val="0"/>
        <w:pageBreakBefore w:val="0"/>
        <w:widowControl w:val="0"/>
        <w:suppressLineNumbers w:val="0"/>
        <w:kinsoku/>
        <w:overflowPunct/>
        <w:topLinePunct w:val="0"/>
        <w:bidi w:val="0"/>
        <w:spacing w:before="0" w:beforeAutospacing="0" w:after="120" w:afterAutospacing="0" w:line="240" w:lineRule="auto"/>
        <w:ind w:left="0" w:leftChars="0" w:right="0" w:firstLine="640" w:firstLineChars="200"/>
        <w:jc w:val="both"/>
        <w:textAlignment w:val="auto"/>
        <w:rPr>
          <w:rFonts w:hint="default"/>
          <w:lang w:val="en-US" w:eastAsia="zh-CN"/>
        </w:rPr>
      </w:pPr>
      <w:r>
        <w:rPr>
          <w:rFonts w:hint="eastAsia" w:ascii="仿宋_GB2312" w:hAnsi="Courier New" w:eastAsia="仿宋_GB2312" w:cs="仿宋_GB2312"/>
          <w:kern w:val="2"/>
          <w:sz w:val="32"/>
          <w:szCs w:val="32"/>
          <w:lang w:val="en-US" w:eastAsia="zh-CN" w:bidi="ar"/>
        </w:rPr>
        <w:t>无</w:t>
      </w:r>
    </w:p>
    <w:p w14:paraId="15F99C0D">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14:paraId="1B448084">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仿宋_GB2312" w:cs="Times New Roman"/>
          <w:sz w:val="32"/>
          <w:szCs w:val="32"/>
          <w:u w:val="none"/>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r>
        <w:rPr>
          <w:rFonts w:hint="eastAsia" w:ascii="仿宋_GB2312" w:hAnsi="仿宋_GB2312" w:eastAsia="仿宋_GB2312" w:cs="仿宋_GB2312"/>
          <w:sz w:val="32"/>
          <w:szCs w:val="32"/>
          <w:lang w:val="zh-CN" w:eastAsia="zh-CN"/>
        </w:rPr>
        <w:t>我乡</w:t>
      </w:r>
      <w:r>
        <w:rPr>
          <w:rFonts w:hint="eastAsia" w:ascii="仿宋_GB2312" w:hAnsi="仿宋_GB2312" w:eastAsia="仿宋_GB2312" w:cs="仿宋_GB2312"/>
          <w:sz w:val="32"/>
          <w:szCs w:val="32"/>
          <w:lang w:val="en-US" w:eastAsia="zh-CN"/>
        </w:rPr>
        <w:t>预算绩效及管理</w:t>
      </w:r>
      <w:r>
        <w:rPr>
          <w:rFonts w:hint="eastAsia" w:ascii="仿宋_GB2312" w:hAnsi="仿宋_GB2312" w:eastAsia="仿宋_GB2312" w:cs="仿宋_GB2312"/>
          <w:sz w:val="32"/>
          <w:szCs w:val="32"/>
          <w:lang w:val="zh-CN" w:eastAsia="zh-CN"/>
        </w:rPr>
        <w:t>整体评价良好，预算收入和支出相符</w:t>
      </w:r>
      <w:r>
        <w:rPr>
          <w:rFonts w:hint="eastAsia" w:ascii="Times New Roman" w:hAnsi="Times New Roman" w:eastAsia="仿宋_GB2312" w:cs="Times New Roman"/>
          <w:sz w:val="32"/>
          <w:szCs w:val="32"/>
          <w:u w:val="none"/>
          <w:lang w:val="en-US" w:eastAsia="zh-CN" w:bidi="ar"/>
        </w:rPr>
        <w:t>。</w:t>
      </w:r>
    </w:p>
    <w:p w14:paraId="2ED4A1A2">
      <w:pPr>
        <w:keepNext w:val="0"/>
        <w:keepLines w:val="0"/>
        <w:pageBreakBefore w:val="0"/>
        <w:widowControl/>
        <w:shd w:val="clear"/>
        <w:kinsoku/>
        <w:wordWrap/>
        <w:overflowPunct/>
        <w:topLinePunct w:val="0"/>
        <w:autoSpaceDN/>
        <w:bidi w:val="0"/>
        <w:adjustRightInd w:val="0"/>
        <w:snapToGrid w:val="0"/>
        <w:spacing w:beforeAutospacing="0" w:after="120" w:afterAutospacing="0" w:line="240" w:lineRule="auto"/>
        <w:ind w:left="0" w:leftChars="0" w:right="0" w:firstLine="643" w:firstLineChars="200"/>
        <w:jc w:val="left"/>
        <w:textAlignment w:val="auto"/>
        <w:outlineLvl w:val="1"/>
        <w:rPr>
          <w:rFonts w:hint="eastAsia" w:ascii="仿宋_GB2312" w:hAnsi="Times New Roman" w:eastAsia="仿宋_GB2312" w:cs="仿宋_GB2312"/>
          <w:kern w:val="2"/>
          <w:sz w:val="32"/>
          <w:szCs w:val="32"/>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（二）存在问题。</w:t>
      </w:r>
      <w:r>
        <w:rPr>
          <w:rFonts w:hint="eastAsia" w:ascii="仿宋_GB2312" w:cs="仿宋_GB2312"/>
          <w:b/>
          <w:bCs/>
          <w:kern w:val="2"/>
          <w:sz w:val="32"/>
          <w:szCs w:val="32"/>
          <w:lang w:val="zh-CN" w:eastAsia="zh-CN"/>
        </w:rPr>
        <w:t>一是</w:t>
      </w:r>
      <w:r>
        <w:rPr>
          <w:rFonts w:hint="eastAsia" w:ascii="仿宋_GB2312" w:hAnsi="Times New Roman" w:eastAsia="仿宋_GB2312" w:cs="仿宋_GB2312"/>
          <w:kern w:val="2"/>
          <w:sz w:val="32"/>
          <w:szCs w:val="32"/>
          <w:lang w:val="en-US" w:eastAsia="zh-CN"/>
        </w:rPr>
        <w:t>未建立完善的绩效评价指标体系，部分项目无指标或指标不明确</w:t>
      </w:r>
      <w:r>
        <w:rPr>
          <w:rFonts w:hint="eastAsia" w:ascii="仿宋_GB2312" w:cs="仿宋_GB2312"/>
          <w:kern w:val="2"/>
          <w:sz w:val="32"/>
          <w:szCs w:val="32"/>
          <w:lang w:val="en-US" w:eastAsia="zh-CN"/>
        </w:rPr>
        <w:t>。</w:t>
      </w:r>
      <w:r>
        <w:rPr>
          <w:rFonts w:hint="eastAsia" w:ascii="仿宋_GB2312" w:hAnsi="Times New Roman" w:eastAsia="仿宋_GB2312" w:cs="仿宋_GB2312"/>
          <w:b/>
          <w:bCs/>
          <w:kern w:val="2"/>
          <w:sz w:val="32"/>
          <w:szCs w:val="32"/>
          <w:lang w:val="zh-CN" w:eastAsia="zh-CN"/>
        </w:rPr>
        <w:t>二是</w:t>
      </w:r>
      <w:r>
        <w:rPr>
          <w:rFonts w:hint="eastAsia" w:ascii="仿宋_GB2312" w:hAnsi="Times New Roman" w:eastAsia="仿宋_GB2312" w:cs="仿宋_GB2312"/>
          <w:kern w:val="2"/>
          <w:sz w:val="32"/>
          <w:szCs w:val="32"/>
          <w:lang w:val="zh-CN" w:eastAsia="zh-CN"/>
        </w:rPr>
        <w:t>绩效目标设立不够明确、细化和量化。</w:t>
      </w:r>
      <w:r>
        <w:rPr>
          <w:rFonts w:hint="eastAsia" w:ascii="仿宋_GB2312" w:hAnsi="Times New Roman" w:cs="仿宋_GB2312"/>
          <w:b/>
          <w:bCs/>
          <w:kern w:val="2"/>
          <w:sz w:val="32"/>
          <w:szCs w:val="32"/>
          <w:lang w:val="en-US" w:eastAsia="zh-CN"/>
        </w:rPr>
        <w:t>三是</w:t>
      </w:r>
      <w:r>
        <w:rPr>
          <w:rFonts w:hint="eastAsia" w:ascii="仿宋_GB2312" w:hAnsi="Times New Roman" w:eastAsia="仿宋_GB2312" w:cs="仿宋_GB2312"/>
          <w:kern w:val="2"/>
          <w:sz w:val="32"/>
          <w:szCs w:val="32"/>
          <w:lang w:val="en-US" w:eastAsia="zh-CN" w:bidi="ar"/>
        </w:rPr>
        <w:t>项目绩效信息公开未能和预算、决算公开同步执行。四是固定资产录入系统不及时，未定期清查盘点。</w:t>
      </w:r>
    </w:p>
    <w:p w14:paraId="18FBC01E">
      <w:pPr>
        <w:keepNext w:val="0"/>
        <w:keepLines w:val="0"/>
        <w:pageBreakBefore w:val="0"/>
        <w:widowControl/>
        <w:kinsoku/>
        <w:wordWrap/>
        <w:overflowPunct/>
        <w:topLinePunct w:val="0"/>
        <w:autoSpaceDE/>
        <w:autoSpaceDN/>
        <w:bidi w:val="0"/>
        <w:adjustRightInd w:val="0"/>
        <w:snapToGrid w:val="0"/>
        <w:spacing w:beforeAutospacing="0" w:after="120" w:afterAutospacing="0" w:line="240" w:lineRule="auto"/>
        <w:ind w:left="0" w:leftChars="0" w:right="0" w:firstLine="643" w:firstLineChars="200"/>
        <w:contextualSpacing/>
        <w:jc w:val="left"/>
        <w:textAlignment w:val="auto"/>
        <w:outlineLvl w:val="9"/>
        <w:rPr>
          <w:rFonts w:hint="eastAsia" w:ascii="Times New Roman" w:hAnsi="Times New Roman" w:eastAsia="仿宋_GB2312" w:cs="Times New Roman"/>
          <w:kern w:val="2"/>
          <w:sz w:val="32"/>
          <w:szCs w:val="32"/>
          <w:u w:val="none"/>
          <w:lang w:val="zh-CN"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（三）改进建议。</w:t>
      </w:r>
      <w:bookmarkStart w:id="61" w:name="_Hlk110546638"/>
      <w:r>
        <w:rPr>
          <w:rFonts w:hint="eastAsia" w:ascii="仿宋_GB2312" w:hAnsi="Courier New" w:eastAsia="仿宋_GB2312" w:cs="仿宋_GB2312"/>
          <w:kern w:val="2"/>
          <w:sz w:val="32"/>
          <w:szCs w:val="32"/>
          <w:lang w:val="en-US" w:eastAsia="zh-CN" w:bidi="ar"/>
        </w:rPr>
        <w:t>一是健全绩效评价指标体系，所有项目均设置清晰、可量化的绩效指标。二是做实绩效目标编制，做到目标细化量化、贴合项目实际。三是统筹公开时序，推动绩效信息与预算、决算同步公开。四是规范固定资产管理，及时录入资产系统，落实定期清查盘点制度。</w:t>
      </w:r>
      <w:bookmarkEnd w:id="61"/>
    </w:p>
    <w:p w14:paraId="043D198B">
      <w:pPr>
        <w:pStyle w:val="8"/>
        <w:keepNext w:val="0"/>
        <w:keepLines w:val="0"/>
        <w:pageBreakBefore w:val="0"/>
        <w:numPr>
          <w:ilvl w:val="0"/>
          <w:numId w:val="0"/>
        </w:numPr>
        <w:kinsoku/>
        <w:wordWrap/>
        <w:overflowPunct/>
        <w:topLinePunct w:val="0"/>
        <w:autoSpaceDE/>
        <w:autoSpaceDN/>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Times New Roman"/>
          <w:kern w:val="2"/>
          <w:sz w:val="32"/>
          <w:szCs w:val="32"/>
          <w:u w:val="none"/>
          <w:lang w:val="zh-CN" w:eastAsia="zh-CN" w:bidi="ar"/>
        </w:rPr>
      </w:pPr>
    </w:p>
    <w:p w14:paraId="4FF19F1B">
      <w:pPr>
        <w:rPr>
          <w:rFonts w:hint="eastAsia" w:ascii="Times New Roman" w:hAnsi="Times New Roman" w:eastAsia="仿宋_GB2312" w:cs="Times New Roman"/>
          <w:kern w:val="2"/>
          <w:sz w:val="32"/>
          <w:szCs w:val="32"/>
          <w:u w:val="none"/>
          <w:lang w:val="zh-CN" w:eastAsia="zh-CN" w:bidi="ar"/>
        </w:rPr>
      </w:pPr>
    </w:p>
    <w:p w14:paraId="20362580">
      <w:pPr>
        <w:rPr>
          <w:rFonts w:hint="eastAsia" w:ascii="Times New Roman" w:hAnsi="Times New Roman" w:eastAsia="仿宋_GB2312" w:cs="Times New Roman"/>
          <w:kern w:val="2"/>
          <w:sz w:val="32"/>
          <w:szCs w:val="32"/>
          <w:u w:val="none"/>
          <w:lang w:val="zh-CN" w:eastAsia="zh-CN" w:bidi="ar"/>
        </w:rPr>
      </w:pPr>
    </w:p>
    <w:p w14:paraId="2648D62B">
      <w:pPr>
        <w:rPr>
          <w:rFonts w:hint="eastAsia" w:ascii="Times New Roman" w:hAnsi="Times New Roman" w:eastAsia="仿宋_GB2312" w:cs="Times New Roman"/>
          <w:kern w:val="2"/>
          <w:sz w:val="32"/>
          <w:szCs w:val="32"/>
          <w:u w:val="none"/>
          <w:lang w:val="zh-CN" w:eastAsia="zh-CN" w:bidi="ar"/>
        </w:rPr>
      </w:pPr>
    </w:p>
    <w:p w14:paraId="6BD295A3">
      <w:pPr>
        <w:rPr>
          <w:rFonts w:hint="eastAsia" w:ascii="Times New Roman" w:hAnsi="Times New Roman" w:eastAsia="仿宋_GB2312" w:cs="Times New Roman"/>
          <w:kern w:val="2"/>
          <w:sz w:val="32"/>
          <w:szCs w:val="32"/>
          <w:u w:val="none"/>
          <w:lang w:val="zh-CN" w:eastAsia="zh-CN" w:bidi="ar"/>
        </w:rPr>
      </w:pPr>
    </w:p>
    <w:p w14:paraId="7180189C">
      <w:pPr>
        <w:rPr>
          <w:rFonts w:hint="eastAsia" w:ascii="Times New Roman" w:hAnsi="Times New Roman" w:eastAsia="仿宋_GB2312" w:cs="Times New Roman"/>
          <w:kern w:val="2"/>
          <w:sz w:val="32"/>
          <w:szCs w:val="32"/>
          <w:u w:val="none"/>
          <w:lang w:val="zh-CN" w:eastAsia="zh-CN" w:bidi="ar"/>
        </w:rPr>
      </w:pPr>
    </w:p>
    <w:p w14:paraId="467DEFEB">
      <w:pPr>
        <w:rPr>
          <w:rFonts w:hint="eastAsia" w:ascii="Times New Roman" w:hAnsi="Times New Roman" w:eastAsia="仿宋_GB2312" w:cs="Times New Roman"/>
          <w:kern w:val="2"/>
          <w:sz w:val="32"/>
          <w:szCs w:val="32"/>
          <w:u w:val="none"/>
          <w:lang w:val="zh-CN" w:eastAsia="zh-CN" w:bidi="ar"/>
        </w:rPr>
      </w:pPr>
    </w:p>
    <w:p w14:paraId="7B70FC8C">
      <w:pPr>
        <w:rPr>
          <w:rFonts w:hint="eastAsia" w:ascii="Times New Roman" w:hAnsi="Times New Roman" w:eastAsia="仿宋_GB2312" w:cs="Times New Roman"/>
          <w:kern w:val="2"/>
          <w:sz w:val="32"/>
          <w:szCs w:val="32"/>
          <w:u w:val="none"/>
          <w:lang w:val="zh-CN" w:eastAsia="zh-CN" w:bidi="ar"/>
        </w:rPr>
      </w:pPr>
    </w:p>
    <w:p w14:paraId="44F294DC">
      <w:pPr>
        <w:rPr>
          <w:rFonts w:hint="eastAsia" w:ascii="Times New Roman" w:hAnsi="Times New Roman" w:eastAsia="仿宋_GB2312" w:cs="Times New Roman"/>
          <w:kern w:val="2"/>
          <w:sz w:val="32"/>
          <w:szCs w:val="32"/>
          <w:u w:val="none"/>
          <w:lang w:val="zh-CN" w:eastAsia="zh-CN" w:bidi="ar"/>
        </w:rPr>
      </w:pPr>
    </w:p>
    <w:p w14:paraId="0E4348D4">
      <w:pPr>
        <w:rPr>
          <w:rFonts w:hint="eastAsia" w:ascii="Times New Roman" w:hAnsi="Times New Roman" w:eastAsia="仿宋_GB2312" w:cs="Times New Roman"/>
          <w:kern w:val="2"/>
          <w:sz w:val="32"/>
          <w:szCs w:val="32"/>
          <w:u w:val="none"/>
          <w:lang w:val="zh-CN" w:eastAsia="zh-CN" w:bidi="ar"/>
        </w:rPr>
      </w:pPr>
    </w:p>
    <w:p w14:paraId="2F713EBC">
      <w:pPr>
        <w:rPr>
          <w:rFonts w:hint="eastAsia" w:ascii="Times New Roman" w:hAnsi="Times New Roman" w:eastAsia="仿宋_GB2312" w:cs="Times New Roman"/>
          <w:kern w:val="2"/>
          <w:sz w:val="32"/>
          <w:szCs w:val="32"/>
          <w:u w:val="none"/>
          <w:lang w:val="zh-CN" w:eastAsia="zh-CN" w:bidi="ar"/>
        </w:rPr>
      </w:pPr>
    </w:p>
    <w:p w14:paraId="5169AB83">
      <w:pPr>
        <w:rPr>
          <w:rFonts w:hint="eastAsia" w:ascii="Times New Roman" w:hAnsi="Times New Roman" w:eastAsia="仿宋_GB2312" w:cs="Times New Roman"/>
          <w:kern w:val="2"/>
          <w:sz w:val="32"/>
          <w:szCs w:val="32"/>
          <w:u w:val="none"/>
          <w:lang w:val="zh-CN" w:eastAsia="zh-CN" w:bidi="ar"/>
        </w:rPr>
      </w:pPr>
    </w:p>
    <w:p w14:paraId="74C5391B">
      <w:pPr>
        <w:rPr>
          <w:rFonts w:hint="eastAsia" w:ascii="Times New Roman" w:hAnsi="Times New Roman" w:eastAsia="仿宋_GB2312" w:cs="Times New Roman"/>
          <w:kern w:val="2"/>
          <w:sz w:val="32"/>
          <w:szCs w:val="32"/>
          <w:u w:val="none"/>
          <w:lang w:val="zh-CN" w:eastAsia="zh-CN" w:bidi="ar"/>
        </w:rPr>
      </w:pPr>
    </w:p>
    <w:p w14:paraId="43CB66F3">
      <w:pPr>
        <w:rPr>
          <w:rFonts w:hint="eastAsia" w:ascii="Times New Roman" w:hAnsi="Times New Roman" w:eastAsia="仿宋_GB2312" w:cs="Times New Roman"/>
          <w:kern w:val="2"/>
          <w:sz w:val="32"/>
          <w:szCs w:val="32"/>
          <w:u w:val="none"/>
          <w:lang w:val="zh-CN" w:eastAsia="zh-CN" w:bidi="ar"/>
        </w:rPr>
      </w:pPr>
    </w:p>
    <w:p w14:paraId="1B41C8F1">
      <w:pPr>
        <w:rPr>
          <w:rFonts w:hint="eastAsia" w:ascii="Times New Roman" w:hAnsi="Times New Roman" w:eastAsia="仿宋_GB2312" w:cs="Times New Roman"/>
          <w:kern w:val="2"/>
          <w:sz w:val="32"/>
          <w:szCs w:val="32"/>
          <w:u w:val="none"/>
          <w:lang w:val="zh-CN" w:eastAsia="zh-CN" w:bidi="ar"/>
        </w:rPr>
      </w:pPr>
    </w:p>
    <w:p w14:paraId="318E4A71">
      <w:pPr>
        <w:rPr>
          <w:rFonts w:hint="eastAsia" w:ascii="Times New Roman" w:hAnsi="Times New Roman" w:eastAsia="仿宋_GB2312" w:cs="Times New Roman"/>
          <w:kern w:val="2"/>
          <w:sz w:val="32"/>
          <w:szCs w:val="32"/>
          <w:u w:val="none"/>
          <w:lang w:val="zh-CN" w:eastAsia="zh-CN" w:bidi="ar"/>
        </w:rPr>
      </w:pPr>
    </w:p>
    <w:p w14:paraId="760085F3">
      <w:pPr>
        <w:rPr>
          <w:rFonts w:hint="eastAsia" w:ascii="Times New Roman" w:hAnsi="Times New Roman" w:eastAsia="仿宋_GB2312" w:cs="Times New Roman"/>
          <w:kern w:val="2"/>
          <w:sz w:val="32"/>
          <w:szCs w:val="32"/>
          <w:u w:val="none"/>
          <w:lang w:val="zh-CN" w:eastAsia="zh-CN" w:bidi="ar"/>
        </w:rPr>
      </w:pPr>
    </w:p>
    <w:p w14:paraId="1237061C">
      <w:pPr>
        <w:rPr>
          <w:rFonts w:hint="eastAsia" w:ascii="Times New Roman" w:hAnsi="Times New Roman" w:eastAsia="仿宋_GB2312" w:cs="Times New Roman"/>
          <w:kern w:val="2"/>
          <w:sz w:val="32"/>
          <w:szCs w:val="32"/>
          <w:u w:val="none"/>
          <w:lang w:val="zh-CN" w:eastAsia="zh-CN" w:bidi="ar"/>
        </w:rPr>
      </w:pPr>
    </w:p>
    <w:p w14:paraId="7B0912F8">
      <w:pPr>
        <w:rPr>
          <w:rFonts w:hint="eastAsia" w:ascii="Times New Roman" w:hAnsi="Times New Roman" w:eastAsia="仿宋_GB2312" w:cs="Times New Roman"/>
          <w:kern w:val="2"/>
          <w:sz w:val="32"/>
          <w:szCs w:val="32"/>
          <w:u w:val="none"/>
          <w:lang w:val="zh-CN" w:eastAsia="zh-CN" w:bidi="ar"/>
        </w:rPr>
      </w:pPr>
    </w:p>
    <w:p w14:paraId="276A20FA">
      <w:pPr>
        <w:rPr>
          <w:rFonts w:hint="eastAsia" w:ascii="Times New Roman" w:hAnsi="Times New Roman" w:eastAsia="仿宋_GB2312" w:cs="Times New Roman"/>
          <w:kern w:val="2"/>
          <w:sz w:val="32"/>
          <w:szCs w:val="32"/>
          <w:u w:val="none"/>
          <w:lang w:val="zh-CN" w:eastAsia="zh-CN" w:bidi="ar"/>
        </w:rPr>
      </w:pPr>
    </w:p>
    <w:p w14:paraId="36E7E4C0">
      <w:pPr>
        <w:rPr>
          <w:rFonts w:hint="eastAsia" w:ascii="Times New Roman" w:hAnsi="Times New Roman" w:eastAsia="仿宋_GB2312" w:cs="Times New Roman"/>
          <w:kern w:val="2"/>
          <w:sz w:val="32"/>
          <w:szCs w:val="32"/>
          <w:u w:val="none"/>
          <w:lang w:val="zh-CN" w:eastAsia="zh-CN" w:bidi="ar"/>
        </w:rPr>
      </w:pPr>
    </w:p>
    <w:p w14:paraId="056F84EC">
      <w:pPr>
        <w:rPr>
          <w:rFonts w:hint="eastAsia" w:ascii="Times New Roman" w:hAnsi="Times New Roman" w:eastAsia="仿宋_GB2312" w:cs="Times New Roman"/>
          <w:kern w:val="2"/>
          <w:sz w:val="32"/>
          <w:szCs w:val="32"/>
          <w:u w:val="none"/>
          <w:lang w:val="zh-CN" w:eastAsia="zh-CN" w:bidi="ar"/>
        </w:rPr>
      </w:pPr>
    </w:p>
    <w:p w14:paraId="4D6E9872">
      <w:pPr>
        <w:rPr>
          <w:rFonts w:hint="eastAsia" w:ascii="Times New Roman" w:hAnsi="Times New Roman" w:eastAsia="仿宋_GB2312" w:cs="Times New Roman"/>
          <w:kern w:val="2"/>
          <w:sz w:val="32"/>
          <w:szCs w:val="32"/>
          <w:u w:val="none"/>
          <w:lang w:val="zh-CN" w:eastAsia="zh-CN" w:bidi="ar"/>
        </w:rPr>
      </w:pPr>
    </w:p>
    <w:p w14:paraId="37A94C1D">
      <w:pPr>
        <w:rPr>
          <w:rFonts w:hint="eastAsia" w:ascii="Times New Roman" w:hAnsi="Times New Roman" w:eastAsia="仿宋_GB2312" w:cs="Times New Roman"/>
          <w:kern w:val="2"/>
          <w:sz w:val="32"/>
          <w:szCs w:val="32"/>
          <w:u w:val="none"/>
          <w:lang w:val="zh-CN" w:eastAsia="zh-CN" w:bidi="ar"/>
        </w:rPr>
      </w:pPr>
    </w:p>
    <w:p w14:paraId="670876A3">
      <w:pPr>
        <w:rPr>
          <w:rFonts w:hint="eastAsia" w:ascii="Times New Roman" w:hAnsi="Times New Roman" w:eastAsia="仿宋_GB2312" w:cs="Times New Roman"/>
          <w:kern w:val="2"/>
          <w:sz w:val="32"/>
          <w:szCs w:val="32"/>
          <w:u w:val="none"/>
          <w:lang w:val="zh-CN" w:eastAsia="zh-CN" w:bidi="ar"/>
        </w:rPr>
      </w:pPr>
    </w:p>
    <w:p w14:paraId="4C96E190">
      <w:pPr>
        <w:rPr>
          <w:rFonts w:hint="eastAsia" w:ascii="Times New Roman" w:hAnsi="Times New Roman" w:eastAsia="仿宋_GB2312" w:cs="Times New Roman"/>
          <w:kern w:val="2"/>
          <w:sz w:val="32"/>
          <w:szCs w:val="32"/>
          <w:u w:val="none"/>
          <w:lang w:val="zh-CN" w:eastAsia="zh-CN" w:bidi="ar"/>
        </w:rPr>
      </w:pPr>
    </w:p>
    <w:p w14:paraId="468D73BC">
      <w:pPr>
        <w:rPr>
          <w:rFonts w:hint="eastAsia" w:ascii="Times New Roman" w:hAnsi="Times New Roman" w:eastAsia="仿宋_GB2312" w:cs="Times New Roman"/>
          <w:kern w:val="2"/>
          <w:sz w:val="32"/>
          <w:szCs w:val="32"/>
          <w:u w:val="none"/>
          <w:lang w:val="zh-CN" w:eastAsia="zh-CN" w:bidi="ar"/>
        </w:rPr>
      </w:pPr>
    </w:p>
    <w:p w14:paraId="4A5FFFE5">
      <w:pPr>
        <w:pStyle w:val="8"/>
        <w:keepNext w:val="0"/>
        <w:keepLines w:val="0"/>
        <w:pageBreakBefore w:val="0"/>
        <w:numPr>
          <w:ilvl w:val="0"/>
          <w:numId w:val="0"/>
        </w:numPr>
        <w:kinsoku/>
        <w:wordWrap/>
        <w:overflowPunct/>
        <w:topLinePunct w:val="0"/>
        <w:autoSpaceDE/>
        <w:autoSpaceDN/>
        <w:bidi w:val="0"/>
        <w:spacing w:beforeAutospacing="0" w:after="120" w:afterAutospacing="0" w:line="240" w:lineRule="auto"/>
        <w:ind w:left="0" w:leftChars="0" w:right="0" w:firstLine="640" w:firstLineChars="200"/>
        <w:textAlignment w:val="auto"/>
        <w:rPr>
          <w:rFonts w:hint="eastAsia" w:ascii="Times New Roman" w:hAnsi="Times New Roman" w:cs="Times New Roman"/>
          <w:sz w:val="32"/>
          <w:szCs w:val="32"/>
          <w:highlight w:val="yellow"/>
          <w:lang w:val="zh-CN" w:eastAsia="zh-CN"/>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w:t>
      </w:r>
      <w:r>
        <w:rPr>
          <w:rFonts w:hint="eastAsia" w:ascii="Times New Roman" w:eastAsia="仿宋_GB2312" w:cs="Times New Roman"/>
          <w:kern w:val="2"/>
          <w:sz w:val="32"/>
          <w:szCs w:val="32"/>
          <w:u w:val="none"/>
          <w:lang w:val="en-US" w:eastAsia="zh-CN" w:bidi="ar"/>
        </w:rPr>
        <w:t>2025年度</w:t>
      </w:r>
      <w:r>
        <w:rPr>
          <w:rFonts w:hint="eastAsia" w:ascii="Times New Roman" w:hAnsi="Times New Roman" w:eastAsia="仿宋_GB2312" w:cs="Times New Roman"/>
          <w:kern w:val="2"/>
          <w:sz w:val="32"/>
          <w:szCs w:val="32"/>
          <w:u w:val="none"/>
          <w:lang w:val="en-US" w:eastAsia="zh-CN" w:bidi="ar"/>
        </w:rPr>
        <w:t>）</w:t>
      </w:r>
    </w:p>
    <w:p w14:paraId="4FC93238">
      <w:pPr>
        <w:pageBreakBefore w:val="0"/>
        <w:kinsoku/>
        <w:overflowPunct/>
        <w:topLinePunct w:val="0"/>
        <w:bidi w:val="0"/>
        <w:spacing w:beforeAutospacing="0" w:after="120" w:afterAutospacing="0" w:line="240" w:lineRule="auto"/>
        <w:ind w:left="0" w:leftChars="0" w:right="0" w:firstLine="408" w:firstLineChars="200"/>
        <w:textAlignment w:val="auto"/>
        <w:rPr>
          <w:rFonts w:ascii="宋体" w:hAnsi="宋体" w:eastAsia="宋体" w:cs="宋体"/>
          <w:sz w:val="19"/>
          <w:szCs w:val="19"/>
        </w:rPr>
      </w:pPr>
      <w:r>
        <w:rPr>
          <w:rFonts w:ascii="宋体" w:hAnsi="宋体" w:eastAsia="宋体" w:cs="宋体"/>
          <w:color w:val="C0C0C0"/>
          <w:spacing w:val="7"/>
          <w:sz w:val="19"/>
          <w:szCs w:val="19"/>
        </w:rPr>
        <w:t>表编号：510000_0013</w:t>
      </w:r>
      <w:r>
        <w:rPr>
          <w:rFonts w:ascii="宋体" w:hAnsi="宋体" w:eastAsia="宋体" w:cs="宋体"/>
          <w:color w:val="C0C0C0"/>
          <w:sz w:val="19"/>
          <w:szCs w:val="19"/>
        </w:rPr>
        <w:t>zp</w:t>
      </w:r>
    </w:p>
    <w:p w14:paraId="286E39A2">
      <w:pPr>
        <w:pageBreakBefore w:val="0"/>
        <w:kinsoku/>
        <w:overflowPunct/>
        <w:topLinePunct w:val="0"/>
        <w:bidi w:val="0"/>
        <w:spacing w:beforeAutospacing="0" w:after="120" w:afterAutospacing="0" w:line="240" w:lineRule="auto"/>
        <w:ind w:left="0" w:leftChars="0" w:right="0" w:firstLine="420" w:firstLineChars="200"/>
        <w:textAlignment w:val="auto"/>
      </w:pPr>
    </w:p>
    <w:tbl>
      <w:tblPr>
        <w:tblStyle w:val="38"/>
        <w:tblW w:w="1299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5"/>
        <w:gridCol w:w="1889"/>
        <w:gridCol w:w="1627"/>
        <w:gridCol w:w="2081"/>
        <w:gridCol w:w="482"/>
        <w:gridCol w:w="1544"/>
        <w:gridCol w:w="482"/>
        <w:gridCol w:w="1007"/>
        <w:gridCol w:w="470"/>
        <w:gridCol w:w="414"/>
        <w:gridCol w:w="2354"/>
      </w:tblGrid>
      <w:tr w14:paraId="0EB7A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1" w:hRule="atLeast"/>
        </w:trPr>
        <w:tc>
          <w:tcPr>
            <w:tcW w:w="12995" w:type="dxa"/>
            <w:gridSpan w:val="11"/>
            <w:vAlign w:val="top"/>
          </w:tcPr>
          <w:p w14:paraId="78D3AACE">
            <w:pPr>
              <w:pageBreakBefore w:val="0"/>
              <w:kinsoku/>
              <w:overflowPunct/>
              <w:topLinePunct w:val="0"/>
              <w:bidi w:val="0"/>
              <w:spacing w:beforeAutospacing="0" w:after="120" w:afterAutospacing="0" w:line="240" w:lineRule="auto"/>
              <w:ind w:left="0" w:leftChars="0" w:right="0" w:firstLine="602" w:firstLineChars="200"/>
              <w:textAlignment w:val="auto"/>
              <w:rPr>
                <w:rFonts w:ascii="黑体" w:hAnsi="黑体" w:eastAsia="黑体" w:cs="黑体"/>
                <w:sz w:val="30"/>
                <w:szCs w:val="30"/>
              </w:rPr>
            </w:pPr>
            <w:r>
              <w:rPr>
                <w:rFonts w:ascii="黑体" w:hAnsi="黑体" w:eastAsia="黑体" w:cs="黑体"/>
                <w:b/>
                <w:bCs/>
                <w:sz w:val="30"/>
                <w:szCs w:val="30"/>
              </w:rPr>
              <w:t>部门预算项目支出绩效自评表（2025年度）</w:t>
            </w:r>
          </w:p>
        </w:tc>
      </w:tr>
      <w:tr w14:paraId="16FBA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2534" w:type="dxa"/>
            <w:gridSpan w:val="2"/>
            <w:vAlign w:val="top"/>
          </w:tcPr>
          <w:p w14:paraId="04F41AB3">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项目名称</w:t>
            </w:r>
          </w:p>
        </w:tc>
        <w:tc>
          <w:tcPr>
            <w:tcW w:w="10461" w:type="dxa"/>
            <w:gridSpan w:val="9"/>
            <w:vAlign w:val="top"/>
          </w:tcPr>
          <w:p w14:paraId="4B950286">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51323321T000000107654-人大会议费</w:t>
            </w:r>
          </w:p>
        </w:tc>
      </w:tr>
      <w:tr w14:paraId="524C6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2534" w:type="dxa"/>
            <w:gridSpan w:val="2"/>
            <w:vAlign w:val="top"/>
          </w:tcPr>
          <w:p w14:paraId="10040685">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主管部门</w:t>
            </w:r>
          </w:p>
        </w:tc>
        <w:tc>
          <w:tcPr>
            <w:tcW w:w="6216" w:type="dxa"/>
            <w:gridSpan w:val="5"/>
            <w:vAlign w:val="top"/>
          </w:tcPr>
          <w:p w14:paraId="14C9BDF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红原县阿木乡人民政府</w:t>
            </w:r>
          </w:p>
        </w:tc>
        <w:tc>
          <w:tcPr>
            <w:tcW w:w="1007" w:type="dxa"/>
            <w:vAlign w:val="top"/>
          </w:tcPr>
          <w:p w14:paraId="6AF9A44E">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spacing w:val="-2"/>
                <w:sz w:val="18"/>
                <w:szCs w:val="18"/>
              </w:rPr>
              <w:t>实施单位</w:t>
            </w:r>
          </w:p>
          <w:p w14:paraId="001BA81E">
            <w:pPr>
              <w:pageBreakBefore w:val="0"/>
              <w:kinsoku/>
              <w:overflowPunct/>
              <w:topLinePunct w:val="0"/>
              <w:bidi w:val="0"/>
              <w:spacing w:beforeAutospacing="0" w:after="120" w:afterAutospacing="0" w:line="240" w:lineRule="auto"/>
              <w:ind w:left="0" w:leftChars="0" w:right="0" w:firstLine="336" w:firstLineChars="200"/>
              <w:textAlignment w:val="auto"/>
              <w:rPr>
                <w:rFonts w:ascii="黑体" w:hAnsi="黑体" w:eastAsia="黑体" w:cs="黑体"/>
                <w:sz w:val="18"/>
                <w:szCs w:val="18"/>
              </w:rPr>
            </w:pPr>
            <w:r>
              <w:rPr>
                <w:rFonts w:ascii="黑体" w:hAnsi="黑体" w:eastAsia="黑体" w:cs="黑体"/>
                <w:spacing w:val="-6"/>
                <w:sz w:val="18"/>
                <w:szCs w:val="18"/>
              </w:rPr>
              <w:t>（盖章）</w:t>
            </w:r>
          </w:p>
        </w:tc>
        <w:tc>
          <w:tcPr>
            <w:tcW w:w="3238" w:type="dxa"/>
            <w:gridSpan w:val="3"/>
            <w:vAlign w:val="top"/>
          </w:tcPr>
          <w:p w14:paraId="1782946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红原县阿木乡机关</w:t>
            </w:r>
          </w:p>
        </w:tc>
      </w:tr>
      <w:tr w14:paraId="7BDCB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645" w:type="dxa"/>
            <w:vMerge w:val="restart"/>
            <w:tcBorders>
              <w:bottom w:val="nil"/>
            </w:tcBorders>
            <w:vAlign w:val="top"/>
          </w:tcPr>
          <w:p w14:paraId="3017399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6E55B8F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373AFE2E">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项目基</w:t>
            </w:r>
            <w:r>
              <w:rPr>
                <w:spacing w:val="-3"/>
              </w:rPr>
              <w:t>本情况</w:t>
            </w:r>
          </w:p>
        </w:tc>
        <w:tc>
          <w:tcPr>
            <w:tcW w:w="1889" w:type="dxa"/>
            <w:vMerge w:val="restart"/>
            <w:tcBorders>
              <w:bottom w:val="nil"/>
            </w:tcBorders>
            <w:vAlign w:val="top"/>
          </w:tcPr>
          <w:p w14:paraId="2A24FDB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1.项目年度目标完成情</w:t>
            </w:r>
            <w:r>
              <w:t>况</w:t>
            </w:r>
          </w:p>
        </w:tc>
        <w:tc>
          <w:tcPr>
            <w:tcW w:w="6216" w:type="dxa"/>
            <w:gridSpan w:val="5"/>
            <w:vAlign w:val="top"/>
          </w:tcPr>
          <w:p w14:paraId="5BCD759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项目年度目标</w:t>
            </w:r>
          </w:p>
        </w:tc>
        <w:tc>
          <w:tcPr>
            <w:tcW w:w="4245" w:type="dxa"/>
            <w:gridSpan w:val="4"/>
            <w:vAlign w:val="top"/>
          </w:tcPr>
          <w:p w14:paraId="275E2457">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年度目标完成情况</w:t>
            </w:r>
          </w:p>
        </w:tc>
      </w:tr>
      <w:tr w14:paraId="70464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4" w:hRule="atLeast"/>
        </w:trPr>
        <w:tc>
          <w:tcPr>
            <w:tcW w:w="645" w:type="dxa"/>
            <w:vMerge w:val="continue"/>
            <w:tcBorders>
              <w:top w:val="nil"/>
              <w:bottom w:val="nil"/>
            </w:tcBorders>
            <w:vAlign w:val="top"/>
          </w:tcPr>
          <w:p w14:paraId="27F74F6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0A24BC0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6216" w:type="dxa"/>
            <w:gridSpan w:val="5"/>
            <w:vAlign w:val="top"/>
          </w:tcPr>
          <w:p w14:paraId="68BA83BE">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人代会议费</w:t>
            </w:r>
          </w:p>
        </w:tc>
        <w:tc>
          <w:tcPr>
            <w:tcW w:w="4245" w:type="dxa"/>
            <w:gridSpan w:val="4"/>
            <w:vAlign w:val="top"/>
          </w:tcPr>
          <w:p w14:paraId="503E0E97">
            <w:pPr>
              <w:pageBreakBefore w:val="0"/>
              <w:kinsoku/>
              <w:overflowPunct/>
              <w:topLinePunct w:val="0"/>
              <w:bidi w:val="0"/>
              <w:spacing w:beforeAutospacing="0" w:after="120" w:afterAutospacing="0" w:line="240" w:lineRule="auto"/>
              <w:ind w:left="0" w:leftChars="0" w:right="0" w:firstLine="364" w:firstLineChars="200"/>
              <w:textAlignment w:val="auto"/>
              <w:rPr>
                <w:rFonts w:ascii="黑体" w:hAnsi="黑体" w:eastAsia="黑体" w:cs="黑体"/>
                <w:sz w:val="18"/>
                <w:szCs w:val="18"/>
              </w:rPr>
            </w:pPr>
            <w:r>
              <w:rPr>
                <w:rFonts w:ascii="黑体" w:hAnsi="黑体" w:eastAsia="黑体" w:cs="黑体"/>
                <w:spacing w:val="1"/>
                <w:sz w:val="18"/>
                <w:szCs w:val="18"/>
              </w:rPr>
              <w:t>对照年度目标，说明相关任务目标的完成情况（100</w:t>
            </w:r>
            <w:r>
              <w:rPr>
                <w:rFonts w:ascii="黑体" w:hAnsi="黑体" w:eastAsia="黑体" w:cs="黑体"/>
                <w:spacing w:val="-3"/>
                <w:sz w:val="18"/>
                <w:szCs w:val="18"/>
              </w:rPr>
              <w:t>字以内）</w:t>
            </w:r>
          </w:p>
        </w:tc>
      </w:tr>
      <w:tr w14:paraId="6AAE6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645" w:type="dxa"/>
            <w:vMerge w:val="continue"/>
            <w:tcBorders>
              <w:top w:val="nil"/>
            </w:tcBorders>
            <w:vAlign w:val="top"/>
          </w:tcPr>
          <w:p w14:paraId="0DAD22C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2F13AF17">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2.项目实施内容及过程</w:t>
            </w:r>
            <w:r>
              <w:rPr>
                <w:spacing w:val="-4"/>
              </w:rPr>
              <w:t>概述</w:t>
            </w:r>
          </w:p>
        </w:tc>
        <w:tc>
          <w:tcPr>
            <w:tcW w:w="10461" w:type="dxa"/>
            <w:gridSpan w:val="9"/>
            <w:vAlign w:val="top"/>
          </w:tcPr>
          <w:p w14:paraId="446F2A8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5FD18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45" w:type="dxa"/>
            <w:vMerge w:val="restart"/>
            <w:tcBorders>
              <w:bottom w:val="nil"/>
            </w:tcBorders>
            <w:vAlign w:val="top"/>
          </w:tcPr>
          <w:p w14:paraId="6260F64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5EC01CA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0296B744">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预算执</w:t>
            </w:r>
          </w:p>
          <w:p w14:paraId="6F1F082B">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行情况</w:t>
            </w:r>
          </w:p>
          <w:p w14:paraId="76FFCF89">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（10分</w:t>
            </w:r>
            <w:r>
              <w:rPr>
                <w:spacing w:val="1"/>
              </w:rPr>
              <w:t xml:space="preserve"> </w:t>
            </w:r>
            <w:r>
              <w:t>)</w:t>
            </w:r>
          </w:p>
        </w:tc>
        <w:tc>
          <w:tcPr>
            <w:tcW w:w="1889" w:type="dxa"/>
            <w:vAlign w:val="top"/>
          </w:tcPr>
          <w:p w14:paraId="295C789D">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年度预算数（万元）</w:t>
            </w:r>
          </w:p>
        </w:tc>
        <w:tc>
          <w:tcPr>
            <w:tcW w:w="1627" w:type="dxa"/>
            <w:vAlign w:val="top"/>
          </w:tcPr>
          <w:p w14:paraId="16D15E8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年初预算</w:t>
            </w:r>
          </w:p>
        </w:tc>
        <w:tc>
          <w:tcPr>
            <w:tcW w:w="2081" w:type="dxa"/>
            <w:vAlign w:val="top"/>
          </w:tcPr>
          <w:p w14:paraId="331BF58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调整后预算数</w:t>
            </w:r>
          </w:p>
        </w:tc>
        <w:tc>
          <w:tcPr>
            <w:tcW w:w="2508" w:type="dxa"/>
            <w:gridSpan w:val="3"/>
            <w:vAlign w:val="top"/>
          </w:tcPr>
          <w:p w14:paraId="45E410F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预算执行数</w:t>
            </w:r>
          </w:p>
        </w:tc>
        <w:tc>
          <w:tcPr>
            <w:tcW w:w="1007" w:type="dxa"/>
            <w:vAlign w:val="top"/>
          </w:tcPr>
          <w:p w14:paraId="4F9F79E4">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预算执行率</w:t>
            </w:r>
          </w:p>
        </w:tc>
        <w:tc>
          <w:tcPr>
            <w:tcW w:w="470" w:type="dxa"/>
            <w:vAlign w:val="top"/>
          </w:tcPr>
          <w:p w14:paraId="4A541EA7">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vAlign w:val="top"/>
          </w:tcPr>
          <w:p w14:paraId="016A5163">
            <w:pPr>
              <w:pStyle w:val="39"/>
              <w:pageBreakBefore w:val="0"/>
              <w:kinsoku/>
              <w:overflowPunct/>
              <w:topLinePunct w:val="0"/>
              <w:bidi w:val="0"/>
              <w:spacing w:beforeAutospacing="0" w:after="120" w:afterAutospacing="0" w:line="240" w:lineRule="auto"/>
              <w:ind w:left="0" w:leftChars="0" w:right="0" w:firstLine="360" w:firstLineChars="200"/>
              <w:textAlignment w:val="auto"/>
            </w:pPr>
            <w:r>
              <mc:AlternateContent>
                <mc:Choice Requires="wps">
                  <w:drawing>
                    <wp:anchor distT="0" distB="0" distL="114300" distR="114300" simplePos="0" relativeHeight="251661312" behindDoc="0" locked="0" layoutInCell="1" allowOverlap="1">
                      <wp:simplePos x="0" y="0"/>
                      <wp:positionH relativeFrom="rightMargin">
                        <wp:posOffset>-182880</wp:posOffset>
                      </wp:positionH>
                      <wp:positionV relativeFrom="topMargin">
                        <wp:posOffset>144145</wp:posOffset>
                      </wp:positionV>
                      <wp:extent cx="133985" cy="161925"/>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33985" cy="161925"/>
                              </a:xfrm>
                              <a:prstGeom prst="rect">
                                <a:avLst/>
                              </a:prstGeom>
                              <a:noFill/>
                              <a:ln>
                                <a:noFill/>
                              </a:ln>
                            </wps:spPr>
                            <wps:txbx>
                              <w:txbxContent>
                                <w:p w14:paraId="3E5CA976">
                                  <w:pPr>
                                    <w:pStyle w:val="39"/>
                                    <w:spacing w:before="20" w:line="220" w:lineRule="auto"/>
                                    <w:ind w:left="20"/>
                                  </w:pPr>
                                  <w:r>
                                    <w:t>分</w:t>
                                  </w:r>
                                </w:p>
                              </w:txbxContent>
                            </wps:txbx>
                            <wps:bodyPr lIns="0" tIns="0" rIns="0" bIns="0" upright="1"/>
                          </wps:wsp>
                        </a:graphicData>
                      </a:graphic>
                    </wp:anchor>
                  </w:drawing>
                </mc:Choice>
                <mc:Fallback>
                  <w:pict>
                    <v:shape id="_x0000_s1026" o:spid="_x0000_s1026" o:spt="202" type="#_x0000_t202" style="position:absolute;left:0pt;margin-left:5.95pt;margin-top:12.1pt;height:12.75pt;width:10.55pt;mso-position-horizontal-relative:page;mso-position-vertical-relative:page;z-index:251661312;mso-width-relative:page;mso-height-relative:page;" filled="f" stroked="f" coordsize="21600,21600" o:gfxdata="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A7G062AAAAAgBAAAPAAAAAAAAAAEAIAAAACIAAABkcnMvZG93bnJldi54bWxQSwEC&#10;FAAUAAAACACHTuJAZwhNKrsBAABzAwAADgAAAAAAAAABACAAAAAnAQAAZHJzL2Uyb0RvYy54bWxQ&#10;SwUGAAAAAAYABgBZAQAAVAUAAAAA&#10;">
                      <v:fill on="f" focussize="0,0"/>
                      <v:stroke on="f"/>
                      <v:imagedata o:title=""/>
                      <o:lock v:ext="edit" aspectratio="f"/>
                      <v:textbox inset="0mm,0mm,0mm,0mm">
                        <w:txbxContent>
                          <w:p w14:paraId="3E5CA976">
                            <w:pPr>
                              <w:pStyle w:val="39"/>
                              <w:spacing w:before="20" w:line="220" w:lineRule="auto"/>
                              <w:ind w:left="20"/>
                            </w:pPr>
                            <w:r>
                              <w:t>分</w:t>
                            </w:r>
                          </w:p>
                        </w:txbxContent>
                      </v:textbox>
                    </v:shape>
                  </w:pict>
                </mc:Fallback>
              </mc:AlternateContent>
            </w:r>
            <w:r>
              <w:t>得</w:t>
            </w:r>
          </w:p>
        </w:tc>
        <w:tc>
          <w:tcPr>
            <w:tcW w:w="2354" w:type="dxa"/>
            <w:vAlign w:val="top"/>
          </w:tcPr>
          <w:p w14:paraId="77F6426D">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原因</w:t>
            </w:r>
          </w:p>
        </w:tc>
      </w:tr>
      <w:tr w14:paraId="6F1D8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645" w:type="dxa"/>
            <w:vMerge w:val="continue"/>
            <w:tcBorders>
              <w:top w:val="nil"/>
              <w:bottom w:val="nil"/>
            </w:tcBorders>
            <w:vAlign w:val="top"/>
          </w:tcPr>
          <w:p w14:paraId="619B6C2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6FFAA16E">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总额</w:t>
            </w:r>
          </w:p>
        </w:tc>
        <w:tc>
          <w:tcPr>
            <w:tcW w:w="1627" w:type="dxa"/>
            <w:vAlign w:val="top"/>
          </w:tcPr>
          <w:p w14:paraId="5625D4B2">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2.35</w:t>
            </w:r>
          </w:p>
        </w:tc>
        <w:tc>
          <w:tcPr>
            <w:tcW w:w="2081" w:type="dxa"/>
            <w:vAlign w:val="top"/>
          </w:tcPr>
          <w:p w14:paraId="65D0077C">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2.35</w:t>
            </w:r>
          </w:p>
        </w:tc>
        <w:tc>
          <w:tcPr>
            <w:tcW w:w="2508" w:type="dxa"/>
            <w:gridSpan w:val="3"/>
            <w:vAlign w:val="top"/>
          </w:tcPr>
          <w:p w14:paraId="52F01B2B">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1.44</w:t>
            </w:r>
          </w:p>
        </w:tc>
        <w:tc>
          <w:tcPr>
            <w:tcW w:w="1007" w:type="dxa"/>
            <w:vAlign w:val="top"/>
          </w:tcPr>
          <w:p w14:paraId="73604295">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61.46%</w:t>
            </w:r>
          </w:p>
        </w:tc>
        <w:tc>
          <w:tcPr>
            <w:tcW w:w="470" w:type="dxa"/>
            <w:vAlign w:val="top"/>
          </w:tcPr>
          <w:p w14:paraId="059B9D67">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05ACB75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Merge w:val="restart"/>
            <w:tcBorders>
              <w:bottom w:val="nil"/>
            </w:tcBorders>
            <w:vAlign w:val="top"/>
          </w:tcPr>
          <w:p w14:paraId="43CDB38C">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i/>
                <w:iCs/>
                <w:sz w:val="18"/>
                <w:szCs w:val="18"/>
              </w:rPr>
              <w:t>1.预算执行率=预算执行数/</w:t>
            </w:r>
            <w:r>
              <w:rPr>
                <w:rFonts w:ascii="黑体" w:hAnsi="黑体" w:eastAsia="黑体" w:cs="黑体"/>
                <w:i/>
                <w:iCs/>
                <w:spacing w:val="1"/>
                <w:sz w:val="18"/>
                <w:szCs w:val="18"/>
              </w:rPr>
              <w:t>调整后预算数，</w:t>
            </w:r>
            <w:r>
              <w:rPr>
                <w:rFonts w:ascii="黑体" w:hAnsi="黑体" w:eastAsia="黑体" w:cs="黑体"/>
                <w:spacing w:val="-29"/>
                <w:sz w:val="18"/>
                <w:szCs w:val="18"/>
              </w:rPr>
              <w:t xml:space="preserve"> </w:t>
            </w:r>
            <w:r>
              <w:rPr>
                <w:rFonts w:ascii="黑体" w:hAnsi="黑体" w:eastAsia="黑体" w:cs="黑体"/>
                <w:i/>
                <w:iCs/>
                <w:spacing w:val="1"/>
                <w:sz w:val="18"/>
                <w:szCs w:val="18"/>
              </w:rPr>
              <w:t>预算执行率未达到90%的需说明原因</w:t>
            </w:r>
          </w:p>
          <w:p w14:paraId="7E24211E">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i/>
                <w:iCs/>
                <w:spacing w:val="-2"/>
                <w:sz w:val="18"/>
                <w:szCs w:val="18"/>
              </w:rPr>
              <w:t>（100字以内）</w:t>
            </w:r>
            <w:r>
              <w:rPr>
                <w:rFonts w:ascii="黑体" w:hAnsi="黑体" w:eastAsia="黑体" w:cs="黑体"/>
                <w:spacing w:val="-26"/>
                <w:sz w:val="18"/>
                <w:szCs w:val="18"/>
              </w:rPr>
              <w:t xml:space="preserve"> </w:t>
            </w:r>
            <w:r>
              <w:rPr>
                <w:rFonts w:ascii="黑体" w:hAnsi="黑体" w:eastAsia="黑体" w:cs="黑体"/>
                <w:i/>
                <w:iCs/>
                <w:spacing w:val="-2"/>
                <w:sz w:val="18"/>
                <w:szCs w:val="18"/>
              </w:rPr>
              <w:t>;2.年中发生</w:t>
            </w:r>
            <w:r>
              <w:rPr>
                <w:rFonts w:ascii="黑体" w:hAnsi="黑体" w:eastAsia="黑体" w:cs="黑体"/>
                <w:i/>
                <w:iCs/>
                <w:spacing w:val="6"/>
                <w:sz w:val="18"/>
                <w:szCs w:val="18"/>
              </w:rPr>
              <w:t>预算调整的（追加或调</w:t>
            </w:r>
          </w:p>
          <w:p w14:paraId="2EBBFFFB">
            <w:pPr>
              <w:pageBreakBefore w:val="0"/>
              <w:kinsoku/>
              <w:overflowPunct/>
              <w:topLinePunct w:val="0"/>
              <w:bidi w:val="0"/>
              <w:spacing w:beforeAutospacing="0" w:after="120" w:afterAutospacing="0" w:line="240" w:lineRule="auto"/>
              <w:ind w:left="0" w:leftChars="0" w:right="0" w:firstLine="348" w:firstLineChars="200"/>
              <w:textAlignment w:val="auto"/>
              <w:rPr>
                <w:rFonts w:ascii="黑体" w:hAnsi="黑体" w:eastAsia="黑体" w:cs="黑体"/>
                <w:sz w:val="18"/>
                <w:szCs w:val="18"/>
              </w:rPr>
            </w:pPr>
            <w:r>
              <w:rPr>
                <w:rFonts w:ascii="黑体" w:hAnsi="黑体" w:eastAsia="黑体" w:cs="黑体"/>
                <w:i/>
                <w:iCs/>
                <w:spacing w:val="-3"/>
                <w:sz w:val="18"/>
                <w:szCs w:val="18"/>
              </w:rPr>
              <w:t>减</w:t>
            </w:r>
            <w:r>
              <w:rPr>
                <w:rFonts w:ascii="黑体" w:hAnsi="黑体" w:eastAsia="黑体" w:cs="黑体"/>
                <w:spacing w:val="-41"/>
                <w:sz w:val="18"/>
                <w:szCs w:val="18"/>
              </w:rPr>
              <w:t xml:space="preserve"> </w:t>
            </w:r>
            <w:r>
              <w:rPr>
                <w:rFonts w:ascii="黑体" w:hAnsi="黑体" w:eastAsia="黑体" w:cs="黑体"/>
                <w:i/>
                <w:iCs/>
                <w:spacing w:val="-3"/>
                <w:sz w:val="18"/>
                <w:szCs w:val="18"/>
              </w:rPr>
              <w:t>）,应单独说明理由</w:t>
            </w:r>
            <w:r>
              <w:rPr>
                <w:rFonts w:ascii="黑体" w:hAnsi="黑体" w:eastAsia="黑体" w:cs="黑体"/>
                <w:spacing w:val="-46"/>
                <w:sz w:val="18"/>
                <w:szCs w:val="18"/>
              </w:rPr>
              <w:t xml:space="preserve"> </w:t>
            </w:r>
            <w:r>
              <w:rPr>
                <w:rFonts w:ascii="黑体" w:hAnsi="黑体" w:eastAsia="黑体" w:cs="黑体"/>
                <w:i/>
                <w:iCs/>
                <w:spacing w:val="-3"/>
                <w:sz w:val="18"/>
                <w:szCs w:val="18"/>
              </w:rPr>
              <w:t>；3.</w:t>
            </w:r>
            <w:r>
              <w:rPr>
                <w:rFonts w:ascii="黑体" w:hAnsi="黑体" w:eastAsia="黑体" w:cs="黑体"/>
                <w:i/>
                <w:iCs/>
                <w:spacing w:val="1"/>
                <w:sz w:val="18"/>
                <w:szCs w:val="18"/>
              </w:rPr>
              <w:t>其他资金包括</w:t>
            </w:r>
            <w:r>
              <w:rPr>
                <w:rFonts w:ascii="黑体" w:hAnsi="黑体" w:eastAsia="黑体" w:cs="黑体"/>
                <w:spacing w:val="-31"/>
                <w:sz w:val="18"/>
                <w:szCs w:val="18"/>
              </w:rPr>
              <w:t xml:space="preserve"> </w:t>
            </w:r>
            <w:r>
              <w:rPr>
                <w:rFonts w:ascii="黑体" w:hAnsi="黑体" w:eastAsia="黑体" w:cs="黑体"/>
                <w:i/>
                <w:iCs/>
                <w:spacing w:val="1"/>
                <w:sz w:val="18"/>
                <w:szCs w:val="18"/>
              </w:rPr>
              <w:t>：社会投入资</w:t>
            </w:r>
            <w:r>
              <w:rPr>
                <w:rFonts w:ascii="黑体" w:hAnsi="黑体" w:eastAsia="黑体" w:cs="黑体"/>
                <w:i/>
                <w:iCs/>
                <w:spacing w:val="-4"/>
                <w:sz w:val="18"/>
                <w:szCs w:val="18"/>
              </w:rPr>
              <w:t>金</w:t>
            </w:r>
            <w:r>
              <w:rPr>
                <w:rFonts w:ascii="黑体" w:hAnsi="黑体" w:eastAsia="黑体" w:cs="黑体"/>
                <w:spacing w:val="-50"/>
                <w:sz w:val="18"/>
                <w:szCs w:val="18"/>
              </w:rPr>
              <w:t xml:space="preserve"> </w:t>
            </w:r>
            <w:r>
              <w:rPr>
                <w:rFonts w:ascii="黑体" w:hAnsi="黑体" w:eastAsia="黑体" w:cs="黑体"/>
                <w:i/>
                <w:iCs/>
                <w:spacing w:val="-4"/>
                <w:sz w:val="18"/>
                <w:szCs w:val="18"/>
              </w:rPr>
              <w:t>、</w:t>
            </w:r>
            <w:r>
              <w:rPr>
                <w:rFonts w:ascii="黑体" w:hAnsi="黑体" w:eastAsia="黑体" w:cs="黑体"/>
                <w:spacing w:val="-42"/>
                <w:sz w:val="18"/>
                <w:szCs w:val="18"/>
              </w:rPr>
              <w:t xml:space="preserve"> </w:t>
            </w:r>
            <w:r>
              <w:rPr>
                <w:rFonts w:ascii="黑体" w:hAnsi="黑体" w:eastAsia="黑体" w:cs="黑体"/>
                <w:i/>
                <w:iCs/>
                <w:spacing w:val="-4"/>
                <w:sz w:val="18"/>
                <w:szCs w:val="18"/>
              </w:rPr>
              <w:t>银行贷款.</w:t>
            </w:r>
          </w:p>
        </w:tc>
      </w:tr>
      <w:tr w14:paraId="5623A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645" w:type="dxa"/>
            <w:vMerge w:val="continue"/>
            <w:tcBorders>
              <w:top w:val="nil"/>
              <w:bottom w:val="nil"/>
            </w:tcBorders>
            <w:vAlign w:val="top"/>
          </w:tcPr>
          <w:p w14:paraId="772DBF6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32E7B3F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其中：财政资金</w:t>
            </w:r>
          </w:p>
        </w:tc>
        <w:tc>
          <w:tcPr>
            <w:tcW w:w="1627" w:type="dxa"/>
            <w:vAlign w:val="top"/>
          </w:tcPr>
          <w:p w14:paraId="01C1D5F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2.35</w:t>
            </w:r>
          </w:p>
        </w:tc>
        <w:tc>
          <w:tcPr>
            <w:tcW w:w="2081" w:type="dxa"/>
            <w:vAlign w:val="top"/>
          </w:tcPr>
          <w:p w14:paraId="4E8E523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2.35</w:t>
            </w:r>
          </w:p>
        </w:tc>
        <w:tc>
          <w:tcPr>
            <w:tcW w:w="2508" w:type="dxa"/>
            <w:gridSpan w:val="3"/>
            <w:vAlign w:val="top"/>
          </w:tcPr>
          <w:p w14:paraId="51B6899A">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1.44</w:t>
            </w:r>
          </w:p>
        </w:tc>
        <w:tc>
          <w:tcPr>
            <w:tcW w:w="1007" w:type="dxa"/>
            <w:vAlign w:val="top"/>
          </w:tcPr>
          <w:p w14:paraId="680BF53A">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61.46%</w:t>
            </w:r>
          </w:p>
        </w:tc>
        <w:tc>
          <w:tcPr>
            <w:tcW w:w="470" w:type="dxa"/>
            <w:vAlign w:val="top"/>
          </w:tcPr>
          <w:p w14:paraId="6E918396">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5140B607">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340336E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0E4CC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645" w:type="dxa"/>
            <w:vMerge w:val="continue"/>
            <w:tcBorders>
              <w:top w:val="nil"/>
              <w:bottom w:val="nil"/>
            </w:tcBorders>
            <w:vAlign w:val="top"/>
          </w:tcPr>
          <w:p w14:paraId="51FB006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10E09AA8">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财政专户管理资金</w:t>
            </w:r>
          </w:p>
        </w:tc>
        <w:tc>
          <w:tcPr>
            <w:tcW w:w="1627" w:type="dxa"/>
            <w:vAlign w:val="top"/>
          </w:tcPr>
          <w:p w14:paraId="2B00F70C">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167CC414">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5DCD2AB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51E43CB4">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1FEACB94">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7169066A">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489DAF3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55F27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45" w:type="dxa"/>
            <w:vMerge w:val="continue"/>
            <w:tcBorders>
              <w:top w:val="nil"/>
              <w:bottom w:val="nil"/>
            </w:tcBorders>
            <w:vAlign w:val="top"/>
          </w:tcPr>
          <w:p w14:paraId="2869557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0A04637A">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单位资金</w:t>
            </w:r>
          </w:p>
        </w:tc>
        <w:tc>
          <w:tcPr>
            <w:tcW w:w="1627" w:type="dxa"/>
            <w:vAlign w:val="top"/>
          </w:tcPr>
          <w:p w14:paraId="37959EB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4928300D">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117D5C8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7BA7BCBC">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4865AD03">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17A7F78B">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77CAC25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27C99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tcBorders>
            <w:vAlign w:val="top"/>
          </w:tcPr>
          <w:p w14:paraId="58A49AC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62BD648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其他资金</w:t>
            </w:r>
          </w:p>
        </w:tc>
        <w:tc>
          <w:tcPr>
            <w:tcW w:w="1627" w:type="dxa"/>
            <w:vAlign w:val="top"/>
          </w:tcPr>
          <w:p w14:paraId="1B00F58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34754F3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508" w:type="dxa"/>
            <w:gridSpan w:val="3"/>
            <w:vAlign w:val="top"/>
          </w:tcPr>
          <w:p w14:paraId="7589E57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5768BA4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2DDF8891">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281E9723">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tcBorders>
            <w:vAlign w:val="top"/>
          </w:tcPr>
          <w:p w14:paraId="49245B2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02BFE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restart"/>
            <w:tcBorders>
              <w:bottom w:val="nil"/>
            </w:tcBorders>
            <w:vAlign w:val="top"/>
          </w:tcPr>
          <w:p w14:paraId="3517245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510D7F2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6A11A3E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6D86E7A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10228AC8">
            <w:pPr>
              <w:pStyle w:val="39"/>
              <w:pageBreakBefore w:val="0"/>
              <w:kinsoku/>
              <w:overflowPunct/>
              <w:topLinePunct w:val="0"/>
              <w:bidi w:val="0"/>
              <w:spacing w:beforeAutospacing="0" w:after="120" w:afterAutospacing="0" w:line="240" w:lineRule="auto"/>
              <w:ind w:left="0" w:leftChars="0" w:right="0" w:firstLine="344" w:firstLineChars="200"/>
              <w:jc w:val="both"/>
              <w:textAlignment w:val="auto"/>
            </w:pPr>
            <w:r>
              <w:rPr>
                <w:spacing w:val="-4"/>
              </w:rPr>
              <w:t>绩效指</w:t>
            </w:r>
            <w:r>
              <w:rPr>
                <w:spacing w:val="-2"/>
              </w:rPr>
              <w:t>标（90</w:t>
            </w:r>
            <w:r>
              <w:rPr>
                <w:spacing w:val="41"/>
              </w:rPr>
              <w:t>分）</w:t>
            </w:r>
          </w:p>
        </w:tc>
        <w:tc>
          <w:tcPr>
            <w:tcW w:w="1889" w:type="dxa"/>
            <w:vAlign w:val="top"/>
          </w:tcPr>
          <w:p w14:paraId="01434827">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一级指标</w:t>
            </w:r>
          </w:p>
        </w:tc>
        <w:tc>
          <w:tcPr>
            <w:tcW w:w="1627" w:type="dxa"/>
            <w:vAlign w:val="top"/>
          </w:tcPr>
          <w:p w14:paraId="50A69717">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二级指标</w:t>
            </w:r>
          </w:p>
        </w:tc>
        <w:tc>
          <w:tcPr>
            <w:tcW w:w="2081" w:type="dxa"/>
            <w:vAlign w:val="top"/>
          </w:tcPr>
          <w:p w14:paraId="072AEB7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三级指标</w:t>
            </w:r>
          </w:p>
        </w:tc>
        <w:tc>
          <w:tcPr>
            <w:tcW w:w="482" w:type="dxa"/>
            <w:vAlign w:val="top"/>
          </w:tcPr>
          <w:p w14:paraId="44C885D0">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指标</w:t>
            </w:r>
          </w:p>
          <w:p w14:paraId="555755FE">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性质</w:t>
            </w:r>
          </w:p>
        </w:tc>
        <w:tc>
          <w:tcPr>
            <w:tcW w:w="1544" w:type="dxa"/>
            <w:vAlign w:val="top"/>
          </w:tcPr>
          <w:p w14:paraId="565B8371">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指标值</w:t>
            </w:r>
          </w:p>
        </w:tc>
        <w:tc>
          <w:tcPr>
            <w:tcW w:w="482" w:type="dxa"/>
            <w:vAlign w:val="top"/>
          </w:tcPr>
          <w:p w14:paraId="683550E4">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度量</w:t>
            </w:r>
          </w:p>
          <w:p w14:paraId="3503B2BF">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单位</w:t>
            </w:r>
          </w:p>
        </w:tc>
        <w:tc>
          <w:tcPr>
            <w:tcW w:w="1007" w:type="dxa"/>
            <w:vAlign w:val="top"/>
          </w:tcPr>
          <w:p w14:paraId="4EC4DABD">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完成值</w:t>
            </w:r>
          </w:p>
        </w:tc>
        <w:tc>
          <w:tcPr>
            <w:tcW w:w="470" w:type="dxa"/>
            <w:vAlign w:val="top"/>
          </w:tcPr>
          <w:p w14:paraId="3BF6FFBF">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vAlign w:val="top"/>
          </w:tcPr>
          <w:p w14:paraId="514ECCF4">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得</w:t>
            </w:r>
          </w:p>
          <w:p w14:paraId="7841D465">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分</w:t>
            </w:r>
          </w:p>
        </w:tc>
        <w:tc>
          <w:tcPr>
            <w:tcW w:w="2354" w:type="dxa"/>
            <w:vAlign w:val="top"/>
          </w:tcPr>
          <w:p w14:paraId="3CCF100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未完成原因分析</w:t>
            </w:r>
          </w:p>
        </w:tc>
      </w:tr>
      <w:tr w14:paraId="2030A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2286F84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701F685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产出指标</w:t>
            </w:r>
          </w:p>
        </w:tc>
        <w:tc>
          <w:tcPr>
            <w:tcW w:w="1627" w:type="dxa"/>
            <w:vAlign w:val="top"/>
          </w:tcPr>
          <w:p w14:paraId="7D2A56C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质量指标</w:t>
            </w:r>
          </w:p>
        </w:tc>
        <w:tc>
          <w:tcPr>
            <w:tcW w:w="2081" w:type="dxa"/>
            <w:vAlign w:val="top"/>
          </w:tcPr>
          <w:p w14:paraId="19AD2A1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会议质量</w:t>
            </w:r>
          </w:p>
        </w:tc>
        <w:tc>
          <w:tcPr>
            <w:tcW w:w="482" w:type="dxa"/>
            <w:vAlign w:val="top"/>
          </w:tcPr>
          <w:p w14:paraId="2CEA5AAC">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定性</w:t>
            </w:r>
          </w:p>
        </w:tc>
        <w:tc>
          <w:tcPr>
            <w:tcW w:w="1544" w:type="dxa"/>
            <w:vAlign w:val="top"/>
          </w:tcPr>
          <w:p w14:paraId="6AAAC1ED">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高质量</w:t>
            </w:r>
          </w:p>
        </w:tc>
        <w:tc>
          <w:tcPr>
            <w:tcW w:w="482" w:type="dxa"/>
            <w:vAlign w:val="top"/>
          </w:tcPr>
          <w:p w14:paraId="5C05EDF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7C469B0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08C0594E">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37A1ED1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4A888C3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6B161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590FC91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1F81389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5DF04DF0">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时效指标</w:t>
            </w:r>
          </w:p>
        </w:tc>
        <w:tc>
          <w:tcPr>
            <w:tcW w:w="2081" w:type="dxa"/>
            <w:vAlign w:val="top"/>
          </w:tcPr>
          <w:p w14:paraId="637E9B09">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人代会每年举行次数</w:t>
            </w:r>
          </w:p>
        </w:tc>
        <w:tc>
          <w:tcPr>
            <w:tcW w:w="482" w:type="dxa"/>
            <w:vAlign w:val="top"/>
          </w:tcPr>
          <w:p w14:paraId="474A3F60">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22391B49">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1</w:t>
            </w:r>
          </w:p>
        </w:tc>
        <w:tc>
          <w:tcPr>
            <w:tcW w:w="482" w:type="dxa"/>
            <w:vAlign w:val="top"/>
          </w:tcPr>
          <w:p w14:paraId="269EC4AB">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次</w:t>
            </w:r>
          </w:p>
        </w:tc>
        <w:tc>
          <w:tcPr>
            <w:tcW w:w="1007" w:type="dxa"/>
            <w:vAlign w:val="top"/>
          </w:tcPr>
          <w:p w14:paraId="4C23A8E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082CC0F5">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2D5FDA4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59128D6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4BE4B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41F6AB1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7C48C6AC">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效益指标</w:t>
            </w:r>
          </w:p>
        </w:tc>
        <w:tc>
          <w:tcPr>
            <w:tcW w:w="1627" w:type="dxa"/>
            <w:vAlign w:val="top"/>
          </w:tcPr>
          <w:p w14:paraId="19A5778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社会效益指标</w:t>
            </w:r>
          </w:p>
        </w:tc>
        <w:tc>
          <w:tcPr>
            <w:tcW w:w="2081" w:type="dxa"/>
            <w:vAlign w:val="top"/>
          </w:tcPr>
          <w:p w14:paraId="0D588932">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代表建议收集数</w:t>
            </w:r>
          </w:p>
        </w:tc>
        <w:tc>
          <w:tcPr>
            <w:tcW w:w="482" w:type="dxa"/>
            <w:vAlign w:val="top"/>
          </w:tcPr>
          <w:p w14:paraId="15C861BB">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667B05BE">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82" w:type="dxa"/>
            <w:vAlign w:val="top"/>
          </w:tcPr>
          <w:p w14:paraId="4E3B74BA">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个</w:t>
            </w:r>
          </w:p>
        </w:tc>
        <w:tc>
          <w:tcPr>
            <w:tcW w:w="1007" w:type="dxa"/>
            <w:vAlign w:val="top"/>
          </w:tcPr>
          <w:p w14:paraId="576A4FC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7544FD21">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458F934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385CD63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6761A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2236D9B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7E1AD45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3DA9347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可持续发展指标</w:t>
            </w:r>
          </w:p>
        </w:tc>
        <w:tc>
          <w:tcPr>
            <w:tcW w:w="2081" w:type="dxa"/>
            <w:vAlign w:val="top"/>
          </w:tcPr>
          <w:p w14:paraId="156CE60B">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保障人大代表持续履职</w:t>
            </w:r>
          </w:p>
        </w:tc>
        <w:tc>
          <w:tcPr>
            <w:tcW w:w="482" w:type="dxa"/>
            <w:vAlign w:val="top"/>
          </w:tcPr>
          <w:p w14:paraId="679B9E70">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定性</w:t>
            </w:r>
          </w:p>
        </w:tc>
        <w:tc>
          <w:tcPr>
            <w:tcW w:w="1544" w:type="dxa"/>
            <w:vAlign w:val="top"/>
          </w:tcPr>
          <w:p w14:paraId="354C7B1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有效保障</w:t>
            </w:r>
          </w:p>
        </w:tc>
        <w:tc>
          <w:tcPr>
            <w:tcW w:w="482" w:type="dxa"/>
            <w:vAlign w:val="top"/>
          </w:tcPr>
          <w:p w14:paraId="23B08CA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233DA5B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7DB5700B">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5316D6B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4CF2076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56B2F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continue"/>
            <w:tcBorders>
              <w:top w:val="nil"/>
              <w:bottom w:val="nil"/>
            </w:tcBorders>
            <w:vAlign w:val="top"/>
          </w:tcPr>
          <w:p w14:paraId="1342292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2F1FD77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满意度指标</w:t>
            </w:r>
          </w:p>
        </w:tc>
        <w:tc>
          <w:tcPr>
            <w:tcW w:w="1627" w:type="dxa"/>
            <w:vAlign w:val="top"/>
          </w:tcPr>
          <w:p w14:paraId="2FBA59C3">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服务对象满意度指</w:t>
            </w:r>
          </w:p>
          <w:p w14:paraId="641F421B">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标</w:t>
            </w:r>
          </w:p>
        </w:tc>
        <w:tc>
          <w:tcPr>
            <w:tcW w:w="2081" w:type="dxa"/>
            <w:vAlign w:val="top"/>
          </w:tcPr>
          <w:p w14:paraId="79B0D78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代表满意度</w:t>
            </w:r>
          </w:p>
        </w:tc>
        <w:tc>
          <w:tcPr>
            <w:tcW w:w="482" w:type="dxa"/>
            <w:vAlign w:val="top"/>
          </w:tcPr>
          <w:p w14:paraId="2DCFE57B">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353BC449">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287EEB43">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47B87B1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63C23FE4">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0DC95C6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079BC12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437C8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4D9640F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421385A9">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成本指标</w:t>
            </w:r>
          </w:p>
        </w:tc>
        <w:tc>
          <w:tcPr>
            <w:tcW w:w="1627" w:type="dxa"/>
            <w:vMerge w:val="restart"/>
            <w:tcBorders>
              <w:bottom w:val="nil"/>
            </w:tcBorders>
            <w:vAlign w:val="top"/>
          </w:tcPr>
          <w:p w14:paraId="230C098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经济成本指标</w:t>
            </w:r>
          </w:p>
        </w:tc>
        <w:tc>
          <w:tcPr>
            <w:tcW w:w="2081" w:type="dxa"/>
            <w:vAlign w:val="top"/>
          </w:tcPr>
          <w:p w14:paraId="517688C2">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经费执行率</w:t>
            </w:r>
          </w:p>
        </w:tc>
        <w:tc>
          <w:tcPr>
            <w:tcW w:w="482" w:type="dxa"/>
            <w:vAlign w:val="top"/>
          </w:tcPr>
          <w:p w14:paraId="53DAF514">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3CC232BB">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4F4CA68F">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0B37808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28132E8B">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7D953BA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56C2BAE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6E9F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tcBorders>
            <w:vAlign w:val="top"/>
          </w:tcPr>
          <w:p w14:paraId="01DB41D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228E861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Merge w:val="continue"/>
            <w:tcBorders>
              <w:top w:val="nil"/>
            </w:tcBorders>
            <w:vAlign w:val="top"/>
          </w:tcPr>
          <w:p w14:paraId="45ACB4C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4AFA701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运行成本</w:t>
            </w:r>
          </w:p>
        </w:tc>
        <w:tc>
          <w:tcPr>
            <w:tcW w:w="482" w:type="dxa"/>
            <w:vAlign w:val="top"/>
          </w:tcPr>
          <w:p w14:paraId="392B0E9A">
            <w:pPr>
              <w:pStyle w:val="39"/>
              <w:pageBreakBefore w:val="0"/>
              <w:kinsoku/>
              <w:overflowPunct/>
              <w:topLinePunct w:val="0"/>
              <w:bidi w:val="0"/>
              <w:spacing w:beforeAutospacing="0" w:after="120" w:afterAutospacing="0" w:line="240" w:lineRule="auto"/>
              <w:ind w:left="0" w:leftChars="0" w:right="0" w:firstLine="522" w:firstLineChars="200"/>
              <w:textAlignment w:val="auto"/>
            </w:pPr>
            <w:r>
              <w:rPr>
                <w:spacing w:val="18"/>
                <w:w w:val="125"/>
                <w:position w:val="-2"/>
              </w:rPr>
              <w:t>=</w:t>
            </w:r>
          </w:p>
        </w:tc>
        <w:tc>
          <w:tcPr>
            <w:tcW w:w="1544" w:type="dxa"/>
            <w:vAlign w:val="top"/>
          </w:tcPr>
          <w:p w14:paraId="676353A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2.35</w:t>
            </w:r>
          </w:p>
        </w:tc>
        <w:tc>
          <w:tcPr>
            <w:tcW w:w="482" w:type="dxa"/>
            <w:vAlign w:val="top"/>
          </w:tcPr>
          <w:p w14:paraId="7FB6CC2E">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万元</w:t>
            </w:r>
          </w:p>
        </w:tc>
        <w:tc>
          <w:tcPr>
            <w:tcW w:w="1007" w:type="dxa"/>
            <w:vAlign w:val="top"/>
          </w:tcPr>
          <w:p w14:paraId="15DB6C9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771186FA">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1F7D3BD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571E28B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3D03F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757" w:type="dxa"/>
            <w:gridSpan w:val="8"/>
            <w:vAlign w:val="top"/>
          </w:tcPr>
          <w:p w14:paraId="0968E3A5">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合计</w:t>
            </w:r>
          </w:p>
        </w:tc>
        <w:tc>
          <w:tcPr>
            <w:tcW w:w="470" w:type="dxa"/>
            <w:vAlign w:val="top"/>
          </w:tcPr>
          <w:p w14:paraId="26F59671">
            <w:pPr>
              <w:pStyle w:val="39"/>
              <w:pageBreakBefore w:val="0"/>
              <w:kinsoku/>
              <w:overflowPunct/>
              <w:topLinePunct w:val="0"/>
              <w:bidi w:val="0"/>
              <w:spacing w:beforeAutospacing="0" w:after="120" w:afterAutospacing="0" w:line="240" w:lineRule="auto"/>
              <w:ind w:left="0" w:leftChars="0" w:right="0" w:firstLine="332" w:firstLineChars="200"/>
              <w:textAlignment w:val="auto"/>
            </w:pPr>
            <w:r>
              <w:rPr>
                <w:spacing w:val="-7"/>
              </w:rPr>
              <w:t>100</w:t>
            </w:r>
          </w:p>
        </w:tc>
        <w:tc>
          <w:tcPr>
            <w:tcW w:w="414" w:type="dxa"/>
            <w:vAlign w:val="top"/>
          </w:tcPr>
          <w:p w14:paraId="4B5CDBD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6D86FC6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4A32A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9" w:hRule="atLeast"/>
        </w:trPr>
        <w:tc>
          <w:tcPr>
            <w:tcW w:w="645" w:type="dxa"/>
            <w:vAlign w:val="top"/>
          </w:tcPr>
          <w:p w14:paraId="277F060E">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评价结</w:t>
            </w:r>
            <w:r>
              <w:t>论</w:t>
            </w:r>
          </w:p>
        </w:tc>
        <w:tc>
          <w:tcPr>
            <w:tcW w:w="12350" w:type="dxa"/>
            <w:gridSpan w:val="10"/>
            <w:vAlign w:val="top"/>
          </w:tcPr>
          <w:p w14:paraId="443D78F9">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说明项目自评总分</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说明项目实施取得的成效或成</w:t>
            </w:r>
            <w:r>
              <w:rPr>
                <w:rFonts w:ascii="微软雅黑" w:hAnsi="微软雅黑" w:eastAsia="微软雅黑" w:cs="微软雅黑"/>
                <w:i/>
                <w:iCs/>
                <w:spacing w:val="1"/>
                <w:sz w:val="16"/>
                <w:szCs w:val="16"/>
              </w:rPr>
              <w:t>果</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1"/>
                <w:sz w:val="16"/>
                <w:szCs w:val="16"/>
              </w:rPr>
              <w:t>。</w:t>
            </w:r>
            <w:r>
              <w:rPr>
                <w:rFonts w:ascii="微软雅黑" w:hAnsi="微软雅黑" w:eastAsia="微软雅黑" w:cs="微软雅黑"/>
                <w:spacing w:val="1"/>
                <w:sz w:val="16"/>
                <w:szCs w:val="16"/>
              </w:rPr>
              <w:t xml:space="preserve"> </w:t>
            </w:r>
            <w:r>
              <w:rPr>
                <w:rFonts w:ascii="微软雅黑" w:hAnsi="微软雅黑" w:eastAsia="微软雅黑" w:cs="微软雅黑"/>
                <w:i/>
                <w:iCs/>
                <w:spacing w:val="1"/>
                <w:sz w:val="16"/>
                <w:szCs w:val="16"/>
              </w:rPr>
              <w:t>（20字以内</w:t>
            </w:r>
            <w:r>
              <w:rPr>
                <w:rFonts w:ascii="微软雅黑" w:hAnsi="微软雅黑" w:eastAsia="微软雅黑" w:cs="微软雅黑"/>
                <w:spacing w:val="-17"/>
                <w:sz w:val="16"/>
                <w:szCs w:val="16"/>
              </w:rPr>
              <w:t xml:space="preserve"> </w:t>
            </w:r>
            <w:r>
              <w:rPr>
                <w:rFonts w:ascii="微软雅黑" w:hAnsi="微软雅黑" w:eastAsia="微软雅黑" w:cs="微软雅黑"/>
                <w:i/>
                <w:iCs/>
                <w:spacing w:val="1"/>
                <w:sz w:val="16"/>
                <w:szCs w:val="16"/>
              </w:rPr>
              <w:t>）</w:t>
            </w:r>
          </w:p>
        </w:tc>
      </w:tr>
      <w:tr w14:paraId="1AD4F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645" w:type="dxa"/>
            <w:vAlign w:val="top"/>
          </w:tcPr>
          <w:p w14:paraId="64B45484">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存在问</w:t>
            </w:r>
            <w:r>
              <w:t>题</w:t>
            </w:r>
          </w:p>
        </w:tc>
        <w:tc>
          <w:tcPr>
            <w:tcW w:w="12350" w:type="dxa"/>
            <w:gridSpan w:val="10"/>
            <w:vAlign w:val="top"/>
          </w:tcPr>
          <w:p w14:paraId="781ACD75">
            <w:pPr>
              <w:pageBreakBefore w:val="0"/>
              <w:kinsoku/>
              <w:overflowPunct/>
              <w:topLinePunct w:val="0"/>
              <w:bidi w:val="0"/>
              <w:spacing w:beforeAutospacing="0" w:after="120" w:afterAutospacing="0" w:line="240" w:lineRule="auto"/>
              <w:ind w:left="0" w:leftChars="0" w:right="0" w:firstLine="332"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3"/>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分析存在的问题及原因</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（20字以内</w:t>
            </w:r>
            <w:r>
              <w:rPr>
                <w:rFonts w:ascii="微软雅黑" w:hAnsi="微软雅黑" w:eastAsia="微软雅黑" w:cs="微软雅黑"/>
                <w:spacing w:val="-18"/>
                <w:sz w:val="16"/>
                <w:szCs w:val="16"/>
              </w:rPr>
              <w:t xml:space="preserve"> </w:t>
            </w:r>
            <w:r>
              <w:rPr>
                <w:rFonts w:ascii="微软雅黑" w:hAnsi="微软雅黑" w:eastAsia="微软雅黑" w:cs="微软雅黑"/>
                <w:i/>
                <w:iCs/>
                <w:spacing w:val="3"/>
                <w:sz w:val="16"/>
                <w:szCs w:val="16"/>
              </w:rPr>
              <w:t>）</w:t>
            </w:r>
          </w:p>
        </w:tc>
      </w:tr>
      <w:tr w14:paraId="4805D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0" w:hRule="atLeast"/>
        </w:trPr>
        <w:tc>
          <w:tcPr>
            <w:tcW w:w="645" w:type="dxa"/>
            <w:vAlign w:val="top"/>
          </w:tcPr>
          <w:p w14:paraId="073855A6">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改进措</w:t>
            </w:r>
            <w:r>
              <w:t>施</w:t>
            </w:r>
          </w:p>
        </w:tc>
        <w:tc>
          <w:tcPr>
            <w:tcW w:w="12350" w:type="dxa"/>
            <w:gridSpan w:val="10"/>
            <w:vAlign w:val="top"/>
          </w:tcPr>
          <w:p w14:paraId="6F66B6C2">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针对项目自评中发现的问题</w:t>
            </w:r>
            <w:r>
              <w:rPr>
                <w:rFonts w:ascii="微软雅黑" w:hAnsi="微软雅黑" w:eastAsia="微软雅黑" w:cs="微软雅黑"/>
                <w:spacing w:val="4"/>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提出下一步改进完善的意见及有关政策性建议</w:t>
            </w:r>
            <w:r>
              <w:rPr>
                <w:rFonts w:ascii="微软雅黑" w:hAnsi="微软雅黑" w:eastAsia="微软雅黑" w:cs="微软雅黑"/>
                <w:spacing w:val="-25"/>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（20字以内</w:t>
            </w:r>
            <w:r>
              <w:rPr>
                <w:rFonts w:ascii="微软雅黑" w:hAnsi="微软雅黑" w:eastAsia="微软雅黑" w:cs="微软雅黑"/>
                <w:spacing w:val="-20"/>
                <w:sz w:val="16"/>
                <w:szCs w:val="16"/>
              </w:rPr>
              <w:t xml:space="preserve"> </w:t>
            </w:r>
            <w:r>
              <w:rPr>
                <w:rFonts w:ascii="微软雅黑" w:hAnsi="微软雅黑" w:eastAsia="微软雅黑" w:cs="微软雅黑"/>
                <w:i/>
                <w:iCs/>
                <w:spacing w:val="2"/>
                <w:sz w:val="16"/>
                <w:szCs w:val="16"/>
              </w:rPr>
              <w:t>）</w:t>
            </w:r>
          </w:p>
        </w:tc>
      </w:tr>
      <w:tr w14:paraId="7F296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0" w:hRule="atLeast"/>
        </w:trPr>
        <w:tc>
          <w:tcPr>
            <w:tcW w:w="6724" w:type="dxa"/>
            <w:gridSpan w:val="5"/>
            <w:vAlign w:val="top"/>
          </w:tcPr>
          <w:p w14:paraId="433CAAC4">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项目负责人：</w:t>
            </w:r>
          </w:p>
        </w:tc>
        <w:tc>
          <w:tcPr>
            <w:tcW w:w="6271" w:type="dxa"/>
            <w:gridSpan w:val="6"/>
            <w:vAlign w:val="top"/>
          </w:tcPr>
          <w:p w14:paraId="5D2E6E5A">
            <w:pPr>
              <w:pageBreakBefore w:val="0"/>
              <w:kinsoku/>
              <w:overflowPunct/>
              <w:topLinePunct w:val="0"/>
              <w:bidi w:val="0"/>
              <w:spacing w:beforeAutospacing="0" w:after="120" w:afterAutospacing="0" w:line="240" w:lineRule="auto"/>
              <w:ind w:left="0" w:leftChars="0" w:right="0" w:firstLine="356" w:firstLineChars="200"/>
              <w:textAlignment w:val="auto"/>
              <w:rPr>
                <w:rFonts w:ascii="黑体" w:hAnsi="黑体" w:eastAsia="黑体" w:cs="黑体"/>
                <w:sz w:val="18"/>
                <w:szCs w:val="18"/>
              </w:rPr>
            </w:pPr>
            <w:r>
              <w:rPr>
                <w:rFonts w:ascii="黑体" w:hAnsi="黑体" w:eastAsia="黑体" w:cs="黑体"/>
                <w:spacing w:val="-1"/>
                <w:sz w:val="18"/>
                <w:szCs w:val="18"/>
              </w:rPr>
              <w:t>财务负责人：</w:t>
            </w:r>
          </w:p>
        </w:tc>
      </w:tr>
    </w:tbl>
    <w:p w14:paraId="178DFB98">
      <w:pPr>
        <w:pageBreakBefore w:val="0"/>
        <w:kinsoku/>
        <w:overflowPunct/>
        <w:topLinePunct w:val="0"/>
        <w:bidi w:val="0"/>
        <w:spacing w:beforeAutospacing="0" w:after="120" w:afterAutospacing="0" w:line="240" w:lineRule="auto"/>
        <w:ind w:left="0" w:leftChars="0" w:right="0" w:firstLine="420" w:firstLineChars="200"/>
        <w:textAlignment w:val="auto"/>
      </w:pPr>
    </w:p>
    <w:tbl>
      <w:tblPr>
        <w:tblStyle w:val="38"/>
        <w:tblW w:w="1299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5"/>
        <w:gridCol w:w="1889"/>
        <w:gridCol w:w="1627"/>
        <w:gridCol w:w="2081"/>
        <w:gridCol w:w="482"/>
        <w:gridCol w:w="1544"/>
        <w:gridCol w:w="482"/>
        <w:gridCol w:w="1007"/>
        <w:gridCol w:w="470"/>
        <w:gridCol w:w="414"/>
        <w:gridCol w:w="2354"/>
      </w:tblGrid>
      <w:tr w14:paraId="32122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1" w:hRule="atLeast"/>
        </w:trPr>
        <w:tc>
          <w:tcPr>
            <w:tcW w:w="12995" w:type="dxa"/>
            <w:gridSpan w:val="11"/>
            <w:vAlign w:val="top"/>
          </w:tcPr>
          <w:p w14:paraId="39CA56B4">
            <w:pPr>
              <w:pageBreakBefore w:val="0"/>
              <w:kinsoku/>
              <w:overflowPunct/>
              <w:topLinePunct w:val="0"/>
              <w:bidi w:val="0"/>
              <w:spacing w:beforeAutospacing="0" w:after="120" w:afterAutospacing="0" w:line="240" w:lineRule="auto"/>
              <w:ind w:left="0" w:leftChars="0" w:right="0" w:firstLine="602" w:firstLineChars="200"/>
              <w:textAlignment w:val="auto"/>
              <w:rPr>
                <w:rFonts w:ascii="黑体" w:hAnsi="黑体" w:eastAsia="黑体" w:cs="黑体"/>
                <w:sz w:val="30"/>
                <w:szCs w:val="30"/>
              </w:rPr>
            </w:pPr>
            <w:r>
              <w:rPr>
                <w:rFonts w:ascii="黑体" w:hAnsi="黑体" w:eastAsia="黑体" w:cs="黑体"/>
                <w:b/>
                <w:bCs/>
                <w:sz w:val="30"/>
                <w:szCs w:val="30"/>
              </w:rPr>
              <w:t>部门预算项目支出绩效自评表（2025年度）</w:t>
            </w:r>
          </w:p>
        </w:tc>
      </w:tr>
      <w:tr w14:paraId="1844F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2534" w:type="dxa"/>
            <w:gridSpan w:val="2"/>
            <w:vAlign w:val="top"/>
          </w:tcPr>
          <w:p w14:paraId="7B3EF511">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项目名称</w:t>
            </w:r>
          </w:p>
        </w:tc>
        <w:tc>
          <w:tcPr>
            <w:tcW w:w="10461" w:type="dxa"/>
            <w:gridSpan w:val="9"/>
            <w:vAlign w:val="top"/>
          </w:tcPr>
          <w:p w14:paraId="5A9C6FC4">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51323321T000000107661-人大代表活动经费</w:t>
            </w:r>
          </w:p>
        </w:tc>
      </w:tr>
      <w:tr w14:paraId="5A9B5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2534" w:type="dxa"/>
            <w:gridSpan w:val="2"/>
            <w:vAlign w:val="top"/>
          </w:tcPr>
          <w:p w14:paraId="038A1161">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主管部门</w:t>
            </w:r>
          </w:p>
        </w:tc>
        <w:tc>
          <w:tcPr>
            <w:tcW w:w="6216" w:type="dxa"/>
            <w:gridSpan w:val="5"/>
            <w:vAlign w:val="top"/>
          </w:tcPr>
          <w:p w14:paraId="2F31446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红原县阿木乡人民政府</w:t>
            </w:r>
          </w:p>
        </w:tc>
        <w:tc>
          <w:tcPr>
            <w:tcW w:w="1007" w:type="dxa"/>
            <w:vAlign w:val="top"/>
          </w:tcPr>
          <w:p w14:paraId="1143302C">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spacing w:val="-2"/>
                <w:sz w:val="18"/>
                <w:szCs w:val="18"/>
              </w:rPr>
              <w:t>实施单位</w:t>
            </w:r>
          </w:p>
          <w:p w14:paraId="4439E88B">
            <w:pPr>
              <w:pageBreakBefore w:val="0"/>
              <w:kinsoku/>
              <w:overflowPunct/>
              <w:topLinePunct w:val="0"/>
              <w:bidi w:val="0"/>
              <w:spacing w:beforeAutospacing="0" w:after="120" w:afterAutospacing="0" w:line="240" w:lineRule="auto"/>
              <w:ind w:left="0" w:leftChars="0" w:right="0" w:firstLine="336" w:firstLineChars="200"/>
              <w:textAlignment w:val="auto"/>
              <w:rPr>
                <w:rFonts w:ascii="黑体" w:hAnsi="黑体" w:eastAsia="黑体" w:cs="黑体"/>
                <w:sz w:val="18"/>
                <w:szCs w:val="18"/>
              </w:rPr>
            </w:pPr>
            <w:r>
              <w:rPr>
                <w:rFonts w:ascii="黑体" w:hAnsi="黑体" w:eastAsia="黑体" w:cs="黑体"/>
                <w:spacing w:val="-6"/>
                <w:sz w:val="18"/>
                <w:szCs w:val="18"/>
              </w:rPr>
              <w:t>（盖章）</w:t>
            </w:r>
          </w:p>
        </w:tc>
        <w:tc>
          <w:tcPr>
            <w:tcW w:w="3238" w:type="dxa"/>
            <w:gridSpan w:val="3"/>
            <w:vAlign w:val="top"/>
          </w:tcPr>
          <w:p w14:paraId="61BBD3C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红原县阿木乡机关</w:t>
            </w:r>
          </w:p>
        </w:tc>
      </w:tr>
      <w:tr w14:paraId="0E055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645" w:type="dxa"/>
            <w:vMerge w:val="restart"/>
            <w:tcBorders>
              <w:bottom w:val="nil"/>
            </w:tcBorders>
            <w:vAlign w:val="top"/>
          </w:tcPr>
          <w:p w14:paraId="4E0DF4A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0E9D99C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5D312B54">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项目基</w:t>
            </w:r>
            <w:r>
              <w:rPr>
                <w:spacing w:val="-3"/>
              </w:rPr>
              <w:t>本情况</w:t>
            </w:r>
          </w:p>
        </w:tc>
        <w:tc>
          <w:tcPr>
            <w:tcW w:w="1889" w:type="dxa"/>
            <w:vMerge w:val="restart"/>
            <w:tcBorders>
              <w:bottom w:val="nil"/>
            </w:tcBorders>
            <w:vAlign w:val="top"/>
          </w:tcPr>
          <w:p w14:paraId="3FDCDF02">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1.项目年度目标完成情</w:t>
            </w:r>
            <w:r>
              <w:t>况</w:t>
            </w:r>
          </w:p>
        </w:tc>
        <w:tc>
          <w:tcPr>
            <w:tcW w:w="6216" w:type="dxa"/>
            <w:gridSpan w:val="5"/>
            <w:vAlign w:val="top"/>
          </w:tcPr>
          <w:p w14:paraId="0036743D">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项目年度目标</w:t>
            </w:r>
          </w:p>
        </w:tc>
        <w:tc>
          <w:tcPr>
            <w:tcW w:w="4245" w:type="dxa"/>
            <w:gridSpan w:val="4"/>
            <w:vAlign w:val="top"/>
          </w:tcPr>
          <w:p w14:paraId="150E4A92">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年度目标完成情况</w:t>
            </w:r>
          </w:p>
        </w:tc>
      </w:tr>
      <w:tr w14:paraId="3A38A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4" w:hRule="atLeast"/>
        </w:trPr>
        <w:tc>
          <w:tcPr>
            <w:tcW w:w="645" w:type="dxa"/>
            <w:vMerge w:val="continue"/>
            <w:tcBorders>
              <w:top w:val="nil"/>
              <w:bottom w:val="nil"/>
            </w:tcBorders>
            <w:vAlign w:val="top"/>
          </w:tcPr>
          <w:p w14:paraId="340D362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355F07B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6216" w:type="dxa"/>
            <w:gridSpan w:val="5"/>
            <w:vAlign w:val="top"/>
          </w:tcPr>
          <w:p w14:paraId="67CEC642">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人大代表活动费经费</w:t>
            </w:r>
          </w:p>
        </w:tc>
        <w:tc>
          <w:tcPr>
            <w:tcW w:w="4245" w:type="dxa"/>
            <w:gridSpan w:val="4"/>
            <w:vAlign w:val="top"/>
          </w:tcPr>
          <w:p w14:paraId="4897F2F5">
            <w:pPr>
              <w:pageBreakBefore w:val="0"/>
              <w:kinsoku/>
              <w:overflowPunct/>
              <w:topLinePunct w:val="0"/>
              <w:bidi w:val="0"/>
              <w:spacing w:beforeAutospacing="0" w:after="120" w:afterAutospacing="0" w:line="240" w:lineRule="auto"/>
              <w:ind w:left="0" w:leftChars="0" w:right="0" w:firstLine="364" w:firstLineChars="200"/>
              <w:textAlignment w:val="auto"/>
              <w:rPr>
                <w:rFonts w:ascii="黑体" w:hAnsi="黑体" w:eastAsia="黑体" w:cs="黑体"/>
                <w:sz w:val="18"/>
                <w:szCs w:val="18"/>
              </w:rPr>
            </w:pPr>
            <w:r>
              <w:rPr>
                <w:rFonts w:ascii="黑体" w:hAnsi="黑体" w:eastAsia="黑体" w:cs="黑体"/>
                <w:spacing w:val="1"/>
                <w:sz w:val="18"/>
                <w:szCs w:val="18"/>
              </w:rPr>
              <w:t>对照年度目标，说明相关任务目标的完成情况（100</w:t>
            </w:r>
            <w:r>
              <w:rPr>
                <w:rFonts w:ascii="黑体" w:hAnsi="黑体" w:eastAsia="黑体" w:cs="黑体"/>
                <w:spacing w:val="-3"/>
                <w:sz w:val="18"/>
                <w:szCs w:val="18"/>
              </w:rPr>
              <w:t>字以内）</w:t>
            </w:r>
          </w:p>
        </w:tc>
      </w:tr>
      <w:tr w14:paraId="26508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645" w:type="dxa"/>
            <w:vMerge w:val="continue"/>
            <w:tcBorders>
              <w:top w:val="nil"/>
            </w:tcBorders>
            <w:vAlign w:val="top"/>
          </w:tcPr>
          <w:p w14:paraId="2B52D14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0AB954B3">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2.项目实施内容及过程</w:t>
            </w:r>
            <w:r>
              <w:rPr>
                <w:spacing w:val="-4"/>
              </w:rPr>
              <w:t>概述</w:t>
            </w:r>
          </w:p>
        </w:tc>
        <w:tc>
          <w:tcPr>
            <w:tcW w:w="10461" w:type="dxa"/>
            <w:gridSpan w:val="9"/>
            <w:vAlign w:val="top"/>
          </w:tcPr>
          <w:p w14:paraId="2E66E7C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24D35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45" w:type="dxa"/>
            <w:vMerge w:val="restart"/>
            <w:tcBorders>
              <w:bottom w:val="nil"/>
            </w:tcBorders>
            <w:vAlign w:val="top"/>
          </w:tcPr>
          <w:p w14:paraId="519A8CE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64428DB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134A4692">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预算执</w:t>
            </w:r>
          </w:p>
          <w:p w14:paraId="358D5979">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行情况</w:t>
            </w:r>
          </w:p>
          <w:p w14:paraId="2E1310B5">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（10分</w:t>
            </w:r>
            <w:r>
              <w:rPr>
                <w:spacing w:val="1"/>
              </w:rPr>
              <w:t xml:space="preserve"> </w:t>
            </w:r>
            <w:r>
              <w:t>)</w:t>
            </w:r>
          </w:p>
        </w:tc>
        <w:tc>
          <w:tcPr>
            <w:tcW w:w="1889" w:type="dxa"/>
            <w:vAlign w:val="top"/>
          </w:tcPr>
          <w:p w14:paraId="472FF287">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年度预算数（万元）</w:t>
            </w:r>
          </w:p>
        </w:tc>
        <w:tc>
          <w:tcPr>
            <w:tcW w:w="1627" w:type="dxa"/>
            <w:vAlign w:val="top"/>
          </w:tcPr>
          <w:p w14:paraId="05A5E09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年初预算</w:t>
            </w:r>
          </w:p>
        </w:tc>
        <w:tc>
          <w:tcPr>
            <w:tcW w:w="2081" w:type="dxa"/>
            <w:vAlign w:val="top"/>
          </w:tcPr>
          <w:p w14:paraId="3C344C04">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调整后预算数</w:t>
            </w:r>
          </w:p>
        </w:tc>
        <w:tc>
          <w:tcPr>
            <w:tcW w:w="2508" w:type="dxa"/>
            <w:gridSpan w:val="3"/>
            <w:vAlign w:val="top"/>
          </w:tcPr>
          <w:p w14:paraId="10B5358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预算执行数</w:t>
            </w:r>
          </w:p>
        </w:tc>
        <w:tc>
          <w:tcPr>
            <w:tcW w:w="1007" w:type="dxa"/>
            <w:vAlign w:val="top"/>
          </w:tcPr>
          <w:p w14:paraId="089E6BAC">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预算执行率</w:t>
            </w:r>
          </w:p>
        </w:tc>
        <w:tc>
          <w:tcPr>
            <w:tcW w:w="470" w:type="dxa"/>
            <w:vAlign w:val="top"/>
          </w:tcPr>
          <w:p w14:paraId="56BFBBA2">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vAlign w:val="top"/>
          </w:tcPr>
          <w:p w14:paraId="4F4692A9">
            <w:pPr>
              <w:pStyle w:val="39"/>
              <w:pageBreakBefore w:val="0"/>
              <w:kinsoku/>
              <w:overflowPunct/>
              <w:topLinePunct w:val="0"/>
              <w:bidi w:val="0"/>
              <w:spacing w:beforeAutospacing="0" w:after="120" w:afterAutospacing="0" w:line="240" w:lineRule="auto"/>
              <w:ind w:left="0" w:leftChars="0" w:right="0" w:firstLine="360" w:firstLineChars="200"/>
              <w:textAlignment w:val="auto"/>
            </w:pPr>
            <w:r>
              <mc:AlternateContent>
                <mc:Choice Requires="wps">
                  <w:drawing>
                    <wp:anchor distT="0" distB="0" distL="114300" distR="114300" simplePos="0" relativeHeight="251660288" behindDoc="0" locked="0" layoutInCell="1" allowOverlap="1">
                      <wp:simplePos x="0" y="0"/>
                      <wp:positionH relativeFrom="rightMargin">
                        <wp:posOffset>-182880</wp:posOffset>
                      </wp:positionH>
                      <wp:positionV relativeFrom="topMargin">
                        <wp:posOffset>143510</wp:posOffset>
                      </wp:positionV>
                      <wp:extent cx="133985" cy="161925"/>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33985" cy="161925"/>
                              </a:xfrm>
                              <a:prstGeom prst="rect">
                                <a:avLst/>
                              </a:prstGeom>
                              <a:noFill/>
                              <a:ln>
                                <a:noFill/>
                              </a:ln>
                            </wps:spPr>
                            <wps:txbx>
                              <w:txbxContent>
                                <w:p w14:paraId="0776EC09">
                                  <w:pPr>
                                    <w:pStyle w:val="39"/>
                                    <w:spacing w:before="20" w:line="220" w:lineRule="auto"/>
                                    <w:ind w:left="20"/>
                                  </w:pPr>
                                  <w:r>
                                    <w:t>分</w:t>
                                  </w:r>
                                </w:p>
                              </w:txbxContent>
                            </wps:txbx>
                            <wps:bodyPr lIns="0" tIns="0" rIns="0" bIns="0" upright="1"/>
                          </wps:wsp>
                        </a:graphicData>
                      </a:graphic>
                    </wp:anchor>
                  </w:drawing>
                </mc:Choice>
                <mc:Fallback>
                  <w:pict>
                    <v:shape id="_x0000_s1026" o:spid="_x0000_s1026" o:spt="202" type="#_x0000_t202" style="position:absolute;left:0pt;margin-left:5.95pt;margin-top:12.05pt;height:12.75pt;width:10.55pt;mso-position-horizontal-relative:page;mso-position-vertical-relative:page;z-index:251660288;mso-width-relative:page;mso-height-relative:page;" filled="f" stroked="f" coordsize="21600,21600" o:gfxdata="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hfaVW2AAAAAgBAAAPAAAAAAAAAAEAIAAAACIAAABkcnMvZG93bnJldi54bWxQSwEC&#10;FAAUAAAACACHTuJAaYt+mbsBAABzAwAADgAAAAAAAAABACAAAAAnAQAAZHJzL2Uyb0RvYy54bWxQ&#10;SwUGAAAAAAYABgBZAQAAVAUAAAAA&#10;">
                      <v:fill on="f" focussize="0,0"/>
                      <v:stroke on="f"/>
                      <v:imagedata o:title=""/>
                      <o:lock v:ext="edit" aspectratio="f"/>
                      <v:textbox inset="0mm,0mm,0mm,0mm">
                        <w:txbxContent>
                          <w:p w14:paraId="0776EC09">
                            <w:pPr>
                              <w:pStyle w:val="39"/>
                              <w:spacing w:before="20" w:line="220" w:lineRule="auto"/>
                              <w:ind w:left="20"/>
                            </w:pPr>
                            <w:r>
                              <w:t>分</w:t>
                            </w:r>
                          </w:p>
                        </w:txbxContent>
                      </v:textbox>
                    </v:shape>
                  </w:pict>
                </mc:Fallback>
              </mc:AlternateContent>
            </w:r>
            <w:r>
              <w:t>得</w:t>
            </w:r>
          </w:p>
        </w:tc>
        <w:tc>
          <w:tcPr>
            <w:tcW w:w="2354" w:type="dxa"/>
            <w:vAlign w:val="top"/>
          </w:tcPr>
          <w:p w14:paraId="1B3B0B34">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原因</w:t>
            </w:r>
          </w:p>
        </w:tc>
      </w:tr>
      <w:tr w14:paraId="2D3C8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645" w:type="dxa"/>
            <w:vMerge w:val="continue"/>
            <w:tcBorders>
              <w:top w:val="nil"/>
              <w:bottom w:val="nil"/>
            </w:tcBorders>
            <w:vAlign w:val="top"/>
          </w:tcPr>
          <w:p w14:paraId="580E495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1FFADD5C">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总额</w:t>
            </w:r>
          </w:p>
        </w:tc>
        <w:tc>
          <w:tcPr>
            <w:tcW w:w="1627" w:type="dxa"/>
            <w:vAlign w:val="top"/>
          </w:tcPr>
          <w:p w14:paraId="0AC3967D">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4.70</w:t>
            </w:r>
          </w:p>
        </w:tc>
        <w:tc>
          <w:tcPr>
            <w:tcW w:w="2081" w:type="dxa"/>
            <w:vAlign w:val="top"/>
          </w:tcPr>
          <w:p w14:paraId="6756F1D1">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4.70</w:t>
            </w:r>
          </w:p>
        </w:tc>
        <w:tc>
          <w:tcPr>
            <w:tcW w:w="2508" w:type="dxa"/>
            <w:gridSpan w:val="3"/>
            <w:vAlign w:val="top"/>
          </w:tcPr>
          <w:p w14:paraId="0A95EDD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3.27</w:t>
            </w:r>
          </w:p>
        </w:tc>
        <w:tc>
          <w:tcPr>
            <w:tcW w:w="1007" w:type="dxa"/>
            <w:vAlign w:val="top"/>
          </w:tcPr>
          <w:p w14:paraId="59080334">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69.49%</w:t>
            </w:r>
          </w:p>
        </w:tc>
        <w:tc>
          <w:tcPr>
            <w:tcW w:w="470" w:type="dxa"/>
            <w:vAlign w:val="top"/>
          </w:tcPr>
          <w:p w14:paraId="2A5E09D8">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7B4B007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Merge w:val="restart"/>
            <w:tcBorders>
              <w:bottom w:val="nil"/>
            </w:tcBorders>
            <w:vAlign w:val="top"/>
          </w:tcPr>
          <w:p w14:paraId="4C646547">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i/>
                <w:iCs/>
                <w:sz w:val="18"/>
                <w:szCs w:val="18"/>
              </w:rPr>
              <w:t>1.预算执行率=预算执行数/</w:t>
            </w:r>
            <w:r>
              <w:rPr>
                <w:rFonts w:ascii="黑体" w:hAnsi="黑体" w:eastAsia="黑体" w:cs="黑体"/>
                <w:i/>
                <w:iCs/>
                <w:spacing w:val="1"/>
                <w:sz w:val="18"/>
                <w:szCs w:val="18"/>
              </w:rPr>
              <w:t>调整后预算数，</w:t>
            </w:r>
            <w:r>
              <w:rPr>
                <w:rFonts w:ascii="黑体" w:hAnsi="黑体" w:eastAsia="黑体" w:cs="黑体"/>
                <w:spacing w:val="-29"/>
                <w:sz w:val="18"/>
                <w:szCs w:val="18"/>
              </w:rPr>
              <w:t xml:space="preserve"> </w:t>
            </w:r>
            <w:r>
              <w:rPr>
                <w:rFonts w:ascii="黑体" w:hAnsi="黑体" w:eastAsia="黑体" w:cs="黑体"/>
                <w:i/>
                <w:iCs/>
                <w:spacing w:val="1"/>
                <w:sz w:val="18"/>
                <w:szCs w:val="18"/>
              </w:rPr>
              <w:t>预算执行率未达到90%的需说明原因</w:t>
            </w:r>
          </w:p>
          <w:p w14:paraId="62FD75DC">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i/>
                <w:iCs/>
                <w:spacing w:val="-2"/>
                <w:sz w:val="18"/>
                <w:szCs w:val="18"/>
              </w:rPr>
              <w:t>（100字以内）</w:t>
            </w:r>
            <w:r>
              <w:rPr>
                <w:rFonts w:ascii="黑体" w:hAnsi="黑体" w:eastAsia="黑体" w:cs="黑体"/>
                <w:spacing w:val="-26"/>
                <w:sz w:val="18"/>
                <w:szCs w:val="18"/>
              </w:rPr>
              <w:t xml:space="preserve"> </w:t>
            </w:r>
            <w:r>
              <w:rPr>
                <w:rFonts w:ascii="黑体" w:hAnsi="黑体" w:eastAsia="黑体" w:cs="黑体"/>
                <w:i/>
                <w:iCs/>
                <w:spacing w:val="-2"/>
                <w:sz w:val="18"/>
                <w:szCs w:val="18"/>
              </w:rPr>
              <w:t>;2.年中发生</w:t>
            </w:r>
            <w:r>
              <w:rPr>
                <w:rFonts w:ascii="黑体" w:hAnsi="黑体" w:eastAsia="黑体" w:cs="黑体"/>
                <w:i/>
                <w:iCs/>
                <w:spacing w:val="6"/>
                <w:sz w:val="18"/>
                <w:szCs w:val="18"/>
              </w:rPr>
              <w:t>预算调整的（追加或调</w:t>
            </w:r>
          </w:p>
          <w:p w14:paraId="5CE15B6D">
            <w:pPr>
              <w:pageBreakBefore w:val="0"/>
              <w:kinsoku/>
              <w:overflowPunct/>
              <w:topLinePunct w:val="0"/>
              <w:bidi w:val="0"/>
              <w:spacing w:beforeAutospacing="0" w:after="120" w:afterAutospacing="0" w:line="240" w:lineRule="auto"/>
              <w:ind w:left="0" w:leftChars="0" w:right="0" w:firstLine="348" w:firstLineChars="200"/>
              <w:textAlignment w:val="auto"/>
              <w:rPr>
                <w:rFonts w:ascii="黑体" w:hAnsi="黑体" w:eastAsia="黑体" w:cs="黑体"/>
                <w:sz w:val="18"/>
                <w:szCs w:val="18"/>
              </w:rPr>
            </w:pPr>
            <w:r>
              <w:rPr>
                <w:rFonts w:ascii="黑体" w:hAnsi="黑体" w:eastAsia="黑体" w:cs="黑体"/>
                <w:i/>
                <w:iCs/>
                <w:spacing w:val="-3"/>
                <w:sz w:val="18"/>
                <w:szCs w:val="18"/>
              </w:rPr>
              <w:t>减</w:t>
            </w:r>
            <w:r>
              <w:rPr>
                <w:rFonts w:ascii="黑体" w:hAnsi="黑体" w:eastAsia="黑体" w:cs="黑体"/>
                <w:spacing w:val="-41"/>
                <w:sz w:val="18"/>
                <w:szCs w:val="18"/>
              </w:rPr>
              <w:t xml:space="preserve"> </w:t>
            </w:r>
            <w:r>
              <w:rPr>
                <w:rFonts w:ascii="黑体" w:hAnsi="黑体" w:eastAsia="黑体" w:cs="黑体"/>
                <w:i/>
                <w:iCs/>
                <w:spacing w:val="-3"/>
                <w:sz w:val="18"/>
                <w:szCs w:val="18"/>
              </w:rPr>
              <w:t>）,应单独说明理由</w:t>
            </w:r>
            <w:r>
              <w:rPr>
                <w:rFonts w:ascii="黑体" w:hAnsi="黑体" w:eastAsia="黑体" w:cs="黑体"/>
                <w:spacing w:val="-46"/>
                <w:sz w:val="18"/>
                <w:szCs w:val="18"/>
              </w:rPr>
              <w:t xml:space="preserve"> </w:t>
            </w:r>
            <w:r>
              <w:rPr>
                <w:rFonts w:ascii="黑体" w:hAnsi="黑体" w:eastAsia="黑体" w:cs="黑体"/>
                <w:i/>
                <w:iCs/>
                <w:spacing w:val="-3"/>
                <w:sz w:val="18"/>
                <w:szCs w:val="18"/>
              </w:rPr>
              <w:t>；3.</w:t>
            </w:r>
            <w:r>
              <w:rPr>
                <w:rFonts w:ascii="黑体" w:hAnsi="黑体" w:eastAsia="黑体" w:cs="黑体"/>
                <w:i/>
                <w:iCs/>
                <w:spacing w:val="1"/>
                <w:sz w:val="18"/>
                <w:szCs w:val="18"/>
              </w:rPr>
              <w:t>其他资金包括</w:t>
            </w:r>
            <w:r>
              <w:rPr>
                <w:rFonts w:ascii="黑体" w:hAnsi="黑体" w:eastAsia="黑体" w:cs="黑体"/>
                <w:spacing w:val="-31"/>
                <w:sz w:val="18"/>
                <w:szCs w:val="18"/>
              </w:rPr>
              <w:t xml:space="preserve"> </w:t>
            </w:r>
            <w:r>
              <w:rPr>
                <w:rFonts w:ascii="黑体" w:hAnsi="黑体" w:eastAsia="黑体" w:cs="黑体"/>
                <w:i/>
                <w:iCs/>
                <w:spacing w:val="1"/>
                <w:sz w:val="18"/>
                <w:szCs w:val="18"/>
              </w:rPr>
              <w:t>：社会投入资</w:t>
            </w:r>
            <w:r>
              <w:rPr>
                <w:rFonts w:ascii="黑体" w:hAnsi="黑体" w:eastAsia="黑体" w:cs="黑体"/>
                <w:i/>
                <w:iCs/>
                <w:spacing w:val="-4"/>
                <w:sz w:val="18"/>
                <w:szCs w:val="18"/>
              </w:rPr>
              <w:t>金</w:t>
            </w:r>
            <w:r>
              <w:rPr>
                <w:rFonts w:ascii="黑体" w:hAnsi="黑体" w:eastAsia="黑体" w:cs="黑体"/>
                <w:spacing w:val="-50"/>
                <w:sz w:val="18"/>
                <w:szCs w:val="18"/>
              </w:rPr>
              <w:t xml:space="preserve"> </w:t>
            </w:r>
            <w:r>
              <w:rPr>
                <w:rFonts w:ascii="黑体" w:hAnsi="黑体" w:eastAsia="黑体" w:cs="黑体"/>
                <w:i/>
                <w:iCs/>
                <w:spacing w:val="-4"/>
                <w:sz w:val="18"/>
                <w:szCs w:val="18"/>
              </w:rPr>
              <w:t>、</w:t>
            </w:r>
            <w:r>
              <w:rPr>
                <w:rFonts w:ascii="黑体" w:hAnsi="黑体" w:eastAsia="黑体" w:cs="黑体"/>
                <w:spacing w:val="-42"/>
                <w:sz w:val="18"/>
                <w:szCs w:val="18"/>
              </w:rPr>
              <w:t xml:space="preserve"> </w:t>
            </w:r>
            <w:r>
              <w:rPr>
                <w:rFonts w:ascii="黑体" w:hAnsi="黑体" w:eastAsia="黑体" w:cs="黑体"/>
                <w:i/>
                <w:iCs/>
                <w:spacing w:val="-4"/>
                <w:sz w:val="18"/>
                <w:szCs w:val="18"/>
              </w:rPr>
              <w:t>银行贷款.</w:t>
            </w:r>
          </w:p>
        </w:tc>
      </w:tr>
      <w:tr w14:paraId="176E0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645" w:type="dxa"/>
            <w:vMerge w:val="continue"/>
            <w:tcBorders>
              <w:top w:val="nil"/>
              <w:bottom w:val="nil"/>
            </w:tcBorders>
            <w:vAlign w:val="top"/>
          </w:tcPr>
          <w:p w14:paraId="512357E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0EAB477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其中：财政资金</w:t>
            </w:r>
          </w:p>
        </w:tc>
        <w:tc>
          <w:tcPr>
            <w:tcW w:w="1627" w:type="dxa"/>
            <w:vAlign w:val="top"/>
          </w:tcPr>
          <w:p w14:paraId="71EBAA84">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4.70</w:t>
            </w:r>
          </w:p>
        </w:tc>
        <w:tc>
          <w:tcPr>
            <w:tcW w:w="2081" w:type="dxa"/>
            <w:vAlign w:val="top"/>
          </w:tcPr>
          <w:p w14:paraId="3BC25CEB">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4.70</w:t>
            </w:r>
          </w:p>
        </w:tc>
        <w:tc>
          <w:tcPr>
            <w:tcW w:w="2508" w:type="dxa"/>
            <w:gridSpan w:val="3"/>
            <w:vAlign w:val="top"/>
          </w:tcPr>
          <w:p w14:paraId="22B2DEE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3.27</w:t>
            </w:r>
          </w:p>
        </w:tc>
        <w:tc>
          <w:tcPr>
            <w:tcW w:w="1007" w:type="dxa"/>
            <w:vAlign w:val="top"/>
          </w:tcPr>
          <w:p w14:paraId="02903991">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69.49%</w:t>
            </w:r>
          </w:p>
        </w:tc>
        <w:tc>
          <w:tcPr>
            <w:tcW w:w="470" w:type="dxa"/>
            <w:vAlign w:val="top"/>
          </w:tcPr>
          <w:p w14:paraId="4A518182">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621C039A">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17A2C7E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5AE8F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645" w:type="dxa"/>
            <w:vMerge w:val="continue"/>
            <w:tcBorders>
              <w:top w:val="nil"/>
              <w:bottom w:val="nil"/>
            </w:tcBorders>
            <w:vAlign w:val="top"/>
          </w:tcPr>
          <w:p w14:paraId="0F4EF7B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0C3CFA97">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财政专户管理资金</w:t>
            </w:r>
          </w:p>
        </w:tc>
        <w:tc>
          <w:tcPr>
            <w:tcW w:w="1627" w:type="dxa"/>
            <w:vAlign w:val="top"/>
          </w:tcPr>
          <w:p w14:paraId="772DA3C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77AA7F3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6FA2CA4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7271B0C6">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585322D4">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4B30C117">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40BD274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0413E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45" w:type="dxa"/>
            <w:vMerge w:val="continue"/>
            <w:tcBorders>
              <w:top w:val="nil"/>
              <w:bottom w:val="nil"/>
            </w:tcBorders>
            <w:vAlign w:val="top"/>
          </w:tcPr>
          <w:p w14:paraId="2543E71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01628BAF">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单位资金</w:t>
            </w:r>
          </w:p>
        </w:tc>
        <w:tc>
          <w:tcPr>
            <w:tcW w:w="1627" w:type="dxa"/>
            <w:vAlign w:val="top"/>
          </w:tcPr>
          <w:p w14:paraId="30D02E7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457DB7F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704A657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00A04B06">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74FA6E9B">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23E37788">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3A75E33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54E0F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tcBorders>
            <w:vAlign w:val="top"/>
          </w:tcPr>
          <w:p w14:paraId="1B2B305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17AD025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其他资金</w:t>
            </w:r>
          </w:p>
        </w:tc>
        <w:tc>
          <w:tcPr>
            <w:tcW w:w="1627" w:type="dxa"/>
            <w:vAlign w:val="top"/>
          </w:tcPr>
          <w:p w14:paraId="1709412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3E06B5E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508" w:type="dxa"/>
            <w:gridSpan w:val="3"/>
            <w:vAlign w:val="top"/>
          </w:tcPr>
          <w:p w14:paraId="1202118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5F092EE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3D2AA18C">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63F7170D">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tcBorders>
            <w:vAlign w:val="top"/>
          </w:tcPr>
          <w:p w14:paraId="7E7C607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1A7E3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restart"/>
            <w:tcBorders>
              <w:bottom w:val="nil"/>
            </w:tcBorders>
            <w:vAlign w:val="top"/>
          </w:tcPr>
          <w:p w14:paraId="4E69F86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4B5D7FC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322B096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43B159C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652872EC">
            <w:pPr>
              <w:pStyle w:val="39"/>
              <w:pageBreakBefore w:val="0"/>
              <w:kinsoku/>
              <w:overflowPunct/>
              <w:topLinePunct w:val="0"/>
              <w:bidi w:val="0"/>
              <w:spacing w:beforeAutospacing="0" w:after="120" w:afterAutospacing="0" w:line="240" w:lineRule="auto"/>
              <w:ind w:left="0" w:leftChars="0" w:right="0" w:firstLine="344" w:firstLineChars="200"/>
              <w:jc w:val="both"/>
              <w:textAlignment w:val="auto"/>
            </w:pPr>
            <w:r>
              <w:rPr>
                <w:spacing w:val="-4"/>
              </w:rPr>
              <w:t>绩效指</w:t>
            </w:r>
            <w:r>
              <w:rPr>
                <w:spacing w:val="-2"/>
              </w:rPr>
              <w:t>标（90</w:t>
            </w:r>
            <w:r>
              <w:rPr>
                <w:spacing w:val="41"/>
              </w:rPr>
              <w:t>分）</w:t>
            </w:r>
          </w:p>
        </w:tc>
        <w:tc>
          <w:tcPr>
            <w:tcW w:w="1889" w:type="dxa"/>
            <w:vAlign w:val="top"/>
          </w:tcPr>
          <w:p w14:paraId="0396784B">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一级指标</w:t>
            </w:r>
          </w:p>
        </w:tc>
        <w:tc>
          <w:tcPr>
            <w:tcW w:w="1627" w:type="dxa"/>
            <w:vAlign w:val="top"/>
          </w:tcPr>
          <w:p w14:paraId="3A78A995">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二级指标</w:t>
            </w:r>
          </w:p>
        </w:tc>
        <w:tc>
          <w:tcPr>
            <w:tcW w:w="2081" w:type="dxa"/>
            <w:vAlign w:val="top"/>
          </w:tcPr>
          <w:p w14:paraId="1E958F0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三级指标</w:t>
            </w:r>
          </w:p>
        </w:tc>
        <w:tc>
          <w:tcPr>
            <w:tcW w:w="482" w:type="dxa"/>
            <w:vAlign w:val="top"/>
          </w:tcPr>
          <w:p w14:paraId="616D9C22">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指标</w:t>
            </w:r>
          </w:p>
          <w:p w14:paraId="496BCEE2">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性质</w:t>
            </w:r>
          </w:p>
        </w:tc>
        <w:tc>
          <w:tcPr>
            <w:tcW w:w="1544" w:type="dxa"/>
            <w:vAlign w:val="top"/>
          </w:tcPr>
          <w:p w14:paraId="4A4060F4">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指标值</w:t>
            </w:r>
          </w:p>
        </w:tc>
        <w:tc>
          <w:tcPr>
            <w:tcW w:w="482" w:type="dxa"/>
            <w:vAlign w:val="top"/>
          </w:tcPr>
          <w:p w14:paraId="44B7EDFD">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度量</w:t>
            </w:r>
          </w:p>
          <w:p w14:paraId="27E172B3">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单位</w:t>
            </w:r>
          </w:p>
        </w:tc>
        <w:tc>
          <w:tcPr>
            <w:tcW w:w="1007" w:type="dxa"/>
            <w:vAlign w:val="top"/>
          </w:tcPr>
          <w:p w14:paraId="4A814235">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完成值</w:t>
            </w:r>
          </w:p>
        </w:tc>
        <w:tc>
          <w:tcPr>
            <w:tcW w:w="470" w:type="dxa"/>
            <w:vAlign w:val="top"/>
          </w:tcPr>
          <w:p w14:paraId="3BDB5BFB">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textDirection w:val="tbRlV"/>
            <w:vAlign w:val="top"/>
          </w:tcPr>
          <w:p w14:paraId="254D7D8E">
            <w:pPr>
              <w:pStyle w:val="39"/>
              <w:pageBreakBefore w:val="0"/>
              <w:kinsoku/>
              <w:overflowPunct/>
              <w:topLinePunct w:val="0"/>
              <w:bidi w:val="0"/>
              <w:spacing w:beforeAutospacing="0" w:after="120" w:afterAutospacing="0" w:line="240" w:lineRule="auto"/>
              <w:ind w:left="0" w:leftChars="0" w:right="0" w:firstLine="448" w:firstLineChars="200"/>
              <w:textAlignment w:val="auto"/>
            </w:pPr>
            <w:r>
              <w:rPr>
                <w:spacing w:val="22"/>
              </w:rPr>
              <w:t>得分</w:t>
            </w:r>
          </w:p>
        </w:tc>
        <w:tc>
          <w:tcPr>
            <w:tcW w:w="2354" w:type="dxa"/>
            <w:vAlign w:val="top"/>
          </w:tcPr>
          <w:p w14:paraId="1B2C8D5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未完成原因分析</w:t>
            </w:r>
          </w:p>
        </w:tc>
      </w:tr>
      <w:tr w14:paraId="09153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continue"/>
            <w:tcBorders>
              <w:top w:val="nil"/>
              <w:bottom w:val="nil"/>
            </w:tcBorders>
            <w:vAlign w:val="top"/>
          </w:tcPr>
          <w:p w14:paraId="5B36ED5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66DC78F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59B1AC7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产出指标</w:t>
            </w:r>
          </w:p>
        </w:tc>
        <w:tc>
          <w:tcPr>
            <w:tcW w:w="1627" w:type="dxa"/>
            <w:vAlign w:val="top"/>
          </w:tcPr>
          <w:p w14:paraId="7ED19CD0">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数量指标</w:t>
            </w:r>
          </w:p>
        </w:tc>
        <w:tc>
          <w:tcPr>
            <w:tcW w:w="2081" w:type="dxa"/>
            <w:vAlign w:val="top"/>
          </w:tcPr>
          <w:p w14:paraId="32B3222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举办活动</w:t>
            </w:r>
          </w:p>
        </w:tc>
        <w:tc>
          <w:tcPr>
            <w:tcW w:w="482" w:type="dxa"/>
            <w:vAlign w:val="top"/>
          </w:tcPr>
          <w:p w14:paraId="3C3BED20">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06DE2BA8">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4</w:t>
            </w:r>
          </w:p>
        </w:tc>
        <w:tc>
          <w:tcPr>
            <w:tcW w:w="482" w:type="dxa"/>
            <w:vAlign w:val="top"/>
          </w:tcPr>
          <w:p w14:paraId="39730698">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次/</w:t>
            </w:r>
            <w:r>
              <w:t>年</w:t>
            </w:r>
          </w:p>
        </w:tc>
        <w:tc>
          <w:tcPr>
            <w:tcW w:w="1007" w:type="dxa"/>
            <w:vAlign w:val="top"/>
          </w:tcPr>
          <w:p w14:paraId="694034F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3593559C">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624BE85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16BEA93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0EB49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5F018EE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42BCA07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1453462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质量指标</w:t>
            </w:r>
          </w:p>
        </w:tc>
        <w:tc>
          <w:tcPr>
            <w:tcW w:w="2081" w:type="dxa"/>
            <w:vAlign w:val="top"/>
          </w:tcPr>
          <w:p w14:paraId="2FF2005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形成调研报告</w:t>
            </w:r>
          </w:p>
        </w:tc>
        <w:tc>
          <w:tcPr>
            <w:tcW w:w="482" w:type="dxa"/>
            <w:vAlign w:val="top"/>
          </w:tcPr>
          <w:p w14:paraId="044CE3BD">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定性</w:t>
            </w:r>
          </w:p>
        </w:tc>
        <w:tc>
          <w:tcPr>
            <w:tcW w:w="1544" w:type="dxa"/>
            <w:vAlign w:val="top"/>
          </w:tcPr>
          <w:p w14:paraId="71ED962A">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高质量</w:t>
            </w:r>
          </w:p>
        </w:tc>
        <w:tc>
          <w:tcPr>
            <w:tcW w:w="482" w:type="dxa"/>
            <w:vAlign w:val="top"/>
          </w:tcPr>
          <w:p w14:paraId="4CC4E4D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1BB7AD4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36DAEE7D">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2B31B77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4D97169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66A0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27EE36D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0F706A6F">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效益指标</w:t>
            </w:r>
          </w:p>
        </w:tc>
        <w:tc>
          <w:tcPr>
            <w:tcW w:w="1627" w:type="dxa"/>
            <w:vMerge w:val="restart"/>
            <w:tcBorders>
              <w:bottom w:val="nil"/>
            </w:tcBorders>
            <w:vAlign w:val="top"/>
          </w:tcPr>
          <w:p w14:paraId="4D4684F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社会效益指标</w:t>
            </w:r>
          </w:p>
        </w:tc>
        <w:tc>
          <w:tcPr>
            <w:tcW w:w="2081" w:type="dxa"/>
            <w:vAlign w:val="top"/>
          </w:tcPr>
          <w:p w14:paraId="0FDF4E3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活动完成率</w:t>
            </w:r>
          </w:p>
        </w:tc>
        <w:tc>
          <w:tcPr>
            <w:tcW w:w="482" w:type="dxa"/>
            <w:vAlign w:val="top"/>
          </w:tcPr>
          <w:p w14:paraId="40037C23">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365DCB88">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3F5520ED">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67582E3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53C3B24E">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2EAE814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0AED3C7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5E2AC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7E3281C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2C70E48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Merge w:val="continue"/>
            <w:tcBorders>
              <w:top w:val="nil"/>
            </w:tcBorders>
            <w:vAlign w:val="top"/>
          </w:tcPr>
          <w:p w14:paraId="20A0DB6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2E27C3B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提高活动质量</w:t>
            </w:r>
          </w:p>
        </w:tc>
        <w:tc>
          <w:tcPr>
            <w:tcW w:w="482" w:type="dxa"/>
            <w:vAlign w:val="top"/>
          </w:tcPr>
          <w:p w14:paraId="30E7FDDA">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定性</w:t>
            </w:r>
          </w:p>
        </w:tc>
        <w:tc>
          <w:tcPr>
            <w:tcW w:w="1544" w:type="dxa"/>
            <w:vAlign w:val="top"/>
          </w:tcPr>
          <w:p w14:paraId="21028DAE">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有效提高</w:t>
            </w:r>
          </w:p>
        </w:tc>
        <w:tc>
          <w:tcPr>
            <w:tcW w:w="482" w:type="dxa"/>
            <w:vAlign w:val="top"/>
          </w:tcPr>
          <w:p w14:paraId="4CCB14B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6859D27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78ED6C9D">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69AFA46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1A78D0C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4123A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6ACBA1C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1DACD35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满意度指标</w:t>
            </w:r>
          </w:p>
        </w:tc>
        <w:tc>
          <w:tcPr>
            <w:tcW w:w="1627" w:type="dxa"/>
            <w:vAlign w:val="top"/>
          </w:tcPr>
          <w:p w14:paraId="66EC33C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满意度指标</w:t>
            </w:r>
          </w:p>
        </w:tc>
        <w:tc>
          <w:tcPr>
            <w:tcW w:w="2081" w:type="dxa"/>
            <w:vAlign w:val="top"/>
          </w:tcPr>
          <w:p w14:paraId="1A9D8A9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群众满意度</w:t>
            </w:r>
          </w:p>
        </w:tc>
        <w:tc>
          <w:tcPr>
            <w:tcW w:w="482" w:type="dxa"/>
            <w:vAlign w:val="top"/>
          </w:tcPr>
          <w:p w14:paraId="66638795">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57969F56">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7E177106">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3B786FF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7DF0606E">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050F9CB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75D07C8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05462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75AE9F8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64ED28D1">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成本指标</w:t>
            </w:r>
          </w:p>
        </w:tc>
        <w:tc>
          <w:tcPr>
            <w:tcW w:w="1627" w:type="dxa"/>
            <w:vMerge w:val="restart"/>
            <w:tcBorders>
              <w:bottom w:val="nil"/>
            </w:tcBorders>
            <w:vAlign w:val="top"/>
          </w:tcPr>
          <w:p w14:paraId="3057F3F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经济成本指标</w:t>
            </w:r>
          </w:p>
        </w:tc>
        <w:tc>
          <w:tcPr>
            <w:tcW w:w="2081" w:type="dxa"/>
            <w:vAlign w:val="top"/>
          </w:tcPr>
          <w:p w14:paraId="171DD0A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预算执行率</w:t>
            </w:r>
          </w:p>
        </w:tc>
        <w:tc>
          <w:tcPr>
            <w:tcW w:w="482" w:type="dxa"/>
            <w:vAlign w:val="top"/>
          </w:tcPr>
          <w:p w14:paraId="2595E2F4">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2BAC3E37">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37E4D4A7">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15DAAFE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4FDF4CE6">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22EB53D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7BB6A32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393A5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tcBorders>
            <w:vAlign w:val="top"/>
          </w:tcPr>
          <w:p w14:paraId="5533DD6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798DA61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Merge w:val="continue"/>
            <w:tcBorders>
              <w:top w:val="nil"/>
            </w:tcBorders>
            <w:vAlign w:val="top"/>
          </w:tcPr>
          <w:p w14:paraId="0CD7C98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7D0ECB82">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活动成本</w:t>
            </w:r>
          </w:p>
        </w:tc>
        <w:tc>
          <w:tcPr>
            <w:tcW w:w="482" w:type="dxa"/>
            <w:vAlign w:val="top"/>
          </w:tcPr>
          <w:p w14:paraId="14CE1422">
            <w:pPr>
              <w:pStyle w:val="39"/>
              <w:pageBreakBefore w:val="0"/>
              <w:kinsoku/>
              <w:overflowPunct/>
              <w:topLinePunct w:val="0"/>
              <w:bidi w:val="0"/>
              <w:spacing w:beforeAutospacing="0" w:after="120" w:afterAutospacing="0" w:line="240" w:lineRule="auto"/>
              <w:ind w:left="0" w:leftChars="0" w:right="0" w:firstLine="522" w:firstLineChars="200"/>
              <w:textAlignment w:val="auto"/>
            </w:pPr>
            <w:r>
              <w:rPr>
                <w:spacing w:val="18"/>
                <w:w w:val="125"/>
                <w:position w:val="-2"/>
              </w:rPr>
              <w:t>=</w:t>
            </w:r>
          </w:p>
        </w:tc>
        <w:tc>
          <w:tcPr>
            <w:tcW w:w="1544" w:type="dxa"/>
            <w:vAlign w:val="top"/>
          </w:tcPr>
          <w:p w14:paraId="21B525B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4.7</w:t>
            </w:r>
          </w:p>
        </w:tc>
        <w:tc>
          <w:tcPr>
            <w:tcW w:w="482" w:type="dxa"/>
            <w:vAlign w:val="top"/>
          </w:tcPr>
          <w:p w14:paraId="3A03DFBB">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万元</w:t>
            </w:r>
          </w:p>
        </w:tc>
        <w:tc>
          <w:tcPr>
            <w:tcW w:w="1007" w:type="dxa"/>
            <w:vAlign w:val="top"/>
          </w:tcPr>
          <w:p w14:paraId="071AF96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54266B51">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3BA08A6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3835A8B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000B3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757" w:type="dxa"/>
            <w:gridSpan w:val="8"/>
            <w:vAlign w:val="top"/>
          </w:tcPr>
          <w:p w14:paraId="03C961B5">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合计</w:t>
            </w:r>
          </w:p>
        </w:tc>
        <w:tc>
          <w:tcPr>
            <w:tcW w:w="470" w:type="dxa"/>
            <w:vAlign w:val="top"/>
          </w:tcPr>
          <w:p w14:paraId="082FE73B">
            <w:pPr>
              <w:pStyle w:val="39"/>
              <w:pageBreakBefore w:val="0"/>
              <w:kinsoku/>
              <w:overflowPunct/>
              <w:topLinePunct w:val="0"/>
              <w:bidi w:val="0"/>
              <w:spacing w:beforeAutospacing="0" w:after="120" w:afterAutospacing="0" w:line="240" w:lineRule="auto"/>
              <w:ind w:left="0" w:leftChars="0" w:right="0" w:firstLine="332" w:firstLineChars="200"/>
              <w:textAlignment w:val="auto"/>
            </w:pPr>
            <w:r>
              <w:rPr>
                <w:spacing w:val="-7"/>
              </w:rPr>
              <w:t>100</w:t>
            </w:r>
          </w:p>
        </w:tc>
        <w:tc>
          <w:tcPr>
            <w:tcW w:w="414" w:type="dxa"/>
            <w:vAlign w:val="top"/>
          </w:tcPr>
          <w:p w14:paraId="4743407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634D0C4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35CA6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9" w:hRule="atLeast"/>
        </w:trPr>
        <w:tc>
          <w:tcPr>
            <w:tcW w:w="645" w:type="dxa"/>
            <w:vAlign w:val="top"/>
          </w:tcPr>
          <w:p w14:paraId="2A7094C6">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评价结</w:t>
            </w:r>
            <w:r>
              <w:t>论</w:t>
            </w:r>
          </w:p>
        </w:tc>
        <w:tc>
          <w:tcPr>
            <w:tcW w:w="12350" w:type="dxa"/>
            <w:gridSpan w:val="10"/>
            <w:vAlign w:val="top"/>
          </w:tcPr>
          <w:p w14:paraId="65DF9DD5">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说明项目自评总分</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说明项目实施取得的成效或成</w:t>
            </w:r>
            <w:r>
              <w:rPr>
                <w:rFonts w:ascii="微软雅黑" w:hAnsi="微软雅黑" w:eastAsia="微软雅黑" w:cs="微软雅黑"/>
                <w:i/>
                <w:iCs/>
                <w:spacing w:val="1"/>
                <w:sz w:val="16"/>
                <w:szCs w:val="16"/>
              </w:rPr>
              <w:t>果</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1"/>
                <w:sz w:val="16"/>
                <w:szCs w:val="16"/>
              </w:rPr>
              <w:t>。</w:t>
            </w:r>
            <w:r>
              <w:rPr>
                <w:rFonts w:ascii="微软雅黑" w:hAnsi="微软雅黑" w:eastAsia="微软雅黑" w:cs="微软雅黑"/>
                <w:spacing w:val="1"/>
                <w:sz w:val="16"/>
                <w:szCs w:val="16"/>
              </w:rPr>
              <w:t xml:space="preserve"> </w:t>
            </w:r>
            <w:r>
              <w:rPr>
                <w:rFonts w:ascii="微软雅黑" w:hAnsi="微软雅黑" w:eastAsia="微软雅黑" w:cs="微软雅黑"/>
                <w:i/>
                <w:iCs/>
                <w:spacing w:val="1"/>
                <w:sz w:val="16"/>
                <w:szCs w:val="16"/>
              </w:rPr>
              <w:t>（20字以内</w:t>
            </w:r>
            <w:r>
              <w:rPr>
                <w:rFonts w:ascii="微软雅黑" w:hAnsi="微软雅黑" w:eastAsia="微软雅黑" w:cs="微软雅黑"/>
                <w:spacing w:val="-17"/>
                <w:sz w:val="16"/>
                <w:szCs w:val="16"/>
              </w:rPr>
              <w:t xml:space="preserve"> </w:t>
            </w:r>
            <w:r>
              <w:rPr>
                <w:rFonts w:ascii="微软雅黑" w:hAnsi="微软雅黑" w:eastAsia="微软雅黑" w:cs="微软雅黑"/>
                <w:i/>
                <w:iCs/>
                <w:spacing w:val="1"/>
                <w:sz w:val="16"/>
                <w:szCs w:val="16"/>
              </w:rPr>
              <w:t>）</w:t>
            </w:r>
          </w:p>
        </w:tc>
      </w:tr>
      <w:tr w14:paraId="2914E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645" w:type="dxa"/>
            <w:vAlign w:val="top"/>
          </w:tcPr>
          <w:p w14:paraId="4FEFE0B3">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存在问</w:t>
            </w:r>
            <w:r>
              <w:t>题</w:t>
            </w:r>
          </w:p>
        </w:tc>
        <w:tc>
          <w:tcPr>
            <w:tcW w:w="12350" w:type="dxa"/>
            <w:gridSpan w:val="10"/>
            <w:vAlign w:val="top"/>
          </w:tcPr>
          <w:p w14:paraId="62DD94B6">
            <w:pPr>
              <w:pageBreakBefore w:val="0"/>
              <w:kinsoku/>
              <w:overflowPunct/>
              <w:topLinePunct w:val="0"/>
              <w:bidi w:val="0"/>
              <w:spacing w:beforeAutospacing="0" w:after="120" w:afterAutospacing="0" w:line="240" w:lineRule="auto"/>
              <w:ind w:left="0" w:leftChars="0" w:right="0" w:firstLine="332"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3"/>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分析存在的问题及原因</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（20字以内</w:t>
            </w:r>
            <w:r>
              <w:rPr>
                <w:rFonts w:ascii="微软雅黑" w:hAnsi="微软雅黑" w:eastAsia="微软雅黑" w:cs="微软雅黑"/>
                <w:spacing w:val="-18"/>
                <w:sz w:val="16"/>
                <w:szCs w:val="16"/>
              </w:rPr>
              <w:t xml:space="preserve"> </w:t>
            </w:r>
            <w:r>
              <w:rPr>
                <w:rFonts w:ascii="微软雅黑" w:hAnsi="微软雅黑" w:eastAsia="微软雅黑" w:cs="微软雅黑"/>
                <w:i/>
                <w:iCs/>
                <w:spacing w:val="3"/>
                <w:sz w:val="16"/>
                <w:szCs w:val="16"/>
              </w:rPr>
              <w:t>）</w:t>
            </w:r>
          </w:p>
        </w:tc>
      </w:tr>
      <w:tr w14:paraId="69966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0" w:hRule="atLeast"/>
        </w:trPr>
        <w:tc>
          <w:tcPr>
            <w:tcW w:w="645" w:type="dxa"/>
            <w:vAlign w:val="top"/>
          </w:tcPr>
          <w:p w14:paraId="1FAFDA7D">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改进措</w:t>
            </w:r>
            <w:r>
              <w:t>施</w:t>
            </w:r>
          </w:p>
        </w:tc>
        <w:tc>
          <w:tcPr>
            <w:tcW w:w="12350" w:type="dxa"/>
            <w:gridSpan w:val="10"/>
            <w:vAlign w:val="top"/>
          </w:tcPr>
          <w:p w14:paraId="3F70D86A">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针对项目自评中发现的问题</w:t>
            </w:r>
            <w:r>
              <w:rPr>
                <w:rFonts w:ascii="微软雅黑" w:hAnsi="微软雅黑" w:eastAsia="微软雅黑" w:cs="微软雅黑"/>
                <w:spacing w:val="4"/>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提出下一步改进完善的意见及有关政策性建议</w:t>
            </w:r>
            <w:r>
              <w:rPr>
                <w:rFonts w:ascii="微软雅黑" w:hAnsi="微软雅黑" w:eastAsia="微软雅黑" w:cs="微软雅黑"/>
                <w:spacing w:val="-25"/>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（20字以内</w:t>
            </w:r>
            <w:r>
              <w:rPr>
                <w:rFonts w:ascii="微软雅黑" w:hAnsi="微软雅黑" w:eastAsia="微软雅黑" w:cs="微软雅黑"/>
                <w:spacing w:val="-20"/>
                <w:sz w:val="16"/>
                <w:szCs w:val="16"/>
              </w:rPr>
              <w:t xml:space="preserve"> </w:t>
            </w:r>
            <w:r>
              <w:rPr>
                <w:rFonts w:ascii="微软雅黑" w:hAnsi="微软雅黑" w:eastAsia="微软雅黑" w:cs="微软雅黑"/>
                <w:i/>
                <w:iCs/>
                <w:spacing w:val="2"/>
                <w:sz w:val="16"/>
                <w:szCs w:val="16"/>
              </w:rPr>
              <w:t>）</w:t>
            </w:r>
          </w:p>
        </w:tc>
      </w:tr>
      <w:tr w14:paraId="4B41E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0" w:hRule="atLeast"/>
        </w:trPr>
        <w:tc>
          <w:tcPr>
            <w:tcW w:w="6724" w:type="dxa"/>
            <w:gridSpan w:val="5"/>
            <w:vAlign w:val="top"/>
          </w:tcPr>
          <w:p w14:paraId="49E6DD4E">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项目负责人：</w:t>
            </w:r>
          </w:p>
        </w:tc>
        <w:tc>
          <w:tcPr>
            <w:tcW w:w="6271" w:type="dxa"/>
            <w:gridSpan w:val="6"/>
            <w:vAlign w:val="top"/>
          </w:tcPr>
          <w:p w14:paraId="59EAE629">
            <w:pPr>
              <w:pageBreakBefore w:val="0"/>
              <w:kinsoku/>
              <w:overflowPunct/>
              <w:topLinePunct w:val="0"/>
              <w:bidi w:val="0"/>
              <w:spacing w:beforeAutospacing="0" w:after="120" w:afterAutospacing="0" w:line="240" w:lineRule="auto"/>
              <w:ind w:left="0" w:leftChars="0" w:right="0" w:firstLine="356" w:firstLineChars="200"/>
              <w:textAlignment w:val="auto"/>
              <w:rPr>
                <w:rFonts w:ascii="黑体" w:hAnsi="黑体" w:eastAsia="黑体" w:cs="黑体"/>
                <w:sz w:val="18"/>
                <w:szCs w:val="18"/>
              </w:rPr>
            </w:pPr>
            <w:r>
              <w:rPr>
                <w:rFonts w:ascii="黑体" w:hAnsi="黑体" w:eastAsia="黑体" w:cs="黑体"/>
                <w:spacing w:val="-1"/>
                <w:sz w:val="18"/>
                <w:szCs w:val="18"/>
              </w:rPr>
              <w:t>财务负责人：</w:t>
            </w:r>
          </w:p>
        </w:tc>
      </w:tr>
      <w:tr w14:paraId="1E67E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1" w:hRule="atLeast"/>
        </w:trPr>
        <w:tc>
          <w:tcPr>
            <w:tcW w:w="12995" w:type="dxa"/>
            <w:gridSpan w:val="11"/>
            <w:vAlign w:val="top"/>
          </w:tcPr>
          <w:p w14:paraId="0AF03370">
            <w:pPr>
              <w:pageBreakBefore w:val="0"/>
              <w:kinsoku/>
              <w:overflowPunct/>
              <w:topLinePunct w:val="0"/>
              <w:bidi w:val="0"/>
              <w:spacing w:beforeAutospacing="0" w:after="120" w:afterAutospacing="0" w:line="240" w:lineRule="auto"/>
              <w:ind w:left="0" w:leftChars="0" w:right="0" w:firstLine="602" w:firstLineChars="200"/>
              <w:textAlignment w:val="auto"/>
              <w:rPr>
                <w:rFonts w:ascii="黑体" w:hAnsi="黑体" w:eastAsia="黑体" w:cs="黑体"/>
                <w:sz w:val="30"/>
                <w:szCs w:val="30"/>
              </w:rPr>
            </w:pPr>
            <w:r>
              <w:rPr>
                <w:rFonts w:ascii="黑体" w:hAnsi="黑体" w:eastAsia="黑体" w:cs="黑体"/>
                <w:b/>
                <w:bCs/>
                <w:sz w:val="30"/>
                <w:szCs w:val="30"/>
              </w:rPr>
              <w:t>部门预算项目支出绩效自评表（2025年度）</w:t>
            </w:r>
          </w:p>
        </w:tc>
      </w:tr>
      <w:tr w14:paraId="11CED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2534" w:type="dxa"/>
            <w:gridSpan w:val="2"/>
            <w:vAlign w:val="top"/>
          </w:tcPr>
          <w:p w14:paraId="03F6C031">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项目名称</w:t>
            </w:r>
          </w:p>
        </w:tc>
        <w:tc>
          <w:tcPr>
            <w:tcW w:w="10461" w:type="dxa"/>
            <w:gridSpan w:val="9"/>
            <w:vAlign w:val="top"/>
          </w:tcPr>
          <w:p w14:paraId="5D2B1D24">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51323321T000000107666-人大主席团工作经费</w:t>
            </w:r>
          </w:p>
        </w:tc>
      </w:tr>
      <w:tr w14:paraId="426A3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2534" w:type="dxa"/>
            <w:gridSpan w:val="2"/>
            <w:vAlign w:val="top"/>
          </w:tcPr>
          <w:p w14:paraId="43C34162">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主管部门</w:t>
            </w:r>
          </w:p>
        </w:tc>
        <w:tc>
          <w:tcPr>
            <w:tcW w:w="6216" w:type="dxa"/>
            <w:gridSpan w:val="5"/>
            <w:vAlign w:val="top"/>
          </w:tcPr>
          <w:p w14:paraId="0EEEFD4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红原县阿木乡人民政府</w:t>
            </w:r>
          </w:p>
        </w:tc>
        <w:tc>
          <w:tcPr>
            <w:tcW w:w="1007" w:type="dxa"/>
            <w:vAlign w:val="top"/>
          </w:tcPr>
          <w:p w14:paraId="3CA590F4">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spacing w:val="-2"/>
                <w:sz w:val="18"/>
                <w:szCs w:val="18"/>
              </w:rPr>
              <w:t>实施单位</w:t>
            </w:r>
          </w:p>
          <w:p w14:paraId="1DFD6579">
            <w:pPr>
              <w:pageBreakBefore w:val="0"/>
              <w:kinsoku/>
              <w:overflowPunct/>
              <w:topLinePunct w:val="0"/>
              <w:bidi w:val="0"/>
              <w:spacing w:beforeAutospacing="0" w:after="120" w:afterAutospacing="0" w:line="240" w:lineRule="auto"/>
              <w:ind w:left="0" w:leftChars="0" w:right="0" w:firstLine="336" w:firstLineChars="200"/>
              <w:textAlignment w:val="auto"/>
              <w:rPr>
                <w:rFonts w:ascii="黑体" w:hAnsi="黑体" w:eastAsia="黑体" w:cs="黑体"/>
                <w:sz w:val="18"/>
                <w:szCs w:val="18"/>
              </w:rPr>
            </w:pPr>
            <w:r>
              <w:rPr>
                <w:rFonts w:ascii="黑体" w:hAnsi="黑体" w:eastAsia="黑体" w:cs="黑体"/>
                <w:spacing w:val="-6"/>
                <w:sz w:val="18"/>
                <w:szCs w:val="18"/>
              </w:rPr>
              <w:t>（盖章）</w:t>
            </w:r>
          </w:p>
        </w:tc>
        <w:tc>
          <w:tcPr>
            <w:tcW w:w="3238" w:type="dxa"/>
            <w:gridSpan w:val="3"/>
            <w:vAlign w:val="top"/>
          </w:tcPr>
          <w:p w14:paraId="1944C93D">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红原县阿木乡机关</w:t>
            </w:r>
          </w:p>
        </w:tc>
      </w:tr>
      <w:tr w14:paraId="04941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645" w:type="dxa"/>
            <w:vMerge w:val="restart"/>
            <w:tcBorders>
              <w:bottom w:val="nil"/>
            </w:tcBorders>
            <w:vAlign w:val="top"/>
          </w:tcPr>
          <w:p w14:paraId="6AE70E3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5351DB6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68AC1731">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项目基</w:t>
            </w:r>
            <w:r>
              <w:rPr>
                <w:spacing w:val="-3"/>
              </w:rPr>
              <w:t>本情况</w:t>
            </w:r>
          </w:p>
        </w:tc>
        <w:tc>
          <w:tcPr>
            <w:tcW w:w="1889" w:type="dxa"/>
            <w:vMerge w:val="restart"/>
            <w:tcBorders>
              <w:bottom w:val="nil"/>
            </w:tcBorders>
            <w:vAlign w:val="top"/>
          </w:tcPr>
          <w:p w14:paraId="3DF1292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1.项目年度目标完成情</w:t>
            </w:r>
            <w:r>
              <w:t>况</w:t>
            </w:r>
          </w:p>
        </w:tc>
        <w:tc>
          <w:tcPr>
            <w:tcW w:w="6216" w:type="dxa"/>
            <w:gridSpan w:val="5"/>
            <w:vAlign w:val="top"/>
          </w:tcPr>
          <w:p w14:paraId="78A72E2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项目年度目标</w:t>
            </w:r>
          </w:p>
        </w:tc>
        <w:tc>
          <w:tcPr>
            <w:tcW w:w="4245" w:type="dxa"/>
            <w:gridSpan w:val="4"/>
            <w:vAlign w:val="top"/>
          </w:tcPr>
          <w:p w14:paraId="0417EDA0">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年度目标完成情况</w:t>
            </w:r>
          </w:p>
        </w:tc>
      </w:tr>
      <w:tr w14:paraId="53B0A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4" w:hRule="atLeast"/>
        </w:trPr>
        <w:tc>
          <w:tcPr>
            <w:tcW w:w="645" w:type="dxa"/>
            <w:vMerge w:val="continue"/>
            <w:tcBorders>
              <w:top w:val="nil"/>
              <w:bottom w:val="nil"/>
            </w:tcBorders>
            <w:vAlign w:val="top"/>
          </w:tcPr>
          <w:p w14:paraId="7CBC774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39B4426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6216" w:type="dxa"/>
            <w:gridSpan w:val="5"/>
            <w:vAlign w:val="top"/>
          </w:tcPr>
          <w:p w14:paraId="49EA2871">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人大主席团工作经费</w:t>
            </w:r>
          </w:p>
        </w:tc>
        <w:tc>
          <w:tcPr>
            <w:tcW w:w="4245" w:type="dxa"/>
            <w:gridSpan w:val="4"/>
            <w:vAlign w:val="top"/>
          </w:tcPr>
          <w:p w14:paraId="0EE48235">
            <w:pPr>
              <w:pageBreakBefore w:val="0"/>
              <w:kinsoku/>
              <w:overflowPunct/>
              <w:topLinePunct w:val="0"/>
              <w:bidi w:val="0"/>
              <w:spacing w:beforeAutospacing="0" w:after="120" w:afterAutospacing="0" w:line="240" w:lineRule="auto"/>
              <w:ind w:left="0" w:leftChars="0" w:right="0" w:firstLine="364" w:firstLineChars="200"/>
              <w:textAlignment w:val="auto"/>
              <w:rPr>
                <w:rFonts w:ascii="黑体" w:hAnsi="黑体" w:eastAsia="黑体" w:cs="黑体"/>
                <w:sz w:val="18"/>
                <w:szCs w:val="18"/>
              </w:rPr>
            </w:pPr>
            <w:r>
              <w:rPr>
                <w:rFonts w:ascii="黑体" w:hAnsi="黑体" w:eastAsia="黑体" w:cs="黑体"/>
                <w:spacing w:val="1"/>
                <w:sz w:val="18"/>
                <w:szCs w:val="18"/>
              </w:rPr>
              <w:t>对照年度目标，说明相关任务目标的完成情况（100</w:t>
            </w:r>
            <w:r>
              <w:rPr>
                <w:rFonts w:ascii="黑体" w:hAnsi="黑体" w:eastAsia="黑体" w:cs="黑体"/>
                <w:spacing w:val="-3"/>
                <w:sz w:val="18"/>
                <w:szCs w:val="18"/>
              </w:rPr>
              <w:t>字以内）</w:t>
            </w:r>
          </w:p>
        </w:tc>
      </w:tr>
      <w:tr w14:paraId="11681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645" w:type="dxa"/>
            <w:vMerge w:val="continue"/>
            <w:tcBorders>
              <w:top w:val="nil"/>
            </w:tcBorders>
            <w:vAlign w:val="top"/>
          </w:tcPr>
          <w:p w14:paraId="40763E5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51A9C7DE">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2.项目实施内容及过程</w:t>
            </w:r>
            <w:r>
              <w:rPr>
                <w:spacing w:val="-4"/>
              </w:rPr>
              <w:t>概述</w:t>
            </w:r>
          </w:p>
        </w:tc>
        <w:tc>
          <w:tcPr>
            <w:tcW w:w="10461" w:type="dxa"/>
            <w:gridSpan w:val="9"/>
            <w:vAlign w:val="top"/>
          </w:tcPr>
          <w:p w14:paraId="5F231A2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11DE8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45" w:type="dxa"/>
            <w:vMerge w:val="restart"/>
            <w:tcBorders>
              <w:bottom w:val="nil"/>
            </w:tcBorders>
            <w:vAlign w:val="top"/>
          </w:tcPr>
          <w:p w14:paraId="0BE9EA9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27ABE7C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4A2F8DFE">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预算执</w:t>
            </w:r>
          </w:p>
          <w:p w14:paraId="4273F259">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行情况</w:t>
            </w:r>
          </w:p>
          <w:p w14:paraId="366D977C">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（10分</w:t>
            </w:r>
            <w:r>
              <w:rPr>
                <w:spacing w:val="1"/>
              </w:rPr>
              <w:t xml:space="preserve"> </w:t>
            </w:r>
            <w:r>
              <w:t>)</w:t>
            </w:r>
          </w:p>
        </w:tc>
        <w:tc>
          <w:tcPr>
            <w:tcW w:w="1889" w:type="dxa"/>
            <w:vAlign w:val="top"/>
          </w:tcPr>
          <w:p w14:paraId="138399D3">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年度预算数（万元）</w:t>
            </w:r>
          </w:p>
        </w:tc>
        <w:tc>
          <w:tcPr>
            <w:tcW w:w="1627" w:type="dxa"/>
            <w:vAlign w:val="top"/>
          </w:tcPr>
          <w:p w14:paraId="365D94DD">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年初预算</w:t>
            </w:r>
          </w:p>
        </w:tc>
        <w:tc>
          <w:tcPr>
            <w:tcW w:w="2081" w:type="dxa"/>
            <w:vAlign w:val="top"/>
          </w:tcPr>
          <w:p w14:paraId="05C8414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调整后预算数</w:t>
            </w:r>
          </w:p>
        </w:tc>
        <w:tc>
          <w:tcPr>
            <w:tcW w:w="2508" w:type="dxa"/>
            <w:gridSpan w:val="3"/>
            <w:vAlign w:val="top"/>
          </w:tcPr>
          <w:p w14:paraId="2642393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预算执行数</w:t>
            </w:r>
          </w:p>
        </w:tc>
        <w:tc>
          <w:tcPr>
            <w:tcW w:w="1007" w:type="dxa"/>
            <w:vAlign w:val="top"/>
          </w:tcPr>
          <w:p w14:paraId="4B8C9ED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预算执行率</w:t>
            </w:r>
          </w:p>
        </w:tc>
        <w:tc>
          <w:tcPr>
            <w:tcW w:w="470" w:type="dxa"/>
            <w:vAlign w:val="top"/>
          </w:tcPr>
          <w:p w14:paraId="5F3C2355">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textDirection w:val="tbRlV"/>
            <w:vAlign w:val="top"/>
          </w:tcPr>
          <w:p w14:paraId="7E368A5D">
            <w:pPr>
              <w:pStyle w:val="39"/>
              <w:pageBreakBefore w:val="0"/>
              <w:kinsoku/>
              <w:overflowPunct/>
              <w:topLinePunct w:val="0"/>
              <w:bidi w:val="0"/>
              <w:spacing w:beforeAutospacing="0" w:after="120" w:afterAutospacing="0" w:line="240" w:lineRule="auto"/>
              <w:ind w:left="0" w:leftChars="0" w:right="0" w:firstLine="276" w:firstLineChars="200"/>
              <w:jc w:val="right"/>
              <w:textAlignment w:val="auto"/>
            </w:pPr>
            <w:r>
              <w:rPr>
                <w:spacing w:val="-18"/>
                <w:w w:val="97"/>
              </w:rPr>
              <w:t>得</w:t>
            </w:r>
            <w:r>
              <w:rPr>
                <w:spacing w:val="-8"/>
                <w:w w:val="97"/>
              </w:rPr>
              <w:t>分</w:t>
            </w:r>
          </w:p>
        </w:tc>
        <w:tc>
          <w:tcPr>
            <w:tcW w:w="2354" w:type="dxa"/>
            <w:vAlign w:val="top"/>
          </w:tcPr>
          <w:p w14:paraId="5698DC61">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原因</w:t>
            </w:r>
          </w:p>
        </w:tc>
      </w:tr>
      <w:tr w14:paraId="62699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645" w:type="dxa"/>
            <w:vMerge w:val="continue"/>
            <w:tcBorders>
              <w:top w:val="nil"/>
              <w:bottom w:val="nil"/>
            </w:tcBorders>
            <w:vAlign w:val="top"/>
          </w:tcPr>
          <w:p w14:paraId="3795E3D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4F1E07F4">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总额</w:t>
            </w:r>
          </w:p>
        </w:tc>
        <w:tc>
          <w:tcPr>
            <w:tcW w:w="1627" w:type="dxa"/>
            <w:vAlign w:val="top"/>
          </w:tcPr>
          <w:p w14:paraId="139DD1DD">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1.00</w:t>
            </w:r>
          </w:p>
        </w:tc>
        <w:tc>
          <w:tcPr>
            <w:tcW w:w="2081" w:type="dxa"/>
            <w:vAlign w:val="top"/>
          </w:tcPr>
          <w:p w14:paraId="4EDD67CA">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1.00</w:t>
            </w:r>
          </w:p>
        </w:tc>
        <w:tc>
          <w:tcPr>
            <w:tcW w:w="2508" w:type="dxa"/>
            <w:gridSpan w:val="3"/>
            <w:vAlign w:val="top"/>
          </w:tcPr>
          <w:p w14:paraId="1EB2C4B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0.96</w:t>
            </w:r>
          </w:p>
        </w:tc>
        <w:tc>
          <w:tcPr>
            <w:tcW w:w="1007" w:type="dxa"/>
            <w:vAlign w:val="top"/>
          </w:tcPr>
          <w:p w14:paraId="0B5C4E6C">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96.32%</w:t>
            </w:r>
          </w:p>
        </w:tc>
        <w:tc>
          <w:tcPr>
            <w:tcW w:w="470" w:type="dxa"/>
            <w:vAlign w:val="top"/>
          </w:tcPr>
          <w:p w14:paraId="33799045">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5C01A37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Merge w:val="restart"/>
            <w:tcBorders>
              <w:bottom w:val="nil"/>
            </w:tcBorders>
            <w:vAlign w:val="top"/>
          </w:tcPr>
          <w:p w14:paraId="5A604C67">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i/>
                <w:iCs/>
                <w:sz w:val="18"/>
                <w:szCs w:val="18"/>
              </w:rPr>
              <w:t>1.预算执行率=预算执行数/</w:t>
            </w:r>
            <w:r>
              <w:rPr>
                <w:rFonts w:ascii="黑体" w:hAnsi="黑体" w:eastAsia="黑体" w:cs="黑体"/>
                <w:i/>
                <w:iCs/>
                <w:spacing w:val="1"/>
                <w:sz w:val="18"/>
                <w:szCs w:val="18"/>
              </w:rPr>
              <w:t>调整后预算数，</w:t>
            </w:r>
            <w:r>
              <w:rPr>
                <w:rFonts w:ascii="黑体" w:hAnsi="黑体" w:eastAsia="黑体" w:cs="黑体"/>
                <w:spacing w:val="-29"/>
                <w:sz w:val="18"/>
                <w:szCs w:val="18"/>
              </w:rPr>
              <w:t xml:space="preserve"> </w:t>
            </w:r>
            <w:r>
              <w:rPr>
                <w:rFonts w:ascii="黑体" w:hAnsi="黑体" w:eastAsia="黑体" w:cs="黑体"/>
                <w:i/>
                <w:iCs/>
                <w:spacing w:val="1"/>
                <w:sz w:val="18"/>
                <w:szCs w:val="18"/>
              </w:rPr>
              <w:t>预算执行率未达到90%的需说明原因</w:t>
            </w:r>
          </w:p>
          <w:p w14:paraId="53A9DA3E">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i/>
                <w:iCs/>
                <w:spacing w:val="-2"/>
                <w:sz w:val="18"/>
                <w:szCs w:val="18"/>
              </w:rPr>
              <w:t>（100字以内）</w:t>
            </w:r>
            <w:r>
              <w:rPr>
                <w:rFonts w:ascii="黑体" w:hAnsi="黑体" w:eastAsia="黑体" w:cs="黑体"/>
                <w:spacing w:val="-26"/>
                <w:sz w:val="18"/>
                <w:szCs w:val="18"/>
              </w:rPr>
              <w:t xml:space="preserve"> </w:t>
            </w:r>
            <w:r>
              <w:rPr>
                <w:rFonts w:ascii="黑体" w:hAnsi="黑体" w:eastAsia="黑体" w:cs="黑体"/>
                <w:i/>
                <w:iCs/>
                <w:spacing w:val="-2"/>
                <w:sz w:val="18"/>
                <w:szCs w:val="18"/>
              </w:rPr>
              <w:t>;2.年中发生</w:t>
            </w:r>
            <w:r>
              <w:rPr>
                <w:rFonts w:ascii="黑体" w:hAnsi="黑体" w:eastAsia="黑体" w:cs="黑体"/>
                <w:i/>
                <w:iCs/>
                <w:spacing w:val="6"/>
                <w:sz w:val="18"/>
                <w:szCs w:val="18"/>
              </w:rPr>
              <w:t>预算调整的（追加或调</w:t>
            </w:r>
          </w:p>
          <w:p w14:paraId="24D11034">
            <w:pPr>
              <w:pageBreakBefore w:val="0"/>
              <w:kinsoku/>
              <w:overflowPunct/>
              <w:topLinePunct w:val="0"/>
              <w:bidi w:val="0"/>
              <w:spacing w:beforeAutospacing="0" w:after="120" w:afterAutospacing="0" w:line="240" w:lineRule="auto"/>
              <w:ind w:left="0" w:leftChars="0" w:right="0" w:firstLine="348" w:firstLineChars="200"/>
              <w:textAlignment w:val="auto"/>
              <w:rPr>
                <w:rFonts w:ascii="黑体" w:hAnsi="黑体" w:eastAsia="黑体" w:cs="黑体"/>
                <w:sz w:val="18"/>
                <w:szCs w:val="18"/>
              </w:rPr>
            </w:pPr>
            <w:r>
              <w:rPr>
                <w:rFonts w:ascii="黑体" w:hAnsi="黑体" w:eastAsia="黑体" w:cs="黑体"/>
                <w:i/>
                <w:iCs/>
                <w:spacing w:val="-3"/>
                <w:sz w:val="18"/>
                <w:szCs w:val="18"/>
              </w:rPr>
              <w:t>减</w:t>
            </w:r>
            <w:r>
              <w:rPr>
                <w:rFonts w:ascii="黑体" w:hAnsi="黑体" w:eastAsia="黑体" w:cs="黑体"/>
                <w:spacing w:val="-41"/>
                <w:sz w:val="18"/>
                <w:szCs w:val="18"/>
              </w:rPr>
              <w:t xml:space="preserve"> </w:t>
            </w:r>
            <w:r>
              <w:rPr>
                <w:rFonts w:ascii="黑体" w:hAnsi="黑体" w:eastAsia="黑体" w:cs="黑体"/>
                <w:i/>
                <w:iCs/>
                <w:spacing w:val="-3"/>
                <w:sz w:val="18"/>
                <w:szCs w:val="18"/>
              </w:rPr>
              <w:t>）,应单独说明理由</w:t>
            </w:r>
            <w:r>
              <w:rPr>
                <w:rFonts w:ascii="黑体" w:hAnsi="黑体" w:eastAsia="黑体" w:cs="黑体"/>
                <w:spacing w:val="-46"/>
                <w:sz w:val="18"/>
                <w:szCs w:val="18"/>
              </w:rPr>
              <w:t xml:space="preserve"> </w:t>
            </w:r>
            <w:r>
              <w:rPr>
                <w:rFonts w:ascii="黑体" w:hAnsi="黑体" w:eastAsia="黑体" w:cs="黑体"/>
                <w:i/>
                <w:iCs/>
                <w:spacing w:val="-3"/>
                <w:sz w:val="18"/>
                <w:szCs w:val="18"/>
              </w:rPr>
              <w:t>；3.</w:t>
            </w:r>
            <w:r>
              <w:rPr>
                <w:rFonts w:ascii="黑体" w:hAnsi="黑体" w:eastAsia="黑体" w:cs="黑体"/>
                <w:i/>
                <w:iCs/>
                <w:spacing w:val="1"/>
                <w:sz w:val="18"/>
                <w:szCs w:val="18"/>
              </w:rPr>
              <w:t>其他资金包括</w:t>
            </w:r>
            <w:r>
              <w:rPr>
                <w:rFonts w:ascii="黑体" w:hAnsi="黑体" w:eastAsia="黑体" w:cs="黑体"/>
                <w:spacing w:val="-31"/>
                <w:sz w:val="18"/>
                <w:szCs w:val="18"/>
              </w:rPr>
              <w:t xml:space="preserve"> </w:t>
            </w:r>
            <w:r>
              <w:rPr>
                <w:rFonts w:ascii="黑体" w:hAnsi="黑体" w:eastAsia="黑体" w:cs="黑体"/>
                <w:i/>
                <w:iCs/>
                <w:spacing w:val="1"/>
                <w:sz w:val="18"/>
                <w:szCs w:val="18"/>
              </w:rPr>
              <w:t>：社会投入资</w:t>
            </w:r>
            <w:r>
              <w:rPr>
                <w:rFonts w:ascii="黑体" w:hAnsi="黑体" w:eastAsia="黑体" w:cs="黑体"/>
                <w:i/>
                <w:iCs/>
                <w:spacing w:val="-4"/>
                <w:sz w:val="18"/>
                <w:szCs w:val="18"/>
              </w:rPr>
              <w:t>金</w:t>
            </w:r>
            <w:r>
              <w:rPr>
                <w:rFonts w:ascii="黑体" w:hAnsi="黑体" w:eastAsia="黑体" w:cs="黑体"/>
                <w:spacing w:val="-50"/>
                <w:sz w:val="18"/>
                <w:szCs w:val="18"/>
              </w:rPr>
              <w:t xml:space="preserve"> </w:t>
            </w:r>
            <w:r>
              <w:rPr>
                <w:rFonts w:ascii="黑体" w:hAnsi="黑体" w:eastAsia="黑体" w:cs="黑体"/>
                <w:i/>
                <w:iCs/>
                <w:spacing w:val="-4"/>
                <w:sz w:val="18"/>
                <w:szCs w:val="18"/>
              </w:rPr>
              <w:t>、</w:t>
            </w:r>
            <w:r>
              <w:rPr>
                <w:rFonts w:ascii="黑体" w:hAnsi="黑体" w:eastAsia="黑体" w:cs="黑体"/>
                <w:spacing w:val="-42"/>
                <w:sz w:val="18"/>
                <w:szCs w:val="18"/>
              </w:rPr>
              <w:t xml:space="preserve"> </w:t>
            </w:r>
            <w:r>
              <w:rPr>
                <w:rFonts w:ascii="黑体" w:hAnsi="黑体" w:eastAsia="黑体" w:cs="黑体"/>
                <w:i/>
                <w:iCs/>
                <w:spacing w:val="-4"/>
                <w:sz w:val="18"/>
                <w:szCs w:val="18"/>
              </w:rPr>
              <w:t>银行贷款.</w:t>
            </w:r>
          </w:p>
        </w:tc>
      </w:tr>
      <w:tr w14:paraId="5B030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645" w:type="dxa"/>
            <w:vMerge w:val="continue"/>
            <w:tcBorders>
              <w:top w:val="nil"/>
              <w:bottom w:val="nil"/>
            </w:tcBorders>
            <w:vAlign w:val="top"/>
          </w:tcPr>
          <w:p w14:paraId="263ED87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3436A3B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其中：财政资金</w:t>
            </w:r>
          </w:p>
        </w:tc>
        <w:tc>
          <w:tcPr>
            <w:tcW w:w="1627" w:type="dxa"/>
            <w:vAlign w:val="top"/>
          </w:tcPr>
          <w:p w14:paraId="73F68096">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1.00</w:t>
            </w:r>
          </w:p>
        </w:tc>
        <w:tc>
          <w:tcPr>
            <w:tcW w:w="2081" w:type="dxa"/>
            <w:vAlign w:val="top"/>
          </w:tcPr>
          <w:p w14:paraId="751A03C2">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1.00</w:t>
            </w:r>
          </w:p>
        </w:tc>
        <w:tc>
          <w:tcPr>
            <w:tcW w:w="2508" w:type="dxa"/>
            <w:gridSpan w:val="3"/>
            <w:vAlign w:val="top"/>
          </w:tcPr>
          <w:p w14:paraId="3EB800D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0.96</w:t>
            </w:r>
          </w:p>
        </w:tc>
        <w:tc>
          <w:tcPr>
            <w:tcW w:w="1007" w:type="dxa"/>
            <w:vAlign w:val="top"/>
          </w:tcPr>
          <w:p w14:paraId="2679AE9A">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96.32%</w:t>
            </w:r>
          </w:p>
        </w:tc>
        <w:tc>
          <w:tcPr>
            <w:tcW w:w="470" w:type="dxa"/>
            <w:vAlign w:val="top"/>
          </w:tcPr>
          <w:p w14:paraId="0BDAD7B3">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61C4722E">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391A0D9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29787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645" w:type="dxa"/>
            <w:vMerge w:val="continue"/>
            <w:tcBorders>
              <w:top w:val="nil"/>
              <w:bottom w:val="nil"/>
            </w:tcBorders>
            <w:vAlign w:val="top"/>
          </w:tcPr>
          <w:p w14:paraId="53371AE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5C70EDDF">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财政专户管理资金</w:t>
            </w:r>
          </w:p>
        </w:tc>
        <w:tc>
          <w:tcPr>
            <w:tcW w:w="1627" w:type="dxa"/>
            <w:vAlign w:val="top"/>
          </w:tcPr>
          <w:p w14:paraId="4BDC490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5C05E40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6783974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25152F15">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7C086C35">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14D0FBCB">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6E27E42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69257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45" w:type="dxa"/>
            <w:vMerge w:val="continue"/>
            <w:tcBorders>
              <w:top w:val="nil"/>
              <w:bottom w:val="nil"/>
            </w:tcBorders>
            <w:vAlign w:val="top"/>
          </w:tcPr>
          <w:p w14:paraId="19C9C37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00DECA16">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单位资金</w:t>
            </w:r>
          </w:p>
        </w:tc>
        <w:tc>
          <w:tcPr>
            <w:tcW w:w="1627" w:type="dxa"/>
            <w:vAlign w:val="top"/>
          </w:tcPr>
          <w:p w14:paraId="481FF57C">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03059D5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35171D6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5895D05B">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2476F6B5">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308394B4">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3ECFAB8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2C145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tcBorders>
            <w:vAlign w:val="top"/>
          </w:tcPr>
          <w:p w14:paraId="19D2707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6633B7B2">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其他资金</w:t>
            </w:r>
          </w:p>
        </w:tc>
        <w:tc>
          <w:tcPr>
            <w:tcW w:w="1627" w:type="dxa"/>
            <w:vAlign w:val="top"/>
          </w:tcPr>
          <w:p w14:paraId="5CCA67D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0FD7669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508" w:type="dxa"/>
            <w:gridSpan w:val="3"/>
            <w:vAlign w:val="top"/>
          </w:tcPr>
          <w:p w14:paraId="34465C9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030416E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1D8E0A27">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094525DE">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tcBorders>
            <w:vAlign w:val="top"/>
          </w:tcPr>
          <w:p w14:paraId="60FEC1A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27DFF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restart"/>
            <w:tcBorders>
              <w:bottom w:val="nil"/>
            </w:tcBorders>
            <w:vAlign w:val="top"/>
          </w:tcPr>
          <w:p w14:paraId="7CA265B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7A6C10C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0516F02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49CFA72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28170353">
            <w:pPr>
              <w:pStyle w:val="39"/>
              <w:pageBreakBefore w:val="0"/>
              <w:kinsoku/>
              <w:overflowPunct/>
              <w:topLinePunct w:val="0"/>
              <w:bidi w:val="0"/>
              <w:spacing w:beforeAutospacing="0" w:after="120" w:afterAutospacing="0" w:line="240" w:lineRule="auto"/>
              <w:ind w:left="0" w:leftChars="0" w:right="0" w:firstLine="344" w:firstLineChars="200"/>
              <w:jc w:val="both"/>
              <w:textAlignment w:val="auto"/>
            </w:pPr>
            <w:r>
              <w:rPr>
                <w:spacing w:val="-4"/>
              </w:rPr>
              <w:t>绩效指</w:t>
            </w:r>
            <w:r>
              <w:rPr>
                <w:spacing w:val="-2"/>
              </w:rPr>
              <w:t>标（90</w:t>
            </w:r>
            <w:r>
              <w:rPr>
                <w:spacing w:val="41"/>
              </w:rPr>
              <w:t>分）</w:t>
            </w:r>
          </w:p>
        </w:tc>
        <w:tc>
          <w:tcPr>
            <w:tcW w:w="1889" w:type="dxa"/>
            <w:vAlign w:val="top"/>
          </w:tcPr>
          <w:p w14:paraId="455F473C">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一级指标</w:t>
            </w:r>
          </w:p>
        </w:tc>
        <w:tc>
          <w:tcPr>
            <w:tcW w:w="1627" w:type="dxa"/>
            <w:vAlign w:val="top"/>
          </w:tcPr>
          <w:p w14:paraId="62B19D87">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二级指标</w:t>
            </w:r>
          </w:p>
        </w:tc>
        <w:tc>
          <w:tcPr>
            <w:tcW w:w="2081" w:type="dxa"/>
            <w:vAlign w:val="top"/>
          </w:tcPr>
          <w:p w14:paraId="5B00049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三级指标</w:t>
            </w:r>
          </w:p>
        </w:tc>
        <w:tc>
          <w:tcPr>
            <w:tcW w:w="482" w:type="dxa"/>
            <w:vAlign w:val="top"/>
          </w:tcPr>
          <w:p w14:paraId="2D921A0D">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指标</w:t>
            </w:r>
          </w:p>
          <w:p w14:paraId="3B4EB6F6">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性质</w:t>
            </w:r>
          </w:p>
        </w:tc>
        <w:tc>
          <w:tcPr>
            <w:tcW w:w="1544" w:type="dxa"/>
            <w:vAlign w:val="top"/>
          </w:tcPr>
          <w:p w14:paraId="23279819">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指标值</w:t>
            </w:r>
          </w:p>
        </w:tc>
        <w:tc>
          <w:tcPr>
            <w:tcW w:w="482" w:type="dxa"/>
            <w:vAlign w:val="top"/>
          </w:tcPr>
          <w:p w14:paraId="0B738F88">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度量</w:t>
            </w:r>
          </w:p>
          <w:p w14:paraId="05532F6E">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单位</w:t>
            </w:r>
          </w:p>
        </w:tc>
        <w:tc>
          <w:tcPr>
            <w:tcW w:w="1007" w:type="dxa"/>
            <w:vAlign w:val="top"/>
          </w:tcPr>
          <w:p w14:paraId="2513E280">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完成值</w:t>
            </w:r>
          </w:p>
        </w:tc>
        <w:tc>
          <w:tcPr>
            <w:tcW w:w="470" w:type="dxa"/>
            <w:vAlign w:val="top"/>
          </w:tcPr>
          <w:p w14:paraId="4A821859">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textDirection w:val="tbRlV"/>
            <w:vAlign w:val="top"/>
          </w:tcPr>
          <w:p w14:paraId="3D13A4C7">
            <w:pPr>
              <w:pStyle w:val="39"/>
              <w:pageBreakBefore w:val="0"/>
              <w:kinsoku/>
              <w:overflowPunct/>
              <w:topLinePunct w:val="0"/>
              <w:bidi w:val="0"/>
              <w:spacing w:beforeAutospacing="0" w:after="120" w:afterAutospacing="0" w:line="240" w:lineRule="auto"/>
              <w:ind w:left="0" w:leftChars="0" w:right="0" w:firstLine="448" w:firstLineChars="200"/>
              <w:textAlignment w:val="auto"/>
            </w:pPr>
            <w:r>
              <w:rPr>
                <w:spacing w:val="22"/>
              </w:rPr>
              <w:t>得分</w:t>
            </w:r>
          </w:p>
        </w:tc>
        <w:tc>
          <w:tcPr>
            <w:tcW w:w="2354" w:type="dxa"/>
            <w:vAlign w:val="top"/>
          </w:tcPr>
          <w:p w14:paraId="7BF4F73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未完成原因分析</w:t>
            </w:r>
          </w:p>
        </w:tc>
      </w:tr>
      <w:tr w14:paraId="13841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continue"/>
            <w:tcBorders>
              <w:top w:val="nil"/>
              <w:bottom w:val="nil"/>
            </w:tcBorders>
            <w:vAlign w:val="top"/>
          </w:tcPr>
          <w:p w14:paraId="6370CA5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70BFC53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398DD83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产出指标</w:t>
            </w:r>
          </w:p>
        </w:tc>
        <w:tc>
          <w:tcPr>
            <w:tcW w:w="1627" w:type="dxa"/>
            <w:vMerge w:val="restart"/>
            <w:tcBorders>
              <w:bottom w:val="nil"/>
            </w:tcBorders>
            <w:vAlign w:val="top"/>
          </w:tcPr>
          <w:p w14:paraId="14988E4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5F91AB79">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数量指标</w:t>
            </w:r>
          </w:p>
        </w:tc>
        <w:tc>
          <w:tcPr>
            <w:tcW w:w="2081" w:type="dxa"/>
            <w:vAlign w:val="top"/>
          </w:tcPr>
          <w:p w14:paraId="3CB9E3F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联系代表次数</w:t>
            </w:r>
          </w:p>
        </w:tc>
        <w:tc>
          <w:tcPr>
            <w:tcW w:w="482" w:type="dxa"/>
            <w:vAlign w:val="top"/>
          </w:tcPr>
          <w:p w14:paraId="3556FF4A">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1D09735D">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4</w:t>
            </w:r>
          </w:p>
        </w:tc>
        <w:tc>
          <w:tcPr>
            <w:tcW w:w="482" w:type="dxa"/>
            <w:vAlign w:val="top"/>
          </w:tcPr>
          <w:p w14:paraId="01AF74A4">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次/</w:t>
            </w:r>
            <w:r>
              <w:t>年</w:t>
            </w:r>
          </w:p>
        </w:tc>
        <w:tc>
          <w:tcPr>
            <w:tcW w:w="1007" w:type="dxa"/>
            <w:vAlign w:val="top"/>
          </w:tcPr>
          <w:p w14:paraId="4FF5A7A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0516E964">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02F1F92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7EF7578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1252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26D77AC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20ECF51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Merge w:val="continue"/>
            <w:tcBorders>
              <w:top w:val="nil"/>
            </w:tcBorders>
            <w:vAlign w:val="top"/>
          </w:tcPr>
          <w:p w14:paraId="6AF6A05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71824C8C">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闭会期间活动次数</w:t>
            </w:r>
          </w:p>
        </w:tc>
        <w:tc>
          <w:tcPr>
            <w:tcW w:w="482" w:type="dxa"/>
            <w:vAlign w:val="top"/>
          </w:tcPr>
          <w:p w14:paraId="4F491B1E">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10381006">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2</w:t>
            </w:r>
          </w:p>
        </w:tc>
        <w:tc>
          <w:tcPr>
            <w:tcW w:w="482" w:type="dxa"/>
            <w:vAlign w:val="top"/>
          </w:tcPr>
          <w:p w14:paraId="2F3D8085">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次</w:t>
            </w:r>
          </w:p>
        </w:tc>
        <w:tc>
          <w:tcPr>
            <w:tcW w:w="1007" w:type="dxa"/>
            <w:vAlign w:val="top"/>
          </w:tcPr>
          <w:p w14:paraId="0950385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5C0514D6">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5FA63F7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7F7E2A6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18AA6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1BCB076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02541004">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效益指标</w:t>
            </w:r>
          </w:p>
        </w:tc>
        <w:tc>
          <w:tcPr>
            <w:tcW w:w="1627" w:type="dxa"/>
            <w:vAlign w:val="top"/>
          </w:tcPr>
          <w:p w14:paraId="3A199FA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社会效益指标</w:t>
            </w:r>
          </w:p>
        </w:tc>
        <w:tc>
          <w:tcPr>
            <w:tcW w:w="2081" w:type="dxa"/>
            <w:vAlign w:val="top"/>
          </w:tcPr>
          <w:p w14:paraId="396C9749">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保障人大工作高效运行</w:t>
            </w:r>
          </w:p>
        </w:tc>
        <w:tc>
          <w:tcPr>
            <w:tcW w:w="482" w:type="dxa"/>
            <w:vAlign w:val="top"/>
          </w:tcPr>
          <w:p w14:paraId="16995C19">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定性</w:t>
            </w:r>
          </w:p>
        </w:tc>
        <w:tc>
          <w:tcPr>
            <w:tcW w:w="1544" w:type="dxa"/>
            <w:vAlign w:val="top"/>
          </w:tcPr>
          <w:p w14:paraId="296ED0C6">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高效运转</w:t>
            </w:r>
          </w:p>
        </w:tc>
        <w:tc>
          <w:tcPr>
            <w:tcW w:w="482" w:type="dxa"/>
            <w:vAlign w:val="top"/>
          </w:tcPr>
          <w:p w14:paraId="7B50706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2A4C9A1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4977E28B">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207EB6C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563BF4B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5BDE7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4CA7100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2D494AE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4C19872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可持续发展指标</w:t>
            </w:r>
          </w:p>
        </w:tc>
        <w:tc>
          <w:tcPr>
            <w:tcW w:w="2081" w:type="dxa"/>
            <w:vAlign w:val="top"/>
          </w:tcPr>
          <w:p w14:paraId="49D56A4E">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常态化保障人大工作</w:t>
            </w:r>
          </w:p>
        </w:tc>
        <w:tc>
          <w:tcPr>
            <w:tcW w:w="482" w:type="dxa"/>
            <w:vAlign w:val="top"/>
          </w:tcPr>
          <w:p w14:paraId="1F411895">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定性</w:t>
            </w:r>
          </w:p>
        </w:tc>
        <w:tc>
          <w:tcPr>
            <w:tcW w:w="1544" w:type="dxa"/>
            <w:vAlign w:val="top"/>
          </w:tcPr>
          <w:p w14:paraId="5991638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有效保障</w:t>
            </w:r>
          </w:p>
        </w:tc>
        <w:tc>
          <w:tcPr>
            <w:tcW w:w="482" w:type="dxa"/>
            <w:vAlign w:val="top"/>
          </w:tcPr>
          <w:p w14:paraId="4667E42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445CAEF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19B7B3D6">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1936937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2A6C3E3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38685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22F910E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245CBFE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满意度指标</w:t>
            </w:r>
          </w:p>
        </w:tc>
        <w:tc>
          <w:tcPr>
            <w:tcW w:w="1627" w:type="dxa"/>
            <w:vAlign w:val="top"/>
          </w:tcPr>
          <w:p w14:paraId="7FA5DA6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满意度指标</w:t>
            </w:r>
          </w:p>
        </w:tc>
        <w:tc>
          <w:tcPr>
            <w:tcW w:w="2081" w:type="dxa"/>
            <w:vAlign w:val="top"/>
          </w:tcPr>
          <w:p w14:paraId="4EA4E4E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代表满意度</w:t>
            </w:r>
          </w:p>
        </w:tc>
        <w:tc>
          <w:tcPr>
            <w:tcW w:w="482" w:type="dxa"/>
            <w:vAlign w:val="top"/>
          </w:tcPr>
          <w:p w14:paraId="1C17946A">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5A169048">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6CAC2189">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6A55DA5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271D506A">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5F2B93B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424454E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7A43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037BA88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7F18AE27">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成本指标</w:t>
            </w:r>
          </w:p>
        </w:tc>
        <w:tc>
          <w:tcPr>
            <w:tcW w:w="1627" w:type="dxa"/>
            <w:vMerge w:val="restart"/>
            <w:tcBorders>
              <w:bottom w:val="nil"/>
            </w:tcBorders>
            <w:vAlign w:val="top"/>
          </w:tcPr>
          <w:p w14:paraId="3CAD028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经济成本指标</w:t>
            </w:r>
          </w:p>
        </w:tc>
        <w:tc>
          <w:tcPr>
            <w:tcW w:w="2081" w:type="dxa"/>
            <w:vAlign w:val="top"/>
          </w:tcPr>
          <w:p w14:paraId="7E37E6F4">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保障经费</w:t>
            </w:r>
          </w:p>
        </w:tc>
        <w:tc>
          <w:tcPr>
            <w:tcW w:w="482" w:type="dxa"/>
            <w:vAlign w:val="top"/>
          </w:tcPr>
          <w:p w14:paraId="489B3302">
            <w:pPr>
              <w:pStyle w:val="39"/>
              <w:pageBreakBefore w:val="0"/>
              <w:kinsoku/>
              <w:overflowPunct/>
              <w:topLinePunct w:val="0"/>
              <w:bidi w:val="0"/>
              <w:spacing w:beforeAutospacing="0" w:after="120" w:afterAutospacing="0" w:line="240" w:lineRule="auto"/>
              <w:ind w:left="0" w:leftChars="0" w:right="0" w:firstLine="522" w:firstLineChars="200"/>
              <w:textAlignment w:val="auto"/>
            </w:pPr>
            <w:r>
              <w:rPr>
                <w:spacing w:val="18"/>
                <w:w w:val="125"/>
                <w:position w:val="-2"/>
              </w:rPr>
              <w:t>=</w:t>
            </w:r>
          </w:p>
        </w:tc>
        <w:tc>
          <w:tcPr>
            <w:tcW w:w="1544" w:type="dxa"/>
            <w:vAlign w:val="top"/>
          </w:tcPr>
          <w:p w14:paraId="77238FA4">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1</w:t>
            </w:r>
          </w:p>
        </w:tc>
        <w:tc>
          <w:tcPr>
            <w:tcW w:w="482" w:type="dxa"/>
            <w:vAlign w:val="top"/>
          </w:tcPr>
          <w:p w14:paraId="4298FBC7">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万元</w:t>
            </w:r>
          </w:p>
        </w:tc>
        <w:tc>
          <w:tcPr>
            <w:tcW w:w="1007" w:type="dxa"/>
            <w:vAlign w:val="top"/>
          </w:tcPr>
          <w:p w14:paraId="7899C37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7100FB11">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1B250AB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6090935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3BC2B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tcBorders>
            <w:vAlign w:val="top"/>
          </w:tcPr>
          <w:p w14:paraId="6602A28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106BC83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Merge w:val="continue"/>
            <w:tcBorders>
              <w:top w:val="nil"/>
            </w:tcBorders>
            <w:vAlign w:val="top"/>
          </w:tcPr>
          <w:p w14:paraId="39B7846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6E86558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经费执行率</w:t>
            </w:r>
          </w:p>
        </w:tc>
        <w:tc>
          <w:tcPr>
            <w:tcW w:w="482" w:type="dxa"/>
            <w:vAlign w:val="top"/>
          </w:tcPr>
          <w:p w14:paraId="5BED3189">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4DA68EDE">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0F8962D5">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2FF9495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7FFF5C3F">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2BC9A55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6080DAF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34532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757" w:type="dxa"/>
            <w:gridSpan w:val="8"/>
            <w:vAlign w:val="top"/>
          </w:tcPr>
          <w:p w14:paraId="374AA1D1">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合计</w:t>
            </w:r>
          </w:p>
        </w:tc>
        <w:tc>
          <w:tcPr>
            <w:tcW w:w="470" w:type="dxa"/>
            <w:vAlign w:val="top"/>
          </w:tcPr>
          <w:p w14:paraId="3E98E35C">
            <w:pPr>
              <w:pStyle w:val="39"/>
              <w:pageBreakBefore w:val="0"/>
              <w:kinsoku/>
              <w:overflowPunct/>
              <w:topLinePunct w:val="0"/>
              <w:bidi w:val="0"/>
              <w:spacing w:beforeAutospacing="0" w:after="120" w:afterAutospacing="0" w:line="240" w:lineRule="auto"/>
              <w:ind w:left="0" w:leftChars="0" w:right="0" w:firstLine="332" w:firstLineChars="200"/>
              <w:textAlignment w:val="auto"/>
            </w:pPr>
            <w:r>
              <w:rPr>
                <w:spacing w:val="-7"/>
              </w:rPr>
              <w:t>100</w:t>
            </w:r>
          </w:p>
        </w:tc>
        <w:tc>
          <w:tcPr>
            <w:tcW w:w="414" w:type="dxa"/>
            <w:vAlign w:val="top"/>
          </w:tcPr>
          <w:p w14:paraId="4BE7187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569D99C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0FBA7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9" w:hRule="atLeast"/>
        </w:trPr>
        <w:tc>
          <w:tcPr>
            <w:tcW w:w="645" w:type="dxa"/>
            <w:vAlign w:val="top"/>
          </w:tcPr>
          <w:p w14:paraId="2F6A8014">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评价结</w:t>
            </w:r>
            <w:r>
              <w:t>论</w:t>
            </w:r>
          </w:p>
        </w:tc>
        <w:tc>
          <w:tcPr>
            <w:tcW w:w="12350" w:type="dxa"/>
            <w:gridSpan w:val="10"/>
            <w:vAlign w:val="top"/>
          </w:tcPr>
          <w:p w14:paraId="5C61623B">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说明项目自评总分</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说明项目实施取得的成效或成</w:t>
            </w:r>
            <w:r>
              <w:rPr>
                <w:rFonts w:ascii="微软雅黑" w:hAnsi="微软雅黑" w:eastAsia="微软雅黑" w:cs="微软雅黑"/>
                <w:i/>
                <w:iCs/>
                <w:spacing w:val="1"/>
                <w:sz w:val="16"/>
                <w:szCs w:val="16"/>
              </w:rPr>
              <w:t>果</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1"/>
                <w:sz w:val="16"/>
                <w:szCs w:val="16"/>
              </w:rPr>
              <w:t>。</w:t>
            </w:r>
            <w:r>
              <w:rPr>
                <w:rFonts w:ascii="微软雅黑" w:hAnsi="微软雅黑" w:eastAsia="微软雅黑" w:cs="微软雅黑"/>
                <w:spacing w:val="1"/>
                <w:sz w:val="16"/>
                <w:szCs w:val="16"/>
              </w:rPr>
              <w:t xml:space="preserve"> </w:t>
            </w:r>
            <w:r>
              <w:rPr>
                <w:rFonts w:ascii="微软雅黑" w:hAnsi="微软雅黑" w:eastAsia="微软雅黑" w:cs="微软雅黑"/>
                <w:i/>
                <w:iCs/>
                <w:spacing w:val="1"/>
                <w:sz w:val="16"/>
                <w:szCs w:val="16"/>
              </w:rPr>
              <w:t>（20字以内</w:t>
            </w:r>
            <w:r>
              <w:rPr>
                <w:rFonts w:ascii="微软雅黑" w:hAnsi="微软雅黑" w:eastAsia="微软雅黑" w:cs="微软雅黑"/>
                <w:spacing w:val="-17"/>
                <w:sz w:val="16"/>
                <w:szCs w:val="16"/>
              </w:rPr>
              <w:t xml:space="preserve"> </w:t>
            </w:r>
            <w:r>
              <w:rPr>
                <w:rFonts w:ascii="微软雅黑" w:hAnsi="微软雅黑" w:eastAsia="微软雅黑" w:cs="微软雅黑"/>
                <w:i/>
                <w:iCs/>
                <w:spacing w:val="1"/>
                <w:sz w:val="16"/>
                <w:szCs w:val="16"/>
              </w:rPr>
              <w:t>）</w:t>
            </w:r>
          </w:p>
        </w:tc>
      </w:tr>
      <w:tr w14:paraId="01117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645" w:type="dxa"/>
            <w:vAlign w:val="top"/>
          </w:tcPr>
          <w:p w14:paraId="087DE754">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存在问</w:t>
            </w:r>
            <w:r>
              <w:t>题</w:t>
            </w:r>
          </w:p>
        </w:tc>
        <w:tc>
          <w:tcPr>
            <w:tcW w:w="12350" w:type="dxa"/>
            <w:gridSpan w:val="10"/>
            <w:vAlign w:val="top"/>
          </w:tcPr>
          <w:p w14:paraId="6E196790">
            <w:pPr>
              <w:pageBreakBefore w:val="0"/>
              <w:kinsoku/>
              <w:overflowPunct/>
              <w:topLinePunct w:val="0"/>
              <w:bidi w:val="0"/>
              <w:spacing w:beforeAutospacing="0" w:after="120" w:afterAutospacing="0" w:line="240" w:lineRule="auto"/>
              <w:ind w:left="0" w:leftChars="0" w:right="0" w:firstLine="332"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3"/>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分析存在的问题及原因</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（20字以内</w:t>
            </w:r>
            <w:r>
              <w:rPr>
                <w:rFonts w:ascii="微软雅黑" w:hAnsi="微软雅黑" w:eastAsia="微软雅黑" w:cs="微软雅黑"/>
                <w:spacing w:val="-18"/>
                <w:sz w:val="16"/>
                <w:szCs w:val="16"/>
              </w:rPr>
              <w:t xml:space="preserve"> </w:t>
            </w:r>
            <w:r>
              <w:rPr>
                <w:rFonts w:ascii="微软雅黑" w:hAnsi="微软雅黑" w:eastAsia="微软雅黑" w:cs="微软雅黑"/>
                <w:i/>
                <w:iCs/>
                <w:spacing w:val="3"/>
                <w:sz w:val="16"/>
                <w:szCs w:val="16"/>
              </w:rPr>
              <w:t>）</w:t>
            </w:r>
          </w:p>
        </w:tc>
      </w:tr>
      <w:tr w14:paraId="091F4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0" w:hRule="atLeast"/>
        </w:trPr>
        <w:tc>
          <w:tcPr>
            <w:tcW w:w="645" w:type="dxa"/>
            <w:vAlign w:val="top"/>
          </w:tcPr>
          <w:p w14:paraId="616095C3">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改进措</w:t>
            </w:r>
            <w:r>
              <w:t>施</w:t>
            </w:r>
          </w:p>
        </w:tc>
        <w:tc>
          <w:tcPr>
            <w:tcW w:w="12350" w:type="dxa"/>
            <w:gridSpan w:val="10"/>
            <w:vAlign w:val="top"/>
          </w:tcPr>
          <w:p w14:paraId="78864EAD">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针对项目自评中发现的问题</w:t>
            </w:r>
            <w:r>
              <w:rPr>
                <w:rFonts w:ascii="微软雅黑" w:hAnsi="微软雅黑" w:eastAsia="微软雅黑" w:cs="微软雅黑"/>
                <w:spacing w:val="4"/>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提出下一步改进完善的意见及有关政策性建议</w:t>
            </w:r>
            <w:r>
              <w:rPr>
                <w:rFonts w:ascii="微软雅黑" w:hAnsi="微软雅黑" w:eastAsia="微软雅黑" w:cs="微软雅黑"/>
                <w:spacing w:val="-25"/>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（20字以内</w:t>
            </w:r>
            <w:r>
              <w:rPr>
                <w:rFonts w:ascii="微软雅黑" w:hAnsi="微软雅黑" w:eastAsia="微软雅黑" w:cs="微软雅黑"/>
                <w:spacing w:val="-20"/>
                <w:sz w:val="16"/>
                <w:szCs w:val="16"/>
              </w:rPr>
              <w:t xml:space="preserve"> </w:t>
            </w:r>
            <w:r>
              <w:rPr>
                <w:rFonts w:ascii="微软雅黑" w:hAnsi="微软雅黑" w:eastAsia="微软雅黑" w:cs="微软雅黑"/>
                <w:i/>
                <w:iCs/>
                <w:spacing w:val="2"/>
                <w:sz w:val="16"/>
                <w:szCs w:val="16"/>
              </w:rPr>
              <w:t>）</w:t>
            </w:r>
          </w:p>
        </w:tc>
      </w:tr>
      <w:tr w14:paraId="4C56D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0" w:hRule="atLeast"/>
        </w:trPr>
        <w:tc>
          <w:tcPr>
            <w:tcW w:w="6724" w:type="dxa"/>
            <w:gridSpan w:val="5"/>
            <w:vAlign w:val="top"/>
          </w:tcPr>
          <w:p w14:paraId="3B4A845E">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项目负责人：</w:t>
            </w:r>
          </w:p>
        </w:tc>
        <w:tc>
          <w:tcPr>
            <w:tcW w:w="6271" w:type="dxa"/>
            <w:gridSpan w:val="6"/>
            <w:vAlign w:val="top"/>
          </w:tcPr>
          <w:p w14:paraId="5F4A052D">
            <w:pPr>
              <w:pageBreakBefore w:val="0"/>
              <w:kinsoku/>
              <w:overflowPunct/>
              <w:topLinePunct w:val="0"/>
              <w:bidi w:val="0"/>
              <w:spacing w:beforeAutospacing="0" w:after="120" w:afterAutospacing="0" w:line="240" w:lineRule="auto"/>
              <w:ind w:left="0" w:leftChars="0" w:right="0" w:firstLine="356" w:firstLineChars="200"/>
              <w:textAlignment w:val="auto"/>
              <w:rPr>
                <w:rFonts w:ascii="黑体" w:hAnsi="黑体" w:eastAsia="黑体" w:cs="黑体"/>
                <w:sz w:val="18"/>
                <w:szCs w:val="18"/>
              </w:rPr>
            </w:pPr>
            <w:r>
              <w:rPr>
                <w:rFonts w:ascii="黑体" w:hAnsi="黑体" w:eastAsia="黑体" w:cs="黑体"/>
                <w:spacing w:val="-1"/>
                <w:sz w:val="18"/>
                <w:szCs w:val="18"/>
              </w:rPr>
              <w:t>财务负责人：</w:t>
            </w:r>
          </w:p>
        </w:tc>
      </w:tr>
    </w:tbl>
    <w:p w14:paraId="66D3F375">
      <w:pPr>
        <w:pageBreakBefore w:val="0"/>
        <w:kinsoku/>
        <w:overflowPunct/>
        <w:topLinePunct w:val="0"/>
        <w:bidi w:val="0"/>
        <w:spacing w:beforeAutospacing="0" w:after="120" w:afterAutospacing="0" w:line="240" w:lineRule="auto"/>
        <w:ind w:left="0" w:leftChars="0" w:right="0" w:firstLine="420" w:firstLineChars="200"/>
        <w:textAlignment w:val="auto"/>
      </w:pPr>
    </w:p>
    <w:tbl>
      <w:tblPr>
        <w:tblStyle w:val="38"/>
        <w:tblW w:w="1299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5"/>
        <w:gridCol w:w="1889"/>
        <w:gridCol w:w="1627"/>
        <w:gridCol w:w="2081"/>
        <w:gridCol w:w="482"/>
        <w:gridCol w:w="1544"/>
        <w:gridCol w:w="482"/>
        <w:gridCol w:w="1007"/>
        <w:gridCol w:w="470"/>
        <w:gridCol w:w="414"/>
        <w:gridCol w:w="2354"/>
      </w:tblGrid>
      <w:tr w14:paraId="68E6B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1" w:hRule="atLeast"/>
        </w:trPr>
        <w:tc>
          <w:tcPr>
            <w:tcW w:w="12995" w:type="dxa"/>
            <w:gridSpan w:val="11"/>
            <w:vAlign w:val="top"/>
          </w:tcPr>
          <w:p w14:paraId="060E3EAA">
            <w:pPr>
              <w:pageBreakBefore w:val="0"/>
              <w:kinsoku/>
              <w:overflowPunct/>
              <w:topLinePunct w:val="0"/>
              <w:bidi w:val="0"/>
              <w:spacing w:beforeAutospacing="0" w:after="120" w:afterAutospacing="0" w:line="240" w:lineRule="auto"/>
              <w:ind w:left="0" w:leftChars="0" w:right="0" w:firstLine="602" w:firstLineChars="200"/>
              <w:textAlignment w:val="auto"/>
              <w:rPr>
                <w:rFonts w:ascii="黑体" w:hAnsi="黑体" w:eastAsia="黑体" w:cs="黑体"/>
                <w:sz w:val="30"/>
                <w:szCs w:val="30"/>
              </w:rPr>
            </w:pPr>
            <w:r>
              <w:rPr>
                <w:rFonts w:ascii="黑体" w:hAnsi="黑体" w:eastAsia="黑体" w:cs="黑体"/>
                <w:b/>
                <w:bCs/>
                <w:sz w:val="30"/>
                <w:szCs w:val="30"/>
              </w:rPr>
              <w:t>部门预算项目支出绩效自评表（2025年度）</w:t>
            </w:r>
          </w:p>
        </w:tc>
      </w:tr>
      <w:tr w14:paraId="47641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2534" w:type="dxa"/>
            <w:gridSpan w:val="2"/>
            <w:vAlign w:val="top"/>
          </w:tcPr>
          <w:p w14:paraId="0B02A555">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项目名称</w:t>
            </w:r>
          </w:p>
        </w:tc>
        <w:tc>
          <w:tcPr>
            <w:tcW w:w="10461" w:type="dxa"/>
            <w:gridSpan w:val="9"/>
            <w:vAlign w:val="top"/>
          </w:tcPr>
          <w:p w14:paraId="125202CB">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51323321T000000107674-安全生产工作经费</w:t>
            </w:r>
          </w:p>
        </w:tc>
      </w:tr>
      <w:tr w14:paraId="4A037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2534" w:type="dxa"/>
            <w:gridSpan w:val="2"/>
            <w:vAlign w:val="top"/>
          </w:tcPr>
          <w:p w14:paraId="67694120">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主管部门</w:t>
            </w:r>
          </w:p>
        </w:tc>
        <w:tc>
          <w:tcPr>
            <w:tcW w:w="6216" w:type="dxa"/>
            <w:gridSpan w:val="5"/>
            <w:vAlign w:val="top"/>
          </w:tcPr>
          <w:p w14:paraId="6BA7399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红原县阿木乡人民政府</w:t>
            </w:r>
          </w:p>
        </w:tc>
        <w:tc>
          <w:tcPr>
            <w:tcW w:w="1007" w:type="dxa"/>
            <w:vAlign w:val="top"/>
          </w:tcPr>
          <w:p w14:paraId="3A09C461">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spacing w:val="-2"/>
                <w:sz w:val="18"/>
                <w:szCs w:val="18"/>
              </w:rPr>
              <w:t>实施单位</w:t>
            </w:r>
          </w:p>
          <w:p w14:paraId="755300C1">
            <w:pPr>
              <w:pageBreakBefore w:val="0"/>
              <w:kinsoku/>
              <w:overflowPunct/>
              <w:topLinePunct w:val="0"/>
              <w:bidi w:val="0"/>
              <w:spacing w:beforeAutospacing="0" w:after="120" w:afterAutospacing="0" w:line="240" w:lineRule="auto"/>
              <w:ind w:left="0" w:leftChars="0" w:right="0" w:firstLine="336" w:firstLineChars="200"/>
              <w:textAlignment w:val="auto"/>
              <w:rPr>
                <w:rFonts w:ascii="黑体" w:hAnsi="黑体" w:eastAsia="黑体" w:cs="黑体"/>
                <w:sz w:val="18"/>
                <w:szCs w:val="18"/>
              </w:rPr>
            </w:pPr>
            <w:r>
              <w:rPr>
                <w:rFonts w:ascii="黑体" w:hAnsi="黑体" w:eastAsia="黑体" w:cs="黑体"/>
                <w:spacing w:val="-6"/>
                <w:sz w:val="18"/>
                <w:szCs w:val="18"/>
              </w:rPr>
              <w:t>（盖章）</w:t>
            </w:r>
          </w:p>
        </w:tc>
        <w:tc>
          <w:tcPr>
            <w:tcW w:w="3238" w:type="dxa"/>
            <w:gridSpan w:val="3"/>
            <w:vAlign w:val="top"/>
          </w:tcPr>
          <w:p w14:paraId="1D474EE4">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红原县阿木乡机关</w:t>
            </w:r>
          </w:p>
        </w:tc>
      </w:tr>
      <w:tr w14:paraId="4D9CA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645" w:type="dxa"/>
            <w:vMerge w:val="restart"/>
            <w:tcBorders>
              <w:bottom w:val="nil"/>
            </w:tcBorders>
            <w:vAlign w:val="top"/>
          </w:tcPr>
          <w:p w14:paraId="0959E9A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3B6B54B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5CD0867C">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项目基</w:t>
            </w:r>
            <w:r>
              <w:rPr>
                <w:spacing w:val="-3"/>
              </w:rPr>
              <w:t>本情况</w:t>
            </w:r>
          </w:p>
        </w:tc>
        <w:tc>
          <w:tcPr>
            <w:tcW w:w="1889" w:type="dxa"/>
            <w:vMerge w:val="restart"/>
            <w:tcBorders>
              <w:bottom w:val="nil"/>
            </w:tcBorders>
            <w:vAlign w:val="top"/>
          </w:tcPr>
          <w:p w14:paraId="6380E82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1.项目年度目标完成情</w:t>
            </w:r>
            <w:r>
              <w:t>况</w:t>
            </w:r>
          </w:p>
        </w:tc>
        <w:tc>
          <w:tcPr>
            <w:tcW w:w="6216" w:type="dxa"/>
            <w:gridSpan w:val="5"/>
            <w:vAlign w:val="top"/>
          </w:tcPr>
          <w:p w14:paraId="4BA357F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项目年度目标</w:t>
            </w:r>
          </w:p>
        </w:tc>
        <w:tc>
          <w:tcPr>
            <w:tcW w:w="4245" w:type="dxa"/>
            <w:gridSpan w:val="4"/>
            <w:vAlign w:val="top"/>
          </w:tcPr>
          <w:p w14:paraId="5BCCE228">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年度目标完成情况</w:t>
            </w:r>
          </w:p>
        </w:tc>
      </w:tr>
      <w:tr w14:paraId="11FE7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4" w:hRule="atLeast"/>
        </w:trPr>
        <w:tc>
          <w:tcPr>
            <w:tcW w:w="645" w:type="dxa"/>
            <w:vMerge w:val="continue"/>
            <w:tcBorders>
              <w:top w:val="nil"/>
              <w:bottom w:val="nil"/>
            </w:tcBorders>
            <w:vAlign w:val="top"/>
          </w:tcPr>
          <w:p w14:paraId="6D1EE42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7AB9261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6216" w:type="dxa"/>
            <w:gridSpan w:val="5"/>
            <w:vAlign w:val="top"/>
          </w:tcPr>
          <w:p w14:paraId="647C95BD">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安全生产工作经费</w:t>
            </w:r>
          </w:p>
        </w:tc>
        <w:tc>
          <w:tcPr>
            <w:tcW w:w="4245" w:type="dxa"/>
            <w:gridSpan w:val="4"/>
            <w:vAlign w:val="top"/>
          </w:tcPr>
          <w:p w14:paraId="7CD82564">
            <w:pPr>
              <w:pageBreakBefore w:val="0"/>
              <w:kinsoku/>
              <w:overflowPunct/>
              <w:topLinePunct w:val="0"/>
              <w:bidi w:val="0"/>
              <w:spacing w:beforeAutospacing="0" w:after="120" w:afterAutospacing="0" w:line="240" w:lineRule="auto"/>
              <w:ind w:left="0" w:leftChars="0" w:right="0" w:firstLine="364" w:firstLineChars="200"/>
              <w:textAlignment w:val="auto"/>
              <w:rPr>
                <w:rFonts w:ascii="黑体" w:hAnsi="黑体" w:eastAsia="黑体" w:cs="黑体"/>
                <w:sz w:val="18"/>
                <w:szCs w:val="18"/>
              </w:rPr>
            </w:pPr>
            <w:r>
              <w:rPr>
                <w:rFonts w:ascii="黑体" w:hAnsi="黑体" w:eastAsia="黑体" w:cs="黑体"/>
                <w:spacing w:val="1"/>
                <w:sz w:val="18"/>
                <w:szCs w:val="18"/>
              </w:rPr>
              <w:t>对照年度目标，说明相关任务目标的完成情况（100</w:t>
            </w:r>
            <w:r>
              <w:rPr>
                <w:rFonts w:ascii="黑体" w:hAnsi="黑体" w:eastAsia="黑体" w:cs="黑体"/>
                <w:spacing w:val="-3"/>
                <w:sz w:val="18"/>
                <w:szCs w:val="18"/>
              </w:rPr>
              <w:t>字以内）</w:t>
            </w:r>
          </w:p>
        </w:tc>
      </w:tr>
      <w:tr w14:paraId="38307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645" w:type="dxa"/>
            <w:vMerge w:val="continue"/>
            <w:tcBorders>
              <w:top w:val="nil"/>
            </w:tcBorders>
            <w:vAlign w:val="top"/>
          </w:tcPr>
          <w:p w14:paraId="049E2F7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7D85C45F">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2.项目实施内容及过程</w:t>
            </w:r>
            <w:r>
              <w:rPr>
                <w:spacing w:val="-4"/>
              </w:rPr>
              <w:t>概述</w:t>
            </w:r>
          </w:p>
        </w:tc>
        <w:tc>
          <w:tcPr>
            <w:tcW w:w="10461" w:type="dxa"/>
            <w:gridSpan w:val="9"/>
            <w:vAlign w:val="top"/>
          </w:tcPr>
          <w:p w14:paraId="141248B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64B40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45" w:type="dxa"/>
            <w:vMerge w:val="restart"/>
            <w:tcBorders>
              <w:bottom w:val="nil"/>
            </w:tcBorders>
            <w:vAlign w:val="top"/>
          </w:tcPr>
          <w:p w14:paraId="39298F9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59840E0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1F20B07A">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预算执</w:t>
            </w:r>
          </w:p>
          <w:p w14:paraId="0720016D">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行情况</w:t>
            </w:r>
          </w:p>
          <w:p w14:paraId="4076F719">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（10分</w:t>
            </w:r>
            <w:r>
              <w:rPr>
                <w:spacing w:val="1"/>
              </w:rPr>
              <w:t xml:space="preserve"> </w:t>
            </w:r>
            <w:r>
              <w:t>)</w:t>
            </w:r>
          </w:p>
        </w:tc>
        <w:tc>
          <w:tcPr>
            <w:tcW w:w="1889" w:type="dxa"/>
            <w:vAlign w:val="top"/>
          </w:tcPr>
          <w:p w14:paraId="28A95623">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年度预算数（万元）</w:t>
            </w:r>
          </w:p>
        </w:tc>
        <w:tc>
          <w:tcPr>
            <w:tcW w:w="1627" w:type="dxa"/>
            <w:vAlign w:val="top"/>
          </w:tcPr>
          <w:p w14:paraId="35C819A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年初预算</w:t>
            </w:r>
          </w:p>
        </w:tc>
        <w:tc>
          <w:tcPr>
            <w:tcW w:w="2081" w:type="dxa"/>
            <w:vAlign w:val="top"/>
          </w:tcPr>
          <w:p w14:paraId="243C4CD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调整后预算数</w:t>
            </w:r>
          </w:p>
        </w:tc>
        <w:tc>
          <w:tcPr>
            <w:tcW w:w="2508" w:type="dxa"/>
            <w:gridSpan w:val="3"/>
            <w:vAlign w:val="top"/>
          </w:tcPr>
          <w:p w14:paraId="61973A1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预算执行数</w:t>
            </w:r>
          </w:p>
        </w:tc>
        <w:tc>
          <w:tcPr>
            <w:tcW w:w="1007" w:type="dxa"/>
            <w:vAlign w:val="top"/>
          </w:tcPr>
          <w:p w14:paraId="0F2EBF9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预算执行率</w:t>
            </w:r>
          </w:p>
        </w:tc>
        <w:tc>
          <w:tcPr>
            <w:tcW w:w="470" w:type="dxa"/>
            <w:vAlign w:val="top"/>
          </w:tcPr>
          <w:p w14:paraId="4DE8C896">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vAlign w:val="top"/>
          </w:tcPr>
          <w:p w14:paraId="0779DC4C">
            <w:pPr>
              <w:pStyle w:val="39"/>
              <w:pageBreakBefore w:val="0"/>
              <w:kinsoku/>
              <w:overflowPunct/>
              <w:topLinePunct w:val="0"/>
              <w:bidi w:val="0"/>
              <w:spacing w:beforeAutospacing="0" w:after="120" w:afterAutospacing="0" w:line="240" w:lineRule="auto"/>
              <w:ind w:left="0" w:leftChars="0" w:right="0" w:firstLine="360" w:firstLineChars="200"/>
              <w:textAlignment w:val="auto"/>
            </w:pPr>
            <w:r>
              <mc:AlternateContent>
                <mc:Choice Requires="wps">
                  <w:drawing>
                    <wp:anchor distT="0" distB="0" distL="114300" distR="114300" simplePos="0" relativeHeight="251662336" behindDoc="0" locked="0" layoutInCell="1" allowOverlap="1">
                      <wp:simplePos x="0" y="0"/>
                      <wp:positionH relativeFrom="rightMargin">
                        <wp:posOffset>-182880</wp:posOffset>
                      </wp:positionH>
                      <wp:positionV relativeFrom="topMargin">
                        <wp:posOffset>144145</wp:posOffset>
                      </wp:positionV>
                      <wp:extent cx="133985" cy="161925"/>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33985" cy="161925"/>
                              </a:xfrm>
                              <a:prstGeom prst="rect">
                                <a:avLst/>
                              </a:prstGeom>
                              <a:noFill/>
                              <a:ln>
                                <a:noFill/>
                              </a:ln>
                            </wps:spPr>
                            <wps:txbx>
                              <w:txbxContent>
                                <w:p w14:paraId="3CBF70CF">
                                  <w:pPr>
                                    <w:pStyle w:val="39"/>
                                    <w:spacing w:before="20" w:line="220" w:lineRule="auto"/>
                                    <w:ind w:left="20"/>
                                  </w:pPr>
                                  <w:r>
                                    <w:t>分</w:t>
                                  </w:r>
                                </w:p>
                              </w:txbxContent>
                            </wps:txbx>
                            <wps:bodyPr lIns="0" tIns="0" rIns="0" bIns="0" upright="1"/>
                          </wps:wsp>
                        </a:graphicData>
                      </a:graphic>
                    </wp:anchor>
                  </w:drawing>
                </mc:Choice>
                <mc:Fallback>
                  <w:pict>
                    <v:shape id="_x0000_s1026" o:spid="_x0000_s1026" o:spt="202" type="#_x0000_t202" style="position:absolute;left:0pt;margin-left:5.95pt;margin-top:12.1pt;height:12.75pt;width:10.55pt;mso-position-horizontal-relative:page;mso-position-vertical-relative:page;z-index:251662336;mso-width-relative:page;mso-height-relative:page;" filled="f" stroked="f" coordsize="21600,21600" o:gfxdata="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DsbTrYAAAACAEAAA8AAAAAAAAAAQAgAAAAIgAAAGRycy9kb3ducmV2LnhtbFBLAQIU&#10;ABQAAAAIAIdO4kBZci5TugEAAHMDAAAOAAAAAAAAAAEAIAAAACcBAABkcnMvZTJvRG9jLnhtbFBL&#10;BQYAAAAABgAGAFkBAABTBQAAAAA=&#10;">
                      <v:fill on="f" focussize="0,0"/>
                      <v:stroke on="f"/>
                      <v:imagedata o:title=""/>
                      <o:lock v:ext="edit" aspectratio="f"/>
                      <v:textbox inset="0mm,0mm,0mm,0mm">
                        <w:txbxContent>
                          <w:p w14:paraId="3CBF70CF">
                            <w:pPr>
                              <w:pStyle w:val="39"/>
                              <w:spacing w:before="20" w:line="220" w:lineRule="auto"/>
                              <w:ind w:left="20"/>
                            </w:pPr>
                            <w:r>
                              <w:t>分</w:t>
                            </w:r>
                          </w:p>
                        </w:txbxContent>
                      </v:textbox>
                    </v:shape>
                  </w:pict>
                </mc:Fallback>
              </mc:AlternateContent>
            </w:r>
            <w:r>
              <w:t>得</w:t>
            </w:r>
          </w:p>
        </w:tc>
        <w:tc>
          <w:tcPr>
            <w:tcW w:w="2354" w:type="dxa"/>
            <w:vAlign w:val="top"/>
          </w:tcPr>
          <w:p w14:paraId="325A8BCB">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原因</w:t>
            </w:r>
          </w:p>
        </w:tc>
      </w:tr>
      <w:tr w14:paraId="599E3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645" w:type="dxa"/>
            <w:vMerge w:val="continue"/>
            <w:tcBorders>
              <w:top w:val="nil"/>
              <w:bottom w:val="nil"/>
            </w:tcBorders>
            <w:vAlign w:val="top"/>
          </w:tcPr>
          <w:p w14:paraId="7F4B368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55EAE60A">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总额</w:t>
            </w:r>
          </w:p>
        </w:tc>
        <w:tc>
          <w:tcPr>
            <w:tcW w:w="1627" w:type="dxa"/>
            <w:vAlign w:val="top"/>
          </w:tcPr>
          <w:p w14:paraId="4CA56D6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0.50</w:t>
            </w:r>
          </w:p>
        </w:tc>
        <w:tc>
          <w:tcPr>
            <w:tcW w:w="2081" w:type="dxa"/>
            <w:vAlign w:val="top"/>
          </w:tcPr>
          <w:p w14:paraId="7CE6FAD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0.50</w:t>
            </w:r>
          </w:p>
        </w:tc>
        <w:tc>
          <w:tcPr>
            <w:tcW w:w="2508" w:type="dxa"/>
            <w:gridSpan w:val="3"/>
            <w:vAlign w:val="top"/>
          </w:tcPr>
          <w:p w14:paraId="45943CE4">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0.50</w:t>
            </w:r>
          </w:p>
        </w:tc>
        <w:tc>
          <w:tcPr>
            <w:tcW w:w="1007" w:type="dxa"/>
            <w:vAlign w:val="top"/>
          </w:tcPr>
          <w:p w14:paraId="61071C3F">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100.00%</w:t>
            </w:r>
          </w:p>
        </w:tc>
        <w:tc>
          <w:tcPr>
            <w:tcW w:w="470" w:type="dxa"/>
            <w:vAlign w:val="top"/>
          </w:tcPr>
          <w:p w14:paraId="4BB9738D">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5C7DE60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Merge w:val="restart"/>
            <w:tcBorders>
              <w:bottom w:val="nil"/>
            </w:tcBorders>
            <w:vAlign w:val="top"/>
          </w:tcPr>
          <w:p w14:paraId="11339806">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i/>
                <w:iCs/>
                <w:sz w:val="18"/>
                <w:szCs w:val="18"/>
              </w:rPr>
              <w:t>1.预算执行率=预算执行数/</w:t>
            </w:r>
            <w:r>
              <w:rPr>
                <w:rFonts w:ascii="黑体" w:hAnsi="黑体" w:eastAsia="黑体" w:cs="黑体"/>
                <w:i/>
                <w:iCs/>
                <w:spacing w:val="1"/>
                <w:sz w:val="18"/>
                <w:szCs w:val="18"/>
              </w:rPr>
              <w:t>调整后预算数，</w:t>
            </w:r>
            <w:r>
              <w:rPr>
                <w:rFonts w:ascii="黑体" w:hAnsi="黑体" w:eastAsia="黑体" w:cs="黑体"/>
                <w:spacing w:val="-29"/>
                <w:sz w:val="18"/>
                <w:szCs w:val="18"/>
              </w:rPr>
              <w:t xml:space="preserve"> </w:t>
            </w:r>
            <w:r>
              <w:rPr>
                <w:rFonts w:ascii="黑体" w:hAnsi="黑体" w:eastAsia="黑体" w:cs="黑体"/>
                <w:i/>
                <w:iCs/>
                <w:spacing w:val="1"/>
                <w:sz w:val="18"/>
                <w:szCs w:val="18"/>
              </w:rPr>
              <w:t>预算执行率未达到90%的需说明原因</w:t>
            </w:r>
          </w:p>
          <w:p w14:paraId="70347A24">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i/>
                <w:iCs/>
                <w:spacing w:val="-2"/>
                <w:sz w:val="18"/>
                <w:szCs w:val="18"/>
              </w:rPr>
              <w:t>（100字以内）</w:t>
            </w:r>
            <w:r>
              <w:rPr>
                <w:rFonts w:ascii="黑体" w:hAnsi="黑体" w:eastAsia="黑体" w:cs="黑体"/>
                <w:spacing w:val="-26"/>
                <w:sz w:val="18"/>
                <w:szCs w:val="18"/>
              </w:rPr>
              <w:t xml:space="preserve"> </w:t>
            </w:r>
            <w:r>
              <w:rPr>
                <w:rFonts w:ascii="黑体" w:hAnsi="黑体" w:eastAsia="黑体" w:cs="黑体"/>
                <w:i/>
                <w:iCs/>
                <w:spacing w:val="-2"/>
                <w:sz w:val="18"/>
                <w:szCs w:val="18"/>
              </w:rPr>
              <w:t>;2.年中发生</w:t>
            </w:r>
            <w:r>
              <w:rPr>
                <w:rFonts w:ascii="黑体" w:hAnsi="黑体" w:eastAsia="黑体" w:cs="黑体"/>
                <w:i/>
                <w:iCs/>
                <w:spacing w:val="6"/>
                <w:sz w:val="18"/>
                <w:szCs w:val="18"/>
              </w:rPr>
              <w:t>预算调整的（追加或调</w:t>
            </w:r>
          </w:p>
          <w:p w14:paraId="090723DE">
            <w:pPr>
              <w:pageBreakBefore w:val="0"/>
              <w:kinsoku/>
              <w:overflowPunct/>
              <w:topLinePunct w:val="0"/>
              <w:bidi w:val="0"/>
              <w:spacing w:beforeAutospacing="0" w:after="120" w:afterAutospacing="0" w:line="240" w:lineRule="auto"/>
              <w:ind w:left="0" w:leftChars="0" w:right="0" w:firstLine="348" w:firstLineChars="200"/>
              <w:textAlignment w:val="auto"/>
              <w:rPr>
                <w:rFonts w:ascii="黑体" w:hAnsi="黑体" w:eastAsia="黑体" w:cs="黑体"/>
                <w:sz w:val="18"/>
                <w:szCs w:val="18"/>
              </w:rPr>
            </w:pPr>
            <w:r>
              <w:rPr>
                <w:rFonts w:ascii="黑体" w:hAnsi="黑体" w:eastAsia="黑体" w:cs="黑体"/>
                <w:i/>
                <w:iCs/>
                <w:spacing w:val="-3"/>
                <w:sz w:val="18"/>
                <w:szCs w:val="18"/>
              </w:rPr>
              <w:t>减</w:t>
            </w:r>
            <w:r>
              <w:rPr>
                <w:rFonts w:ascii="黑体" w:hAnsi="黑体" w:eastAsia="黑体" w:cs="黑体"/>
                <w:spacing w:val="-41"/>
                <w:sz w:val="18"/>
                <w:szCs w:val="18"/>
              </w:rPr>
              <w:t xml:space="preserve"> </w:t>
            </w:r>
            <w:r>
              <w:rPr>
                <w:rFonts w:ascii="黑体" w:hAnsi="黑体" w:eastAsia="黑体" w:cs="黑体"/>
                <w:i/>
                <w:iCs/>
                <w:spacing w:val="-3"/>
                <w:sz w:val="18"/>
                <w:szCs w:val="18"/>
              </w:rPr>
              <w:t>）,应单独说明理由</w:t>
            </w:r>
            <w:r>
              <w:rPr>
                <w:rFonts w:ascii="黑体" w:hAnsi="黑体" w:eastAsia="黑体" w:cs="黑体"/>
                <w:spacing w:val="-46"/>
                <w:sz w:val="18"/>
                <w:szCs w:val="18"/>
              </w:rPr>
              <w:t xml:space="preserve"> </w:t>
            </w:r>
            <w:r>
              <w:rPr>
                <w:rFonts w:ascii="黑体" w:hAnsi="黑体" w:eastAsia="黑体" w:cs="黑体"/>
                <w:i/>
                <w:iCs/>
                <w:spacing w:val="-3"/>
                <w:sz w:val="18"/>
                <w:szCs w:val="18"/>
              </w:rPr>
              <w:t>；3.</w:t>
            </w:r>
            <w:r>
              <w:rPr>
                <w:rFonts w:ascii="黑体" w:hAnsi="黑体" w:eastAsia="黑体" w:cs="黑体"/>
                <w:i/>
                <w:iCs/>
                <w:spacing w:val="1"/>
                <w:sz w:val="18"/>
                <w:szCs w:val="18"/>
              </w:rPr>
              <w:t>其他资金包括</w:t>
            </w:r>
            <w:r>
              <w:rPr>
                <w:rFonts w:ascii="黑体" w:hAnsi="黑体" w:eastAsia="黑体" w:cs="黑体"/>
                <w:spacing w:val="-31"/>
                <w:sz w:val="18"/>
                <w:szCs w:val="18"/>
              </w:rPr>
              <w:t xml:space="preserve"> </w:t>
            </w:r>
            <w:r>
              <w:rPr>
                <w:rFonts w:ascii="黑体" w:hAnsi="黑体" w:eastAsia="黑体" w:cs="黑体"/>
                <w:i/>
                <w:iCs/>
                <w:spacing w:val="1"/>
                <w:sz w:val="18"/>
                <w:szCs w:val="18"/>
              </w:rPr>
              <w:t>：社会投入资</w:t>
            </w:r>
            <w:r>
              <w:rPr>
                <w:rFonts w:ascii="黑体" w:hAnsi="黑体" w:eastAsia="黑体" w:cs="黑体"/>
                <w:i/>
                <w:iCs/>
                <w:spacing w:val="-4"/>
                <w:sz w:val="18"/>
                <w:szCs w:val="18"/>
              </w:rPr>
              <w:t>金</w:t>
            </w:r>
            <w:r>
              <w:rPr>
                <w:rFonts w:ascii="黑体" w:hAnsi="黑体" w:eastAsia="黑体" w:cs="黑体"/>
                <w:spacing w:val="-50"/>
                <w:sz w:val="18"/>
                <w:szCs w:val="18"/>
              </w:rPr>
              <w:t xml:space="preserve"> </w:t>
            </w:r>
            <w:r>
              <w:rPr>
                <w:rFonts w:ascii="黑体" w:hAnsi="黑体" w:eastAsia="黑体" w:cs="黑体"/>
                <w:i/>
                <w:iCs/>
                <w:spacing w:val="-4"/>
                <w:sz w:val="18"/>
                <w:szCs w:val="18"/>
              </w:rPr>
              <w:t>、</w:t>
            </w:r>
            <w:r>
              <w:rPr>
                <w:rFonts w:ascii="黑体" w:hAnsi="黑体" w:eastAsia="黑体" w:cs="黑体"/>
                <w:spacing w:val="-42"/>
                <w:sz w:val="18"/>
                <w:szCs w:val="18"/>
              </w:rPr>
              <w:t xml:space="preserve"> </w:t>
            </w:r>
            <w:r>
              <w:rPr>
                <w:rFonts w:ascii="黑体" w:hAnsi="黑体" w:eastAsia="黑体" w:cs="黑体"/>
                <w:i/>
                <w:iCs/>
                <w:spacing w:val="-4"/>
                <w:sz w:val="18"/>
                <w:szCs w:val="18"/>
              </w:rPr>
              <w:t>银行贷款.</w:t>
            </w:r>
          </w:p>
        </w:tc>
      </w:tr>
      <w:tr w14:paraId="7C176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645" w:type="dxa"/>
            <w:vMerge w:val="continue"/>
            <w:tcBorders>
              <w:top w:val="nil"/>
              <w:bottom w:val="nil"/>
            </w:tcBorders>
            <w:vAlign w:val="top"/>
          </w:tcPr>
          <w:p w14:paraId="7DDE3EC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3A839F6E">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其中：财政资金</w:t>
            </w:r>
          </w:p>
        </w:tc>
        <w:tc>
          <w:tcPr>
            <w:tcW w:w="1627" w:type="dxa"/>
            <w:vAlign w:val="top"/>
          </w:tcPr>
          <w:p w14:paraId="741FA0DD">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0.50</w:t>
            </w:r>
          </w:p>
        </w:tc>
        <w:tc>
          <w:tcPr>
            <w:tcW w:w="2081" w:type="dxa"/>
            <w:vAlign w:val="top"/>
          </w:tcPr>
          <w:p w14:paraId="232C770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0.50</w:t>
            </w:r>
          </w:p>
        </w:tc>
        <w:tc>
          <w:tcPr>
            <w:tcW w:w="2508" w:type="dxa"/>
            <w:gridSpan w:val="3"/>
            <w:vAlign w:val="top"/>
          </w:tcPr>
          <w:p w14:paraId="0D4EAB0E">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0.50</w:t>
            </w:r>
          </w:p>
        </w:tc>
        <w:tc>
          <w:tcPr>
            <w:tcW w:w="1007" w:type="dxa"/>
            <w:vAlign w:val="top"/>
          </w:tcPr>
          <w:p w14:paraId="0D266052">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100.00%</w:t>
            </w:r>
          </w:p>
        </w:tc>
        <w:tc>
          <w:tcPr>
            <w:tcW w:w="470" w:type="dxa"/>
            <w:vAlign w:val="top"/>
          </w:tcPr>
          <w:p w14:paraId="64198E67">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2E259132">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32FCC4C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6D9CD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645" w:type="dxa"/>
            <w:vMerge w:val="continue"/>
            <w:tcBorders>
              <w:top w:val="nil"/>
              <w:bottom w:val="nil"/>
            </w:tcBorders>
            <w:vAlign w:val="top"/>
          </w:tcPr>
          <w:p w14:paraId="031AE51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4F38448E">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财政专户管理资金</w:t>
            </w:r>
          </w:p>
        </w:tc>
        <w:tc>
          <w:tcPr>
            <w:tcW w:w="1627" w:type="dxa"/>
            <w:vAlign w:val="top"/>
          </w:tcPr>
          <w:p w14:paraId="7E5DC14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3B4C5064">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4869CD5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0AEE50B2">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7CDC0A26">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05E1278E">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2BCDCE3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222DF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45" w:type="dxa"/>
            <w:vMerge w:val="continue"/>
            <w:tcBorders>
              <w:top w:val="nil"/>
              <w:bottom w:val="nil"/>
            </w:tcBorders>
            <w:vAlign w:val="top"/>
          </w:tcPr>
          <w:p w14:paraId="15BAA66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5AF055BE">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单位资金</w:t>
            </w:r>
          </w:p>
        </w:tc>
        <w:tc>
          <w:tcPr>
            <w:tcW w:w="1627" w:type="dxa"/>
            <w:vAlign w:val="top"/>
          </w:tcPr>
          <w:p w14:paraId="6C1F83E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3C05057E">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758DFB3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2613B570">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325DA81B">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38AD999D">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7A3D485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4E7F2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tcBorders>
            <w:vAlign w:val="top"/>
          </w:tcPr>
          <w:p w14:paraId="6851D17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63B793B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其他资金</w:t>
            </w:r>
          </w:p>
        </w:tc>
        <w:tc>
          <w:tcPr>
            <w:tcW w:w="1627" w:type="dxa"/>
            <w:vAlign w:val="top"/>
          </w:tcPr>
          <w:p w14:paraId="02D39A7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34346B2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508" w:type="dxa"/>
            <w:gridSpan w:val="3"/>
            <w:vAlign w:val="top"/>
          </w:tcPr>
          <w:p w14:paraId="7F8D1E4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765BA40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5E5B0E90">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72A6239C">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tcBorders>
            <w:vAlign w:val="top"/>
          </w:tcPr>
          <w:p w14:paraId="1F27447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6E600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restart"/>
            <w:tcBorders>
              <w:bottom w:val="nil"/>
            </w:tcBorders>
            <w:vAlign w:val="top"/>
          </w:tcPr>
          <w:p w14:paraId="221C012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5096A5A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068BC23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4AC5A9A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0D889871">
            <w:pPr>
              <w:pStyle w:val="39"/>
              <w:pageBreakBefore w:val="0"/>
              <w:kinsoku/>
              <w:overflowPunct/>
              <w:topLinePunct w:val="0"/>
              <w:bidi w:val="0"/>
              <w:spacing w:beforeAutospacing="0" w:after="120" w:afterAutospacing="0" w:line="240" w:lineRule="auto"/>
              <w:ind w:left="0" w:leftChars="0" w:right="0" w:firstLine="344" w:firstLineChars="200"/>
              <w:jc w:val="both"/>
              <w:textAlignment w:val="auto"/>
            </w:pPr>
            <w:r>
              <w:rPr>
                <w:spacing w:val="-4"/>
              </w:rPr>
              <w:t>绩效指</w:t>
            </w:r>
            <w:r>
              <w:rPr>
                <w:spacing w:val="-2"/>
              </w:rPr>
              <w:t>标（90</w:t>
            </w:r>
            <w:r>
              <w:rPr>
                <w:spacing w:val="41"/>
              </w:rPr>
              <w:t>分）</w:t>
            </w:r>
          </w:p>
        </w:tc>
        <w:tc>
          <w:tcPr>
            <w:tcW w:w="1889" w:type="dxa"/>
            <w:vAlign w:val="top"/>
          </w:tcPr>
          <w:p w14:paraId="51976ECF">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一级指标</w:t>
            </w:r>
          </w:p>
        </w:tc>
        <w:tc>
          <w:tcPr>
            <w:tcW w:w="1627" w:type="dxa"/>
            <w:vAlign w:val="top"/>
          </w:tcPr>
          <w:p w14:paraId="709EFA9F">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二级指标</w:t>
            </w:r>
          </w:p>
        </w:tc>
        <w:tc>
          <w:tcPr>
            <w:tcW w:w="2081" w:type="dxa"/>
            <w:vAlign w:val="top"/>
          </w:tcPr>
          <w:p w14:paraId="2B1B625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三级指标</w:t>
            </w:r>
          </w:p>
        </w:tc>
        <w:tc>
          <w:tcPr>
            <w:tcW w:w="482" w:type="dxa"/>
            <w:vAlign w:val="top"/>
          </w:tcPr>
          <w:p w14:paraId="0E55EA5E">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指标</w:t>
            </w:r>
          </w:p>
          <w:p w14:paraId="5F98C7F7">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性质</w:t>
            </w:r>
          </w:p>
        </w:tc>
        <w:tc>
          <w:tcPr>
            <w:tcW w:w="1544" w:type="dxa"/>
            <w:vAlign w:val="top"/>
          </w:tcPr>
          <w:p w14:paraId="0FAC41FF">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指标值</w:t>
            </w:r>
          </w:p>
        </w:tc>
        <w:tc>
          <w:tcPr>
            <w:tcW w:w="482" w:type="dxa"/>
            <w:vAlign w:val="top"/>
          </w:tcPr>
          <w:p w14:paraId="731BFAD8">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度量</w:t>
            </w:r>
          </w:p>
          <w:p w14:paraId="36A24D62">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单位</w:t>
            </w:r>
          </w:p>
        </w:tc>
        <w:tc>
          <w:tcPr>
            <w:tcW w:w="1007" w:type="dxa"/>
            <w:vAlign w:val="top"/>
          </w:tcPr>
          <w:p w14:paraId="3167EF4D">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完成值</w:t>
            </w:r>
          </w:p>
        </w:tc>
        <w:tc>
          <w:tcPr>
            <w:tcW w:w="470" w:type="dxa"/>
            <w:vAlign w:val="top"/>
          </w:tcPr>
          <w:p w14:paraId="16251454">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vAlign w:val="top"/>
          </w:tcPr>
          <w:p w14:paraId="09D7288B">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得</w:t>
            </w:r>
          </w:p>
          <w:p w14:paraId="0DBD65E9">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分</w:t>
            </w:r>
          </w:p>
        </w:tc>
        <w:tc>
          <w:tcPr>
            <w:tcW w:w="2354" w:type="dxa"/>
            <w:vAlign w:val="top"/>
          </w:tcPr>
          <w:p w14:paraId="13C057D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未完成原因分析</w:t>
            </w:r>
          </w:p>
        </w:tc>
      </w:tr>
      <w:tr w14:paraId="51E93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continue"/>
            <w:tcBorders>
              <w:top w:val="nil"/>
              <w:bottom w:val="nil"/>
            </w:tcBorders>
            <w:vAlign w:val="top"/>
          </w:tcPr>
          <w:p w14:paraId="2A33755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45003F4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675C5BF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产出指标</w:t>
            </w:r>
          </w:p>
        </w:tc>
        <w:tc>
          <w:tcPr>
            <w:tcW w:w="1627" w:type="dxa"/>
            <w:vAlign w:val="top"/>
          </w:tcPr>
          <w:p w14:paraId="66850299">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数量指标</w:t>
            </w:r>
          </w:p>
        </w:tc>
        <w:tc>
          <w:tcPr>
            <w:tcW w:w="2081" w:type="dxa"/>
            <w:vAlign w:val="top"/>
          </w:tcPr>
          <w:p w14:paraId="22E23C4E">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安全检查次数</w:t>
            </w:r>
          </w:p>
        </w:tc>
        <w:tc>
          <w:tcPr>
            <w:tcW w:w="482" w:type="dxa"/>
            <w:vAlign w:val="top"/>
          </w:tcPr>
          <w:p w14:paraId="283DF47A">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58703B7D">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12</w:t>
            </w:r>
          </w:p>
        </w:tc>
        <w:tc>
          <w:tcPr>
            <w:tcW w:w="482" w:type="dxa"/>
            <w:vAlign w:val="top"/>
          </w:tcPr>
          <w:p w14:paraId="6EE96824">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次/</w:t>
            </w:r>
            <w:r>
              <w:t>年</w:t>
            </w:r>
          </w:p>
        </w:tc>
        <w:tc>
          <w:tcPr>
            <w:tcW w:w="1007" w:type="dxa"/>
            <w:vAlign w:val="top"/>
          </w:tcPr>
          <w:p w14:paraId="6C4E70B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089A0FB4">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181AF2F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0E32127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3E2CF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43AE79C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1D34CEE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44A93FE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质量指标</w:t>
            </w:r>
          </w:p>
        </w:tc>
        <w:tc>
          <w:tcPr>
            <w:tcW w:w="2081" w:type="dxa"/>
            <w:vAlign w:val="top"/>
          </w:tcPr>
          <w:p w14:paraId="1E59B6C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安全保障能力提升</w:t>
            </w:r>
          </w:p>
        </w:tc>
        <w:tc>
          <w:tcPr>
            <w:tcW w:w="482" w:type="dxa"/>
            <w:vAlign w:val="top"/>
          </w:tcPr>
          <w:p w14:paraId="15F5647B">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定性</w:t>
            </w:r>
          </w:p>
        </w:tc>
        <w:tc>
          <w:tcPr>
            <w:tcW w:w="1544" w:type="dxa"/>
            <w:vAlign w:val="top"/>
          </w:tcPr>
          <w:p w14:paraId="1D07F64C">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显著提升</w:t>
            </w:r>
          </w:p>
        </w:tc>
        <w:tc>
          <w:tcPr>
            <w:tcW w:w="482" w:type="dxa"/>
            <w:vAlign w:val="top"/>
          </w:tcPr>
          <w:p w14:paraId="6ACD0C6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1A6CCBA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1A2D72F6">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4594D32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5193981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6AAA3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2C2AA25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4246E444">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效益指标</w:t>
            </w:r>
          </w:p>
        </w:tc>
        <w:tc>
          <w:tcPr>
            <w:tcW w:w="1627" w:type="dxa"/>
            <w:vAlign w:val="top"/>
          </w:tcPr>
          <w:p w14:paraId="3A9F2A3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社会效益指标</w:t>
            </w:r>
          </w:p>
        </w:tc>
        <w:tc>
          <w:tcPr>
            <w:tcW w:w="2081" w:type="dxa"/>
            <w:vAlign w:val="top"/>
          </w:tcPr>
          <w:p w14:paraId="50F6EF9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事故发生次数</w:t>
            </w:r>
          </w:p>
        </w:tc>
        <w:tc>
          <w:tcPr>
            <w:tcW w:w="482" w:type="dxa"/>
            <w:vAlign w:val="top"/>
          </w:tcPr>
          <w:p w14:paraId="527A812D">
            <w:pPr>
              <w:pStyle w:val="39"/>
              <w:pageBreakBefore w:val="0"/>
              <w:kinsoku/>
              <w:overflowPunct/>
              <w:topLinePunct w:val="0"/>
              <w:bidi w:val="0"/>
              <w:spacing w:beforeAutospacing="0" w:after="120" w:afterAutospacing="0" w:line="240" w:lineRule="auto"/>
              <w:ind w:left="0" w:leftChars="0" w:right="0" w:firstLine="550" w:firstLineChars="200"/>
              <w:textAlignment w:val="auto"/>
            </w:pPr>
            <w:r>
              <w:rPr>
                <w:spacing w:val="25"/>
                <w:w w:val="125"/>
              </w:rPr>
              <w:t>&lt;</w:t>
            </w:r>
          </w:p>
        </w:tc>
        <w:tc>
          <w:tcPr>
            <w:tcW w:w="1544" w:type="dxa"/>
            <w:vAlign w:val="top"/>
          </w:tcPr>
          <w:p w14:paraId="6D6ADB0F">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1</w:t>
            </w:r>
          </w:p>
        </w:tc>
        <w:tc>
          <w:tcPr>
            <w:tcW w:w="482" w:type="dxa"/>
            <w:vAlign w:val="top"/>
          </w:tcPr>
          <w:p w14:paraId="53ACD283">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4381A0E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67B8B3E8">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7517464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54A9FFF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2AB1A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6CE9584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73D4277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01A1A99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可持续发展指标</w:t>
            </w:r>
          </w:p>
        </w:tc>
        <w:tc>
          <w:tcPr>
            <w:tcW w:w="2081" w:type="dxa"/>
            <w:vAlign w:val="top"/>
          </w:tcPr>
          <w:p w14:paraId="5ACCC342">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常态化开展安全排查</w:t>
            </w:r>
          </w:p>
        </w:tc>
        <w:tc>
          <w:tcPr>
            <w:tcW w:w="482" w:type="dxa"/>
            <w:vAlign w:val="top"/>
          </w:tcPr>
          <w:p w14:paraId="0E159C96">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5FFFAFF9">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12</w:t>
            </w:r>
          </w:p>
        </w:tc>
        <w:tc>
          <w:tcPr>
            <w:tcW w:w="482" w:type="dxa"/>
            <w:vAlign w:val="top"/>
          </w:tcPr>
          <w:p w14:paraId="120E311C">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次</w:t>
            </w:r>
          </w:p>
        </w:tc>
        <w:tc>
          <w:tcPr>
            <w:tcW w:w="1007" w:type="dxa"/>
            <w:vAlign w:val="top"/>
          </w:tcPr>
          <w:p w14:paraId="4F10330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3A705A5A">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76AD183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1532431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579B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continue"/>
            <w:tcBorders>
              <w:top w:val="nil"/>
              <w:bottom w:val="nil"/>
            </w:tcBorders>
            <w:vAlign w:val="top"/>
          </w:tcPr>
          <w:p w14:paraId="453B4E6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4E631E8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满意度指标</w:t>
            </w:r>
          </w:p>
        </w:tc>
        <w:tc>
          <w:tcPr>
            <w:tcW w:w="1627" w:type="dxa"/>
            <w:vAlign w:val="top"/>
          </w:tcPr>
          <w:p w14:paraId="13041267">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服务对象满意度指</w:t>
            </w:r>
          </w:p>
          <w:p w14:paraId="1DE8D572">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标</w:t>
            </w:r>
          </w:p>
        </w:tc>
        <w:tc>
          <w:tcPr>
            <w:tcW w:w="2081" w:type="dxa"/>
            <w:vAlign w:val="top"/>
          </w:tcPr>
          <w:p w14:paraId="3D5B72A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群众满意度</w:t>
            </w:r>
          </w:p>
        </w:tc>
        <w:tc>
          <w:tcPr>
            <w:tcW w:w="482" w:type="dxa"/>
            <w:vAlign w:val="top"/>
          </w:tcPr>
          <w:p w14:paraId="0D7F6BE8">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58AD1E00">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21AFA3C0">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027A8CB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2788F25A">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5593FE9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6AA120E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686B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54116E3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3D891811">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成本指标</w:t>
            </w:r>
          </w:p>
        </w:tc>
        <w:tc>
          <w:tcPr>
            <w:tcW w:w="1627" w:type="dxa"/>
            <w:vMerge w:val="restart"/>
            <w:tcBorders>
              <w:bottom w:val="nil"/>
            </w:tcBorders>
            <w:vAlign w:val="top"/>
          </w:tcPr>
          <w:p w14:paraId="2B256C1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经济成本指标</w:t>
            </w:r>
          </w:p>
        </w:tc>
        <w:tc>
          <w:tcPr>
            <w:tcW w:w="2081" w:type="dxa"/>
            <w:vAlign w:val="top"/>
          </w:tcPr>
          <w:p w14:paraId="2D99176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保障经费</w:t>
            </w:r>
          </w:p>
        </w:tc>
        <w:tc>
          <w:tcPr>
            <w:tcW w:w="482" w:type="dxa"/>
            <w:vAlign w:val="top"/>
          </w:tcPr>
          <w:p w14:paraId="711C80DD">
            <w:pPr>
              <w:pStyle w:val="39"/>
              <w:pageBreakBefore w:val="0"/>
              <w:kinsoku/>
              <w:overflowPunct/>
              <w:topLinePunct w:val="0"/>
              <w:bidi w:val="0"/>
              <w:spacing w:beforeAutospacing="0" w:after="120" w:afterAutospacing="0" w:line="240" w:lineRule="auto"/>
              <w:ind w:left="0" w:leftChars="0" w:right="0" w:firstLine="522" w:firstLineChars="200"/>
              <w:textAlignment w:val="auto"/>
            </w:pPr>
            <w:r>
              <w:rPr>
                <w:spacing w:val="18"/>
                <w:w w:val="125"/>
                <w:position w:val="-2"/>
              </w:rPr>
              <w:t>=</w:t>
            </w:r>
          </w:p>
        </w:tc>
        <w:tc>
          <w:tcPr>
            <w:tcW w:w="1544" w:type="dxa"/>
            <w:vAlign w:val="top"/>
          </w:tcPr>
          <w:p w14:paraId="5A605A27">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1</w:t>
            </w:r>
          </w:p>
        </w:tc>
        <w:tc>
          <w:tcPr>
            <w:tcW w:w="482" w:type="dxa"/>
            <w:vAlign w:val="top"/>
          </w:tcPr>
          <w:p w14:paraId="2775A107">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万元</w:t>
            </w:r>
          </w:p>
        </w:tc>
        <w:tc>
          <w:tcPr>
            <w:tcW w:w="1007" w:type="dxa"/>
            <w:vAlign w:val="top"/>
          </w:tcPr>
          <w:p w14:paraId="7D04672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728BCFF7">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748A5AE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25C3542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C95C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tcBorders>
            <w:vAlign w:val="top"/>
          </w:tcPr>
          <w:p w14:paraId="19F8B60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69FD06E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Merge w:val="continue"/>
            <w:tcBorders>
              <w:top w:val="nil"/>
            </w:tcBorders>
            <w:vAlign w:val="top"/>
          </w:tcPr>
          <w:p w14:paraId="3497052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7708CF5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经费执行率</w:t>
            </w:r>
          </w:p>
        </w:tc>
        <w:tc>
          <w:tcPr>
            <w:tcW w:w="482" w:type="dxa"/>
            <w:vAlign w:val="top"/>
          </w:tcPr>
          <w:p w14:paraId="342028BC">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305D070A">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0C707906">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21A421A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6805EF39">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231034A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093EA02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3D246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757" w:type="dxa"/>
            <w:gridSpan w:val="8"/>
            <w:vAlign w:val="top"/>
          </w:tcPr>
          <w:p w14:paraId="434D63AB">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合计</w:t>
            </w:r>
          </w:p>
        </w:tc>
        <w:tc>
          <w:tcPr>
            <w:tcW w:w="470" w:type="dxa"/>
            <w:vAlign w:val="top"/>
          </w:tcPr>
          <w:p w14:paraId="01F5492F">
            <w:pPr>
              <w:pStyle w:val="39"/>
              <w:pageBreakBefore w:val="0"/>
              <w:kinsoku/>
              <w:overflowPunct/>
              <w:topLinePunct w:val="0"/>
              <w:bidi w:val="0"/>
              <w:spacing w:beforeAutospacing="0" w:after="120" w:afterAutospacing="0" w:line="240" w:lineRule="auto"/>
              <w:ind w:left="0" w:leftChars="0" w:right="0" w:firstLine="332" w:firstLineChars="200"/>
              <w:textAlignment w:val="auto"/>
            </w:pPr>
            <w:r>
              <w:rPr>
                <w:spacing w:val="-7"/>
              </w:rPr>
              <w:t>100</w:t>
            </w:r>
          </w:p>
        </w:tc>
        <w:tc>
          <w:tcPr>
            <w:tcW w:w="414" w:type="dxa"/>
            <w:vAlign w:val="top"/>
          </w:tcPr>
          <w:p w14:paraId="48D9AD4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0EA6BEC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23F26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9" w:hRule="atLeast"/>
        </w:trPr>
        <w:tc>
          <w:tcPr>
            <w:tcW w:w="645" w:type="dxa"/>
            <w:vAlign w:val="top"/>
          </w:tcPr>
          <w:p w14:paraId="10F1893D">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评价结</w:t>
            </w:r>
            <w:r>
              <w:t>论</w:t>
            </w:r>
          </w:p>
        </w:tc>
        <w:tc>
          <w:tcPr>
            <w:tcW w:w="12350" w:type="dxa"/>
            <w:gridSpan w:val="10"/>
            <w:vAlign w:val="top"/>
          </w:tcPr>
          <w:p w14:paraId="134CD562">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说明项目自评总分</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说明项目实施取得的成效或成</w:t>
            </w:r>
            <w:r>
              <w:rPr>
                <w:rFonts w:ascii="微软雅黑" w:hAnsi="微软雅黑" w:eastAsia="微软雅黑" w:cs="微软雅黑"/>
                <w:i/>
                <w:iCs/>
                <w:spacing w:val="1"/>
                <w:sz w:val="16"/>
                <w:szCs w:val="16"/>
              </w:rPr>
              <w:t>果</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1"/>
                <w:sz w:val="16"/>
                <w:szCs w:val="16"/>
              </w:rPr>
              <w:t>。</w:t>
            </w:r>
            <w:r>
              <w:rPr>
                <w:rFonts w:ascii="微软雅黑" w:hAnsi="微软雅黑" w:eastAsia="微软雅黑" w:cs="微软雅黑"/>
                <w:spacing w:val="1"/>
                <w:sz w:val="16"/>
                <w:szCs w:val="16"/>
              </w:rPr>
              <w:t xml:space="preserve"> </w:t>
            </w:r>
            <w:r>
              <w:rPr>
                <w:rFonts w:ascii="微软雅黑" w:hAnsi="微软雅黑" w:eastAsia="微软雅黑" w:cs="微软雅黑"/>
                <w:i/>
                <w:iCs/>
                <w:spacing w:val="1"/>
                <w:sz w:val="16"/>
                <w:szCs w:val="16"/>
              </w:rPr>
              <w:t>（20字以内</w:t>
            </w:r>
            <w:r>
              <w:rPr>
                <w:rFonts w:ascii="微软雅黑" w:hAnsi="微软雅黑" w:eastAsia="微软雅黑" w:cs="微软雅黑"/>
                <w:spacing w:val="-17"/>
                <w:sz w:val="16"/>
                <w:szCs w:val="16"/>
              </w:rPr>
              <w:t xml:space="preserve"> </w:t>
            </w:r>
            <w:r>
              <w:rPr>
                <w:rFonts w:ascii="微软雅黑" w:hAnsi="微软雅黑" w:eastAsia="微软雅黑" w:cs="微软雅黑"/>
                <w:i/>
                <w:iCs/>
                <w:spacing w:val="1"/>
                <w:sz w:val="16"/>
                <w:szCs w:val="16"/>
              </w:rPr>
              <w:t>）</w:t>
            </w:r>
          </w:p>
        </w:tc>
      </w:tr>
      <w:tr w14:paraId="570C6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645" w:type="dxa"/>
            <w:vAlign w:val="top"/>
          </w:tcPr>
          <w:p w14:paraId="1505BAFE">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存在问</w:t>
            </w:r>
            <w:r>
              <w:t>题</w:t>
            </w:r>
          </w:p>
        </w:tc>
        <w:tc>
          <w:tcPr>
            <w:tcW w:w="12350" w:type="dxa"/>
            <w:gridSpan w:val="10"/>
            <w:vAlign w:val="top"/>
          </w:tcPr>
          <w:p w14:paraId="28D62B43">
            <w:pPr>
              <w:pageBreakBefore w:val="0"/>
              <w:kinsoku/>
              <w:overflowPunct/>
              <w:topLinePunct w:val="0"/>
              <w:bidi w:val="0"/>
              <w:spacing w:beforeAutospacing="0" w:after="120" w:afterAutospacing="0" w:line="240" w:lineRule="auto"/>
              <w:ind w:left="0" w:leftChars="0" w:right="0" w:firstLine="332"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3"/>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分析存在的问题及原因</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（20字以内</w:t>
            </w:r>
            <w:r>
              <w:rPr>
                <w:rFonts w:ascii="微软雅黑" w:hAnsi="微软雅黑" w:eastAsia="微软雅黑" w:cs="微软雅黑"/>
                <w:spacing w:val="-18"/>
                <w:sz w:val="16"/>
                <w:szCs w:val="16"/>
              </w:rPr>
              <w:t xml:space="preserve"> </w:t>
            </w:r>
            <w:r>
              <w:rPr>
                <w:rFonts w:ascii="微软雅黑" w:hAnsi="微软雅黑" w:eastAsia="微软雅黑" w:cs="微软雅黑"/>
                <w:i/>
                <w:iCs/>
                <w:spacing w:val="3"/>
                <w:sz w:val="16"/>
                <w:szCs w:val="16"/>
              </w:rPr>
              <w:t>）</w:t>
            </w:r>
          </w:p>
        </w:tc>
      </w:tr>
      <w:tr w14:paraId="10C55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0" w:hRule="atLeast"/>
        </w:trPr>
        <w:tc>
          <w:tcPr>
            <w:tcW w:w="645" w:type="dxa"/>
            <w:vAlign w:val="top"/>
          </w:tcPr>
          <w:p w14:paraId="21840E19">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改进措</w:t>
            </w:r>
            <w:r>
              <w:t>施</w:t>
            </w:r>
          </w:p>
        </w:tc>
        <w:tc>
          <w:tcPr>
            <w:tcW w:w="12350" w:type="dxa"/>
            <w:gridSpan w:val="10"/>
            <w:vAlign w:val="top"/>
          </w:tcPr>
          <w:p w14:paraId="290045C4">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针对项目自评中发现的问题</w:t>
            </w:r>
            <w:r>
              <w:rPr>
                <w:rFonts w:ascii="微软雅黑" w:hAnsi="微软雅黑" w:eastAsia="微软雅黑" w:cs="微软雅黑"/>
                <w:spacing w:val="4"/>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提出下一步改进完善的意见及有关政策性建议</w:t>
            </w:r>
            <w:r>
              <w:rPr>
                <w:rFonts w:ascii="微软雅黑" w:hAnsi="微软雅黑" w:eastAsia="微软雅黑" w:cs="微软雅黑"/>
                <w:spacing w:val="-25"/>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（20字以内</w:t>
            </w:r>
            <w:r>
              <w:rPr>
                <w:rFonts w:ascii="微软雅黑" w:hAnsi="微软雅黑" w:eastAsia="微软雅黑" w:cs="微软雅黑"/>
                <w:spacing w:val="-20"/>
                <w:sz w:val="16"/>
                <w:szCs w:val="16"/>
              </w:rPr>
              <w:t xml:space="preserve"> </w:t>
            </w:r>
            <w:r>
              <w:rPr>
                <w:rFonts w:ascii="微软雅黑" w:hAnsi="微软雅黑" w:eastAsia="微软雅黑" w:cs="微软雅黑"/>
                <w:i/>
                <w:iCs/>
                <w:spacing w:val="2"/>
                <w:sz w:val="16"/>
                <w:szCs w:val="16"/>
              </w:rPr>
              <w:t>）</w:t>
            </w:r>
          </w:p>
        </w:tc>
      </w:tr>
      <w:tr w14:paraId="73B1E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0" w:hRule="atLeast"/>
        </w:trPr>
        <w:tc>
          <w:tcPr>
            <w:tcW w:w="6724" w:type="dxa"/>
            <w:gridSpan w:val="5"/>
            <w:vAlign w:val="top"/>
          </w:tcPr>
          <w:p w14:paraId="662EED5F">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项目负责人：</w:t>
            </w:r>
          </w:p>
        </w:tc>
        <w:tc>
          <w:tcPr>
            <w:tcW w:w="6271" w:type="dxa"/>
            <w:gridSpan w:val="6"/>
            <w:vAlign w:val="top"/>
          </w:tcPr>
          <w:p w14:paraId="65892674">
            <w:pPr>
              <w:pageBreakBefore w:val="0"/>
              <w:kinsoku/>
              <w:overflowPunct/>
              <w:topLinePunct w:val="0"/>
              <w:bidi w:val="0"/>
              <w:spacing w:beforeAutospacing="0" w:after="120" w:afterAutospacing="0" w:line="240" w:lineRule="auto"/>
              <w:ind w:left="0" w:leftChars="0" w:right="0" w:firstLine="356" w:firstLineChars="200"/>
              <w:textAlignment w:val="auto"/>
              <w:rPr>
                <w:rFonts w:ascii="黑体" w:hAnsi="黑体" w:eastAsia="黑体" w:cs="黑体"/>
                <w:sz w:val="18"/>
                <w:szCs w:val="18"/>
              </w:rPr>
            </w:pPr>
            <w:r>
              <w:rPr>
                <w:rFonts w:ascii="黑体" w:hAnsi="黑体" w:eastAsia="黑体" w:cs="黑体"/>
                <w:spacing w:val="-1"/>
                <w:sz w:val="18"/>
                <w:szCs w:val="18"/>
              </w:rPr>
              <w:t>财务负责人：</w:t>
            </w:r>
          </w:p>
        </w:tc>
      </w:tr>
    </w:tbl>
    <w:p w14:paraId="417BC44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0F5C4CB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hAnsi="Arial" w:eastAsia="Arial" w:cs="Arial"/>
          <w:sz w:val="21"/>
          <w:szCs w:val="21"/>
        </w:rPr>
        <w:sectPr>
          <w:footerReference r:id="rId6" w:type="default"/>
          <w:pgSz w:w="16837" w:h="23812"/>
          <w:pgMar w:top="2098" w:right="1474" w:bottom="1984" w:left="1587" w:header="0" w:footer="0" w:gutter="0"/>
          <w:pgNumType w:fmt="decimal" w:start="1"/>
          <w:cols w:space="0" w:num="1"/>
          <w:rtlGutter w:val="0"/>
        </w:sectPr>
      </w:pPr>
    </w:p>
    <w:tbl>
      <w:tblPr>
        <w:tblStyle w:val="38"/>
        <w:tblW w:w="1299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5"/>
        <w:gridCol w:w="1889"/>
        <w:gridCol w:w="1627"/>
        <w:gridCol w:w="2081"/>
        <w:gridCol w:w="482"/>
        <w:gridCol w:w="1544"/>
        <w:gridCol w:w="482"/>
        <w:gridCol w:w="1007"/>
        <w:gridCol w:w="470"/>
        <w:gridCol w:w="414"/>
        <w:gridCol w:w="2354"/>
      </w:tblGrid>
      <w:tr w14:paraId="01C4D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1" w:hRule="atLeast"/>
        </w:trPr>
        <w:tc>
          <w:tcPr>
            <w:tcW w:w="12995" w:type="dxa"/>
            <w:gridSpan w:val="11"/>
            <w:vAlign w:val="top"/>
          </w:tcPr>
          <w:p w14:paraId="10E1320B">
            <w:pPr>
              <w:pageBreakBefore w:val="0"/>
              <w:kinsoku/>
              <w:overflowPunct/>
              <w:topLinePunct w:val="0"/>
              <w:bidi w:val="0"/>
              <w:spacing w:beforeAutospacing="0" w:after="120" w:afterAutospacing="0" w:line="240" w:lineRule="auto"/>
              <w:ind w:left="0" w:leftChars="0" w:right="0" w:firstLine="602" w:firstLineChars="200"/>
              <w:textAlignment w:val="auto"/>
              <w:rPr>
                <w:rFonts w:ascii="黑体" w:hAnsi="黑体" w:eastAsia="黑体" w:cs="黑体"/>
                <w:sz w:val="30"/>
                <w:szCs w:val="30"/>
              </w:rPr>
            </w:pPr>
            <w:r>
              <w:rPr>
                <w:rFonts w:ascii="黑体" w:hAnsi="黑体" w:eastAsia="黑体" w:cs="黑体"/>
                <w:b/>
                <w:bCs/>
                <w:sz w:val="30"/>
                <w:szCs w:val="30"/>
              </w:rPr>
              <w:t>部门预算项目支出绩效自评表（2025年度）</w:t>
            </w:r>
          </w:p>
        </w:tc>
      </w:tr>
      <w:tr w14:paraId="667AA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2534" w:type="dxa"/>
            <w:gridSpan w:val="2"/>
            <w:vAlign w:val="top"/>
          </w:tcPr>
          <w:p w14:paraId="50370407">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项目名称</w:t>
            </w:r>
          </w:p>
        </w:tc>
        <w:tc>
          <w:tcPr>
            <w:tcW w:w="10461" w:type="dxa"/>
            <w:gridSpan w:val="9"/>
            <w:vAlign w:val="top"/>
          </w:tcPr>
          <w:p w14:paraId="5BB4D472">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51323321T000000107693-群团工作经费</w:t>
            </w:r>
          </w:p>
        </w:tc>
      </w:tr>
      <w:tr w14:paraId="45CFD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2534" w:type="dxa"/>
            <w:gridSpan w:val="2"/>
            <w:vAlign w:val="top"/>
          </w:tcPr>
          <w:p w14:paraId="72E28336">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主管部门</w:t>
            </w:r>
          </w:p>
        </w:tc>
        <w:tc>
          <w:tcPr>
            <w:tcW w:w="6216" w:type="dxa"/>
            <w:gridSpan w:val="5"/>
            <w:vAlign w:val="top"/>
          </w:tcPr>
          <w:p w14:paraId="0030B97E">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红原县阿木乡人民政府</w:t>
            </w:r>
          </w:p>
        </w:tc>
        <w:tc>
          <w:tcPr>
            <w:tcW w:w="1007" w:type="dxa"/>
            <w:vAlign w:val="top"/>
          </w:tcPr>
          <w:p w14:paraId="73BBAA38">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spacing w:val="-2"/>
                <w:sz w:val="18"/>
                <w:szCs w:val="18"/>
              </w:rPr>
              <w:t>实施单位</w:t>
            </w:r>
          </w:p>
          <w:p w14:paraId="42EF78A8">
            <w:pPr>
              <w:pageBreakBefore w:val="0"/>
              <w:kinsoku/>
              <w:overflowPunct/>
              <w:topLinePunct w:val="0"/>
              <w:bidi w:val="0"/>
              <w:spacing w:beforeAutospacing="0" w:after="120" w:afterAutospacing="0" w:line="240" w:lineRule="auto"/>
              <w:ind w:left="0" w:leftChars="0" w:right="0" w:firstLine="336" w:firstLineChars="200"/>
              <w:textAlignment w:val="auto"/>
              <w:rPr>
                <w:rFonts w:ascii="黑体" w:hAnsi="黑体" w:eastAsia="黑体" w:cs="黑体"/>
                <w:sz w:val="18"/>
                <w:szCs w:val="18"/>
              </w:rPr>
            </w:pPr>
            <w:r>
              <w:rPr>
                <w:rFonts w:ascii="黑体" w:hAnsi="黑体" w:eastAsia="黑体" w:cs="黑体"/>
                <w:spacing w:val="-6"/>
                <w:sz w:val="18"/>
                <w:szCs w:val="18"/>
              </w:rPr>
              <w:t>（盖章）</w:t>
            </w:r>
          </w:p>
        </w:tc>
        <w:tc>
          <w:tcPr>
            <w:tcW w:w="3238" w:type="dxa"/>
            <w:gridSpan w:val="3"/>
            <w:vAlign w:val="top"/>
          </w:tcPr>
          <w:p w14:paraId="2998C5BC">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红原县阿木乡机关</w:t>
            </w:r>
          </w:p>
        </w:tc>
      </w:tr>
      <w:tr w14:paraId="5EB60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645" w:type="dxa"/>
            <w:vMerge w:val="restart"/>
            <w:tcBorders>
              <w:bottom w:val="nil"/>
            </w:tcBorders>
            <w:vAlign w:val="top"/>
          </w:tcPr>
          <w:p w14:paraId="204D078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6501435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14B933BC">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项目基</w:t>
            </w:r>
            <w:r>
              <w:rPr>
                <w:spacing w:val="-3"/>
              </w:rPr>
              <w:t>本情况</w:t>
            </w:r>
          </w:p>
        </w:tc>
        <w:tc>
          <w:tcPr>
            <w:tcW w:w="1889" w:type="dxa"/>
            <w:vMerge w:val="restart"/>
            <w:tcBorders>
              <w:bottom w:val="nil"/>
            </w:tcBorders>
            <w:vAlign w:val="top"/>
          </w:tcPr>
          <w:p w14:paraId="71C43DDC">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1.项目年度目标完成情</w:t>
            </w:r>
            <w:r>
              <w:t>况</w:t>
            </w:r>
          </w:p>
        </w:tc>
        <w:tc>
          <w:tcPr>
            <w:tcW w:w="6216" w:type="dxa"/>
            <w:gridSpan w:val="5"/>
            <w:vAlign w:val="top"/>
          </w:tcPr>
          <w:p w14:paraId="1EEC4F62">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项目年度目标</w:t>
            </w:r>
          </w:p>
        </w:tc>
        <w:tc>
          <w:tcPr>
            <w:tcW w:w="4245" w:type="dxa"/>
            <w:gridSpan w:val="4"/>
            <w:vAlign w:val="top"/>
          </w:tcPr>
          <w:p w14:paraId="5C336106">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年度目标完成情况</w:t>
            </w:r>
          </w:p>
        </w:tc>
      </w:tr>
      <w:tr w14:paraId="4F59C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4" w:hRule="atLeast"/>
        </w:trPr>
        <w:tc>
          <w:tcPr>
            <w:tcW w:w="645" w:type="dxa"/>
            <w:vMerge w:val="continue"/>
            <w:tcBorders>
              <w:top w:val="nil"/>
              <w:bottom w:val="nil"/>
            </w:tcBorders>
            <w:vAlign w:val="top"/>
          </w:tcPr>
          <w:p w14:paraId="567A5F7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3A9EA48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6216" w:type="dxa"/>
            <w:gridSpan w:val="5"/>
            <w:vAlign w:val="top"/>
          </w:tcPr>
          <w:p w14:paraId="2D8A842F">
            <w:pPr>
              <w:pStyle w:val="39"/>
              <w:pageBreakBefore w:val="0"/>
              <w:kinsoku/>
              <w:overflowPunct/>
              <w:topLinePunct w:val="0"/>
              <w:bidi w:val="0"/>
              <w:spacing w:beforeAutospacing="0" w:after="120" w:afterAutospacing="0" w:line="240" w:lineRule="auto"/>
              <w:ind w:left="0" w:leftChars="0" w:right="0" w:firstLine="360" w:firstLineChars="200"/>
              <w:jc w:val="both"/>
              <w:textAlignment w:val="auto"/>
            </w:pPr>
            <w:r>
              <w:t>按照群团工作要坚持党对群团工作的统一领导，坚持发</w:t>
            </w:r>
            <w:r>
              <w:rPr>
                <w:spacing w:val="-1"/>
              </w:rPr>
              <w:t>挥桥梁和纽带作用，坚</w:t>
            </w:r>
            <w:r>
              <w:t>持围绕中心、服务大局，坚持服务群众的工作生命线，坚</w:t>
            </w:r>
            <w:r>
              <w:rPr>
                <w:spacing w:val="-1"/>
              </w:rPr>
              <w:t>持与时俱进、改革创</w:t>
            </w:r>
            <w:r>
              <w:t>新，坚持依法依章程独立自主开展工作的要求，</w:t>
            </w:r>
            <w:r>
              <w:rPr>
                <w:spacing w:val="-1"/>
              </w:rPr>
              <w:t>发挥其应有的作用。</w:t>
            </w:r>
          </w:p>
        </w:tc>
        <w:tc>
          <w:tcPr>
            <w:tcW w:w="4245" w:type="dxa"/>
            <w:gridSpan w:val="4"/>
            <w:vAlign w:val="top"/>
          </w:tcPr>
          <w:p w14:paraId="09C06056">
            <w:pPr>
              <w:pageBreakBefore w:val="0"/>
              <w:kinsoku/>
              <w:overflowPunct/>
              <w:topLinePunct w:val="0"/>
              <w:bidi w:val="0"/>
              <w:spacing w:beforeAutospacing="0" w:after="120" w:afterAutospacing="0" w:line="240" w:lineRule="auto"/>
              <w:ind w:left="0" w:leftChars="0" w:right="0" w:firstLine="364" w:firstLineChars="200"/>
              <w:textAlignment w:val="auto"/>
              <w:rPr>
                <w:rFonts w:ascii="黑体" w:hAnsi="黑体" w:eastAsia="黑体" w:cs="黑体"/>
                <w:sz w:val="18"/>
                <w:szCs w:val="18"/>
              </w:rPr>
            </w:pPr>
            <w:r>
              <w:rPr>
                <w:rFonts w:ascii="黑体" w:hAnsi="黑体" w:eastAsia="黑体" w:cs="黑体"/>
                <w:spacing w:val="1"/>
                <w:sz w:val="18"/>
                <w:szCs w:val="18"/>
              </w:rPr>
              <w:t>对照年度目标，说明相关任务目标的完成情况（100</w:t>
            </w:r>
            <w:r>
              <w:rPr>
                <w:rFonts w:ascii="黑体" w:hAnsi="黑体" w:eastAsia="黑体" w:cs="黑体"/>
                <w:spacing w:val="-3"/>
                <w:sz w:val="18"/>
                <w:szCs w:val="18"/>
              </w:rPr>
              <w:t>字以内）</w:t>
            </w:r>
          </w:p>
        </w:tc>
      </w:tr>
      <w:tr w14:paraId="24958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645" w:type="dxa"/>
            <w:vMerge w:val="continue"/>
            <w:tcBorders>
              <w:top w:val="nil"/>
            </w:tcBorders>
            <w:vAlign w:val="top"/>
          </w:tcPr>
          <w:p w14:paraId="3EDA126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5D745394">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2.项目实施内容及过程</w:t>
            </w:r>
            <w:r>
              <w:rPr>
                <w:spacing w:val="-4"/>
              </w:rPr>
              <w:t>概述</w:t>
            </w:r>
          </w:p>
        </w:tc>
        <w:tc>
          <w:tcPr>
            <w:tcW w:w="10461" w:type="dxa"/>
            <w:gridSpan w:val="9"/>
            <w:vAlign w:val="top"/>
          </w:tcPr>
          <w:p w14:paraId="354492B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65979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45" w:type="dxa"/>
            <w:vMerge w:val="restart"/>
            <w:tcBorders>
              <w:bottom w:val="nil"/>
            </w:tcBorders>
            <w:vAlign w:val="top"/>
          </w:tcPr>
          <w:p w14:paraId="20B43FD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41D8FBC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6C02E429">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预算执</w:t>
            </w:r>
          </w:p>
          <w:p w14:paraId="0428FF8D">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行情况</w:t>
            </w:r>
          </w:p>
          <w:p w14:paraId="40ABC064">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（10分</w:t>
            </w:r>
            <w:r>
              <w:rPr>
                <w:spacing w:val="1"/>
              </w:rPr>
              <w:t xml:space="preserve"> </w:t>
            </w:r>
            <w:r>
              <w:t>)</w:t>
            </w:r>
          </w:p>
        </w:tc>
        <w:tc>
          <w:tcPr>
            <w:tcW w:w="1889" w:type="dxa"/>
            <w:vAlign w:val="top"/>
          </w:tcPr>
          <w:p w14:paraId="7FE0FA4D">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年度预算数（万元）</w:t>
            </w:r>
          </w:p>
        </w:tc>
        <w:tc>
          <w:tcPr>
            <w:tcW w:w="1627" w:type="dxa"/>
            <w:vAlign w:val="top"/>
          </w:tcPr>
          <w:p w14:paraId="3546D45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年初预算</w:t>
            </w:r>
          </w:p>
        </w:tc>
        <w:tc>
          <w:tcPr>
            <w:tcW w:w="2081" w:type="dxa"/>
            <w:vAlign w:val="top"/>
          </w:tcPr>
          <w:p w14:paraId="5F7B850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调整后预算数</w:t>
            </w:r>
          </w:p>
        </w:tc>
        <w:tc>
          <w:tcPr>
            <w:tcW w:w="2508" w:type="dxa"/>
            <w:gridSpan w:val="3"/>
            <w:vAlign w:val="top"/>
          </w:tcPr>
          <w:p w14:paraId="1D759212">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预算执行数</w:t>
            </w:r>
          </w:p>
        </w:tc>
        <w:tc>
          <w:tcPr>
            <w:tcW w:w="1007" w:type="dxa"/>
            <w:vAlign w:val="top"/>
          </w:tcPr>
          <w:p w14:paraId="62094B5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预算执行率</w:t>
            </w:r>
          </w:p>
        </w:tc>
        <w:tc>
          <w:tcPr>
            <w:tcW w:w="470" w:type="dxa"/>
            <w:vAlign w:val="top"/>
          </w:tcPr>
          <w:p w14:paraId="14E97B4F">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textDirection w:val="tbRlV"/>
            <w:vAlign w:val="top"/>
          </w:tcPr>
          <w:p w14:paraId="7A44934E">
            <w:pPr>
              <w:pStyle w:val="39"/>
              <w:pageBreakBefore w:val="0"/>
              <w:kinsoku/>
              <w:overflowPunct/>
              <w:topLinePunct w:val="0"/>
              <w:bidi w:val="0"/>
              <w:spacing w:beforeAutospacing="0" w:after="120" w:afterAutospacing="0" w:line="240" w:lineRule="auto"/>
              <w:ind w:left="0" w:leftChars="0" w:right="0" w:firstLine="276" w:firstLineChars="200"/>
              <w:jc w:val="right"/>
              <w:textAlignment w:val="auto"/>
            </w:pPr>
            <w:r>
              <w:rPr>
                <w:spacing w:val="-18"/>
                <w:w w:val="97"/>
              </w:rPr>
              <w:t>得</w:t>
            </w:r>
            <w:r>
              <w:rPr>
                <w:spacing w:val="-8"/>
                <w:w w:val="97"/>
              </w:rPr>
              <w:t>分</w:t>
            </w:r>
          </w:p>
        </w:tc>
        <w:tc>
          <w:tcPr>
            <w:tcW w:w="2354" w:type="dxa"/>
            <w:vAlign w:val="top"/>
          </w:tcPr>
          <w:p w14:paraId="47F9A486">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原因</w:t>
            </w:r>
          </w:p>
        </w:tc>
      </w:tr>
      <w:tr w14:paraId="35CC6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645" w:type="dxa"/>
            <w:vMerge w:val="continue"/>
            <w:tcBorders>
              <w:top w:val="nil"/>
              <w:bottom w:val="nil"/>
            </w:tcBorders>
            <w:vAlign w:val="top"/>
          </w:tcPr>
          <w:p w14:paraId="6031D13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0B057983">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总额</w:t>
            </w:r>
          </w:p>
        </w:tc>
        <w:tc>
          <w:tcPr>
            <w:tcW w:w="1627" w:type="dxa"/>
            <w:vAlign w:val="top"/>
          </w:tcPr>
          <w:p w14:paraId="0F84E3E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2.00</w:t>
            </w:r>
          </w:p>
        </w:tc>
        <w:tc>
          <w:tcPr>
            <w:tcW w:w="2081" w:type="dxa"/>
            <w:vAlign w:val="top"/>
          </w:tcPr>
          <w:p w14:paraId="66E0E33E">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2.00</w:t>
            </w:r>
          </w:p>
        </w:tc>
        <w:tc>
          <w:tcPr>
            <w:tcW w:w="2508" w:type="dxa"/>
            <w:gridSpan w:val="3"/>
            <w:vAlign w:val="top"/>
          </w:tcPr>
          <w:p w14:paraId="7F1E856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2.00</w:t>
            </w:r>
          </w:p>
        </w:tc>
        <w:tc>
          <w:tcPr>
            <w:tcW w:w="1007" w:type="dxa"/>
            <w:vAlign w:val="top"/>
          </w:tcPr>
          <w:p w14:paraId="05450EE1">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99.98%</w:t>
            </w:r>
          </w:p>
        </w:tc>
        <w:tc>
          <w:tcPr>
            <w:tcW w:w="470" w:type="dxa"/>
            <w:vAlign w:val="top"/>
          </w:tcPr>
          <w:p w14:paraId="420F90D0">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051983E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Merge w:val="restart"/>
            <w:tcBorders>
              <w:bottom w:val="nil"/>
            </w:tcBorders>
            <w:vAlign w:val="top"/>
          </w:tcPr>
          <w:p w14:paraId="5B484D57">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i/>
                <w:iCs/>
                <w:sz w:val="18"/>
                <w:szCs w:val="18"/>
              </w:rPr>
              <w:t>1.预算执行率=预算执行数/</w:t>
            </w:r>
            <w:r>
              <w:rPr>
                <w:rFonts w:ascii="黑体" w:hAnsi="黑体" w:eastAsia="黑体" w:cs="黑体"/>
                <w:i/>
                <w:iCs/>
                <w:spacing w:val="1"/>
                <w:sz w:val="18"/>
                <w:szCs w:val="18"/>
              </w:rPr>
              <w:t>调整后预算数，</w:t>
            </w:r>
            <w:r>
              <w:rPr>
                <w:rFonts w:ascii="黑体" w:hAnsi="黑体" w:eastAsia="黑体" w:cs="黑体"/>
                <w:spacing w:val="-29"/>
                <w:sz w:val="18"/>
                <w:szCs w:val="18"/>
              </w:rPr>
              <w:t xml:space="preserve"> </w:t>
            </w:r>
            <w:r>
              <w:rPr>
                <w:rFonts w:ascii="黑体" w:hAnsi="黑体" w:eastAsia="黑体" w:cs="黑体"/>
                <w:i/>
                <w:iCs/>
                <w:spacing w:val="1"/>
                <w:sz w:val="18"/>
                <w:szCs w:val="18"/>
              </w:rPr>
              <w:t>预算执行率未达到90%的需说明原因</w:t>
            </w:r>
          </w:p>
          <w:p w14:paraId="31196481">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i/>
                <w:iCs/>
                <w:spacing w:val="-2"/>
                <w:sz w:val="18"/>
                <w:szCs w:val="18"/>
              </w:rPr>
              <w:t>（100字以内）</w:t>
            </w:r>
            <w:r>
              <w:rPr>
                <w:rFonts w:ascii="黑体" w:hAnsi="黑体" w:eastAsia="黑体" w:cs="黑体"/>
                <w:spacing w:val="-26"/>
                <w:sz w:val="18"/>
                <w:szCs w:val="18"/>
              </w:rPr>
              <w:t xml:space="preserve"> </w:t>
            </w:r>
            <w:r>
              <w:rPr>
                <w:rFonts w:ascii="黑体" w:hAnsi="黑体" w:eastAsia="黑体" w:cs="黑体"/>
                <w:i/>
                <w:iCs/>
                <w:spacing w:val="-2"/>
                <w:sz w:val="18"/>
                <w:szCs w:val="18"/>
              </w:rPr>
              <w:t>;2.年中发生</w:t>
            </w:r>
            <w:r>
              <w:rPr>
                <w:rFonts w:ascii="黑体" w:hAnsi="黑体" w:eastAsia="黑体" w:cs="黑体"/>
                <w:i/>
                <w:iCs/>
                <w:spacing w:val="6"/>
                <w:sz w:val="18"/>
                <w:szCs w:val="18"/>
              </w:rPr>
              <w:t>预算调整的（追加或调</w:t>
            </w:r>
          </w:p>
          <w:p w14:paraId="1016A9C3">
            <w:pPr>
              <w:pageBreakBefore w:val="0"/>
              <w:kinsoku/>
              <w:overflowPunct/>
              <w:topLinePunct w:val="0"/>
              <w:bidi w:val="0"/>
              <w:spacing w:beforeAutospacing="0" w:after="120" w:afterAutospacing="0" w:line="240" w:lineRule="auto"/>
              <w:ind w:left="0" w:leftChars="0" w:right="0" w:firstLine="348" w:firstLineChars="200"/>
              <w:textAlignment w:val="auto"/>
              <w:rPr>
                <w:rFonts w:ascii="黑体" w:hAnsi="黑体" w:eastAsia="黑体" w:cs="黑体"/>
                <w:sz w:val="18"/>
                <w:szCs w:val="18"/>
              </w:rPr>
            </w:pPr>
            <w:r>
              <w:rPr>
                <w:rFonts w:ascii="黑体" w:hAnsi="黑体" w:eastAsia="黑体" w:cs="黑体"/>
                <w:i/>
                <w:iCs/>
                <w:spacing w:val="-3"/>
                <w:sz w:val="18"/>
                <w:szCs w:val="18"/>
              </w:rPr>
              <w:t>减</w:t>
            </w:r>
            <w:r>
              <w:rPr>
                <w:rFonts w:ascii="黑体" w:hAnsi="黑体" w:eastAsia="黑体" w:cs="黑体"/>
                <w:spacing w:val="-41"/>
                <w:sz w:val="18"/>
                <w:szCs w:val="18"/>
              </w:rPr>
              <w:t xml:space="preserve"> </w:t>
            </w:r>
            <w:r>
              <w:rPr>
                <w:rFonts w:ascii="黑体" w:hAnsi="黑体" w:eastAsia="黑体" w:cs="黑体"/>
                <w:i/>
                <w:iCs/>
                <w:spacing w:val="-3"/>
                <w:sz w:val="18"/>
                <w:szCs w:val="18"/>
              </w:rPr>
              <w:t>）,应单独说明理由</w:t>
            </w:r>
            <w:r>
              <w:rPr>
                <w:rFonts w:ascii="黑体" w:hAnsi="黑体" w:eastAsia="黑体" w:cs="黑体"/>
                <w:spacing w:val="-46"/>
                <w:sz w:val="18"/>
                <w:szCs w:val="18"/>
              </w:rPr>
              <w:t xml:space="preserve"> </w:t>
            </w:r>
            <w:r>
              <w:rPr>
                <w:rFonts w:ascii="黑体" w:hAnsi="黑体" w:eastAsia="黑体" w:cs="黑体"/>
                <w:i/>
                <w:iCs/>
                <w:spacing w:val="-3"/>
                <w:sz w:val="18"/>
                <w:szCs w:val="18"/>
              </w:rPr>
              <w:t>；3.</w:t>
            </w:r>
            <w:r>
              <w:rPr>
                <w:rFonts w:ascii="黑体" w:hAnsi="黑体" w:eastAsia="黑体" w:cs="黑体"/>
                <w:i/>
                <w:iCs/>
                <w:spacing w:val="1"/>
                <w:sz w:val="18"/>
                <w:szCs w:val="18"/>
              </w:rPr>
              <w:t>其他资金包括</w:t>
            </w:r>
            <w:r>
              <w:rPr>
                <w:rFonts w:ascii="黑体" w:hAnsi="黑体" w:eastAsia="黑体" w:cs="黑体"/>
                <w:spacing w:val="-31"/>
                <w:sz w:val="18"/>
                <w:szCs w:val="18"/>
              </w:rPr>
              <w:t xml:space="preserve"> </w:t>
            </w:r>
            <w:r>
              <w:rPr>
                <w:rFonts w:ascii="黑体" w:hAnsi="黑体" w:eastAsia="黑体" w:cs="黑体"/>
                <w:i/>
                <w:iCs/>
                <w:spacing w:val="1"/>
                <w:sz w:val="18"/>
                <w:szCs w:val="18"/>
              </w:rPr>
              <w:t>：社会投入资</w:t>
            </w:r>
            <w:r>
              <w:rPr>
                <w:rFonts w:ascii="黑体" w:hAnsi="黑体" w:eastAsia="黑体" w:cs="黑体"/>
                <w:i/>
                <w:iCs/>
                <w:spacing w:val="-4"/>
                <w:sz w:val="18"/>
                <w:szCs w:val="18"/>
              </w:rPr>
              <w:t>金</w:t>
            </w:r>
            <w:r>
              <w:rPr>
                <w:rFonts w:ascii="黑体" w:hAnsi="黑体" w:eastAsia="黑体" w:cs="黑体"/>
                <w:spacing w:val="-50"/>
                <w:sz w:val="18"/>
                <w:szCs w:val="18"/>
              </w:rPr>
              <w:t xml:space="preserve"> </w:t>
            </w:r>
            <w:r>
              <w:rPr>
                <w:rFonts w:ascii="黑体" w:hAnsi="黑体" w:eastAsia="黑体" w:cs="黑体"/>
                <w:i/>
                <w:iCs/>
                <w:spacing w:val="-4"/>
                <w:sz w:val="18"/>
                <w:szCs w:val="18"/>
              </w:rPr>
              <w:t>、</w:t>
            </w:r>
            <w:r>
              <w:rPr>
                <w:rFonts w:ascii="黑体" w:hAnsi="黑体" w:eastAsia="黑体" w:cs="黑体"/>
                <w:spacing w:val="-42"/>
                <w:sz w:val="18"/>
                <w:szCs w:val="18"/>
              </w:rPr>
              <w:t xml:space="preserve"> </w:t>
            </w:r>
            <w:r>
              <w:rPr>
                <w:rFonts w:ascii="黑体" w:hAnsi="黑体" w:eastAsia="黑体" w:cs="黑体"/>
                <w:i/>
                <w:iCs/>
                <w:spacing w:val="-4"/>
                <w:sz w:val="18"/>
                <w:szCs w:val="18"/>
              </w:rPr>
              <w:t>银行贷款.</w:t>
            </w:r>
          </w:p>
        </w:tc>
      </w:tr>
      <w:tr w14:paraId="2A1F8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645" w:type="dxa"/>
            <w:vMerge w:val="continue"/>
            <w:tcBorders>
              <w:top w:val="nil"/>
              <w:bottom w:val="nil"/>
            </w:tcBorders>
            <w:vAlign w:val="top"/>
          </w:tcPr>
          <w:p w14:paraId="7428C7B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06E4B1C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其中：财政资金</w:t>
            </w:r>
          </w:p>
        </w:tc>
        <w:tc>
          <w:tcPr>
            <w:tcW w:w="1627" w:type="dxa"/>
            <w:vAlign w:val="top"/>
          </w:tcPr>
          <w:p w14:paraId="24A428B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2.00</w:t>
            </w:r>
          </w:p>
        </w:tc>
        <w:tc>
          <w:tcPr>
            <w:tcW w:w="2081" w:type="dxa"/>
            <w:vAlign w:val="top"/>
          </w:tcPr>
          <w:p w14:paraId="4226305C">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2.00</w:t>
            </w:r>
          </w:p>
        </w:tc>
        <w:tc>
          <w:tcPr>
            <w:tcW w:w="2508" w:type="dxa"/>
            <w:gridSpan w:val="3"/>
            <w:vAlign w:val="top"/>
          </w:tcPr>
          <w:p w14:paraId="41473CA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2.00</w:t>
            </w:r>
          </w:p>
        </w:tc>
        <w:tc>
          <w:tcPr>
            <w:tcW w:w="1007" w:type="dxa"/>
            <w:vAlign w:val="top"/>
          </w:tcPr>
          <w:p w14:paraId="0E399EF0">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99.98%</w:t>
            </w:r>
          </w:p>
        </w:tc>
        <w:tc>
          <w:tcPr>
            <w:tcW w:w="470" w:type="dxa"/>
            <w:vAlign w:val="top"/>
          </w:tcPr>
          <w:p w14:paraId="7748D037">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3FD19CDA">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557FC46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2FDDE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645" w:type="dxa"/>
            <w:vMerge w:val="continue"/>
            <w:tcBorders>
              <w:top w:val="nil"/>
              <w:bottom w:val="nil"/>
            </w:tcBorders>
            <w:vAlign w:val="top"/>
          </w:tcPr>
          <w:p w14:paraId="54829BB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392CFEBF">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财政专户管理资金</w:t>
            </w:r>
          </w:p>
        </w:tc>
        <w:tc>
          <w:tcPr>
            <w:tcW w:w="1627" w:type="dxa"/>
            <w:vAlign w:val="top"/>
          </w:tcPr>
          <w:p w14:paraId="32054B7E">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38121A6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57D31FC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159C60EE">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5A511B9F">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164E26D8">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7BDFD16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1647A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45" w:type="dxa"/>
            <w:vMerge w:val="continue"/>
            <w:tcBorders>
              <w:top w:val="nil"/>
              <w:bottom w:val="nil"/>
            </w:tcBorders>
            <w:vAlign w:val="top"/>
          </w:tcPr>
          <w:p w14:paraId="3681300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5ABB09D7">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单位资金</w:t>
            </w:r>
          </w:p>
        </w:tc>
        <w:tc>
          <w:tcPr>
            <w:tcW w:w="1627" w:type="dxa"/>
            <w:vAlign w:val="top"/>
          </w:tcPr>
          <w:p w14:paraId="3206CAC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129FB1D2">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07521C4D">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646524FC">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7E0A1072">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25FBD926">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6EA9DDE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096C5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tcBorders>
            <w:vAlign w:val="top"/>
          </w:tcPr>
          <w:p w14:paraId="106399D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6C9C33C4">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其他资金</w:t>
            </w:r>
          </w:p>
        </w:tc>
        <w:tc>
          <w:tcPr>
            <w:tcW w:w="1627" w:type="dxa"/>
            <w:vAlign w:val="top"/>
          </w:tcPr>
          <w:p w14:paraId="453F2F7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39DBC15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508" w:type="dxa"/>
            <w:gridSpan w:val="3"/>
            <w:vAlign w:val="top"/>
          </w:tcPr>
          <w:p w14:paraId="7E7F471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1BCA77A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75320C5E">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7A4A3EE2">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tcBorders>
            <w:vAlign w:val="top"/>
          </w:tcPr>
          <w:p w14:paraId="1D4B93D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60E7E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restart"/>
            <w:tcBorders>
              <w:bottom w:val="nil"/>
            </w:tcBorders>
            <w:vAlign w:val="top"/>
          </w:tcPr>
          <w:p w14:paraId="5234C57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2BF67BA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5DA867B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793EE37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7AB9C89E">
            <w:pPr>
              <w:pStyle w:val="39"/>
              <w:pageBreakBefore w:val="0"/>
              <w:kinsoku/>
              <w:overflowPunct/>
              <w:topLinePunct w:val="0"/>
              <w:bidi w:val="0"/>
              <w:spacing w:beforeAutospacing="0" w:after="120" w:afterAutospacing="0" w:line="240" w:lineRule="auto"/>
              <w:ind w:left="0" w:leftChars="0" w:right="0" w:firstLine="344" w:firstLineChars="200"/>
              <w:jc w:val="both"/>
              <w:textAlignment w:val="auto"/>
            </w:pPr>
            <w:r>
              <w:rPr>
                <w:spacing w:val="-4"/>
              </w:rPr>
              <w:t>绩效指</w:t>
            </w:r>
            <w:r>
              <w:rPr>
                <w:spacing w:val="-2"/>
              </w:rPr>
              <w:t>标（90</w:t>
            </w:r>
            <w:r>
              <w:rPr>
                <w:spacing w:val="41"/>
              </w:rPr>
              <w:t>分）</w:t>
            </w:r>
          </w:p>
        </w:tc>
        <w:tc>
          <w:tcPr>
            <w:tcW w:w="1889" w:type="dxa"/>
            <w:vAlign w:val="top"/>
          </w:tcPr>
          <w:p w14:paraId="569B4CE2">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一级指标</w:t>
            </w:r>
          </w:p>
        </w:tc>
        <w:tc>
          <w:tcPr>
            <w:tcW w:w="1627" w:type="dxa"/>
            <w:vAlign w:val="top"/>
          </w:tcPr>
          <w:p w14:paraId="30D43180">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二级指标</w:t>
            </w:r>
          </w:p>
        </w:tc>
        <w:tc>
          <w:tcPr>
            <w:tcW w:w="2081" w:type="dxa"/>
            <w:vAlign w:val="top"/>
          </w:tcPr>
          <w:p w14:paraId="4A919B2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三级指标</w:t>
            </w:r>
          </w:p>
        </w:tc>
        <w:tc>
          <w:tcPr>
            <w:tcW w:w="482" w:type="dxa"/>
            <w:vAlign w:val="top"/>
          </w:tcPr>
          <w:p w14:paraId="5EF90561">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指标</w:t>
            </w:r>
          </w:p>
          <w:p w14:paraId="14E0EB22">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性质</w:t>
            </w:r>
          </w:p>
        </w:tc>
        <w:tc>
          <w:tcPr>
            <w:tcW w:w="1544" w:type="dxa"/>
            <w:vAlign w:val="top"/>
          </w:tcPr>
          <w:p w14:paraId="292CBD4F">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指标值</w:t>
            </w:r>
          </w:p>
        </w:tc>
        <w:tc>
          <w:tcPr>
            <w:tcW w:w="482" w:type="dxa"/>
            <w:vAlign w:val="top"/>
          </w:tcPr>
          <w:p w14:paraId="6F76CBFB">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度量</w:t>
            </w:r>
          </w:p>
          <w:p w14:paraId="30A40014">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单位</w:t>
            </w:r>
          </w:p>
        </w:tc>
        <w:tc>
          <w:tcPr>
            <w:tcW w:w="1007" w:type="dxa"/>
            <w:vAlign w:val="top"/>
          </w:tcPr>
          <w:p w14:paraId="095C4EAA">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完成值</w:t>
            </w:r>
          </w:p>
        </w:tc>
        <w:tc>
          <w:tcPr>
            <w:tcW w:w="470" w:type="dxa"/>
            <w:vAlign w:val="top"/>
          </w:tcPr>
          <w:p w14:paraId="21D97952">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textDirection w:val="tbRlV"/>
            <w:vAlign w:val="top"/>
          </w:tcPr>
          <w:p w14:paraId="30E11984">
            <w:pPr>
              <w:pStyle w:val="39"/>
              <w:pageBreakBefore w:val="0"/>
              <w:kinsoku/>
              <w:overflowPunct/>
              <w:topLinePunct w:val="0"/>
              <w:bidi w:val="0"/>
              <w:spacing w:beforeAutospacing="0" w:after="120" w:afterAutospacing="0" w:line="240" w:lineRule="auto"/>
              <w:ind w:left="0" w:leftChars="0" w:right="0" w:firstLine="448" w:firstLineChars="200"/>
              <w:textAlignment w:val="auto"/>
            </w:pPr>
            <w:r>
              <w:rPr>
                <w:spacing w:val="22"/>
              </w:rPr>
              <w:t>得分</w:t>
            </w:r>
          </w:p>
        </w:tc>
        <w:tc>
          <w:tcPr>
            <w:tcW w:w="2354" w:type="dxa"/>
            <w:vAlign w:val="top"/>
          </w:tcPr>
          <w:p w14:paraId="4305059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未完成原因分析</w:t>
            </w:r>
          </w:p>
        </w:tc>
      </w:tr>
      <w:tr w14:paraId="5BF6B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64018DA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6C2EE0C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产出指标</w:t>
            </w:r>
          </w:p>
        </w:tc>
        <w:tc>
          <w:tcPr>
            <w:tcW w:w="1627" w:type="dxa"/>
            <w:vAlign w:val="top"/>
          </w:tcPr>
          <w:p w14:paraId="25BB499C">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数量指标</w:t>
            </w:r>
          </w:p>
        </w:tc>
        <w:tc>
          <w:tcPr>
            <w:tcW w:w="2081" w:type="dxa"/>
            <w:vAlign w:val="top"/>
          </w:tcPr>
          <w:p w14:paraId="21A5E95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组织文艺活动场次</w:t>
            </w:r>
          </w:p>
        </w:tc>
        <w:tc>
          <w:tcPr>
            <w:tcW w:w="482" w:type="dxa"/>
            <w:vAlign w:val="top"/>
          </w:tcPr>
          <w:p w14:paraId="17D5E382">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380ED2E7">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2</w:t>
            </w:r>
          </w:p>
        </w:tc>
        <w:tc>
          <w:tcPr>
            <w:tcW w:w="482" w:type="dxa"/>
            <w:vAlign w:val="top"/>
          </w:tcPr>
          <w:p w14:paraId="0AB31B88">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场次</w:t>
            </w:r>
          </w:p>
        </w:tc>
        <w:tc>
          <w:tcPr>
            <w:tcW w:w="1007" w:type="dxa"/>
            <w:vAlign w:val="top"/>
          </w:tcPr>
          <w:p w14:paraId="615E425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0FFB5557">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495D6C4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2CBB014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3147E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016E60C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442583D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2778CD8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质量指标</w:t>
            </w:r>
          </w:p>
        </w:tc>
        <w:tc>
          <w:tcPr>
            <w:tcW w:w="2081" w:type="dxa"/>
            <w:vAlign w:val="top"/>
          </w:tcPr>
          <w:p w14:paraId="23C6FB88">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活动质量</w:t>
            </w:r>
          </w:p>
        </w:tc>
        <w:tc>
          <w:tcPr>
            <w:tcW w:w="482" w:type="dxa"/>
            <w:vAlign w:val="top"/>
          </w:tcPr>
          <w:p w14:paraId="1C84C875">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定性</w:t>
            </w:r>
          </w:p>
        </w:tc>
        <w:tc>
          <w:tcPr>
            <w:tcW w:w="1544" w:type="dxa"/>
            <w:vAlign w:val="top"/>
          </w:tcPr>
          <w:p w14:paraId="17237F45">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高质量</w:t>
            </w:r>
          </w:p>
        </w:tc>
        <w:tc>
          <w:tcPr>
            <w:tcW w:w="482" w:type="dxa"/>
            <w:vAlign w:val="top"/>
          </w:tcPr>
          <w:p w14:paraId="1B8CE3B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44A6C6E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4405830E">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2E8F70F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58CB2E9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1A83A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continue"/>
            <w:tcBorders>
              <w:top w:val="nil"/>
              <w:bottom w:val="nil"/>
            </w:tcBorders>
            <w:vAlign w:val="top"/>
          </w:tcPr>
          <w:p w14:paraId="0903A41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0B2F994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72A416D6">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效益指标</w:t>
            </w:r>
          </w:p>
        </w:tc>
        <w:tc>
          <w:tcPr>
            <w:tcW w:w="1627" w:type="dxa"/>
            <w:vAlign w:val="top"/>
          </w:tcPr>
          <w:p w14:paraId="581CC30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经济效益指标</w:t>
            </w:r>
          </w:p>
        </w:tc>
        <w:tc>
          <w:tcPr>
            <w:tcW w:w="2081" w:type="dxa"/>
            <w:vAlign w:val="top"/>
          </w:tcPr>
          <w:p w14:paraId="663318B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运行成本</w:t>
            </w:r>
          </w:p>
        </w:tc>
        <w:tc>
          <w:tcPr>
            <w:tcW w:w="482" w:type="dxa"/>
            <w:vAlign w:val="top"/>
          </w:tcPr>
          <w:p w14:paraId="664E31E9">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48CA4E75">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40000</w:t>
            </w:r>
          </w:p>
        </w:tc>
        <w:tc>
          <w:tcPr>
            <w:tcW w:w="482" w:type="dxa"/>
            <w:vAlign w:val="top"/>
          </w:tcPr>
          <w:p w14:paraId="006169B4">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元/</w:t>
            </w:r>
            <w:r>
              <w:t>年</w:t>
            </w:r>
          </w:p>
        </w:tc>
        <w:tc>
          <w:tcPr>
            <w:tcW w:w="1007" w:type="dxa"/>
            <w:vAlign w:val="top"/>
          </w:tcPr>
          <w:p w14:paraId="3470FB4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2DD5CA78">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741DA52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32BEC07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6F82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5E1CA13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6588900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38D054C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社会效益指标</w:t>
            </w:r>
          </w:p>
        </w:tc>
        <w:tc>
          <w:tcPr>
            <w:tcW w:w="2081" w:type="dxa"/>
            <w:vAlign w:val="top"/>
          </w:tcPr>
          <w:p w14:paraId="7453CF5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活动举办完成率</w:t>
            </w:r>
          </w:p>
        </w:tc>
        <w:tc>
          <w:tcPr>
            <w:tcW w:w="482" w:type="dxa"/>
            <w:vAlign w:val="top"/>
          </w:tcPr>
          <w:p w14:paraId="2E77C9D6">
            <w:pPr>
              <w:pStyle w:val="39"/>
              <w:pageBreakBefore w:val="0"/>
              <w:kinsoku/>
              <w:overflowPunct/>
              <w:topLinePunct w:val="0"/>
              <w:bidi w:val="0"/>
              <w:spacing w:beforeAutospacing="0" w:after="120" w:afterAutospacing="0" w:line="240" w:lineRule="auto"/>
              <w:ind w:left="0" w:leftChars="0" w:right="0" w:firstLine="522" w:firstLineChars="200"/>
              <w:textAlignment w:val="auto"/>
            </w:pPr>
            <w:r>
              <w:rPr>
                <w:spacing w:val="18"/>
                <w:w w:val="125"/>
                <w:position w:val="-2"/>
              </w:rPr>
              <w:t>=</w:t>
            </w:r>
          </w:p>
        </w:tc>
        <w:tc>
          <w:tcPr>
            <w:tcW w:w="1544" w:type="dxa"/>
            <w:vAlign w:val="top"/>
          </w:tcPr>
          <w:p w14:paraId="1A7E67DE">
            <w:pPr>
              <w:pStyle w:val="39"/>
              <w:pageBreakBefore w:val="0"/>
              <w:kinsoku/>
              <w:overflowPunct/>
              <w:topLinePunct w:val="0"/>
              <w:bidi w:val="0"/>
              <w:spacing w:beforeAutospacing="0" w:after="120" w:afterAutospacing="0" w:line="240" w:lineRule="auto"/>
              <w:ind w:left="0" w:leftChars="0" w:right="0" w:firstLine="332" w:firstLineChars="200"/>
              <w:textAlignment w:val="auto"/>
            </w:pPr>
            <w:r>
              <w:rPr>
                <w:spacing w:val="-7"/>
              </w:rPr>
              <w:t>100</w:t>
            </w:r>
          </w:p>
        </w:tc>
        <w:tc>
          <w:tcPr>
            <w:tcW w:w="482" w:type="dxa"/>
            <w:vAlign w:val="top"/>
          </w:tcPr>
          <w:p w14:paraId="12D9E97B">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113952C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5121BE8D">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1AF51CC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711FAD9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5A6BC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05BF66C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6E66C60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满意度指标</w:t>
            </w:r>
          </w:p>
        </w:tc>
        <w:tc>
          <w:tcPr>
            <w:tcW w:w="1627" w:type="dxa"/>
            <w:vAlign w:val="top"/>
          </w:tcPr>
          <w:p w14:paraId="0171352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满意度指标</w:t>
            </w:r>
          </w:p>
        </w:tc>
        <w:tc>
          <w:tcPr>
            <w:tcW w:w="2081" w:type="dxa"/>
            <w:vAlign w:val="top"/>
          </w:tcPr>
          <w:p w14:paraId="706E2AC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群众满意程度</w:t>
            </w:r>
          </w:p>
        </w:tc>
        <w:tc>
          <w:tcPr>
            <w:tcW w:w="482" w:type="dxa"/>
            <w:vAlign w:val="top"/>
          </w:tcPr>
          <w:p w14:paraId="5532982E">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10B17CC8">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5C3A896A">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7DBB14B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1E37FD18">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2E124CB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3EA8049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3D94A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57B90F1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4646A549">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成本指标</w:t>
            </w:r>
          </w:p>
        </w:tc>
        <w:tc>
          <w:tcPr>
            <w:tcW w:w="1627" w:type="dxa"/>
            <w:vAlign w:val="top"/>
          </w:tcPr>
          <w:p w14:paraId="14CA6B6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经济成本指标</w:t>
            </w:r>
          </w:p>
        </w:tc>
        <w:tc>
          <w:tcPr>
            <w:tcW w:w="2081" w:type="dxa"/>
            <w:vAlign w:val="top"/>
          </w:tcPr>
          <w:p w14:paraId="687773E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保障经费</w:t>
            </w:r>
          </w:p>
        </w:tc>
        <w:tc>
          <w:tcPr>
            <w:tcW w:w="482" w:type="dxa"/>
            <w:vAlign w:val="top"/>
          </w:tcPr>
          <w:p w14:paraId="003CEB3D">
            <w:pPr>
              <w:pStyle w:val="39"/>
              <w:pageBreakBefore w:val="0"/>
              <w:kinsoku/>
              <w:overflowPunct/>
              <w:topLinePunct w:val="0"/>
              <w:bidi w:val="0"/>
              <w:spacing w:beforeAutospacing="0" w:after="120" w:afterAutospacing="0" w:line="240" w:lineRule="auto"/>
              <w:ind w:left="0" w:leftChars="0" w:right="0" w:firstLine="522" w:firstLineChars="200"/>
              <w:textAlignment w:val="auto"/>
            </w:pPr>
            <w:r>
              <w:rPr>
                <w:spacing w:val="18"/>
                <w:w w:val="125"/>
                <w:position w:val="-2"/>
              </w:rPr>
              <w:t>=</w:t>
            </w:r>
          </w:p>
        </w:tc>
        <w:tc>
          <w:tcPr>
            <w:tcW w:w="1544" w:type="dxa"/>
            <w:vAlign w:val="top"/>
          </w:tcPr>
          <w:p w14:paraId="7C8D89FE">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4</w:t>
            </w:r>
          </w:p>
        </w:tc>
        <w:tc>
          <w:tcPr>
            <w:tcW w:w="482" w:type="dxa"/>
            <w:vAlign w:val="top"/>
          </w:tcPr>
          <w:p w14:paraId="2CE60728">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万元</w:t>
            </w:r>
          </w:p>
        </w:tc>
        <w:tc>
          <w:tcPr>
            <w:tcW w:w="1007" w:type="dxa"/>
            <w:vAlign w:val="top"/>
          </w:tcPr>
          <w:p w14:paraId="519D5AF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2415758B">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5B7D16A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1EDF568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2E045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tcBorders>
            <w:vAlign w:val="top"/>
          </w:tcPr>
          <w:p w14:paraId="696F874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6817D59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7A0C8374">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社会成本指标</w:t>
            </w:r>
          </w:p>
        </w:tc>
        <w:tc>
          <w:tcPr>
            <w:tcW w:w="2081" w:type="dxa"/>
            <w:vAlign w:val="top"/>
          </w:tcPr>
          <w:p w14:paraId="3EFF500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组织培训场次</w:t>
            </w:r>
          </w:p>
        </w:tc>
        <w:tc>
          <w:tcPr>
            <w:tcW w:w="482" w:type="dxa"/>
            <w:vAlign w:val="top"/>
          </w:tcPr>
          <w:p w14:paraId="34C4D071">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754FD240">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3</w:t>
            </w:r>
          </w:p>
        </w:tc>
        <w:tc>
          <w:tcPr>
            <w:tcW w:w="482" w:type="dxa"/>
            <w:vAlign w:val="top"/>
          </w:tcPr>
          <w:p w14:paraId="06D903C3">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场次</w:t>
            </w:r>
          </w:p>
        </w:tc>
        <w:tc>
          <w:tcPr>
            <w:tcW w:w="1007" w:type="dxa"/>
            <w:vAlign w:val="top"/>
          </w:tcPr>
          <w:p w14:paraId="2B19F64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2648AD6A">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1655B61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1E70DB7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57F74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757" w:type="dxa"/>
            <w:gridSpan w:val="8"/>
            <w:vAlign w:val="top"/>
          </w:tcPr>
          <w:p w14:paraId="19CDE8EB">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合计</w:t>
            </w:r>
          </w:p>
        </w:tc>
        <w:tc>
          <w:tcPr>
            <w:tcW w:w="470" w:type="dxa"/>
            <w:vAlign w:val="top"/>
          </w:tcPr>
          <w:p w14:paraId="60AD27A0">
            <w:pPr>
              <w:pStyle w:val="39"/>
              <w:pageBreakBefore w:val="0"/>
              <w:kinsoku/>
              <w:overflowPunct/>
              <w:topLinePunct w:val="0"/>
              <w:bidi w:val="0"/>
              <w:spacing w:beforeAutospacing="0" w:after="120" w:afterAutospacing="0" w:line="240" w:lineRule="auto"/>
              <w:ind w:left="0" w:leftChars="0" w:right="0" w:firstLine="332" w:firstLineChars="200"/>
              <w:textAlignment w:val="auto"/>
            </w:pPr>
            <w:r>
              <w:rPr>
                <w:spacing w:val="-7"/>
              </w:rPr>
              <w:t>100</w:t>
            </w:r>
          </w:p>
        </w:tc>
        <w:tc>
          <w:tcPr>
            <w:tcW w:w="414" w:type="dxa"/>
            <w:vAlign w:val="top"/>
          </w:tcPr>
          <w:p w14:paraId="087E864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331CD05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41381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9" w:hRule="atLeast"/>
        </w:trPr>
        <w:tc>
          <w:tcPr>
            <w:tcW w:w="645" w:type="dxa"/>
            <w:vAlign w:val="top"/>
          </w:tcPr>
          <w:p w14:paraId="05471430">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评价结</w:t>
            </w:r>
            <w:r>
              <w:t>论</w:t>
            </w:r>
          </w:p>
        </w:tc>
        <w:tc>
          <w:tcPr>
            <w:tcW w:w="12350" w:type="dxa"/>
            <w:gridSpan w:val="10"/>
            <w:vAlign w:val="top"/>
          </w:tcPr>
          <w:p w14:paraId="15EBF259">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说明项目自评总分</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说明项目实施取得的成效或成</w:t>
            </w:r>
            <w:r>
              <w:rPr>
                <w:rFonts w:ascii="微软雅黑" w:hAnsi="微软雅黑" w:eastAsia="微软雅黑" w:cs="微软雅黑"/>
                <w:i/>
                <w:iCs/>
                <w:spacing w:val="1"/>
                <w:sz w:val="16"/>
                <w:szCs w:val="16"/>
              </w:rPr>
              <w:t>果</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1"/>
                <w:sz w:val="16"/>
                <w:szCs w:val="16"/>
              </w:rPr>
              <w:t>。</w:t>
            </w:r>
            <w:r>
              <w:rPr>
                <w:rFonts w:ascii="微软雅黑" w:hAnsi="微软雅黑" w:eastAsia="微软雅黑" w:cs="微软雅黑"/>
                <w:spacing w:val="1"/>
                <w:sz w:val="16"/>
                <w:szCs w:val="16"/>
              </w:rPr>
              <w:t xml:space="preserve"> </w:t>
            </w:r>
            <w:r>
              <w:rPr>
                <w:rFonts w:ascii="微软雅黑" w:hAnsi="微软雅黑" w:eastAsia="微软雅黑" w:cs="微软雅黑"/>
                <w:i/>
                <w:iCs/>
                <w:spacing w:val="1"/>
                <w:sz w:val="16"/>
                <w:szCs w:val="16"/>
              </w:rPr>
              <w:t>（20字以内</w:t>
            </w:r>
            <w:r>
              <w:rPr>
                <w:rFonts w:ascii="微软雅黑" w:hAnsi="微软雅黑" w:eastAsia="微软雅黑" w:cs="微软雅黑"/>
                <w:spacing w:val="-17"/>
                <w:sz w:val="16"/>
                <w:szCs w:val="16"/>
              </w:rPr>
              <w:t xml:space="preserve"> </w:t>
            </w:r>
            <w:r>
              <w:rPr>
                <w:rFonts w:ascii="微软雅黑" w:hAnsi="微软雅黑" w:eastAsia="微软雅黑" w:cs="微软雅黑"/>
                <w:i/>
                <w:iCs/>
                <w:spacing w:val="1"/>
                <w:sz w:val="16"/>
                <w:szCs w:val="16"/>
              </w:rPr>
              <w:t>）</w:t>
            </w:r>
          </w:p>
        </w:tc>
      </w:tr>
      <w:tr w14:paraId="319A0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645" w:type="dxa"/>
            <w:vAlign w:val="top"/>
          </w:tcPr>
          <w:p w14:paraId="200C1A81">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存在问</w:t>
            </w:r>
            <w:r>
              <w:t>题</w:t>
            </w:r>
          </w:p>
        </w:tc>
        <w:tc>
          <w:tcPr>
            <w:tcW w:w="12350" w:type="dxa"/>
            <w:gridSpan w:val="10"/>
            <w:vAlign w:val="top"/>
          </w:tcPr>
          <w:p w14:paraId="18A9184F">
            <w:pPr>
              <w:pageBreakBefore w:val="0"/>
              <w:kinsoku/>
              <w:overflowPunct/>
              <w:topLinePunct w:val="0"/>
              <w:bidi w:val="0"/>
              <w:spacing w:beforeAutospacing="0" w:after="120" w:afterAutospacing="0" w:line="240" w:lineRule="auto"/>
              <w:ind w:left="0" w:leftChars="0" w:right="0" w:firstLine="332"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3"/>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分析存在的问题及原因</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（20字以内</w:t>
            </w:r>
            <w:r>
              <w:rPr>
                <w:rFonts w:ascii="微软雅黑" w:hAnsi="微软雅黑" w:eastAsia="微软雅黑" w:cs="微软雅黑"/>
                <w:spacing w:val="-18"/>
                <w:sz w:val="16"/>
                <w:szCs w:val="16"/>
              </w:rPr>
              <w:t xml:space="preserve"> </w:t>
            </w:r>
            <w:r>
              <w:rPr>
                <w:rFonts w:ascii="微软雅黑" w:hAnsi="微软雅黑" w:eastAsia="微软雅黑" w:cs="微软雅黑"/>
                <w:i/>
                <w:iCs/>
                <w:spacing w:val="3"/>
                <w:sz w:val="16"/>
                <w:szCs w:val="16"/>
              </w:rPr>
              <w:t>）</w:t>
            </w:r>
          </w:p>
        </w:tc>
      </w:tr>
      <w:tr w14:paraId="0FDE3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0" w:hRule="atLeast"/>
        </w:trPr>
        <w:tc>
          <w:tcPr>
            <w:tcW w:w="645" w:type="dxa"/>
            <w:vAlign w:val="top"/>
          </w:tcPr>
          <w:p w14:paraId="48E20411">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改进措</w:t>
            </w:r>
            <w:r>
              <w:t>施</w:t>
            </w:r>
          </w:p>
        </w:tc>
        <w:tc>
          <w:tcPr>
            <w:tcW w:w="12350" w:type="dxa"/>
            <w:gridSpan w:val="10"/>
            <w:vAlign w:val="top"/>
          </w:tcPr>
          <w:p w14:paraId="0244D0C5">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针对项目自评中发现的问题</w:t>
            </w:r>
            <w:r>
              <w:rPr>
                <w:rFonts w:ascii="微软雅黑" w:hAnsi="微软雅黑" w:eastAsia="微软雅黑" w:cs="微软雅黑"/>
                <w:spacing w:val="4"/>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提出下一步改进完善的意见及有关政策性建议</w:t>
            </w:r>
            <w:r>
              <w:rPr>
                <w:rFonts w:ascii="微软雅黑" w:hAnsi="微软雅黑" w:eastAsia="微软雅黑" w:cs="微软雅黑"/>
                <w:spacing w:val="-25"/>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（20字以内</w:t>
            </w:r>
            <w:r>
              <w:rPr>
                <w:rFonts w:ascii="微软雅黑" w:hAnsi="微软雅黑" w:eastAsia="微软雅黑" w:cs="微软雅黑"/>
                <w:spacing w:val="-20"/>
                <w:sz w:val="16"/>
                <w:szCs w:val="16"/>
              </w:rPr>
              <w:t xml:space="preserve"> </w:t>
            </w:r>
            <w:r>
              <w:rPr>
                <w:rFonts w:ascii="微软雅黑" w:hAnsi="微软雅黑" w:eastAsia="微软雅黑" w:cs="微软雅黑"/>
                <w:i/>
                <w:iCs/>
                <w:spacing w:val="2"/>
                <w:sz w:val="16"/>
                <w:szCs w:val="16"/>
              </w:rPr>
              <w:t>）</w:t>
            </w:r>
          </w:p>
        </w:tc>
      </w:tr>
      <w:tr w14:paraId="492C9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0" w:hRule="atLeast"/>
        </w:trPr>
        <w:tc>
          <w:tcPr>
            <w:tcW w:w="6724" w:type="dxa"/>
            <w:gridSpan w:val="5"/>
            <w:vAlign w:val="top"/>
          </w:tcPr>
          <w:p w14:paraId="26CA1E9C">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项目负责人：</w:t>
            </w:r>
          </w:p>
        </w:tc>
        <w:tc>
          <w:tcPr>
            <w:tcW w:w="6271" w:type="dxa"/>
            <w:gridSpan w:val="6"/>
            <w:vAlign w:val="top"/>
          </w:tcPr>
          <w:p w14:paraId="48D8128C">
            <w:pPr>
              <w:pageBreakBefore w:val="0"/>
              <w:kinsoku/>
              <w:overflowPunct/>
              <w:topLinePunct w:val="0"/>
              <w:bidi w:val="0"/>
              <w:spacing w:beforeAutospacing="0" w:after="120" w:afterAutospacing="0" w:line="240" w:lineRule="auto"/>
              <w:ind w:left="0" w:leftChars="0" w:right="0" w:firstLine="356" w:firstLineChars="200"/>
              <w:textAlignment w:val="auto"/>
              <w:rPr>
                <w:rFonts w:ascii="黑体" w:hAnsi="黑体" w:eastAsia="黑体" w:cs="黑体"/>
                <w:sz w:val="18"/>
                <w:szCs w:val="18"/>
              </w:rPr>
            </w:pPr>
            <w:r>
              <w:rPr>
                <w:rFonts w:ascii="黑体" w:hAnsi="黑体" w:eastAsia="黑体" w:cs="黑体"/>
                <w:spacing w:val="-1"/>
                <w:sz w:val="18"/>
                <w:szCs w:val="18"/>
              </w:rPr>
              <w:t>财务负责人：</w:t>
            </w:r>
          </w:p>
        </w:tc>
      </w:tr>
    </w:tbl>
    <w:p w14:paraId="4D4A558B">
      <w:pPr>
        <w:pageBreakBefore w:val="0"/>
        <w:kinsoku/>
        <w:overflowPunct/>
        <w:topLinePunct w:val="0"/>
        <w:bidi w:val="0"/>
        <w:spacing w:beforeAutospacing="0" w:after="120" w:afterAutospacing="0" w:line="240" w:lineRule="auto"/>
        <w:ind w:left="0" w:leftChars="0" w:right="0" w:firstLine="420" w:firstLineChars="200"/>
        <w:textAlignment w:val="auto"/>
      </w:pPr>
    </w:p>
    <w:tbl>
      <w:tblPr>
        <w:tblStyle w:val="38"/>
        <w:tblW w:w="1299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5"/>
        <w:gridCol w:w="1889"/>
        <w:gridCol w:w="1627"/>
        <w:gridCol w:w="2081"/>
        <w:gridCol w:w="482"/>
        <w:gridCol w:w="1544"/>
        <w:gridCol w:w="482"/>
        <w:gridCol w:w="1007"/>
        <w:gridCol w:w="470"/>
        <w:gridCol w:w="414"/>
        <w:gridCol w:w="2354"/>
      </w:tblGrid>
      <w:tr w14:paraId="5FF09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1" w:hRule="atLeast"/>
        </w:trPr>
        <w:tc>
          <w:tcPr>
            <w:tcW w:w="12995" w:type="dxa"/>
            <w:gridSpan w:val="11"/>
            <w:vAlign w:val="top"/>
          </w:tcPr>
          <w:p w14:paraId="09B0DFC1">
            <w:pPr>
              <w:pageBreakBefore w:val="0"/>
              <w:kinsoku/>
              <w:overflowPunct/>
              <w:topLinePunct w:val="0"/>
              <w:bidi w:val="0"/>
              <w:spacing w:beforeAutospacing="0" w:after="120" w:afterAutospacing="0" w:line="240" w:lineRule="auto"/>
              <w:ind w:left="0" w:leftChars="0" w:right="0" w:firstLine="602" w:firstLineChars="200"/>
              <w:textAlignment w:val="auto"/>
              <w:rPr>
                <w:rFonts w:ascii="黑体" w:hAnsi="黑体" w:eastAsia="黑体" w:cs="黑体"/>
                <w:sz w:val="30"/>
                <w:szCs w:val="30"/>
              </w:rPr>
            </w:pPr>
            <w:r>
              <w:rPr>
                <w:rFonts w:ascii="黑体" w:hAnsi="黑体" w:eastAsia="黑体" w:cs="黑体"/>
                <w:b/>
                <w:bCs/>
                <w:sz w:val="30"/>
                <w:szCs w:val="30"/>
              </w:rPr>
              <w:t>部门预算项目支出绩效自评表（2025年度）</w:t>
            </w:r>
          </w:p>
        </w:tc>
      </w:tr>
      <w:tr w14:paraId="5D758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2534" w:type="dxa"/>
            <w:gridSpan w:val="2"/>
            <w:vAlign w:val="top"/>
          </w:tcPr>
          <w:p w14:paraId="46935CDF">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项目名称</w:t>
            </w:r>
          </w:p>
        </w:tc>
        <w:tc>
          <w:tcPr>
            <w:tcW w:w="10461" w:type="dxa"/>
            <w:gridSpan w:val="9"/>
            <w:vAlign w:val="top"/>
          </w:tcPr>
          <w:p w14:paraId="2A422291">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51323321T000000107695-网格化通讯及网络费</w:t>
            </w:r>
          </w:p>
        </w:tc>
      </w:tr>
      <w:tr w14:paraId="5B837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2534" w:type="dxa"/>
            <w:gridSpan w:val="2"/>
            <w:vAlign w:val="top"/>
          </w:tcPr>
          <w:p w14:paraId="0A8C8C29">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主管部门</w:t>
            </w:r>
          </w:p>
        </w:tc>
        <w:tc>
          <w:tcPr>
            <w:tcW w:w="6216" w:type="dxa"/>
            <w:gridSpan w:val="5"/>
            <w:vAlign w:val="top"/>
          </w:tcPr>
          <w:p w14:paraId="07F995A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红原县阿木乡人民政府</w:t>
            </w:r>
          </w:p>
        </w:tc>
        <w:tc>
          <w:tcPr>
            <w:tcW w:w="1007" w:type="dxa"/>
            <w:vAlign w:val="top"/>
          </w:tcPr>
          <w:p w14:paraId="419766A1">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spacing w:val="-2"/>
                <w:sz w:val="18"/>
                <w:szCs w:val="18"/>
              </w:rPr>
              <w:t>实施单位</w:t>
            </w:r>
          </w:p>
          <w:p w14:paraId="577F4794">
            <w:pPr>
              <w:pageBreakBefore w:val="0"/>
              <w:kinsoku/>
              <w:overflowPunct/>
              <w:topLinePunct w:val="0"/>
              <w:bidi w:val="0"/>
              <w:spacing w:beforeAutospacing="0" w:after="120" w:afterAutospacing="0" w:line="240" w:lineRule="auto"/>
              <w:ind w:left="0" w:leftChars="0" w:right="0" w:firstLine="336" w:firstLineChars="200"/>
              <w:textAlignment w:val="auto"/>
              <w:rPr>
                <w:rFonts w:ascii="黑体" w:hAnsi="黑体" w:eastAsia="黑体" w:cs="黑体"/>
                <w:sz w:val="18"/>
                <w:szCs w:val="18"/>
              </w:rPr>
            </w:pPr>
            <w:r>
              <w:rPr>
                <w:rFonts w:ascii="黑体" w:hAnsi="黑体" w:eastAsia="黑体" w:cs="黑体"/>
                <w:spacing w:val="-6"/>
                <w:sz w:val="18"/>
                <w:szCs w:val="18"/>
              </w:rPr>
              <w:t>（盖章）</w:t>
            </w:r>
          </w:p>
        </w:tc>
        <w:tc>
          <w:tcPr>
            <w:tcW w:w="3238" w:type="dxa"/>
            <w:gridSpan w:val="3"/>
            <w:vAlign w:val="top"/>
          </w:tcPr>
          <w:p w14:paraId="2A664F9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红原县阿木乡机关</w:t>
            </w:r>
          </w:p>
        </w:tc>
      </w:tr>
      <w:tr w14:paraId="7EA3E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645" w:type="dxa"/>
            <w:vMerge w:val="restart"/>
            <w:tcBorders>
              <w:bottom w:val="nil"/>
            </w:tcBorders>
            <w:vAlign w:val="top"/>
          </w:tcPr>
          <w:p w14:paraId="752129B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66B1A6D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6B577EA6">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项目基</w:t>
            </w:r>
            <w:r>
              <w:rPr>
                <w:spacing w:val="-3"/>
              </w:rPr>
              <w:t>本情况</w:t>
            </w:r>
          </w:p>
        </w:tc>
        <w:tc>
          <w:tcPr>
            <w:tcW w:w="1889" w:type="dxa"/>
            <w:vMerge w:val="restart"/>
            <w:tcBorders>
              <w:bottom w:val="nil"/>
            </w:tcBorders>
            <w:vAlign w:val="top"/>
          </w:tcPr>
          <w:p w14:paraId="1CBAD0F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1.项目年度目标完成情</w:t>
            </w:r>
            <w:r>
              <w:t>况</w:t>
            </w:r>
          </w:p>
        </w:tc>
        <w:tc>
          <w:tcPr>
            <w:tcW w:w="6216" w:type="dxa"/>
            <w:gridSpan w:val="5"/>
            <w:vAlign w:val="top"/>
          </w:tcPr>
          <w:p w14:paraId="5E31A784">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项目年度目标</w:t>
            </w:r>
          </w:p>
        </w:tc>
        <w:tc>
          <w:tcPr>
            <w:tcW w:w="4245" w:type="dxa"/>
            <w:gridSpan w:val="4"/>
            <w:vAlign w:val="top"/>
          </w:tcPr>
          <w:p w14:paraId="09837D46">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年度目标完成情况</w:t>
            </w:r>
          </w:p>
        </w:tc>
      </w:tr>
      <w:tr w14:paraId="57BB9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4" w:hRule="atLeast"/>
        </w:trPr>
        <w:tc>
          <w:tcPr>
            <w:tcW w:w="645" w:type="dxa"/>
            <w:vMerge w:val="continue"/>
            <w:tcBorders>
              <w:top w:val="nil"/>
              <w:bottom w:val="nil"/>
            </w:tcBorders>
            <w:vAlign w:val="top"/>
          </w:tcPr>
          <w:p w14:paraId="5AC6464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5819B98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6216" w:type="dxa"/>
            <w:gridSpan w:val="5"/>
            <w:vAlign w:val="top"/>
          </w:tcPr>
          <w:p w14:paraId="207A4377">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网格化通讯及网络费</w:t>
            </w:r>
          </w:p>
        </w:tc>
        <w:tc>
          <w:tcPr>
            <w:tcW w:w="4245" w:type="dxa"/>
            <w:gridSpan w:val="4"/>
            <w:vAlign w:val="top"/>
          </w:tcPr>
          <w:p w14:paraId="075231E6">
            <w:pPr>
              <w:pageBreakBefore w:val="0"/>
              <w:kinsoku/>
              <w:overflowPunct/>
              <w:topLinePunct w:val="0"/>
              <w:bidi w:val="0"/>
              <w:spacing w:beforeAutospacing="0" w:after="120" w:afterAutospacing="0" w:line="240" w:lineRule="auto"/>
              <w:ind w:left="0" w:leftChars="0" w:right="0" w:firstLine="364" w:firstLineChars="200"/>
              <w:textAlignment w:val="auto"/>
              <w:rPr>
                <w:rFonts w:ascii="黑体" w:hAnsi="黑体" w:eastAsia="黑体" w:cs="黑体"/>
                <w:sz w:val="18"/>
                <w:szCs w:val="18"/>
              </w:rPr>
            </w:pPr>
            <w:r>
              <w:rPr>
                <w:rFonts w:ascii="黑体" w:hAnsi="黑体" w:eastAsia="黑体" w:cs="黑体"/>
                <w:spacing w:val="1"/>
                <w:sz w:val="18"/>
                <w:szCs w:val="18"/>
              </w:rPr>
              <w:t>对照年度目标，说明相关任务目标的完成情况（100</w:t>
            </w:r>
            <w:r>
              <w:rPr>
                <w:rFonts w:ascii="黑体" w:hAnsi="黑体" w:eastAsia="黑体" w:cs="黑体"/>
                <w:spacing w:val="-3"/>
                <w:sz w:val="18"/>
                <w:szCs w:val="18"/>
              </w:rPr>
              <w:t>字以内）</w:t>
            </w:r>
          </w:p>
        </w:tc>
      </w:tr>
      <w:tr w14:paraId="55941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645" w:type="dxa"/>
            <w:vMerge w:val="continue"/>
            <w:tcBorders>
              <w:top w:val="nil"/>
            </w:tcBorders>
            <w:vAlign w:val="top"/>
          </w:tcPr>
          <w:p w14:paraId="4ABB8CD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0E4E43F0">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2.项目实施内容及过程</w:t>
            </w:r>
            <w:r>
              <w:rPr>
                <w:spacing w:val="-4"/>
              </w:rPr>
              <w:t>概述</w:t>
            </w:r>
          </w:p>
        </w:tc>
        <w:tc>
          <w:tcPr>
            <w:tcW w:w="10461" w:type="dxa"/>
            <w:gridSpan w:val="9"/>
            <w:vAlign w:val="top"/>
          </w:tcPr>
          <w:p w14:paraId="32F31F0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04F2E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45" w:type="dxa"/>
            <w:vMerge w:val="restart"/>
            <w:tcBorders>
              <w:bottom w:val="nil"/>
            </w:tcBorders>
            <w:vAlign w:val="top"/>
          </w:tcPr>
          <w:p w14:paraId="113DE83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754AF23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7EE0CB80">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预算执</w:t>
            </w:r>
          </w:p>
          <w:p w14:paraId="4A16A17B">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行情况</w:t>
            </w:r>
          </w:p>
          <w:p w14:paraId="2C4041DE">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（10分</w:t>
            </w:r>
            <w:r>
              <w:rPr>
                <w:spacing w:val="1"/>
              </w:rPr>
              <w:t xml:space="preserve"> </w:t>
            </w:r>
            <w:r>
              <w:t>)</w:t>
            </w:r>
          </w:p>
        </w:tc>
        <w:tc>
          <w:tcPr>
            <w:tcW w:w="1889" w:type="dxa"/>
            <w:vAlign w:val="top"/>
          </w:tcPr>
          <w:p w14:paraId="6CD2595D">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年度预算数（万元）</w:t>
            </w:r>
          </w:p>
        </w:tc>
        <w:tc>
          <w:tcPr>
            <w:tcW w:w="1627" w:type="dxa"/>
            <w:vAlign w:val="top"/>
          </w:tcPr>
          <w:p w14:paraId="3F6CE5C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年初预算</w:t>
            </w:r>
          </w:p>
        </w:tc>
        <w:tc>
          <w:tcPr>
            <w:tcW w:w="2081" w:type="dxa"/>
            <w:vAlign w:val="top"/>
          </w:tcPr>
          <w:p w14:paraId="36E62662">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调整后预算数</w:t>
            </w:r>
          </w:p>
        </w:tc>
        <w:tc>
          <w:tcPr>
            <w:tcW w:w="2508" w:type="dxa"/>
            <w:gridSpan w:val="3"/>
            <w:vAlign w:val="top"/>
          </w:tcPr>
          <w:p w14:paraId="41590E1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预算执行数</w:t>
            </w:r>
          </w:p>
        </w:tc>
        <w:tc>
          <w:tcPr>
            <w:tcW w:w="1007" w:type="dxa"/>
            <w:vAlign w:val="top"/>
          </w:tcPr>
          <w:p w14:paraId="13FE3A7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预算执行率</w:t>
            </w:r>
          </w:p>
        </w:tc>
        <w:tc>
          <w:tcPr>
            <w:tcW w:w="470" w:type="dxa"/>
            <w:vAlign w:val="top"/>
          </w:tcPr>
          <w:p w14:paraId="0B0F588B">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vAlign w:val="top"/>
          </w:tcPr>
          <w:p w14:paraId="1F81AA62">
            <w:pPr>
              <w:pStyle w:val="39"/>
              <w:pageBreakBefore w:val="0"/>
              <w:kinsoku/>
              <w:overflowPunct/>
              <w:topLinePunct w:val="0"/>
              <w:bidi w:val="0"/>
              <w:spacing w:beforeAutospacing="0" w:after="120" w:afterAutospacing="0" w:line="240" w:lineRule="auto"/>
              <w:ind w:left="0" w:leftChars="0" w:right="0" w:firstLine="360" w:firstLineChars="200"/>
              <w:textAlignment w:val="auto"/>
            </w:pPr>
            <w:r>
              <mc:AlternateContent>
                <mc:Choice Requires="wps">
                  <w:drawing>
                    <wp:anchor distT="0" distB="0" distL="114300" distR="114300" simplePos="0" relativeHeight="251663360" behindDoc="0" locked="0" layoutInCell="1" allowOverlap="1">
                      <wp:simplePos x="0" y="0"/>
                      <wp:positionH relativeFrom="rightMargin">
                        <wp:posOffset>-182880</wp:posOffset>
                      </wp:positionH>
                      <wp:positionV relativeFrom="topMargin">
                        <wp:posOffset>144145</wp:posOffset>
                      </wp:positionV>
                      <wp:extent cx="133985" cy="161925"/>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33985" cy="161925"/>
                              </a:xfrm>
                              <a:prstGeom prst="rect">
                                <a:avLst/>
                              </a:prstGeom>
                              <a:noFill/>
                              <a:ln>
                                <a:noFill/>
                              </a:ln>
                            </wps:spPr>
                            <wps:txbx>
                              <w:txbxContent>
                                <w:p w14:paraId="0DA80E3A">
                                  <w:pPr>
                                    <w:pStyle w:val="39"/>
                                    <w:spacing w:before="20" w:line="220" w:lineRule="auto"/>
                                    <w:ind w:left="20"/>
                                  </w:pPr>
                                  <w:r>
                                    <w:t>分</w:t>
                                  </w:r>
                                </w:p>
                              </w:txbxContent>
                            </wps:txbx>
                            <wps:bodyPr lIns="0" tIns="0" rIns="0" bIns="0" upright="1"/>
                          </wps:wsp>
                        </a:graphicData>
                      </a:graphic>
                    </wp:anchor>
                  </w:drawing>
                </mc:Choice>
                <mc:Fallback>
                  <w:pict>
                    <v:shape id="_x0000_s1026" o:spid="_x0000_s1026" o:spt="202" type="#_x0000_t202" style="position:absolute;left:0pt;margin-left:5.95pt;margin-top:12.1pt;height:12.75pt;width:10.55pt;mso-position-horizontal-relative:page;mso-position-vertical-relative:page;z-index:251663360;mso-width-relative:page;mso-height-relative:page;" filled="f" stroked="f" coordsize="21600,21600" o:gfxdata="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A7G062AAAAAgBAAAPAAAAAAAAAAEAIAAAACIAAABkcnMvZG93bnJldi54bWxQSwEC&#10;FAAUAAAACACHTuJAonRz8rsBAABzAwAADgAAAAAAAAABACAAAAAnAQAAZHJzL2Uyb0RvYy54bWxQ&#10;SwUGAAAAAAYABgBZAQAAVAUAAAAA&#10;">
                      <v:fill on="f" focussize="0,0"/>
                      <v:stroke on="f"/>
                      <v:imagedata o:title=""/>
                      <o:lock v:ext="edit" aspectratio="f"/>
                      <v:textbox inset="0mm,0mm,0mm,0mm">
                        <w:txbxContent>
                          <w:p w14:paraId="0DA80E3A">
                            <w:pPr>
                              <w:pStyle w:val="39"/>
                              <w:spacing w:before="20" w:line="220" w:lineRule="auto"/>
                              <w:ind w:left="20"/>
                            </w:pPr>
                            <w:r>
                              <w:t>分</w:t>
                            </w:r>
                          </w:p>
                        </w:txbxContent>
                      </v:textbox>
                    </v:shape>
                  </w:pict>
                </mc:Fallback>
              </mc:AlternateContent>
            </w:r>
            <w:r>
              <w:t>得</w:t>
            </w:r>
          </w:p>
        </w:tc>
        <w:tc>
          <w:tcPr>
            <w:tcW w:w="2354" w:type="dxa"/>
            <w:vAlign w:val="top"/>
          </w:tcPr>
          <w:p w14:paraId="1A9C4FED">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原因</w:t>
            </w:r>
          </w:p>
        </w:tc>
      </w:tr>
      <w:tr w14:paraId="4CA35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645" w:type="dxa"/>
            <w:vMerge w:val="continue"/>
            <w:tcBorders>
              <w:top w:val="nil"/>
              <w:bottom w:val="nil"/>
            </w:tcBorders>
            <w:vAlign w:val="top"/>
          </w:tcPr>
          <w:p w14:paraId="6492F04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0BF7D7B5">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总额</w:t>
            </w:r>
          </w:p>
        </w:tc>
        <w:tc>
          <w:tcPr>
            <w:tcW w:w="1627" w:type="dxa"/>
            <w:vAlign w:val="top"/>
          </w:tcPr>
          <w:p w14:paraId="5F668B9B">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1.49</w:t>
            </w:r>
          </w:p>
        </w:tc>
        <w:tc>
          <w:tcPr>
            <w:tcW w:w="2081" w:type="dxa"/>
            <w:vAlign w:val="top"/>
          </w:tcPr>
          <w:p w14:paraId="3E3BF59C">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1.49</w:t>
            </w:r>
          </w:p>
        </w:tc>
        <w:tc>
          <w:tcPr>
            <w:tcW w:w="2508" w:type="dxa"/>
            <w:gridSpan w:val="3"/>
            <w:vAlign w:val="top"/>
          </w:tcPr>
          <w:p w14:paraId="006F518C">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1.49</w:t>
            </w:r>
          </w:p>
        </w:tc>
        <w:tc>
          <w:tcPr>
            <w:tcW w:w="1007" w:type="dxa"/>
            <w:vAlign w:val="top"/>
          </w:tcPr>
          <w:p w14:paraId="61540EB2">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100.00%</w:t>
            </w:r>
          </w:p>
        </w:tc>
        <w:tc>
          <w:tcPr>
            <w:tcW w:w="470" w:type="dxa"/>
            <w:vAlign w:val="top"/>
          </w:tcPr>
          <w:p w14:paraId="3742A601">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2E73CC2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Merge w:val="restart"/>
            <w:tcBorders>
              <w:bottom w:val="nil"/>
            </w:tcBorders>
            <w:vAlign w:val="top"/>
          </w:tcPr>
          <w:p w14:paraId="65BA4B6B">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i/>
                <w:iCs/>
                <w:sz w:val="18"/>
                <w:szCs w:val="18"/>
              </w:rPr>
              <w:t>1.预算执行率=预算执行数/</w:t>
            </w:r>
            <w:r>
              <w:rPr>
                <w:rFonts w:ascii="黑体" w:hAnsi="黑体" w:eastAsia="黑体" w:cs="黑体"/>
                <w:i/>
                <w:iCs/>
                <w:spacing w:val="1"/>
                <w:sz w:val="18"/>
                <w:szCs w:val="18"/>
              </w:rPr>
              <w:t>调整后预算数，</w:t>
            </w:r>
            <w:r>
              <w:rPr>
                <w:rFonts w:ascii="黑体" w:hAnsi="黑体" w:eastAsia="黑体" w:cs="黑体"/>
                <w:spacing w:val="-29"/>
                <w:sz w:val="18"/>
                <w:szCs w:val="18"/>
              </w:rPr>
              <w:t xml:space="preserve"> </w:t>
            </w:r>
            <w:r>
              <w:rPr>
                <w:rFonts w:ascii="黑体" w:hAnsi="黑体" w:eastAsia="黑体" w:cs="黑体"/>
                <w:i/>
                <w:iCs/>
                <w:spacing w:val="1"/>
                <w:sz w:val="18"/>
                <w:szCs w:val="18"/>
              </w:rPr>
              <w:t>预算执行率未达到90%的需说明原因</w:t>
            </w:r>
          </w:p>
          <w:p w14:paraId="15290F09">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i/>
                <w:iCs/>
                <w:spacing w:val="-2"/>
                <w:sz w:val="18"/>
                <w:szCs w:val="18"/>
              </w:rPr>
              <w:t>（100字以内）</w:t>
            </w:r>
            <w:r>
              <w:rPr>
                <w:rFonts w:ascii="黑体" w:hAnsi="黑体" w:eastAsia="黑体" w:cs="黑体"/>
                <w:spacing w:val="-26"/>
                <w:sz w:val="18"/>
                <w:szCs w:val="18"/>
              </w:rPr>
              <w:t xml:space="preserve"> </w:t>
            </w:r>
            <w:r>
              <w:rPr>
                <w:rFonts w:ascii="黑体" w:hAnsi="黑体" w:eastAsia="黑体" w:cs="黑体"/>
                <w:i/>
                <w:iCs/>
                <w:spacing w:val="-2"/>
                <w:sz w:val="18"/>
                <w:szCs w:val="18"/>
              </w:rPr>
              <w:t>;2.年中发生</w:t>
            </w:r>
            <w:r>
              <w:rPr>
                <w:rFonts w:ascii="黑体" w:hAnsi="黑体" w:eastAsia="黑体" w:cs="黑体"/>
                <w:i/>
                <w:iCs/>
                <w:spacing w:val="6"/>
                <w:sz w:val="18"/>
                <w:szCs w:val="18"/>
              </w:rPr>
              <w:t>预算调整的（追加或调</w:t>
            </w:r>
          </w:p>
          <w:p w14:paraId="20A5E0B2">
            <w:pPr>
              <w:pageBreakBefore w:val="0"/>
              <w:kinsoku/>
              <w:overflowPunct/>
              <w:topLinePunct w:val="0"/>
              <w:bidi w:val="0"/>
              <w:spacing w:beforeAutospacing="0" w:after="120" w:afterAutospacing="0" w:line="240" w:lineRule="auto"/>
              <w:ind w:left="0" w:leftChars="0" w:right="0" w:firstLine="348" w:firstLineChars="200"/>
              <w:textAlignment w:val="auto"/>
              <w:rPr>
                <w:rFonts w:ascii="黑体" w:hAnsi="黑体" w:eastAsia="黑体" w:cs="黑体"/>
                <w:sz w:val="18"/>
                <w:szCs w:val="18"/>
              </w:rPr>
            </w:pPr>
            <w:r>
              <w:rPr>
                <w:rFonts w:ascii="黑体" w:hAnsi="黑体" w:eastAsia="黑体" w:cs="黑体"/>
                <w:i/>
                <w:iCs/>
                <w:spacing w:val="-3"/>
                <w:sz w:val="18"/>
                <w:szCs w:val="18"/>
              </w:rPr>
              <w:t>减</w:t>
            </w:r>
            <w:r>
              <w:rPr>
                <w:rFonts w:ascii="黑体" w:hAnsi="黑体" w:eastAsia="黑体" w:cs="黑体"/>
                <w:spacing w:val="-41"/>
                <w:sz w:val="18"/>
                <w:szCs w:val="18"/>
              </w:rPr>
              <w:t xml:space="preserve"> </w:t>
            </w:r>
            <w:r>
              <w:rPr>
                <w:rFonts w:ascii="黑体" w:hAnsi="黑体" w:eastAsia="黑体" w:cs="黑体"/>
                <w:i/>
                <w:iCs/>
                <w:spacing w:val="-3"/>
                <w:sz w:val="18"/>
                <w:szCs w:val="18"/>
              </w:rPr>
              <w:t>）,应单独说明理由</w:t>
            </w:r>
            <w:r>
              <w:rPr>
                <w:rFonts w:ascii="黑体" w:hAnsi="黑体" w:eastAsia="黑体" w:cs="黑体"/>
                <w:spacing w:val="-46"/>
                <w:sz w:val="18"/>
                <w:szCs w:val="18"/>
              </w:rPr>
              <w:t xml:space="preserve"> </w:t>
            </w:r>
            <w:r>
              <w:rPr>
                <w:rFonts w:ascii="黑体" w:hAnsi="黑体" w:eastAsia="黑体" w:cs="黑体"/>
                <w:i/>
                <w:iCs/>
                <w:spacing w:val="-3"/>
                <w:sz w:val="18"/>
                <w:szCs w:val="18"/>
              </w:rPr>
              <w:t>；3.</w:t>
            </w:r>
            <w:r>
              <w:rPr>
                <w:rFonts w:ascii="黑体" w:hAnsi="黑体" w:eastAsia="黑体" w:cs="黑体"/>
                <w:i/>
                <w:iCs/>
                <w:spacing w:val="1"/>
                <w:sz w:val="18"/>
                <w:szCs w:val="18"/>
              </w:rPr>
              <w:t>其他资金包括</w:t>
            </w:r>
            <w:r>
              <w:rPr>
                <w:rFonts w:ascii="黑体" w:hAnsi="黑体" w:eastAsia="黑体" w:cs="黑体"/>
                <w:spacing w:val="-31"/>
                <w:sz w:val="18"/>
                <w:szCs w:val="18"/>
              </w:rPr>
              <w:t xml:space="preserve"> </w:t>
            </w:r>
            <w:r>
              <w:rPr>
                <w:rFonts w:ascii="黑体" w:hAnsi="黑体" w:eastAsia="黑体" w:cs="黑体"/>
                <w:i/>
                <w:iCs/>
                <w:spacing w:val="1"/>
                <w:sz w:val="18"/>
                <w:szCs w:val="18"/>
              </w:rPr>
              <w:t>：社会投入资</w:t>
            </w:r>
            <w:r>
              <w:rPr>
                <w:rFonts w:ascii="黑体" w:hAnsi="黑体" w:eastAsia="黑体" w:cs="黑体"/>
                <w:i/>
                <w:iCs/>
                <w:spacing w:val="-4"/>
                <w:sz w:val="18"/>
                <w:szCs w:val="18"/>
              </w:rPr>
              <w:t>金</w:t>
            </w:r>
            <w:r>
              <w:rPr>
                <w:rFonts w:ascii="黑体" w:hAnsi="黑体" w:eastAsia="黑体" w:cs="黑体"/>
                <w:spacing w:val="-50"/>
                <w:sz w:val="18"/>
                <w:szCs w:val="18"/>
              </w:rPr>
              <w:t xml:space="preserve"> </w:t>
            </w:r>
            <w:r>
              <w:rPr>
                <w:rFonts w:ascii="黑体" w:hAnsi="黑体" w:eastAsia="黑体" w:cs="黑体"/>
                <w:i/>
                <w:iCs/>
                <w:spacing w:val="-4"/>
                <w:sz w:val="18"/>
                <w:szCs w:val="18"/>
              </w:rPr>
              <w:t>、</w:t>
            </w:r>
            <w:r>
              <w:rPr>
                <w:rFonts w:ascii="黑体" w:hAnsi="黑体" w:eastAsia="黑体" w:cs="黑体"/>
                <w:spacing w:val="-42"/>
                <w:sz w:val="18"/>
                <w:szCs w:val="18"/>
              </w:rPr>
              <w:t xml:space="preserve"> </w:t>
            </w:r>
            <w:r>
              <w:rPr>
                <w:rFonts w:ascii="黑体" w:hAnsi="黑体" w:eastAsia="黑体" w:cs="黑体"/>
                <w:i/>
                <w:iCs/>
                <w:spacing w:val="-4"/>
                <w:sz w:val="18"/>
                <w:szCs w:val="18"/>
              </w:rPr>
              <w:t>银行贷款.</w:t>
            </w:r>
          </w:p>
        </w:tc>
      </w:tr>
      <w:tr w14:paraId="0E140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645" w:type="dxa"/>
            <w:vMerge w:val="continue"/>
            <w:tcBorders>
              <w:top w:val="nil"/>
              <w:bottom w:val="nil"/>
            </w:tcBorders>
            <w:vAlign w:val="top"/>
          </w:tcPr>
          <w:p w14:paraId="2729BD0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0C5C879D">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其中：财政资金</w:t>
            </w:r>
          </w:p>
        </w:tc>
        <w:tc>
          <w:tcPr>
            <w:tcW w:w="1627" w:type="dxa"/>
            <w:vAlign w:val="top"/>
          </w:tcPr>
          <w:p w14:paraId="10E3E2B3">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1.49</w:t>
            </w:r>
          </w:p>
        </w:tc>
        <w:tc>
          <w:tcPr>
            <w:tcW w:w="2081" w:type="dxa"/>
            <w:vAlign w:val="top"/>
          </w:tcPr>
          <w:p w14:paraId="2A437C77">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1.49</w:t>
            </w:r>
          </w:p>
        </w:tc>
        <w:tc>
          <w:tcPr>
            <w:tcW w:w="2508" w:type="dxa"/>
            <w:gridSpan w:val="3"/>
            <w:vAlign w:val="top"/>
          </w:tcPr>
          <w:p w14:paraId="7767E36E">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1.49</w:t>
            </w:r>
          </w:p>
        </w:tc>
        <w:tc>
          <w:tcPr>
            <w:tcW w:w="1007" w:type="dxa"/>
            <w:vAlign w:val="top"/>
          </w:tcPr>
          <w:p w14:paraId="1022F4E9">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100.00%</w:t>
            </w:r>
          </w:p>
        </w:tc>
        <w:tc>
          <w:tcPr>
            <w:tcW w:w="470" w:type="dxa"/>
            <w:vAlign w:val="top"/>
          </w:tcPr>
          <w:p w14:paraId="7340DA8A">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14EBDAAF">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1754BFB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1F509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645" w:type="dxa"/>
            <w:vMerge w:val="continue"/>
            <w:tcBorders>
              <w:top w:val="nil"/>
              <w:bottom w:val="nil"/>
            </w:tcBorders>
            <w:vAlign w:val="top"/>
          </w:tcPr>
          <w:p w14:paraId="71FCCBD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32EFA738">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财政专户管理资金</w:t>
            </w:r>
          </w:p>
        </w:tc>
        <w:tc>
          <w:tcPr>
            <w:tcW w:w="1627" w:type="dxa"/>
            <w:vAlign w:val="top"/>
          </w:tcPr>
          <w:p w14:paraId="26D2F99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00F9138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738F6E5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77DAACED">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587C4C8C">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58D6B883">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139D6B8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5F105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45" w:type="dxa"/>
            <w:vMerge w:val="continue"/>
            <w:tcBorders>
              <w:top w:val="nil"/>
              <w:bottom w:val="nil"/>
            </w:tcBorders>
            <w:vAlign w:val="top"/>
          </w:tcPr>
          <w:p w14:paraId="78DC59A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03E6DCBC">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单位资金</w:t>
            </w:r>
          </w:p>
        </w:tc>
        <w:tc>
          <w:tcPr>
            <w:tcW w:w="1627" w:type="dxa"/>
            <w:vAlign w:val="top"/>
          </w:tcPr>
          <w:p w14:paraId="1E1EC7B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7937D88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4B45CE1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228B8B57">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60B8D632">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22028448">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6142D0F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66D82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tcBorders>
            <w:vAlign w:val="top"/>
          </w:tcPr>
          <w:p w14:paraId="30553B8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57EE176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其他资金</w:t>
            </w:r>
          </w:p>
        </w:tc>
        <w:tc>
          <w:tcPr>
            <w:tcW w:w="1627" w:type="dxa"/>
            <w:vAlign w:val="top"/>
          </w:tcPr>
          <w:p w14:paraId="1FA46C5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69604B1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508" w:type="dxa"/>
            <w:gridSpan w:val="3"/>
            <w:vAlign w:val="top"/>
          </w:tcPr>
          <w:p w14:paraId="563C17B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200D06D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5093C9C8">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349DCEEB">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tcBorders>
            <w:vAlign w:val="top"/>
          </w:tcPr>
          <w:p w14:paraId="772BD68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31F3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restart"/>
            <w:tcBorders>
              <w:bottom w:val="nil"/>
            </w:tcBorders>
            <w:vAlign w:val="top"/>
          </w:tcPr>
          <w:p w14:paraId="1981BBC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13CCEAA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656EBC0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3F18824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139BBBEE">
            <w:pPr>
              <w:pStyle w:val="39"/>
              <w:pageBreakBefore w:val="0"/>
              <w:kinsoku/>
              <w:overflowPunct/>
              <w:topLinePunct w:val="0"/>
              <w:bidi w:val="0"/>
              <w:spacing w:beforeAutospacing="0" w:after="120" w:afterAutospacing="0" w:line="240" w:lineRule="auto"/>
              <w:ind w:left="0" w:leftChars="0" w:right="0" w:firstLine="344" w:firstLineChars="200"/>
              <w:jc w:val="both"/>
              <w:textAlignment w:val="auto"/>
            </w:pPr>
            <w:r>
              <w:rPr>
                <w:spacing w:val="-4"/>
              </w:rPr>
              <w:t>绩效指</w:t>
            </w:r>
            <w:r>
              <w:rPr>
                <w:spacing w:val="-2"/>
              </w:rPr>
              <w:t>标（90</w:t>
            </w:r>
            <w:r>
              <w:rPr>
                <w:spacing w:val="41"/>
              </w:rPr>
              <w:t>分）</w:t>
            </w:r>
          </w:p>
        </w:tc>
        <w:tc>
          <w:tcPr>
            <w:tcW w:w="1889" w:type="dxa"/>
            <w:vAlign w:val="top"/>
          </w:tcPr>
          <w:p w14:paraId="10A8A56E">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一级指标</w:t>
            </w:r>
          </w:p>
        </w:tc>
        <w:tc>
          <w:tcPr>
            <w:tcW w:w="1627" w:type="dxa"/>
            <w:vAlign w:val="top"/>
          </w:tcPr>
          <w:p w14:paraId="607181BE">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二级指标</w:t>
            </w:r>
          </w:p>
        </w:tc>
        <w:tc>
          <w:tcPr>
            <w:tcW w:w="2081" w:type="dxa"/>
            <w:vAlign w:val="top"/>
          </w:tcPr>
          <w:p w14:paraId="1DE5DE2D">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三级指标</w:t>
            </w:r>
          </w:p>
        </w:tc>
        <w:tc>
          <w:tcPr>
            <w:tcW w:w="482" w:type="dxa"/>
            <w:vAlign w:val="top"/>
          </w:tcPr>
          <w:p w14:paraId="3F14296D">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指标</w:t>
            </w:r>
          </w:p>
          <w:p w14:paraId="542EFB09">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性质</w:t>
            </w:r>
          </w:p>
        </w:tc>
        <w:tc>
          <w:tcPr>
            <w:tcW w:w="1544" w:type="dxa"/>
            <w:vAlign w:val="top"/>
          </w:tcPr>
          <w:p w14:paraId="0CF61C46">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指标值</w:t>
            </w:r>
          </w:p>
        </w:tc>
        <w:tc>
          <w:tcPr>
            <w:tcW w:w="482" w:type="dxa"/>
            <w:vAlign w:val="top"/>
          </w:tcPr>
          <w:p w14:paraId="0F128D4B">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度量</w:t>
            </w:r>
          </w:p>
          <w:p w14:paraId="58C60806">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单位</w:t>
            </w:r>
          </w:p>
        </w:tc>
        <w:tc>
          <w:tcPr>
            <w:tcW w:w="1007" w:type="dxa"/>
            <w:vAlign w:val="top"/>
          </w:tcPr>
          <w:p w14:paraId="72F89F4A">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完成值</w:t>
            </w:r>
          </w:p>
        </w:tc>
        <w:tc>
          <w:tcPr>
            <w:tcW w:w="470" w:type="dxa"/>
            <w:vAlign w:val="top"/>
          </w:tcPr>
          <w:p w14:paraId="405F29B2">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vAlign w:val="top"/>
          </w:tcPr>
          <w:p w14:paraId="29B56483">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得</w:t>
            </w:r>
          </w:p>
          <w:p w14:paraId="75A494CF">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分</w:t>
            </w:r>
          </w:p>
        </w:tc>
        <w:tc>
          <w:tcPr>
            <w:tcW w:w="2354" w:type="dxa"/>
            <w:vAlign w:val="top"/>
          </w:tcPr>
          <w:p w14:paraId="3D076E0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未完成原因分析</w:t>
            </w:r>
          </w:p>
        </w:tc>
      </w:tr>
      <w:tr w14:paraId="058B1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51FF648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67381F8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产出指标</w:t>
            </w:r>
          </w:p>
        </w:tc>
        <w:tc>
          <w:tcPr>
            <w:tcW w:w="1627" w:type="dxa"/>
            <w:vAlign w:val="top"/>
          </w:tcPr>
          <w:p w14:paraId="6C633E2A">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数量指标</w:t>
            </w:r>
          </w:p>
        </w:tc>
        <w:tc>
          <w:tcPr>
            <w:tcW w:w="2081" w:type="dxa"/>
            <w:vAlign w:val="top"/>
          </w:tcPr>
          <w:p w14:paraId="1980A76C">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网格员补助发放次数</w:t>
            </w:r>
          </w:p>
        </w:tc>
        <w:tc>
          <w:tcPr>
            <w:tcW w:w="482" w:type="dxa"/>
            <w:vAlign w:val="top"/>
          </w:tcPr>
          <w:p w14:paraId="4D338A83">
            <w:pPr>
              <w:pStyle w:val="39"/>
              <w:pageBreakBefore w:val="0"/>
              <w:kinsoku/>
              <w:overflowPunct/>
              <w:topLinePunct w:val="0"/>
              <w:bidi w:val="0"/>
              <w:spacing w:beforeAutospacing="0" w:after="120" w:afterAutospacing="0" w:line="240" w:lineRule="auto"/>
              <w:ind w:left="0" w:leftChars="0" w:right="0" w:firstLine="522" w:firstLineChars="200"/>
              <w:textAlignment w:val="auto"/>
            </w:pPr>
            <w:r>
              <w:rPr>
                <w:spacing w:val="18"/>
                <w:w w:val="125"/>
                <w:position w:val="-2"/>
              </w:rPr>
              <w:t>=</w:t>
            </w:r>
          </w:p>
        </w:tc>
        <w:tc>
          <w:tcPr>
            <w:tcW w:w="1544" w:type="dxa"/>
            <w:vAlign w:val="top"/>
          </w:tcPr>
          <w:p w14:paraId="41030020">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12</w:t>
            </w:r>
          </w:p>
        </w:tc>
        <w:tc>
          <w:tcPr>
            <w:tcW w:w="482" w:type="dxa"/>
            <w:vAlign w:val="top"/>
          </w:tcPr>
          <w:p w14:paraId="326A3023">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次</w:t>
            </w:r>
          </w:p>
        </w:tc>
        <w:tc>
          <w:tcPr>
            <w:tcW w:w="1007" w:type="dxa"/>
            <w:vAlign w:val="top"/>
          </w:tcPr>
          <w:p w14:paraId="32F948B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6D5CEB63">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1291375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62BC630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3047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7ADE5DA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74D0911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0F7A9BC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质量指标</w:t>
            </w:r>
          </w:p>
        </w:tc>
        <w:tc>
          <w:tcPr>
            <w:tcW w:w="2081" w:type="dxa"/>
            <w:vAlign w:val="top"/>
          </w:tcPr>
          <w:p w14:paraId="3398B4B3">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网格工作质量提升</w:t>
            </w:r>
          </w:p>
        </w:tc>
        <w:tc>
          <w:tcPr>
            <w:tcW w:w="482" w:type="dxa"/>
            <w:vAlign w:val="top"/>
          </w:tcPr>
          <w:p w14:paraId="25B200C2">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定性</w:t>
            </w:r>
          </w:p>
        </w:tc>
        <w:tc>
          <w:tcPr>
            <w:tcW w:w="1544" w:type="dxa"/>
            <w:vAlign w:val="top"/>
          </w:tcPr>
          <w:p w14:paraId="33950207">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显著提升</w:t>
            </w:r>
          </w:p>
        </w:tc>
        <w:tc>
          <w:tcPr>
            <w:tcW w:w="482" w:type="dxa"/>
            <w:vAlign w:val="top"/>
          </w:tcPr>
          <w:p w14:paraId="4D58A7B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559AF6A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6B5F7B84">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49C317D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77B9A11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1075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121ECEC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37E1CBF0">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效益指标</w:t>
            </w:r>
          </w:p>
        </w:tc>
        <w:tc>
          <w:tcPr>
            <w:tcW w:w="1627" w:type="dxa"/>
            <w:vAlign w:val="top"/>
          </w:tcPr>
          <w:p w14:paraId="4FDEBA2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社会效益指标</w:t>
            </w:r>
          </w:p>
        </w:tc>
        <w:tc>
          <w:tcPr>
            <w:tcW w:w="2081" w:type="dxa"/>
            <w:vAlign w:val="top"/>
          </w:tcPr>
          <w:p w14:paraId="14C5FBB2">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受益人员</w:t>
            </w:r>
          </w:p>
        </w:tc>
        <w:tc>
          <w:tcPr>
            <w:tcW w:w="482" w:type="dxa"/>
            <w:vAlign w:val="top"/>
          </w:tcPr>
          <w:p w14:paraId="38EA994F">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69218D1A">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300</w:t>
            </w:r>
          </w:p>
        </w:tc>
        <w:tc>
          <w:tcPr>
            <w:tcW w:w="482" w:type="dxa"/>
            <w:vAlign w:val="top"/>
          </w:tcPr>
          <w:p w14:paraId="5B733024">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人</w:t>
            </w:r>
          </w:p>
        </w:tc>
        <w:tc>
          <w:tcPr>
            <w:tcW w:w="1007" w:type="dxa"/>
            <w:vAlign w:val="top"/>
          </w:tcPr>
          <w:p w14:paraId="6547ADC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57C98479">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229DA02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18A0428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02166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0ABE68E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56A9B5C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0FEC220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可持续发展指标</w:t>
            </w:r>
          </w:p>
        </w:tc>
        <w:tc>
          <w:tcPr>
            <w:tcW w:w="2081" w:type="dxa"/>
            <w:vAlign w:val="top"/>
          </w:tcPr>
          <w:p w14:paraId="4E36A132">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持续开展网格工作</w:t>
            </w:r>
          </w:p>
        </w:tc>
        <w:tc>
          <w:tcPr>
            <w:tcW w:w="482" w:type="dxa"/>
            <w:vAlign w:val="top"/>
          </w:tcPr>
          <w:p w14:paraId="3033CE94">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定性</w:t>
            </w:r>
          </w:p>
        </w:tc>
        <w:tc>
          <w:tcPr>
            <w:tcW w:w="1544" w:type="dxa"/>
            <w:vAlign w:val="top"/>
          </w:tcPr>
          <w:p w14:paraId="153EF9DA">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持续开展</w:t>
            </w:r>
          </w:p>
        </w:tc>
        <w:tc>
          <w:tcPr>
            <w:tcW w:w="482" w:type="dxa"/>
            <w:vAlign w:val="top"/>
          </w:tcPr>
          <w:p w14:paraId="21773AA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4678A05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2BC5B644">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62FF1F1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3BB57A7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4D38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continue"/>
            <w:tcBorders>
              <w:top w:val="nil"/>
              <w:bottom w:val="nil"/>
            </w:tcBorders>
            <w:vAlign w:val="top"/>
          </w:tcPr>
          <w:p w14:paraId="6D74F4F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3BF4DAC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满意度指标</w:t>
            </w:r>
          </w:p>
        </w:tc>
        <w:tc>
          <w:tcPr>
            <w:tcW w:w="1627" w:type="dxa"/>
            <w:vAlign w:val="top"/>
          </w:tcPr>
          <w:p w14:paraId="5D56AD52">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服务对象满意度指</w:t>
            </w:r>
          </w:p>
          <w:p w14:paraId="5671DC42">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标</w:t>
            </w:r>
          </w:p>
        </w:tc>
        <w:tc>
          <w:tcPr>
            <w:tcW w:w="2081" w:type="dxa"/>
            <w:vAlign w:val="top"/>
          </w:tcPr>
          <w:p w14:paraId="6309358A">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网格员满意度</w:t>
            </w:r>
          </w:p>
        </w:tc>
        <w:tc>
          <w:tcPr>
            <w:tcW w:w="482" w:type="dxa"/>
            <w:vAlign w:val="top"/>
          </w:tcPr>
          <w:p w14:paraId="5114675F">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09F6AA8C">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3769236A">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63FB881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4E160025">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3547047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7080FB1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2981A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482575A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3BFB1E6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283B2636">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成本指标</w:t>
            </w:r>
          </w:p>
        </w:tc>
        <w:tc>
          <w:tcPr>
            <w:tcW w:w="1627" w:type="dxa"/>
            <w:vMerge w:val="restart"/>
            <w:tcBorders>
              <w:bottom w:val="nil"/>
            </w:tcBorders>
            <w:vAlign w:val="top"/>
          </w:tcPr>
          <w:p w14:paraId="26FA71F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104F45D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经济成本指标</w:t>
            </w:r>
          </w:p>
        </w:tc>
        <w:tc>
          <w:tcPr>
            <w:tcW w:w="2081" w:type="dxa"/>
            <w:vAlign w:val="top"/>
          </w:tcPr>
          <w:p w14:paraId="0DFBB28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预算执行率</w:t>
            </w:r>
          </w:p>
        </w:tc>
        <w:tc>
          <w:tcPr>
            <w:tcW w:w="482" w:type="dxa"/>
            <w:vAlign w:val="top"/>
          </w:tcPr>
          <w:p w14:paraId="5B5740BE">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6749D3C1">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35DBC3C0">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005EFC2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4D82EE63">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3C56034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414E144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3D3E7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continue"/>
            <w:tcBorders>
              <w:top w:val="nil"/>
            </w:tcBorders>
            <w:vAlign w:val="top"/>
          </w:tcPr>
          <w:p w14:paraId="3DB8AE0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4AD18B0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Merge w:val="continue"/>
            <w:tcBorders>
              <w:top w:val="nil"/>
            </w:tcBorders>
            <w:vAlign w:val="top"/>
          </w:tcPr>
          <w:p w14:paraId="0872DE0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421F126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保障经费</w:t>
            </w:r>
          </w:p>
        </w:tc>
        <w:tc>
          <w:tcPr>
            <w:tcW w:w="482" w:type="dxa"/>
            <w:vAlign w:val="top"/>
          </w:tcPr>
          <w:p w14:paraId="034CC668">
            <w:pPr>
              <w:pStyle w:val="39"/>
              <w:pageBreakBefore w:val="0"/>
              <w:kinsoku/>
              <w:overflowPunct/>
              <w:topLinePunct w:val="0"/>
              <w:bidi w:val="0"/>
              <w:spacing w:beforeAutospacing="0" w:after="120" w:afterAutospacing="0" w:line="240" w:lineRule="auto"/>
              <w:ind w:left="0" w:leftChars="0" w:right="0" w:firstLine="522" w:firstLineChars="200"/>
              <w:textAlignment w:val="auto"/>
            </w:pPr>
            <w:r>
              <w:rPr>
                <w:spacing w:val="18"/>
                <w:w w:val="125"/>
                <w:position w:val="-2"/>
              </w:rPr>
              <w:t>=</w:t>
            </w:r>
          </w:p>
        </w:tc>
        <w:tc>
          <w:tcPr>
            <w:tcW w:w="1544" w:type="dxa"/>
            <w:vAlign w:val="top"/>
          </w:tcPr>
          <w:p w14:paraId="4734FEC8">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14880</w:t>
            </w:r>
          </w:p>
        </w:tc>
        <w:tc>
          <w:tcPr>
            <w:tcW w:w="482" w:type="dxa"/>
            <w:vAlign w:val="top"/>
          </w:tcPr>
          <w:p w14:paraId="679779F1">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元/</w:t>
            </w:r>
            <w:r>
              <w:t>年</w:t>
            </w:r>
          </w:p>
        </w:tc>
        <w:tc>
          <w:tcPr>
            <w:tcW w:w="1007" w:type="dxa"/>
            <w:vAlign w:val="top"/>
          </w:tcPr>
          <w:p w14:paraId="0F497B6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373B006C">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651FFA1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5B755B5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0A04F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757" w:type="dxa"/>
            <w:gridSpan w:val="8"/>
            <w:vAlign w:val="top"/>
          </w:tcPr>
          <w:p w14:paraId="4A963661">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合计</w:t>
            </w:r>
          </w:p>
        </w:tc>
        <w:tc>
          <w:tcPr>
            <w:tcW w:w="470" w:type="dxa"/>
            <w:vAlign w:val="top"/>
          </w:tcPr>
          <w:p w14:paraId="68BB87AA">
            <w:pPr>
              <w:pStyle w:val="39"/>
              <w:pageBreakBefore w:val="0"/>
              <w:kinsoku/>
              <w:overflowPunct/>
              <w:topLinePunct w:val="0"/>
              <w:bidi w:val="0"/>
              <w:spacing w:beforeAutospacing="0" w:after="120" w:afterAutospacing="0" w:line="240" w:lineRule="auto"/>
              <w:ind w:left="0" w:leftChars="0" w:right="0" w:firstLine="332" w:firstLineChars="200"/>
              <w:textAlignment w:val="auto"/>
            </w:pPr>
            <w:r>
              <w:rPr>
                <w:spacing w:val="-7"/>
              </w:rPr>
              <w:t>100</w:t>
            </w:r>
          </w:p>
        </w:tc>
        <w:tc>
          <w:tcPr>
            <w:tcW w:w="414" w:type="dxa"/>
            <w:vAlign w:val="top"/>
          </w:tcPr>
          <w:p w14:paraId="4ACAB52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5BB4D15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40CF2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9" w:hRule="atLeast"/>
        </w:trPr>
        <w:tc>
          <w:tcPr>
            <w:tcW w:w="645" w:type="dxa"/>
            <w:vAlign w:val="top"/>
          </w:tcPr>
          <w:p w14:paraId="68F8003F">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评价结</w:t>
            </w:r>
            <w:r>
              <w:t>论</w:t>
            </w:r>
          </w:p>
        </w:tc>
        <w:tc>
          <w:tcPr>
            <w:tcW w:w="12350" w:type="dxa"/>
            <w:gridSpan w:val="10"/>
            <w:vAlign w:val="top"/>
          </w:tcPr>
          <w:p w14:paraId="5355FF0B">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说明项目自评总分</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说明项目实施取得的成效或成</w:t>
            </w:r>
            <w:r>
              <w:rPr>
                <w:rFonts w:ascii="微软雅黑" w:hAnsi="微软雅黑" w:eastAsia="微软雅黑" w:cs="微软雅黑"/>
                <w:i/>
                <w:iCs/>
                <w:spacing w:val="1"/>
                <w:sz w:val="16"/>
                <w:szCs w:val="16"/>
              </w:rPr>
              <w:t>果</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1"/>
                <w:sz w:val="16"/>
                <w:szCs w:val="16"/>
              </w:rPr>
              <w:t>。</w:t>
            </w:r>
            <w:r>
              <w:rPr>
                <w:rFonts w:ascii="微软雅黑" w:hAnsi="微软雅黑" w:eastAsia="微软雅黑" w:cs="微软雅黑"/>
                <w:spacing w:val="1"/>
                <w:sz w:val="16"/>
                <w:szCs w:val="16"/>
              </w:rPr>
              <w:t xml:space="preserve"> </w:t>
            </w:r>
            <w:r>
              <w:rPr>
                <w:rFonts w:ascii="微软雅黑" w:hAnsi="微软雅黑" w:eastAsia="微软雅黑" w:cs="微软雅黑"/>
                <w:i/>
                <w:iCs/>
                <w:spacing w:val="1"/>
                <w:sz w:val="16"/>
                <w:szCs w:val="16"/>
              </w:rPr>
              <w:t>（20字以内</w:t>
            </w:r>
            <w:r>
              <w:rPr>
                <w:rFonts w:ascii="微软雅黑" w:hAnsi="微软雅黑" w:eastAsia="微软雅黑" w:cs="微软雅黑"/>
                <w:spacing w:val="-17"/>
                <w:sz w:val="16"/>
                <w:szCs w:val="16"/>
              </w:rPr>
              <w:t xml:space="preserve"> </w:t>
            </w:r>
            <w:r>
              <w:rPr>
                <w:rFonts w:ascii="微软雅黑" w:hAnsi="微软雅黑" w:eastAsia="微软雅黑" w:cs="微软雅黑"/>
                <w:i/>
                <w:iCs/>
                <w:spacing w:val="1"/>
                <w:sz w:val="16"/>
                <w:szCs w:val="16"/>
              </w:rPr>
              <w:t>）</w:t>
            </w:r>
          </w:p>
        </w:tc>
      </w:tr>
      <w:tr w14:paraId="1CFC1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645" w:type="dxa"/>
            <w:vAlign w:val="top"/>
          </w:tcPr>
          <w:p w14:paraId="02303C56">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存在问</w:t>
            </w:r>
            <w:r>
              <w:t>题</w:t>
            </w:r>
          </w:p>
        </w:tc>
        <w:tc>
          <w:tcPr>
            <w:tcW w:w="12350" w:type="dxa"/>
            <w:gridSpan w:val="10"/>
            <w:vAlign w:val="top"/>
          </w:tcPr>
          <w:p w14:paraId="56E8657E">
            <w:pPr>
              <w:pageBreakBefore w:val="0"/>
              <w:kinsoku/>
              <w:overflowPunct/>
              <w:topLinePunct w:val="0"/>
              <w:bidi w:val="0"/>
              <w:spacing w:beforeAutospacing="0" w:after="120" w:afterAutospacing="0" w:line="240" w:lineRule="auto"/>
              <w:ind w:left="0" w:leftChars="0" w:right="0" w:firstLine="332"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3"/>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分析存在的问题及原因</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（20字以内</w:t>
            </w:r>
            <w:r>
              <w:rPr>
                <w:rFonts w:ascii="微软雅黑" w:hAnsi="微软雅黑" w:eastAsia="微软雅黑" w:cs="微软雅黑"/>
                <w:spacing w:val="-18"/>
                <w:sz w:val="16"/>
                <w:szCs w:val="16"/>
              </w:rPr>
              <w:t xml:space="preserve"> </w:t>
            </w:r>
            <w:r>
              <w:rPr>
                <w:rFonts w:ascii="微软雅黑" w:hAnsi="微软雅黑" w:eastAsia="微软雅黑" w:cs="微软雅黑"/>
                <w:i/>
                <w:iCs/>
                <w:spacing w:val="3"/>
                <w:sz w:val="16"/>
                <w:szCs w:val="16"/>
              </w:rPr>
              <w:t>）</w:t>
            </w:r>
          </w:p>
        </w:tc>
      </w:tr>
      <w:tr w14:paraId="26318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0" w:hRule="atLeast"/>
        </w:trPr>
        <w:tc>
          <w:tcPr>
            <w:tcW w:w="645" w:type="dxa"/>
            <w:vAlign w:val="top"/>
          </w:tcPr>
          <w:p w14:paraId="59453828">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改进措</w:t>
            </w:r>
            <w:r>
              <w:t>施</w:t>
            </w:r>
          </w:p>
        </w:tc>
        <w:tc>
          <w:tcPr>
            <w:tcW w:w="12350" w:type="dxa"/>
            <w:gridSpan w:val="10"/>
            <w:vAlign w:val="top"/>
          </w:tcPr>
          <w:p w14:paraId="1F46DA66">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针对项目自评中发现的问题</w:t>
            </w:r>
            <w:r>
              <w:rPr>
                <w:rFonts w:ascii="微软雅黑" w:hAnsi="微软雅黑" w:eastAsia="微软雅黑" w:cs="微软雅黑"/>
                <w:spacing w:val="4"/>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提出下一步改进完善的意见及有关政策性建议</w:t>
            </w:r>
            <w:r>
              <w:rPr>
                <w:rFonts w:ascii="微软雅黑" w:hAnsi="微软雅黑" w:eastAsia="微软雅黑" w:cs="微软雅黑"/>
                <w:spacing w:val="-25"/>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（20字以内</w:t>
            </w:r>
            <w:r>
              <w:rPr>
                <w:rFonts w:ascii="微软雅黑" w:hAnsi="微软雅黑" w:eastAsia="微软雅黑" w:cs="微软雅黑"/>
                <w:spacing w:val="-20"/>
                <w:sz w:val="16"/>
                <w:szCs w:val="16"/>
              </w:rPr>
              <w:t xml:space="preserve"> </w:t>
            </w:r>
            <w:r>
              <w:rPr>
                <w:rFonts w:ascii="微软雅黑" w:hAnsi="微软雅黑" w:eastAsia="微软雅黑" w:cs="微软雅黑"/>
                <w:i/>
                <w:iCs/>
                <w:spacing w:val="2"/>
                <w:sz w:val="16"/>
                <w:szCs w:val="16"/>
              </w:rPr>
              <w:t>）</w:t>
            </w:r>
          </w:p>
        </w:tc>
      </w:tr>
      <w:tr w14:paraId="4A8D6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0" w:hRule="atLeast"/>
        </w:trPr>
        <w:tc>
          <w:tcPr>
            <w:tcW w:w="6724" w:type="dxa"/>
            <w:gridSpan w:val="5"/>
            <w:vAlign w:val="top"/>
          </w:tcPr>
          <w:p w14:paraId="669D0A89">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项目负责人：</w:t>
            </w:r>
          </w:p>
        </w:tc>
        <w:tc>
          <w:tcPr>
            <w:tcW w:w="6271" w:type="dxa"/>
            <w:gridSpan w:val="6"/>
            <w:vAlign w:val="top"/>
          </w:tcPr>
          <w:p w14:paraId="2FDE7D94">
            <w:pPr>
              <w:pageBreakBefore w:val="0"/>
              <w:kinsoku/>
              <w:overflowPunct/>
              <w:topLinePunct w:val="0"/>
              <w:bidi w:val="0"/>
              <w:spacing w:beforeAutospacing="0" w:after="120" w:afterAutospacing="0" w:line="240" w:lineRule="auto"/>
              <w:ind w:left="0" w:leftChars="0" w:right="0" w:firstLine="356" w:firstLineChars="200"/>
              <w:textAlignment w:val="auto"/>
              <w:rPr>
                <w:rFonts w:ascii="黑体" w:hAnsi="黑体" w:eastAsia="黑体" w:cs="黑体"/>
                <w:sz w:val="18"/>
                <w:szCs w:val="18"/>
              </w:rPr>
            </w:pPr>
            <w:r>
              <w:rPr>
                <w:rFonts w:ascii="黑体" w:hAnsi="黑体" w:eastAsia="黑体" w:cs="黑体"/>
                <w:spacing w:val="-1"/>
                <w:sz w:val="18"/>
                <w:szCs w:val="18"/>
              </w:rPr>
              <w:t>财务负责人：</w:t>
            </w:r>
          </w:p>
        </w:tc>
      </w:tr>
    </w:tbl>
    <w:p w14:paraId="06D2F23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2B58963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hAnsi="Arial" w:eastAsia="Arial" w:cs="Arial"/>
          <w:sz w:val="21"/>
          <w:szCs w:val="21"/>
        </w:rPr>
      </w:pPr>
    </w:p>
    <w:p w14:paraId="2381B62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hAnsi="Arial" w:eastAsia="Arial" w:cs="Arial"/>
          <w:sz w:val="21"/>
          <w:szCs w:val="21"/>
        </w:rPr>
      </w:pPr>
    </w:p>
    <w:p w14:paraId="127E396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hAnsi="Arial" w:eastAsia="Arial" w:cs="Arial"/>
          <w:sz w:val="21"/>
          <w:szCs w:val="21"/>
        </w:rPr>
      </w:pPr>
    </w:p>
    <w:tbl>
      <w:tblPr>
        <w:tblStyle w:val="38"/>
        <w:tblW w:w="1299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5"/>
        <w:gridCol w:w="1889"/>
        <w:gridCol w:w="1627"/>
        <w:gridCol w:w="2081"/>
        <w:gridCol w:w="482"/>
        <w:gridCol w:w="1544"/>
        <w:gridCol w:w="482"/>
        <w:gridCol w:w="1007"/>
        <w:gridCol w:w="470"/>
        <w:gridCol w:w="414"/>
        <w:gridCol w:w="2354"/>
      </w:tblGrid>
      <w:tr w14:paraId="2300D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1" w:hRule="atLeast"/>
        </w:trPr>
        <w:tc>
          <w:tcPr>
            <w:tcW w:w="12995" w:type="dxa"/>
            <w:gridSpan w:val="11"/>
            <w:vAlign w:val="top"/>
          </w:tcPr>
          <w:p w14:paraId="21BCB321">
            <w:pPr>
              <w:pageBreakBefore w:val="0"/>
              <w:kinsoku/>
              <w:overflowPunct/>
              <w:topLinePunct w:val="0"/>
              <w:bidi w:val="0"/>
              <w:spacing w:beforeAutospacing="0" w:after="120" w:afterAutospacing="0" w:line="240" w:lineRule="auto"/>
              <w:ind w:left="0" w:leftChars="0" w:right="0" w:firstLine="602" w:firstLineChars="200"/>
              <w:textAlignment w:val="auto"/>
              <w:rPr>
                <w:rFonts w:ascii="黑体" w:hAnsi="黑体" w:eastAsia="黑体" w:cs="黑体"/>
                <w:sz w:val="30"/>
                <w:szCs w:val="30"/>
              </w:rPr>
            </w:pPr>
            <w:r>
              <w:rPr>
                <w:rFonts w:ascii="黑体" w:hAnsi="黑体" w:eastAsia="黑体" w:cs="黑体"/>
                <w:b/>
                <w:bCs/>
                <w:sz w:val="30"/>
                <w:szCs w:val="30"/>
              </w:rPr>
              <w:t>部门预算项目支出绩效自评表（2025年度）</w:t>
            </w:r>
          </w:p>
        </w:tc>
      </w:tr>
      <w:tr w14:paraId="71317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2534" w:type="dxa"/>
            <w:gridSpan w:val="2"/>
            <w:vAlign w:val="top"/>
          </w:tcPr>
          <w:p w14:paraId="6F7753C3">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项目名称</w:t>
            </w:r>
          </w:p>
        </w:tc>
        <w:tc>
          <w:tcPr>
            <w:tcW w:w="10461" w:type="dxa"/>
            <w:gridSpan w:val="9"/>
            <w:vAlign w:val="top"/>
          </w:tcPr>
          <w:p w14:paraId="06ECF57C">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51323321T000000107697-乡镇便民服务中心工作经费</w:t>
            </w:r>
          </w:p>
        </w:tc>
      </w:tr>
      <w:tr w14:paraId="26D1E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2534" w:type="dxa"/>
            <w:gridSpan w:val="2"/>
            <w:vAlign w:val="top"/>
          </w:tcPr>
          <w:p w14:paraId="7074EF43">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主管部门</w:t>
            </w:r>
          </w:p>
        </w:tc>
        <w:tc>
          <w:tcPr>
            <w:tcW w:w="6216" w:type="dxa"/>
            <w:gridSpan w:val="5"/>
            <w:vAlign w:val="top"/>
          </w:tcPr>
          <w:p w14:paraId="28AD97ED">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红原县阿木乡人民政府</w:t>
            </w:r>
          </w:p>
        </w:tc>
        <w:tc>
          <w:tcPr>
            <w:tcW w:w="1007" w:type="dxa"/>
            <w:vAlign w:val="top"/>
          </w:tcPr>
          <w:p w14:paraId="40509201">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spacing w:val="-2"/>
                <w:sz w:val="18"/>
                <w:szCs w:val="18"/>
              </w:rPr>
              <w:t>实施单位</w:t>
            </w:r>
          </w:p>
          <w:p w14:paraId="1E6B7A27">
            <w:pPr>
              <w:pageBreakBefore w:val="0"/>
              <w:kinsoku/>
              <w:overflowPunct/>
              <w:topLinePunct w:val="0"/>
              <w:bidi w:val="0"/>
              <w:spacing w:beforeAutospacing="0" w:after="120" w:afterAutospacing="0" w:line="240" w:lineRule="auto"/>
              <w:ind w:left="0" w:leftChars="0" w:right="0" w:firstLine="336" w:firstLineChars="200"/>
              <w:textAlignment w:val="auto"/>
              <w:rPr>
                <w:rFonts w:ascii="黑体" w:hAnsi="黑体" w:eastAsia="黑体" w:cs="黑体"/>
                <w:sz w:val="18"/>
                <w:szCs w:val="18"/>
              </w:rPr>
            </w:pPr>
            <w:r>
              <w:rPr>
                <w:rFonts w:ascii="黑体" w:hAnsi="黑体" w:eastAsia="黑体" w:cs="黑体"/>
                <w:spacing w:val="-6"/>
                <w:sz w:val="18"/>
                <w:szCs w:val="18"/>
              </w:rPr>
              <w:t>（盖章）</w:t>
            </w:r>
          </w:p>
        </w:tc>
        <w:tc>
          <w:tcPr>
            <w:tcW w:w="3238" w:type="dxa"/>
            <w:gridSpan w:val="3"/>
            <w:vAlign w:val="top"/>
          </w:tcPr>
          <w:p w14:paraId="13279ED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红原县阿木乡机关</w:t>
            </w:r>
          </w:p>
        </w:tc>
      </w:tr>
      <w:tr w14:paraId="78C33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645" w:type="dxa"/>
            <w:vMerge w:val="restart"/>
            <w:tcBorders>
              <w:bottom w:val="nil"/>
            </w:tcBorders>
            <w:vAlign w:val="top"/>
          </w:tcPr>
          <w:p w14:paraId="3B06DC7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3B7B55F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781FCFE2">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项目基</w:t>
            </w:r>
            <w:r>
              <w:rPr>
                <w:spacing w:val="-3"/>
              </w:rPr>
              <w:t>本情况</w:t>
            </w:r>
          </w:p>
        </w:tc>
        <w:tc>
          <w:tcPr>
            <w:tcW w:w="1889" w:type="dxa"/>
            <w:vMerge w:val="restart"/>
            <w:tcBorders>
              <w:bottom w:val="nil"/>
            </w:tcBorders>
            <w:vAlign w:val="top"/>
          </w:tcPr>
          <w:p w14:paraId="1119B7B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1.项目年度目标完成情</w:t>
            </w:r>
            <w:r>
              <w:t>况</w:t>
            </w:r>
          </w:p>
        </w:tc>
        <w:tc>
          <w:tcPr>
            <w:tcW w:w="6216" w:type="dxa"/>
            <w:gridSpan w:val="5"/>
            <w:vAlign w:val="top"/>
          </w:tcPr>
          <w:p w14:paraId="2874FB4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项目年度目标</w:t>
            </w:r>
          </w:p>
        </w:tc>
        <w:tc>
          <w:tcPr>
            <w:tcW w:w="4245" w:type="dxa"/>
            <w:gridSpan w:val="4"/>
            <w:vAlign w:val="top"/>
          </w:tcPr>
          <w:p w14:paraId="6065B912">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年度目标完成情况</w:t>
            </w:r>
          </w:p>
        </w:tc>
      </w:tr>
      <w:tr w14:paraId="6DE51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4" w:hRule="atLeast"/>
        </w:trPr>
        <w:tc>
          <w:tcPr>
            <w:tcW w:w="645" w:type="dxa"/>
            <w:vMerge w:val="continue"/>
            <w:tcBorders>
              <w:top w:val="nil"/>
              <w:bottom w:val="nil"/>
            </w:tcBorders>
            <w:vAlign w:val="top"/>
          </w:tcPr>
          <w:p w14:paraId="0909ED6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74EC852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6216" w:type="dxa"/>
            <w:gridSpan w:val="5"/>
            <w:vAlign w:val="top"/>
          </w:tcPr>
          <w:p w14:paraId="1EBDC980">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为打造标准化便民服务中心，为群众提供优质、便</w:t>
            </w:r>
            <w:r>
              <w:rPr>
                <w:spacing w:val="-1"/>
              </w:rPr>
              <w:t>捷、高效的服务及便民服务中心工作人员开展工作所需。</w:t>
            </w:r>
          </w:p>
        </w:tc>
        <w:tc>
          <w:tcPr>
            <w:tcW w:w="4245" w:type="dxa"/>
            <w:gridSpan w:val="4"/>
            <w:vAlign w:val="top"/>
          </w:tcPr>
          <w:p w14:paraId="18E91CCE">
            <w:pPr>
              <w:pageBreakBefore w:val="0"/>
              <w:kinsoku/>
              <w:overflowPunct/>
              <w:topLinePunct w:val="0"/>
              <w:bidi w:val="0"/>
              <w:spacing w:beforeAutospacing="0" w:after="120" w:afterAutospacing="0" w:line="240" w:lineRule="auto"/>
              <w:ind w:left="0" w:leftChars="0" w:right="0" w:firstLine="364" w:firstLineChars="200"/>
              <w:textAlignment w:val="auto"/>
              <w:rPr>
                <w:rFonts w:ascii="黑体" w:hAnsi="黑体" w:eastAsia="黑体" w:cs="黑体"/>
                <w:sz w:val="18"/>
                <w:szCs w:val="18"/>
              </w:rPr>
            </w:pPr>
            <w:r>
              <w:rPr>
                <w:rFonts w:ascii="黑体" w:hAnsi="黑体" w:eastAsia="黑体" w:cs="黑体"/>
                <w:spacing w:val="1"/>
                <w:sz w:val="18"/>
                <w:szCs w:val="18"/>
              </w:rPr>
              <w:t>对照年度目标，说明相关任务目标的完成情况（100</w:t>
            </w:r>
            <w:r>
              <w:rPr>
                <w:rFonts w:ascii="黑体" w:hAnsi="黑体" w:eastAsia="黑体" w:cs="黑体"/>
                <w:spacing w:val="-3"/>
                <w:sz w:val="18"/>
                <w:szCs w:val="18"/>
              </w:rPr>
              <w:t>字以内）</w:t>
            </w:r>
          </w:p>
        </w:tc>
      </w:tr>
      <w:tr w14:paraId="16477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645" w:type="dxa"/>
            <w:vMerge w:val="continue"/>
            <w:tcBorders>
              <w:top w:val="nil"/>
            </w:tcBorders>
            <w:vAlign w:val="top"/>
          </w:tcPr>
          <w:p w14:paraId="533585C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3968E4A7">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2.项目实施内容及过程</w:t>
            </w:r>
            <w:r>
              <w:rPr>
                <w:spacing w:val="-4"/>
              </w:rPr>
              <w:t>概述</w:t>
            </w:r>
          </w:p>
        </w:tc>
        <w:tc>
          <w:tcPr>
            <w:tcW w:w="10461" w:type="dxa"/>
            <w:gridSpan w:val="9"/>
            <w:vAlign w:val="top"/>
          </w:tcPr>
          <w:p w14:paraId="6B50014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54C44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45" w:type="dxa"/>
            <w:vMerge w:val="restart"/>
            <w:tcBorders>
              <w:bottom w:val="nil"/>
            </w:tcBorders>
            <w:vAlign w:val="top"/>
          </w:tcPr>
          <w:p w14:paraId="2E9445E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7E16178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46319BF2">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预算执</w:t>
            </w:r>
          </w:p>
          <w:p w14:paraId="30A48A30">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行情况</w:t>
            </w:r>
          </w:p>
          <w:p w14:paraId="0CCA18F4">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（10分</w:t>
            </w:r>
            <w:r>
              <w:rPr>
                <w:spacing w:val="1"/>
              </w:rPr>
              <w:t xml:space="preserve"> </w:t>
            </w:r>
            <w:r>
              <w:t>)</w:t>
            </w:r>
          </w:p>
        </w:tc>
        <w:tc>
          <w:tcPr>
            <w:tcW w:w="1889" w:type="dxa"/>
            <w:vAlign w:val="top"/>
          </w:tcPr>
          <w:p w14:paraId="027A9C08">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年度预算数（万元）</w:t>
            </w:r>
          </w:p>
        </w:tc>
        <w:tc>
          <w:tcPr>
            <w:tcW w:w="1627" w:type="dxa"/>
            <w:vAlign w:val="top"/>
          </w:tcPr>
          <w:p w14:paraId="06BFFD8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年初预算</w:t>
            </w:r>
          </w:p>
        </w:tc>
        <w:tc>
          <w:tcPr>
            <w:tcW w:w="2081" w:type="dxa"/>
            <w:vAlign w:val="top"/>
          </w:tcPr>
          <w:p w14:paraId="24FDB8A2">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调整后预算数</w:t>
            </w:r>
          </w:p>
        </w:tc>
        <w:tc>
          <w:tcPr>
            <w:tcW w:w="2508" w:type="dxa"/>
            <w:gridSpan w:val="3"/>
            <w:vAlign w:val="top"/>
          </w:tcPr>
          <w:p w14:paraId="4996274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预算执行数</w:t>
            </w:r>
          </w:p>
        </w:tc>
        <w:tc>
          <w:tcPr>
            <w:tcW w:w="1007" w:type="dxa"/>
            <w:vAlign w:val="top"/>
          </w:tcPr>
          <w:p w14:paraId="29E63C5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预算执行率</w:t>
            </w:r>
          </w:p>
        </w:tc>
        <w:tc>
          <w:tcPr>
            <w:tcW w:w="470" w:type="dxa"/>
            <w:vAlign w:val="top"/>
          </w:tcPr>
          <w:p w14:paraId="4B7AED94">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textDirection w:val="tbRlV"/>
            <w:vAlign w:val="top"/>
          </w:tcPr>
          <w:p w14:paraId="5161C8E1">
            <w:pPr>
              <w:pStyle w:val="39"/>
              <w:pageBreakBefore w:val="0"/>
              <w:kinsoku/>
              <w:overflowPunct/>
              <w:topLinePunct w:val="0"/>
              <w:bidi w:val="0"/>
              <w:spacing w:beforeAutospacing="0" w:after="120" w:afterAutospacing="0" w:line="240" w:lineRule="auto"/>
              <w:ind w:left="0" w:leftChars="0" w:right="0" w:firstLine="276" w:firstLineChars="200"/>
              <w:jc w:val="right"/>
              <w:textAlignment w:val="auto"/>
            </w:pPr>
            <w:r>
              <w:rPr>
                <w:spacing w:val="-18"/>
                <w:w w:val="97"/>
              </w:rPr>
              <w:t>得</w:t>
            </w:r>
            <w:r>
              <w:rPr>
                <w:spacing w:val="-8"/>
                <w:w w:val="97"/>
              </w:rPr>
              <w:t>分</w:t>
            </w:r>
          </w:p>
        </w:tc>
        <w:tc>
          <w:tcPr>
            <w:tcW w:w="2354" w:type="dxa"/>
            <w:vAlign w:val="top"/>
          </w:tcPr>
          <w:p w14:paraId="0E0E9BA5">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原因</w:t>
            </w:r>
          </w:p>
        </w:tc>
      </w:tr>
      <w:tr w14:paraId="50116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645" w:type="dxa"/>
            <w:vMerge w:val="continue"/>
            <w:tcBorders>
              <w:top w:val="nil"/>
              <w:bottom w:val="nil"/>
            </w:tcBorders>
            <w:vAlign w:val="top"/>
          </w:tcPr>
          <w:p w14:paraId="34138B5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63E4BBF9">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总额</w:t>
            </w:r>
          </w:p>
        </w:tc>
        <w:tc>
          <w:tcPr>
            <w:tcW w:w="1627" w:type="dxa"/>
            <w:vAlign w:val="top"/>
          </w:tcPr>
          <w:p w14:paraId="45D3B447">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1.00</w:t>
            </w:r>
          </w:p>
        </w:tc>
        <w:tc>
          <w:tcPr>
            <w:tcW w:w="2081" w:type="dxa"/>
            <w:vAlign w:val="top"/>
          </w:tcPr>
          <w:p w14:paraId="007B82DD">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1.00</w:t>
            </w:r>
          </w:p>
        </w:tc>
        <w:tc>
          <w:tcPr>
            <w:tcW w:w="2508" w:type="dxa"/>
            <w:gridSpan w:val="3"/>
            <w:vAlign w:val="top"/>
          </w:tcPr>
          <w:p w14:paraId="1F6A94E0">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1.00</w:t>
            </w:r>
          </w:p>
        </w:tc>
        <w:tc>
          <w:tcPr>
            <w:tcW w:w="1007" w:type="dxa"/>
            <w:vAlign w:val="top"/>
          </w:tcPr>
          <w:p w14:paraId="1C69EC9C">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100.00%</w:t>
            </w:r>
          </w:p>
        </w:tc>
        <w:tc>
          <w:tcPr>
            <w:tcW w:w="470" w:type="dxa"/>
            <w:vAlign w:val="top"/>
          </w:tcPr>
          <w:p w14:paraId="1815BC0D">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28BBA3C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Merge w:val="restart"/>
            <w:tcBorders>
              <w:bottom w:val="nil"/>
            </w:tcBorders>
            <w:vAlign w:val="top"/>
          </w:tcPr>
          <w:p w14:paraId="4B820462">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i/>
                <w:iCs/>
                <w:sz w:val="18"/>
                <w:szCs w:val="18"/>
              </w:rPr>
              <w:t>1.预算执行率=预算执行数/</w:t>
            </w:r>
            <w:r>
              <w:rPr>
                <w:rFonts w:ascii="黑体" w:hAnsi="黑体" w:eastAsia="黑体" w:cs="黑体"/>
                <w:i/>
                <w:iCs/>
                <w:spacing w:val="1"/>
                <w:sz w:val="18"/>
                <w:szCs w:val="18"/>
              </w:rPr>
              <w:t>调整后预算数，</w:t>
            </w:r>
            <w:r>
              <w:rPr>
                <w:rFonts w:ascii="黑体" w:hAnsi="黑体" w:eastAsia="黑体" w:cs="黑体"/>
                <w:spacing w:val="-29"/>
                <w:sz w:val="18"/>
                <w:szCs w:val="18"/>
              </w:rPr>
              <w:t xml:space="preserve"> </w:t>
            </w:r>
            <w:r>
              <w:rPr>
                <w:rFonts w:ascii="黑体" w:hAnsi="黑体" w:eastAsia="黑体" w:cs="黑体"/>
                <w:i/>
                <w:iCs/>
                <w:spacing w:val="1"/>
                <w:sz w:val="18"/>
                <w:szCs w:val="18"/>
              </w:rPr>
              <w:t>预算执行率未达到90%的需说明原因</w:t>
            </w:r>
          </w:p>
          <w:p w14:paraId="6D25F031">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i/>
                <w:iCs/>
                <w:spacing w:val="-2"/>
                <w:sz w:val="18"/>
                <w:szCs w:val="18"/>
              </w:rPr>
              <w:t>（100字以内）</w:t>
            </w:r>
            <w:r>
              <w:rPr>
                <w:rFonts w:ascii="黑体" w:hAnsi="黑体" w:eastAsia="黑体" w:cs="黑体"/>
                <w:spacing w:val="-26"/>
                <w:sz w:val="18"/>
                <w:szCs w:val="18"/>
              </w:rPr>
              <w:t xml:space="preserve"> </w:t>
            </w:r>
            <w:r>
              <w:rPr>
                <w:rFonts w:ascii="黑体" w:hAnsi="黑体" w:eastAsia="黑体" w:cs="黑体"/>
                <w:i/>
                <w:iCs/>
                <w:spacing w:val="-2"/>
                <w:sz w:val="18"/>
                <w:szCs w:val="18"/>
              </w:rPr>
              <w:t>;2.年中发生</w:t>
            </w:r>
            <w:r>
              <w:rPr>
                <w:rFonts w:ascii="黑体" w:hAnsi="黑体" w:eastAsia="黑体" w:cs="黑体"/>
                <w:i/>
                <w:iCs/>
                <w:spacing w:val="6"/>
                <w:sz w:val="18"/>
                <w:szCs w:val="18"/>
              </w:rPr>
              <w:t>预算调整的（追加或调</w:t>
            </w:r>
          </w:p>
          <w:p w14:paraId="2CA3EE3B">
            <w:pPr>
              <w:pageBreakBefore w:val="0"/>
              <w:kinsoku/>
              <w:overflowPunct/>
              <w:topLinePunct w:val="0"/>
              <w:bidi w:val="0"/>
              <w:spacing w:beforeAutospacing="0" w:after="120" w:afterAutospacing="0" w:line="240" w:lineRule="auto"/>
              <w:ind w:left="0" w:leftChars="0" w:right="0" w:firstLine="348" w:firstLineChars="200"/>
              <w:textAlignment w:val="auto"/>
              <w:rPr>
                <w:rFonts w:ascii="黑体" w:hAnsi="黑体" w:eastAsia="黑体" w:cs="黑体"/>
                <w:sz w:val="18"/>
                <w:szCs w:val="18"/>
              </w:rPr>
            </w:pPr>
            <w:r>
              <w:rPr>
                <w:rFonts w:ascii="黑体" w:hAnsi="黑体" w:eastAsia="黑体" w:cs="黑体"/>
                <w:i/>
                <w:iCs/>
                <w:spacing w:val="-3"/>
                <w:sz w:val="18"/>
                <w:szCs w:val="18"/>
              </w:rPr>
              <w:t>减</w:t>
            </w:r>
            <w:r>
              <w:rPr>
                <w:rFonts w:ascii="黑体" w:hAnsi="黑体" w:eastAsia="黑体" w:cs="黑体"/>
                <w:spacing w:val="-41"/>
                <w:sz w:val="18"/>
                <w:szCs w:val="18"/>
              </w:rPr>
              <w:t xml:space="preserve"> </w:t>
            </w:r>
            <w:r>
              <w:rPr>
                <w:rFonts w:ascii="黑体" w:hAnsi="黑体" w:eastAsia="黑体" w:cs="黑体"/>
                <w:i/>
                <w:iCs/>
                <w:spacing w:val="-3"/>
                <w:sz w:val="18"/>
                <w:szCs w:val="18"/>
              </w:rPr>
              <w:t>）,应单独说明理由</w:t>
            </w:r>
            <w:r>
              <w:rPr>
                <w:rFonts w:ascii="黑体" w:hAnsi="黑体" w:eastAsia="黑体" w:cs="黑体"/>
                <w:spacing w:val="-46"/>
                <w:sz w:val="18"/>
                <w:szCs w:val="18"/>
              </w:rPr>
              <w:t xml:space="preserve"> </w:t>
            </w:r>
            <w:r>
              <w:rPr>
                <w:rFonts w:ascii="黑体" w:hAnsi="黑体" w:eastAsia="黑体" w:cs="黑体"/>
                <w:i/>
                <w:iCs/>
                <w:spacing w:val="-3"/>
                <w:sz w:val="18"/>
                <w:szCs w:val="18"/>
              </w:rPr>
              <w:t>；3.</w:t>
            </w:r>
            <w:r>
              <w:rPr>
                <w:rFonts w:ascii="黑体" w:hAnsi="黑体" w:eastAsia="黑体" w:cs="黑体"/>
                <w:i/>
                <w:iCs/>
                <w:spacing w:val="1"/>
                <w:sz w:val="18"/>
                <w:szCs w:val="18"/>
              </w:rPr>
              <w:t>其他资金包括</w:t>
            </w:r>
            <w:r>
              <w:rPr>
                <w:rFonts w:ascii="黑体" w:hAnsi="黑体" w:eastAsia="黑体" w:cs="黑体"/>
                <w:spacing w:val="-31"/>
                <w:sz w:val="18"/>
                <w:szCs w:val="18"/>
              </w:rPr>
              <w:t xml:space="preserve"> </w:t>
            </w:r>
            <w:r>
              <w:rPr>
                <w:rFonts w:ascii="黑体" w:hAnsi="黑体" w:eastAsia="黑体" w:cs="黑体"/>
                <w:i/>
                <w:iCs/>
                <w:spacing w:val="1"/>
                <w:sz w:val="18"/>
                <w:szCs w:val="18"/>
              </w:rPr>
              <w:t>：社会投入资</w:t>
            </w:r>
            <w:r>
              <w:rPr>
                <w:rFonts w:ascii="黑体" w:hAnsi="黑体" w:eastAsia="黑体" w:cs="黑体"/>
                <w:i/>
                <w:iCs/>
                <w:spacing w:val="-4"/>
                <w:sz w:val="18"/>
                <w:szCs w:val="18"/>
              </w:rPr>
              <w:t>金</w:t>
            </w:r>
            <w:r>
              <w:rPr>
                <w:rFonts w:ascii="黑体" w:hAnsi="黑体" w:eastAsia="黑体" w:cs="黑体"/>
                <w:spacing w:val="-50"/>
                <w:sz w:val="18"/>
                <w:szCs w:val="18"/>
              </w:rPr>
              <w:t xml:space="preserve"> </w:t>
            </w:r>
            <w:r>
              <w:rPr>
                <w:rFonts w:ascii="黑体" w:hAnsi="黑体" w:eastAsia="黑体" w:cs="黑体"/>
                <w:i/>
                <w:iCs/>
                <w:spacing w:val="-4"/>
                <w:sz w:val="18"/>
                <w:szCs w:val="18"/>
              </w:rPr>
              <w:t>、</w:t>
            </w:r>
            <w:r>
              <w:rPr>
                <w:rFonts w:ascii="黑体" w:hAnsi="黑体" w:eastAsia="黑体" w:cs="黑体"/>
                <w:spacing w:val="-42"/>
                <w:sz w:val="18"/>
                <w:szCs w:val="18"/>
              </w:rPr>
              <w:t xml:space="preserve"> </w:t>
            </w:r>
            <w:r>
              <w:rPr>
                <w:rFonts w:ascii="黑体" w:hAnsi="黑体" w:eastAsia="黑体" w:cs="黑体"/>
                <w:i/>
                <w:iCs/>
                <w:spacing w:val="-4"/>
                <w:sz w:val="18"/>
                <w:szCs w:val="18"/>
              </w:rPr>
              <w:t>银行贷款.</w:t>
            </w:r>
          </w:p>
        </w:tc>
      </w:tr>
      <w:tr w14:paraId="586C5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645" w:type="dxa"/>
            <w:vMerge w:val="continue"/>
            <w:tcBorders>
              <w:top w:val="nil"/>
              <w:bottom w:val="nil"/>
            </w:tcBorders>
            <w:vAlign w:val="top"/>
          </w:tcPr>
          <w:p w14:paraId="54F6B64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6D2C744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其中：财政资金</w:t>
            </w:r>
          </w:p>
        </w:tc>
        <w:tc>
          <w:tcPr>
            <w:tcW w:w="1627" w:type="dxa"/>
            <w:vAlign w:val="top"/>
          </w:tcPr>
          <w:p w14:paraId="2CE64F13">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1.00</w:t>
            </w:r>
          </w:p>
        </w:tc>
        <w:tc>
          <w:tcPr>
            <w:tcW w:w="2081" w:type="dxa"/>
            <w:vAlign w:val="top"/>
          </w:tcPr>
          <w:p w14:paraId="0E90776D">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1.00</w:t>
            </w:r>
          </w:p>
        </w:tc>
        <w:tc>
          <w:tcPr>
            <w:tcW w:w="2508" w:type="dxa"/>
            <w:gridSpan w:val="3"/>
            <w:vAlign w:val="top"/>
          </w:tcPr>
          <w:p w14:paraId="7D98AAE5">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1.00</w:t>
            </w:r>
          </w:p>
        </w:tc>
        <w:tc>
          <w:tcPr>
            <w:tcW w:w="1007" w:type="dxa"/>
            <w:vAlign w:val="top"/>
          </w:tcPr>
          <w:p w14:paraId="03BF18BC">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100.00%</w:t>
            </w:r>
          </w:p>
        </w:tc>
        <w:tc>
          <w:tcPr>
            <w:tcW w:w="470" w:type="dxa"/>
            <w:vAlign w:val="top"/>
          </w:tcPr>
          <w:p w14:paraId="5F4A9A87">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31643F1F">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6C298D4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1D439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645" w:type="dxa"/>
            <w:vMerge w:val="continue"/>
            <w:tcBorders>
              <w:top w:val="nil"/>
              <w:bottom w:val="nil"/>
            </w:tcBorders>
            <w:vAlign w:val="top"/>
          </w:tcPr>
          <w:p w14:paraId="42B329F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7008588F">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财政专户管理资金</w:t>
            </w:r>
          </w:p>
        </w:tc>
        <w:tc>
          <w:tcPr>
            <w:tcW w:w="1627" w:type="dxa"/>
            <w:vAlign w:val="top"/>
          </w:tcPr>
          <w:p w14:paraId="0387EDA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0D05605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0B1F9E9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4F109DFD">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2267E629">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7C4B77DF">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358C2EA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23BA0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45" w:type="dxa"/>
            <w:vMerge w:val="continue"/>
            <w:tcBorders>
              <w:top w:val="nil"/>
              <w:bottom w:val="nil"/>
            </w:tcBorders>
            <w:vAlign w:val="top"/>
          </w:tcPr>
          <w:p w14:paraId="3716527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6AE06475">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单位资金</w:t>
            </w:r>
          </w:p>
        </w:tc>
        <w:tc>
          <w:tcPr>
            <w:tcW w:w="1627" w:type="dxa"/>
            <w:vAlign w:val="top"/>
          </w:tcPr>
          <w:p w14:paraId="2673673C">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4B8A8A9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13A9C02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5F42F03B">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26E0D400">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03308B44">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5BB14FC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4D12D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tcBorders>
            <w:vAlign w:val="top"/>
          </w:tcPr>
          <w:p w14:paraId="569CC04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744935E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其他资金</w:t>
            </w:r>
          </w:p>
        </w:tc>
        <w:tc>
          <w:tcPr>
            <w:tcW w:w="1627" w:type="dxa"/>
            <w:vAlign w:val="top"/>
          </w:tcPr>
          <w:p w14:paraId="417C391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636D02E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508" w:type="dxa"/>
            <w:gridSpan w:val="3"/>
            <w:vAlign w:val="top"/>
          </w:tcPr>
          <w:p w14:paraId="5C289A3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262AE95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106EB02E">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268CBBB9">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tcBorders>
            <w:vAlign w:val="top"/>
          </w:tcPr>
          <w:p w14:paraId="046B32E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0D52F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restart"/>
            <w:tcBorders>
              <w:bottom w:val="nil"/>
            </w:tcBorders>
            <w:vAlign w:val="top"/>
          </w:tcPr>
          <w:p w14:paraId="6DC519D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5D757B7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2EB26B0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4C535D2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0EE3339F">
            <w:pPr>
              <w:pStyle w:val="39"/>
              <w:pageBreakBefore w:val="0"/>
              <w:kinsoku/>
              <w:overflowPunct/>
              <w:topLinePunct w:val="0"/>
              <w:bidi w:val="0"/>
              <w:spacing w:beforeAutospacing="0" w:after="120" w:afterAutospacing="0" w:line="240" w:lineRule="auto"/>
              <w:ind w:left="0" w:leftChars="0" w:right="0" w:firstLine="344" w:firstLineChars="200"/>
              <w:jc w:val="both"/>
              <w:textAlignment w:val="auto"/>
            </w:pPr>
            <w:r>
              <w:rPr>
                <w:spacing w:val="-4"/>
              </w:rPr>
              <w:t>绩效指</w:t>
            </w:r>
            <w:r>
              <w:rPr>
                <w:spacing w:val="-2"/>
              </w:rPr>
              <w:t>标（90</w:t>
            </w:r>
            <w:r>
              <w:rPr>
                <w:spacing w:val="41"/>
              </w:rPr>
              <w:t>分）</w:t>
            </w:r>
          </w:p>
        </w:tc>
        <w:tc>
          <w:tcPr>
            <w:tcW w:w="1889" w:type="dxa"/>
            <w:vAlign w:val="top"/>
          </w:tcPr>
          <w:p w14:paraId="7E89B3B8">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一级指标</w:t>
            </w:r>
          </w:p>
        </w:tc>
        <w:tc>
          <w:tcPr>
            <w:tcW w:w="1627" w:type="dxa"/>
            <w:vAlign w:val="top"/>
          </w:tcPr>
          <w:p w14:paraId="01362A9A">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二级指标</w:t>
            </w:r>
          </w:p>
        </w:tc>
        <w:tc>
          <w:tcPr>
            <w:tcW w:w="2081" w:type="dxa"/>
            <w:vAlign w:val="top"/>
          </w:tcPr>
          <w:p w14:paraId="3C4B8C3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三级指标</w:t>
            </w:r>
          </w:p>
        </w:tc>
        <w:tc>
          <w:tcPr>
            <w:tcW w:w="482" w:type="dxa"/>
            <w:vAlign w:val="top"/>
          </w:tcPr>
          <w:p w14:paraId="2AD99E3F">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指标</w:t>
            </w:r>
          </w:p>
          <w:p w14:paraId="2491342F">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性质</w:t>
            </w:r>
          </w:p>
        </w:tc>
        <w:tc>
          <w:tcPr>
            <w:tcW w:w="1544" w:type="dxa"/>
            <w:vAlign w:val="top"/>
          </w:tcPr>
          <w:p w14:paraId="41C9EA58">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指标值</w:t>
            </w:r>
          </w:p>
        </w:tc>
        <w:tc>
          <w:tcPr>
            <w:tcW w:w="482" w:type="dxa"/>
            <w:vAlign w:val="top"/>
          </w:tcPr>
          <w:p w14:paraId="748E1AC1">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度量</w:t>
            </w:r>
          </w:p>
          <w:p w14:paraId="045028E8">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单位</w:t>
            </w:r>
          </w:p>
        </w:tc>
        <w:tc>
          <w:tcPr>
            <w:tcW w:w="1007" w:type="dxa"/>
            <w:vAlign w:val="top"/>
          </w:tcPr>
          <w:p w14:paraId="7C0CCA4D">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完成值</w:t>
            </w:r>
          </w:p>
        </w:tc>
        <w:tc>
          <w:tcPr>
            <w:tcW w:w="470" w:type="dxa"/>
            <w:vAlign w:val="top"/>
          </w:tcPr>
          <w:p w14:paraId="3902C52A">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textDirection w:val="tbRlV"/>
            <w:vAlign w:val="top"/>
          </w:tcPr>
          <w:p w14:paraId="2615B495">
            <w:pPr>
              <w:pStyle w:val="39"/>
              <w:pageBreakBefore w:val="0"/>
              <w:kinsoku/>
              <w:overflowPunct/>
              <w:topLinePunct w:val="0"/>
              <w:bidi w:val="0"/>
              <w:spacing w:beforeAutospacing="0" w:after="120" w:afterAutospacing="0" w:line="240" w:lineRule="auto"/>
              <w:ind w:left="0" w:leftChars="0" w:right="0" w:firstLine="448" w:firstLineChars="200"/>
              <w:textAlignment w:val="auto"/>
            </w:pPr>
            <w:r>
              <w:rPr>
                <w:spacing w:val="22"/>
              </w:rPr>
              <w:t>得分</w:t>
            </w:r>
          </w:p>
        </w:tc>
        <w:tc>
          <w:tcPr>
            <w:tcW w:w="2354" w:type="dxa"/>
            <w:vAlign w:val="top"/>
          </w:tcPr>
          <w:p w14:paraId="1330F2C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未完成原因分析</w:t>
            </w:r>
          </w:p>
        </w:tc>
      </w:tr>
      <w:tr w14:paraId="26A97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10D89FC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219F21D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产出指标</w:t>
            </w:r>
          </w:p>
        </w:tc>
        <w:tc>
          <w:tcPr>
            <w:tcW w:w="1627" w:type="dxa"/>
            <w:vAlign w:val="top"/>
          </w:tcPr>
          <w:p w14:paraId="7D413BB4">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数量指标</w:t>
            </w:r>
          </w:p>
        </w:tc>
        <w:tc>
          <w:tcPr>
            <w:tcW w:w="2081" w:type="dxa"/>
            <w:vAlign w:val="top"/>
          </w:tcPr>
          <w:p w14:paraId="5FF762B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办公用品、设备数量</w:t>
            </w:r>
          </w:p>
        </w:tc>
        <w:tc>
          <w:tcPr>
            <w:tcW w:w="482" w:type="dxa"/>
            <w:vAlign w:val="top"/>
          </w:tcPr>
          <w:p w14:paraId="69C874F3">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0F948E70">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6</w:t>
            </w:r>
          </w:p>
        </w:tc>
        <w:tc>
          <w:tcPr>
            <w:tcW w:w="482" w:type="dxa"/>
            <w:vAlign w:val="top"/>
          </w:tcPr>
          <w:p w14:paraId="25A3DCB7">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套</w:t>
            </w:r>
          </w:p>
        </w:tc>
        <w:tc>
          <w:tcPr>
            <w:tcW w:w="1007" w:type="dxa"/>
            <w:vAlign w:val="top"/>
          </w:tcPr>
          <w:p w14:paraId="1D67A6F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6C681974">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3C69E74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11DF0EA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0D984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6BCEF76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71D5EE3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51B2921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质量指标</w:t>
            </w:r>
          </w:p>
        </w:tc>
        <w:tc>
          <w:tcPr>
            <w:tcW w:w="2081" w:type="dxa"/>
            <w:vAlign w:val="top"/>
          </w:tcPr>
          <w:p w14:paraId="42A06F3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办公质量提升</w:t>
            </w:r>
          </w:p>
        </w:tc>
        <w:tc>
          <w:tcPr>
            <w:tcW w:w="482" w:type="dxa"/>
            <w:vAlign w:val="top"/>
          </w:tcPr>
          <w:p w14:paraId="5FF8B70E">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定性</w:t>
            </w:r>
          </w:p>
        </w:tc>
        <w:tc>
          <w:tcPr>
            <w:tcW w:w="1544" w:type="dxa"/>
            <w:vAlign w:val="top"/>
          </w:tcPr>
          <w:p w14:paraId="020A4B4A">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显著提升</w:t>
            </w:r>
          </w:p>
        </w:tc>
        <w:tc>
          <w:tcPr>
            <w:tcW w:w="482" w:type="dxa"/>
            <w:vAlign w:val="top"/>
          </w:tcPr>
          <w:p w14:paraId="5FEADC0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73E1843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60A71044">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5E5761D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3836E08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AAF2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2767621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3156FF07">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效益指标</w:t>
            </w:r>
          </w:p>
        </w:tc>
        <w:tc>
          <w:tcPr>
            <w:tcW w:w="1627" w:type="dxa"/>
            <w:vAlign w:val="top"/>
          </w:tcPr>
          <w:p w14:paraId="0A9D872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社会效益指标</w:t>
            </w:r>
          </w:p>
        </w:tc>
        <w:tc>
          <w:tcPr>
            <w:tcW w:w="2081" w:type="dxa"/>
            <w:vAlign w:val="top"/>
          </w:tcPr>
          <w:p w14:paraId="043CD51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提高办公效率</w:t>
            </w:r>
          </w:p>
        </w:tc>
        <w:tc>
          <w:tcPr>
            <w:tcW w:w="482" w:type="dxa"/>
            <w:vAlign w:val="top"/>
          </w:tcPr>
          <w:p w14:paraId="0AEDE4F4">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定性</w:t>
            </w:r>
          </w:p>
        </w:tc>
        <w:tc>
          <w:tcPr>
            <w:tcW w:w="1544" w:type="dxa"/>
            <w:vAlign w:val="top"/>
          </w:tcPr>
          <w:p w14:paraId="0966EEB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有效提高</w:t>
            </w:r>
          </w:p>
        </w:tc>
        <w:tc>
          <w:tcPr>
            <w:tcW w:w="482" w:type="dxa"/>
            <w:vAlign w:val="top"/>
          </w:tcPr>
          <w:p w14:paraId="6D9DEDB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1F42F8B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09658580">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1B2234E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0061B3F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31EC3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62C7EAE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24B34DA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2B71424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可持续发展指标</w:t>
            </w:r>
          </w:p>
        </w:tc>
        <w:tc>
          <w:tcPr>
            <w:tcW w:w="2081" w:type="dxa"/>
            <w:vAlign w:val="top"/>
          </w:tcPr>
          <w:p w14:paraId="36981DC2">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办公用平使用率</w:t>
            </w:r>
          </w:p>
        </w:tc>
        <w:tc>
          <w:tcPr>
            <w:tcW w:w="482" w:type="dxa"/>
            <w:vAlign w:val="top"/>
          </w:tcPr>
          <w:p w14:paraId="247DDB86">
            <w:pPr>
              <w:pStyle w:val="39"/>
              <w:pageBreakBefore w:val="0"/>
              <w:kinsoku/>
              <w:overflowPunct/>
              <w:topLinePunct w:val="0"/>
              <w:bidi w:val="0"/>
              <w:spacing w:beforeAutospacing="0" w:after="120" w:afterAutospacing="0" w:line="240" w:lineRule="auto"/>
              <w:ind w:left="0" w:leftChars="0" w:right="0" w:firstLine="522" w:firstLineChars="200"/>
              <w:textAlignment w:val="auto"/>
            </w:pPr>
            <w:r>
              <w:rPr>
                <w:spacing w:val="18"/>
                <w:w w:val="125"/>
                <w:position w:val="-2"/>
              </w:rPr>
              <w:t>=</w:t>
            </w:r>
          </w:p>
        </w:tc>
        <w:tc>
          <w:tcPr>
            <w:tcW w:w="1544" w:type="dxa"/>
            <w:vAlign w:val="top"/>
          </w:tcPr>
          <w:p w14:paraId="7E98A614">
            <w:pPr>
              <w:pStyle w:val="39"/>
              <w:pageBreakBefore w:val="0"/>
              <w:kinsoku/>
              <w:overflowPunct/>
              <w:topLinePunct w:val="0"/>
              <w:bidi w:val="0"/>
              <w:spacing w:beforeAutospacing="0" w:after="120" w:afterAutospacing="0" w:line="240" w:lineRule="auto"/>
              <w:ind w:left="0" w:leftChars="0" w:right="0" w:firstLine="332" w:firstLineChars="200"/>
              <w:textAlignment w:val="auto"/>
            </w:pPr>
            <w:r>
              <w:rPr>
                <w:spacing w:val="-7"/>
              </w:rPr>
              <w:t>100</w:t>
            </w:r>
          </w:p>
        </w:tc>
        <w:tc>
          <w:tcPr>
            <w:tcW w:w="482" w:type="dxa"/>
            <w:vAlign w:val="top"/>
          </w:tcPr>
          <w:p w14:paraId="4737BDDD">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769619C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290654C2">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5B5A07D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0BD4DA2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3AE9C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continue"/>
            <w:tcBorders>
              <w:top w:val="nil"/>
              <w:bottom w:val="nil"/>
            </w:tcBorders>
            <w:vAlign w:val="top"/>
          </w:tcPr>
          <w:p w14:paraId="7D0F6E4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275BC5CD">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满意度指标</w:t>
            </w:r>
          </w:p>
        </w:tc>
        <w:tc>
          <w:tcPr>
            <w:tcW w:w="1627" w:type="dxa"/>
            <w:vAlign w:val="top"/>
          </w:tcPr>
          <w:p w14:paraId="6CFDDD69">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服务对象满意度指</w:t>
            </w:r>
          </w:p>
          <w:p w14:paraId="0F6C09EE">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标</w:t>
            </w:r>
          </w:p>
        </w:tc>
        <w:tc>
          <w:tcPr>
            <w:tcW w:w="2081" w:type="dxa"/>
            <w:vAlign w:val="top"/>
          </w:tcPr>
          <w:p w14:paraId="69064E3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群众满意度</w:t>
            </w:r>
          </w:p>
        </w:tc>
        <w:tc>
          <w:tcPr>
            <w:tcW w:w="482" w:type="dxa"/>
            <w:vAlign w:val="top"/>
          </w:tcPr>
          <w:p w14:paraId="29E77CA0">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7FA5CDBD">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652C7C1B">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00E7BF9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2204AD0E">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759CF50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291DBAD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104E7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46F85EE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6372A0CD">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成本指标</w:t>
            </w:r>
          </w:p>
        </w:tc>
        <w:tc>
          <w:tcPr>
            <w:tcW w:w="1627" w:type="dxa"/>
            <w:vAlign w:val="top"/>
          </w:tcPr>
          <w:p w14:paraId="1ABD09AD">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经济成本指标</w:t>
            </w:r>
          </w:p>
        </w:tc>
        <w:tc>
          <w:tcPr>
            <w:tcW w:w="2081" w:type="dxa"/>
            <w:vAlign w:val="top"/>
          </w:tcPr>
          <w:p w14:paraId="2751D84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运行成本</w:t>
            </w:r>
          </w:p>
        </w:tc>
        <w:tc>
          <w:tcPr>
            <w:tcW w:w="482" w:type="dxa"/>
            <w:vAlign w:val="top"/>
          </w:tcPr>
          <w:p w14:paraId="483BBF66">
            <w:pPr>
              <w:pStyle w:val="39"/>
              <w:pageBreakBefore w:val="0"/>
              <w:kinsoku/>
              <w:overflowPunct/>
              <w:topLinePunct w:val="0"/>
              <w:bidi w:val="0"/>
              <w:spacing w:beforeAutospacing="0" w:after="120" w:afterAutospacing="0" w:line="240" w:lineRule="auto"/>
              <w:ind w:left="0" w:leftChars="0" w:right="0" w:firstLine="522" w:firstLineChars="200"/>
              <w:textAlignment w:val="auto"/>
            </w:pPr>
            <w:r>
              <w:rPr>
                <w:spacing w:val="18"/>
                <w:w w:val="125"/>
                <w:position w:val="-2"/>
              </w:rPr>
              <w:t>=</w:t>
            </w:r>
          </w:p>
        </w:tc>
        <w:tc>
          <w:tcPr>
            <w:tcW w:w="1544" w:type="dxa"/>
            <w:vAlign w:val="top"/>
          </w:tcPr>
          <w:p w14:paraId="0D5D6855">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1</w:t>
            </w:r>
          </w:p>
        </w:tc>
        <w:tc>
          <w:tcPr>
            <w:tcW w:w="482" w:type="dxa"/>
            <w:vAlign w:val="top"/>
          </w:tcPr>
          <w:p w14:paraId="4A95659A">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万元</w:t>
            </w:r>
          </w:p>
        </w:tc>
        <w:tc>
          <w:tcPr>
            <w:tcW w:w="1007" w:type="dxa"/>
            <w:vAlign w:val="top"/>
          </w:tcPr>
          <w:p w14:paraId="33BDEFF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2CDB6FDA">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0D25BEE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47AEE09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19EBE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tcBorders>
            <w:vAlign w:val="top"/>
          </w:tcPr>
          <w:p w14:paraId="18E94BA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4E7D728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5242C2F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社会成本指标</w:t>
            </w:r>
          </w:p>
        </w:tc>
        <w:tc>
          <w:tcPr>
            <w:tcW w:w="2081" w:type="dxa"/>
            <w:vAlign w:val="top"/>
          </w:tcPr>
          <w:p w14:paraId="4772CFE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预算执行率</w:t>
            </w:r>
          </w:p>
        </w:tc>
        <w:tc>
          <w:tcPr>
            <w:tcW w:w="482" w:type="dxa"/>
            <w:vAlign w:val="top"/>
          </w:tcPr>
          <w:p w14:paraId="6186733C">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7DE99EFA">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50D36D7C">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6140ED2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7417E033">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193B8C1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32A986E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36445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757" w:type="dxa"/>
            <w:gridSpan w:val="8"/>
            <w:vAlign w:val="top"/>
          </w:tcPr>
          <w:p w14:paraId="291BD31D">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合计</w:t>
            </w:r>
          </w:p>
        </w:tc>
        <w:tc>
          <w:tcPr>
            <w:tcW w:w="470" w:type="dxa"/>
            <w:vAlign w:val="top"/>
          </w:tcPr>
          <w:p w14:paraId="7420DE5B">
            <w:pPr>
              <w:pStyle w:val="39"/>
              <w:pageBreakBefore w:val="0"/>
              <w:kinsoku/>
              <w:overflowPunct/>
              <w:topLinePunct w:val="0"/>
              <w:bidi w:val="0"/>
              <w:spacing w:beforeAutospacing="0" w:after="120" w:afterAutospacing="0" w:line="240" w:lineRule="auto"/>
              <w:ind w:left="0" w:leftChars="0" w:right="0" w:firstLine="332" w:firstLineChars="200"/>
              <w:textAlignment w:val="auto"/>
            </w:pPr>
            <w:r>
              <w:rPr>
                <w:spacing w:val="-7"/>
              </w:rPr>
              <w:t>100</w:t>
            </w:r>
          </w:p>
        </w:tc>
        <w:tc>
          <w:tcPr>
            <w:tcW w:w="414" w:type="dxa"/>
            <w:vAlign w:val="top"/>
          </w:tcPr>
          <w:p w14:paraId="6541640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511DCE2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69272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9" w:hRule="atLeast"/>
        </w:trPr>
        <w:tc>
          <w:tcPr>
            <w:tcW w:w="645" w:type="dxa"/>
            <w:vAlign w:val="top"/>
          </w:tcPr>
          <w:p w14:paraId="7B90331F">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评价结</w:t>
            </w:r>
            <w:r>
              <w:t>论</w:t>
            </w:r>
          </w:p>
        </w:tc>
        <w:tc>
          <w:tcPr>
            <w:tcW w:w="12350" w:type="dxa"/>
            <w:gridSpan w:val="10"/>
            <w:vAlign w:val="top"/>
          </w:tcPr>
          <w:p w14:paraId="21C2C430">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说明项目自评总分</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说明项目实施取得的成效或成</w:t>
            </w:r>
            <w:r>
              <w:rPr>
                <w:rFonts w:ascii="微软雅黑" w:hAnsi="微软雅黑" w:eastAsia="微软雅黑" w:cs="微软雅黑"/>
                <w:i/>
                <w:iCs/>
                <w:spacing w:val="1"/>
                <w:sz w:val="16"/>
                <w:szCs w:val="16"/>
              </w:rPr>
              <w:t>果</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1"/>
                <w:sz w:val="16"/>
                <w:szCs w:val="16"/>
              </w:rPr>
              <w:t>。</w:t>
            </w:r>
            <w:r>
              <w:rPr>
                <w:rFonts w:ascii="微软雅黑" w:hAnsi="微软雅黑" w:eastAsia="微软雅黑" w:cs="微软雅黑"/>
                <w:spacing w:val="1"/>
                <w:sz w:val="16"/>
                <w:szCs w:val="16"/>
              </w:rPr>
              <w:t xml:space="preserve"> </w:t>
            </w:r>
            <w:r>
              <w:rPr>
                <w:rFonts w:ascii="微软雅黑" w:hAnsi="微软雅黑" w:eastAsia="微软雅黑" w:cs="微软雅黑"/>
                <w:i/>
                <w:iCs/>
                <w:spacing w:val="1"/>
                <w:sz w:val="16"/>
                <w:szCs w:val="16"/>
              </w:rPr>
              <w:t>（20字以内</w:t>
            </w:r>
            <w:r>
              <w:rPr>
                <w:rFonts w:ascii="微软雅黑" w:hAnsi="微软雅黑" w:eastAsia="微软雅黑" w:cs="微软雅黑"/>
                <w:spacing w:val="-17"/>
                <w:sz w:val="16"/>
                <w:szCs w:val="16"/>
              </w:rPr>
              <w:t xml:space="preserve"> </w:t>
            </w:r>
            <w:r>
              <w:rPr>
                <w:rFonts w:ascii="微软雅黑" w:hAnsi="微软雅黑" w:eastAsia="微软雅黑" w:cs="微软雅黑"/>
                <w:i/>
                <w:iCs/>
                <w:spacing w:val="1"/>
                <w:sz w:val="16"/>
                <w:szCs w:val="16"/>
              </w:rPr>
              <w:t>）</w:t>
            </w:r>
          </w:p>
        </w:tc>
      </w:tr>
      <w:tr w14:paraId="49DA3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645" w:type="dxa"/>
            <w:vAlign w:val="top"/>
          </w:tcPr>
          <w:p w14:paraId="1B2817AB">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存在问</w:t>
            </w:r>
            <w:r>
              <w:t>题</w:t>
            </w:r>
          </w:p>
        </w:tc>
        <w:tc>
          <w:tcPr>
            <w:tcW w:w="12350" w:type="dxa"/>
            <w:gridSpan w:val="10"/>
            <w:vAlign w:val="top"/>
          </w:tcPr>
          <w:p w14:paraId="65A739E4">
            <w:pPr>
              <w:pageBreakBefore w:val="0"/>
              <w:kinsoku/>
              <w:overflowPunct/>
              <w:topLinePunct w:val="0"/>
              <w:bidi w:val="0"/>
              <w:spacing w:beforeAutospacing="0" w:after="120" w:afterAutospacing="0" w:line="240" w:lineRule="auto"/>
              <w:ind w:left="0" w:leftChars="0" w:right="0" w:firstLine="332"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3"/>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分析存在的问题及原因</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（20字以内</w:t>
            </w:r>
            <w:r>
              <w:rPr>
                <w:rFonts w:ascii="微软雅黑" w:hAnsi="微软雅黑" w:eastAsia="微软雅黑" w:cs="微软雅黑"/>
                <w:spacing w:val="-18"/>
                <w:sz w:val="16"/>
                <w:szCs w:val="16"/>
              </w:rPr>
              <w:t xml:space="preserve"> </w:t>
            </w:r>
            <w:r>
              <w:rPr>
                <w:rFonts w:ascii="微软雅黑" w:hAnsi="微软雅黑" w:eastAsia="微软雅黑" w:cs="微软雅黑"/>
                <w:i/>
                <w:iCs/>
                <w:spacing w:val="3"/>
                <w:sz w:val="16"/>
                <w:szCs w:val="16"/>
              </w:rPr>
              <w:t>）</w:t>
            </w:r>
          </w:p>
        </w:tc>
      </w:tr>
      <w:tr w14:paraId="17D3B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0" w:hRule="atLeast"/>
        </w:trPr>
        <w:tc>
          <w:tcPr>
            <w:tcW w:w="645" w:type="dxa"/>
            <w:vAlign w:val="top"/>
          </w:tcPr>
          <w:p w14:paraId="19FDB5E4">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改进措</w:t>
            </w:r>
            <w:r>
              <w:t>施</w:t>
            </w:r>
          </w:p>
        </w:tc>
        <w:tc>
          <w:tcPr>
            <w:tcW w:w="12350" w:type="dxa"/>
            <w:gridSpan w:val="10"/>
            <w:vAlign w:val="top"/>
          </w:tcPr>
          <w:p w14:paraId="31B637CF">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针对项目自评中发现的问题</w:t>
            </w:r>
            <w:r>
              <w:rPr>
                <w:rFonts w:ascii="微软雅黑" w:hAnsi="微软雅黑" w:eastAsia="微软雅黑" w:cs="微软雅黑"/>
                <w:spacing w:val="4"/>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提出下一步改进完善的意见及有关政策性建议</w:t>
            </w:r>
            <w:r>
              <w:rPr>
                <w:rFonts w:ascii="微软雅黑" w:hAnsi="微软雅黑" w:eastAsia="微软雅黑" w:cs="微软雅黑"/>
                <w:spacing w:val="-25"/>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（20字以内</w:t>
            </w:r>
            <w:r>
              <w:rPr>
                <w:rFonts w:ascii="微软雅黑" w:hAnsi="微软雅黑" w:eastAsia="微软雅黑" w:cs="微软雅黑"/>
                <w:spacing w:val="-20"/>
                <w:sz w:val="16"/>
                <w:szCs w:val="16"/>
              </w:rPr>
              <w:t xml:space="preserve"> </w:t>
            </w:r>
            <w:r>
              <w:rPr>
                <w:rFonts w:ascii="微软雅黑" w:hAnsi="微软雅黑" w:eastAsia="微软雅黑" w:cs="微软雅黑"/>
                <w:i/>
                <w:iCs/>
                <w:spacing w:val="2"/>
                <w:sz w:val="16"/>
                <w:szCs w:val="16"/>
              </w:rPr>
              <w:t>）</w:t>
            </w:r>
          </w:p>
        </w:tc>
      </w:tr>
      <w:tr w14:paraId="35E43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0" w:hRule="atLeast"/>
        </w:trPr>
        <w:tc>
          <w:tcPr>
            <w:tcW w:w="6724" w:type="dxa"/>
            <w:gridSpan w:val="5"/>
            <w:vAlign w:val="top"/>
          </w:tcPr>
          <w:p w14:paraId="75AB7106">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项目负责人：</w:t>
            </w:r>
          </w:p>
        </w:tc>
        <w:tc>
          <w:tcPr>
            <w:tcW w:w="6271" w:type="dxa"/>
            <w:gridSpan w:val="6"/>
            <w:vAlign w:val="top"/>
          </w:tcPr>
          <w:p w14:paraId="1B97959C">
            <w:pPr>
              <w:pageBreakBefore w:val="0"/>
              <w:kinsoku/>
              <w:overflowPunct/>
              <w:topLinePunct w:val="0"/>
              <w:bidi w:val="0"/>
              <w:spacing w:beforeAutospacing="0" w:after="120" w:afterAutospacing="0" w:line="240" w:lineRule="auto"/>
              <w:ind w:left="0" w:leftChars="0" w:right="0" w:firstLine="356" w:firstLineChars="200"/>
              <w:textAlignment w:val="auto"/>
              <w:rPr>
                <w:rFonts w:ascii="黑体" w:hAnsi="黑体" w:eastAsia="黑体" w:cs="黑体"/>
                <w:sz w:val="18"/>
                <w:szCs w:val="18"/>
              </w:rPr>
            </w:pPr>
            <w:r>
              <w:rPr>
                <w:rFonts w:ascii="黑体" w:hAnsi="黑体" w:eastAsia="黑体" w:cs="黑体"/>
                <w:spacing w:val="-1"/>
                <w:sz w:val="18"/>
                <w:szCs w:val="18"/>
              </w:rPr>
              <w:t>财务负责人：</w:t>
            </w:r>
          </w:p>
        </w:tc>
      </w:tr>
    </w:tbl>
    <w:p w14:paraId="0DDDAD4F">
      <w:pPr>
        <w:pageBreakBefore w:val="0"/>
        <w:kinsoku/>
        <w:overflowPunct/>
        <w:topLinePunct w:val="0"/>
        <w:bidi w:val="0"/>
        <w:spacing w:beforeAutospacing="0" w:after="120" w:afterAutospacing="0" w:line="240" w:lineRule="auto"/>
        <w:ind w:left="0" w:leftChars="0" w:right="0" w:firstLine="420" w:firstLineChars="200"/>
        <w:textAlignment w:val="auto"/>
      </w:pPr>
    </w:p>
    <w:tbl>
      <w:tblPr>
        <w:tblStyle w:val="38"/>
        <w:tblW w:w="1299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45"/>
        <w:gridCol w:w="1889"/>
        <w:gridCol w:w="1627"/>
        <w:gridCol w:w="2081"/>
        <w:gridCol w:w="482"/>
        <w:gridCol w:w="1544"/>
        <w:gridCol w:w="482"/>
        <w:gridCol w:w="1007"/>
        <w:gridCol w:w="470"/>
        <w:gridCol w:w="414"/>
        <w:gridCol w:w="2354"/>
      </w:tblGrid>
      <w:tr w14:paraId="028BE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1" w:hRule="atLeast"/>
        </w:trPr>
        <w:tc>
          <w:tcPr>
            <w:tcW w:w="12995" w:type="dxa"/>
            <w:gridSpan w:val="11"/>
            <w:vAlign w:val="top"/>
          </w:tcPr>
          <w:p w14:paraId="0081972F">
            <w:pPr>
              <w:pageBreakBefore w:val="0"/>
              <w:kinsoku/>
              <w:overflowPunct/>
              <w:topLinePunct w:val="0"/>
              <w:bidi w:val="0"/>
              <w:spacing w:beforeAutospacing="0" w:after="120" w:afterAutospacing="0" w:line="240" w:lineRule="auto"/>
              <w:ind w:left="0" w:leftChars="0" w:right="0" w:firstLine="602" w:firstLineChars="200"/>
              <w:textAlignment w:val="auto"/>
              <w:rPr>
                <w:rFonts w:ascii="黑体" w:hAnsi="黑体" w:eastAsia="黑体" w:cs="黑体"/>
                <w:sz w:val="30"/>
                <w:szCs w:val="30"/>
              </w:rPr>
            </w:pPr>
            <w:r>
              <w:rPr>
                <w:rFonts w:ascii="黑体" w:hAnsi="黑体" w:eastAsia="黑体" w:cs="黑体"/>
                <w:b/>
                <w:bCs/>
                <w:sz w:val="30"/>
                <w:szCs w:val="30"/>
              </w:rPr>
              <w:t>部门预算项目支出绩效自评表（2025年度）</w:t>
            </w:r>
          </w:p>
        </w:tc>
      </w:tr>
      <w:tr w14:paraId="5EEC6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2534" w:type="dxa"/>
            <w:gridSpan w:val="2"/>
            <w:vAlign w:val="top"/>
          </w:tcPr>
          <w:p w14:paraId="10866F4E">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项目名称</w:t>
            </w:r>
          </w:p>
        </w:tc>
        <w:tc>
          <w:tcPr>
            <w:tcW w:w="10461" w:type="dxa"/>
            <w:gridSpan w:val="9"/>
            <w:vAlign w:val="top"/>
          </w:tcPr>
          <w:p w14:paraId="1F25A165">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51323321T000000107700-麦洼寺寺庙清洁工工资</w:t>
            </w:r>
          </w:p>
        </w:tc>
      </w:tr>
      <w:tr w14:paraId="39C76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2534" w:type="dxa"/>
            <w:gridSpan w:val="2"/>
            <w:vAlign w:val="top"/>
          </w:tcPr>
          <w:p w14:paraId="4B08B570">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主管部门</w:t>
            </w:r>
          </w:p>
        </w:tc>
        <w:tc>
          <w:tcPr>
            <w:tcW w:w="6216" w:type="dxa"/>
            <w:gridSpan w:val="5"/>
            <w:vAlign w:val="top"/>
          </w:tcPr>
          <w:p w14:paraId="00026595">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红原县阿木乡人民政府</w:t>
            </w:r>
          </w:p>
        </w:tc>
        <w:tc>
          <w:tcPr>
            <w:tcW w:w="1007" w:type="dxa"/>
            <w:vAlign w:val="top"/>
          </w:tcPr>
          <w:p w14:paraId="67DD3F1B">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spacing w:val="-2"/>
                <w:sz w:val="18"/>
                <w:szCs w:val="18"/>
              </w:rPr>
              <w:t>实施单位</w:t>
            </w:r>
          </w:p>
          <w:p w14:paraId="77980F42">
            <w:pPr>
              <w:pageBreakBefore w:val="0"/>
              <w:kinsoku/>
              <w:overflowPunct/>
              <w:topLinePunct w:val="0"/>
              <w:bidi w:val="0"/>
              <w:spacing w:beforeAutospacing="0" w:after="120" w:afterAutospacing="0" w:line="240" w:lineRule="auto"/>
              <w:ind w:left="0" w:leftChars="0" w:right="0" w:firstLine="336" w:firstLineChars="200"/>
              <w:textAlignment w:val="auto"/>
              <w:rPr>
                <w:rFonts w:ascii="黑体" w:hAnsi="黑体" w:eastAsia="黑体" w:cs="黑体"/>
                <w:sz w:val="18"/>
                <w:szCs w:val="18"/>
              </w:rPr>
            </w:pPr>
            <w:r>
              <w:rPr>
                <w:rFonts w:ascii="黑体" w:hAnsi="黑体" w:eastAsia="黑体" w:cs="黑体"/>
                <w:spacing w:val="-6"/>
                <w:sz w:val="18"/>
                <w:szCs w:val="18"/>
              </w:rPr>
              <w:t>（盖章）</w:t>
            </w:r>
          </w:p>
        </w:tc>
        <w:tc>
          <w:tcPr>
            <w:tcW w:w="3238" w:type="dxa"/>
            <w:gridSpan w:val="3"/>
            <w:vAlign w:val="top"/>
          </w:tcPr>
          <w:p w14:paraId="36C84DF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红原县阿木乡机关</w:t>
            </w:r>
          </w:p>
        </w:tc>
      </w:tr>
      <w:tr w14:paraId="15CB7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645" w:type="dxa"/>
            <w:vMerge w:val="restart"/>
            <w:tcBorders>
              <w:bottom w:val="nil"/>
            </w:tcBorders>
            <w:vAlign w:val="top"/>
          </w:tcPr>
          <w:p w14:paraId="18FA53E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331DA25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1DF285BA">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项目基</w:t>
            </w:r>
            <w:r>
              <w:rPr>
                <w:spacing w:val="-3"/>
              </w:rPr>
              <w:t>本情况</w:t>
            </w:r>
          </w:p>
        </w:tc>
        <w:tc>
          <w:tcPr>
            <w:tcW w:w="1889" w:type="dxa"/>
            <w:vMerge w:val="restart"/>
            <w:tcBorders>
              <w:bottom w:val="nil"/>
            </w:tcBorders>
            <w:vAlign w:val="top"/>
          </w:tcPr>
          <w:p w14:paraId="6FC1176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1.项目年度目标完成情</w:t>
            </w:r>
            <w:r>
              <w:t>况</w:t>
            </w:r>
          </w:p>
        </w:tc>
        <w:tc>
          <w:tcPr>
            <w:tcW w:w="6216" w:type="dxa"/>
            <w:gridSpan w:val="5"/>
            <w:vAlign w:val="top"/>
          </w:tcPr>
          <w:p w14:paraId="7F31EC1E">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项目年度目标</w:t>
            </w:r>
          </w:p>
        </w:tc>
        <w:tc>
          <w:tcPr>
            <w:tcW w:w="4245" w:type="dxa"/>
            <w:gridSpan w:val="4"/>
            <w:vAlign w:val="top"/>
          </w:tcPr>
          <w:p w14:paraId="54660455">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年度目标完成情况</w:t>
            </w:r>
          </w:p>
        </w:tc>
      </w:tr>
      <w:tr w14:paraId="1506E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4" w:hRule="atLeast"/>
        </w:trPr>
        <w:tc>
          <w:tcPr>
            <w:tcW w:w="645" w:type="dxa"/>
            <w:vMerge w:val="continue"/>
            <w:tcBorders>
              <w:top w:val="nil"/>
              <w:bottom w:val="nil"/>
            </w:tcBorders>
            <w:vAlign w:val="top"/>
          </w:tcPr>
          <w:p w14:paraId="0CC128E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3524BBF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6216" w:type="dxa"/>
            <w:gridSpan w:val="5"/>
            <w:vAlign w:val="top"/>
          </w:tcPr>
          <w:p w14:paraId="6F6466FF">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麦洼寺寺庙清洁工工资</w:t>
            </w:r>
          </w:p>
        </w:tc>
        <w:tc>
          <w:tcPr>
            <w:tcW w:w="4245" w:type="dxa"/>
            <w:gridSpan w:val="4"/>
            <w:vAlign w:val="top"/>
          </w:tcPr>
          <w:p w14:paraId="55CEF73D">
            <w:pPr>
              <w:pageBreakBefore w:val="0"/>
              <w:kinsoku/>
              <w:overflowPunct/>
              <w:topLinePunct w:val="0"/>
              <w:bidi w:val="0"/>
              <w:spacing w:beforeAutospacing="0" w:after="120" w:afterAutospacing="0" w:line="240" w:lineRule="auto"/>
              <w:ind w:left="0" w:leftChars="0" w:right="0" w:firstLine="364" w:firstLineChars="200"/>
              <w:textAlignment w:val="auto"/>
              <w:rPr>
                <w:rFonts w:ascii="黑体" w:hAnsi="黑体" w:eastAsia="黑体" w:cs="黑体"/>
                <w:sz w:val="18"/>
                <w:szCs w:val="18"/>
              </w:rPr>
            </w:pPr>
            <w:r>
              <w:rPr>
                <w:rFonts w:ascii="黑体" w:hAnsi="黑体" w:eastAsia="黑体" w:cs="黑体"/>
                <w:spacing w:val="1"/>
                <w:sz w:val="18"/>
                <w:szCs w:val="18"/>
              </w:rPr>
              <w:t>对照年度目标，说明相关任务目标的完成情况（100</w:t>
            </w:r>
            <w:r>
              <w:rPr>
                <w:rFonts w:ascii="黑体" w:hAnsi="黑体" w:eastAsia="黑体" w:cs="黑体"/>
                <w:spacing w:val="-3"/>
                <w:sz w:val="18"/>
                <w:szCs w:val="18"/>
              </w:rPr>
              <w:t>字以内）</w:t>
            </w:r>
          </w:p>
        </w:tc>
      </w:tr>
      <w:tr w14:paraId="6F5BA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645" w:type="dxa"/>
            <w:vMerge w:val="continue"/>
            <w:tcBorders>
              <w:top w:val="nil"/>
            </w:tcBorders>
            <w:vAlign w:val="top"/>
          </w:tcPr>
          <w:p w14:paraId="2217C2C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76D40FAC">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2.项目实施内容及过程</w:t>
            </w:r>
            <w:r>
              <w:rPr>
                <w:spacing w:val="-4"/>
              </w:rPr>
              <w:t>概述</w:t>
            </w:r>
          </w:p>
        </w:tc>
        <w:tc>
          <w:tcPr>
            <w:tcW w:w="10461" w:type="dxa"/>
            <w:gridSpan w:val="9"/>
            <w:vAlign w:val="top"/>
          </w:tcPr>
          <w:p w14:paraId="07F028D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D935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45" w:type="dxa"/>
            <w:vMerge w:val="restart"/>
            <w:tcBorders>
              <w:bottom w:val="nil"/>
            </w:tcBorders>
            <w:vAlign w:val="top"/>
          </w:tcPr>
          <w:p w14:paraId="6AC92A6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2623804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4B24AA73">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预算执</w:t>
            </w:r>
          </w:p>
          <w:p w14:paraId="6704C3BB">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行情况</w:t>
            </w:r>
          </w:p>
          <w:p w14:paraId="6DC8085C">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（10分</w:t>
            </w:r>
            <w:r>
              <w:rPr>
                <w:spacing w:val="1"/>
              </w:rPr>
              <w:t xml:space="preserve"> </w:t>
            </w:r>
            <w:r>
              <w:t>)</w:t>
            </w:r>
          </w:p>
        </w:tc>
        <w:tc>
          <w:tcPr>
            <w:tcW w:w="1889" w:type="dxa"/>
            <w:vAlign w:val="top"/>
          </w:tcPr>
          <w:p w14:paraId="0717A429">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年度预算数（万元）</w:t>
            </w:r>
          </w:p>
        </w:tc>
        <w:tc>
          <w:tcPr>
            <w:tcW w:w="1627" w:type="dxa"/>
            <w:vAlign w:val="top"/>
          </w:tcPr>
          <w:p w14:paraId="3EB0F38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年初预算</w:t>
            </w:r>
          </w:p>
        </w:tc>
        <w:tc>
          <w:tcPr>
            <w:tcW w:w="2081" w:type="dxa"/>
            <w:vAlign w:val="top"/>
          </w:tcPr>
          <w:p w14:paraId="02F9F74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调整后预算数</w:t>
            </w:r>
          </w:p>
        </w:tc>
        <w:tc>
          <w:tcPr>
            <w:tcW w:w="2508" w:type="dxa"/>
            <w:gridSpan w:val="3"/>
            <w:vAlign w:val="top"/>
          </w:tcPr>
          <w:p w14:paraId="7F1AC05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预算执行数</w:t>
            </w:r>
          </w:p>
        </w:tc>
        <w:tc>
          <w:tcPr>
            <w:tcW w:w="1007" w:type="dxa"/>
            <w:vAlign w:val="top"/>
          </w:tcPr>
          <w:p w14:paraId="45C714B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预算执行率</w:t>
            </w:r>
          </w:p>
        </w:tc>
        <w:tc>
          <w:tcPr>
            <w:tcW w:w="470" w:type="dxa"/>
            <w:vAlign w:val="top"/>
          </w:tcPr>
          <w:p w14:paraId="680A63BB">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vAlign w:val="top"/>
          </w:tcPr>
          <w:p w14:paraId="55F3C661">
            <w:pPr>
              <w:pStyle w:val="39"/>
              <w:pageBreakBefore w:val="0"/>
              <w:kinsoku/>
              <w:overflowPunct/>
              <w:topLinePunct w:val="0"/>
              <w:bidi w:val="0"/>
              <w:spacing w:beforeAutospacing="0" w:after="120" w:afterAutospacing="0" w:line="240" w:lineRule="auto"/>
              <w:ind w:left="0" w:leftChars="0" w:right="0" w:firstLine="360" w:firstLineChars="200"/>
              <w:textAlignment w:val="auto"/>
            </w:pPr>
            <w:r>
              <mc:AlternateContent>
                <mc:Choice Requires="wps">
                  <w:drawing>
                    <wp:anchor distT="0" distB="0" distL="114300" distR="114300" simplePos="0" relativeHeight="251664384" behindDoc="0" locked="0" layoutInCell="1" allowOverlap="1">
                      <wp:simplePos x="0" y="0"/>
                      <wp:positionH relativeFrom="rightMargin">
                        <wp:posOffset>-182880</wp:posOffset>
                      </wp:positionH>
                      <wp:positionV relativeFrom="topMargin">
                        <wp:posOffset>144145</wp:posOffset>
                      </wp:positionV>
                      <wp:extent cx="133985" cy="161925"/>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33985" cy="161925"/>
                              </a:xfrm>
                              <a:prstGeom prst="rect">
                                <a:avLst/>
                              </a:prstGeom>
                              <a:noFill/>
                              <a:ln>
                                <a:noFill/>
                              </a:ln>
                            </wps:spPr>
                            <wps:txbx>
                              <w:txbxContent>
                                <w:p w14:paraId="6216B9B7">
                                  <w:pPr>
                                    <w:pStyle w:val="39"/>
                                    <w:spacing w:before="20" w:line="220" w:lineRule="auto"/>
                                    <w:ind w:left="20"/>
                                  </w:pPr>
                                  <w:r>
                                    <w:t>分</w:t>
                                  </w:r>
                                </w:p>
                              </w:txbxContent>
                            </wps:txbx>
                            <wps:bodyPr lIns="0" tIns="0" rIns="0" bIns="0" upright="1"/>
                          </wps:wsp>
                        </a:graphicData>
                      </a:graphic>
                    </wp:anchor>
                  </w:drawing>
                </mc:Choice>
                <mc:Fallback>
                  <w:pict>
                    <v:shape id="_x0000_s1026" o:spid="_x0000_s1026" o:spt="202" type="#_x0000_t202" style="position:absolute;left:0pt;margin-left:5.95pt;margin-top:12.1pt;height:12.75pt;width:10.55pt;mso-position-horizontal-relative:page;mso-position-vertical-relative:page;z-index:251664384;mso-width-relative:page;mso-height-relative:page;" filled="f" stroked="f" coordsize="21600,21600" o:gfxdata="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A7G062AAAAAgBAAAPAAAAAAAAAAEAIAAAACIAAABkcnMvZG93bnJldi54bWxQSwEC&#10;FAAUAAAACACHTuJArPdAQbsBAABzAwAADgAAAAAAAAABACAAAAAnAQAAZHJzL2Uyb0RvYy54bWxQ&#10;SwUGAAAAAAYABgBZAQAAVAUAAAAA&#10;">
                      <v:fill on="f" focussize="0,0"/>
                      <v:stroke on="f"/>
                      <v:imagedata o:title=""/>
                      <o:lock v:ext="edit" aspectratio="f"/>
                      <v:textbox inset="0mm,0mm,0mm,0mm">
                        <w:txbxContent>
                          <w:p w14:paraId="6216B9B7">
                            <w:pPr>
                              <w:pStyle w:val="39"/>
                              <w:spacing w:before="20" w:line="220" w:lineRule="auto"/>
                              <w:ind w:left="20"/>
                            </w:pPr>
                            <w:r>
                              <w:t>分</w:t>
                            </w:r>
                          </w:p>
                        </w:txbxContent>
                      </v:textbox>
                    </v:shape>
                  </w:pict>
                </mc:Fallback>
              </mc:AlternateContent>
            </w:r>
            <w:r>
              <w:t>得</w:t>
            </w:r>
          </w:p>
        </w:tc>
        <w:tc>
          <w:tcPr>
            <w:tcW w:w="2354" w:type="dxa"/>
            <w:vAlign w:val="top"/>
          </w:tcPr>
          <w:p w14:paraId="2C7C9455">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原因</w:t>
            </w:r>
          </w:p>
        </w:tc>
      </w:tr>
      <w:tr w14:paraId="522FC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645" w:type="dxa"/>
            <w:vMerge w:val="continue"/>
            <w:tcBorders>
              <w:top w:val="nil"/>
              <w:bottom w:val="nil"/>
            </w:tcBorders>
            <w:vAlign w:val="top"/>
          </w:tcPr>
          <w:p w14:paraId="48534C4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2D314D3E">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总额</w:t>
            </w:r>
          </w:p>
        </w:tc>
        <w:tc>
          <w:tcPr>
            <w:tcW w:w="1627" w:type="dxa"/>
            <w:vAlign w:val="top"/>
          </w:tcPr>
          <w:p w14:paraId="3AA3AA42">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0.96</w:t>
            </w:r>
          </w:p>
        </w:tc>
        <w:tc>
          <w:tcPr>
            <w:tcW w:w="2081" w:type="dxa"/>
            <w:vAlign w:val="top"/>
          </w:tcPr>
          <w:p w14:paraId="544263E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0.96</w:t>
            </w:r>
          </w:p>
        </w:tc>
        <w:tc>
          <w:tcPr>
            <w:tcW w:w="2508" w:type="dxa"/>
            <w:gridSpan w:val="3"/>
            <w:vAlign w:val="top"/>
          </w:tcPr>
          <w:p w14:paraId="20CF06E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0.96</w:t>
            </w:r>
          </w:p>
        </w:tc>
        <w:tc>
          <w:tcPr>
            <w:tcW w:w="1007" w:type="dxa"/>
            <w:vAlign w:val="top"/>
          </w:tcPr>
          <w:p w14:paraId="4EDBB91A">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100.00%</w:t>
            </w:r>
          </w:p>
        </w:tc>
        <w:tc>
          <w:tcPr>
            <w:tcW w:w="470" w:type="dxa"/>
            <w:vAlign w:val="top"/>
          </w:tcPr>
          <w:p w14:paraId="2B6D4888">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23D611B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Merge w:val="restart"/>
            <w:tcBorders>
              <w:bottom w:val="nil"/>
            </w:tcBorders>
            <w:vAlign w:val="top"/>
          </w:tcPr>
          <w:p w14:paraId="12612225">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i/>
                <w:iCs/>
                <w:sz w:val="18"/>
                <w:szCs w:val="18"/>
              </w:rPr>
              <w:t>1.预算执行率=预算执行数/</w:t>
            </w:r>
            <w:r>
              <w:rPr>
                <w:rFonts w:ascii="黑体" w:hAnsi="黑体" w:eastAsia="黑体" w:cs="黑体"/>
                <w:i/>
                <w:iCs/>
                <w:spacing w:val="1"/>
                <w:sz w:val="18"/>
                <w:szCs w:val="18"/>
              </w:rPr>
              <w:t>调整后预算数，</w:t>
            </w:r>
            <w:r>
              <w:rPr>
                <w:rFonts w:ascii="黑体" w:hAnsi="黑体" w:eastAsia="黑体" w:cs="黑体"/>
                <w:spacing w:val="-29"/>
                <w:sz w:val="18"/>
                <w:szCs w:val="18"/>
              </w:rPr>
              <w:t xml:space="preserve"> </w:t>
            </w:r>
            <w:r>
              <w:rPr>
                <w:rFonts w:ascii="黑体" w:hAnsi="黑体" w:eastAsia="黑体" w:cs="黑体"/>
                <w:i/>
                <w:iCs/>
                <w:spacing w:val="1"/>
                <w:sz w:val="18"/>
                <w:szCs w:val="18"/>
              </w:rPr>
              <w:t>预算执行率未达到90%的需说明原因</w:t>
            </w:r>
          </w:p>
          <w:p w14:paraId="71C51412">
            <w:pPr>
              <w:pageBreakBefore w:val="0"/>
              <w:kinsoku/>
              <w:overflowPunct/>
              <w:topLinePunct w:val="0"/>
              <w:bidi w:val="0"/>
              <w:spacing w:beforeAutospacing="0" w:after="120" w:afterAutospacing="0" w:line="240" w:lineRule="auto"/>
              <w:ind w:left="0" w:leftChars="0" w:right="0" w:firstLine="352" w:firstLineChars="200"/>
              <w:textAlignment w:val="auto"/>
              <w:rPr>
                <w:rFonts w:ascii="黑体" w:hAnsi="黑体" w:eastAsia="黑体" w:cs="黑体"/>
                <w:sz w:val="18"/>
                <w:szCs w:val="18"/>
              </w:rPr>
            </w:pPr>
            <w:r>
              <w:rPr>
                <w:rFonts w:ascii="黑体" w:hAnsi="黑体" w:eastAsia="黑体" w:cs="黑体"/>
                <w:i/>
                <w:iCs/>
                <w:spacing w:val="-2"/>
                <w:sz w:val="18"/>
                <w:szCs w:val="18"/>
              </w:rPr>
              <w:t>（100字以内）</w:t>
            </w:r>
            <w:r>
              <w:rPr>
                <w:rFonts w:ascii="黑体" w:hAnsi="黑体" w:eastAsia="黑体" w:cs="黑体"/>
                <w:spacing w:val="-26"/>
                <w:sz w:val="18"/>
                <w:szCs w:val="18"/>
              </w:rPr>
              <w:t xml:space="preserve"> </w:t>
            </w:r>
            <w:r>
              <w:rPr>
                <w:rFonts w:ascii="黑体" w:hAnsi="黑体" w:eastAsia="黑体" w:cs="黑体"/>
                <w:i/>
                <w:iCs/>
                <w:spacing w:val="-2"/>
                <w:sz w:val="18"/>
                <w:szCs w:val="18"/>
              </w:rPr>
              <w:t>;2.年中发生</w:t>
            </w:r>
            <w:r>
              <w:rPr>
                <w:rFonts w:ascii="黑体" w:hAnsi="黑体" w:eastAsia="黑体" w:cs="黑体"/>
                <w:i/>
                <w:iCs/>
                <w:spacing w:val="6"/>
                <w:sz w:val="18"/>
                <w:szCs w:val="18"/>
              </w:rPr>
              <w:t>预算调整的（追加或调</w:t>
            </w:r>
          </w:p>
          <w:p w14:paraId="0D15E89E">
            <w:pPr>
              <w:pageBreakBefore w:val="0"/>
              <w:kinsoku/>
              <w:overflowPunct/>
              <w:topLinePunct w:val="0"/>
              <w:bidi w:val="0"/>
              <w:spacing w:beforeAutospacing="0" w:after="120" w:afterAutospacing="0" w:line="240" w:lineRule="auto"/>
              <w:ind w:left="0" w:leftChars="0" w:right="0" w:firstLine="348" w:firstLineChars="200"/>
              <w:textAlignment w:val="auto"/>
              <w:rPr>
                <w:rFonts w:ascii="黑体" w:hAnsi="黑体" w:eastAsia="黑体" w:cs="黑体"/>
                <w:sz w:val="18"/>
                <w:szCs w:val="18"/>
              </w:rPr>
            </w:pPr>
            <w:r>
              <w:rPr>
                <w:rFonts w:ascii="黑体" w:hAnsi="黑体" w:eastAsia="黑体" w:cs="黑体"/>
                <w:i/>
                <w:iCs/>
                <w:spacing w:val="-3"/>
                <w:sz w:val="18"/>
                <w:szCs w:val="18"/>
              </w:rPr>
              <w:t>减</w:t>
            </w:r>
            <w:r>
              <w:rPr>
                <w:rFonts w:ascii="黑体" w:hAnsi="黑体" w:eastAsia="黑体" w:cs="黑体"/>
                <w:spacing w:val="-41"/>
                <w:sz w:val="18"/>
                <w:szCs w:val="18"/>
              </w:rPr>
              <w:t xml:space="preserve"> </w:t>
            </w:r>
            <w:r>
              <w:rPr>
                <w:rFonts w:ascii="黑体" w:hAnsi="黑体" w:eastAsia="黑体" w:cs="黑体"/>
                <w:i/>
                <w:iCs/>
                <w:spacing w:val="-3"/>
                <w:sz w:val="18"/>
                <w:szCs w:val="18"/>
              </w:rPr>
              <w:t>）,应单独说明理由</w:t>
            </w:r>
            <w:r>
              <w:rPr>
                <w:rFonts w:ascii="黑体" w:hAnsi="黑体" w:eastAsia="黑体" w:cs="黑体"/>
                <w:spacing w:val="-46"/>
                <w:sz w:val="18"/>
                <w:szCs w:val="18"/>
              </w:rPr>
              <w:t xml:space="preserve"> </w:t>
            </w:r>
            <w:r>
              <w:rPr>
                <w:rFonts w:ascii="黑体" w:hAnsi="黑体" w:eastAsia="黑体" w:cs="黑体"/>
                <w:i/>
                <w:iCs/>
                <w:spacing w:val="-3"/>
                <w:sz w:val="18"/>
                <w:szCs w:val="18"/>
              </w:rPr>
              <w:t>；3.</w:t>
            </w:r>
            <w:r>
              <w:rPr>
                <w:rFonts w:ascii="黑体" w:hAnsi="黑体" w:eastAsia="黑体" w:cs="黑体"/>
                <w:i/>
                <w:iCs/>
                <w:spacing w:val="1"/>
                <w:sz w:val="18"/>
                <w:szCs w:val="18"/>
              </w:rPr>
              <w:t>其他资金包括</w:t>
            </w:r>
            <w:r>
              <w:rPr>
                <w:rFonts w:ascii="黑体" w:hAnsi="黑体" w:eastAsia="黑体" w:cs="黑体"/>
                <w:spacing w:val="-31"/>
                <w:sz w:val="18"/>
                <w:szCs w:val="18"/>
              </w:rPr>
              <w:t xml:space="preserve"> </w:t>
            </w:r>
            <w:r>
              <w:rPr>
                <w:rFonts w:ascii="黑体" w:hAnsi="黑体" w:eastAsia="黑体" w:cs="黑体"/>
                <w:i/>
                <w:iCs/>
                <w:spacing w:val="1"/>
                <w:sz w:val="18"/>
                <w:szCs w:val="18"/>
              </w:rPr>
              <w:t>：社会投入资</w:t>
            </w:r>
            <w:r>
              <w:rPr>
                <w:rFonts w:ascii="黑体" w:hAnsi="黑体" w:eastAsia="黑体" w:cs="黑体"/>
                <w:i/>
                <w:iCs/>
                <w:spacing w:val="-4"/>
                <w:sz w:val="18"/>
                <w:szCs w:val="18"/>
              </w:rPr>
              <w:t>金</w:t>
            </w:r>
            <w:r>
              <w:rPr>
                <w:rFonts w:ascii="黑体" w:hAnsi="黑体" w:eastAsia="黑体" w:cs="黑体"/>
                <w:spacing w:val="-50"/>
                <w:sz w:val="18"/>
                <w:szCs w:val="18"/>
              </w:rPr>
              <w:t xml:space="preserve"> </w:t>
            </w:r>
            <w:r>
              <w:rPr>
                <w:rFonts w:ascii="黑体" w:hAnsi="黑体" w:eastAsia="黑体" w:cs="黑体"/>
                <w:i/>
                <w:iCs/>
                <w:spacing w:val="-4"/>
                <w:sz w:val="18"/>
                <w:szCs w:val="18"/>
              </w:rPr>
              <w:t>、</w:t>
            </w:r>
            <w:r>
              <w:rPr>
                <w:rFonts w:ascii="黑体" w:hAnsi="黑体" w:eastAsia="黑体" w:cs="黑体"/>
                <w:spacing w:val="-42"/>
                <w:sz w:val="18"/>
                <w:szCs w:val="18"/>
              </w:rPr>
              <w:t xml:space="preserve"> </w:t>
            </w:r>
            <w:r>
              <w:rPr>
                <w:rFonts w:ascii="黑体" w:hAnsi="黑体" w:eastAsia="黑体" w:cs="黑体"/>
                <w:i/>
                <w:iCs/>
                <w:spacing w:val="-4"/>
                <w:sz w:val="18"/>
                <w:szCs w:val="18"/>
              </w:rPr>
              <w:t>银行贷款.</w:t>
            </w:r>
          </w:p>
        </w:tc>
      </w:tr>
      <w:tr w14:paraId="728FE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645" w:type="dxa"/>
            <w:vMerge w:val="continue"/>
            <w:tcBorders>
              <w:top w:val="nil"/>
              <w:bottom w:val="nil"/>
            </w:tcBorders>
            <w:vAlign w:val="top"/>
          </w:tcPr>
          <w:p w14:paraId="68845D2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5418B6A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其中：财政资金</w:t>
            </w:r>
          </w:p>
        </w:tc>
        <w:tc>
          <w:tcPr>
            <w:tcW w:w="1627" w:type="dxa"/>
            <w:vAlign w:val="top"/>
          </w:tcPr>
          <w:p w14:paraId="2074B24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0.96</w:t>
            </w:r>
          </w:p>
        </w:tc>
        <w:tc>
          <w:tcPr>
            <w:tcW w:w="2081" w:type="dxa"/>
            <w:vAlign w:val="top"/>
          </w:tcPr>
          <w:p w14:paraId="74948C40">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0.96</w:t>
            </w:r>
          </w:p>
        </w:tc>
        <w:tc>
          <w:tcPr>
            <w:tcW w:w="2508" w:type="dxa"/>
            <w:gridSpan w:val="3"/>
            <w:vAlign w:val="top"/>
          </w:tcPr>
          <w:p w14:paraId="684E2B74">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0.96</w:t>
            </w:r>
          </w:p>
        </w:tc>
        <w:tc>
          <w:tcPr>
            <w:tcW w:w="1007" w:type="dxa"/>
            <w:vAlign w:val="top"/>
          </w:tcPr>
          <w:p w14:paraId="0CD5CCF3">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100.00%</w:t>
            </w:r>
          </w:p>
        </w:tc>
        <w:tc>
          <w:tcPr>
            <w:tcW w:w="470" w:type="dxa"/>
            <w:vAlign w:val="top"/>
          </w:tcPr>
          <w:p w14:paraId="5F64E6D6">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3B6DFCDC">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21ECA98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19D9E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 w:hRule="atLeast"/>
        </w:trPr>
        <w:tc>
          <w:tcPr>
            <w:tcW w:w="645" w:type="dxa"/>
            <w:vMerge w:val="continue"/>
            <w:tcBorders>
              <w:top w:val="nil"/>
              <w:bottom w:val="nil"/>
            </w:tcBorders>
            <w:vAlign w:val="top"/>
          </w:tcPr>
          <w:p w14:paraId="151C310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7833975D">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财政专户管理资金</w:t>
            </w:r>
          </w:p>
        </w:tc>
        <w:tc>
          <w:tcPr>
            <w:tcW w:w="1627" w:type="dxa"/>
            <w:vAlign w:val="top"/>
          </w:tcPr>
          <w:p w14:paraId="538B7D23">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1531F8C1">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6BEAC3B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7F929F9D">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45673FF2">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01779381">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2BC2152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5D278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645" w:type="dxa"/>
            <w:vMerge w:val="continue"/>
            <w:tcBorders>
              <w:top w:val="nil"/>
              <w:bottom w:val="nil"/>
            </w:tcBorders>
            <w:vAlign w:val="top"/>
          </w:tcPr>
          <w:p w14:paraId="6A2FA3F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57338702">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单位资金</w:t>
            </w:r>
          </w:p>
        </w:tc>
        <w:tc>
          <w:tcPr>
            <w:tcW w:w="1627" w:type="dxa"/>
            <w:vAlign w:val="top"/>
          </w:tcPr>
          <w:p w14:paraId="17A542F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081" w:type="dxa"/>
            <w:vAlign w:val="top"/>
          </w:tcPr>
          <w:p w14:paraId="0E8FD7F8">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2508" w:type="dxa"/>
            <w:gridSpan w:val="3"/>
            <w:vAlign w:val="top"/>
          </w:tcPr>
          <w:p w14:paraId="5807A12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0.00</w:t>
            </w:r>
          </w:p>
        </w:tc>
        <w:tc>
          <w:tcPr>
            <w:tcW w:w="1007" w:type="dxa"/>
            <w:vAlign w:val="top"/>
          </w:tcPr>
          <w:p w14:paraId="5878D850">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0.00%</w:t>
            </w:r>
          </w:p>
        </w:tc>
        <w:tc>
          <w:tcPr>
            <w:tcW w:w="470" w:type="dxa"/>
            <w:vAlign w:val="top"/>
          </w:tcPr>
          <w:p w14:paraId="19DBA9CB">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11C0044C">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bottom w:val="nil"/>
            </w:tcBorders>
            <w:vAlign w:val="top"/>
          </w:tcPr>
          <w:p w14:paraId="6191E8C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12B01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tcBorders>
            <w:vAlign w:val="top"/>
          </w:tcPr>
          <w:p w14:paraId="4862237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16E32DC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其他资金</w:t>
            </w:r>
          </w:p>
        </w:tc>
        <w:tc>
          <w:tcPr>
            <w:tcW w:w="1627" w:type="dxa"/>
            <w:vAlign w:val="top"/>
          </w:tcPr>
          <w:p w14:paraId="6C96A0A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3C85D2D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508" w:type="dxa"/>
            <w:gridSpan w:val="3"/>
            <w:vAlign w:val="top"/>
          </w:tcPr>
          <w:p w14:paraId="13F3D6F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0F9C60D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0DFA66DA">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414" w:type="dxa"/>
            <w:vAlign w:val="top"/>
          </w:tcPr>
          <w:p w14:paraId="17656C0E">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2354" w:type="dxa"/>
            <w:vMerge w:val="continue"/>
            <w:tcBorders>
              <w:top w:val="nil"/>
            </w:tcBorders>
            <w:vAlign w:val="top"/>
          </w:tcPr>
          <w:p w14:paraId="2168A69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02C80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restart"/>
            <w:tcBorders>
              <w:bottom w:val="nil"/>
            </w:tcBorders>
            <w:vAlign w:val="top"/>
          </w:tcPr>
          <w:p w14:paraId="30B3428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10C84A2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3E723D3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1B78F37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03DA7BB5">
            <w:pPr>
              <w:pStyle w:val="39"/>
              <w:pageBreakBefore w:val="0"/>
              <w:kinsoku/>
              <w:overflowPunct/>
              <w:topLinePunct w:val="0"/>
              <w:bidi w:val="0"/>
              <w:spacing w:beforeAutospacing="0" w:after="120" w:afterAutospacing="0" w:line="240" w:lineRule="auto"/>
              <w:ind w:left="0" w:leftChars="0" w:right="0" w:firstLine="344" w:firstLineChars="200"/>
              <w:jc w:val="both"/>
              <w:textAlignment w:val="auto"/>
            </w:pPr>
            <w:r>
              <w:rPr>
                <w:spacing w:val="-4"/>
              </w:rPr>
              <w:t>绩效指</w:t>
            </w:r>
            <w:r>
              <w:rPr>
                <w:spacing w:val="-2"/>
              </w:rPr>
              <w:t>标（90</w:t>
            </w:r>
            <w:r>
              <w:rPr>
                <w:spacing w:val="41"/>
              </w:rPr>
              <w:t>分）</w:t>
            </w:r>
          </w:p>
        </w:tc>
        <w:tc>
          <w:tcPr>
            <w:tcW w:w="1889" w:type="dxa"/>
            <w:vAlign w:val="top"/>
          </w:tcPr>
          <w:p w14:paraId="1B40FD5A">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一级指标</w:t>
            </w:r>
          </w:p>
        </w:tc>
        <w:tc>
          <w:tcPr>
            <w:tcW w:w="1627" w:type="dxa"/>
            <w:vAlign w:val="top"/>
          </w:tcPr>
          <w:p w14:paraId="175B03B2">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二级指标</w:t>
            </w:r>
          </w:p>
        </w:tc>
        <w:tc>
          <w:tcPr>
            <w:tcW w:w="2081" w:type="dxa"/>
            <w:vAlign w:val="top"/>
          </w:tcPr>
          <w:p w14:paraId="57325D6E">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三级指标</w:t>
            </w:r>
          </w:p>
        </w:tc>
        <w:tc>
          <w:tcPr>
            <w:tcW w:w="482" w:type="dxa"/>
            <w:vAlign w:val="top"/>
          </w:tcPr>
          <w:p w14:paraId="59761660">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指标</w:t>
            </w:r>
          </w:p>
          <w:p w14:paraId="3B77D93D">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性质</w:t>
            </w:r>
          </w:p>
        </w:tc>
        <w:tc>
          <w:tcPr>
            <w:tcW w:w="1544" w:type="dxa"/>
            <w:vAlign w:val="top"/>
          </w:tcPr>
          <w:p w14:paraId="735A330A">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指标值</w:t>
            </w:r>
          </w:p>
        </w:tc>
        <w:tc>
          <w:tcPr>
            <w:tcW w:w="482" w:type="dxa"/>
            <w:vAlign w:val="top"/>
          </w:tcPr>
          <w:p w14:paraId="543563BB">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度量</w:t>
            </w:r>
          </w:p>
          <w:p w14:paraId="05ED7932">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单位</w:t>
            </w:r>
          </w:p>
        </w:tc>
        <w:tc>
          <w:tcPr>
            <w:tcW w:w="1007" w:type="dxa"/>
            <w:vAlign w:val="top"/>
          </w:tcPr>
          <w:p w14:paraId="4D8C5C18">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完成值</w:t>
            </w:r>
          </w:p>
        </w:tc>
        <w:tc>
          <w:tcPr>
            <w:tcW w:w="470" w:type="dxa"/>
            <w:vAlign w:val="top"/>
          </w:tcPr>
          <w:p w14:paraId="012D03AF">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权重</w:t>
            </w:r>
          </w:p>
        </w:tc>
        <w:tc>
          <w:tcPr>
            <w:tcW w:w="414" w:type="dxa"/>
            <w:vAlign w:val="top"/>
          </w:tcPr>
          <w:p w14:paraId="1F9199ED">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得</w:t>
            </w:r>
          </w:p>
          <w:p w14:paraId="36CBBA48">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分</w:t>
            </w:r>
          </w:p>
        </w:tc>
        <w:tc>
          <w:tcPr>
            <w:tcW w:w="2354" w:type="dxa"/>
            <w:vAlign w:val="top"/>
          </w:tcPr>
          <w:p w14:paraId="4F0E6A46">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未完成原因分析</w:t>
            </w:r>
          </w:p>
        </w:tc>
      </w:tr>
      <w:tr w14:paraId="4D740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05DFD90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394505B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产出指标</w:t>
            </w:r>
          </w:p>
        </w:tc>
        <w:tc>
          <w:tcPr>
            <w:tcW w:w="1627" w:type="dxa"/>
            <w:vAlign w:val="top"/>
          </w:tcPr>
          <w:p w14:paraId="790A54CB">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数量指标</w:t>
            </w:r>
          </w:p>
        </w:tc>
        <w:tc>
          <w:tcPr>
            <w:tcW w:w="2081" w:type="dxa"/>
            <w:vAlign w:val="top"/>
          </w:tcPr>
          <w:p w14:paraId="2B3D8C1A">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卫生打扫次数</w:t>
            </w:r>
          </w:p>
        </w:tc>
        <w:tc>
          <w:tcPr>
            <w:tcW w:w="482" w:type="dxa"/>
            <w:vAlign w:val="top"/>
          </w:tcPr>
          <w:p w14:paraId="62693A65">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7E63C970">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12</w:t>
            </w:r>
          </w:p>
        </w:tc>
        <w:tc>
          <w:tcPr>
            <w:tcW w:w="482" w:type="dxa"/>
            <w:vAlign w:val="top"/>
          </w:tcPr>
          <w:p w14:paraId="68C324EE">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次</w:t>
            </w:r>
          </w:p>
        </w:tc>
        <w:tc>
          <w:tcPr>
            <w:tcW w:w="1007" w:type="dxa"/>
            <w:vAlign w:val="top"/>
          </w:tcPr>
          <w:p w14:paraId="6EFB2A1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71595A28">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2D07661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36E83B5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5D04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280EFB9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46C609B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4ED6FE9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质量指标</w:t>
            </w:r>
          </w:p>
        </w:tc>
        <w:tc>
          <w:tcPr>
            <w:tcW w:w="2081" w:type="dxa"/>
            <w:vAlign w:val="top"/>
          </w:tcPr>
          <w:p w14:paraId="5495C94E">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环境质量提升</w:t>
            </w:r>
          </w:p>
        </w:tc>
        <w:tc>
          <w:tcPr>
            <w:tcW w:w="482" w:type="dxa"/>
            <w:vAlign w:val="top"/>
          </w:tcPr>
          <w:p w14:paraId="78A249FF">
            <w:pPr>
              <w:pStyle w:val="39"/>
              <w:pageBreakBefore w:val="0"/>
              <w:kinsoku/>
              <w:overflowPunct/>
              <w:topLinePunct w:val="0"/>
              <w:bidi w:val="0"/>
              <w:spacing w:beforeAutospacing="0" w:after="120" w:afterAutospacing="0" w:line="240" w:lineRule="auto"/>
              <w:ind w:left="0" w:leftChars="0" w:right="0" w:firstLine="336" w:firstLineChars="200"/>
              <w:textAlignment w:val="auto"/>
            </w:pPr>
            <w:r>
              <w:rPr>
                <w:spacing w:val="-6"/>
              </w:rPr>
              <w:t>定性</w:t>
            </w:r>
          </w:p>
        </w:tc>
        <w:tc>
          <w:tcPr>
            <w:tcW w:w="1544" w:type="dxa"/>
            <w:vAlign w:val="top"/>
          </w:tcPr>
          <w:p w14:paraId="70724A1D">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显著提升</w:t>
            </w:r>
          </w:p>
        </w:tc>
        <w:tc>
          <w:tcPr>
            <w:tcW w:w="482" w:type="dxa"/>
            <w:vAlign w:val="top"/>
          </w:tcPr>
          <w:p w14:paraId="0073D43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007" w:type="dxa"/>
            <w:vAlign w:val="top"/>
          </w:tcPr>
          <w:p w14:paraId="5D13969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59545B9E">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20</w:t>
            </w:r>
          </w:p>
        </w:tc>
        <w:tc>
          <w:tcPr>
            <w:tcW w:w="414" w:type="dxa"/>
            <w:vAlign w:val="top"/>
          </w:tcPr>
          <w:p w14:paraId="4805E1F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172812C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4427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1B663DB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36BCAFC9">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效益指标</w:t>
            </w:r>
          </w:p>
        </w:tc>
        <w:tc>
          <w:tcPr>
            <w:tcW w:w="1627" w:type="dxa"/>
            <w:vAlign w:val="top"/>
          </w:tcPr>
          <w:p w14:paraId="031B2AE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社会效益指标</w:t>
            </w:r>
          </w:p>
        </w:tc>
        <w:tc>
          <w:tcPr>
            <w:tcW w:w="2081" w:type="dxa"/>
            <w:vAlign w:val="top"/>
          </w:tcPr>
          <w:p w14:paraId="4F5DF60E">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受益人员</w:t>
            </w:r>
          </w:p>
        </w:tc>
        <w:tc>
          <w:tcPr>
            <w:tcW w:w="482" w:type="dxa"/>
            <w:vAlign w:val="top"/>
          </w:tcPr>
          <w:p w14:paraId="59067723">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6A05E1C8">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500</w:t>
            </w:r>
          </w:p>
        </w:tc>
        <w:tc>
          <w:tcPr>
            <w:tcW w:w="482" w:type="dxa"/>
            <w:vAlign w:val="top"/>
          </w:tcPr>
          <w:p w14:paraId="6D13063C">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人</w:t>
            </w:r>
          </w:p>
        </w:tc>
        <w:tc>
          <w:tcPr>
            <w:tcW w:w="1007" w:type="dxa"/>
            <w:vAlign w:val="top"/>
          </w:tcPr>
          <w:p w14:paraId="09F3063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48BBFC53">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542C9EC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38A700F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534D9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bottom w:val="nil"/>
            </w:tcBorders>
            <w:vAlign w:val="top"/>
          </w:tcPr>
          <w:p w14:paraId="0741055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7CCBBA02">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Align w:val="top"/>
          </w:tcPr>
          <w:p w14:paraId="0DA8EEC9">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生态效益指标</w:t>
            </w:r>
          </w:p>
        </w:tc>
        <w:tc>
          <w:tcPr>
            <w:tcW w:w="2081" w:type="dxa"/>
            <w:vAlign w:val="top"/>
          </w:tcPr>
          <w:p w14:paraId="465818BF">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环境清洁度</w:t>
            </w:r>
          </w:p>
        </w:tc>
        <w:tc>
          <w:tcPr>
            <w:tcW w:w="482" w:type="dxa"/>
            <w:vAlign w:val="top"/>
          </w:tcPr>
          <w:p w14:paraId="766604E5">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42499629">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98</w:t>
            </w:r>
          </w:p>
        </w:tc>
        <w:tc>
          <w:tcPr>
            <w:tcW w:w="482" w:type="dxa"/>
            <w:vAlign w:val="top"/>
          </w:tcPr>
          <w:p w14:paraId="0C44DC69">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3882CC6B">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5A63D1C7">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747D0B6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5C5C491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968A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continue"/>
            <w:tcBorders>
              <w:top w:val="nil"/>
              <w:bottom w:val="nil"/>
            </w:tcBorders>
            <w:vAlign w:val="top"/>
          </w:tcPr>
          <w:p w14:paraId="40974225">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Align w:val="top"/>
          </w:tcPr>
          <w:p w14:paraId="0EA7C5B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满意度指标</w:t>
            </w:r>
          </w:p>
        </w:tc>
        <w:tc>
          <w:tcPr>
            <w:tcW w:w="1627" w:type="dxa"/>
            <w:vAlign w:val="top"/>
          </w:tcPr>
          <w:p w14:paraId="6F76FCFB">
            <w:pPr>
              <w:pStyle w:val="39"/>
              <w:pageBreakBefore w:val="0"/>
              <w:kinsoku/>
              <w:overflowPunct/>
              <w:topLinePunct w:val="0"/>
              <w:bidi w:val="0"/>
              <w:spacing w:beforeAutospacing="0" w:after="120" w:afterAutospacing="0" w:line="240" w:lineRule="auto"/>
              <w:ind w:left="0" w:leftChars="0" w:right="0" w:firstLine="356" w:firstLineChars="200"/>
              <w:textAlignment w:val="auto"/>
            </w:pPr>
            <w:r>
              <w:rPr>
                <w:spacing w:val="-1"/>
              </w:rPr>
              <w:t>服务对象满意度指</w:t>
            </w:r>
          </w:p>
          <w:p w14:paraId="573AD7BF">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标</w:t>
            </w:r>
          </w:p>
        </w:tc>
        <w:tc>
          <w:tcPr>
            <w:tcW w:w="2081" w:type="dxa"/>
            <w:vAlign w:val="top"/>
          </w:tcPr>
          <w:p w14:paraId="73CBCB1E">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群众满意度</w:t>
            </w:r>
          </w:p>
        </w:tc>
        <w:tc>
          <w:tcPr>
            <w:tcW w:w="482" w:type="dxa"/>
            <w:vAlign w:val="top"/>
          </w:tcPr>
          <w:p w14:paraId="5A8BEBE2">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3F322D71">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0CCF1F3B">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0A6A9A0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4C4E902D">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4673655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697D123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0CBB2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645" w:type="dxa"/>
            <w:vMerge w:val="continue"/>
            <w:tcBorders>
              <w:top w:val="nil"/>
              <w:bottom w:val="nil"/>
            </w:tcBorders>
            <w:vAlign w:val="top"/>
          </w:tcPr>
          <w:p w14:paraId="4B90D99C">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restart"/>
            <w:tcBorders>
              <w:bottom w:val="nil"/>
            </w:tcBorders>
            <w:vAlign w:val="top"/>
          </w:tcPr>
          <w:p w14:paraId="6F923C2F">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0B710682">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成本指标</w:t>
            </w:r>
          </w:p>
        </w:tc>
        <w:tc>
          <w:tcPr>
            <w:tcW w:w="1627" w:type="dxa"/>
            <w:vMerge w:val="restart"/>
            <w:tcBorders>
              <w:bottom w:val="nil"/>
            </w:tcBorders>
            <w:vAlign w:val="top"/>
          </w:tcPr>
          <w:p w14:paraId="224BD41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p w14:paraId="458DCDAB">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经济成本指标</w:t>
            </w:r>
          </w:p>
        </w:tc>
        <w:tc>
          <w:tcPr>
            <w:tcW w:w="2081" w:type="dxa"/>
            <w:vAlign w:val="top"/>
          </w:tcPr>
          <w:p w14:paraId="65A3FBD7">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保障经费</w:t>
            </w:r>
          </w:p>
        </w:tc>
        <w:tc>
          <w:tcPr>
            <w:tcW w:w="482" w:type="dxa"/>
            <w:vAlign w:val="top"/>
          </w:tcPr>
          <w:p w14:paraId="441A91FE">
            <w:pPr>
              <w:pStyle w:val="39"/>
              <w:pageBreakBefore w:val="0"/>
              <w:kinsoku/>
              <w:overflowPunct/>
              <w:topLinePunct w:val="0"/>
              <w:bidi w:val="0"/>
              <w:spacing w:beforeAutospacing="0" w:after="120" w:afterAutospacing="0" w:line="240" w:lineRule="auto"/>
              <w:ind w:left="0" w:leftChars="0" w:right="0" w:firstLine="522" w:firstLineChars="200"/>
              <w:textAlignment w:val="auto"/>
            </w:pPr>
            <w:r>
              <w:rPr>
                <w:spacing w:val="18"/>
                <w:w w:val="125"/>
                <w:position w:val="-2"/>
              </w:rPr>
              <w:t>=</w:t>
            </w:r>
          </w:p>
        </w:tc>
        <w:tc>
          <w:tcPr>
            <w:tcW w:w="1544" w:type="dxa"/>
            <w:vAlign w:val="top"/>
          </w:tcPr>
          <w:p w14:paraId="50C2C7CD">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9600</w:t>
            </w:r>
          </w:p>
        </w:tc>
        <w:tc>
          <w:tcPr>
            <w:tcW w:w="482" w:type="dxa"/>
            <w:vAlign w:val="top"/>
          </w:tcPr>
          <w:p w14:paraId="6641405E">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元/</w:t>
            </w:r>
            <w:r>
              <w:t>年</w:t>
            </w:r>
          </w:p>
        </w:tc>
        <w:tc>
          <w:tcPr>
            <w:tcW w:w="1007" w:type="dxa"/>
            <w:vAlign w:val="top"/>
          </w:tcPr>
          <w:p w14:paraId="54090997">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27C19AA5">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727138F1">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1728804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56E65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trPr>
        <w:tc>
          <w:tcPr>
            <w:tcW w:w="645" w:type="dxa"/>
            <w:vMerge w:val="continue"/>
            <w:tcBorders>
              <w:top w:val="nil"/>
            </w:tcBorders>
            <w:vAlign w:val="top"/>
          </w:tcPr>
          <w:p w14:paraId="3BAC494E">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889" w:type="dxa"/>
            <w:vMerge w:val="continue"/>
            <w:tcBorders>
              <w:top w:val="nil"/>
            </w:tcBorders>
            <w:vAlign w:val="top"/>
          </w:tcPr>
          <w:p w14:paraId="3CEEC143">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1627" w:type="dxa"/>
            <w:vMerge w:val="continue"/>
            <w:tcBorders>
              <w:top w:val="nil"/>
            </w:tcBorders>
            <w:vAlign w:val="top"/>
          </w:tcPr>
          <w:p w14:paraId="6BD2078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081" w:type="dxa"/>
            <w:vAlign w:val="top"/>
          </w:tcPr>
          <w:p w14:paraId="39B8EFEC">
            <w:pPr>
              <w:pStyle w:val="39"/>
              <w:pageBreakBefore w:val="0"/>
              <w:kinsoku/>
              <w:overflowPunct/>
              <w:topLinePunct w:val="0"/>
              <w:bidi w:val="0"/>
              <w:spacing w:beforeAutospacing="0" w:after="120" w:afterAutospacing="0" w:line="240" w:lineRule="auto"/>
              <w:ind w:left="0" w:leftChars="0" w:right="0" w:firstLine="352" w:firstLineChars="200"/>
              <w:textAlignment w:val="auto"/>
            </w:pPr>
            <w:r>
              <w:rPr>
                <w:spacing w:val="-2"/>
              </w:rPr>
              <w:t>经费执行率</w:t>
            </w:r>
          </w:p>
        </w:tc>
        <w:tc>
          <w:tcPr>
            <w:tcW w:w="482" w:type="dxa"/>
            <w:vAlign w:val="top"/>
          </w:tcPr>
          <w:p w14:paraId="375C6B4D">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544" w:type="dxa"/>
            <w:vAlign w:val="top"/>
          </w:tcPr>
          <w:p w14:paraId="5E341172">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95</w:t>
            </w:r>
          </w:p>
        </w:tc>
        <w:tc>
          <w:tcPr>
            <w:tcW w:w="482" w:type="dxa"/>
            <w:vAlign w:val="top"/>
          </w:tcPr>
          <w:p w14:paraId="7B5568C8">
            <w:pPr>
              <w:pStyle w:val="39"/>
              <w:pageBreakBefore w:val="0"/>
              <w:kinsoku/>
              <w:overflowPunct/>
              <w:topLinePunct w:val="0"/>
              <w:bidi w:val="0"/>
              <w:spacing w:beforeAutospacing="0" w:after="120" w:afterAutospacing="0" w:line="240" w:lineRule="auto"/>
              <w:ind w:left="0" w:leftChars="0" w:right="0" w:firstLine="360" w:firstLineChars="200"/>
              <w:textAlignment w:val="auto"/>
            </w:pPr>
            <w:r>
              <w:t>%</w:t>
            </w:r>
          </w:p>
        </w:tc>
        <w:tc>
          <w:tcPr>
            <w:tcW w:w="1007" w:type="dxa"/>
            <w:vAlign w:val="top"/>
          </w:tcPr>
          <w:p w14:paraId="36B1A8D8">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470" w:type="dxa"/>
            <w:vAlign w:val="top"/>
          </w:tcPr>
          <w:p w14:paraId="231436DD">
            <w:pPr>
              <w:pStyle w:val="39"/>
              <w:pageBreakBefore w:val="0"/>
              <w:kinsoku/>
              <w:overflowPunct/>
              <w:topLinePunct w:val="0"/>
              <w:bidi w:val="0"/>
              <w:spacing w:beforeAutospacing="0" w:after="120" w:afterAutospacing="0" w:line="240" w:lineRule="auto"/>
              <w:ind w:left="0" w:leftChars="0" w:right="0" w:firstLine="320" w:firstLineChars="200"/>
              <w:textAlignment w:val="auto"/>
            </w:pPr>
            <w:r>
              <w:rPr>
                <w:spacing w:val="-10"/>
              </w:rPr>
              <w:t>10</w:t>
            </w:r>
          </w:p>
        </w:tc>
        <w:tc>
          <w:tcPr>
            <w:tcW w:w="414" w:type="dxa"/>
            <w:vAlign w:val="top"/>
          </w:tcPr>
          <w:p w14:paraId="23A5067D">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7809B1C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73665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9757" w:type="dxa"/>
            <w:gridSpan w:val="8"/>
            <w:vAlign w:val="top"/>
          </w:tcPr>
          <w:p w14:paraId="6F852FDC">
            <w:pPr>
              <w:pStyle w:val="39"/>
              <w:pageBreakBefore w:val="0"/>
              <w:kinsoku/>
              <w:overflowPunct/>
              <w:topLinePunct w:val="0"/>
              <w:bidi w:val="0"/>
              <w:spacing w:beforeAutospacing="0" w:after="120" w:afterAutospacing="0" w:line="240" w:lineRule="auto"/>
              <w:ind w:left="0" w:leftChars="0" w:right="0" w:firstLine="344" w:firstLineChars="200"/>
              <w:textAlignment w:val="auto"/>
            </w:pPr>
            <w:r>
              <w:rPr>
                <w:spacing w:val="-4"/>
              </w:rPr>
              <w:t>合计</w:t>
            </w:r>
          </w:p>
        </w:tc>
        <w:tc>
          <w:tcPr>
            <w:tcW w:w="470" w:type="dxa"/>
            <w:vAlign w:val="top"/>
          </w:tcPr>
          <w:p w14:paraId="0A2CCDF1">
            <w:pPr>
              <w:pStyle w:val="39"/>
              <w:pageBreakBefore w:val="0"/>
              <w:kinsoku/>
              <w:overflowPunct/>
              <w:topLinePunct w:val="0"/>
              <w:bidi w:val="0"/>
              <w:spacing w:beforeAutospacing="0" w:after="120" w:afterAutospacing="0" w:line="240" w:lineRule="auto"/>
              <w:ind w:left="0" w:leftChars="0" w:right="0" w:firstLine="332" w:firstLineChars="200"/>
              <w:textAlignment w:val="auto"/>
            </w:pPr>
            <w:r>
              <w:rPr>
                <w:spacing w:val="-7"/>
              </w:rPr>
              <w:t>100</w:t>
            </w:r>
          </w:p>
        </w:tc>
        <w:tc>
          <w:tcPr>
            <w:tcW w:w="414" w:type="dxa"/>
            <w:vAlign w:val="top"/>
          </w:tcPr>
          <w:p w14:paraId="091DADB9">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c>
          <w:tcPr>
            <w:tcW w:w="2354" w:type="dxa"/>
            <w:vAlign w:val="top"/>
          </w:tcPr>
          <w:p w14:paraId="6710E616">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sz w:val="21"/>
              </w:rPr>
            </w:pPr>
          </w:p>
        </w:tc>
      </w:tr>
      <w:tr w14:paraId="4735D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9" w:hRule="atLeast"/>
        </w:trPr>
        <w:tc>
          <w:tcPr>
            <w:tcW w:w="645" w:type="dxa"/>
            <w:vAlign w:val="top"/>
          </w:tcPr>
          <w:p w14:paraId="13F90E37">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评价结</w:t>
            </w:r>
            <w:r>
              <w:t>论</w:t>
            </w:r>
          </w:p>
        </w:tc>
        <w:tc>
          <w:tcPr>
            <w:tcW w:w="12350" w:type="dxa"/>
            <w:gridSpan w:val="10"/>
            <w:vAlign w:val="top"/>
          </w:tcPr>
          <w:p w14:paraId="7F81ECDF">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说明项目自评总分</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说明项目实施取得的成效或成</w:t>
            </w:r>
            <w:r>
              <w:rPr>
                <w:rFonts w:ascii="微软雅黑" w:hAnsi="微软雅黑" w:eastAsia="微软雅黑" w:cs="微软雅黑"/>
                <w:i/>
                <w:iCs/>
                <w:spacing w:val="1"/>
                <w:sz w:val="16"/>
                <w:szCs w:val="16"/>
              </w:rPr>
              <w:t>果</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1"/>
                <w:sz w:val="16"/>
                <w:szCs w:val="16"/>
              </w:rPr>
              <w:t>。</w:t>
            </w:r>
            <w:r>
              <w:rPr>
                <w:rFonts w:ascii="微软雅黑" w:hAnsi="微软雅黑" w:eastAsia="微软雅黑" w:cs="微软雅黑"/>
                <w:spacing w:val="1"/>
                <w:sz w:val="16"/>
                <w:szCs w:val="16"/>
              </w:rPr>
              <w:t xml:space="preserve"> </w:t>
            </w:r>
            <w:r>
              <w:rPr>
                <w:rFonts w:ascii="微软雅黑" w:hAnsi="微软雅黑" w:eastAsia="微软雅黑" w:cs="微软雅黑"/>
                <w:i/>
                <w:iCs/>
                <w:spacing w:val="1"/>
                <w:sz w:val="16"/>
                <w:szCs w:val="16"/>
              </w:rPr>
              <w:t>（20字以内</w:t>
            </w:r>
            <w:r>
              <w:rPr>
                <w:rFonts w:ascii="微软雅黑" w:hAnsi="微软雅黑" w:eastAsia="微软雅黑" w:cs="微软雅黑"/>
                <w:spacing w:val="-17"/>
                <w:sz w:val="16"/>
                <w:szCs w:val="16"/>
              </w:rPr>
              <w:t xml:space="preserve"> </w:t>
            </w:r>
            <w:r>
              <w:rPr>
                <w:rFonts w:ascii="微软雅黑" w:hAnsi="微软雅黑" w:eastAsia="微软雅黑" w:cs="微软雅黑"/>
                <w:i/>
                <w:iCs/>
                <w:spacing w:val="1"/>
                <w:sz w:val="16"/>
                <w:szCs w:val="16"/>
              </w:rPr>
              <w:t>）</w:t>
            </w:r>
          </w:p>
        </w:tc>
      </w:tr>
      <w:tr w14:paraId="3E8E9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645" w:type="dxa"/>
            <w:vAlign w:val="top"/>
          </w:tcPr>
          <w:p w14:paraId="47566554">
            <w:pPr>
              <w:pStyle w:val="39"/>
              <w:pageBreakBefore w:val="0"/>
              <w:kinsoku/>
              <w:overflowPunct/>
              <w:topLinePunct w:val="0"/>
              <w:bidi w:val="0"/>
              <w:spacing w:beforeAutospacing="0" w:after="120" w:afterAutospacing="0" w:line="240" w:lineRule="auto"/>
              <w:ind w:left="0" w:leftChars="0" w:right="0" w:firstLine="348" w:firstLineChars="200"/>
              <w:textAlignment w:val="auto"/>
            </w:pPr>
            <w:r>
              <w:rPr>
                <w:spacing w:val="-3"/>
              </w:rPr>
              <w:t>存在问</w:t>
            </w:r>
            <w:r>
              <w:t>题</w:t>
            </w:r>
          </w:p>
        </w:tc>
        <w:tc>
          <w:tcPr>
            <w:tcW w:w="12350" w:type="dxa"/>
            <w:gridSpan w:val="10"/>
            <w:vAlign w:val="top"/>
          </w:tcPr>
          <w:p w14:paraId="1229890B">
            <w:pPr>
              <w:pageBreakBefore w:val="0"/>
              <w:kinsoku/>
              <w:overflowPunct/>
              <w:topLinePunct w:val="0"/>
              <w:bidi w:val="0"/>
              <w:spacing w:beforeAutospacing="0" w:after="120" w:afterAutospacing="0" w:line="240" w:lineRule="auto"/>
              <w:ind w:left="0" w:leftChars="0" w:right="0" w:firstLine="332"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3"/>
                <w:sz w:val="16"/>
                <w:szCs w:val="16"/>
              </w:rPr>
              <w:t>结合自评情况</w:t>
            </w:r>
            <w:r>
              <w:rPr>
                <w:rFonts w:ascii="微软雅黑" w:hAnsi="微软雅黑" w:eastAsia="微软雅黑" w:cs="微软雅黑"/>
                <w:spacing w:val="-11"/>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分析存在的问题及原因</w:t>
            </w:r>
            <w:r>
              <w:rPr>
                <w:rFonts w:ascii="微软雅黑" w:hAnsi="微软雅黑" w:eastAsia="微软雅黑" w:cs="微软雅黑"/>
                <w:spacing w:val="-23"/>
                <w:sz w:val="16"/>
                <w:szCs w:val="16"/>
              </w:rPr>
              <w:t xml:space="preserve"> </w:t>
            </w:r>
            <w:r>
              <w:rPr>
                <w:rFonts w:ascii="微软雅黑" w:hAnsi="微软雅黑" w:eastAsia="微软雅黑" w:cs="微软雅黑"/>
                <w:i/>
                <w:iCs/>
                <w:spacing w:val="3"/>
                <w:sz w:val="16"/>
                <w:szCs w:val="16"/>
              </w:rPr>
              <w:t>。</w:t>
            </w:r>
            <w:r>
              <w:rPr>
                <w:rFonts w:ascii="微软雅黑" w:hAnsi="微软雅黑" w:eastAsia="微软雅黑" w:cs="微软雅黑"/>
                <w:spacing w:val="3"/>
                <w:sz w:val="16"/>
                <w:szCs w:val="16"/>
              </w:rPr>
              <w:t xml:space="preserve"> </w:t>
            </w:r>
            <w:r>
              <w:rPr>
                <w:rFonts w:ascii="微软雅黑" w:hAnsi="微软雅黑" w:eastAsia="微软雅黑" w:cs="微软雅黑"/>
                <w:i/>
                <w:iCs/>
                <w:spacing w:val="3"/>
                <w:sz w:val="16"/>
                <w:szCs w:val="16"/>
              </w:rPr>
              <w:t>（20字以内</w:t>
            </w:r>
            <w:r>
              <w:rPr>
                <w:rFonts w:ascii="微软雅黑" w:hAnsi="微软雅黑" w:eastAsia="微软雅黑" w:cs="微软雅黑"/>
                <w:spacing w:val="-18"/>
                <w:sz w:val="16"/>
                <w:szCs w:val="16"/>
              </w:rPr>
              <w:t xml:space="preserve"> </w:t>
            </w:r>
            <w:r>
              <w:rPr>
                <w:rFonts w:ascii="微软雅黑" w:hAnsi="微软雅黑" w:eastAsia="微软雅黑" w:cs="微软雅黑"/>
                <w:i/>
                <w:iCs/>
                <w:spacing w:val="3"/>
                <w:sz w:val="16"/>
                <w:szCs w:val="16"/>
              </w:rPr>
              <w:t>）</w:t>
            </w:r>
          </w:p>
        </w:tc>
      </w:tr>
      <w:tr w14:paraId="5A6D9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0" w:hRule="atLeast"/>
        </w:trPr>
        <w:tc>
          <w:tcPr>
            <w:tcW w:w="645" w:type="dxa"/>
            <w:vAlign w:val="top"/>
          </w:tcPr>
          <w:p w14:paraId="29DA1DD8">
            <w:pPr>
              <w:pStyle w:val="39"/>
              <w:pageBreakBefore w:val="0"/>
              <w:kinsoku/>
              <w:overflowPunct/>
              <w:topLinePunct w:val="0"/>
              <w:bidi w:val="0"/>
              <w:spacing w:beforeAutospacing="0" w:after="120" w:afterAutospacing="0" w:line="240" w:lineRule="auto"/>
              <w:ind w:left="0" w:leftChars="0" w:right="0" w:firstLine="340" w:firstLineChars="200"/>
              <w:textAlignment w:val="auto"/>
            </w:pPr>
            <w:r>
              <w:rPr>
                <w:spacing w:val="-5"/>
              </w:rPr>
              <w:t>改进措</w:t>
            </w:r>
            <w:r>
              <w:t>施</w:t>
            </w:r>
          </w:p>
        </w:tc>
        <w:tc>
          <w:tcPr>
            <w:tcW w:w="12350" w:type="dxa"/>
            <w:gridSpan w:val="10"/>
            <w:vAlign w:val="top"/>
          </w:tcPr>
          <w:p w14:paraId="382A4843">
            <w:pPr>
              <w:pageBreakBefore w:val="0"/>
              <w:kinsoku/>
              <w:overflowPunct/>
              <w:topLinePunct w:val="0"/>
              <w:bidi w:val="0"/>
              <w:spacing w:beforeAutospacing="0" w:after="120" w:afterAutospacing="0" w:line="240" w:lineRule="auto"/>
              <w:ind w:left="0" w:leftChars="0" w:right="0" w:firstLine="328" w:firstLineChars="200"/>
              <w:textAlignment w:val="auto"/>
              <w:rPr>
                <w:rFonts w:ascii="微软雅黑" w:hAnsi="微软雅黑" w:eastAsia="微软雅黑" w:cs="微软雅黑"/>
                <w:sz w:val="16"/>
                <w:szCs w:val="16"/>
              </w:rPr>
            </w:pPr>
            <w:r>
              <w:rPr>
                <w:rFonts w:ascii="微软雅黑" w:hAnsi="微软雅黑" w:eastAsia="微软雅黑" w:cs="微软雅黑"/>
                <w:i/>
                <w:iCs/>
                <w:spacing w:val="2"/>
                <w:sz w:val="16"/>
                <w:szCs w:val="16"/>
              </w:rPr>
              <w:t>针对项目自评中发现的问题</w:t>
            </w:r>
            <w:r>
              <w:rPr>
                <w:rFonts w:ascii="微软雅黑" w:hAnsi="微软雅黑" w:eastAsia="微软雅黑" w:cs="微软雅黑"/>
                <w:spacing w:val="4"/>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提出下一步改进完善的意见及有关政策性建议</w:t>
            </w:r>
            <w:r>
              <w:rPr>
                <w:rFonts w:ascii="微软雅黑" w:hAnsi="微软雅黑" w:eastAsia="微软雅黑" w:cs="微软雅黑"/>
                <w:spacing w:val="-25"/>
                <w:sz w:val="16"/>
                <w:szCs w:val="16"/>
              </w:rPr>
              <w:t xml:space="preserve"> </w:t>
            </w:r>
            <w:r>
              <w:rPr>
                <w:rFonts w:ascii="微软雅黑" w:hAnsi="微软雅黑" w:eastAsia="微软雅黑" w:cs="微软雅黑"/>
                <w:i/>
                <w:iCs/>
                <w:spacing w:val="2"/>
                <w:sz w:val="16"/>
                <w:szCs w:val="16"/>
              </w:rPr>
              <w:t>。</w:t>
            </w:r>
            <w:r>
              <w:rPr>
                <w:rFonts w:ascii="微软雅黑" w:hAnsi="微软雅黑" w:eastAsia="微软雅黑" w:cs="微软雅黑"/>
                <w:spacing w:val="2"/>
                <w:sz w:val="16"/>
                <w:szCs w:val="16"/>
              </w:rPr>
              <w:t xml:space="preserve"> </w:t>
            </w:r>
            <w:r>
              <w:rPr>
                <w:rFonts w:ascii="微软雅黑" w:hAnsi="微软雅黑" w:eastAsia="微软雅黑" w:cs="微软雅黑"/>
                <w:i/>
                <w:iCs/>
                <w:spacing w:val="2"/>
                <w:sz w:val="16"/>
                <w:szCs w:val="16"/>
              </w:rPr>
              <w:t>（20字以内</w:t>
            </w:r>
            <w:r>
              <w:rPr>
                <w:rFonts w:ascii="微软雅黑" w:hAnsi="微软雅黑" w:eastAsia="微软雅黑" w:cs="微软雅黑"/>
                <w:spacing w:val="-20"/>
                <w:sz w:val="16"/>
                <w:szCs w:val="16"/>
              </w:rPr>
              <w:t xml:space="preserve"> </w:t>
            </w:r>
            <w:r>
              <w:rPr>
                <w:rFonts w:ascii="微软雅黑" w:hAnsi="微软雅黑" w:eastAsia="微软雅黑" w:cs="微软雅黑"/>
                <w:i/>
                <w:iCs/>
                <w:spacing w:val="2"/>
                <w:sz w:val="16"/>
                <w:szCs w:val="16"/>
              </w:rPr>
              <w:t>）</w:t>
            </w:r>
          </w:p>
        </w:tc>
      </w:tr>
      <w:tr w14:paraId="5D652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0" w:hRule="atLeast"/>
        </w:trPr>
        <w:tc>
          <w:tcPr>
            <w:tcW w:w="6724" w:type="dxa"/>
            <w:gridSpan w:val="5"/>
            <w:vAlign w:val="top"/>
          </w:tcPr>
          <w:p w14:paraId="1191F4DC">
            <w:pPr>
              <w:pageBreakBefore w:val="0"/>
              <w:kinsoku/>
              <w:overflowPunct/>
              <w:topLinePunct w:val="0"/>
              <w:bidi w:val="0"/>
              <w:spacing w:beforeAutospacing="0" w:after="120" w:afterAutospacing="0" w:line="240" w:lineRule="auto"/>
              <w:ind w:left="0" w:leftChars="0" w:right="0" w:firstLine="360" w:firstLineChars="200"/>
              <w:textAlignment w:val="auto"/>
              <w:rPr>
                <w:rFonts w:ascii="黑体" w:hAnsi="黑体" w:eastAsia="黑体" w:cs="黑体"/>
                <w:sz w:val="18"/>
                <w:szCs w:val="18"/>
              </w:rPr>
            </w:pPr>
            <w:r>
              <w:rPr>
                <w:rFonts w:ascii="黑体" w:hAnsi="黑体" w:eastAsia="黑体" w:cs="黑体"/>
                <w:sz w:val="18"/>
                <w:szCs w:val="18"/>
              </w:rPr>
              <w:t>项目负责人：</w:t>
            </w:r>
          </w:p>
        </w:tc>
        <w:tc>
          <w:tcPr>
            <w:tcW w:w="6271" w:type="dxa"/>
            <w:gridSpan w:val="6"/>
            <w:vAlign w:val="top"/>
          </w:tcPr>
          <w:p w14:paraId="044F66FA">
            <w:pPr>
              <w:pageBreakBefore w:val="0"/>
              <w:kinsoku/>
              <w:overflowPunct/>
              <w:topLinePunct w:val="0"/>
              <w:bidi w:val="0"/>
              <w:spacing w:beforeAutospacing="0" w:after="120" w:afterAutospacing="0" w:line="240" w:lineRule="auto"/>
              <w:ind w:left="0" w:leftChars="0" w:right="0" w:firstLine="356" w:firstLineChars="200"/>
              <w:textAlignment w:val="auto"/>
              <w:rPr>
                <w:rFonts w:ascii="黑体" w:hAnsi="黑体" w:eastAsia="黑体" w:cs="黑体"/>
                <w:sz w:val="18"/>
                <w:szCs w:val="18"/>
              </w:rPr>
            </w:pPr>
            <w:r>
              <w:rPr>
                <w:rFonts w:ascii="黑体" w:hAnsi="黑体" w:eastAsia="黑体" w:cs="黑体"/>
                <w:spacing w:val="-1"/>
                <w:sz w:val="18"/>
                <w:szCs w:val="18"/>
              </w:rPr>
              <w:t>财务负责人：</w:t>
            </w:r>
          </w:p>
        </w:tc>
      </w:tr>
    </w:tbl>
    <w:p w14:paraId="7C8718F9">
      <w:pPr>
        <w:pStyle w:val="2"/>
        <w:pageBreakBefore w:val="0"/>
        <w:kinsoku/>
        <w:overflowPunct/>
        <w:topLinePunct w:val="0"/>
        <w:bidi w:val="0"/>
        <w:spacing w:beforeLines="0" w:beforeAutospacing="0" w:after="120" w:afterAutospacing="0" w:line="240" w:lineRule="auto"/>
        <w:ind w:left="0" w:leftChars="0" w:right="0" w:firstLine="640" w:firstLineChars="200"/>
        <w:textAlignment w:val="auto"/>
        <w:rPr>
          <w:rFonts w:hint="eastAsia" w:ascii="Times New Roman" w:hAnsi="Times New Roman" w:cs="宋体"/>
          <w:color w:val="FF0000"/>
          <w:kern w:val="0"/>
          <w:sz w:val="32"/>
          <w:szCs w:val="32"/>
          <w:highlight w:val="yellow"/>
          <w:shd w:val="clear" w:color="auto" w:fill="FFFFFF"/>
          <w:lang w:val="zh-CN"/>
        </w:rPr>
      </w:pPr>
    </w:p>
    <w:p w14:paraId="62FCC7B0">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hAnsi="Arial" w:eastAsia="Arial" w:cs="Arial"/>
          <w:sz w:val="21"/>
          <w:szCs w:val="21"/>
        </w:rPr>
      </w:pPr>
    </w:p>
    <w:p w14:paraId="7BB79264">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hAnsi="Arial" w:eastAsia="Arial" w:cs="Arial"/>
          <w:sz w:val="21"/>
          <w:szCs w:val="21"/>
        </w:rPr>
      </w:pPr>
    </w:p>
    <w:p w14:paraId="4EAC149A">
      <w:pPr>
        <w:pageBreakBefore w:val="0"/>
        <w:kinsoku/>
        <w:overflowPunct/>
        <w:topLinePunct w:val="0"/>
        <w:bidi w:val="0"/>
        <w:spacing w:beforeAutospacing="0" w:after="120" w:afterAutospacing="0" w:line="240" w:lineRule="auto"/>
        <w:ind w:left="0" w:leftChars="0" w:right="0" w:firstLine="420" w:firstLineChars="200"/>
        <w:textAlignment w:val="auto"/>
        <w:rPr>
          <w:rFonts w:ascii="Arial" w:hAnsi="Arial" w:eastAsia="Arial" w:cs="Arial"/>
          <w:sz w:val="21"/>
          <w:szCs w:val="21"/>
        </w:rPr>
        <w:sectPr>
          <w:pgSz w:w="16837" w:h="23812"/>
          <w:pgMar w:top="376" w:right="2525" w:bottom="0" w:left="1070" w:header="0" w:footer="0" w:gutter="0"/>
          <w:pgNumType w:fmt="decimal"/>
          <w:cols w:space="720" w:num="1"/>
        </w:sectPr>
      </w:pPr>
    </w:p>
    <w:p w14:paraId="6B085653">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14:paraId="5DCD6C99">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lang w:eastAsia="zh-CN"/>
        </w:rPr>
        <w:t>阿木乡</w:t>
      </w:r>
      <w:r>
        <w:rPr>
          <w:rFonts w:hint="eastAsia" w:ascii="方正小标宋简体" w:hAnsi="Cambria" w:eastAsia="方正小标宋简体" w:cs="Times New Roman"/>
          <w:sz w:val="44"/>
          <w:szCs w:val="44"/>
          <w:lang w:val="en-US" w:eastAsia="zh-CN"/>
        </w:rPr>
        <w:t>2025年</w:t>
      </w:r>
      <w:r>
        <w:rPr>
          <w:rFonts w:hint="eastAsia" w:ascii="方正小标宋简体" w:hAnsi="Cambria" w:eastAsia="方正小标宋简体" w:cs="Times New Roman"/>
          <w:sz w:val="44"/>
          <w:szCs w:val="44"/>
        </w:rPr>
        <w:t>财政</w:t>
      </w:r>
      <w:r>
        <w:rPr>
          <w:rFonts w:hint="eastAsia" w:ascii="方正小标宋简体" w:hAnsi="Cambria" w:eastAsia="方正小标宋简体" w:cs="Times New Roman"/>
          <w:sz w:val="44"/>
          <w:szCs w:val="44"/>
          <w:lang w:eastAsia="zh-CN"/>
        </w:rPr>
        <w:t>衔接资金</w:t>
      </w:r>
      <w:r>
        <w:rPr>
          <w:rFonts w:hint="eastAsia" w:ascii="方正小标宋简体" w:hAnsi="Cambria" w:eastAsia="方正小标宋简体" w:cs="Times New Roman"/>
          <w:sz w:val="44"/>
          <w:szCs w:val="44"/>
        </w:rPr>
        <w:t>资金绩效</w:t>
      </w:r>
    </w:p>
    <w:p w14:paraId="35C3C8BD">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rPr>
        <w:t>自评总结报告</w:t>
      </w:r>
    </w:p>
    <w:p w14:paraId="56531F9A">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kern w:val="2"/>
          <w:sz w:val="32"/>
          <w:szCs w:val="32"/>
          <w:lang w:val="en-US" w:eastAsia="zh-CN" w:bidi="ar-SA"/>
        </w:rPr>
        <w:t>阿木乡2025年生产性便道维修项目</w:t>
      </w:r>
      <w:r>
        <w:rPr>
          <w:rFonts w:hint="eastAsia" w:ascii="仿宋_GB2312" w:hAnsi="仿宋_GB2312" w:eastAsia="仿宋_GB2312" w:cs="仿宋_GB2312"/>
          <w:sz w:val="32"/>
          <w:szCs w:val="32"/>
          <w:lang w:val="en-US" w:eastAsia="zh-CN"/>
        </w:rPr>
        <w:t>)</w:t>
      </w:r>
    </w:p>
    <w:p w14:paraId="649E4ADA">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left"/>
        <w:textAlignment w:val="auto"/>
        <w:outlineLvl w:val="9"/>
        <w:rPr>
          <w:rFonts w:hint="eastAsia" w:ascii="仿宋_GB2312" w:hAnsi="仿宋_GB2312" w:eastAsia="仿宋_GB2312" w:cs="仿宋_GB2312"/>
          <w:sz w:val="32"/>
          <w:szCs w:val="32"/>
          <w:lang w:val="en-US" w:eastAsia="zh-CN"/>
        </w:rPr>
      </w:pPr>
    </w:p>
    <w:p w14:paraId="27FB8D92">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ascii="黑体" w:hAnsi="黑体" w:eastAsia="黑体" w:cs="黑体"/>
          <w:color w:val="auto"/>
          <w:spacing w:val="0"/>
          <w:position w:val="0"/>
          <w:sz w:val="32"/>
          <w:shd w:val="clear" w:color="auto" w:fill="auto"/>
        </w:rPr>
      </w:pPr>
      <w:r>
        <w:rPr>
          <w:rFonts w:ascii="黑体" w:hAnsi="黑体" w:eastAsia="黑体" w:cs="黑体"/>
          <w:color w:val="auto"/>
          <w:spacing w:val="0"/>
          <w:position w:val="0"/>
          <w:sz w:val="32"/>
          <w:shd w:val="clear" w:color="auto" w:fill="auto"/>
        </w:rPr>
        <w:t>一、项目概况</w:t>
      </w:r>
    </w:p>
    <w:p w14:paraId="779434D6">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阿木乡位于红原中部偏</w:t>
      </w:r>
      <w:r>
        <w:rPr>
          <w:rFonts w:hint="eastAsia" w:ascii="仿宋" w:hAnsi="仿宋" w:eastAsia="仿宋" w:cs="仿宋"/>
          <w:color w:val="auto"/>
          <w:sz w:val="32"/>
          <w:szCs w:val="32"/>
          <w:highlight w:val="none"/>
          <w:lang w:eastAsia="zh-CN"/>
        </w:rPr>
        <w:t>西</w:t>
      </w:r>
      <w:r>
        <w:rPr>
          <w:rFonts w:hint="eastAsia" w:ascii="仿宋" w:hAnsi="仿宋" w:eastAsia="仿宋" w:cs="仿宋"/>
          <w:color w:val="auto"/>
          <w:sz w:val="32"/>
          <w:szCs w:val="32"/>
          <w:highlight w:val="none"/>
        </w:rPr>
        <w:t>北方，东与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"https://baike.baidu.com/item/%E6%9D%BE%E6%BD%98%E5%8E%BF/2123648"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松潘县</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lang w:eastAsia="zh-CN"/>
        </w:rPr>
        <w:t>毛尔盖镇</w:t>
      </w:r>
      <w:r>
        <w:rPr>
          <w:rFonts w:hint="eastAsia" w:ascii="仿宋" w:hAnsi="仿宋" w:eastAsia="仿宋" w:cs="仿宋"/>
          <w:color w:val="auto"/>
          <w:sz w:val="32"/>
          <w:szCs w:val="32"/>
          <w:highlight w:val="none"/>
        </w:rPr>
        <w:t>为邻，南连</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"https://baike.baidu.com/item/%E9%BE%99%E6%97%A5%E9%95%87/24221013"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龙日镇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，西邻</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"https://baike.baidu.com/item/%E9%82%9B%E6%BA%AA%E9%95%87/2893511"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邛溪镇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，北与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"https://baike.baidu.com/item/%E7%93%A6%E5%88%87%E9%95%87/8536052"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瓦切镇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、麦洼乡相连，东北与色地镇接壤</w:t>
      </w:r>
      <w:r>
        <w:rPr>
          <w:rFonts w:hint="eastAsia" w:ascii="仿宋" w:hAnsi="仿宋" w:eastAsia="仿宋" w:cs="仿宋"/>
          <w:color w:val="auto"/>
          <w:sz w:val="32"/>
          <w:szCs w:val="32"/>
          <w:highlight w:val="none"/>
          <w:lang w:eastAsia="zh-CN"/>
        </w:rPr>
        <w:t>，乡政</w:t>
      </w:r>
      <w:r>
        <w:rPr>
          <w:rFonts w:hint="eastAsia" w:ascii="仿宋" w:hAnsi="仿宋" w:eastAsia="仿宋" w:cs="仿宋"/>
          <w:color w:val="auto"/>
          <w:sz w:val="32"/>
          <w:szCs w:val="32"/>
          <w:highlight w:val="none"/>
        </w:rPr>
        <w:t>府所在地距红原县城18公里，紧邻</w:t>
      </w:r>
      <w:r>
        <w:rPr>
          <w:rFonts w:hint="eastAsia" w:ascii="仿宋" w:hAnsi="仿宋" w:eastAsia="仿宋" w:cs="仿宋"/>
          <w:color w:val="auto"/>
          <w:sz w:val="32"/>
          <w:szCs w:val="32"/>
          <w:highlight w:val="none"/>
          <w:lang w:eastAsia="zh-CN"/>
        </w:rPr>
        <w:t>国道</w:t>
      </w:r>
      <w:r>
        <w:rPr>
          <w:rFonts w:hint="eastAsia" w:ascii="仿宋" w:hAnsi="仿宋" w:eastAsia="仿宋" w:cs="仿宋"/>
          <w:color w:val="auto"/>
          <w:sz w:val="32"/>
          <w:szCs w:val="32"/>
          <w:highlight w:val="none"/>
          <w:lang w:val="en-US" w:eastAsia="zh-CN"/>
        </w:rPr>
        <w:t>248</w:t>
      </w:r>
      <w:r>
        <w:rPr>
          <w:rFonts w:hint="eastAsia" w:ascii="仿宋" w:hAnsi="仿宋" w:eastAsia="仿宋" w:cs="仿宋"/>
          <w:color w:val="auto"/>
          <w:sz w:val="32"/>
          <w:szCs w:val="32"/>
          <w:highlight w:val="none"/>
        </w:rPr>
        <w:t>线，地形</w:t>
      </w:r>
      <w:r>
        <w:rPr>
          <w:rFonts w:hint="eastAsia" w:ascii="仿宋" w:hAnsi="仿宋" w:eastAsia="仿宋" w:cs="仿宋"/>
          <w:color w:val="auto"/>
          <w:sz w:val="32"/>
          <w:szCs w:val="32"/>
          <w:highlight w:val="none"/>
          <w:lang w:val="en-US" w:eastAsia="zh-CN"/>
        </w:rPr>
        <w:t>具有</w:t>
      </w:r>
      <w:r>
        <w:rPr>
          <w:rFonts w:hint="eastAsia" w:ascii="仿宋" w:hAnsi="仿宋" w:eastAsia="仿宋" w:cs="仿宋"/>
          <w:color w:val="auto"/>
          <w:sz w:val="32"/>
          <w:szCs w:val="32"/>
          <w:highlight w:val="none"/>
        </w:rPr>
        <w:t>高山草甸特征</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平均海拔</w:t>
      </w:r>
      <w:r>
        <w:rPr>
          <w:rFonts w:hint="eastAsia" w:ascii="仿宋" w:hAnsi="仿宋" w:eastAsia="仿宋" w:cs="仿宋"/>
          <w:color w:val="auto"/>
          <w:sz w:val="32"/>
          <w:szCs w:val="32"/>
          <w:highlight w:val="none"/>
          <w:lang w:val="en-US" w:eastAsia="zh-CN"/>
        </w:rPr>
        <w:t>3600</w:t>
      </w:r>
      <w:r>
        <w:rPr>
          <w:rFonts w:hint="eastAsia" w:ascii="仿宋" w:hAnsi="仿宋" w:eastAsia="仿宋" w:cs="仿宋"/>
          <w:color w:val="auto"/>
          <w:sz w:val="32"/>
          <w:szCs w:val="32"/>
          <w:highlight w:val="none"/>
        </w:rPr>
        <w:t>米，年平均气温1.</w:t>
      </w: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rPr>
        <w:t>℃，极端最低气温</w:t>
      </w:r>
      <w:r>
        <w:rPr>
          <w:rFonts w:hint="eastAsia" w:ascii="仿宋" w:hAnsi="仿宋" w:eastAsia="仿宋" w:cs="仿宋"/>
          <w:color w:val="auto"/>
          <w:sz w:val="32"/>
          <w:szCs w:val="32"/>
          <w:highlight w:val="none"/>
          <w:lang w:val="en-US" w:eastAsia="zh-CN"/>
        </w:rPr>
        <w:t>-</w:t>
      </w:r>
      <w:r>
        <w:rPr>
          <w:rFonts w:hint="eastAsia" w:ascii="仿宋" w:hAnsi="仿宋" w:eastAsia="仿宋" w:cs="仿宋"/>
          <w:color w:val="auto"/>
          <w:sz w:val="32"/>
          <w:szCs w:val="32"/>
          <w:highlight w:val="none"/>
        </w:rPr>
        <w:t>36.2℃，极端</w:t>
      </w:r>
      <w:r>
        <w:rPr>
          <w:rFonts w:hint="eastAsia" w:ascii="仿宋" w:hAnsi="仿宋" w:eastAsia="仿宋" w:cs="仿宋"/>
          <w:b w:val="0"/>
          <w:bCs w:val="0"/>
          <w:color w:val="auto"/>
          <w:sz w:val="32"/>
          <w:szCs w:val="32"/>
          <w:highlight w:val="none"/>
          <w:lang w:val="en-US" w:eastAsia="zh-CN"/>
        </w:rPr>
        <w:t>最高</w:t>
      </w:r>
      <w:r>
        <w:rPr>
          <w:rFonts w:hint="eastAsia" w:ascii="仿宋" w:hAnsi="仿宋" w:eastAsia="仿宋" w:cs="仿宋"/>
          <w:color w:val="auto"/>
          <w:sz w:val="32"/>
          <w:szCs w:val="32"/>
          <w:highlight w:val="none"/>
        </w:rPr>
        <w:t>气温25.6℃</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年降雨量为753毫米</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属安多藏族聚居</w:t>
      </w:r>
      <w:r>
        <w:rPr>
          <w:rFonts w:hint="eastAsia" w:ascii="仿宋" w:hAnsi="仿宋" w:eastAsia="仿宋" w:cs="仿宋"/>
          <w:color w:val="auto"/>
          <w:sz w:val="32"/>
          <w:szCs w:val="32"/>
          <w:highlight w:val="none"/>
          <w:lang w:eastAsia="zh-CN"/>
        </w:rPr>
        <w:t>的</w:t>
      </w:r>
      <w:r>
        <w:rPr>
          <w:rFonts w:hint="eastAsia" w:ascii="仿宋" w:hAnsi="仿宋" w:eastAsia="仿宋" w:cs="仿宋"/>
          <w:color w:val="auto"/>
          <w:sz w:val="32"/>
          <w:szCs w:val="32"/>
          <w:highlight w:val="none"/>
        </w:rPr>
        <w:t>高原</w:t>
      </w:r>
      <w:r>
        <w:rPr>
          <w:rFonts w:hint="eastAsia" w:ascii="仿宋" w:hAnsi="仿宋" w:eastAsia="仿宋" w:cs="仿宋"/>
          <w:color w:val="auto"/>
          <w:sz w:val="32"/>
          <w:szCs w:val="32"/>
          <w:highlight w:val="none"/>
          <w:lang w:val="en-US" w:eastAsia="zh-CN"/>
        </w:rPr>
        <w:t>纯</w:t>
      </w:r>
      <w:r>
        <w:rPr>
          <w:rFonts w:hint="eastAsia" w:ascii="仿宋" w:hAnsi="仿宋" w:eastAsia="仿宋" w:cs="仿宋"/>
          <w:color w:val="auto"/>
          <w:sz w:val="32"/>
          <w:szCs w:val="32"/>
          <w:highlight w:val="none"/>
        </w:rPr>
        <w:t>牧业乡，</w:t>
      </w:r>
      <w:r>
        <w:rPr>
          <w:rFonts w:hint="eastAsia" w:ascii="仿宋" w:hAnsi="仿宋" w:eastAsia="仿宋" w:cs="仿宋"/>
          <w:color w:val="auto"/>
          <w:sz w:val="32"/>
          <w:szCs w:val="32"/>
          <w:highlight w:val="none"/>
          <w:lang w:eastAsia="zh-CN"/>
        </w:rPr>
        <w:t>幅员</w:t>
      </w:r>
      <w:r>
        <w:rPr>
          <w:rFonts w:hint="eastAsia" w:ascii="仿宋" w:hAnsi="仿宋" w:eastAsia="仿宋" w:cs="仿宋"/>
          <w:color w:val="auto"/>
          <w:sz w:val="32"/>
          <w:szCs w:val="32"/>
          <w:highlight w:val="none"/>
        </w:rPr>
        <w:t>面</w:t>
      </w:r>
      <w:r>
        <w:rPr>
          <w:rFonts w:hint="eastAsia" w:ascii="仿宋" w:hAnsi="仿宋" w:eastAsia="仿宋" w:cs="仿宋"/>
          <w:color w:val="auto"/>
          <w:sz w:val="32"/>
          <w:szCs w:val="32"/>
          <w:highlight w:val="none"/>
          <w:lang w:eastAsia="zh-CN"/>
        </w:rPr>
        <w:t>积</w:t>
      </w:r>
      <w:r>
        <w:rPr>
          <w:rFonts w:hint="eastAsia" w:ascii="仿宋" w:hAnsi="仿宋" w:eastAsia="仿宋" w:cs="仿宋"/>
          <w:color w:val="auto"/>
          <w:sz w:val="32"/>
          <w:szCs w:val="32"/>
          <w:highlight w:val="none"/>
          <w:lang w:val="en-US" w:eastAsia="zh-CN"/>
        </w:rPr>
        <w:t>905平方千米（135.8万亩）。</w:t>
      </w:r>
      <w:r>
        <w:rPr>
          <w:rFonts w:hint="eastAsia" w:ascii="仿宋" w:hAnsi="仿宋" w:eastAsia="仿宋" w:cs="仿宋"/>
          <w:color w:val="auto"/>
          <w:sz w:val="32"/>
          <w:szCs w:val="32"/>
          <w:highlight w:val="none"/>
          <w:lang w:eastAsia="zh-CN"/>
        </w:rPr>
        <w:t>阿木乡下辖</w:t>
      </w: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lang w:eastAsia="zh-CN"/>
        </w:rPr>
        <w:t>个行政村（峨扎村、卡口村）</w:t>
      </w:r>
      <w:r>
        <w:rPr>
          <w:rFonts w:hint="eastAsia" w:ascii="仿宋" w:hAnsi="仿宋" w:eastAsia="仿宋" w:cs="仿宋"/>
          <w:color w:val="auto"/>
          <w:sz w:val="32"/>
          <w:szCs w:val="32"/>
          <w:highlight w:val="none"/>
          <w:lang w:val="en-US" w:eastAsia="zh-CN"/>
        </w:rPr>
        <w:t>18个村民小组（峨扎10个村民小组，卡口8个村民小组），8个联户（峨扎村4个联户，卡口村4个联户），共有721户3605人（卡口村353户1739人，峨扎村368户1866人）；脱贫户141户637人（卡口村74户333人、峨扎村67户304人）；监测户18户95人（卡口村户8户22人、峨扎村10户73人。</w:t>
      </w:r>
    </w:p>
    <w:p w14:paraId="56FD813C">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下达预算及项目情况。</w:t>
      </w:r>
    </w:p>
    <w:p w14:paraId="3F1752BE">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仿宋" w:hAnsi="仿宋" w:eastAsia="仿宋" w:cs="仿宋"/>
          <w:color w:val="auto"/>
          <w:sz w:val="32"/>
          <w:szCs w:val="32"/>
          <w:highlight w:val="none"/>
          <w:lang w:val="en-US" w:eastAsia="zh-CN"/>
        </w:rPr>
        <w:t>该项目下达预算资金57万元，对全乡损毁比较严重的57公里牧道进行维修，投入资金57万元。</w:t>
      </w:r>
    </w:p>
    <w:p w14:paraId="73B65068">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项目绩效目标设定情况。</w:t>
      </w:r>
    </w:p>
    <w:p w14:paraId="7CF6E37A">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该项目为以工代赈村民自建项目，主要建设内容为对全乡损毁比较严重的57公里牧道进行维修，投入资金57万元。</w:t>
      </w:r>
    </w:p>
    <w:p w14:paraId="50EF3B93">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二、绩效自评工作开展情况</w:t>
      </w:r>
    </w:p>
    <w:p w14:paraId="6ED0CD92">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该项目计划投资57万元，实际到位57万元，资金来源为:乡村振兴衔接资金，申报目标为对全乡损毁比较严重的57公里牧道进行维修，投入资金57万元</w:t>
      </w:r>
      <w:r>
        <w:rPr>
          <w:rFonts w:hint="eastAsia" w:ascii="仿宋_GB2312" w:hAnsi="仿宋_GB2312" w:eastAsia="仿宋_GB2312" w:cs="仿宋_GB2312"/>
          <w:sz w:val="32"/>
          <w:szCs w:val="32"/>
          <w:lang w:val="en-US" w:eastAsia="zh-CN"/>
        </w:rPr>
        <w:t>。</w:t>
      </w:r>
      <w:r>
        <w:rPr>
          <w:rFonts w:hint="eastAsia" w:ascii="仿宋" w:hAnsi="仿宋" w:eastAsia="仿宋" w:cs="仿宋"/>
          <w:color w:val="auto"/>
          <w:sz w:val="32"/>
          <w:szCs w:val="32"/>
          <w:highlight w:val="none"/>
          <w:lang w:val="en-US" w:eastAsia="zh-CN"/>
        </w:rPr>
        <w:t>截止目前已完成工程量100%，于2025年10月31日已完成验收100%，目前已完成资金拨付100%，群众满意度达到100%。</w:t>
      </w:r>
    </w:p>
    <w:p w14:paraId="2464651B">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三、绩效目标自评完成情况分析</w:t>
      </w:r>
      <w:r>
        <w:rPr>
          <w:rFonts w:hint="eastAsia" w:ascii="黑体" w:hAnsi="黑体" w:eastAsia="黑体" w:cs="黑体"/>
          <w:b w:val="0"/>
          <w:bCs w:val="0"/>
          <w:color w:val="000000"/>
          <w:sz w:val="32"/>
          <w:szCs w:val="32"/>
        </w:rPr>
        <w:tab/>
      </w:r>
    </w:p>
    <w:p w14:paraId="55F03906">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602" w:firstLineChars="200"/>
        <w:jc w:val="left"/>
        <w:textAlignment w:val="auto"/>
        <w:rPr>
          <w:rFonts w:ascii="楷体_GB2312" w:hAnsi="楷体_GB2312" w:eastAsia="楷体_GB2312" w:cs="楷体_GB2312"/>
          <w:b/>
          <w:color w:val="auto"/>
          <w:spacing w:val="0"/>
          <w:position w:val="0"/>
          <w:sz w:val="32"/>
          <w:shd w:val="clear" w:color="auto" w:fill="auto"/>
        </w:rPr>
      </w:pPr>
      <w:r>
        <w:rPr>
          <w:rFonts w:hint="eastAsia" w:ascii="宋体" w:hAnsi="宋体" w:eastAsia="宋体"/>
          <w:b/>
          <w:bCs/>
          <w:color w:val="000000"/>
          <w:sz w:val="30"/>
        </w:rPr>
        <w:t>（一）资金投入情况分析。</w:t>
      </w:r>
    </w:p>
    <w:p w14:paraId="6685E940">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kern w:val="2"/>
          <w:sz w:val="32"/>
          <w:szCs w:val="32"/>
          <w:highlight w:val="none"/>
          <w:lang w:val="en-US" w:eastAsia="zh-CN" w:bidi="ar-SA"/>
        </w:rPr>
        <w:t>阿木乡2025年生产性便道维修项目</w:t>
      </w:r>
      <w:r>
        <w:rPr>
          <w:rFonts w:hint="eastAsia" w:ascii="仿宋" w:hAnsi="仿宋" w:eastAsia="仿宋" w:cs="仿宋"/>
          <w:color w:val="auto"/>
          <w:sz w:val="32"/>
          <w:szCs w:val="32"/>
          <w:highlight w:val="none"/>
          <w:lang w:val="en-US" w:eastAsia="zh-CN"/>
        </w:rPr>
        <w:t>。该项目良好完成计划目标，截止评价时已完成任务量100%，已拨付资金100%，资金到位情况及时，资金拨付情况合理，资金管理规范。</w:t>
      </w:r>
    </w:p>
    <w:p w14:paraId="3A3C4068">
      <w:pPr>
        <w:pStyle w:val="15"/>
        <w:keepNext w:val="0"/>
        <w:keepLines w:val="0"/>
        <w:pageBreakBefore w:val="0"/>
        <w:widowControl w:val="0"/>
        <w:numPr>
          <w:ilvl w:val="0"/>
          <w:numId w:val="4"/>
        </w:numPr>
        <w:kinsoku/>
        <w:overflowPunct/>
        <w:topLinePunct w:val="0"/>
        <w:autoSpaceDE/>
        <w:bidi w:val="0"/>
        <w:adjustRightInd/>
        <w:snapToGrid/>
        <w:spacing w:beforeAutospacing="0" w:after="120" w:afterAutospacing="0" w:line="240" w:lineRule="auto"/>
        <w:ind w:left="0" w:leftChars="0" w:right="0" w:firstLine="602" w:firstLineChars="200"/>
        <w:textAlignment w:val="auto"/>
        <w:rPr>
          <w:rFonts w:hint="eastAsia" w:ascii="宋体" w:hAnsi="宋体" w:eastAsia="宋体"/>
          <w:b/>
          <w:bCs/>
          <w:color w:val="000000"/>
          <w:sz w:val="30"/>
        </w:rPr>
      </w:pPr>
      <w:r>
        <w:rPr>
          <w:rFonts w:hint="eastAsia" w:ascii="宋体" w:hAnsi="宋体" w:eastAsia="宋体"/>
          <w:b/>
          <w:bCs/>
          <w:color w:val="000000"/>
          <w:sz w:val="30"/>
        </w:rPr>
        <w:t>绩效目标完成情况分析。</w:t>
      </w:r>
    </w:p>
    <w:p w14:paraId="51778FC3">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截止目前已完成工程量100%，于2025年10月31日已完成验收100%，已拨付资金100%，满意度达到100%。</w:t>
      </w:r>
    </w:p>
    <w:p w14:paraId="24448BA6">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3" w:firstLineChars="200"/>
        <w:textAlignment w:val="auto"/>
        <w:rPr>
          <w:rFonts w:hint="eastAsia" w:ascii="仿宋_GB2312" w:hAnsi="仿宋" w:eastAsia="仿宋_GB2312"/>
          <w:spacing w:val="-10"/>
          <w:sz w:val="32"/>
          <w:szCs w:val="32"/>
          <w:lang w:val="en-US" w:eastAsia="zh-CN"/>
        </w:rPr>
      </w:pPr>
      <w:r>
        <w:rPr>
          <w:rFonts w:ascii="宋体" w:hAnsi="宋体" w:eastAsia="宋体" w:cs="宋体"/>
          <w:b/>
          <w:color w:val="auto"/>
          <w:spacing w:val="0"/>
          <w:position w:val="0"/>
          <w:sz w:val="32"/>
          <w:shd w:val="clear" w:color="auto" w:fill="auto"/>
        </w:rPr>
        <w:t>（</w:t>
      </w:r>
      <w:r>
        <w:rPr>
          <w:rFonts w:hint="eastAsia" w:ascii="宋体" w:hAnsi="宋体" w:eastAsia="宋体" w:cs="宋体"/>
          <w:b/>
          <w:color w:val="auto"/>
          <w:spacing w:val="0"/>
          <w:position w:val="0"/>
          <w:sz w:val="32"/>
          <w:shd w:val="clear" w:color="auto" w:fill="auto"/>
          <w:lang w:eastAsia="zh-CN"/>
        </w:rPr>
        <w:t>三</w:t>
      </w:r>
      <w:r>
        <w:rPr>
          <w:rFonts w:ascii="宋体" w:hAnsi="宋体" w:eastAsia="宋体" w:cs="宋体"/>
          <w:b/>
          <w:color w:val="auto"/>
          <w:spacing w:val="0"/>
          <w:position w:val="0"/>
          <w:sz w:val="32"/>
          <w:shd w:val="clear" w:color="auto" w:fill="auto"/>
        </w:rPr>
        <w:t>）项目效益情况</w:t>
      </w:r>
    </w:p>
    <w:p w14:paraId="7BF1C64B">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通过该项目的实施，解决远牧点群众出行困难问题，方便群众运送生活物资及畜产品提高生活质量。</w:t>
      </w:r>
    </w:p>
    <w:p w14:paraId="0AB896FE">
      <w:pPr>
        <w:keepNext w:val="0"/>
        <w:keepLines w:val="0"/>
        <w:pageBreakBefore w:val="0"/>
        <w:widowControl w:val="0"/>
        <w:numPr>
          <w:ilvl w:val="0"/>
          <w:numId w:val="5"/>
        </w:numPr>
        <w:kinsoku/>
        <w:overflowPunct/>
        <w:topLinePunct w:val="0"/>
        <w:autoSpaceDE/>
        <w:bidi w:val="0"/>
        <w:adjustRightInd/>
        <w:snapToGrid/>
        <w:spacing w:beforeAutospacing="0" w:after="120" w:afterAutospacing="0" w:line="240" w:lineRule="auto"/>
        <w:ind w:left="0" w:leftChars="0" w:right="0" w:firstLine="600" w:firstLineChars="200"/>
        <w:jc w:val="left"/>
        <w:textAlignment w:val="auto"/>
        <w:rPr>
          <w:rFonts w:hint="eastAsia" w:ascii="黑体" w:hAnsi="黑体" w:eastAsia="黑体" w:cs="黑体"/>
          <w:b w:val="0"/>
          <w:bCs w:val="0"/>
          <w:color w:val="000000"/>
          <w:sz w:val="30"/>
          <w:lang w:val="en-US" w:eastAsia="zh-CN"/>
        </w:rPr>
      </w:pPr>
      <w:r>
        <w:rPr>
          <w:rFonts w:hint="eastAsia" w:ascii="黑体" w:hAnsi="黑体" w:eastAsia="黑体" w:cs="黑体"/>
          <w:b w:val="0"/>
          <w:bCs w:val="0"/>
          <w:color w:val="000000"/>
          <w:sz w:val="30"/>
          <w:lang w:val="en-US" w:eastAsia="zh-CN"/>
        </w:rPr>
        <w:t>资产后续管护及运营情况</w:t>
      </w:r>
    </w:p>
    <w:p w14:paraId="0FA2D94E">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建立该项后续管护机制，确保该项目稳定良好运行，为巩固拓展脱贫攻坚成果，全面实乡村振兴提供更好保障。</w:t>
      </w:r>
    </w:p>
    <w:p w14:paraId="08DD463C">
      <w:pPr>
        <w:keepNext w:val="0"/>
        <w:keepLines w:val="0"/>
        <w:pageBreakBefore w:val="0"/>
        <w:widowControl w:val="0"/>
        <w:kinsoku/>
        <w:wordWrap/>
        <w:overflowPunct/>
        <w:topLinePunct w:val="0"/>
        <w:autoSpaceDE/>
        <w:autoSpaceDN/>
        <w:bidi w:val="0"/>
        <w:spacing w:beforeAutospacing="0" w:after="120" w:afterAutospacing="0" w:line="240" w:lineRule="auto"/>
        <w:ind w:left="0" w:leftChars="0" w:right="0" w:firstLine="640" w:firstLineChars="20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14:paraId="46737013">
      <w:pPr>
        <w:pStyle w:val="15"/>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b w:val="0"/>
          <w:bCs w:val="0"/>
          <w:kern w:val="0"/>
          <w:position w:val="0"/>
          <w:sz w:val="32"/>
          <w:szCs w:val="32"/>
          <w:highlight w:val="none"/>
          <w:lang w:val="en-US" w:eastAsia="zh-CN" w:bidi="ar-SA"/>
        </w:rPr>
      </w:pPr>
    </w:p>
    <w:p w14:paraId="1B85EB9A">
      <w:pPr>
        <w:pageBreakBefore w:val="0"/>
        <w:kinsoku/>
        <w:overflowPunct/>
        <w:topLinePunct w:val="0"/>
        <w:bidi w:val="0"/>
        <w:spacing w:beforeAutospacing="0" w:after="120" w:afterAutospacing="0" w:line="240" w:lineRule="auto"/>
        <w:ind w:left="0" w:leftChars="0" w:right="0" w:firstLine="640" w:firstLineChars="200"/>
        <w:textAlignment w:val="auto"/>
        <w:rPr>
          <w:rFonts w:hint="eastAsia" w:ascii="Times New Roman" w:hAnsi="Times New Roman" w:eastAsia="仿宋_GB2312" w:cs="仿宋_GB2312"/>
          <w:b w:val="0"/>
          <w:bCs w:val="0"/>
          <w:kern w:val="0"/>
          <w:position w:val="0"/>
          <w:sz w:val="32"/>
          <w:szCs w:val="32"/>
          <w:highlight w:val="none"/>
          <w:lang w:val="en-US" w:eastAsia="zh-CN" w:bidi="ar-SA"/>
        </w:rPr>
      </w:pPr>
    </w:p>
    <w:p w14:paraId="4B13209A">
      <w:pPr>
        <w:pStyle w:val="6"/>
        <w:rPr>
          <w:rFonts w:hint="eastAsia" w:ascii="Times New Roman" w:hAnsi="Times New Roman" w:eastAsia="仿宋_GB2312" w:cs="仿宋_GB2312"/>
          <w:b w:val="0"/>
          <w:bCs w:val="0"/>
          <w:kern w:val="0"/>
          <w:position w:val="0"/>
          <w:sz w:val="32"/>
          <w:szCs w:val="32"/>
          <w:highlight w:val="none"/>
          <w:lang w:val="en-US" w:eastAsia="zh-CN" w:bidi="ar-SA"/>
        </w:rPr>
      </w:pPr>
    </w:p>
    <w:p w14:paraId="53DC31E0">
      <w:pPr>
        <w:rPr>
          <w:rFonts w:hint="eastAsia" w:ascii="Times New Roman" w:hAnsi="Times New Roman" w:eastAsia="仿宋_GB2312" w:cs="仿宋_GB2312"/>
          <w:b w:val="0"/>
          <w:bCs w:val="0"/>
          <w:kern w:val="0"/>
          <w:position w:val="0"/>
          <w:sz w:val="32"/>
          <w:szCs w:val="32"/>
          <w:highlight w:val="none"/>
          <w:lang w:val="en-US" w:eastAsia="zh-CN" w:bidi="ar-SA"/>
        </w:rPr>
      </w:pPr>
    </w:p>
    <w:p w14:paraId="67112811">
      <w:pPr>
        <w:pStyle w:val="6"/>
        <w:rPr>
          <w:rFonts w:hint="eastAsia" w:ascii="Times New Roman" w:hAnsi="Times New Roman" w:eastAsia="仿宋_GB2312" w:cs="仿宋_GB2312"/>
          <w:b w:val="0"/>
          <w:bCs w:val="0"/>
          <w:kern w:val="0"/>
          <w:position w:val="0"/>
          <w:sz w:val="32"/>
          <w:szCs w:val="32"/>
          <w:highlight w:val="none"/>
          <w:lang w:val="en-US" w:eastAsia="zh-CN" w:bidi="ar-SA"/>
        </w:rPr>
      </w:pPr>
    </w:p>
    <w:p w14:paraId="1216E43C">
      <w:pPr>
        <w:rPr>
          <w:rFonts w:hint="eastAsia" w:ascii="Times New Roman" w:hAnsi="Times New Roman" w:eastAsia="仿宋_GB2312" w:cs="仿宋_GB2312"/>
          <w:b w:val="0"/>
          <w:bCs w:val="0"/>
          <w:kern w:val="0"/>
          <w:position w:val="0"/>
          <w:sz w:val="32"/>
          <w:szCs w:val="32"/>
          <w:highlight w:val="none"/>
          <w:lang w:val="en-US" w:eastAsia="zh-CN" w:bidi="ar-SA"/>
        </w:rPr>
      </w:pPr>
    </w:p>
    <w:p w14:paraId="112278E0">
      <w:pPr>
        <w:pStyle w:val="6"/>
        <w:rPr>
          <w:rFonts w:hint="eastAsia" w:ascii="Times New Roman" w:hAnsi="Times New Roman" w:eastAsia="仿宋_GB2312" w:cs="仿宋_GB2312"/>
          <w:b w:val="0"/>
          <w:bCs w:val="0"/>
          <w:kern w:val="0"/>
          <w:position w:val="0"/>
          <w:sz w:val="32"/>
          <w:szCs w:val="32"/>
          <w:highlight w:val="none"/>
          <w:lang w:val="en-US" w:eastAsia="zh-CN" w:bidi="ar-SA"/>
        </w:rPr>
      </w:pPr>
    </w:p>
    <w:p w14:paraId="3F3A9B10">
      <w:pPr>
        <w:rPr>
          <w:rFonts w:hint="eastAsia" w:ascii="Times New Roman" w:hAnsi="Times New Roman" w:eastAsia="仿宋_GB2312" w:cs="仿宋_GB2312"/>
          <w:b w:val="0"/>
          <w:bCs w:val="0"/>
          <w:kern w:val="0"/>
          <w:position w:val="0"/>
          <w:sz w:val="32"/>
          <w:szCs w:val="32"/>
          <w:highlight w:val="none"/>
          <w:lang w:val="en-US" w:eastAsia="zh-CN" w:bidi="ar-SA"/>
        </w:rPr>
      </w:pPr>
    </w:p>
    <w:p w14:paraId="650DEFD2">
      <w:pPr>
        <w:pStyle w:val="6"/>
        <w:rPr>
          <w:rFonts w:hint="eastAsia"/>
          <w:lang w:val="en-US" w:eastAsia="zh-CN"/>
        </w:rPr>
      </w:pPr>
    </w:p>
    <w:p w14:paraId="28A62962">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lang w:eastAsia="zh-CN"/>
        </w:rPr>
        <w:t>阿木乡</w:t>
      </w:r>
      <w:r>
        <w:rPr>
          <w:rFonts w:hint="eastAsia" w:ascii="方正小标宋简体" w:hAnsi="Cambria" w:eastAsia="方正小标宋简体" w:cs="Times New Roman"/>
          <w:sz w:val="44"/>
          <w:szCs w:val="44"/>
          <w:lang w:val="en-US" w:eastAsia="zh-CN"/>
        </w:rPr>
        <w:t>2025年</w:t>
      </w:r>
      <w:r>
        <w:rPr>
          <w:rFonts w:hint="eastAsia" w:ascii="方正小标宋简体" w:hAnsi="Cambria" w:eastAsia="方正小标宋简体" w:cs="Times New Roman"/>
          <w:sz w:val="44"/>
          <w:szCs w:val="44"/>
        </w:rPr>
        <w:t>财政</w:t>
      </w:r>
      <w:r>
        <w:rPr>
          <w:rFonts w:hint="eastAsia" w:ascii="方正小标宋简体" w:hAnsi="Cambria" w:eastAsia="方正小标宋简体" w:cs="Times New Roman"/>
          <w:sz w:val="44"/>
          <w:szCs w:val="44"/>
          <w:lang w:eastAsia="zh-CN"/>
        </w:rPr>
        <w:t>衔接资金</w:t>
      </w:r>
      <w:r>
        <w:rPr>
          <w:rFonts w:hint="eastAsia" w:ascii="方正小标宋简体" w:hAnsi="Cambria" w:eastAsia="方正小标宋简体" w:cs="Times New Roman"/>
          <w:sz w:val="44"/>
          <w:szCs w:val="44"/>
        </w:rPr>
        <w:t>资金绩效</w:t>
      </w:r>
    </w:p>
    <w:p w14:paraId="1F3C7DA3">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rPr>
        <w:t>自评总结报告</w:t>
      </w:r>
    </w:p>
    <w:p w14:paraId="3AB2294A">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kern w:val="2"/>
          <w:sz w:val="32"/>
          <w:szCs w:val="32"/>
          <w:lang w:val="en-US" w:eastAsia="zh-CN" w:bidi="ar-SA"/>
        </w:rPr>
        <w:t>阿木乡定居点排洪基础设施建设项目</w:t>
      </w:r>
      <w:r>
        <w:rPr>
          <w:rFonts w:hint="eastAsia" w:ascii="仿宋_GB2312" w:hAnsi="仿宋_GB2312" w:eastAsia="仿宋_GB2312" w:cs="仿宋_GB2312"/>
          <w:sz w:val="32"/>
          <w:szCs w:val="32"/>
          <w:lang w:val="en-US" w:eastAsia="zh-CN"/>
        </w:rPr>
        <w:t>)</w:t>
      </w:r>
    </w:p>
    <w:p w14:paraId="2A3CF085">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left"/>
        <w:textAlignment w:val="auto"/>
        <w:outlineLvl w:val="9"/>
        <w:rPr>
          <w:rFonts w:hint="eastAsia" w:ascii="仿宋_GB2312" w:hAnsi="仿宋_GB2312" w:eastAsia="仿宋_GB2312" w:cs="仿宋_GB2312"/>
          <w:sz w:val="32"/>
          <w:szCs w:val="32"/>
          <w:lang w:val="en-US" w:eastAsia="zh-CN"/>
        </w:rPr>
      </w:pPr>
    </w:p>
    <w:p w14:paraId="5090F21C">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ascii="黑体" w:hAnsi="黑体" w:eastAsia="黑体" w:cs="黑体"/>
          <w:color w:val="auto"/>
          <w:spacing w:val="0"/>
          <w:position w:val="0"/>
          <w:sz w:val="32"/>
          <w:shd w:val="clear" w:color="auto" w:fill="auto"/>
        </w:rPr>
      </w:pPr>
      <w:r>
        <w:rPr>
          <w:rFonts w:ascii="黑体" w:hAnsi="黑体" w:eastAsia="黑体" w:cs="黑体"/>
          <w:color w:val="auto"/>
          <w:spacing w:val="0"/>
          <w:position w:val="0"/>
          <w:sz w:val="32"/>
          <w:shd w:val="clear" w:color="auto" w:fill="auto"/>
        </w:rPr>
        <w:t>一、项目概况</w:t>
      </w:r>
    </w:p>
    <w:p w14:paraId="1E2E1F9A">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阿木乡位于红原中部偏</w:t>
      </w:r>
      <w:r>
        <w:rPr>
          <w:rFonts w:hint="eastAsia" w:ascii="仿宋" w:hAnsi="仿宋" w:eastAsia="仿宋" w:cs="仿宋"/>
          <w:color w:val="auto"/>
          <w:sz w:val="32"/>
          <w:szCs w:val="32"/>
          <w:highlight w:val="none"/>
          <w:lang w:eastAsia="zh-CN"/>
        </w:rPr>
        <w:t>西</w:t>
      </w:r>
      <w:r>
        <w:rPr>
          <w:rFonts w:hint="eastAsia" w:ascii="仿宋" w:hAnsi="仿宋" w:eastAsia="仿宋" w:cs="仿宋"/>
          <w:color w:val="auto"/>
          <w:sz w:val="32"/>
          <w:szCs w:val="32"/>
          <w:highlight w:val="none"/>
        </w:rPr>
        <w:t>北方，东与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"https://baike.baidu.com/item/%E6%9D%BE%E6%BD%98%E5%8E%BF/2123648"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松潘县</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lang w:eastAsia="zh-CN"/>
        </w:rPr>
        <w:t>毛尔盖镇</w:t>
      </w:r>
      <w:r>
        <w:rPr>
          <w:rFonts w:hint="eastAsia" w:ascii="仿宋" w:hAnsi="仿宋" w:eastAsia="仿宋" w:cs="仿宋"/>
          <w:color w:val="auto"/>
          <w:sz w:val="32"/>
          <w:szCs w:val="32"/>
          <w:highlight w:val="none"/>
        </w:rPr>
        <w:t>为邻，南连</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"https://baike.baidu.com/item/%E9%BE%99%E6%97%A5%E9%95%87/24221013"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龙日镇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，西邻</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"https://baike.baidu.com/item/%E9%82%9B%E6%BA%AA%E9%95%87/2893511"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邛溪镇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，北与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"https://baike.baidu.com/item/%E7%93%A6%E5%88%87%E9%95%87/8536052"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瓦切镇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、麦洼乡相连，东北与色地镇接壤</w:t>
      </w:r>
      <w:r>
        <w:rPr>
          <w:rFonts w:hint="eastAsia" w:ascii="仿宋" w:hAnsi="仿宋" w:eastAsia="仿宋" w:cs="仿宋"/>
          <w:color w:val="auto"/>
          <w:sz w:val="32"/>
          <w:szCs w:val="32"/>
          <w:highlight w:val="none"/>
          <w:lang w:eastAsia="zh-CN"/>
        </w:rPr>
        <w:t>，乡政</w:t>
      </w:r>
      <w:r>
        <w:rPr>
          <w:rFonts w:hint="eastAsia" w:ascii="仿宋" w:hAnsi="仿宋" w:eastAsia="仿宋" w:cs="仿宋"/>
          <w:color w:val="auto"/>
          <w:sz w:val="32"/>
          <w:szCs w:val="32"/>
          <w:highlight w:val="none"/>
        </w:rPr>
        <w:t>府所在地距红原县城18公里，紧邻</w:t>
      </w:r>
      <w:r>
        <w:rPr>
          <w:rFonts w:hint="eastAsia" w:ascii="仿宋" w:hAnsi="仿宋" w:eastAsia="仿宋" w:cs="仿宋"/>
          <w:color w:val="auto"/>
          <w:sz w:val="32"/>
          <w:szCs w:val="32"/>
          <w:highlight w:val="none"/>
          <w:lang w:eastAsia="zh-CN"/>
        </w:rPr>
        <w:t>国道</w:t>
      </w:r>
      <w:r>
        <w:rPr>
          <w:rFonts w:hint="eastAsia" w:ascii="仿宋" w:hAnsi="仿宋" w:eastAsia="仿宋" w:cs="仿宋"/>
          <w:color w:val="auto"/>
          <w:sz w:val="32"/>
          <w:szCs w:val="32"/>
          <w:highlight w:val="none"/>
          <w:lang w:val="en-US" w:eastAsia="zh-CN"/>
        </w:rPr>
        <w:t>248</w:t>
      </w:r>
      <w:r>
        <w:rPr>
          <w:rFonts w:hint="eastAsia" w:ascii="仿宋" w:hAnsi="仿宋" w:eastAsia="仿宋" w:cs="仿宋"/>
          <w:color w:val="auto"/>
          <w:sz w:val="32"/>
          <w:szCs w:val="32"/>
          <w:highlight w:val="none"/>
        </w:rPr>
        <w:t>线，地形</w:t>
      </w:r>
      <w:r>
        <w:rPr>
          <w:rFonts w:hint="eastAsia" w:ascii="仿宋" w:hAnsi="仿宋" w:eastAsia="仿宋" w:cs="仿宋"/>
          <w:color w:val="auto"/>
          <w:sz w:val="32"/>
          <w:szCs w:val="32"/>
          <w:highlight w:val="none"/>
          <w:lang w:val="en-US" w:eastAsia="zh-CN"/>
        </w:rPr>
        <w:t>具有</w:t>
      </w:r>
      <w:r>
        <w:rPr>
          <w:rFonts w:hint="eastAsia" w:ascii="仿宋" w:hAnsi="仿宋" w:eastAsia="仿宋" w:cs="仿宋"/>
          <w:color w:val="auto"/>
          <w:sz w:val="32"/>
          <w:szCs w:val="32"/>
          <w:highlight w:val="none"/>
        </w:rPr>
        <w:t>高山草甸特征</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平均海拔</w:t>
      </w:r>
      <w:r>
        <w:rPr>
          <w:rFonts w:hint="eastAsia" w:ascii="仿宋" w:hAnsi="仿宋" w:eastAsia="仿宋" w:cs="仿宋"/>
          <w:color w:val="auto"/>
          <w:sz w:val="32"/>
          <w:szCs w:val="32"/>
          <w:highlight w:val="none"/>
          <w:lang w:val="en-US" w:eastAsia="zh-CN"/>
        </w:rPr>
        <w:t>3600</w:t>
      </w:r>
      <w:r>
        <w:rPr>
          <w:rFonts w:hint="eastAsia" w:ascii="仿宋" w:hAnsi="仿宋" w:eastAsia="仿宋" w:cs="仿宋"/>
          <w:color w:val="auto"/>
          <w:sz w:val="32"/>
          <w:szCs w:val="32"/>
          <w:highlight w:val="none"/>
        </w:rPr>
        <w:t>米，年平均气温1.</w:t>
      </w: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rPr>
        <w:t>℃，极端最低气温</w:t>
      </w:r>
      <w:r>
        <w:rPr>
          <w:rFonts w:hint="eastAsia" w:ascii="仿宋" w:hAnsi="仿宋" w:eastAsia="仿宋" w:cs="仿宋"/>
          <w:color w:val="auto"/>
          <w:sz w:val="32"/>
          <w:szCs w:val="32"/>
          <w:highlight w:val="none"/>
          <w:lang w:val="en-US" w:eastAsia="zh-CN"/>
        </w:rPr>
        <w:t>-</w:t>
      </w:r>
      <w:r>
        <w:rPr>
          <w:rFonts w:hint="eastAsia" w:ascii="仿宋" w:hAnsi="仿宋" w:eastAsia="仿宋" w:cs="仿宋"/>
          <w:color w:val="auto"/>
          <w:sz w:val="32"/>
          <w:szCs w:val="32"/>
          <w:highlight w:val="none"/>
        </w:rPr>
        <w:t>36.2℃，极端</w:t>
      </w:r>
      <w:r>
        <w:rPr>
          <w:rFonts w:hint="eastAsia" w:ascii="仿宋" w:hAnsi="仿宋" w:eastAsia="仿宋" w:cs="仿宋"/>
          <w:b w:val="0"/>
          <w:bCs w:val="0"/>
          <w:color w:val="auto"/>
          <w:sz w:val="32"/>
          <w:szCs w:val="32"/>
          <w:highlight w:val="none"/>
          <w:lang w:val="en-US" w:eastAsia="zh-CN"/>
        </w:rPr>
        <w:t>最高</w:t>
      </w:r>
      <w:r>
        <w:rPr>
          <w:rFonts w:hint="eastAsia" w:ascii="仿宋" w:hAnsi="仿宋" w:eastAsia="仿宋" w:cs="仿宋"/>
          <w:color w:val="auto"/>
          <w:sz w:val="32"/>
          <w:szCs w:val="32"/>
          <w:highlight w:val="none"/>
        </w:rPr>
        <w:t>气温25.6℃</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年降雨量为753毫米</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属安多藏族聚居</w:t>
      </w:r>
      <w:r>
        <w:rPr>
          <w:rFonts w:hint="eastAsia" w:ascii="仿宋" w:hAnsi="仿宋" w:eastAsia="仿宋" w:cs="仿宋"/>
          <w:color w:val="auto"/>
          <w:sz w:val="32"/>
          <w:szCs w:val="32"/>
          <w:highlight w:val="none"/>
          <w:lang w:eastAsia="zh-CN"/>
        </w:rPr>
        <w:t>的</w:t>
      </w:r>
      <w:r>
        <w:rPr>
          <w:rFonts w:hint="eastAsia" w:ascii="仿宋" w:hAnsi="仿宋" w:eastAsia="仿宋" w:cs="仿宋"/>
          <w:color w:val="auto"/>
          <w:sz w:val="32"/>
          <w:szCs w:val="32"/>
          <w:highlight w:val="none"/>
        </w:rPr>
        <w:t>高原</w:t>
      </w:r>
      <w:r>
        <w:rPr>
          <w:rFonts w:hint="eastAsia" w:ascii="仿宋" w:hAnsi="仿宋" w:eastAsia="仿宋" w:cs="仿宋"/>
          <w:color w:val="auto"/>
          <w:sz w:val="32"/>
          <w:szCs w:val="32"/>
          <w:highlight w:val="none"/>
          <w:lang w:val="en-US" w:eastAsia="zh-CN"/>
        </w:rPr>
        <w:t>纯</w:t>
      </w:r>
      <w:r>
        <w:rPr>
          <w:rFonts w:hint="eastAsia" w:ascii="仿宋" w:hAnsi="仿宋" w:eastAsia="仿宋" w:cs="仿宋"/>
          <w:color w:val="auto"/>
          <w:sz w:val="32"/>
          <w:szCs w:val="32"/>
          <w:highlight w:val="none"/>
        </w:rPr>
        <w:t>牧业乡，</w:t>
      </w:r>
      <w:r>
        <w:rPr>
          <w:rFonts w:hint="eastAsia" w:ascii="仿宋" w:hAnsi="仿宋" w:eastAsia="仿宋" w:cs="仿宋"/>
          <w:color w:val="auto"/>
          <w:sz w:val="32"/>
          <w:szCs w:val="32"/>
          <w:highlight w:val="none"/>
          <w:lang w:eastAsia="zh-CN"/>
        </w:rPr>
        <w:t>幅员</w:t>
      </w:r>
      <w:r>
        <w:rPr>
          <w:rFonts w:hint="eastAsia" w:ascii="仿宋" w:hAnsi="仿宋" w:eastAsia="仿宋" w:cs="仿宋"/>
          <w:color w:val="auto"/>
          <w:sz w:val="32"/>
          <w:szCs w:val="32"/>
          <w:highlight w:val="none"/>
        </w:rPr>
        <w:t>面</w:t>
      </w:r>
      <w:r>
        <w:rPr>
          <w:rFonts w:hint="eastAsia" w:ascii="仿宋" w:hAnsi="仿宋" w:eastAsia="仿宋" w:cs="仿宋"/>
          <w:color w:val="auto"/>
          <w:sz w:val="32"/>
          <w:szCs w:val="32"/>
          <w:highlight w:val="none"/>
          <w:lang w:eastAsia="zh-CN"/>
        </w:rPr>
        <w:t>积</w:t>
      </w:r>
      <w:r>
        <w:rPr>
          <w:rFonts w:hint="eastAsia" w:ascii="仿宋" w:hAnsi="仿宋" w:eastAsia="仿宋" w:cs="仿宋"/>
          <w:color w:val="auto"/>
          <w:sz w:val="32"/>
          <w:szCs w:val="32"/>
          <w:highlight w:val="none"/>
          <w:lang w:val="en-US" w:eastAsia="zh-CN"/>
        </w:rPr>
        <w:t>905平方千米（135.8万亩）。</w:t>
      </w:r>
      <w:r>
        <w:rPr>
          <w:rFonts w:hint="eastAsia" w:ascii="仿宋" w:hAnsi="仿宋" w:eastAsia="仿宋" w:cs="仿宋"/>
          <w:color w:val="auto"/>
          <w:sz w:val="32"/>
          <w:szCs w:val="32"/>
          <w:highlight w:val="none"/>
          <w:lang w:eastAsia="zh-CN"/>
        </w:rPr>
        <w:t>阿木乡下辖</w:t>
      </w: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lang w:eastAsia="zh-CN"/>
        </w:rPr>
        <w:t>个行政村（峨扎村、卡口村）</w:t>
      </w:r>
      <w:r>
        <w:rPr>
          <w:rFonts w:hint="eastAsia" w:ascii="仿宋" w:hAnsi="仿宋" w:eastAsia="仿宋" w:cs="仿宋"/>
          <w:color w:val="auto"/>
          <w:sz w:val="32"/>
          <w:szCs w:val="32"/>
          <w:highlight w:val="none"/>
          <w:lang w:val="en-US" w:eastAsia="zh-CN"/>
        </w:rPr>
        <w:t>18个村民小组（峨扎10个村民小组，卡口8个村民小组），8个联户（峨扎村4个联户，卡口村4个联户），共有721户3605人（卡口村353户1739人，峨扎村368户1866人）；脱贫户141户637人（卡口村74户333人、峨扎村67户304人）；监测户18户95人（卡口村户8户22人、峨扎村10户73人。</w:t>
      </w:r>
    </w:p>
    <w:p w14:paraId="5BDCA806">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下达预算及项目情况。</w:t>
      </w:r>
    </w:p>
    <w:p w14:paraId="317F7F7A">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仿宋" w:hAnsi="仿宋" w:eastAsia="仿宋" w:cs="仿宋"/>
          <w:color w:val="auto"/>
          <w:sz w:val="32"/>
          <w:szCs w:val="32"/>
          <w:highlight w:val="none"/>
          <w:lang w:val="en-US" w:eastAsia="zh-CN"/>
        </w:rPr>
        <w:t>该项目下达预算资金80万元，</w:t>
      </w:r>
      <w:r>
        <w:rPr>
          <w:rFonts w:hint="eastAsia" w:ascii="仿宋_GB2312" w:hAnsi="仿宋_GB2312" w:eastAsia="仿宋_GB2312" w:cs="仿宋_GB2312"/>
          <w:sz w:val="32"/>
          <w:szCs w:val="32"/>
          <w:lang w:val="en-US" w:eastAsia="zh-CN"/>
        </w:rPr>
        <w:t>建设沉砂池1座；混凝土排洪沟建设等，预计资金80万元。</w:t>
      </w:r>
    </w:p>
    <w:p w14:paraId="2D542C27">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项目绩效目标设定情况。</w:t>
      </w:r>
    </w:p>
    <w:p w14:paraId="57C9724D">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该项目于2025年10月31日签订合同，合同价为78.8万元，主要建设内容为</w:t>
      </w:r>
      <w:r>
        <w:rPr>
          <w:rFonts w:hint="eastAsia" w:ascii="仿宋_GB2312" w:hAnsi="仿宋_GB2312" w:eastAsia="仿宋_GB2312" w:cs="仿宋_GB2312"/>
          <w:sz w:val="32"/>
          <w:szCs w:val="32"/>
          <w:lang w:val="en-US" w:eastAsia="zh-CN"/>
        </w:rPr>
        <w:t>建设沉砂池1座；混凝土排洪沟建设等，预计资金80万元。</w:t>
      </w:r>
    </w:p>
    <w:p w14:paraId="3F36CCA1">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二、绩效自评工作开展情况</w:t>
      </w:r>
    </w:p>
    <w:p w14:paraId="308D6CA7">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该项目计划投资80万元，实际到位80万元，资金来源为:乡村振兴衔接资金，申报目标为</w:t>
      </w:r>
      <w:r>
        <w:rPr>
          <w:rFonts w:hint="eastAsia" w:ascii="仿宋_GB2312" w:hAnsi="仿宋_GB2312" w:eastAsia="仿宋_GB2312" w:cs="仿宋_GB2312"/>
          <w:sz w:val="32"/>
          <w:szCs w:val="32"/>
          <w:lang w:val="en-US" w:eastAsia="zh-CN"/>
        </w:rPr>
        <w:t>建设沉砂池1座；混凝土排洪沟建设等，预计资金80万元。</w:t>
      </w:r>
      <w:r>
        <w:rPr>
          <w:rFonts w:hint="eastAsia" w:ascii="仿宋" w:hAnsi="仿宋" w:eastAsia="仿宋" w:cs="仿宋"/>
          <w:color w:val="auto"/>
          <w:sz w:val="32"/>
          <w:szCs w:val="32"/>
          <w:highlight w:val="none"/>
          <w:lang w:val="en-US" w:eastAsia="zh-CN"/>
        </w:rPr>
        <w:t>截止目前已完成工程量100%，于2025年11月19日已完成验收100%，目前已完成资金拨付97%，剩余3%作为质保金，质保期为1年，群众满意度达到100%。</w:t>
      </w:r>
    </w:p>
    <w:p w14:paraId="4C97F829">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三、绩效目标自评完成情况分析</w:t>
      </w:r>
      <w:r>
        <w:rPr>
          <w:rFonts w:hint="eastAsia" w:ascii="黑体" w:hAnsi="黑体" w:eastAsia="黑体" w:cs="黑体"/>
          <w:b w:val="0"/>
          <w:bCs w:val="0"/>
          <w:color w:val="000000"/>
          <w:sz w:val="32"/>
          <w:szCs w:val="32"/>
        </w:rPr>
        <w:tab/>
      </w:r>
    </w:p>
    <w:p w14:paraId="7C39BB8D">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602" w:firstLineChars="200"/>
        <w:jc w:val="left"/>
        <w:textAlignment w:val="auto"/>
        <w:rPr>
          <w:rFonts w:ascii="楷体_GB2312" w:hAnsi="楷体_GB2312" w:eastAsia="楷体_GB2312" w:cs="楷体_GB2312"/>
          <w:b/>
          <w:color w:val="auto"/>
          <w:spacing w:val="0"/>
          <w:position w:val="0"/>
          <w:sz w:val="32"/>
          <w:shd w:val="clear" w:color="auto" w:fill="auto"/>
        </w:rPr>
      </w:pPr>
      <w:r>
        <w:rPr>
          <w:rFonts w:hint="eastAsia" w:ascii="宋体" w:hAnsi="宋体" w:eastAsia="宋体"/>
          <w:b/>
          <w:bCs/>
          <w:color w:val="000000"/>
          <w:sz w:val="30"/>
        </w:rPr>
        <w:t>（一）资金投入情况分析。</w:t>
      </w:r>
    </w:p>
    <w:p w14:paraId="0C350F26">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kern w:val="2"/>
          <w:sz w:val="32"/>
          <w:szCs w:val="32"/>
          <w:highlight w:val="none"/>
          <w:lang w:val="en-US" w:eastAsia="zh-CN" w:bidi="ar-SA"/>
        </w:rPr>
        <w:t>阿木乡定居点排洪基础设施建设项目</w:t>
      </w:r>
      <w:r>
        <w:rPr>
          <w:rFonts w:hint="eastAsia" w:ascii="仿宋" w:hAnsi="仿宋" w:eastAsia="仿宋" w:cs="仿宋"/>
          <w:color w:val="auto"/>
          <w:sz w:val="32"/>
          <w:szCs w:val="32"/>
          <w:highlight w:val="none"/>
          <w:lang w:val="en-US" w:eastAsia="zh-CN"/>
        </w:rPr>
        <w:t>。该项目良好完成计划目标，截止评价时已完成任务量100%，已拨付资金97%，资金到位情况及时，资金拨付情况合理，资金管理规范。</w:t>
      </w:r>
    </w:p>
    <w:p w14:paraId="2CE6012B">
      <w:pPr>
        <w:pStyle w:val="15"/>
        <w:keepNext w:val="0"/>
        <w:keepLines w:val="0"/>
        <w:pageBreakBefore w:val="0"/>
        <w:widowControl w:val="0"/>
        <w:numPr>
          <w:ilvl w:val="0"/>
          <w:numId w:val="4"/>
        </w:numPr>
        <w:kinsoku/>
        <w:overflowPunct/>
        <w:topLinePunct w:val="0"/>
        <w:autoSpaceDE/>
        <w:bidi w:val="0"/>
        <w:adjustRightInd/>
        <w:snapToGrid/>
        <w:spacing w:beforeAutospacing="0" w:after="120" w:afterAutospacing="0" w:line="240" w:lineRule="auto"/>
        <w:ind w:left="0" w:leftChars="0" w:right="0" w:firstLine="602" w:firstLineChars="200"/>
        <w:textAlignment w:val="auto"/>
        <w:rPr>
          <w:rFonts w:hint="eastAsia" w:ascii="宋体" w:hAnsi="宋体" w:eastAsia="宋体"/>
          <w:b/>
          <w:bCs/>
          <w:color w:val="000000"/>
          <w:sz w:val="30"/>
        </w:rPr>
      </w:pPr>
      <w:r>
        <w:rPr>
          <w:rFonts w:hint="eastAsia" w:ascii="宋体" w:hAnsi="宋体" w:eastAsia="宋体"/>
          <w:b/>
          <w:bCs/>
          <w:color w:val="000000"/>
          <w:sz w:val="30"/>
        </w:rPr>
        <w:t>绩效目标完成情况分析。</w:t>
      </w:r>
    </w:p>
    <w:p w14:paraId="2D2D0DF0">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截止目前已完成工程量100%，于2025年11月19日已完成验收100%，已拨付资金97%，满意度达到100%。</w:t>
      </w:r>
    </w:p>
    <w:p w14:paraId="61CCBB39">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3" w:firstLineChars="200"/>
        <w:textAlignment w:val="auto"/>
        <w:rPr>
          <w:rFonts w:hint="eastAsia" w:ascii="仿宋_GB2312" w:hAnsi="仿宋" w:eastAsia="仿宋_GB2312"/>
          <w:spacing w:val="-10"/>
          <w:sz w:val="32"/>
          <w:szCs w:val="32"/>
          <w:lang w:val="en-US" w:eastAsia="zh-CN"/>
        </w:rPr>
      </w:pPr>
      <w:r>
        <w:rPr>
          <w:rFonts w:ascii="宋体" w:hAnsi="宋体" w:eastAsia="宋体" w:cs="宋体"/>
          <w:b/>
          <w:color w:val="auto"/>
          <w:spacing w:val="0"/>
          <w:position w:val="0"/>
          <w:sz w:val="32"/>
          <w:shd w:val="clear" w:color="auto" w:fill="auto"/>
        </w:rPr>
        <w:t>（</w:t>
      </w:r>
      <w:r>
        <w:rPr>
          <w:rFonts w:hint="eastAsia" w:ascii="宋体" w:hAnsi="宋体" w:eastAsia="宋体" w:cs="宋体"/>
          <w:b/>
          <w:color w:val="auto"/>
          <w:spacing w:val="0"/>
          <w:position w:val="0"/>
          <w:sz w:val="32"/>
          <w:shd w:val="clear" w:color="auto" w:fill="auto"/>
          <w:lang w:eastAsia="zh-CN"/>
        </w:rPr>
        <w:t>三</w:t>
      </w:r>
      <w:r>
        <w:rPr>
          <w:rFonts w:ascii="宋体" w:hAnsi="宋体" w:eastAsia="宋体" w:cs="宋体"/>
          <w:b/>
          <w:color w:val="auto"/>
          <w:spacing w:val="0"/>
          <w:position w:val="0"/>
          <w:sz w:val="32"/>
          <w:shd w:val="clear" w:color="auto" w:fill="auto"/>
        </w:rPr>
        <w:t>）项目效益情况</w:t>
      </w:r>
    </w:p>
    <w:p w14:paraId="24CFEE96">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通过该项目的实施，解决群众出行困难问题，整治居民点汛期内涝隐患，确保排水顺畅，提升居民点人居环境，提高服务对象的满意度.</w:t>
      </w:r>
    </w:p>
    <w:p w14:paraId="3CCAE521">
      <w:pPr>
        <w:keepNext w:val="0"/>
        <w:keepLines w:val="0"/>
        <w:pageBreakBefore w:val="0"/>
        <w:widowControl w:val="0"/>
        <w:numPr>
          <w:ilvl w:val="0"/>
          <w:numId w:val="5"/>
        </w:numPr>
        <w:kinsoku/>
        <w:overflowPunct/>
        <w:topLinePunct w:val="0"/>
        <w:autoSpaceDE/>
        <w:bidi w:val="0"/>
        <w:adjustRightInd/>
        <w:snapToGrid/>
        <w:spacing w:beforeAutospacing="0" w:after="120" w:afterAutospacing="0" w:line="240" w:lineRule="auto"/>
        <w:ind w:left="0" w:leftChars="0" w:right="0" w:firstLine="600" w:firstLineChars="200"/>
        <w:jc w:val="left"/>
        <w:textAlignment w:val="auto"/>
        <w:rPr>
          <w:rFonts w:hint="eastAsia" w:ascii="黑体" w:hAnsi="黑体" w:eastAsia="黑体" w:cs="黑体"/>
          <w:b w:val="0"/>
          <w:bCs w:val="0"/>
          <w:color w:val="000000"/>
          <w:sz w:val="30"/>
          <w:lang w:val="en-US" w:eastAsia="zh-CN"/>
        </w:rPr>
      </w:pPr>
      <w:r>
        <w:rPr>
          <w:rFonts w:hint="eastAsia" w:ascii="黑体" w:hAnsi="黑体" w:eastAsia="黑体" w:cs="黑体"/>
          <w:b w:val="0"/>
          <w:bCs w:val="0"/>
          <w:color w:val="000000"/>
          <w:sz w:val="30"/>
          <w:lang w:val="en-US" w:eastAsia="zh-CN"/>
        </w:rPr>
        <w:t>资产后续管护及运营情况</w:t>
      </w:r>
    </w:p>
    <w:p w14:paraId="529404E4">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建立该项后续管护机制，确保该项目稳定良好运行，为巩固拓展脱贫攻坚成果，全面实乡村振兴提供更好保障。</w:t>
      </w:r>
    </w:p>
    <w:p w14:paraId="5071B5F2">
      <w:pPr>
        <w:pStyle w:val="15"/>
        <w:pageBreakBefore w:val="0"/>
        <w:kinsoku/>
        <w:overflowPunct/>
        <w:topLinePunct w:val="0"/>
        <w:bidi w:val="0"/>
        <w:spacing w:beforeAutospacing="0" w:after="120" w:afterAutospacing="0" w:line="240" w:lineRule="auto"/>
        <w:ind w:left="0" w:leftChars="0" w:right="0" w:firstLine="640" w:firstLineChars="200"/>
        <w:textAlignment w:val="auto"/>
        <w:rPr>
          <w:rFonts w:hint="eastAsia"/>
          <w:lang w:val="en-US" w:eastAsia="zh-CN"/>
        </w:rPr>
      </w:pPr>
    </w:p>
    <w:p w14:paraId="19784E3F">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19FDE7AB">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2E7203BD">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0F6AE0C5">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61407DE3">
      <w:pPr>
        <w:keepNext w:val="0"/>
        <w:keepLines w:val="0"/>
        <w:pageBreakBefore w:val="0"/>
        <w:widowControl w:val="0"/>
        <w:kinsoku/>
        <w:overflowPunct/>
        <w:topLinePunct w:val="0"/>
        <w:autoSpaceDE/>
        <w:bidi w:val="0"/>
        <w:adjustRightInd/>
        <w:snapToGrid/>
        <w:spacing w:beforeAutospacing="0" w:after="120" w:afterAutospacing="0" w:line="240" w:lineRule="auto"/>
        <w:ind w:right="0"/>
        <w:jc w:val="both"/>
        <w:textAlignment w:val="auto"/>
        <w:rPr>
          <w:rFonts w:hint="eastAsia" w:ascii="方正小标宋简体" w:hAnsi="Cambria" w:eastAsia="方正小标宋简体" w:cs="Times New Roman"/>
          <w:sz w:val="44"/>
          <w:szCs w:val="44"/>
          <w:lang w:eastAsia="zh-CN"/>
        </w:rPr>
      </w:pPr>
    </w:p>
    <w:p w14:paraId="5BEC09B4">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lang w:eastAsia="zh-CN"/>
        </w:rPr>
        <w:t>阿木乡</w:t>
      </w:r>
      <w:r>
        <w:rPr>
          <w:rFonts w:hint="eastAsia" w:ascii="方正小标宋简体" w:hAnsi="Cambria" w:eastAsia="方正小标宋简体" w:cs="Times New Roman"/>
          <w:sz w:val="44"/>
          <w:szCs w:val="44"/>
          <w:lang w:val="en-US" w:eastAsia="zh-CN"/>
        </w:rPr>
        <w:t>2025年</w:t>
      </w:r>
      <w:r>
        <w:rPr>
          <w:rFonts w:hint="eastAsia" w:ascii="方正小标宋简体" w:hAnsi="Cambria" w:eastAsia="方正小标宋简体" w:cs="Times New Roman"/>
          <w:sz w:val="44"/>
          <w:szCs w:val="44"/>
        </w:rPr>
        <w:t>财政</w:t>
      </w:r>
      <w:r>
        <w:rPr>
          <w:rFonts w:hint="eastAsia" w:ascii="方正小标宋简体" w:hAnsi="Cambria" w:eastAsia="方正小标宋简体" w:cs="Times New Roman"/>
          <w:sz w:val="44"/>
          <w:szCs w:val="44"/>
          <w:lang w:eastAsia="zh-CN"/>
        </w:rPr>
        <w:t>衔接资金</w:t>
      </w:r>
      <w:r>
        <w:rPr>
          <w:rFonts w:hint="eastAsia" w:ascii="方正小标宋简体" w:hAnsi="Cambria" w:eastAsia="方正小标宋简体" w:cs="Times New Roman"/>
          <w:sz w:val="44"/>
          <w:szCs w:val="44"/>
        </w:rPr>
        <w:t>资金绩效</w:t>
      </w:r>
    </w:p>
    <w:p w14:paraId="181C0007">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rPr>
        <w:t>自评总结报告</w:t>
      </w:r>
    </w:p>
    <w:p w14:paraId="0D941CBB">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color w:val="auto"/>
          <w:spacing w:val="0"/>
          <w:position w:val="0"/>
          <w:sz w:val="32"/>
          <w:shd w:val="clear" w:color="auto" w:fill="auto"/>
          <w:lang w:val="en-US" w:eastAsia="zh-CN"/>
        </w:rPr>
        <w:t>阿木乡2025年防疫巷道圈口建设项目</w:t>
      </w:r>
      <w:r>
        <w:rPr>
          <w:rFonts w:hint="eastAsia" w:ascii="仿宋_GB2312" w:hAnsi="仿宋_GB2312" w:eastAsia="仿宋_GB2312" w:cs="仿宋_GB2312"/>
          <w:sz w:val="32"/>
          <w:szCs w:val="32"/>
          <w:lang w:val="en-US" w:eastAsia="zh-CN"/>
        </w:rPr>
        <w:t>)</w:t>
      </w:r>
    </w:p>
    <w:p w14:paraId="6ADFD299">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left"/>
        <w:textAlignment w:val="auto"/>
        <w:outlineLvl w:val="9"/>
        <w:rPr>
          <w:rFonts w:hint="eastAsia" w:ascii="仿宋_GB2312" w:hAnsi="仿宋_GB2312" w:eastAsia="仿宋_GB2312" w:cs="仿宋_GB2312"/>
          <w:sz w:val="32"/>
          <w:szCs w:val="32"/>
          <w:lang w:val="en-US" w:eastAsia="zh-CN"/>
        </w:rPr>
      </w:pPr>
    </w:p>
    <w:p w14:paraId="1A65F0E6">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ascii="黑体" w:hAnsi="黑体" w:eastAsia="黑体" w:cs="黑体"/>
          <w:color w:val="auto"/>
          <w:spacing w:val="0"/>
          <w:position w:val="0"/>
          <w:sz w:val="32"/>
          <w:shd w:val="clear" w:color="auto" w:fill="auto"/>
        </w:rPr>
      </w:pPr>
      <w:r>
        <w:rPr>
          <w:rFonts w:ascii="黑体" w:hAnsi="黑体" w:eastAsia="黑体" w:cs="黑体"/>
          <w:color w:val="auto"/>
          <w:spacing w:val="0"/>
          <w:position w:val="0"/>
          <w:sz w:val="32"/>
          <w:shd w:val="clear" w:color="auto" w:fill="auto"/>
        </w:rPr>
        <w:t>一、项目概况</w:t>
      </w:r>
    </w:p>
    <w:p w14:paraId="74A1FBBB">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阿木乡位于红原中部偏</w:t>
      </w:r>
      <w:r>
        <w:rPr>
          <w:rFonts w:hint="eastAsia" w:ascii="仿宋" w:hAnsi="仿宋" w:eastAsia="仿宋" w:cs="仿宋"/>
          <w:color w:val="auto"/>
          <w:sz w:val="32"/>
          <w:szCs w:val="32"/>
          <w:highlight w:val="none"/>
          <w:lang w:eastAsia="zh-CN"/>
        </w:rPr>
        <w:t>西</w:t>
      </w:r>
      <w:r>
        <w:rPr>
          <w:rFonts w:hint="eastAsia" w:ascii="仿宋" w:hAnsi="仿宋" w:eastAsia="仿宋" w:cs="仿宋"/>
          <w:color w:val="auto"/>
          <w:sz w:val="32"/>
          <w:szCs w:val="32"/>
          <w:highlight w:val="none"/>
        </w:rPr>
        <w:t>北方，东与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"https://baike.baidu.com/item/%E6%9D%BE%E6%BD%98%E5%8E%BF/2123648"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松潘县</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lang w:eastAsia="zh-CN"/>
        </w:rPr>
        <w:t>毛尔盖镇</w:t>
      </w:r>
      <w:r>
        <w:rPr>
          <w:rFonts w:hint="eastAsia" w:ascii="仿宋" w:hAnsi="仿宋" w:eastAsia="仿宋" w:cs="仿宋"/>
          <w:color w:val="auto"/>
          <w:sz w:val="32"/>
          <w:szCs w:val="32"/>
          <w:highlight w:val="none"/>
        </w:rPr>
        <w:t>为邻，南连</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"https://baike.baidu.com/item/%E9%BE%99%E6%97%A5%E9%95%87/24221013"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龙日镇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，西邻</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"https://baike.baidu.com/item/%E9%82%9B%E6%BA%AA%E9%95%87/2893511"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邛溪镇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，北与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"https://baike.baidu.com/item/%E7%93%A6%E5%88%87%E9%95%87/8536052"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瓦切镇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、麦洼乡相连，东北与色地镇接壤</w:t>
      </w:r>
      <w:r>
        <w:rPr>
          <w:rFonts w:hint="eastAsia" w:ascii="仿宋" w:hAnsi="仿宋" w:eastAsia="仿宋" w:cs="仿宋"/>
          <w:color w:val="auto"/>
          <w:sz w:val="32"/>
          <w:szCs w:val="32"/>
          <w:highlight w:val="none"/>
          <w:lang w:eastAsia="zh-CN"/>
        </w:rPr>
        <w:t>，乡政</w:t>
      </w:r>
      <w:r>
        <w:rPr>
          <w:rFonts w:hint="eastAsia" w:ascii="仿宋" w:hAnsi="仿宋" w:eastAsia="仿宋" w:cs="仿宋"/>
          <w:color w:val="auto"/>
          <w:sz w:val="32"/>
          <w:szCs w:val="32"/>
          <w:highlight w:val="none"/>
        </w:rPr>
        <w:t>府所在地距红原县城18公里，紧邻</w:t>
      </w:r>
      <w:r>
        <w:rPr>
          <w:rFonts w:hint="eastAsia" w:ascii="仿宋" w:hAnsi="仿宋" w:eastAsia="仿宋" w:cs="仿宋"/>
          <w:color w:val="auto"/>
          <w:sz w:val="32"/>
          <w:szCs w:val="32"/>
          <w:highlight w:val="none"/>
          <w:lang w:eastAsia="zh-CN"/>
        </w:rPr>
        <w:t>国道</w:t>
      </w:r>
      <w:r>
        <w:rPr>
          <w:rFonts w:hint="eastAsia" w:ascii="仿宋" w:hAnsi="仿宋" w:eastAsia="仿宋" w:cs="仿宋"/>
          <w:color w:val="auto"/>
          <w:sz w:val="32"/>
          <w:szCs w:val="32"/>
          <w:highlight w:val="none"/>
          <w:lang w:val="en-US" w:eastAsia="zh-CN"/>
        </w:rPr>
        <w:t>248</w:t>
      </w:r>
      <w:r>
        <w:rPr>
          <w:rFonts w:hint="eastAsia" w:ascii="仿宋" w:hAnsi="仿宋" w:eastAsia="仿宋" w:cs="仿宋"/>
          <w:color w:val="auto"/>
          <w:sz w:val="32"/>
          <w:szCs w:val="32"/>
          <w:highlight w:val="none"/>
        </w:rPr>
        <w:t>线，地形</w:t>
      </w:r>
      <w:r>
        <w:rPr>
          <w:rFonts w:hint="eastAsia" w:ascii="仿宋" w:hAnsi="仿宋" w:eastAsia="仿宋" w:cs="仿宋"/>
          <w:color w:val="auto"/>
          <w:sz w:val="32"/>
          <w:szCs w:val="32"/>
          <w:highlight w:val="none"/>
          <w:lang w:val="en-US" w:eastAsia="zh-CN"/>
        </w:rPr>
        <w:t>具有</w:t>
      </w:r>
      <w:r>
        <w:rPr>
          <w:rFonts w:hint="eastAsia" w:ascii="仿宋" w:hAnsi="仿宋" w:eastAsia="仿宋" w:cs="仿宋"/>
          <w:color w:val="auto"/>
          <w:sz w:val="32"/>
          <w:szCs w:val="32"/>
          <w:highlight w:val="none"/>
        </w:rPr>
        <w:t>高山草甸特征</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平均海拔</w:t>
      </w:r>
      <w:r>
        <w:rPr>
          <w:rFonts w:hint="eastAsia" w:ascii="仿宋" w:hAnsi="仿宋" w:eastAsia="仿宋" w:cs="仿宋"/>
          <w:color w:val="auto"/>
          <w:sz w:val="32"/>
          <w:szCs w:val="32"/>
          <w:highlight w:val="none"/>
          <w:lang w:val="en-US" w:eastAsia="zh-CN"/>
        </w:rPr>
        <w:t>3600</w:t>
      </w:r>
      <w:r>
        <w:rPr>
          <w:rFonts w:hint="eastAsia" w:ascii="仿宋" w:hAnsi="仿宋" w:eastAsia="仿宋" w:cs="仿宋"/>
          <w:color w:val="auto"/>
          <w:sz w:val="32"/>
          <w:szCs w:val="32"/>
          <w:highlight w:val="none"/>
        </w:rPr>
        <w:t>米，年平均气温1.</w:t>
      </w: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rPr>
        <w:t>℃，极端最低气温</w:t>
      </w:r>
      <w:r>
        <w:rPr>
          <w:rFonts w:hint="eastAsia" w:ascii="仿宋" w:hAnsi="仿宋" w:eastAsia="仿宋" w:cs="仿宋"/>
          <w:color w:val="auto"/>
          <w:sz w:val="32"/>
          <w:szCs w:val="32"/>
          <w:highlight w:val="none"/>
          <w:lang w:val="en-US" w:eastAsia="zh-CN"/>
        </w:rPr>
        <w:t>-</w:t>
      </w:r>
      <w:r>
        <w:rPr>
          <w:rFonts w:hint="eastAsia" w:ascii="仿宋" w:hAnsi="仿宋" w:eastAsia="仿宋" w:cs="仿宋"/>
          <w:color w:val="auto"/>
          <w:sz w:val="32"/>
          <w:szCs w:val="32"/>
          <w:highlight w:val="none"/>
        </w:rPr>
        <w:t>36.2℃，极端</w:t>
      </w:r>
      <w:r>
        <w:rPr>
          <w:rFonts w:hint="eastAsia" w:ascii="仿宋" w:hAnsi="仿宋" w:eastAsia="仿宋" w:cs="仿宋"/>
          <w:b w:val="0"/>
          <w:bCs w:val="0"/>
          <w:color w:val="auto"/>
          <w:sz w:val="32"/>
          <w:szCs w:val="32"/>
          <w:highlight w:val="none"/>
          <w:lang w:val="en-US" w:eastAsia="zh-CN"/>
        </w:rPr>
        <w:t>最高</w:t>
      </w:r>
      <w:r>
        <w:rPr>
          <w:rFonts w:hint="eastAsia" w:ascii="仿宋" w:hAnsi="仿宋" w:eastAsia="仿宋" w:cs="仿宋"/>
          <w:color w:val="auto"/>
          <w:sz w:val="32"/>
          <w:szCs w:val="32"/>
          <w:highlight w:val="none"/>
        </w:rPr>
        <w:t>气温25.6℃</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年降雨量为753毫米</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属安多藏族聚居</w:t>
      </w:r>
      <w:r>
        <w:rPr>
          <w:rFonts w:hint="eastAsia" w:ascii="仿宋" w:hAnsi="仿宋" w:eastAsia="仿宋" w:cs="仿宋"/>
          <w:color w:val="auto"/>
          <w:sz w:val="32"/>
          <w:szCs w:val="32"/>
          <w:highlight w:val="none"/>
          <w:lang w:eastAsia="zh-CN"/>
        </w:rPr>
        <w:t>的</w:t>
      </w:r>
      <w:r>
        <w:rPr>
          <w:rFonts w:hint="eastAsia" w:ascii="仿宋" w:hAnsi="仿宋" w:eastAsia="仿宋" w:cs="仿宋"/>
          <w:color w:val="auto"/>
          <w:sz w:val="32"/>
          <w:szCs w:val="32"/>
          <w:highlight w:val="none"/>
        </w:rPr>
        <w:t>高原</w:t>
      </w:r>
      <w:r>
        <w:rPr>
          <w:rFonts w:hint="eastAsia" w:ascii="仿宋" w:hAnsi="仿宋" w:eastAsia="仿宋" w:cs="仿宋"/>
          <w:color w:val="auto"/>
          <w:sz w:val="32"/>
          <w:szCs w:val="32"/>
          <w:highlight w:val="none"/>
          <w:lang w:val="en-US" w:eastAsia="zh-CN"/>
        </w:rPr>
        <w:t>纯</w:t>
      </w:r>
      <w:r>
        <w:rPr>
          <w:rFonts w:hint="eastAsia" w:ascii="仿宋" w:hAnsi="仿宋" w:eastAsia="仿宋" w:cs="仿宋"/>
          <w:color w:val="auto"/>
          <w:sz w:val="32"/>
          <w:szCs w:val="32"/>
          <w:highlight w:val="none"/>
        </w:rPr>
        <w:t>牧业乡，</w:t>
      </w:r>
      <w:r>
        <w:rPr>
          <w:rFonts w:hint="eastAsia" w:ascii="仿宋" w:hAnsi="仿宋" w:eastAsia="仿宋" w:cs="仿宋"/>
          <w:color w:val="auto"/>
          <w:sz w:val="32"/>
          <w:szCs w:val="32"/>
          <w:highlight w:val="none"/>
          <w:lang w:eastAsia="zh-CN"/>
        </w:rPr>
        <w:t>幅员</w:t>
      </w:r>
      <w:r>
        <w:rPr>
          <w:rFonts w:hint="eastAsia" w:ascii="仿宋" w:hAnsi="仿宋" w:eastAsia="仿宋" w:cs="仿宋"/>
          <w:color w:val="auto"/>
          <w:sz w:val="32"/>
          <w:szCs w:val="32"/>
          <w:highlight w:val="none"/>
        </w:rPr>
        <w:t>面</w:t>
      </w:r>
      <w:r>
        <w:rPr>
          <w:rFonts w:hint="eastAsia" w:ascii="仿宋" w:hAnsi="仿宋" w:eastAsia="仿宋" w:cs="仿宋"/>
          <w:color w:val="auto"/>
          <w:sz w:val="32"/>
          <w:szCs w:val="32"/>
          <w:highlight w:val="none"/>
          <w:lang w:eastAsia="zh-CN"/>
        </w:rPr>
        <w:t>积</w:t>
      </w:r>
      <w:r>
        <w:rPr>
          <w:rFonts w:hint="eastAsia" w:ascii="仿宋" w:hAnsi="仿宋" w:eastAsia="仿宋" w:cs="仿宋"/>
          <w:color w:val="auto"/>
          <w:sz w:val="32"/>
          <w:szCs w:val="32"/>
          <w:highlight w:val="none"/>
          <w:lang w:val="en-US" w:eastAsia="zh-CN"/>
        </w:rPr>
        <w:t>905平方千米（135.8万亩）。</w:t>
      </w:r>
      <w:r>
        <w:rPr>
          <w:rFonts w:hint="eastAsia" w:ascii="仿宋" w:hAnsi="仿宋" w:eastAsia="仿宋" w:cs="仿宋"/>
          <w:color w:val="auto"/>
          <w:sz w:val="32"/>
          <w:szCs w:val="32"/>
          <w:highlight w:val="none"/>
          <w:lang w:eastAsia="zh-CN"/>
        </w:rPr>
        <w:t>阿木乡下辖</w:t>
      </w: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lang w:eastAsia="zh-CN"/>
        </w:rPr>
        <w:t>个行政村（峨扎村、卡口村）</w:t>
      </w:r>
      <w:r>
        <w:rPr>
          <w:rFonts w:hint="eastAsia" w:ascii="仿宋" w:hAnsi="仿宋" w:eastAsia="仿宋" w:cs="仿宋"/>
          <w:color w:val="auto"/>
          <w:sz w:val="32"/>
          <w:szCs w:val="32"/>
          <w:highlight w:val="none"/>
          <w:lang w:val="en-US" w:eastAsia="zh-CN"/>
        </w:rPr>
        <w:t>18个村民小组（峨扎10个村民小组，卡口8个村民小组），8个联户（峨扎村4个联户，卡口村4个联户），共有721户3605人（卡口村353户1739人，峨扎村368户1866人）；脱贫户141户637人（卡口村74户333人、峨扎村67户304人）；监测户18户95人（卡口村户8户22人、峨扎村10户73人。</w:t>
      </w:r>
    </w:p>
    <w:p w14:paraId="472F4ABE">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下达预算及项目情况。</w:t>
      </w:r>
    </w:p>
    <w:p w14:paraId="169799EE">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该项目下达预算资金30万元，</w:t>
      </w:r>
      <w:r>
        <w:rPr>
          <w:rFonts w:hint="eastAsia" w:ascii="仿宋_GB2312" w:hAnsi="仿宋_GB2312" w:eastAsia="仿宋_GB2312" w:cs="仿宋_GB2312"/>
          <w:sz w:val="32"/>
          <w:szCs w:val="32"/>
          <w:lang w:val="en-US" w:eastAsia="zh-CN"/>
        </w:rPr>
        <w:t>全乡养殖大户、脱贫户、监测户对现有的养殖圈舍安装巷道圈口，采取补助到户的形式进行建设，每户补助资金2000元，自筹500元，建设钢管防疫巷道口，阿木乡150个，项目总投资30万元。</w:t>
      </w:r>
    </w:p>
    <w:p w14:paraId="361D9F62">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项目绩效目标设定情况。</w:t>
      </w:r>
    </w:p>
    <w:p w14:paraId="10B42F8E">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该项目为以奖待补项目，主要建设内容为</w:t>
      </w:r>
      <w:r>
        <w:rPr>
          <w:rFonts w:hint="eastAsia" w:ascii="仿宋_GB2312" w:hAnsi="仿宋_GB2312" w:eastAsia="仿宋_GB2312" w:cs="仿宋_GB2312"/>
          <w:sz w:val="32"/>
          <w:szCs w:val="32"/>
          <w:lang w:val="en-US" w:eastAsia="zh-CN"/>
        </w:rPr>
        <w:t>全乡养殖大户、脱贫户、监测户对现有的养殖圈舍安装巷道圈口，采取补助到户的形式进行建设，每户补助资金2000元，自筹500元，建设钢管防疫巷道口，阿木乡150个，项目总投资30万元。</w:t>
      </w:r>
    </w:p>
    <w:p w14:paraId="4BC1F359">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二、绩效自评工作开展情况</w:t>
      </w:r>
    </w:p>
    <w:p w14:paraId="139C91FC">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该项目计划投资30万元，实际到位30万元，资金来源为:乡村振兴衔接资金，申报目标为</w:t>
      </w:r>
      <w:r>
        <w:rPr>
          <w:rFonts w:hint="eastAsia" w:ascii="仿宋_GB2312" w:hAnsi="仿宋_GB2312" w:eastAsia="仿宋_GB2312" w:cs="仿宋_GB2312"/>
          <w:sz w:val="32"/>
          <w:szCs w:val="32"/>
          <w:lang w:val="en-US" w:eastAsia="zh-CN"/>
        </w:rPr>
        <w:t>全乡养殖大户、脱贫户、监测户对现有的养殖圈舍安装巷道圈口，采取补助到户的形式进行建设，每户补助资金2000元，自筹500元，建设钢管防疫巷道口，阿木乡150个，项目总投资30万元。</w:t>
      </w:r>
      <w:r>
        <w:rPr>
          <w:rFonts w:hint="eastAsia" w:ascii="仿宋" w:hAnsi="仿宋" w:eastAsia="仿宋" w:cs="仿宋"/>
          <w:color w:val="auto"/>
          <w:sz w:val="32"/>
          <w:szCs w:val="32"/>
          <w:highlight w:val="none"/>
          <w:lang w:val="en-US" w:eastAsia="zh-CN"/>
        </w:rPr>
        <w:t>截止目前已完成工程量100%，于2025年10月17日已完成验收100%，目前已完成资金拨付100%，群众满意度达到100%。</w:t>
      </w:r>
    </w:p>
    <w:p w14:paraId="15634AE8">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三、绩效目标自评完成情况分析</w:t>
      </w:r>
      <w:r>
        <w:rPr>
          <w:rFonts w:hint="eastAsia" w:ascii="黑体" w:hAnsi="黑体" w:eastAsia="黑体" w:cs="黑体"/>
          <w:b w:val="0"/>
          <w:bCs w:val="0"/>
          <w:color w:val="000000"/>
          <w:sz w:val="32"/>
          <w:szCs w:val="32"/>
        </w:rPr>
        <w:tab/>
      </w:r>
    </w:p>
    <w:p w14:paraId="2FB7D0AE">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602" w:firstLineChars="200"/>
        <w:jc w:val="left"/>
        <w:textAlignment w:val="auto"/>
        <w:rPr>
          <w:rFonts w:ascii="楷体_GB2312" w:hAnsi="楷体_GB2312" w:eastAsia="楷体_GB2312" w:cs="楷体_GB2312"/>
          <w:b/>
          <w:color w:val="auto"/>
          <w:spacing w:val="0"/>
          <w:position w:val="0"/>
          <w:sz w:val="32"/>
          <w:shd w:val="clear" w:color="auto" w:fill="auto"/>
        </w:rPr>
      </w:pPr>
      <w:r>
        <w:rPr>
          <w:rFonts w:hint="eastAsia" w:ascii="宋体" w:hAnsi="宋体" w:eastAsia="宋体"/>
          <w:b/>
          <w:bCs/>
          <w:color w:val="000000"/>
          <w:sz w:val="30"/>
        </w:rPr>
        <w:t>（一）资金投入情况分析。</w:t>
      </w:r>
    </w:p>
    <w:p w14:paraId="3FF363A8">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_GB2312" w:hAnsi="仿宋_GB2312" w:eastAsia="仿宋_GB2312" w:cs="仿宋_GB2312"/>
          <w:color w:val="auto"/>
          <w:spacing w:val="0"/>
          <w:position w:val="0"/>
          <w:sz w:val="32"/>
          <w:shd w:val="clear" w:color="auto" w:fill="auto"/>
          <w:lang w:val="en-US" w:eastAsia="zh-CN"/>
        </w:rPr>
        <w:t>阿木乡2025年防疫巷道圈口建设项目</w:t>
      </w:r>
      <w:r>
        <w:rPr>
          <w:rFonts w:hint="eastAsia" w:ascii="仿宋" w:hAnsi="仿宋" w:eastAsia="仿宋" w:cs="仿宋"/>
          <w:color w:val="auto"/>
          <w:sz w:val="32"/>
          <w:szCs w:val="32"/>
          <w:highlight w:val="none"/>
          <w:lang w:val="en-US" w:eastAsia="zh-CN"/>
        </w:rPr>
        <w:t>。该项目良好完成计划目标，截止评价时已完成任务量100%，已拨付资金100%，资金到位情况及时，资金拨付情况合理，资金管理规范。</w:t>
      </w:r>
    </w:p>
    <w:p w14:paraId="6C21C428">
      <w:pPr>
        <w:pStyle w:val="15"/>
        <w:keepNext w:val="0"/>
        <w:keepLines w:val="0"/>
        <w:pageBreakBefore w:val="0"/>
        <w:widowControl w:val="0"/>
        <w:numPr>
          <w:ilvl w:val="0"/>
          <w:numId w:val="4"/>
        </w:numPr>
        <w:kinsoku/>
        <w:overflowPunct/>
        <w:topLinePunct w:val="0"/>
        <w:autoSpaceDE/>
        <w:bidi w:val="0"/>
        <w:adjustRightInd/>
        <w:snapToGrid/>
        <w:spacing w:beforeAutospacing="0" w:after="120" w:afterAutospacing="0" w:line="240" w:lineRule="auto"/>
        <w:ind w:left="0" w:leftChars="0" w:right="0" w:firstLine="602" w:firstLineChars="200"/>
        <w:textAlignment w:val="auto"/>
        <w:rPr>
          <w:rFonts w:hint="eastAsia" w:ascii="宋体" w:hAnsi="宋体" w:eastAsia="宋体"/>
          <w:b/>
          <w:bCs/>
          <w:color w:val="000000"/>
          <w:sz w:val="30"/>
        </w:rPr>
      </w:pPr>
      <w:r>
        <w:rPr>
          <w:rFonts w:hint="eastAsia" w:ascii="宋体" w:hAnsi="宋体" w:eastAsia="宋体"/>
          <w:b/>
          <w:bCs/>
          <w:color w:val="000000"/>
          <w:sz w:val="30"/>
        </w:rPr>
        <w:t>绩效目标完成情况分析。</w:t>
      </w:r>
    </w:p>
    <w:p w14:paraId="54AF4A6E">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截止目前已完成工程量100%，于2025年10月17日已完成验收100%，已拨付资金100%，满意度达到100%。</w:t>
      </w:r>
    </w:p>
    <w:p w14:paraId="57E87180">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3" w:firstLineChars="200"/>
        <w:textAlignment w:val="auto"/>
        <w:rPr>
          <w:rFonts w:hint="eastAsia" w:ascii="仿宋_GB2312" w:hAnsi="仿宋" w:eastAsia="仿宋_GB2312"/>
          <w:spacing w:val="-10"/>
          <w:sz w:val="32"/>
          <w:szCs w:val="32"/>
          <w:lang w:val="en-US" w:eastAsia="zh-CN"/>
        </w:rPr>
      </w:pPr>
      <w:r>
        <w:rPr>
          <w:rFonts w:ascii="宋体" w:hAnsi="宋体" w:eastAsia="宋体" w:cs="宋体"/>
          <w:b/>
          <w:color w:val="auto"/>
          <w:spacing w:val="0"/>
          <w:position w:val="0"/>
          <w:sz w:val="32"/>
          <w:shd w:val="clear" w:color="auto" w:fill="auto"/>
        </w:rPr>
        <w:t>（</w:t>
      </w:r>
      <w:r>
        <w:rPr>
          <w:rFonts w:hint="eastAsia" w:ascii="宋体" w:hAnsi="宋体" w:eastAsia="宋体" w:cs="宋体"/>
          <w:b/>
          <w:color w:val="auto"/>
          <w:spacing w:val="0"/>
          <w:position w:val="0"/>
          <w:sz w:val="32"/>
          <w:shd w:val="clear" w:color="auto" w:fill="auto"/>
          <w:lang w:eastAsia="zh-CN"/>
        </w:rPr>
        <w:t>三</w:t>
      </w:r>
      <w:r>
        <w:rPr>
          <w:rFonts w:ascii="宋体" w:hAnsi="宋体" w:eastAsia="宋体" w:cs="宋体"/>
          <w:b/>
          <w:color w:val="auto"/>
          <w:spacing w:val="0"/>
          <w:position w:val="0"/>
          <w:sz w:val="32"/>
          <w:shd w:val="clear" w:color="auto" w:fill="auto"/>
        </w:rPr>
        <w:t>）项目效益情况</w:t>
      </w:r>
    </w:p>
    <w:p w14:paraId="1FF2BD05">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通过该项目的实施，一是解决牧区动物疫病防疫工作中动物保定难、注苗难、采血难等问题；二是提高防疫工作效率、降低劳动强度，确保动物免疫驱虫、诊断治疗、采样监测等工作效果；三是进一步强化牧区动物疫病防治能力；四是承担牦牛交易、打耳标、牦牛选育、牦牛改良等功能。</w:t>
      </w:r>
    </w:p>
    <w:p w14:paraId="65049B99">
      <w:pPr>
        <w:keepNext w:val="0"/>
        <w:keepLines w:val="0"/>
        <w:pageBreakBefore w:val="0"/>
        <w:widowControl w:val="0"/>
        <w:numPr>
          <w:ilvl w:val="0"/>
          <w:numId w:val="5"/>
        </w:numPr>
        <w:kinsoku/>
        <w:overflowPunct/>
        <w:topLinePunct w:val="0"/>
        <w:autoSpaceDE/>
        <w:bidi w:val="0"/>
        <w:adjustRightInd/>
        <w:snapToGrid/>
        <w:spacing w:beforeAutospacing="0" w:after="120" w:afterAutospacing="0" w:line="240" w:lineRule="auto"/>
        <w:ind w:left="0" w:leftChars="0" w:right="0" w:firstLine="600" w:firstLineChars="200"/>
        <w:jc w:val="left"/>
        <w:textAlignment w:val="auto"/>
        <w:rPr>
          <w:rFonts w:hint="eastAsia" w:ascii="黑体" w:hAnsi="黑体" w:eastAsia="黑体" w:cs="黑体"/>
          <w:b w:val="0"/>
          <w:bCs w:val="0"/>
          <w:color w:val="000000"/>
          <w:sz w:val="30"/>
          <w:lang w:val="en-US" w:eastAsia="zh-CN"/>
        </w:rPr>
      </w:pPr>
      <w:r>
        <w:rPr>
          <w:rFonts w:hint="eastAsia" w:ascii="黑体" w:hAnsi="黑体" w:eastAsia="黑体" w:cs="黑体"/>
          <w:b w:val="0"/>
          <w:bCs w:val="0"/>
          <w:color w:val="000000"/>
          <w:sz w:val="30"/>
          <w:lang w:val="en-US" w:eastAsia="zh-CN"/>
        </w:rPr>
        <w:t>资产后续管护及运营情况</w:t>
      </w:r>
    </w:p>
    <w:p w14:paraId="6ADEA9DA">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该项后期会建立后续管护机制，确保该项目稳定良好运行，为巩固拓展脱贫攻坚成果，全面实乡村振兴提供更好保障。</w:t>
      </w:r>
    </w:p>
    <w:p w14:paraId="0E3E7710">
      <w:pPr>
        <w:keepNext w:val="0"/>
        <w:keepLines w:val="0"/>
        <w:pageBreakBefore w:val="0"/>
        <w:widowControl w:val="0"/>
        <w:kinsoku/>
        <w:overflowPunct/>
        <w:topLinePunct w:val="0"/>
        <w:autoSpaceDE/>
        <w:bidi w:val="0"/>
        <w:adjustRightInd/>
        <w:snapToGrid/>
        <w:spacing w:beforeAutospacing="0" w:after="120" w:afterAutospacing="0" w:line="240" w:lineRule="auto"/>
        <w:ind w:right="0"/>
        <w:jc w:val="both"/>
        <w:textAlignment w:val="auto"/>
        <w:rPr>
          <w:rFonts w:hint="eastAsia" w:ascii="方正小标宋简体" w:hAnsi="Cambria" w:eastAsia="方正小标宋简体" w:cs="Times New Roman"/>
          <w:sz w:val="44"/>
          <w:szCs w:val="44"/>
          <w:lang w:eastAsia="zh-CN"/>
        </w:rPr>
      </w:pPr>
    </w:p>
    <w:p w14:paraId="54E921B9">
      <w:pPr>
        <w:pStyle w:val="6"/>
        <w:rPr>
          <w:rFonts w:hint="eastAsia" w:ascii="方正小标宋简体" w:hAnsi="Cambria" w:eastAsia="方正小标宋简体" w:cs="Times New Roman"/>
          <w:sz w:val="44"/>
          <w:szCs w:val="44"/>
          <w:lang w:eastAsia="zh-CN"/>
        </w:rPr>
      </w:pPr>
    </w:p>
    <w:p w14:paraId="33259878">
      <w:pPr>
        <w:rPr>
          <w:rFonts w:hint="eastAsia"/>
          <w:lang w:eastAsia="zh-CN"/>
        </w:rPr>
      </w:pPr>
    </w:p>
    <w:p w14:paraId="212C395B">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lang w:eastAsia="zh-CN"/>
        </w:rPr>
        <w:t>阿木乡</w:t>
      </w:r>
      <w:r>
        <w:rPr>
          <w:rFonts w:hint="eastAsia" w:ascii="方正小标宋简体" w:hAnsi="Cambria" w:eastAsia="方正小标宋简体" w:cs="Times New Roman"/>
          <w:sz w:val="44"/>
          <w:szCs w:val="44"/>
          <w:lang w:val="en-US" w:eastAsia="zh-CN"/>
        </w:rPr>
        <w:t>2025年</w:t>
      </w:r>
      <w:r>
        <w:rPr>
          <w:rFonts w:hint="eastAsia" w:ascii="方正小标宋简体" w:hAnsi="Cambria" w:eastAsia="方正小标宋简体" w:cs="Times New Roman"/>
          <w:sz w:val="44"/>
          <w:szCs w:val="44"/>
        </w:rPr>
        <w:t>财政</w:t>
      </w:r>
      <w:r>
        <w:rPr>
          <w:rFonts w:hint="eastAsia" w:ascii="方正小标宋简体" w:hAnsi="Cambria" w:eastAsia="方正小标宋简体" w:cs="Times New Roman"/>
          <w:sz w:val="44"/>
          <w:szCs w:val="44"/>
          <w:lang w:eastAsia="zh-CN"/>
        </w:rPr>
        <w:t>衔接资金</w:t>
      </w:r>
      <w:r>
        <w:rPr>
          <w:rFonts w:hint="eastAsia" w:ascii="方正小标宋简体" w:hAnsi="Cambria" w:eastAsia="方正小标宋简体" w:cs="Times New Roman"/>
          <w:sz w:val="44"/>
          <w:szCs w:val="44"/>
        </w:rPr>
        <w:t>资金绩效</w:t>
      </w:r>
    </w:p>
    <w:p w14:paraId="39ED8E0E">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rPr>
        <w:t>自评总结报告</w:t>
      </w:r>
    </w:p>
    <w:p w14:paraId="701640D9">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color w:val="auto"/>
          <w:spacing w:val="0"/>
          <w:kern w:val="2"/>
          <w:position w:val="0"/>
          <w:sz w:val="32"/>
          <w:szCs w:val="32"/>
          <w:shd w:val="clear" w:color="auto" w:fill="auto"/>
          <w:lang w:val="en-US" w:eastAsia="zh-CN" w:bidi="ar-SA"/>
        </w:rPr>
        <w:t>阿木乡2025年生产性便道板涵桥建设项目</w:t>
      </w:r>
      <w:r>
        <w:rPr>
          <w:rFonts w:hint="eastAsia" w:ascii="仿宋_GB2312" w:hAnsi="仿宋_GB2312" w:eastAsia="仿宋_GB2312" w:cs="仿宋_GB2312"/>
          <w:sz w:val="32"/>
          <w:szCs w:val="32"/>
          <w:lang w:val="en-US" w:eastAsia="zh-CN"/>
        </w:rPr>
        <w:t>)</w:t>
      </w:r>
    </w:p>
    <w:p w14:paraId="2117D945">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left"/>
        <w:textAlignment w:val="auto"/>
        <w:outlineLvl w:val="9"/>
        <w:rPr>
          <w:rFonts w:hint="eastAsia" w:ascii="仿宋_GB2312" w:hAnsi="仿宋_GB2312" w:eastAsia="仿宋_GB2312" w:cs="仿宋_GB2312"/>
          <w:sz w:val="32"/>
          <w:szCs w:val="32"/>
          <w:lang w:val="en-US" w:eastAsia="zh-CN"/>
        </w:rPr>
      </w:pPr>
    </w:p>
    <w:p w14:paraId="3B2A268D">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ascii="黑体" w:hAnsi="黑体" w:eastAsia="黑体" w:cs="黑体"/>
          <w:color w:val="auto"/>
          <w:spacing w:val="0"/>
          <w:position w:val="0"/>
          <w:sz w:val="32"/>
          <w:shd w:val="clear" w:color="auto" w:fill="auto"/>
        </w:rPr>
      </w:pPr>
      <w:r>
        <w:rPr>
          <w:rFonts w:ascii="黑体" w:hAnsi="黑体" w:eastAsia="黑体" w:cs="黑体"/>
          <w:color w:val="auto"/>
          <w:spacing w:val="0"/>
          <w:position w:val="0"/>
          <w:sz w:val="32"/>
          <w:shd w:val="clear" w:color="auto" w:fill="auto"/>
        </w:rPr>
        <w:t>一、项目概况</w:t>
      </w:r>
    </w:p>
    <w:p w14:paraId="00B28B5F">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阿木乡位于红原中部偏</w:t>
      </w:r>
      <w:r>
        <w:rPr>
          <w:rFonts w:hint="eastAsia" w:ascii="仿宋" w:hAnsi="仿宋" w:eastAsia="仿宋" w:cs="仿宋"/>
          <w:color w:val="auto"/>
          <w:sz w:val="32"/>
          <w:szCs w:val="32"/>
          <w:highlight w:val="none"/>
          <w:lang w:eastAsia="zh-CN"/>
        </w:rPr>
        <w:t>西</w:t>
      </w:r>
      <w:r>
        <w:rPr>
          <w:rFonts w:hint="eastAsia" w:ascii="仿宋" w:hAnsi="仿宋" w:eastAsia="仿宋" w:cs="仿宋"/>
          <w:color w:val="auto"/>
          <w:sz w:val="32"/>
          <w:szCs w:val="32"/>
          <w:highlight w:val="none"/>
        </w:rPr>
        <w:t>北方，东与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"https://baike.baidu.com/item/%E6%9D%BE%E6%BD%98%E5%8E%BF/2123648"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松潘县</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lang w:eastAsia="zh-CN"/>
        </w:rPr>
        <w:t>毛尔盖镇</w:t>
      </w:r>
      <w:r>
        <w:rPr>
          <w:rFonts w:hint="eastAsia" w:ascii="仿宋" w:hAnsi="仿宋" w:eastAsia="仿宋" w:cs="仿宋"/>
          <w:color w:val="auto"/>
          <w:sz w:val="32"/>
          <w:szCs w:val="32"/>
          <w:highlight w:val="none"/>
        </w:rPr>
        <w:t>为邻，南连</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"https://baike.baidu.com/item/%E9%BE%99%E6%97%A5%E9%95%87/24221013"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龙日镇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，西邻</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"https://baike.baidu.com/item/%E9%82%9B%E6%BA%AA%E9%95%87/2893511"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邛溪镇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，北与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"https://baike.baidu.com/item/%E7%93%A6%E5%88%87%E9%95%87/8536052"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瓦切镇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、麦洼乡相连，东北与色地镇接壤</w:t>
      </w:r>
      <w:r>
        <w:rPr>
          <w:rFonts w:hint="eastAsia" w:ascii="仿宋" w:hAnsi="仿宋" w:eastAsia="仿宋" w:cs="仿宋"/>
          <w:color w:val="auto"/>
          <w:sz w:val="32"/>
          <w:szCs w:val="32"/>
          <w:highlight w:val="none"/>
          <w:lang w:eastAsia="zh-CN"/>
        </w:rPr>
        <w:t>，乡政</w:t>
      </w:r>
      <w:r>
        <w:rPr>
          <w:rFonts w:hint="eastAsia" w:ascii="仿宋" w:hAnsi="仿宋" w:eastAsia="仿宋" w:cs="仿宋"/>
          <w:color w:val="auto"/>
          <w:sz w:val="32"/>
          <w:szCs w:val="32"/>
          <w:highlight w:val="none"/>
        </w:rPr>
        <w:t>府所在地距红原县城18公里，紧邻</w:t>
      </w:r>
      <w:r>
        <w:rPr>
          <w:rFonts w:hint="eastAsia" w:ascii="仿宋" w:hAnsi="仿宋" w:eastAsia="仿宋" w:cs="仿宋"/>
          <w:color w:val="auto"/>
          <w:sz w:val="32"/>
          <w:szCs w:val="32"/>
          <w:highlight w:val="none"/>
          <w:lang w:eastAsia="zh-CN"/>
        </w:rPr>
        <w:t>国道</w:t>
      </w:r>
      <w:r>
        <w:rPr>
          <w:rFonts w:hint="eastAsia" w:ascii="仿宋" w:hAnsi="仿宋" w:eastAsia="仿宋" w:cs="仿宋"/>
          <w:color w:val="auto"/>
          <w:sz w:val="32"/>
          <w:szCs w:val="32"/>
          <w:highlight w:val="none"/>
          <w:lang w:val="en-US" w:eastAsia="zh-CN"/>
        </w:rPr>
        <w:t>248</w:t>
      </w:r>
      <w:r>
        <w:rPr>
          <w:rFonts w:hint="eastAsia" w:ascii="仿宋" w:hAnsi="仿宋" w:eastAsia="仿宋" w:cs="仿宋"/>
          <w:color w:val="auto"/>
          <w:sz w:val="32"/>
          <w:szCs w:val="32"/>
          <w:highlight w:val="none"/>
        </w:rPr>
        <w:t>线，地形</w:t>
      </w:r>
      <w:r>
        <w:rPr>
          <w:rFonts w:hint="eastAsia" w:ascii="仿宋" w:hAnsi="仿宋" w:eastAsia="仿宋" w:cs="仿宋"/>
          <w:color w:val="auto"/>
          <w:sz w:val="32"/>
          <w:szCs w:val="32"/>
          <w:highlight w:val="none"/>
          <w:lang w:val="en-US" w:eastAsia="zh-CN"/>
        </w:rPr>
        <w:t>具有</w:t>
      </w:r>
      <w:r>
        <w:rPr>
          <w:rFonts w:hint="eastAsia" w:ascii="仿宋" w:hAnsi="仿宋" w:eastAsia="仿宋" w:cs="仿宋"/>
          <w:color w:val="auto"/>
          <w:sz w:val="32"/>
          <w:szCs w:val="32"/>
          <w:highlight w:val="none"/>
        </w:rPr>
        <w:t>高山草甸特征</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平均海拔</w:t>
      </w:r>
      <w:r>
        <w:rPr>
          <w:rFonts w:hint="eastAsia" w:ascii="仿宋" w:hAnsi="仿宋" w:eastAsia="仿宋" w:cs="仿宋"/>
          <w:color w:val="auto"/>
          <w:sz w:val="32"/>
          <w:szCs w:val="32"/>
          <w:highlight w:val="none"/>
          <w:lang w:val="en-US" w:eastAsia="zh-CN"/>
        </w:rPr>
        <w:t>3600</w:t>
      </w:r>
      <w:r>
        <w:rPr>
          <w:rFonts w:hint="eastAsia" w:ascii="仿宋" w:hAnsi="仿宋" w:eastAsia="仿宋" w:cs="仿宋"/>
          <w:color w:val="auto"/>
          <w:sz w:val="32"/>
          <w:szCs w:val="32"/>
          <w:highlight w:val="none"/>
        </w:rPr>
        <w:t>米，年平均气温1.</w:t>
      </w: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rPr>
        <w:t>℃，极端最低气温</w:t>
      </w:r>
      <w:r>
        <w:rPr>
          <w:rFonts w:hint="eastAsia" w:ascii="仿宋" w:hAnsi="仿宋" w:eastAsia="仿宋" w:cs="仿宋"/>
          <w:color w:val="auto"/>
          <w:sz w:val="32"/>
          <w:szCs w:val="32"/>
          <w:highlight w:val="none"/>
          <w:lang w:val="en-US" w:eastAsia="zh-CN"/>
        </w:rPr>
        <w:t>-</w:t>
      </w:r>
      <w:r>
        <w:rPr>
          <w:rFonts w:hint="eastAsia" w:ascii="仿宋" w:hAnsi="仿宋" w:eastAsia="仿宋" w:cs="仿宋"/>
          <w:color w:val="auto"/>
          <w:sz w:val="32"/>
          <w:szCs w:val="32"/>
          <w:highlight w:val="none"/>
        </w:rPr>
        <w:t>36.2℃，极端</w:t>
      </w:r>
      <w:r>
        <w:rPr>
          <w:rFonts w:hint="eastAsia" w:ascii="仿宋" w:hAnsi="仿宋" w:eastAsia="仿宋" w:cs="仿宋"/>
          <w:b w:val="0"/>
          <w:bCs w:val="0"/>
          <w:color w:val="auto"/>
          <w:sz w:val="32"/>
          <w:szCs w:val="32"/>
          <w:highlight w:val="none"/>
          <w:lang w:val="en-US" w:eastAsia="zh-CN"/>
        </w:rPr>
        <w:t>最高</w:t>
      </w:r>
      <w:r>
        <w:rPr>
          <w:rFonts w:hint="eastAsia" w:ascii="仿宋" w:hAnsi="仿宋" w:eastAsia="仿宋" w:cs="仿宋"/>
          <w:color w:val="auto"/>
          <w:sz w:val="32"/>
          <w:szCs w:val="32"/>
          <w:highlight w:val="none"/>
        </w:rPr>
        <w:t>气温25.6℃</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年降雨量为753毫米</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属安多藏族聚居</w:t>
      </w:r>
      <w:r>
        <w:rPr>
          <w:rFonts w:hint="eastAsia" w:ascii="仿宋" w:hAnsi="仿宋" w:eastAsia="仿宋" w:cs="仿宋"/>
          <w:color w:val="auto"/>
          <w:sz w:val="32"/>
          <w:szCs w:val="32"/>
          <w:highlight w:val="none"/>
          <w:lang w:eastAsia="zh-CN"/>
        </w:rPr>
        <w:t>的</w:t>
      </w:r>
      <w:r>
        <w:rPr>
          <w:rFonts w:hint="eastAsia" w:ascii="仿宋" w:hAnsi="仿宋" w:eastAsia="仿宋" w:cs="仿宋"/>
          <w:color w:val="auto"/>
          <w:sz w:val="32"/>
          <w:szCs w:val="32"/>
          <w:highlight w:val="none"/>
        </w:rPr>
        <w:t>高原</w:t>
      </w:r>
      <w:r>
        <w:rPr>
          <w:rFonts w:hint="eastAsia" w:ascii="仿宋" w:hAnsi="仿宋" w:eastAsia="仿宋" w:cs="仿宋"/>
          <w:color w:val="auto"/>
          <w:sz w:val="32"/>
          <w:szCs w:val="32"/>
          <w:highlight w:val="none"/>
          <w:lang w:val="en-US" w:eastAsia="zh-CN"/>
        </w:rPr>
        <w:t>纯</w:t>
      </w:r>
      <w:r>
        <w:rPr>
          <w:rFonts w:hint="eastAsia" w:ascii="仿宋" w:hAnsi="仿宋" w:eastAsia="仿宋" w:cs="仿宋"/>
          <w:color w:val="auto"/>
          <w:sz w:val="32"/>
          <w:szCs w:val="32"/>
          <w:highlight w:val="none"/>
        </w:rPr>
        <w:t>牧业乡，</w:t>
      </w:r>
      <w:r>
        <w:rPr>
          <w:rFonts w:hint="eastAsia" w:ascii="仿宋" w:hAnsi="仿宋" w:eastAsia="仿宋" w:cs="仿宋"/>
          <w:color w:val="auto"/>
          <w:sz w:val="32"/>
          <w:szCs w:val="32"/>
          <w:highlight w:val="none"/>
          <w:lang w:eastAsia="zh-CN"/>
        </w:rPr>
        <w:t>幅员</w:t>
      </w:r>
      <w:r>
        <w:rPr>
          <w:rFonts w:hint="eastAsia" w:ascii="仿宋" w:hAnsi="仿宋" w:eastAsia="仿宋" w:cs="仿宋"/>
          <w:color w:val="auto"/>
          <w:sz w:val="32"/>
          <w:szCs w:val="32"/>
          <w:highlight w:val="none"/>
        </w:rPr>
        <w:t>面</w:t>
      </w:r>
      <w:r>
        <w:rPr>
          <w:rFonts w:hint="eastAsia" w:ascii="仿宋" w:hAnsi="仿宋" w:eastAsia="仿宋" w:cs="仿宋"/>
          <w:color w:val="auto"/>
          <w:sz w:val="32"/>
          <w:szCs w:val="32"/>
          <w:highlight w:val="none"/>
          <w:lang w:eastAsia="zh-CN"/>
        </w:rPr>
        <w:t>积</w:t>
      </w:r>
      <w:r>
        <w:rPr>
          <w:rFonts w:hint="eastAsia" w:ascii="仿宋" w:hAnsi="仿宋" w:eastAsia="仿宋" w:cs="仿宋"/>
          <w:color w:val="auto"/>
          <w:sz w:val="32"/>
          <w:szCs w:val="32"/>
          <w:highlight w:val="none"/>
          <w:lang w:val="en-US" w:eastAsia="zh-CN"/>
        </w:rPr>
        <w:t>905平方千米（135.8万亩）。</w:t>
      </w:r>
      <w:r>
        <w:rPr>
          <w:rFonts w:hint="eastAsia" w:ascii="仿宋" w:hAnsi="仿宋" w:eastAsia="仿宋" w:cs="仿宋"/>
          <w:color w:val="auto"/>
          <w:sz w:val="32"/>
          <w:szCs w:val="32"/>
          <w:highlight w:val="none"/>
          <w:lang w:eastAsia="zh-CN"/>
        </w:rPr>
        <w:t>阿木乡下辖</w:t>
      </w: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lang w:eastAsia="zh-CN"/>
        </w:rPr>
        <w:t>个行政村（峨扎村、卡口村）</w:t>
      </w:r>
      <w:r>
        <w:rPr>
          <w:rFonts w:hint="eastAsia" w:ascii="仿宋" w:hAnsi="仿宋" w:eastAsia="仿宋" w:cs="仿宋"/>
          <w:color w:val="auto"/>
          <w:sz w:val="32"/>
          <w:szCs w:val="32"/>
          <w:highlight w:val="none"/>
          <w:lang w:val="en-US" w:eastAsia="zh-CN"/>
        </w:rPr>
        <w:t>18个村民小组（峨扎10个村民小组，卡口8个村民小组），8个联户（峨扎村4个联户，卡口村4个联户），共有721户3605人（卡口村353户1739人，峨扎村368户1866人）；脱贫户141户637人（卡口村74户333人、峨扎村67户304人）；监测户18户95人（卡口村户8户22人、峨扎村10户73人。</w:t>
      </w:r>
    </w:p>
    <w:p w14:paraId="6AAECA12">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下达预算及项目情况。</w:t>
      </w:r>
    </w:p>
    <w:p w14:paraId="13B850D8">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该项目下达预算资金30万元，</w:t>
      </w:r>
      <w:r>
        <w:rPr>
          <w:rFonts w:hint="eastAsia" w:ascii="仿宋_GB2312" w:hAnsi="仿宋_GB2312" w:eastAsia="仿宋_GB2312" w:cs="仿宋_GB2312"/>
          <w:sz w:val="32"/>
          <w:szCs w:val="32"/>
          <w:lang w:val="en-US" w:eastAsia="zh-CN"/>
        </w:rPr>
        <w:t>新建板涵桥2个，15万1个。预计资金30万元。</w:t>
      </w:r>
    </w:p>
    <w:p w14:paraId="5B9D1BB1">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项目绩效目标设定情况。</w:t>
      </w:r>
    </w:p>
    <w:p w14:paraId="15261A2B">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该项目签订合同时间为2025年8月15日，合同价28万元，主要建设内容为</w:t>
      </w:r>
      <w:r>
        <w:rPr>
          <w:rFonts w:hint="eastAsia" w:ascii="仿宋_GB2312" w:hAnsi="仿宋_GB2312" w:eastAsia="仿宋_GB2312" w:cs="仿宋_GB2312"/>
          <w:sz w:val="32"/>
          <w:szCs w:val="32"/>
          <w:lang w:val="en-US" w:eastAsia="zh-CN"/>
        </w:rPr>
        <w:t>新建板涵桥2个，15万1个。预计资金30万元。</w:t>
      </w:r>
    </w:p>
    <w:p w14:paraId="50A9DC3F">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二、绩效自评工作开展情况</w:t>
      </w:r>
    </w:p>
    <w:p w14:paraId="7E9F0B22">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该项目计划投资30万元，实际到位30万元，资金来源为:乡村振兴衔接资金，申报目标为</w:t>
      </w:r>
      <w:r>
        <w:rPr>
          <w:rFonts w:hint="eastAsia" w:ascii="仿宋_GB2312" w:hAnsi="仿宋_GB2312" w:eastAsia="仿宋_GB2312" w:cs="仿宋_GB2312"/>
          <w:sz w:val="32"/>
          <w:szCs w:val="32"/>
          <w:lang w:val="en-US" w:eastAsia="zh-CN"/>
        </w:rPr>
        <w:t>新建板涵桥2个，15万1个。预计资金30万元。</w:t>
      </w:r>
      <w:r>
        <w:rPr>
          <w:rFonts w:hint="eastAsia" w:ascii="仿宋" w:hAnsi="仿宋" w:eastAsia="仿宋" w:cs="仿宋"/>
          <w:color w:val="auto"/>
          <w:sz w:val="32"/>
          <w:szCs w:val="32"/>
          <w:highlight w:val="none"/>
          <w:lang w:val="en-US" w:eastAsia="zh-CN"/>
        </w:rPr>
        <w:t>截止目前已完成工程量100%，于2025年9月11日已完成验收100%，目前已完成资金拨付97%，剩余3%为质保金，质保期为1年，群众满意度达到100%。</w:t>
      </w:r>
    </w:p>
    <w:p w14:paraId="17A93C34">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三、绩效目标自评完成情况分析</w:t>
      </w:r>
      <w:r>
        <w:rPr>
          <w:rFonts w:hint="eastAsia" w:ascii="黑体" w:hAnsi="黑体" w:eastAsia="黑体" w:cs="黑体"/>
          <w:b w:val="0"/>
          <w:bCs w:val="0"/>
          <w:color w:val="000000"/>
          <w:sz w:val="32"/>
          <w:szCs w:val="32"/>
        </w:rPr>
        <w:tab/>
      </w:r>
    </w:p>
    <w:p w14:paraId="7A0128DA">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602" w:firstLineChars="200"/>
        <w:jc w:val="left"/>
        <w:textAlignment w:val="auto"/>
        <w:rPr>
          <w:rFonts w:ascii="楷体_GB2312" w:hAnsi="楷体_GB2312" w:eastAsia="楷体_GB2312" w:cs="楷体_GB2312"/>
          <w:b/>
          <w:color w:val="auto"/>
          <w:spacing w:val="0"/>
          <w:position w:val="0"/>
          <w:sz w:val="32"/>
          <w:shd w:val="clear" w:color="auto" w:fill="auto"/>
        </w:rPr>
      </w:pPr>
      <w:r>
        <w:rPr>
          <w:rFonts w:hint="eastAsia" w:ascii="宋体" w:hAnsi="宋体" w:eastAsia="宋体"/>
          <w:b/>
          <w:bCs/>
          <w:color w:val="000000"/>
          <w:sz w:val="30"/>
        </w:rPr>
        <w:t>（一）资金投入情况分析。</w:t>
      </w:r>
    </w:p>
    <w:p w14:paraId="4523EA7F">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kern w:val="2"/>
          <w:sz w:val="32"/>
          <w:szCs w:val="32"/>
          <w:highlight w:val="none"/>
          <w:lang w:val="en-US" w:eastAsia="zh-CN" w:bidi="ar-SA"/>
        </w:rPr>
        <w:t>阿木乡2025年生产性便道板涵桥建设项目</w:t>
      </w:r>
      <w:r>
        <w:rPr>
          <w:rFonts w:hint="eastAsia" w:ascii="仿宋" w:hAnsi="仿宋" w:eastAsia="仿宋" w:cs="仿宋"/>
          <w:color w:val="auto"/>
          <w:sz w:val="32"/>
          <w:szCs w:val="32"/>
          <w:highlight w:val="none"/>
          <w:lang w:val="en-US" w:eastAsia="zh-CN"/>
        </w:rPr>
        <w:t>。该项目良好完成计划目标，截止评价时已完成任务量100%，已拨付资金97%，资金到位情况及时，资金拨付情况合理，资金管理规范。</w:t>
      </w:r>
    </w:p>
    <w:p w14:paraId="108E6817">
      <w:pPr>
        <w:pStyle w:val="15"/>
        <w:keepNext w:val="0"/>
        <w:keepLines w:val="0"/>
        <w:pageBreakBefore w:val="0"/>
        <w:widowControl w:val="0"/>
        <w:numPr>
          <w:ilvl w:val="0"/>
          <w:numId w:val="4"/>
        </w:numPr>
        <w:kinsoku/>
        <w:overflowPunct/>
        <w:topLinePunct w:val="0"/>
        <w:autoSpaceDE/>
        <w:bidi w:val="0"/>
        <w:adjustRightInd/>
        <w:snapToGrid/>
        <w:spacing w:beforeAutospacing="0" w:after="120" w:afterAutospacing="0" w:line="240" w:lineRule="auto"/>
        <w:ind w:left="0" w:leftChars="0" w:right="0" w:firstLine="602" w:firstLineChars="200"/>
        <w:textAlignment w:val="auto"/>
        <w:rPr>
          <w:rFonts w:hint="eastAsia" w:ascii="宋体" w:hAnsi="宋体" w:eastAsia="宋体"/>
          <w:b/>
          <w:bCs/>
          <w:color w:val="000000"/>
          <w:sz w:val="30"/>
        </w:rPr>
      </w:pPr>
      <w:r>
        <w:rPr>
          <w:rFonts w:hint="eastAsia" w:ascii="宋体" w:hAnsi="宋体" w:eastAsia="宋体"/>
          <w:b/>
          <w:bCs/>
          <w:color w:val="000000"/>
          <w:sz w:val="30"/>
        </w:rPr>
        <w:t>绩效目标完成情况分析。</w:t>
      </w:r>
    </w:p>
    <w:p w14:paraId="1263BB86">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截止目前已完成工程量100%，于2025年9月11日已完成验收100%，已拨付资金97%，满意度达到100%。</w:t>
      </w:r>
    </w:p>
    <w:p w14:paraId="7161EA6A">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3" w:firstLineChars="200"/>
        <w:textAlignment w:val="auto"/>
        <w:rPr>
          <w:rFonts w:hint="eastAsia" w:ascii="仿宋_GB2312" w:hAnsi="仿宋" w:eastAsia="仿宋_GB2312"/>
          <w:spacing w:val="-10"/>
          <w:sz w:val="32"/>
          <w:szCs w:val="32"/>
          <w:lang w:val="en-US" w:eastAsia="zh-CN"/>
        </w:rPr>
      </w:pPr>
      <w:r>
        <w:rPr>
          <w:rFonts w:ascii="宋体" w:hAnsi="宋体" w:eastAsia="宋体" w:cs="宋体"/>
          <w:b/>
          <w:color w:val="auto"/>
          <w:spacing w:val="0"/>
          <w:position w:val="0"/>
          <w:sz w:val="32"/>
          <w:shd w:val="clear" w:color="auto" w:fill="auto"/>
        </w:rPr>
        <w:t>（</w:t>
      </w:r>
      <w:r>
        <w:rPr>
          <w:rFonts w:hint="eastAsia" w:ascii="宋体" w:hAnsi="宋体" w:eastAsia="宋体" w:cs="宋体"/>
          <w:b/>
          <w:color w:val="auto"/>
          <w:spacing w:val="0"/>
          <w:position w:val="0"/>
          <w:sz w:val="32"/>
          <w:shd w:val="clear" w:color="auto" w:fill="auto"/>
          <w:lang w:eastAsia="zh-CN"/>
        </w:rPr>
        <w:t>三</w:t>
      </w:r>
      <w:r>
        <w:rPr>
          <w:rFonts w:ascii="宋体" w:hAnsi="宋体" w:eastAsia="宋体" w:cs="宋体"/>
          <w:b/>
          <w:color w:val="auto"/>
          <w:spacing w:val="0"/>
          <w:position w:val="0"/>
          <w:sz w:val="32"/>
          <w:shd w:val="clear" w:color="auto" w:fill="auto"/>
        </w:rPr>
        <w:t>）项目效益情况</w:t>
      </w:r>
    </w:p>
    <w:p w14:paraId="05FD300D">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通过该项目的实施，解决远牧点群众出行困难问题，方便群众运送生活物资及畜产品提高生活质量。</w:t>
      </w:r>
    </w:p>
    <w:p w14:paraId="274D7220">
      <w:pPr>
        <w:keepNext w:val="0"/>
        <w:keepLines w:val="0"/>
        <w:pageBreakBefore w:val="0"/>
        <w:widowControl w:val="0"/>
        <w:numPr>
          <w:ilvl w:val="0"/>
          <w:numId w:val="5"/>
        </w:numPr>
        <w:kinsoku/>
        <w:overflowPunct/>
        <w:topLinePunct w:val="0"/>
        <w:autoSpaceDE/>
        <w:bidi w:val="0"/>
        <w:adjustRightInd/>
        <w:snapToGrid/>
        <w:spacing w:beforeAutospacing="0" w:after="120" w:afterAutospacing="0" w:line="240" w:lineRule="auto"/>
        <w:ind w:left="0" w:leftChars="0" w:right="0" w:firstLine="600" w:firstLineChars="200"/>
        <w:jc w:val="left"/>
        <w:textAlignment w:val="auto"/>
        <w:rPr>
          <w:rFonts w:hint="eastAsia" w:ascii="黑体" w:hAnsi="黑体" w:eastAsia="黑体" w:cs="黑体"/>
          <w:b w:val="0"/>
          <w:bCs w:val="0"/>
          <w:color w:val="000000"/>
          <w:sz w:val="30"/>
          <w:lang w:val="en-US" w:eastAsia="zh-CN"/>
        </w:rPr>
      </w:pPr>
      <w:r>
        <w:rPr>
          <w:rFonts w:hint="eastAsia" w:ascii="黑体" w:hAnsi="黑体" w:eastAsia="黑体" w:cs="黑体"/>
          <w:b w:val="0"/>
          <w:bCs w:val="0"/>
          <w:color w:val="000000"/>
          <w:sz w:val="30"/>
          <w:lang w:val="en-US" w:eastAsia="zh-CN"/>
        </w:rPr>
        <w:t>资产后续管护及运营情况</w:t>
      </w:r>
    </w:p>
    <w:p w14:paraId="39E9C2DE">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项目建设完成后将资产移交确权给相关村集体，建立该项后续管护机制，确保该项目稳定良好运行，为巩固拓展脱贫攻坚成果，全面实乡村振兴提供更好保障。</w:t>
      </w:r>
    </w:p>
    <w:p w14:paraId="3FA72EC9">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7C4AC359">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0B33D059">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7AF793E0">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12F05314">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32E46568">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1B595C0E">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5ED70B98">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lang w:eastAsia="zh-CN"/>
        </w:rPr>
        <w:t>阿木乡</w:t>
      </w:r>
      <w:r>
        <w:rPr>
          <w:rFonts w:hint="eastAsia" w:ascii="方正小标宋简体" w:hAnsi="Cambria" w:eastAsia="方正小标宋简体" w:cs="Times New Roman"/>
          <w:sz w:val="44"/>
          <w:szCs w:val="44"/>
          <w:lang w:val="en-US" w:eastAsia="zh-CN"/>
        </w:rPr>
        <w:t>2025年</w:t>
      </w:r>
      <w:r>
        <w:rPr>
          <w:rFonts w:hint="eastAsia" w:ascii="方正小标宋简体" w:hAnsi="Cambria" w:eastAsia="方正小标宋简体" w:cs="Times New Roman"/>
          <w:sz w:val="44"/>
          <w:szCs w:val="44"/>
        </w:rPr>
        <w:t>财政</w:t>
      </w:r>
      <w:r>
        <w:rPr>
          <w:rFonts w:hint="eastAsia" w:ascii="方正小标宋简体" w:hAnsi="Cambria" w:eastAsia="方正小标宋简体" w:cs="Times New Roman"/>
          <w:sz w:val="44"/>
          <w:szCs w:val="44"/>
          <w:lang w:eastAsia="zh-CN"/>
        </w:rPr>
        <w:t>衔接资金</w:t>
      </w:r>
      <w:r>
        <w:rPr>
          <w:rFonts w:hint="eastAsia" w:ascii="方正小标宋简体" w:hAnsi="Cambria" w:eastAsia="方正小标宋简体" w:cs="Times New Roman"/>
          <w:sz w:val="44"/>
          <w:szCs w:val="44"/>
        </w:rPr>
        <w:t>资金绩效</w:t>
      </w:r>
    </w:p>
    <w:p w14:paraId="7C3EA576">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rPr>
        <w:t>自评总结报告</w:t>
      </w:r>
    </w:p>
    <w:p w14:paraId="2501A642">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kern w:val="2"/>
          <w:sz w:val="32"/>
          <w:szCs w:val="32"/>
          <w:lang w:val="en-US" w:eastAsia="zh-CN" w:bidi="ar-SA"/>
        </w:rPr>
        <w:t>阿木乡2025年脱贫户（监测户）产业到户补助项目</w:t>
      </w:r>
      <w:r>
        <w:rPr>
          <w:rFonts w:hint="eastAsia" w:ascii="仿宋_GB2312" w:hAnsi="仿宋_GB2312" w:eastAsia="仿宋_GB2312" w:cs="仿宋_GB2312"/>
          <w:sz w:val="32"/>
          <w:szCs w:val="32"/>
          <w:lang w:val="en-US" w:eastAsia="zh-CN"/>
        </w:rPr>
        <w:t>)</w:t>
      </w:r>
    </w:p>
    <w:p w14:paraId="60E48AF3">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left"/>
        <w:textAlignment w:val="auto"/>
        <w:outlineLvl w:val="9"/>
        <w:rPr>
          <w:rFonts w:hint="eastAsia" w:ascii="仿宋_GB2312" w:hAnsi="仿宋_GB2312" w:eastAsia="仿宋_GB2312" w:cs="仿宋_GB2312"/>
          <w:sz w:val="32"/>
          <w:szCs w:val="32"/>
          <w:lang w:val="en-US" w:eastAsia="zh-CN"/>
        </w:rPr>
      </w:pPr>
    </w:p>
    <w:p w14:paraId="09F7ED23">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ascii="黑体" w:hAnsi="黑体" w:eastAsia="黑体" w:cs="黑体"/>
          <w:color w:val="auto"/>
          <w:spacing w:val="0"/>
          <w:position w:val="0"/>
          <w:sz w:val="32"/>
          <w:shd w:val="clear" w:color="auto" w:fill="auto"/>
        </w:rPr>
      </w:pPr>
      <w:r>
        <w:rPr>
          <w:rFonts w:ascii="黑体" w:hAnsi="黑体" w:eastAsia="黑体" w:cs="黑体"/>
          <w:color w:val="auto"/>
          <w:spacing w:val="0"/>
          <w:position w:val="0"/>
          <w:sz w:val="32"/>
          <w:shd w:val="clear" w:color="auto" w:fill="auto"/>
        </w:rPr>
        <w:t>一、项目概况</w:t>
      </w:r>
    </w:p>
    <w:p w14:paraId="2139DF21">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阿木乡位于红原中部偏</w:t>
      </w:r>
      <w:r>
        <w:rPr>
          <w:rFonts w:hint="eastAsia" w:ascii="仿宋" w:hAnsi="仿宋" w:eastAsia="仿宋" w:cs="仿宋"/>
          <w:color w:val="auto"/>
          <w:sz w:val="32"/>
          <w:szCs w:val="32"/>
          <w:highlight w:val="none"/>
          <w:lang w:eastAsia="zh-CN"/>
        </w:rPr>
        <w:t>西</w:t>
      </w:r>
      <w:r>
        <w:rPr>
          <w:rFonts w:hint="eastAsia" w:ascii="仿宋" w:hAnsi="仿宋" w:eastAsia="仿宋" w:cs="仿宋"/>
          <w:color w:val="auto"/>
          <w:sz w:val="32"/>
          <w:szCs w:val="32"/>
          <w:highlight w:val="none"/>
        </w:rPr>
        <w:t>北方，东与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"https://baike.baidu.com/item/%E6%9D%BE%E6%BD%98%E5%8E%BF/2123648"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松潘县</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lang w:eastAsia="zh-CN"/>
        </w:rPr>
        <w:t>毛尔盖镇</w:t>
      </w:r>
      <w:r>
        <w:rPr>
          <w:rFonts w:hint="eastAsia" w:ascii="仿宋" w:hAnsi="仿宋" w:eastAsia="仿宋" w:cs="仿宋"/>
          <w:color w:val="auto"/>
          <w:sz w:val="32"/>
          <w:szCs w:val="32"/>
          <w:highlight w:val="none"/>
        </w:rPr>
        <w:t>为邻，南连</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"https://baike.baidu.com/item/%E9%BE%99%E6%97%A5%E9%95%87/24221013"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龙日镇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，西邻</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"https://baike.baidu.com/item/%E9%82%9B%E6%BA%AA%E9%95%87/2893511"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邛溪镇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，北与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"https://baike.baidu.com/item/%E7%93%A6%E5%88%87%E9%95%87/8536052"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瓦切镇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、麦洼乡相连，东北与色地镇接壤</w:t>
      </w:r>
      <w:r>
        <w:rPr>
          <w:rFonts w:hint="eastAsia" w:ascii="仿宋" w:hAnsi="仿宋" w:eastAsia="仿宋" w:cs="仿宋"/>
          <w:color w:val="auto"/>
          <w:sz w:val="32"/>
          <w:szCs w:val="32"/>
          <w:highlight w:val="none"/>
          <w:lang w:eastAsia="zh-CN"/>
        </w:rPr>
        <w:t>，乡政</w:t>
      </w:r>
      <w:r>
        <w:rPr>
          <w:rFonts w:hint="eastAsia" w:ascii="仿宋" w:hAnsi="仿宋" w:eastAsia="仿宋" w:cs="仿宋"/>
          <w:color w:val="auto"/>
          <w:sz w:val="32"/>
          <w:szCs w:val="32"/>
          <w:highlight w:val="none"/>
        </w:rPr>
        <w:t>府所在地距红原县城18公里，紧邻</w:t>
      </w:r>
      <w:r>
        <w:rPr>
          <w:rFonts w:hint="eastAsia" w:ascii="仿宋" w:hAnsi="仿宋" w:eastAsia="仿宋" w:cs="仿宋"/>
          <w:color w:val="auto"/>
          <w:sz w:val="32"/>
          <w:szCs w:val="32"/>
          <w:highlight w:val="none"/>
          <w:lang w:eastAsia="zh-CN"/>
        </w:rPr>
        <w:t>国道</w:t>
      </w:r>
      <w:r>
        <w:rPr>
          <w:rFonts w:hint="eastAsia" w:ascii="仿宋" w:hAnsi="仿宋" w:eastAsia="仿宋" w:cs="仿宋"/>
          <w:color w:val="auto"/>
          <w:sz w:val="32"/>
          <w:szCs w:val="32"/>
          <w:highlight w:val="none"/>
          <w:lang w:val="en-US" w:eastAsia="zh-CN"/>
        </w:rPr>
        <w:t>248</w:t>
      </w:r>
      <w:r>
        <w:rPr>
          <w:rFonts w:hint="eastAsia" w:ascii="仿宋" w:hAnsi="仿宋" w:eastAsia="仿宋" w:cs="仿宋"/>
          <w:color w:val="auto"/>
          <w:sz w:val="32"/>
          <w:szCs w:val="32"/>
          <w:highlight w:val="none"/>
        </w:rPr>
        <w:t>线，地形</w:t>
      </w:r>
      <w:r>
        <w:rPr>
          <w:rFonts w:hint="eastAsia" w:ascii="仿宋" w:hAnsi="仿宋" w:eastAsia="仿宋" w:cs="仿宋"/>
          <w:color w:val="auto"/>
          <w:sz w:val="32"/>
          <w:szCs w:val="32"/>
          <w:highlight w:val="none"/>
          <w:lang w:val="en-US" w:eastAsia="zh-CN"/>
        </w:rPr>
        <w:t>具有</w:t>
      </w:r>
      <w:r>
        <w:rPr>
          <w:rFonts w:hint="eastAsia" w:ascii="仿宋" w:hAnsi="仿宋" w:eastAsia="仿宋" w:cs="仿宋"/>
          <w:color w:val="auto"/>
          <w:sz w:val="32"/>
          <w:szCs w:val="32"/>
          <w:highlight w:val="none"/>
        </w:rPr>
        <w:t>高山草甸特征</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平均海拔</w:t>
      </w:r>
      <w:r>
        <w:rPr>
          <w:rFonts w:hint="eastAsia" w:ascii="仿宋" w:hAnsi="仿宋" w:eastAsia="仿宋" w:cs="仿宋"/>
          <w:color w:val="auto"/>
          <w:sz w:val="32"/>
          <w:szCs w:val="32"/>
          <w:highlight w:val="none"/>
          <w:lang w:val="en-US" w:eastAsia="zh-CN"/>
        </w:rPr>
        <w:t>3600</w:t>
      </w:r>
      <w:r>
        <w:rPr>
          <w:rFonts w:hint="eastAsia" w:ascii="仿宋" w:hAnsi="仿宋" w:eastAsia="仿宋" w:cs="仿宋"/>
          <w:color w:val="auto"/>
          <w:sz w:val="32"/>
          <w:szCs w:val="32"/>
          <w:highlight w:val="none"/>
        </w:rPr>
        <w:t>米，年平均气温1.</w:t>
      </w: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rPr>
        <w:t>℃，极端最低气温</w:t>
      </w:r>
      <w:r>
        <w:rPr>
          <w:rFonts w:hint="eastAsia" w:ascii="仿宋" w:hAnsi="仿宋" w:eastAsia="仿宋" w:cs="仿宋"/>
          <w:color w:val="auto"/>
          <w:sz w:val="32"/>
          <w:szCs w:val="32"/>
          <w:highlight w:val="none"/>
          <w:lang w:val="en-US" w:eastAsia="zh-CN"/>
        </w:rPr>
        <w:t>-</w:t>
      </w:r>
      <w:r>
        <w:rPr>
          <w:rFonts w:hint="eastAsia" w:ascii="仿宋" w:hAnsi="仿宋" w:eastAsia="仿宋" w:cs="仿宋"/>
          <w:color w:val="auto"/>
          <w:sz w:val="32"/>
          <w:szCs w:val="32"/>
          <w:highlight w:val="none"/>
        </w:rPr>
        <w:t>36.2℃，极端</w:t>
      </w:r>
      <w:r>
        <w:rPr>
          <w:rFonts w:hint="eastAsia" w:ascii="仿宋" w:hAnsi="仿宋" w:eastAsia="仿宋" w:cs="仿宋"/>
          <w:b w:val="0"/>
          <w:bCs w:val="0"/>
          <w:color w:val="auto"/>
          <w:sz w:val="32"/>
          <w:szCs w:val="32"/>
          <w:highlight w:val="none"/>
          <w:lang w:val="en-US" w:eastAsia="zh-CN"/>
        </w:rPr>
        <w:t>最高</w:t>
      </w:r>
      <w:r>
        <w:rPr>
          <w:rFonts w:hint="eastAsia" w:ascii="仿宋" w:hAnsi="仿宋" w:eastAsia="仿宋" w:cs="仿宋"/>
          <w:color w:val="auto"/>
          <w:sz w:val="32"/>
          <w:szCs w:val="32"/>
          <w:highlight w:val="none"/>
        </w:rPr>
        <w:t>气温25.6℃</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年降雨量为753毫米</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属安多藏族聚居</w:t>
      </w:r>
      <w:r>
        <w:rPr>
          <w:rFonts w:hint="eastAsia" w:ascii="仿宋" w:hAnsi="仿宋" w:eastAsia="仿宋" w:cs="仿宋"/>
          <w:color w:val="auto"/>
          <w:sz w:val="32"/>
          <w:szCs w:val="32"/>
          <w:highlight w:val="none"/>
          <w:lang w:eastAsia="zh-CN"/>
        </w:rPr>
        <w:t>的</w:t>
      </w:r>
      <w:r>
        <w:rPr>
          <w:rFonts w:hint="eastAsia" w:ascii="仿宋" w:hAnsi="仿宋" w:eastAsia="仿宋" w:cs="仿宋"/>
          <w:color w:val="auto"/>
          <w:sz w:val="32"/>
          <w:szCs w:val="32"/>
          <w:highlight w:val="none"/>
        </w:rPr>
        <w:t>高原</w:t>
      </w:r>
      <w:r>
        <w:rPr>
          <w:rFonts w:hint="eastAsia" w:ascii="仿宋" w:hAnsi="仿宋" w:eastAsia="仿宋" w:cs="仿宋"/>
          <w:color w:val="auto"/>
          <w:sz w:val="32"/>
          <w:szCs w:val="32"/>
          <w:highlight w:val="none"/>
          <w:lang w:val="en-US" w:eastAsia="zh-CN"/>
        </w:rPr>
        <w:t>纯</w:t>
      </w:r>
      <w:r>
        <w:rPr>
          <w:rFonts w:hint="eastAsia" w:ascii="仿宋" w:hAnsi="仿宋" w:eastAsia="仿宋" w:cs="仿宋"/>
          <w:color w:val="auto"/>
          <w:sz w:val="32"/>
          <w:szCs w:val="32"/>
          <w:highlight w:val="none"/>
        </w:rPr>
        <w:t>牧业乡，</w:t>
      </w:r>
      <w:r>
        <w:rPr>
          <w:rFonts w:hint="eastAsia" w:ascii="仿宋" w:hAnsi="仿宋" w:eastAsia="仿宋" w:cs="仿宋"/>
          <w:color w:val="auto"/>
          <w:sz w:val="32"/>
          <w:szCs w:val="32"/>
          <w:highlight w:val="none"/>
          <w:lang w:eastAsia="zh-CN"/>
        </w:rPr>
        <w:t>幅员</w:t>
      </w:r>
      <w:r>
        <w:rPr>
          <w:rFonts w:hint="eastAsia" w:ascii="仿宋" w:hAnsi="仿宋" w:eastAsia="仿宋" w:cs="仿宋"/>
          <w:color w:val="auto"/>
          <w:sz w:val="32"/>
          <w:szCs w:val="32"/>
          <w:highlight w:val="none"/>
        </w:rPr>
        <w:t>面</w:t>
      </w:r>
      <w:r>
        <w:rPr>
          <w:rFonts w:hint="eastAsia" w:ascii="仿宋" w:hAnsi="仿宋" w:eastAsia="仿宋" w:cs="仿宋"/>
          <w:color w:val="auto"/>
          <w:sz w:val="32"/>
          <w:szCs w:val="32"/>
          <w:highlight w:val="none"/>
          <w:lang w:eastAsia="zh-CN"/>
        </w:rPr>
        <w:t>积</w:t>
      </w:r>
      <w:r>
        <w:rPr>
          <w:rFonts w:hint="eastAsia" w:ascii="仿宋" w:hAnsi="仿宋" w:eastAsia="仿宋" w:cs="仿宋"/>
          <w:color w:val="auto"/>
          <w:sz w:val="32"/>
          <w:szCs w:val="32"/>
          <w:highlight w:val="none"/>
          <w:lang w:val="en-US" w:eastAsia="zh-CN"/>
        </w:rPr>
        <w:t>905平方千米（135.8万亩）。</w:t>
      </w:r>
      <w:r>
        <w:rPr>
          <w:rFonts w:hint="eastAsia" w:ascii="仿宋" w:hAnsi="仿宋" w:eastAsia="仿宋" w:cs="仿宋"/>
          <w:color w:val="auto"/>
          <w:sz w:val="32"/>
          <w:szCs w:val="32"/>
          <w:highlight w:val="none"/>
          <w:lang w:eastAsia="zh-CN"/>
        </w:rPr>
        <w:t>阿木乡下辖</w:t>
      </w: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lang w:eastAsia="zh-CN"/>
        </w:rPr>
        <w:t>个行政村（峨扎村、卡口村）</w:t>
      </w:r>
      <w:r>
        <w:rPr>
          <w:rFonts w:hint="eastAsia" w:ascii="仿宋" w:hAnsi="仿宋" w:eastAsia="仿宋" w:cs="仿宋"/>
          <w:color w:val="auto"/>
          <w:sz w:val="32"/>
          <w:szCs w:val="32"/>
          <w:highlight w:val="none"/>
          <w:lang w:val="en-US" w:eastAsia="zh-CN"/>
        </w:rPr>
        <w:t>18个村民小组（峨扎10个村民小组，卡口8个村民小组），8个联户（峨扎村4个联户，卡口村4个联户），共有721户3605人（卡口村353户1739人，峨扎村368户1866人）；脱贫户141户637人（卡口村74户333人、峨扎村67户304人）；监测户18户95人（卡口村户8户22人、峨扎村10户73人。</w:t>
      </w:r>
    </w:p>
    <w:p w14:paraId="144E1B72">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下达预算及项目情况。</w:t>
      </w:r>
    </w:p>
    <w:p w14:paraId="2EBFCFED">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仿宋" w:hAnsi="仿宋" w:eastAsia="仿宋" w:cs="仿宋"/>
          <w:color w:val="auto"/>
          <w:sz w:val="32"/>
          <w:szCs w:val="32"/>
          <w:highlight w:val="none"/>
          <w:lang w:val="en-US" w:eastAsia="zh-CN"/>
        </w:rPr>
        <w:t>该项目下达预算资金134.4万元，</w:t>
      </w:r>
      <w:r>
        <w:rPr>
          <w:rFonts w:hint="eastAsia" w:ascii="仿宋_GB2312" w:hAnsi="仿宋_GB2312" w:eastAsia="仿宋_GB2312" w:cs="仿宋_GB2312"/>
          <w:sz w:val="32"/>
          <w:szCs w:val="32"/>
          <w:lang w:val="en-US" w:eastAsia="zh-CN"/>
        </w:rPr>
        <w:t>对全乡有意愿有能力发展特色产业的脱贫户141户、监测户18户予以补助，脱贫户8000元/户，监测户12000元/户。可用于麦洼牦牛采购、饲草料采购、网围栏采购、农机购置等产业发展生产资料，项目总投资134.4万元。</w:t>
      </w:r>
    </w:p>
    <w:p w14:paraId="14BB1A23">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项目绩效目标设定情况。</w:t>
      </w:r>
    </w:p>
    <w:p w14:paraId="1FF809E0">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该项目为以奖待补项目，主要建设内容为</w:t>
      </w:r>
      <w:r>
        <w:rPr>
          <w:rFonts w:hint="eastAsia" w:ascii="仿宋_GB2312" w:hAnsi="仿宋_GB2312" w:eastAsia="仿宋_GB2312" w:cs="仿宋_GB2312"/>
          <w:sz w:val="32"/>
          <w:szCs w:val="32"/>
          <w:lang w:val="en-US" w:eastAsia="zh-CN"/>
        </w:rPr>
        <w:t>对全乡有意愿有能力发展特色产业的脱贫户141户、监测户18户予以补助，脱贫户8000元/户，监测户12000元/户。可用于麦洼牦牛采购、饲草料采购、网围栏采购、农机购置等产业发展生产资料，项目总投资134.4万元。</w:t>
      </w:r>
    </w:p>
    <w:p w14:paraId="4943E629">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二、绩效自评工作开展情况</w:t>
      </w:r>
    </w:p>
    <w:p w14:paraId="1E884943">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该项目计划投资134.4万元，实际到位134.4万元，资金来源为:乡村振兴衔接资金，申报目标为</w:t>
      </w:r>
      <w:r>
        <w:rPr>
          <w:rFonts w:hint="eastAsia" w:ascii="仿宋_GB2312" w:hAnsi="仿宋_GB2312" w:eastAsia="仿宋_GB2312" w:cs="仿宋_GB2312"/>
          <w:sz w:val="32"/>
          <w:szCs w:val="32"/>
          <w:lang w:val="en-US" w:eastAsia="zh-CN"/>
        </w:rPr>
        <w:t>对全乡有意愿有能力发展特色产业的脱贫户141户、监测户18户予以补助，脱贫户8000元/户，监测户12000元/户。可用于麦洼牦牛采购、饲草料采购、网围栏采购、农机购置等产业发展生产资料，项目总投资134.4万元。</w:t>
      </w:r>
      <w:r>
        <w:rPr>
          <w:rFonts w:hint="eastAsia" w:ascii="仿宋" w:hAnsi="仿宋" w:eastAsia="仿宋" w:cs="仿宋"/>
          <w:color w:val="auto"/>
          <w:sz w:val="32"/>
          <w:szCs w:val="32"/>
          <w:highlight w:val="none"/>
          <w:lang w:val="en-US" w:eastAsia="zh-CN"/>
        </w:rPr>
        <w:t>截止目前已完成工程量100%，于2025年9月29日已完成验收100%，目前已完成资金拨付100%，群众满意度达到100%。</w:t>
      </w:r>
    </w:p>
    <w:p w14:paraId="61530F79">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三、绩效目标自评完成情况分析</w:t>
      </w:r>
      <w:r>
        <w:rPr>
          <w:rFonts w:hint="eastAsia" w:ascii="黑体" w:hAnsi="黑体" w:eastAsia="黑体" w:cs="黑体"/>
          <w:b w:val="0"/>
          <w:bCs w:val="0"/>
          <w:color w:val="000000"/>
          <w:sz w:val="32"/>
          <w:szCs w:val="32"/>
        </w:rPr>
        <w:tab/>
      </w:r>
    </w:p>
    <w:p w14:paraId="748E4012">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602" w:firstLineChars="200"/>
        <w:jc w:val="left"/>
        <w:textAlignment w:val="auto"/>
        <w:rPr>
          <w:rFonts w:ascii="楷体_GB2312" w:hAnsi="楷体_GB2312" w:eastAsia="楷体_GB2312" w:cs="楷体_GB2312"/>
          <w:b/>
          <w:color w:val="auto"/>
          <w:spacing w:val="0"/>
          <w:position w:val="0"/>
          <w:sz w:val="32"/>
          <w:shd w:val="clear" w:color="auto" w:fill="auto"/>
        </w:rPr>
      </w:pPr>
      <w:r>
        <w:rPr>
          <w:rFonts w:hint="eastAsia" w:ascii="宋体" w:hAnsi="宋体" w:eastAsia="宋体"/>
          <w:b/>
          <w:bCs/>
          <w:color w:val="000000"/>
          <w:sz w:val="30"/>
        </w:rPr>
        <w:t>（一）资金投入情况分析。</w:t>
      </w:r>
    </w:p>
    <w:p w14:paraId="1132A3FF">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kern w:val="2"/>
          <w:sz w:val="32"/>
          <w:szCs w:val="32"/>
          <w:highlight w:val="none"/>
          <w:lang w:val="en-US" w:eastAsia="zh-CN" w:bidi="ar-SA"/>
        </w:rPr>
        <w:t>阿木乡2025年脱贫户（监测户）产业到户补助项目</w:t>
      </w:r>
      <w:r>
        <w:rPr>
          <w:rFonts w:hint="eastAsia" w:ascii="仿宋" w:hAnsi="仿宋" w:eastAsia="仿宋" w:cs="仿宋"/>
          <w:color w:val="auto"/>
          <w:sz w:val="32"/>
          <w:szCs w:val="32"/>
          <w:highlight w:val="none"/>
          <w:lang w:val="en-US" w:eastAsia="zh-CN"/>
        </w:rPr>
        <w:t>。该项目良好完成计划目标，截止评价时已完成任务量100%，已拨付资金100%，资金到位情况及时，资金拨付情况合理，资金管理规范。</w:t>
      </w:r>
    </w:p>
    <w:p w14:paraId="484BFAB2">
      <w:pPr>
        <w:pStyle w:val="15"/>
        <w:keepNext w:val="0"/>
        <w:keepLines w:val="0"/>
        <w:pageBreakBefore w:val="0"/>
        <w:widowControl w:val="0"/>
        <w:numPr>
          <w:ilvl w:val="0"/>
          <w:numId w:val="4"/>
        </w:numPr>
        <w:kinsoku/>
        <w:overflowPunct/>
        <w:topLinePunct w:val="0"/>
        <w:autoSpaceDE/>
        <w:bidi w:val="0"/>
        <w:adjustRightInd/>
        <w:snapToGrid/>
        <w:spacing w:beforeAutospacing="0" w:after="120" w:afterAutospacing="0" w:line="240" w:lineRule="auto"/>
        <w:ind w:left="0" w:leftChars="0" w:right="0" w:firstLine="602" w:firstLineChars="200"/>
        <w:textAlignment w:val="auto"/>
        <w:rPr>
          <w:rFonts w:hint="eastAsia" w:ascii="宋体" w:hAnsi="宋体" w:eastAsia="宋体"/>
          <w:b/>
          <w:bCs/>
          <w:color w:val="000000"/>
          <w:sz w:val="30"/>
        </w:rPr>
      </w:pPr>
      <w:r>
        <w:rPr>
          <w:rFonts w:hint="eastAsia" w:ascii="宋体" w:hAnsi="宋体" w:eastAsia="宋体"/>
          <w:b/>
          <w:bCs/>
          <w:color w:val="000000"/>
          <w:sz w:val="30"/>
        </w:rPr>
        <w:t>绩效目标完成情况分析。</w:t>
      </w:r>
    </w:p>
    <w:p w14:paraId="63545E01">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截止目前已完成工程量100%，于2025年9月29日已完成验收100%，已拨付资金100%，满意度达到100%。</w:t>
      </w:r>
    </w:p>
    <w:p w14:paraId="60623ADF">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3" w:firstLineChars="200"/>
        <w:textAlignment w:val="auto"/>
        <w:rPr>
          <w:rFonts w:hint="eastAsia" w:ascii="仿宋_GB2312" w:hAnsi="仿宋" w:eastAsia="仿宋_GB2312"/>
          <w:spacing w:val="-10"/>
          <w:sz w:val="32"/>
          <w:szCs w:val="32"/>
          <w:lang w:val="en-US" w:eastAsia="zh-CN"/>
        </w:rPr>
      </w:pPr>
      <w:r>
        <w:rPr>
          <w:rFonts w:ascii="宋体" w:hAnsi="宋体" w:eastAsia="宋体" w:cs="宋体"/>
          <w:b/>
          <w:color w:val="auto"/>
          <w:spacing w:val="0"/>
          <w:position w:val="0"/>
          <w:sz w:val="32"/>
          <w:shd w:val="clear" w:color="auto" w:fill="auto"/>
        </w:rPr>
        <w:t>（</w:t>
      </w:r>
      <w:r>
        <w:rPr>
          <w:rFonts w:hint="eastAsia" w:ascii="宋体" w:hAnsi="宋体" w:eastAsia="宋体" w:cs="宋体"/>
          <w:b/>
          <w:color w:val="auto"/>
          <w:spacing w:val="0"/>
          <w:position w:val="0"/>
          <w:sz w:val="32"/>
          <w:shd w:val="clear" w:color="auto" w:fill="auto"/>
          <w:lang w:eastAsia="zh-CN"/>
        </w:rPr>
        <w:t>三</w:t>
      </w:r>
      <w:r>
        <w:rPr>
          <w:rFonts w:ascii="宋体" w:hAnsi="宋体" w:eastAsia="宋体" w:cs="宋体"/>
          <w:b/>
          <w:color w:val="auto"/>
          <w:spacing w:val="0"/>
          <w:position w:val="0"/>
          <w:sz w:val="32"/>
          <w:shd w:val="clear" w:color="auto" w:fill="auto"/>
        </w:rPr>
        <w:t>）项目效益情况</w:t>
      </w:r>
    </w:p>
    <w:p w14:paraId="576F0E49">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通过该项目的实施，带动脱贫户、监测户发展产业，稳定增收。用于麦洼牦牛采购、网围栏采购、饲草料采购、农机购置等产业发展生产资料。以实际补助的脱贫户、监测户为准。资产由受益农户自行管理。</w:t>
      </w:r>
    </w:p>
    <w:p w14:paraId="1A7903C5">
      <w:pPr>
        <w:keepNext w:val="0"/>
        <w:keepLines w:val="0"/>
        <w:pageBreakBefore w:val="0"/>
        <w:widowControl w:val="0"/>
        <w:numPr>
          <w:ilvl w:val="0"/>
          <w:numId w:val="5"/>
        </w:numPr>
        <w:kinsoku/>
        <w:overflowPunct/>
        <w:topLinePunct w:val="0"/>
        <w:autoSpaceDE/>
        <w:bidi w:val="0"/>
        <w:adjustRightInd/>
        <w:snapToGrid/>
        <w:spacing w:beforeAutospacing="0" w:after="120" w:afterAutospacing="0" w:line="240" w:lineRule="auto"/>
        <w:ind w:left="0" w:leftChars="0" w:right="0" w:firstLine="600" w:firstLineChars="200"/>
        <w:jc w:val="left"/>
        <w:textAlignment w:val="auto"/>
        <w:rPr>
          <w:rFonts w:hint="eastAsia" w:ascii="黑体" w:hAnsi="黑体" w:eastAsia="黑体" w:cs="黑体"/>
          <w:b w:val="0"/>
          <w:bCs w:val="0"/>
          <w:color w:val="000000"/>
          <w:sz w:val="30"/>
          <w:lang w:val="en-US" w:eastAsia="zh-CN"/>
        </w:rPr>
      </w:pPr>
      <w:r>
        <w:rPr>
          <w:rFonts w:hint="eastAsia" w:ascii="黑体" w:hAnsi="黑体" w:eastAsia="黑体" w:cs="黑体"/>
          <w:b w:val="0"/>
          <w:bCs w:val="0"/>
          <w:color w:val="000000"/>
          <w:sz w:val="30"/>
          <w:lang w:val="en-US" w:eastAsia="zh-CN"/>
        </w:rPr>
        <w:t>资产后续管护及运营情况</w:t>
      </w:r>
    </w:p>
    <w:p w14:paraId="05A75E2B">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建立该项后续管护机制，确保该项目稳定良好运行，为巩固拓展脱贫攻坚成果，全面实乡村振兴提供更好保障。</w:t>
      </w:r>
    </w:p>
    <w:p w14:paraId="516A6EAD">
      <w:pPr>
        <w:keepNext w:val="0"/>
        <w:keepLines w:val="0"/>
        <w:pageBreakBefore w:val="0"/>
        <w:widowControl w:val="0"/>
        <w:kinsoku/>
        <w:overflowPunct/>
        <w:topLinePunct w:val="0"/>
        <w:autoSpaceDE/>
        <w:bidi w:val="0"/>
        <w:adjustRightInd/>
        <w:snapToGrid/>
        <w:spacing w:beforeAutospacing="0" w:after="120" w:afterAutospacing="0" w:line="240" w:lineRule="auto"/>
        <w:ind w:right="0"/>
        <w:jc w:val="both"/>
        <w:textAlignment w:val="auto"/>
        <w:rPr>
          <w:rFonts w:hint="eastAsia" w:ascii="方正小标宋简体" w:hAnsi="Cambria" w:eastAsia="方正小标宋简体" w:cs="Times New Roman"/>
          <w:sz w:val="44"/>
          <w:szCs w:val="44"/>
          <w:lang w:eastAsia="zh-CN"/>
        </w:rPr>
      </w:pPr>
    </w:p>
    <w:p w14:paraId="42CC0F66">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lang w:eastAsia="zh-CN"/>
        </w:rPr>
        <w:t>阿木乡</w:t>
      </w:r>
      <w:r>
        <w:rPr>
          <w:rFonts w:hint="eastAsia" w:ascii="方正小标宋简体" w:hAnsi="Cambria" w:eastAsia="方正小标宋简体" w:cs="Times New Roman"/>
          <w:sz w:val="44"/>
          <w:szCs w:val="44"/>
          <w:lang w:val="en-US" w:eastAsia="zh-CN"/>
        </w:rPr>
        <w:t>2025年</w:t>
      </w:r>
      <w:r>
        <w:rPr>
          <w:rFonts w:hint="eastAsia" w:ascii="方正小标宋简体" w:hAnsi="Cambria" w:eastAsia="方正小标宋简体" w:cs="Times New Roman"/>
          <w:sz w:val="44"/>
          <w:szCs w:val="44"/>
        </w:rPr>
        <w:t>财政</w:t>
      </w:r>
      <w:r>
        <w:rPr>
          <w:rFonts w:hint="eastAsia" w:ascii="方正小标宋简体" w:hAnsi="Cambria" w:eastAsia="方正小标宋简体" w:cs="Times New Roman"/>
          <w:sz w:val="44"/>
          <w:szCs w:val="44"/>
          <w:lang w:eastAsia="zh-CN"/>
        </w:rPr>
        <w:t>衔接资金</w:t>
      </w:r>
      <w:r>
        <w:rPr>
          <w:rFonts w:hint="eastAsia" w:ascii="方正小标宋简体" w:hAnsi="Cambria" w:eastAsia="方正小标宋简体" w:cs="Times New Roman"/>
          <w:sz w:val="44"/>
          <w:szCs w:val="44"/>
        </w:rPr>
        <w:t>资金绩效</w:t>
      </w:r>
    </w:p>
    <w:p w14:paraId="606DBC36">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rPr>
        <w:t>自评总结报告</w:t>
      </w:r>
    </w:p>
    <w:p w14:paraId="6FB1E0F0">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kern w:val="2"/>
          <w:sz w:val="32"/>
          <w:szCs w:val="32"/>
          <w:lang w:val="en-US" w:eastAsia="zh-CN" w:bidi="ar-SA"/>
        </w:rPr>
        <w:t>红原县阿木乡2025年村道提升改造项目</w:t>
      </w:r>
      <w:r>
        <w:rPr>
          <w:rFonts w:hint="eastAsia" w:ascii="仿宋_GB2312" w:hAnsi="仿宋_GB2312" w:eastAsia="仿宋_GB2312" w:cs="仿宋_GB2312"/>
          <w:sz w:val="32"/>
          <w:szCs w:val="32"/>
          <w:lang w:val="en-US" w:eastAsia="zh-CN"/>
        </w:rPr>
        <w:t>)</w:t>
      </w:r>
    </w:p>
    <w:p w14:paraId="0B82C7A0">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left"/>
        <w:textAlignment w:val="auto"/>
        <w:outlineLvl w:val="9"/>
        <w:rPr>
          <w:rFonts w:hint="eastAsia" w:ascii="仿宋_GB2312" w:hAnsi="仿宋_GB2312" w:eastAsia="仿宋_GB2312" w:cs="仿宋_GB2312"/>
          <w:sz w:val="32"/>
          <w:szCs w:val="32"/>
          <w:lang w:val="en-US" w:eastAsia="zh-CN"/>
        </w:rPr>
      </w:pPr>
    </w:p>
    <w:p w14:paraId="5AE04E1B">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ascii="黑体" w:hAnsi="黑体" w:eastAsia="黑体" w:cs="黑体"/>
          <w:color w:val="auto"/>
          <w:spacing w:val="0"/>
          <w:position w:val="0"/>
          <w:sz w:val="32"/>
          <w:shd w:val="clear" w:color="auto" w:fill="auto"/>
        </w:rPr>
      </w:pPr>
      <w:r>
        <w:rPr>
          <w:rFonts w:ascii="黑体" w:hAnsi="黑体" w:eastAsia="黑体" w:cs="黑体"/>
          <w:color w:val="auto"/>
          <w:spacing w:val="0"/>
          <w:position w:val="0"/>
          <w:sz w:val="32"/>
          <w:shd w:val="clear" w:color="auto" w:fill="auto"/>
        </w:rPr>
        <w:t>一、项目概况</w:t>
      </w:r>
    </w:p>
    <w:p w14:paraId="4552CB12">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阿木乡位于红原中部偏</w:t>
      </w:r>
      <w:r>
        <w:rPr>
          <w:rFonts w:hint="eastAsia" w:ascii="仿宋" w:hAnsi="仿宋" w:eastAsia="仿宋" w:cs="仿宋"/>
          <w:color w:val="auto"/>
          <w:sz w:val="32"/>
          <w:szCs w:val="32"/>
          <w:highlight w:val="none"/>
          <w:lang w:eastAsia="zh-CN"/>
        </w:rPr>
        <w:t>西</w:t>
      </w:r>
      <w:r>
        <w:rPr>
          <w:rFonts w:hint="eastAsia" w:ascii="仿宋" w:hAnsi="仿宋" w:eastAsia="仿宋" w:cs="仿宋"/>
          <w:color w:val="auto"/>
          <w:sz w:val="32"/>
          <w:szCs w:val="32"/>
          <w:highlight w:val="none"/>
        </w:rPr>
        <w:t>北方，东与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"https://baike.baidu.com/item/%E6%9D%BE%E6%BD%98%E5%8E%BF/2123648"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松潘县</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lang w:eastAsia="zh-CN"/>
        </w:rPr>
        <w:t>毛尔盖镇</w:t>
      </w:r>
      <w:r>
        <w:rPr>
          <w:rFonts w:hint="eastAsia" w:ascii="仿宋" w:hAnsi="仿宋" w:eastAsia="仿宋" w:cs="仿宋"/>
          <w:color w:val="auto"/>
          <w:sz w:val="32"/>
          <w:szCs w:val="32"/>
          <w:highlight w:val="none"/>
        </w:rPr>
        <w:t>为邻，南连</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"https://baike.baidu.com/item/%E9%BE%99%E6%97%A5%E9%95%87/24221013"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龙日镇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，西邻</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"https://baike.baidu.com/item/%E9%82%9B%E6%BA%AA%E9%95%87/2893511"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邛溪镇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，北与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"https://baike.baidu.com/item/%E7%93%A6%E5%88%87%E9%95%87/8536052"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瓦切镇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、麦洼乡相连，东北与色地镇接壤</w:t>
      </w:r>
      <w:r>
        <w:rPr>
          <w:rFonts w:hint="eastAsia" w:ascii="仿宋" w:hAnsi="仿宋" w:eastAsia="仿宋" w:cs="仿宋"/>
          <w:color w:val="auto"/>
          <w:sz w:val="32"/>
          <w:szCs w:val="32"/>
          <w:highlight w:val="none"/>
          <w:lang w:eastAsia="zh-CN"/>
        </w:rPr>
        <w:t>，乡政</w:t>
      </w:r>
      <w:r>
        <w:rPr>
          <w:rFonts w:hint="eastAsia" w:ascii="仿宋" w:hAnsi="仿宋" w:eastAsia="仿宋" w:cs="仿宋"/>
          <w:color w:val="auto"/>
          <w:sz w:val="32"/>
          <w:szCs w:val="32"/>
          <w:highlight w:val="none"/>
        </w:rPr>
        <w:t>府所在地距红原县城18公里，紧邻</w:t>
      </w:r>
      <w:r>
        <w:rPr>
          <w:rFonts w:hint="eastAsia" w:ascii="仿宋" w:hAnsi="仿宋" w:eastAsia="仿宋" w:cs="仿宋"/>
          <w:color w:val="auto"/>
          <w:sz w:val="32"/>
          <w:szCs w:val="32"/>
          <w:highlight w:val="none"/>
          <w:lang w:eastAsia="zh-CN"/>
        </w:rPr>
        <w:t>国道</w:t>
      </w:r>
      <w:r>
        <w:rPr>
          <w:rFonts w:hint="eastAsia" w:ascii="仿宋" w:hAnsi="仿宋" w:eastAsia="仿宋" w:cs="仿宋"/>
          <w:color w:val="auto"/>
          <w:sz w:val="32"/>
          <w:szCs w:val="32"/>
          <w:highlight w:val="none"/>
          <w:lang w:val="en-US" w:eastAsia="zh-CN"/>
        </w:rPr>
        <w:t>248</w:t>
      </w:r>
      <w:r>
        <w:rPr>
          <w:rFonts w:hint="eastAsia" w:ascii="仿宋" w:hAnsi="仿宋" w:eastAsia="仿宋" w:cs="仿宋"/>
          <w:color w:val="auto"/>
          <w:sz w:val="32"/>
          <w:szCs w:val="32"/>
          <w:highlight w:val="none"/>
        </w:rPr>
        <w:t>线，地形</w:t>
      </w:r>
      <w:r>
        <w:rPr>
          <w:rFonts w:hint="eastAsia" w:ascii="仿宋" w:hAnsi="仿宋" w:eastAsia="仿宋" w:cs="仿宋"/>
          <w:color w:val="auto"/>
          <w:sz w:val="32"/>
          <w:szCs w:val="32"/>
          <w:highlight w:val="none"/>
          <w:lang w:val="en-US" w:eastAsia="zh-CN"/>
        </w:rPr>
        <w:t>具有</w:t>
      </w:r>
      <w:r>
        <w:rPr>
          <w:rFonts w:hint="eastAsia" w:ascii="仿宋" w:hAnsi="仿宋" w:eastAsia="仿宋" w:cs="仿宋"/>
          <w:color w:val="auto"/>
          <w:sz w:val="32"/>
          <w:szCs w:val="32"/>
          <w:highlight w:val="none"/>
        </w:rPr>
        <w:t>高山草甸特征</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平均海拔</w:t>
      </w:r>
      <w:r>
        <w:rPr>
          <w:rFonts w:hint="eastAsia" w:ascii="仿宋" w:hAnsi="仿宋" w:eastAsia="仿宋" w:cs="仿宋"/>
          <w:color w:val="auto"/>
          <w:sz w:val="32"/>
          <w:szCs w:val="32"/>
          <w:highlight w:val="none"/>
          <w:lang w:val="en-US" w:eastAsia="zh-CN"/>
        </w:rPr>
        <w:t>3600</w:t>
      </w:r>
      <w:r>
        <w:rPr>
          <w:rFonts w:hint="eastAsia" w:ascii="仿宋" w:hAnsi="仿宋" w:eastAsia="仿宋" w:cs="仿宋"/>
          <w:color w:val="auto"/>
          <w:sz w:val="32"/>
          <w:szCs w:val="32"/>
          <w:highlight w:val="none"/>
        </w:rPr>
        <w:t>米，年平均气温1.</w:t>
      </w: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rPr>
        <w:t>℃，极端最低气温</w:t>
      </w:r>
      <w:r>
        <w:rPr>
          <w:rFonts w:hint="eastAsia" w:ascii="仿宋" w:hAnsi="仿宋" w:eastAsia="仿宋" w:cs="仿宋"/>
          <w:color w:val="auto"/>
          <w:sz w:val="32"/>
          <w:szCs w:val="32"/>
          <w:highlight w:val="none"/>
          <w:lang w:val="en-US" w:eastAsia="zh-CN"/>
        </w:rPr>
        <w:t>-</w:t>
      </w:r>
      <w:r>
        <w:rPr>
          <w:rFonts w:hint="eastAsia" w:ascii="仿宋" w:hAnsi="仿宋" w:eastAsia="仿宋" w:cs="仿宋"/>
          <w:color w:val="auto"/>
          <w:sz w:val="32"/>
          <w:szCs w:val="32"/>
          <w:highlight w:val="none"/>
        </w:rPr>
        <w:t>36.2℃，极端</w:t>
      </w:r>
      <w:r>
        <w:rPr>
          <w:rFonts w:hint="eastAsia" w:ascii="仿宋" w:hAnsi="仿宋" w:eastAsia="仿宋" w:cs="仿宋"/>
          <w:b w:val="0"/>
          <w:bCs w:val="0"/>
          <w:color w:val="auto"/>
          <w:sz w:val="32"/>
          <w:szCs w:val="32"/>
          <w:highlight w:val="none"/>
          <w:lang w:val="en-US" w:eastAsia="zh-CN"/>
        </w:rPr>
        <w:t>最高</w:t>
      </w:r>
      <w:r>
        <w:rPr>
          <w:rFonts w:hint="eastAsia" w:ascii="仿宋" w:hAnsi="仿宋" w:eastAsia="仿宋" w:cs="仿宋"/>
          <w:color w:val="auto"/>
          <w:sz w:val="32"/>
          <w:szCs w:val="32"/>
          <w:highlight w:val="none"/>
        </w:rPr>
        <w:t>气温25.6℃</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年降雨量为753毫米</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属安多藏族聚居</w:t>
      </w:r>
      <w:r>
        <w:rPr>
          <w:rFonts w:hint="eastAsia" w:ascii="仿宋" w:hAnsi="仿宋" w:eastAsia="仿宋" w:cs="仿宋"/>
          <w:color w:val="auto"/>
          <w:sz w:val="32"/>
          <w:szCs w:val="32"/>
          <w:highlight w:val="none"/>
          <w:lang w:eastAsia="zh-CN"/>
        </w:rPr>
        <w:t>的</w:t>
      </w:r>
      <w:r>
        <w:rPr>
          <w:rFonts w:hint="eastAsia" w:ascii="仿宋" w:hAnsi="仿宋" w:eastAsia="仿宋" w:cs="仿宋"/>
          <w:color w:val="auto"/>
          <w:sz w:val="32"/>
          <w:szCs w:val="32"/>
          <w:highlight w:val="none"/>
        </w:rPr>
        <w:t>高原</w:t>
      </w:r>
      <w:r>
        <w:rPr>
          <w:rFonts w:hint="eastAsia" w:ascii="仿宋" w:hAnsi="仿宋" w:eastAsia="仿宋" w:cs="仿宋"/>
          <w:color w:val="auto"/>
          <w:sz w:val="32"/>
          <w:szCs w:val="32"/>
          <w:highlight w:val="none"/>
          <w:lang w:val="en-US" w:eastAsia="zh-CN"/>
        </w:rPr>
        <w:t>纯</w:t>
      </w:r>
      <w:r>
        <w:rPr>
          <w:rFonts w:hint="eastAsia" w:ascii="仿宋" w:hAnsi="仿宋" w:eastAsia="仿宋" w:cs="仿宋"/>
          <w:color w:val="auto"/>
          <w:sz w:val="32"/>
          <w:szCs w:val="32"/>
          <w:highlight w:val="none"/>
        </w:rPr>
        <w:t>牧业乡，</w:t>
      </w:r>
      <w:r>
        <w:rPr>
          <w:rFonts w:hint="eastAsia" w:ascii="仿宋" w:hAnsi="仿宋" w:eastAsia="仿宋" w:cs="仿宋"/>
          <w:color w:val="auto"/>
          <w:sz w:val="32"/>
          <w:szCs w:val="32"/>
          <w:highlight w:val="none"/>
          <w:lang w:eastAsia="zh-CN"/>
        </w:rPr>
        <w:t>幅员</w:t>
      </w:r>
      <w:r>
        <w:rPr>
          <w:rFonts w:hint="eastAsia" w:ascii="仿宋" w:hAnsi="仿宋" w:eastAsia="仿宋" w:cs="仿宋"/>
          <w:color w:val="auto"/>
          <w:sz w:val="32"/>
          <w:szCs w:val="32"/>
          <w:highlight w:val="none"/>
        </w:rPr>
        <w:t>面</w:t>
      </w:r>
      <w:r>
        <w:rPr>
          <w:rFonts w:hint="eastAsia" w:ascii="仿宋" w:hAnsi="仿宋" w:eastAsia="仿宋" w:cs="仿宋"/>
          <w:color w:val="auto"/>
          <w:sz w:val="32"/>
          <w:szCs w:val="32"/>
          <w:highlight w:val="none"/>
          <w:lang w:eastAsia="zh-CN"/>
        </w:rPr>
        <w:t>积</w:t>
      </w:r>
      <w:r>
        <w:rPr>
          <w:rFonts w:hint="eastAsia" w:ascii="仿宋" w:hAnsi="仿宋" w:eastAsia="仿宋" w:cs="仿宋"/>
          <w:color w:val="auto"/>
          <w:sz w:val="32"/>
          <w:szCs w:val="32"/>
          <w:highlight w:val="none"/>
          <w:lang w:val="en-US" w:eastAsia="zh-CN"/>
        </w:rPr>
        <w:t>905平方千米（135.8万亩）。</w:t>
      </w:r>
      <w:r>
        <w:rPr>
          <w:rFonts w:hint="eastAsia" w:ascii="仿宋" w:hAnsi="仿宋" w:eastAsia="仿宋" w:cs="仿宋"/>
          <w:color w:val="auto"/>
          <w:sz w:val="32"/>
          <w:szCs w:val="32"/>
          <w:highlight w:val="none"/>
          <w:lang w:eastAsia="zh-CN"/>
        </w:rPr>
        <w:t>阿木乡下辖</w:t>
      </w: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lang w:eastAsia="zh-CN"/>
        </w:rPr>
        <w:t>个行政村（峨扎村、卡口村）</w:t>
      </w:r>
      <w:r>
        <w:rPr>
          <w:rFonts w:hint="eastAsia" w:ascii="仿宋" w:hAnsi="仿宋" w:eastAsia="仿宋" w:cs="仿宋"/>
          <w:color w:val="auto"/>
          <w:sz w:val="32"/>
          <w:szCs w:val="32"/>
          <w:highlight w:val="none"/>
          <w:lang w:val="en-US" w:eastAsia="zh-CN"/>
        </w:rPr>
        <w:t>18个村民小组（峨扎10个村民小组，卡口8个村民小组），8个联户（峨扎村4个联户，卡口村4个联户），共有721户3605人（卡口村353户1739人，峨扎村368户1866人）；脱贫户141户637人（卡口村74户333人、峨扎村67户304人）；监测户18户95人（卡口村户8户22人、峨扎村10户73人。</w:t>
      </w:r>
    </w:p>
    <w:p w14:paraId="2BD599C8">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下达预算及项目情况。</w:t>
      </w:r>
    </w:p>
    <w:p w14:paraId="313650BB">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仿宋" w:hAnsi="仿宋" w:eastAsia="仿宋" w:cs="仿宋"/>
          <w:color w:val="auto"/>
          <w:sz w:val="32"/>
          <w:szCs w:val="32"/>
          <w:highlight w:val="none"/>
          <w:lang w:val="en-US" w:eastAsia="zh-CN"/>
        </w:rPr>
        <w:t>该项目下达预算资金185万元，</w:t>
      </w:r>
      <w:r>
        <w:rPr>
          <w:rFonts w:hint="eastAsia" w:ascii="仿宋_GB2312" w:hAnsi="仿宋_GB2312" w:eastAsia="仿宋_GB2312" w:cs="仿宋_GB2312"/>
          <w:sz w:val="32"/>
          <w:szCs w:val="32"/>
          <w:lang w:val="en-US" w:eastAsia="zh-CN"/>
        </w:rPr>
        <w:t>对阿木乡辖区村内道路进行提升改造（白+黑模式），沥青路摊铺，总长2公里，预计资金185万元。</w:t>
      </w:r>
    </w:p>
    <w:p w14:paraId="61329D38">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项目绩效目标设定情况。</w:t>
      </w:r>
    </w:p>
    <w:p w14:paraId="364C0217">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该项目于2025年5月14日签订合同，合同价为97.6万元，主要建设内容为</w:t>
      </w:r>
      <w:r>
        <w:rPr>
          <w:rFonts w:hint="eastAsia" w:ascii="仿宋_GB2312" w:hAnsi="仿宋_GB2312" w:eastAsia="仿宋_GB2312" w:cs="仿宋_GB2312"/>
          <w:sz w:val="32"/>
          <w:szCs w:val="32"/>
          <w:lang w:val="en-US" w:eastAsia="zh-CN"/>
        </w:rPr>
        <w:t>对阿木乡辖区村内道路进行提升改造（白+黑模式），沥青路摊铺，总长2公里，预计资金185万元。</w:t>
      </w:r>
    </w:p>
    <w:p w14:paraId="40A550A1">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二、绩效自评工作开展情况</w:t>
      </w:r>
    </w:p>
    <w:p w14:paraId="6377E4B9">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该项目计划投资185万元，实际到位185万元，资金来源为:乡村振兴衔接资金，申报目标为</w:t>
      </w:r>
      <w:r>
        <w:rPr>
          <w:rFonts w:hint="eastAsia" w:ascii="仿宋_GB2312" w:hAnsi="仿宋_GB2312" w:eastAsia="仿宋_GB2312" w:cs="仿宋_GB2312"/>
          <w:sz w:val="32"/>
          <w:szCs w:val="32"/>
          <w:lang w:val="en-US" w:eastAsia="zh-CN"/>
        </w:rPr>
        <w:t>对阿木乡辖区村内道路进行提升改造（白+黑模式），沥青路摊铺，总长2公里，预计资金185万元。</w:t>
      </w:r>
      <w:r>
        <w:rPr>
          <w:rFonts w:hint="eastAsia" w:ascii="仿宋" w:hAnsi="仿宋" w:eastAsia="仿宋" w:cs="仿宋"/>
          <w:color w:val="auto"/>
          <w:sz w:val="32"/>
          <w:szCs w:val="32"/>
          <w:highlight w:val="none"/>
          <w:lang w:val="en-US" w:eastAsia="zh-CN"/>
        </w:rPr>
        <w:t>截止目前已完成工程量100%，于2025年7月25日已完成验收100%，目前已完成资金拨付97%，剩余3%作为质保金，质保期为1年，群众满意度达到100%。</w:t>
      </w:r>
    </w:p>
    <w:p w14:paraId="0ADD1B33">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三、绩效目标自评完成情况分析</w:t>
      </w:r>
      <w:r>
        <w:rPr>
          <w:rFonts w:hint="eastAsia" w:ascii="黑体" w:hAnsi="黑体" w:eastAsia="黑体" w:cs="黑体"/>
          <w:b w:val="0"/>
          <w:bCs w:val="0"/>
          <w:color w:val="000000"/>
          <w:sz w:val="32"/>
          <w:szCs w:val="32"/>
        </w:rPr>
        <w:tab/>
      </w:r>
    </w:p>
    <w:p w14:paraId="78E419B0">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602" w:firstLineChars="200"/>
        <w:jc w:val="left"/>
        <w:textAlignment w:val="auto"/>
        <w:rPr>
          <w:rFonts w:ascii="楷体_GB2312" w:hAnsi="楷体_GB2312" w:eastAsia="楷体_GB2312" w:cs="楷体_GB2312"/>
          <w:b/>
          <w:color w:val="auto"/>
          <w:spacing w:val="0"/>
          <w:position w:val="0"/>
          <w:sz w:val="32"/>
          <w:shd w:val="clear" w:color="auto" w:fill="auto"/>
        </w:rPr>
      </w:pPr>
      <w:r>
        <w:rPr>
          <w:rFonts w:hint="eastAsia" w:ascii="宋体" w:hAnsi="宋体" w:eastAsia="宋体"/>
          <w:b/>
          <w:bCs/>
          <w:color w:val="000000"/>
          <w:sz w:val="30"/>
        </w:rPr>
        <w:t>（一）资金投入情况分析。</w:t>
      </w:r>
    </w:p>
    <w:p w14:paraId="4074CF65">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_GB2312" w:hAnsi="仿宋_GB2312" w:eastAsia="仿宋_GB2312" w:cs="仿宋_GB2312"/>
          <w:kern w:val="2"/>
          <w:sz w:val="32"/>
          <w:szCs w:val="32"/>
          <w:lang w:val="en-US" w:eastAsia="zh-CN" w:bidi="ar-SA"/>
        </w:rPr>
        <w:t>红原县阿木乡2025年村道提升改造项目</w:t>
      </w:r>
      <w:r>
        <w:rPr>
          <w:rFonts w:hint="eastAsia" w:ascii="仿宋" w:hAnsi="仿宋" w:eastAsia="仿宋" w:cs="仿宋"/>
          <w:color w:val="auto"/>
          <w:sz w:val="32"/>
          <w:szCs w:val="32"/>
          <w:highlight w:val="none"/>
          <w:lang w:val="en-US" w:eastAsia="zh-CN"/>
        </w:rPr>
        <w:t>。该项目良好完成计划目标，截止评价时已完成任务量100%，已拨付资金97%，资金到位情况及时，资金拨付情况合理，资金管理规范。</w:t>
      </w:r>
    </w:p>
    <w:p w14:paraId="23AB273E">
      <w:pPr>
        <w:pStyle w:val="15"/>
        <w:keepNext w:val="0"/>
        <w:keepLines w:val="0"/>
        <w:pageBreakBefore w:val="0"/>
        <w:widowControl w:val="0"/>
        <w:numPr>
          <w:ilvl w:val="0"/>
          <w:numId w:val="4"/>
        </w:numPr>
        <w:kinsoku/>
        <w:overflowPunct/>
        <w:topLinePunct w:val="0"/>
        <w:autoSpaceDE/>
        <w:bidi w:val="0"/>
        <w:adjustRightInd/>
        <w:snapToGrid/>
        <w:spacing w:beforeAutospacing="0" w:after="120" w:afterAutospacing="0" w:line="240" w:lineRule="auto"/>
        <w:ind w:left="0" w:leftChars="0" w:right="0" w:firstLine="602" w:firstLineChars="200"/>
        <w:textAlignment w:val="auto"/>
        <w:rPr>
          <w:rFonts w:hint="eastAsia" w:ascii="宋体" w:hAnsi="宋体" w:eastAsia="宋体"/>
          <w:b/>
          <w:bCs/>
          <w:color w:val="000000"/>
          <w:sz w:val="30"/>
        </w:rPr>
      </w:pPr>
      <w:r>
        <w:rPr>
          <w:rFonts w:hint="eastAsia" w:ascii="宋体" w:hAnsi="宋体" w:eastAsia="宋体"/>
          <w:b/>
          <w:bCs/>
          <w:color w:val="000000"/>
          <w:sz w:val="30"/>
        </w:rPr>
        <w:t>绩效目标完成情况分析。</w:t>
      </w:r>
    </w:p>
    <w:p w14:paraId="758A37B8">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截止目前已完成工程量100%，于2025年7月25日已完成验收100%，已拨付资金97%，满意度达到100%。</w:t>
      </w:r>
    </w:p>
    <w:p w14:paraId="165A929D">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3" w:firstLineChars="200"/>
        <w:textAlignment w:val="auto"/>
        <w:rPr>
          <w:rFonts w:hint="eastAsia" w:ascii="仿宋_GB2312" w:hAnsi="仿宋" w:eastAsia="仿宋_GB2312"/>
          <w:spacing w:val="-10"/>
          <w:sz w:val="32"/>
          <w:szCs w:val="32"/>
          <w:lang w:val="en-US" w:eastAsia="zh-CN"/>
        </w:rPr>
      </w:pPr>
      <w:r>
        <w:rPr>
          <w:rFonts w:ascii="宋体" w:hAnsi="宋体" w:eastAsia="宋体" w:cs="宋体"/>
          <w:b/>
          <w:color w:val="auto"/>
          <w:spacing w:val="0"/>
          <w:position w:val="0"/>
          <w:sz w:val="32"/>
          <w:shd w:val="clear" w:color="auto" w:fill="auto"/>
        </w:rPr>
        <w:t>（</w:t>
      </w:r>
      <w:r>
        <w:rPr>
          <w:rFonts w:hint="eastAsia" w:ascii="宋体" w:hAnsi="宋体" w:eastAsia="宋体" w:cs="宋体"/>
          <w:b/>
          <w:color w:val="auto"/>
          <w:spacing w:val="0"/>
          <w:position w:val="0"/>
          <w:sz w:val="32"/>
          <w:shd w:val="clear" w:color="auto" w:fill="auto"/>
          <w:lang w:eastAsia="zh-CN"/>
        </w:rPr>
        <w:t>三</w:t>
      </w:r>
      <w:r>
        <w:rPr>
          <w:rFonts w:ascii="宋体" w:hAnsi="宋体" w:eastAsia="宋体" w:cs="宋体"/>
          <w:b/>
          <w:color w:val="auto"/>
          <w:spacing w:val="0"/>
          <w:position w:val="0"/>
          <w:sz w:val="32"/>
          <w:shd w:val="clear" w:color="auto" w:fill="auto"/>
        </w:rPr>
        <w:t>）项目效益情况</w:t>
      </w:r>
    </w:p>
    <w:p w14:paraId="4BA18BBB">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通过该项目的实施，解决群众出行困难问题，整治居民点汛期内涝隐患，确保排水顺畅，提升居民点人居环境，提高服务对象的满意度.</w:t>
      </w:r>
    </w:p>
    <w:p w14:paraId="05A3B710">
      <w:pPr>
        <w:keepNext w:val="0"/>
        <w:keepLines w:val="0"/>
        <w:pageBreakBefore w:val="0"/>
        <w:widowControl w:val="0"/>
        <w:numPr>
          <w:ilvl w:val="0"/>
          <w:numId w:val="5"/>
        </w:numPr>
        <w:kinsoku/>
        <w:overflowPunct/>
        <w:topLinePunct w:val="0"/>
        <w:autoSpaceDE/>
        <w:bidi w:val="0"/>
        <w:adjustRightInd/>
        <w:snapToGrid/>
        <w:spacing w:beforeAutospacing="0" w:after="120" w:afterAutospacing="0" w:line="240" w:lineRule="auto"/>
        <w:ind w:left="0" w:leftChars="0" w:right="0" w:firstLine="600" w:firstLineChars="200"/>
        <w:jc w:val="left"/>
        <w:textAlignment w:val="auto"/>
        <w:rPr>
          <w:rFonts w:hint="eastAsia" w:ascii="黑体" w:hAnsi="黑体" w:eastAsia="黑体" w:cs="黑体"/>
          <w:b w:val="0"/>
          <w:bCs w:val="0"/>
          <w:color w:val="000000"/>
          <w:sz w:val="30"/>
          <w:lang w:val="en-US" w:eastAsia="zh-CN"/>
        </w:rPr>
      </w:pPr>
      <w:r>
        <w:rPr>
          <w:rFonts w:hint="eastAsia" w:ascii="黑体" w:hAnsi="黑体" w:eastAsia="黑体" w:cs="黑体"/>
          <w:b w:val="0"/>
          <w:bCs w:val="0"/>
          <w:color w:val="000000"/>
          <w:sz w:val="30"/>
          <w:lang w:val="en-US" w:eastAsia="zh-CN"/>
        </w:rPr>
        <w:t>资产后续管护及运营情况</w:t>
      </w:r>
    </w:p>
    <w:p w14:paraId="55531F3E">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建立该项后续管护机制，确保该项目稳定良好运行，为巩固拓展脱贫攻坚成果，全面实乡村振兴提供更好保障。</w:t>
      </w:r>
    </w:p>
    <w:p w14:paraId="610354EE">
      <w:pPr>
        <w:pStyle w:val="15"/>
        <w:pageBreakBefore w:val="0"/>
        <w:kinsoku/>
        <w:overflowPunct/>
        <w:topLinePunct w:val="0"/>
        <w:bidi w:val="0"/>
        <w:spacing w:beforeAutospacing="0" w:after="120" w:afterAutospacing="0" w:line="240" w:lineRule="auto"/>
        <w:ind w:left="0" w:leftChars="0" w:right="0" w:firstLine="640" w:firstLineChars="200"/>
        <w:textAlignment w:val="auto"/>
        <w:rPr>
          <w:rFonts w:hint="eastAsia"/>
          <w:lang w:val="en-US" w:eastAsia="zh-CN"/>
        </w:rPr>
      </w:pPr>
    </w:p>
    <w:p w14:paraId="786EBA6E">
      <w:pPr>
        <w:rPr>
          <w:rFonts w:hint="eastAsia"/>
          <w:lang w:val="en-US" w:eastAsia="zh-CN"/>
        </w:rPr>
      </w:pPr>
    </w:p>
    <w:p w14:paraId="20FE61DF">
      <w:pPr>
        <w:pStyle w:val="6"/>
        <w:rPr>
          <w:rFonts w:hint="eastAsia"/>
          <w:lang w:val="en-US" w:eastAsia="zh-CN"/>
        </w:rPr>
      </w:pPr>
    </w:p>
    <w:p w14:paraId="689F0F6E">
      <w:pPr>
        <w:rPr>
          <w:rFonts w:hint="eastAsia"/>
          <w:lang w:val="en-US" w:eastAsia="zh-CN"/>
        </w:rPr>
      </w:pPr>
    </w:p>
    <w:p w14:paraId="6781F202">
      <w:pPr>
        <w:pStyle w:val="6"/>
        <w:rPr>
          <w:rFonts w:hint="eastAsia"/>
          <w:lang w:val="en-US" w:eastAsia="zh-CN"/>
        </w:rPr>
      </w:pPr>
    </w:p>
    <w:p w14:paraId="2F7F8227">
      <w:pPr>
        <w:rPr>
          <w:rFonts w:hint="eastAsia"/>
          <w:lang w:val="en-US" w:eastAsia="zh-CN"/>
        </w:rPr>
      </w:pPr>
    </w:p>
    <w:p w14:paraId="34441B57">
      <w:pPr>
        <w:pStyle w:val="6"/>
        <w:rPr>
          <w:rFonts w:hint="eastAsia"/>
          <w:lang w:val="en-US" w:eastAsia="zh-CN"/>
        </w:rPr>
      </w:pPr>
    </w:p>
    <w:p w14:paraId="14FC2C49">
      <w:pPr>
        <w:rPr>
          <w:rFonts w:hint="eastAsia"/>
          <w:lang w:val="en-US" w:eastAsia="zh-CN"/>
        </w:rPr>
      </w:pPr>
    </w:p>
    <w:p w14:paraId="74DA4B00">
      <w:pPr>
        <w:pStyle w:val="6"/>
        <w:rPr>
          <w:rFonts w:hint="eastAsia"/>
          <w:lang w:val="en-US" w:eastAsia="zh-CN"/>
        </w:rPr>
      </w:pPr>
    </w:p>
    <w:p w14:paraId="6894DCD2">
      <w:pPr>
        <w:rPr>
          <w:rFonts w:hint="eastAsia"/>
          <w:lang w:val="en-US" w:eastAsia="zh-CN"/>
        </w:rPr>
      </w:pPr>
    </w:p>
    <w:p w14:paraId="32839E16">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0CCD9A99">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lang w:eastAsia="zh-CN"/>
        </w:rPr>
        <w:t>阿木乡</w:t>
      </w:r>
      <w:r>
        <w:rPr>
          <w:rFonts w:hint="eastAsia" w:ascii="方正小标宋简体" w:hAnsi="Cambria" w:eastAsia="方正小标宋简体" w:cs="Times New Roman"/>
          <w:sz w:val="44"/>
          <w:szCs w:val="44"/>
          <w:lang w:val="en-US" w:eastAsia="zh-CN"/>
        </w:rPr>
        <w:t>2025年</w:t>
      </w:r>
      <w:r>
        <w:rPr>
          <w:rFonts w:hint="eastAsia" w:ascii="方正小标宋简体" w:hAnsi="Cambria" w:eastAsia="方正小标宋简体" w:cs="Times New Roman"/>
          <w:sz w:val="44"/>
          <w:szCs w:val="44"/>
        </w:rPr>
        <w:t>财政</w:t>
      </w:r>
      <w:r>
        <w:rPr>
          <w:rFonts w:hint="eastAsia" w:ascii="方正小标宋简体" w:hAnsi="Cambria" w:eastAsia="方正小标宋简体" w:cs="Times New Roman"/>
          <w:sz w:val="44"/>
          <w:szCs w:val="44"/>
          <w:lang w:eastAsia="zh-CN"/>
        </w:rPr>
        <w:t>衔接资金</w:t>
      </w:r>
      <w:r>
        <w:rPr>
          <w:rFonts w:hint="eastAsia" w:ascii="方正小标宋简体" w:hAnsi="Cambria" w:eastAsia="方正小标宋简体" w:cs="Times New Roman"/>
          <w:sz w:val="44"/>
          <w:szCs w:val="44"/>
        </w:rPr>
        <w:t>资金绩效</w:t>
      </w:r>
    </w:p>
    <w:p w14:paraId="3DA69505">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rPr>
        <w:t>自评总结报告</w:t>
      </w:r>
    </w:p>
    <w:p w14:paraId="5BF8C9C5">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color w:val="auto"/>
          <w:spacing w:val="0"/>
          <w:position w:val="0"/>
          <w:sz w:val="32"/>
          <w:shd w:val="clear" w:color="auto" w:fill="auto"/>
          <w:lang w:val="en-US" w:eastAsia="zh-CN"/>
        </w:rPr>
        <w:t>阿木乡2025年峨扎村产业路提升改造项目</w:t>
      </w:r>
      <w:r>
        <w:rPr>
          <w:rFonts w:hint="eastAsia" w:ascii="仿宋_GB2312" w:hAnsi="仿宋_GB2312" w:eastAsia="仿宋_GB2312" w:cs="仿宋_GB2312"/>
          <w:sz w:val="32"/>
          <w:szCs w:val="32"/>
          <w:lang w:val="en-US" w:eastAsia="zh-CN"/>
        </w:rPr>
        <w:t>)</w:t>
      </w:r>
    </w:p>
    <w:p w14:paraId="5DCA9B54">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left"/>
        <w:textAlignment w:val="auto"/>
        <w:outlineLvl w:val="9"/>
        <w:rPr>
          <w:rFonts w:hint="eastAsia" w:ascii="仿宋_GB2312" w:hAnsi="仿宋_GB2312" w:eastAsia="仿宋_GB2312" w:cs="仿宋_GB2312"/>
          <w:sz w:val="32"/>
          <w:szCs w:val="32"/>
          <w:lang w:val="en-US" w:eastAsia="zh-CN"/>
        </w:rPr>
      </w:pPr>
    </w:p>
    <w:p w14:paraId="7E2AF7E4">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ascii="黑体" w:hAnsi="黑体" w:eastAsia="黑体" w:cs="黑体"/>
          <w:color w:val="auto"/>
          <w:spacing w:val="0"/>
          <w:position w:val="0"/>
          <w:sz w:val="32"/>
          <w:shd w:val="clear" w:color="auto" w:fill="auto"/>
        </w:rPr>
      </w:pPr>
      <w:r>
        <w:rPr>
          <w:rFonts w:ascii="黑体" w:hAnsi="黑体" w:eastAsia="黑体" w:cs="黑体"/>
          <w:color w:val="auto"/>
          <w:spacing w:val="0"/>
          <w:position w:val="0"/>
          <w:sz w:val="32"/>
          <w:shd w:val="clear" w:color="auto" w:fill="auto"/>
        </w:rPr>
        <w:t>一、项目概况</w:t>
      </w:r>
    </w:p>
    <w:p w14:paraId="10C9B04A">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阿木乡位于红原中部偏</w:t>
      </w:r>
      <w:r>
        <w:rPr>
          <w:rFonts w:hint="eastAsia" w:ascii="仿宋" w:hAnsi="仿宋" w:eastAsia="仿宋" w:cs="仿宋"/>
          <w:color w:val="auto"/>
          <w:sz w:val="32"/>
          <w:szCs w:val="32"/>
          <w:highlight w:val="none"/>
          <w:lang w:eastAsia="zh-CN"/>
        </w:rPr>
        <w:t>西</w:t>
      </w:r>
      <w:r>
        <w:rPr>
          <w:rFonts w:hint="eastAsia" w:ascii="仿宋" w:hAnsi="仿宋" w:eastAsia="仿宋" w:cs="仿宋"/>
          <w:color w:val="auto"/>
          <w:sz w:val="32"/>
          <w:szCs w:val="32"/>
          <w:highlight w:val="none"/>
        </w:rPr>
        <w:t>北方，东与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"https://baike.baidu.com/item/%E6%9D%BE%E6%BD%98%E5%8E%BF/2123648"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松潘县</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lang w:eastAsia="zh-CN"/>
        </w:rPr>
        <w:t>毛尔盖镇</w:t>
      </w:r>
      <w:r>
        <w:rPr>
          <w:rFonts w:hint="eastAsia" w:ascii="仿宋" w:hAnsi="仿宋" w:eastAsia="仿宋" w:cs="仿宋"/>
          <w:color w:val="auto"/>
          <w:sz w:val="32"/>
          <w:szCs w:val="32"/>
          <w:highlight w:val="none"/>
        </w:rPr>
        <w:t>为邻，南连</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"https://baike.baidu.com/item/%E9%BE%99%E6%97%A5%E9%95%87/24221013"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龙日镇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，西邻</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"https://baike.baidu.com/item/%E9%82%9B%E6%BA%AA%E9%95%87/2893511"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邛溪镇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，北与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"https://baike.baidu.com/item/%E7%93%A6%E5%88%87%E9%95%87/8536052"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瓦切镇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、麦洼乡相连，东北与色地镇接壤</w:t>
      </w:r>
      <w:r>
        <w:rPr>
          <w:rFonts w:hint="eastAsia" w:ascii="仿宋" w:hAnsi="仿宋" w:eastAsia="仿宋" w:cs="仿宋"/>
          <w:color w:val="auto"/>
          <w:sz w:val="32"/>
          <w:szCs w:val="32"/>
          <w:highlight w:val="none"/>
          <w:lang w:eastAsia="zh-CN"/>
        </w:rPr>
        <w:t>，乡政</w:t>
      </w:r>
      <w:r>
        <w:rPr>
          <w:rFonts w:hint="eastAsia" w:ascii="仿宋" w:hAnsi="仿宋" w:eastAsia="仿宋" w:cs="仿宋"/>
          <w:color w:val="auto"/>
          <w:sz w:val="32"/>
          <w:szCs w:val="32"/>
          <w:highlight w:val="none"/>
        </w:rPr>
        <w:t>府所在地距红原县城18公里，紧邻</w:t>
      </w:r>
      <w:r>
        <w:rPr>
          <w:rFonts w:hint="eastAsia" w:ascii="仿宋" w:hAnsi="仿宋" w:eastAsia="仿宋" w:cs="仿宋"/>
          <w:color w:val="auto"/>
          <w:sz w:val="32"/>
          <w:szCs w:val="32"/>
          <w:highlight w:val="none"/>
          <w:lang w:eastAsia="zh-CN"/>
        </w:rPr>
        <w:t>国道</w:t>
      </w:r>
      <w:r>
        <w:rPr>
          <w:rFonts w:hint="eastAsia" w:ascii="仿宋" w:hAnsi="仿宋" w:eastAsia="仿宋" w:cs="仿宋"/>
          <w:color w:val="auto"/>
          <w:sz w:val="32"/>
          <w:szCs w:val="32"/>
          <w:highlight w:val="none"/>
          <w:lang w:val="en-US" w:eastAsia="zh-CN"/>
        </w:rPr>
        <w:t>248</w:t>
      </w:r>
      <w:r>
        <w:rPr>
          <w:rFonts w:hint="eastAsia" w:ascii="仿宋" w:hAnsi="仿宋" w:eastAsia="仿宋" w:cs="仿宋"/>
          <w:color w:val="auto"/>
          <w:sz w:val="32"/>
          <w:szCs w:val="32"/>
          <w:highlight w:val="none"/>
        </w:rPr>
        <w:t>线，地形</w:t>
      </w:r>
      <w:r>
        <w:rPr>
          <w:rFonts w:hint="eastAsia" w:ascii="仿宋" w:hAnsi="仿宋" w:eastAsia="仿宋" w:cs="仿宋"/>
          <w:color w:val="auto"/>
          <w:sz w:val="32"/>
          <w:szCs w:val="32"/>
          <w:highlight w:val="none"/>
          <w:lang w:val="en-US" w:eastAsia="zh-CN"/>
        </w:rPr>
        <w:t>具有</w:t>
      </w:r>
      <w:r>
        <w:rPr>
          <w:rFonts w:hint="eastAsia" w:ascii="仿宋" w:hAnsi="仿宋" w:eastAsia="仿宋" w:cs="仿宋"/>
          <w:color w:val="auto"/>
          <w:sz w:val="32"/>
          <w:szCs w:val="32"/>
          <w:highlight w:val="none"/>
        </w:rPr>
        <w:t>高山草甸特征</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平均海拔</w:t>
      </w:r>
      <w:r>
        <w:rPr>
          <w:rFonts w:hint="eastAsia" w:ascii="仿宋" w:hAnsi="仿宋" w:eastAsia="仿宋" w:cs="仿宋"/>
          <w:color w:val="auto"/>
          <w:sz w:val="32"/>
          <w:szCs w:val="32"/>
          <w:highlight w:val="none"/>
          <w:lang w:val="en-US" w:eastAsia="zh-CN"/>
        </w:rPr>
        <w:t>3600</w:t>
      </w:r>
      <w:r>
        <w:rPr>
          <w:rFonts w:hint="eastAsia" w:ascii="仿宋" w:hAnsi="仿宋" w:eastAsia="仿宋" w:cs="仿宋"/>
          <w:color w:val="auto"/>
          <w:sz w:val="32"/>
          <w:szCs w:val="32"/>
          <w:highlight w:val="none"/>
        </w:rPr>
        <w:t>米，年平均气温1.</w:t>
      </w: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rPr>
        <w:t>℃，极端最低气温</w:t>
      </w:r>
      <w:r>
        <w:rPr>
          <w:rFonts w:hint="eastAsia" w:ascii="仿宋" w:hAnsi="仿宋" w:eastAsia="仿宋" w:cs="仿宋"/>
          <w:color w:val="auto"/>
          <w:sz w:val="32"/>
          <w:szCs w:val="32"/>
          <w:highlight w:val="none"/>
          <w:lang w:val="en-US" w:eastAsia="zh-CN"/>
        </w:rPr>
        <w:t>-</w:t>
      </w:r>
      <w:r>
        <w:rPr>
          <w:rFonts w:hint="eastAsia" w:ascii="仿宋" w:hAnsi="仿宋" w:eastAsia="仿宋" w:cs="仿宋"/>
          <w:color w:val="auto"/>
          <w:sz w:val="32"/>
          <w:szCs w:val="32"/>
          <w:highlight w:val="none"/>
        </w:rPr>
        <w:t>36.2℃，极端</w:t>
      </w:r>
      <w:r>
        <w:rPr>
          <w:rFonts w:hint="eastAsia" w:ascii="仿宋" w:hAnsi="仿宋" w:eastAsia="仿宋" w:cs="仿宋"/>
          <w:b w:val="0"/>
          <w:bCs w:val="0"/>
          <w:color w:val="auto"/>
          <w:sz w:val="32"/>
          <w:szCs w:val="32"/>
          <w:highlight w:val="none"/>
          <w:lang w:val="en-US" w:eastAsia="zh-CN"/>
        </w:rPr>
        <w:t>最高</w:t>
      </w:r>
      <w:r>
        <w:rPr>
          <w:rFonts w:hint="eastAsia" w:ascii="仿宋" w:hAnsi="仿宋" w:eastAsia="仿宋" w:cs="仿宋"/>
          <w:color w:val="auto"/>
          <w:sz w:val="32"/>
          <w:szCs w:val="32"/>
          <w:highlight w:val="none"/>
        </w:rPr>
        <w:t>气温25.6℃</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年降雨量为753毫米</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属安多藏族聚居</w:t>
      </w:r>
      <w:r>
        <w:rPr>
          <w:rFonts w:hint="eastAsia" w:ascii="仿宋" w:hAnsi="仿宋" w:eastAsia="仿宋" w:cs="仿宋"/>
          <w:color w:val="auto"/>
          <w:sz w:val="32"/>
          <w:szCs w:val="32"/>
          <w:highlight w:val="none"/>
          <w:lang w:eastAsia="zh-CN"/>
        </w:rPr>
        <w:t>的</w:t>
      </w:r>
      <w:r>
        <w:rPr>
          <w:rFonts w:hint="eastAsia" w:ascii="仿宋" w:hAnsi="仿宋" w:eastAsia="仿宋" w:cs="仿宋"/>
          <w:color w:val="auto"/>
          <w:sz w:val="32"/>
          <w:szCs w:val="32"/>
          <w:highlight w:val="none"/>
        </w:rPr>
        <w:t>高原</w:t>
      </w:r>
      <w:r>
        <w:rPr>
          <w:rFonts w:hint="eastAsia" w:ascii="仿宋" w:hAnsi="仿宋" w:eastAsia="仿宋" w:cs="仿宋"/>
          <w:color w:val="auto"/>
          <w:sz w:val="32"/>
          <w:szCs w:val="32"/>
          <w:highlight w:val="none"/>
          <w:lang w:val="en-US" w:eastAsia="zh-CN"/>
        </w:rPr>
        <w:t>纯</w:t>
      </w:r>
      <w:r>
        <w:rPr>
          <w:rFonts w:hint="eastAsia" w:ascii="仿宋" w:hAnsi="仿宋" w:eastAsia="仿宋" w:cs="仿宋"/>
          <w:color w:val="auto"/>
          <w:sz w:val="32"/>
          <w:szCs w:val="32"/>
          <w:highlight w:val="none"/>
        </w:rPr>
        <w:t>牧业乡，</w:t>
      </w:r>
      <w:r>
        <w:rPr>
          <w:rFonts w:hint="eastAsia" w:ascii="仿宋" w:hAnsi="仿宋" w:eastAsia="仿宋" w:cs="仿宋"/>
          <w:color w:val="auto"/>
          <w:sz w:val="32"/>
          <w:szCs w:val="32"/>
          <w:highlight w:val="none"/>
          <w:lang w:eastAsia="zh-CN"/>
        </w:rPr>
        <w:t>幅员</w:t>
      </w:r>
      <w:r>
        <w:rPr>
          <w:rFonts w:hint="eastAsia" w:ascii="仿宋" w:hAnsi="仿宋" w:eastAsia="仿宋" w:cs="仿宋"/>
          <w:color w:val="auto"/>
          <w:sz w:val="32"/>
          <w:szCs w:val="32"/>
          <w:highlight w:val="none"/>
        </w:rPr>
        <w:t>面</w:t>
      </w:r>
      <w:r>
        <w:rPr>
          <w:rFonts w:hint="eastAsia" w:ascii="仿宋" w:hAnsi="仿宋" w:eastAsia="仿宋" w:cs="仿宋"/>
          <w:color w:val="auto"/>
          <w:sz w:val="32"/>
          <w:szCs w:val="32"/>
          <w:highlight w:val="none"/>
          <w:lang w:eastAsia="zh-CN"/>
        </w:rPr>
        <w:t>积</w:t>
      </w:r>
      <w:r>
        <w:rPr>
          <w:rFonts w:hint="eastAsia" w:ascii="仿宋" w:hAnsi="仿宋" w:eastAsia="仿宋" w:cs="仿宋"/>
          <w:color w:val="auto"/>
          <w:sz w:val="32"/>
          <w:szCs w:val="32"/>
          <w:highlight w:val="none"/>
          <w:lang w:val="en-US" w:eastAsia="zh-CN"/>
        </w:rPr>
        <w:t>905平方千米（135.8万亩）。</w:t>
      </w:r>
      <w:r>
        <w:rPr>
          <w:rFonts w:hint="eastAsia" w:ascii="仿宋" w:hAnsi="仿宋" w:eastAsia="仿宋" w:cs="仿宋"/>
          <w:color w:val="auto"/>
          <w:sz w:val="32"/>
          <w:szCs w:val="32"/>
          <w:highlight w:val="none"/>
          <w:lang w:eastAsia="zh-CN"/>
        </w:rPr>
        <w:t>阿木乡下辖</w:t>
      </w: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lang w:eastAsia="zh-CN"/>
        </w:rPr>
        <w:t>个行政村（峨扎村、卡口村）</w:t>
      </w:r>
      <w:r>
        <w:rPr>
          <w:rFonts w:hint="eastAsia" w:ascii="仿宋" w:hAnsi="仿宋" w:eastAsia="仿宋" w:cs="仿宋"/>
          <w:color w:val="auto"/>
          <w:sz w:val="32"/>
          <w:szCs w:val="32"/>
          <w:highlight w:val="none"/>
          <w:lang w:val="en-US" w:eastAsia="zh-CN"/>
        </w:rPr>
        <w:t>18个村民小组（峨扎10个村民小组，卡口8个村民小组），8个联户（峨扎村4个联户，卡口村4个联户），共有721户3605人（卡口村353户1739人，峨扎村368户1866人）；脱贫户141户637人（卡口村74户333人、峨扎村67户304人）；监测户18户95人（卡口村户8户22人、峨扎村10户73人。</w:t>
      </w:r>
    </w:p>
    <w:p w14:paraId="62285434">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下达预算及项目情况。</w:t>
      </w:r>
    </w:p>
    <w:p w14:paraId="3B9DABAB">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该项目下达预算资金30万元，提升改造峨扎村产业路3公里，每公里补助10万元。</w:t>
      </w:r>
    </w:p>
    <w:p w14:paraId="783B1E67">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项目绩效目标设定情况。</w:t>
      </w:r>
    </w:p>
    <w:p w14:paraId="1EC6445D">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该项目签订合同时间为2025年7月10日，合同价28.2万元，项目主要建设内容提升改造峨扎村产业路3公里。</w:t>
      </w:r>
    </w:p>
    <w:p w14:paraId="320D5ADE">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二、绩效自评工作开展情况</w:t>
      </w:r>
    </w:p>
    <w:p w14:paraId="73CC9974">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计划投资30万元，实际到位30万元，资金来源为:乡村振兴衔接资金，年初目标为升改造峨扎村产业路3公里，每公里补助10万元。截止目前已完成工程量100%，于2025年9月29日已完成验收100%，目前已完成资金拨付97%，剩余3%为质保金，质保期为1年，群众满意度达到100%。</w:t>
      </w:r>
    </w:p>
    <w:p w14:paraId="44CFEDC2">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三、绩效目标自评完成情况分析</w:t>
      </w:r>
      <w:r>
        <w:rPr>
          <w:rFonts w:hint="eastAsia" w:ascii="黑体" w:hAnsi="黑体" w:eastAsia="黑体" w:cs="黑体"/>
          <w:b w:val="0"/>
          <w:bCs w:val="0"/>
          <w:color w:val="000000"/>
          <w:sz w:val="32"/>
          <w:szCs w:val="32"/>
        </w:rPr>
        <w:tab/>
      </w:r>
    </w:p>
    <w:p w14:paraId="46336965">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602" w:firstLineChars="200"/>
        <w:jc w:val="left"/>
        <w:textAlignment w:val="auto"/>
        <w:rPr>
          <w:rFonts w:ascii="楷体_GB2312" w:hAnsi="楷体_GB2312" w:eastAsia="楷体_GB2312" w:cs="楷体_GB2312"/>
          <w:b/>
          <w:color w:val="auto"/>
          <w:spacing w:val="0"/>
          <w:position w:val="0"/>
          <w:sz w:val="32"/>
          <w:shd w:val="clear" w:color="auto" w:fill="auto"/>
        </w:rPr>
      </w:pPr>
      <w:r>
        <w:rPr>
          <w:rFonts w:hint="eastAsia" w:ascii="宋体" w:hAnsi="宋体" w:eastAsia="宋体"/>
          <w:b/>
          <w:bCs/>
          <w:color w:val="000000"/>
          <w:sz w:val="30"/>
        </w:rPr>
        <w:t>（一）资金投入情况分析。</w:t>
      </w:r>
    </w:p>
    <w:p w14:paraId="7BD6EFFF">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阿木乡2025年峨扎村产业路提升改造项目。该项目良好完成计划目标，截止评价时已完成任务量100%，已拨付资金97%，资金到位情况及时，资金拨付情况合理，资金管理规范。</w:t>
      </w:r>
    </w:p>
    <w:p w14:paraId="63989074">
      <w:pPr>
        <w:pStyle w:val="15"/>
        <w:keepNext w:val="0"/>
        <w:keepLines w:val="0"/>
        <w:pageBreakBefore w:val="0"/>
        <w:widowControl w:val="0"/>
        <w:numPr>
          <w:ilvl w:val="0"/>
          <w:numId w:val="4"/>
        </w:numPr>
        <w:kinsoku/>
        <w:overflowPunct/>
        <w:topLinePunct w:val="0"/>
        <w:autoSpaceDE/>
        <w:bidi w:val="0"/>
        <w:adjustRightInd/>
        <w:snapToGrid/>
        <w:spacing w:beforeAutospacing="0" w:after="120" w:afterAutospacing="0" w:line="240" w:lineRule="auto"/>
        <w:ind w:left="0" w:leftChars="0" w:right="0" w:firstLine="602" w:firstLineChars="200"/>
        <w:textAlignment w:val="auto"/>
        <w:rPr>
          <w:rFonts w:hint="eastAsia" w:ascii="宋体" w:hAnsi="宋体" w:eastAsia="宋体"/>
          <w:b/>
          <w:bCs/>
          <w:color w:val="000000"/>
          <w:sz w:val="30"/>
        </w:rPr>
      </w:pPr>
      <w:r>
        <w:rPr>
          <w:rFonts w:hint="eastAsia" w:ascii="宋体" w:hAnsi="宋体" w:eastAsia="宋体"/>
          <w:b/>
          <w:bCs/>
          <w:color w:val="000000"/>
          <w:sz w:val="30"/>
        </w:rPr>
        <w:t>绩效目标完成情况分析。</w:t>
      </w:r>
    </w:p>
    <w:p w14:paraId="5B79ACE1">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截止目前已完成工程量100%，于2025年9月29日已完成验收100%，已拨付资金97%，满意度达到100%。</w:t>
      </w:r>
    </w:p>
    <w:p w14:paraId="692E9017">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3" w:firstLineChars="200"/>
        <w:textAlignment w:val="auto"/>
        <w:rPr>
          <w:rFonts w:hint="eastAsia" w:ascii="仿宋_GB2312" w:hAnsi="仿宋" w:eastAsia="仿宋_GB2312"/>
          <w:spacing w:val="-10"/>
          <w:sz w:val="32"/>
          <w:szCs w:val="32"/>
          <w:lang w:val="en-US" w:eastAsia="zh-CN"/>
        </w:rPr>
      </w:pPr>
      <w:r>
        <w:rPr>
          <w:rFonts w:ascii="宋体" w:hAnsi="宋体" w:eastAsia="宋体" w:cs="宋体"/>
          <w:b/>
          <w:color w:val="auto"/>
          <w:spacing w:val="0"/>
          <w:position w:val="0"/>
          <w:sz w:val="32"/>
          <w:shd w:val="clear" w:color="auto" w:fill="auto"/>
        </w:rPr>
        <w:t>（</w:t>
      </w:r>
      <w:r>
        <w:rPr>
          <w:rFonts w:hint="eastAsia" w:ascii="宋体" w:hAnsi="宋体" w:eastAsia="宋体" w:cs="宋体"/>
          <w:b/>
          <w:color w:val="auto"/>
          <w:spacing w:val="0"/>
          <w:position w:val="0"/>
          <w:sz w:val="32"/>
          <w:shd w:val="clear" w:color="auto" w:fill="auto"/>
          <w:lang w:eastAsia="zh-CN"/>
        </w:rPr>
        <w:t>三</w:t>
      </w:r>
      <w:r>
        <w:rPr>
          <w:rFonts w:ascii="宋体" w:hAnsi="宋体" w:eastAsia="宋体" w:cs="宋体"/>
          <w:b/>
          <w:color w:val="auto"/>
          <w:spacing w:val="0"/>
          <w:position w:val="0"/>
          <w:sz w:val="32"/>
          <w:shd w:val="clear" w:color="auto" w:fill="auto"/>
        </w:rPr>
        <w:t>）项目效益情况</w:t>
      </w:r>
    </w:p>
    <w:p w14:paraId="72131DC2">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通过该项目的实施，解决远牧点群众出行困难问题，方便群众运送生活物资及畜产品提高生活质量，改变广大群众生产生活条件，打造良好的生活和旅游环境，有力推进阿木乡经济和社会持续发展有力助推我乡乡村振兴工作的有力实施。</w:t>
      </w:r>
    </w:p>
    <w:p w14:paraId="2DD549D2">
      <w:pPr>
        <w:keepNext w:val="0"/>
        <w:keepLines w:val="0"/>
        <w:pageBreakBefore w:val="0"/>
        <w:widowControl w:val="0"/>
        <w:numPr>
          <w:ilvl w:val="0"/>
          <w:numId w:val="5"/>
        </w:numPr>
        <w:kinsoku/>
        <w:overflowPunct/>
        <w:topLinePunct w:val="0"/>
        <w:autoSpaceDE/>
        <w:bidi w:val="0"/>
        <w:adjustRightInd/>
        <w:snapToGrid/>
        <w:spacing w:beforeAutospacing="0" w:after="120" w:afterAutospacing="0" w:line="240" w:lineRule="auto"/>
        <w:ind w:left="0" w:leftChars="0" w:right="0" w:firstLine="600" w:firstLineChars="200"/>
        <w:jc w:val="left"/>
        <w:textAlignment w:val="auto"/>
        <w:rPr>
          <w:rFonts w:hint="eastAsia" w:ascii="黑体" w:hAnsi="黑体" w:eastAsia="黑体" w:cs="黑体"/>
          <w:b w:val="0"/>
          <w:bCs w:val="0"/>
          <w:color w:val="000000"/>
          <w:sz w:val="30"/>
          <w:lang w:val="en-US" w:eastAsia="zh-CN"/>
        </w:rPr>
      </w:pPr>
      <w:r>
        <w:rPr>
          <w:rFonts w:hint="eastAsia" w:ascii="黑体" w:hAnsi="黑体" w:eastAsia="黑体" w:cs="黑体"/>
          <w:b w:val="0"/>
          <w:bCs w:val="0"/>
          <w:color w:val="000000"/>
          <w:sz w:val="30"/>
          <w:lang w:val="en-US" w:eastAsia="zh-CN"/>
        </w:rPr>
        <w:t>资产后续管护及运营情况</w:t>
      </w:r>
    </w:p>
    <w:p w14:paraId="0EEF6330">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该项后期会建立后续管护机制，确保该项目稳定良好运行，为巩固拓展脱贫攻坚成果，全面实乡村振兴提供更好保障。</w:t>
      </w:r>
    </w:p>
    <w:p w14:paraId="35A255FC">
      <w:pPr>
        <w:keepNext w:val="0"/>
        <w:keepLines w:val="0"/>
        <w:pageBreakBefore w:val="0"/>
        <w:widowControl w:val="0"/>
        <w:kinsoku/>
        <w:wordWrap w:val="0"/>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仿宋_GB2312" w:hAnsi="仿宋" w:eastAsia="仿宋_GB2312"/>
          <w:sz w:val="32"/>
          <w:szCs w:val="32"/>
          <w:lang w:val="en-US" w:eastAsia="zh-CN"/>
        </w:rPr>
      </w:pPr>
    </w:p>
    <w:p w14:paraId="3053C28D">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880" w:firstLineChars="200"/>
        <w:jc w:val="center"/>
        <w:textAlignment w:val="auto"/>
        <w:outlineLvl w:val="9"/>
        <w:rPr>
          <w:rFonts w:hint="eastAsia" w:ascii="方正小标宋简体" w:hAnsi="Cambria" w:eastAsia="方正小标宋简体" w:cs="Times New Roman"/>
          <w:sz w:val="44"/>
          <w:szCs w:val="44"/>
          <w:lang w:eastAsia="zh-CN"/>
        </w:rPr>
      </w:pPr>
    </w:p>
    <w:p w14:paraId="733F4D52">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31065980">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4CA27037">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54F7A6F2">
      <w:pPr>
        <w:keepNext w:val="0"/>
        <w:keepLines w:val="0"/>
        <w:pageBreakBefore w:val="0"/>
        <w:widowControl w:val="0"/>
        <w:kinsoku/>
        <w:overflowPunct/>
        <w:topLinePunct w:val="0"/>
        <w:autoSpaceDE/>
        <w:bidi w:val="0"/>
        <w:adjustRightInd/>
        <w:snapToGrid/>
        <w:spacing w:beforeAutospacing="0" w:after="120" w:afterAutospacing="0" w:line="240" w:lineRule="auto"/>
        <w:ind w:right="0"/>
        <w:jc w:val="both"/>
        <w:textAlignment w:val="auto"/>
        <w:rPr>
          <w:rFonts w:hint="eastAsia" w:ascii="方正小标宋简体" w:hAnsi="Cambria" w:eastAsia="方正小标宋简体" w:cs="Times New Roman"/>
          <w:sz w:val="44"/>
          <w:szCs w:val="44"/>
          <w:lang w:eastAsia="zh-CN"/>
        </w:rPr>
      </w:pPr>
    </w:p>
    <w:p w14:paraId="577BE378">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lang w:eastAsia="zh-CN"/>
        </w:rPr>
        <w:t>阿木乡</w:t>
      </w:r>
      <w:r>
        <w:rPr>
          <w:rFonts w:hint="eastAsia" w:ascii="方正小标宋简体" w:hAnsi="Cambria" w:eastAsia="方正小标宋简体" w:cs="Times New Roman"/>
          <w:sz w:val="44"/>
          <w:szCs w:val="44"/>
          <w:lang w:val="en-US" w:eastAsia="zh-CN"/>
        </w:rPr>
        <w:t>2025年</w:t>
      </w:r>
      <w:r>
        <w:rPr>
          <w:rFonts w:hint="eastAsia" w:ascii="方正小标宋简体" w:hAnsi="Cambria" w:eastAsia="方正小标宋简体" w:cs="Times New Roman"/>
          <w:sz w:val="44"/>
          <w:szCs w:val="44"/>
        </w:rPr>
        <w:t>财政</w:t>
      </w:r>
      <w:r>
        <w:rPr>
          <w:rFonts w:hint="eastAsia" w:ascii="方正小标宋简体" w:hAnsi="Cambria" w:eastAsia="方正小标宋简体" w:cs="Times New Roman"/>
          <w:sz w:val="44"/>
          <w:szCs w:val="44"/>
          <w:lang w:eastAsia="zh-CN"/>
        </w:rPr>
        <w:t>衔接资金</w:t>
      </w:r>
      <w:r>
        <w:rPr>
          <w:rFonts w:hint="eastAsia" w:ascii="方正小标宋简体" w:hAnsi="Cambria" w:eastAsia="方正小标宋简体" w:cs="Times New Roman"/>
          <w:sz w:val="44"/>
          <w:szCs w:val="44"/>
        </w:rPr>
        <w:t>资金绩效</w:t>
      </w:r>
    </w:p>
    <w:p w14:paraId="1F5568D4">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rPr>
        <w:t>自评总结报告</w:t>
      </w:r>
    </w:p>
    <w:p w14:paraId="2E1B0810">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阿木乡2025年公共厕所建设项目</w:t>
      </w:r>
      <w:r>
        <w:rPr>
          <w:rFonts w:hint="eastAsia" w:ascii="仿宋_GB2312" w:hAnsi="仿宋_GB2312" w:eastAsia="仿宋_GB2312" w:cs="仿宋_GB2312"/>
          <w:sz w:val="32"/>
          <w:szCs w:val="32"/>
          <w:lang w:val="en-US" w:eastAsia="zh-CN"/>
        </w:rPr>
        <w:t>)</w:t>
      </w:r>
    </w:p>
    <w:p w14:paraId="1E8BE8DD">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left"/>
        <w:textAlignment w:val="auto"/>
        <w:outlineLvl w:val="9"/>
        <w:rPr>
          <w:rFonts w:hint="eastAsia" w:ascii="仿宋_GB2312" w:hAnsi="仿宋_GB2312" w:eastAsia="仿宋_GB2312" w:cs="仿宋_GB2312"/>
          <w:sz w:val="32"/>
          <w:szCs w:val="32"/>
          <w:lang w:val="en-US" w:eastAsia="zh-CN"/>
        </w:rPr>
      </w:pPr>
    </w:p>
    <w:p w14:paraId="59C5909D">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ascii="黑体" w:hAnsi="黑体" w:eastAsia="黑体" w:cs="黑体"/>
          <w:color w:val="auto"/>
          <w:spacing w:val="0"/>
          <w:position w:val="0"/>
          <w:sz w:val="32"/>
          <w:shd w:val="clear" w:color="auto" w:fill="auto"/>
        </w:rPr>
      </w:pPr>
      <w:r>
        <w:rPr>
          <w:rFonts w:ascii="黑体" w:hAnsi="黑体" w:eastAsia="黑体" w:cs="黑体"/>
          <w:color w:val="auto"/>
          <w:spacing w:val="0"/>
          <w:position w:val="0"/>
          <w:sz w:val="32"/>
          <w:shd w:val="clear" w:color="auto" w:fill="auto"/>
        </w:rPr>
        <w:t>一、项目概况</w:t>
      </w:r>
    </w:p>
    <w:p w14:paraId="45515972">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阿木乡位于红原中部偏</w:t>
      </w:r>
      <w:r>
        <w:rPr>
          <w:rFonts w:hint="eastAsia" w:ascii="仿宋" w:hAnsi="仿宋" w:eastAsia="仿宋" w:cs="仿宋"/>
          <w:color w:val="auto"/>
          <w:sz w:val="32"/>
          <w:szCs w:val="32"/>
          <w:highlight w:val="none"/>
          <w:lang w:eastAsia="zh-CN"/>
        </w:rPr>
        <w:t>西</w:t>
      </w:r>
      <w:r>
        <w:rPr>
          <w:rFonts w:hint="eastAsia" w:ascii="仿宋" w:hAnsi="仿宋" w:eastAsia="仿宋" w:cs="仿宋"/>
          <w:color w:val="auto"/>
          <w:sz w:val="32"/>
          <w:szCs w:val="32"/>
          <w:highlight w:val="none"/>
        </w:rPr>
        <w:t>北方，东与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"https://baike.baidu.com/item/%E6%9D%BE%E6%BD%98%E5%8E%BF/2123648"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松潘县</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lang w:eastAsia="zh-CN"/>
        </w:rPr>
        <w:t>毛尔盖镇</w:t>
      </w:r>
      <w:r>
        <w:rPr>
          <w:rFonts w:hint="eastAsia" w:ascii="仿宋" w:hAnsi="仿宋" w:eastAsia="仿宋" w:cs="仿宋"/>
          <w:color w:val="auto"/>
          <w:sz w:val="32"/>
          <w:szCs w:val="32"/>
          <w:highlight w:val="none"/>
        </w:rPr>
        <w:t>为邻，南连</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"https://baike.baidu.com/item/%E9%BE%99%E6%97%A5%E9%95%87/24221013"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龙日镇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，西邻</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"https://baike.baidu.com/item/%E9%82%9B%E6%BA%AA%E9%95%87/2893511"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邛溪镇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，北与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"https://baike.baidu.com/item/%E7%93%A6%E5%88%87%E9%95%87/8536052"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瓦切镇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、麦洼乡相连，东北与色地镇接壤</w:t>
      </w:r>
      <w:r>
        <w:rPr>
          <w:rFonts w:hint="eastAsia" w:ascii="仿宋" w:hAnsi="仿宋" w:eastAsia="仿宋" w:cs="仿宋"/>
          <w:color w:val="auto"/>
          <w:sz w:val="32"/>
          <w:szCs w:val="32"/>
          <w:highlight w:val="none"/>
          <w:lang w:eastAsia="zh-CN"/>
        </w:rPr>
        <w:t>，乡政</w:t>
      </w:r>
      <w:r>
        <w:rPr>
          <w:rFonts w:hint="eastAsia" w:ascii="仿宋" w:hAnsi="仿宋" w:eastAsia="仿宋" w:cs="仿宋"/>
          <w:color w:val="auto"/>
          <w:sz w:val="32"/>
          <w:szCs w:val="32"/>
          <w:highlight w:val="none"/>
        </w:rPr>
        <w:t>府所在地距红原县城18公里，紧邻</w:t>
      </w:r>
      <w:r>
        <w:rPr>
          <w:rFonts w:hint="eastAsia" w:ascii="仿宋" w:hAnsi="仿宋" w:eastAsia="仿宋" w:cs="仿宋"/>
          <w:color w:val="auto"/>
          <w:sz w:val="32"/>
          <w:szCs w:val="32"/>
          <w:highlight w:val="none"/>
          <w:lang w:eastAsia="zh-CN"/>
        </w:rPr>
        <w:t>国道</w:t>
      </w:r>
      <w:r>
        <w:rPr>
          <w:rFonts w:hint="eastAsia" w:ascii="仿宋" w:hAnsi="仿宋" w:eastAsia="仿宋" w:cs="仿宋"/>
          <w:color w:val="auto"/>
          <w:sz w:val="32"/>
          <w:szCs w:val="32"/>
          <w:highlight w:val="none"/>
          <w:lang w:val="en-US" w:eastAsia="zh-CN"/>
        </w:rPr>
        <w:t>248</w:t>
      </w:r>
      <w:r>
        <w:rPr>
          <w:rFonts w:hint="eastAsia" w:ascii="仿宋" w:hAnsi="仿宋" w:eastAsia="仿宋" w:cs="仿宋"/>
          <w:color w:val="auto"/>
          <w:sz w:val="32"/>
          <w:szCs w:val="32"/>
          <w:highlight w:val="none"/>
        </w:rPr>
        <w:t>线，地形</w:t>
      </w:r>
      <w:r>
        <w:rPr>
          <w:rFonts w:hint="eastAsia" w:ascii="仿宋" w:hAnsi="仿宋" w:eastAsia="仿宋" w:cs="仿宋"/>
          <w:color w:val="auto"/>
          <w:sz w:val="32"/>
          <w:szCs w:val="32"/>
          <w:highlight w:val="none"/>
          <w:lang w:val="en-US" w:eastAsia="zh-CN"/>
        </w:rPr>
        <w:t>具有</w:t>
      </w:r>
      <w:r>
        <w:rPr>
          <w:rFonts w:hint="eastAsia" w:ascii="仿宋" w:hAnsi="仿宋" w:eastAsia="仿宋" w:cs="仿宋"/>
          <w:color w:val="auto"/>
          <w:sz w:val="32"/>
          <w:szCs w:val="32"/>
          <w:highlight w:val="none"/>
        </w:rPr>
        <w:t>高山草甸特征</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平均海拔</w:t>
      </w:r>
      <w:r>
        <w:rPr>
          <w:rFonts w:hint="eastAsia" w:ascii="仿宋" w:hAnsi="仿宋" w:eastAsia="仿宋" w:cs="仿宋"/>
          <w:color w:val="auto"/>
          <w:sz w:val="32"/>
          <w:szCs w:val="32"/>
          <w:highlight w:val="none"/>
          <w:lang w:val="en-US" w:eastAsia="zh-CN"/>
        </w:rPr>
        <w:t>3600</w:t>
      </w:r>
      <w:r>
        <w:rPr>
          <w:rFonts w:hint="eastAsia" w:ascii="仿宋" w:hAnsi="仿宋" w:eastAsia="仿宋" w:cs="仿宋"/>
          <w:color w:val="auto"/>
          <w:sz w:val="32"/>
          <w:szCs w:val="32"/>
          <w:highlight w:val="none"/>
        </w:rPr>
        <w:t>米，年平均气温1.</w:t>
      </w: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rPr>
        <w:t>℃，极端最低气温</w:t>
      </w:r>
      <w:r>
        <w:rPr>
          <w:rFonts w:hint="eastAsia" w:ascii="仿宋" w:hAnsi="仿宋" w:eastAsia="仿宋" w:cs="仿宋"/>
          <w:color w:val="auto"/>
          <w:sz w:val="32"/>
          <w:szCs w:val="32"/>
          <w:highlight w:val="none"/>
          <w:lang w:val="en-US" w:eastAsia="zh-CN"/>
        </w:rPr>
        <w:t>-</w:t>
      </w:r>
      <w:r>
        <w:rPr>
          <w:rFonts w:hint="eastAsia" w:ascii="仿宋" w:hAnsi="仿宋" w:eastAsia="仿宋" w:cs="仿宋"/>
          <w:color w:val="auto"/>
          <w:sz w:val="32"/>
          <w:szCs w:val="32"/>
          <w:highlight w:val="none"/>
        </w:rPr>
        <w:t>36.2℃，极端</w:t>
      </w:r>
      <w:r>
        <w:rPr>
          <w:rFonts w:hint="eastAsia" w:ascii="仿宋" w:hAnsi="仿宋" w:eastAsia="仿宋" w:cs="仿宋"/>
          <w:b w:val="0"/>
          <w:bCs w:val="0"/>
          <w:color w:val="auto"/>
          <w:sz w:val="32"/>
          <w:szCs w:val="32"/>
          <w:highlight w:val="none"/>
          <w:lang w:val="en-US" w:eastAsia="zh-CN"/>
        </w:rPr>
        <w:t>最高</w:t>
      </w:r>
      <w:r>
        <w:rPr>
          <w:rFonts w:hint="eastAsia" w:ascii="仿宋" w:hAnsi="仿宋" w:eastAsia="仿宋" w:cs="仿宋"/>
          <w:color w:val="auto"/>
          <w:sz w:val="32"/>
          <w:szCs w:val="32"/>
          <w:highlight w:val="none"/>
        </w:rPr>
        <w:t>气温25.6℃</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年降雨量为753毫米</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属安多藏族聚居</w:t>
      </w:r>
      <w:r>
        <w:rPr>
          <w:rFonts w:hint="eastAsia" w:ascii="仿宋" w:hAnsi="仿宋" w:eastAsia="仿宋" w:cs="仿宋"/>
          <w:color w:val="auto"/>
          <w:sz w:val="32"/>
          <w:szCs w:val="32"/>
          <w:highlight w:val="none"/>
          <w:lang w:eastAsia="zh-CN"/>
        </w:rPr>
        <w:t>的</w:t>
      </w:r>
      <w:r>
        <w:rPr>
          <w:rFonts w:hint="eastAsia" w:ascii="仿宋" w:hAnsi="仿宋" w:eastAsia="仿宋" w:cs="仿宋"/>
          <w:color w:val="auto"/>
          <w:sz w:val="32"/>
          <w:szCs w:val="32"/>
          <w:highlight w:val="none"/>
        </w:rPr>
        <w:t>高原</w:t>
      </w:r>
      <w:r>
        <w:rPr>
          <w:rFonts w:hint="eastAsia" w:ascii="仿宋" w:hAnsi="仿宋" w:eastAsia="仿宋" w:cs="仿宋"/>
          <w:color w:val="auto"/>
          <w:sz w:val="32"/>
          <w:szCs w:val="32"/>
          <w:highlight w:val="none"/>
          <w:lang w:val="en-US" w:eastAsia="zh-CN"/>
        </w:rPr>
        <w:t>纯</w:t>
      </w:r>
      <w:r>
        <w:rPr>
          <w:rFonts w:hint="eastAsia" w:ascii="仿宋" w:hAnsi="仿宋" w:eastAsia="仿宋" w:cs="仿宋"/>
          <w:color w:val="auto"/>
          <w:sz w:val="32"/>
          <w:szCs w:val="32"/>
          <w:highlight w:val="none"/>
        </w:rPr>
        <w:t>牧业乡，</w:t>
      </w:r>
      <w:r>
        <w:rPr>
          <w:rFonts w:hint="eastAsia" w:ascii="仿宋" w:hAnsi="仿宋" w:eastAsia="仿宋" w:cs="仿宋"/>
          <w:color w:val="auto"/>
          <w:sz w:val="32"/>
          <w:szCs w:val="32"/>
          <w:highlight w:val="none"/>
          <w:lang w:eastAsia="zh-CN"/>
        </w:rPr>
        <w:t>幅员</w:t>
      </w:r>
      <w:r>
        <w:rPr>
          <w:rFonts w:hint="eastAsia" w:ascii="仿宋" w:hAnsi="仿宋" w:eastAsia="仿宋" w:cs="仿宋"/>
          <w:color w:val="auto"/>
          <w:sz w:val="32"/>
          <w:szCs w:val="32"/>
          <w:highlight w:val="none"/>
        </w:rPr>
        <w:t>面</w:t>
      </w:r>
      <w:r>
        <w:rPr>
          <w:rFonts w:hint="eastAsia" w:ascii="仿宋" w:hAnsi="仿宋" w:eastAsia="仿宋" w:cs="仿宋"/>
          <w:color w:val="auto"/>
          <w:sz w:val="32"/>
          <w:szCs w:val="32"/>
          <w:highlight w:val="none"/>
          <w:lang w:eastAsia="zh-CN"/>
        </w:rPr>
        <w:t>积</w:t>
      </w:r>
      <w:r>
        <w:rPr>
          <w:rFonts w:hint="eastAsia" w:ascii="仿宋" w:hAnsi="仿宋" w:eastAsia="仿宋" w:cs="仿宋"/>
          <w:color w:val="auto"/>
          <w:sz w:val="32"/>
          <w:szCs w:val="32"/>
          <w:highlight w:val="none"/>
          <w:lang w:val="en-US" w:eastAsia="zh-CN"/>
        </w:rPr>
        <w:t>905平方千米（135.8万亩）。</w:t>
      </w:r>
      <w:r>
        <w:rPr>
          <w:rFonts w:hint="eastAsia" w:ascii="仿宋" w:hAnsi="仿宋" w:eastAsia="仿宋" w:cs="仿宋"/>
          <w:color w:val="auto"/>
          <w:sz w:val="32"/>
          <w:szCs w:val="32"/>
          <w:highlight w:val="none"/>
          <w:lang w:eastAsia="zh-CN"/>
        </w:rPr>
        <w:t>阿木乡下辖</w:t>
      </w: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lang w:eastAsia="zh-CN"/>
        </w:rPr>
        <w:t>个行政村（峨扎村、卡口村）</w:t>
      </w:r>
      <w:r>
        <w:rPr>
          <w:rFonts w:hint="eastAsia" w:ascii="仿宋" w:hAnsi="仿宋" w:eastAsia="仿宋" w:cs="仿宋"/>
          <w:color w:val="auto"/>
          <w:sz w:val="32"/>
          <w:szCs w:val="32"/>
          <w:highlight w:val="none"/>
          <w:lang w:val="en-US" w:eastAsia="zh-CN"/>
        </w:rPr>
        <w:t>18个村民小组（峨扎10个村民小组，卡口8个村民小组），8个联户（峨扎村4个联户，卡口村4个联户），共有721户3605人（卡口村353户1739人，峨扎村368户1866人）；脱贫户141户637人（卡口村74户333人、峨扎村67户304人）；监测户18户95人（卡口村户8户22人、峨扎村10户73人。</w:t>
      </w:r>
    </w:p>
    <w:p w14:paraId="3EC076A1">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下达预算及项目情况。</w:t>
      </w:r>
    </w:p>
    <w:p w14:paraId="2D4CA4C9">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该项目下达预算资金25万元，</w:t>
      </w:r>
      <w:r>
        <w:rPr>
          <w:rFonts w:hint="eastAsia" w:ascii="仿宋_GB2312" w:hAnsi="仿宋_GB2312" w:eastAsia="仿宋_GB2312" w:cs="仿宋_GB2312"/>
          <w:sz w:val="32"/>
          <w:szCs w:val="32"/>
          <w:lang w:val="en-US" w:eastAsia="zh-CN"/>
        </w:rPr>
        <w:t>阿木乡集中聚集点原址重建公厕1座，采用冲水式，配套太阳能发电设备，通过慢热线进行管道加热，公厕建筑面积30㎡，男女分区，设蹲10个，预计资金25万元。</w:t>
      </w:r>
    </w:p>
    <w:p w14:paraId="031D7103">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项目绩效目标设定情况。</w:t>
      </w:r>
    </w:p>
    <w:p w14:paraId="2A3F7D78">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该项目签订合同时间为2025年5月15日，合同价23.7万元，主要建设内容为</w:t>
      </w:r>
      <w:r>
        <w:rPr>
          <w:rFonts w:hint="eastAsia" w:ascii="仿宋_GB2312" w:hAnsi="仿宋_GB2312" w:eastAsia="仿宋_GB2312" w:cs="仿宋_GB2312"/>
          <w:sz w:val="32"/>
          <w:szCs w:val="32"/>
          <w:lang w:val="en-US" w:eastAsia="zh-CN"/>
        </w:rPr>
        <w:t>阿木乡集中聚集点原址重建公厕1座，采用冲水式，配套太阳能发电设备，通过慢热线进行管道加热，公厕建筑面积30㎡，男女分区，设蹲10个，预计资金25万元。</w:t>
      </w:r>
    </w:p>
    <w:p w14:paraId="3CB19A3F">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二、绩效自评工作开展情况</w:t>
      </w:r>
    </w:p>
    <w:p w14:paraId="1CAF01E6">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该项目计划投资25万元，实际到位25万元，资金来源为:乡村振兴衔接资金，申报目标为</w:t>
      </w:r>
      <w:r>
        <w:rPr>
          <w:rFonts w:hint="eastAsia" w:ascii="仿宋_GB2312" w:hAnsi="仿宋_GB2312" w:eastAsia="仿宋_GB2312" w:cs="仿宋_GB2312"/>
          <w:sz w:val="32"/>
          <w:szCs w:val="32"/>
          <w:lang w:val="en-US" w:eastAsia="zh-CN"/>
        </w:rPr>
        <w:t>阿木乡集中聚集点原址重建公厕1座，采用冲水式，配套太阳能发电设备，通过慢热线进行管道加热，公厕建筑面积30㎡，男女分区，设蹲10个，预计资金25万元。</w:t>
      </w:r>
      <w:r>
        <w:rPr>
          <w:rFonts w:hint="eastAsia" w:ascii="仿宋" w:hAnsi="仿宋" w:eastAsia="仿宋" w:cs="仿宋"/>
          <w:color w:val="auto"/>
          <w:sz w:val="32"/>
          <w:szCs w:val="32"/>
          <w:highlight w:val="none"/>
          <w:lang w:val="en-US" w:eastAsia="zh-CN"/>
        </w:rPr>
        <w:t>截止目前已完成工程量100%，于2025年9月11日已完成验收100%，目前已完成资金拨付97%，剩余3%为质保金，质保期为1年，群众满意度达到100%。</w:t>
      </w:r>
    </w:p>
    <w:p w14:paraId="189DECB9">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三、绩效目标自评完成情况分析</w:t>
      </w:r>
      <w:r>
        <w:rPr>
          <w:rFonts w:hint="eastAsia" w:ascii="黑体" w:hAnsi="黑体" w:eastAsia="黑体" w:cs="黑体"/>
          <w:b w:val="0"/>
          <w:bCs w:val="0"/>
          <w:color w:val="000000"/>
          <w:sz w:val="32"/>
          <w:szCs w:val="32"/>
        </w:rPr>
        <w:tab/>
      </w:r>
    </w:p>
    <w:p w14:paraId="2CD2ECF8">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602" w:firstLineChars="200"/>
        <w:jc w:val="left"/>
        <w:textAlignment w:val="auto"/>
        <w:rPr>
          <w:rFonts w:ascii="楷体_GB2312" w:hAnsi="楷体_GB2312" w:eastAsia="楷体_GB2312" w:cs="楷体_GB2312"/>
          <w:b/>
          <w:color w:val="auto"/>
          <w:spacing w:val="0"/>
          <w:position w:val="0"/>
          <w:sz w:val="32"/>
          <w:shd w:val="clear" w:color="auto" w:fill="auto"/>
        </w:rPr>
      </w:pPr>
      <w:r>
        <w:rPr>
          <w:rFonts w:hint="eastAsia" w:ascii="宋体" w:hAnsi="宋体" w:eastAsia="宋体"/>
          <w:b/>
          <w:bCs/>
          <w:color w:val="000000"/>
          <w:sz w:val="30"/>
        </w:rPr>
        <w:t>（一）资金投入情况分析。</w:t>
      </w:r>
    </w:p>
    <w:p w14:paraId="37DA0FBC">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阿木乡2025年公共厕所建设项目。该项目良好完成计划目标，截止评价时已完成任务量100%，已拨付资金97%，资金到位情况及时，资金拨付情况合理，资金管理规范。</w:t>
      </w:r>
    </w:p>
    <w:p w14:paraId="67F3689F">
      <w:pPr>
        <w:pStyle w:val="15"/>
        <w:keepNext w:val="0"/>
        <w:keepLines w:val="0"/>
        <w:pageBreakBefore w:val="0"/>
        <w:widowControl w:val="0"/>
        <w:numPr>
          <w:ilvl w:val="0"/>
          <w:numId w:val="4"/>
        </w:numPr>
        <w:kinsoku/>
        <w:overflowPunct/>
        <w:topLinePunct w:val="0"/>
        <w:autoSpaceDE/>
        <w:bidi w:val="0"/>
        <w:adjustRightInd/>
        <w:snapToGrid/>
        <w:spacing w:beforeAutospacing="0" w:after="120" w:afterAutospacing="0" w:line="240" w:lineRule="auto"/>
        <w:ind w:left="0" w:leftChars="0" w:right="0" w:firstLine="602" w:firstLineChars="200"/>
        <w:textAlignment w:val="auto"/>
        <w:rPr>
          <w:rFonts w:hint="eastAsia" w:ascii="宋体" w:hAnsi="宋体" w:eastAsia="宋体"/>
          <w:b/>
          <w:bCs/>
          <w:color w:val="000000"/>
          <w:sz w:val="30"/>
        </w:rPr>
      </w:pPr>
      <w:r>
        <w:rPr>
          <w:rFonts w:hint="eastAsia" w:ascii="宋体" w:hAnsi="宋体" w:eastAsia="宋体"/>
          <w:b/>
          <w:bCs/>
          <w:color w:val="000000"/>
          <w:sz w:val="30"/>
        </w:rPr>
        <w:t>绩效目标完成情况分析。</w:t>
      </w:r>
    </w:p>
    <w:p w14:paraId="4B663364">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截止目前已完成工程量100%，于2025年9月11日已完成验收100%，已拨付资金97%，满意度达到100%。</w:t>
      </w:r>
    </w:p>
    <w:p w14:paraId="7FF3B82A">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3" w:firstLineChars="200"/>
        <w:textAlignment w:val="auto"/>
        <w:rPr>
          <w:rFonts w:hint="eastAsia" w:ascii="仿宋_GB2312" w:hAnsi="仿宋" w:eastAsia="仿宋_GB2312"/>
          <w:spacing w:val="-10"/>
          <w:sz w:val="32"/>
          <w:szCs w:val="32"/>
          <w:lang w:val="en-US" w:eastAsia="zh-CN"/>
        </w:rPr>
      </w:pPr>
      <w:r>
        <w:rPr>
          <w:rFonts w:ascii="宋体" w:hAnsi="宋体" w:eastAsia="宋体" w:cs="宋体"/>
          <w:b/>
          <w:color w:val="auto"/>
          <w:spacing w:val="0"/>
          <w:position w:val="0"/>
          <w:sz w:val="32"/>
          <w:shd w:val="clear" w:color="auto" w:fill="auto"/>
        </w:rPr>
        <w:t>（</w:t>
      </w:r>
      <w:r>
        <w:rPr>
          <w:rFonts w:hint="eastAsia" w:ascii="宋体" w:hAnsi="宋体" w:eastAsia="宋体" w:cs="宋体"/>
          <w:b/>
          <w:color w:val="auto"/>
          <w:spacing w:val="0"/>
          <w:position w:val="0"/>
          <w:sz w:val="32"/>
          <w:shd w:val="clear" w:color="auto" w:fill="auto"/>
          <w:lang w:eastAsia="zh-CN"/>
        </w:rPr>
        <w:t>三</w:t>
      </w:r>
      <w:r>
        <w:rPr>
          <w:rFonts w:ascii="宋体" w:hAnsi="宋体" w:eastAsia="宋体" w:cs="宋体"/>
          <w:b/>
          <w:color w:val="auto"/>
          <w:spacing w:val="0"/>
          <w:position w:val="0"/>
          <w:sz w:val="32"/>
          <w:shd w:val="clear" w:color="auto" w:fill="auto"/>
        </w:rPr>
        <w:t>）项目效益情况</w:t>
      </w:r>
    </w:p>
    <w:p w14:paraId="0BF163F5">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通过该项目的实施，改善牧民群众生活条件，提高生活质量，改善人居环境。项目建设完成后由涉及乡镇将资产移交确权给相关村集体</w:t>
      </w:r>
    </w:p>
    <w:p w14:paraId="7D8A090C">
      <w:pPr>
        <w:keepNext w:val="0"/>
        <w:keepLines w:val="0"/>
        <w:pageBreakBefore w:val="0"/>
        <w:widowControl w:val="0"/>
        <w:numPr>
          <w:ilvl w:val="0"/>
          <w:numId w:val="5"/>
        </w:numPr>
        <w:kinsoku/>
        <w:overflowPunct/>
        <w:topLinePunct w:val="0"/>
        <w:autoSpaceDE/>
        <w:bidi w:val="0"/>
        <w:adjustRightInd/>
        <w:snapToGrid/>
        <w:spacing w:beforeAutospacing="0" w:after="120" w:afterAutospacing="0" w:line="240" w:lineRule="auto"/>
        <w:ind w:left="0" w:leftChars="0" w:right="0" w:firstLine="600" w:firstLineChars="200"/>
        <w:jc w:val="left"/>
        <w:textAlignment w:val="auto"/>
        <w:rPr>
          <w:rFonts w:hint="eastAsia" w:ascii="黑体" w:hAnsi="黑体" w:eastAsia="黑体" w:cs="黑体"/>
          <w:b w:val="0"/>
          <w:bCs w:val="0"/>
          <w:color w:val="000000"/>
          <w:sz w:val="30"/>
          <w:lang w:val="en-US" w:eastAsia="zh-CN"/>
        </w:rPr>
      </w:pPr>
      <w:r>
        <w:rPr>
          <w:rFonts w:hint="eastAsia" w:ascii="黑体" w:hAnsi="黑体" w:eastAsia="黑体" w:cs="黑体"/>
          <w:b w:val="0"/>
          <w:bCs w:val="0"/>
          <w:color w:val="000000"/>
          <w:sz w:val="30"/>
          <w:lang w:val="en-US" w:eastAsia="zh-CN"/>
        </w:rPr>
        <w:t>资产后续管护及运营情况</w:t>
      </w:r>
    </w:p>
    <w:p w14:paraId="1069E8A0">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项目建设完成后将资产移交确权给相关村集体，建立该项后续管护机制，确保该项目稳定良好运行，为巩固拓展脱贫攻坚成果，全面实乡村振兴提供更好保障。</w:t>
      </w:r>
    </w:p>
    <w:p w14:paraId="03CA0C57">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27A7DC9B">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lang w:eastAsia="zh-CN"/>
        </w:rPr>
      </w:pPr>
    </w:p>
    <w:p w14:paraId="5238A7A3">
      <w:pPr>
        <w:keepNext w:val="0"/>
        <w:keepLines w:val="0"/>
        <w:pageBreakBefore w:val="0"/>
        <w:widowControl w:val="0"/>
        <w:kinsoku/>
        <w:overflowPunct/>
        <w:topLinePunct w:val="0"/>
        <w:autoSpaceDE/>
        <w:bidi w:val="0"/>
        <w:adjustRightInd/>
        <w:snapToGrid/>
        <w:spacing w:beforeAutospacing="0" w:after="120" w:afterAutospacing="0" w:line="240" w:lineRule="auto"/>
        <w:ind w:right="0"/>
        <w:jc w:val="both"/>
        <w:textAlignment w:val="auto"/>
        <w:rPr>
          <w:rFonts w:hint="eastAsia" w:ascii="方正小标宋简体" w:hAnsi="Cambria" w:eastAsia="方正小标宋简体" w:cs="Times New Roman"/>
          <w:sz w:val="44"/>
          <w:szCs w:val="44"/>
          <w:lang w:eastAsia="zh-CN"/>
        </w:rPr>
      </w:pPr>
    </w:p>
    <w:p w14:paraId="7317FF5F">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lang w:eastAsia="zh-CN"/>
        </w:rPr>
        <w:t>阿木乡</w:t>
      </w:r>
      <w:r>
        <w:rPr>
          <w:rFonts w:hint="eastAsia" w:ascii="方正小标宋简体" w:hAnsi="Cambria" w:eastAsia="方正小标宋简体" w:cs="Times New Roman"/>
          <w:sz w:val="44"/>
          <w:szCs w:val="44"/>
          <w:lang w:val="en-US" w:eastAsia="zh-CN"/>
        </w:rPr>
        <w:t>2025年</w:t>
      </w:r>
      <w:r>
        <w:rPr>
          <w:rFonts w:hint="eastAsia" w:ascii="方正小标宋简体" w:hAnsi="Cambria" w:eastAsia="方正小标宋简体" w:cs="Times New Roman"/>
          <w:sz w:val="44"/>
          <w:szCs w:val="44"/>
        </w:rPr>
        <w:t>财政</w:t>
      </w:r>
      <w:r>
        <w:rPr>
          <w:rFonts w:hint="eastAsia" w:ascii="方正小标宋简体" w:hAnsi="Cambria" w:eastAsia="方正小标宋简体" w:cs="Times New Roman"/>
          <w:sz w:val="44"/>
          <w:szCs w:val="44"/>
          <w:lang w:eastAsia="zh-CN"/>
        </w:rPr>
        <w:t>衔接资金</w:t>
      </w:r>
      <w:r>
        <w:rPr>
          <w:rFonts w:hint="eastAsia" w:ascii="方正小标宋简体" w:hAnsi="Cambria" w:eastAsia="方正小标宋简体" w:cs="Times New Roman"/>
          <w:sz w:val="44"/>
          <w:szCs w:val="44"/>
        </w:rPr>
        <w:t>资金绩效</w:t>
      </w:r>
    </w:p>
    <w:p w14:paraId="4EBE6D3C">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880" w:firstLineChars="200"/>
        <w:jc w:val="center"/>
        <w:textAlignment w:val="auto"/>
        <w:rPr>
          <w:rFonts w:hint="eastAsia" w:ascii="方正小标宋简体" w:hAnsi="Cambria" w:eastAsia="方正小标宋简体" w:cs="Times New Roman"/>
          <w:sz w:val="44"/>
          <w:szCs w:val="44"/>
        </w:rPr>
      </w:pPr>
      <w:r>
        <w:rPr>
          <w:rFonts w:hint="eastAsia" w:ascii="方正小标宋简体" w:hAnsi="Cambria" w:eastAsia="方正小标宋简体" w:cs="Times New Roman"/>
          <w:sz w:val="44"/>
          <w:szCs w:val="44"/>
        </w:rPr>
        <w:t>自评总结报告</w:t>
      </w:r>
    </w:p>
    <w:p w14:paraId="42D3238F">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kern w:val="2"/>
          <w:sz w:val="32"/>
          <w:szCs w:val="32"/>
          <w:lang w:val="en-US" w:eastAsia="zh-CN" w:bidi="ar-SA"/>
        </w:rPr>
        <w:t>阿木乡2025年生态家庭农场建设项目</w:t>
      </w:r>
      <w:r>
        <w:rPr>
          <w:rFonts w:hint="eastAsia" w:ascii="仿宋_GB2312" w:hAnsi="仿宋_GB2312" w:eastAsia="仿宋_GB2312" w:cs="仿宋_GB2312"/>
          <w:sz w:val="32"/>
          <w:szCs w:val="32"/>
          <w:lang w:val="en-US" w:eastAsia="zh-CN"/>
        </w:rPr>
        <w:t>)</w:t>
      </w:r>
    </w:p>
    <w:p w14:paraId="5DCE8C67">
      <w:pPr>
        <w:keepNext w:val="0"/>
        <w:keepLines w:val="0"/>
        <w:pageBreakBefore w:val="0"/>
        <w:widowControl w:val="0"/>
        <w:suppressLineNumbers w:val="0"/>
        <w:suppressAutoHyphens w:val="0"/>
        <w:kinsoku/>
        <w:wordWrap/>
        <w:overflowPunct/>
        <w:topLinePunct w:val="0"/>
        <w:autoSpaceDE/>
        <w:autoSpaceDN w:val="0"/>
        <w:bidi w:val="0"/>
        <w:adjustRightInd/>
        <w:snapToGrid/>
        <w:spacing w:beforeAutospacing="0" w:after="120" w:afterAutospacing="0" w:line="240" w:lineRule="auto"/>
        <w:ind w:left="0" w:leftChars="0" w:right="0" w:firstLine="640" w:firstLineChars="200"/>
        <w:jc w:val="left"/>
        <w:textAlignment w:val="auto"/>
        <w:outlineLvl w:val="9"/>
        <w:rPr>
          <w:rFonts w:hint="eastAsia" w:ascii="仿宋_GB2312" w:hAnsi="仿宋_GB2312" w:eastAsia="仿宋_GB2312" w:cs="仿宋_GB2312"/>
          <w:sz w:val="32"/>
          <w:szCs w:val="32"/>
          <w:lang w:val="en-US" w:eastAsia="zh-CN"/>
        </w:rPr>
      </w:pPr>
    </w:p>
    <w:p w14:paraId="0470042A">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ascii="黑体" w:hAnsi="黑体" w:eastAsia="黑体" w:cs="黑体"/>
          <w:color w:val="auto"/>
          <w:spacing w:val="0"/>
          <w:position w:val="0"/>
          <w:sz w:val="32"/>
          <w:shd w:val="clear" w:color="auto" w:fill="auto"/>
        </w:rPr>
      </w:pPr>
      <w:r>
        <w:rPr>
          <w:rFonts w:ascii="黑体" w:hAnsi="黑体" w:eastAsia="黑体" w:cs="黑体"/>
          <w:color w:val="auto"/>
          <w:spacing w:val="0"/>
          <w:position w:val="0"/>
          <w:sz w:val="32"/>
          <w:shd w:val="clear" w:color="auto" w:fill="auto"/>
        </w:rPr>
        <w:t>一、项目概况</w:t>
      </w:r>
    </w:p>
    <w:p w14:paraId="7026F777">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阿木乡位于红原中部偏</w:t>
      </w:r>
      <w:r>
        <w:rPr>
          <w:rFonts w:hint="eastAsia" w:ascii="仿宋" w:hAnsi="仿宋" w:eastAsia="仿宋" w:cs="仿宋"/>
          <w:color w:val="auto"/>
          <w:sz w:val="32"/>
          <w:szCs w:val="32"/>
          <w:highlight w:val="none"/>
          <w:lang w:eastAsia="zh-CN"/>
        </w:rPr>
        <w:t>西</w:t>
      </w:r>
      <w:r>
        <w:rPr>
          <w:rFonts w:hint="eastAsia" w:ascii="仿宋" w:hAnsi="仿宋" w:eastAsia="仿宋" w:cs="仿宋"/>
          <w:color w:val="auto"/>
          <w:sz w:val="32"/>
          <w:szCs w:val="32"/>
          <w:highlight w:val="none"/>
        </w:rPr>
        <w:t>北方，东与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"https://baike.baidu.com/item/%E6%9D%BE%E6%BD%98%E5%8E%BF/2123648"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松潘县</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lang w:eastAsia="zh-CN"/>
        </w:rPr>
        <w:t>毛尔盖镇</w:t>
      </w:r>
      <w:r>
        <w:rPr>
          <w:rFonts w:hint="eastAsia" w:ascii="仿宋" w:hAnsi="仿宋" w:eastAsia="仿宋" w:cs="仿宋"/>
          <w:color w:val="auto"/>
          <w:sz w:val="32"/>
          <w:szCs w:val="32"/>
          <w:highlight w:val="none"/>
        </w:rPr>
        <w:t>为邻，南连</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"https://baike.baidu.com/item/%E9%BE%99%E6%97%A5%E9%95%87/24221013"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龙日镇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，西邻</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"https://baike.baidu.com/item/%E9%82%9B%E6%BA%AA%E9%95%87/2893511"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邛溪镇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，北与</w:t>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"https://baike.baidu.com/item/%E7%93%A6%E5%88%87%E9%95%87/8536052" \t "https://baike.baidu.com/item/%E9%98%BF%E6%9C%A8%E4%B9%A1/_blank"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瓦切镇</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、麦洼乡相连，东北与色地镇接壤</w:t>
      </w:r>
      <w:r>
        <w:rPr>
          <w:rFonts w:hint="eastAsia" w:ascii="仿宋" w:hAnsi="仿宋" w:eastAsia="仿宋" w:cs="仿宋"/>
          <w:color w:val="auto"/>
          <w:sz w:val="32"/>
          <w:szCs w:val="32"/>
          <w:highlight w:val="none"/>
          <w:lang w:eastAsia="zh-CN"/>
        </w:rPr>
        <w:t>，乡政</w:t>
      </w:r>
      <w:r>
        <w:rPr>
          <w:rFonts w:hint="eastAsia" w:ascii="仿宋" w:hAnsi="仿宋" w:eastAsia="仿宋" w:cs="仿宋"/>
          <w:color w:val="auto"/>
          <w:sz w:val="32"/>
          <w:szCs w:val="32"/>
          <w:highlight w:val="none"/>
        </w:rPr>
        <w:t>府所在地距红原县城18公里，紧邻</w:t>
      </w:r>
      <w:r>
        <w:rPr>
          <w:rFonts w:hint="eastAsia" w:ascii="仿宋" w:hAnsi="仿宋" w:eastAsia="仿宋" w:cs="仿宋"/>
          <w:color w:val="auto"/>
          <w:sz w:val="32"/>
          <w:szCs w:val="32"/>
          <w:highlight w:val="none"/>
          <w:lang w:eastAsia="zh-CN"/>
        </w:rPr>
        <w:t>国道</w:t>
      </w:r>
      <w:r>
        <w:rPr>
          <w:rFonts w:hint="eastAsia" w:ascii="仿宋" w:hAnsi="仿宋" w:eastAsia="仿宋" w:cs="仿宋"/>
          <w:color w:val="auto"/>
          <w:sz w:val="32"/>
          <w:szCs w:val="32"/>
          <w:highlight w:val="none"/>
          <w:lang w:val="en-US" w:eastAsia="zh-CN"/>
        </w:rPr>
        <w:t>248</w:t>
      </w:r>
      <w:r>
        <w:rPr>
          <w:rFonts w:hint="eastAsia" w:ascii="仿宋" w:hAnsi="仿宋" w:eastAsia="仿宋" w:cs="仿宋"/>
          <w:color w:val="auto"/>
          <w:sz w:val="32"/>
          <w:szCs w:val="32"/>
          <w:highlight w:val="none"/>
        </w:rPr>
        <w:t>线，地形</w:t>
      </w:r>
      <w:r>
        <w:rPr>
          <w:rFonts w:hint="eastAsia" w:ascii="仿宋" w:hAnsi="仿宋" w:eastAsia="仿宋" w:cs="仿宋"/>
          <w:color w:val="auto"/>
          <w:sz w:val="32"/>
          <w:szCs w:val="32"/>
          <w:highlight w:val="none"/>
          <w:lang w:val="en-US" w:eastAsia="zh-CN"/>
        </w:rPr>
        <w:t>具有</w:t>
      </w:r>
      <w:r>
        <w:rPr>
          <w:rFonts w:hint="eastAsia" w:ascii="仿宋" w:hAnsi="仿宋" w:eastAsia="仿宋" w:cs="仿宋"/>
          <w:color w:val="auto"/>
          <w:sz w:val="32"/>
          <w:szCs w:val="32"/>
          <w:highlight w:val="none"/>
        </w:rPr>
        <w:t>高山草甸特征</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平均海拔</w:t>
      </w:r>
      <w:r>
        <w:rPr>
          <w:rFonts w:hint="eastAsia" w:ascii="仿宋" w:hAnsi="仿宋" w:eastAsia="仿宋" w:cs="仿宋"/>
          <w:color w:val="auto"/>
          <w:sz w:val="32"/>
          <w:szCs w:val="32"/>
          <w:highlight w:val="none"/>
          <w:lang w:val="en-US" w:eastAsia="zh-CN"/>
        </w:rPr>
        <w:t>3600</w:t>
      </w:r>
      <w:r>
        <w:rPr>
          <w:rFonts w:hint="eastAsia" w:ascii="仿宋" w:hAnsi="仿宋" w:eastAsia="仿宋" w:cs="仿宋"/>
          <w:color w:val="auto"/>
          <w:sz w:val="32"/>
          <w:szCs w:val="32"/>
          <w:highlight w:val="none"/>
        </w:rPr>
        <w:t>米，年平均气温1.</w:t>
      </w:r>
      <w:r>
        <w:rPr>
          <w:rFonts w:hint="eastAsia" w:ascii="仿宋" w:hAnsi="仿宋" w:eastAsia="仿宋" w:cs="仿宋"/>
          <w:color w:val="auto"/>
          <w:sz w:val="32"/>
          <w:szCs w:val="32"/>
          <w:highlight w:val="none"/>
          <w:lang w:val="en-US" w:eastAsia="zh-CN"/>
        </w:rPr>
        <w:t>4</w:t>
      </w:r>
      <w:r>
        <w:rPr>
          <w:rFonts w:hint="eastAsia" w:ascii="仿宋" w:hAnsi="仿宋" w:eastAsia="仿宋" w:cs="仿宋"/>
          <w:color w:val="auto"/>
          <w:sz w:val="32"/>
          <w:szCs w:val="32"/>
          <w:highlight w:val="none"/>
        </w:rPr>
        <w:t>℃，极端最低气温</w:t>
      </w:r>
      <w:r>
        <w:rPr>
          <w:rFonts w:hint="eastAsia" w:ascii="仿宋" w:hAnsi="仿宋" w:eastAsia="仿宋" w:cs="仿宋"/>
          <w:color w:val="auto"/>
          <w:sz w:val="32"/>
          <w:szCs w:val="32"/>
          <w:highlight w:val="none"/>
          <w:lang w:val="en-US" w:eastAsia="zh-CN"/>
        </w:rPr>
        <w:t>-</w:t>
      </w:r>
      <w:r>
        <w:rPr>
          <w:rFonts w:hint="eastAsia" w:ascii="仿宋" w:hAnsi="仿宋" w:eastAsia="仿宋" w:cs="仿宋"/>
          <w:color w:val="auto"/>
          <w:sz w:val="32"/>
          <w:szCs w:val="32"/>
          <w:highlight w:val="none"/>
        </w:rPr>
        <w:t>36.2℃，极端</w:t>
      </w:r>
      <w:r>
        <w:rPr>
          <w:rFonts w:hint="eastAsia" w:ascii="仿宋" w:hAnsi="仿宋" w:eastAsia="仿宋" w:cs="仿宋"/>
          <w:b w:val="0"/>
          <w:bCs w:val="0"/>
          <w:color w:val="auto"/>
          <w:sz w:val="32"/>
          <w:szCs w:val="32"/>
          <w:highlight w:val="none"/>
          <w:lang w:val="en-US" w:eastAsia="zh-CN"/>
        </w:rPr>
        <w:t>最高</w:t>
      </w:r>
      <w:r>
        <w:rPr>
          <w:rFonts w:hint="eastAsia" w:ascii="仿宋" w:hAnsi="仿宋" w:eastAsia="仿宋" w:cs="仿宋"/>
          <w:color w:val="auto"/>
          <w:sz w:val="32"/>
          <w:szCs w:val="32"/>
          <w:highlight w:val="none"/>
        </w:rPr>
        <w:t>气温25.6℃</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年降雨量为753毫米</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属安多藏族聚居</w:t>
      </w:r>
      <w:r>
        <w:rPr>
          <w:rFonts w:hint="eastAsia" w:ascii="仿宋" w:hAnsi="仿宋" w:eastAsia="仿宋" w:cs="仿宋"/>
          <w:color w:val="auto"/>
          <w:sz w:val="32"/>
          <w:szCs w:val="32"/>
          <w:highlight w:val="none"/>
          <w:lang w:eastAsia="zh-CN"/>
        </w:rPr>
        <w:t>的</w:t>
      </w:r>
      <w:r>
        <w:rPr>
          <w:rFonts w:hint="eastAsia" w:ascii="仿宋" w:hAnsi="仿宋" w:eastAsia="仿宋" w:cs="仿宋"/>
          <w:color w:val="auto"/>
          <w:sz w:val="32"/>
          <w:szCs w:val="32"/>
          <w:highlight w:val="none"/>
        </w:rPr>
        <w:t>高原</w:t>
      </w:r>
      <w:r>
        <w:rPr>
          <w:rFonts w:hint="eastAsia" w:ascii="仿宋" w:hAnsi="仿宋" w:eastAsia="仿宋" w:cs="仿宋"/>
          <w:color w:val="auto"/>
          <w:sz w:val="32"/>
          <w:szCs w:val="32"/>
          <w:highlight w:val="none"/>
          <w:lang w:val="en-US" w:eastAsia="zh-CN"/>
        </w:rPr>
        <w:t>纯</w:t>
      </w:r>
      <w:r>
        <w:rPr>
          <w:rFonts w:hint="eastAsia" w:ascii="仿宋" w:hAnsi="仿宋" w:eastAsia="仿宋" w:cs="仿宋"/>
          <w:color w:val="auto"/>
          <w:sz w:val="32"/>
          <w:szCs w:val="32"/>
          <w:highlight w:val="none"/>
        </w:rPr>
        <w:t>牧业乡，</w:t>
      </w:r>
      <w:r>
        <w:rPr>
          <w:rFonts w:hint="eastAsia" w:ascii="仿宋" w:hAnsi="仿宋" w:eastAsia="仿宋" w:cs="仿宋"/>
          <w:color w:val="auto"/>
          <w:sz w:val="32"/>
          <w:szCs w:val="32"/>
          <w:highlight w:val="none"/>
          <w:lang w:eastAsia="zh-CN"/>
        </w:rPr>
        <w:t>幅员</w:t>
      </w:r>
      <w:r>
        <w:rPr>
          <w:rFonts w:hint="eastAsia" w:ascii="仿宋" w:hAnsi="仿宋" w:eastAsia="仿宋" w:cs="仿宋"/>
          <w:color w:val="auto"/>
          <w:sz w:val="32"/>
          <w:szCs w:val="32"/>
          <w:highlight w:val="none"/>
        </w:rPr>
        <w:t>面</w:t>
      </w:r>
      <w:r>
        <w:rPr>
          <w:rFonts w:hint="eastAsia" w:ascii="仿宋" w:hAnsi="仿宋" w:eastAsia="仿宋" w:cs="仿宋"/>
          <w:color w:val="auto"/>
          <w:sz w:val="32"/>
          <w:szCs w:val="32"/>
          <w:highlight w:val="none"/>
          <w:lang w:eastAsia="zh-CN"/>
        </w:rPr>
        <w:t>积</w:t>
      </w:r>
      <w:r>
        <w:rPr>
          <w:rFonts w:hint="eastAsia" w:ascii="仿宋" w:hAnsi="仿宋" w:eastAsia="仿宋" w:cs="仿宋"/>
          <w:color w:val="auto"/>
          <w:sz w:val="32"/>
          <w:szCs w:val="32"/>
          <w:highlight w:val="none"/>
          <w:lang w:val="en-US" w:eastAsia="zh-CN"/>
        </w:rPr>
        <w:t>905平方千米（135.8万亩）。</w:t>
      </w:r>
      <w:r>
        <w:rPr>
          <w:rFonts w:hint="eastAsia" w:ascii="仿宋" w:hAnsi="仿宋" w:eastAsia="仿宋" w:cs="仿宋"/>
          <w:color w:val="auto"/>
          <w:sz w:val="32"/>
          <w:szCs w:val="32"/>
          <w:highlight w:val="none"/>
          <w:lang w:eastAsia="zh-CN"/>
        </w:rPr>
        <w:t>阿木乡下辖</w:t>
      </w: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lang w:eastAsia="zh-CN"/>
        </w:rPr>
        <w:t>个行政村（峨扎村、卡口村）</w:t>
      </w:r>
      <w:r>
        <w:rPr>
          <w:rFonts w:hint="eastAsia" w:ascii="仿宋" w:hAnsi="仿宋" w:eastAsia="仿宋" w:cs="仿宋"/>
          <w:color w:val="auto"/>
          <w:sz w:val="32"/>
          <w:szCs w:val="32"/>
          <w:highlight w:val="none"/>
          <w:lang w:val="en-US" w:eastAsia="zh-CN"/>
        </w:rPr>
        <w:t>18个村民小组（峨扎10个村民小组，卡口8个村民小组），8个联户（峨扎村4个联户，卡口村4个联户），共有721户3605人（卡口村353户1739人，峨扎村368户1866人）；脱贫户141户637人（卡口村74户333人、峨扎村67户304人）；监测户18户95人（卡口村户8户22人、峨扎村10户73人。</w:t>
      </w:r>
    </w:p>
    <w:p w14:paraId="0DBCD4D2">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下达预算及项目情况。</w:t>
      </w:r>
    </w:p>
    <w:p w14:paraId="6D7D04B4">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仿宋" w:hAnsi="仿宋" w:eastAsia="仿宋" w:cs="仿宋"/>
          <w:color w:val="auto"/>
          <w:sz w:val="32"/>
          <w:szCs w:val="32"/>
          <w:highlight w:val="none"/>
          <w:lang w:val="en-US" w:eastAsia="zh-CN"/>
        </w:rPr>
        <w:t>该项目下达预算资金120万元，</w:t>
      </w:r>
      <w:r>
        <w:rPr>
          <w:rFonts w:hint="eastAsia" w:ascii="仿宋_GB2312" w:hAnsi="仿宋_GB2312" w:eastAsia="仿宋_GB2312" w:cs="仿宋_GB2312"/>
          <w:sz w:val="32"/>
          <w:szCs w:val="32"/>
          <w:lang w:val="en-US" w:eastAsia="zh-CN"/>
        </w:rPr>
        <w:t>建设暖棚300平方米，储草库50平方米，运动场圈500平方米、管理用房60平方米，巷道圈1个。项目总投资120万元。</w:t>
      </w:r>
    </w:p>
    <w:p w14:paraId="500371C9">
      <w:pPr>
        <w:keepNext w:val="0"/>
        <w:keepLines w:val="0"/>
        <w:pageBreakBefore w:val="0"/>
        <w:widowControl w:val="0"/>
        <w:numPr>
          <w:ilvl w:val="0"/>
          <w:numId w:val="3"/>
        </w:numPr>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both"/>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财政</w:t>
      </w:r>
      <w:r>
        <w:rPr>
          <w:rFonts w:hint="eastAsia" w:ascii="楷体_GB2312" w:hAnsi="楷体_GB2312" w:eastAsia="楷体_GB2312" w:cs="楷体_GB2312"/>
          <w:b w:val="0"/>
          <w:bCs w:val="0"/>
          <w:color w:val="000000"/>
          <w:sz w:val="32"/>
          <w:szCs w:val="32"/>
          <w:lang w:eastAsia="zh-CN"/>
        </w:rPr>
        <w:t>衔接资金</w:t>
      </w:r>
      <w:r>
        <w:rPr>
          <w:rFonts w:hint="eastAsia" w:ascii="楷体_GB2312" w:hAnsi="楷体_GB2312" w:eastAsia="楷体_GB2312" w:cs="楷体_GB2312"/>
          <w:b w:val="0"/>
          <w:bCs w:val="0"/>
          <w:color w:val="000000"/>
          <w:sz w:val="32"/>
          <w:szCs w:val="32"/>
        </w:rPr>
        <w:t>项目绩效目标设定情况。</w:t>
      </w:r>
    </w:p>
    <w:p w14:paraId="7309B6E3">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该项目为以奖待补项目，主要建设内容为</w:t>
      </w:r>
      <w:r>
        <w:rPr>
          <w:rFonts w:hint="eastAsia" w:ascii="仿宋_GB2312" w:hAnsi="仿宋_GB2312" w:eastAsia="仿宋_GB2312" w:cs="仿宋_GB2312"/>
          <w:sz w:val="32"/>
          <w:szCs w:val="32"/>
          <w:lang w:val="en-US" w:eastAsia="zh-CN"/>
        </w:rPr>
        <w:t>建设暖棚300平方米，储草库50平方米，运动场圈500平方米、管理用房60平方米，巷道圈1个。项目总投资120万元。</w:t>
      </w:r>
    </w:p>
    <w:p w14:paraId="1E7DA9A6">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二、绩效自评工作开展情况</w:t>
      </w:r>
    </w:p>
    <w:p w14:paraId="4976D2D0">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该项目计划投资120万元，实际到位120万元，资金来源为:乡村振兴衔接资金，申报目标为</w:t>
      </w:r>
      <w:r>
        <w:rPr>
          <w:rFonts w:hint="eastAsia" w:ascii="仿宋_GB2312" w:hAnsi="仿宋_GB2312" w:eastAsia="仿宋_GB2312" w:cs="仿宋_GB2312"/>
          <w:sz w:val="32"/>
          <w:szCs w:val="32"/>
          <w:lang w:val="en-US" w:eastAsia="zh-CN"/>
        </w:rPr>
        <w:t>建设暖棚300平方米，储草库50平方米，运动场圈500平方米、管理用房60平方米，巷道圈1个。项目总投资120万元。</w:t>
      </w:r>
      <w:r>
        <w:rPr>
          <w:rFonts w:hint="eastAsia" w:ascii="仿宋" w:hAnsi="仿宋" w:eastAsia="仿宋" w:cs="仿宋"/>
          <w:color w:val="auto"/>
          <w:sz w:val="32"/>
          <w:szCs w:val="32"/>
          <w:highlight w:val="none"/>
          <w:lang w:val="en-US" w:eastAsia="zh-CN"/>
        </w:rPr>
        <w:t>截止目前已完成工程量100%，于2025年11月18日已完成验收100%，目前已完成资金拨付100%，群众满意度达到100%。</w:t>
      </w:r>
    </w:p>
    <w:p w14:paraId="5694A7CF">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firstLine="640" w:firstLineChars="200"/>
        <w:jc w:val="both"/>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三、绩效目标自评完成情况分析</w:t>
      </w:r>
      <w:r>
        <w:rPr>
          <w:rFonts w:hint="eastAsia" w:ascii="黑体" w:hAnsi="黑体" w:eastAsia="黑体" w:cs="黑体"/>
          <w:b w:val="0"/>
          <w:bCs w:val="0"/>
          <w:color w:val="000000"/>
          <w:sz w:val="32"/>
          <w:szCs w:val="32"/>
        </w:rPr>
        <w:tab/>
      </w:r>
    </w:p>
    <w:p w14:paraId="41C58C3D">
      <w:pPr>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602" w:firstLineChars="200"/>
        <w:jc w:val="left"/>
        <w:textAlignment w:val="auto"/>
        <w:rPr>
          <w:rFonts w:ascii="楷体_GB2312" w:hAnsi="楷体_GB2312" w:eastAsia="楷体_GB2312" w:cs="楷体_GB2312"/>
          <w:b/>
          <w:color w:val="auto"/>
          <w:spacing w:val="0"/>
          <w:position w:val="0"/>
          <w:sz w:val="32"/>
          <w:shd w:val="clear" w:color="auto" w:fill="auto"/>
        </w:rPr>
      </w:pPr>
      <w:r>
        <w:rPr>
          <w:rFonts w:hint="eastAsia" w:ascii="宋体" w:hAnsi="宋体" w:eastAsia="宋体"/>
          <w:b/>
          <w:bCs/>
          <w:color w:val="000000"/>
          <w:sz w:val="30"/>
        </w:rPr>
        <w:t>（一）资金投入情况分析。</w:t>
      </w:r>
    </w:p>
    <w:p w14:paraId="31B570BF">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kern w:val="2"/>
          <w:sz w:val="32"/>
          <w:szCs w:val="32"/>
          <w:highlight w:val="none"/>
          <w:lang w:val="en-US" w:eastAsia="zh-CN" w:bidi="ar-SA"/>
        </w:rPr>
        <w:t>阿木乡2025年生态家庭农场建设项目</w:t>
      </w:r>
      <w:r>
        <w:rPr>
          <w:rFonts w:hint="eastAsia" w:ascii="仿宋" w:hAnsi="仿宋" w:eastAsia="仿宋" w:cs="仿宋"/>
          <w:color w:val="auto"/>
          <w:sz w:val="32"/>
          <w:szCs w:val="32"/>
          <w:highlight w:val="none"/>
          <w:lang w:val="en-US" w:eastAsia="zh-CN"/>
        </w:rPr>
        <w:t>。该项目良好完成计划目标，截止评价时已完成任务量100%，已拨付资金100%，资金到位情况及时，资金拨付情况合理，资金管理规范。</w:t>
      </w:r>
    </w:p>
    <w:p w14:paraId="4076A1AF">
      <w:pPr>
        <w:pStyle w:val="15"/>
        <w:keepNext w:val="0"/>
        <w:keepLines w:val="0"/>
        <w:pageBreakBefore w:val="0"/>
        <w:widowControl w:val="0"/>
        <w:numPr>
          <w:ilvl w:val="0"/>
          <w:numId w:val="4"/>
        </w:numPr>
        <w:kinsoku/>
        <w:overflowPunct/>
        <w:topLinePunct w:val="0"/>
        <w:autoSpaceDE/>
        <w:bidi w:val="0"/>
        <w:adjustRightInd/>
        <w:snapToGrid/>
        <w:spacing w:beforeAutospacing="0" w:after="120" w:afterAutospacing="0" w:line="240" w:lineRule="auto"/>
        <w:ind w:left="0" w:leftChars="0" w:right="0" w:firstLine="602" w:firstLineChars="200"/>
        <w:textAlignment w:val="auto"/>
        <w:rPr>
          <w:rFonts w:hint="eastAsia" w:ascii="宋体" w:hAnsi="宋体" w:eastAsia="宋体"/>
          <w:b/>
          <w:bCs/>
          <w:color w:val="000000"/>
          <w:sz w:val="30"/>
        </w:rPr>
      </w:pPr>
      <w:r>
        <w:rPr>
          <w:rFonts w:hint="eastAsia" w:ascii="宋体" w:hAnsi="宋体" w:eastAsia="宋体"/>
          <w:b/>
          <w:bCs/>
          <w:color w:val="000000"/>
          <w:sz w:val="30"/>
        </w:rPr>
        <w:t>绩效目标完成情况分析。</w:t>
      </w:r>
    </w:p>
    <w:p w14:paraId="50356606">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截止目前已完成工程量100%，于2025年11月18日已完成验收100%，已拨付资金100%，满意度达到100%。</w:t>
      </w:r>
    </w:p>
    <w:p w14:paraId="0FCB3A1F">
      <w:pPr>
        <w:keepNext w:val="0"/>
        <w:keepLines w:val="0"/>
        <w:pageBreakBefore w:val="0"/>
        <w:widowControl w:val="0"/>
        <w:numPr>
          <w:ilvl w:val="0"/>
          <w:numId w:val="0"/>
        </w:numPr>
        <w:kinsoku/>
        <w:wordWrap/>
        <w:overflowPunct/>
        <w:topLinePunct w:val="0"/>
        <w:autoSpaceDE/>
        <w:autoSpaceDN/>
        <w:bidi w:val="0"/>
        <w:adjustRightInd/>
        <w:snapToGrid/>
        <w:spacing w:beforeAutospacing="0" w:after="120" w:afterAutospacing="0" w:line="240" w:lineRule="auto"/>
        <w:ind w:left="0" w:leftChars="0" w:right="0" w:firstLine="643" w:firstLineChars="200"/>
        <w:textAlignment w:val="auto"/>
        <w:rPr>
          <w:rFonts w:hint="eastAsia" w:ascii="仿宋_GB2312" w:hAnsi="仿宋" w:eastAsia="仿宋_GB2312"/>
          <w:spacing w:val="-10"/>
          <w:sz w:val="32"/>
          <w:szCs w:val="32"/>
          <w:lang w:val="en-US" w:eastAsia="zh-CN"/>
        </w:rPr>
      </w:pPr>
      <w:r>
        <w:rPr>
          <w:rFonts w:ascii="宋体" w:hAnsi="宋体" w:eastAsia="宋体" w:cs="宋体"/>
          <w:b/>
          <w:color w:val="auto"/>
          <w:spacing w:val="0"/>
          <w:position w:val="0"/>
          <w:sz w:val="32"/>
          <w:shd w:val="clear" w:color="auto" w:fill="auto"/>
        </w:rPr>
        <w:t>（</w:t>
      </w:r>
      <w:r>
        <w:rPr>
          <w:rFonts w:hint="eastAsia" w:ascii="宋体" w:hAnsi="宋体" w:eastAsia="宋体" w:cs="宋体"/>
          <w:b/>
          <w:color w:val="auto"/>
          <w:spacing w:val="0"/>
          <w:position w:val="0"/>
          <w:sz w:val="32"/>
          <w:shd w:val="clear" w:color="auto" w:fill="auto"/>
          <w:lang w:eastAsia="zh-CN"/>
        </w:rPr>
        <w:t>三</w:t>
      </w:r>
      <w:r>
        <w:rPr>
          <w:rFonts w:ascii="宋体" w:hAnsi="宋体" w:eastAsia="宋体" w:cs="宋体"/>
          <w:b/>
          <w:color w:val="auto"/>
          <w:spacing w:val="0"/>
          <w:position w:val="0"/>
          <w:sz w:val="32"/>
          <w:shd w:val="clear" w:color="auto" w:fill="auto"/>
        </w:rPr>
        <w:t>）项目效益情况</w:t>
      </w:r>
    </w:p>
    <w:p w14:paraId="23942CC4">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通过该项目的实施，提升牧民生产条件，改善牦牛选育、牦牛改良等功能，实现牧民增收。资产由镇村两级指导受益农户自行管理。</w:t>
      </w:r>
    </w:p>
    <w:p w14:paraId="553B68F0">
      <w:pPr>
        <w:keepNext w:val="0"/>
        <w:keepLines w:val="0"/>
        <w:pageBreakBefore w:val="0"/>
        <w:widowControl w:val="0"/>
        <w:numPr>
          <w:ilvl w:val="0"/>
          <w:numId w:val="5"/>
        </w:numPr>
        <w:kinsoku/>
        <w:overflowPunct/>
        <w:topLinePunct w:val="0"/>
        <w:autoSpaceDE/>
        <w:bidi w:val="0"/>
        <w:adjustRightInd/>
        <w:snapToGrid/>
        <w:spacing w:beforeAutospacing="0" w:after="120" w:afterAutospacing="0" w:line="240" w:lineRule="auto"/>
        <w:ind w:left="0" w:leftChars="0" w:right="0" w:firstLine="600" w:firstLineChars="200"/>
        <w:jc w:val="left"/>
        <w:textAlignment w:val="auto"/>
        <w:rPr>
          <w:rFonts w:hint="eastAsia" w:ascii="黑体" w:hAnsi="黑体" w:eastAsia="黑体" w:cs="黑体"/>
          <w:b w:val="0"/>
          <w:bCs w:val="0"/>
          <w:color w:val="000000"/>
          <w:sz w:val="30"/>
          <w:lang w:val="en-US" w:eastAsia="zh-CN"/>
        </w:rPr>
      </w:pPr>
      <w:r>
        <w:rPr>
          <w:rFonts w:hint="eastAsia" w:ascii="黑体" w:hAnsi="黑体" w:eastAsia="黑体" w:cs="黑体"/>
          <w:b w:val="0"/>
          <w:bCs w:val="0"/>
          <w:color w:val="000000"/>
          <w:sz w:val="30"/>
          <w:lang w:val="en-US" w:eastAsia="zh-CN"/>
        </w:rPr>
        <w:t>资产后续管护及运营情况</w:t>
      </w:r>
    </w:p>
    <w:p w14:paraId="613ED8E4">
      <w:pPr>
        <w:keepNext w:val="0"/>
        <w:keepLines w:val="0"/>
        <w:pageBreakBefore w:val="0"/>
        <w:widowControl w:val="0"/>
        <w:kinsoku/>
        <w:wordWrap/>
        <w:overflowPunct/>
        <w:topLinePunct w:val="0"/>
        <w:autoSpaceDE/>
        <w:autoSpaceDN/>
        <w:bidi w:val="0"/>
        <w:adjustRightInd/>
        <w:snapToGrid/>
        <w:spacing w:beforeAutospacing="0" w:after="120" w:afterAutospacing="0" w:line="240" w:lineRule="auto"/>
        <w:ind w:left="0" w:leftChars="0" w:right="0" w:rightChars="0" w:firstLine="640" w:firstLineChars="200"/>
        <w:jc w:val="left"/>
        <w:textAlignment w:val="auto"/>
        <w:outlineLvl w:val="9"/>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建立该项后续管护机制，确保该项目稳定良好运行，为巩固拓展脱贫攻坚成果，全面实乡村振兴提供更好保障。</w:t>
      </w:r>
    </w:p>
    <w:p w14:paraId="2F9021A9">
      <w:pPr>
        <w:pStyle w:val="15"/>
        <w:keepNext w:val="0"/>
        <w:keepLines w:val="0"/>
        <w:pageBreakBefore w:val="0"/>
        <w:widowControl w:val="0"/>
        <w:kinsoku/>
        <w:overflowPunct/>
        <w:topLinePunct w:val="0"/>
        <w:autoSpaceDE/>
        <w:bidi w:val="0"/>
        <w:adjustRightInd/>
        <w:snapToGrid/>
        <w:spacing w:beforeAutospacing="0" w:after="120" w:afterAutospacing="0" w:line="240" w:lineRule="auto"/>
        <w:ind w:left="0" w:leftChars="0" w:right="0" w:firstLine="640" w:firstLineChars="200"/>
        <w:textAlignment w:val="auto"/>
        <w:rPr>
          <w:rFonts w:hint="eastAsia" w:ascii="仿宋_GB2312" w:hAnsi="仿宋" w:eastAsia="仿宋_GB2312"/>
          <w:sz w:val="32"/>
          <w:szCs w:val="32"/>
          <w:lang w:val="en-US" w:eastAsia="zh-CN"/>
        </w:rPr>
      </w:pPr>
    </w:p>
    <w:p w14:paraId="700F135A">
      <w:pPr>
        <w:pStyle w:val="15"/>
        <w:pageBreakBefore w:val="0"/>
        <w:kinsoku/>
        <w:overflowPunct/>
        <w:topLinePunct w:val="0"/>
        <w:bidi w:val="0"/>
        <w:spacing w:beforeAutospacing="0" w:after="120" w:afterAutospacing="0" w:line="240" w:lineRule="auto"/>
        <w:ind w:left="0" w:leftChars="0" w:right="0" w:firstLine="640" w:firstLineChars="200"/>
        <w:textAlignment w:val="auto"/>
        <w:rPr>
          <w:rFonts w:hint="eastAsia"/>
          <w:lang w:val="en-US" w:eastAsia="zh-CN"/>
        </w:rPr>
      </w:pPr>
    </w:p>
    <w:p w14:paraId="46E7ECB1">
      <w:pPr>
        <w:keepNext w:val="0"/>
        <w:keepLines w:val="0"/>
        <w:pageBreakBefore w:val="0"/>
        <w:widowControl w:val="0"/>
        <w:kinsoku/>
        <w:wordWrap/>
        <w:overflowPunct/>
        <w:topLinePunct w:val="0"/>
        <w:autoSpaceDE/>
        <w:autoSpaceDN/>
        <w:bidi w:val="0"/>
        <w:spacing w:beforeAutospacing="0" w:after="120" w:afterAutospacing="0" w:line="240" w:lineRule="auto"/>
        <w:ind w:left="0" w:leftChars="0" w:right="0" w:firstLine="640" w:firstLineChars="20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bookmarkStart w:id="62" w:name="_Toc15396618"/>
      <w:r>
        <w:rPr>
          <w:rFonts w:hint="eastAsia" w:ascii="Times New Roman" w:hAnsi="Times New Roman" w:eastAsia="仿宋_GB2312" w:cs="仿宋_GB2312"/>
          <w:b w:val="0"/>
          <w:bCs w:val="0"/>
          <w:kern w:val="0"/>
          <w:position w:val="0"/>
          <w:sz w:val="32"/>
          <w:szCs w:val="32"/>
          <w:highlight w:val="none"/>
          <w:lang w:val="en-US" w:eastAsia="zh-CN" w:bidi="ar-SA"/>
        </w:rPr>
        <w:br w:type="page"/>
      </w:r>
    </w:p>
    <w:p w14:paraId="3BE7DFA1">
      <w:pPr>
        <w:pageBreakBefore w:val="0"/>
        <w:widowControl/>
        <w:kinsoku/>
        <w:overflowPunct/>
        <w:topLinePunct w:val="0"/>
        <w:bidi w:val="0"/>
        <w:spacing w:beforeAutospacing="0" w:after="120" w:afterAutospacing="0" w:line="240" w:lineRule="auto"/>
        <w:ind w:left="0" w:leftChars="0" w:right="0" w:firstLine="880" w:firstLineChars="200"/>
        <w:jc w:val="center"/>
        <w:textAlignment w:val="auto"/>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31"/>
          <w:rFonts w:hint="eastAsia" w:ascii="Times New Roman" w:hAnsi="Times New Roman" w:eastAsia="黑体"/>
          <w:b w:val="0"/>
          <w:color w:val="auto"/>
          <w:highlight w:val="none"/>
        </w:rPr>
        <w:t>五部分 附表</w:t>
      </w:r>
      <w:bookmarkEnd w:id="59"/>
      <w:bookmarkEnd w:id="62"/>
      <w:bookmarkStart w:id="63" w:name="_Toc15396619"/>
    </w:p>
    <w:p w14:paraId="176F24F1">
      <w:pPr>
        <w:pStyle w:val="16"/>
        <w:keepNext w:val="0"/>
        <w:keepLines w:val="0"/>
        <w:pageBreakBefore w:val="0"/>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Times New Roman" w:hAnsi="Times New Roman" w:eastAsia="仿宋_GB2312" w:cs="仿宋_GB2312"/>
          <w:color w:val="auto"/>
          <w:sz w:val="32"/>
          <w:szCs w:val="32"/>
          <w:highlight w:val="none"/>
        </w:rPr>
      </w:pPr>
    </w:p>
    <w:p w14:paraId="6CC92DDA">
      <w:pPr>
        <w:pStyle w:val="16"/>
        <w:keepNext w:val="0"/>
        <w:keepLines w:val="0"/>
        <w:pageBreakBefore w:val="0"/>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63"/>
    </w:p>
    <w:p w14:paraId="66CA8532">
      <w:pPr>
        <w:pStyle w:val="16"/>
        <w:keepNext w:val="0"/>
        <w:keepLines w:val="0"/>
        <w:pageBreakBefore w:val="0"/>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Times New Roman" w:hAnsi="Times New Roman" w:eastAsia="仿宋_GB2312" w:cs="仿宋_GB2312"/>
          <w:color w:val="auto"/>
          <w:sz w:val="32"/>
          <w:szCs w:val="32"/>
          <w:highlight w:val="none"/>
        </w:rPr>
      </w:pPr>
      <w:bookmarkStart w:id="64" w:name="_Toc15396620"/>
      <w:r>
        <w:rPr>
          <w:rFonts w:hint="eastAsia" w:ascii="Times New Roman" w:hAnsi="Times New Roman" w:eastAsia="仿宋_GB2312" w:cs="仿宋_GB2312"/>
          <w:color w:val="auto"/>
          <w:sz w:val="32"/>
          <w:szCs w:val="32"/>
          <w:highlight w:val="none"/>
        </w:rPr>
        <w:t>二、收入决算表</w:t>
      </w:r>
      <w:bookmarkEnd w:id="64"/>
    </w:p>
    <w:p w14:paraId="46F621D4">
      <w:pPr>
        <w:pStyle w:val="16"/>
        <w:keepNext w:val="0"/>
        <w:keepLines w:val="0"/>
        <w:pageBreakBefore w:val="0"/>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Times New Roman" w:hAnsi="Times New Roman" w:eastAsia="仿宋_GB2312" w:cs="仿宋_GB2312"/>
          <w:color w:val="auto"/>
          <w:sz w:val="32"/>
          <w:szCs w:val="32"/>
          <w:highlight w:val="none"/>
        </w:rPr>
      </w:pPr>
      <w:bookmarkStart w:id="65" w:name="_Toc15396621"/>
      <w:r>
        <w:rPr>
          <w:rFonts w:hint="eastAsia" w:ascii="Times New Roman" w:hAnsi="Times New Roman" w:eastAsia="仿宋_GB2312" w:cs="仿宋_GB2312"/>
          <w:color w:val="auto"/>
          <w:sz w:val="32"/>
          <w:szCs w:val="32"/>
          <w:highlight w:val="none"/>
        </w:rPr>
        <w:t>三、支出决算表</w:t>
      </w:r>
      <w:bookmarkEnd w:id="65"/>
    </w:p>
    <w:p w14:paraId="61706D12">
      <w:pPr>
        <w:pStyle w:val="16"/>
        <w:keepNext w:val="0"/>
        <w:keepLines w:val="0"/>
        <w:pageBreakBefore w:val="0"/>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Times New Roman" w:hAnsi="Times New Roman" w:eastAsia="仿宋_GB2312" w:cs="仿宋_GB2312"/>
          <w:color w:val="auto"/>
          <w:sz w:val="32"/>
          <w:szCs w:val="32"/>
          <w:highlight w:val="none"/>
        </w:rPr>
      </w:pPr>
      <w:bookmarkStart w:id="66" w:name="_Toc15396622"/>
      <w:r>
        <w:rPr>
          <w:rFonts w:hint="eastAsia" w:ascii="Times New Roman" w:hAnsi="Times New Roman" w:eastAsia="仿宋_GB2312" w:cs="仿宋_GB2312"/>
          <w:color w:val="auto"/>
          <w:sz w:val="32"/>
          <w:szCs w:val="32"/>
          <w:highlight w:val="none"/>
        </w:rPr>
        <w:t>四、财政拨款收入支出决算总表</w:t>
      </w:r>
      <w:bookmarkEnd w:id="66"/>
    </w:p>
    <w:p w14:paraId="32A78D97">
      <w:pPr>
        <w:pStyle w:val="16"/>
        <w:keepNext w:val="0"/>
        <w:keepLines w:val="0"/>
        <w:pageBreakBefore w:val="0"/>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Times New Roman" w:hAnsi="Times New Roman" w:eastAsia="仿宋_GB2312" w:cs="仿宋_GB2312"/>
          <w:color w:val="auto"/>
          <w:sz w:val="32"/>
          <w:szCs w:val="32"/>
          <w:highlight w:val="none"/>
        </w:rPr>
      </w:pPr>
      <w:bookmarkStart w:id="67" w:name="_Toc15396623"/>
      <w:r>
        <w:rPr>
          <w:rFonts w:hint="eastAsia" w:ascii="Times New Roman" w:hAnsi="Times New Roman" w:eastAsia="仿宋_GB2312" w:cs="仿宋_GB2312"/>
          <w:color w:val="auto"/>
          <w:sz w:val="32"/>
          <w:szCs w:val="32"/>
          <w:highlight w:val="none"/>
        </w:rPr>
        <w:t>五、财政拨款支出决算明细表</w:t>
      </w:r>
      <w:bookmarkEnd w:id="67"/>
      <w:bookmarkStart w:id="68" w:name="_Toc15396624"/>
    </w:p>
    <w:p w14:paraId="4E4DFB65">
      <w:pPr>
        <w:pStyle w:val="16"/>
        <w:keepNext w:val="0"/>
        <w:keepLines w:val="0"/>
        <w:pageBreakBefore w:val="0"/>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68"/>
    </w:p>
    <w:p w14:paraId="12750926">
      <w:pPr>
        <w:pStyle w:val="16"/>
        <w:keepNext w:val="0"/>
        <w:keepLines w:val="0"/>
        <w:pageBreakBefore w:val="0"/>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Times New Roman" w:hAnsi="Times New Roman" w:eastAsia="仿宋_GB2312" w:cs="仿宋_GB2312"/>
          <w:color w:val="auto"/>
          <w:sz w:val="32"/>
          <w:szCs w:val="32"/>
          <w:highlight w:val="none"/>
        </w:rPr>
      </w:pPr>
      <w:bookmarkStart w:id="69" w:name="_Toc15396625"/>
      <w:r>
        <w:rPr>
          <w:rFonts w:hint="eastAsia" w:ascii="Times New Roman" w:hAnsi="Times New Roman" w:eastAsia="仿宋_GB2312" w:cs="仿宋_GB2312"/>
          <w:color w:val="auto"/>
          <w:sz w:val="32"/>
          <w:szCs w:val="32"/>
          <w:highlight w:val="none"/>
        </w:rPr>
        <w:t>七、一般公共预算财政拨款支出决算明细表</w:t>
      </w:r>
      <w:bookmarkEnd w:id="69"/>
    </w:p>
    <w:p w14:paraId="54EBCC00">
      <w:pPr>
        <w:pStyle w:val="16"/>
        <w:keepNext w:val="0"/>
        <w:keepLines w:val="0"/>
        <w:pageBreakBefore w:val="0"/>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Times New Roman" w:hAnsi="Times New Roman" w:eastAsia="仿宋_GB2312" w:cs="仿宋_GB2312"/>
          <w:color w:val="auto"/>
          <w:sz w:val="32"/>
          <w:szCs w:val="32"/>
          <w:highlight w:val="none"/>
        </w:rPr>
      </w:pPr>
      <w:bookmarkStart w:id="70" w:name="_Toc15396626"/>
      <w:r>
        <w:rPr>
          <w:rFonts w:hint="eastAsia" w:ascii="Times New Roman" w:hAnsi="Times New Roman" w:eastAsia="仿宋_GB2312" w:cs="仿宋_GB2312"/>
          <w:color w:val="auto"/>
          <w:sz w:val="32"/>
          <w:szCs w:val="32"/>
          <w:highlight w:val="none"/>
        </w:rPr>
        <w:t>八、一般公共预算财政拨款基本支出决算表</w:t>
      </w:r>
      <w:bookmarkEnd w:id="70"/>
    </w:p>
    <w:p w14:paraId="31AEECCB">
      <w:pPr>
        <w:pStyle w:val="16"/>
        <w:keepNext w:val="0"/>
        <w:keepLines w:val="0"/>
        <w:pageBreakBefore w:val="0"/>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Times New Roman" w:hAnsi="Times New Roman" w:eastAsia="仿宋_GB2312" w:cs="仿宋_GB2312"/>
          <w:color w:val="auto"/>
          <w:sz w:val="32"/>
          <w:szCs w:val="32"/>
          <w:highlight w:val="none"/>
        </w:rPr>
      </w:pPr>
      <w:bookmarkStart w:id="71" w:name="_Toc15396627"/>
      <w:r>
        <w:rPr>
          <w:rFonts w:hint="eastAsia" w:ascii="Times New Roman" w:hAnsi="Times New Roman" w:eastAsia="仿宋_GB2312" w:cs="仿宋_GB2312"/>
          <w:color w:val="auto"/>
          <w:sz w:val="32"/>
          <w:szCs w:val="32"/>
          <w:highlight w:val="none"/>
        </w:rPr>
        <w:t>九、一般公共预算财政拨款项目支出决算表</w:t>
      </w:r>
      <w:bookmarkEnd w:id="71"/>
    </w:p>
    <w:p w14:paraId="57097558">
      <w:pPr>
        <w:pStyle w:val="16"/>
        <w:keepNext w:val="0"/>
        <w:keepLines w:val="0"/>
        <w:pageBreakBefore w:val="0"/>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Times New Roman" w:hAnsi="Times New Roman" w:eastAsia="仿宋_GB2312" w:cs="仿宋_GB2312"/>
          <w:color w:val="auto"/>
          <w:sz w:val="32"/>
          <w:szCs w:val="32"/>
          <w:highlight w:val="none"/>
        </w:rPr>
      </w:pPr>
      <w:bookmarkStart w:id="72" w:name="_Toc15396628"/>
      <w:r>
        <w:rPr>
          <w:rFonts w:hint="eastAsia" w:ascii="Times New Roman" w:hAnsi="Times New Roman" w:eastAsia="仿宋_GB2312" w:cs="仿宋_GB2312"/>
          <w:color w:val="auto"/>
          <w:sz w:val="32"/>
          <w:szCs w:val="32"/>
          <w:highlight w:val="none"/>
        </w:rPr>
        <w:t>十、</w:t>
      </w:r>
      <w:bookmarkEnd w:id="72"/>
      <w:r>
        <w:rPr>
          <w:rFonts w:hint="eastAsia" w:ascii="Times New Roman" w:hAnsi="Times New Roman" w:eastAsia="仿宋_GB2312" w:cs="仿宋_GB2312"/>
          <w:color w:val="auto"/>
          <w:sz w:val="32"/>
          <w:szCs w:val="32"/>
          <w:highlight w:val="none"/>
        </w:rPr>
        <w:t>政府性基金预算财政拨款收入支出决算表</w:t>
      </w:r>
    </w:p>
    <w:p w14:paraId="5789130B">
      <w:pPr>
        <w:pStyle w:val="16"/>
        <w:keepNext w:val="0"/>
        <w:keepLines w:val="0"/>
        <w:pageBreakBefore w:val="0"/>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Times New Roman" w:hAnsi="Times New Roman" w:eastAsia="仿宋_GB2312" w:cs="仿宋_GB2312"/>
          <w:color w:val="auto"/>
          <w:sz w:val="32"/>
          <w:szCs w:val="32"/>
          <w:highlight w:val="none"/>
        </w:rPr>
      </w:pPr>
      <w:bookmarkStart w:id="73" w:name="_Toc15396629"/>
      <w:r>
        <w:rPr>
          <w:rFonts w:hint="eastAsia" w:ascii="Times New Roman" w:hAnsi="Times New Roman" w:eastAsia="仿宋_GB2312" w:cs="仿宋_GB2312"/>
          <w:color w:val="auto"/>
          <w:sz w:val="32"/>
          <w:szCs w:val="32"/>
          <w:highlight w:val="none"/>
        </w:rPr>
        <w:t>十一、</w:t>
      </w:r>
      <w:bookmarkEnd w:id="73"/>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5A490631">
      <w:pPr>
        <w:pStyle w:val="16"/>
        <w:keepNext w:val="0"/>
        <w:keepLines w:val="0"/>
        <w:pageBreakBefore w:val="0"/>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Times New Roman" w:hAnsi="Times New Roman" w:eastAsia="仿宋_GB2312" w:cs="仿宋_GB2312"/>
          <w:color w:val="auto"/>
          <w:sz w:val="32"/>
          <w:szCs w:val="32"/>
          <w:highlight w:val="none"/>
        </w:rPr>
      </w:pPr>
      <w:bookmarkStart w:id="74" w:name="_Toc15396630"/>
      <w:r>
        <w:rPr>
          <w:rFonts w:hint="eastAsia" w:ascii="Times New Roman" w:hAnsi="Times New Roman" w:eastAsia="仿宋_GB2312" w:cs="仿宋_GB2312"/>
          <w:color w:val="auto"/>
          <w:sz w:val="32"/>
          <w:szCs w:val="32"/>
          <w:highlight w:val="none"/>
        </w:rPr>
        <w:t>十二、</w:t>
      </w:r>
      <w:bookmarkEnd w:id="74"/>
      <w:r>
        <w:rPr>
          <w:rFonts w:hint="eastAsia" w:ascii="Times New Roman" w:hAnsi="Times New Roman" w:eastAsia="仿宋_GB2312" w:cs="仿宋_GB2312"/>
          <w:color w:val="auto"/>
          <w:sz w:val="32"/>
          <w:szCs w:val="32"/>
          <w:highlight w:val="none"/>
          <w:lang w:eastAsia="zh-CN"/>
        </w:rPr>
        <w:t>国有资本经营预算财政拨款支出决算表</w:t>
      </w:r>
    </w:p>
    <w:p w14:paraId="46EDD869">
      <w:pPr>
        <w:pStyle w:val="16"/>
        <w:keepNext w:val="0"/>
        <w:keepLines w:val="0"/>
        <w:pageBreakBefore w:val="0"/>
        <w:kinsoku/>
        <w:wordWrap/>
        <w:overflowPunct/>
        <w:topLinePunct w:val="0"/>
        <w:autoSpaceDE/>
        <w:autoSpaceDN/>
        <w:bidi w:val="0"/>
        <w:adjustRightInd w:val="0"/>
        <w:snapToGrid w:val="0"/>
        <w:spacing w:beforeAutospacing="0" w:after="120" w:afterAutospacing="0" w:line="240" w:lineRule="auto"/>
        <w:ind w:left="0" w:leftChars="0" w:right="0" w:firstLine="640" w:firstLineChars="200"/>
        <w:jc w:val="left"/>
        <w:textAlignment w:val="auto"/>
        <w:rPr>
          <w:rFonts w:hint="eastAsia" w:ascii="Times New Roman" w:hAnsi="Times New Roman" w:eastAsia="仿宋_GB2312" w:cs="仿宋_GB2312"/>
          <w:color w:val="auto"/>
          <w:sz w:val="32"/>
          <w:szCs w:val="32"/>
          <w:highlight w:val="none"/>
          <w:lang w:eastAsia="zh-CN"/>
        </w:rPr>
      </w:pPr>
      <w:bookmarkStart w:id="75" w:name="_Toc15396631"/>
      <w:r>
        <w:rPr>
          <w:rFonts w:hint="eastAsia" w:ascii="Times New Roman" w:hAnsi="Times New Roman" w:eastAsia="仿宋_GB2312" w:cs="仿宋_GB2312"/>
          <w:color w:val="auto"/>
          <w:sz w:val="32"/>
          <w:szCs w:val="32"/>
          <w:highlight w:val="none"/>
        </w:rPr>
        <w:t>十三、</w:t>
      </w:r>
      <w:bookmarkEnd w:id="75"/>
      <w:r>
        <w:rPr>
          <w:rFonts w:hint="eastAsia" w:ascii="Times New Roman" w:hAnsi="Times New Roman" w:eastAsia="仿宋_GB2312" w:cs="仿宋_GB2312"/>
          <w:color w:val="auto"/>
          <w:sz w:val="32"/>
          <w:szCs w:val="32"/>
          <w:highlight w:val="none"/>
          <w:lang w:eastAsia="zh-CN"/>
        </w:rPr>
        <w:t>财政拨款“三公”经费支出决算表</w:t>
      </w:r>
    </w:p>
    <w:p w14:paraId="46C92764">
      <w:pPr>
        <w:pageBreakBefore w:val="0"/>
        <w:kinsoku/>
        <w:overflowPunct/>
        <w:topLinePunct w:val="0"/>
        <w:bidi w:val="0"/>
        <w:spacing w:beforeAutospacing="0" w:after="120" w:afterAutospacing="0" w:line="240" w:lineRule="auto"/>
        <w:ind w:left="0" w:leftChars="0" w:right="0" w:firstLine="420" w:firstLineChars="200"/>
        <w:textAlignment w:val="auto"/>
        <w:rPr>
          <w:rFonts w:hint="eastAsia" w:ascii="Times New Roman" w:hAnsi="Times New Roman"/>
          <w:lang w:eastAsia="zh-CN"/>
        </w:rPr>
      </w:pPr>
    </w:p>
    <w:sectPr>
      <w:footerReference r:id="rId9" w:type="first"/>
      <w:headerReference r:id="rId7" w:type="default"/>
      <w:footerReference r:id="rId8" w:type="default"/>
      <w:pgSz w:w="11906" w:h="16838"/>
      <w:pgMar w:top="2098" w:right="1474" w:bottom="1984" w:left="158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2CECD0A-9077-4B91-830E-7F6BFADAE9AE}"/>
  </w:font>
  <w:font w:name="黑体">
    <w:panose1 w:val="02010609060101010101"/>
    <w:charset w:val="86"/>
    <w:family w:val="auto"/>
    <w:pitch w:val="default"/>
    <w:sig w:usb0="800002BF" w:usb1="38CF7CFA" w:usb2="00000016" w:usb3="00000000" w:csb0="00040001" w:csb1="00000000"/>
    <w:embedRegular r:id="rId2" w:fontKey="{7B28E2F7-1544-4BEB-9275-992F23B8C0EF}"/>
  </w:font>
  <w:font w:name="Courier New">
    <w:panose1 w:val="02070309020205020404"/>
    <w:charset w:val="01"/>
    <w:family w:val="modern"/>
    <w:pitch w:val="default"/>
    <w:sig w:usb0="E0002EFF" w:usb1="C0007843" w:usb2="00000009" w:usb3="00000000" w:csb0="400001FF" w:csb1="FFFF0000"/>
    <w:embedRegular r:id="rId3" w:fontKey="{4F142D54-73F5-4BCC-9770-B798EAA5388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embedRegular r:id="rId4" w:fontKey="{F9450B51-DAD1-4F3B-B07D-A11E08A7EA7E}"/>
  </w:font>
  <w:font w:name="仿宋_GB2312">
    <w:altName w:val="仿宋"/>
    <w:panose1 w:val="02010609030101010101"/>
    <w:charset w:val="86"/>
    <w:family w:val="modern"/>
    <w:pitch w:val="default"/>
    <w:sig w:usb0="00000000" w:usb1="00000000" w:usb2="00000000" w:usb3="00000000" w:csb0="00040000" w:csb1="00000000"/>
    <w:embedRegular r:id="rId5" w:fontKey="{618E9426-5EF1-4D46-AAC4-77465B19493E}"/>
  </w:font>
  <w:font w:name="仿宋">
    <w:panose1 w:val="02010609060101010101"/>
    <w:charset w:val="86"/>
    <w:family w:val="auto"/>
    <w:pitch w:val="default"/>
    <w:sig w:usb0="800002BF" w:usb1="38CF7CFA" w:usb2="00000016" w:usb3="00000000" w:csb0="00040001" w:csb1="00000000"/>
    <w:embedRegular r:id="rId6" w:fontKey="{08005A80-E78A-41A2-90B3-8C9C1304C017}"/>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3000509000000000000"/>
    <w:charset w:val="86"/>
    <w:family w:val="script"/>
    <w:pitch w:val="default"/>
    <w:sig w:usb0="00000000" w:usb1="00000000" w:usb2="00000000" w:usb3="00000000" w:csb0="00040000" w:csb1="00000000"/>
    <w:embedRegular r:id="rId7" w:fontKey="{08753300-DA4D-4FF0-9FF0-E15DF6C06774}"/>
  </w:font>
  <w:font w:name="方正小标宋_GBK">
    <w:panose1 w:val="02000000000000000000"/>
    <w:charset w:val="86"/>
    <w:family w:val="auto"/>
    <w:pitch w:val="default"/>
    <w:sig w:usb0="A00002BF" w:usb1="38CF7CFA" w:usb2="00082016" w:usb3="00000000" w:csb0="00040001" w:csb1="00000000"/>
    <w:embedRegular r:id="rId8" w:fontKey="{5F1BEFAC-48E4-44C1-8674-68B15D85E564}"/>
  </w:font>
  <w:font w:name="方正仿宋_GBK">
    <w:panose1 w:val="02000000000000000000"/>
    <w:charset w:val="86"/>
    <w:family w:val="auto"/>
    <w:pitch w:val="default"/>
    <w:sig w:usb0="A00002BF" w:usb1="38CF7CFA" w:usb2="00082016" w:usb3="00000000" w:csb0="00040001" w:csb1="00000000"/>
    <w:embedRegular r:id="rId9" w:fontKey="{75120AC9-D62E-4FFF-A8F7-D1379F5D2DAF}"/>
  </w:font>
  <w:font w:name="楷体_GB2312">
    <w:altName w:val="楷体"/>
    <w:panose1 w:val="02010609030101010101"/>
    <w:charset w:val="86"/>
    <w:family w:val="auto"/>
    <w:pitch w:val="default"/>
    <w:sig w:usb0="00000000" w:usb1="00000000" w:usb2="00000000" w:usb3="00000000" w:csb0="00040000" w:csb1="00000000"/>
    <w:embedRegular r:id="rId10" w:fontKey="{A0901D90-BEAC-4347-9432-3F3072FAD44B}"/>
  </w:font>
  <w:font w:name="楷体">
    <w:panose1 w:val="02010609060101010101"/>
    <w:charset w:val="86"/>
    <w:family w:val="auto"/>
    <w:pitch w:val="default"/>
    <w:sig w:usb0="800002BF" w:usb1="38CF7CFA" w:usb2="00000016" w:usb3="00000000" w:csb0="00040001" w:csb1="00000000"/>
  </w:font>
  <w:font w:name="方正楷体_GBK">
    <w:panose1 w:val="02000000000000000000"/>
    <w:charset w:val="86"/>
    <w:family w:val="auto"/>
    <w:pitch w:val="default"/>
    <w:sig w:usb0="800002BF" w:usb1="38CF7CFA" w:usb2="00000016" w:usb3="00000000" w:csb0="00040000" w:csb1="00000000"/>
    <w:embedRegular r:id="rId11" w:fontKey="{D083F98B-702F-4B68-B547-2D685BBC3B51}"/>
  </w:font>
  <w:font w:name="微软雅黑">
    <w:panose1 w:val="020B0503020204020204"/>
    <w:charset w:val="86"/>
    <w:family w:val="auto"/>
    <w:pitch w:val="default"/>
    <w:sig w:usb0="80000287" w:usb1="2ACF3C50" w:usb2="00000016" w:usb3="00000000" w:csb0="0004001F" w:csb1="00000000"/>
    <w:embedRegular r:id="rId12" w:fontKey="{4B00DC23-1AB3-4EBE-839B-D9B81EAEC03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DE8D6">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CE3432">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ECE3432">
                    <w:pPr>
                      <w:pStyle w:val="11"/>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77236">
    <w:pPr>
      <w:pStyle w:val="11"/>
      <w:jc w:val="both"/>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sdt>
                          <w:sdtPr>
                            <w:id w:val="-1"/>
                            <w:showingPlcHdr/>
                          </w:sdtPr>
                          <w:sdtContent>
                            <w:p w14:paraId="3E49F431">
                              <w:pPr>
                                <w:pStyle w:val="11"/>
                                <w:jc w:val="center"/>
                              </w:pPr>
                              <w:r>
                                <w:rPr>
                                  <w:rFonts w:hint="eastAsia"/>
                                  <w:lang w:eastAsia="zh-CN"/>
                                </w:rPr>
                                <w:t xml:space="preserve">     </w:t>
                              </w:r>
                            </w:p>
                          </w:sdtContent>
                        </w:sdt>
                        <w:p w14:paraId="6009548D">
                          <w:pPr>
                            <w:pStyle w:val="11"/>
                          </w:pP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YxKT8kBAACa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LShy3OPHzzx/nX4/nh+/k&#10;TdanD1Bj2l3AxDS89wPmzn5AZ6Y9qGjzFwkRjKO6p4u6ckhE5Eer5WpVYUhgbL4gPnt6HiKkD9Jb&#10;ko2GRhxfUZUfP0EaU+eUXM35W21MGaFxfzkQM3tY7n3sMVtp2A0ToZ1vT8inx8k31OGiU2I+OhQ2&#10;L8lsxNnYzcYhRL3vyhblehDeHRI2UXrLFUbYqTCOrLCb1ivvxJ/3kvX0S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FjEpPyQEAAJoDAAAOAAAAAAAAAAEAIAAAAB4BAABkcnMvZTJvRG9j&#10;LnhtbFBLBQYAAAAABgAGAFkBAABZBQAAAAA=&#10;">
              <v:fill on="f" focussize="0,0"/>
              <v:stroke on="f"/>
              <v:imagedata o:title=""/>
              <o:lock v:ext="edit" aspectratio="f"/>
              <v:textbox inset="0mm,0mm,0mm,0mm" style="mso-fit-shape-to-text:t;">
                <w:txbxContent>
                  <w:sdt>
                    <w:sdtPr>
                      <w:id w:val="-1"/>
                      <w:showingPlcHdr/>
                    </w:sdtPr>
                    <w:sdtContent>
                      <w:p w14:paraId="3E49F431">
                        <w:pPr>
                          <w:pStyle w:val="11"/>
                          <w:jc w:val="center"/>
                        </w:pPr>
                        <w:r>
                          <w:rPr>
                            <w:rFonts w:hint="eastAsia"/>
                            <w:lang w:eastAsia="zh-CN"/>
                          </w:rPr>
                          <w:t xml:space="preserve">     </w:t>
                        </w:r>
                      </w:p>
                    </w:sdtContent>
                  </w:sdt>
                  <w:p w14:paraId="6009548D">
                    <w:pPr>
                      <w:pStyle w:val="11"/>
                    </w:pPr>
                  </w:p>
                </w:txbxContent>
              </v:textbox>
            </v:shape>
          </w:pict>
        </mc:Fallback>
      </mc:AlternateContent>
    </w:r>
  </w:p>
  <w:p w14:paraId="5EA3A73B">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3FDD0">
    <w:pPr>
      <w:pStyle w:val="11"/>
    </w:pPr>
    <w:r>
      <w:rPr>
        <w:sz w:val="18"/>
      </w:rPr>
      <mc:AlternateContent>
        <mc:Choice Requires="wps">
          <w:drawing>
            <wp:anchor distT="0" distB="0" distL="114300" distR="114300" simplePos="0" relativeHeight="251664384" behindDoc="0" locked="0" layoutInCell="1" allowOverlap="1">
              <wp:simplePos x="0" y="0"/>
              <wp:positionH relativeFrom="margin">
                <wp:posOffset>4104005</wp:posOffset>
              </wp:positionH>
              <wp:positionV relativeFrom="paragraph">
                <wp:posOffset>-261620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106816">
                          <w:pPr>
                            <w:pStyle w:val="11"/>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23.15pt;margin-top:-20.6pt;height:144pt;width:144pt;mso-position-horizontal-relative:margin;mso-wrap-style:none;z-index:251664384;mso-width-relative:page;mso-height-relative:page;" filled="f" stroked="f" coordsize="21600,21600" o:gfxdata="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HXyN3YAAAACwEAAA8AAAAAAAAAAQAgAAAAIgAAAGRycy9kb3ducmV2Lnht&#10;bFBLAQIUABQAAAAIAIdO4kAClSD0MgIAAGEEAAAOAAAAAAAAAAEAIAAAACcBAABkcnMvZTJvRG9j&#10;LnhtbFBLBQYAAAAABgAGAFkBAADLBQAAAAA=&#10;">
              <v:fill on="f" focussize="0,0"/>
              <v:stroke on="f" weight="0.5pt"/>
              <v:imagedata o:title=""/>
              <o:lock v:ext="edit" aspectratio="f"/>
              <v:textbox inset="0mm,0mm,0mm,0mm" style="mso-fit-shape-to-text:t;">
                <w:txbxContent>
                  <w:p w14:paraId="68106816">
                    <w:pPr>
                      <w:pStyle w:val="11"/>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FB46E">
    <w:pPr>
      <w:pStyle w:val="11"/>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49BBA1">
                          <w:pPr>
                            <w:pStyle w:val="11"/>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E49BBA1">
                    <w:pPr>
                      <w:pStyle w:val="11"/>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p w14:paraId="35B876F5">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A1497">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C7211">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08C7211">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7A5EF">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16665">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E18DBB"/>
    <w:multiLevelType w:val="singleLevel"/>
    <w:tmpl w:val="8AE18DBB"/>
    <w:lvl w:ilvl="0" w:tentative="0">
      <w:start w:val="2"/>
      <w:numFmt w:val="chineseCounting"/>
      <w:suff w:val="nothing"/>
      <w:lvlText w:val="（%1）"/>
      <w:lvlJc w:val="left"/>
      <w:rPr>
        <w:rFonts w:hint="eastAsia"/>
      </w:rPr>
    </w:lvl>
  </w:abstractNum>
  <w:abstractNum w:abstractNumId="1">
    <w:nsid w:val="A68C3C42"/>
    <w:multiLevelType w:val="singleLevel"/>
    <w:tmpl w:val="A68C3C42"/>
    <w:lvl w:ilvl="0" w:tentative="0">
      <w:start w:val="1"/>
      <w:numFmt w:val="chineseCounting"/>
      <w:suff w:val="nothing"/>
      <w:lvlText w:val="（%1）"/>
      <w:lvlJc w:val="left"/>
      <w:rPr>
        <w:rFonts w:hint="eastAsia"/>
      </w:rPr>
    </w:lvl>
  </w:abstractNum>
  <w:abstractNum w:abstractNumId="2">
    <w:nsid w:val="BE70A8EC"/>
    <w:multiLevelType w:val="singleLevel"/>
    <w:tmpl w:val="BE70A8EC"/>
    <w:lvl w:ilvl="0" w:tentative="0">
      <w:start w:val="4"/>
      <w:numFmt w:val="chineseCounting"/>
      <w:suff w:val="nothing"/>
      <w:lvlText w:val="%1、"/>
      <w:lvlJc w:val="left"/>
      <w:rPr>
        <w:rFonts w:hint="eastAsia"/>
      </w:rPr>
    </w:lvl>
  </w:abstractNum>
  <w:abstractNum w:abstractNumId="3">
    <w:nsid w:val="F9D0E924"/>
    <w:multiLevelType w:val="multilevel"/>
    <w:tmpl w:val="F9D0E924"/>
    <w:lvl w:ilvl="0" w:tentative="0">
      <w:start w:val="2"/>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FEBE30"/>
    <w:rsid w:val="061E35DE"/>
    <w:rsid w:val="06506EFB"/>
    <w:rsid w:val="066E0107"/>
    <w:rsid w:val="07996F6E"/>
    <w:rsid w:val="07DFD8BA"/>
    <w:rsid w:val="08DB07E4"/>
    <w:rsid w:val="09867E8F"/>
    <w:rsid w:val="0A2032A3"/>
    <w:rsid w:val="0C6C4794"/>
    <w:rsid w:val="0CA8290A"/>
    <w:rsid w:val="0D35B1ED"/>
    <w:rsid w:val="0DE07E2B"/>
    <w:rsid w:val="0E607928"/>
    <w:rsid w:val="0F98263C"/>
    <w:rsid w:val="0FC116E7"/>
    <w:rsid w:val="101860EC"/>
    <w:rsid w:val="10C055FF"/>
    <w:rsid w:val="11772AA4"/>
    <w:rsid w:val="118107EC"/>
    <w:rsid w:val="13957196"/>
    <w:rsid w:val="13B24229"/>
    <w:rsid w:val="13D50BC4"/>
    <w:rsid w:val="14022904"/>
    <w:rsid w:val="152F2A07"/>
    <w:rsid w:val="165E0673"/>
    <w:rsid w:val="16BB723D"/>
    <w:rsid w:val="16F13FCB"/>
    <w:rsid w:val="186504BB"/>
    <w:rsid w:val="1938089F"/>
    <w:rsid w:val="19A445FC"/>
    <w:rsid w:val="1B7D550C"/>
    <w:rsid w:val="1BE8440E"/>
    <w:rsid w:val="1D155CEE"/>
    <w:rsid w:val="1DE178F3"/>
    <w:rsid w:val="1E740ACF"/>
    <w:rsid w:val="1FF35744"/>
    <w:rsid w:val="1FF6BC77"/>
    <w:rsid w:val="203A79EB"/>
    <w:rsid w:val="208D0D7A"/>
    <w:rsid w:val="21962A9E"/>
    <w:rsid w:val="21AE7C77"/>
    <w:rsid w:val="229F2EDC"/>
    <w:rsid w:val="22BC3C41"/>
    <w:rsid w:val="23860B96"/>
    <w:rsid w:val="240371BF"/>
    <w:rsid w:val="260F557C"/>
    <w:rsid w:val="281408E2"/>
    <w:rsid w:val="29DB124B"/>
    <w:rsid w:val="29FD04D3"/>
    <w:rsid w:val="2BFF7BC6"/>
    <w:rsid w:val="2C8A61B5"/>
    <w:rsid w:val="2D2E01CF"/>
    <w:rsid w:val="2DF04E50"/>
    <w:rsid w:val="2E9545B0"/>
    <w:rsid w:val="2F040D46"/>
    <w:rsid w:val="2FAE5751"/>
    <w:rsid w:val="2FB1A395"/>
    <w:rsid w:val="2FD9A7D8"/>
    <w:rsid w:val="319F7F4E"/>
    <w:rsid w:val="321B2544"/>
    <w:rsid w:val="32A42750"/>
    <w:rsid w:val="3304709D"/>
    <w:rsid w:val="34281836"/>
    <w:rsid w:val="349D6851"/>
    <w:rsid w:val="354B3AAB"/>
    <w:rsid w:val="35BA6CAF"/>
    <w:rsid w:val="35D37231"/>
    <w:rsid w:val="364D14C1"/>
    <w:rsid w:val="36AA5135"/>
    <w:rsid w:val="36BE0DA7"/>
    <w:rsid w:val="376B6AA6"/>
    <w:rsid w:val="376D39B2"/>
    <w:rsid w:val="37E16F03"/>
    <w:rsid w:val="37F53A3B"/>
    <w:rsid w:val="389B6C89"/>
    <w:rsid w:val="38D469F0"/>
    <w:rsid w:val="39627CCD"/>
    <w:rsid w:val="397BAF1F"/>
    <w:rsid w:val="3AB79AF3"/>
    <w:rsid w:val="3B7EF35A"/>
    <w:rsid w:val="3B9FDB6C"/>
    <w:rsid w:val="3BF5BC2F"/>
    <w:rsid w:val="3CEBA265"/>
    <w:rsid w:val="3D98207C"/>
    <w:rsid w:val="3D9B0D99"/>
    <w:rsid w:val="3DEE7CF3"/>
    <w:rsid w:val="3DF02244"/>
    <w:rsid w:val="3E78745D"/>
    <w:rsid w:val="3FF4CAE0"/>
    <w:rsid w:val="3FF7B227"/>
    <w:rsid w:val="4025450F"/>
    <w:rsid w:val="40E54C45"/>
    <w:rsid w:val="41313393"/>
    <w:rsid w:val="43A407DF"/>
    <w:rsid w:val="44515BEA"/>
    <w:rsid w:val="44E268DA"/>
    <w:rsid w:val="453F7E5B"/>
    <w:rsid w:val="486A6C7A"/>
    <w:rsid w:val="49176D9B"/>
    <w:rsid w:val="494006BD"/>
    <w:rsid w:val="4A627F82"/>
    <w:rsid w:val="4B0E749A"/>
    <w:rsid w:val="4B4F25DA"/>
    <w:rsid w:val="4BDA0CFB"/>
    <w:rsid w:val="4BE068DB"/>
    <w:rsid w:val="4D3C0CCC"/>
    <w:rsid w:val="4D577224"/>
    <w:rsid w:val="4DBF1CEB"/>
    <w:rsid w:val="4EAB630A"/>
    <w:rsid w:val="4ECE2238"/>
    <w:rsid w:val="4F833267"/>
    <w:rsid w:val="4FE9BD67"/>
    <w:rsid w:val="4FFB052F"/>
    <w:rsid w:val="53083A92"/>
    <w:rsid w:val="537E6D0A"/>
    <w:rsid w:val="53AF27A2"/>
    <w:rsid w:val="53F74C96"/>
    <w:rsid w:val="56E47B74"/>
    <w:rsid w:val="57BD3DD4"/>
    <w:rsid w:val="5AF92295"/>
    <w:rsid w:val="5BDD79E6"/>
    <w:rsid w:val="5BF561CA"/>
    <w:rsid w:val="5BFF5DFC"/>
    <w:rsid w:val="5CD71FC4"/>
    <w:rsid w:val="5D1F11B5"/>
    <w:rsid w:val="5DAE1B18"/>
    <w:rsid w:val="5DE7D9E5"/>
    <w:rsid w:val="5ECEC941"/>
    <w:rsid w:val="5F493CB7"/>
    <w:rsid w:val="5FBF9FF3"/>
    <w:rsid w:val="5FCD4E2C"/>
    <w:rsid w:val="5FD15F49"/>
    <w:rsid w:val="5FEF394A"/>
    <w:rsid w:val="5FF67715"/>
    <w:rsid w:val="62BF3928"/>
    <w:rsid w:val="647F5392"/>
    <w:rsid w:val="664B1D71"/>
    <w:rsid w:val="67AA3209"/>
    <w:rsid w:val="681C4F0D"/>
    <w:rsid w:val="69046D0F"/>
    <w:rsid w:val="698D0931"/>
    <w:rsid w:val="6A993CED"/>
    <w:rsid w:val="6B053271"/>
    <w:rsid w:val="6BCE6674"/>
    <w:rsid w:val="6C4A05C8"/>
    <w:rsid w:val="6C8742B8"/>
    <w:rsid w:val="6C8A170F"/>
    <w:rsid w:val="6CB54609"/>
    <w:rsid w:val="6DBF5E93"/>
    <w:rsid w:val="6DFF077E"/>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12A28F1"/>
    <w:rsid w:val="715C0E4B"/>
    <w:rsid w:val="72233669"/>
    <w:rsid w:val="72734D90"/>
    <w:rsid w:val="7332FE48"/>
    <w:rsid w:val="73AB61DA"/>
    <w:rsid w:val="73AD73D5"/>
    <w:rsid w:val="73B6EB34"/>
    <w:rsid w:val="73E560C7"/>
    <w:rsid w:val="73FA497D"/>
    <w:rsid w:val="744731E5"/>
    <w:rsid w:val="74527205"/>
    <w:rsid w:val="74BBD01D"/>
    <w:rsid w:val="74ED5379"/>
    <w:rsid w:val="74FC2395"/>
    <w:rsid w:val="75DEEEC2"/>
    <w:rsid w:val="76E3355F"/>
    <w:rsid w:val="76FF5125"/>
    <w:rsid w:val="776F6FFA"/>
    <w:rsid w:val="778769C8"/>
    <w:rsid w:val="77DC22F5"/>
    <w:rsid w:val="79086DAD"/>
    <w:rsid w:val="790E3571"/>
    <w:rsid w:val="79974F09"/>
    <w:rsid w:val="79D7FD79"/>
    <w:rsid w:val="79EE5BA4"/>
    <w:rsid w:val="7A894339"/>
    <w:rsid w:val="7AFF7572"/>
    <w:rsid w:val="7B6C7DFB"/>
    <w:rsid w:val="7BBFBED0"/>
    <w:rsid w:val="7BC3E394"/>
    <w:rsid w:val="7C1F3737"/>
    <w:rsid w:val="7CBFC87B"/>
    <w:rsid w:val="7CFE0F48"/>
    <w:rsid w:val="7D7EC23E"/>
    <w:rsid w:val="7D916348"/>
    <w:rsid w:val="7E8ADEBF"/>
    <w:rsid w:val="7EEF11D3"/>
    <w:rsid w:val="7F0971A6"/>
    <w:rsid w:val="7F3F679B"/>
    <w:rsid w:val="7F4FC4EF"/>
    <w:rsid w:val="7F5E4D54"/>
    <w:rsid w:val="7F6E0135"/>
    <w:rsid w:val="7FA30C79"/>
    <w:rsid w:val="7FAF8ABF"/>
    <w:rsid w:val="7FB7269E"/>
    <w:rsid w:val="7FC96657"/>
    <w:rsid w:val="7FDA9588"/>
    <w:rsid w:val="7FDF220F"/>
    <w:rsid w:val="7FEDC5F7"/>
    <w:rsid w:val="7FEDD9DE"/>
    <w:rsid w:val="7FF5890D"/>
    <w:rsid w:val="7FF93490"/>
    <w:rsid w:val="7FFE36C2"/>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0"/>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5"/>
    <w:unhideWhenUsed/>
    <w:qFormat/>
    <w:uiPriority w:val="9"/>
    <w:pPr>
      <w:keepNext/>
      <w:keepLines/>
      <w:spacing w:before="260" w:after="260" w:line="416" w:lineRule="auto"/>
      <w:outlineLvl w:val="2"/>
    </w:pPr>
    <w:rPr>
      <w:b/>
      <w:bCs/>
      <w:sz w:val="32"/>
      <w:szCs w:val="32"/>
    </w:rPr>
  </w:style>
  <w:style w:type="character" w:default="1" w:styleId="19">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8"/>
    <w:qFormat/>
    <w:uiPriority w:val="99"/>
    <w:pPr>
      <w:spacing w:beforeLines="30"/>
    </w:pPr>
    <w:rPr>
      <w:rFonts w:ascii="仿宋_GB2312" w:eastAsia="仿宋_GB2312"/>
      <w:kern w:val="0"/>
      <w:sz w:val="30"/>
    </w:rPr>
  </w:style>
  <w:style w:type="paragraph" w:styleId="6">
    <w:name w:val="toa heading"/>
    <w:basedOn w:val="1"/>
    <w:next w:val="1"/>
    <w:qFormat/>
    <w:uiPriority w:val="0"/>
    <w:pPr>
      <w:spacing w:before="120" w:beforeAutospacing="0"/>
    </w:pPr>
    <w:rPr>
      <w:rFonts w:ascii="Arial" w:hAnsi="Arial"/>
      <w:sz w:val="24"/>
    </w:rPr>
  </w:style>
  <w:style w:type="paragraph" w:styleId="7">
    <w:name w:val="Body Text Indent"/>
    <w:basedOn w:val="1"/>
    <w:next w:val="8"/>
    <w:qFormat/>
    <w:uiPriority w:val="0"/>
    <w:pPr>
      <w:spacing w:after="120"/>
      <w:ind w:leftChars="200"/>
    </w:pPr>
    <w:rPr>
      <w:rFonts w:ascii="仿宋_GB2312"/>
      <w:szCs w:val="32"/>
    </w:rPr>
  </w:style>
  <w:style w:type="paragraph" w:styleId="8">
    <w:name w:val="Body Text First Indent 2"/>
    <w:basedOn w:val="7"/>
    <w:next w:val="1"/>
    <w:unhideWhenUsed/>
    <w:qFormat/>
    <w:uiPriority w:val="99"/>
    <w:pPr>
      <w:ind w:firstLine="420" w:firstLineChars="200"/>
    </w:p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4"/>
    <w:semiHidden/>
    <w:unhideWhenUsed/>
    <w:qFormat/>
    <w:uiPriority w:val="99"/>
    <w:rPr>
      <w:sz w:val="18"/>
      <w:szCs w:val="18"/>
    </w:rPr>
  </w:style>
  <w:style w:type="paragraph" w:styleId="11">
    <w:name w:val="footer"/>
    <w:basedOn w:val="1"/>
    <w:link w:val="26"/>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4"/>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footnote text"/>
    <w:basedOn w:val="1"/>
    <w:next w:val="8"/>
    <w:semiHidden/>
    <w:qFormat/>
    <w:uiPriority w:val="0"/>
    <w:pPr>
      <w:snapToGrid w:val="0"/>
      <w:jc w:val="left"/>
    </w:pPr>
    <w:rPr>
      <w:sz w:val="18"/>
      <w:szCs w:val="18"/>
    </w:rPr>
  </w:style>
  <w:style w:type="paragraph" w:styleId="15">
    <w:name w:val="table of figures"/>
    <w:basedOn w:val="1"/>
    <w:next w:val="1"/>
    <w:qFormat/>
    <w:uiPriority w:val="0"/>
    <w:pPr>
      <w:ind w:left="200" w:leftChars="200" w:hanging="200" w:hangingChars="200"/>
    </w:pPr>
    <w:rPr>
      <w:rFonts w:eastAsia="仿宋"/>
      <w:sz w:val="32"/>
    </w:rPr>
  </w:style>
  <w:style w:type="paragraph" w:styleId="16">
    <w:name w:val="toc 2"/>
    <w:basedOn w:val="1"/>
    <w:next w:val="1"/>
    <w:unhideWhenUsed/>
    <w:qFormat/>
    <w:uiPriority w:val="39"/>
    <w:pPr>
      <w:tabs>
        <w:tab w:val="right" w:leader="dot" w:pos="8296"/>
      </w:tabs>
      <w:ind w:left="420" w:leftChars="200"/>
    </w:pPr>
  </w:style>
  <w:style w:type="paragraph" w:styleId="17">
    <w:name w:val="Normal (Web)"/>
    <w:basedOn w:val="1"/>
    <w:next w:val="1"/>
    <w:semiHidden/>
    <w:unhideWhenUsed/>
    <w:qFormat/>
    <w:uiPriority w:val="99"/>
    <w:pPr>
      <w:spacing w:before="0" w:beforeAutospacing="1" w:after="0" w:afterAutospacing="1"/>
      <w:ind w:left="0" w:right="0"/>
      <w:jc w:val="left"/>
    </w:pPr>
    <w:rPr>
      <w:kern w:val="0"/>
      <w:sz w:val="24"/>
      <w:lang w:val="en-US" w:eastAsia="zh-CN" w:bidi="ar"/>
    </w:rPr>
  </w:style>
  <w:style w:type="character" w:styleId="20">
    <w:name w:val="Strong"/>
    <w:basedOn w:val="19"/>
    <w:qFormat/>
    <w:uiPriority w:val="99"/>
    <w:rPr>
      <w:b/>
    </w:rPr>
  </w:style>
  <w:style w:type="character" w:styleId="21">
    <w:name w:val="Hyperlink"/>
    <w:basedOn w:val="19"/>
    <w:unhideWhenUsed/>
    <w:qFormat/>
    <w:uiPriority w:val="99"/>
    <w:rPr>
      <w:color w:val="0000FF" w:themeColor="hyperlink"/>
      <w:u w:val="single"/>
      <w14:textFill>
        <w14:solidFill>
          <w14:schemeClr w14:val="hlink"/>
        </w14:solidFill>
      </w14:textFill>
    </w:rPr>
  </w:style>
  <w:style w:type="paragraph" w:customStyle="1" w:styleId="22">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3">
    <w:name w:val="Header Char"/>
    <w:basedOn w:val="19"/>
    <w:semiHidden/>
    <w:qFormat/>
    <w:uiPriority w:val="99"/>
    <w:rPr>
      <w:rFonts w:ascii="Times New Roman" w:hAnsi="Times New Roman"/>
      <w:sz w:val="18"/>
      <w:szCs w:val="18"/>
    </w:rPr>
  </w:style>
  <w:style w:type="character" w:customStyle="1" w:styleId="24">
    <w:name w:val="页眉 Char"/>
    <w:link w:val="12"/>
    <w:semiHidden/>
    <w:qFormat/>
    <w:locked/>
    <w:uiPriority w:val="99"/>
    <w:rPr>
      <w:sz w:val="18"/>
    </w:rPr>
  </w:style>
  <w:style w:type="character" w:customStyle="1" w:styleId="25">
    <w:name w:val="Footer Char"/>
    <w:basedOn w:val="19"/>
    <w:semiHidden/>
    <w:qFormat/>
    <w:uiPriority w:val="99"/>
    <w:rPr>
      <w:rFonts w:ascii="Times New Roman" w:hAnsi="Times New Roman"/>
      <w:sz w:val="18"/>
      <w:szCs w:val="18"/>
    </w:rPr>
  </w:style>
  <w:style w:type="character" w:customStyle="1" w:styleId="26">
    <w:name w:val="页脚 Char"/>
    <w:link w:val="11"/>
    <w:qFormat/>
    <w:locked/>
    <w:uiPriority w:val="99"/>
    <w:rPr>
      <w:sz w:val="18"/>
    </w:rPr>
  </w:style>
  <w:style w:type="character" w:customStyle="1" w:styleId="27">
    <w:name w:val="Body Text Char"/>
    <w:basedOn w:val="19"/>
    <w:semiHidden/>
    <w:qFormat/>
    <w:uiPriority w:val="99"/>
    <w:rPr>
      <w:rFonts w:ascii="Times New Roman" w:hAnsi="Times New Roman"/>
      <w:szCs w:val="24"/>
    </w:rPr>
  </w:style>
  <w:style w:type="character" w:customStyle="1" w:styleId="28">
    <w:name w:val="正文文本 Char"/>
    <w:link w:val="2"/>
    <w:qFormat/>
    <w:locked/>
    <w:uiPriority w:val="99"/>
    <w:rPr>
      <w:rFonts w:ascii="仿宋_GB2312" w:hAnsi="Times New Roman" w:eastAsia="仿宋_GB2312"/>
      <w:sz w:val="24"/>
    </w:rPr>
  </w:style>
  <w:style w:type="paragraph" w:customStyle="1" w:styleId="29">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30">
    <w:name w:val="List Paragraph"/>
    <w:basedOn w:val="1"/>
    <w:qFormat/>
    <w:uiPriority w:val="34"/>
    <w:pPr>
      <w:ind w:firstLine="420" w:firstLineChars="200"/>
    </w:pPr>
  </w:style>
  <w:style w:type="character" w:customStyle="1" w:styleId="31">
    <w:name w:val="标题 1 Char"/>
    <w:basedOn w:val="19"/>
    <w:link w:val="3"/>
    <w:qFormat/>
    <w:uiPriority w:val="9"/>
    <w:rPr>
      <w:rFonts w:ascii="Times New Roman" w:hAnsi="Times New Roman"/>
      <w:b/>
      <w:bCs/>
      <w:kern w:val="44"/>
      <w:sz w:val="44"/>
      <w:szCs w:val="44"/>
    </w:rPr>
  </w:style>
  <w:style w:type="character" w:customStyle="1" w:styleId="32">
    <w:name w:val="标题 2 Char"/>
    <w:basedOn w:val="19"/>
    <w:link w:val="4"/>
    <w:qFormat/>
    <w:uiPriority w:val="9"/>
    <w:rPr>
      <w:rFonts w:asciiTheme="majorHAnsi" w:hAnsiTheme="majorHAnsi" w:eastAsiaTheme="majorEastAsia" w:cstheme="majorBidi"/>
      <w:b/>
      <w:bCs/>
      <w:kern w:val="2"/>
      <w:sz w:val="32"/>
      <w:szCs w:val="32"/>
    </w:rPr>
  </w:style>
  <w:style w:type="paragraph" w:customStyle="1" w:styleId="33">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4">
    <w:name w:val="批注框文本 Char"/>
    <w:basedOn w:val="19"/>
    <w:link w:val="10"/>
    <w:semiHidden/>
    <w:qFormat/>
    <w:uiPriority w:val="99"/>
    <w:rPr>
      <w:rFonts w:ascii="Times New Roman" w:hAnsi="Times New Roman"/>
      <w:kern w:val="2"/>
      <w:sz w:val="18"/>
      <w:szCs w:val="18"/>
    </w:rPr>
  </w:style>
  <w:style w:type="character" w:customStyle="1" w:styleId="35">
    <w:name w:val="标题 3 Char"/>
    <w:basedOn w:val="19"/>
    <w:link w:val="5"/>
    <w:qFormat/>
    <w:uiPriority w:val="9"/>
    <w:rPr>
      <w:rFonts w:ascii="Times New Roman" w:hAnsi="Times New Roman"/>
      <w:b/>
      <w:bCs/>
      <w:kern w:val="2"/>
      <w:sz w:val="32"/>
      <w:szCs w:val="32"/>
    </w:rPr>
  </w:style>
  <w:style w:type="paragraph" w:customStyle="1" w:styleId="36">
    <w:name w:val="TOC Heading"/>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7">
    <w:name w:val="四号正文"/>
    <w:basedOn w:val="1"/>
    <w:qFormat/>
    <w:uiPriority w:val="0"/>
    <w:pPr>
      <w:spacing w:line="360" w:lineRule="auto"/>
    </w:pPr>
    <w:rPr>
      <w:rFonts w:ascii="??" w:hAnsi="??" w:eastAsia="宋体"/>
      <w:color w:val="000000"/>
      <w:kern w:val="0"/>
      <w:sz w:val="28"/>
      <w:szCs w:val="21"/>
      <w:lang w:val="zh-CN" w:eastAsia="zh-CN"/>
    </w:rPr>
  </w:style>
  <w:style w:type="table" w:customStyle="1" w:styleId="38">
    <w:name w:val="Table Normal"/>
    <w:semiHidden/>
    <w:unhideWhenUsed/>
    <w:qFormat/>
    <w:uiPriority w:val="0"/>
    <w:tblPr>
      <w:tblCellMar>
        <w:top w:w="0" w:type="dxa"/>
        <w:left w:w="0" w:type="dxa"/>
        <w:bottom w:w="0" w:type="dxa"/>
        <w:right w:w="0" w:type="dxa"/>
      </w:tblCellMar>
    </w:tblPr>
  </w:style>
  <w:style w:type="paragraph" w:customStyle="1" w:styleId="39">
    <w:name w:val="Table Text"/>
    <w:basedOn w:val="1"/>
    <w:semiHidden/>
    <w:qFormat/>
    <w:uiPriority w:val="0"/>
    <w:rPr>
      <w:rFonts w:ascii="宋体" w:hAnsi="宋体" w:eastAsia="宋体" w:cs="宋体"/>
      <w:sz w:val="18"/>
      <w:szCs w:val="18"/>
      <w:lang w:val="en-US" w:eastAsia="en-US" w:bidi="ar-SA"/>
    </w:rPr>
  </w:style>
  <w:style w:type="character" w:customStyle="1" w:styleId="40">
    <w:name w:val="标题 1 字符"/>
    <w:basedOn w:val="19"/>
    <w:link w:val="3"/>
    <w:qFormat/>
    <w:uiPriority w:val="9"/>
    <w:rPr>
      <w:rFonts w:ascii="Times New Roman" w:hAnsi="Times New Roman"/>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chart" Target="charts/chart7.xml"/><Relationship Id="rId16" Type="http://schemas.openxmlformats.org/officeDocument/2006/relationships/chart" Target="charts/chart6.xml"/><Relationship Id="rId15" Type="http://schemas.openxmlformats.org/officeDocument/2006/relationships/chart" Target="charts/chart5.xml"/><Relationship Id="rId14" Type="http://schemas.openxmlformats.org/officeDocument/2006/relationships/chart" Target="charts/chart4.xml"/><Relationship Id="rId13" Type="http://schemas.openxmlformats.org/officeDocument/2006/relationships/chart" Target="charts/chart3.xml"/><Relationship Id="rId12" Type="http://schemas.openxmlformats.org/officeDocument/2006/relationships/chart" Target="charts/chart2.xml"/><Relationship Id="rId11" Type="http://schemas.openxmlformats.org/officeDocument/2006/relationships/chart" Target="charts/chart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6.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_rels/chart7.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收入支出上下年对比图</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elete val="1"/>
          </c:dLbls>
          <c:cat>
            <c:strRef>
              <c:f>Sheet1!$A$2:$A$3</c:f>
              <c:strCache>
                <c:ptCount val="2"/>
                <c:pt idx="0">
                  <c:v>2025年</c:v>
                </c:pt>
                <c:pt idx="1">
                  <c:v>2024年</c:v>
                </c:pt>
              </c:strCache>
            </c:strRef>
          </c:cat>
          <c:val>
            <c:numRef>
              <c:f>Sheet1!$B$2:$B$3</c:f>
              <c:numCache>
                <c:formatCode>General</c:formatCode>
                <c:ptCount val="2"/>
                <c:pt idx="0">
                  <c:v>1693.07</c:v>
                </c:pt>
                <c:pt idx="1">
                  <c:v>1481.65</c:v>
                </c:pt>
              </c:numCache>
            </c:numRef>
          </c:val>
        </c:ser>
        <c:ser>
          <c:idx val="1"/>
          <c:order val="1"/>
          <c:tx>
            <c:strRef>
              <c:f>Sheet1!$C$1</c:f>
              <c:strCache>
                <c:ptCount val="1"/>
                <c:pt idx="0">
                  <c:v>支出</c:v>
                </c:pt>
              </c:strCache>
            </c:strRef>
          </c:tx>
          <c:spPr>
            <a:solidFill>
              <a:schemeClr val="accent2"/>
            </a:solidFill>
            <a:ln>
              <a:noFill/>
            </a:ln>
            <a:effectLst/>
          </c:spPr>
          <c:invertIfNegative val="0"/>
          <c:dLbls>
            <c:delete val="1"/>
          </c:dLbls>
          <c:cat>
            <c:strRef>
              <c:f>Sheet1!$A$2:$A$3</c:f>
              <c:strCache>
                <c:ptCount val="2"/>
                <c:pt idx="0">
                  <c:v>2025年</c:v>
                </c:pt>
                <c:pt idx="1">
                  <c:v>2024年</c:v>
                </c:pt>
              </c:strCache>
            </c:strRef>
          </c:cat>
          <c:val>
            <c:numRef>
              <c:f>Sheet1!$C$2:$C$3</c:f>
              <c:numCache>
                <c:formatCode>General</c:formatCode>
                <c:ptCount val="2"/>
                <c:pt idx="0">
                  <c:v>1693.07</c:v>
                </c:pt>
                <c:pt idx="1">
                  <c:v>1481.65</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2025年</c:v>
                </c:pt>
                <c:pt idx="1">
                  <c:v>2024年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228417857"/>
        <c:axId val="70905423"/>
      </c:barChart>
      <c:catAx>
        <c:axId val="22841785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905423"/>
        <c:crosses val="autoZero"/>
        <c:auto val="1"/>
        <c:lblAlgn val="ctr"/>
        <c:lblOffset val="100"/>
        <c:noMultiLvlLbl val="0"/>
      </c:catAx>
      <c:valAx>
        <c:axId val="709054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28417857"/>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4c9b01c-5cae-43fa-a965-a69ba3c7280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收入结构图</a:t>
            </a:r>
          </a:p>
        </c:rich>
      </c:tx>
      <c:layout/>
      <c:overlay val="0"/>
      <c:spPr>
        <a:noFill/>
        <a:ln>
          <a:noFill/>
        </a:ln>
        <a:effectLst/>
      </c:spPr>
    </c:title>
    <c:autoTitleDeleted val="0"/>
    <c:plotArea>
      <c:layout/>
      <c:pieChart>
        <c:varyColors val="1"/>
        <c:ser>
          <c:idx val="0"/>
          <c:order val="0"/>
          <c:tx>
            <c:strRef>
              <c:f>Sheet1!$B$1</c:f>
              <c:strCache>
                <c:ptCount val="1"/>
                <c:pt idx="0">
                  <c:v>列1</c:v>
                </c:pt>
              </c:strCache>
            </c:strRef>
          </c:tx>
          <c:spPr/>
          <c:explosion val="0"/>
          <c:dPt>
            <c:idx val="0"/>
            <c:bubble3D val="0"/>
            <c:spPr>
              <a:solidFill>
                <a:schemeClr val="accent1"/>
              </a:solidFill>
              <a:ln w="19050">
                <a:solidFill>
                  <a:schemeClr val="lt1"/>
                </a:solidFill>
              </a:ln>
              <a:effectLst/>
            </c:spPr>
          </c:dPt>
          <c:dLbls>
            <c:delete val="1"/>
          </c:dLbls>
          <c:cat>
            <c:strRef>
              <c:f>Sheet1!$A$2</c:f>
              <c:strCache>
                <c:ptCount val="1"/>
                <c:pt idx="0">
                  <c:v>财政拨款收入</c:v>
                </c:pt>
              </c:strCache>
            </c:strRef>
          </c:cat>
          <c:val>
            <c:numRef>
              <c:f>Sheet1!$B$2</c:f>
              <c:numCache>
                <c:formatCode>General</c:formatCode>
                <c:ptCount val="1"/>
                <c:pt idx="0">
                  <c:v>1639.07</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b132c5a-2122-4546-9df9-5599ea7a978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962.77</c:v>
                </c:pt>
                <c:pt idx="1">
                  <c:v>730.3</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e7dabc4-bd7e-43d8-90c9-69a29a345e7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财政拨款收入支出上下年对比图</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elete val="1"/>
          </c:dLbls>
          <c:cat>
            <c:strRef>
              <c:f>Sheet1!$A$2:$A$3</c:f>
              <c:strCache>
                <c:ptCount val="2"/>
                <c:pt idx="0">
                  <c:v>2025年</c:v>
                </c:pt>
                <c:pt idx="1">
                  <c:v>2024年</c:v>
                </c:pt>
              </c:strCache>
            </c:strRef>
          </c:cat>
          <c:val>
            <c:numRef>
              <c:f>Sheet1!$B$2:$B$3</c:f>
              <c:numCache>
                <c:formatCode>General</c:formatCode>
                <c:ptCount val="2"/>
                <c:pt idx="0">
                  <c:v>1693.07</c:v>
                </c:pt>
                <c:pt idx="1">
                  <c:v>1481.65</c:v>
                </c:pt>
              </c:numCache>
            </c:numRef>
          </c:val>
        </c:ser>
        <c:ser>
          <c:idx val="1"/>
          <c:order val="1"/>
          <c:tx>
            <c:strRef>
              <c:f>Sheet1!$C$1</c:f>
              <c:strCache>
                <c:ptCount val="1"/>
                <c:pt idx="0">
                  <c:v>支出</c:v>
                </c:pt>
              </c:strCache>
            </c:strRef>
          </c:tx>
          <c:spPr>
            <a:solidFill>
              <a:schemeClr val="accent2"/>
            </a:solidFill>
            <a:ln>
              <a:noFill/>
            </a:ln>
            <a:effectLst/>
          </c:spPr>
          <c:invertIfNegative val="0"/>
          <c:dLbls>
            <c:delete val="1"/>
          </c:dLbls>
          <c:cat>
            <c:strRef>
              <c:f>Sheet1!$A$2:$A$3</c:f>
              <c:strCache>
                <c:ptCount val="2"/>
                <c:pt idx="0">
                  <c:v>2025年</c:v>
                </c:pt>
                <c:pt idx="1">
                  <c:v>2024年</c:v>
                </c:pt>
              </c:strCache>
            </c:strRef>
          </c:cat>
          <c:val>
            <c:numRef>
              <c:f>Sheet1!$C$2:$C$3</c:f>
              <c:numCache>
                <c:formatCode>General</c:formatCode>
                <c:ptCount val="2"/>
                <c:pt idx="0">
                  <c:v>1693.07</c:v>
                </c:pt>
                <c:pt idx="1">
                  <c:v>1481.65</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2025年</c:v>
                </c:pt>
                <c:pt idx="1">
                  <c:v>2024年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228417857"/>
        <c:axId val="70905423"/>
      </c:barChart>
      <c:catAx>
        <c:axId val="22841785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905423"/>
        <c:crosses val="autoZero"/>
        <c:auto val="1"/>
        <c:lblAlgn val="ctr"/>
        <c:lblOffset val="100"/>
        <c:noMultiLvlLbl val="0"/>
      </c:catAx>
      <c:valAx>
        <c:axId val="709054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28417857"/>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8dc31f7-a4f7-461e-911a-43c364eba9d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一般公共财政拨款支出上下年变动表</a:t>
            </a:r>
          </a:p>
        </c:rich>
      </c:tx>
      <c:layout/>
      <c:overlay val="0"/>
      <c:spPr>
        <a:noFill/>
        <a:ln>
          <a:noFill/>
        </a:ln>
        <a:effectLst/>
      </c:spPr>
    </c:title>
    <c:autoTitleDeleted val="0"/>
    <c:plotArea>
      <c:layout>
        <c:manualLayout>
          <c:layoutTarget val="inner"/>
          <c:xMode val="edge"/>
          <c:yMode val="edge"/>
          <c:x val="0.076825"/>
          <c:y val="0.221640488656195"/>
          <c:w val="0.8938"/>
          <c:h val="0.505933682373473"/>
        </c:manualLayout>
      </c:layout>
      <c:barChart>
        <c:barDir val="col"/>
        <c:grouping val="clustered"/>
        <c:varyColors val="0"/>
        <c:ser>
          <c:idx val="0"/>
          <c:order val="0"/>
          <c:tx>
            <c:strRef>
              <c:f>Sheet1!$B$1</c:f>
              <c:strCache>
                <c:ptCount val="1"/>
                <c:pt idx="0">
                  <c:v>2025年</c:v>
                </c:pt>
              </c:strCache>
            </c:strRef>
          </c:tx>
          <c:spPr>
            <a:solidFill>
              <a:schemeClr val="accent1"/>
            </a:solidFill>
            <a:ln>
              <a:noFill/>
            </a:ln>
            <a:effectLst/>
          </c:spPr>
          <c:invertIfNegative val="0"/>
          <c:dLbls>
            <c:delete val="1"/>
          </c:dLbls>
          <c:cat>
            <c:strRef>
              <c:f>Sheet1!$A$2</c:f>
              <c:strCache>
                <c:ptCount val="1"/>
                <c:pt idx="0">
                  <c:v>一般公共财政拨款支出</c:v>
                </c:pt>
              </c:strCache>
            </c:strRef>
          </c:cat>
          <c:val>
            <c:numRef>
              <c:f>Sheet1!$B$2</c:f>
              <c:numCache>
                <c:formatCode>General</c:formatCode>
                <c:ptCount val="1"/>
                <c:pt idx="0">
                  <c:v>1693.07</c:v>
                </c:pt>
              </c:numCache>
            </c:numRef>
          </c:val>
        </c:ser>
        <c:ser>
          <c:idx val="1"/>
          <c:order val="1"/>
          <c:tx>
            <c:strRef>
              <c:f>Sheet1!$C$1</c:f>
              <c:strCache>
                <c:ptCount val="1"/>
                <c:pt idx="0">
                  <c:v>2024年</c:v>
                </c:pt>
              </c:strCache>
            </c:strRef>
          </c:tx>
          <c:spPr>
            <a:solidFill>
              <a:schemeClr val="accent2"/>
            </a:solidFill>
            <a:ln>
              <a:noFill/>
            </a:ln>
            <a:effectLst/>
          </c:spPr>
          <c:invertIfNegative val="0"/>
          <c:dLbls>
            <c:delete val="1"/>
          </c:dLbls>
          <c:cat>
            <c:strRef>
              <c:f>Sheet1!$A$2</c:f>
              <c:strCache>
                <c:ptCount val="1"/>
                <c:pt idx="0">
                  <c:v>一般公共财政拨款支出</c:v>
                </c:pt>
              </c:strCache>
            </c:strRef>
          </c:cat>
          <c:val>
            <c:numRef>
              <c:f>Sheet1!$C$2</c:f>
              <c:numCache>
                <c:formatCode>General</c:formatCode>
                <c:ptCount val="1"/>
                <c:pt idx="0">
                  <c:v>1481.65</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c:f>
              <c:strCache>
                <c:ptCount val="1"/>
                <c:pt idx="0">
                  <c:v>一般公共财政拨款支出</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823431935"/>
        <c:axId val="169162847"/>
      </c:barChart>
      <c:catAx>
        <c:axId val="82343193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69162847"/>
        <c:crosses val="autoZero"/>
        <c:auto val="1"/>
        <c:lblAlgn val="ctr"/>
        <c:lblOffset val="100"/>
        <c:noMultiLvlLbl val="0"/>
      </c:catAx>
      <c:valAx>
        <c:axId val="1691628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23431935"/>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50156fd-8426-449e-a5c8-35a0863bd15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一般公共预算财政拨款支出构成图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Pt>
            <c:idx val="7"/>
            <c:bubble3D val="0"/>
            <c:spPr>
              <a:solidFill>
                <a:schemeClr val="accent2">
                  <a:lumMod val="60000"/>
                </a:schemeClr>
              </a:solidFill>
              <a:ln w="19050">
                <a:solidFill>
                  <a:schemeClr val="lt1"/>
                </a:solidFill>
              </a:ln>
              <a:effectLst/>
            </c:spPr>
          </c:dPt>
          <c:dPt>
            <c:idx val="8"/>
            <c:bubble3D val="0"/>
            <c:spPr>
              <a:solidFill>
                <a:schemeClr val="accent3">
                  <a:lumMod val="60000"/>
                </a:schemeClr>
              </a:solidFill>
              <a:ln w="19050">
                <a:solidFill>
                  <a:schemeClr val="lt1"/>
                </a:solidFill>
              </a:ln>
              <a:effectLst/>
            </c:spPr>
          </c:dPt>
          <c:dLbls>
            <c:delete val="1"/>
          </c:dLbls>
          <c:cat>
            <c:strRef>
              <c:f>Sheet1!$A$2:$A$10</c:f>
              <c:strCache>
                <c:ptCount val="9"/>
                <c:pt idx="0">
                  <c:v>一般公共服务支出</c:v>
                </c:pt>
                <c:pt idx="1">
                  <c:v>国防支出</c:v>
                </c:pt>
                <c:pt idx="2">
                  <c:v>文化旅体育与传媒支出</c:v>
                </c:pt>
                <c:pt idx="3">
                  <c:v>社会保障和就业支出</c:v>
                </c:pt>
                <c:pt idx="4">
                  <c:v>卫生健康支出</c:v>
                </c:pt>
                <c:pt idx="5">
                  <c:v>城乡社区支出</c:v>
                </c:pt>
                <c:pt idx="6">
                  <c:v>农林水支出</c:v>
                </c:pt>
                <c:pt idx="7">
                  <c:v>住房保障支出</c:v>
                </c:pt>
                <c:pt idx="8">
                  <c:v>灾害防治及应急管理支出</c:v>
                </c:pt>
              </c:strCache>
            </c:strRef>
          </c:cat>
          <c:val>
            <c:numRef>
              <c:f>Sheet1!$B$2:$B$10</c:f>
              <c:numCache>
                <c:formatCode>General</c:formatCode>
                <c:ptCount val="9"/>
                <c:pt idx="0">
                  <c:v>774.82</c:v>
                </c:pt>
                <c:pt idx="1">
                  <c:v>3</c:v>
                </c:pt>
                <c:pt idx="2">
                  <c:v>5.16</c:v>
                </c:pt>
                <c:pt idx="3">
                  <c:v>107.12</c:v>
                </c:pt>
                <c:pt idx="4">
                  <c:v>39.22</c:v>
                </c:pt>
                <c:pt idx="5">
                  <c:v>6</c:v>
                </c:pt>
                <c:pt idx="6">
                  <c:v>694.17</c:v>
                </c:pt>
                <c:pt idx="7">
                  <c:v>63.03</c:v>
                </c:pt>
                <c:pt idx="8">
                  <c:v>0.5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93ecb16-a77a-4b5e-95e4-9d36fd0665f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三公经费支出情况表</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因公出国</c:v>
                </c:pt>
                <c:pt idx="1">
                  <c:v>公务用车运行维护费</c:v>
                </c:pt>
                <c:pt idx="2">
                  <c:v>公务接待费</c:v>
                </c:pt>
              </c:strCache>
            </c:strRef>
          </c:cat>
          <c:val>
            <c:numRef>
              <c:f>Sheet1!$B$2:$B$4</c:f>
              <c:numCache>
                <c:formatCode>General</c:formatCode>
                <c:ptCount val="3"/>
                <c:pt idx="0">
                  <c:v>0</c:v>
                </c:pt>
                <c:pt idx="1">
                  <c:v>9.59</c:v>
                </c:pt>
                <c:pt idx="2">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e535b46b-ceea-4f51-b6ea-abb581463db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55</Pages>
  <Words>17910</Words>
  <Characters>19313</Characters>
  <Lines>61</Lines>
  <Paragraphs>17</Paragraphs>
  <TotalTime>9</TotalTime>
  <ScaleCrop>false</ScaleCrop>
  <LinksUpToDate>false</LinksUpToDate>
  <CharactersWithSpaces>19596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远洋帆船</cp:lastModifiedBy>
  <cp:lastPrinted>2026-08-03T09:27:00Z</cp:lastPrinted>
  <dcterms:modified xsi:type="dcterms:W3CDTF">2026-10-26T12:02:19Z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A591E539A2ED40ADB6934D8171C3DBDD</vt:lpwstr>
  </property>
  <property fmtid="{D5CDD505-2E9C-101B-9397-08002B2CF9AE}" pid="4" name="KSOTemplateDocerSaveRecord">
    <vt:lpwstr>eyJoZGlkIjoiODlmZDBkN2U4YjRkZjU2NzA5MTI2OTE3OTNiOThhZWUiLCJ1c2VySWQiOiIyMjk1Njk5ODEifQ==</vt:lpwstr>
  </property>
</Properties>
</file>