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7BAAA5C">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center"/>
        <w:textAlignment w:val="auto"/>
        <w:rPr>
          <w:rStyle w:val="22"/>
          <w:rFonts w:hint="eastAsia" w:ascii="方正小标宋简体" w:hAnsi="方正小标宋简体" w:eastAsia="方正小标宋简体" w:cs="方正小标宋简体"/>
          <w:b w:val="0"/>
          <w:bCs/>
          <w:sz w:val="44"/>
          <w:szCs w:val="44"/>
          <w:shd w:val="clear" w:color="auto" w:fill="FFFFFF"/>
        </w:rPr>
      </w:pPr>
      <w:bookmarkStart w:id="1" w:name="_GoBack"/>
      <w:bookmarkEnd w:id="1"/>
      <w:r>
        <w:rPr>
          <w:rStyle w:val="22"/>
          <w:rFonts w:hint="eastAsia" w:ascii="方正小标宋简体" w:hAnsi="方正小标宋简体" w:eastAsia="方正小标宋简体" w:cs="方正小标宋简体"/>
          <w:b w:val="0"/>
          <w:bCs/>
          <w:sz w:val="44"/>
          <w:szCs w:val="44"/>
          <w:shd w:val="clear" w:color="auto" w:fill="FFFFFF"/>
        </w:rPr>
        <w:t>阿坝州红原县供销合作社联合社</w:t>
      </w:r>
    </w:p>
    <w:p w14:paraId="1A0100A9">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center"/>
        <w:textAlignment w:val="auto"/>
        <w:rPr>
          <w:rStyle w:val="22"/>
          <w:rFonts w:hint="eastAsia" w:ascii="方正小标宋简体" w:hAnsi="方正小标宋简体" w:eastAsia="方正小标宋简体" w:cs="方正小标宋简体"/>
          <w:b w:val="0"/>
          <w:bCs/>
          <w:sz w:val="44"/>
          <w:szCs w:val="44"/>
          <w:shd w:val="clear" w:color="auto" w:fill="FFFFFF"/>
        </w:rPr>
      </w:pPr>
      <w:r>
        <w:rPr>
          <w:rStyle w:val="22"/>
          <w:rFonts w:hint="eastAsia" w:ascii="方正小标宋简体" w:hAnsi="方正小标宋简体" w:eastAsia="方正小标宋简体" w:cs="方正小标宋简体"/>
          <w:b w:val="0"/>
          <w:bCs/>
          <w:sz w:val="44"/>
          <w:szCs w:val="44"/>
          <w:shd w:val="clear" w:color="auto" w:fill="FFFFFF"/>
        </w:rPr>
        <w:t>20</w:t>
      </w:r>
      <w:r>
        <w:rPr>
          <w:rStyle w:val="22"/>
          <w:rFonts w:hint="eastAsia" w:ascii="方正小标宋简体" w:hAnsi="方正小标宋简体" w:eastAsia="方正小标宋简体" w:cs="方正小标宋简体"/>
          <w:b w:val="0"/>
          <w:bCs/>
          <w:sz w:val="44"/>
          <w:szCs w:val="44"/>
          <w:shd w:val="clear" w:color="auto" w:fill="FFFFFF"/>
          <w:lang w:val="en-US" w:eastAsia="zh-CN"/>
        </w:rPr>
        <w:t>25</w:t>
      </w:r>
      <w:r>
        <w:rPr>
          <w:rStyle w:val="22"/>
          <w:rFonts w:hint="eastAsia" w:ascii="方正小标宋简体" w:hAnsi="方正小标宋简体" w:eastAsia="方正小标宋简体" w:cs="方正小标宋简体"/>
          <w:b w:val="0"/>
          <w:bCs/>
          <w:sz w:val="44"/>
          <w:szCs w:val="44"/>
          <w:shd w:val="clear" w:color="auto" w:fill="FFFFFF"/>
        </w:rPr>
        <w:t>年度部门决算分析报告</w:t>
      </w:r>
    </w:p>
    <w:p w14:paraId="7CF47BD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center"/>
        <w:textAlignment w:val="auto"/>
        <w:rPr>
          <w:rFonts w:hint="default" w:cs="宋体"/>
          <w:b w:val="0"/>
          <w:bCs/>
          <w:sz w:val="44"/>
          <w:szCs w:val="44"/>
        </w:rPr>
      </w:pPr>
    </w:p>
    <w:p w14:paraId="55C26584">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黑体" w:hAnsi="黑体" w:eastAsia="黑体" w:cs="黑体"/>
          <w:sz w:val="32"/>
          <w:szCs w:val="32"/>
          <w:shd w:val="clear" w:color="auto" w:fill="FFFFFF"/>
        </w:rPr>
      </w:pPr>
      <w:r>
        <w:rPr>
          <w:rFonts w:ascii="黑体" w:hAnsi="黑体" w:eastAsia="黑体" w:cs="黑体"/>
          <w:sz w:val="32"/>
          <w:szCs w:val="32"/>
          <w:shd w:val="clear" w:color="auto" w:fill="FFFFFF"/>
        </w:rPr>
        <w:t>一、部门情况</w:t>
      </w:r>
    </w:p>
    <w:p w14:paraId="53D90ABF">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（一）基本情况</w:t>
      </w:r>
    </w:p>
    <w:p w14:paraId="535F0F3F">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1．主要职能</w:t>
      </w:r>
    </w:p>
    <w:p w14:paraId="58495B1F">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红原供销社作为县人民政府的直属参公事业单位，其主要职能和职责是；宣传贯彻党中央、国务院、省委、省政府、州委、州政府和县委、县政府有关农（牧）业、农村经济工作和社会发展的方针、政策；监督管理社有资产，确保社有资产的保值，增值、对直属企业行使出资人的职权，依法享有资产受益、重大决策和选择经营管理者等权利；负责农资和烟花爆竹市场的规范和管理工作；按照州供销社综合改革工作安排，扎实开展红原县供销合作社综合改革试点工作，承担县政府交办的其他事项。</w:t>
      </w:r>
    </w:p>
    <w:p w14:paraId="15F11568">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2.本部门本年度纳入本套决算编制范围的独立编制机构数共1个，比上年增加0个，独立核算机构数共1个，比上年增加0个，无变动。</w:t>
      </w:r>
    </w:p>
    <w:p w14:paraId="5713A33B">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3.本部门本年度年末实有人数为6人，；年末实有离退休人数为</w:t>
      </w:r>
      <w:r>
        <w:rPr>
          <w:rFonts w:hint="eastAsia" w:ascii="仿宋_GB2312" w:hAnsi="仿宋_GB2312" w:eastAsia="仿宋_GB2312" w:cs="仿宋_GB2312"/>
          <w:sz w:val="32"/>
          <w:szCs w:val="32"/>
          <w:shd w:val="clear" w:color="auto" w:fill="FFFFFF"/>
          <w:lang w:val="en-US" w:eastAsia="zh-CN"/>
        </w:rPr>
        <w:t>14</w:t>
      </w:r>
      <w:r>
        <w:rPr>
          <w:rFonts w:ascii="仿宋_GB2312" w:hAnsi="仿宋_GB2312" w:eastAsia="仿宋_GB2312" w:cs="仿宋_GB2312"/>
          <w:sz w:val="32"/>
          <w:szCs w:val="32"/>
          <w:shd w:val="clear" w:color="auto" w:fill="FFFFFF"/>
        </w:rPr>
        <w:t>人，比上年减少</w:t>
      </w:r>
      <w:r>
        <w:rPr>
          <w:rFonts w:hint="eastAsia" w:ascii="仿宋_GB2312" w:hAnsi="仿宋_GB2312" w:eastAsia="仿宋_GB2312" w:cs="仿宋_GB2312"/>
          <w:sz w:val="32"/>
          <w:szCs w:val="32"/>
          <w:shd w:val="clear" w:color="auto" w:fill="FFFFFF"/>
          <w:lang w:val="en-US" w:eastAsia="zh-CN"/>
        </w:rPr>
        <w:t>2</w:t>
      </w:r>
      <w:r>
        <w:rPr>
          <w:rFonts w:ascii="仿宋_GB2312" w:hAnsi="仿宋_GB2312" w:eastAsia="仿宋_GB2312" w:cs="仿宋_GB2312"/>
          <w:sz w:val="32"/>
          <w:szCs w:val="32"/>
          <w:shd w:val="clear" w:color="auto" w:fill="FFFFFF"/>
        </w:rPr>
        <w:t>人；年末遗属人数为1人，比上年增加</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人。</w:t>
      </w:r>
    </w:p>
    <w:p w14:paraId="0AB513BC">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（二）当年取得的主要事业成效</w:t>
      </w:r>
    </w:p>
    <w:p w14:paraId="4692E633">
      <w:pPr>
        <w:keepNext w:val="0"/>
        <w:keepLines w:val="0"/>
        <w:pageBreakBefore w:val="0"/>
        <w:numPr>
          <w:ilvl w:val="0"/>
          <w:numId w:val="1"/>
        </w:numPr>
        <w:kinsoku/>
        <w:wordWrap/>
        <w:overflowPunct w:val="0"/>
        <w:topLinePunct w:val="0"/>
        <w:autoSpaceDE/>
        <w:autoSpaceDN/>
        <w:bidi w:val="0"/>
        <w:adjustRightInd/>
        <w:snapToGrid/>
        <w:spacing w:line="576" w:lineRule="exact"/>
        <w:ind w:left="0" w:leftChars="0" w:firstLine="640" w:firstLineChars="0"/>
        <w:jc w:val="both"/>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全面深化供销合作社改革工作。</w:t>
      </w:r>
      <w:r>
        <w:rPr>
          <w:rFonts w:hint="eastAsia" w:ascii="仿宋_GB2312" w:hAnsi="仿宋_GB2312" w:eastAsia="仿宋_GB2312" w:cs="仿宋_GB2312"/>
          <w:color w:val="000000"/>
          <w:sz w:val="32"/>
          <w:szCs w:val="32"/>
          <w:lang w:val="en-US" w:eastAsia="zh-CN"/>
        </w:rPr>
        <w:t>健全县供销社系统三会机制（理事会、监事会、社员代表会）。目前建立理事会，</w:t>
      </w:r>
      <w:r>
        <w:rPr>
          <w:rFonts w:hint="eastAsia" w:ascii="仿宋_GB2312" w:hAnsi="仿宋_GB2312" w:eastAsia="仿宋_GB2312" w:cs="仿宋_GB2312"/>
          <w:sz w:val="32"/>
          <w:szCs w:val="32"/>
          <w:lang w:val="en-US" w:eastAsia="zh-CN"/>
        </w:rPr>
        <w:t>县供销社于2025年7月19日向县委组织部和县委编办设立供销社监事会及监事会办公室，目前正积极对接落实各项工作；</w:t>
      </w:r>
      <w:r>
        <w:rPr>
          <w:rFonts w:hint="eastAsia" w:ascii="仿宋_GB2312" w:hAnsi="仿宋_GB2312" w:eastAsia="仿宋_GB2312" w:cs="仿宋_GB2312"/>
          <w:color w:val="000000"/>
          <w:sz w:val="32"/>
          <w:szCs w:val="32"/>
          <w:lang w:val="en-US" w:eastAsia="zh-CN"/>
        </w:rPr>
        <w:t>建立县级为农服务平台，整合全县农特产品，提高优质农特产品供给质量和效益，拓展农特产品销售渠道。目前服务红原县农特产品供销中心已搭建完成，并具体由社有资产公司经营管理，各项工作有效开展。</w:t>
      </w:r>
    </w:p>
    <w:p w14:paraId="659A2300">
      <w:pPr>
        <w:keepNext w:val="0"/>
        <w:keepLines w:val="0"/>
        <w:pageBreakBefore w:val="0"/>
        <w:numPr>
          <w:ilvl w:val="0"/>
          <w:numId w:val="1"/>
        </w:numPr>
        <w:kinsoku/>
        <w:wordWrap/>
        <w:overflowPunct w:val="0"/>
        <w:topLinePunct w:val="0"/>
        <w:autoSpaceDE/>
        <w:autoSpaceDN/>
        <w:bidi w:val="0"/>
        <w:adjustRightInd/>
        <w:snapToGrid/>
        <w:spacing w:line="576" w:lineRule="exact"/>
        <w:ind w:left="0" w:leftChars="0" w:firstLine="640" w:firstLineChars="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抓好重点工作，推动高水平发展。</w:t>
      </w:r>
      <w:r>
        <w:rPr>
          <w:rFonts w:hint="eastAsia" w:ascii="仿宋_GB2312" w:hAnsi="仿宋_GB2312" w:eastAsia="仿宋_GB2312" w:cs="仿宋_GB2312"/>
          <w:color w:val="000000"/>
          <w:sz w:val="32"/>
          <w:szCs w:val="32"/>
          <w:lang w:val="en-US" w:eastAsia="zh-CN"/>
        </w:rPr>
        <w:t>1.城乡环境质量提升；安全生产党政同责；食品安全党政同责。按照县委政府安排部署有序推进。2.托底性帮扶工作。完成平台建设任务，主动积极对接协调帮扶单位（人保、华电，太平洋，泸州老窖零售有限公司）任务。按照要求均在积极对接推进中，截止目前销售产品1300余万元。</w:t>
      </w:r>
    </w:p>
    <w:p w14:paraId="598A806E">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3" w:firstLineChars="200"/>
        <w:jc w:val="left"/>
        <w:textAlignment w:val="auto"/>
        <w:rPr>
          <w:rFonts w:hint="eastAsia" w:ascii="仿宋_GB2312" w:hAnsi="仿宋_GB2312" w:eastAsia="仿宋_GB2312" w:cs="仿宋_GB2312"/>
          <w:b/>
          <w:bCs/>
          <w:kern w:val="0"/>
          <w:sz w:val="32"/>
          <w:szCs w:val="32"/>
          <w:shd w:val="clear" w:fill="FFFFFF"/>
          <w:lang w:eastAsia="zh-CN"/>
        </w:rPr>
      </w:pPr>
      <w:r>
        <w:rPr>
          <w:rFonts w:hint="eastAsia" w:ascii="仿宋_GB2312" w:hAnsi="仿宋_GB2312" w:eastAsia="仿宋_GB2312" w:cs="仿宋_GB2312"/>
          <w:b/>
          <w:bCs/>
          <w:kern w:val="0"/>
          <w:sz w:val="32"/>
          <w:szCs w:val="32"/>
          <w:shd w:val="clear" w:fill="FFFFFF"/>
          <w:lang w:val="en-US" w:eastAsia="zh-CN"/>
        </w:rPr>
        <w:t>3.</w:t>
      </w:r>
      <w:r>
        <w:rPr>
          <w:rFonts w:hint="eastAsia" w:ascii="仿宋_GB2312" w:hAnsi="仿宋_GB2312" w:eastAsia="仿宋_GB2312" w:cs="仿宋_GB2312"/>
          <w:b/>
          <w:bCs/>
          <w:kern w:val="0"/>
          <w:sz w:val="32"/>
          <w:szCs w:val="32"/>
          <w:shd w:val="clear" w:fill="FFFFFF"/>
          <w:lang w:eastAsia="zh-CN"/>
        </w:rPr>
        <w:t>推进分类改造，提升基层社发展质量</w:t>
      </w:r>
    </w:p>
    <w:p w14:paraId="558E272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kern w:val="0"/>
          <w:sz w:val="32"/>
          <w:szCs w:val="32"/>
          <w:shd w:val="clear" w:fill="FFFFFF"/>
          <w:lang w:eastAsia="zh-CN"/>
        </w:rPr>
      </w:pPr>
      <w:r>
        <w:rPr>
          <w:rFonts w:hint="eastAsia" w:ascii="仿宋_GB2312" w:hAnsi="仿宋_GB2312" w:eastAsia="仿宋_GB2312" w:cs="仿宋_GB2312"/>
          <w:kern w:val="0"/>
          <w:sz w:val="32"/>
          <w:szCs w:val="32"/>
          <w:shd w:val="clear" w:fill="FFFFFF"/>
          <w:lang w:eastAsia="zh-CN"/>
        </w:rPr>
        <w:t>为进一步优化经营服务布局，保持经营服务体系稳定，我社根据镇村调整和区域发展规划，采取联合社帮扶、社有企业带动、基层党建带社建等多种方式，对相对薄弱的瓦切镇供销社进行改造提升。坚持对11个基层社进行分类指导，不断增强为农服务能力与合作经济属性，持续发力推进基层组织建设。</w:t>
      </w:r>
    </w:p>
    <w:p w14:paraId="626D5B4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eastAsia" w:ascii="仿宋_GB2312" w:hAnsi="仿宋_GB2312" w:eastAsia="仿宋_GB2312" w:cs="仿宋_GB2312"/>
          <w:b/>
          <w:bCs/>
          <w:kern w:val="0"/>
          <w:sz w:val="32"/>
          <w:szCs w:val="32"/>
          <w:shd w:val="clear" w:fill="FFFFFF"/>
          <w:lang w:val="en-US" w:eastAsia="zh-CN"/>
        </w:rPr>
      </w:pPr>
    </w:p>
    <w:p w14:paraId="127981A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firstLine="643" w:firstLineChars="200"/>
        <w:jc w:val="left"/>
        <w:textAlignment w:val="auto"/>
        <w:rPr>
          <w:rFonts w:hint="eastAsia" w:ascii="仿宋_GB2312" w:hAnsi="仿宋_GB2312" w:eastAsia="仿宋_GB2312" w:cs="仿宋_GB2312"/>
          <w:b/>
          <w:bCs/>
          <w:kern w:val="0"/>
          <w:sz w:val="32"/>
          <w:szCs w:val="32"/>
          <w:shd w:val="clear" w:fill="FFFFFF"/>
          <w:lang w:eastAsia="zh-CN"/>
        </w:rPr>
      </w:pPr>
      <w:r>
        <w:rPr>
          <w:rFonts w:hint="eastAsia" w:ascii="仿宋_GB2312" w:hAnsi="仿宋_GB2312" w:eastAsia="仿宋_GB2312" w:cs="仿宋_GB2312"/>
          <w:b/>
          <w:bCs/>
          <w:kern w:val="0"/>
          <w:sz w:val="32"/>
          <w:szCs w:val="32"/>
          <w:shd w:val="clear" w:fill="FFFFFF"/>
          <w:lang w:val="en-US" w:eastAsia="zh-CN"/>
        </w:rPr>
        <w:t>4.</w:t>
      </w:r>
      <w:r>
        <w:rPr>
          <w:rFonts w:hint="eastAsia" w:ascii="仿宋_GB2312" w:hAnsi="仿宋_GB2312" w:eastAsia="仿宋_GB2312" w:cs="仿宋_GB2312"/>
          <w:b/>
          <w:bCs/>
          <w:kern w:val="0"/>
          <w:sz w:val="32"/>
          <w:szCs w:val="32"/>
          <w:shd w:val="clear" w:fill="FFFFFF"/>
          <w:lang w:eastAsia="zh-CN"/>
        </w:rPr>
        <w:t>加强队伍建设，促进供销社高质量发展</w:t>
      </w:r>
    </w:p>
    <w:p w14:paraId="2D9000C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kern w:val="0"/>
          <w:sz w:val="32"/>
          <w:szCs w:val="32"/>
          <w:shd w:val="clear" w:fill="FFFFFF"/>
          <w:lang w:eastAsia="zh-CN"/>
        </w:rPr>
      </w:pPr>
      <w:r>
        <w:rPr>
          <w:rFonts w:hint="eastAsia" w:ascii="仿宋_GB2312" w:hAnsi="仿宋_GB2312" w:eastAsia="仿宋_GB2312" w:cs="仿宋_GB2312"/>
          <w:kern w:val="0"/>
          <w:sz w:val="32"/>
          <w:szCs w:val="32"/>
          <w:shd w:val="clear" w:fill="FFFFFF"/>
          <w:lang w:eastAsia="zh-CN"/>
        </w:rPr>
        <w:t>对供销社全体干部职工集中进行培训，宣讲“扁担精神”和“背篓精神”，讨论红原县基层社管理相关办法，对全县各基层社相关人员进行系统培训，以提高培训效果、增加实感，强化供销意识和责任担当，进一步加深了对新时代供销社地位作用的认识，开阔了眼界和视野，提高了业务知识，拓展了工作思路，为红原县基层供销社规范化建设起到了推动作用。</w:t>
      </w:r>
    </w:p>
    <w:p w14:paraId="55186278">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jc w:val="left"/>
        <w:textAlignment w:val="auto"/>
        <w:rPr>
          <w:rFonts w:hint="eastAsia" w:ascii="仿宋_GB2312" w:hAnsi="仿宋_GB2312" w:eastAsia="仿宋_GB2312" w:cs="仿宋_GB2312"/>
          <w:b/>
          <w:bCs/>
          <w:kern w:val="0"/>
          <w:sz w:val="32"/>
          <w:szCs w:val="32"/>
          <w:shd w:val="clear" w:fill="FFFFFF"/>
          <w:lang w:val="en-US" w:eastAsia="zh-CN"/>
        </w:rPr>
      </w:pPr>
    </w:p>
    <w:p w14:paraId="428C2AB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firstLine="643" w:firstLineChars="200"/>
        <w:jc w:val="left"/>
        <w:textAlignment w:val="auto"/>
        <w:rPr>
          <w:rFonts w:hint="eastAsia" w:ascii="仿宋_GB2312" w:hAnsi="仿宋_GB2312" w:eastAsia="仿宋_GB2312" w:cs="仿宋_GB2312"/>
          <w:b/>
          <w:bCs/>
          <w:kern w:val="0"/>
          <w:sz w:val="32"/>
          <w:szCs w:val="32"/>
          <w:shd w:val="clear" w:fill="FFFFFF"/>
          <w:lang w:eastAsia="zh-CN"/>
        </w:rPr>
      </w:pPr>
      <w:r>
        <w:rPr>
          <w:rFonts w:hint="eastAsia" w:ascii="仿宋_GB2312" w:hAnsi="仿宋_GB2312" w:eastAsia="仿宋_GB2312" w:cs="仿宋_GB2312"/>
          <w:b/>
          <w:bCs/>
          <w:kern w:val="0"/>
          <w:sz w:val="32"/>
          <w:szCs w:val="32"/>
          <w:shd w:val="clear" w:fill="FFFFFF"/>
          <w:lang w:val="en-US" w:eastAsia="zh-CN"/>
        </w:rPr>
        <w:t>5.</w:t>
      </w:r>
      <w:r>
        <w:rPr>
          <w:rFonts w:hint="eastAsia" w:ascii="仿宋_GB2312" w:hAnsi="仿宋_GB2312" w:eastAsia="仿宋_GB2312" w:cs="仿宋_GB2312"/>
          <w:b/>
          <w:bCs/>
          <w:kern w:val="0"/>
          <w:sz w:val="32"/>
          <w:szCs w:val="32"/>
          <w:shd w:val="clear" w:fill="FFFFFF"/>
          <w:lang w:eastAsia="zh-CN"/>
        </w:rPr>
        <w:t>加强外宣工作，切实提高供销社影响力</w:t>
      </w:r>
    </w:p>
    <w:p w14:paraId="7DC3403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560" w:lineRule="exact"/>
        <w:ind w:left="0" w:firstLine="640" w:firstLineChars="200"/>
        <w:jc w:val="left"/>
        <w:textAlignment w:val="auto"/>
        <w:rPr>
          <w:rFonts w:hint="eastAsia" w:ascii="仿宋_GB2312" w:hAnsi="仿宋_GB2312" w:eastAsia="仿宋_GB2312" w:cs="仿宋_GB2312"/>
          <w:kern w:val="0"/>
          <w:sz w:val="32"/>
          <w:szCs w:val="32"/>
          <w:shd w:val="clear" w:fill="FFFFFF"/>
          <w:lang w:eastAsia="zh-CN"/>
        </w:rPr>
      </w:pPr>
      <w:r>
        <w:rPr>
          <w:rFonts w:hint="eastAsia" w:ascii="仿宋_GB2312" w:hAnsi="仿宋_GB2312" w:eastAsia="仿宋_GB2312" w:cs="仿宋_GB2312"/>
          <w:kern w:val="0"/>
          <w:sz w:val="32"/>
          <w:szCs w:val="32"/>
          <w:shd w:val="clear" w:fill="FFFFFF"/>
          <w:lang w:eastAsia="zh-CN"/>
        </w:rPr>
        <w:t>为改变社会面对供销社边缘化单位、“躺平式”干部的印象，加大对供销工作宣传报道。</w:t>
      </w:r>
    </w:p>
    <w:p w14:paraId="6204C546">
      <w:pPr>
        <w:pStyle w:val="5"/>
        <w:rPr>
          <w:rFonts w:hint="eastAsia"/>
          <w:lang w:val="en-US" w:eastAsia="zh-CN"/>
        </w:rPr>
      </w:pPr>
    </w:p>
    <w:p w14:paraId="7F929317">
      <w:pPr>
        <w:keepNext w:val="0"/>
        <w:keepLines w:val="0"/>
        <w:pageBreakBefore w:val="0"/>
        <w:numPr>
          <w:ilvl w:val="0"/>
          <w:numId w:val="2"/>
        </w:numPr>
        <w:kinsoku/>
        <w:wordWrap/>
        <w:overflowPunct w:val="0"/>
        <w:topLinePunct w:val="0"/>
        <w:autoSpaceDE/>
        <w:autoSpaceDN/>
        <w:bidi w:val="0"/>
        <w:adjustRightInd/>
        <w:snapToGrid/>
        <w:spacing w:line="576" w:lineRule="exact"/>
        <w:ind w:left="640" w:leftChars="0"/>
        <w:jc w:val="both"/>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项目工作。</w:t>
      </w:r>
    </w:p>
    <w:p w14:paraId="5916D0D1">
      <w:pPr>
        <w:keepNext w:val="0"/>
        <w:keepLines w:val="0"/>
        <w:pageBreakBefore w:val="0"/>
        <w:numPr>
          <w:ilvl w:val="0"/>
          <w:numId w:val="3"/>
        </w:numPr>
        <w:kinsoku/>
        <w:wordWrap/>
        <w:overflowPunct w:val="0"/>
        <w:topLinePunct w:val="0"/>
        <w:autoSpaceDE/>
        <w:autoSpaceDN/>
        <w:bidi w:val="0"/>
        <w:adjustRightInd/>
        <w:snapToGrid/>
        <w:spacing w:line="576" w:lineRule="exact"/>
        <w:ind w:firstLine="321"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新建基层社推进有力。</w:t>
      </w:r>
    </w:p>
    <w:p w14:paraId="6A36315C">
      <w:pPr>
        <w:keepNext w:val="0"/>
        <w:keepLines w:val="0"/>
        <w:pageBreakBefore w:val="0"/>
        <w:numPr>
          <w:ilvl w:val="0"/>
          <w:numId w:val="0"/>
        </w:numPr>
        <w:kinsoku/>
        <w:wordWrap/>
        <w:overflowPunct w:val="0"/>
        <w:topLinePunct w:val="0"/>
        <w:autoSpaceDE/>
        <w:autoSpaceDN/>
        <w:bidi w:val="0"/>
        <w:adjustRightInd/>
        <w:snapToGrid/>
        <w:spacing w:line="576"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统筹规划基层社建设，精准对接乡镇需求，指导完成瓦切镇，龙日镇两个基层社新建任务，提升了瓦切镇基础设施服务能力.</w:t>
      </w:r>
    </w:p>
    <w:p w14:paraId="0B1D1416">
      <w:pPr>
        <w:keepNext w:val="0"/>
        <w:keepLines w:val="0"/>
        <w:pageBreakBefore w:val="0"/>
        <w:numPr>
          <w:ilvl w:val="0"/>
          <w:numId w:val="3"/>
        </w:numPr>
        <w:kinsoku/>
        <w:wordWrap/>
        <w:overflowPunct w:val="0"/>
        <w:topLinePunct w:val="0"/>
        <w:autoSpaceDE/>
        <w:autoSpaceDN/>
        <w:bidi w:val="0"/>
        <w:adjustRightInd/>
        <w:snapToGrid/>
        <w:spacing w:line="576" w:lineRule="exact"/>
        <w:ind w:firstLine="321"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农资补贴发放规范高效。</w:t>
      </w:r>
    </w:p>
    <w:p w14:paraId="30BC8B27">
      <w:pPr>
        <w:keepNext w:val="0"/>
        <w:keepLines w:val="0"/>
        <w:pageBreakBefore w:val="0"/>
        <w:numPr>
          <w:ilvl w:val="0"/>
          <w:numId w:val="0"/>
        </w:numPr>
        <w:kinsoku/>
        <w:wordWrap/>
        <w:overflowPunct w:val="0"/>
        <w:topLinePunct w:val="0"/>
        <w:autoSpaceDE/>
        <w:autoSpaceDN/>
        <w:bidi w:val="0"/>
        <w:adjustRightInd/>
        <w:snapToGrid/>
        <w:spacing w:line="576" w:lineRule="exact"/>
        <w:ind w:firstLine="320" w:firstLineChars="1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建立健全补贴发放审核机制，精准核实补贴对象等信息，确保农资补贴及时足额发放到位，发放总资金53254.88元，有效降低了种植成本。</w:t>
      </w:r>
    </w:p>
    <w:p w14:paraId="7EFACA14">
      <w:pPr>
        <w:pStyle w:val="2"/>
        <w:rPr>
          <w:rFonts w:hint="default"/>
          <w:lang w:val="en-US" w:eastAsia="zh-CN"/>
        </w:rPr>
      </w:pPr>
    </w:p>
    <w:p w14:paraId="3DC0F44C">
      <w:pPr>
        <w:keepNext w:val="0"/>
        <w:keepLines w:val="0"/>
        <w:pageBreakBefore w:val="0"/>
        <w:numPr>
          <w:ilvl w:val="0"/>
          <w:numId w:val="0"/>
        </w:numPr>
        <w:kinsoku/>
        <w:wordWrap/>
        <w:overflowPunct w:val="0"/>
        <w:topLinePunct w:val="0"/>
        <w:autoSpaceDE/>
        <w:autoSpaceDN/>
        <w:bidi w:val="0"/>
        <w:adjustRightInd/>
        <w:snapToGrid/>
        <w:spacing w:line="576" w:lineRule="exact"/>
        <w:jc w:val="both"/>
        <w:textAlignment w:val="auto"/>
        <w:rPr>
          <w:rFonts w:hint="default" w:ascii="仿宋_GB2312" w:hAnsi="仿宋_GB2312" w:eastAsia="仿宋_GB2312" w:cs="仿宋_GB2312"/>
          <w:b/>
          <w:bCs/>
          <w:sz w:val="32"/>
          <w:szCs w:val="32"/>
          <w:lang w:val="en-US" w:eastAsia="zh-CN"/>
        </w:rPr>
      </w:pPr>
    </w:p>
    <w:p w14:paraId="1903026C">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黑体" w:hAnsi="黑体" w:eastAsia="黑体" w:cs="黑体"/>
          <w:sz w:val="32"/>
          <w:szCs w:val="32"/>
          <w:shd w:val="clear" w:color="auto" w:fill="FFFFFF"/>
        </w:rPr>
      </w:pPr>
      <w:bookmarkStart w:id="0" w:name="YS060102"/>
      <w:r>
        <w:rPr>
          <w:rFonts w:ascii="黑体" w:hAnsi="黑体" w:eastAsia="黑体" w:cs="黑体"/>
          <w:sz w:val="32"/>
          <w:szCs w:val="32"/>
          <w:shd w:val="clear" w:color="auto" w:fill="FFFFFF"/>
        </w:rPr>
        <w:t>二、收入支出预算执行情况分析</w:t>
      </w:r>
    </w:p>
    <w:bookmarkEnd w:id="0"/>
    <w:p w14:paraId="1CFFBC07">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（一）收入支出预算安排情况</w:t>
      </w:r>
    </w:p>
    <w:p w14:paraId="6FDC9F6C">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Style w:val="22"/>
          <w:rFonts w:hint="eastAsia" w:ascii="宋体" w:hAnsi="宋体" w:cs="宋体"/>
          <w:b w:val="0"/>
          <w:bCs/>
          <w:sz w:val="30"/>
          <w:szCs w:val="30"/>
          <w:shd w:val="clear" w:color="auto" w:fill="FFFFFF"/>
        </w:rPr>
      </w:pPr>
      <w:r>
        <w:rPr>
          <w:rFonts w:ascii="仿宋_GB2312" w:hAnsi="仿宋_GB2312" w:eastAsia="仿宋_GB2312" w:cs="仿宋_GB2312"/>
          <w:sz w:val="32"/>
          <w:szCs w:val="32"/>
          <w:shd w:val="clear" w:color="auto" w:fill="FFFFFF"/>
        </w:rPr>
        <w:t>本部门本年度收入的年初预算数为</w:t>
      </w:r>
      <w:r>
        <w:rPr>
          <w:rFonts w:hint="eastAsia" w:ascii="仿宋_GB2312" w:hAnsi="仿宋_GB2312" w:eastAsia="仿宋_GB2312" w:cs="仿宋_GB2312"/>
          <w:sz w:val="32"/>
          <w:szCs w:val="32"/>
          <w:shd w:val="clear" w:color="auto" w:fill="FFFFFF"/>
          <w:lang w:val="en-US" w:eastAsia="zh-CN"/>
        </w:rPr>
        <w:t>184.45</w:t>
      </w:r>
      <w:r>
        <w:rPr>
          <w:rFonts w:ascii="仿宋_GB2312" w:hAnsi="仿宋_GB2312" w:eastAsia="仿宋_GB2312" w:cs="仿宋_GB2312"/>
          <w:sz w:val="32"/>
          <w:szCs w:val="32"/>
          <w:shd w:val="clear" w:color="auto" w:fill="FFFFFF"/>
        </w:rPr>
        <w:t xml:space="preserve">万元，上年度收入的年初预算数为 </w:t>
      </w:r>
      <w:r>
        <w:rPr>
          <w:rFonts w:hint="eastAsia" w:ascii="仿宋_GB2312" w:hAnsi="仿宋_GB2312" w:eastAsia="仿宋_GB2312" w:cs="仿宋_GB2312"/>
          <w:sz w:val="32"/>
          <w:szCs w:val="32"/>
          <w:shd w:val="clear" w:color="auto" w:fill="FFFFFF"/>
          <w:lang w:val="en-US" w:eastAsia="zh-CN"/>
        </w:rPr>
        <w:t>214.69</w:t>
      </w:r>
      <w:r>
        <w:rPr>
          <w:rFonts w:ascii="仿宋_GB2312" w:hAnsi="仿宋_GB2312" w:eastAsia="仿宋_GB2312" w:cs="仿宋_GB2312"/>
          <w:sz w:val="32"/>
          <w:szCs w:val="32"/>
          <w:shd w:val="clear" w:color="auto" w:fill="FFFFFF"/>
        </w:rPr>
        <w:t xml:space="preserve"> 万元，差异为 </w:t>
      </w:r>
      <w:r>
        <w:rPr>
          <w:rFonts w:hint="eastAsia" w:ascii="仿宋_GB2312" w:hAnsi="仿宋_GB2312" w:eastAsia="仿宋_GB2312" w:cs="仿宋_GB2312"/>
          <w:sz w:val="32"/>
          <w:szCs w:val="32"/>
          <w:shd w:val="clear" w:color="auto" w:fill="FFFFFF"/>
          <w:lang w:val="en-US" w:eastAsia="zh-CN"/>
        </w:rPr>
        <w:t>30.24</w:t>
      </w:r>
      <w:r>
        <w:rPr>
          <w:rFonts w:ascii="仿宋_GB2312" w:hAnsi="仿宋_GB2312" w:eastAsia="仿宋_GB2312" w:cs="仿宋_GB2312"/>
          <w:sz w:val="32"/>
          <w:szCs w:val="32"/>
          <w:shd w:val="clear" w:color="auto" w:fill="FFFFFF"/>
        </w:rPr>
        <w:t>万元；</w:t>
      </w:r>
      <w:r>
        <w:rPr>
          <w:rStyle w:val="22"/>
          <w:rFonts w:hint="eastAsia" w:ascii="仿宋_GB2312" w:hAnsi="仿宋_GB2312" w:eastAsia="仿宋_GB2312" w:cs="仿宋_GB2312"/>
          <w:sz w:val="32"/>
          <w:szCs w:val="32"/>
          <w:shd w:val="clear" w:color="auto" w:fill="FFFFFF"/>
        </w:rPr>
        <w:t>主要原因为今年项目</w:t>
      </w:r>
      <w:r>
        <w:rPr>
          <w:rStyle w:val="22"/>
          <w:rFonts w:hint="eastAsia" w:ascii="仿宋_GB2312" w:hAnsi="仿宋_GB2312" w:eastAsia="仿宋_GB2312" w:cs="仿宋_GB2312"/>
          <w:sz w:val="32"/>
          <w:szCs w:val="32"/>
          <w:shd w:val="clear" w:color="auto" w:fill="FFFFFF"/>
          <w:lang w:eastAsia="zh-CN"/>
        </w:rPr>
        <w:t>减少</w:t>
      </w:r>
      <w:r>
        <w:rPr>
          <w:rFonts w:ascii="仿宋_GB2312" w:hAnsi="仿宋_GB2312" w:eastAsia="仿宋_GB2312" w:cs="仿宋_GB2312"/>
          <w:sz w:val="32"/>
          <w:szCs w:val="32"/>
          <w:shd w:val="clear" w:color="auto" w:fill="FFFFFF"/>
        </w:rPr>
        <w:t>。本年度支出的年初预算数为</w:t>
      </w:r>
      <w:r>
        <w:rPr>
          <w:rFonts w:hint="eastAsia" w:ascii="仿宋_GB2312" w:hAnsi="仿宋_GB2312" w:eastAsia="仿宋_GB2312" w:cs="仿宋_GB2312"/>
          <w:sz w:val="32"/>
          <w:szCs w:val="32"/>
          <w:shd w:val="clear" w:color="auto" w:fill="FFFFFF"/>
          <w:lang w:val="en-US" w:eastAsia="zh-CN"/>
        </w:rPr>
        <w:t>184.45</w:t>
      </w:r>
      <w:r>
        <w:rPr>
          <w:rFonts w:ascii="仿宋_GB2312" w:hAnsi="仿宋_GB2312" w:eastAsia="仿宋_GB2312" w:cs="仿宋_GB2312"/>
          <w:sz w:val="32"/>
          <w:szCs w:val="32"/>
          <w:shd w:val="clear" w:color="auto" w:fill="FFFFFF"/>
        </w:rPr>
        <w:t xml:space="preserve">万元，上年度支出的年初预算数为 </w:t>
      </w:r>
      <w:r>
        <w:rPr>
          <w:rFonts w:hint="eastAsia" w:ascii="仿宋_GB2312" w:hAnsi="仿宋_GB2312" w:eastAsia="仿宋_GB2312" w:cs="仿宋_GB2312"/>
          <w:sz w:val="32"/>
          <w:szCs w:val="32"/>
          <w:shd w:val="clear" w:color="auto" w:fill="FFFFFF"/>
          <w:lang w:val="en-US" w:eastAsia="zh-CN"/>
        </w:rPr>
        <w:t>214.69</w:t>
      </w:r>
      <w:r>
        <w:rPr>
          <w:rFonts w:ascii="仿宋_GB2312" w:hAnsi="仿宋_GB2312" w:eastAsia="仿宋_GB2312" w:cs="仿宋_GB2312"/>
          <w:sz w:val="32"/>
          <w:szCs w:val="32"/>
          <w:shd w:val="clear" w:color="auto" w:fill="FFFFFF"/>
        </w:rPr>
        <w:t xml:space="preserve"> 万元，差异为 </w:t>
      </w:r>
      <w:r>
        <w:rPr>
          <w:rFonts w:hint="eastAsia" w:ascii="仿宋_GB2312" w:hAnsi="仿宋_GB2312" w:eastAsia="仿宋_GB2312" w:cs="仿宋_GB2312"/>
          <w:sz w:val="32"/>
          <w:szCs w:val="32"/>
          <w:shd w:val="clear" w:color="auto" w:fill="FFFFFF"/>
          <w:lang w:val="en-US" w:eastAsia="zh-CN"/>
        </w:rPr>
        <w:t>30.24</w:t>
      </w:r>
      <w:r>
        <w:rPr>
          <w:rFonts w:ascii="仿宋_GB2312" w:hAnsi="仿宋_GB2312" w:eastAsia="仿宋_GB2312" w:cs="仿宋_GB2312"/>
          <w:sz w:val="32"/>
          <w:szCs w:val="32"/>
          <w:shd w:val="clear" w:color="auto" w:fill="FFFFFF"/>
        </w:rPr>
        <w:t xml:space="preserve">  万元；</w:t>
      </w:r>
      <w:r>
        <w:rPr>
          <w:rStyle w:val="22"/>
          <w:rFonts w:hint="eastAsia" w:ascii="仿宋_GB2312" w:hAnsi="仿宋_GB2312" w:eastAsia="仿宋_GB2312" w:cs="仿宋_GB2312"/>
          <w:sz w:val="32"/>
          <w:szCs w:val="32"/>
          <w:shd w:val="clear" w:color="auto" w:fill="FFFFFF"/>
        </w:rPr>
        <w:t>主要原因为今年项目</w:t>
      </w:r>
      <w:r>
        <w:rPr>
          <w:rStyle w:val="22"/>
          <w:rFonts w:hint="eastAsia" w:ascii="仿宋_GB2312" w:hAnsi="仿宋_GB2312" w:eastAsia="仿宋_GB2312" w:cs="仿宋_GB2312"/>
          <w:sz w:val="32"/>
          <w:szCs w:val="32"/>
          <w:shd w:val="clear" w:color="auto" w:fill="FFFFFF"/>
          <w:lang w:eastAsia="zh-CN"/>
        </w:rPr>
        <w:t>减少</w:t>
      </w:r>
      <w:r>
        <w:rPr>
          <w:rStyle w:val="22"/>
          <w:rFonts w:hint="eastAsia" w:ascii="仿宋_GB2312" w:hAnsi="仿宋_GB2312" w:eastAsia="仿宋_GB2312" w:cs="仿宋_GB2312"/>
          <w:sz w:val="32"/>
          <w:szCs w:val="32"/>
          <w:shd w:val="clear" w:color="auto" w:fill="FFFFFF"/>
        </w:rPr>
        <w:t>。</w:t>
      </w:r>
      <w:r>
        <w:rPr>
          <w:rStyle w:val="22"/>
          <w:rFonts w:hint="eastAsia" w:ascii="宋体" w:hAnsi="宋体" w:cs="宋体"/>
          <w:shd w:val="clear" w:color="auto" w:fill="FFFFFF"/>
        </w:rPr>
        <w:t xml:space="preserve"> </w:t>
      </w:r>
    </w:p>
    <w:p w14:paraId="6E00B72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（二）收入支出预算执行情况</w:t>
      </w:r>
    </w:p>
    <w:p w14:paraId="4B2E79B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本部门本年度收入调整预算数为</w:t>
      </w:r>
      <w:r>
        <w:rPr>
          <w:rFonts w:hint="eastAsia" w:ascii="仿宋_GB2312" w:hAnsi="仿宋_GB2312" w:eastAsia="仿宋_GB2312" w:cs="仿宋_GB2312"/>
          <w:sz w:val="32"/>
          <w:szCs w:val="32"/>
          <w:shd w:val="clear" w:color="auto" w:fill="FFFFFF"/>
          <w:lang w:val="en-US" w:eastAsia="zh-CN"/>
        </w:rPr>
        <w:t>370.31</w:t>
      </w:r>
      <w:r>
        <w:rPr>
          <w:rFonts w:ascii="仿宋_GB2312" w:hAnsi="仿宋_GB2312" w:eastAsia="仿宋_GB2312" w:cs="仿宋_GB2312"/>
          <w:sz w:val="32"/>
          <w:szCs w:val="32"/>
          <w:shd w:val="clear" w:color="auto" w:fill="FFFFFF"/>
        </w:rPr>
        <w:t>万元，收入决算数为</w:t>
      </w:r>
      <w:r>
        <w:rPr>
          <w:rFonts w:hint="eastAsia" w:ascii="仿宋_GB2312" w:hAnsi="仿宋_GB2312" w:eastAsia="仿宋_GB2312" w:cs="仿宋_GB2312"/>
          <w:sz w:val="32"/>
          <w:szCs w:val="32"/>
          <w:shd w:val="clear" w:color="auto" w:fill="FFFFFF"/>
          <w:lang w:val="en-US" w:eastAsia="zh-CN"/>
        </w:rPr>
        <w:t>338.47</w:t>
      </w:r>
      <w:r>
        <w:rPr>
          <w:rFonts w:ascii="仿宋_GB2312" w:hAnsi="仿宋_GB2312" w:eastAsia="仿宋_GB2312" w:cs="仿宋_GB2312"/>
          <w:sz w:val="32"/>
          <w:szCs w:val="32"/>
          <w:shd w:val="clear" w:color="auto" w:fill="FFFFFF"/>
        </w:rPr>
        <w:t>万元，预算完成度为</w:t>
      </w:r>
      <w:r>
        <w:rPr>
          <w:rFonts w:hint="eastAsia" w:ascii="仿宋_GB2312" w:hAnsi="仿宋_GB2312" w:eastAsia="仿宋_GB2312" w:cs="仿宋_GB2312"/>
          <w:sz w:val="32"/>
          <w:szCs w:val="32"/>
          <w:shd w:val="clear" w:color="auto" w:fill="FFFFFF"/>
          <w:lang w:val="en-US" w:eastAsia="zh-CN"/>
        </w:rPr>
        <w:t>91.65</w:t>
      </w:r>
      <w:r>
        <w:rPr>
          <w:rFonts w:ascii="仿宋_GB2312" w:hAnsi="仿宋_GB2312" w:eastAsia="仿宋_GB2312" w:cs="仿宋_GB2312"/>
          <w:sz w:val="32"/>
          <w:szCs w:val="32"/>
          <w:shd w:val="clear" w:color="auto" w:fill="FFFFFF"/>
        </w:rPr>
        <w:t>%，上年度预算完成度为</w:t>
      </w:r>
      <w:r>
        <w:rPr>
          <w:rFonts w:hint="eastAsia" w:ascii="仿宋_GB2312" w:hAnsi="仿宋_GB2312" w:eastAsia="仿宋_GB2312" w:cs="仿宋_GB2312"/>
          <w:sz w:val="32"/>
          <w:szCs w:val="32"/>
          <w:shd w:val="clear" w:color="auto" w:fill="FFFFFF"/>
          <w:lang w:val="en-US" w:eastAsia="zh-CN"/>
        </w:rPr>
        <w:t>91.53</w:t>
      </w:r>
      <w:r>
        <w:rPr>
          <w:rFonts w:ascii="仿宋_GB2312" w:hAnsi="仿宋_GB2312" w:eastAsia="仿宋_GB2312" w:cs="仿宋_GB2312"/>
          <w:sz w:val="32"/>
          <w:szCs w:val="32"/>
          <w:shd w:val="clear" w:color="auto" w:fill="FFFFFF"/>
        </w:rPr>
        <w:t>%。本年度支出调整预算数为</w:t>
      </w:r>
      <w:r>
        <w:rPr>
          <w:rFonts w:hint="eastAsia" w:ascii="仿宋_GB2312" w:hAnsi="仿宋_GB2312" w:eastAsia="仿宋_GB2312" w:cs="仿宋_GB2312"/>
          <w:sz w:val="32"/>
          <w:szCs w:val="32"/>
          <w:shd w:val="clear" w:color="auto" w:fill="FFFFFF"/>
          <w:lang w:val="en-US" w:eastAsia="zh-CN"/>
        </w:rPr>
        <w:t>370.31</w:t>
      </w:r>
      <w:r>
        <w:rPr>
          <w:rFonts w:ascii="仿宋_GB2312" w:hAnsi="仿宋_GB2312" w:eastAsia="仿宋_GB2312" w:cs="仿宋_GB2312"/>
          <w:sz w:val="32"/>
          <w:szCs w:val="32"/>
          <w:shd w:val="clear" w:color="auto" w:fill="FFFFFF"/>
        </w:rPr>
        <w:t>万元，支出决算数为</w:t>
      </w:r>
      <w:r>
        <w:rPr>
          <w:rFonts w:hint="eastAsia" w:ascii="仿宋_GB2312" w:hAnsi="仿宋_GB2312" w:eastAsia="仿宋_GB2312" w:cs="仿宋_GB2312"/>
          <w:sz w:val="32"/>
          <w:szCs w:val="32"/>
          <w:shd w:val="clear" w:color="auto" w:fill="FFFFFF"/>
          <w:lang w:val="en-US" w:eastAsia="zh-CN"/>
        </w:rPr>
        <w:t>338.47</w:t>
      </w:r>
      <w:r>
        <w:rPr>
          <w:rFonts w:ascii="仿宋_GB2312" w:hAnsi="仿宋_GB2312" w:eastAsia="仿宋_GB2312" w:cs="仿宋_GB2312"/>
          <w:sz w:val="32"/>
          <w:szCs w:val="32"/>
          <w:shd w:val="clear" w:color="auto" w:fill="FFFFFF"/>
        </w:rPr>
        <w:t>万元，预算完成度为</w:t>
      </w:r>
      <w:r>
        <w:rPr>
          <w:rFonts w:hint="eastAsia" w:ascii="仿宋_GB2312" w:hAnsi="仿宋_GB2312" w:eastAsia="仿宋_GB2312" w:cs="仿宋_GB2312"/>
          <w:sz w:val="32"/>
          <w:szCs w:val="32"/>
          <w:shd w:val="clear" w:color="auto" w:fill="FFFFFF"/>
          <w:lang w:val="en-US" w:eastAsia="zh-CN"/>
        </w:rPr>
        <w:t>91.65</w:t>
      </w:r>
      <w:r>
        <w:rPr>
          <w:rFonts w:ascii="仿宋_GB2312" w:hAnsi="仿宋_GB2312" w:eastAsia="仿宋_GB2312" w:cs="仿宋_GB2312"/>
          <w:sz w:val="32"/>
          <w:szCs w:val="32"/>
          <w:shd w:val="clear" w:color="auto" w:fill="FFFFFF"/>
        </w:rPr>
        <w:t>%，上年度预算完成度为</w:t>
      </w:r>
      <w:r>
        <w:rPr>
          <w:rFonts w:hint="eastAsia" w:ascii="仿宋_GB2312" w:hAnsi="仿宋_GB2312" w:eastAsia="仿宋_GB2312" w:cs="仿宋_GB2312"/>
          <w:sz w:val="32"/>
          <w:szCs w:val="32"/>
          <w:shd w:val="clear" w:color="auto" w:fill="FFFFFF"/>
          <w:lang w:val="en-US" w:eastAsia="zh-CN"/>
        </w:rPr>
        <w:t>91.53</w:t>
      </w:r>
      <w:r>
        <w:rPr>
          <w:rFonts w:ascii="仿宋_GB2312" w:hAnsi="仿宋_GB2312" w:eastAsia="仿宋_GB2312" w:cs="仿宋_GB2312"/>
          <w:sz w:val="32"/>
          <w:szCs w:val="32"/>
          <w:shd w:val="clear" w:color="auto" w:fill="FFFFFF"/>
        </w:rPr>
        <w:t>%。</w:t>
      </w:r>
    </w:p>
    <w:p w14:paraId="7D81F404">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Fonts w:hint="default" w:ascii="仿宋" w:hAnsi="仿宋" w:eastAsia="仿宋" w:cs="仿宋"/>
          <w:sz w:val="30"/>
          <w:szCs w:val="30"/>
        </w:rPr>
      </w:pPr>
      <w:r>
        <w:rPr>
          <w:rFonts w:ascii="仿宋_GB2312" w:hAnsi="仿宋_GB2312" w:eastAsia="仿宋_GB2312" w:cs="仿宋_GB2312"/>
          <w:b/>
          <w:bCs/>
          <w:sz w:val="32"/>
          <w:szCs w:val="32"/>
          <w:shd w:val="clear" w:color="auto" w:fill="FFFFFF"/>
        </w:rPr>
        <w:t>1．收入支出与预算对比分析</w:t>
      </w:r>
    </w:p>
    <w:p w14:paraId="3AD7FA5E">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b/>
          <w:bCs/>
          <w:sz w:val="32"/>
          <w:szCs w:val="32"/>
          <w:shd w:val="clear" w:color="auto" w:fill="FFFFFF"/>
        </w:rPr>
      </w:pPr>
      <w:r>
        <w:rPr>
          <w:rFonts w:ascii="仿宋_GB2312" w:hAnsi="仿宋_GB2312" w:eastAsia="仿宋_GB2312" w:cs="仿宋_GB2312"/>
          <w:sz w:val="32"/>
          <w:szCs w:val="32"/>
          <w:shd w:val="clear" w:color="auto" w:fill="FFFFFF"/>
        </w:rPr>
        <w:t>本部门本年度收入年初预算数为</w:t>
      </w:r>
      <w:r>
        <w:rPr>
          <w:rFonts w:hint="eastAsia" w:ascii="仿宋_GB2312" w:hAnsi="仿宋_GB2312" w:eastAsia="仿宋_GB2312" w:cs="仿宋_GB2312"/>
          <w:sz w:val="32"/>
          <w:szCs w:val="32"/>
          <w:shd w:val="clear" w:color="auto" w:fill="FFFFFF"/>
          <w:lang w:val="en-US" w:eastAsia="zh-CN"/>
        </w:rPr>
        <w:t>184.45</w:t>
      </w:r>
      <w:r>
        <w:rPr>
          <w:rFonts w:ascii="仿宋_GB2312" w:hAnsi="仿宋_GB2312" w:eastAsia="仿宋_GB2312" w:cs="仿宋_GB2312"/>
          <w:sz w:val="32"/>
          <w:szCs w:val="32"/>
          <w:shd w:val="clear" w:color="auto" w:fill="FFFFFF"/>
        </w:rPr>
        <w:t>万元，收入决算数为</w:t>
      </w:r>
      <w:r>
        <w:rPr>
          <w:rFonts w:hint="eastAsia" w:ascii="仿宋_GB2312" w:hAnsi="仿宋_GB2312" w:eastAsia="仿宋_GB2312" w:cs="仿宋_GB2312"/>
          <w:sz w:val="32"/>
          <w:szCs w:val="32"/>
          <w:shd w:val="clear" w:color="auto" w:fill="FFFFFF"/>
          <w:lang w:val="en-US" w:eastAsia="zh-CN"/>
        </w:rPr>
        <w:t>338.47</w:t>
      </w:r>
      <w:r>
        <w:rPr>
          <w:rFonts w:ascii="仿宋_GB2312" w:hAnsi="仿宋_GB2312" w:eastAsia="仿宋_GB2312" w:cs="仿宋_GB2312"/>
          <w:sz w:val="32"/>
          <w:szCs w:val="32"/>
          <w:shd w:val="clear" w:color="auto" w:fill="FFFFFF"/>
        </w:rPr>
        <w:t>万元，相差</w:t>
      </w:r>
      <w:r>
        <w:rPr>
          <w:rFonts w:hint="eastAsia" w:ascii="仿宋_GB2312" w:hAnsi="仿宋_GB2312" w:eastAsia="仿宋_GB2312" w:cs="仿宋_GB2312"/>
          <w:sz w:val="32"/>
          <w:szCs w:val="32"/>
          <w:shd w:val="clear" w:color="auto" w:fill="FFFFFF"/>
          <w:lang w:val="en-US" w:eastAsia="zh-CN"/>
        </w:rPr>
        <w:t>154.02</w:t>
      </w:r>
      <w:r>
        <w:rPr>
          <w:rFonts w:ascii="仿宋_GB2312" w:hAnsi="仿宋_GB2312" w:eastAsia="仿宋_GB2312" w:cs="仿宋_GB2312"/>
          <w:sz w:val="32"/>
          <w:szCs w:val="32"/>
          <w:shd w:val="clear" w:color="auto" w:fill="FFFFFF"/>
        </w:rPr>
        <w:t>万元，</w:t>
      </w:r>
      <w:r>
        <w:rPr>
          <w:rFonts w:ascii="仿宋_GB2312" w:hAnsi="仿宋_GB2312" w:eastAsia="仿宋_GB2312" w:cs="仿宋_GB2312"/>
          <w:b/>
          <w:bCs/>
          <w:sz w:val="32"/>
          <w:szCs w:val="32"/>
          <w:shd w:val="clear" w:color="auto" w:fill="FFFFFF"/>
        </w:rPr>
        <w:t>主要原因为</w:t>
      </w:r>
      <w:r>
        <w:rPr>
          <w:rFonts w:hint="eastAsia" w:ascii="仿宋_GB2312" w:hAnsi="仿宋_GB2312" w:eastAsia="仿宋_GB2312" w:cs="仿宋_GB2312"/>
          <w:b/>
          <w:bCs/>
          <w:sz w:val="32"/>
          <w:szCs w:val="32"/>
          <w:shd w:val="clear" w:color="auto" w:fill="FFFFFF"/>
          <w:lang w:eastAsia="zh-CN"/>
        </w:rPr>
        <w:t>特定</w:t>
      </w:r>
      <w:r>
        <w:rPr>
          <w:rFonts w:ascii="仿宋_GB2312" w:hAnsi="仿宋_GB2312" w:eastAsia="仿宋_GB2312" w:cs="仿宋_GB2312"/>
          <w:b/>
          <w:bCs/>
          <w:sz w:val="32"/>
          <w:szCs w:val="32"/>
          <w:shd w:val="clear" w:color="auto" w:fill="FFFFFF"/>
        </w:rPr>
        <w:t>项目</w:t>
      </w:r>
      <w:r>
        <w:rPr>
          <w:rFonts w:hint="eastAsia" w:ascii="仿宋_GB2312" w:hAnsi="仿宋_GB2312" w:eastAsia="仿宋_GB2312" w:cs="仿宋_GB2312"/>
          <w:b/>
          <w:bCs/>
          <w:sz w:val="32"/>
          <w:szCs w:val="32"/>
          <w:shd w:val="clear" w:color="auto" w:fill="FFFFFF"/>
          <w:lang w:eastAsia="zh-CN"/>
        </w:rPr>
        <w:t>，人员</w:t>
      </w:r>
      <w:r>
        <w:rPr>
          <w:rFonts w:ascii="仿宋_GB2312" w:hAnsi="仿宋_GB2312" w:eastAsia="仿宋_GB2312" w:cs="仿宋_GB2312"/>
          <w:b/>
          <w:bCs/>
          <w:sz w:val="32"/>
          <w:szCs w:val="32"/>
          <w:shd w:val="clear" w:color="auto" w:fill="FFFFFF"/>
        </w:rPr>
        <w:t>增加</w:t>
      </w:r>
      <w:r>
        <w:rPr>
          <w:rFonts w:ascii="仿宋_GB2312" w:hAnsi="仿宋_GB2312" w:eastAsia="仿宋_GB2312" w:cs="仿宋_GB2312"/>
          <w:sz w:val="32"/>
          <w:szCs w:val="32"/>
          <w:shd w:val="clear" w:color="auto" w:fill="FFFFFF"/>
        </w:rPr>
        <w:t>。本部门本年度支出年初预算数</w:t>
      </w:r>
      <w:r>
        <w:rPr>
          <w:rFonts w:hint="eastAsia" w:ascii="仿宋_GB2312" w:hAnsi="仿宋_GB2312" w:eastAsia="仿宋_GB2312" w:cs="仿宋_GB2312"/>
          <w:sz w:val="32"/>
          <w:szCs w:val="32"/>
          <w:shd w:val="clear" w:color="auto" w:fill="FFFFFF"/>
          <w:lang w:val="en-US" w:eastAsia="zh-CN"/>
        </w:rPr>
        <w:t>184.45</w:t>
      </w:r>
      <w:r>
        <w:rPr>
          <w:rFonts w:ascii="仿宋_GB2312" w:hAnsi="仿宋_GB2312" w:eastAsia="仿宋_GB2312" w:cs="仿宋_GB2312"/>
          <w:sz w:val="32"/>
          <w:szCs w:val="32"/>
          <w:shd w:val="clear" w:color="auto" w:fill="FFFFFF"/>
        </w:rPr>
        <w:t>万元，支出决算数为</w:t>
      </w:r>
      <w:r>
        <w:rPr>
          <w:rFonts w:hint="eastAsia" w:ascii="仿宋_GB2312" w:hAnsi="仿宋_GB2312" w:eastAsia="仿宋_GB2312" w:cs="仿宋_GB2312"/>
          <w:sz w:val="32"/>
          <w:szCs w:val="32"/>
          <w:shd w:val="clear" w:color="auto" w:fill="FFFFFF"/>
          <w:lang w:val="en-US" w:eastAsia="zh-CN"/>
        </w:rPr>
        <w:t>338.47</w:t>
      </w:r>
      <w:r>
        <w:rPr>
          <w:rFonts w:ascii="仿宋_GB2312" w:hAnsi="仿宋_GB2312" w:eastAsia="仿宋_GB2312" w:cs="仿宋_GB2312"/>
          <w:sz w:val="32"/>
          <w:szCs w:val="32"/>
          <w:shd w:val="clear" w:color="auto" w:fill="FFFFFF"/>
        </w:rPr>
        <w:t>万元，相差</w:t>
      </w:r>
      <w:r>
        <w:rPr>
          <w:rFonts w:hint="eastAsia" w:ascii="仿宋_GB2312" w:hAnsi="仿宋_GB2312" w:eastAsia="仿宋_GB2312" w:cs="仿宋_GB2312"/>
          <w:sz w:val="32"/>
          <w:szCs w:val="32"/>
          <w:shd w:val="clear" w:color="auto" w:fill="FFFFFF"/>
          <w:lang w:val="en-US" w:eastAsia="zh-CN"/>
        </w:rPr>
        <w:t>154.02</w:t>
      </w:r>
      <w:r>
        <w:rPr>
          <w:rFonts w:ascii="仿宋_GB2312" w:hAnsi="仿宋_GB2312" w:eastAsia="仿宋_GB2312" w:cs="仿宋_GB2312"/>
          <w:sz w:val="32"/>
          <w:szCs w:val="32"/>
          <w:shd w:val="clear" w:color="auto" w:fill="FFFFFF"/>
        </w:rPr>
        <w:t>万元，</w:t>
      </w:r>
      <w:r>
        <w:rPr>
          <w:rFonts w:ascii="仿宋_GB2312" w:hAnsi="仿宋_GB2312" w:eastAsia="仿宋_GB2312" w:cs="仿宋_GB2312"/>
          <w:b/>
          <w:bCs/>
          <w:sz w:val="32"/>
          <w:szCs w:val="32"/>
          <w:shd w:val="clear" w:color="auto" w:fill="FFFFFF"/>
        </w:rPr>
        <w:t>主要原</w:t>
      </w:r>
      <w:r>
        <w:rPr>
          <w:rFonts w:hint="eastAsia" w:ascii="仿宋_GB2312" w:hAnsi="仿宋_GB2312" w:eastAsia="仿宋_GB2312" w:cs="仿宋_GB2312"/>
          <w:b/>
          <w:bCs/>
          <w:sz w:val="32"/>
          <w:szCs w:val="32"/>
          <w:shd w:val="clear" w:color="auto" w:fill="FFFFFF"/>
          <w:lang w:eastAsia="zh-CN"/>
        </w:rPr>
        <w:t>因特定</w:t>
      </w:r>
      <w:r>
        <w:rPr>
          <w:rFonts w:ascii="仿宋_GB2312" w:hAnsi="仿宋_GB2312" w:eastAsia="仿宋_GB2312" w:cs="仿宋_GB2312"/>
          <w:b/>
          <w:bCs/>
          <w:sz w:val="32"/>
          <w:szCs w:val="32"/>
          <w:shd w:val="clear" w:color="auto" w:fill="FFFFFF"/>
        </w:rPr>
        <w:t>项目</w:t>
      </w:r>
      <w:r>
        <w:rPr>
          <w:rFonts w:hint="eastAsia" w:ascii="仿宋_GB2312" w:hAnsi="仿宋_GB2312" w:eastAsia="仿宋_GB2312" w:cs="仿宋_GB2312"/>
          <w:b/>
          <w:bCs/>
          <w:sz w:val="32"/>
          <w:szCs w:val="32"/>
          <w:shd w:val="clear" w:color="auto" w:fill="FFFFFF"/>
          <w:lang w:eastAsia="zh-CN"/>
        </w:rPr>
        <w:t>，人员经费</w:t>
      </w:r>
      <w:r>
        <w:rPr>
          <w:rFonts w:ascii="仿宋_GB2312" w:hAnsi="仿宋_GB2312" w:eastAsia="仿宋_GB2312" w:cs="仿宋_GB2312"/>
          <w:b/>
          <w:bCs/>
          <w:sz w:val="32"/>
          <w:szCs w:val="32"/>
          <w:shd w:val="clear" w:color="auto" w:fill="FFFFFF"/>
        </w:rPr>
        <w:t>增加。</w:t>
      </w:r>
    </w:p>
    <w:p w14:paraId="456C32DB">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Fonts w:hint="default" w:ascii="仿宋_GB2312" w:hAnsi="仿宋_GB2312" w:eastAsia="仿宋_GB2312" w:cs="仿宋_GB2312"/>
          <w:b/>
          <w:bCs/>
          <w:sz w:val="32"/>
          <w:szCs w:val="32"/>
          <w:shd w:val="clear" w:color="auto" w:fill="FFFFFF"/>
        </w:rPr>
      </w:pPr>
      <w:r>
        <w:rPr>
          <w:rFonts w:ascii="仿宋_GB2312" w:hAnsi="仿宋_GB2312" w:eastAsia="仿宋_GB2312" w:cs="仿宋_GB2312"/>
          <w:b/>
          <w:bCs/>
          <w:sz w:val="32"/>
          <w:szCs w:val="32"/>
          <w:shd w:val="clear" w:color="auto" w:fill="FFFFFF"/>
        </w:rPr>
        <w:t>2．收入支出结构分析</w:t>
      </w:r>
    </w:p>
    <w:p w14:paraId="63852254">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ascii="仿宋" w:hAnsi="仿宋" w:eastAsia="仿宋" w:cs="仿宋"/>
          <w:sz w:val="30"/>
          <w:szCs w:val="30"/>
          <w:shd w:val="clear" w:color="auto" w:fill="FFFFFF"/>
        </w:rPr>
      </w:pPr>
      <w:r>
        <w:rPr>
          <w:rFonts w:ascii="仿宋_GB2312" w:hAnsi="仿宋_GB2312" w:eastAsia="仿宋_GB2312" w:cs="仿宋_GB2312"/>
          <w:sz w:val="32"/>
          <w:szCs w:val="32"/>
          <w:shd w:val="clear" w:color="auto" w:fill="FFFFFF"/>
        </w:rPr>
        <w:t>本部门本年度总收入为</w:t>
      </w:r>
      <w:r>
        <w:rPr>
          <w:rFonts w:hint="eastAsia" w:ascii="仿宋_GB2312" w:hAnsi="仿宋_GB2312" w:eastAsia="仿宋_GB2312" w:cs="仿宋_GB2312"/>
          <w:sz w:val="32"/>
          <w:szCs w:val="32"/>
          <w:shd w:val="clear" w:color="auto" w:fill="FFFFFF"/>
          <w:lang w:val="en-US" w:eastAsia="zh-CN"/>
        </w:rPr>
        <w:t>388.47</w:t>
      </w:r>
      <w:r>
        <w:rPr>
          <w:rFonts w:ascii="仿宋_GB2312" w:hAnsi="仿宋_GB2312" w:eastAsia="仿宋_GB2312" w:cs="仿宋_GB2312"/>
          <w:sz w:val="32"/>
          <w:szCs w:val="32"/>
          <w:shd w:val="clear" w:color="auto" w:fill="FFFFFF"/>
        </w:rPr>
        <w:t>万元。其中：一般公共预算财政拨款收入为</w:t>
      </w:r>
      <w:r>
        <w:rPr>
          <w:rFonts w:hint="eastAsia" w:ascii="仿宋_GB2312" w:hAnsi="仿宋_GB2312" w:eastAsia="仿宋_GB2312" w:cs="仿宋_GB2312"/>
          <w:sz w:val="32"/>
          <w:szCs w:val="32"/>
          <w:shd w:val="clear" w:color="auto" w:fill="FFFFFF"/>
          <w:lang w:val="en-US" w:eastAsia="zh-CN"/>
        </w:rPr>
        <w:t>388.47</w:t>
      </w:r>
      <w:r>
        <w:rPr>
          <w:rFonts w:ascii="仿宋_GB2312" w:hAnsi="仿宋_GB2312" w:eastAsia="仿宋_GB2312" w:cs="仿宋_GB2312"/>
          <w:sz w:val="32"/>
          <w:szCs w:val="32"/>
          <w:shd w:val="clear" w:color="auto" w:fill="FFFFFF"/>
        </w:rPr>
        <w:t>万元，占比100%。</w:t>
      </w:r>
    </w:p>
    <w:p w14:paraId="0DD6243B">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ascii="仿宋" w:hAnsi="仿宋" w:eastAsia="仿宋" w:cs="仿宋"/>
          <w:sz w:val="30"/>
          <w:szCs w:val="30"/>
          <w:shd w:val="clear" w:color="auto" w:fill="FFFFFF"/>
        </w:rPr>
      </w:pPr>
      <w:r>
        <w:rPr>
          <w:rFonts w:ascii="仿宋_GB2312" w:hAnsi="仿宋_GB2312" w:eastAsia="仿宋_GB2312" w:cs="仿宋_GB2312"/>
          <w:sz w:val="32"/>
          <w:szCs w:val="32"/>
          <w:shd w:val="clear" w:color="auto" w:fill="FFFFFF"/>
        </w:rPr>
        <w:t>本年度总支出为</w:t>
      </w:r>
      <w:r>
        <w:rPr>
          <w:rFonts w:hint="eastAsia" w:ascii="仿宋_GB2312" w:hAnsi="仿宋_GB2312" w:eastAsia="仿宋_GB2312" w:cs="仿宋_GB2312"/>
          <w:sz w:val="32"/>
          <w:szCs w:val="32"/>
          <w:shd w:val="clear" w:color="auto" w:fill="FFFFFF"/>
          <w:lang w:val="en-US" w:eastAsia="zh-CN"/>
        </w:rPr>
        <w:t>388.47</w:t>
      </w:r>
      <w:r>
        <w:rPr>
          <w:rFonts w:ascii="仿宋_GB2312" w:hAnsi="仿宋_GB2312" w:eastAsia="仿宋_GB2312" w:cs="仿宋_GB2312"/>
          <w:sz w:val="32"/>
          <w:szCs w:val="32"/>
          <w:shd w:val="clear" w:color="auto" w:fill="FFFFFF"/>
        </w:rPr>
        <w:t>万元。其中：一般公共服务支出为0.00万元，占比0.00%；文化旅游体育与传媒支出为0.00万元，占比0.00%；社会保障和就业支出为</w:t>
      </w:r>
      <w:r>
        <w:rPr>
          <w:rFonts w:hint="eastAsia" w:ascii="仿宋_GB2312" w:hAnsi="仿宋_GB2312" w:eastAsia="仿宋_GB2312" w:cs="仿宋_GB2312"/>
          <w:sz w:val="32"/>
          <w:szCs w:val="32"/>
          <w:shd w:val="clear" w:color="auto" w:fill="FFFFFF"/>
          <w:lang w:val="en-US" w:eastAsia="zh-CN"/>
        </w:rPr>
        <w:t>23.90</w:t>
      </w:r>
      <w:r>
        <w:rPr>
          <w:rFonts w:ascii="仿宋_GB2312" w:hAnsi="仿宋_GB2312" w:eastAsia="仿宋_GB2312" w:cs="仿宋_GB2312"/>
          <w:sz w:val="32"/>
          <w:szCs w:val="32"/>
          <w:shd w:val="clear" w:color="auto" w:fill="FFFFFF"/>
        </w:rPr>
        <w:t>万元，占比</w:t>
      </w:r>
      <w:r>
        <w:rPr>
          <w:rFonts w:hint="eastAsia" w:ascii="仿宋_GB2312" w:hAnsi="仿宋_GB2312" w:eastAsia="仿宋_GB2312" w:cs="仿宋_GB2312"/>
          <w:sz w:val="32"/>
          <w:szCs w:val="32"/>
          <w:shd w:val="clear" w:color="auto" w:fill="FFFFFF"/>
          <w:lang w:val="en-US" w:eastAsia="zh-CN"/>
        </w:rPr>
        <w:t>7.06</w:t>
      </w:r>
      <w:r>
        <w:rPr>
          <w:rFonts w:ascii="仿宋_GB2312" w:hAnsi="仿宋_GB2312" w:eastAsia="仿宋_GB2312" w:cs="仿宋_GB2312"/>
          <w:sz w:val="32"/>
          <w:szCs w:val="32"/>
          <w:shd w:val="clear" w:color="auto" w:fill="FFFFFF"/>
        </w:rPr>
        <w:t>%；卫生健康支出为</w:t>
      </w:r>
      <w:r>
        <w:rPr>
          <w:rFonts w:hint="eastAsia" w:ascii="仿宋_GB2312" w:hAnsi="仿宋_GB2312" w:eastAsia="仿宋_GB2312" w:cs="仿宋_GB2312"/>
          <w:sz w:val="32"/>
          <w:szCs w:val="32"/>
          <w:shd w:val="clear" w:color="auto" w:fill="FFFFFF"/>
          <w:lang w:val="en-US" w:eastAsia="zh-CN"/>
        </w:rPr>
        <w:t>10.97</w:t>
      </w:r>
      <w:r>
        <w:rPr>
          <w:rFonts w:ascii="仿宋_GB2312" w:hAnsi="仿宋_GB2312" w:eastAsia="仿宋_GB2312" w:cs="仿宋_GB2312"/>
          <w:sz w:val="32"/>
          <w:szCs w:val="32"/>
          <w:shd w:val="clear" w:color="auto" w:fill="FFFFFF"/>
        </w:rPr>
        <w:t>万元，占比</w:t>
      </w:r>
      <w:r>
        <w:rPr>
          <w:rFonts w:hint="eastAsia" w:ascii="仿宋_GB2312" w:hAnsi="仿宋_GB2312" w:eastAsia="仿宋_GB2312" w:cs="仿宋_GB2312"/>
          <w:sz w:val="32"/>
          <w:szCs w:val="32"/>
          <w:shd w:val="clear" w:color="auto" w:fill="FFFFFF"/>
          <w:lang w:val="en-US" w:eastAsia="zh-CN"/>
        </w:rPr>
        <w:t>3.25</w:t>
      </w:r>
      <w:r>
        <w:rPr>
          <w:rFonts w:ascii="仿宋_GB2312" w:hAnsi="仿宋_GB2312" w:eastAsia="仿宋_GB2312" w:cs="仿宋_GB2312"/>
          <w:sz w:val="32"/>
          <w:szCs w:val="32"/>
          <w:shd w:val="clear" w:color="auto" w:fill="FFFFFF"/>
        </w:rPr>
        <w:t>%；节能环保支出为0.00万元，占比0.00%；城乡社区支出为0.00万元，占比0.00%；农林水支出为</w:t>
      </w:r>
      <w:r>
        <w:rPr>
          <w:rFonts w:hint="eastAsia" w:ascii="仿宋_GB2312" w:hAnsi="仿宋_GB2312" w:eastAsia="仿宋_GB2312" w:cs="仿宋_GB2312"/>
          <w:sz w:val="32"/>
          <w:szCs w:val="32"/>
          <w:shd w:val="clear" w:color="auto" w:fill="FFFFFF"/>
          <w:lang w:val="en-US" w:eastAsia="zh-CN"/>
        </w:rPr>
        <w:t>30.1</w:t>
      </w:r>
      <w:r>
        <w:rPr>
          <w:rFonts w:ascii="仿宋_GB2312" w:hAnsi="仿宋_GB2312" w:eastAsia="仿宋_GB2312" w:cs="仿宋_GB2312"/>
          <w:sz w:val="32"/>
          <w:szCs w:val="32"/>
          <w:shd w:val="clear" w:color="auto" w:fill="FFFFFF"/>
        </w:rPr>
        <w:t>万元，占比</w:t>
      </w:r>
      <w:r>
        <w:rPr>
          <w:rFonts w:hint="eastAsia" w:ascii="仿宋_GB2312" w:hAnsi="仿宋_GB2312" w:eastAsia="仿宋_GB2312" w:cs="仿宋_GB2312"/>
          <w:sz w:val="32"/>
          <w:szCs w:val="32"/>
          <w:shd w:val="clear" w:color="auto" w:fill="FFFFFF"/>
          <w:lang w:val="en-US" w:eastAsia="zh-CN"/>
        </w:rPr>
        <w:t>8.89</w:t>
      </w:r>
      <w:r>
        <w:rPr>
          <w:rFonts w:ascii="仿宋_GB2312" w:hAnsi="仿宋_GB2312" w:eastAsia="仿宋_GB2312" w:cs="仿宋_GB2312"/>
          <w:sz w:val="32"/>
          <w:szCs w:val="32"/>
          <w:shd w:val="clear" w:color="auto" w:fill="FFFFFF"/>
        </w:rPr>
        <w:t>%；资源勘探工业信息等支出为</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万元，占比0.</w:t>
      </w:r>
      <w:r>
        <w:rPr>
          <w:rFonts w:hint="eastAsia" w:ascii="仿宋_GB2312" w:hAnsi="仿宋_GB2312" w:eastAsia="仿宋_GB2312" w:cs="仿宋_GB2312"/>
          <w:sz w:val="32"/>
          <w:szCs w:val="32"/>
          <w:shd w:val="clear" w:color="auto" w:fill="FFFFFF"/>
          <w:lang w:val="en-US" w:eastAsia="zh-CN"/>
        </w:rPr>
        <w:t>00</w:t>
      </w:r>
      <w:r>
        <w:rPr>
          <w:rFonts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lang w:val="en-US" w:eastAsia="zh-CN"/>
        </w:rPr>
        <w:t>;</w:t>
      </w:r>
      <w:r>
        <w:rPr>
          <w:rFonts w:ascii="仿宋_GB2312" w:hAnsi="仿宋_GB2312" w:eastAsia="仿宋_GB2312" w:cs="仿宋_GB2312"/>
          <w:sz w:val="32"/>
          <w:szCs w:val="32"/>
          <w:shd w:val="clear" w:color="auto" w:fill="FFFFFF"/>
        </w:rPr>
        <w:t>住房保障支出为</w:t>
      </w:r>
      <w:r>
        <w:rPr>
          <w:rFonts w:hint="eastAsia" w:ascii="仿宋_GB2312" w:hAnsi="仿宋_GB2312" w:eastAsia="仿宋_GB2312" w:cs="仿宋_GB2312"/>
          <w:sz w:val="32"/>
          <w:szCs w:val="32"/>
          <w:shd w:val="clear" w:color="auto" w:fill="FFFFFF"/>
          <w:lang w:val="en-US" w:eastAsia="zh-CN"/>
        </w:rPr>
        <w:t>12.63</w:t>
      </w:r>
      <w:r>
        <w:rPr>
          <w:rFonts w:ascii="仿宋_GB2312" w:hAnsi="仿宋_GB2312" w:eastAsia="仿宋_GB2312" w:cs="仿宋_GB2312"/>
          <w:sz w:val="32"/>
          <w:szCs w:val="32"/>
          <w:shd w:val="clear" w:color="auto" w:fill="FFFFFF"/>
        </w:rPr>
        <w:t>万元，占比</w:t>
      </w:r>
      <w:r>
        <w:rPr>
          <w:rFonts w:hint="eastAsia" w:ascii="仿宋_GB2312" w:hAnsi="仿宋_GB2312" w:eastAsia="仿宋_GB2312" w:cs="仿宋_GB2312"/>
          <w:sz w:val="32"/>
          <w:szCs w:val="32"/>
          <w:shd w:val="clear" w:color="auto" w:fill="FFFFFF"/>
          <w:lang w:val="en-US" w:eastAsia="zh-CN"/>
        </w:rPr>
        <w:t>3.73</w:t>
      </w:r>
      <w:r>
        <w:rPr>
          <w:rFonts w:ascii="仿宋_GB2312" w:hAnsi="仿宋_GB2312" w:eastAsia="仿宋_GB2312" w:cs="仿宋_GB2312"/>
          <w:sz w:val="32"/>
          <w:szCs w:val="32"/>
          <w:shd w:val="clear" w:color="auto" w:fill="FFFFFF"/>
        </w:rPr>
        <w:t xml:space="preserve"> %；商业服务业等支出为</w:t>
      </w:r>
      <w:r>
        <w:rPr>
          <w:rFonts w:hint="eastAsia" w:ascii="仿宋_GB2312" w:hAnsi="仿宋_GB2312" w:eastAsia="仿宋_GB2312" w:cs="仿宋_GB2312"/>
          <w:sz w:val="32"/>
          <w:szCs w:val="32"/>
          <w:shd w:val="clear" w:color="auto" w:fill="FFFFFF"/>
          <w:lang w:val="en-US" w:eastAsia="zh-CN"/>
        </w:rPr>
        <w:t>260.84</w:t>
      </w:r>
      <w:r>
        <w:rPr>
          <w:rFonts w:ascii="仿宋_GB2312" w:hAnsi="仿宋_GB2312" w:eastAsia="仿宋_GB2312" w:cs="仿宋_GB2312"/>
          <w:sz w:val="32"/>
          <w:szCs w:val="32"/>
          <w:shd w:val="clear" w:color="auto" w:fill="FFFFFF"/>
        </w:rPr>
        <w:t>万元，占比</w:t>
      </w:r>
      <w:r>
        <w:rPr>
          <w:rFonts w:hint="eastAsia" w:ascii="仿宋_GB2312" w:hAnsi="仿宋_GB2312" w:eastAsia="仿宋_GB2312" w:cs="仿宋_GB2312"/>
          <w:sz w:val="32"/>
          <w:szCs w:val="32"/>
          <w:shd w:val="clear" w:color="auto" w:fill="FFFFFF"/>
          <w:lang w:val="en-US" w:eastAsia="zh-CN"/>
        </w:rPr>
        <w:t>77.07</w:t>
      </w:r>
      <w:r>
        <w:rPr>
          <w:rFonts w:ascii="仿宋_GB2312" w:hAnsi="仿宋_GB2312" w:eastAsia="仿宋_GB2312" w:cs="仿宋_GB2312"/>
          <w:sz w:val="32"/>
          <w:szCs w:val="32"/>
          <w:shd w:val="clear" w:color="auto" w:fill="FFFFFF"/>
        </w:rPr>
        <w:t>%。</w:t>
      </w:r>
    </w:p>
    <w:p w14:paraId="5631686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 w:hAnsi="仿宋" w:eastAsia="仿宋" w:cs="仿宋"/>
          <w:sz w:val="30"/>
          <w:szCs w:val="30"/>
          <w:shd w:val="clear" w:color="auto" w:fill="FFFFFF"/>
        </w:rPr>
      </w:pPr>
      <w:r>
        <w:rPr>
          <w:rFonts w:ascii="仿宋_GB2312" w:hAnsi="仿宋_GB2312" w:eastAsia="仿宋_GB2312" w:cs="仿宋_GB2312"/>
          <w:sz w:val="32"/>
          <w:szCs w:val="32"/>
          <w:shd w:val="clear" w:color="auto" w:fill="FFFFFF"/>
        </w:rPr>
        <w:t>本年度社会保障和就业支出相比上年度</w:t>
      </w:r>
      <w:r>
        <w:rPr>
          <w:rFonts w:hint="eastAsia" w:ascii="仿宋_GB2312" w:hAnsi="仿宋_GB2312" w:eastAsia="仿宋_GB2312" w:cs="仿宋_GB2312"/>
          <w:sz w:val="32"/>
          <w:szCs w:val="32"/>
          <w:shd w:val="clear" w:color="auto" w:fill="FFFFFF"/>
          <w:lang w:eastAsia="zh-CN"/>
        </w:rPr>
        <w:t>增加</w:t>
      </w:r>
      <w:r>
        <w:rPr>
          <w:rFonts w:ascii="仿宋_GB2312" w:hAnsi="仿宋_GB2312" w:eastAsia="仿宋_GB2312" w:cs="仿宋_GB2312"/>
          <w:sz w:val="32"/>
          <w:szCs w:val="32"/>
          <w:shd w:val="clear" w:color="auto" w:fill="FFFFFF"/>
        </w:rPr>
        <w:t>4</w:t>
      </w:r>
      <w:r>
        <w:rPr>
          <w:rFonts w:hint="eastAsia" w:ascii="仿宋_GB2312" w:hAnsi="仿宋_GB2312" w:eastAsia="仿宋_GB2312" w:cs="仿宋_GB2312"/>
          <w:sz w:val="32"/>
          <w:szCs w:val="32"/>
          <w:shd w:val="clear" w:color="auto" w:fill="FFFFFF"/>
          <w:lang w:val="en-US" w:eastAsia="zh-CN"/>
        </w:rPr>
        <w:t>.33</w:t>
      </w:r>
      <w:r>
        <w:rPr>
          <w:rFonts w:ascii="仿宋_GB2312" w:hAnsi="仿宋_GB2312" w:eastAsia="仿宋_GB2312" w:cs="仿宋_GB2312"/>
          <w:sz w:val="32"/>
          <w:szCs w:val="32"/>
          <w:shd w:val="clear" w:color="auto" w:fill="FFFFFF"/>
        </w:rPr>
        <w:t>万元，</w:t>
      </w:r>
      <w:r>
        <w:rPr>
          <w:rStyle w:val="22"/>
          <w:rFonts w:hint="eastAsia" w:ascii="仿宋_GB2312" w:hAnsi="仿宋_GB2312" w:eastAsia="仿宋_GB2312" w:cs="仿宋_GB2312"/>
          <w:sz w:val="32"/>
          <w:szCs w:val="32"/>
          <w:shd w:val="clear" w:color="auto" w:fill="FFFFFF"/>
        </w:rPr>
        <w:t>主要原因为人员调整</w:t>
      </w:r>
      <w:r>
        <w:rPr>
          <w:rFonts w:ascii="仿宋_GB2312" w:hAnsi="仿宋_GB2312" w:eastAsia="仿宋_GB2312" w:cs="仿宋_GB2312"/>
          <w:b/>
          <w:bCs/>
          <w:sz w:val="32"/>
          <w:szCs w:val="32"/>
          <w:shd w:val="clear" w:color="auto" w:fill="FFFFFF"/>
        </w:rPr>
        <w:t>；</w:t>
      </w:r>
      <w:r>
        <w:rPr>
          <w:rFonts w:ascii="仿宋_GB2312" w:hAnsi="仿宋_GB2312" w:eastAsia="仿宋_GB2312" w:cs="仿宋_GB2312"/>
          <w:sz w:val="32"/>
          <w:szCs w:val="32"/>
          <w:shd w:val="clear" w:color="auto" w:fill="FFFFFF"/>
        </w:rPr>
        <w:t>卫生健康支出相比上年度</w:t>
      </w:r>
      <w:r>
        <w:rPr>
          <w:rFonts w:hint="eastAsia" w:ascii="仿宋_GB2312" w:hAnsi="仿宋_GB2312" w:eastAsia="仿宋_GB2312" w:cs="仿宋_GB2312"/>
          <w:sz w:val="32"/>
          <w:szCs w:val="32"/>
          <w:shd w:val="clear" w:color="auto" w:fill="FFFFFF"/>
          <w:lang w:eastAsia="zh-CN"/>
        </w:rPr>
        <w:t>增加</w:t>
      </w:r>
      <w:r>
        <w:rPr>
          <w:rFonts w:hint="eastAsia" w:ascii="仿宋_GB2312" w:hAnsi="仿宋_GB2312" w:eastAsia="仿宋_GB2312" w:cs="仿宋_GB2312"/>
          <w:sz w:val="32"/>
          <w:szCs w:val="32"/>
          <w:shd w:val="clear" w:color="auto" w:fill="FFFFFF"/>
          <w:lang w:val="en-US" w:eastAsia="zh-CN"/>
        </w:rPr>
        <w:t>0.2</w:t>
      </w:r>
      <w:r>
        <w:rPr>
          <w:rFonts w:ascii="仿宋_GB2312" w:hAnsi="仿宋_GB2312" w:eastAsia="仿宋_GB2312" w:cs="仿宋_GB2312"/>
          <w:sz w:val="32"/>
          <w:szCs w:val="32"/>
          <w:shd w:val="clear" w:color="auto" w:fill="FFFFFF"/>
        </w:rPr>
        <w:t>万元，住房保障支出相比上年度</w:t>
      </w:r>
      <w:r>
        <w:rPr>
          <w:rFonts w:hint="eastAsia" w:ascii="仿宋_GB2312" w:hAnsi="仿宋_GB2312" w:eastAsia="仿宋_GB2312" w:cs="仿宋_GB2312"/>
          <w:sz w:val="32"/>
          <w:szCs w:val="32"/>
          <w:shd w:val="clear" w:color="auto" w:fill="FFFFFF"/>
          <w:lang w:eastAsia="zh-CN"/>
        </w:rPr>
        <w:t>增加</w:t>
      </w:r>
      <w:r>
        <w:rPr>
          <w:rFonts w:hint="eastAsia" w:ascii="仿宋_GB2312" w:hAnsi="仿宋_GB2312" w:eastAsia="仿宋_GB2312" w:cs="仿宋_GB2312"/>
          <w:sz w:val="32"/>
          <w:szCs w:val="32"/>
          <w:shd w:val="clear" w:color="auto" w:fill="FFFFFF"/>
          <w:lang w:val="en-US" w:eastAsia="zh-CN"/>
        </w:rPr>
        <w:t>1.02</w:t>
      </w:r>
      <w:r>
        <w:rPr>
          <w:rFonts w:ascii="仿宋_GB2312" w:hAnsi="仿宋_GB2312" w:eastAsia="仿宋_GB2312" w:cs="仿宋_GB2312"/>
          <w:sz w:val="32"/>
          <w:szCs w:val="32"/>
          <w:shd w:val="clear" w:color="auto" w:fill="FFFFFF"/>
        </w:rPr>
        <w:t>万元，</w:t>
      </w:r>
      <w:r>
        <w:rPr>
          <w:rStyle w:val="22"/>
          <w:rFonts w:hint="eastAsia" w:ascii="仿宋_GB2312" w:hAnsi="仿宋_GB2312" w:eastAsia="仿宋_GB2312" w:cs="仿宋_GB2312"/>
          <w:sz w:val="32"/>
          <w:szCs w:val="32"/>
          <w:shd w:val="clear" w:color="auto" w:fill="FFFFFF"/>
        </w:rPr>
        <w:t>主要原因为本年人员经费</w:t>
      </w:r>
      <w:r>
        <w:rPr>
          <w:rStyle w:val="22"/>
          <w:rFonts w:hint="eastAsia" w:ascii="仿宋_GB2312" w:hAnsi="仿宋_GB2312" w:eastAsia="仿宋_GB2312" w:cs="仿宋_GB2312"/>
          <w:sz w:val="32"/>
          <w:szCs w:val="32"/>
          <w:shd w:val="clear" w:color="auto" w:fill="FFFFFF"/>
          <w:lang w:eastAsia="zh-CN"/>
        </w:rPr>
        <w:t>增加</w:t>
      </w:r>
      <w:r>
        <w:rPr>
          <w:rStyle w:val="22"/>
          <w:rFonts w:hint="eastAsia" w:ascii="仿宋_GB2312" w:hAnsi="仿宋_GB2312" w:eastAsia="仿宋_GB2312" w:cs="仿宋_GB2312"/>
          <w:sz w:val="32"/>
          <w:szCs w:val="32"/>
          <w:shd w:val="clear" w:color="auto" w:fill="FFFFFF"/>
        </w:rPr>
        <w:t>；</w:t>
      </w:r>
      <w:r>
        <w:rPr>
          <w:rStyle w:val="22"/>
          <w:rFonts w:hint="eastAsia" w:ascii="仿宋_GB2312" w:hAnsi="仿宋_GB2312" w:eastAsia="仿宋_GB2312" w:cs="仿宋_GB2312"/>
          <w:b w:val="0"/>
          <w:bCs/>
          <w:sz w:val="32"/>
          <w:szCs w:val="32"/>
          <w:shd w:val="clear" w:color="auto" w:fill="FFFFFF"/>
        </w:rPr>
        <w:t>商业服务业等支出相比上年度增加</w:t>
      </w:r>
      <w:r>
        <w:rPr>
          <w:rStyle w:val="22"/>
          <w:rFonts w:hint="eastAsia" w:ascii="仿宋_GB2312" w:hAnsi="仿宋_GB2312" w:eastAsia="仿宋_GB2312" w:cs="仿宋_GB2312"/>
          <w:b w:val="0"/>
          <w:bCs/>
          <w:sz w:val="32"/>
          <w:szCs w:val="32"/>
          <w:shd w:val="clear" w:color="auto" w:fill="FFFFFF"/>
          <w:lang w:val="en-US" w:eastAsia="zh-CN"/>
        </w:rPr>
        <w:t>57.51</w:t>
      </w:r>
      <w:r>
        <w:rPr>
          <w:rStyle w:val="22"/>
          <w:rFonts w:hint="eastAsia" w:ascii="仿宋_GB2312" w:hAnsi="仿宋_GB2312" w:eastAsia="仿宋_GB2312" w:cs="仿宋_GB2312"/>
          <w:b w:val="0"/>
          <w:bCs/>
          <w:sz w:val="32"/>
          <w:szCs w:val="32"/>
          <w:shd w:val="clear" w:color="auto" w:fill="FFFFFF"/>
        </w:rPr>
        <w:t>万元，；农林水支出相比上年度减少</w:t>
      </w:r>
      <w:r>
        <w:rPr>
          <w:rStyle w:val="22"/>
          <w:rFonts w:hint="eastAsia" w:ascii="仿宋_GB2312" w:hAnsi="仿宋_GB2312" w:eastAsia="仿宋_GB2312" w:cs="仿宋_GB2312"/>
          <w:b w:val="0"/>
          <w:bCs/>
          <w:sz w:val="32"/>
          <w:szCs w:val="32"/>
          <w:shd w:val="clear" w:color="auto" w:fill="FFFFFF"/>
          <w:lang w:val="en-US" w:eastAsia="zh-CN"/>
        </w:rPr>
        <w:t>347.71</w:t>
      </w:r>
      <w:r>
        <w:rPr>
          <w:rStyle w:val="22"/>
          <w:rFonts w:hint="eastAsia" w:ascii="仿宋_GB2312" w:hAnsi="仿宋_GB2312" w:eastAsia="仿宋_GB2312" w:cs="仿宋_GB2312"/>
          <w:b w:val="0"/>
          <w:bCs/>
          <w:sz w:val="32"/>
          <w:szCs w:val="32"/>
          <w:shd w:val="clear" w:color="auto" w:fill="FFFFFF"/>
        </w:rPr>
        <w:t>万元，</w:t>
      </w:r>
      <w:r>
        <w:rPr>
          <w:rStyle w:val="22"/>
          <w:rFonts w:hint="eastAsia" w:ascii="仿宋_GB2312" w:hAnsi="仿宋_GB2312" w:eastAsia="仿宋_GB2312" w:cs="仿宋_GB2312"/>
          <w:sz w:val="32"/>
          <w:szCs w:val="32"/>
          <w:shd w:val="clear" w:color="auto" w:fill="FFFFFF"/>
        </w:rPr>
        <w:t>主要原因为本年项目</w:t>
      </w:r>
      <w:r>
        <w:rPr>
          <w:rStyle w:val="22"/>
          <w:rFonts w:hint="eastAsia" w:ascii="仿宋_GB2312" w:hAnsi="仿宋_GB2312" w:eastAsia="仿宋_GB2312" w:cs="仿宋_GB2312"/>
          <w:sz w:val="32"/>
          <w:szCs w:val="32"/>
          <w:shd w:val="clear" w:color="auto" w:fill="FFFFFF"/>
          <w:lang w:eastAsia="zh-CN"/>
        </w:rPr>
        <w:t>减少</w:t>
      </w:r>
      <w:r>
        <w:rPr>
          <w:rFonts w:ascii="仿宋_GB2312" w:hAnsi="仿宋_GB2312" w:eastAsia="仿宋_GB2312" w:cs="仿宋_GB2312"/>
          <w:b/>
          <w:sz w:val="32"/>
          <w:szCs w:val="32"/>
          <w:shd w:val="clear" w:color="auto" w:fill="FFFFFF"/>
        </w:rPr>
        <w:t>。</w:t>
      </w:r>
    </w:p>
    <w:p w14:paraId="78AE1F4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Fonts w:hint="default" w:ascii="仿宋_GB2312" w:hAnsi="仿宋_GB2312" w:eastAsia="仿宋_GB2312" w:cs="仿宋_GB2312"/>
          <w:b/>
          <w:bCs/>
          <w:sz w:val="32"/>
          <w:szCs w:val="32"/>
          <w:shd w:val="clear" w:color="auto" w:fill="FFFFFF"/>
        </w:rPr>
      </w:pPr>
      <w:r>
        <w:rPr>
          <w:rFonts w:ascii="仿宋_GB2312" w:hAnsi="仿宋_GB2312" w:eastAsia="仿宋_GB2312" w:cs="仿宋_GB2312"/>
          <w:b/>
          <w:bCs/>
          <w:sz w:val="32"/>
          <w:szCs w:val="32"/>
          <w:shd w:val="clear" w:color="auto" w:fill="FFFFFF"/>
        </w:rPr>
        <w:t>3．支出按经济分类科目分析</w:t>
      </w:r>
    </w:p>
    <w:p w14:paraId="654FA5D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（1）“三公”经费支出情况：本部门本年度“三公”经费支出决算数为2.71万元。其中:因公出国（境）费支出决算数为0.00元，相比上年度增加1.67万元</w:t>
      </w:r>
      <w:r>
        <w:rPr>
          <w:rStyle w:val="22"/>
          <w:rFonts w:hint="eastAsia" w:ascii="仿宋_GB2312" w:hAnsi="仿宋_GB2312" w:eastAsia="仿宋_GB2312" w:cs="仿宋_GB2312"/>
          <w:sz w:val="32"/>
          <w:szCs w:val="32"/>
          <w:shd w:val="clear" w:color="auto" w:fill="FFFFFF"/>
        </w:rPr>
        <w:t>。</w:t>
      </w:r>
    </w:p>
    <w:p w14:paraId="23D8E991">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公务用车购置及运行维护费支出决算数为2.57万元，相比上年度增加1.53万元</w:t>
      </w:r>
      <w:r>
        <w:rPr>
          <w:rStyle w:val="22"/>
          <w:rFonts w:hint="eastAsia" w:ascii="仿宋_GB2312" w:hAnsi="仿宋_GB2312" w:eastAsia="仿宋_GB2312" w:cs="仿宋_GB2312"/>
          <w:sz w:val="32"/>
          <w:szCs w:val="32"/>
          <w:shd w:val="clear" w:color="auto" w:fill="FFFFFF"/>
        </w:rPr>
        <w:t>；</w:t>
      </w:r>
      <w:r>
        <w:rPr>
          <w:rFonts w:ascii="仿宋_GB2312" w:hAnsi="仿宋_GB2312" w:eastAsia="仿宋_GB2312" w:cs="仿宋_GB2312"/>
          <w:sz w:val="32"/>
          <w:szCs w:val="32"/>
          <w:shd w:val="clear" w:color="auto" w:fill="FFFFFF"/>
        </w:rPr>
        <w:t>公务接待费支出决算数为0.14万元，相比上年度增加0.14万元</w:t>
      </w:r>
      <w:r>
        <w:rPr>
          <w:rFonts w:ascii="仿宋_GB2312" w:hAnsi="仿宋_GB2312" w:eastAsia="仿宋_GB2312" w:cs="仿宋_GB2312"/>
          <w:b/>
          <w:bCs/>
          <w:sz w:val="32"/>
          <w:szCs w:val="32"/>
          <w:shd w:val="clear" w:color="auto" w:fill="FFFFFF"/>
        </w:rPr>
        <w:t>。</w:t>
      </w:r>
    </w:p>
    <w:p w14:paraId="5326A05E">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本年度“三公”经费支出预算数为2.</w:t>
      </w:r>
      <w:r>
        <w:rPr>
          <w:rFonts w:hint="eastAsia" w:ascii="仿宋_GB2312" w:hAnsi="仿宋_GB2312" w:eastAsia="仿宋_GB2312" w:cs="仿宋_GB2312"/>
          <w:sz w:val="32"/>
          <w:szCs w:val="32"/>
          <w:shd w:val="clear" w:color="auto" w:fill="FFFFFF"/>
          <w:lang w:val="en-US" w:eastAsia="zh-CN"/>
        </w:rPr>
        <w:t>62</w:t>
      </w:r>
      <w:r>
        <w:rPr>
          <w:rFonts w:ascii="仿宋_GB2312" w:hAnsi="仿宋_GB2312" w:eastAsia="仿宋_GB2312" w:cs="仿宋_GB2312"/>
          <w:sz w:val="32"/>
          <w:szCs w:val="32"/>
          <w:shd w:val="clear" w:color="auto" w:fill="FFFFFF"/>
        </w:rPr>
        <w:t>万元，决算数为2.</w:t>
      </w:r>
      <w:r>
        <w:rPr>
          <w:rFonts w:hint="eastAsia" w:ascii="仿宋_GB2312" w:hAnsi="仿宋_GB2312" w:eastAsia="仿宋_GB2312" w:cs="仿宋_GB2312"/>
          <w:sz w:val="32"/>
          <w:szCs w:val="32"/>
          <w:shd w:val="clear" w:color="auto" w:fill="FFFFFF"/>
          <w:lang w:val="en-US" w:eastAsia="zh-CN"/>
        </w:rPr>
        <w:t>50</w:t>
      </w:r>
      <w:r>
        <w:rPr>
          <w:rFonts w:ascii="仿宋_GB2312" w:hAnsi="仿宋_GB2312" w:eastAsia="仿宋_GB2312" w:cs="仿宋_GB2312"/>
          <w:sz w:val="32"/>
          <w:szCs w:val="32"/>
          <w:shd w:val="clear" w:color="auto" w:fill="FFFFFF"/>
        </w:rPr>
        <w:t>万元，预算完成度为9</w:t>
      </w:r>
      <w:r>
        <w:rPr>
          <w:rFonts w:hint="eastAsia" w:ascii="仿宋_GB2312" w:hAnsi="仿宋_GB2312" w:eastAsia="仿宋_GB2312" w:cs="仿宋_GB2312"/>
          <w:sz w:val="32"/>
          <w:szCs w:val="32"/>
          <w:shd w:val="clear" w:color="auto" w:fill="FFFFFF"/>
          <w:lang w:val="en-US" w:eastAsia="zh-CN"/>
        </w:rPr>
        <w:t>5.41</w:t>
      </w:r>
      <w:r>
        <w:rPr>
          <w:rFonts w:ascii="仿宋_GB2312" w:hAnsi="仿宋_GB2312" w:eastAsia="仿宋_GB2312" w:cs="仿宋_GB2312"/>
          <w:sz w:val="32"/>
          <w:szCs w:val="32"/>
          <w:shd w:val="clear" w:color="auto" w:fill="FFFFFF"/>
        </w:rPr>
        <w:t>%。本年度因公出国（境）费人均支出为0.00万元，公务用车购置及运行维护费人均支出为0.</w:t>
      </w:r>
      <w:r>
        <w:rPr>
          <w:rFonts w:hint="eastAsia" w:ascii="仿宋_GB2312" w:hAnsi="仿宋_GB2312" w:eastAsia="仿宋_GB2312" w:cs="仿宋_GB2312"/>
          <w:sz w:val="32"/>
          <w:szCs w:val="32"/>
          <w:shd w:val="clear" w:color="auto" w:fill="FFFFFF"/>
          <w:lang w:val="en-US" w:eastAsia="zh-CN"/>
        </w:rPr>
        <w:t>42</w:t>
      </w:r>
      <w:r>
        <w:rPr>
          <w:rFonts w:ascii="仿宋_GB2312" w:hAnsi="仿宋_GB2312" w:eastAsia="仿宋_GB2312" w:cs="仿宋_GB2312"/>
          <w:sz w:val="32"/>
          <w:szCs w:val="32"/>
          <w:shd w:val="clear" w:color="auto" w:fill="FFFFFF"/>
        </w:rPr>
        <w:t>万元，公务接待费人均支出为0.0</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万元。</w:t>
      </w:r>
    </w:p>
    <w:p w14:paraId="194CF71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160" w:firstLineChars="5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（2）会议费支出情况：本部门本年度会议费支出决算数为</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万元，相比上年度减少</w:t>
      </w:r>
      <w:r>
        <w:rPr>
          <w:rFonts w:hint="eastAsia" w:ascii="仿宋_GB2312" w:hAnsi="仿宋_GB2312" w:eastAsia="仿宋_GB2312" w:cs="仿宋_GB2312"/>
          <w:sz w:val="32"/>
          <w:szCs w:val="32"/>
          <w:shd w:val="clear" w:color="auto" w:fill="FFFFFF"/>
          <w:lang w:eastAsia="zh-CN"/>
        </w:rPr>
        <w:t>增加</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万元，</w:t>
      </w:r>
      <w:r>
        <w:rPr>
          <w:rFonts w:ascii="仿宋_GB2312" w:hAnsi="仿宋_GB2312" w:eastAsia="仿宋_GB2312" w:cs="仿宋_GB2312"/>
          <w:b/>
          <w:bCs/>
          <w:sz w:val="32"/>
          <w:szCs w:val="32"/>
          <w:shd w:val="clear" w:color="auto" w:fill="FFFFFF"/>
        </w:rPr>
        <w:t>主要原因为本年没有会议。</w:t>
      </w:r>
    </w:p>
    <w:p w14:paraId="6818EAA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160" w:firstLineChars="5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（3）培训费支出情况：本部门本年度培训费支出决算数为0.00万元，相比上年度</w:t>
      </w:r>
      <w:r>
        <w:rPr>
          <w:rFonts w:hint="eastAsia" w:ascii="仿宋_GB2312" w:hAnsi="仿宋_GB2312" w:eastAsia="仿宋_GB2312" w:cs="仿宋_GB2312"/>
          <w:sz w:val="32"/>
          <w:szCs w:val="32"/>
          <w:shd w:val="clear" w:color="auto" w:fill="FFFFFF"/>
          <w:lang w:eastAsia="zh-CN"/>
        </w:rPr>
        <w:t>增加</w:t>
      </w:r>
      <w:r>
        <w:rPr>
          <w:rFonts w:hint="eastAsia" w:ascii="仿宋_GB2312" w:hAnsi="仿宋_GB2312" w:eastAsia="仿宋_GB2312" w:cs="仿宋_GB2312"/>
          <w:sz w:val="32"/>
          <w:szCs w:val="32"/>
          <w:shd w:val="clear" w:color="auto" w:fill="FFFFFF"/>
          <w:lang w:val="en-US" w:eastAsia="zh-CN"/>
        </w:rPr>
        <w:t>0</w:t>
      </w:r>
      <w:r>
        <w:rPr>
          <w:rFonts w:ascii="仿宋_GB2312" w:hAnsi="仿宋_GB2312" w:eastAsia="仿宋_GB2312" w:cs="仿宋_GB2312"/>
          <w:sz w:val="32"/>
          <w:szCs w:val="32"/>
          <w:shd w:val="clear" w:color="auto" w:fill="FFFFFF"/>
        </w:rPr>
        <w:t>万元，</w:t>
      </w:r>
      <w:r>
        <w:rPr>
          <w:rFonts w:ascii="仿宋_GB2312" w:hAnsi="仿宋_GB2312" w:eastAsia="仿宋_GB2312" w:cs="仿宋_GB2312"/>
          <w:b/>
          <w:bCs/>
          <w:sz w:val="32"/>
          <w:szCs w:val="32"/>
          <w:shd w:val="clear" w:color="auto" w:fill="FFFFFF"/>
        </w:rPr>
        <w:t>主要原因为本年工没有培训。</w:t>
      </w:r>
    </w:p>
    <w:p w14:paraId="1628F969">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Fonts w:hint="default" w:ascii="仿宋" w:hAnsi="仿宋" w:eastAsia="仿宋" w:cs="仿宋"/>
          <w:sz w:val="30"/>
          <w:szCs w:val="30"/>
        </w:rPr>
      </w:pPr>
      <w:r>
        <w:rPr>
          <w:rFonts w:ascii="仿宋_GB2312" w:hAnsi="仿宋_GB2312" w:eastAsia="仿宋_GB2312" w:cs="仿宋_GB2312"/>
          <w:b/>
          <w:bCs/>
          <w:sz w:val="32"/>
          <w:szCs w:val="32"/>
          <w:shd w:val="clear" w:color="auto" w:fill="FFFFFF"/>
        </w:rPr>
        <w:t>4.财政拨款收入、支出分析</w:t>
      </w:r>
    </w:p>
    <w:p w14:paraId="34A5EBB8">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本部门本年度年初结转和结余0.00万元，财政拨款收入</w:t>
      </w:r>
      <w:r>
        <w:rPr>
          <w:rFonts w:hint="eastAsia" w:ascii="仿宋_GB2312" w:hAnsi="仿宋_GB2312" w:eastAsia="仿宋_GB2312" w:cs="仿宋_GB2312"/>
          <w:sz w:val="32"/>
          <w:szCs w:val="32"/>
          <w:shd w:val="clear" w:color="auto" w:fill="FFFFFF"/>
          <w:lang w:val="en-US" w:eastAsia="zh-CN"/>
        </w:rPr>
        <w:t>348.47</w:t>
      </w:r>
      <w:r>
        <w:rPr>
          <w:rFonts w:ascii="仿宋_GB2312" w:hAnsi="仿宋_GB2312" w:eastAsia="仿宋_GB2312" w:cs="仿宋_GB2312"/>
          <w:sz w:val="32"/>
          <w:szCs w:val="32"/>
          <w:shd w:val="clear" w:color="auto" w:fill="FFFFFF"/>
        </w:rPr>
        <w:t>万元，财政拨款支出为</w:t>
      </w:r>
      <w:r>
        <w:rPr>
          <w:rFonts w:hint="eastAsia" w:ascii="仿宋_GB2312" w:hAnsi="仿宋_GB2312" w:eastAsia="仿宋_GB2312" w:cs="仿宋_GB2312"/>
          <w:sz w:val="32"/>
          <w:szCs w:val="32"/>
          <w:shd w:val="clear" w:color="auto" w:fill="FFFFFF"/>
          <w:lang w:val="en-US" w:eastAsia="zh-CN"/>
        </w:rPr>
        <w:t>348.47</w:t>
      </w:r>
      <w:r>
        <w:rPr>
          <w:rFonts w:ascii="仿宋_GB2312" w:hAnsi="仿宋_GB2312" w:eastAsia="仿宋_GB2312" w:cs="仿宋_GB2312"/>
          <w:sz w:val="32"/>
          <w:szCs w:val="32"/>
          <w:shd w:val="clear" w:color="auto" w:fill="FFFFFF"/>
        </w:rPr>
        <w:t>万元，其中：基本支出</w:t>
      </w:r>
      <w:r>
        <w:rPr>
          <w:rFonts w:hint="eastAsia" w:ascii="仿宋_GB2312" w:hAnsi="仿宋_GB2312" w:eastAsia="仿宋_GB2312" w:cs="仿宋_GB2312"/>
          <w:sz w:val="32"/>
          <w:szCs w:val="32"/>
          <w:shd w:val="clear" w:color="auto" w:fill="FFFFFF"/>
          <w:lang w:val="en-US" w:eastAsia="zh-CN"/>
        </w:rPr>
        <w:t>190.23</w:t>
      </w:r>
      <w:r>
        <w:rPr>
          <w:rFonts w:ascii="仿宋_GB2312" w:hAnsi="仿宋_GB2312" w:eastAsia="仿宋_GB2312" w:cs="仿宋_GB2312"/>
          <w:sz w:val="32"/>
          <w:szCs w:val="32"/>
          <w:shd w:val="clear" w:color="auto" w:fill="FFFFFF"/>
        </w:rPr>
        <w:t>万元，人员经费支出为</w:t>
      </w:r>
      <w:r>
        <w:rPr>
          <w:rFonts w:hint="eastAsia" w:ascii="仿宋_GB2312" w:hAnsi="仿宋_GB2312" w:eastAsia="仿宋_GB2312" w:cs="仿宋_GB2312"/>
          <w:sz w:val="32"/>
          <w:szCs w:val="32"/>
          <w:shd w:val="clear" w:color="auto" w:fill="FFFFFF"/>
          <w:lang w:val="en-US" w:eastAsia="zh-CN"/>
        </w:rPr>
        <w:t>177.09</w:t>
      </w:r>
      <w:r>
        <w:rPr>
          <w:rFonts w:ascii="仿宋_GB2312" w:hAnsi="仿宋_GB2312" w:eastAsia="仿宋_GB2312" w:cs="仿宋_GB2312"/>
          <w:sz w:val="32"/>
          <w:szCs w:val="32"/>
          <w:shd w:val="clear" w:color="auto" w:fill="FFFFFF"/>
        </w:rPr>
        <w:t>万元，公用经费支出为</w:t>
      </w:r>
      <w:r>
        <w:rPr>
          <w:rFonts w:hint="eastAsia" w:ascii="仿宋_GB2312" w:hAnsi="仿宋_GB2312" w:eastAsia="仿宋_GB2312" w:cs="仿宋_GB2312"/>
          <w:sz w:val="32"/>
          <w:szCs w:val="32"/>
          <w:shd w:val="clear" w:color="auto" w:fill="FFFFFF"/>
          <w:lang w:val="en-US" w:eastAsia="zh-CN"/>
        </w:rPr>
        <w:t>13.15</w:t>
      </w:r>
      <w:r>
        <w:rPr>
          <w:rFonts w:ascii="仿宋_GB2312" w:hAnsi="仿宋_GB2312" w:eastAsia="仿宋_GB2312" w:cs="仿宋_GB2312"/>
          <w:sz w:val="32"/>
          <w:szCs w:val="32"/>
          <w:shd w:val="clear" w:color="auto" w:fill="FFFFFF"/>
        </w:rPr>
        <w:t>万元。项目支出</w:t>
      </w:r>
      <w:r>
        <w:rPr>
          <w:rFonts w:hint="eastAsia" w:ascii="仿宋_GB2312" w:hAnsi="仿宋_GB2312" w:eastAsia="仿宋_GB2312" w:cs="仿宋_GB2312"/>
          <w:sz w:val="32"/>
          <w:szCs w:val="32"/>
          <w:shd w:val="clear" w:color="auto" w:fill="FFFFFF"/>
          <w:lang w:val="en-US" w:eastAsia="zh-CN"/>
        </w:rPr>
        <w:t>148.24</w:t>
      </w:r>
      <w:r>
        <w:rPr>
          <w:rFonts w:ascii="仿宋_GB2312" w:hAnsi="仿宋_GB2312" w:eastAsia="仿宋_GB2312" w:cs="仿宋_GB2312"/>
          <w:sz w:val="32"/>
          <w:szCs w:val="32"/>
          <w:shd w:val="clear" w:color="auto" w:fill="FFFFFF"/>
        </w:rPr>
        <w:t>万元，其中中基本建设类项目支出为</w:t>
      </w:r>
      <w:r>
        <w:rPr>
          <w:rFonts w:hint="eastAsia" w:ascii="仿宋_GB2312" w:hAnsi="仿宋_GB2312" w:eastAsia="仿宋_GB2312" w:cs="仿宋_GB2312"/>
          <w:sz w:val="32"/>
          <w:szCs w:val="32"/>
          <w:shd w:val="clear" w:color="auto" w:fill="FFFFFF"/>
          <w:lang w:val="en-US" w:eastAsia="zh-CN"/>
        </w:rPr>
        <w:t>120.87</w:t>
      </w:r>
      <w:r>
        <w:rPr>
          <w:rFonts w:ascii="仿宋_GB2312" w:hAnsi="仿宋_GB2312" w:eastAsia="仿宋_GB2312" w:cs="仿宋_GB2312"/>
          <w:sz w:val="32"/>
          <w:szCs w:val="32"/>
          <w:shd w:val="clear" w:color="auto" w:fill="FFFFFF"/>
        </w:rPr>
        <w:t>万元。</w:t>
      </w:r>
    </w:p>
    <w:p w14:paraId="6E1C7D1A">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02" w:firstLineChars="200"/>
        <w:jc w:val="both"/>
        <w:textAlignment w:val="auto"/>
        <w:rPr>
          <w:rFonts w:hint="default" w:ascii="仿宋_GB2312" w:hAnsi="仿宋_GB2312" w:eastAsia="仿宋_GB2312" w:cs="仿宋_GB2312"/>
          <w:sz w:val="32"/>
          <w:szCs w:val="32"/>
          <w:shd w:val="clear" w:color="auto" w:fill="FFFFFF"/>
        </w:rPr>
      </w:pPr>
      <w:r>
        <w:rPr>
          <w:rStyle w:val="22"/>
          <w:rFonts w:hint="eastAsia" w:ascii="仿宋" w:hAnsi="仿宋" w:eastAsia="仿宋" w:cs="仿宋"/>
          <w:sz w:val="30"/>
          <w:szCs w:val="30"/>
          <w:shd w:val="clear" w:color="auto" w:fill="FFFFFF"/>
        </w:rPr>
        <w:t>（</w:t>
      </w:r>
      <w:r>
        <w:rPr>
          <w:rStyle w:val="22"/>
          <w:rFonts w:hint="eastAsia" w:ascii="楷体_GB2312" w:hAnsi="楷体_GB2312" w:eastAsia="楷体_GB2312" w:cs="楷体_GB2312"/>
          <w:sz w:val="32"/>
          <w:szCs w:val="32"/>
          <w:shd w:val="clear" w:color="auto" w:fill="FFFFFF"/>
        </w:rPr>
        <w:t>三）年末结转和结余情况</w:t>
      </w:r>
    </w:p>
    <w:p w14:paraId="186A323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 w:hAnsi="仿宋" w:eastAsia="仿宋" w:cs="仿宋"/>
          <w:sz w:val="32"/>
          <w:szCs w:val="32"/>
          <w:shd w:val="clear" w:color="auto" w:fill="FFFFFF"/>
        </w:rPr>
      </w:pPr>
      <w:r>
        <w:rPr>
          <w:rFonts w:ascii="仿宋_GB2312" w:hAnsi="仿宋_GB2312" w:eastAsia="仿宋_GB2312" w:cs="仿宋_GB2312"/>
          <w:sz w:val="32"/>
          <w:szCs w:val="32"/>
          <w:shd w:val="clear" w:color="auto" w:fill="FFFFFF"/>
        </w:rPr>
        <w:t>本年末无结转结余资金。</w:t>
      </w:r>
    </w:p>
    <w:p w14:paraId="41EE23BD">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（四）与预算支出相关的其他指标分析</w:t>
      </w:r>
    </w:p>
    <w:p w14:paraId="2A803BB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本年资产合计</w:t>
      </w:r>
      <w:r>
        <w:rPr>
          <w:rFonts w:hint="eastAsia" w:ascii="仿宋_GB2312" w:hAnsi="仿宋_GB2312" w:eastAsia="仿宋_GB2312" w:cs="仿宋_GB2312"/>
          <w:sz w:val="32"/>
          <w:szCs w:val="32"/>
          <w:shd w:val="clear" w:color="auto" w:fill="FFFFFF"/>
          <w:lang w:val="en-US" w:eastAsia="zh-CN"/>
        </w:rPr>
        <w:t>13572.30</w:t>
      </w:r>
      <w:r>
        <w:rPr>
          <w:rFonts w:ascii="仿宋_GB2312" w:hAnsi="仿宋_GB2312" w:eastAsia="仿宋_GB2312" w:cs="仿宋_GB2312"/>
          <w:sz w:val="32"/>
          <w:szCs w:val="32"/>
          <w:shd w:val="clear" w:color="auto" w:fill="FFFFFF"/>
        </w:rPr>
        <w:t>万元，其中银行存款1.</w:t>
      </w:r>
      <w:r>
        <w:rPr>
          <w:rFonts w:hint="eastAsia" w:ascii="仿宋_GB2312" w:hAnsi="仿宋_GB2312" w:eastAsia="仿宋_GB2312" w:cs="仿宋_GB2312"/>
          <w:sz w:val="32"/>
          <w:szCs w:val="32"/>
          <w:shd w:val="clear" w:color="auto" w:fill="FFFFFF"/>
          <w:lang w:val="en-US" w:eastAsia="zh-CN"/>
        </w:rPr>
        <w:t>27</w:t>
      </w:r>
      <w:r>
        <w:rPr>
          <w:rFonts w:ascii="仿宋_GB2312" w:hAnsi="仿宋_GB2312" w:eastAsia="仿宋_GB2312" w:cs="仿宋_GB2312"/>
          <w:sz w:val="32"/>
          <w:szCs w:val="32"/>
          <w:shd w:val="clear" w:color="auto" w:fill="FFFFFF"/>
        </w:rPr>
        <w:t>万元，占总资产0.</w:t>
      </w:r>
      <w:r>
        <w:rPr>
          <w:rFonts w:hint="eastAsia" w:ascii="仿宋_GB2312" w:hAnsi="仿宋_GB2312" w:eastAsia="仿宋_GB2312" w:cs="仿宋_GB2312"/>
          <w:sz w:val="32"/>
          <w:szCs w:val="32"/>
          <w:shd w:val="clear" w:color="auto" w:fill="FFFFFF"/>
          <w:lang w:val="en-US" w:eastAsia="zh-CN"/>
        </w:rPr>
        <w:t>09</w:t>
      </w:r>
      <w:r>
        <w:rPr>
          <w:rFonts w:ascii="仿宋_GB2312" w:hAnsi="仿宋_GB2312" w:eastAsia="仿宋_GB2312" w:cs="仿宋_GB2312"/>
          <w:sz w:val="32"/>
          <w:szCs w:val="32"/>
          <w:shd w:val="clear" w:color="auto" w:fill="FFFFFF"/>
        </w:rPr>
        <w:t>%，固定资产资产净值</w:t>
      </w:r>
      <w:r>
        <w:rPr>
          <w:rFonts w:hint="eastAsia" w:ascii="仿宋_GB2312" w:hAnsi="仿宋_GB2312" w:eastAsia="仿宋_GB2312" w:cs="仿宋_GB2312"/>
          <w:sz w:val="32"/>
          <w:szCs w:val="32"/>
          <w:shd w:val="clear" w:color="auto" w:fill="FFFFFF"/>
          <w:lang w:val="en-US" w:eastAsia="zh-CN"/>
        </w:rPr>
        <w:t>12378.16</w:t>
      </w:r>
      <w:r>
        <w:rPr>
          <w:rFonts w:ascii="仿宋_GB2312" w:hAnsi="仿宋_GB2312" w:eastAsia="仿宋_GB2312" w:cs="仿宋_GB2312"/>
          <w:sz w:val="32"/>
          <w:szCs w:val="32"/>
          <w:shd w:val="clear" w:color="auto" w:fill="FFFFFF"/>
        </w:rPr>
        <w:t>万元，占总资产</w:t>
      </w:r>
      <w:r>
        <w:rPr>
          <w:rFonts w:hint="eastAsia" w:ascii="仿宋_GB2312" w:hAnsi="仿宋_GB2312" w:eastAsia="仿宋_GB2312" w:cs="仿宋_GB2312"/>
          <w:sz w:val="32"/>
          <w:szCs w:val="32"/>
          <w:shd w:val="clear" w:color="auto" w:fill="FFFFFF"/>
          <w:lang w:val="en-US" w:eastAsia="zh-CN"/>
        </w:rPr>
        <w:t>91.2</w:t>
      </w:r>
      <w:r>
        <w:rPr>
          <w:rFonts w:ascii="仿宋_GB2312" w:hAnsi="仿宋_GB2312" w:eastAsia="仿宋_GB2312" w:cs="仿宋_GB2312"/>
          <w:sz w:val="32"/>
          <w:szCs w:val="32"/>
          <w:shd w:val="clear" w:color="auto" w:fill="FFFFFF"/>
        </w:rPr>
        <w:t>%，在建工程</w:t>
      </w:r>
      <w:r>
        <w:rPr>
          <w:rFonts w:hint="eastAsia" w:ascii="仿宋_GB2312" w:hAnsi="仿宋_GB2312" w:eastAsia="仿宋_GB2312" w:cs="仿宋_GB2312"/>
          <w:sz w:val="32"/>
          <w:szCs w:val="32"/>
          <w:shd w:val="clear" w:color="auto" w:fill="FFFFFF"/>
          <w:lang w:val="en-US" w:eastAsia="zh-CN"/>
        </w:rPr>
        <w:t>667.51</w:t>
      </w:r>
      <w:r>
        <w:rPr>
          <w:rFonts w:ascii="仿宋_GB2312" w:hAnsi="仿宋_GB2312" w:eastAsia="仿宋_GB2312" w:cs="仿宋_GB2312"/>
          <w:sz w:val="32"/>
          <w:szCs w:val="32"/>
          <w:shd w:val="clear" w:color="auto" w:fill="FFFFFF"/>
        </w:rPr>
        <w:t>万元，占总资产</w:t>
      </w:r>
      <w:r>
        <w:rPr>
          <w:rFonts w:hint="eastAsia" w:ascii="仿宋_GB2312" w:hAnsi="仿宋_GB2312" w:eastAsia="仿宋_GB2312" w:cs="仿宋_GB2312"/>
          <w:sz w:val="32"/>
          <w:szCs w:val="32"/>
          <w:shd w:val="clear" w:color="auto" w:fill="FFFFFF"/>
          <w:lang w:val="en-US" w:eastAsia="zh-CN"/>
        </w:rPr>
        <w:t>4.92</w:t>
      </w:r>
      <w:r>
        <w:rPr>
          <w:rFonts w:ascii="仿宋_GB2312" w:hAnsi="仿宋_GB2312" w:eastAsia="仿宋_GB2312" w:cs="仿宋_GB2312"/>
          <w:sz w:val="32"/>
          <w:szCs w:val="32"/>
          <w:shd w:val="clear" w:color="auto" w:fill="FFFFFF"/>
        </w:rPr>
        <w:t>%；无形资产净值</w:t>
      </w:r>
      <w:r>
        <w:rPr>
          <w:rFonts w:hint="eastAsia" w:ascii="仿宋_GB2312" w:hAnsi="仿宋_GB2312" w:eastAsia="仿宋_GB2312" w:cs="仿宋_GB2312"/>
          <w:sz w:val="32"/>
          <w:szCs w:val="32"/>
          <w:shd w:val="clear" w:color="auto" w:fill="FFFFFF"/>
          <w:lang w:val="en-US" w:eastAsia="zh-CN"/>
        </w:rPr>
        <w:t>526.63</w:t>
      </w:r>
      <w:r>
        <w:rPr>
          <w:rFonts w:ascii="仿宋_GB2312" w:hAnsi="仿宋_GB2312" w:eastAsia="仿宋_GB2312" w:cs="仿宋_GB2312"/>
          <w:sz w:val="32"/>
          <w:szCs w:val="32"/>
          <w:shd w:val="clear" w:color="auto" w:fill="FFFFFF"/>
        </w:rPr>
        <w:t>，占总资产</w:t>
      </w:r>
      <w:r>
        <w:rPr>
          <w:rFonts w:hint="eastAsia" w:ascii="仿宋_GB2312" w:hAnsi="仿宋_GB2312" w:eastAsia="仿宋_GB2312" w:cs="仿宋_GB2312"/>
          <w:sz w:val="32"/>
          <w:szCs w:val="32"/>
          <w:shd w:val="clear" w:color="auto" w:fill="FFFFFF"/>
          <w:lang w:val="en-US" w:eastAsia="zh-CN"/>
        </w:rPr>
        <w:t>3.88</w:t>
      </w:r>
      <w:r>
        <w:rPr>
          <w:rFonts w:ascii="仿宋_GB2312" w:hAnsi="仿宋_GB2312" w:eastAsia="仿宋_GB2312" w:cs="仿宋_GB2312"/>
          <w:sz w:val="32"/>
          <w:szCs w:val="32"/>
          <w:shd w:val="clear" w:color="auto" w:fill="FFFFFF"/>
        </w:rPr>
        <w:t>%。</w:t>
      </w:r>
    </w:p>
    <w:p w14:paraId="26B85ACE">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本年负债合计2.</w:t>
      </w:r>
      <w:r>
        <w:rPr>
          <w:rFonts w:hint="eastAsia" w:ascii="仿宋_GB2312" w:hAnsi="仿宋_GB2312" w:eastAsia="仿宋_GB2312" w:cs="仿宋_GB2312"/>
          <w:sz w:val="32"/>
          <w:szCs w:val="32"/>
          <w:shd w:val="clear" w:color="auto" w:fill="FFFFFF"/>
          <w:lang w:val="en-US" w:eastAsia="zh-CN"/>
        </w:rPr>
        <w:t>07</w:t>
      </w:r>
      <w:r>
        <w:rPr>
          <w:rFonts w:ascii="仿宋_GB2312" w:hAnsi="仿宋_GB2312" w:eastAsia="仿宋_GB2312" w:cs="仿宋_GB2312"/>
          <w:sz w:val="32"/>
          <w:szCs w:val="32"/>
          <w:shd w:val="clear" w:color="auto" w:fill="FFFFFF"/>
        </w:rPr>
        <w:t>万元，其中应交财政款0.0</w:t>
      </w:r>
      <w:r>
        <w:rPr>
          <w:rFonts w:hint="eastAsia" w:ascii="仿宋_GB2312" w:hAnsi="仿宋_GB2312" w:eastAsia="仿宋_GB2312" w:cs="仿宋_GB2312"/>
          <w:sz w:val="32"/>
          <w:szCs w:val="32"/>
          <w:shd w:val="clear" w:color="auto" w:fill="FFFFFF"/>
          <w:lang w:val="en-US" w:eastAsia="zh-CN"/>
        </w:rPr>
        <w:t>2</w:t>
      </w:r>
      <w:r>
        <w:rPr>
          <w:rFonts w:ascii="仿宋_GB2312" w:hAnsi="仿宋_GB2312" w:eastAsia="仿宋_GB2312" w:cs="仿宋_GB2312"/>
          <w:sz w:val="32"/>
          <w:szCs w:val="32"/>
          <w:shd w:val="clear" w:color="auto" w:fill="FFFFFF"/>
        </w:rPr>
        <w:t>万元，其他应付款2</w:t>
      </w:r>
      <w:r>
        <w:rPr>
          <w:rFonts w:hint="eastAsia" w:ascii="仿宋_GB2312" w:hAnsi="仿宋_GB2312" w:eastAsia="仿宋_GB2312" w:cs="仿宋_GB2312"/>
          <w:sz w:val="32"/>
          <w:szCs w:val="32"/>
          <w:shd w:val="clear" w:color="auto" w:fill="FFFFFF"/>
          <w:lang w:val="en-US" w:eastAsia="zh-CN"/>
        </w:rPr>
        <w:t>.05</w:t>
      </w:r>
      <w:r>
        <w:rPr>
          <w:rFonts w:ascii="仿宋_GB2312" w:hAnsi="仿宋_GB2312" w:eastAsia="仿宋_GB2312" w:cs="仿宋_GB2312"/>
          <w:sz w:val="32"/>
          <w:szCs w:val="32"/>
          <w:shd w:val="clear" w:color="auto" w:fill="FFFFFF"/>
        </w:rPr>
        <w:t>万元。</w:t>
      </w:r>
    </w:p>
    <w:p w14:paraId="42E52AB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cs="宋体"/>
          <w:shd w:val="clear" w:color="auto" w:fill="FFFFFF"/>
        </w:rPr>
      </w:pPr>
      <w:r>
        <w:rPr>
          <w:rFonts w:ascii="仿宋_GB2312" w:hAnsi="仿宋_GB2312" w:eastAsia="仿宋_GB2312" w:cs="仿宋_GB2312"/>
          <w:sz w:val="32"/>
          <w:szCs w:val="32"/>
          <w:shd w:val="clear" w:color="auto" w:fill="FFFFFF"/>
        </w:rPr>
        <w:t>本年度资产负债率</w:t>
      </w:r>
      <w:r>
        <w:rPr>
          <w:rFonts w:hint="eastAsia" w:ascii="仿宋_GB2312" w:hAnsi="仿宋_GB2312" w:eastAsia="仿宋_GB2312" w:cs="仿宋_GB2312"/>
          <w:sz w:val="32"/>
          <w:szCs w:val="32"/>
          <w:shd w:val="clear" w:color="auto" w:fill="FFFFFF"/>
          <w:lang w:val="en-US" w:eastAsia="zh-CN"/>
        </w:rPr>
        <w:t>0.02%，资产负债率</w:t>
      </w:r>
      <w:r>
        <w:rPr>
          <w:rFonts w:hint="eastAsia" w:ascii="仿宋_GB2312" w:hAnsi="仿宋_GB2312" w:eastAsia="仿宋_GB2312" w:cs="仿宋_GB2312"/>
          <w:sz w:val="32"/>
          <w:szCs w:val="32"/>
          <w:shd w:val="clear" w:color="auto" w:fill="FFFFFF"/>
          <w:lang w:eastAsia="zh-CN"/>
        </w:rPr>
        <w:t>极</w:t>
      </w:r>
      <w:r>
        <w:rPr>
          <w:rFonts w:ascii="仿宋_GB2312" w:hAnsi="仿宋_GB2312" w:eastAsia="仿宋_GB2312" w:cs="仿宋_GB2312"/>
          <w:sz w:val="32"/>
          <w:szCs w:val="32"/>
          <w:shd w:val="clear" w:color="auto" w:fill="FFFFFF"/>
        </w:rPr>
        <w:t>小。</w:t>
      </w:r>
    </w:p>
    <w:p w14:paraId="72DB8E6A">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（五）绩效目标完成情况</w:t>
      </w:r>
    </w:p>
    <w:p w14:paraId="4C1B1AF3">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本年及时完成本年的资金支付和项目开展进度有达到预期。</w:t>
      </w:r>
    </w:p>
    <w:p w14:paraId="29CDECA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3" w:firstLineChars="200"/>
        <w:jc w:val="both"/>
        <w:textAlignment w:val="auto"/>
        <w:rPr>
          <w:rStyle w:val="22"/>
          <w:rFonts w:hint="eastAsia" w:ascii="楷体_GB2312" w:hAnsi="楷体_GB2312" w:eastAsia="楷体_GB2312" w:cs="楷体_GB2312"/>
          <w:sz w:val="32"/>
          <w:szCs w:val="32"/>
          <w:shd w:val="clear" w:color="auto" w:fill="FFFFFF"/>
        </w:rPr>
      </w:pPr>
      <w:r>
        <w:rPr>
          <w:rStyle w:val="22"/>
          <w:rFonts w:hint="eastAsia" w:ascii="楷体_GB2312" w:hAnsi="楷体_GB2312" w:eastAsia="楷体_GB2312" w:cs="楷体_GB2312"/>
          <w:sz w:val="32"/>
          <w:szCs w:val="32"/>
          <w:shd w:val="clear" w:color="auto" w:fill="FFFFFF"/>
        </w:rPr>
        <w:t>（六）当年预算执行及绩效管理中存在问题、原因及改进措施</w:t>
      </w:r>
    </w:p>
    <w:p w14:paraId="2170FDB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shd w:val="clear" w:color="auto" w:fill="FFFFFF"/>
        </w:rPr>
      </w:pPr>
      <w:r>
        <w:rPr>
          <w:rFonts w:ascii="仿宋_GB2312" w:hAnsi="仿宋_GB2312" w:eastAsia="仿宋_GB2312" w:cs="仿宋_GB2312"/>
          <w:sz w:val="32"/>
          <w:szCs w:val="32"/>
          <w:shd w:val="clear" w:color="auto" w:fill="FFFFFF"/>
        </w:rPr>
        <w:t>本年预算执行及绩效管理中没有存在问题。</w:t>
      </w:r>
    </w:p>
    <w:p w14:paraId="140A02B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黑体" w:hAnsi="黑体" w:eastAsia="黑体" w:cs="黑体"/>
          <w:sz w:val="32"/>
          <w:szCs w:val="32"/>
          <w:shd w:val="clear" w:color="auto" w:fill="FFFFFF"/>
        </w:rPr>
      </w:pPr>
      <w:r>
        <w:rPr>
          <w:rFonts w:ascii="黑体" w:hAnsi="黑体" w:eastAsia="黑体" w:cs="黑体"/>
          <w:sz w:val="32"/>
          <w:szCs w:val="32"/>
          <w:shd w:val="clear" w:color="auto" w:fill="FFFFFF"/>
        </w:rPr>
        <w:t>三、本年度部门决算等财务工作开展情况</w:t>
      </w:r>
    </w:p>
    <w:p w14:paraId="465A83E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cs="宋体"/>
          <w:sz w:val="30"/>
          <w:szCs w:val="30"/>
          <w:shd w:val="clear" w:color="auto" w:fill="FFFFFF"/>
        </w:rPr>
      </w:pPr>
      <w:r>
        <w:rPr>
          <w:rFonts w:ascii="仿宋_GB2312" w:hAnsi="仿宋_GB2312" w:eastAsia="仿宋_GB2312" w:cs="仿宋_GB2312"/>
          <w:sz w:val="32"/>
          <w:szCs w:val="32"/>
          <w:shd w:val="clear" w:color="auto" w:fill="FFFFFF"/>
        </w:rPr>
        <w:t>202</w:t>
      </w:r>
      <w:r>
        <w:rPr>
          <w:rFonts w:hint="eastAsia" w:ascii="仿宋_GB2312" w:hAnsi="仿宋_GB2312" w:eastAsia="仿宋_GB2312" w:cs="仿宋_GB2312"/>
          <w:sz w:val="32"/>
          <w:szCs w:val="32"/>
          <w:shd w:val="clear" w:color="auto" w:fill="FFFFFF"/>
          <w:lang w:val="en-US" w:eastAsia="zh-CN"/>
        </w:rPr>
        <w:t>5</w:t>
      </w:r>
      <w:r>
        <w:rPr>
          <w:rFonts w:ascii="仿宋_GB2312" w:hAnsi="仿宋_GB2312" w:eastAsia="仿宋_GB2312" w:cs="仿宋_GB2312"/>
          <w:sz w:val="32"/>
          <w:szCs w:val="32"/>
          <w:shd w:val="clear" w:color="auto" w:fill="FFFFFF"/>
        </w:rPr>
        <w:t>年度，我单位按照勤俭节约原则和财务收支管理相关规定坚持以预算为中心，以节约为重点，以求真务实的工作作风，严格遵守改革新制《政府会计制度》，抓好单位财务管理，较好地完成了各项工作任务。</w:t>
      </w:r>
    </w:p>
    <w:p w14:paraId="0D525B5F">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both"/>
        <w:textAlignment w:val="auto"/>
        <w:rPr>
          <w:rFonts w:hint="default" w:cs="宋体"/>
          <w:sz w:val="30"/>
          <w:szCs w:val="30"/>
          <w:shd w:val="clear" w:color="auto" w:fill="FFFFFF"/>
        </w:rPr>
        <w:sectPr>
          <w:footerReference r:id="rId3" w:type="default"/>
          <w:pgSz w:w="11915" w:h="16851"/>
          <w:pgMar w:top="2098" w:right="1474" w:bottom="1984" w:left="1587" w:header="851" w:footer="992" w:gutter="0"/>
          <w:pgNumType w:fmt="decimal"/>
          <w:cols w:space="0" w:num="1"/>
          <w:docGrid w:type="lines" w:linePitch="312" w:charSpace="0"/>
        </w:sectPr>
      </w:pPr>
    </w:p>
    <w:p w14:paraId="68FD633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6C823C9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both"/>
        <w:textAlignment w:val="auto"/>
        <w:rPr>
          <w:rFonts w:hint="default" w:cs="宋体"/>
          <w:sz w:val="30"/>
          <w:szCs w:val="30"/>
        </w:rPr>
      </w:pPr>
      <w:r>
        <w:rPr>
          <w:rFonts w:cs="宋体"/>
          <w:sz w:val="30"/>
          <w:szCs w:val="30"/>
          <w:shd w:val="clear" w:color="auto" w:fill="FFFFFF"/>
        </w:rPr>
        <w:t xml:space="preserve"> </w:t>
      </w:r>
    </w:p>
    <w:p w14:paraId="0190754E">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both"/>
        <w:textAlignment w:val="auto"/>
        <w:rPr>
          <w:rStyle w:val="22"/>
          <w:rFonts w:hint="eastAsia" w:ascii="方正小标宋简体" w:hAnsi="方正小标宋简体" w:eastAsia="方正小标宋简体" w:cs="方正小标宋简体"/>
          <w:sz w:val="44"/>
          <w:szCs w:val="44"/>
          <w:shd w:val="clear" w:color="auto" w:fill="FFFFFF"/>
        </w:rPr>
      </w:pPr>
      <w:r>
        <w:rPr>
          <w:rStyle w:val="22"/>
          <w:rFonts w:hint="eastAsia" w:ascii="方正小标宋简体" w:hAnsi="方正小标宋简体" w:eastAsia="方正小标宋简体" w:cs="方正小标宋简体"/>
          <w:sz w:val="44"/>
          <w:szCs w:val="44"/>
          <w:shd w:val="clear" w:color="auto" w:fill="FFFFFF"/>
        </w:rPr>
        <w:t>行政事业单位财务分析指标</w:t>
      </w:r>
    </w:p>
    <w:p w14:paraId="3A5552D8">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jc w:val="both"/>
        <w:textAlignment w:val="auto"/>
        <w:rPr>
          <w:rFonts w:hint="default" w:cs="宋体"/>
          <w:sz w:val="30"/>
          <w:szCs w:val="30"/>
        </w:rPr>
      </w:pPr>
      <w:r>
        <w:rPr>
          <w:rFonts w:cs="宋体"/>
          <w:sz w:val="30"/>
          <w:szCs w:val="30"/>
          <w:shd w:val="clear" w:color="auto" w:fill="FFFFFF"/>
        </w:rPr>
        <w:t xml:space="preserve"> </w:t>
      </w:r>
    </w:p>
    <w:p w14:paraId="79E283B9">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黑体" w:hAnsi="黑体" w:eastAsia="黑体" w:cs="黑体"/>
          <w:sz w:val="32"/>
          <w:szCs w:val="32"/>
          <w:shd w:val="clear" w:color="auto" w:fill="FFFFFF"/>
        </w:rPr>
      </w:pPr>
      <w:r>
        <w:rPr>
          <w:rFonts w:ascii="黑体" w:hAnsi="黑体" w:eastAsia="黑体" w:cs="黑体"/>
          <w:sz w:val="32"/>
          <w:szCs w:val="32"/>
          <w:shd w:val="clear" w:color="auto" w:fill="FFFFFF"/>
        </w:rPr>
        <w:t>一、行政单位财务分析指标</w:t>
      </w:r>
    </w:p>
    <w:p w14:paraId="49E3E3A3">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1.支出增长率，衡量行政单位支出的增长水平。计算公式为：</w:t>
      </w:r>
    </w:p>
    <w:p w14:paraId="0F70F623">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支出增长率＝(本期支出总额÷上期支出总额-1)×100%=40.73%</w:t>
      </w:r>
    </w:p>
    <w:p w14:paraId="302DC361">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2.当年预算支出完成率，衡量行政单位当年支出总预算及分项预算完成的程度。计算公式为：</w:t>
      </w:r>
    </w:p>
    <w:p w14:paraId="38BA8E18">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当年预算支出完成率＝年终执行数÷调整预算数×100%=63.76%</w:t>
      </w:r>
    </w:p>
    <w:p w14:paraId="663BCB83">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3.人均开支，衡量行政单位人均年消耗经费水平。计算公式为：</w:t>
      </w:r>
    </w:p>
    <w:p w14:paraId="1253199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人均开支＝本期支出数÷本期平均在职人员数=32.10</w:t>
      </w:r>
    </w:p>
    <w:p w14:paraId="23ED842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4.项目支出占总支出的比率，衡量行政单位的支出结构。计算公式为：</w:t>
      </w:r>
    </w:p>
    <w:p w14:paraId="15F7189F">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项目支出比率=本期项目支出数÷本期支出总数×100%=65.80%</w:t>
      </w:r>
    </w:p>
    <w:p w14:paraId="43C14919">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5.人员支出、公用支出占总支出的比率，衡量行政单位的支出结构。计算公式为：</w:t>
      </w:r>
    </w:p>
    <w:p w14:paraId="09229A88">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人员支出比率=本期人员支出数÷本期支出总数×100%=32.19%</w:t>
      </w:r>
    </w:p>
    <w:p w14:paraId="7FE0EB41">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公用支出比率=本期公用支出数÷本期支出总数×100%=2.00%</w:t>
      </w:r>
    </w:p>
    <w:p w14:paraId="633114F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6.人均办公使用面积，衡量行政单位办公用房配备情况。计算公式为：</w:t>
      </w:r>
    </w:p>
    <w:p w14:paraId="598ACF6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人均办公使用面积=本期末单位办公用房使用面积÷本期末在职人员数=0.00</w:t>
      </w:r>
    </w:p>
    <w:p w14:paraId="0B6B588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7.人车比例，衡量行政单位公务用车配备情况。计算公式为：</w:t>
      </w:r>
    </w:p>
    <w:p w14:paraId="3A9283E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人车比例=本期末在职人员数÷本期末公务用车实有数=0.00</w:t>
      </w:r>
    </w:p>
    <w:p w14:paraId="747B7BFB">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黑体" w:hAnsi="黑体" w:eastAsia="黑体" w:cs="黑体"/>
          <w:sz w:val="32"/>
          <w:szCs w:val="32"/>
          <w:shd w:val="clear" w:color="auto" w:fill="FFFFFF"/>
        </w:rPr>
      </w:pPr>
      <w:r>
        <w:rPr>
          <w:rFonts w:ascii="黑体" w:hAnsi="黑体" w:eastAsia="黑体" w:cs="黑体"/>
          <w:sz w:val="32"/>
          <w:szCs w:val="32"/>
          <w:shd w:val="clear" w:color="auto" w:fill="FFFFFF"/>
        </w:rPr>
        <w:t xml:space="preserve"> 二、事业单位财务分析指标</w:t>
      </w:r>
    </w:p>
    <w:p w14:paraId="7490DDC5">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1.预算收入和支出完成率，衡量事业单位收入和支出总预算及分项预算完成的程度。计算公式为：</w:t>
      </w:r>
    </w:p>
    <w:p w14:paraId="6265E963">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预算收入完成率＝年终执行数÷调整预算数×100%=100%</w:t>
      </w:r>
    </w:p>
    <w:p w14:paraId="51DDEFBA">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预算支出完成率＝年终执行数÷调整预算数×100%=100%</w:t>
      </w:r>
    </w:p>
    <w:p w14:paraId="330CA171">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2.人员支出、公用支出占事业支出的比率，衡量事业单位事业支出结构。计算公式为：</w:t>
      </w:r>
    </w:p>
    <w:p w14:paraId="30DF3622">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人员支出比率＝人员支出÷事业支出×100%=100%</w:t>
      </w:r>
    </w:p>
    <w:p w14:paraId="304B326B">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公用支出比率＝公用支出÷事业支出×100%=100%</w:t>
      </w:r>
    </w:p>
    <w:p w14:paraId="3FD8FA8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3.人均基本支出，衡量事业单位按照实际在编人数平均的基本支出水平。计算公式为：</w:t>
      </w:r>
    </w:p>
    <w:p w14:paraId="47A0DF40">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人均基本支出＝（基本支出-离退休人员支出）÷实际在编人数=0.00</w:t>
      </w:r>
    </w:p>
    <w:p w14:paraId="2AAB3CD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此外，行业事业单位还可根据相关财务制度规定和分析需要增加相关分析指标，如：</w:t>
      </w:r>
    </w:p>
    <w:p w14:paraId="61E62799">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1.财政拨款依存度,衡量部门（单位）对财政拨款的依赖程度。</w:t>
      </w:r>
    </w:p>
    <w:p w14:paraId="33AB731D">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40" w:firstLineChars="200"/>
        <w:jc w:val="both"/>
        <w:textAlignment w:val="auto"/>
        <w:rPr>
          <w:rFonts w:hint="default" w:ascii="仿宋_GB2312" w:hAnsi="仿宋_GB2312" w:eastAsia="仿宋_GB2312" w:cs="仿宋_GB2312"/>
          <w:sz w:val="32"/>
          <w:szCs w:val="32"/>
        </w:rPr>
      </w:pPr>
      <w:r>
        <w:rPr>
          <w:rFonts w:ascii="仿宋_GB2312" w:hAnsi="仿宋_GB2312" w:eastAsia="仿宋_GB2312" w:cs="仿宋_GB2312"/>
          <w:sz w:val="32"/>
          <w:szCs w:val="32"/>
          <w:shd w:val="clear" w:color="auto" w:fill="FFFFFF"/>
        </w:rPr>
        <w:t>财政拨款依存度＝财政拨款收入÷收入总额×100%=100.00%</w:t>
      </w:r>
    </w:p>
    <w:p w14:paraId="1B004F46">
      <w:pPr>
        <w:pStyle w:val="24"/>
        <w:keepNext w:val="0"/>
        <w:keepLines w:val="0"/>
        <w:pageBreakBefore w:val="0"/>
        <w:widowControl/>
        <w:kinsoku/>
        <w:wordWrap/>
        <w:overflowPunct w:val="0"/>
        <w:topLinePunct w:val="0"/>
        <w:autoSpaceDE/>
        <w:autoSpaceDN/>
        <w:bidi w:val="0"/>
        <w:adjustRightInd/>
        <w:snapToGrid/>
        <w:spacing w:beforeAutospacing="0" w:afterAutospacing="0" w:line="576" w:lineRule="exact"/>
        <w:ind w:firstLine="600" w:firstLineChars="200"/>
        <w:jc w:val="both"/>
        <w:textAlignment w:val="auto"/>
        <w:rPr>
          <w:rFonts w:hint="default" w:ascii="仿宋" w:hAnsi="仿宋" w:eastAsia="仿宋" w:cs="仿宋"/>
          <w:sz w:val="30"/>
          <w:szCs w:val="30"/>
        </w:rPr>
      </w:pPr>
    </w:p>
    <w:sectPr>
      <w:pgSz w:w="11915" w:h="16851"/>
      <w:pgMar w:top="2098" w:right="1474" w:bottom="1984" w:left="1587"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4EF85">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9ABC603">
                          <w:pPr>
                            <w:pStyle w:val="1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9ABC603">
                    <w:pPr>
                      <w:pStyle w:val="1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CF946B"/>
    <w:multiLevelType w:val="singleLevel"/>
    <w:tmpl w:val="B4CF946B"/>
    <w:lvl w:ilvl="0" w:tentative="0">
      <w:start w:val="1"/>
      <w:numFmt w:val="decimal"/>
      <w:suff w:val="nothing"/>
      <w:lvlText w:val="%1．"/>
      <w:lvlJc w:val="left"/>
      <w:pPr>
        <w:ind w:left="0" w:firstLine="400"/>
      </w:pPr>
      <w:rPr>
        <w:rFonts w:hint="default" w:ascii="仿宋_GB2312" w:hAnsi="仿宋_GB2312" w:eastAsia="仿宋_GB2312" w:cs="仿宋_GB2312"/>
        <w:b/>
        <w:bCs/>
        <w:sz w:val="32"/>
        <w:szCs w:val="32"/>
      </w:rPr>
    </w:lvl>
  </w:abstractNum>
  <w:abstractNum w:abstractNumId="1">
    <w:nsid w:val="C909D737"/>
    <w:multiLevelType w:val="singleLevel"/>
    <w:tmpl w:val="C909D737"/>
    <w:lvl w:ilvl="0" w:tentative="0">
      <w:start w:val="3"/>
      <w:numFmt w:val="chineseCounting"/>
      <w:suff w:val="nothing"/>
      <w:lvlText w:val="（%1）"/>
      <w:lvlJc w:val="left"/>
      <w:rPr>
        <w:rFonts w:hint="eastAsia"/>
      </w:rPr>
    </w:lvl>
  </w:abstractNum>
  <w:abstractNum w:abstractNumId="2">
    <w:nsid w:val="2D6522DC"/>
    <w:multiLevelType w:val="singleLevel"/>
    <w:tmpl w:val="2D6522DC"/>
    <w:lvl w:ilvl="0" w:tentative="0">
      <w:start w:val="1"/>
      <w:numFmt w:val="decimal"/>
      <w:lvlText w:val="%1."/>
      <w:lvlJc w:val="left"/>
      <w:pPr>
        <w:tabs>
          <w:tab w:val="left" w:pos="312"/>
        </w:tabs>
      </w:pPr>
      <w:rPr>
        <w:rFonts w:hint="default"/>
        <w:b/>
        <w:bC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7"/>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0OWJmYmFlM2RjZDJhNjllNGZjNTZhMmI5MGRkNTMifQ=="/>
  </w:docVars>
  <w:rsids>
    <w:rsidRoot w:val="00801ABB"/>
    <w:rsid w:val="00022210"/>
    <w:rsid w:val="001D7C43"/>
    <w:rsid w:val="001D7D62"/>
    <w:rsid w:val="00201518"/>
    <w:rsid w:val="00233BEE"/>
    <w:rsid w:val="003058C6"/>
    <w:rsid w:val="003421B3"/>
    <w:rsid w:val="003577A2"/>
    <w:rsid w:val="00801ABB"/>
    <w:rsid w:val="008B1C80"/>
    <w:rsid w:val="009A38E3"/>
    <w:rsid w:val="009B1E23"/>
    <w:rsid w:val="00A97227"/>
    <w:rsid w:val="00AE786B"/>
    <w:rsid w:val="00CC0113"/>
    <w:rsid w:val="00DC2D83"/>
    <w:rsid w:val="00E84571"/>
    <w:rsid w:val="01E943A0"/>
    <w:rsid w:val="02775E4F"/>
    <w:rsid w:val="02E16CA8"/>
    <w:rsid w:val="030F10B7"/>
    <w:rsid w:val="04D1466B"/>
    <w:rsid w:val="05B055A6"/>
    <w:rsid w:val="05BF529F"/>
    <w:rsid w:val="05C0366A"/>
    <w:rsid w:val="06FE2F2D"/>
    <w:rsid w:val="076D3A81"/>
    <w:rsid w:val="07A96AEE"/>
    <w:rsid w:val="07B37C1F"/>
    <w:rsid w:val="08332BD7"/>
    <w:rsid w:val="08345D51"/>
    <w:rsid w:val="0874513E"/>
    <w:rsid w:val="08FA36D7"/>
    <w:rsid w:val="09AA6B0A"/>
    <w:rsid w:val="09CB4CD3"/>
    <w:rsid w:val="0A0338DA"/>
    <w:rsid w:val="0A3E30F2"/>
    <w:rsid w:val="0A876E4C"/>
    <w:rsid w:val="0AE778EA"/>
    <w:rsid w:val="0B187AA4"/>
    <w:rsid w:val="0BDC6945"/>
    <w:rsid w:val="0CBB102F"/>
    <w:rsid w:val="0D3D5EE8"/>
    <w:rsid w:val="0D5116CB"/>
    <w:rsid w:val="0E2C21E4"/>
    <w:rsid w:val="0E9E1642"/>
    <w:rsid w:val="0ED541D7"/>
    <w:rsid w:val="102962AF"/>
    <w:rsid w:val="111D5E14"/>
    <w:rsid w:val="11551A52"/>
    <w:rsid w:val="119A7465"/>
    <w:rsid w:val="1235718D"/>
    <w:rsid w:val="127B5956"/>
    <w:rsid w:val="12CD42D0"/>
    <w:rsid w:val="13394A5B"/>
    <w:rsid w:val="133D4207"/>
    <w:rsid w:val="139D792C"/>
    <w:rsid w:val="14724BAC"/>
    <w:rsid w:val="14C070ED"/>
    <w:rsid w:val="14D62EA9"/>
    <w:rsid w:val="15C471A6"/>
    <w:rsid w:val="15D67329"/>
    <w:rsid w:val="177B1AE6"/>
    <w:rsid w:val="17EF06F4"/>
    <w:rsid w:val="18ED2570"/>
    <w:rsid w:val="18F41B50"/>
    <w:rsid w:val="190E24E6"/>
    <w:rsid w:val="195066E0"/>
    <w:rsid w:val="19B7492C"/>
    <w:rsid w:val="19BD5EE0"/>
    <w:rsid w:val="19EA1203"/>
    <w:rsid w:val="1AAB4490"/>
    <w:rsid w:val="1AF0162C"/>
    <w:rsid w:val="1B736FAF"/>
    <w:rsid w:val="1B7725A8"/>
    <w:rsid w:val="1BBC27E6"/>
    <w:rsid w:val="1BEF65FF"/>
    <w:rsid w:val="1C9553F8"/>
    <w:rsid w:val="1CEC12BA"/>
    <w:rsid w:val="1D4F79E5"/>
    <w:rsid w:val="1DB55EC9"/>
    <w:rsid w:val="1E677DFF"/>
    <w:rsid w:val="1E8C6387"/>
    <w:rsid w:val="1EDB78DB"/>
    <w:rsid w:val="1F8F34FB"/>
    <w:rsid w:val="1FE43FA1"/>
    <w:rsid w:val="203A2EFB"/>
    <w:rsid w:val="20827A42"/>
    <w:rsid w:val="215F7D83"/>
    <w:rsid w:val="21A659B2"/>
    <w:rsid w:val="22D16A5E"/>
    <w:rsid w:val="22DA3EDC"/>
    <w:rsid w:val="23B33488"/>
    <w:rsid w:val="242A3FC1"/>
    <w:rsid w:val="263058CE"/>
    <w:rsid w:val="264E003E"/>
    <w:rsid w:val="264F79AF"/>
    <w:rsid w:val="26832575"/>
    <w:rsid w:val="27602AA7"/>
    <w:rsid w:val="278B5211"/>
    <w:rsid w:val="287C563E"/>
    <w:rsid w:val="28AB1AFF"/>
    <w:rsid w:val="29B831BD"/>
    <w:rsid w:val="2A461AE0"/>
    <w:rsid w:val="2AE31A25"/>
    <w:rsid w:val="2CAF7D9B"/>
    <w:rsid w:val="2CCB019C"/>
    <w:rsid w:val="2D0E06C6"/>
    <w:rsid w:val="2D8477E3"/>
    <w:rsid w:val="2DCA7CF3"/>
    <w:rsid w:val="2E314855"/>
    <w:rsid w:val="2E494294"/>
    <w:rsid w:val="2E5E3B86"/>
    <w:rsid w:val="2F1F6DA3"/>
    <w:rsid w:val="2F603327"/>
    <w:rsid w:val="2F7D6357"/>
    <w:rsid w:val="3064495C"/>
    <w:rsid w:val="316042E1"/>
    <w:rsid w:val="317F1D7B"/>
    <w:rsid w:val="325A3C70"/>
    <w:rsid w:val="32B819E9"/>
    <w:rsid w:val="33ED255F"/>
    <w:rsid w:val="343926B5"/>
    <w:rsid w:val="348558FB"/>
    <w:rsid w:val="34E41A9A"/>
    <w:rsid w:val="356A12DA"/>
    <w:rsid w:val="35B50461"/>
    <w:rsid w:val="36C64A84"/>
    <w:rsid w:val="36E20AAE"/>
    <w:rsid w:val="37652E67"/>
    <w:rsid w:val="37C643CA"/>
    <w:rsid w:val="383B4C4E"/>
    <w:rsid w:val="387C0DC3"/>
    <w:rsid w:val="389B56ED"/>
    <w:rsid w:val="38CA4224"/>
    <w:rsid w:val="399D7289"/>
    <w:rsid w:val="39F74BA5"/>
    <w:rsid w:val="3A706705"/>
    <w:rsid w:val="3AF15D07"/>
    <w:rsid w:val="3B086599"/>
    <w:rsid w:val="3B940D00"/>
    <w:rsid w:val="3B9B5A04"/>
    <w:rsid w:val="3CB1383A"/>
    <w:rsid w:val="3F035D9A"/>
    <w:rsid w:val="3F7607FD"/>
    <w:rsid w:val="3FA96941"/>
    <w:rsid w:val="3FB3156E"/>
    <w:rsid w:val="3FC92B3F"/>
    <w:rsid w:val="405B137D"/>
    <w:rsid w:val="407E54EA"/>
    <w:rsid w:val="42F55DE0"/>
    <w:rsid w:val="42FA5706"/>
    <w:rsid w:val="430B7913"/>
    <w:rsid w:val="438A0837"/>
    <w:rsid w:val="439F6C52"/>
    <w:rsid w:val="43D07B8B"/>
    <w:rsid w:val="44BA514C"/>
    <w:rsid w:val="44BC2C73"/>
    <w:rsid w:val="44F62E14"/>
    <w:rsid w:val="450255B5"/>
    <w:rsid w:val="45667082"/>
    <w:rsid w:val="458E4348"/>
    <w:rsid w:val="45EF0E26"/>
    <w:rsid w:val="462D25CE"/>
    <w:rsid w:val="462E5DF2"/>
    <w:rsid w:val="46326F64"/>
    <w:rsid w:val="47162CED"/>
    <w:rsid w:val="478C7274"/>
    <w:rsid w:val="4832149E"/>
    <w:rsid w:val="486C726D"/>
    <w:rsid w:val="48757D08"/>
    <w:rsid w:val="48B84099"/>
    <w:rsid w:val="492359B6"/>
    <w:rsid w:val="493D00FA"/>
    <w:rsid w:val="49437E06"/>
    <w:rsid w:val="497D499A"/>
    <w:rsid w:val="49F40337"/>
    <w:rsid w:val="49FB3008"/>
    <w:rsid w:val="4A77763C"/>
    <w:rsid w:val="4B024675"/>
    <w:rsid w:val="4BC468B1"/>
    <w:rsid w:val="4C725668"/>
    <w:rsid w:val="4C8A18A8"/>
    <w:rsid w:val="4CD86AB8"/>
    <w:rsid w:val="4D3006A2"/>
    <w:rsid w:val="4D6345A6"/>
    <w:rsid w:val="4E2B70BB"/>
    <w:rsid w:val="4E4C41CE"/>
    <w:rsid w:val="4EF86F9D"/>
    <w:rsid w:val="502E69EF"/>
    <w:rsid w:val="50FA0EA6"/>
    <w:rsid w:val="51542485"/>
    <w:rsid w:val="52CD28C8"/>
    <w:rsid w:val="52FB705C"/>
    <w:rsid w:val="55A87F2C"/>
    <w:rsid w:val="575C2093"/>
    <w:rsid w:val="5798756F"/>
    <w:rsid w:val="57D9322F"/>
    <w:rsid w:val="584E5E80"/>
    <w:rsid w:val="5876B902"/>
    <w:rsid w:val="58DF4D2A"/>
    <w:rsid w:val="58F42EAF"/>
    <w:rsid w:val="598C540C"/>
    <w:rsid w:val="59A55F2E"/>
    <w:rsid w:val="59AB20A1"/>
    <w:rsid w:val="5A3926B7"/>
    <w:rsid w:val="5A6A4AC7"/>
    <w:rsid w:val="5AA1498D"/>
    <w:rsid w:val="5B773940"/>
    <w:rsid w:val="5D347D3A"/>
    <w:rsid w:val="5DB26EB1"/>
    <w:rsid w:val="5DE76D29"/>
    <w:rsid w:val="5E280F21"/>
    <w:rsid w:val="5E8E347A"/>
    <w:rsid w:val="5F422A11"/>
    <w:rsid w:val="5F5A2904"/>
    <w:rsid w:val="600357A2"/>
    <w:rsid w:val="60B42F40"/>
    <w:rsid w:val="61190980"/>
    <w:rsid w:val="616177F4"/>
    <w:rsid w:val="61C62B9A"/>
    <w:rsid w:val="62BD041D"/>
    <w:rsid w:val="643D2F37"/>
    <w:rsid w:val="64547F6B"/>
    <w:rsid w:val="64855DC5"/>
    <w:rsid w:val="64EB5335"/>
    <w:rsid w:val="658C7FE7"/>
    <w:rsid w:val="662A481C"/>
    <w:rsid w:val="665E1984"/>
    <w:rsid w:val="670D087B"/>
    <w:rsid w:val="675F3C06"/>
    <w:rsid w:val="67685E63"/>
    <w:rsid w:val="67784A62"/>
    <w:rsid w:val="67FD341E"/>
    <w:rsid w:val="689618A9"/>
    <w:rsid w:val="68F14818"/>
    <w:rsid w:val="694831A6"/>
    <w:rsid w:val="69F412EE"/>
    <w:rsid w:val="6A837C0B"/>
    <w:rsid w:val="6A95683A"/>
    <w:rsid w:val="6ACB5A74"/>
    <w:rsid w:val="6B741C4A"/>
    <w:rsid w:val="6B905DD2"/>
    <w:rsid w:val="6C3A69EF"/>
    <w:rsid w:val="6E250C27"/>
    <w:rsid w:val="6E3B25AB"/>
    <w:rsid w:val="6E731D44"/>
    <w:rsid w:val="6E946CD9"/>
    <w:rsid w:val="6EF235B1"/>
    <w:rsid w:val="70167673"/>
    <w:rsid w:val="702E23C7"/>
    <w:rsid w:val="70473489"/>
    <w:rsid w:val="70722C7F"/>
    <w:rsid w:val="70B36D70"/>
    <w:rsid w:val="735F6D3B"/>
    <w:rsid w:val="739A7D73"/>
    <w:rsid w:val="74007F76"/>
    <w:rsid w:val="75005A8A"/>
    <w:rsid w:val="75377F70"/>
    <w:rsid w:val="757840E4"/>
    <w:rsid w:val="75EC1263"/>
    <w:rsid w:val="75F220E9"/>
    <w:rsid w:val="76BA1D3C"/>
    <w:rsid w:val="76E063E5"/>
    <w:rsid w:val="79420C91"/>
    <w:rsid w:val="79BD2A0E"/>
    <w:rsid w:val="79C0778B"/>
    <w:rsid w:val="7A431165"/>
    <w:rsid w:val="7A911ED0"/>
    <w:rsid w:val="7B0F6DF0"/>
    <w:rsid w:val="7B951E03"/>
    <w:rsid w:val="7BB5399C"/>
    <w:rsid w:val="7E9B67B0"/>
    <w:rsid w:val="7EC42148"/>
    <w:rsid w:val="7ED303FC"/>
    <w:rsid w:val="FEDEB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99"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99"/>
    <w:rPr>
      <w:rFonts w:hint="eastAsia" w:ascii="宋体" w:hAnsi="宋体" w:eastAsia="宋体" w:cs="Times New Roman"/>
      <w:sz w:val="24"/>
      <w:szCs w:val="24"/>
      <w:lang w:val="en-US" w:eastAsia="zh-CN" w:bidi="ar-SA"/>
    </w:rPr>
  </w:style>
  <w:style w:type="paragraph" w:styleId="4">
    <w:name w:val="heading 1"/>
    <w:basedOn w:val="1"/>
    <w:next w:val="1"/>
    <w:qFormat/>
    <w:uiPriority w:val="0"/>
    <w:pPr>
      <w:spacing w:beforeAutospacing="1" w:afterAutospacing="1"/>
      <w:outlineLvl w:val="0"/>
    </w:pPr>
    <w:rPr>
      <w:b/>
      <w:bCs/>
      <w:kern w:val="44"/>
      <w:sz w:val="48"/>
      <w:szCs w:val="48"/>
    </w:rPr>
  </w:style>
  <w:style w:type="paragraph" w:styleId="5">
    <w:name w:val="heading 2"/>
    <w:basedOn w:val="1"/>
    <w:next w:val="1"/>
    <w:qFormat/>
    <w:uiPriority w:val="0"/>
    <w:pPr>
      <w:spacing w:beforeAutospacing="1" w:afterAutospacing="1"/>
      <w:outlineLvl w:val="1"/>
    </w:pPr>
    <w:rPr>
      <w:b/>
      <w:bCs/>
      <w:sz w:val="36"/>
      <w:szCs w:val="36"/>
    </w:rPr>
  </w:style>
  <w:style w:type="paragraph" w:styleId="6">
    <w:name w:val="heading 3"/>
    <w:basedOn w:val="1"/>
    <w:next w:val="1"/>
    <w:qFormat/>
    <w:uiPriority w:val="0"/>
    <w:pPr>
      <w:spacing w:beforeAutospacing="1" w:afterAutospacing="1"/>
      <w:outlineLvl w:val="2"/>
    </w:pPr>
    <w:rPr>
      <w:b/>
      <w:bCs/>
      <w:sz w:val="27"/>
      <w:szCs w:val="27"/>
    </w:rPr>
  </w:style>
  <w:style w:type="paragraph" w:styleId="7">
    <w:name w:val="heading 4"/>
    <w:basedOn w:val="1"/>
    <w:next w:val="1"/>
    <w:qFormat/>
    <w:uiPriority w:val="0"/>
    <w:pPr>
      <w:spacing w:beforeAutospacing="1" w:afterAutospacing="1"/>
      <w:outlineLvl w:val="3"/>
    </w:pPr>
    <w:rPr>
      <w:b/>
      <w:bCs/>
    </w:rPr>
  </w:style>
  <w:style w:type="paragraph" w:styleId="8">
    <w:name w:val="heading 5"/>
    <w:basedOn w:val="1"/>
    <w:next w:val="1"/>
    <w:qFormat/>
    <w:uiPriority w:val="0"/>
    <w:pPr>
      <w:spacing w:beforeAutospacing="1" w:afterAutospacing="1"/>
      <w:outlineLvl w:val="4"/>
    </w:pPr>
    <w:rPr>
      <w:b/>
      <w:bCs/>
      <w:sz w:val="20"/>
      <w:szCs w:val="20"/>
    </w:rPr>
  </w:style>
  <w:style w:type="paragraph" w:styleId="9">
    <w:name w:val="heading 6"/>
    <w:basedOn w:val="1"/>
    <w:next w:val="1"/>
    <w:qFormat/>
    <w:uiPriority w:val="0"/>
    <w:pPr>
      <w:spacing w:beforeAutospacing="1" w:afterAutospacing="1"/>
      <w:outlineLvl w:val="5"/>
    </w:pPr>
    <w:rPr>
      <w:b/>
      <w:bCs/>
      <w:sz w:val="15"/>
      <w:szCs w:val="15"/>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BodyText1I2"/>
    <w:basedOn w:val="3"/>
    <w:qFormat/>
    <w:uiPriority w:val="0"/>
    <w:pPr>
      <w:ind w:left="420" w:firstLine="420" w:firstLineChars="200"/>
    </w:pPr>
    <w:rPr>
      <w:rFonts w:hAnsi="Calibri"/>
      <w:sz w:val="21"/>
    </w:rPr>
  </w:style>
  <w:style w:type="paragraph" w:customStyle="1" w:styleId="3">
    <w:name w:val="BodyTextIndent"/>
    <w:basedOn w:val="1"/>
    <w:qFormat/>
    <w:uiPriority w:val="0"/>
    <w:pPr>
      <w:spacing w:after="120"/>
      <w:ind w:left="200" w:leftChars="200"/>
      <w:jc w:val="both"/>
      <w:textAlignment w:val="baseline"/>
    </w:pPr>
  </w:style>
  <w:style w:type="paragraph" w:styleId="10">
    <w:name w:val="Body Text"/>
    <w:basedOn w:val="1"/>
    <w:qFormat/>
    <w:uiPriority w:val="0"/>
    <w:pPr>
      <w:spacing w:beforeAutospacing="1" w:afterAutospacing="1"/>
    </w:pPr>
  </w:style>
  <w:style w:type="paragraph" w:styleId="11">
    <w:name w:val="Body Text Indent"/>
    <w:basedOn w:val="1"/>
    <w:next w:val="12"/>
    <w:qFormat/>
    <w:uiPriority w:val="0"/>
    <w:pPr>
      <w:ind w:left="359"/>
    </w:pPr>
    <w:rPr>
      <w:rFonts w:hint="default" w:ascii="Times New Roman" w:hAnsi="Times New Roman"/>
      <w:sz w:val="28"/>
      <w:szCs w:val="28"/>
    </w:rPr>
  </w:style>
  <w:style w:type="paragraph" w:styleId="12">
    <w:name w:val="Body Text First Indent 2"/>
    <w:basedOn w:val="11"/>
    <w:qFormat/>
    <w:uiPriority w:val="0"/>
    <w:rPr>
      <w:rFonts w:ascii="Calibri" w:hAnsi="Calibri"/>
      <w:sz w:val="21"/>
      <w:szCs w:val="21"/>
    </w:rPr>
  </w:style>
  <w:style w:type="paragraph" w:styleId="13">
    <w:name w:val="Balloon Text"/>
    <w:basedOn w:val="1"/>
    <w:link w:val="27"/>
    <w:qFormat/>
    <w:uiPriority w:val="0"/>
    <w:rPr>
      <w:sz w:val="18"/>
      <w:szCs w:val="18"/>
    </w:rPr>
  </w:style>
  <w:style w:type="paragraph" w:styleId="14">
    <w:name w:val="footer"/>
    <w:basedOn w:val="1"/>
    <w:qFormat/>
    <w:uiPriority w:val="0"/>
    <w:pPr>
      <w:snapToGrid w:val="0"/>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17">
    <w:name w:val="Normal (Web)"/>
    <w:basedOn w:val="1"/>
    <w:qFormat/>
    <w:uiPriority w:val="0"/>
    <w:pPr>
      <w:spacing w:beforeAutospacing="1" w:afterAutospacing="1"/>
    </w:pPr>
  </w:style>
  <w:style w:type="character" w:customStyle="1" w:styleId="20">
    <w:name w:val="16"/>
    <w:basedOn w:val="19"/>
    <w:qFormat/>
    <w:uiPriority w:val="0"/>
    <w:rPr>
      <w:rFonts w:hint="default" w:ascii="Times New Roman" w:hAnsi="Times New Roman" w:cs="Times New Roman"/>
      <w:b/>
    </w:rPr>
  </w:style>
  <w:style w:type="paragraph" w:customStyle="1" w:styleId="21">
    <w:name w:val="HTML 预设格式 Char"/>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22">
    <w:name w:val="15"/>
    <w:basedOn w:val="19"/>
    <w:qFormat/>
    <w:uiPriority w:val="0"/>
    <w:rPr>
      <w:rFonts w:hint="default" w:ascii="Times New Roman" w:hAnsi="Times New Roman" w:cs="Times New Roman"/>
      <w:b/>
    </w:rPr>
  </w:style>
  <w:style w:type="character" w:customStyle="1" w:styleId="23">
    <w:name w:val="10"/>
    <w:basedOn w:val="19"/>
    <w:qFormat/>
    <w:uiPriority w:val="0"/>
    <w:rPr>
      <w:rFonts w:hint="default" w:ascii="Times New Roman" w:hAnsi="Times New Roman" w:cs="Times New Roman"/>
    </w:rPr>
  </w:style>
  <w:style w:type="paragraph" w:customStyle="1" w:styleId="24">
    <w:name w:val="普通(网站) Char"/>
    <w:basedOn w:val="1"/>
    <w:qFormat/>
    <w:uiPriority w:val="0"/>
    <w:pPr>
      <w:spacing w:beforeAutospacing="1" w:afterAutospacing="1"/>
    </w:pPr>
  </w:style>
  <w:style w:type="character" w:customStyle="1" w:styleId="25">
    <w:name w:val="NormalCharacter"/>
    <w:link w:val="26"/>
    <w:qFormat/>
    <w:uiPriority w:val="0"/>
  </w:style>
  <w:style w:type="paragraph" w:customStyle="1" w:styleId="26">
    <w:name w:val="UserStyle_0"/>
    <w:basedOn w:val="1"/>
    <w:link w:val="25"/>
    <w:qFormat/>
    <w:uiPriority w:val="0"/>
    <w:pPr>
      <w:spacing w:before="312" w:after="160" w:line="240" w:lineRule="exact"/>
      <w:textAlignment w:val="baseline"/>
    </w:pPr>
  </w:style>
  <w:style w:type="character" w:customStyle="1" w:styleId="27">
    <w:name w:val="批注框文本 Char"/>
    <w:basedOn w:val="19"/>
    <w:link w:val="13"/>
    <w:qFormat/>
    <w:uiPriority w:val="0"/>
    <w:rPr>
      <w:rFonts w:ascii="宋体" w:hAnsi="宋体"/>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3419</Words>
  <Characters>3917</Characters>
  <Lines>5</Lines>
  <Paragraphs>8</Paragraphs>
  <TotalTime>44</TotalTime>
  <ScaleCrop>false</ScaleCrop>
  <LinksUpToDate>false</LinksUpToDate>
  <CharactersWithSpaces>3933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2025-01-18T10:34:00Z</dcterms:created>
  <dc:creator>Administrator</dc:creator>
  <cp:lastModifiedBy>Administrator</cp:lastModifiedBy>
  <dcterms:modified xsi:type="dcterms:W3CDTF">2026-10-23T02:52:07Z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B261B1A8364549B482F478F1082353AD_13</vt:lpwstr>
  </property>
  <property fmtid="{D5CDD505-2E9C-101B-9397-08002B2CF9AE}" pid="4" name="KSOTemplateDocerSaveRecord">
    <vt:lpwstr>eyJoZGlkIjoiNDgwODYyOTYxODAxODY3MjJkNGVmOGQ0MTUwZDEyYzYifQ==</vt:lpwstr>
  </property>
</Properties>
</file>