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3F4" w:rsidRDefault="00132590" w:rsidP="00690794">
      <w:pPr>
        <w:pStyle w:val="a5"/>
        <w:spacing w:before="93"/>
        <w:jc w:val="center"/>
        <w:rPr>
          <w:rFonts w:ascii="Times New Roman" w:eastAsia="方正小标宋简体"/>
          <w:kern w:val="2"/>
          <w:sz w:val="44"/>
          <w:szCs w:val="44"/>
        </w:rPr>
      </w:pPr>
      <w:bookmarkStart w:id="0" w:name="_Toc15378441"/>
      <w:bookmarkStart w:id="1" w:name="_Toc15396475"/>
      <w:bookmarkStart w:id="2" w:name="_Toc15377425"/>
      <w:bookmarkStart w:id="3" w:name="_Toc15377193"/>
      <w:bookmarkStart w:id="4" w:name="_Toc15396597"/>
      <w:bookmarkStart w:id="5" w:name="_Toc15306267"/>
      <w:r>
        <w:rPr>
          <w:rFonts w:ascii="Times New Roman" w:eastAsia="方正小标宋简体" w:hint="eastAsia"/>
          <w:kern w:val="2"/>
          <w:sz w:val="44"/>
          <w:szCs w:val="44"/>
        </w:rPr>
        <w:t>2025</w:t>
      </w:r>
      <w:r>
        <w:rPr>
          <w:rFonts w:ascii="Times New Roman" w:eastAsia="方正小标宋简体" w:hint="eastAsia"/>
          <w:kern w:val="2"/>
          <w:sz w:val="44"/>
          <w:szCs w:val="44"/>
        </w:rPr>
        <w:t>年度</w:t>
      </w:r>
      <w:r w:rsidR="00690794">
        <w:rPr>
          <w:rFonts w:ascii="Times New Roman" w:eastAsia="方正小标宋简体" w:hint="eastAsia"/>
          <w:kern w:val="2"/>
          <w:sz w:val="44"/>
          <w:szCs w:val="44"/>
        </w:rPr>
        <w:t>红原县中学</w:t>
      </w:r>
      <w:r>
        <w:rPr>
          <w:rFonts w:ascii="Times New Roman" w:eastAsia="方正小标宋简体" w:hint="eastAsia"/>
          <w:kern w:val="2"/>
          <w:sz w:val="44"/>
          <w:szCs w:val="44"/>
        </w:rPr>
        <w:t>决算</w:t>
      </w:r>
    </w:p>
    <w:p w:rsidR="008073F4" w:rsidRPr="00690794" w:rsidRDefault="00132590" w:rsidP="00690794">
      <w:pPr>
        <w:pStyle w:val="a5"/>
        <w:spacing w:before="93"/>
        <w:jc w:val="center"/>
        <w:rPr>
          <w:rFonts w:ascii="Times New Roman" w:eastAsia="方正小标宋简体"/>
          <w:kern w:val="2"/>
          <w:sz w:val="44"/>
          <w:szCs w:val="44"/>
        </w:rPr>
        <w:sectPr w:rsidR="008073F4" w:rsidRPr="00690794">
          <w:headerReference w:type="default" r:id="rId8"/>
          <w:footerReference w:type="default" r:id="rId9"/>
          <w:pgSz w:w="11906" w:h="16838"/>
          <w:pgMar w:top="1440" w:right="1800" w:bottom="1440" w:left="1800" w:header="851" w:footer="992" w:gutter="0"/>
          <w:pgNumType w:start="1"/>
          <w:cols w:space="425"/>
          <w:titlePg/>
          <w:docGrid w:type="lines" w:linePitch="312"/>
        </w:sectPr>
      </w:pPr>
      <w:r>
        <w:rPr>
          <w:rFonts w:ascii="Times New Roman" w:eastAsia="方正小标宋简体" w:hint="eastAsia"/>
          <w:kern w:val="2"/>
          <w:sz w:val="44"/>
          <w:szCs w:val="44"/>
        </w:rPr>
        <w:t>公开</w:t>
      </w:r>
      <w:r>
        <w:rPr>
          <w:rFonts w:ascii="Times New Roman" w:eastAsia="方正小标宋简体" w:hint="eastAsia"/>
          <w:kern w:val="2"/>
          <w:sz w:val="44"/>
          <w:szCs w:val="44"/>
        </w:rPr>
        <w:t>说明</w:t>
      </w:r>
    </w:p>
    <w:p w:rsidR="008073F4" w:rsidRDefault="008073F4" w:rsidP="00690794">
      <w:pPr>
        <w:pStyle w:val="a5"/>
        <w:spacing w:before="93"/>
        <w:rPr>
          <w:rFonts w:ascii="Times New Roman" w:eastAsia="方正小标宋简体"/>
          <w:kern w:val="2"/>
          <w:sz w:val="44"/>
          <w:szCs w:val="44"/>
        </w:rPr>
      </w:pPr>
    </w:p>
    <w:p w:rsidR="008073F4" w:rsidRDefault="00132590" w:rsidP="00690794">
      <w:pPr>
        <w:pStyle w:val="a5"/>
        <w:spacing w:before="93"/>
        <w:jc w:val="center"/>
        <w:rPr>
          <w:rFonts w:ascii="Times New Roman" w:eastAsia="方正小标宋简体"/>
          <w:kern w:val="2"/>
          <w:sz w:val="44"/>
          <w:szCs w:val="44"/>
        </w:rPr>
      </w:pPr>
      <w:bookmarkStart w:id="6" w:name="_Toc15378442"/>
      <w:bookmarkStart w:id="7" w:name="_Toc15396598"/>
      <w:bookmarkStart w:id="8" w:name="_Toc15377426"/>
      <w:bookmarkStart w:id="9" w:name="_Toc15396476"/>
      <w:bookmarkStart w:id="10" w:name="_Toc15377194"/>
      <w:bookmarkEnd w:id="0"/>
      <w:bookmarkEnd w:id="1"/>
      <w:bookmarkEnd w:id="2"/>
      <w:bookmarkEnd w:id="3"/>
      <w:bookmarkEnd w:id="4"/>
      <w:r>
        <w:rPr>
          <w:rFonts w:ascii="Times New Roman" w:eastAsia="方正小标宋简体" w:hint="eastAsia"/>
          <w:kern w:val="2"/>
          <w:sz w:val="44"/>
          <w:szCs w:val="44"/>
        </w:rPr>
        <w:t>2025</w:t>
      </w:r>
      <w:r>
        <w:rPr>
          <w:rFonts w:ascii="Times New Roman" w:eastAsia="方正小标宋简体" w:hint="eastAsia"/>
          <w:kern w:val="2"/>
          <w:sz w:val="44"/>
          <w:szCs w:val="44"/>
        </w:rPr>
        <w:t>年度</w:t>
      </w:r>
      <w:r>
        <w:rPr>
          <w:rFonts w:ascii="Times New Roman" w:eastAsia="方正小标宋简体" w:hint="eastAsia"/>
          <w:kern w:val="2"/>
          <w:sz w:val="44"/>
          <w:szCs w:val="44"/>
        </w:rPr>
        <w:t>四川省</w:t>
      </w:r>
      <w:bookmarkStart w:id="11" w:name="_Toc15306268"/>
      <w:bookmarkEnd w:id="5"/>
      <w:r w:rsidR="00690794">
        <w:rPr>
          <w:rFonts w:ascii="Times New Roman" w:eastAsia="方正小标宋简体" w:hint="eastAsia"/>
          <w:kern w:val="2"/>
          <w:sz w:val="44"/>
          <w:szCs w:val="44"/>
        </w:rPr>
        <w:t>红原县</w:t>
      </w:r>
      <w:r>
        <w:rPr>
          <w:rFonts w:ascii="Times New Roman" w:eastAsia="方正小标宋简体" w:hint="eastAsia"/>
          <w:kern w:val="2"/>
          <w:sz w:val="44"/>
          <w:szCs w:val="44"/>
        </w:rPr>
        <w:t>决算</w:t>
      </w:r>
      <w:bookmarkEnd w:id="6"/>
      <w:bookmarkEnd w:id="7"/>
      <w:bookmarkEnd w:id="8"/>
      <w:bookmarkEnd w:id="9"/>
      <w:bookmarkEnd w:id="10"/>
      <w:bookmarkEnd w:id="11"/>
    </w:p>
    <w:p w:rsidR="008073F4" w:rsidRDefault="008073F4" w:rsidP="00690794">
      <w:pPr>
        <w:widowControl/>
        <w:rPr>
          <w:rFonts w:eastAsia="黑体"/>
          <w:sz w:val="48"/>
          <w:szCs w:val="48"/>
        </w:rPr>
        <w:sectPr w:rsidR="008073F4">
          <w:footerReference w:type="default" r:id="rId10"/>
          <w:footerReference w:type="first" r:id="rId11"/>
          <w:pgSz w:w="11906" w:h="16838"/>
          <w:pgMar w:top="1440" w:right="1800" w:bottom="1440" w:left="1800" w:header="851" w:footer="992" w:gutter="0"/>
          <w:pgNumType w:start="1"/>
          <w:cols w:space="425"/>
          <w:titlePg/>
          <w:docGrid w:type="lines" w:linePitch="312"/>
        </w:sectPr>
      </w:pPr>
    </w:p>
    <w:p w:rsidR="008073F4" w:rsidRDefault="00132590" w:rsidP="00690794">
      <w:pPr>
        <w:widowControl/>
        <w:jc w:val="center"/>
        <w:rPr>
          <w:rFonts w:eastAsia="黑体"/>
          <w:sz w:val="48"/>
          <w:szCs w:val="48"/>
        </w:rPr>
      </w:pPr>
      <w:r>
        <w:rPr>
          <w:rFonts w:eastAsia="黑体" w:hint="eastAsia"/>
          <w:sz w:val="48"/>
          <w:szCs w:val="48"/>
        </w:rPr>
        <w:lastRenderedPageBreak/>
        <w:t>目录</w:t>
      </w:r>
    </w:p>
    <w:p w:rsidR="008073F4" w:rsidRDefault="008073F4">
      <w:pPr>
        <w:widowControl/>
        <w:jc w:val="center"/>
        <w:rPr>
          <w:rFonts w:eastAsia="黑体" w:cstheme="minorBidi"/>
          <w:sz w:val="28"/>
          <w:szCs w:val="28"/>
        </w:rPr>
      </w:pPr>
    </w:p>
    <w:p w:rsidR="008073F4" w:rsidRDefault="00132590">
      <w:pPr>
        <w:pStyle w:val="10"/>
        <w:rPr>
          <w:rFonts w:ascii="Times New Roman" w:eastAsia="仿宋_GB2312" w:hAnsi="Times New Roman" w:cs="仿宋_GB2312"/>
          <w:sz w:val="32"/>
          <w:szCs w:val="32"/>
        </w:rPr>
      </w:pPr>
      <w:r>
        <w:rPr>
          <w:rFonts w:ascii="Times New Roman" w:eastAsia="仿宋_GB2312" w:hAnsi="Times New Roman" w:cs="仿宋_GB2312" w:hint="eastAsia"/>
          <w:sz w:val="32"/>
          <w:szCs w:val="32"/>
        </w:rPr>
        <w:t>公开时间：</w:t>
      </w:r>
      <w:r>
        <w:rPr>
          <w:rFonts w:ascii="Times New Roman" w:eastAsia="仿宋_GB2312" w:hAnsi="Times New Roman" w:cs="仿宋_GB2312" w:hint="eastAsia"/>
          <w:sz w:val="32"/>
          <w:szCs w:val="32"/>
        </w:rPr>
        <w:t>20</w:t>
      </w:r>
      <w:r>
        <w:rPr>
          <w:rFonts w:ascii="Times New Roman" w:eastAsia="仿宋_GB2312" w:hAnsi="Times New Roman" w:cs="仿宋_GB2312" w:hint="eastAsia"/>
          <w:sz w:val="32"/>
          <w:szCs w:val="32"/>
        </w:rPr>
        <w:t>26</w:t>
      </w:r>
      <w:r>
        <w:rPr>
          <w:rFonts w:ascii="Times New Roman" w:eastAsia="仿宋_GB2312" w:hAnsi="Times New Roman" w:cs="仿宋_GB2312" w:hint="eastAsia"/>
          <w:sz w:val="32"/>
          <w:szCs w:val="32"/>
        </w:rPr>
        <w:t>年</w:t>
      </w:r>
      <w:r w:rsidR="00690794">
        <w:rPr>
          <w:rFonts w:ascii="Times New Roman" w:eastAsia="仿宋_GB2312" w:hAnsi="Times New Roman" w:cs="仿宋_GB2312" w:hint="eastAsia"/>
          <w:sz w:val="32"/>
          <w:szCs w:val="32"/>
        </w:rPr>
        <w:t>10</w:t>
      </w:r>
      <w:r>
        <w:rPr>
          <w:rFonts w:ascii="Times New Roman" w:eastAsia="仿宋_GB2312" w:hAnsi="Times New Roman" w:cs="仿宋_GB2312" w:hint="eastAsia"/>
          <w:sz w:val="32"/>
          <w:szCs w:val="32"/>
        </w:rPr>
        <w:t>月</w:t>
      </w:r>
      <w:r w:rsidR="00690794">
        <w:rPr>
          <w:rFonts w:ascii="Times New Roman" w:eastAsia="仿宋_GB2312" w:hAnsi="Times New Roman" w:cs="仿宋_GB2312" w:hint="eastAsia"/>
          <w:sz w:val="32"/>
          <w:szCs w:val="32"/>
        </w:rPr>
        <w:t>27</w:t>
      </w:r>
      <w:r>
        <w:rPr>
          <w:rFonts w:ascii="Times New Roman" w:eastAsia="仿宋_GB2312" w:hAnsi="Times New Roman" w:cs="仿宋_GB2312" w:hint="eastAsia"/>
          <w:sz w:val="32"/>
          <w:szCs w:val="32"/>
        </w:rPr>
        <w:t>日</w:t>
      </w:r>
    </w:p>
    <w:p w:rsidR="008073F4" w:rsidRDefault="008073F4"/>
    <w:p w:rsidR="008073F4" w:rsidRDefault="00132590">
      <w:pPr>
        <w:pStyle w:val="10"/>
        <w:adjustRightInd w:val="0"/>
        <w:snapToGrid w:val="0"/>
        <w:spacing w:before="0" w:line="560" w:lineRule="exact"/>
        <w:jc w:val="left"/>
        <w:rPr>
          <w:rFonts w:ascii="Times New Roman" w:eastAsia="黑体" w:hAnsi="Times New Roman" w:cs="黑体"/>
          <w:sz w:val="32"/>
          <w:szCs w:val="32"/>
        </w:rPr>
      </w:pPr>
      <w:r>
        <w:rPr>
          <w:rFonts w:ascii="Times New Roman" w:eastAsia="黑体" w:hAnsi="Times New Roman" w:cs="黑体" w:hint="eastAsia"/>
          <w:sz w:val="32"/>
          <w:szCs w:val="32"/>
        </w:rPr>
        <w:t>第一部分</w:t>
      </w:r>
      <w:r>
        <w:rPr>
          <w:rFonts w:ascii="Times New Roman" w:eastAsia="黑体" w:hAnsi="Times New Roman" w:cs="黑体" w:hint="eastAsia"/>
          <w:sz w:val="32"/>
          <w:szCs w:val="32"/>
        </w:rPr>
        <w:t xml:space="preserve"> </w:t>
      </w:r>
      <w:r>
        <w:rPr>
          <w:rFonts w:ascii="Times New Roman" w:eastAsia="黑体" w:hAnsi="Times New Roman" w:cs="黑体" w:hint="eastAsia"/>
          <w:sz w:val="32"/>
          <w:szCs w:val="32"/>
        </w:rPr>
        <w:t>部门概况</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一、</w:t>
      </w:r>
      <w:r>
        <w:rPr>
          <w:rFonts w:eastAsia="仿宋_GB2312" w:cs="仿宋_GB2312" w:hint="eastAsia"/>
          <w:sz w:val="32"/>
          <w:szCs w:val="32"/>
        </w:rPr>
        <w:t>部门职责</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二、机构设置</w:t>
      </w:r>
    </w:p>
    <w:p w:rsidR="008073F4" w:rsidRDefault="00132590">
      <w:pPr>
        <w:pStyle w:val="10"/>
        <w:adjustRightInd w:val="0"/>
        <w:snapToGrid w:val="0"/>
        <w:spacing w:before="0" w:line="560" w:lineRule="exact"/>
        <w:jc w:val="left"/>
        <w:rPr>
          <w:rFonts w:ascii="Times New Roman" w:eastAsia="黑体" w:hAnsi="Times New Roman" w:cs="黑体"/>
          <w:sz w:val="32"/>
          <w:szCs w:val="32"/>
        </w:rPr>
      </w:pPr>
      <w:r>
        <w:rPr>
          <w:rFonts w:ascii="Times New Roman" w:eastAsia="黑体" w:hAnsi="Times New Roman" w:cs="黑体" w:hint="eastAsia"/>
          <w:sz w:val="32"/>
          <w:szCs w:val="32"/>
        </w:rPr>
        <w:t>第二部分</w:t>
      </w:r>
      <w:r>
        <w:rPr>
          <w:rFonts w:ascii="Times New Roman" w:eastAsia="黑体" w:hAnsi="Times New Roman" w:cs="黑体" w:hint="eastAsia"/>
          <w:sz w:val="32"/>
          <w:szCs w:val="32"/>
        </w:rPr>
        <w:t xml:space="preserve"> 2025</w:t>
      </w:r>
      <w:r>
        <w:rPr>
          <w:rFonts w:ascii="Times New Roman" w:eastAsia="黑体" w:hAnsi="Times New Roman" w:cs="黑体" w:hint="eastAsia"/>
          <w:sz w:val="32"/>
          <w:szCs w:val="32"/>
        </w:rPr>
        <w:t>年度</w:t>
      </w:r>
      <w:r>
        <w:rPr>
          <w:rFonts w:ascii="Times New Roman" w:eastAsia="黑体" w:hAnsi="Times New Roman" w:cs="黑体" w:hint="eastAsia"/>
          <w:sz w:val="32"/>
          <w:szCs w:val="32"/>
        </w:rPr>
        <w:t>部门决算情况说明</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一、收入支出决算总体情况说明</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二、收入决算情况说明</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三、支出决算情况说明</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四、财政拨款收入支出决算总体情况说明</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五、一般公共预算财政拨款支出决算情况说明</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六、一般公共预算财政拨款基本支出决算情况说明</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七、财政拨款</w:t>
      </w:r>
      <w:r>
        <w:rPr>
          <w:rFonts w:eastAsia="仿宋_GB2312" w:cs="仿宋_GB2312" w:hint="eastAsia"/>
          <w:sz w:val="32"/>
          <w:szCs w:val="32"/>
        </w:rPr>
        <w:t>“</w:t>
      </w:r>
      <w:r>
        <w:rPr>
          <w:rFonts w:eastAsia="仿宋_GB2312" w:cs="仿宋_GB2312" w:hint="eastAsia"/>
          <w:sz w:val="32"/>
          <w:szCs w:val="32"/>
        </w:rPr>
        <w:t>三公”经费支出决算情况说明</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八、政府性基金预算支出决算情况说明</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九、</w:t>
      </w:r>
      <w:r>
        <w:rPr>
          <w:rFonts w:eastAsia="仿宋_GB2312" w:cs="仿宋_GB2312" w:hint="eastAsia"/>
          <w:sz w:val="32"/>
          <w:szCs w:val="32"/>
        </w:rPr>
        <w:t>国</w:t>
      </w:r>
      <w:r>
        <w:rPr>
          <w:rFonts w:eastAsia="仿宋_GB2312" w:cs="仿宋_GB2312" w:hint="eastAsia"/>
          <w:sz w:val="32"/>
          <w:szCs w:val="32"/>
        </w:rPr>
        <w:t>有资本经营预算支出决算情况说明</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十</w:t>
      </w:r>
      <w:r>
        <w:rPr>
          <w:rFonts w:eastAsia="仿宋_GB2312" w:cs="仿宋_GB2312" w:hint="eastAsia"/>
          <w:sz w:val="32"/>
          <w:szCs w:val="32"/>
        </w:rPr>
        <w:t>、其他重要事项的情况说明</w:t>
      </w:r>
    </w:p>
    <w:p w:rsidR="008073F4" w:rsidRDefault="00132590">
      <w:pPr>
        <w:pStyle w:val="10"/>
        <w:adjustRightInd w:val="0"/>
        <w:snapToGrid w:val="0"/>
        <w:spacing w:before="0" w:line="560" w:lineRule="exact"/>
        <w:jc w:val="left"/>
        <w:rPr>
          <w:rFonts w:ascii="Times New Roman" w:eastAsia="黑体" w:hAnsi="Times New Roman" w:cs="黑体"/>
          <w:sz w:val="32"/>
          <w:szCs w:val="32"/>
        </w:rPr>
      </w:pPr>
      <w:r>
        <w:rPr>
          <w:rFonts w:ascii="Times New Roman" w:eastAsia="黑体" w:hAnsi="Times New Roman" w:cs="黑体" w:hint="eastAsia"/>
          <w:sz w:val="32"/>
          <w:szCs w:val="32"/>
        </w:rPr>
        <w:t>第三部分</w:t>
      </w:r>
      <w:r>
        <w:rPr>
          <w:rFonts w:ascii="Times New Roman" w:eastAsia="黑体" w:hAnsi="Times New Roman" w:cs="黑体" w:hint="eastAsia"/>
          <w:sz w:val="32"/>
          <w:szCs w:val="32"/>
        </w:rPr>
        <w:t xml:space="preserve"> </w:t>
      </w:r>
      <w:r>
        <w:rPr>
          <w:rFonts w:ascii="Times New Roman" w:eastAsia="黑体" w:hAnsi="Times New Roman" w:cs="黑体" w:hint="eastAsia"/>
          <w:sz w:val="32"/>
          <w:szCs w:val="32"/>
        </w:rPr>
        <w:t>名词解释</w:t>
      </w:r>
    </w:p>
    <w:p w:rsidR="008073F4" w:rsidRDefault="00132590">
      <w:pPr>
        <w:pStyle w:val="10"/>
        <w:adjustRightInd w:val="0"/>
        <w:snapToGrid w:val="0"/>
        <w:spacing w:before="0" w:line="560" w:lineRule="exact"/>
        <w:jc w:val="left"/>
        <w:rPr>
          <w:rFonts w:ascii="Times New Roman" w:eastAsia="黑体" w:hAnsi="Times New Roman" w:cs="黑体"/>
          <w:sz w:val="32"/>
          <w:szCs w:val="32"/>
        </w:rPr>
      </w:pPr>
      <w:r>
        <w:rPr>
          <w:rFonts w:ascii="Times New Roman" w:eastAsia="黑体" w:hAnsi="Times New Roman" w:cs="黑体" w:hint="eastAsia"/>
          <w:sz w:val="32"/>
          <w:szCs w:val="32"/>
        </w:rPr>
        <w:t>第四部分</w:t>
      </w:r>
      <w:r>
        <w:rPr>
          <w:rFonts w:ascii="Times New Roman" w:eastAsia="黑体" w:hAnsi="Times New Roman" w:cs="黑体" w:hint="eastAsia"/>
          <w:sz w:val="32"/>
          <w:szCs w:val="32"/>
        </w:rPr>
        <w:t xml:space="preserve"> </w:t>
      </w:r>
      <w:r>
        <w:rPr>
          <w:rFonts w:ascii="Times New Roman" w:eastAsia="黑体" w:hAnsi="Times New Roman" w:cs="黑体" w:hint="eastAsia"/>
          <w:sz w:val="32"/>
          <w:szCs w:val="32"/>
        </w:rPr>
        <w:t>附件</w:t>
      </w:r>
    </w:p>
    <w:p w:rsidR="008073F4" w:rsidRDefault="00132590">
      <w:pPr>
        <w:pStyle w:val="10"/>
        <w:adjustRightInd w:val="0"/>
        <w:snapToGrid w:val="0"/>
        <w:spacing w:before="0" w:line="560" w:lineRule="exact"/>
        <w:jc w:val="left"/>
        <w:rPr>
          <w:rFonts w:ascii="Times New Roman" w:eastAsia="黑体" w:hAnsi="Times New Roman" w:cs="黑体"/>
          <w:sz w:val="32"/>
          <w:szCs w:val="32"/>
        </w:rPr>
      </w:pPr>
      <w:r>
        <w:rPr>
          <w:rFonts w:ascii="Times New Roman" w:eastAsia="黑体" w:hAnsi="Times New Roman" w:cs="黑体" w:hint="eastAsia"/>
          <w:sz w:val="32"/>
          <w:szCs w:val="32"/>
        </w:rPr>
        <w:t>第五部分</w:t>
      </w:r>
      <w:r>
        <w:rPr>
          <w:rFonts w:ascii="Times New Roman" w:eastAsia="黑体" w:hAnsi="Times New Roman" w:cs="黑体" w:hint="eastAsia"/>
          <w:sz w:val="32"/>
          <w:szCs w:val="32"/>
        </w:rPr>
        <w:t xml:space="preserve"> </w:t>
      </w:r>
      <w:r>
        <w:rPr>
          <w:rFonts w:ascii="Times New Roman" w:eastAsia="黑体" w:hAnsi="Times New Roman" w:cs="黑体" w:hint="eastAsia"/>
          <w:sz w:val="32"/>
          <w:szCs w:val="32"/>
        </w:rPr>
        <w:t>附表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一、收入支出决算总表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二、收入决算表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三、支出决算表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lastRenderedPageBreak/>
        <w:t>四、财政拨款收入支出决算总表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五、财政拨款支出决算明细表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六、一般公共预算财政拨款支出决算表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七、一般公共预算财政拨款支出决算明细表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八、一般公共预算财政拨款基本支出决算</w:t>
      </w:r>
      <w:r>
        <w:rPr>
          <w:rFonts w:eastAsia="仿宋_GB2312" w:cs="仿宋_GB2312" w:hint="eastAsia"/>
          <w:sz w:val="32"/>
          <w:szCs w:val="32"/>
        </w:rPr>
        <w:t>明细</w:t>
      </w:r>
      <w:r>
        <w:rPr>
          <w:rFonts w:eastAsia="仿宋_GB2312" w:cs="仿宋_GB2312" w:hint="eastAsia"/>
          <w:sz w:val="32"/>
          <w:szCs w:val="32"/>
        </w:rPr>
        <w:t>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九、一般公共预算财政拨款项目支出决算表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十、政府性基金预算财政拨款收入支出决算表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十一、国有资本经营预算财政拨款收入支出决算表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十二、</w:t>
      </w:r>
      <w:r>
        <w:rPr>
          <w:rFonts w:eastAsia="仿宋_GB2312" w:cs="仿宋_GB2312" w:hint="eastAsia"/>
          <w:sz w:val="32"/>
          <w:szCs w:val="32"/>
        </w:rPr>
        <w:t>国有资本经营预算财政拨款支出决算表</w:t>
      </w:r>
    </w:p>
    <w:p w:rsidR="008073F4" w:rsidRDefault="00132590">
      <w:pPr>
        <w:pStyle w:val="21"/>
        <w:adjustRightInd w:val="0"/>
        <w:snapToGrid w:val="0"/>
        <w:spacing w:line="560" w:lineRule="exact"/>
        <w:ind w:leftChars="0" w:left="0" w:firstLineChars="200" w:firstLine="640"/>
        <w:jc w:val="left"/>
        <w:rPr>
          <w:rFonts w:eastAsia="仿宋_GB2312" w:cs="仿宋_GB2312"/>
          <w:sz w:val="32"/>
          <w:szCs w:val="32"/>
        </w:rPr>
      </w:pPr>
      <w:r>
        <w:rPr>
          <w:rFonts w:eastAsia="仿宋_GB2312" w:cs="仿宋_GB2312" w:hint="eastAsia"/>
          <w:sz w:val="32"/>
          <w:szCs w:val="32"/>
        </w:rPr>
        <w:t>十三、财政拨款“三公”经费支出决算表</w:t>
      </w:r>
    </w:p>
    <w:p w:rsidR="008073F4" w:rsidRDefault="00132590" w:rsidP="00690794">
      <w:pPr>
        <w:pStyle w:val="21"/>
        <w:adjustRightInd w:val="0"/>
        <w:snapToGrid w:val="0"/>
        <w:spacing w:line="560" w:lineRule="exact"/>
        <w:ind w:leftChars="0" w:left="0" w:firstLineChars="200" w:firstLine="640"/>
        <w:jc w:val="left"/>
        <w:rPr>
          <w:rFonts w:eastAsia="仿宋_GB2312" w:cs="仿宋_GB2312"/>
          <w:b/>
          <w:bCs/>
          <w:sz w:val="32"/>
          <w:szCs w:val="32"/>
        </w:rPr>
      </w:pPr>
      <w:r>
        <w:rPr>
          <w:rFonts w:eastAsia="仿宋_GB2312" w:cs="仿宋_GB2312" w:hint="eastAsia"/>
          <w:b/>
          <w:bCs/>
          <w:sz w:val="32"/>
          <w:szCs w:val="32"/>
        </w:rPr>
        <w:t>（</w:t>
      </w:r>
      <w:r>
        <w:rPr>
          <w:rFonts w:eastAsia="仿宋_GB2312" w:cs="仿宋_GB2312" w:hint="eastAsia"/>
          <w:b/>
          <w:bCs/>
          <w:sz w:val="32"/>
          <w:szCs w:val="32"/>
        </w:rPr>
        <w:t>注：请部门根据实际注明页码</w:t>
      </w:r>
      <w:r>
        <w:rPr>
          <w:rFonts w:eastAsia="仿宋_GB2312" w:cs="仿宋_GB2312" w:hint="eastAsia"/>
          <w:b/>
          <w:bCs/>
          <w:sz w:val="32"/>
          <w:szCs w:val="32"/>
        </w:rPr>
        <w:t>）</w:t>
      </w:r>
    </w:p>
    <w:p w:rsidR="008073F4" w:rsidRDefault="00132590">
      <w:pPr>
        <w:widowControl/>
        <w:spacing w:line="560" w:lineRule="exact"/>
        <w:jc w:val="left"/>
        <w:rPr>
          <w:rFonts w:eastAsia="仿宋_GB2312" w:cs="仿宋_GB2312"/>
          <w:bCs/>
          <w:kern w:val="44"/>
          <w:sz w:val="32"/>
          <w:szCs w:val="32"/>
        </w:rPr>
      </w:pPr>
      <w:bookmarkStart w:id="12" w:name="_Toc15396599"/>
      <w:bookmarkStart w:id="13" w:name="_Toc15377196"/>
      <w:r>
        <w:rPr>
          <w:rFonts w:eastAsia="仿宋_GB2312" w:cs="仿宋_GB2312" w:hint="eastAsia"/>
          <w:b/>
          <w:sz w:val="32"/>
          <w:szCs w:val="32"/>
        </w:rPr>
        <w:br w:type="page"/>
      </w:r>
    </w:p>
    <w:p w:rsidR="008073F4" w:rsidRDefault="00132590">
      <w:pPr>
        <w:pStyle w:val="1"/>
        <w:jc w:val="center"/>
        <w:rPr>
          <w:rStyle w:val="1Char"/>
          <w:rFonts w:eastAsia="方正小标宋简体" w:cs="方正小标宋简体"/>
          <w:b/>
        </w:rPr>
      </w:pPr>
      <w:r>
        <w:rPr>
          <w:rFonts w:eastAsia="方正小标宋简体" w:cs="方正小标宋简体" w:hint="eastAsia"/>
          <w:b w:val="0"/>
        </w:rPr>
        <w:lastRenderedPageBreak/>
        <w:t>第一部分</w:t>
      </w:r>
      <w:r>
        <w:rPr>
          <w:rFonts w:eastAsia="方正小标宋简体" w:cs="方正小标宋简体" w:hint="eastAsia"/>
          <w:b w:val="0"/>
        </w:rPr>
        <w:t xml:space="preserve"> </w:t>
      </w:r>
      <w:r>
        <w:rPr>
          <w:rFonts w:eastAsia="方正小标宋简体" w:cs="方正小标宋简体" w:hint="eastAsia"/>
          <w:b w:val="0"/>
        </w:rPr>
        <w:t xml:space="preserve"> </w:t>
      </w:r>
      <w:r>
        <w:rPr>
          <w:rStyle w:val="1Char"/>
          <w:rFonts w:eastAsia="方正小标宋简体" w:cs="方正小标宋简体" w:hint="eastAsia"/>
        </w:rPr>
        <w:t>部门概况</w:t>
      </w:r>
      <w:bookmarkEnd w:id="12"/>
      <w:bookmarkEnd w:id="13"/>
    </w:p>
    <w:p w:rsidR="008073F4" w:rsidRDefault="008073F4">
      <w:pPr>
        <w:widowControl/>
        <w:jc w:val="left"/>
        <w:rPr>
          <w:rFonts w:eastAsia="黑体"/>
          <w:sz w:val="32"/>
          <w:szCs w:val="32"/>
        </w:rPr>
      </w:pPr>
    </w:p>
    <w:p w:rsidR="008073F4" w:rsidRDefault="00132590" w:rsidP="00690794">
      <w:pPr>
        <w:pStyle w:val="2"/>
        <w:numPr>
          <w:ilvl w:val="0"/>
          <w:numId w:val="2"/>
        </w:numPr>
        <w:rPr>
          <w:rFonts w:ascii="Times New Roman" w:eastAsia="黑体" w:hAnsi="Times New Roman" w:hint="eastAsia"/>
          <w:b w:val="0"/>
        </w:rPr>
      </w:pPr>
      <w:r>
        <w:rPr>
          <w:rFonts w:ascii="Times New Roman" w:eastAsia="黑体" w:hAnsi="Times New Roman" w:hint="eastAsia"/>
          <w:b w:val="0"/>
        </w:rPr>
        <w:t>部门职责</w:t>
      </w:r>
    </w:p>
    <w:p w:rsidR="00690794" w:rsidRDefault="00690794" w:rsidP="00690794">
      <w:pPr>
        <w:snapToGrid w:val="0"/>
        <w:spacing w:line="520" w:lineRule="exact"/>
        <w:ind w:firstLineChars="200" w:firstLine="640"/>
        <w:rPr>
          <w:rFonts w:ascii="仿宋_GB2312" w:eastAsia="仿宋_GB2312" w:hAnsi="仿宋" w:hint="eastAsia"/>
          <w:sz w:val="32"/>
          <w:szCs w:val="32"/>
        </w:rPr>
      </w:pPr>
      <w:bookmarkStart w:id="14" w:name="_Toc15377204"/>
      <w:bookmarkStart w:id="15" w:name="_Toc15396602"/>
      <w:r>
        <w:rPr>
          <w:rFonts w:ascii="仿宋_GB2312" w:eastAsia="仿宋_GB2312" w:hAnsi="仿宋" w:hint="eastAsia"/>
          <w:sz w:val="32"/>
          <w:szCs w:val="32"/>
        </w:rPr>
        <w:t>1．主要职能。</w:t>
      </w:r>
    </w:p>
    <w:p w:rsidR="00690794" w:rsidRDefault="00690794" w:rsidP="00690794">
      <w:pPr>
        <w:snapToGrid w:val="0"/>
        <w:ind w:firstLineChars="200" w:firstLine="640"/>
        <w:rPr>
          <w:rFonts w:ascii="仿宋_GB2312" w:eastAsia="仿宋_GB2312" w:hAnsi="仿宋" w:hint="eastAsia"/>
          <w:sz w:val="32"/>
          <w:szCs w:val="32"/>
        </w:rPr>
      </w:pPr>
      <w:r>
        <w:rPr>
          <w:rFonts w:ascii="仿宋_GB2312" w:eastAsia="仿宋_GB2312" w:hAnsi="仿宋" w:hint="eastAsia"/>
          <w:sz w:val="32"/>
          <w:szCs w:val="32"/>
        </w:rPr>
        <w:t>红原县中学校是一所公办全日制完全中学，学制：初中三年、高中三年。其宗旨和业务范围是“实施高中学历教育和初中义务教育，促进基础教育发展，高中学历教育、初中义务教育及相关社会服务。” 培养目标为：培养具有良好道德素质，扎实的基础理论，健康的心理素质，健全的人格素养，扎实的基础理论，健康的心理素质，健全的人格素养，全面发展的社会主义现代化建设者和接班人。</w:t>
      </w:r>
      <w:r>
        <w:rPr>
          <w:rFonts w:ascii="仿宋_GB2312" w:eastAsia="仿宋_GB2312" w:hAnsi="仿宋" w:hint="eastAsia"/>
          <w:sz w:val="32"/>
          <w:szCs w:val="32"/>
        </w:rPr>
        <w:t> </w:t>
      </w:r>
    </w:p>
    <w:p w:rsidR="00690794" w:rsidRDefault="00690794" w:rsidP="00690794">
      <w:pPr>
        <w:numPr>
          <w:ilvl w:val="0"/>
          <w:numId w:val="3"/>
        </w:num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机构情况。</w:t>
      </w:r>
    </w:p>
    <w:p w:rsidR="00690794" w:rsidRDefault="00690794" w:rsidP="00690794">
      <w:pPr>
        <w:snapToGrid w:val="0"/>
        <w:ind w:firstLineChars="200" w:firstLine="640"/>
        <w:rPr>
          <w:rFonts w:ascii="仿宋_GB2312" w:eastAsia="仿宋_GB2312" w:hAnsi="仿宋" w:hint="eastAsia"/>
          <w:sz w:val="32"/>
          <w:szCs w:val="32"/>
        </w:rPr>
      </w:pPr>
      <w:r>
        <w:rPr>
          <w:rFonts w:ascii="仿宋_GB2312" w:eastAsia="仿宋_GB2312" w:hAnsi="仿宋" w:hint="eastAsia"/>
          <w:sz w:val="32"/>
          <w:szCs w:val="32"/>
        </w:rPr>
        <w:t>本单位本年度纳入本套决算编制范围的独立编制机构数共1个，比上年增加0个，独立核算机构数共1个，比上年增加0个。</w:t>
      </w:r>
    </w:p>
    <w:p w:rsidR="00690794" w:rsidRDefault="00690794" w:rsidP="00690794">
      <w:pPr>
        <w:numPr>
          <w:ilvl w:val="0"/>
          <w:numId w:val="3"/>
        </w:num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人员情况。</w:t>
      </w:r>
    </w:p>
    <w:p w:rsidR="00690794" w:rsidRDefault="00690794" w:rsidP="00690794">
      <w:pPr>
        <w:snapToGrid w:val="0"/>
        <w:ind w:firstLineChars="200" w:firstLine="640"/>
        <w:rPr>
          <w:rFonts w:ascii="仿宋_GB2312" w:eastAsia="仿宋_GB2312" w:hAnsi="仿宋" w:hint="eastAsia"/>
          <w:sz w:val="32"/>
          <w:szCs w:val="32"/>
        </w:rPr>
      </w:pPr>
      <w:r>
        <w:rPr>
          <w:rFonts w:ascii="仿宋_GB2312" w:eastAsia="仿宋_GB2312" w:hAnsi="仿宋" w:hint="eastAsia"/>
          <w:sz w:val="32"/>
          <w:szCs w:val="32"/>
        </w:rPr>
        <w:t>本单位本年度年末实有人数为122人，比上年增加1人；年末实有离退休人数为0人，比上年增加0人。年末实有其他人数为0人，比上年增加0人。</w:t>
      </w:r>
    </w:p>
    <w:p w:rsidR="008073F4" w:rsidRDefault="00132590">
      <w:pPr>
        <w:pStyle w:val="1"/>
        <w:jc w:val="center"/>
        <w:rPr>
          <w:rFonts w:eastAsia="方正小标宋简体" w:cs="方正小标宋简体"/>
          <w:b w:val="0"/>
        </w:rPr>
      </w:pPr>
      <w:r>
        <w:rPr>
          <w:rFonts w:eastAsia="方正小标宋简体" w:cs="方正小标宋简体" w:hint="eastAsia"/>
          <w:b w:val="0"/>
        </w:rPr>
        <w:t>第二部分</w:t>
      </w:r>
      <w:r>
        <w:rPr>
          <w:rFonts w:eastAsia="方正小标宋简体" w:cs="方正小标宋简体" w:hint="eastAsia"/>
          <w:b w:val="0"/>
        </w:rPr>
        <w:t xml:space="preserve"> </w:t>
      </w:r>
      <w:r>
        <w:rPr>
          <w:rFonts w:eastAsia="方正小标宋简体" w:cs="方正小标宋简体" w:hint="eastAsia"/>
          <w:b w:val="0"/>
        </w:rPr>
        <w:t xml:space="preserve"> </w:t>
      </w:r>
      <w:r>
        <w:rPr>
          <w:rFonts w:eastAsia="方正小标宋简体" w:cs="方正小标宋简体" w:hint="eastAsia"/>
          <w:b w:val="0"/>
        </w:rPr>
        <w:t>2025</w:t>
      </w:r>
      <w:r>
        <w:rPr>
          <w:rFonts w:eastAsia="方正小标宋简体" w:cs="方正小标宋简体" w:hint="eastAsia"/>
          <w:b w:val="0"/>
        </w:rPr>
        <w:t>年度</w:t>
      </w:r>
      <w:r>
        <w:rPr>
          <w:rFonts w:eastAsia="方正小标宋简体" w:cs="方正小标宋简体" w:hint="eastAsia"/>
          <w:b w:val="0"/>
        </w:rPr>
        <w:t>部门决算情况说明</w:t>
      </w:r>
      <w:bookmarkEnd w:id="14"/>
      <w:bookmarkEnd w:id="15"/>
    </w:p>
    <w:p w:rsidR="008073F4" w:rsidRDefault="008073F4"/>
    <w:p w:rsidR="00513B7D" w:rsidRDefault="00513B7D" w:rsidP="0058314B">
      <w:pPr>
        <w:widowControl/>
        <w:ind w:firstLineChars="100" w:firstLine="320"/>
        <w:jc w:val="left"/>
        <w:rPr>
          <w:rFonts w:ascii="仿宋_GB2312" w:eastAsia="仿宋_GB2312"/>
          <w:sz w:val="32"/>
          <w:szCs w:val="32"/>
        </w:rPr>
      </w:pPr>
      <w:bookmarkStart w:id="16" w:name="_Toc15377224"/>
      <w:r>
        <w:rPr>
          <w:rFonts w:ascii="仿宋_GB2312" w:eastAsia="仿宋_GB2312" w:hint="eastAsia"/>
          <w:sz w:val="32"/>
          <w:szCs w:val="32"/>
        </w:rPr>
        <w:lastRenderedPageBreak/>
        <w:t>单位2025年度年初预算数收入总计3133.19万元，2024年度年初预算数收入总计3034.12万元，增加99.07万元，增加3.27%。其中2025年度财政拨款收入3133.19万元，2024年度财政拨款收3034.12万元，增加99.07万元，增加3.27%。主要原因是2025年单位新增1人，相关人员、公用经费增加，财政拨款收入增加。</w:t>
      </w:r>
    </w:p>
    <w:p w:rsidR="00513B7D" w:rsidRDefault="00513B7D" w:rsidP="00513B7D">
      <w:pPr>
        <w:pBdr>
          <w:bottom w:val="single" w:sz="4" w:space="31" w:color="FFFFFF"/>
        </w:pBdr>
        <w:autoSpaceDE w:val="0"/>
        <w:spacing w:line="560" w:lineRule="exact"/>
        <w:ind w:firstLineChars="196" w:firstLine="627"/>
        <w:jc w:val="center"/>
        <w:rPr>
          <w:rFonts w:ascii="仿宋_GB2312" w:eastAsia="仿宋_GB2312" w:hAnsi="仿宋" w:hint="eastAsia"/>
          <w:color w:val="000000"/>
          <w:sz w:val="32"/>
          <w:szCs w:val="32"/>
        </w:rPr>
      </w:pPr>
      <w:r>
        <w:rPr>
          <w:rFonts w:ascii="仿宋_GB2312" w:eastAsia="仿宋_GB2312" w:hAnsi="仿宋" w:hint="eastAsia"/>
          <w:color w:val="000000"/>
          <w:sz w:val="32"/>
          <w:szCs w:val="32"/>
        </w:rPr>
        <w:t>2025年与2024年</w:t>
      </w:r>
      <w:r>
        <w:rPr>
          <w:rFonts w:ascii="仿宋_GB2312" w:eastAsia="仿宋_GB2312" w:hint="eastAsia"/>
          <w:sz w:val="32"/>
          <w:szCs w:val="32"/>
        </w:rPr>
        <w:t>年初预算数收入</w:t>
      </w:r>
      <w:r>
        <w:rPr>
          <w:rFonts w:ascii="仿宋_GB2312" w:eastAsia="仿宋_GB2312" w:hAnsi="仿宋" w:hint="eastAsia"/>
          <w:color w:val="000000"/>
          <w:sz w:val="32"/>
          <w:szCs w:val="32"/>
        </w:rPr>
        <w:t>对比表（单位：万元）</w:t>
      </w:r>
    </w:p>
    <w:tbl>
      <w:tblPr>
        <w:tblStyle w:val="ad"/>
        <w:tblpPr w:leftFromText="180" w:rightFromText="180" w:vertAnchor="text" w:horzAnchor="page" w:tblpX="1854" w:tblpY="273"/>
        <w:tblOverlap w:val="never"/>
        <w:tblW w:w="8522" w:type="dxa"/>
        <w:tblInd w:w="0" w:type="dxa"/>
        <w:tblLook w:val="0000"/>
      </w:tblPr>
      <w:tblGrid>
        <w:gridCol w:w="2152"/>
        <w:gridCol w:w="1925"/>
        <w:gridCol w:w="1672"/>
        <w:gridCol w:w="1533"/>
        <w:gridCol w:w="1240"/>
      </w:tblGrid>
      <w:tr w:rsidR="00513B7D" w:rsidTr="004A5558">
        <w:trPr>
          <w:trHeight w:val="90"/>
        </w:trPr>
        <w:tc>
          <w:tcPr>
            <w:tcW w:w="2152" w:type="dxa"/>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项目</w:t>
            </w:r>
          </w:p>
        </w:tc>
        <w:tc>
          <w:tcPr>
            <w:tcW w:w="1925" w:type="dxa"/>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2025年</w:t>
            </w:r>
          </w:p>
        </w:tc>
        <w:tc>
          <w:tcPr>
            <w:tcW w:w="1672" w:type="dxa"/>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2024年</w:t>
            </w:r>
          </w:p>
        </w:tc>
        <w:tc>
          <w:tcPr>
            <w:tcW w:w="1533"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增减值</w:t>
            </w:r>
          </w:p>
        </w:tc>
        <w:tc>
          <w:tcPr>
            <w:tcW w:w="1240"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增减比例</w:t>
            </w:r>
          </w:p>
        </w:tc>
      </w:tr>
      <w:tr w:rsidR="00513B7D" w:rsidTr="004A5558">
        <w:trPr>
          <w:trHeight w:val="585"/>
        </w:trPr>
        <w:tc>
          <w:tcPr>
            <w:tcW w:w="2152" w:type="dxa"/>
            <w:noWrap/>
          </w:tcPr>
          <w:p w:rsidR="00513B7D" w:rsidRDefault="00513B7D" w:rsidP="004A5558">
            <w:pPr>
              <w:jc w:val="center"/>
              <w:rPr>
                <w:rFonts w:ascii="微软雅黑" w:eastAsia="微软雅黑" w:hAnsi="微软雅黑"/>
              </w:rPr>
            </w:pPr>
            <w:r>
              <w:rPr>
                <w:rFonts w:ascii="微软雅黑" w:eastAsia="微软雅黑" w:hAnsi="微软雅黑" w:hint="eastAsia"/>
              </w:rPr>
              <w:t>收入预算合计</w:t>
            </w:r>
          </w:p>
        </w:tc>
        <w:tc>
          <w:tcPr>
            <w:tcW w:w="1925"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3133.19</w:t>
            </w:r>
          </w:p>
        </w:tc>
        <w:tc>
          <w:tcPr>
            <w:tcW w:w="1672"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3034.12</w:t>
            </w:r>
          </w:p>
        </w:tc>
        <w:tc>
          <w:tcPr>
            <w:tcW w:w="1533"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99.07</w:t>
            </w:r>
          </w:p>
        </w:tc>
        <w:tc>
          <w:tcPr>
            <w:tcW w:w="1240"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3.27%</w:t>
            </w:r>
          </w:p>
        </w:tc>
      </w:tr>
      <w:tr w:rsidR="00513B7D" w:rsidTr="004A5558">
        <w:trPr>
          <w:trHeight w:val="585"/>
        </w:trPr>
        <w:tc>
          <w:tcPr>
            <w:tcW w:w="2152" w:type="dxa"/>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财政拨款收入</w:t>
            </w:r>
          </w:p>
        </w:tc>
        <w:tc>
          <w:tcPr>
            <w:tcW w:w="1925"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3133.19</w:t>
            </w:r>
          </w:p>
        </w:tc>
        <w:tc>
          <w:tcPr>
            <w:tcW w:w="1672"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3034.12</w:t>
            </w:r>
          </w:p>
        </w:tc>
        <w:tc>
          <w:tcPr>
            <w:tcW w:w="1533"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99.07 </w:t>
            </w:r>
          </w:p>
        </w:tc>
        <w:tc>
          <w:tcPr>
            <w:tcW w:w="1240"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3.27%</w:t>
            </w:r>
          </w:p>
        </w:tc>
      </w:tr>
    </w:tbl>
    <w:p w:rsidR="00513B7D" w:rsidRDefault="00513B7D" w:rsidP="00513B7D">
      <w:pPr>
        <w:pBdr>
          <w:bottom w:val="single" w:sz="4" w:space="31" w:color="FFFFFF"/>
        </w:pBdr>
        <w:autoSpaceDE w:val="0"/>
        <w:spacing w:line="560" w:lineRule="exact"/>
        <w:ind w:firstLineChars="196" w:firstLine="627"/>
        <w:rPr>
          <w:rFonts w:ascii="仿宋_GB2312" w:eastAsia="仿宋_GB2312" w:hint="eastAsia"/>
          <w:sz w:val="32"/>
          <w:szCs w:val="32"/>
        </w:rPr>
      </w:pPr>
      <w:r>
        <w:rPr>
          <w:rFonts w:ascii="仿宋_GB2312" w:eastAsia="仿宋_GB2312" w:hint="eastAsia"/>
          <w:sz w:val="32"/>
          <w:szCs w:val="32"/>
        </w:rPr>
        <w:t>单位2025年度年初预算数支出总计3133.19万元，较2024年度年初预算数支出总计3034.12万元，增加99.07万元，增加3.27%。</w:t>
      </w:r>
    </w:p>
    <w:p w:rsidR="00513B7D" w:rsidRDefault="00513B7D" w:rsidP="00513B7D">
      <w:pPr>
        <w:pBdr>
          <w:bottom w:val="single" w:sz="4" w:space="31" w:color="FFFFFF"/>
        </w:pBdr>
        <w:jc w:val="center"/>
      </w:pPr>
      <w:r>
        <w:rPr>
          <w:noProof/>
        </w:rPr>
        <w:drawing>
          <wp:inline distT="0" distB="0" distL="0" distR="0">
            <wp:extent cx="4592320" cy="2763520"/>
            <wp:effectExtent l="19050" t="0" r="0" b="0"/>
            <wp:docPr id="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noChangeArrowheads="1"/>
                    </pic:cNvPicPr>
                  </pic:nvPicPr>
                  <pic:blipFill>
                    <a:blip r:embed="rId12"/>
                    <a:srcRect/>
                    <a:stretch>
                      <a:fillRect/>
                    </a:stretch>
                  </pic:blipFill>
                  <pic:spPr bwMode="auto">
                    <a:xfrm>
                      <a:off x="0" y="0"/>
                      <a:ext cx="4592320" cy="2763520"/>
                    </a:xfrm>
                    <a:prstGeom prst="rect">
                      <a:avLst/>
                    </a:prstGeom>
                    <a:noFill/>
                    <a:ln w="9525">
                      <a:noFill/>
                      <a:miter lim="800000"/>
                      <a:headEnd/>
                      <a:tailEnd/>
                    </a:ln>
                  </pic:spPr>
                </pic:pic>
              </a:graphicData>
            </a:graphic>
          </wp:inline>
        </w:drawing>
      </w:r>
    </w:p>
    <w:p w:rsidR="00513B7D" w:rsidRDefault="00513B7D" w:rsidP="00513B7D">
      <w:pPr>
        <w:pBdr>
          <w:bottom w:val="single" w:sz="4" w:space="31" w:color="FFFFFF"/>
        </w:pBdr>
        <w:jc w:val="center"/>
        <w:rPr>
          <w:rFonts w:ascii="仿宋_GB2312" w:eastAsia="仿宋_GB2312" w:hAnsi="仿宋" w:hint="eastAsia"/>
          <w:color w:val="000000"/>
          <w:sz w:val="32"/>
          <w:szCs w:val="32"/>
        </w:rPr>
      </w:pPr>
      <w:r>
        <w:rPr>
          <w:rFonts w:ascii="仿宋_GB2312" w:eastAsia="仿宋_GB2312" w:hAnsi="仿宋" w:hint="eastAsia"/>
          <w:color w:val="000000"/>
          <w:sz w:val="32"/>
          <w:szCs w:val="32"/>
        </w:rPr>
        <w:lastRenderedPageBreak/>
        <w:t>2025年与2024年</w:t>
      </w:r>
      <w:r>
        <w:rPr>
          <w:rFonts w:ascii="仿宋_GB2312" w:eastAsia="仿宋_GB2312" w:hint="eastAsia"/>
          <w:sz w:val="32"/>
          <w:szCs w:val="32"/>
        </w:rPr>
        <w:t>年初预算数支出</w:t>
      </w:r>
      <w:r>
        <w:rPr>
          <w:rFonts w:ascii="仿宋_GB2312" w:eastAsia="仿宋_GB2312" w:hAnsi="仿宋" w:hint="eastAsia"/>
          <w:color w:val="000000"/>
          <w:sz w:val="32"/>
          <w:szCs w:val="32"/>
        </w:rPr>
        <w:t>对比表（单位：万元）</w:t>
      </w:r>
    </w:p>
    <w:tbl>
      <w:tblPr>
        <w:tblStyle w:val="ad"/>
        <w:tblpPr w:leftFromText="180" w:rightFromText="180" w:vertAnchor="text" w:horzAnchor="page" w:tblpX="1854" w:tblpY="273"/>
        <w:tblOverlap w:val="never"/>
        <w:tblW w:w="8522" w:type="dxa"/>
        <w:tblInd w:w="0" w:type="dxa"/>
        <w:tblLook w:val="0000"/>
      </w:tblPr>
      <w:tblGrid>
        <w:gridCol w:w="2152"/>
        <w:gridCol w:w="1925"/>
        <w:gridCol w:w="1672"/>
        <w:gridCol w:w="1533"/>
        <w:gridCol w:w="1240"/>
      </w:tblGrid>
      <w:tr w:rsidR="00513B7D" w:rsidTr="004A5558">
        <w:trPr>
          <w:trHeight w:val="585"/>
        </w:trPr>
        <w:tc>
          <w:tcPr>
            <w:tcW w:w="2152" w:type="dxa"/>
            <w:noWrap/>
          </w:tcPr>
          <w:p w:rsidR="00513B7D" w:rsidRDefault="00513B7D" w:rsidP="004A5558">
            <w:pPr>
              <w:jc w:val="center"/>
              <w:rPr>
                <w:rFonts w:ascii="微软雅黑" w:eastAsia="微软雅黑" w:hAnsi="微软雅黑"/>
              </w:rPr>
            </w:pPr>
            <w:r>
              <w:rPr>
                <w:rFonts w:ascii="微软雅黑" w:eastAsia="微软雅黑" w:hAnsi="微软雅黑" w:hint="eastAsia"/>
              </w:rPr>
              <w:t>功能分类</w:t>
            </w:r>
          </w:p>
        </w:tc>
        <w:tc>
          <w:tcPr>
            <w:tcW w:w="1925" w:type="dxa"/>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2025年</w:t>
            </w:r>
          </w:p>
        </w:tc>
        <w:tc>
          <w:tcPr>
            <w:tcW w:w="1672" w:type="dxa"/>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2024年</w:t>
            </w:r>
          </w:p>
        </w:tc>
        <w:tc>
          <w:tcPr>
            <w:tcW w:w="1533"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增减值</w:t>
            </w:r>
          </w:p>
        </w:tc>
        <w:tc>
          <w:tcPr>
            <w:tcW w:w="1240"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增减比例</w:t>
            </w:r>
          </w:p>
        </w:tc>
      </w:tr>
      <w:tr w:rsidR="00513B7D" w:rsidTr="004A5558">
        <w:trPr>
          <w:trHeight w:val="585"/>
        </w:trPr>
        <w:tc>
          <w:tcPr>
            <w:tcW w:w="2152" w:type="dxa"/>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合计</w:t>
            </w:r>
          </w:p>
        </w:tc>
        <w:tc>
          <w:tcPr>
            <w:tcW w:w="1925"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3133.19</w:t>
            </w:r>
          </w:p>
        </w:tc>
        <w:tc>
          <w:tcPr>
            <w:tcW w:w="1672"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3,034.12 </w:t>
            </w:r>
          </w:p>
        </w:tc>
        <w:tc>
          <w:tcPr>
            <w:tcW w:w="1533"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99.07</w:t>
            </w:r>
          </w:p>
        </w:tc>
        <w:tc>
          <w:tcPr>
            <w:tcW w:w="1240"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3.27%</w:t>
            </w:r>
          </w:p>
        </w:tc>
      </w:tr>
      <w:tr w:rsidR="00513B7D" w:rsidTr="004A5558">
        <w:trPr>
          <w:trHeight w:val="681"/>
        </w:trPr>
        <w:tc>
          <w:tcPr>
            <w:tcW w:w="2152"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教育支出</w:t>
            </w:r>
          </w:p>
        </w:tc>
        <w:tc>
          <w:tcPr>
            <w:tcW w:w="1925"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2297.04</w:t>
            </w:r>
          </w:p>
        </w:tc>
        <w:tc>
          <w:tcPr>
            <w:tcW w:w="1672"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2,209.52 </w:t>
            </w:r>
          </w:p>
        </w:tc>
        <w:tc>
          <w:tcPr>
            <w:tcW w:w="1533"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87.52</w:t>
            </w:r>
          </w:p>
        </w:tc>
        <w:tc>
          <w:tcPr>
            <w:tcW w:w="1240"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3.8%</w:t>
            </w:r>
          </w:p>
        </w:tc>
      </w:tr>
      <w:tr w:rsidR="00513B7D" w:rsidTr="004A5558">
        <w:trPr>
          <w:trHeight w:val="585"/>
        </w:trPr>
        <w:tc>
          <w:tcPr>
            <w:tcW w:w="2152"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社会保障和就业支出</w:t>
            </w:r>
          </w:p>
        </w:tc>
        <w:tc>
          <w:tcPr>
            <w:tcW w:w="1925"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434.96</w:t>
            </w:r>
          </w:p>
        </w:tc>
        <w:tc>
          <w:tcPr>
            <w:tcW w:w="1672"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432.22 </w:t>
            </w:r>
          </w:p>
        </w:tc>
        <w:tc>
          <w:tcPr>
            <w:tcW w:w="1533"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2.74</w:t>
            </w:r>
          </w:p>
        </w:tc>
        <w:tc>
          <w:tcPr>
            <w:tcW w:w="1240"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0.6%</w:t>
            </w:r>
          </w:p>
        </w:tc>
      </w:tr>
      <w:tr w:rsidR="00513B7D" w:rsidTr="004A5558">
        <w:trPr>
          <w:trHeight w:val="585"/>
        </w:trPr>
        <w:tc>
          <w:tcPr>
            <w:tcW w:w="2152"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卫生健康支出</w:t>
            </w:r>
          </w:p>
        </w:tc>
        <w:tc>
          <w:tcPr>
            <w:tcW w:w="1925"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164.68</w:t>
            </w:r>
          </w:p>
        </w:tc>
        <w:tc>
          <w:tcPr>
            <w:tcW w:w="1672"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159.92 </w:t>
            </w:r>
          </w:p>
        </w:tc>
        <w:tc>
          <w:tcPr>
            <w:tcW w:w="1533"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4.76</w:t>
            </w:r>
          </w:p>
        </w:tc>
        <w:tc>
          <w:tcPr>
            <w:tcW w:w="1240"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2.9%</w:t>
            </w:r>
          </w:p>
        </w:tc>
      </w:tr>
      <w:tr w:rsidR="00513B7D" w:rsidTr="004A5558">
        <w:trPr>
          <w:trHeight w:val="585"/>
        </w:trPr>
        <w:tc>
          <w:tcPr>
            <w:tcW w:w="2152"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住房保障支出</w:t>
            </w:r>
          </w:p>
        </w:tc>
        <w:tc>
          <w:tcPr>
            <w:tcW w:w="1925"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236.51</w:t>
            </w:r>
          </w:p>
        </w:tc>
        <w:tc>
          <w:tcPr>
            <w:tcW w:w="1672"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232.46</w:t>
            </w:r>
          </w:p>
        </w:tc>
        <w:tc>
          <w:tcPr>
            <w:tcW w:w="1533"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4.05</w:t>
            </w:r>
          </w:p>
        </w:tc>
        <w:tc>
          <w:tcPr>
            <w:tcW w:w="1240"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1.7%</w:t>
            </w:r>
          </w:p>
        </w:tc>
      </w:tr>
    </w:tbl>
    <w:p w:rsidR="00513B7D" w:rsidRDefault="00513B7D" w:rsidP="00513B7D">
      <w:pPr>
        <w:snapToGrid w:val="0"/>
        <w:spacing w:line="520" w:lineRule="exact"/>
        <w:outlineLvl w:val="0"/>
        <w:rPr>
          <w:rFonts w:ascii="楷体_GB2312" w:eastAsia="楷体_GB2312" w:hAnsi="仿宋" w:hint="eastAsia"/>
          <w:b/>
          <w:sz w:val="32"/>
          <w:szCs w:val="32"/>
        </w:rPr>
      </w:pPr>
    </w:p>
    <w:p w:rsidR="00513B7D" w:rsidRDefault="00513B7D" w:rsidP="00513B7D">
      <w:pPr>
        <w:pStyle w:val="Default"/>
        <w:ind w:firstLineChars="200" w:firstLine="480"/>
        <w:jc w:val="both"/>
      </w:pPr>
      <w:r>
        <w:rPr>
          <w:noProof/>
        </w:rPr>
        <w:drawing>
          <wp:inline distT="0" distB="0" distL="0" distR="0">
            <wp:extent cx="5164455" cy="3049270"/>
            <wp:effectExtent l="19050" t="0" r="0" b="0"/>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pic:cNvPicPr>
                      <a:picLocks noChangeAspect="1" noChangeArrowheads="1"/>
                    </pic:cNvPicPr>
                  </pic:nvPicPr>
                  <pic:blipFill>
                    <a:blip r:embed="rId13"/>
                    <a:srcRect/>
                    <a:stretch>
                      <a:fillRect/>
                    </a:stretch>
                  </pic:blipFill>
                  <pic:spPr bwMode="auto">
                    <a:xfrm>
                      <a:off x="0" y="0"/>
                      <a:ext cx="5164455" cy="3049270"/>
                    </a:xfrm>
                    <a:prstGeom prst="rect">
                      <a:avLst/>
                    </a:prstGeom>
                    <a:noFill/>
                    <a:ln w="9525">
                      <a:noFill/>
                      <a:miter lim="800000"/>
                      <a:headEnd/>
                      <a:tailEnd/>
                    </a:ln>
                  </pic:spPr>
                </pic:pic>
              </a:graphicData>
            </a:graphic>
          </wp:inline>
        </w:drawing>
      </w:r>
    </w:p>
    <w:p w:rsidR="00513B7D" w:rsidRDefault="00513B7D" w:rsidP="00513B7D">
      <w:pPr>
        <w:snapToGrid w:val="0"/>
        <w:spacing w:line="520" w:lineRule="exact"/>
        <w:ind w:firstLineChars="200" w:firstLine="640"/>
        <w:outlineLvl w:val="0"/>
      </w:pPr>
      <w:r>
        <w:rPr>
          <w:rFonts w:ascii="楷体_GB2312" w:eastAsia="楷体_GB2312" w:hAnsi="仿宋" w:hint="eastAsia"/>
          <w:b/>
          <w:sz w:val="32"/>
          <w:szCs w:val="32"/>
        </w:rPr>
        <w:t>（二）收入支出预算执行情况。</w:t>
      </w:r>
    </w:p>
    <w:p w:rsidR="00513B7D" w:rsidRDefault="00513B7D" w:rsidP="00574CC1">
      <w:pPr>
        <w:widowControl/>
        <w:ind w:firstLineChars="100" w:firstLine="320"/>
        <w:jc w:val="left"/>
        <w:rPr>
          <w:rFonts w:ascii="仿宋_GB2312" w:eastAsia="仿宋_GB2312" w:hAnsi="仿宋"/>
          <w:sz w:val="32"/>
          <w:szCs w:val="32"/>
        </w:rPr>
      </w:pPr>
      <w:r>
        <w:rPr>
          <w:rFonts w:ascii="仿宋_GB2312" w:eastAsia="仿宋_GB2312" w:hAnsi="仿宋" w:hint="eastAsia"/>
          <w:sz w:val="32"/>
          <w:szCs w:val="32"/>
        </w:rPr>
        <w:t>单位2025年度收入4069.35万元，较2024年度收入3707.93万元，增加361.42万元，增加9.75%。其中2025年度财政拨款收入3863.81万元，较2024年度3307.73万元，增加556.08万元，增加16.81%。主要原因是2025年</w:t>
      </w:r>
      <w:r>
        <w:rPr>
          <w:rFonts w:ascii="仿宋_GB2312" w:eastAsia="仿宋_GB2312" w:hAnsi="仿宋" w:hint="eastAsia"/>
          <w:sz w:val="32"/>
          <w:szCs w:val="32"/>
        </w:rPr>
        <w:lastRenderedPageBreak/>
        <w:t>单位新增1人，相关人员、公用经费增加，财政拨款收入增加。2025年其他收入205.54万元，较2024年度400.2万元，减少194.65万元，减少48.64%。主要原因是当年其他收入减少。</w:t>
      </w:r>
    </w:p>
    <w:p w:rsidR="00513B7D" w:rsidRDefault="00513B7D" w:rsidP="00513B7D">
      <w:pPr>
        <w:pStyle w:val="Default"/>
        <w:ind w:firstLineChars="200" w:firstLine="640"/>
        <w:rPr>
          <w:rFonts w:ascii="仿宋_GB2312" w:eastAsia="仿宋_GB2312" w:hAnsi="仿宋" w:hint="eastAsia"/>
          <w:sz w:val="32"/>
          <w:szCs w:val="32"/>
        </w:rPr>
      </w:pPr>
      <w:r>
        <w:rPr>
          <w:rFonts w:ascii="仿宋_GB2312" w:eastAsia="仿宋_GB2312" w:hAnsi="仿宋" w:hint="eastAsia"/>
          <w:sz w:val="32"/>
          <w:szCs w:val="32"/>
        </w:rPr>
        <w:t>2025年与2024年收入预算执行对比表（单位：万元）</w:t>
      </w:r>
    </w:p>
    <w:tbl>
      <w:tblPr>
        <w:tblStyle w:val="ad"/>
        <w:tblpPr w:leftFromText="180" w:rightFromText="180" w:vertAnchor="text" w:horzAnchor="page" w:tblpX="1854" w:tblpY="273"/>
        <w:tblOverlap w:val="never"/>
        <w:tblW w:w="8522" w:type="dxa"/>
        <w:tblInd w:w="0" w:type="dxa"/>
        <w:tblLook w:val="0000"/>
      </w:tblPr>
      <w:tblGrid>
        <w:gridCol w:w="2152"/>
        <w:gridCol w:w="1925"/>
        <w:gridCol w:w="1672"/>
        <w:gridCol w:w="1533"/>
        <w:gridCol w:w="1240"/>
      </w:tblGrid>
      <w:tr w:rsidR="00513B7D" w:rsidTr="004A5558">
        <w:trPr>
          <w:trHeight w:val="585"/>
        </w:trPr>
        <w:tc>
          <w:tcPr>
            <w:tcW w:w="2152" w:type="dxa"/>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项目</w:t>
            </w:r>
          </w:p>
        </w:tc>
        <w:tc>
          <w:tcPr>
            <w:tcW w:w="1925" w:type="dxa"/>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2025年</w:t>
            </w:r>
          </w:p>
        </w:tc>
        <w:tc>
          <w:tcPr>
            <w:tcW w:w="1672" w:type="dxa"/>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2024年</w:t>
            </w:r>
          </w:p>
        </w:tc>
        <w:tc>
          <w:tcPr>
            <w:tcW w:w="1533"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增减值</w:t>
            </w:r>
          </w:p>
        </w:tc>
        <w:tc>
          <w:tcPr>
            <w:tcW w:w="1240"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增减比例</w:t>
            </w:r>
          </w:p>
        </w:tc>
      </w:tr>
      <w:tr w:rsidR="00513B7D" w:rsidTr="004A5558">
        <w:trPr>
          <w:trHeight w:val="585"/>
        </w:trPr>
        <w:tc>
          <w:tcPr>
            <w:tcW w:w="2152" w:type="dxa"/>
            <w:noWrap/>
          </w:tcPr>
          <w:p w:rsidR="00513B7D" w:rsidRDefault="00513B7D" w:rsidP="004A5558">
            <w:pPr>
              <w:jc w:val="center"/>
              <w:rPr>
                <w:rFonts w:ascii="微软雅黑" w:eastAsia="微软雅黑" w:hAnsi="微软雅黑"/>
              </w:rPr>
            </w:pPr>
            <w:r>
              <w:rPr>
                <w:rFonts w:ascii="微软雅黑" w:eastAsia="微软雅黑" w:hAnsi="微软雅黑" w:hint="eastAsia"/>
              </w:rPr>
              <w:t>收入合计</w:t>
            </w:r>
          </w:p>
        </w:tc>
        <w:tc>
          <w:tcPr>
            <w:tcW w:w="1925"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4069.35</w:t>
            </w:r>
          </w:p>
        </w:tc>
        <w:tc>
          <w:tcPr>
            <w:tcW w:w="1672"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3707.93</w:t>
            </w:r>
          </w:p>
        </w:tc>
        <w:tc>
          <w:tcPr>
            <w:tcW w:w="1533"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361.42</w:t>
            </w:r>
          </w:p>
        </w:tc>
        <w:tc>
          <w:tcPr>
            <w:tcW w:w="1240"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9.75%</w:t>
            </w:r>
          </w:p>
        </w:tc>
      </w:tr>
      <w:tr w:rsidR="00513B7D" w:rsidTr="004A5558">
        <w:trPr>
          <w:trHeight w:val="585"/>
        </w:trPr>
        <w:tc>
          <w:tcPr>
            <w:tcW w:w="2152" w:type="dxa"/>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财政拨款收入</w:t>
            </w:r>
          </w:p>
        </w:tc>
        <w:tc>
          <w:tcPr>
            <w:tcW w:w="1925"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3863.81</w:t>
            </w:r>
          </w:p>
        </w:tc>
        <w:tc>
          <w:tcPr>
            <w:tcW w:w="1672"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3,307.73 </w:t>
            </w:r>
          </w:p>
        </w:tc>
        <w:tc>
          <w:tcPr>
            <w:tcW w:w="1533"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556.08</w:t>
            </w:r>
          </w:p>
        </w:tc>
        <w:tc>
          <w:tcPr>
            <w:tcW w:w="1240"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16.81%</w:t>
            </w:r>
          </w:p>
        </w:tc>
      </w:tr>
      <w:tr w:rsidR="00513B7D" w:rsidTr="004A5558">
        <w:trPr>
          <w:trHeight w:val="585"/>
        </w:trPr>
        <w:tc>
          <w:tcPr>
            <w:tcW w:w="2152" w:type="dxa"/>
            <w:noWrap/>
          </w:tcPr>
          <w:p w:rsidR="00513B7D" w:rsidRDefault="00513B7D" w:rsidP="004A5558">
            <w:pPr>
              <w:jc w:val="center"/>
              <w:rPr>
                <w:rFonts w:ascii="微软雅黑" w:eastAsia="微软雅黑" w:hAnsi="微软雅黑"/>
              </w:rPr>
            </w:pPr>
            <w:r>
              <w:rPr>
                <w:rFonts w:ascii="微软雅黑" w:eastAsia="微软雅黑" w:hAnsi="微软雅黑" w:hint="eastAsia"/>
              </w:rPr>
              <w:t>其他收入</w:t>
            </w:r>
          </w:p>
        </w:tc>
        <w:tc>
          <w:tcPr>
            <w:tcW w:w="1925" w:type="dxa"/>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205.54</w:t>
            </w:r>
          </w:p>
        </w:tc>
        <w:tc>
          <w:tcPr>
            <w:tcW w:w="1672"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400.20 </w:t>
            </w:r>
          </w:p>
        </w:tc>
        <w:tc>
          <w:tcPr>
            <w:tcW w:w="1533"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-194.65 </w:t>
            </w:r>
          </w:p>
        </w:tc>
        <w:tc>
          <w:tcPr>
            <w:tcW w:w="1240" w:type="dxa"/>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-48.64%</w:t>
            </w:r>
          </w:p>
        </w:tc>
      </w:tr>
    </w:tbl>
    <w:p w:rsidR="00513B7D" w:rsidRDefault="00513B7D" w:rsidP="00513B7D">
      <w:pPr>
        <w:pStyle w:val="Default"/>
        <w:ind w:firstLineChars="200" w:firstLine="480"/>
        <w:jc w:val="both"/>
      </w:pPr>
      <w:r>
        <w:rPr>
          <w:noProof/>
        </w:rPr>
        <w:drawing>
          <wp:inline distT="0" distB="0" distL="0" distR="0">
            <wp:extent cx="4592320" cy="2763520"/>
            <wp:effectExtent l="19050" t="0" r="0" b="0"/>
            <wp:docPr id="3" name="图表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表 3"/>
                    <pic:cNvPicPr>
                      <a:picLocks noChangeAspect="1" noChangeArrowheads="1"/>
                    </pic:cNvPicPr>
                  </pic:nvPicPr>
                  <pic:blipFill>
                    <a:blip r:embed="rId14"/>
                    <a:srcRect/>
                    <a:stretch>
                      <a:fillRect/>
                    </a:stretch>
                  </pic:blipFill>
                  <pic:spPr bwMode="auto">
                    <a:xfrm>
                      <a:off x="0" y="0"/>
                      <a:ext cx="4592320" cy="2763520"/>
                    </a:xfrm>
                    <a:prstGeom prst="rect">
                      <a:avLst/>
                    </a:prstGeom>
                    <a:noFill/>
                    <a:ln w="9525">
                      <a:noFill/>
                      <a:miter lim="800000"/>
                      <a:headEnd/>
                      <a:tailEnd/>
                    </a:ln>
                  </pic:spPr>
                </pic:pic>
              </a:graphicData>
            </a:graphic>
          </wp:inline>
        </w:drawing>
      </w:r>
    </w:p>
    <w:p w:rsidR="00513B7D" w:rsidRDefault="00513B7D" w:rsidP="00513B7D">
      <w:pPr>
        <w:widowControl/>
        <w:ind w:firstLineChars="200" w:firstLine="640"/>
        <w:jc w:val="left"/>
      </w:pPr>
      <w:r>
        <w:rPr>
          <w:rFonts w:ascii="仿宋_GB2312" w:eastAsia="仿宋_GB2312" w:hAnsi="仿宋" w:hint="eastAsia"/>
          <w:sz w:val="32"/>
          <w:szCs w:val="32"/>
        </w:rPr>
        <w:t>单位2025年</w:t>
      </w:r>
      <w:r>
        <w:rPr>
          <w:rFonts w:ascii="仿宋_GB2312" w:eastAsia="仿宋_GB2312" w:hint="eastAsia"/>
          <w:sz w:val="32"/>
          <w:szCs w:val="32"/>
        </w:rPr>
        <w:t>度</w:t>
      </w:r>
      <w:r>
        <w:rPr>
          <w:rFonts w:ascii="仿宋_GB2312" w:eastAsia="仿宋_GB2312" w:hAnsi="仿宋" w:hint="eastAsia"/>
          <w:sz w:val="32"/>
          <w:szCs w:val="32"/>
        </w:rPr>
        <w:t>支出4069.35万元，较2024年度3707.93万元，增加361.42万元，增加9.75%。其中基本支出3197.36万元，较2024年度2906.98万元，增加290.38万元，增加9.99%。主要原因是当年人员增加，相关人员，公用经费支出增加；2025年</w:t>
      </w:r>
      <w:r>
        <w:rPr>
          <w:rFonts w:ascii="仿宋_GB2312" w:eastAsia="仿宋_GB2312" w:hint="eastAsia"/>
          <w:sz w:val="32"/>
          <w:szCs w:val="32"/>
        </w:rPr>
        <w:t>度</w:t>
      </w:r>
      <w:r>
        <w:rPr>
          <w:rFonts w:ascii="仿宋_GB2312" w:eastAsia="仿宋_GB2312" w:hAnsi="仿宋" w:hint="eastAsia"/>
          <w:sz w:val="32"/>
          <w:szCs w:val="32"/>
        </w:rPr>
        <w:t>项目支出871.99万元，较</w:t>
      </w:r>
      <w:r>
        <w:rPr>
          <w:rFonts w:ascii="仿宋_GB2312" w:eastAsia="仿宋_GB2312" w:hAnsi="仿宋" w:hint="eastAsia"/>
          <w:sz w:val="32"/>
          <w:szCs w:val="32"/>
        </w:rPr>
        <w:lastRenderedPageBreak/>
        <w:t>2024年度800.95万元，增加71.04万元，增加8.87%。主要原因是当年项目增多，支出增加。</w:t>
      </w:r>
    </w:p>
    <w:p w:rsidR="00513B7D" w:rsidRDefault="00513B7D" w:rsidP="00513B7D">
      <w:pPr>
        <w:pStyle w:val="Default"/>
        <w:jc w:val="center"/>
        <w:rPr>
          <w:rFonts w:ascii="仿宋_GB2312" w:eastAsia="仿宋_GB2312" w:hAnsi="仿宋" w:hint="eastAsia"/>
          <w:sz w:val="32"/>
          <w:szCs w:val="32"/>
        </w:rPr>
      </w:pPr>
      <w:r>
        <w:rPr>
          <w:rFonts w:ascii="仿宋_GB2312" w:eastAsia="仿宋_GB2312" w:hAnsi="仿宋" w:hint="eastAsia"/>
          <w:sz w:val="32"/>
          <w:szCs w:val="32"/>
        </w:rPr>
        <w:t>2025年与2024年支出预算执行对比表（单位：万元）</w:t>
      </w:r>
    </w:p>
    <w:tbl>
      <w:tblPr>
        <w:tblW w:w="4998" w:type="pct"/>
        <w:tblInd w:w="200" w:type="dxa"/>
        <w:tblLook w:val="0000"/>
      </w:tblPr>
      <w:tblGrid>
        <w:gridCol w:w="2523"/>
        <w:gridCol w:w="1841"/>
        <w:gridCol w:w="1546"/>
        <w:gridCol w:w="1248"/>
        <w:gridCol w:w="1361"/>
      </w:tblGrid>
      <w:tr w:rsidR="00513B7D" w:rsidTr="004A5558">
        <w:trPr>
          <w:trHeight w:val="270"/>
        </w:trPr>
        <w:tc>
          <w:tcPr>
            <w:tcW w:w="14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项目</w:t>
            </w:r>
          </w:p>
        </w:tc>
        <w:tc>
          <w:tcPr>
            <w:tcW w:w="10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2025年</w:t>
            </w:r>
          </w:p>
        </w:tc>
        <w:tc>
          <w:tcPr>
            <w:tcW w:w="907"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2024年</w:t>
            </w:r>
          </w:p>
        </w:tc>
        <w:tc>
          <w:tcPr>
            <w:tcW w:w="732"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增减值</w:t>
            </w:r>
          </w:p>
        </w:tc>
        <w:tc>
          <w:tcPr>
            <w:tcW w:w="798"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增减比例</w:t>
            </w:r>
          </w:p>
        </w:tc>
      </w:tr>
      <w:tr w:rsidR="00513B7D" w:rsidTr="004A5558">
        <w:trPr>
          <w:trHeight w:val="270"/>
        </w:trPr>
        <w:tc>
          <w:tcPr>
            <w:tcW w:w="14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本年支出</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4069.35</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3,707.93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361.42</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9.75%</w:t>
            </w:r>
          </w:p>
        </w:tc>
      </w:tr>
      <w:tr w:rsidR="00513B7D" w:rsidTr="004A5558">
        <w:trPr>
          <w:trHeight w:val="270"/>
        </w:trPr>
        <w:tc>
          <w:tcPr>
            <w:tcW w:w="14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基本支出</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3197.36</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2,906.98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290.38</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9.99%</w:t>
            </w:r>
          </w:p>
        </w:tc>
      </w:tr>
      <w:tr w:rsidR="00513B7D" w:rsidTr="004A5558">
        <w:trPr>
          <w:trHeight w:val="270"/>
        </w:trPr>
        <w:tc>
          <w:tcPr>
            <w:tcW w:w="2523"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（1）人员经费</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3112.09</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2,883.96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228.13</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7.91%</w:t>
            </w:r>
          </w:p>
        </w:tc>
      </w:tr>
      <w:tr w:rsidR="00513B7D" w:rsidTr="004A5558">
        <w:trPr>
          <w:trHeight w:val="270"/>
        </w:trPr>
        <w:tc>
          <w:tcPr>
            <w:tcW w:w="2523"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（2）公用经费</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85.27</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23.02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62.25</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270.42%</w:t>
            </w:r>
          </w:p>
        </w:tc>
      </w:tr>
      <w:tr w:rsidR="00513B7D" w:rsidTr="004A5558">
        <w:trPr>
          <w:trHeight w:val="624"/>
        </w:trPr>
        <w:tc>
          <w:tcPr>
            <w:tcW w:w="14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项目支出</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871.99</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800.95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71.04 </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8.87%</w:t>
            </w:r>
          </w:p>
        </w:tc>
      </w:tr>
      <w:tr w:rsidR="00513B7D" w:rsidTr="004A5558">
        <w:trPr>
          <w:trHeight w:val="270"/>
        </w:trPr>
        <w:tc>
          <w:tcPr>
            <w:tcW w:w="14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其中：基本建设类项目</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0.00 </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0.00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0.00 </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r>
    </w:tbl>
    <w:p w:rsidR="00513B7D" w:rsidRDefault="00513B7D" w:rsidP="00513B7D">
      <w:pPr>
        <w:pStyle w:val="Default"/>
        <w:rPr>
          <w:rFonts w:ascii="仿宋_GB2312" w:eastAsia="仿宋_GB2312" w:hAnsi="仿宋" w:hint="eastAsia"/>
          <w:sz w:val="32"/>
          <w:szCs w:val="32"/>
        </w:rPr>
      </w:pPr>
    </w:p>
    <w:p w:rsidR="00513B7D" w:rsidRDefault="00513B7D" w:rsidP="00513B7D">
      <w:pPr>
        <w:pStyle w:val="Default"/>
        <w:rPr>
          <w:rFonts w:ascii="仿宋_GB2312" w:eastAsia="仿宋_GB2312" w:hAnsi="仿宋" w:hint="eastAsia"/>
          <w:sz w:val="32"/>
          <w:szCs w:val="32"/>
        </w:rPr>
      </w:pPr>
      <w:r>
        <w:rPr>
          <w:rFonts w:ascii="仿宋_GB2312" w:eastAsia="仿宋_GB2312" w:hAnsi="仿宋" w:hint="eastAsia"/>
          <w:sz w:val="32"/>
          <w:szCs w:val="32"/>
        </w:rPr>
        <w:t xml:space="preserve">    </w:t>
      </w:r>
      <w:r>
        <w:rPr>
          <w:noProof/>
        </w:rPr>
        <w:drawing>
          <wp:inline distT="0" distB="0" distL="0" distR="0">
            <wp:extent cx="4592320" cy="2763520"/>
            <wp:effectExtent l="19050" t="0" r="0" b="0"/>
            <wp:docPr id="4" name="图表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表 4"/>
                    <pic:cNvPicPr>
                      <a:picLocks noChangeAspect="1" noChangeArrowheads="1"/>
                    </pic:cNvPicPr>
                  </pic:nvPicPr>
                  <pic:blipFill>
                    <a:blip r:embed="rId15"/>
                    <a:srcRect/>
                    <a:stretch>
                      <a:fillRect/>
                    </a:stretch>
                  </pic:blipFill>
                  <pic:spPr bwMode="auto">
                    <a:xfrm>
                      <a:off x="0" y="0"/>
                      <a:ext cx="4592320" cy="2763520"/>
                    </a:xfrm>
                    <a:prstGeom prst="rect">
                      <a:avLst/>
                    </a:prstGeom>
                    <a:noFill/>
                    <a:ln w="9525">
                      <a:noFill/>
                      <a:miter lim="800000"/>
                      <a:headEnd/>
                      <a:tailEnd/>
                    </a:ln>
                  </pic:spPr>
                </pic:pic>
              </a:graphicData>
            </a:graphic>
          </wp:inline>
        </w:drawing>
      </w:r>
    </w:p>
    <w:p w:rsidR="00513B7D" w:rsidRDefault="00513B7D" w:rsidP="00513B7D">
      <w:pPr>
        <w:snapToGrid w:val="0"/>
        <w:spacing w:line="520" w:lineRule="exact"/>
        <w:ind w:firstLineChars="200" w:firstLine="640"/>
        <w:rPr>
          <w:rFonts w:ascii="仿宋_GB2312" w:eastAsia="仿宋_GB2312" w:hAnsi="仿宋" w:hint="eastAsia"/>
          <w:b/>
          <w:sz w:val="32"/>
          <w:szCs w:val="32"/>
        </w:rPr>
      </w:pPr>
      <w:r>
        <w:rPr>
          <w:rFonts w:ascii="仿宋_GB2312" w:eastAsia="仿宋_GB2312" w:hAnsi="仿宋" w:hint="eastAsia"/>
          <w:b/>
          <w:sz w:val="32"/>
          <w:szCs w:val="32"/>
        </w:rPr>
        <w:t>1．收入支出与预算对比分析。</w:t>
      </w:r>
    </w:p>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（1）2025年收入预决算对比分析及原因。</w:t>
      </w:r>
    </w:p>
    <w:p w:rsidR="00513B7D" w:rsidRDefault="00513B7D" w:rsidP="00513B7D">
      <w:pPr>
        <w:pStyle w:val="Default"/>
        <w:ind w:firstLineChars="200" w:firstLine="640"/>
        <w:jc w:val="both"/>
        <w:rPr>
          <w:rFonts w:ascii="仿宋_GB2312" w:eastAsia="仿宋_GB2312"/>
          <w:sz w:val="32"/>
          <w:szCs w:val="32"/>
        </w:rPr>
      </w:pPr>
      <w:r>
        <w:rPr>
          <w:rFonts w:ascii="仿宋_GB2312" w:eastAsia="仿宋_GB2312" w:hint="eastAsia"/>
          <w:sz w:val="32"/>
          <w:szCs w:val="32"/>
        </w:rPr>
        <w:t>单位2025年</w:t>
      </w:r>
      <w:r>
        <w:rPr>
          <w:rFonts w:ascii="仿宋_GB2312" w:eastAsia="仿宋_GB2312" w:hAnsi="Times New Roman" w:cs="Times New Roman" w:hint="eastAsia"/>
          <w:sz w:val="32"/>
          <w:szCs w:val="32"/>
        </w:rPr>
        <w:t>度</w:t>
      </w:r>
      <w:r>
        <w:rPr>
          <w:rFonts w:ascii="仿宋_GB2312" w:eastAsia="仿宋_GB2312" w:hint="eastAsia"/>
          <w:sz w:val="32"/>
          <w:szCs w:val="32"/>
        </w:rPr>
        <w:t>收入全年预算数4069.35万元，决算数4069.35万元，执行率100.00%。其中财政拨款全年预算数</w:t>
      </w:r>
      <w:r>
        <w:rPr>
          <w:rFonts w:ascii="仿宋_GB2312" w:eastAsia="仿宋_GB2312" w:hint="eastAsia"/>
          <w:sz w:val="32"/>
          <w:szCs w:val="32"/>
        </w:rPr>
        <w:lastRenderedPageBreak/>
        <w:t>3863.81万元，决算数3863.81万元，执行率100.00%。其他收入205.54万元，决算数205.54万元，执行率100.00%。</w:t>
      </w:r>
    </w:p>
    <w:p w:rsidR="00513B7D" w:rsidRDefault="00513B7D" w:rsidP="00513B7D">
      <w:pPr>
        <w:snapToGrid w:val="0"/>
        <w:spacing w:line="520" w:lineRule="exact"/>
        <w:ind w:firstLineChars="400" w:firstLine="1280"/>
        <w:rPr>
          <w:rFonts w:ascii="仿宋_GB2312" w:eastAsia="仿宋_GB2312" w:hAnsi="仿宋"/>
          <w:color w:val="000000"/>
          <w:sz w:val="32"/>
          <w:szCs w:val="32"/>
        </w:rPr>
      </w:pPr>
      <w:r>
        <w:rPr>
          <w:rFonts w:ascii="仿宋_GB2312" w:eastAsia="仿宋_GB2312" w:hAnsi="仿宋" w:hint="eastAsia"/>
          <w:color w:val="000000"/>
          <w:sz w:val="32"/>
          <w:szCs w:val="32"/>
        </w:rPr>
        <w:t>收入全年预算数与决算数对比表（单位：万元）</w:t>
      </w:r>
    </w:p>
    <w:tbl>
      <w:tblPr>
        <w:tblW w:w="7088" w:type="dxa"/>
        <w:jc w:val="center"/>
        <w:tblLayout w:type="fixed"/>
        <w:tblLook w:val="0000"/>
      </w:tblPr>
      <w:tblGrid>
        <w:gridCol w:w="1560"/>
        <w:gridCol w:w="1575"/>
        <w:gridCol w:w="1827"/>
        <w:gridCol w:w="2126"/>
      </w:tblGrid>
      <w:tr w:rsidR="00513B7D" w:rsidTr="004A5558">
        <w:trPr>
          <w:trHeight w:val="585"/>
          <w:jc w:val="center"/>
        </w:trPr>
        <w:tc>
          <w:tcPr>
            <w:tcW w:w="1560"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项目</w:t>
            </w:r>
          </w:p>
        </w:tc>
        <w:tc>
          <w:tcPr>
            <w:tcW w:w="1575" w:type="dxa"/>
            <w:tcBorders>
              <w:top w:val="single" w:sz="4" w:space="0" w:color="auto"/>
              <w:left w:val="nil"/>
              <w:bottom w:val="single" w:sz="4" w:space="0" w:color="auto"/>
              <w:right w:val="single" w:sz="4" w:space="0" w:color="auto"/>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全年预算数</w:t>
            </w:r>
          </w:p>
        </w:tc>
        <w:tc>
          <w:tcPr>
            <w:tcW w:w="1827" w:type="dxa"/>
            <w:tcBorders>
              <w:top w:val="single" w:sz="4" w:space="0" w:color="auto"/>
              <w:left w:val="nil"/>
              <w:bottom w:val="single" w:sz="4" w:space="0" w:color="auto"/>
              <w:right w:val="single" w:sz="4" w:space="0" w:color="auto"/>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决算数</w:t>
            </w:r>
          </w:p>
        </w:tc>
        <w:tc>
          <w:tcPr>
            <w:tcW w:w="2126" w:type="dxa"/>
            <w:tcBorders>
              <w:top w:val="single" w:sz="4" w:space="0" w:color="auto"/>
              <w:left w:val="nil"/>
              <w:bottom w:val="single" w:sz="4" w:space="0" w:color="auto"/>
              <w:right w:val="single" w:sz="4" w:space="0" w:color="auto"/>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执行率</w:t>
            </w:r>
          </w:p>
        </w:tc>
      </w:tr>
      <w:tr w:rsidR="00513B7D" w:rsidTr="004A5558">
        <w:trPr>
          <w:trHeight w:val="585"/>
          <w:jc w:val="center"/>
        </w:trPr>
        <w:tc>
          <w:tcPr>
            <w:tcW w:w="1560"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hint="eastAsia"/>
              </w:rPr>
            </w:pPr>
            <w:bookmarkStart w:id="17" w:name="OLE_LINK1" w:colFirst="0" w:colLast="2"/>
            <w:r>
              <w:rPr>
                <w:rFonts w:ascii="微软雅黑" w:eastAsia="微软雅黑" w:hAnsi="微软雅黑" w:hint="eastAsia"/>
              </w:rPr>
              <w:t>收入总计</w:t>
            </w:r>
          </w:p>
        </w:tc>
        <w:tc>
          <w:tcPr>
            <w:tcW w:w="1575"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4069.35</w:t>
            </w:r>
          </w:p>
        </w:tc>
        <w:tc>
          <w:tcPr>
            <w:tcW w:w="1827"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4069.35</w:t>
            </w:r>
          </w:p>
        </w:tc>
        <w:tc>
          <w:tcPr>
            <w:tcW w:w="2126"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100.00%</w:t>
            </w:r>
          </w:p>
        </w:tc>
      </w:tr>
      <w:tr w:rsidR="00513B7D" w:rsidTr="004A5558">
        <w:trPr>
          <w:trHeight w:val="585"/>
          <w:jc w:val="center"/>
        </w:trPr>
        <w:tc>
          <w:tcPr>
            <w:tcW w:w="1560"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财政拨款收入</w:t>
            </w:r>
          </w:p>
        </w:tc>
        <w:tc>
          <w:tcPr>
            <w:tcW w:w="1575"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3863.81</w:t>
            </w:r>
          </w:p>
        </w:tc>
        <w:tc>
          <w:tcPr>
            <w:tcW w:w="1827"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3863.81</w:t>
            </w:r>
          </w:p>
        </w:tc>
        <w:tc>
          <w:tcPr>
            <w:tcW w:w="2126"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100.00%</w:t>
            </w:r>
          </w:p>
        </w:tc>
      </w:tr>
      <w:tr w:rsidR="00513B7D" w:rsidTr="004A5558">
        <w:trPr>
          <w:trHeight w:val="585"/>
          <w:jc w:val="center"/>
        </w:trPr>
        <w:tc>
          <w:tcPr>
            <w:tcW w:w="1560"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其他收入</w:t>
            </w:r>
          </w:p>
        </w:tc>
        <w:tc>
          <w:tcPr>
            <w:tcW w:w="1575"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205.54</w:t>
            </w:r>
          </w:p>
        </w:tc>
        <w:tc>
          <w:tcPr>
            <w:tcW w:w="1827"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205.54</w:t>
            </w:r>
          </w:p>
        </w:tc>
        <w:tc>
          <w:tcPr>
            <w:tcW w:w="2126" w:type="dxa"/>
            <w:tcBorders>
              <w:top w:val="single" w:sz="4" w:space="0" w:color="auto"/>
              <w:left w:val="single" w:sz="4" w:space="0" w:color="auto"/>
              <w:bottom w:val="single" w:sz="4" w:space="0" w:color="auto"/>
              <w:right w:val="single" w:sz="4" w:space="0" w:color="auto"/>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100.00%</w:t>
            </w:r>
          </w:p>
        </w:tc>
      </w:tr>
    </w:tbl>
    <w:bookmarkEnd w:id="17"/>
    <w:p w:rsidR="00513B7D" w:rsidRDefault="00513B7D" w:rsidP="00513B7D">
      <w:pPr>
        <w:snapToGrid w:val="0"/>
        <w:spacing w:line="360" w:lineRule="auto"/>
        <w:ind w:firstLineChars="200" w:firstLine="640"/>
        <w:rPr>
          <w:rFonts w:ascii="仿宋_GB2312" w:eastAsia="仿宋_GB2312" w:hAnsi="仿宋" w:hint="eastAsia"/>
          <w:sz w:val="32"/>
          <w:szCs w:val="32"/>
        </w:rPr>
      </w:pPr>
      <w:r>
        <w:rPr>
          <w:rFonts w:ascii="仿宋_GB2312" w:eastAsia="仿宋_GB2312" w:hAnsi="仿宋" w:hint="eastAsia"/>
          <w:sz w:val="32"/>
          <w:szCs w:val="32"/>
        </w:rPr>
        <w:t>（2）2025年支出预决算对比分析及原因。</w:t>
      </w:r>
    </w:p>
    <w:p w:rsidR="00513B7D" w:rsidRDefault="00513B7D" w:rsidP="00513B7D">
      <w:pPr>
        <w:pStyle w:val="Default"/>
        <w:ind w:firstLineChars="200" w:firstLine="640"/>
        <w:jc w:val="both"/>
        <w:rPr>
          <w:rFonts w:ascii="仿宋_GB2312" w:eastAsia="仿宋_GB2312" w:hint="eastAsia"/>
          <w:sz w:val="32"/>
          <w:szCs w:val="32"/>
        </w:rPr>
      </w:pPr>
      <w:r>
        <w:rPr>
          <w:rFonts w:ascii="仿宋_GB2312" w:eastAsia="仿宋_GB2312" w:hint="eastAsia"/>
          <w:sz w:val="32"/>
          <w:szCs w:val="32"/>
        </w:rPr>
        <w:t>单位2025年</w:t>
      </w:r>
      <w:r>
        <w:rPr>
          <w:rFonts w:ascii="仿宋_GB2312" w:eastAsia="仿宋_GB2312" w:hAnsi="Times New Roman" w:cs="Times New Roman" w:hint="eastAsia"/>
          <w:sz w:val="32"/>
          <w:szCs w:val="32"/>
        </w:rPr>
        <w:t>度</w:t>
      </w:r>
      <w:r>
        <w:rPr>
          <w:rFonts w:ascii="仿宋_GB2312" w:eastAsia="仿宋_GB2312" w:hint="eastAsia"/>
          <w:sz w:val="32"/>
          <w:szCs w:val="32"/>
        </w:rPr>
        <w:t>全年预算支出4069.35万元，决算支出4069.35万元。执行率100.00%。按功能科目分，一般公共服务支出全年预算数20.03万元，决算数20.03万元，执行率100.00%；教育支出全年预算数3191.97万元，决算数据3191.97万元，执行率100.00%；社会保障和就业支出全年预算数448.23万元，决算数448.23万元，执行率100.00%；卫生健康支出全年预算数168.99万元，决算数168.99万元，执行率100.00%；住房保障支出全年预算数240.13万元，决算数240.13万元，执行率100.00%。</w:t>
      </w:r>
    </w:p>
    <w:p w:rsidR="00513B7D" w:rsidRDefault="00513B7D" w:rsidP="00513B7D">
      <w:pPr>
        <w:snapToGrid w:val="0"/>
        <w:spacing w:line="520" w:lineRule="exact"/>
        <w:jc w:val="center"/>
        <w:rPr>
          <w:rFonts w:ascii="仿宋_GB2312" w:eastAsia="仿宋_GB2312" w:hAnsi="仿宋"/>
          <w:sz w:val="32"/>
          <w:szCs w:val="32"/>
        </w:rPr>
      </w:pPr>
      <w:r>
        <w:rPr>
          <w:rFonts w:ascii="仿宋_GB2312" w:eastAsia="仿宋_GB2312" w:hAnsi="仿宋" w:hint="eastAsia"/>
          <w:color w:val="000000"/>
          <w:sz w:val="32"/>
          <w:szCs w:val="32"/>
        </w:rPr>
        <w:t>支出预算与决算对比示意图（按功能科目分）（单位：万元）</w:t>
      </w:r>
    </w:p>
    <w:tbl>
      <w:tblPr>
        <w:tblW w:w="8237" w:type="dxa"/>
        <w:tblInd w:w="546" w:type="dxa"/>
        <w:tblCellMar>
          <w:left w:w="0" w:type="dxa"/>
          <w:right w:w="0" w:type="dxa"/>
        </w:tblCellMar>
        <w:tblLook w:val="0000"/>
      </w:tblPr>
      <w:tblGrid>
        <w:gridCol w:w="2850"/>
        <w:gridCol w:w="1843"/>
        <w:gridCol w:w="1418"/>
        <w:gridCol w:w="2126"/>
      </w:tblGrid>
      <w:tr w:rsidR="00513B7D" w:rsidTr="004A5558">
        <w:trPr>
          <w:trHeight w:val="740"/>
        </w:trPr>
        <w:tc>
          <w:tcPr>
            <w:tcW w:w="285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功能科目</w:t>
            </w:r>
          </w:p>
        </w:tc>
        <w:tc>
          <w:tcPr>
            <w:tcW w:w="184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全年预算数</w:t>
            </w:r>
          </w:p>
        </w:tc>
        <w:tc>
          <w:tcPr>
            <w:tcW w:w="14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决算数</w:t>
            </w:r>
          </w:p>
        </w:tc>
        <w:tc>
          <w:tcPr>
            <w:tcW w:w="212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执行率</w:t>
            </w:r>
          </w:p>
        </w:tc>
      </w:tr>
      <w:tr w:rsidR="00513B7D" w:rsidTr="004A5558">
        <w:trPr>
          <w:trHeight w:val="758"/>
        </w:trPr>
        <w:tc>
          <w:tcPr>
            <w:tcW w:w="285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总支出</w:t>
            </w:r>
          </w:p>
        </w:tc>
        <w:tc>
          <w:tcPr>
            <w:tcW w:w="184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4069.35</w:t>
            </w:r>
          </w:p>
        </w:tc>
        <w:tc>
          <w:tcPr>
            <w:tcW w:w="14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4069.35</w:t>
            </w:r>
          </w:p>
        </w:tc>
        <w:tc>
          <w:tcPr>
            <w:tcW w:w="212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100.00%</w:t>
            </w:r>
          </w:p>
        </w:tc>
      </w:tr>
      <w:tr w:rsidR="00513B7D" w:rsidTr="004A5558">
        <w:trPr>
          <w:trHeight w:val="740"/>
        </w:trPr>
        <w:tc>
          <w:tcPr>
            <w:tcW w:w="285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一般公共服务支出</w:t>
            </w:r>
          </w:p>
        </w:tc>
        <w:tc>
          <w:tcPr>
            <w:tcW w:w="184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20.03</w:t>
            </w:r>
          </w:p>
        </w:tc>
        <w:tc>
          <w:tcPr>
            <w:tcW w:w="14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20.03</w:t>
            </w:r>
          </w:p>
        </w:tc>
        <w:tc>
          <w:tcPr>
            <w:tcW w:w="212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100.00%</w:t>
            </w:r>
          </w:p>
        </w:tc>
      </w:tr>
      <w:tr w:rsidR="00513B7D" w:rsidTr="004A5558">
        <w:trPr>
          <w:trHeight w:val="740"/>
        </w:trPr>
        <w:tc>
          <w:tcPr>
            <w:tcW w:w="285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lastRenderedPageBreak/>
              <w:t>教育支出</w:t>
            </w:r>
          </w:p>
        </w:tc>
        <w:tc>
          <w:tcPr>
            <w:tcW w:w="184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3191.97</w:t>
            </w:r>
          </w:p>
        </w:tc>
        <w:tc>
          <w:tcPr>
            <w:tcW w:w="14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3191.97</w:t>
            </w:r>
          </w:p>
        </w:tc>
        <w:tc>
          <w:tcPr>
            <w:tcW w:w="212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100.00%</w:t>
            </w:r>
          </w:p>
        </w:tc>
      </w:tr>
      <w:tr w:rsidR="00513B7D" w:rsidTr="004A5558">
        <w:trPr>
          <w:trHeight w:val="740"/>
        </w:trPr>
        <w:tc>
          <w:tcPr>
            <w:tcW w:w="285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社会保障和就业支出</w:t>
            </w:r>
          </w:p>
        </w:tc>
        <w:tc>
          <w:tcPr>
            <w:tcW w:w="184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448.23</w:t>
            </w:r>
          </w:p>
        </w:tc>
        <w:tc>
          <w:tcPr>
            <w:tcW w:w="14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448.23</w:t>
            </w:r>
          </w:p>
        </w:tc>
        <w:tc>
          <w:tcPr>
            <w:tcW w:w="212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100.00%</w:t>
            </w:r>
          </w:p>
        </w:tc>
      </w:tr>
      <w:tr w:rsidR="00513B7D" w:rsidTr="004A5558">
        <w:trPr>
          <w:trHeight w:val="740"/>
        </w:trPr>
        <w:tc>
          <w:tcPr>
            <w:tcW w:w="285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卫生健康支出</w:t>
            </w:r>
          </w:p>
        </w:tc>
        <w:tc>
          <w:tcPr>
            <w:tcW w:w="184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168.99</w:t>
            </w:r>
          </w:p>
        </w:tc>
        <w:tc>
          <w:tcPr>
            <w:tcW w:w="14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168.99</w:t>
            </w:r>
          </w:p>
        </w:tc>
        <w:tc>
          <w:tcPr>
            <w:tcW w:w="212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100.00%</w:t>
            </w:r>
          </w:p>
        </w:tc>
      </w:tr>
      <w:tr w:rsidR="00513B7D" w:rsidTr="004A5558">
        <w:trPr>
          <w:trHeight w:val="740"/>
        </w:trPr>
        <w:tc>
          <w:tcPr>
            <w:tcW w:w="285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住房保障支出</w:t>
            </w:r>
          </w:p>
        </w:tc>
        <w:tc>
          <w:tcPr>
            <w:tcW w:w="184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240.13</w:t>
            </w:r>
          </w:p>
        </w:tc>
        <w:tc>
          <w:tcPr>
            <w:tcW w:w="14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240.13</w:t>
            </w:r>
          </w:p>
        </w:tc>
        <w:tc>
          <w:tcPr>
            <w:tcW w:w="2126"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100.00%</w:t>
            </w:r>
          </w:p>
        </w:tc>
      </w:tr>
    </w:tbl>
    <w:p w:rsidR="00513B7D" w:rsidRDefault="00513B7D" w:rsidP="00513B7D">
      <w:pPr>
        <w:snapToGrid w:val="0"/>
        <w:spacing w:line="520" w:lineRule="exact"/>
        <w:ind w:firstLineChars="200" w:firstLine="640"/>
        <w:rPr>
          <w:rFonts w:ascii="仿宋_GB2312" w:eastAsia="仿宋_GB2312" w:hAnsi="仿宋" w:hint="eastAsia"/>
          <w:b/>
          <w:sz w:val="32"/>
          <w:szCs w:val="32"/>
        </w:rPr>
      </w:pPr>
      <w:r>
        <w:rPr>
          <w:rFonts w:ascii="仿宋_GB2312" w:eastAsia="仿宋_GB2312" w:hAnsi="仿宋" w:hint="eastAsia"/>
          <w:b/>
          <w:sz w:val="32"/>
          <w:szCs w:val="32"/>
        </w:rPr>
        <w:t>2．收入支出结构分析。</w:t>
      </w:r>
    </w:p>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（1）</w:t>
      </w:r>
      <w:r>
        <w:rPr>
          <w:rFonts w:ascii="仿宋_GB2312" w:eastAsia="仿宋_GB2312" w:cs="Calibri" w:hint="eastAsia"/>
          <w:color w:val="000000"/>
          <w:kern w:val="0"/>
          <w:sz w:val="32"/>
        </w:rPr>
        <w:t>2</w:t>
      </w:r>
      <w:r>
        <w:rPr>
          <w:rFonts w:ascii="仿宋_GB2312" w:eastAsia="仿宋_GB2312" w:cs="Calibri"/>
          <w:color w:val="000000"/>
          <w:kern w:val="0"/>
          <w:sz w:val="32"/>
        </w:rPr>
        <w:t>02</w:t>
      </w:r>
      <w:r>
        <w:rPr>
          <w:rFonts w:ascii="仿宋_GB2312" w:eastAsia="仿宋_GB2312" w:cs="Calibri" w:hint="eastAsia"/>
          <w:color w:val="000000"/>
          <w:kern w:val="0"/>
          <w:sz w:val="32"/>
        </w:rPr>
        <w:t>5年收入、支出结构分析</w:t>
      </w:r>
      <w:r>
        <w:rPr>
          <w:rFonts w:ascii="仿宋_GB2312" w:eastAsia="仿宋_GB2312" w:hAnsi="仿宋" w:hint="eastAsia"/>
          <w:sz w:val="32"/>
          <w:szCs w:val="32"/>
        </w:rPr>
        <w:t>。</w:t>
      </w:r>
    </w:p>
    <w:p w:rsidR="00513B7D" w:rsidRDefault="00513B7D" w:rsidP="00513B7D">
      <w:pPr>
        <w:ind w:firstLineChars="200" w:firstLine="640"/>
        <w:rPr>
          <w:rFonts w:ascii="仿宋_GB2312" w:eastAsia="仿宋_GB2312"/>
          <w:sz w:val="32"/>
          <w:szCs w:val="32"/>
        </w:rPr>
      </w:pPr>
      <w:r>
        <w:rPr>
          <w:rFonts w:ascii="仿宋_GB2312" w:eastAsia="仿宋_GB2312" w:hint="eastAsia"/>
          <w:sz w:val="32"/>
          <w:szCs w:val="32"/>
        </w:rPr>
        <w:t>单位2025年度单位全年收入4069.35万元，其中财政拨款收入</w:t>
      </w:r>
      <w:r>
        <w:rPr>
          <w:rFonts w:ascii="仿宋_GB2312" w:eastAsia="仿宋_GB2312" w:hint="eastAsia"/>
          <w:sz w:val="36"/>
          <w:szCs w:val="36"/>
        </w:rPr>
        <w:t>3863.81</w:t>
      </w:r>
      <w:r>
        <w:rPr>
          <w:rFonts w:ascii="仿宋_GB2312" w:eastAsia="仿宋_GB2312" w:hint="eastAsia"/>
          <w:sz w:val="32"/>
          <w:szCs w:val="32"/>
        </w:rPr>
        <w:t>万元，占全年收入的94.95%；其他收入205.54万元，占全年收入的5.05%。</w:t>
      </w:r>
    </w:p>
    <w:p w:rsidR="00513B7D" w:rsidRDefault="00513B7D" w:rsidP="00513B7D">
      <w:pPr>
        <w:pStyle w:val="Default"/>
        <w:jc w:val="center"/>
        <w:rPr>
          <w:rFonts w:ascii="仿宋_GB2312" w:eastAsia="仿宋_GB2312" w:hAnsi="Times New Roman" w:cs="Times New Roman" w:hint="eastAsia"/>
          <w:color w:val="auto"/>
          <w:sz w:val="32"/>
          <w:szCs w:val="32"/>
        </w:rPr>
      </w:pPr>
      <w:r>
        <w:rPr>
          <w:rFonts w:ascii="仿宋_GB2312" w:eastAsia="仿宋_GB2312" w:hAnsi="Times New Roman" w:cs="Times New Roman" w:hint="eastAsia"/>
          <w:color w:val="auto"/>
          <w:sz w:val="32"/>
          <w:szCs w:val="32"/>
        </w:rPr>
        <w:t>收入分类占比情况表</w:t>
      </w:r>
      <w:r>
        <w:rPr>
          <w:rFonts w:ascii="仿宋_GB2312" w:eastAsia="仿宋_GB2312" w:hAnsi="仿宋" w:hint="eastAsia"/>
          <w:sz w:val="32"/>
          <w:szCs w:val="32"/>
        </w:rPr>
        <w:t>（单位：万元）</w:t>
      </w:r>
    </w:p>
    <w:tbl>
      <w:tblPr>
        <w:tblW w:w="4998" w:type="pct"/>
        <w:tblCellMar>
          <w:left w:w="0" w:type="dxa"/>
          <w:right w:w="0" w:type="dxa"/>
        </w:tblCellMar>
        <w:tblLook w:val="0000"/>
      </w:tblPr>
      <w:tblGrid>
        <w:gridCol w:w="2477"/>
        <w:gridCol w:w="2928"/>
        <w:gridCol w:w="2928"/>
      </w:tblGrid>
      <w:tr w:rsidR="00513B7D" w:rsidTr="004A5558">
        <w:trPr>
          <w:trHeight w:val="495"/>
        </w:trPr>
        <w:tc>
          <w:tcPr>
            <w:tcW w:w="148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项目</w:t>
            </w:r>
          </w:p>
        </w:tc>
        <w:tc>
          <w:tcPr>
            <w:tcW w:w="175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金额（万元）</w:t>
            </w:r>
          </w:p>
        </w:tc>
        <w:tc>
          <w:tcPr>
            <w:tcW w:w="175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占比情况</w:t>
            </w:r>
          </w:p>
        </w:tc>
      </w:tr>
      <w:tr w:rsidR="00513B7D" w:rsidTr="004A5558">
        <w:trPr>
          <w:trHeight w:val="495"/>
        </w:trPr>
        <w:tc>
          <w:tcPr>
            <w:tcW w:w="148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收入合计</w:t>
            </w:r>
          </w:p>
        </w:tc>
        <w:tc>
          <w:tcPr>
            <w:tcW w:w="29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4069.35</w:t>
            </w:r>
          </w:p>
        </w:tc>
        <w:tc>
          <w:tcPr>
            <w:tcW w:w="29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100.00%</w:t>
            </w:r>
          </w:p>
        </w:tc>
      </w:tr>
      <w:tr w:rsidR="00513B7D" w:rsidTr="004A5558">
        <w:trPr>
          <w:trHeight w:val="495"/>
        </w:trPr>
        <w:tc>
          <w:tcPr>
            <w:tcW w:w="148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财政拨款收入</w:t>
            </w:r>
          </w:p>
        </w:tc>
        <w:tc>
          <w:tcPr>
            <w:tcW w:w="29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3863.81</w:t>
            </w:r>
          </w:p>
        </w:tc>
        <w:tc>
          <w:tcPr>
            <w:tcW w:w="29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94.95%</w:t>
            </w:r>
          </w:p>
        </w:tc>
      </w:tr>
      <w:tr w:rsidR="00513B7D" w:rsidTr="004A5558">
        <w:trPr>
          <w:trHeight w:val="495"/>
        </w:trPr>
        <w:tc>
          <w:tcPr>
            <w:tcW w:w="148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其他收入</w:t>
            </w:r>
          </w:p>
        </w:tc>
        <w:tc>
          <w:tcPr>
            <w:tcW w:w="29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205.54</w:t>
            </w:r>
          </w:p>
        </w:tc>
        <w:tc>
          <w:tcPr>
            <w:tcW w:w="292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5.05%</w:t>
            </w:r>
          </w:p>
        </w:tc>
      </w:tr>
    </w:tbl>
    <w:p w:rsidR="00513B7D" w:rsidRDefault="00513B7D" w:rsidP="00513B7D">
      <w:pPr>
        <w:ind w:firstLineChars="200" w:firstLine="420"/>
      </w:pPr>
      <w:r>
        <w:rPr>
          <w:noProof/>
        </w:rPr>
        <w:drawing>
          <wp:inline distT="0" distB="0" distL="0" distR="0">
            <wp:extent cx="4592320" cy="2763520"/>
            <wp:effectExtent l="19050" t="0" r="0" b="0"/>
            <wp:docPr id="5" name="图表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表 5"/>
                    <pic:cNvPicPr>
                      <a:picLocks noChangeAspect="1" noChangeArrowheads="1"/>
                    </pic:cNvPicPr>
                  </pic:nvPicPr>
                  <pic:blipFill>
                    <a:blip r:embed="rId16"/>
                    <a:srcRect/>
                    <a:stretch>
                      <a:fillRect/>
                    </a:stretch>
                  </pic:blipFill>
                  <pic:spPr bwMode="auto">
                    <a:xfrm>
                      <a:off x="0" y="0"/>
                      <a:ext cx="4592320" cy="2763520"/>
                    </a:xfrm>
                    <a:prstGeom prst="rect">
                      <a:avLst/>
                    </a:prstGeom>
                    <a:noFill/>
                    <a:ln w="9525">
                      <a:noFill/>
                      <a:miter lim="800000"/>
                      <a:headEnd/>
                      <a:tailEnd/>
                    </a:ln>
                  </pic:spPr>
                </pic:pic>
              </a:graphicData>
            </a:graphic>
          </wp:inline>
        </w:drawing>
      </w:r>
    </w:p>
    <w:p w:rsidR="00513B7D" w:rsidRDefault="00513B7D" w:rsidP="00513B7D">
      <w:pPr>
        <w:ind w:firstLineChars="200" w:firstLine="640"/>
        <w:rPr>
          <w:rFonts w:ascii="仿宋_GB2312" w:eastAsia="仿宋_GB2312" w:hint="eastAsia"/>
          <w:sz w:val="32"/>
          <w:szCs w:val="32"/>
        </w:rPr>
      </w:pPr>
      <w:r>
        <w:rPr>
          <w:rFonts w:ascii="仿宋_GB2312" w:eastAsia="仿宋_GB2312" w:hint="eastAsia"/>
          <w:sz w:val="32"/>
          <w:szCs w:val="32"/>
        </w:rPr>
        <w:lastRenderedPageBreak/>
        <w:t>单位2025年度全年支出4069.35万元，其中：基本支出3197.36万元，占全年支出78.57%（用于人员经费支出3112.09万元，占全年支出76.48%；公用经费支出85.27万元，占全年支出2.09%）；项目支出871.99万元，占全年支出21.43%。</w:t>
      </w:r>
    </w:p>
    <w:p w:rsidR="00513B7D" w:rsidRDefault="00513B7D" w:rsidP="00513B7D">
      <w:pPr>
        <w:pStyle w:val="Default"/>
        <w:jc w:val="center"/>
        <w:rPr>
          <w:rFonts w:ascii="仿宋_GB2312" w:eastAsia="仿宋_GB2312" w:hAnsi="Times New Roman" w:cs="Times New Roman" w:hint="eastAsia"/>
          <w:color w:val="auto"/>
          <w:sz w:val="32"/>
          <w:szCs w:val="32"/>
        </w:rPr>
      </w:pPr>
      <w:r>
        <w:rPr>
          <w:rFonts w:ascii="仿宋_GB2312" w:eastAsia="仿宋_GB2312" w:cs="Times New Roman" w:hint="eastAsia"/>
          <w:color w:val="auto"/>
          <w:sz w:val="32"/>
          <w:szCs w:val="32"/>
        </w:rPr>
        <w:t>支出结构</w:t>
      </w:r>
      <w:r>
        <w:rPr>
          <w:rFonts w:ascii="仿宋_GB2312" w:eastAsia="仿宋_GB2312" w:hAnsi="Times New Roman" w:cs="Times New Roman" w:hint="eastAsia"/>
          <w:color w:val="auto"/>
          <w:sz w:val="32"/>
          <w:szCs w:val="32"/>
        </w:rPr>
        <w:t>分类占比情况表</w:t>
      </w:r>
      <w:r>
        <w:rPr>
          <w:rFonts w:ascii="仿宋_GB2312" w:eastAsia="仿宋_GB2312" w:hAnsi="仿宋" w:hint="eastAsia"/>
          <w:sz w:val="32"/>
          <w:szCs w:val="32"/>
        </w:rPr>
        <w:t>（单位：万元）</w:t>
      </w:r>
    </w:p>
    <w:tbl>
      <w:tblPr>
        <w:tblW w:w="4998" w:type="pct"/>
        <w:tblCellMar>
          <w:left w:w="0" w:type="dxa"/>
          <w:right w:w="0" w:type="dxa"/>
        </w:tblCellMar>
        <w:tblLook w:val="0000"/>
      </w:tblPr>
      <w:tblGrid>
        <w:gridCol w:w="2945"/>
        <w:gridCol w:w="2694"/>
        <w:gridCol w:w="2694"/>
      </w:tblGrid>
      <w:tr w:rsidR="00513B7D" w:rsidTr="004A5558">
        <w:trPr>
          <w:trHeight w:val="439"/>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项目</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金额（万元）</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占比情况</w:t>
            </w:r>
          </w:p>
        </w:tc>
      </w:tr>
      <w:tr w:rsidR="00513B7D" w:rsidTr="004A5558">
        <w:trPr>
          <w:trHeight w:val="439"/>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支出合计</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4069.35</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100.00%</w:t>
            </w:r>
          </w:p>
        </w:tc>
      </w:tr>
      <w:tr w:rsidR="00513B7D" w:rsidTr="004A5558">
        <w:trPr>
          <w:trHeight w:val="439"/>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基本支出</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3197.36</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78.57%</w:t>
            </w:r>
          </w:p>
        </w:tc>
      </w:tr>
      <w:tr w:rsidR="00513B7D" w:rsidTr="004A5558">
        <w:trPr>
          <w:trHeight w:val="521"/>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（1）人员经费</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3112.09</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76.48%</w:t>
            </w:r>
          </w:p>
        </w:tc>
      </w:tr>
      <w:tr w:rsidR="00513B7D" w:rsidTr="004A5558">
        <w:trPr>
          <w:trHeight w:val="521"/>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（2）公用经费</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85.27</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2.09%</w:t>
            </w:r>
          </w:p>
        </w:tc>
      </w:tr>
      <w:tr w:rsidR="00513B7D" w:rsidTr="004A5558">
        <w:trPr>
          <w:trHeight w:val="521"/>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项目支出</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871.99</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21.43%</w:t>
            </w:r>
          </w:p>
        </w:tc>
      </w:tr>
    </w:tbl>
    <w:p w:rsidR="00513B7D" w:rsidRDefault="00513B7D" w:rsidP="00513B7D">
      <w:pPr>
        <w:rPr>
          <w:rFonts w:hint="eastAsia"/>
        </w:rPr>
      </w:pPr>
      <w:r>
        <w:rPr>
          <w:rFonts w:hint="eastAsia"/>
        </w:rPr>
        <w:t xml:space="preserve">    </w:t>
      </w:r>
      <w:r>
        <w:rPr>
          <w:noProof/>
        </w:rPr>
        <w:drawing>
          <wp:inline distT="0" distB="0" distL="0" distR="0">
            <wp:extent cx="4592320" cy="2763520"/>
            <wp:effectExtent l="19050" t="0" r="0" b="0"/>
            <wp:docPr id="6" name="图表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表 6"/>
                    <pic:cNvPicPr>
                      <a:picLocks noChangeAspect="1" noChangeArrowheads="1"/>
                    </pic:cNvPicPr>
                  </pic:nvPicPr>
                  <pic:blipFill>
                    <a:blip r:embed="rId17"/>
                    <a:srcRect/>
                    <a:stretch>
                      <a:fillRect/>
                    </a:stretch>
                  </pic:blipFill>
                  <pic:spPr bwMode="auto">
                    <a:xfrm>
                      <a:off x="0" y="0"/>
                      <a:ext cx="4592320" cy="2763520"/>
                    </a:xfrm>
                    <a:prstGeom prst="rect">
                      <a:avLst/>
                    </a:prstGeom>
                    <a:noFill/>
                    <a:ln w="9525">
                      <a:noFill/>
                      <a:miter lim="800000"/>
                      <a:headEnd/>
                      <a:tailEnd/>
                    </a:ln>
                  </pic:spPr>
                </pic:pic>
              </a:graphicData>
            </a:graphic>
          </wp:inline>
        </w:drawing>
      </w:r>
    </w:p>
    <w:p w:rsidR="00513B7D" w:rsidRDefault="00513B7D" w:rsidP="00513B7D">
      <w:pPr>
        <w:numPr>
          <w:ilvl w:val="0"/>
          <w:numId w:val="4"/>
        </w:num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收入支出与上年度对比情况及原因分析。</w:t>
      </w:r>
    </w:p>
    <w:p w:rsidR="00513B7D" w:rsidRDefault="00513B7D" w:rsidP="00513B7D">
      <w:pPr>
        <w:widowControl/>
        <w:jc w:val="left"/>
        <w:rPr>
          <w:rFonts w:ascii="仿宋_GB2312" w:eastAsia="仿宋_GB2312" w:hAnsi="仿宋"/>
          <w:sz w:val="32"/>
          <w:szCs w:val="32"/>
        </w:rPr>
      </w:pPr>
      <w:r>
        <w:rPr>
          <w:rFonts w:ascii="仿宋_GB2312" w:eastAsia="仿宋_GB2312" w:hAnsi="仿宋" w:hint="eastAsia"/>
          <w:sz w:val="32"/>
          <w:szCs w:val="32"/>
        </w:rPr>
        <w:t>单位2025年度收入4069.35万元，较2024年度收入3707.93万元，</w:t>
      </w:r>
      <w:r>
        <w:rPr>
          <w:rFonts w:ascii="仿宋_GB2312" w:eastAsia="仿宋_GB2312" w:hint="eastAsia"/>
          <w:sz w:val="32"/>
          <w:szCs w:val="32"/>
        </w:rPr>
        <w:t>增加361.42万元，增加9.75%</w:t>
      </w:r>
      <w:r>
        <w:rPr>
          <w:rFonts w:ascii="仿宋_GB2312" w:eastAsia="仿宋_GB2312" w:hAnsi="仿宋" w:hint="eastAsia"/>
          <w:sz w:val="32"/>
          <w:szCs w:val="32"/>
        </w:rPr>
        <w:t>。其中2025</w:t>
      </w:r>
      <w:r>
        <w:rPr>
          <w:rFonts w:ascii="仿宋_GB2312" w:eastAsia="仿宋_GB2312" w:hAnsi="仿宋" w:hint="eastAsia"/>
          <w:sz w:val="32"/>
          <w:szCs w:val="32"/>
        </w:rPr>
        <w:lastRenderedPageBreak/>
        <w:t>年度财政拨款收入3863.81万元，较2024年</w:t>
      </w:r>
      <w:r>
        <w:rPr>
          <w:rFonts w:ascii="仿宋_GB2312" w:eastAsia="仿宋_GB2312" w:hint="eastAsia"/>
          <w:sz w:val="32"/>
          <w:szCs w:val="32"/>
        </w:rPr>
        <w:t>度</w:t>
      </w:r>
      <w:r>
        <w:rPr>
          <w:rFonts w:ascii="仿宋_GB2312" w:eastAsia="仿宋_GB2312" w:hAnsi="仿宋" w:hint="eastAsia"/>
          <w:sz w:val="32"/>
          <w:szCs w:val="32"/>
        </w:rPr>
        <w:t>3307.73万元，</w:t>
      </w:r>
      <w:r>
        <w:rPr>
          <w:rFonts w:ascii="仿宋_GB2312" w:eastAsia="仿宋_GB2312" w:hint="eastAsia"/>
          <w:sz w:val="32"/>
          <w:szCs w:val="32"/>
        </w:rPr>
        <w:t>增加556.08万元，增加16.81%</w:t>
      </w:r>
      <w:r>
        <w:rPr>
          <w:rFonts w:ascii="仿宋_GB2312" w:eastAsia="仿宋_GB2312" w:hAnsi="仿宋" w:hint="eastAsia"/>
          <w:sz w:val="32"/>
          <w:szCs w:val="32"/>
        </w:rPr>
        <w:t>。主要原因是单位新增1人，相关人员、公用经费增加，财政拨款收入增加。其他收入205.54万元，较2024年度400.20万元，减少194.65万元，减少48.64%。主要原因是</w:t>
      </w:r>
      <w:r>
        <w:rPr>
          <w:rFonts w:ascii="仿宋_GB2312" w:eastAsia="仿宋_GB2312" w:hint="eastAsia"/>
          <w:sz w:val="32"/>
          <w:szCs w:val="32"/>
        </w:rPr>
        <w:t>当年其他收入减少。</w:t>
      </w:r>
    </w:p>
    <w:p w:rsidR="00513B7D" w:rsidRDefault="00513B7D" w:rsidP="00513B7D">
      <w:pPr>
        <w:pStyle w:val="Default"/>
        <w:jc w:val="center"/>
        <w:rPr>
          <w:rFonts w:ascii="仿宋_GB2312" w:eastAsia="仿宋_GB2312" w:hint="eastAsia"/>
          <w:sz w:val="32"/>
          <w:szCs w:val="32"/>
        </w:rPr>
      </w:pPr>
      <w:r>
        <w:rPr>
          <w:rFonts w:ascii="仿宋_GB2312" w:eastAsia="仿宋_GB2312" w:hint="eastAsia"/>
          <w:sz w:val="32"/>
          <w:szCs w:val="32"/>
        </w:rPr>
        <w:t>收入对比情况表</w:t>
      </w:r>
      <w:r>
        <w:rPr>
          <w:rFonts w:ascii="仿宋_GB2312" w:eastAsia="仿宋_GB2312" w:hAnsi="仿宋" w:hint="eastAsia"/>
          <w:sz w:val="32"/>
          <w:szCs w:val="32"/>
        </w:rPr>
        <w:t>（单位：万元）</w:t>
      </w:r>
    </w:p>
    <w:tbl>
      <w:tblPr>
        <w:tblW w:w="4998" w:type="pct"/>
        <w:tblInd w:w="200" w:type="dxa"/>
        <w:tblLook w:val="0000"/>
      </w:tblPr>
      <w:tblGrid>
        <w:gridCol w:w="2325"/>
        <w:gridCol w:w="1655"/>
        <w:gridCol w:w="1655"/>
        <w:gridCol w:w="1589"/>
        <w:gridCol w:w="1295"/>
      </w:tblGrid>
      <w:tr w:rsidR="00513B7D" w:rsidTr="004A5558">
        <w:trPr>
          <w:trHeight w:val="270"/>
        </w:trPr>
        <w:tc>
          <w:tcPr>
            <w:tcW w:w="2325" w:type="dxa"/>
            <w:tcBorders>
              <w:top w:val="single" w:sz="4" w:space="0" w:color="000000"/>
              <w:left w:val="single" w:sz="4" w:space="0" w:color="000000"/>
              <w:bottom w:val="single" w:sz="4" w:space="0" w:color="000000"/>
              <w:right w:val="single" w:sz="4" w:space="0" w:color="000000"/>
            </w:tcBorders>
            <w:noWrap/>
          </w:tcPr>
          <w:p w:rsidR="00513B7D" w:rsidRDefault="00513B7D" w:rsidP="004A5558">
            <w:pPr>
              <w:jc w:val="center"/>
              <w:rPr>
                <w:rFonts w:ascii="微软雅黑" w:eastAsia="微软雅黑" w:hAnsi="微软雅黑"/>
              </w:rPr>
            </w:pPr>
            <w:r>
              <w:rPr>
                <w:rFonts w:ascii="微软雅黑" w:eastAsia="微软雅黑" w:hAnsi="微软雅黑" w:hint="eastAsia"/>
              </w:rPr>
              <w:t>项目</w:t>
            </w:r>
          </w:p>
        </w:tc>
        <w:tc>
          <w:tcPr>
            <w:tcW w:w="1655" w:type="dxa"/>
            <w:tcBorders>
              <w:top w:val="single" w:sz="4" w:space="0" w:color="000000"/>
              <w:left w:val="single" w:sz="4" w:space="0" w:color="000000"/>
              <w:bottom w:val="single" w:sz="4" w:space="0" w:color="000000"/>
              <w:right w:val="single" w:sz="4" w:space="0" w:color="000000"/>
            </w:tcBorders>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2025年</w:t>
            </w:r>
          </w:p>
        </w:tc>
        <w:tc>
          <w:tcPr>
            <w:tcW w:w="1655" w:type="dxa"/>
            <w:tcBorders>
              <w:top w:val="single" w:sz="4" w:space="0" w:color="000000"/>
              <w:left w:val="single" w:sz="4" w:space="0" w:color="000000"/>
              <w:bottom w:val="single" w:sz="4" w:space="0" w:color="000000"/>
              <w:right w:val="single" w:sz="4" w:space="0" w:color="000000"/>
            </w:tcBorders>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2024年</w:t>
            </w:r>
          </w:p>
        </w:tc>
        <w:tc>
          <w:tcPr>
            <w:tcW w:w="1589"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增减值</w:t>
            </w:r>
          </w:p>
        </w:tc>
        <w:tc>
          <w:tcPr>
            <w:tcW w:w="129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增减比例</w:t>
            </w:r>
          </w:p>
        </w:tc>
      </w:tr>
      <w:tr w:rsidR="00513B7D" w:rsidTr="004A5558">
        <w:trPr>
          <w:trHeight w:val="270"/>
        </w:trPr>
        <w:tc>
          <w:tcPr>
            <w:tcW w:w="2325" w:type="dxa"/>
            <w:tcBorders>
              <w:top w:val="single" w:sz="4" w:space="0" w:color="000000"/>
              <w:left w:val="single" w:sz="4" w:space="0" w:color="000000"/>
              <w:bottom w:val="single" w:sz="4" w:space="0" w:color="000000"/>
              <w:right w:val="single" w:sz="4" w:space="0" w:color="000000"/>
            </w:tcBorders>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收入合计</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4069.35</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3707.93</w:t>
            </w:r>
          </w:p>
        </w:tc>
        <w:tc>
          <w:tcPr>
            <w:tcW w:w="1589"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361.42</w:t>
            </w:r>
          </w:p>
        </w:tc>
        <w:tc>
          <w:tcPr>
            <w:tcW w:w="129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9.75%</w:t>
            </w:r>
          </w:p>
        </w:tc>
      </w:tr>
      <w:tr w:rsidR="00513B7D" w:rsidTr="004A5558">
        <w:trPr>
          <w:trHeight w:val="270"/>
        </w:trPr>
        <w:tc>
          <w:tcPr>
            <w:tcW w:w="2325" w:type="dxa"/>
            <w:tcBorders>
              <w:top w:val="single" w:sz="4" w:space="0" w:color="000000"/>
              <w:left w:val="single" w:sz="4" w:space="0" w:color="000000"/>
              <w:bottom w:val="single" w:sz="4" w:space="0" w:color="000000"/>
              <w:right w:val="single" w:sz="4" w:space="0" w:color="000000"/>
            </w:tcBorders>
            <w:noWrap/>
          </w:tcPr>
          <w:p w:rsidR="00513B7D" w:rsidRDefault="00513B7D" w:rsidP="004A5558">
            <w:pPr>
              <w:jc w:val="center"/>
              <w:rPr>
                <w:rFonts w:ascii="微软雅黑" w:eastAsia="微软雅黑" w:hAnsi="微软雅黑" w:hint="eastAsia"/>
              </w:rPr>
            </w:pPr>
            <w:r>
              <w:rPr>
                <w:rFonts w:ascii="微软雅黑" w:eastAsia="微软雅黑" w:hAnsi="微软雅黑" w:hint="eastAsia"/>
              </w:rPr>
              <w:t>财政拨款收入</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3863.81</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3307.73</w:t>
            </w:r>
          </w:p>
        </w:tc>
        <w:tc>
          <w:tcPr>
            <w:tcW w:w="1589"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556.08</w:t>
            </w:r>
          </w:p>
        </w:tc>
        <w:tc>
          <w:tcPr>
            <w:tcW w:w="129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16.81%</w:t>
            </w:r>
          </w:p>
        </w:tc>
      </w:tr>
      <w:tr w:rsidR="00513B7D" w:rsidTr="004A5558">
        <w:trPr>
          <w:trHeight w:val="270"/>
        </w:trPr>
        <w:tc>
          <w:tcPr>
            <w:tcW w:w="2325" w:type="dxa"/>
            <w:tcBorders>
              <w:top w:val="single" w:sz="4" w:space="0" w:color="000000"/>
              <w:left w:val="single" w:sz="4" w:space="0" w:color="000000"/>
              <w:bottom w:val="single" w:sz="4" w:space="0" w:color="000000"/>
              <w:right w:val="single" w:sz="4" w:space="0" w:color="000000"/>
            </w:tcBorders>
            <w:noWrap/>
          </w:tcPr>
          <w:p w:rsidR="00513B7D" w:rsidRDefault="00513B7D" w:rsidP="004A5558">
            <w:pPr>
              <w:jc w:val="center"/>
              <w:rPr>
                <w:rFonts w:ascii="微软雅黑" w:eastAsia="微软雅黑" w:hAnsi="微软雅黑"/>
              </w:rPr>
            </w:pPr>
            <w:r>
              <w:rPr>
                <w:rFonts w:ascii="微软雅黑" w:eastAsia="微软雅黑" w:hAnsi="微软雅黑" w:hint="eastAsia"/>
              </w:rPr>
              <w:t>其他收入</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205.54</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400.20</w:t>
            </w:r>
          </w:p>
        </w:tc>
        <w:tc>
          <w:tcPr>
            <w:tcW w:w="1589"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-194.65 </w:t>
            </w:r>
          </w:p>
        </w:tc>
        <w:tc>
          <w:tcPr>
            <w:tcW w:w="129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-48.64%</w:t>
            </w:r>
          </w:p>
        </w:tc>
      </w:tr>
    </w:tbl>
    <w:p w:rsidR="00513B7D" w:rsidRDefault="00513B7D" w:rsidP="00513B7D">
      <w:pPr>
        <w:pStyle w:val="Default"/>
        <w:ind w:firstLineChars="200" w:firstLine="480"/>
        <w:jc w:val="both"/>
      </w:pPr>
      <w:r>
        <w:rPr>
          <w:noProof/>
        </w:rPr>
        <w:drawing>
          <wp:inline distT="0" distB="0" distL="0" distR="0">
            <wp:extent cx="4592320" cy="2820035"/>
            <wp:effectExtent l="19050" t="0" r="0" b="0"/>
            <wp:docPr id="7" name="图表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表 3"/>
                    <pic:cNvPicPr>
                      <a:picLocks noChangeAspect="1" noChangeArrowheads="1"/>
                    </pic:cNvPicPr>
                  </pic:nvPicPr>
                  <pic:blipFill>
                    <a:blip r:embed="rId18"/>
                    <a:srcRect/>
                    <a:stretch>
                      <a:fillRect/>
                    </a:stretch>
                  </pic:blipFill>
                  <pic:spPr bwMode="auto">
                    <a:xfrm>
                      <a:off x="0" y="0"/>
                      <a:ext cx="4592320" cy="2820035"/>
                    </a:xfrm>
                    <a:prstGeom prst="rect">
                      <a:avLst/>
                    </a:prstGeom>
                    <a:noFill/>
                    <a:ln w="9525">
                      <a:noFill/>
                      <a:miter lim="800000"/>
                      <a:headEnd/>
                      <a:tailEnd/>
                    </a:ln>
                  </pic:spPr>
                </pic:pic>
              </a:graphicData>
            </a:graphic>
          </wp:inline>
        </w:drawing>
      </w:r>
    </w:p>
    <w:p w:rsidR="00513B7D" w:rsidRDefault="00513B7D" w:rsidP="00513B7D">
      <w:pPr>
        <w:widowControl/>
        <w:ind w:firstLineChars="200" w:firstLine="640"/>
        <w:jc w:val="left"/>
      </w:pPr>
      <w:r>
        <w:rPr>
          <w:rFonts w:ascii="仿宋_GB2312" w:eastAsia="仿宋_GB2312" w:hAnsi="仿宋" w:hint="eastAsia"/>
          <w:sz w:val="32"/>
          <w:szCs w:val="32"/>
        </w:rPr>
        <w:t>单位2025年</w:t>
      </w:r>
      <w:r>
        <w:rPr>
          <w:rFonts w:ascii="仿宋_GB2312" w:eastAsia="仿宋_GB2312" w:hint="eastAsia"/>
          <w:sz w:val="32"/>
          <w:szCs w:val="32"/>
        </w:rPr>
        <w:t>度</w:t>
      </w:r>
      <w:r>
        <w:rPr>
          <w:rFonts w:ascii="仿宋_GB2312" w:eastAsia="仿宋_GB2312" w:hAnsi="仿宋" w:hint="eastAsia"/>
          <w:sz w:val="32"/>
          <w:szCs w:val="32"/>
        </w:rPr>
        <w:t>支出4069.35万元，较2024年度3707.93万元，增加361.42万元，增加9.75%。其中基本支出3197.36万元，较2024年度2906.98万元，增加290.38万元，增加9.99%。主要原因是当年人员增加，相关人员，</w:t>
      </w:r>
      <w:r>
        <w:rPr>
          <w:rFonts w:ascii="仿宋_GB2312" w:eastAsia="仿宋_GB2312" w:hAnsi="仿宋" w:hint="eastAsia"/>
          <w:sz w:val="32"/>
          <w:szCs w:val="32"/>
        </w:rPr>
        <w:lastRenderedPageBreak/>
        <w:t>公用经费支出增加；2025年</w:t>
      </w:r>
      <w:r>
        <w:rPr>
          <w:rFonts w:ascii="仿宋_GB2312" w:eastAsia="仿宋_GB2312" w:hint="eastAsia"/>
          <w:sz w:val="32"/>
          <w:szCs w:val="32"/>
        </w:rPr>
        <w:t>度</w:t>
      </w:r>
      <w:r>
        <w:rPr>
          <w:rFonts w:ascii="仿宋_GB2312" w:eastAsia="仿宋_GB2312" w:hAnsi="仿宋" w:hint="eastAsia"/>
          <w:sz w:val="32"/>
          <w:szCs w:val="32"/>
        </w:rPr>
        <w:t>项目支出871.99万元，较2024年度800.95万元，增加71.04万元，增加8.87%。主要原因是当年项目增多，支出增加。</w:t>
      </w:r>
    </w:p>
    <w:p w:rsidR="00513B7D" w:rsidRDefault="00513B7D" w:rsidP="00513B7D">
      <w:pPr>
        <w:pStyle w:val="Default"/>
        <w:jc w:val="center"/>
        <w:rPr>
          <w:rFonts w:ascii="仿宋_GB2312" w:eastAsia="仿宋_GB2312" w:hAnsi="仿宋" w:hint="eastAsia"/>
          <w:sz w:val="32"/>
          <w:szCs w:val="32"/>
        </w:rPr>
      </w:pPr>
      <w:r>
        <w:rPr>
          <w:rFonts w:ascii="仿宋_GB2312" w:eastAsia="仿宋_GB2312" w:hAnsi="仿宋" w:hint="eastAsia"/>
          <w:sz w:val="32"/>
          <w:szCs w:val="32"/>
        </w:rPr>
        <w:t>支出对比情况表（单位：万元）</w:t>
      </w:r>
    </w:p>
    <w:tbl>
      <w:tblPr>
        <w:tblW w:w="4998" w:type="pct"/>
        <w:tblInd w:w="200" w:type="dxa"/>
        <w:tblLook w:val="0000"/>
      </w:tblPr>
      <w:tblGrid>
        <w:gridCol w:w="2523"/>
        <w:gridCol w:w="1841"/>
        <w:gridCol w:w="1546"/>
        <w:gridCol w:w="1248"/>
        <w:gridCol w:w="1361"/>
      </w:tblGrid>
      <w:tr w:rsidR="00513B7D" w:rsidTr="004A5558">
        <w:trPr>
          <w:trHeight w:val="270"/>
        </w:trPr>
        <w:tc>
          <w:tcPr>
            <w:tcW w:w="14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项目</w:t>
            </w:r>
          </w:p>
        </w:tc>
        <w:tc>
          <w:tcPr>
            <w:tcW w:w="10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2025年</w:t>
            </w:r>
          </w:p>
        </w:tc>
        <w:tc>
          <w:tcPr>
            <w:tcW w:w="907"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2024年</w:t>
            </w:r>
          </w:p>
        </w:tc>
        <w:tc>
          <w:tcPr>
            <w:tcW w:w="732"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增减值</w:t>
            </w:r>
          </w:p>
        </w:tc>
        <w:tc>
          <w:tcPr>
            <w:tcW w:w="798"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增减比例</w:t>
            </w:r>
          </w:p>
        </w:tc>
      </w:tr>
      <w:tr w:rsidR="00513B7D" w:rsidTr="004A5558">
        <w:trPr>
          <w:trHeight w:val="270"/>
        </w:trPr>
        <w:tc>
          <w:tcPr>
            <w:tcW w:w="14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本年支出</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4069.35</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3,707.93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361.42</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9.75%</w:t>
            </w:r>
          </w:p>
        </w:tc>
      </w:tr>
      <w:tr w:rsidR="00513B7D" w:rsidTr="004A5558">
        <w:trPr>
          <w:trHeight w:val="270"/>
        </w:trPr>
        <w:tc>
          <w:tcPr>
            <w:tcW w:w="14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基本支出</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3197.36</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2,906.98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290.38</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9.99%</w:t>
            </w:r>
          </w:p>
        </w:tc>
      </w:tr>
      <w:tr w:rsidR="00513B7D" w:rsidTr="004A5558">
        <w:trPr>
          <w:trHeight w:val="270"/>
        </w:trPr>
        <w:tc>
          <w:tcPr>
            <w:tcW w:w="2523"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（1）人员经费</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3112.09</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2,883.96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228.13</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7.91%</w:t>
            </w:r>
          </w:p>
        </w:tc>
      </w:tr>
      <w:tr w:rsidR="00513B7D" w:rsidTr="004A5558">
        <w:trPr>
          <w:trHeight w:val="270"/>
        </w:trPr>
        <w:tc>
          <w:tcPr>
            <w:tcW w:w="2523"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（2）公用经费</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85.27</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23.02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62.25</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270.42%</w:t>
            </w:r>
          </w:p>
        </w:tc>
      </w:tr>
      <w:tr w:rsidR="00513B7D" w:rsidTr="004A5558">
        <w:trPr>
          <w:trHeight w:val="624"/>
        </w:trPr>
        <w:tc>
          <w:tcPr>
            <w:tcW w:w="14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项目支出</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871.99</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800.95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71.04 </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8.87%</w:t>
            </w:r>
          </w:p>
        </w:tc>
      </w:tr>
      <w:tr w:rsidR="00513B7D" w:rsidTr="004A5558">
        <w:trPr>
          <w:trHeight w:val="270"/>
        </w:trPr>
        <w:tc>
          <w:tcPr>
            <w:tcW w:w="148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其中：基本建设类项目</w:t>
            </w:r>
          </w:p>
        </w:tc>
        <w:tc>
          <w:tcPr>
            <w:tcW w:w="184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0.00 </w:t>
            </w:r>
          </w:p>
        </w:tc>
        <w:tc>
          <w:tcPr>
            <w:tcW w:w="1546"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0.00 </w:t>
            </w:r>
          </w:p>
        </w:tc>
        <w:tc>
          <w:tcPr>
            <w:tcW w:w="1248"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0.00 </w:t>
            </w:r>
          </w:p>
        </w:tc>
        <w:tc>
          <w:tcPr>
            <w:tcW w:w="136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r>
    </w:tbl>
    <w:p w:rsidR="00513B7D" w:rsidRDefault="00513B7D" w:rsidP="00513B7D">
      <w:pPr>
        <w:rPr>
          <w:rFonts w:hint="eastAsia"/>
        </w:rPr>
      </w:pPr>
    </w:p>
    <w:p w:rsidR="00513B7D" w:rsidRDefault="00513B7D" w:rsidP="00513B7D">
      <w:pPr>
        <w:snapToGrid w:val="0"/>
        <w:spacing w:line="520" w:lineRule="exact"/>
        <w:ind w:firstLineChars="200" w:firstLine="420"/>
      </w:pPr>
    </w:p>
    <w:p w:rsidR="00513B7D" w:rsidRDefault="00513B7D" w:rsidP="00513B7D">
      <w:pPr>
        <w:snapToGrid w:val="0"/>
        <w:spacing w:line="520" w:lineRule="exact"/>
        <w:ind w:firstLineChars="200" w:firstLine="420"/>
      </w:pPr>
    </w:p>
    <w:p w:rsidR="00513B7D" w:rsidRDefault="00513B7D" w:rsidP="00513B7D">
      <w:pPr>
        <w:snapToGrid w:val="0"/>
        <w:spacing w:line="520" w:lineRule="exact"/>
        <w:ind w:firstLineChars="200" w:firstLine="420"/>
      </w:pPr>
    </w:p>
    <w:p w:rsidR="00513B7D" w:rsidRDefault="00513B7D" w:rsidP="00513B7D">
      <w:pPr>
        <w:widowControl/>
        <w:spacing w:line="315" w:lineRule="atLeast"/>
        <w:ind w:firstLineChars="200" w:firstLine="420"/>
      </w:pPr>
      <w:r>
        <w:rPr>
          <w:noProof/>
        </w:rPr>
        <w:drawing>
          <wp:inline distT="0" distB="0" distL="0" distR="0">
            <wp:extent cx="4592320" cy="2763520"/>
            <wp:effectExtent l="19050" t="0" r="0" b="0"/>
            <wp:docPr id="8"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a:picLocks noChangeAspect="1" noChangeArrowheads="1"/>
                    </pic:cNvPicPr>
                  </pic:nvPicPr>
                  <pic:blipFill>
                    <a:blip r:embed="rId19"/>
                    <a:srcRect/>
                    <a:stretch>
                      <a:fillRect/>
                    </a:stretch>
                  </pic:blipFill>
                  <pic:spPr bwMode="auto">
                    <a:xfrm>
                      <a:off x="0" y="0"/>
                      <a:ext cx="4592320" cy="2763520"/>
                    </a:xfrm>
                    <a:prstGeom prst="rect">
                      <a:avLst/>
                    </a:prstGeom>
                    <a:noFill/>
                    <a:ln w="9525">
                      <a:noFill/>
                      <a:miter lim="800000"/>
                      <a:headEnd/>
                      <a:tailEnd/>
                    </a:ln>
                  </pic:spPr>
                </pic:pic>
              </a:graphicData>
            </a:graphic>
          </wp:inline>
        </w:drawing>
      </w:r>
    </w:p>
    <w:p w:rsidR="00513B7D" w:rsidRDefault="00513B7D" w:rsidP="00513B7D">
      <w:pPr>
        <w:snapToGrid w:val="0"/>
        <w:spacing w:line="520" w:lineRule="exact"/>
        <w:ind w:firstLineChars="200" w:firstLine="640"/>
        <w:rPr>
          <w:rFonts w:ascii="仿宋_GB2312" w:eastAsia="仿宋_GB2312" w:hAnsi="仿宋" w:hint="eastAsia"/>
          <w:b/>
          <w:sz w:val="32"/>
          <w:szCs w:val="32"/>
        </w:rPr>
      </w:pPr>
      <w:r>
        <w:rPr>
          <w:rFonts w:ascii="仿宋_GB2312" w:eastAsia="仿宋_GB2312" w:hAnsi="仿宋" w:hint="eastAsia"/>
          <w:b/>
          <w:sz w:val="32"/>
          <w:szCs w:val="32"/>
        </w:rPr>
        <w:t>3．支出按经济分类科目分析。</w:t>
      </w:r>
    </w:p>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lastRenderedPageBreak/>
        <w:t>（1）“三公”经费支出情况：</w:t>
      </w:r>
    </w:p>
    <w:p w:rsidR="00513B7D" w:rsidRDefault="00513B7D" w:rsidP="00513B7D">
      <w:pPr>
        <w:widowControl/>
        <w:spacing w:line="315" w:lineRule="atLeast"/>
        <w:ind w:firstLineChars="200" w:firstLine="640"/>
        <w:rPr>
          <w:rFonts w:ascii="仿宋_GB2312" w:eastAsia="仿宋_GB2312" w:cs="Calibri" w:hint="eastAsia"/>
          <w:color w:val="000000"/>
          <w:kern w:val="0"/>
          <w:sz w:val="32"/>
        </w:rPr>
      </w:pPr>
      <w:r>
        <w:rPr>
          <w:rFonts w:ascii="仿宋_GB2312" w:eastAsia="仿宋_GB2312" w:cs="Calibri" w:hint="eastAsia"/>
          <w:color w:val="000000"/>
          <w:kern w:val="0"/>
          <w:sz w:val="32"/>
        </w:rPr>
        <w:t>单位2025年</w:t>
      </w:r>
      <w:r>
        <w:rPr>
          <w:rFonts w:ascii="仿宋_GB2312" w:eastAsia="仿宋_GB2312" w:hint="eastAsia"/>
          <w:sz w:val="32"/>
          <w:szCs w:val="32"/>
        </w:rPr>
        <w:t>度</w:t>
      </w:r>
      <w:r>
        <w:rPr>
          <w:rFonts w:ascii="仿宋_GB2312" w:eastAsia="仿宋_GB2312" w:cs="Calibri" w:hint="eastAsia"/>
          <w:color w:val="000000"/>
          <w:kern w:val="0"/>
          <w:sz w:val="32"/>
        </w:rPr>
        <w:t>“三公”经费支出总额0.00万元，其中：2025年</w:t>
      </w:r>
      <w:r>
        <w:rPr>
          <w:rFonts w:ascii="仿宋_GB2312" w:eastAsia="仿宋_GB2312" w:hint="eastAsia"/>
          <w:sz w:val="32"/>
          <w:szCs w:val="32"/>
        </w:rPr>
        <w:t>度</w:t>
      </w:r>
      <w:r>
        <w:rPr>
          <w:rFonts w:ascii="仿宋_GB2312" w:eastAsia="仿宋_GB2312" w:cs="Calibri" w:hint="eastAsia"/>
          <w:color w:val="000000"/>
          <w:kern w:val="0"/>
          <w:sz w:val="32"/>
        </w:rPr>
        <w:t>因公出国（境）费0.00万元，与2024年</w:t>
      </w:r>
      <w:r>
        <w:rPr>
          <w:rFonts w:ascii="仿宋_GB2312" w:eastAsia="仿宋_GB2312" w:hAnsi="仿宋" w:hint="eastAsia"/>
          <w:sz w:val="32"/>
          <w:szCs w:val="32"/>
        </w:rPr>
        <w:t>度</w:t>
      </w:r>
      <w:r>
        <w:rPr>
          <w:rFonts w:ascii="仿宋_GB2312" w:eastAsia="仿宋_GB2312" w:cs="Calibri" w:hint="eastAsia"/>
          <w:color w:val="000000"/>
          <w:kern w:val="0"/>
          <w:sz w:val="32"/>
        </w:rPr>
        <w:t>0.00万元持平；公务用车购置及运行维护费0.00万元，较2024年</w:t>
      </w:r>
      <w:r>
        <w:rPr>
          <w:rFonts w:ascii="仿宋_GB2312" w:eastAsia="仿宋_GB2312" w:hAnsi="仿宋" w:hint="eastAsia"/>
          <w:sz w:val="32"/>
          <w:szCs w:val="32"/>
        </w:rPr>
        <w:t>度</w:t>
      </w:r>
      <w:r>
        <w:rPr>
          <w:rFonts w:ascii="仿宋_GB2312" w:eastAsia="仿宋_GB2312" w:cs="Calibri" w:hint="eastAsia"/>
          <w:color w:val="000000"/>
          <w:kern w:val="0"/>
          <w:sz w:val="32"/>
        </w:rPr>
        <w:t>0.00万元持平。公务接待费0.00万元，较2024年</w:t>
      </w:r>
      <w:r>
        <w:rPr>
          <w:rFonts w:ascii="仿宋_GB2312" w:eastAsia="仿宋_GB2312" w:hAnsi="仿宋" w:hint="eastAsia"/>
          <w:sz w:val="32"/>
          <w:szCs w:val="32"/>
        </w:rPr>
        <w:t>度</w:t>
      </w:r>
      <w:r>
        <w:rPr>
          <w:rFonts w:ascii="仿宋_GB2312" w:eastAsia="仿宋_GB2312" w:cs="Calibri" w:hint="eastAsia"/>
          <w:color w:val="000000"/>
          <w:kern w:val="0"/>
          <w:sz w:val="32"/>
        </w:rPr>
        <w:t>0.00万元持平。</w:t>
      </w:r>
    </w:p>
    <w:p w:rsidR="00513B7D" w:rsidRDefault="00513B7D" w:rsidP="00513B7D">
      <w:pPr>
        <w:pStyle w:val="Default"/>
        <w:jc w:val="center"/>
        <w:rPr>
          <w:rFonts w:ascii="仿宋_GB2312" w:eastAsia="仿宋_GB2312" w:hint="eastAsia"/>
          <w:sz w:val="32"/>
          <w:szCs w:val="32"/>
        </w:rPr>
      </w:pPr>
      <w:r>
        <w:rPr>
          <w:rFonts w:ascii="仿宋_GB2312" w:eastAsia="仿宋_GB2312" w:hAnsi="仿宋" w:hint="eastAsia"/>
          <w:sz w:val="32"/>
          <w:szCs w:val="32"/>
        </w:rPr>
        <w:t>“三公”经费支出情况对比表（单位：万元）</w:t>
      </w:r>
    </w:p>
    <w:tbl>
      <w:tblPr>
        <w:tblW w:w="4998" w:type="pct"/>
        <w:tblInd w:w="200" w:type="dxa"/>
        <w:tblLook w:val="0000"/>
      </w:tblPr>
      <w:tblGrid>
        <w:gridCol w:w="2736"/>
        <w:gridCol w:w="1551"/>
        <w:gridCol w:w="1551"/>
        <w:gridCol w:w="1487"/>
        <w:gridCol w:w="1194"/>
      </w:tblGrid>
      <w:tr w:rsidR="00513B7D" w:rsidTr="004A5558">
        <w:trPr>
          <w:trHeight w:val="270"/>
        </w:trPr>
        <w:tc>
          <w:tcPr>
            <w:tcW w:w="1605"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项目</w:t>
            </w:r>
          </w:p>
        </w:tc>
        <w:tc>
          <w:tcPr>
            <w:tcW w:w="91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2025年</w:t>
            </w:r>
          </w:p>
        </w:tc>
        <w:tc>
          <w:tcPr>
            <w:tcW w:w="91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2024年</w:t>
            </w:r>
          </w:p>
        </w:tc>
        <w:tc>
          <w:tcPr>
            <w:tcW w:w="872"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增减值</w:t>
            </w:r>
          </w:p>
        </w:tc>
        <w:tc>
          <w:tcPr>
            <w:tcW w:w="70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增减比例</w:t>
            </w:r>
          </w:p>
        </w:tc>
      </w:tr>
      <w:tr w:rsidR="00513B7D" w:rsidTr="004A5558">
        <w:trPr>
          <w:trHeight w:val="270"/>
        </w:trPr>
        <w:tc>
          <w:tcPr>
            <w:tcW w:w="1605"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合计</w:t>
            </w:r>
          </w:p>
        </w:tc>
        <w:tc>
          <w:tcPr>
            <w:tcW w:w="155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155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1487"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0.00%</w:t>
            </w:r>
          </w:p>
        </w:tc>
      </w:tr>
      <w:tr w:rsidR="00513B7D" w:rsidTr="004A5558">
        <w:trPr>
          <w:trHeight w:val="270"/>
        </w:trPr>
        <w:tc>
          <w:tcPr>
            <w:tcW w:w="1605"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因公出国（境）费</w:t>
            </w:r>
          </w:p>
        </w:tc>
        <w:tc>
          <w:tcPr>
            <w:tcW w:w="91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0.00</w:t>
            </w:r>
          </w:p>
        </w:tc>
        <w:tc>
          <w:tcPr>
            <w:tcW w:w="91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872"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70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0.00%</w:t>
            </w:r>
          </w:p>
        </w:tc>
      </w:tr>
      <w:tr w:rsidR="00513B7D" w:rsidTr="004A5558">
        <w:trPr>
          <w:trHeight w:val="270"/>
        </w:trPr>
        <w:tc>
          <w:tcPr>
            <w:tcW w:w="1605"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公务用车购置及运行维护费</w:t>
            </w:r>
          </w:p>
        </w:tc>
        <w:tc>
          <w:tcPr>
            <w:tcW w:w="155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1551"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1487"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1194"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r>
      <w:tr w:rsidR="00513B7D" w:rsidTr="004A5558">
        <w:trPr>
          <w:trHeight w:val="270"/>
        </w:trPr>
        <w:tc>
          <w:tcPr>
            <w:tcW w:w="1605"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公务接待费</w:t>
            </w:r>
          </w:p>
        </w:tc>
        <w:tc>
          <w:tcPr>
            <w:tcW w:w="91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91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872"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70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r>
    </w:tbl>
    <w:p w:rsidR="00513B7D" w:rsidRDefault="00513B7D" w:rsidP="00513B7D">
      <w:pPr>
        <w:pStyle w:val="-1"/>
        <w:ind w:firstLine="420"/>
        <w:rPr>
          <w:rFonts w:hint="eastAsia"/>
        </w:rPr>
      </w:pPr>
    </w:p>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（2）会议费支出情况：</w:t>
      </w:r>
    </w:p>
    <w:p w:rsidR="00513B7D" w:rsidRDefault="00513B7D" w:rsidP="00513B7D">
      <w:pPr>
        <w:snapToGrid w:val="0"/>
        <w:spacing w:line="520" w:lineRule="exact"/>
        <w:ind w:firstLineChars="200" w:firstLine="640"/>
        <w:rPr>
          <w:rFonts w:ascii="仿宋_GB2312" w:eastAsia="仿宋_GB2312" w:cs="Calibri" w:hint="eastAsia"/>
          <w:color w:val="000000"/>
          <w:kern w:val="0"/>
          <w:sz w:val="32"/>
        </w:rPr>
      </w:pPr>
      <w:r>
        <w:rPr>
          <w:rFonts w:ascii="仿宋_GB2312" w:eastAsia="仿宋_GB2312" w:cs="Calibri" w:hint="eastAsia"/>
          <w:color w:val="000000"/>
          <w:kern w:val="0"/>
          <w:sz w:val="32"/>
        </w:rPr>
        <w:t>单位2025年</w:t>
      </w:r>
      <w:r>
        <w:rPr>
          <w:rFonts w:ascii="仿宋_GB2312" w:eastAsia="仿宋_GB2312" w:hint="eastAsia"/>
          <w:sz w:val="32"/>
          <w:szCs w:val="32"/>
        </w:rPr>
        <w:t>度</w:t>
      </w:r>
      <w:r>
        <w:rPr>
          <w:rFonts w:ascii="仿宋_GB2312" w:eastAsia="仿宋_GB2312" w:cs="Calibri" w:hint="eastAsia"/>
          <w:color w:val="000000"/>
          <w:kern w:val="0"/>
          <w:sz w:val="32"/>
        </w:rPr>
        <w:t>会议费支出0.00万元，较2024年</w:t>
      </w:r>
      <w:r>
        <w:rPr>
          <w:rFonts w:ascii="仿宋_GB2312" w:eastAsia="仿宋_GB2312" w:hAnsi="仿宋" w:hint="eastAsia"/>
          <w:sz w:val="32"/>
          <w:szCs w:val="32"/>
        </w:rPr>
        <w:t>度</w:t>
      </w:r>
      <w:r>
        <w:rPr>
          <w:rFonts w:ascii="仿宋_GB2312" w:eastAsia="仿宋_GB2312" w:cs="Calibri" w:hint="eastAsia"/>
          <w:color w:val="000000"/>
          <w:kern w:val="0"/>
          <w:sz w:val="32"/>
        </w:rPr>
        <w:t>0.00 万元增加0.00万元，增加0.00%。</w:t>
      </w:r>
    </w:p>
    <w:p w:rsidR="00513B7D" w:rsidRDefault="00513B7D" w:rsidP="00513B7D">
      <w:pPr>
        <w:pStyle w:val="Default"/>
        <w:jc w:val="center"/>
        <w:rPr>
          <w:rFonts w:ascii="仿宋_GB2312" w:eastAsia="仿宋_GB2312" w:hint="eastAsia"/>
          <w:sz w:val="32"/>
          <w:szCs w:val="32"/>
        </w:rPr>
      </w:pPr>
      <w:r>
        <w:rPr>
          <w:rFonts w:ascii="仿宋_GB2312" w:eastAsia="仿宋_GB2312" w:hAnsi="仿宋" w:hint="eastAsia"/>
          <w:sz w:val="32"/>
          <w:szCs w:val="32"/>
        </w:rPr>
        <w:t>会议费支出情况对比表（单位：万元）</w:t>
      </w:r>
    </w:p>
    <w:tbl>
      <w:tblPr>
        <w:tblW w:w="4998" w:type="pct"/>
        <w:tblInd w:w="200" w:type="dxa"/>
        <w:tblLook w:val="0000"/>
      </w:tblPr>
      <w:tblGrid>
        <w:gridCol w:w="2325"/>
        <w:gridCol w:w="1655"/>
        <w:gridCol w:w="1655"/>
        <w:gridCol w:w="1589"/>
        <w:gridCol w:w="1295"/>
      </w:tblGrid>
      <w:tr w:rsidR="00513B7D" w:rsidTr="004A5558">
        <w:trPr>
          <w:trHeight w:val="270"/>
        </w:trPr>
        <w:tc>
          <w:tcPr>
            <w:tcW w:w="1364"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项目</w:t>
            </w:r>
          </w:p>
        </w:tc>
        <w:tc>
          <w:tcPr>
            <w:tcW w:w="971"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2025年</w:t>
            </w:r>
          </w:p>
        </w:tc>
        <w:tc>
          <w:tcPr>
            <w:tcW w:w="971"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2024年</w:t>
            </w:r>
          </w:p>
        </w:tc>
        <w:tc>
          <w:tcPr>
            <w:tcW w:w="932"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增减值</w:t>
            </w:r>
          </w:p>
        </w:tc>
        <w:tc>
          <w:tcPr>
            <w:tcW w:w="76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增减比例</w:t>
            </w:r>
          </w:p>
        </w:tc>
      </w:tr>
      <w:tr w:rsidR="00513B7D" w:rsidTr="004A5558">
        <w:trPr>
          <w:trHeight w:val="270"/>
        </w:trPr>
        <w:tc>
          <w:tcPr>
            <w:tcW w:w="1364"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会议费支出</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1589"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0.00</w:t>
            </w:r>
          </w:p>
        </w:tc>
        <w:tc>
          <w:tcPr>
            <w:tcW w:w="129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r>
    </w:tbl>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（3）培训费支出情况：</w:t>
      </w:r>
    </w:p>
    <w:p w:rsidR="00513B7D" w:rsidRDefault="00513B7D" w:rsidP="00513B7D">
      <w:pPr>
        <w:snapToGrid w:val="0"/>
        <w:spacing w:line="520" w:lineRule="exact"/>
        <w:ind w:firstLineChars="200" w:firstLine="640"/>
        <w:rPr>
          <w:rFonts w:ascii="仿宋_GB2312" w:eastAsia="仿宋_GB2312" w:cs="Calibri" w:hint="eastAsia"/>
          <w:color w:val="000000"/>
          <w:kern w:val="0"/>
          <w:sz w:val="32"/>
        </w:rPr>
      </w:pPr>
      <w:r>
        <w:rPr>
          <w:rFonts w:ascii="仿宋_GB2312" w:eastAsia="仿宋_GB2312" w:cs="Calibri" w:hint="eastAsia"/>
          <w:color w:val="000000"/>
          <w:kern w:val="0"/>
          <w:sz w:val="32"/>
        </w:rPr>
        <w:t>单位2025年</w:t>
      </w:r>
      <w:r>
        <w:rPr>
          <w:rFonts w:ascii="仿宋_GB2312" w:eastAsia="仿宋_GB2312" w:hint="eastAsia"/>
          <w:sz w:val="32"/>
          <w:szCs w:val="32"/>
        </w:rPr>
        <w:t>度</w:t>
      </w:r>
      <w:r>
        <w:rPr>
          <w:rFonts w:ascii="仿宋_GB2312" w:eastAsia="仿宋_GB2312" w:cs="Calibri" w:hint="eastAsia"/>
          <w:color w:val="000000"/>
          <w:kern w:val="0"/>
          <w:sz w:val="32"/>
        </w:rPr>
        <w:t>培训费支出0.00万元，较2024年</w:t>
      </w:r>
      <w:r>
        <w:rPr>
          <w:rFonts w:ascii="仿宋_GB2312" w:eastAsia="仿宋_GB2312" w:hAnsi="仿宋" w:hint="eastAsia"/>
          <w:sz w:val="32"/>
          <w:szCs w:val="32"/>
        </w:rPr>
        <w:t>度</w:t>
      </w:r>
      <w:r>
        <w:rPr>
          <w:rFonts w:ascii="仿宋_GB2312" w:eastAsia="仿宋_GB2312" w:cs="Calibri" w:hint="eastAsia"/>
          <w:color w:val="000000"/>
          <w:kern w:val="0"/>
          <w:sz w:val="32"/>
        </w:rPr>
        <w:t>0.00万元持平0。</w:t>
      </w:r>
    </w:p>
    <w:p w:rsidR="00513B7D" w:rsidRDefault="00513B7D" w:rsidP="00513B7D">
      <w:pPr>
        <w:pStyle w:val="Default"/>
        <w:jc w:val="center"/>
        <w:rPr>
          <w:rFonts w:ascii="仿宋_GB2312" w:eastAsia="仿宋_GB2312" w:hint="eastAsia"/>
          <w:sz w:val="32"/>
          <w:szCs w:val="32"/>
        </w:rPr>
      </w:pPr>
      <w:r>
        <w:rPr>
          <w:rFonts w:ascii="仿宋_GB2312" w:eastAsia="仿宋_GB2312" w:hAnsi="仿宋" w:hint="eastAsia"/>
          <w:sz w:val="32"/>
          <w:szCs w:val="32"/>
        </w:rPr>
        <w:t>培训费支出情况对比表（单位：万元）</w:t>
      </w:r>
    </w:p>
    <w:tbl>
      <w:tblPr>
        <w:tblW w:w="4998" w:type="pct"/>
        <w:tblInd w:w="200" w:type="dxa"/>
        <w:tblLook w:val="0000"/>
      </w:tblPr>
      <w:tblGrid>
        <w:gridCol w:w="2325"/>
        <w:gridCol w:w="1655"/>
        <w:gridCol w:w="1655"/>
        <w:gridCol w:w="1589"/>
        <w:gridCol w:w="1295"/>
      </w:tblGrid>
      <w:tr w:rsidR="00513B7D" w:rsidTr="004A5558">
        <w:trPr>
          <w:trHeight w:val="270"/>
        </w:trPr>
        <w:tc>
          <w:tcPr>
            <w:tcW w:w="1364"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lastRenderedPageBreak/>
              <w:t>项目</w:t>
            </w:r>
          </w:p>
        </w:tc>
        <w:tc>
          <w:tcPr>
            <w:tcW w:w="971"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2025年</w:t>
            </w:r>
          </w:p>
        </w:tc>
        <w:tc>
          <w:tcPr>
            <w:tcW w:w="971"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2024年</w:t>
            </w:r>
          </w:p>
        </w:tc>
        <w:tc>
          <w:tcPr>
            <w:tcW w:w="932"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增减值</w:t>
            </w:r>
          </w:p>
        </w:tc>
        <w:tc>
          <w:tcPr>
            <w:tcW w:w="76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增减比例</w:t>
            </w:r>
          </w:p>
        </w:tc>
      </w:tr>
      <w:tr w:rsidR="00513B7D" w:rsidTr="004A5558">
        <w:trPr>
          <w:trHeight w:val="270"/>
        </w:trPr>
        <w:tc>
          <w:tcPr>
            <w:tcW w:w="1364"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培训费支出</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0.00 </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0.00</w:t>
            </w:r>
          </w:p>
        </w:tc>
        <w:tc>
          <w:tcPr>
            <w:tcW w:w="1589"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0</w:t>
            </w:r>
          </w:p>
        </w:tc>
        <w:tc>
          <w:tcPr>
            <w:tcW w:w="129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r>
    </w:tbl>
    <w:p w:rsidR="00513B7D" w:rsidRDefault="00513B7D" w:rsidP="00513B7D">
      <w:pPr>
        <w:snapToGrid w:val="0"/>
        <w:spacing w:line="520" w:lineRule="exact"/>
        <w:rPr>
          <w:rFonts w:ascii="仿宋_GB2312" w:eastAsia="仿宋_GB2312" w:hAnsi="仿宋" w:hint="eastAsia"/>
          <w:sz w:val="32"/>
          <w:szCs w:val="32"/>
        </w:rPr>
      </w:pPr>
      <w:r>
        <w:rPr>
          <w:rFonts w:ascii="仿宋_GB2312" w:eastAsia="仿宋_GB2312" w:hAnsi="仿宋" w:hint="eastAsia"/>
          <w:sz w:val="32"/>
          <w:szCs w:val="32"/>
        </w:rPr>
        <w:t xml:space="preserve">    （4）差旅费支出情况：</w:t>
      </w:r>
    </w:p>
    <w:p w:rsidR="00513B7D" w:rsidRDefault="00513B7D" w:rsidP="00513B7D">
      <w:pPr>
        <w:snapToGrid w:val="0"/>
        <w:spacing w:line="520" w:lineRule="exact"/>
        <w:ind w:firstLineChars="200" w:firstLine="640"/>
        <w:rPr>
          <w:rFonts w:ascii="仿宋_GB2312" w:eastAsia="仿宋_GB2312" w:cs="Calibri" w:hint="eastAsia"/>
          <w:color w:val="000000"/>
          <w:kern w:val="0"/>
          <w:sz w:val="32"/>
        </w:rPr>
      </w:pPr>
      <w:r>
        <w:rPr>
          <w:rFonts w:ascii="仿宋_GB2312" w:eastAsia="仿宋_GB2312" w:cs="Calibri" w:hint="eastAsia"/>
          <w:color w:val="000000"/>
          <w:kern w:val="0"/>
          <w:sz w:val="32"/>
        </w:rPr>
        <w:t>单位2025年</w:t>
      </w:r>
      <w:r>
        <w:rPr>
          <w:rFonts w:ascii="仿宋_GB2312" w:eastAsia="仿宋_GB2312" w:hint="eastAsia"/>
          <w:sz w:val="32"/>
          <w:szCs w:val="32"/>
        </w:rPr>
        <w:t>度</w:t>
      </w:r>
      <w:r>
        <w:rPr>
          <w:rFonts w:ascii="仿宋_GB2312" w:eastAsia="仿宋_GB2312" w:cs="Calibri" w:hint="eastAsia"/>
          <w:color w:val="000000"/>
          <w:kern w:val="0"/>
          <w:sz w:val="32"/>
        </w:rPr>
        <w:t>差旅费支出0.00万元，较2024年</w:t>
      </w:r>
      <w:r>
        <w:rPr>
          <w:rFonts w:ascii="仿宋_GB2312" w:eastAsia="仿宋_GB2312" w:hAnsi="仿宋" w:hint="eastAsia"/>
          <w:sz w:val="32"/>
          <w:szCs w:val="32"/>
        </w:rPr>
        <w:t>度</w:t>
      </w:r>
      <w:r>
        <w:rPr>
          <w:rFonts w:ascii="仿宋_GB2312" w:eastAsia="仿宋_GB2312" w:cs="Calibri" w:hint="eastAsia"/>
          <w:color w:val="000000"/>
          <w:kern w:val="0"/>
          <w:sz w:val="32"/>
        </w:rPr>
        <w:t>0.00万元持平。</w:t>
      </w:r>
    </w:p>
    <w:p w:rsidR="00513B7D" w:rsidRDefault="00513B7D" w:rsidP="00513B7D">
      <w:pPr>
        <w:pStyle w:val="Default"/>
        <w:jc w:val="center"/>
        <w:rPr>
          <w:rFonts w:ascii="仿宋_GB2312" w:eastAsia="仿宋_GB2312" w:hint="eastAsia"/>
          <w:sz w:val="32"/>
          <w:szCs w:val="32"/>
        </w:rPr>
      </w:pPr>
      <w:r>
        <w:rPr>
          <w:rFonts w:ascii="仿宋_GB2312" w:eastAsia="仿宋_GB2312" w:hAnsi="仿宋" w:hint="eastAsia"/>
          <w:sz w:val="32"/>
          <w:szCs w:val="32"/>
        </w:rPr>
        <w:t>差旅费支出情况对比表（单位：万元）</w:t>
      </w:r>
    </w:p>
    <w:tbl>
      <w:tblPr>
        <w:tblW w:w="4998" w:type="pct"/>
        <w:tblInd w:w="200" w:type="dxa"/>
        <w:tblLook w:val="0000"/>
      </w:tblPr>
      <w:tblGrid>
        <w:gridCol w:w="2325"/>
        <w:gridCol w:w="1655"/>
        <w:gridCol w:w="1655"/>
        <w:gridCol w:w="1589"/>
        <w:gridCol w:w="1295"/>
      </w:tblGrid>
      <w:tr w:rsidR="00513B7D" w:rsidTr="004A5558">
        <w:trPr>
          <w:trHeight w:val="270"/>
        </w:trPr>
        <w:tc>
          <w:tcPr>
            <w:tcW w:w="1364"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项目</w:t>
            </w:r>
          </w:p>
        </w:tc>
        <w:tc>
          <w:tcPr>
            <w:tcW w:w="971"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2025年</w:t>
            </w:r>
          </w:p>
        </w:tc>
        <w:tc>
          <w:tcPr>
            <w:tcW w:w="971"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2024年</w:t>
            </w:r>
          </w:p>
        </w:tc>
        <w:tc>
          <w:tcPr>
            <w:tcW w:w="932"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增减值</w:t>
            </w:r>
          </w:p>
        </w:tc>
        <w:tc>
          <w:tcPr>
            <w:tcW w:w="760"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增减比例</w:t>
            </w:r>
          </w:p>
        </w:tc>
      </w:tr>
      <w:tr w:rsidR="00513B7D" w:rsidTr="004A5558">
        <w:trPr>
          <w:trHeight w:val="270"/>
        </w:trPr>
        <w:tc>
          <w:tcPr>
            <w:tcW w:w="1364" w:type="pct"/>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差旅费支出</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165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c>
          <w:tcPr>
            <w:tcW w:w="1589"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0.00</w:t>
            </w:r>
          </w:p>
        </w:tc>
        <w:tc>
          <w:tcPr>
            <w:tcW w:w="1295" w:type="dxa"/>
            <w:tcBorders>
              <w:top w:val="single" w:sz="4" w:space="0" w:color="000000"/>
              <w:left w:val="single" w:sz="4" w:space="0" w:color="000000"/>
              <w:bottom w:val="single" w:sz="4" w:space="0" w:color="000000"/>
              <w:right w:val="single" w:sz="4" w:space="0" w:color="000000"/>
            </w:tcBorders>
            <w:noWrap/>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r>
    </w:tbl>
    <w:p w:rsidR="00513B7D" w:rsidRDefault="00513B7D" w:rsidP="00513B7D">
      <w:pPr>
        <w:pStyle w:val="-1"/>
        <w:ind w:firstLine="420"/>
        <w:rPr>
          <w:rFonts w:hint="eastAsia"/>
        </w:rPr>
      </w:pPr>
    </w:p>
    <w:p w:rsidR="00513B7D" w:rsidRDefault="00513B7D" w:rsidP="00513B7D">
      <w:pPr>
        <w:snapToGrid w:val="0"/>
        <w:spacing w:line="520" w:lineRule="exact"/>
        <w:rPr>
          <w:rFonts w:ascii="仿宋_GB2312" w:eastAsia="仿宋_GB2312" w:hAnsi="仿宋" w:hint="eastAsia"/>
          <w:sz w:val="32"/>
          <w:szCs w:val="32"/>
        </w:rPr>
      </w:pPr>
      <w:r>
        <w:rPr>
          <w:rFonts w:ascii="仿宋_GB2312" w:eastAsia="仿宋_GB2312" w:hAnsi="仿宋" w:hint="eastAsia"/>
          <w:sz w:val="32"/>
          <w:szCs w:val="32"/>
        </w:rPr>
        <w:t xml:space="preserve">    （5）其他对单位影响较大的支出情况：</w:t>
      </w:r>
    </w:p>
    <w:p w:rsidR="00513B7D" w:rsidRDefault="00513B7D" w:rsidP="00513B7D">
      <w:pPr>
        <w:snapToGrid w:val="0"/>
        <w:spacing w:line="520" w:lineRule="exact"/>
        <w:ind w:firstLineChars="200" w:firstLine="640"/>
        <w:rPr>
          <w:rFonts w:ascii="仿宋_GB2312" w:eastAsia="仿宋_GB2312" w:cs="Calibri" w:hint="eastAsia"/>
          <w:color w:val="000000"/>
          <w:kern w:val="0"/>
          <w:sz w:val="32"/>
        </w:rPr>
      </w:pPr>
      <w:r>
        <w:rPr>
          <w:rFonts w:ascii="仿宋_GB2312" w:eastAsia="仿宋_GB2312" w:cs="Calibri" w:hint="eastAsia"/>
          <w:color w:val="000000"/>
          <w:kern w:val="0"/>
          <w:sz w:val="32"/>
        </w:rPr>
        <w:t>无。</w:t>
      </w:r>
    </w:p>
    <w:p w:rsidR="00513B7D" w:rsidRDefault="00513B7D" w:rsidP="00513B7D">
      <w:pPr>
        <w:snapToGrid w:val="0"/>
        <w:spacing w:line="520" w:lineRule="exact"/>
        <w:rPr>
          <w:rFonts w:ascii="仿宋_GB2312" w:eastAsia="仿宋_GB2312" w:hAnsi="仿宋" w:hint="eastAsia"/>
          <w:sz w:val="32"/>
          <w:szCs w:val="32"/>
        </w:rPr>
      </w:pPr>
      <w:r>
        <w:rPr>
          <w:rFonts w:ascii="仿宋_GB2312" w:eastAsia="仿宋_GB2312" w:hAnsi="仿宋" w:hint="eastAsia"/>
          <w:sz w:val="32"/>
          <w:szCs w:val="32"/>
        </w:rPr>
        <w:t xml:space="preserve">    （6）重点经济分类支出中存在的问题及改进措施。</w:t>
      </w:r>
    </w:p>
    <w:p w:rsidR="00513B7D" w:rsidRDefault="00513B7D" w:rsidP="00513B7D">
      <w:pPr>
        <w:snapToGrid w:val="0"/>
        <w:spacing w:line="520" w:lineRule="exact"/>
        <w:ind w:firstLineChars="200" w:firstLine="640"/>
        <w:rPr>
          <w:rFonts w:ascii="仿宋_GB2312" w:eastAsia="仿宋_GB2312" w:cs="Calibri"/>
          <w:color w:val="000000"/>
          <w:kern w:val="0"/>
          <w:sz w:val="32"/>
        </w:rPr>
      </w:pPr>
      <w:r>
        <w:rPr>
          <w:rFonts w:ascii="仿宋_GB2312" w:eastAsia="仿宋_GB2312" w:cs="Calibri" w:hint="eastAsia"/>
          <w:color w:val="000000"/>
          <w:kern w:val="0"/>
          <w:sz w:val="32"/>
        </w:rPr>
        <w:t>无。</w:t>
      </w:r>
    </w:p>
    <w:p w:rsidR="00513B7D" w:rsidRDefault="00513B7D" w:rsidP="00513B7D">
      <w:pPr>
        <w:numPr>
          <w:ilvl w:val="0"/>
          <w:numId w:val="5"/>
        </w:numPr>
        <w:tabs>
          <w:tab w:val="clear" w:pos="0"/>
          <w:tab w:val="left" w:pos="312"/>
        </w:tabs>
        <w:snapToGrid w:val="0"/>
        <w:spacing w:line="520" w:lineRule="exact"/>
        <w:ind w:firstLineChars="200" w:firstLine="640"/>
        <w:rPr>
          <w:rFonts w:ascii="仿宋_GB2312" w:eastAsia="仿宋_GB2312" w:hAnsi="仿宋"/>
          <w:b/>
          <w:bCs/>
          <w:sz w:val="32"/>
          <w:szCs w:val="32"/>
        </w:rPr>
      </w:pPr>
      <w:r>
        <w:rPr>
          <w:rFonts w:ascii="仿宋_GB2312" w:eastAsia="仿宋_GB2312" w:hAnsi="仿宋" w:hint="eastAsia"/>
          <w:b/>
          <w:bCs/>
          <w:sz w:val="32"/>
          <w:szCs w:val="32"/>
        </w:rPr>
        <w:t>支出按功能分类科目分析。</w:t>
      </w:r>
    </w:p>
    <w:p w:rsidR="00513B7D" w:rsidRDefault="00513B7D" w:rsidP="00513B7D">
      <w:pPr>
        <w:snapToGrid w:val="0"/>
        <w:spacing w:line="520" w:lineRule="exact"/>
        <w:ind w:firstLineChars="200" w:firstLine="640"/>
        <w:rPr>
          <w:rFonts w:ascii="仿宋_GB2312" w:eastAsia="仿宋_GB2312" w:hint="eastAsia"/>
          <w:sz w:val="32"/>
          <w:szCs w:val="32"/>
        </w:rPr>
      </w:pPr>
      <w:r>
        <w:rPr>
          <w:rFonts w:ascii="仿宋_GB2312" w:eastAsia="仿宋_GB2312" w:cs="Calibri" w:hint="eastAsia"/>
          <w:color w:val="000000"/>
          <w:kern w:val="0"/>
          <w:sz w:val="32"/>
        </w:rPr>
        <w:t>2</w:t>
      </w:r>
      <w:r>
        <w:rPr>
          <w:rFonts w:ascii="仿宋_GB2312" w:eastAsia="仿宋_GB2312" w:cs="Calibri"/>
          <w:color w:val="000000"/>
          <w:kern w:val="0"/>
          <w:sz w:val="32"/>
        </w:rPr>
        <w:t>02</w:t>
      </w:r>
      <w:r>
        <w:rPr>
          <w:rFonts w:ascii="仿宋_GB2312" w:eastAsia="仿宋_GB2312" w:cs="Calibri" w:hint="eastAsia"/>
          <w:color w:val="000000"/>
          <w:kern w:val="0"/>
          <w:sz w:val="32"/>
        </w:rPr>
        <w:t>5年支出按功能科目分析</w:t>
      </w:r>
      <w:r>
        <w:rPr>
          <w:rFonts w:ascii="仿宋_GB2312" w:eastAsia="仿宋_GB2312" w:hAnsi="仿宋" w:hint="eastAsia"/>
          <w:sz w:val="32"/>
          <w:szCs w:val="32"/>
        </w:rPr>
        <w:t>。</w:t>
      </w:r>
    </w:p>
    <w:p w:rsidR="00513B7D" w:rsidRDefault="00513B7D" w:rsidP="00513B7D">
      <w:pPr>
        <w:ind w:firstLineChars="200" w:firstLine="640"/>
        <w:rPr>
          <w:rFonts w:ascii="仿宋_GB2312" w:eastAsia="仿宋_GB2312" w:hint="eastAsia"/>
          <w:sz w:val="32"/>
          <w:szCs w:val="32"/>
        </w:rPr>
      </w:pPr>
      <w:r>
        <w:rPr>
          <w:rFonts w:ascii="仿宋_GB2312" w:eastAsia="仿宋_GB2312" w:hint="eastAsia"/>
          <w:sz w:val="32"/>
          <w:szCs w:val="32"/>
        </w:rPr>
        <w:t>单位2025年度全年支出4069.35万元，其中：一般公共服务支出20.03万元，占全年支出0.50%；教育支出3191.97万元，占全年支出78.44%；社会保障和就业支出448.23万元，占全年支出11.01%；卫生健康支出168.99万元，占全年支出4.15%；住房保障支出240.13万元，占全年支出5.9%。</w:t>
      </w:r>
    </w:p>
    <w:p w:rsidR="00513B7D" w:rsidRDefault="00513B7D" w:rsidP="00513B7D">
      <w:pPr>
        <w:pStyle w:val="Default"/>
        <w:jc w:val="center"/>
        <w:rPr>
          <w:rFonts w:ascii="仿宋_GB2312" w:eastAsia="仿宋_GB2312" w:hAnsi="Times New Roman" w:cs="Times New Roman" w:hint="eastAsia"/>
          <w:color w:val="auto"/>
          <w:sz w:val="32"/>
          <w:szCs w:val="32"/>
        </w:rPr>
      </w:pPr>
      <w:r>
        <w:rPr>
          <w:rFonts w:ascii="仿宋_GB2312" w:eastAsia="仿宋_GB2312" w:cs="Times New Roman" w:hint="eastAsia"/>
          <w:color w:val="auto"/>
          <w:sz w:val="32"/>
          <w:szCs w:val="32"/>
        </w:rPr>
        <w:t>支出功能</w:t>
      </w:r>
      <w:r>
        <w:rPr>
          <w:rFonts w:ascii="仿宋_GB2312" w:eastAsia="仿宋_GB2312" w:hAnsi="Times New Roman" w:cs="Times New Roman" w:hint="eastAsia"/>
          <w:color w:val="auto"/>
          <w:sz w:val="32"/>
          <w:szCs w:val="32"/>
        </w:rPr>
        <w:t>分类占比情况表</w:t>
      </w:r>
      <w:r>
        <w:rPr>
          <w:rFonts w:ascii="仿宋_GB2312" w:eastAsia="仿宋_GB2312" w:hAnsi="仿宋" w:hint="eastAsia"/>
          <w:sz w:val="32"/>
          <w:szCs w:val="32"/>
        </w:rPr>
        <w:t>（单位：万元）</w:t>
      </w:r>
    </w:p>
    <w:tbl>
      <w:tblPr>
        <w:tblW w:w="4998" w:type="pct"/>
        <w:tblCellMar>
          <w:left w:w="0" w:type="dxa"/>
          <w:right w:w="0" w:type="dxa"/>
        </w:tblCellMar>
        <w:tblLook w:val="0000"/>
      </w:tblPr>
      <w:tblGrid>
        <w:gridCol w:w="2946"/>
        <w:gridCol w:w="2694"/>
        <w:gridCol w:w="2693"/>
      </w:tblGrid>
      <w:tr w:rsidR="00513B7D" w:rsidTr="004A5558">
        <w:trPr>
          <w:trHeight w:val="439"/>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项目</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金额（万元）</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占比情况</w:t>
            </w:r>
          </w:p>
        </w:tc>
      </w:tr>
      <w:tr w:rsidR="00513B7D" w:rsidTr="004A5558">
        <w:trPr>
          <w:trHeight w:val="439"/>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支出合计</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4069.35</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100.00%</w:t>
            </w:r>
          </w:p>
        </w:tc>
      </w:tr>
      <w:tr w:rsidR="00513B7D" w:rsidTr="004A5558">
        <w:trPr>
          <w:trHeight w:val="439"/>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lastRenderedPageBreak/>
              <w:t>一般公共服务支出</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20.03</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0.50%</w:t>
            </w:r>
          </w:p>
        </w:tc>
      </w:tr>
      <w:tr w:rsidR="00513B7D" w:rsidTr="004A5558">
        <w:trPr>
          <w:trHeight w:val="521"/>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教育支出</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3191.97</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78.44%</w:t>
            </w:r>
          </w:p>
        </w:tc>
      </w:tr>
      <w:tr w:rsidR="00513B7D" w:rsidTr="004A5558">
        <w:trPr>
          <w:trHeight w:val="521"/>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社会保障和就业支出</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448.23</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11.01%</w:t>
            </w:r>
          </w:p>
        </w:tc>
      </w:tr>
      <w:tr w:rsidR="00513B7D" w:rsidTr="004A5558">
        <w:trPr>
          <w:trHeight w:val="521"/>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卫生健康支出</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168.99</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4.15%</w:t>
            </w:r>
          </w:p>
        </w:tc>
      </w:tr>
      <w:tr w:rsidR="00513B7D" w:rsidTr="004A5558">
        <w:trPr>
          <w:trHeight w:val="521"/>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住房保障支出</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240.13</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5.9%</w:t>
            </w:r>
          </w:p>
        </w:tc>
      </w:tr>
    </w:tbl>
    <w:p w:rsidR="00513B7D" w:rsidRDefault="00513B7D" w:rsidP="00513B7D">
      <w:pPr>
        <w:snapToGrid w:val="0"/>
        <w:spacing w:line="520" w:lineRule="exact"/>
        <w:ind w:firstLineChars="200" w:firstLine="640"/>
        <w:rPr>
          <w:rFonts w:ascii="仿宋_GB2312" w:eastAsia="仿宋_GB2312" w:hAnsi="仿宋" w:hint="eastAsia"/>
          <w:b/>
          <w:sz w:val="32"/>
          <w:szCs w:val="32"/>
        </w:rPr>
      </w:pPr>
      <w:r>
        <w:rPr>
          <w:rFonts w:ascii="仿宋_GB2312" w:eastAsia="仿宋_GB2312" w:hAnsi="仿宋" w:hint="eastAsia"/>
          <w:b/>
          <w:sz w:val="32"/>
          <w:szCs w:val="32"/>
        </w:rPr>
        <w:t>5.财政拨款收入、支出分析。</w:t>
      </w:r>
    </w:p>
    <w:p w:rsidR="00513B7D" w:rsidRDefault="00513B7D" w:rsidP="00513B7D">
      <w:pPr>
        <w:widowControl/>
        <w:spacing w:line="315" w:lineRule="atLeast"/>
        <w:ind w:firstLineChars="200" w:firstLine="640"/>
        <w:rPr>
          <w:rFonts w:ascii="仿宋_GB2312" w:eastAsia="仿宋_GB2312" w:cs="Calibri"/>
          <w:color w:val="000000"/>
          <w:kern w:val="0"/>
          <w:sz w:val="32"/>
        </w:rPr>
      </w:pPr>
      <w:r>
        <w:rPr>
          <w:rFonts w:ascii="仿宋_GB2312" w:eastAsia="仿宋_GB2312" w:cs="Calibri" w:hint="eastAsia"/>
          <w:color w:val="000000"/>
          <w:kern w:val="0"/>
          <w:sz w:val="32"/>
        </w:rPr>
        <w:t>单位2025年度财政拨款收入为</w:t>
      </w:r>
      <w:r>
        <w:rPr>
          <w:rFonts w:ascii="仿宋_GB2312" w:eastAsia="仿宋_GB2312" w:hint="eastAsia"/>
          <w:sz w:val="32"/>
          <w:szCs w:val="32"/>
        </w:rPr>
        <w:t>3863.81</w:t>
      </w:r>
      <w:r>
        <w:rPr>
          <w:rFonts w:ascii="仿宋_GB2312" w:eastAsia="仿宋_GB2312" w:cs="Calibri" w:hint="eastAsia"/>
          <w:color w:val="000000"/>
          <w:kern w:val="0"/>
          <w:sz w:val="32"/>
        </w:rPr>
        <w:t>万元，较2024年度</w:t>
      </w:r>
      <w:r>
        <w:rPr>
          <w:rFonts w:ascii="仿宋_GB2312" w:eastAsia="仿宋_GB2312" w:hint="eastAsia"/>
          <w:sz w:val="32"/>
          <w:szCs w:val="32"/>
        </w:rPr>
        <w:t>3307.73</w:t>
      </w:r>
      <w:r>
        <w:rPr>
          <w:rFonts w:ascii="仿宋_GB2312" w:eastAsia="仿宋_GB2312" w:cs="Calibri" w:hint="eastAsia"/>
          <w:color w:val="000000"/>
          <w:kern w:val="0"/>
          <w:sz w:val="32"/>
        </w:rPr>
        <w:t>万元，</w:t>
      </w:r>
      <w:r>
        <w:rPr>
          <w:rFonts w:ascii="仿宋_GB2312" w:eastAsia="仿宋_GB2312" w:hAnsi="仿宋" w:hint="eastAsia"/>
          <w:sz w:val="32"/>
          <w:szCs w:val="32"/>
        </w:rPr>
        <w:t>增加556.08万元，增加16.81%</w:t>
      </w:r>
      <w:r>
        <w:rPr>
          <w:rFonts w:ascii="仿宋_GB2312" w:eastAsia="仿宋_GB2312" w:cs="Calibri" w:hint="eastAsia"/>
          <w:color w:val="000000"/>
          <w:kern w:val="0"/>
          <w:sz w:val="32"/>
        </w:rPr>
        <w:t>。</w:t>
      </w:r>
    </w:p>
    <w:p w:rsidR="00513B7D" w:rsidRDefault="00513B7D" w:rsidP="00513B7D">
      <w:pPr>
        <w:widowControl/>
        <w:ind w:firstLineChars="200" w:firstLine="640"/>
        <w:jc w:val="left"/>
        <w:rPr>
          <w:rFonts w:ascii="仿宋_GB2312" w:eastAsia="仿宋_GB2312" w:cs="Calibri" w:hint="eastAsia"/>
          <w:color w:val="000000"/>
          <w:kern w:val="0"/>
          <w:sz w:val="32"/>
        </w:rPr>
      </w:pPr>
      <w:r>
        <w:rPr>
          <w:rFonts w:ascii="仿宋_GB2312" w:eastAsia="仿宋_GB2312" w:cs="Calibri" w:hint="eastAsia"/>
          <w:color w:val="000000"/>
          <w:kern w:val="0"/>
          <w:sz w:val="32"/>
        </w:rPr>
        <w:t>单位2025年度财政拨款支出</w:t>
      </w:r>
      <w:r>
        <w:rPr>
          <w:rFonts w:ascii="仿宋_GB2312" w:eastAsia="仿宋_GB2312" w:hint="eastAsia"/>
          <w:sz w:val="32"/>
          <w:szCs w:val="32"/>
        </w:rPr>
        <w:t>3863.81</w:t>
      </w:r>
      <w:r>
        <w:rPr>
          <w:rFonts w:ascii="仿宋_GB2312" w:eastAsia="仿宋_GB2312" w:cs="Calibri" w:hint="eastAsia"/>
          <w:color w:val="000000"/>
          <w:kern w:val="0"/>
          <w:sz w:val="32"/>
        </w:rPr>
        <w:t>万元，其中基本支出</w:t>
      </w:r>
      <w:r>
        <w:rPr>
          <w:rFonts w:ascii="仿宋_GB2312" w:eastAsia="仿宋_GB2312" w:hAnsi="仿宋" w:hint="eastAsia"/>
          <w:sz w:val="32"/>
          <w:szCs w:val="32"/>
        </w:rPr>
        <w:t>3197.36</w:t>
      </w:r>
      <w:r>
        <w:rPr>
          <w:rFonts w:ascii="仿宋_GB2312" w:eastAsia="仿宋_GB2312" w:cs="Calibri" w:hint="eastAsia"/>
          <w:color w:val="000000"/>
          <w:kern w:val="0"/>
          <w:sz w:val="32"/>
        </w:rPr>
        <w:t>万元，占财政拨款支出</w:t>
      </w:r>
      <w:r>
        <w:rPr>
          <w:rFonts w:ascii="仿宋_GB2312" w:eastAsia="仿宋_GB2312" w:hint="eastAsia"/>
          <w:sz w:val="32"/>
          <w:szCs w:val="32"/>
        </w:rPr>
        <w:t>82.75%</w:t>
      </w:r>
      <w:r>
        <w:rPr>
          <w:rFonts w:ascii="仿宋_GB2312" w:eastAsia="仿宋_GB2312" w:cs="Calibri" w:hint="eastAsia"/>
          <w:color w:val="000000"/>
          <w:kern w:val="0"/>
          <w:sz w:val="32"/>
        </w:rPr>
        <w:t>（用于人员经费支</w:t>
      </w:r>
      <w:r>
        <w:rPr>
          <w:rFonts w:ascii="仿宋_GB2312" w:eastAsia="仿宋_GB2312" w:hint="eastAsia"/>
          <w:sz w:val="32"/>
          <w:szCs w:val="32"/>
        </w:rPr>
        <w:t>出3112.09</w:t>
      </w:r>
      <w:r>
        <w:rPr>
          <w:rFonts w:ascii="仿宋_GB2312" w:eastAsia="仿宋_GB2312" w:cs="Calibri" w:hint="eastAsia"/>
          <w:color w:val="000000"/>
          <w:kern w:val="0"/>
          <w:sz w:val="32"/>
        </w:rPr>
        <w:t>万元，占财政拨款支出80.54</w:t>
      </w:r>
      <w:r>
        <w:rPr>
          <w:rFonts w:ascii="仿宋_GB2312" w:eastAsia="仿宋_GB2312" w:hint="eastAsia"/>
          <w:sz w:val="32"/>
          <w:szCs w:val="32"/>
        </w:rPr>
        <w:t>%</w:t>
      </w:r>
      <w:r>
        <w:rPr>
          <w:rFonts w:ascii="仿宋_GB2312" w:eastAsia="仿宋_GB2312" w:cs="Calibri" w:hint="eastAsia"/>
          <w:color w:val="000000"/>
          <w:kern w:val="0"/>
          <w:sz w:val="32"/>
        </w:rPr>
        <w:t>；公用经费支出</w:t>
      </w:r>
      <w:r>
        <w:rPr>
          <w:rFonts w:ascii="仿宋_GB2312" w:eastAsia="仿宋_GB2312" w:hint="eastAsia"/>
          <w:sz w:val="32"/>
          <w:szCs w:val="32"/>
        </w:rPr>
        <w:t>85.27</w:t>
      </w:r>
      <w:r>
        <w:rPr>
          <w:rFonts w:ascii="仿宋_GB2312" w:eastAsia="仿宋_GB2312" w:cs="Calibri" w:hint="eastAsia"/>
          <w:color w:val="000000"/>
          <w:kern w:val="0"/>
          <w:sz w:val="32"/>
        </w:rPr>
        <w:t>万元，占财政拨款支出</w:t>
      </w:r>
      <w:r>
        <w:rPr>
          <w:rFonts w:ascii="仿宋_GB2312" w:eastAsia="仿宋_GB2312" w:hint="eastAsia"/>
          <w:sz w:val="32"/>
          <w:szCs w:val="32"/>
        </w:rPr>
        <w:t>2.21%</w:t>
      </w:r>
      <w:r>
        <w:rPr>
          <w:rFonts w:ascii="仿宋_GB2312" w:eastAsia="仿宋_GB2312" w:cs="Calibri" w:hint="eastAsia"/>
          <w:color w:val="000000"/>
          <w:kern w:val="0"/>
          <w:sz w:val="32"/>
        </w:rPr>
        <w:t>）；项目支出666.45万元，占财政拨款支出</w:t>
      </w:r>
      <w:r>
        <w:rPr>
          <w:rFonts w:ascii="仿宋_GB2312" w:eastAsia="仿宋_GB2312" w:hint="eastAsia"/>
          <w:sz w:val="32"/>
          <w:szCs w:val="32"/>
        </w:rPr>
        <w:t>17.25%</w:t>
      </w:r>
      <w:r>
        <w:rPr>
          <w:rFonts w:ascii="仿宋_GB2312" w:eastAsia="仿宋_GB2312" w:cs="Calibri" w:hint="eastAsia"/>
          <w:color w:val="000000"/>
          <w:kern w:val="0"/>
          <w:sz w:val="32"/>
        </w:rPr>
        <w:t>。</w:t>
      </w:r>
    </w:p>
    <w:p w:rsidR="00513B7D" w:rsidRDefault="00513B7D" w:rsidP="00513B7D">
      <w:pPr>
        <w:pStyle w:val="Default"/>
        <w:jc w:val="center"/>
        <w:rPr>
          <w:rFonts w:ascii="仿宋_GB2312" w:eastAsia="仿宋_GB2312" w:hAnsi="Times New Roman" w:cs="Times New Roman" w:hint="eastAsia"/>
          <w:color w:val="auto"/>
          <w:sz w:val="32"/>
          <w:szCs w:val="32"/>
        </w:rPr>
      </w:pPr>
      <w:r>
        <w:rPr>
          <w:rFonts w:ascii="仿宋_GB2312" w:eastAsia="仿宋_GB2312" w:cs="Times New Roman" w:hint="eastAsia"/>
          <w:color w:val="auto"/>
          <w:sz w:val="32"/>
          <w:szCs w:val="32"/>
        </w:rPr>
        <w:t>财政拨款支出按支出性质占比</w:t>
      </w:r>
      <w:r>
        <w:rPr>
          <w:rFonts w:ascii="仿宋_GB2312" w:eastAsia="仿宋_GB2312" w:hAnsi="Times New Roman" w:cs="Times New Roman" w:hint="eastAsia"/>
          <w:color w:val="auto"/>
          <w:sz w:val="32"/>
          <w:szCs w:val="32"/>
        </w:rPr>
        <w:t>情况表</w:t>
      </w:r>
      <w:r>
        <w:rPr>
          <w:rFonts w:ascii="仿宋_GB2312" w:eastAsia="仿宋_GB2312" w:hAnsi="仿宋" w:hint="eastAsia"/>
          <w:sz w:val="32"/>
          <w:szCs w:val="32"/>
        </w:rPr>
        <w:t>（单位：万元）</w:t>
      </w:r>
    </w:p>
    <w:tbl>
      <w:tblPr>
        <w:tblW w:w="4998" w:type="pct"/>
        <w:tblCellMar>
          <w:left w:w="0" w:type="dxa"/>
          <w:right w:w="0" w:type="dxa"/>
        </w:tblCellMar>
        <w:tblLook w:val="0000"/>
      </w:tblPr>
      <w:tblGrid>
        <w:gridCol w:w="2945"/>
        <w:gridCol w:w="2694"/>
        <w:gridCol w:w="2694"/>
      </w:tblGrid>
      <w:tr w:rsidR="00513B7D" w:rsidTr="004A5558">
        <w:trPr>
          <w:trHeight w:val="439"/>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项目</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金额（万元）</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占比情况</w:t>
            </w:r>
          </w:p>
        </w:tc>
      </w:tr>
      <w:tr w:rsidR="00513B7D" w:rsidTr="004A5558">
        <w:trPr>
          <w:trHeight w:val="439"/>
        </w:trPr>
        <w:tc>
          <w:tcPr>
            <w:tcW w:w="29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支出合计</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3863.81</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100.00%</w:t>
            </w:r>
          </w:p>
        </w:tc>
      </w:tr>
      <w:tr w:rsidR="00513B7D" w:rsidTr="004A5558">
        <w:trPr>
          <w:trHeight w:val="439"/>
        </w:trPr>
        <w:tc>
          <w:tcPr>
            <w:tcW w:w="29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基本支出</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3197.36</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82.75%</w:t>
            </w:r>
          </w:p>
        </w:tc>
      </w:tr>
      <w:tr w:rsidR="00513B7D" w:rsidTr="004A5558">
        <w:trPr>
          <w:trHeight w:val="521"/>
        </w:trPr>
        <w:tc>
          <w:tcPr>
            <w:tcW w:w="29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（1）人员经费</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3112.09</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80.54%</w:t>
            </w:r>
          </w:p>
        </w:tc>
      </w:tr>
      <w:tr w:rsidR="00513B7D" w:rsidTr="004A5558">
        <w:trPr>
          <w:trHeight w:val="521"/>
        </w:trPr>
        <w:tc>
          <w:tcPr>
            <w:tcW w:w="29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（2）公用经费</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85.27</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2.21%</w:t>
            </w:r>
          </w:p>
        </w:tc>
      </w:tr>
      <w:tr w:rsidR="00513B7D" w:rsidTr="004A5558">
        <w:trPr>
          <w:trHeight w:val="521"/>
        </w:trPr>
        <w:tc>
          <w:tcPr>
            <w:tcW w:w="29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项目支出</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666.45</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17.25%</w:t>
            </w:r>
          </w:p>
        </w:tc>
      </w:tr>
    </w:tbl>
    <w:p w:rsidR="00513B7D" w:rsidRDefault="00513B7D" w:rsidP="00513B7D">
      <w:pPr>
        <w:numPr>
          <w:ilvl w:val="0"/>
          <w:numId w:val="5"/>
        </w:numPr>
        <w:tabs>
          <w:tab w:val="left" w:pos="0"/>
        </w:tabs>
        <w:snapToGrid w:val="0"/>
        <w:spacing w:line="520" w:lineRule="exact"/>
        <w:ind w:firstLineChars="200" w:firstLine="640"/>
        <w:rPr>
          <w:rFonts w:ascii="仿宋_GB2312" w:eastAsia="仿宋_GB2312" w:hAnsi="仿宋" w:hint="eastAsia"/>
          <w:b/>
          <w:sz w:val="32"/>
          <w:szCs w:val="32"/>
        </w:rPr>
      </w:pPr>
      <w:r>
        <w:rPr>
          <w:rFonts w:ascii="仿宋_GB2312" w:eastAsia="仿宋_GB2312" w:hAnsi="仿宋" w:hint="eastAsia"/>
          <w:b/>
          <w:sz w:val="32"/>
          <w:szCs w:val="32"/>
        </w:rPr>
        <w:t>非财政拨款收入、支出分析。</w:t>
      </w:r>
    </w:p>
    <w:p w:rsidR="00513B7D" w:rsidRDefault="00513B7D" w:rsidP="00513B7D">
      <w:pPr>
        <w:widowControl/>
        <w:jc w:val="left"/>
        <w:rPr>
          <w:rFonts w:ascii="仿宋_GB2312" w:eastAsia="仿宋_GB2312" w:hAnsi="仿宋"/>
          <w:sz w:val="32"/>
          <w:szCs w:val="32"/>
        </w:rPr>
      </w:pPr>
      <w:r>
        <w:rPr>
          <w:rFonts w:ascii="仿宋_GB2312" w:eastAsia="仿宋_GB2312" w:cs="Calibri" w:hint="eastAsia"/>
          <w:color w:val="000000"/>
          <w:kern w:val="0"/>
          <w:sz w:val="32"/>
        </w:rPr>
        <w:lastRenderedPageBreak/>
        <w:t>单位2025年度非财政拨款收入为</w:t>
      </w:r>
      <w:r>
        <w:rPr>
          <w:rFonts w:ascii="仿宋_GB2312" w:eastAsia="仿宋_GB2312" w:hint="eastAsia"/>
          <w:sz w:val="32"/>
          <w:szCs w:val="32"/>
        </w:rPr>
        <w:t>205.54</w:t>
      </w:r>
      <w:r>
        <w:rPr>
          <w:rFonts w:ascii="仿宋_GB2312" w:eastAsia="仿宋_GB2312" w:cs="Calibri" w:hint="eastAsia"/>
          <w:color w:val="000000"/>
          <w:kern w:val="0"/>
          <w:sz w:val="32"/>
        </w:rPr>
        <w:t>万元，较2024年度</w:t>
      </w:r>
      <w:r>
        <w:rPr>
          <w:rFonts w:ascii="仿宋_GB2312" w:eastAsia="仿宋_GB2312" w:hint="eastAsia"/>
          <w:sz w:val="32"/>
          <w:szCs w:val="32"/>
        </w:rPr>
        <w:t>400.20</w:t>
      </w:r>
      <w:r>
        <w:rPr>
          <w:rFonts w:ascii="仿宋_GB2312" w:eastAsia="仿宋_GB2312" w:cs="Calibri" w:hint="eastAsia"/>
          <w:color w:val="000000"/>
          <w:kern w:val="0"/>
          <w:sz w:val="32"/>
        </w:rPr>
        <w:t>万元，</w:t>
      </w:r>
      <w:r>
        <w:rPr>
          <w:rFonts w:ascii="仿宋_GB2312" w:eastAsia="仿宋_GB2312" w:hAnsi="仿宋" w:hint="eastAsia"/>
          <w:sz w:val="32"/>
          <w:szCs w:val="32"/>
        </w:rPr>
        <w:t>减少194.65万元，减少48.64%</w:t>
      </w:r>
      <w:r>
        <w:rPr>
          <w:rFonts w:ascii="仿宋_GB2312" w:eastAsia="仿宋_GB2312" w:cs="Calibri" w:hint="eastAsia"/>
          <w:color w:val="000000"/>
          <w:kern w:val="0"/>
          <w:sz w:val="32"/>
        </w:rPr>
        <w:t>。主要原因为</w:t>
      </w:r>
      <w:r>
        <w:rPr>
          <w:rFonts w:ascii="仿宋_GB2312" w:eastAsia="仿宋_GB2312" w:hAnsi="仿宋" w:hint="eastAsia"/>
          <w:sz w:val="32"/>
          <w:szCs w:val="32"/>
        </w:rPr>
        <w:t>当年其他收入减少。</w:t>
      </w:r>
    </w:p>
    <w:p w:rsidR="00513B7D" w:rsidRDefault="00513B7D" w:rsidP="00513B7D">
      <w:pPr>
        <w:widowControl/>
        <w:spacing w:line="315" w:lineRule="atLeast"/>
        <w:ind w:firstLineChars="200" w:firstLine="640"/>
        <w:rPr>
          <w:rFonts w:ascii="仿宋_GB2312" w:eastAsia="仿宋_GB2312" w:cs="Calibri" w:hint="eastAsia"/>
          <w:color w:val="000000"/>
          <w:kern w:val="0"/>
          <w:sz w:val="32"/>
        </w:rPr>
      </w:pPr>
      <w:r>
        <w:rPr>
          <w:rFonts w:ascii="仿宋_GB2312" w:eastAsia="仿宋_GB2312" w:cs="Calibri" w:hint="eastAsia"/>
          <w:color w:val="000000"/>
          <w:kern w:val="0"/>
          <w:sz w:val="32"/>
        </w:rPr>
        <w:t>单位2025年度非财政拨款支出</w:t>
      </w:r>
      <w:r>
        <w:rPr>
          <w:rFonts w:ascii="仿宋_GB2312" w:eastAsia="仿宋_GB2312" w:hAnsi="仿宋" w:hint="eastAsia"/>
          <w:sz w:val="32"/>
          <w:szCs w:val="32"/>
        </w:rPr>
        <w:t>205.54</w:t>
      </w:r>
      <w:r>
        <w:rPr>
          <w:rFonts w:ascii="仿宋_GB2312" w:eastAsia="仿宋_GB2312" w:cs="Calibri" w:hint="eastAsia"/>
          <w:color w:val="000000"/>
          <w:kern w:val="0"/>
          <w:sz w:val="32"/>
        </w:rPr>
        <w:t>万元，其中基本支出</w:t>
      </w:r>
      <w:r>
        <w:rPr>
          <w:rFonts w:ascii="仿宋_GB2312" w:eastAsia="仿宋_GB2312" w:hint="eastAsia"/>
          <w:sz w:val="32"/>
          <w:szCs w:val="32"/>
        </w:rPr>
        <w:t>0.00</w:t>
      </w:r>
      <w:r>
        <w:rPr>
          <w:rFonts w:ascii="仿宋_GB2312" w:eastAsia="仿宋_GB2312" w:cs="Calibri" w:hint="eastAsia"/>
          <w:color w:val="000000"/>
          <w:kern w:val="0"/>
          <w:sz w:val="32"/>
        </w:rPr>
        <w:t>万元，占非财政拨款支出</w:t>
      </w:r>
      <w:r>
        <w:rPr>
          <w:rFonts w:ascii="仿宋_GB2312" w:eastAsia="仿宋_GB2312" w:hint="eastAsia"/>
          <w:sz w:val="32"/>
          <w:szCs w:val="32"/>
        </w:rPr>
        <w:t>0.00%</w:t>
      </w:r>
      <w:r>
        <w:rPr>
          <w:rFonts w:ascii="仿宋_GB2312" w:eastAsia="仿宋_GB2312" w:cs="Calibri" w:hint="eastAsia"/>
          <w:color w:val="000000"/>
          <w:kern w:val="0"/>
          <w:sz w:val="32"/>
        </w:rPr>
        <w:t>（用于人员经费支</w:t>
      </w:r>
      <w:r>
        <w:rPr>
          <w:rFonts w:ascii="仿宋_GB2312" w:eastAsia="仿宋_GB2312" w:hint="eastAsia"/>
          <w:sz w:val="32"/>
          <w:szCs w:val="32"/>
        </w:rPr>
        <w:t>出0.00</w:t>
      </w:r>
      <w:r>
        <w:rPr>
          <w:rFonts w:ascii="仿宋_GB2312" w:eastAsia="仿宋_GB2312" w:cs="Calibri" w:hint="eastAsia"/>
          <w:color w:val="000000"/>
          <w:kern w:val="0"/>
          <w:sz w:val="32"/>
        </w:rPr>
        <w:t>万元，占非财政拨款支出</w:t>
      </w:r>
      <w:r>
        <w:rPr>
          <w:rFonts w:ascii="仿宋_GB2312" w:eastAsia="仿宋_GB2312" w:hint="eastAsia"/>
          <w:sz w:val="32"/>
          <w:szCs w:val="32"/>
        </w:rPr>
        <w:t>0.00%</w:t>
      </w:r>
      <w:r>
        <w:rPr>
          <w:rFonts w:ascii="仿宋_GB2312" w:eastAsia="仿宋_GB2312" w:cs="Calibri" w:hint="eastAsia"/>
          <w:color w:val="000000"/>
          <w:kern w:val="0"/>
          <w:sz w:val="32"/>
        </w:rPr>
        <w:t>；公用经费支出</w:t>
      </w:r>
      <w:r>
        <w:rPr>
          <w:rFonts w:ascii="仿宋_GB2312" w:eastAsia="仿宋_GB2312" w:hint="eastAsia"/>
          <w:sz w:val="32"/>
          <w:szCs w:val="32"/>
        </w:rPr>
        <w:t>0.00</w:t>
      </w:r>
      <w:r>
        <w:rPr>
          <w:rFonts w:ascii="仿宋_GB2312" w:eastAsia="仿宋_GB2312" w:cs="Calibri" w:hint="eastAsia"/>
          <w:color w:val="000000"/>
          <w:kern w:val="0"/>
          <w:sz w:val="32"/>
        </w:rPr>
        <w:t>万元，占非财政拨款支出</w:t>
      </w:r>
      <w:r>
        <w:rPr>
          <w:rFonts w:ascii="仿宋_GB2312" w:eastAsia="仿宋_GB2312" w:hint="eastAsia"/>
          <w:sz w:val="32"/>
          <w:szCs w:val="32"/>
        </w:rPr>
        <w:t>0.00%</w:t>
      </w:r>
      <w:r>
        <w:rPr>
          <w:rFonts w:ascii="仿宋_GB2312" w:eastAsia="仿宋_GB2312" w:cs="Calibri" w:hint="eastAsia"/>
          <w:color w:val="000000"/>
          <w:kern w:val="0"/>
          <w:sz w:val="32"/>
        </w:rPr>
        <w:t>）；项目支出</w:t>
      </w:r>
      <w:r>
        <w:rPr>
          <w:rFonts w:ascii="仿宋_GB2312" w:eastAsia="仿宋_GB2312" w:hAnsi="仿宋" w:hint="eastAsia"/>
          <w:sz w:val="32"/>
          <w:szCs w:val="32"/>
        </w:rPr>
        <w:t>205.54</w:t>
      </w:r>
      <w:r>
        <w:rPr>
          <w:rFonts w:ascii="仿宋_GB2312" w:eastAsia="仿宋_GB2312" w:cs="Calibri" w:hint="eastAsia"/>
          <w:color w:val="000000"/>
          <w:kern w:val="0"/>
          <w:sz w:val="32"/>
        </w:rPr>
        <w:t>万元，占非财政拨款支出</w:t>
      </w:r>
      <w:r>
        <w:rPr>
          <w:rFonts w:ascii="仿宋_GB2312" w:eastAsia="仿宋_GB2312" w:hint="eastAsia"/>
          <w:sz w:val="32"/>
          <w:szCs w:val="32"/>
        </w:rPr>
        <w:t>100.00%</w:t>
      </w:r>
      <w:r>
        <w:rPr>
          <w:rFonts w:ascii="仿宋_GB2312" w:eastAsia="仿宋_GB2312" w:cs="Calibri" w:hint="eastAsia"/>
          <w:color w:val="000000"/>
          <w:kern w:val="0"/>
          <w:sz w:val="32"/>
        </w:rPr>
        <w:t>。</w:t>
      </w:r>
    </w:p>
    <w:p w:rsidR="00513B7D" w:rsidRDefault="00513B7D" w:rsidP="00513B7D">
      <w:pPr>
        <w:pStyle w:val="Default"/>
        <w:jc w:val="center"/>
        <w:rPr>
          <w:rFonts w:ascii="仿宋_GB2312" w:eastAsia="仿宋_GB2312" w:hAnsi="Times New Roman" w:cs="Times New Roman" w:hint="eastAsia"/>
          <w:color w:val="auto"/>
          <w:sz w:val="32"/>
          <w:szCs w:val="32"/>
        </w:rPr>
      </w:pPr>
      <w:r>
        <w:rPr>
          <w:rFonts w:ascii="仿宋_GB2312" w:eastAsia="仿宋_GB2312" w:cs="Times New Roman" w:hint="eastAsia"/>
          <w:color w:val="auto"/>
          <w:sz w:val="32"/>
          <w:szCs w:val="32"/>
        </w:rPr>
        <w:t>非财政拨款支出按支出性质占比</w:t>
      </w:r>
      <w:r>
        <w:rPr>
          <w:rFonts w:ascii="仿宋_GB2312" w:eastAsia="仿宋_GB2312" w:hAnsi="Times New Roman" w:cs="Times New Roman" w:hint="eastAsia"/>
          <w:color w:val="auto"/>
          <w:sz w:val="32"/>
          <w:szCs w:val="32"/>
        </w:rPr>
        <w:t>情况表</w:t>
      </w:r>
      <w:r>
        <w:rPr>
          <w:rFonts w:ascii="仿宋_GB2312" w:eastAsia="仿宋_GB2312" w:hAnsi="仿宋" w:hint="eastAsia"/>
          <w:sz w:val="32"/>
          <w:szCs w:val="32"/>
        </w:rPr>
        <w:t>（单位：万元）</w:t>
      </w:r>
    </w:p>
    <w:tbl>
      <w:tblPr>
        <w:tblW w:w="4998" w:type="pct"/>
        <w:tblCellMar>
          <w:left w:w="0" w:type="dxa"/>
          <w:right w:w="0" w:type="dxa"/>
        </w:tblCellMar>
        <w:tblLook w:val="0000"/>
      </w:tblPr>
      <w:tblGrid>
        <w:gridCol w:w="2945"/>
        <w:gridCol w:w="2694"/>
        <w:gridCol w:w="2694"/>
      </w:tblGrid>
      <w:tr w:rsidR="00513B7D" w:rsidTr="004A5558">
        <w:trPr>
          <w:trHeight w:val="439"/>
        </w:trPr>
        <w:tc>
          <w:tcPr>
            <w:tcW w:w="1767"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项目</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金额（万元）</w:t>
            </w:r>
          </w:p>
        </w:tc>
        <w:tc>
          <w:tcPr>
            <w:tcW w:w="1616" w:type="pc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占比情况</w:t>
            </w:r>
          </w:p>
        </w:tc>
      </w:tr>
      <w:tr w:rsidR="00513B7D" w:rsidTr="004A5558">
        <w:trPr>
          <w:trHeight w:val="439"/>
        </w:trPr>
        <w:tc>
          <w:tcPr>
            <w:tcW w:w="29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支出合计</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205.54</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100.00%</w:t>
            </w:r>
          </w:p>
        </w:tc>
      </w:tr>
      <w:tr w:rsidR="00513B7D" w:rsidTr="004A5558">
        <w:trPr>
          <w:trHeight w:val="439"/>
        </w:trPr>
        <w:tc>
          <w:tcPr>
            <w:tcW w:w="29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基本支出</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0.00 </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r>
      <w:tr w:rsidR="00513B7D" w:rsidTr="004A5558">
        <w:trPr>
          <w:trHeight w:val="521"/>
        </w:trPr>
        <w:tc>
          <w:tcPr>
            <w:tcW w:w="29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（1）人员经费</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0.00 </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r>
      <w:tr w:rsidR="00513B7D" w:rsidTr="004A5558">
        <w:trPr>
          <w:trHeight w:val="521"/>
        </w:trPr>
        <w:tc>
          <w:tcPr>
            <w:tcW w:w="29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（2）公用经费</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 xml:space="preserve">0.00 </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0.00%</w:t>
            </w:r>
          </w:p>
        </w:tc>
      </w:tr>
      <w:tr w:rsidR="00513B7D" w:rsidTr="004A5558">
        <w:trPr>
          <w:trHeight w:val="521"/>
        </w:trPr>
        <w:tc>
          <w:tcPr>
            <w:tcW w:w="294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项目支出</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rPr>
            </w:pPr>
            <w:r>
              <w:rPr>
                <w:rFonts w:ascii="微软雅黑" w:eastAsia="微软雅黑" w:hAnsi="微软雅黑" w:hint="eastAsia"/>
              </w:rPr>
              <w:t>205.54</w:t>
            </w:r>
          </w:p>
        </w:tc>
        <w:tc>
          <w:tcPr>
            <w:tcW w:w="269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513B7D" w:rsidRDefault="00513B7D" w:rsidP="004A5558">
            <w:pPr>
              <w:jc w:val="center"/>
              <w:rPr>
                <w:rFonts w:ascii="微软雅黑" w:eastAsia="微软雅黑" w:hAnsi="微软雅黑" w:hint="eastAsia"/>
              </w:rPr>
            </w:pPr>
            <w:r>
              <w:rPr>
                <w:rFonts w:ascii="微软雅黑" w:eastAsia="微软雅黑" w:hAnsi="微软雅黑" w:hint="eastAsia"/>
              </w:rPr>
              <w:t>100.00%</w:t>
            </w:r>
          </w:p>
        </w:tc>
      </w:tr>
    </w:tbl>
    <w:p w:rsidR="00513B7D" w:rsidRDefault="00513B7D" w:rsidP="00513B7D">
      <w:pPr>
        <w:snapToGrid w:val="0"/>
        <w:spacing w:line="520" w:lineRule="exact"/>
        <w:ind w:firstLineChars="200" w:firstLine="640"/>
        <w:outlineLvl w:val="0"/>
        <w:rPr>
          <w:rFonts w:ascii="楷体_GB2312" w:eastAsia="楷体_GB2312" w:hAnsi="仿宋" w:hint="eastAsia"/>
          <w:b/>
          <w:sz w:val="32"/>
          <w:szCs w:val="32"/>
        </w:rPr>
      </w:pPr>
      <w:r>
        <w:rPr>
          <w:rFonts w:ascii="楷体_GB2312" w:eastAsia="楷体_GB2312" w:hAnsi="仿宋" w:hint="eastAsia"/>
          <w:b/>
          <w:sz w:val="32"/>
          <w:szCs w:val="32"/>
        </w:rPr>
        <w:t>（三）年末结转和结余情况。</w:t>
      </w:r>
    </w:p>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1.财政拨款结转和结余</w:t>
      </w:r>
    </w:p>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无财政拨款结转和结余情况。</w:t>
      </w:r>
    </w:p>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2.非财政拨款结转和结余</w:t>
      </w:r>
    </w:p>
    <w:p w:rsidR="00513B7D" w:rsidRDefault="00513B7D" w:rsidP="00513B7D">
      <w:pPr>
        <w:snapToGrid w:val="0"/>
        <w:spacing w:line="520" w:lineRule="exact"/>
        <w:ind w:firstLineChars="200" w:firstLine="640"/>
        <w:rPr>
          <w:rFonts w:ascii="仿宋_GB2312" w:eastAsia="仿宋_GB2312" w:hAnsi="仿宋"/>
          <w:sz w:val="32"/>
          <w:szCs w:val="32"/>
        </w:rPr>
      </w:pPr>
      <w:r>
        <w:rPr>
          <w:rFonts w:ascii="仿宋_GB2312" w:eastAsia="仿宋_GB2312" w:hAnsi="仿宋" w:hint="eastAsia"/>
          <w:sz w:val="32"/>
          <w:szCs w:val="32"/>
        </w:rPr>
        <w:t>无非财政拨款结转和结余情况</w:t>
      </w:r>
      <w:r>
        <w:rPr>
          <w:rFonts w:ascii="仿宋_GB2312" w:eastAsia="仿宋_GB2312" w:hAnsi="仿宋_GB2312" w:cs="仿宋_GB2312" w:hint="eastAsia"/>
          <w:sz w:val="32"/>
          <w:szCs w:val="32"/>
        </w:rPr>
        <w:t>。</w:t>
      </w:r>
    </w:p>
    <w:p w:rsidR="00513B7D" w:rsidRDefault="00513B7D" w:rsidP="00513B7D">
      <w:pPr>
        <w:snapToGrid w:val="0"/>
        <w:spacing w:line="520" w:lineRule="exact"/>
        <w:ind w:firstLineChars="200" w:firstLine="640"/>
        <w:outlineLvl w:val="0"/>
        <w:rPr>
          <w:rFonts w:ascii="楷体_GB2312" w:eastAsia="楷体_GB2312" w:hAnsi="仿宋" w:hint="eastAsia"/>
          <w:b/>
          <w:sz w:val="32"/>
          <w:szCs w:val="32"/>
        </w:rPr>
      </w:pPr>
      <w:r>
        <w:rPr>
          <w:rFonts w:ascii="楷体_GB2312" w:eastAsia="楷体_GB2312" w:hAnsi="仿宋" w:hint="eastAsia"/>
          <w:b/>
          <w:sz w:val="32"/>
          <w:szCs w:val="32"/>
        </w:rPr>
        <w:t>（四）与预算支出相关的其他指标分析。</w:t>
      </w:r>
    </w:p>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1.资产信息情况。</w:t>
      </w:r>
    </w:p>
    <w:p w:rsidR="00513B7D" w:rsidRDefault="00513B7D" w:rsidP="00513B7D">
      <w:pPr>
        <w:widowControl/>
        <w:ind w:firstLineChars="200" w:firstLine="640"/>
        <w:jc w:val="left"/>
        <w:rPr>
          <w:rFonts w:ascii="仿宋_GB2312" w:eastAsia="仿宋_GB2312" w:hAnsi="仿宋" w:hint="eastAsia"/>
          <w:sz w:val="32"/>
          <w:szCs w:val="32"/>
        </w:rPr>
      </w:pPr>
      <w:r>
        <w:rPr>
          <w:rFonts w:ascii="仿宋_GB2312" w:eastAsia="仿宋_GB2312" w:hAnsi="仿宋" w:hint="eastAsia"/>
          <w:sz w:val="32"/>
          <w:szCs w:val="32"/>
        </w:rPr>
        <w:lastRenderedPageBreak/>
        <w:t>单位2025年年末银行存款9.69万元，较2024年13.21万元，减少3.52 万元，主要原因为银行存款余额正常变动。房屋原值1,876.91万元，较2024年1,876.91万元持平。车辆原值0.00万元，较2024年0.00万元持平。</w:t>
      </w:r>
    </w:p>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2.机构人员情况。</w:t>
      </w:r>
    </w:p>
    <w:p w:rsidR="00513B7D" w:rsidRDefault="00513B7D" w:rsidP="00513B7D">
      <w:pPr>
        <w:spacing w:line="600" w:lineRule="exact"/>
        <w:ind w:firstLineChars="200" w:firstLine="640"/>
        <w:outlineLvl w:val="2"/>
        <w:rPr>
          <w:rFonts w:ascii="仿宋_GB2312" w:eastAsia="仿宋_GB2312" w:hAnsi="仿宋" w:hint="eastAsia"/>
          <w:sz w:val="32"/>
          <w:szCs w:val="32"/>
        </w:rPr>
      </w:pPr>
      <w:r>
        <w:rPr>
          <w:rFonts w:ascii="仿宋_GB2312" w:eastAsia="仿宋_GB2312" w:hAnsi="仿宋" w:hint="eastAsia"/>
          <w:sz w:val="32"/>
          <w:szCs w:val="32"/>
        </w:rPr>
        <w:t>单位2024年年末编制内实有人数122人，较2024年121人，增加1人，主要原因为：2025年单位新招录事业管理人员1人。年末实有离退休人数为0人，比上年增加0人。年末实有其他人数为0人，比上年增加0人。</w:t>
      </w:r>
    </w:p>
    <w:p w:rsidR="008073F4" w:rsidRDefault="00132590" w:rsidP="00513B7D">
      <w:pPr>
        <w:spacing w:line="600" w:lineRule="exact"/>
        <w:ind w:firstLineChars="200" w:firstLine="640"/>
        <w:outlineLvl w:val="2"/>
        <w:rPr>
          <w:rFonts w:eastAsia="楷体_GB2312" w:cs="楷体_GB2312"/>
          <w:b/>
          <w:sz w:val="32"/>
          <w:szCs w:val="32"/>
        </w:rPr>
      </w:pPr>
      <w:r>
        <w:rPr>
          <w:rFonts w:eastAsia="楷体_GB2312" w:cs="楷体_GB2312" w:hint="eastAsia"/>
          <w:b/>
          <w:sz w:val="32"/>
          <w:szCs w:val="32"/>
        </w:rPr>
        <w:t>（三）国有资产占有使用情况</w:t>
      </w:r>
      <w:bookmarkEnd w:id="16"/>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截至</w:t>
      </w:r>
      <w:r>
        <w:rPr>
          <w:rFonts w:eastAsia="仿宋_GB2312" w:cs="仿宋_GB2312" w:hint="eastAsia"/>
          <w:sz w:val="32"/>
          <w:szCs w:val="32"/>
        </w:rPr>
        <w:t>202</w:t>
      </w:r>
      <w:r>
        <w:rPr>
          <w:rFonts w:eastAsia="仿宋_GB2312" w:cs="仿宋_GB2312" w:hint="eastAsia"/>
          <w:sz w:val="32"/>
          <w:szCs w:val="32"/>
        </w:rPr>
        <w:t>5</w:t>
      </w:r>
      <w:r>
        <w:rPr>
          <w:rFonts w:eastAsia="仿宋_GB2312" w:cs="仿宋_GB2312" w:hint="eastAsia"/>
          <w:sz w:val="32"/>
          <w:szCs w:val="32"/>
        </w:rPr>
        <w:t>年</w:t>
      </w:r>
      <w:r>
        <w:rPr>
          <w:rFonts w:eastAsia="仿宋_GB2312" w:cs="仿宋_GB2312" w:hint="eastAsia"/>
          <w:sz w:val="32"/>
          <w:szCs w:val="32"/>
        </w:rPr>
        <w:t>12</w:t>
      </w:r>
      <w:r>
        <w:rPr>
          <w:rFonts w:eastAsia="仿宋_GB2312" w:cs="仿宋_GB2312" w:hint="eastAsia"/>
          <w:sz w:val="32"/>
          <w:szCs w:val="32"/>
        </w:rPr>
        <w:t>月</w:t>
      </w:r>
      <w:r>
        <w:rPr>
          <w:rFonts w:eastAsia="仿宋_GB2312" w:cs="仿宋_GB2312" w:hint="eastAsia"/>
          <w:sz w:val="32"/>
          <w:szCs w:val="32"/>
        </w:rPr>
        <w:t>31</w:t>
      </w:r>
      <w:r>
        <w:rPr>
          <w:rFonts w:eastAsia="仿宋_GB2312" w:cs="仿宋_GB2312" w:hint="eastAsia"/>
          <w:sz w:val="32"/>
          <w:szCs w:val="32"/>
        </w:rPr>
        <w:t>日，</w:t>
      </w:r>
      <w:r>
        <w:rPr>
          <w:rFonts w:ascii="仿宋_GB2312" w:eastAsia="仿宋_GB2312" w:hAnsi="仿宋_GB2312" w:cs="仿宋_GB2312" w:hint="eastAsia"/>
          <w:sz w:val="32"/>
          <w:szCs w:val="32"/>
        </w:rPr>
        <w:t>红原县中学校</w:t>
      </w:r>
      <w:r>
        <w:rPr>
          <w:rFonts w:eastAsia="仿宋_GB2312" w:cs="仿宋_GB2312" w:hint="eastAsia"/>
          <w:sz w:val="32"/>
          <w:szCs w:val="32"/>
        </w:rPr>
        <w:t>共有车辆</w:t>
      </w:r>
      <w:r>
        <w:rPr>
          <w:rFonts w:ascii="仿宋_GB2312" w:eastAsia="仿宋_GB2312" w:hAnsi="仿宋_GB2312" w:cs="仿宋_GB2312" w:hint="eastAsia"/>
          <w:sz w:val="32"/>
          <w:szCs w:val="32"/>
        </w:rPr>
        <w:t>0</w:t>
      </w:r>
      <w:r>
        <w:rPr>
          <w:rFonts w:eastAsia="仿宋_GB2312" w:cs="仿宋_GB2312" w:hint="eastAsia"/>
          <w:sz w:val="32"/>
          <w:szCs w:val="32"/>
        </w:rPr>
        <w:t>辆，其中：副部（省）级及以上领导用车</w:t>
      </w:r>
      <w:r>
        <w:rPr>
          <w:rFonts w:ascii="仿宋_GB2312" w:eastAsia="仿宋_GB2312" w:hAnsi="仿宋_GB2312" w:cs="仿宋_GB2312" w:hint="eastAsia"/>
          <w:sz w:val="32"/>
          <w:szCs w:val="32"/>
        </w:rPr>
        <w:t>0</w:t>
      </w:r>
      <w:r>
        <w:rPr>
          <w:rFonts w:eastAsia="仿宋_GB2312" w:cs="仿宋_GB2312" w:hint="eastAsia"/>
          <w:sz w:val="32"/>
          <w:szCs w:val="32"/>
        </w:rPr>
        <w:t>辆、主要</w:t>
      </w:r>
      <w:r>
        <w:rPr>
          <w:rFonts w:eastAsia="仿宋_GB2312" w:cs="仿宋_GB2312" w:hint="eastAsia"/>
          <w:sz w:val="32"/>
          <w:szCs w:val="32"/>
        </w:rPr>
        <w:t>负责人</w:t>
      </w:r>
      <w:r>
        <w:rPr>
          <w:rFonts w:eastAsia="仿宋_GB2312" w:cs="仿宋_GB2312" w:hint="eastAsia"/>
          <w:sz w:val="32"/>
          <w:szCs w:val="32"/>
        </w:rPr>
        <w:t>用车</w:t>
      </w:r>
      <w:r>
        <w:rPr>
          <w:rFonts w:ascii="仿宋_GB2312" w:eastAsia="仿宋_GB2312" w:hAnsi="仿宋_GB2312" w:cs="仿宋_GB2312" w:hint="eastAsia"/>
          <w:sz w:val="32"/>
          <w:szCs w:val="32"/>
        </w:rPr>
        <w:t>0</w:t>
      </w:r>
      <w:r>
        <w:rPr>
          <w:rFonts w:eastAsia="仿宋_GB2312" w:cs="仿宋_GB2312" w:hint="eastAsia"/>
          <w:sz w:val="32"/>
          <w:szCs w:val="32"/>
        </w:rPr>
        <w:t>辆、机要通信用车</w:t>
      </w:r>
      <w:r>
        <w:rPr>
          <w:rFonts w:ascii="仿宋_GB2312" w:eastAsia="仿宋_GB2312" w:hAnsi="仿宋_GB2312" w:cs="仿宋_GB2312" w:hint="eastAsia"/>
          <w:sz w:val="32"/>
          <w:szCs w:val="32"/>
        </w:rPr>
        <w:t>0</w:t>
      </w:r>
      <w:r>
        <w:rPr>
          <w:rFonts w:eastAsia="仿宋_GB2312" w:cs="仿宋_GB2312" w:hint="eastAsia"/>
          <w:sz w:val="32"/>
          <w:szCs w:val="32"/>
        </w:rPr>
        <w:t>辆、应急保障用车</w:t>
      </w:r>
      <w:r>
        <w:rPr>
          <w:rFonts w:ascii="仿宋_GB2312" w:eastAsia="仿宋_GB2312" w:hAnsi="仿宋_GB2312" w:cs="仿宋_GB2312" w:hint="eastAsia"/>
          <w:sz w:val="32"/>
          <w:szCs w:val="32"/>
        </w:rPr>
        <w:t>0</w:t>
      </w:r>
      <w:r>
        <w:rPr>
          <w:rFonts w:eastAsia="仿宋_GB2312" w:cs="仿宋_GB2312" w:hint="eastAsia"/>
          <w:sz w:val="32"/>
          <w:szCs w:val="32"/>
        </w:rPr>
        <w:t>辆、执法执勤用车</w:t>
      </w:r>
      <w:r>
        <w:rPr>
          <w:rFonts w:ascii="仿宋_GB2312" w:eastAsia="仿宋_GB2312" w:hAnsi="仿宋_GB2312" w:cs="仿宋_GB2312" w:hint="eastAsia"/>
          <w:sz w:val="32"/>
          <w:szCs w:val="32"/>
        </w:rPr>
        <w:t>0</w:t>
      </w:r>
      <w:r>
        <w:rPr>
          <w:rFonts w:eastAsia="仿宋_GB2312" w:cs="仿宋_GB2312" w:hint="eastAsia"/>
          <w:sz w:val="32"/>
          <w:szCs w:val="32"/>
        </w:rPr>
        <w:t>辆、特种专业技术用车</w:t>
      </w:r>
      <w:r>
        <w:rPr>
          <w:rFonts w:ascii="仿宋_GB2312" w:eastAsia="仿宋_GB2312" w:hAnsi="仿宋_GB2312" w:cs="仿宋_GB2312" w:hint="eastAsia"/>
          <w:sz w:val="32"/>
          <w:szCs w:val="32"/>
        </w:rPr>
        <w:t>0</w:t>
      </w:r>
      <w:r>
        <w:rPr>
          <w:rFonts w:eastAsia="仿宋_GB2312" w:cs="仿宋_GB2312" w:hint="eastAsia"/>
          <w:sz w:val="32"/>
          <w:szCs w:val="32"/>
        </w:rPr>
        <w:t>辆、离退休干部服务用车</w:t>
      </w:r>
      <w:r>
        <w:rPr>
          <w:rFonts w:ascii="仿宋_GB2312" w:eastAsia="仿宋_GB2312" w:hAnsi="仿宋_GB2312" w:cs="仿宋_GB2312" w:hint="eastAsia"/>
          <w:sz w:val="32"/>
          <w:szCs w:val="32"/>
        </w:rPr>
        <w:t>0</w:t>
      </w:r>
      <w:r>
        <w:rPr>
          <w:rFonts w:eastAsia="仿宋_GB2312" w:cs="仿宋_GB2312" w:hint="eastAsia"/>
          <w:sz w:val="32"/>
          <w:szCs w:val="32"/>
        </w:rPr>
        <w:t>辆、其他用车</w:t>
      </w:r>
      <w:r>
        <w:rPr>
          <w:rFonts w:ascii="仿宋_GB2312" w:eastAsia="仿宋_GB2312" w:hAnsi="仿宋_GB2312" w:cs="仿宋_GB2312" w:hint="eastAsia"/>
          <w:sz w:val="32"/>
          <w:szCs w:val="32"/>
        </w:rPr>
        <w:t>0</w:t>
      </w:r>
      <w:r>
        <w:rPr>
          <w:rFonts w:eastAsia="仿宋_GB2312" w:cs="仿宋_GB2312" w:hint="eastAsia"/>
          <w:sz w:val="32"/>
          <w:szCs w:val="32"/>
        </w:rPr>
        <w:t>辆，其他用车主要是用于……</w:t>
      </w:r>
      <w:r>
        <w:rPr>
          <w:rFonts w:eastAsia="仿宋_GB2312" w:cs="仿宋_GB2312" w:hint="eastAsia"/>
          <w:sz w:val="32"/>
          <w:szCs w:val="32"/>
        </w:rPr>
        <w:t>。</w:t>
      </w:r>
      <w:r>
        <w:rPr>
          <w:rFonts w:eastAsia="仿宋_GB2312" w:cs="仿宋_GB2312" w:hint="eastAsia"/>
          <w:sz w:val="32"/>
          <w:szCs w:val="32"/>
        </w:rPr>
        <w:t>单价</w:t>
      </w:r>
      <w:r>
        <w:rPr>
          <w:rFonts w:eastAsia="仿宋_GB2312" w:cs="仿宋_GB2312" w:hint="eastAsia"/>
          <w:sz w:val="32"/>
          <w:szCs w:val="32"/>
        </w:rPr>
        <w:t>100</w:t>
      </w:r>
      <w:r>
        <w:rPr>
          <w:rFonts w:eastAsia="仿宋_GB2312" w:cs="仿宋_GB2312" w:hint="eastAsia"/>
          <w:sz w:val="32"/>
          <w:szCs w:val="32"/>
        </w:rPr>
        <w:t>万元</w:t>
      </w:r>
      <w:r>
        <w:rPr>
          <w:rFonts w:eastAsia="仿宋_GB2312" w:cs="仿宋_GB2312" w:hint="eastAsia"/>
          <w:sz w:val="32"/>
          <w:szCs w:val="32"/>
        </w:rPr>
        <w:t>（含）</w:t>
      </w:r>
      <w:r>
        <w:rPr>
          <w:rFonts w:eastAsia="仿宋_GB2312" w:cs="仿宋_GB2312" w:hint="eastAsia"/>
          <w:sz w:val="32"/>
          <w:szCs w:val="32"/>
        </w:rPr>
        <w:t>以上设备（不含车辆）</w:t>
      </w:r>
      <w:r>
        <w:rPr>
          <w:rFonts w:ascii="仿宋_GB2312" w:eastAsia="仿宋_GB2312" w:hAnsi="仿宋_GB2312" w:cs="仿宋_GB2312" w:hint="eastAsia"/>
          <w:sz w:val="32"/>
          <w:szCs w:val="32"/>
        </w:rPr>
        <w:t>0</w:t>
      </w:r>
      <w:r>
        <w:rPr>
          <w:rFonts w:eastAsia="仿宋_GB2312" w:cs="仿宋_GB2312" w:hint="eastAsia"/>
          <w:sz w:val="32"/>
          <w:szCs w:val="32"/>
        </w:rPr>
        <w:t>台（套）。</w:t>
      </w:r>
    </w:p>
    <w:p w:rsidR="008073F4" w:rsidRDefault="008073F4">
      <w:pPr>
        <w:spacing w:line="600" w:lineRule="exact"/>
        <w:ind w:firstLine="640"/>
        <w:rPr>
          <w:rFonts w:eastAsia="仿宋_GB2312" w:cs="仿宋_GB2312"/>
          <w:sz w:val="32"/>
          <w:szCs w:val="32"/>
        </w:rPr>
      </w:pPr>
    </w:p>
    <w:p w:rsidR="008073F4" w:rsidRDefault="00132590" w:rsidP="00690794">
      <w:pPr>
        <w:spacing w:line="600" w:lineRule="exact"/>
        <w:ind w:firstLineChars="200" w:firstLine="640"/>
        <w:outlineLvl w:val="2"/>
        <w:rPr>
          <w:rFonts w:eastAsia="楷体_GB2312" w:cs="楷体_GB2312"/>
          <w:b/>
          <w:sz w:val="32"/>
          <w:szCs w:val="32"/>
        </w:rPr>
      </w:pPr>
      <w:r>
        <w:rPr>
          <w:rFonts w:eastAsia="楷体_GB2312" w:cs="楷体_GB2312" w:hint="eastAsia"/>
          <w:b/>
          <w:sz w:val="32"/>
          <w:szCs w:val="32"/>
        </w:rPr>
        <w:t>（四）预算绩效管理情况</w:t>
      </w:r>
    </w:p>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1.概述项目绩效目标完成情况。</w:t>
      </w:r>
    </w:p>
    <w:p w:rsid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我单位2025年所有预算项目全部纳入绩效目标管理，按月填报绩效监控。单位提高预算绩效管理认识，强化以“绩效为中心、对支出结果负责、对社会公众负责”的理念，在绩效目标编制方面，针对绩效目标设置指向不清、预算和目标匹配不足，数量目标和质量目标量化不细，效益目标编制</w:t>
      </w:r>
      <w:r>
        <w:rPr>
          <w:rFonts w:ascii="仿宋_GB2312" w:eastAsia="仿宋_GB2312" w:hAnsi="仿宋" w:hint="eastAsia"/>
          <w:sz w:val="32"/>
          <w:szCs w:val="32"/>
        </w:rPr>
        <w:lastRenderedPageBreak/>
        <w:t>不完整等方面加以了改善。加强预算绩效动态监控管理，加强相关人员的业务培训，进一步提高预算绩效评价质量。</w:t>
      </w:r>
    </w:p>
    <w:p w:rsidR="00513B7D" w:rsidRDefault="00513B7D" w:rsidP="00513B7D">
      <w:pPr>
        <w:numPr>
          <w:ilvl w:val="0"/>
          <w:numId w:val="6"/>
        </w:numPr>
        <w:tabs>
          <w:tab w:val="left" w:pos="312"/>
        </w:tabs>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概述本单位整体支出绩效目标实现情况。</w:t>
      </w:r>
    </w:p>
    <w:p w:rsidR="00513B7D" w:rsidRPr="00513B7D" w:rsidRDefault="00513B7D" w:rsidP="00513B7D">
      <w:pPr>
        <w:snapToGrid w:val="0"/>
        <w:spacing w:line="52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我单位年初根据工作规划和重点工作规划，积极履行职责，强化本单位预算管理，在绩效目标编制方面，针对绩效目标设置指向不清、预算和目标匹配不足，数量目标和质量目标量化不细，效益目标编制不完整等方面加以了改善。目前单位绩效评价结果还停留在反映情况、找问题、提建议层面，评价结果和预算安排有机结合的机制尚未真正建立。</w:t>
      </w:r>
    </w:p>
    <w:p w:rsidR="00513B7D" w:rsidRDefault="00513B7D" w:rsidP="00513B7D">
      <w:pPr>
        <w:pBdr>
          <w:bottom w:val="single" w:sz="4" w:space="31" w:color="FFFFFF"/>
        </w:pBdr>
        <w:autoSpaceDE w:val="0"/>
        <w:spacing w:line="560" w:lineRule="exact"/>
        <w:ind w:firstLineChars="200" w:firstLine="640"/>
        <w:rPr>
          <w:rFonts w:ascii="仿宋_GB2312" w:eastAsia="仿宋_GB2312" w:hAnsi="仿宋" w:hint="eastAsia"/>
          <w:sz w:val="32"/>
          <w:szCs w:val="32"/>
          <w:lang w:bidi="ar-SA"/>
        </w:rPr>
      </w:pPr>
      <w:r>
        <w:rPr>
          <w:rFonts w:ascii="仿宋_GB2312" w:eastAsia="仿宋_GB2312" w:hAnsi="仿宋" w:hint="eastAsia"/>
          <w:sz w:val="32"/>
          <w:szCs w:val="32"/>
          <w:lang w:bidi="ar-SA"/>
        </w:rPr>
        <w:t>1、存在的问题</w:t>
      </w:r>
    </w:p>
    <w:p w:rsidR="00513B7D" w:rsidRDefault="00513B7D" w:rsidP="00513B7D">
      <w:pPr>
        <w:pBdr>
          <w:bottom w:val="single" w:sz="4" w:space="31" w:color="FFFFFF"/>
        </w:pBdr>
        <w:autoSpaceDE w:val="0"/>
        <w:spacing w:line="560" w:lineRule="exact"/>
        <w:ind w:firstLineChars="200" w:firstLine="640"/>
        <w:rPr>
          <w:rFonts w:ascii="仿宋_GB2312" w:eastAsia="仿宋_GB2312" w:hAnsi="仿宋" w:hint="eastAsia"/>
          <w:sz w:val="32"/>
          <w:szCs w:val="32"/>
          <w:lang w:bidi="ar-SA"/>
        </w:rPr>
      </w:pPr>
      <w:r>
        <w:rPr>
          <w:rFonts w:ascii="仿宋_GB2312" w:eastAsia="仿宋_GB2312" w:hAnsi="仿宋" w:hint="eastAsia"/>
          <w:sz w:val="32"/>
          <w:szCs w:val="32"/>
          <w:lang w:bidi="ar-SA"/>
        </w:rPr>
        <w:t>（1）、预算编制工作有待细化。预算编制不够明确和细化，预算编制的合理性及执行力有待进一步提高，维持预算的严肃性和权威性有待进一步加强。个别项目资金管理和使用有待进一步细化和加强。</w:t>
      </w:r>
    </w:p>
    <w:p w:rsidR="00513B7D" w:rsidRDefault="00513B7D" w:rsidP="00513B7D">
      <w:pPr>
        <w:pBdr>
          <w:bottom w:val="single" w:sz="4" w:space="31" w:color="FFFFFF"/>
        </w:pBdr>
        <w:autoSpaceDE w:val="0"/>
        <w:spacing w:line="560" w:lineRule="exact"/>
        <w:ind w:firstLineChars="200" w:firstLine="640"/>
        <w:rPr>
          <w:rFonts w:ascii="仿宋_GB2312" w:eastAsia="仿宋_GB2312" w:hAnsi="仿宋" w:hint="eastAsia"/>
          <w:sz w:val="32"/>
          <w:szCs w:val="32"/>
          <w:lang w:bidi="ar-SA"/>
        </w:rPr>
      </w:pPr>
      <w:r>
        <w:rPr>
          <w:rFonts w:ascii="仿宋_GB2312" w:eastAsia="仿宋_GB2312" w:hAnsi="仿宋" w:hint="eastAsia"/>
          <w:sz w:val="32"/>
          <w:szCs w:val="32"/>
        </w:rPr>
        <w:t>（2）、</w:t>
      </w:r>
      <w:r>
        <w:rPr>
          <w:rFonts w:ascii="仿宋_GB2312" w:eastAsia="仿宋_GB2312" w:hAnsi="仿宋" w:hint="eastAsia"/>
          <w:sz w:val="32"/>
          <w:szCs w:val="32"/>
          <w:lang w:bidi="ar-SA"/>
        </w:rPr>
        <w:t>绩效考核指标有待标准化。缺乏完善的绩效评价体系，预算绩效问责与激励制度还没完全建立，绩效评价对于优化、促进预算管理的作用还没有得到充分体现。</w:t>
      </w:r>
    </w:p>
    <w:p w:rsidR="00513B7D" w:rsidRDefault="00513B7D" w:rsidP="00513B7D">
      <w:pPr>
        <w:pBdr>
          <w:bottom w:val="single" w:sz="4" w:space="31" w:color="FFFFFF"/>
        </w:pBdr>
        <w:autoSpaceDE w:val="0"/>
        <w:spacing w:line="560" w:lineRule="exact"/>
        <w:ind w:firstLineChars="200" w:firstLine="640"/>
        <w:rPr>
          <w:rFonts w:ascii="仿宋_GB2312" w:eastAsia="仿宋_GB2312" w:hAnsi="仿宋" w:hint="eastAsia"/>
          <w:sz w:val="32"/>
          <w:szCs w:val="32"/>
          <w:lang w:bidi="ar-SA"/>
        </w:rPr>
      </w:pPr>
      <w:r>
        <w:rPr>
          <w:rFonts w:ascii="仿宋_GB2312" w:eastAsia="仿宋_GB2312" w:hAnsi="仿宋" w:hint="eastAsia"/>
          <w:sz w:val="32"/>
          <w:szCs w:val="32"/>
        </w:rPr>
        <w:t>（3）、</w:t>
      </w:r>
      <w:r>
        <w:rPr>
          <w:rFonts w:ascii="仿宋_GB2312" w:eastAsia="仿宋_GB2312" w:hAnsi="仿宋" w:hint="eastAsia"/>
          <w:sz w:val="32"/>
          <w:szCs w:val="32"/>
          <w:lang w:bidi="ar-SA"/>
        </w:rPr>
        <w:t>制度建设有待进一步完善。为保证单位的正常运转，还需进一步完善财务制度体系和绩效评价体系，使财务工作有章可循，为提升财务服务质量提供制度保障。</w:t>
      </w:r>
    </w:p>
    <w:p w:rsidR="00513B7D" w:rsidRDefault="00513B7D" w:rsidP="00513B7D">
      <w:pPr>
        <w:pBdr>
          <w:bottom w:val="single" w:sz="4" w:space="31" w:color="FFFFFF"/>
        </w:pBdr>
        <w:autoSpaceDE w:val="0"/>
        <w:spacing w:line="56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2、做好预算绩效管理基础性工作的建议和对策</w:t>
      </w:r>
    </w:p>
    <w:p w:rsidR="008073F4" w:rsidRPr="00513B7D" w:rsidRDefault="00513B7D" w:rsidP="00513B7D">
      <w:pPr>
        <w:pBdr>
          <w:bottom w:val="single" w:sz="4" w:space="31" w:color="FFFFFF"/>
        </w:pBdr>
        <w:autoSpaceDE w:val="0"/>
        <w:spacing w:line="560" w:lineRule="exact"/>
        <w:ind w:firstLineChars="200" w:firstLine="640"/>
        <w:rPr>
          <w:rFonts w:ascii="仿宋_GB2312" w:eastAsia="仿宋_GB2312" w:hAnsi="仿宋"/>
          <w:sz w:val="32"/>
          <w:szCs w:val="32"/>
          <w:lang w:bidi="ar-SA"/>
        </w:rPr>
      </w:pPr>
      <w:r>
        <w:rPr>
          <w:rFonts w:ascii="仿宋_GB2312" w:eastAsia="仿宋_GB2312" w:hAnsi="仿宋" w:hint="eastAsia"/>
          <w:sz w:val="32"/>
          <w:szCs w:val="32"/>
          <w:lang w:bidi="ar-SA"/>
        </w:rPr>
        <w:t>做好绩效管理的宣传和培训工作至关重要。1.加强学习，提高思想认识。组织单位人员认真学习《预算法》等相关法规、制度，提高单位领导对前面预算管理的重视程度。增强</w:t>
      </w:r>
      <w:r>
        <w:rPr>
          <w:rFonts w:ascii="仿宋_GB2312" w:eastAsia="仿宋_GB2312" w:hAnsi="仿宋" w:hint="eastAsia"/>
          <w:sz w:val="32"/>
          <w:szCs w:val="32"/>
          <w:lang w:bidi="ar-SA"/>
        </w:rPr>
        <w:lastRenderedPageBreak/>
        <w:t>财务人员的预算意识，坚持先有预算、后有支出，没有预算不得支出。2.细化指标，提高预算科学性。科学合理编制预算，推进预算编制科学化、准确化。年度预算编制后，根据实际情况，定期做好预算分析，掌握预算执行力度，及时找出预算实际执行情况与预算目标之间存在的差距，纠正偏差，为下一次科学、准确地编制部门预算积累经验。3.严格管理，控制“三公”经费和公用经费支出。严格落实中央“八项规定”和“压缩一般性支出”要求，切实加强三公”经费和会议费、培训费的管理，严格按照规定开支有关经费，确保三公”经费只减不增。4.规范财务运行，加强预算支出管理。严格遵循先有预算、后有支出的原则，在资金支付管理方面，严格按照规定程序向财政部门申请用款，在财政部门批复的支出预算资金范围内申请使用一般预算支出经费。建立健全并认真执行各项资金使用管理制度，建立内部控制制度，资金使用严格履行审批程序，确保资金支出合法、真实。</w:t>
      </w:r>
    </w:p>
    <w:p w:rsidR="008073F4" w:rsidRDefault="00132590">
      <w:pPr>
        <w:spacing w:line="600" w:lineRule="exact"/>
        <w:jc w:val="center"/>
        <w:outlineLvl w:val="0"/>
        <w:rPr>
          <w:rFonts w:eastAsia="黑体"/>
          <w:sz w:val="44"/>
          <w:szCs w:val="44"/>
        </w:rPr>
      </w:pPr>
      <w:bookmarkStart w:id="18" w:name="_Toc15396613"/>
      <w:bookmarkStart w:id="19" w:name="_Toc15377225"/>
      <w:r>
        <w:rPr>
          <w:rFonts w:eastAsia="黑体" w:hint="eastAsia"/>
          <w:sz w:val="44"/>
          <w:szCs w:val="44"/>
        </w:rPr>
        <w:t>第</w:t>
      </w:r>
      <w:r>
        <w:rPr>
          <w:rFonts w:eastAsia="黑体" w:hint="eastAsia"/>
          <w:sz w:val="44"/>
          <w:szCs w:val="44"/>
        </w:rPr>
        <w:t>三</w:t>
      </w:r>
      <w:r>
        <w:rPr>
          <w:rFonts w:eastAsia="黑体" w:hint="eastAsia"/>
          <w:sz w:val="44"/>
          <w:szCs w:val="44"/>
        </w:rPr>
        <w:t>部分</w:t>
      </w:r>
      <w:r>
        <w:rPr>
          <w:rFonts w:eastAsia="黑体" w:hint="eastAsia"/>
          <w:sz w:val="44"/>
          <w:szCs w:val="44"/>
        </w:rPr>
        <w:t xml:space="preserve"> </w:t>
      </w:r>
      <w:r>
        <w:rPr>
          <w:rFonts w:eastAsia="黑体" w:hint="eastAsia"/>
          <w:sz w:val="44"/>
          <w:szCs w:val="44"/>
        </w:rPr>
        <w:t xml:space="preserve"> </w:t>
      </w:r>
      <w:r>
        <w:rPr>
          <w:rFonts w:eastAsia="黑体" w:hint="eastAsia"/>
          <w:sz w:val="44"/>
          <w:szCs w:val="44"/>
        </w:rPr>
        <w:t>名词解释</w:t>
      </w:r>
      <w:bookmarkEnd w:id="18"/>
      <w:bookmarkEnd w:id="19"/>
    </w:p>
    <w:p w:rsidR="008073F4" w:rsidRDefault="008073F4">
      <w:pPr>
        <w:spacing w:line="600" w:lineRule="exact"/>
        <w:jc w:val="left"/>
        <w:rPr>
          <w:b/>
          <w:sz w:val="44"/>
          <w:szCs w:val="44"/>
        </w:rPr>
      </w:pP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1.</w:t>
      </w:r>
      <w:r>
        <w:rPr>
          <w:rFonts w:eastAsia="仿宋_GB2312" w:cs="仿宋_GB2312" w:hint="eastAsia"/>
          <w:sz w:val="32"/>
          <w:szCs w:val="32"/>
        </w:rPr>
        <w:t>财政拨款收入：指单位从同级财政部门取得的财政预算资金。</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2.</w:t>
      </w:r>
      <w:r>
        <w:rPr>
          <w:rFonts w:eastAsia="仿宋_GB2312" w:cs="仿宋_GB2312" w:hint="eastAsia"/>
          <w:sz w:val="32"/>
          <w:szCs w:val="32"/>
        </w:rPr>
        <w:t>事业收入：指事业单位开展专业业务活动及辅助活动取得的收入。如……（二级预算单位事业收入情况）等。</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3.</w:t>
      </w:r>
      <w:r>
        <w:rPr>
          <w:rFonts w:eastAsia="仿宋_GB2312" w:cs="仿宋_GB2312" w:hint="eastAsia"/>
          <w:sz w:val="32"/>
          <w:szCs w:val="32"/>
        </w:rPr>
        <w:t>经营收入：指事业单位在专业业务活动及其辅助活动之外开展非独立核算经营活动取得的收入。如……（二级预</w:t>
      </w:r>
      <w:r>
        <w:rPr>
          <w:rFonts w:eastAsia="仿宋_GB2312" w:cs="仿宋_GB2312" w:hint="eastAsia"/>
          <w:sz w:val="32"/>
          <w:szCs w:val="32"/>
        </w:rPr>
        <w:lastRenderedPageBreak/>
        <w:t>算单位经营收入情况）等。</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4.</w:t>
      </w:r>
      <w:r>
        <w:rPr>
          <w:rFonts w:eastAsia="仿宋_GB2312" w:cs="仿宋_GB2312" w:hint="eastAsia"/>
          <w:sz w:val="32"/>
          <w:szCs w:val="32"/>
        </w:rPr>
        <w:t>其他收入：指单位取得的除上述收入以外的各项收入。主要是……（收入类型）等。</w:t>
      </w:r>
      <w:r>
        <w:rPr>
          <w:rFonts w:eastAsia="仿宋_GB2312" w:cs="仿宋_GB2312" w:hint="eastAsia"/>
          <w:sz w:val="32"/>
          <w:szCs w:val="32"/>
        </w:rPr>
        <w:t xml:space="preserve"> </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5.</w:t>
      </w:r>
      <w:r>
        <w:rPr>
          <w:rFonts w:eastAsia="仿宋_GB2312" w:cs="仿宋_GB2312" w:hint="eastAsia"/>
          <w:sz w:val="32"/>
          <w:szCs w:val="32"/>
        </w:rPr>
        <w:t>使用非财政拨款结余（含专用结余）：指事业单位使用以前年度积累的非财政拨款结余弥补当年收支差额的金额。</w:t>
      </w:r>
      <w:r>
        <w:rPr>
          <w:rFonts w:eastAsia="仿宋_GB2312" w:cs="仿宋_GB2312" w:hint="eastAsia"/>
          <w:sz w:val="32"/>
          <w:szCs w:val="32"/>
        </w:rPr>
        <w:t xml:space="preserve"> </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6.</w:t>
      </w:r>
      <w:r>
        <w:rPr>
          <w:rFonts w:eastAsia="仿宋_GB2312" w:cs="仿宋_GB2312" w:hint="eastAsia"/>
          <w:sz w:val="32"/>
          <w:szCs w:val="32"/>
        </w:rPr>
        <w:t>年初结转和结余：指以前年度尚未完成、结转到本年按有关规定继续使用的资金。</w:t>
      </w:r>
      <w:r>
        <w:rPr>
          <w:rFonts w:eastAsia="仿宋_GB2312" w:cs="仿宋_GB2312" w:hint="eastAsia"/>
          <w:sz w:val="32"/>
          <w:szCs w:val="32"/>
        </w:rPr>
        <w:t xml:space="preserve"> </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7.</w:t>
      </w:r>
      <w:r>
        <w:rPr>
          <w:rFonts w:eastAsia="仿宋_GB2312" w:cs="仿宋_GB2312" w:hint="eastAsia"/>
          <w:sz w:val="32"/>
          <w:szCs w:val="32"/>
        </w:rPr>
        <w:t>结余分配：指事业单位按照会计制度规定缴纳的所得税、提取的专用结余以及转入非财政拨款结余的金额等。</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8.</w:t>
      </w:r>
      <w:r>
        <w:rPr>
          <w:rFonts w:eastAsia="仿宋_GB2312" w:cs="仿宋_GB2312" w:hint="eastAsia"/>
          <w:sz w:val="32"/>
          <w:szCs w:val="32"/>
        </w:rPr>
        <w:t>年末结转和结余：指单位按有关规定结转到下年或以后年度继续使用的资金。</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9.</w:t>
      </w:r>
      <w:r>
        <w:rPr>
          <w:rFonts w:eastAsia="仿宋_GB2312" w:cs="仿宋_GB2312" w:hint="eastAsia"/>
          <w:sz w:val="32"/>
          <w:szCs w:val="32"/>
        </w:rPr>
        <w:t>一般公共服务（类）……（款）……（项）：指……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10.</w:t>
      </w:r>
      <w:r>
        <w:rPr>
          <w:rFonts w:eastAsia="仿宋_GB2312" w:cs="仿宋_GB2312" w:hint="eastAsia"/>
          <w:sz w:val="32"/>
          <w:szCs w:val="32"/>
        </w:rPr>
        <w:t>外交（类</w:t>
      </w:r>
      <w:r>
        <w:rPr>
          <w:rFonts w:eastAsia="仿宋_GB2312" w:cs="仿宋_GB2312" w:hint="eastAsia"/>
          <w:sz w:val="32"/>
          <w:szCs w:val="32"/>
        </w:rPr>
        <w:t>）……（款）……（项）：指……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11.</w:t>
      </w:r>
      <w:r>
        <w:rPr>
          <w:rFonts w:eastAsia="仿宋_GB2312" w:cs="仿宋_GB2312" w:hint="eastAsia"/>
          <w:sz w:val="32"/>
          <w:szCs w:val="32"/>
        </w:rPr>
        <w:t>公共安全（类）……（款）……（项）：指……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12.</w:t>
      </w:r>
      <w:r>
        <w:rPr>
          <w:rFonts w:eastAsia="仿宋_GB2312" w:cs="仿宋_GB2312" w:hint="eastAsia"/>
          <w:sz w:val="32"/>
          <w:szCs w:val="32"/>
        </w:rPr>
        <w:t>教育（类）……（款）……（项）：指……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13.</w:t>
      </w:r>
      <w:r>
        <w:rPr>
          <w:rFonts w:eastAsia="仿宋_GB2312" w:cs="仿宋_GB2312" w:hint="eastAsia"/>
          <w:sz w:val="32"/>
          <w:szCs w:val="32"/>
        </w:rPr>
        <w:t>科学技术（类）……（款）……（项）：指……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14.</w:t>
      </w:r>
      <w:r>
        <w:rPr>
          <w:rFonts w:eastAsia="仿宋_GB2312" w:cs="仿宋_GB2312" w:hint="eastAsia"/>
          <w:sz w:val="32"/>
          <w:szCs w:val="32"/>
        </w:rPr>
        <w:t>文化旅游体育与传媒（类）……（款）……（项）：指……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15.</w:t>
      </w:r>
      <w:r>
        <w:rPr>
          <w:rFonts w:eastAsia="仿宋_GB2312" w:cs="仿宋_GB2312" w:hint="eastAsia"/>
          <w:sz w:val="32"/>
          <w:szCs w:val="32"/>
        </w:rPr>
        <w:t>社会保障和就业（类）……（款）……（项）：指……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16.</w:t>
      </w:r>
      <w:r>
        <w:rPr>
          <w:rFonts w:eastAsia="仿宋_GB2312" w:cs="仿宋_GB2312" w:hint="eastAsia"/>
          <w:sz w:val="32"/>
          <w:szCs w:val="32"/>
        </w:rPr>
        <w:t>卫生健康（类）……（款）……（项）：指……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17.</w:t>
      </w:r>
      <w:r>
        <w:rPr>
          <w:rFonts w:eastAsia="仿宋_GB2312" w:cs="仿宋_GB2312" w:hint="eastAsia"/>
          <w:sz w:val="32"/>
          <w:szCs w:val="32"/>
        </w:rPr>
        <w:t>节能环保（类）……（款）……（项）</w:t>
      </w:r>
      <w:r>
        <w:rPr>
          <w:rFonts w:eastAsia="仿宋_GB2312" w:cs="仿宋_GB2312" w:hint="eastAsia"/>
          <w:sz w:val="32"/>
          <w:szCs w:val="32"/>
        </w:rPr>
        <w:t>：</w:t>
      </w:r>
      <w:r>
        <w:rPr>
          <w:rFonts w:eastAsia="仿宋_GB2312" w:cs="仿宋_GB2312" w:hint="eastAsia"/>
          <w:sz w:val="32"/>
          <w:szCs w:val="32"/>
        </w:rPr>
        <w:t>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18.</w:t>
      </w:r>
      <w:r>
        <w:rPr>
          <w:rFonts w:eastAsia="仿宋_GB2312" w:cs="仿宋_GB2312" w:hint="eastAsia"/>
          <w:sz w:val="32"/>
          <w:szCs w:val="32"/>
        </w:rPr>
        <w:t>城乡社区（类）……（款）……（项）：指……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19.</w:t>
      </w:r>
      <w:r>
        <w:rPr>
          <w:rFonts w:eastAsia="仿宋_GB2312" w:cs="仿宋_GB2312" w:hint="eastAsia"/>
          <w:sz w:val="32"/>
          <w:szCs w:val="32"/>
        </w:rPr>
        <w:t>农林水（类）……（款）……（项）：指……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20.</w:t>
      </w:r>
      <w:r>
        <w:rPr>
          <w:rFonts w:eastAsia="仿宋_GB2312" w:cs="仿宋_GB2312" w:hint="eastAsia"/>
          <w:sz w:val="32"/>
          <w:szCs w:val="32"/>
        </w:rPr>
        <w:t>交通运输（类）</w:t>
      </w:r>
      <w:r>
        <w:rPr>
          <w:rFonts w:eastAsia="仿宋_GB2312" w:cs="仿宋_GB2312" w:hint="eastAsia"/>
          <w:sz w:val="32"/>
          <w:szCs w:val="32"/>
        </w:rPr>
        <w:t>……（款）……（项）：指……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lastRenderedPageBreak/>
        <w:t>21.</w:t>
      </w:r>
      <w:r>
        <w:rPr>
          <w:rFonts w:eastAsia="仿宋_GB2312" w:cs="仿宋_GB2312" w:hint="eastAsia"/>
          <w:sz w:val="32"/>
          <w:szCs w:val="32"/>
        </w:rPr>
        <w:t>资源勘探工业信息等（类）……（款）……（项）：指……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22.</w:t>
      </w:r>
      <w:r>
        <w:rPr>
          <w:rFonts w:eastAsia="仿宋_GB2312" w:cs="仿宋_GB2312" w:hint="eastAsia"/>
          <w:sz w:val="32"/>
          <w:szCs w:val="32"/>
        </w:rPr>
        <w:t>商业服务业（类）……（款）……（项）：指……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23.</w:t>
      </w:r>
      <w:r>
        <w:rPr>
          <w:rFonts w:eastAsia="仿宋_GB2312" w:cs="仿宋_GB2312" w:hint="eastAsia"/>
          <w:sz w:val="32"/>
          <w:szCs w:val="32"/>
        </w:rPr>
        <w:t>金融（类）……（款）……（项）：指……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24.</w:t>
      </w:r>
      <w:r>
        <w:rPr>
          <w:rFonts w:eastAsia="仿宋_GB2312" w:cs="仿宋_GB2312" w:hint="eastAsia"/>
          <w:sz w:val="32"/>
          <w:szCs w:val="32"/>
        </w:rPr>
        <w:t>自然资源海洋气象等（类）……（款）……（项）：指……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25.</w:t>
      </w:r>
      <w:r>
        <w:rPr>
          <w:rFonts w:eastAsia="仿宋_GB2312" w:cs="仿宋_GB2312" w:hint="eastAsia"/>
          <w:sz w:val="32"/>
          <w:szCs w:val="32"/>
        </w:rPr>
        <w:t>住房保障（类）……（款）……（项）：指……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26.</w:t>
      </w:r>
      <w:r>
        <w:rPr>
          <w:rFonts w:eastAsia="仿宋_GB2312" w:cs="仿宋_GB2312" w:hint="eastAsia"/>
          <w:sz w:val="32"/>
          <w:szCs w:val="32"/>
        </w:rPr>
        <w:t>粮油物资储备（类）……（款）……（项）：指……</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w:t>
      </w:r>
    </w:p>
    <w:p w:rsidR="008073F4" w:rsidRDefault="00132590">
      <w:pPr>
        <w:spacing w:line="600" w:lineRule="exact"/>
        <w:ind w:firstLine="640"/>
        <w:rPr>
          <w:rFonts w:eastAsia="仿宋_GB2312" w:cs="仿宋_GB2312"/>
          <w:sz w:val="32"/>
          <w:szCs w:val="32"/>
        </w:rPr>
      </w:pPr>
      <w:r>
        <w:rPr>
          <w:rFonts w:eastAsia="仿宋_GB2312" w:cs="仿宋_GB2312" w:hint="eastAsia"/>
          <w:b/>
          <w:bCs/>
          <w:sz w:val="32"/>
          <w:szCs w:val="32"/>
        </w:rPr>
        <w:t>（</w:t>
      </w:r>
      <w:r>
        <w:rPr>
          <w:rFonts w:eastAsia="仿宋_GB2312" w:cs="仿宋_GB2312" w:hint="eastAsia"/>
          <w:b/>
          <w:bCs/>
          <w:sz w:val="32"/>
          <w:szCs w:val="32"/>
        </w:rPr>
        <w:t>注：</w:t>
      </w:r>
      <w:r>
        <w:rPr>
          <w:rFonts w:eastAsia="仿宋_GB2312" w:cs="仿宋_GB2312" w:hint="eastAsia"/>
          <w:b/>
          <w:bCs/>
          <w:sz w:val="32"/>
          <w:szCs w:val="32"/>
        </w:rPr>
        <w:t>解释本部门决算报表中涉及的全部功能分类科目至项级，不涉及的科目请自行删除。请参照</w:t>
      </w:r>
      <w:r>
        <w:rPr>
          <w:rFonts w:eastAsia="仿宋_GB2312" w:cs="仿宋_GB2312" w:hint="eastAsia"/>
          <w:b/>
          <w:bCs/>
          <w:sz w:val="32"/>
          <w:szCs w:val="32"/>
        </w:rPr>
        <w:t>《</w:t>
      </w:r>
      <w:r>
        <w:rPr>
          <w:rFonts w:eastAsia="仿宋_GB2312" w:cs="仿宋_GB2312" w:hint="eastAsia"/>
          <w:b/>
          <w:bCs/>
          <w:sz w:val="32"/>
          <w:szCs w:val="32"/>
        </w:rPr>
        <w:t>202</w:t>
      </w:r>
      <w:r>
        <w:rPr>
          <w:rFonts w:eastAsia="仿宋_GB2312" w:cs="仿宋_GB2312" w:hint="eastAsia"/>
          <w:b/>
          <w:bCs/>
          <w:sz w:val="32"/>
          <w:szCs w:val="32"/>
        </w:rPr>
        <w:t>5</w:t>
      </w:r>
      <w:r>
        <w:rPr>
          <w:rFonts w:eastAsia="仿宋_GB2312" w:cs="仿宋_GB2312" w:hint="eastAsia"/>
          <w:b/>
          <w:bCs/>
          <w:sz w:val="32"/>
          <w:szCs w:val="32"/>
        </w:rPr>
        <w:t>年政府收支分类科目</w:t>
      </w:r>
      <w:r>
        <w:rPr>
          <w:rFonts w:eastAsia="仿宋_GB2312" w:cs="仿宋_GB2312" w:hint="eastAsia"/>
          <w:b/>
          <w:bCs/>
          <w:sz w:val="32"/>
          <w:szCs w:val="32"/>
        </w:rPr>
        <w:t>》</w:t>
      </w:r>
      <w:r>
        <w:rPr>
          <w:rFonts w:eastAsia="仿宋_GB2312" w:cs="仿宋_GB2312" w:hint="eastAsia"/>
          <w:b/>
          <w:bCs/>
          <w:sz w:val="32"/>
          <w:szCs w:val="32"/>
        </w:rPr>
        <w:t>增减内容）</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27.</w:t>
      </w:r>
      <w:r>
        <w:rPr>
          <w:rFonts w:eastAsia="仿宋_GB2312" w:cs="仿宋_GB2312" w:hint="eastAsia"/>
          <w:sz w:val="32"/>
          <w:szCs w:val="32"/>
        </w:rPr>
        <w:t>基本支出：指为保障机构正常运转、完成日常工作任务而发生的人员支出和公用支出。</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28.</w:t>
      </w:r>
      <w:r>
        <w:rPr>
          <w:rFonts w:eastAsia="仿宋_GB2312" w:cs="仿宋_GB2312" w:hint="eastAsia"/>
          <w:sz w:val="32"/>
          <w:szCs w:val="32"/>
        </w:rPr>
        <w:t>项目支出：指在基本支出之外为完成特定行政任务和事业发展目标所发生的支出。</w:t>
      </w:r>
      <w:r>
        <w:rPr>
          <w:rFonts w:eastAsia="仿宋_GB2312" w:cs="仿宋_GB2312" w:hint="eastAsia"/>
          <w:sz w:val="32"/>
          <w:szCs w:val="32"/>
        </w:rPr>
        <w:t xml:space="preserve"> </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29.</w:t>
      </w:r>
      <w:r>
        <w:rPr>
          <w:rFonts w:eastAsia="仿宋_GB2312" w:cs="仿宋_GB2312" w:hint="eastAsia"/>
          <w:sz w:val="32"/>
          <w:szCs w:val="32"/>
        </w:rPr>
        <w:t>经营支出：指事业单位在专业业务活动及其辅助活动之外开展非独立核算经营活动发生的支出。</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30.</w:t>
      </w:r>
      <w:r>
        <w:rPr>
          <w:rFonts w:eastAsia="仿宋_GB2312" w:cs="仿宋_GB2312" w:hint="eastAsia"/>
          <w:sz w:val="32"/>
          <w:szCs w:val="32"/>
        </w:rPr>
        <w:t>“</w:t>
      </w:r>
      <w:r>
        <w:rPr>
          <w:rFonts w:eastAsia="仿宋_GB2312" w:cs="仿宋_GB2312" w:hint="eastAsia"/>
          <w:sz w:val="32"/>
          <w:szCs w:val="32"/>
        </w:rPr>
        <w:t>三公</w:t>
      </w:r>
      <w:r>
        <w:rPr>
          <w:rFonts w:eastAsia="仿宋_GB2312" w:cs="仿宋_GB2312" w:hint="eastAsia"/>
          <w:sz w:val="32"/>
          <w:szCs w:val="32"/>
        </w:rPr>
        <w:t>”</w:t>
      </w:r>
      <w:r>
        <w:rPr>
          <w:rFonts w:eastAsia="仿宋_GB2312" w:cs="仿宋_GB2312" w:hint="eastAsia"/>
          <w:sz w:val="32"/>
          <w:szCs w:val="32"/>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w:t>
      </w:r>
      <w:r>
        <w:rPr>
          <w:rFonts w:eastAsia="仿宋_GB2312" w:cs="仿宋_GB2312" w:hint="eastAsia"/>
          <w:sz w:val="32"/>
          <w:szCs w:val="32"/>
        </w:rPr>
        <w:t>（含车辆购置税）及租用费、燃料费、维修费、过路过桥费、保险费等支出；公务接待费反映单位按规定开支的各类公务接待（含</w:t>
      </w:r>
      <w:r>
        <w:rPr>
          <w:rFonts w:eastAsia="仿宋_GB2312" w:cs="仿宋_GB2312" w:hint="eastAsia"/>
          <w:sz w:val="32"/>
          <w:szCs w:val="32"/>
        </w:rPr>
        <w:lastRenderedPageBreak/>
        <w:t>外宾接待）支出。</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31.</w:t>
      </w:r>
      <w:r>
        <w:rPr>
          <w:rFonts w:eastAsia="仿宋_GB2312" w:cs="仿宋_GB2312" w:hint="eastAsia"/>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8073F4" w:rsidRDefault="00132590">
      <w:pPr>
        <w:spacing w:line="600" w:lineRule="exact"/>
        <w:ind w:firstLine="640"/>
        <w:rPr>
          <w:rFonts w:eastAsia="仿宋_GB2312" w:cs="仿宋_GB2312"/>
          <w:sz w:val="32"/>
          <w:szCs w:val="32"/>
        </w:rPr>
      </w:pPr>
      <w:r>
        <w:rPr>
          <w:rFonts w:eastAsia="仿宋_GB2312" w:cs="仿宋_GB2312" w:hint="eastAsia"/>
          <w:sz w:val="32"/>
          <w:szCs w:val="32"/>
        </w:rPr>
        <w:t>32.</w:t>
      </w:r>
      <w:r>
        <w:rPr>
          <w:rFonts w:eastAsia="仿宋_GB2312" w:cs="仿宋_GB2312" w:hint="eastAsia"/>
          <w:sz w:val="32"/>
          <w:szCs w:val="32"/>
        </w:rPr>
        <w:t>……</w:t>
      </w:r>
    </w:p>
    <w:p w:rsidR="008073F4" w:rsidRDefault="00132590">
      <w:pPr>
        <w:spacing w:line="600" w:lineRule="exact"/>
        <w:ind w:firstLine="640"/>
        <w:rPr>
          <w:rFonts w:eastAsia="仿宋_GB2312" w:cs="仿宋_GB2312"/>
          <w:b/>
          <w:bCs/>
          <w:sz w:val="32"/>
          <w:szCs w:val="32"/>
        </w:rPr>
      </w:pPr>
      <w:r>
        <w:rPr>
          <w:rFonts w:eastAsia="仿宋_GB2312" w:cs="仿宋_GB2312" w:hint="eastAsia"/>
          <w:b/>
          <w:bCs/>
          <w:sz w:val="32"/>
          <w:szCs w:val="32"/>
        </w:rPr>
        <w:t>（注：名词解释部分请根据各部门实际列支情况罗列，并根据本部门职责职能增减名词解释内容）</w:t>
      </w:r>
    </w:p>
    <w:p w:rsidR="008073F4" w:rsidRDefault="00132590">
      <w:pPr>
        <w:spacing w:line="600" w:lineRule="exact"/>
        <w:jc w:val="center"/>
        <w:rPr>
          <w:rStyle w:val="1Char"/>
          <w:rFonts w:eastAsia="黑体"/>
          <w:b w:val="0"/>
        </w:rPr>
      </w:pPr>
      <w:bookmarkStart w:id="20" w:name="_Toc15377226"/>
      <w:r>
        <w:rPr>
          <w:rFonts w:eastAsia="仿宋_GB2312" w:cs="仿宋_GB2312" w:hint="eastAsia"/>
          <w:sz w:val="32"/>
          <w:szCs w:val="32"/>
        </w:rPr>
        <w:br w:type="page"/>
      </w:r>
      <w:bookmarkStart w:id="21" w:name="_Toc15396614"/>
      <w:r>
        <w:rPr>
          <w:rFonts w:eastAsia="黑体" w:hint="eastAsia"/>
          <w:sz w:val="44"/>
          <w:szCs w:val="44"/>
        </w:rPr>
        <w:lastRenderedPageBreak/>
        <w:t>第四</w:t>
      </w:r>
      <w:r>
        <w:rPr>
          <w:rFonts w:eastAsia="黑体" w:hint="eastAsia"/>
          <w:sz w:val="44"/>
          <w:szCs w:val="44"/>
        </w:rPr>
        <w:t>部分</w:t>
      </w:r>
      <w:r>
        <w:rPr>
          <w:rFonts w:eastAsia="黑体" w:hint="eastAsia"/>
          <w:sz w:val="44"/>
          <w:szCs w:val="44"/>
        </w:rPr>
        <w:t xml:space="preserve"> </w:t>
      </w:r>
      <w:r>
        <w:rPr>
          <w:rFonts w:eastAsia="黑体" w:hint="eastAsia"/>
          <w:sz w:val="44"/>
          <w:szCs w:val="44"/>
        </w:rPr>
        <w:t xml:space="preserve"> </w:t>
      </w:r>
      <w:r>
        <w:rPr>
          <w:rFonts w:eastAsia="黑体" w:hint="eastAsia"/>
          <w:sz w:val="44"/>
          <w:szCs w:val="44"/>
        </w:rPr>
        <w:t>附件</w:t>
      </w:r>
      <w:bookmarkEnd w:id="21"/>
    </w:p>
    <w:p w:rsidR="008073F4" w:rsidRDefault="008073F4">
      <w:pPr>
        <w:spacing w:line="572" w:lineRule="exact"/>
        <w:jc w:val="left"/>
        <w:outlineLvl w:val="0"/>
        <w:rPr>
          <w:rFonts w:eastAsia="黑体" w:cs="黑体"/>
          <w:color w:val="FF0000"/>
          <w:sz w:val="32"/>
          <w:szCs w:val="32"/>
        </w:rPr>
      </w:pPr>
    </w:p>
    <w:p w:rsidR="008073F4" w:rsidRDefault="00132590">
      <w:pPr>
        <w:spacing w:line="572" w:lineRule="exact"/>
        <w:jc w:val="left"/>
        <w:outlineLvl w:val="0"/>
        <w:rPr>
          <w:rFonts w:eastAsia="黑体" w:cs="方正小标宋简体"/>
          <w:sz w:val="44"/>
          <w:szCs w:val="44"/>
        </w:rPr>
      </w:pPr>
      <w:r>
        <w:rPr>
          <w:rFonts w:eastAsia="黑体" w:cs="黑体" w:hint="eastAsia"/>
          <w:sz w:val="32"/>
          <w:szCs w:val="32"/>
        </w:rPr>
        <w:t>附件</w:t>
      </w:r>
      <w:r>
        <w:rPr>
          <w:rFonts w:eastAsia="黑体" w:cs="黑体" w:hint="eastAsia"/>
          <w:sz w:val="32"/>
          <w:szCs w:val="32"/>
        </w:rPr>
        <w:t>1</w:t>
      </w:r>
    </w:p>
    <w:p w:rsidR="008073F4" w:rsidRDefault="008073F4">
      <w:pPr>
        <w:widowControl/>
        <w:spacing w:line="578" w:lineRule="exact"/>
        <w:contextualSpacing/>
        <w:jc w:val="center"/>
        <w:rPr>
          <w:rFonts w:eastAsia="方正小标宋简体"/>
          <w:bCs/>
          <w:sz w:val="44"/>
          <w:szCs w:val="44"/>
          <w:shd w:val="clear" w:color="auto" w:fill="FFFFFF"/>
        </w:rPr>
      </w:pPr>
    </w:p>
    <w:p w:rsidR="008073F4" w:rsidRDefault="00132590">
      <w:pPr>
        <w:widowControl/>
        <w:spacing w:line="578" w:lineRule="exact"/>
        <w:contextualSpacing/>
        <w:jc w:val="center"/>
        <w:rPr>
          <w:rFonts w:eastAsia="方正小标宋简体"/>
          <w:bCs/>
          <w:sz w:val="44"/>
          <w:szCs w:val="44"/>
          <w:shd w:val="clear" w:color="auto" w:fill="FFFFFF"/>
        </w:rPr>
      </w:pPr>
      <w:r>
        <w:rPr>
          <w:rFonts w:eastAsia="方正小标宋简体"/>
          <w:bCs/>
          <w:sz w:val="44"/>
          <w:szCs w:val="44"/>
          <w:shd w:val="clear" w:color="auto" w:fill="FFFFFF"/>
        </w:rPr>
        <w:t>部门</w:t>
      </w:r>
      <w:r>
        <w:rPr>
          <w:rFonts w:eastAsia="方正小标宋简体"/>
          <w:bCs/>
          <w:sz w:val="44"/>
          <w:szCs w:val="44"/>
          <w:shd w:val="clear" w:color="auto" w:fill="FFFFFF"/>
        </w:rPr>
        <w:t>预算</w:t>
      </w:r>
      <w:r>
        <w:rPr>
          <w:rFonts w:eastAsia="方正小标宋简体"/>
          <w:bCs/>
          <w:sz w:val="44"/>
          <w:szCs w:val="44"/>
          <w:shd w:val="clear" w:color="auto" w:fill="FFFFFF"/>
        </w:rPr>
        <w:t>绩效</w:t>
      </w:r>
      <w:r>
        <w:rPr>
          <w:rFonts w:eastAsia="方正小标宋简体" w:hint="eastAsia"/>
          <w:bCs/>
          <w:sz w:val="44"/>
          <w:szCs w:val="44"/>
          <w:shd w:val="clear" w:color="auto" w:fill="FFFFFF"/>
        </w:rPr>
        <w:t>评价</w:t>
      </w:r>
      <w:r>
        <w:rPr>
          <w:rFonts w:eastAsia="方正小标宋简体"/>
          <w:bCs/>
          <w:sz w:val="44"/>
          <w:szCs w:val="44"/>
          <w:shd w:val="clear" w:color="auto" w:fill="FFFFFF"/>
        </w:rPr>
        <w:t>报告范本</w:t>
      </w:r>
    </w:p>
    <w:p w:rsidR="008073F4" w:rsidRDefault="00132590">
      <w:pPr>
        <w:widowControl/>
        <w:spacing w:line="578" w:lineRule="exact"/>
        <w:contextualSpacing/>
        <w:jc w:val="center"/>
        <w:rPr>
          <w:rFonts w:eastAsia="仿宋_GB2312"/>
          <w:sz w:val="32"/>
          <w:szCs w:val="32"/>
          <w:shd w:val="clear" w:color="auto" w:fill="FFFFFF"/>
        </w:rPr>
      </w:pPr>
      <w:r>
        <w:rPr>
          <w:rFonts w:eastAsia="仿宋_GB2312"/>
          <w:sz w:val="32"/>
          <w:szCs w:val="32"/>
          <w:shd w:val="clear" w:color="auto" w:fill="FFFFFF"/>
        </w:rPr>
        <w:t>（报告范围包括机关和下属单位）</w:t>
      </w:r>
    </w:p>
    <w:p w:rsidR="008073F4" w:rsidRDefault="008073F4">
      <w:pPr>
        <w:widowControl/>
        <w:adjustRightInd w:val="0"/>
        <w:snapToGrid w:val="0"/>
        <w:spacing w:line="578" w:lineRule="exact"/>
        <w:ind w:firstLineChars="200" w:firstLine="480"/>
        <w:contextualSpacing/>
        <w:jc w:val="left"/>
        <w:rPr>
          <w:rFonts w:eastAsia="黑体"/>
          <w:color w:val="000000"/>
          <w:kern w:val="0"/>
          <w:sz w:val="24"/>
          <w:szCs w:val="32"/>
          <w:shd w:val="clear" w:color="auto" w:fill="FFFFFF"/>
        </w:rPr>
      </w:pPr>
    </w:p>
    <w:p w:rsidR="008073F4" w:rsidRDefault="00132590">
      <w:pPr>
        <w:widowControl/>
        <w:adjustRightInd w:val="0"/>
        <w:snapToGrid w:val="0"/>
        <w:spacing w:line="578" w:lineRule="exact"/>
        <w:ind w:firstLineChars="200" w:firstLine="640"/>
        <w:contextualSpacing/>
        <w:jc w:val="left"/>
        <w:rPr>
          <w:rFonts w:eastAsia="黑体"/>
          <w:color w:val="000000"/>
          <w:kern w:val="0"/>
          <w:sz w:val="32"/>
          <w:szCs w:val="32"/>
          <w:shd w:val="clear" w:color="auto" w:fill="FFFFFF"/>
          <w:lang w:val="zh-CN"/>
        </w:rPr>
      </w:pPr>
      <w:r>
        <w:rPr>
          <w:rFonts w:eastAsia="黑体" w:hint="eastAsia"/>
          <w:color w:val="000000"/>
          <w:kern w:val="0"/>
          <w:sz w:val="32"/>
          <w:szCs w:val="32"/>
          <w:shd w:val="clear" w:color="auto" w:fill="FFFFFF"/>
          <w:lang w:val="zh-CN"/>
        </w:rPr>
        <w:t>一、</w:t>
      </w:r>
      <w:r>
        <w:rPr>
          <w:rFonts w:eastAsia="黑体"/>
          <w:color w:val="000000"/>
          <w:kern w:val="0"/>
          <w:sz w:val="32"/>
          <w:szCs w:val="32"/>
          <w:shd w:val="clear" w:color="auto" w:fill="FFFFFF"/>
          <w:lang w:val="zh-CN"/>
        </w:rPr>
        <w:t>部门（单位）基本情况</w:t>
      </w:r>
    </w:p>
    <w:p w:rsidR="008073F4" w:rsidRPr="00513B7D" w:rsidRDefault="00132590" w:rsidP="00513B7D">
      <w:pPr>
        <w:snapToGrid w:val="0"/>
        <w:ind w:firstLineChars="200" w:firstLine="640"/>
        <w:rPr>
          <w:rFonts w:ascii="仿宋_GB2312" w:eastAsia="仿宋_GB2312" w:hAnsi="仿宋"/>
          <w:sz w:val="32"/>
          <w:szCs w:val="32"/>
        </w:rPr>
      </w:pPr>
      <w:r>
        <w:rPr>
          <w:rFonts w:eastAsia="楷体_GB2312" w:cs="楷体_GB2312" w:hint="eastAsia"/>
          <w:b/>
          <w:sz w:val="32"/>
          <w:szCs w:val="32"/>
          <w:lang w:val="zh-CN"/>
        </w:rPr>
        <w:t>（一）</w:t>
      </w:r>
      <w:r>
        <w:rPr>
          <w:rFonts w:eastAsia="楷体_GB2312" w:cs="楷体_GB2312"/>
          <w:b/>
          <w:sz w:val="32"/>
          <w:szCs w:val="32"/>
          <w:lang w:val="zh-CN"/>
        </w:rPr>
        <w:t>机构组成</w:t>
      </w:r>
      <w:r w:rsidR="00513B7D">
        <w:rPr>
          <w:rFonts w:eastAsia="楷体_GB2312" w:cs="楷体_GB2312" w:hint="eastAsia"/>
          <w:b/>
          <w:sz w:val="32"/>
          <w:szCs w:val="32"/>
          <w:lang w:val="zh-CN"/>
        </w:rPr>
        <w:t>：</w:t>
      </w:r>
      <w:r w:rsidR="00513B7D">
        <w:rPr>
          <w:rFonts w:ascii="仿宋_GB2312" w:eastAsia="仿宋_GB2312" w:hAnsi="仿宋" w:hint="eastAsia"/>
          <w:sz w:val="32"/>
          <w:szCs w:val="32"/>
        </w:rPr>
        <w:t>本单位本年度纳入本套决算编制范围的独立编制机构数共1个，比上年增加0个，独立核算机构数共1个，比上年增加0个。</w:t>
      </w:r>
    </w:p>
    <w:p w:rsidR="008073F4" w:rsidRDefault="00132590" w:rsidP="00690794">
      <w:pPr>
        <w:widowControl/>
        <w:adjustRightInd w:val="0"/>
        <w:snapToGrid w:val="0"/>
        <w:spacing w:line="578" w:lineRule="exact"/>
        <w:ind w:firstLineChars="200" w:firstLine="640"/>
        <w:contextualSpacing/>
        <w:jc w:val="left"/>
        <w:rPr>
          <w:rFonts w:eastAsia="楷体_GB2312"/>
          <w:b/>
          <w:bCs/>
          <w:color w:val="000000"/>
          <w:kern w:val="0"/>
          <w:szCs w:val="32"/>
          <w:shd w:val="clear" w:color="auto" w:fill="FFFFFF"/>
          <w:lang w:val="zh-CN"/>
        </w:rPr>
      </w:pPr>
      <w:r>
        <w:rPr>
          <w:rFonts w:eastAsia="楷体_GB2312" w:cs="楷体_GB2312"/>
          <w:b/>
          <w:sz w:val="32"/>
          <w:szCs w:val="32"/>
          <w:lang w:val="zh-CN"/>
        </w:rPr>
        <w:t>（二）机构职能</w:t>
      </w:r>
      <w:r w:rsidR="00513B7D">
        <w:rPr>
          <w:rFonts w:eastAsia="楷体_GB2312" w:cs="楷体_GB2312" w:hint="eastAsia"/>
          <w:b/>
          <w:sz w:val="32"/>
          <w:szCs w:val="32"/>
          <w:lang w:val="zh-CN"/>
        </w:rPr>
        <w:t>：</w:t>
      </w:r>
      <w:r w:rsidR="00513B7D">
        <w:rPr>
          <w:rFonts w:ascii="仿宋_GB2312" w:eastAsia="仿宋_GB2312" w:hAnsi="仿宋" w:hint="eastAsia"/>
          <w:sz w:val="32"/>
          <w:szCs w:val="32"/>
        </w:rPr>
        <w:t>红原县中学校是一所公办全日制完全中学，学制：初中三年、高中三年。其宗旨和业务范围是“实施高中学历教育和初中义务教育，促进基础教育发展，高中学历教育、初中义务教育及相关社会服务。” 培养目标为：培养具有良好道德素质，扎实的基础理论，健康的心理素质，健全的人格素养，扎实的基础理论，健康的心理素质，健全的人格素养，全面发展的社会主义现代化建设者和接班人。</w:t>
      </w:r>
    </w:p>
    <w:p w:rsidR="00513B7D" w:rsidRDefault="00132590" w:rsidP="00513B7D">
      <w:pPr>
        <w:snapToGrid w:val="0"/>
        <w:ind w:firstLineChars="200" w:firstLine="640"/>
        <w:rPr>
          <w:rFonts w:ascii="仿宋_GB2312" w:eastAsia="仿宋_GB2312" w:hAnsi="仿宋" w:hint="eastAsia"/>
          <w:sz w:val="32"/>
          <w:szCs w:val="32"/>
        </w:rPr>
      </w:pPr>
      <w:r>
        <w:rPr>
          <w:rFonts w:eastAsia="楷体_GB2312"/>
          <w:b/>
          <w:bCs/>
          <w:color w:val="000000"/>
          <w:kern w:val="0"/>
          <w:sz w:val="32"/>
          <w:szCs w:val="32"/>
          <w:shd w:val="clear" w:color="auto" w:fill="FFFFFF"/>
          <w:lang w:val="zh-CN"/>
        </w:rPr>
        <w:t>（</w:t>
      </w:r>
      <w:r>
        <w:rPr>
          <w:rFonts w:eastAsia="楷体_GB2312" w:hint="eastAsia"/>
          <w:b/>
          <w:bCs/>
          <w:color w:val="000000"/>
          <w:kern w:val="0"/>
          <w:sz w:val="32"/>
          <w:szCs w:val="32"/>
          <w:shd w:val="clear" w:color="auto" w:fill="FFFFFF"/>
          <w:lang w:val="zh-CN"/>
        </w:rPr>
        <w:t>三</w:t>
      </w:r>
      <w:r>
        <w:rPr>
          <w:rFonts w:eastAsia="楷体_GB2312"/>
          <w:b/>
          <w:bCs/>
          <w:color w:val="000000"/>
          <w:kern w:val="0"/>
          <w:sz w:val="32"/>
          <w:szCs w:val="32"/>
          <w:shd w:val="clear" w:color="auto" w:fill="FFFFFF"/>
          <w:lang w:val="zh-CN"/>
        </w:rPr>
        <w:t>）人员概况</w:t>
      </w:r>
      <w:r w:rsidR="00513B7D">
        <w:rPr>
          <w:rFonts w:eastAsia="楷体_GB2312" w:hint="eastAsia"/>
          <w:b/>
          <w:bCs/>
          <w:color w:val="000000"/>
          <w:kern w:val="0"/>
          <w:sz w:val="32"/>
          <w:szCs w:val="32"/>
          <w:shd w:val="clear" w:color="auto" w:fill="FFFFFF"/>
          <w:lang w:val="zh-CN"/>
        </w:rPr>
        <w:t>：</w:t>
      </w:r>
      <w:r w:rsidR="00513B7D">
        <w:rPr>
          <w:rFonts w:ascii="仿宋_GB2312" w:eastAsia="仿宋_GB2312" w:hAnsi="仿宋" w:hint="eastAsia"/>
          <w:sz w:val="32"/>
          <w:szCs w:val="32"/>
        </w:rPr>
        <w:t>本单位本年度年末实有人数为122人，比上年增加1人；年末实有离退休人数为0人，比上年增加0人。年末实有其他人数为0人，比上年增加0人。</w:t>
      </w:r>
    </w:p>
    <w:p w:rsidR="008073F4" w:rsidRDefault="008073F4" w:rsidP="00513B7D">
      <w:pPr>
        <w:spacing w:line="600" w:lineRule="exact"/>
        <w:ind w:firstLineChars="200" w:firstLine="420"/>
        <w:rPr>
          <w:szCs w:val="32"/>
        </w:rPr>
      </w:pPr>
    </w:p>
    <w:p w:rsidR="008073F4" w:rsidRDefault="00132590">
      <w:pPr>
        <w:widowControl/>
        <w:adjustRightInd w:val="0"/>
        <w:snapToGrid w:val="0"/>
        <w:spacing w:line="578" w:lineRule="exact"/>
        <w:ind w:firstLineChars="200" w:firstLine="64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二、部门资金收支情况</w:t>
      </w:r>
    </w:p>
    <w:p w:rsidR="00574CC1" w:rsidRDefault="00132590" w:rsidP="00574CC1">
      <w:pPr>
        <w:widowControl/>
        <w:jc w:val="left"/>
        <w:rPr>
          <w:rFonts w:ascii="仿宋_GB2312" w:eastAsia="仿宋_GB2312" w:hAnsi="仿宋"/>
          <w:sz w:val="32"/>
          <w:szCs w:val="32"/>
        </w:rPr>
      </w:pPr>
      <w:r>
        <w:rPr>
          <w:rFonts w:eastAsia="楷体_GB2312"/>
          <w:b/>
          <w:bCs/>
          <w:color w:val="000000"/>
          <w:kern w:val="0"/>
          <w:sz w:val="32"/>
          <w:szCs w:val="32"/>
          <w:shd w:val="clear" w:color="auto" w:fill="FFFFFF"/>
          <w:lang w:val="zh-CN"/>
        </w:rPr>
        <w:lastRenderedPageBreak/>
        <w:t>（一）</w:t>
      </w:r>
      <w:r>
        <w:rPr>
          <w:rFonts w:eastAsia="楷体_GB2312" w:hint="eastAsia"/>
          <w:b/>
          <w:bCs/>
          <w:color w:val="000000"/>
          <w:kern w:val="0"/>
          <w:sz w:val="32"/>
          <w:szCs w:val="32"/>
          <w:shd w:val="clear" w:color="auto" w:fill="FFFFFF"/>
          <w:lang w:val="zh-CN"/>
        </w:rPr>
        <w:t>收入情况</w:t>
      </w:r>
      <w:r w:rsidR="00574CC1">
        <w:rPr>
          <w:rFonts w:eastAsia="楷体_GB2312" w:hint="eastAsia"/>
          <w:b/>
          <w:bCs/>
          <w:color w:val="000000"/>
          <w:kern w:val="0"/>
          <w:sz w:val="32"/>
          <w:szCs w:val="32"/>
          <w:shd w:val="clear" w:color="auto" w:fill="FFFFFF"/>
          <w:lang w:val="zh-CN"/>
        </w:rPr>
        <w:t>：</w:t>
      </w:r>
      <w:r w:rsidR="00574CC1">
        <w:rPr>
          <w:rFonts w:ascii="仿宋_GB2312" w:eastAsia="仿宋_GB2312" w:hAnsi="仿宋" w:hint="eastAsia"/>
          <w:sz w:val="32"/>
          <w:szCs w:val="32"/>
        </w:rPr>
        <w:t>单位2025年度收入4069.35万元，较2024年度收入3707.93万元，增加361.42万元，增加9.75%。其中2025年度财政拨款收入3863.81万元，较2024年度3307.73万元，增加556.08万元，增加16.81%。主要原因是2025年单位新增1人，相关人员、公用经费增加，财政拨款收入增加。2025年其他收入205.54万元，较2024年度400.2万元，减少194.65万元，减少48.64%。主要原因是当年其他收入减少。</w:t>
      </w:r>
    </w:p>
    <w:p w:rsidR="00574CC1" w:rsidRPr="00574CC1" w:rsidRDefault="00132590" w:rsidP="00574CC1">
      <w:pPr>
        <w:widowControl/>
        <w:ind w:firstLineChars="200" w:firstLine="640"/>
        <w:jc w:val="left"/>
        <w:rPr>
          <w:rFonts w:hint="eastAsia"/>
        </w:rPr>
      </w:pPr>
      <w:r>
        <w:rPr>
          <w:rFonts w:eastAsia="楷体_GB2312"/>
          <w:b/>
          <w:bCs/>
          <w:color w:val="000000"/>
          <w:kern w:val="0"/>
          <w:sz w:val="32"/>
          <w:szCs w:val="32"/>
          <w:shd w:val="clear" w:color="auto" w:fill="FFFFFF"/>
          <w:lang w:val="zh-CN"/>
        </w:rPr>
        <w:t>（</w:t>
      </w:r>
      <w:r>
        <w:rPr>
          <w:rFonts w:eastAsia="楷体_GB2312" w:hint="eastAsia"/>
          <w:b/>
          <w:bCs/>
          <w:color w:val="000000"/>
          <w:kern w:val="0"/>
          <w:sz w:val="32"/>
          <w:szCs w:val="32"/>
          <w:shd w:val="clear" w:color="auto" w:fill="FFFFFF"/>
          <w:lang w:val="zh-CN"/>
        </w:rPr>
        <w:t>二</w:t>
      </w:r>
      <w:r>
        <w:rPr>
          <w:rFonts w:eastAsia="楷体_GB2312"/>
          <w:b/>
          <w:bCs/>
          <w:color w:val="000000"/>
          <w:kern w:val="0"/>
          <w:sz w:val="32"/>
          <w:szCs w:val="32"/>
          <w:shd w:val="clear" w:color="auto" w:fill="FFFFFF"/>
          <w:lang w:val="zh-CN"/>
        </w:rPr>
        <w:t>）</w:t>
      </w:r>
      <w:r>
        <w:rPr>
          <w:rFonts w:eastAsia="楷体_GB2312" w:hint="eastAsia"/>
          <w:b/>
          <w:bCs/>
          <w:color w:val="000000"/>
          <w:kern w:val="0"/>
          <w:sz w:val="32"/>
          <w:szCs w:val="32"/>
          <w:shd w:val="clear" w:color="auto" w:fill="FFFFFF"/>
          <w:lang w:val="zh-CN"/>
        </w:rPr>
        <w:t>支出情况</w:t>
      </w:r>
      <w:r w:rsidR="00574CC1">
        <w:rPr>
          <w:rFonts w:eastAsia="楷体_GB2312" w:hint="eastAsia"/>
          <w:b/>
          <w:bCs/>
          <w:color w:val="000000"/>
          <w:kern w:val="0"/>
          <w:sz w:val="32"/>
          <w:szCs w:val="32"/>
          <w:shd w:val="clear" w:color="auto" w:fill="FFFFFF"/>
          <w:lang w:val="zh-CN"/>
        </w:rPr>
        <w:t>：</w:t>
      </w:r>
      <w:r w:rsidR="00574CC1">
        <w:rPr>
          <w:rFonts w:ascii="仿宋_GB2312" w:eastAsia="仿宋_GB2312" w:hAnsi="仿宋" w:hint="eastAsia"/>
          <w:sz w:val="32"/>
          <w:szCs w:val="32"/>
        </w:rPr>
        <w:t>单位2025年</w:t>
      </w:r>
      <w:r w:rsidR="00574CC1">
        <w:rPr>
          <w:rFonts w:ascii="仿宋_GB2312" w:eastAsia="仿宋_GB2312" w:hint="eastAsia"/>
          <w:sz w:val="32"/>
          <w:szCs w:val="32"/>
        </w:rPr>
        <w:t>度</w:t>
      </w:r>
      <w:r w:rsidR="00574CC1">
        <w:rPr>
          <w:rFonts w:ascii="仿宋_GB2312" w:eastAsia="仿宋_GB2312" w:hAnsi="仿宋" w:hint="eastAsia"/>
          <w:sz w:val="32"/>
          <w:szCs w:val="32"/>
        </w:rPr>
        <w:t>支出4069.35万元，较2024年度3707.93万元，增加361.42万元，增加9.75%。其中基本支出3197.36万元，较2024年度2906.98万元，增加290.38万元，增加9.99%。主要原因是当年人员增加，相关人员，公用经费支出增加；2025年</w:t>
      </w:r>
      <w:r w:rsidR="00574CC1">
        <w:rPr>
          <w:rFonts w:ascii="仿宋_GB2312" w:eastAsia="仿宋_GB2312" w:hint="eastAsia"/>
          <w:sz w:val="32"/>
          <w:szCs w:val="32"/>
        </w:rPr>
        <w:t>度</w:t>
      </w:r>
      <w:r w:rsidR="00574CC1">
        <w:rPr>
          <w:rFonts w:ascii="仿宋_GB2312" w:eastAsia="仿宋_GB2312" w:hAnsi="仿宋" w:hint="eastAsia"/>
          <w:sz w:val="32"/>
          <w:szCs w:val="32"/>
        </w:rPr>
        <w:t>项目支出871.99万元，较2024年度800.95万元，增加71.04万元，增加8.87%。主要原因是当年项目增多，支出增加。</w:t>
      </w:r>
    </w:p>
    <w:p w:rsidR="00574CC1" w:rsidRDefault="00132590">
      <w:pPr>
        <w:widowControl/>
        <w:adjustRightInd w:val="0"/>
        <w:snapToGrid w:val="0"/>
        <w:spacing w:line="578" w:lineRule="exact"/>
        <w:ind w:firstLineChars="200" w:firstLine="640"/>
        <w:contextualSpacing/>
        <w:jc w:val="left"/>
        <w:rPr>
          <w:rFonts w:eastAsia="楷体_GB2312" w:hint="eastAsia"/>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w:t>
      </w:r>
      <w:r>
        <w:rPr>
          <w:rFonts w:eastAsia="楷体_GB2312" w:hint="eastAsia"/>
          <w:b/>
          <w:bCs/>
          <w:color w:val="000000"/>
          <w:kern w:val="0"/>
          <w:sz w:val="32"/>
          <w:szCs w:val="32"/>
          <w:shd w:val="clear" w:color="auto" w:fill="FFFFFF"/>
          <w:lang w:val="zh-CN"/>
        </w:rPr>
        <w:t>三</w:t>
      </w:r>
      <w:r>
        <w:rPr>
          <w:rFonts w:eastAsia="楷体_GB2312"/>
          <w:b/>
          <w:bCs/>
          <w:color w:val="000000"/>
          <w:kern w:val="0"/>
          <w:sz w:val="32"/>
          <w:szCs w:val="32"/>
          <w:shd w:val="clear" w:color="auto" w:fill="FFFFFF"/>
          <w:lang w:val="zh-CN"/>
        </w:rPr>
        <w:t>）结余分配和结转结余情况</w:t>
      </w:r>
      <w:r>
        <w:rPr>
          <w:rFonts w:eastAsia="楷体_GB2312" w:hint="eastAsia"/>
          <w:b/>
          <w:bCs/>
          <w:color w:val="000000"/>
          <w:kern w:val="0"/>
          <w:sz w:val="32"/>
          <w:szCs w:val="32"/>
          <w:shd w:val="clear" w:color="auto" w:fill="FFFFFF"/>
          <w:lang w:val="zh-CN"/>
        </w:rPr>
        <w:t>。</w:t>
      </w:r>
    </w:p>
    <w:p w:rsidR="00574CC1" w:rsidRPr="00574CC1" w:rsidRDefault="00574CC1" w:rsidP="00574CC1">
      <w:pPr>
        <w:pStyle w:val="a0"/>
        <w:rPr>
          <w:rFonts w:hint="eastAsia"/>
          <w:lang w:val="zh-CN"/>
        </w:rPr>
      </w:pPr>
      <w:r>
        <w:rPr>
          <w:rFonts w:ascii="仿宋_GB2312" w:eastAsia="仿宋_GB2312" w:hAnsi="仿宋" w:hint="eastAsia"/>
          <w:sz w:val="32"/>
          <w:szCs w:val="32"/>
        </w:rPr>
        <w:t>无财政拨款结转和结余情况</w:t>
      </w:r>
    </w:p>
    <w:p w:rsidR="008073F4" w:rsidRDefault="00132590">
      <w:pPr>
        <w:widowControl/>
        <w:adjustRightInd w:val="0"/>
        <w:snapToGrid w:val="0"/>
        <w:spacing w:line="578" w:lineRule="exact"/>
        <w:ind w:firstLineChars="200" w:firstLine="64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三、部门预算绩效分析</w:t>
      </w:r>
    </w:p>
    <w:p w:rsidR="008073F4" w:rsidRDefault="00132590" w:rsidP="00690794">
      <w:pPr>
        <w:adjustRightInd w:val="0"/>
        <w:snapToGrid w:val="0"/>
        <w:spacing w:line="578" w:lineRule="exact"/>
        <w:ind w:firstLineChars="200" w:firstLine="640"/>
        <w:contextualSpacing/>
        <w:jc w:val="left"/>
        <w:rPr>
          <w:rFonts w:eastAsia="仿宋_GB2312" w:cs="仿宋_GB2312"/>
          <w:sz w:val="32"/>
          <w:szCs w:val="32"/>
          <w:lang w:val="zh-CN"/>
        </w:rPr>
      </w:pPr>
      <w:r>
        <w:rPr>
          <w:rFonts w:eastAsia="楷体_GB2312"/>
          <w:b/>
          <w:bCs/>
          <w:color w:val="000000"/>
          <w:kern w:val="0"/>
          <w:sz w:val="32"/>
          <w:szCs w:val="32"/>
          <w:shd w:val="clear" w:color="auto" w:fill="FFFFFF"/>
          <w:lang w:val="zh-CN"/>
        </w:rPr>
        <w:t>（一）</w:t>
      </w:r>
      <w:r>
        <w:rPr>
          <w:rFonts w:eastAsia="楷体_GB2312" w:hint="eastAsia"/>
          <w:b/>
          <w:bCs/>
          <w:color w:val="000000"/>
          <w:kern w:val="0"/>
          <w:sz w:val="32"/>
          <w:szCs w:val="32"/>
          <w:shd w:val="clear" w:color="auto" w:fill="FFFFFF"/>
          <w:lang w:val="zh-CN"/>
        </w:rPr>
        <w:t>部门预算</w:t>
      </w:r>
      <w:r>
        <w:rPr>
          <w:rFonts w:eastAsia="楷体_GB2312"/>
          <w:b/>
          <w:bCs/>
          <w:color w:val="000000"/>
          <w:kern w:val="0"/>
          <w:sz w:val="32"/>
          <w:szCs w:val="32"/>
          <w:shd w:val="clear" w:color="auto" w:fill="FFFFFF"/>
          <w:lang w:val="zh-CN"/>
        </w:rPr>
        <w:t>总体绩效分析。</w:t>
      </w:r>
      <w:r>
        <w:rPr>
          <w:rFonts w:eastAsia="仿宋_GB2312" w:cs="仿宋_GB2312"/>
          <w:sz w:val="32"/>
          <w:szCs w:val="32"/>
          <w:lang w:val="zh-CN"/>
        </w:rPr>
        <w:t>根据部门预算绩效评价指标体系</w:t>
      </w:r>
      <w:r>
        <w:rPr>
          <w:rFonts w:eastAsia="仿宋_GB2312" w:cs="仿宋_GB2312" w:hint="eastAsia"/>
          <w:sz w:val="32"/>
          <w:szCs w:val="32"/>
          <w:lang w:val="zh-CN"/>
        </w:rPr>
        <w:t>“</w:t>
      </w:r>
      <w:r>
        <w:rPr>
          <w:rFonts w:eastAsia="仿宋_GB2312" w:cs="仿宋_GB2312"/>
          <w:sz w:val="32"/>
          <w:szCs w:val="32"/>
          <w:lang w:val="zh-CN"/>
        </w:rPr>
        <w:t>总体绩效</w:t>
      </w:r>
      <w:r>
        <w:rPr>
          <w:rFonts w:eastAsia="仿宋_GB2312" w:cs="仿宋_GB2312" w:hint="eastAsia"/>
          <w:sz w:val="32"/>
          <w:szCs w:val="32"/>
          <w:lang w:val="zh-CN"/>
        </w:rPr>
        <w:t>”</w:t>
      </w:r>
      <w:r>
        <w:rPr>
          <w:rFonts w:eastAsia="仿宋_GB2312" w:cs="仿宋_GB2312"/>
          <w:sz w:val="32"/>
          <w:szCs w:val="32"/>
          <w:lang w:val="zh-CN"/>
        </w:rPr>
        <w:t>涉及</w:t>
      </w:r>
      <w:r>
        <w:rPr>
          <w:rFonts w:eastAsia="仿宋_GB2312" w:cs="仿宋_GB2312" w:hint="eastAsia"/>
          <w:sz w:val="32"/>
          <w:szCs w:val="32"/>
          <w:lang w:val="zh-CN"/>
        </w:rPr>
        <w:t>二、三级</w:t>
      </w:r>
      <w:r>
        <w:rPr>
          <w:rFonts w:eastAsia="仿宋_GB2312" w:cs="仿宋_GB2312"/>
          <w:sz w:val="32"/>
          <w:szCs w:val="32"/>
          <w:lang w:val="zh-CN"/>
        </w:rPr>
        <w:t>指标进行</w:t>
      </w:r>
      <w:r>
        <w:rPr>
          <w:rFonts w:eastAsia="仿宋_GB2312" w:cs="仿宋_GB2312" w:hint="eastAsia"/>
          <w:sz w:val="32"/>
          <w:szCs w:val="32"/>
          <w:lang w:val="zh-CN"/>
        </w:rPr>
        <w:t>逐项</w:t>
      </w:r>
      <w:r>
        <w:rPr>
          <w:rFonts w:eastAsia="仿宋_GB2312" w:cs="仿宋_GB2312"/>
          <w:sz w:val="32"/>
          <w:szCs w:val="32"/>
          <w:lang w:val="zh-CN"/>
        </w:rPr>
        <w:t>绩效分析</w:t>
      </w:r>
      <w:r>
        <w:rPr>
          <w:rFonts w:eastAsia="仿宋_GB2312" w:cs="仿宋_GB2312" w:hint="eastAsia"/>
          <w:sz w:val="32"/>
          <w:szCs w:val="32"/>
          <w:lang w:val="zh-CN"/>
        </w:rPr>
        <w:t>并评分</w:t>
      </w:r>
      <w:r>
        <w:rPr>
          <w:rFonts w:eastAsia="仿宋_GB2312" w:cs="仿宋_GB2312"/>
          <w:sz w:val="32"/>
          <w:szCs w:val="32"/>
          <w:lang w:val="zh-CN"/>
        </w:rPr>
        <w:t>，依次包括履职效能、预算管理、财务管理、资产管理、采购管理等情况。</w:t>
      </w:r>
    </w:p>
    <w:p w:rsidR="008073F4" w:rsidRDefault="00132590">
      <w:pPr>
        <w:adjustRightInd w:val="0"/>
        <w:snapToGrid w:val="0"/>
        <w:spacing w:line="578" w:lineRule="exact"/>
        <w:ind w:firstLineChars="200" w:firstLine="640"/>
        <w:contextualSpacing/>
        <w:jc w:val="left"/>
        <w:rPr>
          <w:rFonts w:eastAsia="仿宋_GB2312" w:cs="仿宋_GB2312"/>
          <w:sz w:val="32"/>
          <w:szCs w:val="32"/>
          <w:lang w:val="zh-CN"/>
        </w:rPr>
      </w:pPr>
      <w:r>
        <w:rPr>
          <w:rFonts w:eastAsia="仿宋_GB2312" w:cs="仿宋_GB2312" w:hint="eastAsia"/>
          <w:sz w:val="32"/>
          <w:szCs w:val="32"/>
        </w:rPr>
        <w:t>1.</w:t>
      </w:r>
      <w:r>
        <w:rPr>
          <w:rFonts w:eastAsia="仿宋_GB2312" w:cs="仿宋_GB2312" w:hint="eastAsia"/>
          <w:sz w:val="32"/>
          <w:szCs w:val="32"/>
          <w:lang w:val="zh-CN"/>
        </w:rPr>
        <w:t>履职效能。部门整体绩效目标中选定</w:t>
      </w:r>
      <w:r>
        <w:rPr>
          <w:rFonts w:eastAsia="仿宋_GB2312" w:cs="仿宋_GB2312" w:hint="eastAsia"/>
          <w:sz w:val="32"/>
          <w:szCs w:val="32"/>
          <w:lang w:val="zh-CN"/>
        </w:rPr>
        <w:t>3-5</w:t>
      </w:r>
      <w:r>
        <w:rPr>
          <w:rFonts w:eastAsia="仿宋_GB2312" w:cs="仿宋_GB2312" w:hint="eastAsia"/>
          <w:sz w:val="32"/>
          <w:szCs w:val="32"/>
          <w:lang w:val="zh-CN"/>
        </w:rPr>
        <w:t>个核心职能</w:t>
      </w:r>
      <w:r>
        <w:rPr>
          <w:rFonts w:eastAsia="仿宋_GB2312" w:cs="仿宋_GB2312" w:hint="eastAsia"/>
          <w:sz w:val="32"/>
          <w:szCs w:val="32"/>
          <w:lang w:val="zh-CN"/>
        </w:rPr>
        <w:lastRenderedPageBreak/>
        <w:t>目标，对职能目标完成效果情况绩效分析。</w:t>
      </w:r>
    </w:p>
    <w:p w:rsidR="00574CC1" w:rsidRDefault="00132590">
      <w:pPr>
        <w:adjustRightInd w:val="0"/>
        <w:snapToGrid w:val="0"/>
        <w:spacing w:line="578" w:lineRule="exact"/>
        <w:ind w:firstLineChars="200" w:firstLine="640"/>
        <w:contextualSpacing/>
        <w:jc w:val="left"/>
        <w:rPr>
          <w:rFonts w:eastAsia="仿宋_GB2312" w:cs="仿宋_GB2312" w:hint="eastAsia"/>
          <w:sz w:val="32"/>
          <w:szCs w:val="32"/>
          <w:lang w:val="zh-CN"/>
        </w:rPr>
      </w:pPr>
      <w:r>
        <w:rPr>
          <w:rFonts w:eastAsia="仿宋_GB2312" w:cs="仿宋_GB2312" w:hint="eastAsia"/>
          <w:sz w:val="32"/>
          <w:szCs w:val="32"/>
        </w:rPr>
        <w:t>2.</w:t>
      </w:r>
      <w:r>
        <w:rPr>
          <w:rFonts w:eastAsia="仿宋_GB2312" w:cs="仿宋_GB2312"/>
          <w:sz w:val="32"/>
          <w:szCs w:val="32"/>
          <w:lang w:val="zh-CN"/>
        </w:rPr>
        <w:t>预算管理</w:t>
      </w:r>
      <w:r>
        <w:rPr>
          <w:rFonts w:eastAsia="仿宋_GB2312" w:cs="仿宋_GB2312" w:hint="eastAsia"/>
          <w:sz w:val="32"/>
          <w:szCs w:val="32"/>
          <w:lang w:val="zh-CN"/>
        </w:rPr>
        <w:t>。</w:t>
      </w:r>
    </w:p>
    <w:p w:rsidR="00574CC1" w:rsidRPr="00574CC1" w:rsidRDefault="00574CC1" w:rsidP="00574CC1">
      <w:pPr>
        <w:pStyle w:val="a0"/>
        <w:ind w:firstLineChars="150" w:firstLine="482"/>
        <w:rPr>
          <w:rFonts w:hint="eastAsia"/>
          <w:b/>
          <w:sz w:val="32"/>
          <w:szCs w:val="32"/>
          <w:lang w:val="zh-CN"/>
        </w:rPr>
      </w:pPr>
      <w:r w:rsidRPr="00574CC1">
        <w:rPr>
          <w:rFonts w:hint="eastAsia"/>
          <w:b/>
          <w:sz w:val="32"/>
          <w:szCs w:val="32"/>
          <w:lang w:val="zh-CN"/>
        </w:rPr>
        <w:t>预算按照财政要求按时、高效完成预算年终无结余</w:t>
      </w:r>
    </w:p>
    <w:p w:rsidR="008073F4" w:rsidRDefault="00132590">
      <w:pPr>
        <w:adjustRightInd w:val="0"/>
        <w:snapToGrid w:val="0"/>
        <w:spacing w:line="578" w:lineRule="exact"/>
        <w:ind w:firstLineChars="200" w:firstLine="640"/>
        <w:contextualSpacing/>
        <w:jc w:val="left"/>
        <w:rPr>
          <w:rFonts w:eastAsia="仿宋_GB2312" w:cs="仿宋_GB2312" w:hint="eastAsia"/>
          <w:sz w:val="32"/>
          <w:szCs w:val="32"/>
          <w:lang w:val="zh-CN"/>
        </w:rPr>
      </w:pPr>
      <w:r>
        <w:rPr>
          <w:rFonts w:eastAsia="仿宋_GB2312" w:cs="仿宋_GB2312" w:hint="eastAsia"/>
          <w:sz w:val="32"/>
          <w:szCs w:val="32"/>
        </w:rPr>
        <w:t>3.</w:t>
      </w:r>
      <w:r>
        <w:rPr>
          <w:rFonts w:eastAsia="仿宋_GB2312" w:cs="仿宋_GB2312"/>
          <w:sz w:val="32"/>
          <w:szCs w:val="32"/>
          <w:lang w:val="zh-CN"/>
        </w:rPr>
        <w:t>财务管理</w:t>
      </w:r>
      <w:r>
        <w:rPr>
          <w:rFonts w:eastAsia="仿宋_GB2312" w:cs="仿宋_GB2312" w:hint="eastAsia"/>
          <w:sz w:val="32"/>
          <w:szCs w:val="32"/>
          <w:lang w:val="zh-CN"/>
        </w:rPr>
        <w:t>。</w:t>
      </w:r>
    </w:p>
    <w:p w:rsidR="00574CC1" w:rsidRPr="002A3024" w:rsidRDefault="00574CC1" w:rsidP="00574CC1">
      <w:pPr>
        <w:pStyle w:val="a0"/>
        <w:rPr>
          <w:b/>
          <w:sz w:val="32"/>
          <w:szCs w:val="32"/>
          <w:lang w:val="zh-CN"/>
        </w:rPr>
      </w:pPr>
      <w:r>
        <w:rPr>
          <w:rFonts w:hint="eastAsia"/>
          <w:lang w:val="zh-CN"/>
        </w:rPr>
        <w:t xml:space="preserve">      </w:t>
      </w:r>
      <w:r w:rsidRPr="002A3024">
        <w:rPr>
          <w:rFonts w:hint="eastAsia"/>
          <w:b/>
          <w:sz w:val="32"/>
          <w:szCs w:val="32"/>
          <w:lang w:val="zh-CN"/>
        </w:rPr>
        <w:t>单位财务内控运行总体有效，财务制度、岗位制衡、资金管控三大防线基本筑牢，资金风险总体可控，能够保障</w:t>
      </w:r>
      <w:r w:rsidR="00496A6B" w:rsidRPr="002A3024">
        <w:rPr>
          <w:rFonts w:hint="eastAsia"/>
          <w:b/>
          <w:sz w:val="32"/>
          <w:szCs w:val="32"/>
          <w:lang w:val="zh-CN"/>
        </w:rPr>
        <w:t>教师正常教学，但在内控精细化专项经费细则、人员力量方面仍有短板，后续持续补齐短板提升财务管理规范化水平和资金使用效益。</w:t>
      </w:r>
    </w:p>
    <w:p w:rsidR="008073F4" w:rsidRPr="00496A6B" w:rsidRDefault="00132590" w:rsidP="00496A6B">
      <w:pPr>
        <w:pStyle w:val="ab"/>
        <w:numPr>
          <w:ilvl w:val="0"/>
          <w:numId w:val="6"/>
        </w:numPr>
        <w:adjustRightInd w:val="0"/>
        <w:snapToGrid w:val="0"/>
        <w:spacing w:line="578" w:lineRule="exact"/>
        <w:ind w:firstLineChars="0"/>
        <w:contextualSpacing/>
        <w:jc w:val="left"/>
        <w:rPr>
          <w:rFonts w:eastAsia="仿宋_GB2312" w:cs="仿宋_GB2312" w:hint="eastAsia"/>
          <w:sz w:val="32"/>
          <w:szCs w:val="32"/>
          <w:lang w:val="zh-CN"/>
        </w:rPr>
      </w:pPr>
      <w:r w:rsidRPr="00496A6B">
        <w:rPr>
          <w:rFonts w:eastAsia="仿宋_GB2312" w:cs="仿宋_GB2312"/>
          <w:sz w:val="32"/>
          <w:szCs w:val="32"/>
          <w:lang w:val="zh-CN"/>
        </w:rPr>
        <w:t>资产管理</w:t>
      </w:r>
      <w:r w:rsidRPr="00496A6B">
        <w:rPr>
          <w:rFonts w:eastAsia="仿宋_GB2312" w:cs="仿宋_GB2312" w:hint="eastAsia"/>
          <w:sz w:val="32"/>
          <w:szCs w:val="32"/>
          <w:lang w:val="zh-CN"/>
        </w:rPr>
        <w:t>。</w:t>
      </w:r>
    </w:p>
    <w:p w:rsidR="00496A6B" w:rsidRPr="00496A6B" w:rsidRDefault="00496A6B" w:rsidP="00496A6B">
      <w:pPr>
        <w:pStyle w:val="a0"/>
        <w:rPr>
          <w:lang w:val="zh-CN"/>
        </w:rPr>
      </w:pPr>
      <w:r>
        <w:rPr>
          <w:rFonts w:hint="eastAsia"/>
          <w:lang w:val="zh-CN"/>
        </w:rPr>
        <w:t xml:space="preserve">  </w:t>
      </w:r>
      <w:r w:rsidRPr="002A3024">
        <w:rPr>
          <w:rFonts w:hint="eastAsia"/>
          <w:b/>
          <w:sz w:val="32"/>
          <w:szCs w:val="32"/>
          <w:lang w:val="zh-CN"/>
        </w:rPr>
        <w:t>单位资产配置总体合理负债风险低。短板主要是存量资产盘活力度不足，下一步健全资产台账，常态化开展资产盘点工作，提升资产管理精细化水平。</w:t>
      </w:r>
    </w:p>
    <w:p w:rsidR="008073F4" w:rsidRDefault="00132590">
      <w:pPr>
        <w:adjustRightInd w:val="0"/>
        <w:snapToGrid w:val="0"/>
        <w:spacing w:line="578" w:lineRule="exact"/>
        <w:ind w:firstLineChars="200" w:firstLine="640"/>
        <w:contextualSpacing/>
        <w:jc w:val="left"/>
        <w:rPr>
          <w:rFonts w:eastAsia="仿宋_GB2312" w:cs="仿宋_GB2312" w:hint="eastAsia"/>
          <w:sz w:val="32"/>
          <w:szCs w:val="32"/>
          <w:lang w:val="zh-CN"/>
        </w:rPr>
      </w:pPr>
      <w:r>
        <w:rPr>
          <w:rFonts w:eastAsia="仿宋_GB2312" w:cs="仿宋_GB2312" w:hint="eastAsia"/>
          <w:sz w:val="32"/>
          <w:szCs w:val="32"/>
        </w:rPr>
        <w:t>5.</w:t>
      </w:r>
      <w:r>
        <w:rPr>
          <w:rFonts w:eastAsia="仿宋_GB2312" w:cs="仿宋_GB2312"/>
          <w:sz w:val="32"/>
          <w:szCs w:val="32"/>
          <w:lang w:val="zh-CN"/>
        </w:rPr>
        <w:t>采购管理</w:t>
      </w:r>
      <w:r>
        <w:rPr>
          <w:rFonts w:eastAsia="仿宋_GB2312" w:cs="仿宋_GB2312" w:hint="eastAsia"/>
          <w:sz w:val="32"/>
          <w:szCs w:val="32"/>
          <w:lang w:val="zh-CN"/>
        </w:rPr>
        <w:t>。</w:t>
      </w:r>
    </w:p>
    <w:p w:rsidR="00496A6B" w:rsidRPr="00496A6B" w:rsidRDefault="00496A6B" w:rsidP="00496A6B">
      <w:pPr>
        <w:pStyle w:val="a0"/>
        <w:rPr>
          <w:lang w:val="zh-CN"/>
        </w:rPr>
      </w:pPr>
      <w:r w:rsidRPr="002A3024">
        <w:rPr>
          <w:rFonts w:hint="eastAsia"/>
          <w:b/>
          <w:sz w:val="32"/>
          <w:szCs w:val="32"/>
          <w:lang w:val="zh-CN"/>
        </w:rPr>
        <w:t>严格按照政府采购制度执行采购，无恶意串通商家抬价等行为</w:t>
      </w:r>
      <w:r>
        <w:rPr>
          <w:rFonts w:hint="eastAsia"/>
          <w:lang w:val="zh-CN"/>
        </w:rPr>
        <w:t>。</w:t>
      </w:r>
    </w:p>
    <w:p w:rsidR="008073F4" w:rsidRDefault="00132590" w:rsidP="00690794">
      <w:pPr>
        <w:adjustRightInd w:val="0"/>
        <w:snapToGrid w:val="0"/>
        <w:spacing w:line="578" w:lineRule="exact"/>
        <w:ind w:firstLineChars="200" w:firstLine="640"/>
        <w:contextualSpacing/>
        <w:rPr>
          <w:rFonts w:eastAsia="仿宋_GB2312" w:cs="仿宋_GB2312"/>
          <w:sz w:val="32"/>
          <w:szCs w:val="32"/>
        </w:rPr>
      </w:pPr>
      <w:r>
        <w:rPr>
          <w:rFonts w:eastAsia="楷体_GB2312"/>
          <w:b/>
          <w:bCs/>
          <w:color w:val="000000"/>
          <w:kern w:val="0"/>
          <w:sz w:val="32"/>
          <w:szCs w:val="32"/>
          <w:shd w:val="clear" w:color="auto" w:fill="FFFFFF"/>
          <w:lang w:val="zh-CN"/>
        </w:rPr>
        <w:t>（二）部门预算项目绩效分析。</w:t>
      </w:r>
    </w:p>
    <w:p w:rsidR="008073F4" w:rsidRDefault="00132590">
      <w:pPr>
        <w:adjustRightInd w:val="0"/>
        <w:snapToGrid w:val="0"/>
        <w:spacing w:line="578" w:lineRule="exact"/>
        <w:ind w:firstLineChars="200" w:firstLine="640"/>
        <w:contextualSpacing/>
        <w:rPr>
          <w:rFonts w:eastAsia="仿宋_GB2312" w:cs="仿宋_GB2312"/>
          <w:sz w:val="32"/>
          <w:szCs w:val="32"/>
          <w:lang w:val="zh-CN"/>
        </w:rPr>
      </w:pPr>
      <w:r>
        <w:rPr>
          <w:rFonts w:eastAsia="仿宋_GB2312" w:cs="仿宋_GB2312"/>
          <w:sz w:val="32"/>
          <w:szCs w:val="32"/>
        </w:rPr>
        <w:t>常年项目绩效分析。</w:t>
      </w:r>
      <w:r>
        <w:rPr>
          <w:rFonts w:eastAsia="仿宋_GB2312" w:cs="仿宋_GB2312"/>
          <w:sz w:val="32"/>
          <w:szCs w:val="32"/>
          <w:lang w:val="zh-CN"/>
        </w:rPr>
        <w:t>该类项目总数</w:t>
      </w:r>
      <w:r w:rsidR="00CF09EB">
        <w:rPr>
          <w:rFonts w:eastAsia="仿宋_GB2312" w:cs="仿宋_GB2312" w:hint="eastAsia"/>
          <w:sz w:val="32"/>
          <w:szCs w:val="32"/>
        </w:rPr>
        <w:t>4</w:t>
      </w:r>
      <w:r>
        <w:rPr>
          <w:rFonts w:eastAsia="仿宋_GB2312" w:cs="仿宋_GB2312"/>
          <w:sz w:val="32"/>
          <w:szCs w:val="32"/>
          <w:lang w:val="zh-CN"/>
        </w:rPr>
        <w:t>个，涉及预算总金额</w:t>
      </w:r>
      <w:r w:rsidR="00CF09EB">
        <w:rPr>
          <w:rFonts w:eastAsia="仿宋_GB2312" w:cs="仿宋_GB2312" w:hint="eastAsia"/>
          <w:sz w:val="32"/>
          <w:szCs w:val="32"/>
        </w:rPr>
        <w:t>103.79</w:t>
      </w:r>
      <w:r>
        <w:rPr>
          <w:rFonts w:eastAsia="仿宋_GB2312" w:cs="仿宋_GB2312"/>
          <w:sz w:val="32"/>
          <w:szCs w:val="32"/>
          <w:lang w:val="zh-CN"/>
        </w:rPr>
        <w:t>万元，</w:t>
      </w:r>
      <w:r>
        <w:rPr>
          <w:rFonts w:eastAsia="仿宋_GB2312" w:cs="仿宋_GB2312"/>
          <w:sz w:val="32"/>
          <w:szCs w:val="32"/>
          <w:lang w:val="zh-CN"/>
        </w:rPr>
        <w:t>1</w:t>
      </w:r>
      <w:r>
        <w:rPr>
          <w:rFonts w:eastAsia="仿宋_GB2312" w:cs="仿宋_GB2312" w:hint="eastAsia"/>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w:t>
      </w:r>
      <w:r w:rsidR="00CF09EB">
        <w:rPr>
          <w:rFonts w:eastAsia="仿宋_GB2312" w:cs="仿宋_GB2312" w:hint="eastAsia"/>
          <w:sz w:val="32"/>
          <w:szCs w:val="32"/>
        </w:rPr>
        <w:t>100</w:t>
      </w:r>
      <w:r>
        <w:rPr>
          <w:rFonts w:eastAsia="仿宋_GB2312" w:cs="仿宋_GB2312"/>
          <w:sz w:val="32"/>
          <w:szCs w:val="32"/>
          <w:lang w:val="zh-CN"/>
        </w:rPr>
        <w:t>%</w:t>
      </w:r>
      <w:r>
        <w:rPr>
          <w:rFonts w:eastAsia="仿宋_GB2312" w:cs="仿宋_GB2312"/>
          <w:sz w:val="32"/>
          <w:szCs w:val="32"/>
          <w:lang w:val="zh-CN"/>
        </w:rPr>
        <w:t>，其中：预算结余率大于</w:t>
      </w:r>
      <w:r>
        <w:rPr>
          <w:rFonts w:eastAsia="仿宋_GB2312" w:cs="仿宋_GB2312"/>
          <w:sz w:val="32"/>
          <w:szCs w:val="32"/>
        </w:rPr>
        <w:t>10%</w:t>
      </w:r>
      <w:r>
        <w:rPr>
          <w:rFonts w:eastAsia="仿宋_GB2312" w:cs="仿宋_GB2312"/>
          <w:sz w:val="32"/>
          <w:szCs w:val="32"/>
          <w:lang w:val="zh-CN"/>
        </w:rPr>
        <w:t>的项目共计</w:t>
      </w:r>
      <w:r w:rsidR="00CF09EB">
        <w:rPr>
          <w:rFonts w:eastAsia="仿宋_GB2312" w:cs="仿宋_GB2312" w:hint="eastAsia"/>
          <w:sz w:val="32"/>
          <w:szCs w:val="32"/>
        </w:rPr>
        <w:t>4</w:t>
      </w:r>
      <w:r>
        <w:rPr>
          <w:rFonts w:eastAsia="仿宋_GB2312" w:cs="仿宋_GB2312"/>
          <w:sz w:val="32"/>
          <w:szCs w:val="32"/>
          <w:lang w:val="zh-CN"/>
        </w:rPr>
        <w:t>个。</w:t>
      </w:r>
    </w:p>
    <w:p w:rsidR="008073F4" w:rsidRDefault="00132590">
      <w:pPr>
        <w:adjustRightInd w:val="0"/>
        <w:snapToGrid w:val="0"/>
        <w:spacing w:line="578" w:lineRule="exact"/>
        <w:ind w:firstLineChars="200" w:firstLine="640"/>
        <w:contextualSpacing/>
        <w:rPr>
          <w:rFonts w:eastAsia="仿宋_GB2312" w:cs="仿宋_GB2312"/>
          <w:sz w:val="32"/>
          <w:szCs w:val="32"/>
          <w:lang w:val="zh-CN"/>
        </w:rPr>
      </w:pPr>
      <w:r>
        <w:rPr>
          <w:rFonts w:eastAsia="仿宋_GB2312" w:cs="仿宋_GB2312"/>
          <w:sz w:val="32"/>
          <w:szCs w:val="32"/>
        </w:rPr>
        <w:t>阶段</w:t>
      </w:r>
      <w:r>
        <w:rPr>
          <w:rFonts w:eastAsia="仿宋_GB2312" w:cs="仿宋_GB2312" w:hint="eastAsia"/>
          <w:sz w:val="32"/>
          <w:szCs w:val="32"/>
        </w:rPr>
        <w:t>（</w:t>
      </w:r>
      <w:r>
        <w:rPr>
          <w:rFonts w:eastAsia="仿宋_GB2312" w:cs="仿宋_GB2312"/>
          <w:sz w:val="32"/>
          <w:szCs w:val="32"/>
        </w:rPr>
        <w:t>一次性</w:t>
      </w:r>
      <w:r>
        <w:rPr>
          <w:rFonts w:eastAsia="仿宋_GB2312" w:cs="仿宋_GB2312" w:hint="eastAsia"/>
          <w:sz w:val="32"/>
          <w:szCs w:val="32"/>
        </w:rPr>
        <w:t>）</w:t>
      </w:r>
      <w:r>
        <w:rPr>
          <w:rFonts w:eastAsia="仿宋_GB2312" w:cs="仿宋_GB2312"/>
          <w:sz w:val="32"/>
          <w:szCs w:val="32"/>
        </w:rPr>
        <w:t>项目绩效分析。</w:t>
      </w:r>
      <w:r>
        <w:rPr>
          <w:rFonts w:eastAsia="仿宋_GB2312" w:cs="仿宋_GB2312"/>
          <w:sz w:val="32"/>
          <w:szCs w:val="32"/>
          <w:lang w:val="zh-CN"/>
        </w:rPr>
        <w:t>该类项目总数</w:t>
      </w:r>
      <w:r w:rsidR="00CF09EB">
        <w:rPr>
          <w:rFonts w:eastAsia="仿宋_GB2312" w:cs="仿宋_GB2312" w:hint="eastAsia"/>
          <w:sz w:val="32"/>
          <w:szCs w:val="32"/>
        </w:rPr>
        <w:t>54</w:t>
      </w:r>
      <w:r>
        <w:rPr>
          <w:rFonts w:eastAsia="仿宋_GB2312" w:cs="仿宋_GB2312"/>
          <w:sz w:val="32"/>
          <w:szCs w:val="32"/>
          <w:lang w:val="zh-CN"/>
        </w:rPr>
        <w:t>个，涉及预算总金额</w:t>
      </w:r>
      <w:r w:rsidR="00CF09EB">
        <w:rPr>
          <w:rFonts w:eastAsia="仿宋_GB2312" w:cs="仿宋_GB2312" w:hint="eastAsia"/>
          <w:sz w:val="32"/>
          <w:szCs w:val="32"/>
        </w:rPr>
        <w:t>988.15</w:t>
      </w:r>
      <w:r>
        <w:rPr>
          <w:rFonts w:eastAsia="仿宋_GB2312" w:cs="仿宋_GB2312"/>
          <w:sz w:val="32"/>
          <w:szCs w:val="32"/>
          <w:lang w:val="zh-CN"/>
        </w:rPr>
        <w:t>万元，</w:t>
      </w:r>
      <w:r>
        <w:rPr>
          <w:rFonts w:eastAsia="仿宋_GB2312" w:cs="仿宋_GB2312"/>
          <w:sz w:val="32"/>
          <w:szCs w:val="32"/>
          <w:lang w:val="zh-CN"/>
        </w:rPr>
        <w:t>1</w:t>
      </w:r>
      <w:r>
        <w:rPr>
          <w:rFonts w:eastAsia="仿宋_GB2312" w:cs="仿宋_GB2312" w:hint="eastAsia"/>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w:t>
      </w:r>
      <w:r w:rsidR="00CF09EB">
        <w:rPr>
          <w:rFonts w:eastAsia="仿宋_GB2312" w:cs="仿宋_GB2312" w:hint="eastAsia"/>
          <w:sz w:val="32"/>
          <w:szCs w:val="32"/>
        </w:rPr>
        <w:t>79.86</w:t>
      </w:r>
      <w:r>
        <w:rPr>
          <w:rFonts w:eastAsia="仿宋_GB2312" w:cs="仿宋_GB2312"/>
          <w:sz w:val="32"/>
          <w:szCs w:val="32"/>
          <w:lang w:val="zh-CN"/>
        </w:rPr>
        <w:t>%</w:t>
      </w:r>
      <w:r>
        <w:rPr>
          <w:rFonts w:eastAsia="仿宋_GB2312" w:cs="仿宋_GB2312"/>
          <w:sz w:val="32"/>
          <w:szCs w:val="32"/>
          <w:lang w:val="zh-CN"/>
        </w:rPr>
        <w:t>，其中：预算结余率大于</w:t>
      </w:r>
      <w:r>
        <w:rPr>
          <w:rFonts w:eastAsia="仿宋_GB2312" w:cs="仿宋_GB2312"/>
          <w:sz w:val="32"/>
          <w:szCs w:val="32"/>
        </w:rPr>
        <w:t>10%</w:t>
      </w:r>
      <w:r>
        <w:rPr>
          <w:rFonts w:eastAsia="仿宋_GB2312" w:cs="仿宋_GB2312"/>
          <w:sz w:val="32"/>
          <w:szCs w:val="32"/>
          <w:lang w:val="zh-CN"/>
        </w:rPr>
        <w:t>的项目共计</w:t>
      </w:r>
      <w:r w:rsidR="00CF09EB">
        <w:rPr>
          <w:rFonts w:eastAsia="仿宋_GB2312" w:cs="仿宋_GB2312" w:hint="eastAsia"/>
          <w:sz w:val="32"/>
          <w:szCs w:val="32"/>
        </w:rPr>
        <w:t>54</w:t>
      </w:r>
      <w:r>
        <w:rPr>
          <w:rFonts w:eastAsia="仿宋_GB2312" w:cs="仿宋_GB2312"/>
          <w:sz w:val="32"/>
          <w:szCs w:val="32"/>
          <w:lang w:val="zh-CN"/>
        </w:rPr>
        <w:t>个。</w:t>
      </w:r>
    </w:p>
    <w:p w:rsidR="00CF09EB" w:rsidRPr="00CF09EB" w:rsidRDefault="00132590" w:rsidP="00CF09EB">
      <w:pPr>
        <w:pStyle w:val="ab"/>
        <w:numPr>
          <w:ilvl w:val="0"/>
          <w:numId w:val="8"/>
        </w:numPr>
        <w:adjustRightInd w:val="0"/>
        <w:snapToGrid w:val="0"/>
        <w:spacing w:line="578" w:lineRule="exact"/>
        <w:ind w:firstLineChars="0"/>
        <w:contextualSpacing/>
        <w:rPr>
          <w:rFonts w:eastAsia="仿宋_GB2312" w:cs="仿宋_GB2312" w:hint="eastAsia"/>
          <w:sz w:val="32"/>
          <w:szCs w:val="32"/>
          <w:lang w:val="zh-CN"/>
        </w:rPr>
      </w:pPr>
      <w:r w:rsidRPr="00CF09EB">
        <w:rPr>
          <w:rFonts w:eastAsia="仿宋_GB2312" w:cs="仿宋_GB2312" w:hint="eastAsia"/>
          <w:sz w:val="32"/>
          <w:szCs w:val="32"/>
          <w:lang w:val="zh-CN"/>
        </w:rPr>
        <w:t>项目决策。</w:t>
      </w:r>
    </w:p>
    <w:p w:rsidR="00CF09EB" w:rsidRPr="00CF09EB" w:rsidRDefault="00CF09EB" w:rsidP="00CF09EB">
      <w:pPr>
        <w:pStyle w:val="a0"/>
        <w:ind w:left="892"/>
        <w:rPr>
          <w:rFonts w:hint="eastAsia"/>
          <w:lang w:val="zh-CN"/>
        </w:rPr>
      </w:pPr>
      <w:r>
        <w:rPr>
          <w:rFonts w:ascii="仿宋_GB2312" w:eastAsia="仿宋_GB2312" w:hAnsi="仿宋" w:hint="eastAsia"/>
          <w:sz w:val="32"/>
          <w:szCs w:val="32"/>
        </w:rPr>
        <w:t>在项目决策中，建立并落实集体研究与专家论证、技术咨询相结合的决策议事机制，重大经济事项实行集体决策或建立立项评审制度</w:t>
      </w:r>
    </w:p>
    <w:p w:rsidR="00CF09EB" w:rsidRPr="00CF09EB" w:rsidRDefault="00132590" w:rsidP="00CF09EB">
      <w:pPr>
        <w:pStyle w:val="ab"/>
        <w:numPr>
          <w:ilvl w:val="0"/>
          <w:numId w:val="8"/>
        </w:numPr>
        <w:adjustRightInd w:val="0"/>
        <w:snapToGrid w:val="0"/>
        <w:spacing w:line="578" w:lineRule="exact"/>
        <w:ind w:firstLineChars="0"/>
        <w:contextualSpacing/>
        <w:rPr>
          <w:rFonts w:eastAsia="仿宋_GB2312" w:cs="仿宋_GB2312" w:hint="eastAsia"/>
          <w:sz w:val="32"/>
          <w:szCs w:val="32"/>
          <w:lang w:val="zh-CN"/>
        </w:rPr>
      </w:pPr>
      <w:r w:rsidRPr="00CF09EB">
        <w:rPr>
          <w:rFonts w:eastAsia="仿宋_GB2312" w:cs="仿宋_GB2312" w:hint="eastAsia"/>
          <w:sz w:val="32"/>
          <w:szCs w:val="32"/>
        </w:rPr>
        <w:lastRenderedPageBreak/>
        <w:t>项目执行</w:t>
      </w:r>
      <w:r w:rsidRPr="00CF09EB">
        <w:rPr>
          <w:rFonts w:eastAsia="仿宋_GB2312" w:cs="仿宋_GB2312" w:hint="eastAsia"/>
          <w:sz w:val="32"/>
          <w:szCs w:val="32"/>
          <w:lang w:val="zh-CN"/>
        </w:rPr>
        <w:t>。</w:t>
      </w:r>
    </w:p>
    <w:p w:rsidR="00CF09EB" w:rsidRPr="00CF09EB" w:rsidRDefault="00CF09EB" w:rsidP="00CF09EB">
      <w:pPr>
        <w:pStyle w:val="a0"/>
        <w:ind w:left="892"/>
        <w:rPr>
          <w:rFonts w:hint="eastAsia"/>
          <w:lang w:val="zh-CN"/>
        </w:rPr>
      </w:pPr>
      <w:r>
        <w:rPr>
          <w:rFonts w:ascii="仿宋_GB2312" w:eastAsia="仿宋_GB2312" w:hAnsi="仿宋" w:hint="eastAsia"/>
          <w:sz w:val="32"/>
          <w:szCs w:val="32"/>
        </w:rPr>
        <w:t>在项目执行中，定期组织预算执行情况考核，对预算执行情况进行动态监控，发挥绩效管理的激励约束作用。</w:t>
      </w:r>
    </w:p>
    <w:p w:rsidR="00CF09EB" w:rsidRPr="00CF09EB" w:rsidRDefault="00132590" w:rsidP="00CF09EB">
      <w:pPr>
        <w:pStyle w:val="ab"/>
        <w:numPr>
          <w:ilvl w:val="0"/>
          <w:numId w:val="8"/>
        </w:numPr>
        <w:adjustRightInd w:val="0"/>
        <w:snapToGrid w:val="0"/>
        <w:spacing w:line="578" w:lineRule="exact"/>
        <w:ind w:firstLineChars="0"/>
        <w:contextualSpacing/>
        <w:rPr>
          <w:rFonts w:eastAsia="仿宋_GB2312" w:cs="仿宋_GB2312" w:hint="eastAsia"/>
          <w:sz w:val="32"/>
          <w:szCs w:val="32"/>
          <w:lang w:val="zh-CN"/>
        </w:rPr>
      </w:pPr>
      <w:r w:rsidRPr="00CF09EB">
        <w:rPr>
          <w:rFonts w:eastAsia="仿宋_GB2312" w:cs="仿宋_GB2312" w:hint="eastAsia"/>
          <w:sz w:val="32"/>
          <w:szCs w:val="32"/>
          <w:lang w:val="zh-CN"/>
        </w:rPr>
        <w:t>目标实现。</w:t>
      </w:r>
    </w:p>
    <w:p w:rsidR="00CF09EB" w:rsidRPr="00CF09EB" w:rsidRDefault="00CF09EB" w:rsidP="00CF09EB">
      <w:pPr>
        <w:pStyle w:val="ab"/>
        <w:adjustRightInd w:val="0"/>
        <w:snapToGrid w:val="0"/>
        <w:spacing w:line="578" w:lineRule="exact"/>
        <w:ind w:left="892" w:firstLineChars="0" w:firstLine="0"/>
        <w:contextualSpacing/>
        <w:rPr>
          <w:rFonts w:ascii="仿宋_GB2312" w:eastAsia="仿宋_GB2312" w:hAnsi="仿宋" w:hint="eastAsia"/>
          <w:sz w:val="32"/>
          <w:szCs w:val="32"/>
        </w:rPr>
      </w:pPr>
      <w:r>
        <w:rPr>
          <w:rFonts w:ascii="仿宋_GB2312" w:eastAsia="仿宋_GB2312" w:hAnsi="仿宋" w:hint="eastAsia"/>
          <w:sz w:val="32"/>
          <w:szCs w:val="32"/>
        </w:rPr>
        <w:t>在</w:t>
      </w:r>
      <w:r w:rsidR="002A3024">
        <w:rPr>
          <w:rFonts w:ascii="仿宋_GB2312" w:eastAsia="仿宋_GB2312" w:hAnsi="仿宋" w:hint="eastAsia"/>
          <w:sz w:val="32"/>
          <w:szCs w:val="32"/>
        </w:rPr>
        <w:t>目标实现后，</w:t>
      </w:r>
      <w:r w:rsidRPr="00CF09EB">
        <w:rPr>
          <w:rFonts w:ascii="仿宋_GB2312" w:eastAsia="仿宋_GB2312" w:hAnsi="仿宋" w:hint="eastAsia"/>
          <w:sz w:val="32"/>
          <w:szCs w:val="32"/>
        </w:rPr>
        <w:t>对于预算执行中发现的偏离绩效目标的情况</w:t>
      </w:r>
      <w:r w:rsidR="002A3024">
        <w:rPr>
          <w:rFonts w:ascii="仿宋_GB2312" w:eastAsia="仿宋_GB2312" w:hAnsi="仿宋" w:hint="eastAsia"/>
          <w:sz w:val="32"/>
          <w:szCs w:val="32"/>
        </w:rPr>
        <w:t>及时采取必要措施</w:t>
      </w:r>
      <w:r w:rsidRPr="00CF09EB">
        <w:rPr>
          <w:rFonts w:ascii="仿宋_GB2312" w:eastAsia="仿宋_GB2312" w:hAnsi="仿宋" w:hint="eastAsia"/>
          <w:sz w:val="32"/>
          <w:szCs w:val="32"/>
        </w:rPr>
        <w:t>，尽快纠偏;对预算执行中提出的预算调整事项，严格履行预算调整程序等</w:t>
      </w:r>
    </w:p>
    <w:p w:rsidR="008073F4" w:rsidRDefault="00132590" w:rsidP="00690794">
      <w:pPr>
        <w:adjustRightInd w:val="0"/>
        <w:snapToGrid w:val="0"/>
        <w:spacing w:line="578" w:lineRule="exact"/>
        <w:ind w:firstLineChars="200" w:firstLine="640"/>
        <w:contextualSpacing/>
        <w:rPr>
          <w:rFonts w:eastAsia="仿宋_GB2312" w:cs="仿宋_GB2312" w:hint="eastAsia"/>
          <w:sz w:val="32"/>
          <w:szCs w:val="32"/>
          <w:lang w:val="zh-CN"/>
        </w:rPr>
      </w:pPr>
      <w:r>
        <w:rPr>
          <w:rFonts w:eastAsia="楷体_GB2312"/>
          <w:b/>
          <w:bCs/>
          <w:color w:val="000000"/>
          <w:kern w:val="0"/>
          <w:sz w:val="32"/>
          <w:szCs w:val="32"/>
          <w:shd w:val="clear" w:color="auto" w:fill="FFFFFF"/>
          <w:lang w:val="zh-CN"/>
        </w:rPr>
        <w:t>（</w:t>
      </w:r>
      <w:r>
        <w:rPr>
          <w:rFonts w:eastAsia="楷体_GB2312" w:hint="eastAsia"/>
          <w:b/>
          <w:bCs/>
          <w:color w:val="000000"/>
          <w:kern w:val="0"/>
          <w:sz w:val="32"/>
          <w:szCs w:val="32"/>
          <w:shd w:val="clear" w:color="auto" w:fill="FFFFFF"/>
        </w:rPr>
        <w:t>三</w:t>
      </w:r>
      <w:r>
        <w:rPr>
          <w:rFonts w:eastAsia="楷体_GB2312"/>
          <w:b/>
          <w:bCs/>
          <w:color w:val="000000"/>
          <w:kern w:val="0"/>
          <w:sz w:val="32"/>
          <w:szCs w:val="32"/>
          <w:shd w:val="clear" w:color="auto" w:fill="FFFFFF"/>
          <w:lang w:val="zh-CN"/>
        </w:rPr>
        <w:t>）绩效结果应用情况</w:t>
      </w:r>
      <w:r>
        <w:rPr>
          <w:rFonts w:eastAsia="楷体_GB2312" w:hint="eastAsia"/>
          <w:b/>
          <w:bCs/>
          <w:color w:val="000000"/>
          <w:kern w:val="0"/>
          <w:sz w:val="32"/>
          <w:szCs w:val="32"/>
          <w:shd w:val="clear" w:color="auto" w:fill="FFFFFF"/>
          <w:lang w:val="zh-CN"/>
        </w:rPr>
        <w:t>。</w:t>
      </w:r>
    </w:p>
    <w:p w:rsidR="002A3024" w:rsidRPr="002A3024" w:rsidRDefault="002A3024" w:rsidP="002A3024">
      <w:pPr>
        <w:pStyle w:val="a0"/>
        <w:ind w:leftChars="400" w:left="840" w:firstLineChars="100" w:firstLine="320"/>
        <w:rPr>
          <w:rFonts w:ascii="仿宋_GB2312" w:eastAsia="仿宋_GB2312" w:hAnsi="仿宋"/>
          <w:sz w:val="32"/>
          <w:szCs w:val="32"/>
        </w:rPr>
      </w:pPr>
      <w:r w:rsidRPr="002A3024">
        <w:rPr>
          <w:rFonts w:ascii="仿宋_GB2312" w:eastAsia="仿宋_GB2312" w:hAnsi="仿宋" w:hint="eastAsia"/>
          <w:sz w:val="32"/>
          <w:szCs w:val="32"/>
        </w:rPr>
        <w:t>绩效结果应用机制已初步建立，能够落实公开和整改要求，但绩效结果运用深度不足，后续健全绩效结果和预算，内部考核挂钩机制，做长效整改，提升绩效管理实效。</w:t>
      </w:r>
    </w:p>
    <w:p w:rsidR="008073F4" w:rsidRDefault="00132590">
      <w:pPr>
        <w:widowControl/>
        <w:adjustRightInd w:val="0"/>
        <w:snapToGrid w:val="0"/>
        <w:spacing w:line="578" w:lineRule="exact"/>
        <w:ind w:firstLineChars="200" w:firstLine="64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四、</w:t>
      </w:r>
      <w:r>
        <w:rPr>
          <w:rFonts w:eastAsia="黑体"/>
          <w:color w:val="000000"/>
          <w:kern w:val="0"/>
          <w:sz w:val="32"/>
          <w:szCs w:val="32"/>
          <w:shd w:val="clear" w:color="auto" w:fill="FFFFFF"/>
          <w:lang w:val="zh-CN"/>
        </w:rPr>
        <w:t>评价结论及建议</w:t>
      </w:r>
    </w:p>
    <w:p w:rsidR="008073F4" w:rsidRDefault="00132590" w:rsidP="00690794">
      <w:pPr>
        <w:widowControl/>
        <w:adjustRightInd w:val="0"/>
        <w:snapToGrid w:val="0"/>
        <w:spacing w:line="578" w:lineRule="exact"/>
        <w:ind w:firstLineChars="200" w:firstLine="640"/>
        <w:contextualSpacing/>
        <w:jc w:val="left"/>
        <w:rPr>
          <w:rFonts w:eastAsia="仿宋_GB2312" w:hint="eastAsia"/>
          <w:sz w:val="32"/>
          <w:szCs w:val="32"/>
          <w:lang/>
        </w:rPr>
      </w:pPr>
      <w:r>
        <w:rPr>
          <w:rFonts w:eastAsia="楷体_GB2312"/>
          <w:b/>
          <w:bCs/>
          <w:color w:val="000000"/>
          <w:kern w:val="0"/>
          <w:sz w:val="32"/>
          <w:szCs w:val="32"/>
          <w:shd w:val="clear" w:color="auto" w:fill="FFFFFF"/>
          <w:lang w:val="zh-CN"/>
        </w:rPr>
        <w:t>（一）评价结论。</w:t>
      </w:r>
    </w:p>
    <w:p w:rsidR="002A3024" w:rsidRPr="002A3024" w:rsidRDefault="002A3024" w:rsidP="002A3024">
      <w:pPr>
        <w:pStyle w:val="a0"/>
        <w:ind w:firstLineChars="100" w:firstLine="320"/>
        <w:rPr>
          <w:lang/>
        </w:rPr>
      </w:pPr>
      <w:r>
        <w:rPr>
          <w:rFonts w:ascii="仿宋_GB2312" w:eastAsia="仿宋_GB2312" w:hAnsi="仿宋" w:hint="eastAsia"/>
          <w:sz w:val="32"/>
          <w:szCs w:val="32"/>
        </w:rPr>
        <w:t>我单位2025年所有预算项目全部纳入绩效目标管理，按月填报绩效监控。单位提高预算绩效管理认识，强化以“绩效为中心、对支出结果负责、对社会公众负责”的理念，在绩效目标编制方面，针对绩效目标设置指向不清、预算和目标匹配不足，数量目标和质量目标量化不细，效益目标编制不完整等方面加以了改善。加强预算绩效动态监控管理，加强相关人员的业务培训，进一步提高预算绩效评价质量。</w:t>
      </w:r>
    </w:p>
    <w:p w:rsidR="002A3024" w:rsidRDefault="00132590" w:rsidP="00690794">
      <w:pPr>
        <w:widowControl/>
        <w:adjustRightInd w:val="0"/>
        <w:snapToGrid w:val="0"/>
        <w:spacing w:line="578" w:lineRule="exact"/>
        <w:ind w:firstLineChars="200" w:firstLine="640"/>
        <w:contextualSpacing/>
        <w:jc w:val="left"/>
        <w:rPr>
          <w:rFonts w:eastAsia="楷体_GB2312" w:hint="eastAsia"/>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（二）存在问题。</w:t>
      </w:r>
    </w:p>
    <w:p w:rsidR="002A3024" w:rsidRDefault="002A3024" w:rsidP="002A3024">
      <w:pPr>
        <w:pBdr>
          <w:bottom w:val="single" w:sz="4" w:space="31" w:color="FFFFFF"/>
        </w:pBdr>
        <w:autoSpaceDE w:val="0"/>
        <w:spacing w:line="560" w:lineRule="exact"/>
        <w:ind w:firstLineChars="200" w:firstLine="640"/>
        <w:rPr>
          <w:rFonts w:ascii="仿宋_GB2312" w:eastAsia="仿宋_GB2312" w:hAnsi="仿宋" w:hint="eastAsia"/>
          <w:sz w:val="32"/>
          <w:szCs w:val="32"/>
          <w:lang w:bidi="ar-SA"/>
        </w:rPr>
      </w:pPr>
      <w:r>
        <w:rPr>
          <w:rFonts w:ascii="仿宋_GB2312" w:eastAsia="仿宋_GB2312" w:hAnsi="仿宋" w:hint="eastAsia"/>
          <w:sz w:val="32"/>
          <w:szCs w:val="32"/>
          <w:lang w:bidi="ar-SA"/>
        </w:rPr>
        <w:t>1、存在的问题</w:t>
      </w:r>
    </w:p>
    <w:p w:rsidR="002A3024" w:rsidRDefault="002A3024" w:rsidP="002A3024">
      <w:pPr>
        <w:pBdr>
          <w:bottom w:val="single" w:sz="4" w:space="31" w:color="FFFFFF"/>
        </w:pBdr>
        <w:autoSpaceDE w:val="0"/>
        <w:spacing w:line="560" w:lineRule="exact"/>
        <w:ind w:firstLineChars="200" w:firstLine="640"/>
        <w:rPr>
          <w:rFonts w:ascii="仿宋_GB2312" w:eastAsia="仿宋_GB2312" w:hAnsi="仿宋" w:hint="eastAsia"/>
          <w:sz w:val="32"/>
          <w:szCs w:val="32"/>
          <w:lang w:bidi="ar-SA"/>
        </w:rPr>
      </w:pPr>
      <w:r>
        <w:rPr>
          <w:rFonts w:ascii="仿宋_GB2312" w:eastAsia="仿宋_GB2312" w:hAnsi="仿宋" w:hint="eastAsia"/>
          <w:sz w:val="32"/>
          <w:szCs w:val="32"/>
          <w:lang w:bidi="ar-SA"/>
        </w:rPr>
        <w:lastRenderedPageBreak/>
        <w:t>（1）、预算编制工作有待细化。预算编制不够明确和细化，预算编制的合理性及执行力有待进一步提高，维持预算的严肃性和权威性有待进一步加强。个别项目资金管理和使用有待进一步细化和加强。</w:t>
      </w:r>
    </w:p>
    <w:p w:rsidR="002A3024" w:rsidRDefault="002A3024" w:rsidP="002A3024">
      <w:pPr>
        <w:pBdr>
          <w:bottom w:val="single" w:sz="4" w:space="31" w:color="FFFFFF"/>
        </w:pBdr>
        <w:autoSpaceDE w:val="0"/>
        <w:spacing w:line="560" w:lineRule="exact"/>
        <w:ind w:firstLineChars="200" w:firstLine="640"/>
        <w:rPr>
          <w:rFonts w:ascii="仿宋_GB2312" w:eastAsia="仿宋_GB2312" w:hAnsi="仿宋" w:hint="eastAsia"/>
          <w:sz w:val="32"/>
          <w:szCs w:val="32"/>
          <w:lang w:bidi="ar-SA"/>
        </w:rPr>
      </w:pPr>
      <w:r>
        <w:rPr>
          <w:rFonts w:ascii="仿宋_GB2312" w:eastAsia="仿宋_GB2312" w:hAnsi="仿宋" w:hint="eastAsia"/>
          <w:sz w:val="32"/>
          <w:szCs w:val="32"/>
        </w:rPr>
        <w:t>（2）、</w:t>
      </w:r>
      <w:r>
        <w:rPr>
          <w:rFonts w:ascii="仿宋_GB2312" w:eastAsia="仿宋_GB2312" w:hAnsi="仿宋" w:hint="eastAsia"/>
          <w:sz w:val="32"/>
          <w:szCs w:val="32"/>
          <w:lang w:bidi="ar-SA"/>
        </w:rPr>
        <w:t>绩效考核指标有待标准化。缺乏完善的绩效评价体系，预算绩效问责与激励制度还没完全建立，绩效评价对于优化、促进预算管理的作用还没有得到充分体现。</w:t>
      </w:r>
    </w:p>
    <w:p w:rsidR="002A3024" w:rsidRDefault="002A3024" w:rsidP="002A3024">
      <w:pPr>
        <w:pBdr>
          <w:bottom w:val="single" w:sz="4" w:space="31" w:color="FFFFFF"/>
        </w:pBdr>
        <w:autoSpaceDE w:val="0"/>
        <w:spacing w:line="560" w:lineRule="exact"/>
        <w:ind w:firstLineChars="200" w:firstLine="640"/>
        <w:rPr>
          <w:rFonts w:ascii="仿宋_GB2312" w:eastAsia="仿宋_GB2312" w:hAnsi="仿宋" w:hint="eastAsia"/>
          <w:sz w:val="32"/>
          <w:szCs w:val="32"/>
          <w:lang w:bidi="ar-SA"/>
        </w:rPr>
      </w:pPr>
      <w:r>
        <w:rPr>
          <w:rFonts w:ascii="仿宋_GB2312" w:eastAsia="仿宋_GB2312" w:hAnsi="仿宋" w:hint="eastAsia"/>
          <w:sz w:val="32"/>
          <w:szCs w:val="32"/>
        </w:rPr>
        <w:t>（3）、</w:t>
      </w:r>
      <w:r>
        <w:rPr>
          <w:rFonts w:ascii="仿宋_GB2312" w:eastAsia="仿宋_GB2312" w:hAnsi="仿宋" w:hint="eastAsia"/>
          <w:sz w:val="32"/>
          <w:szCs w:val="32"/>
          <w:lang w:bidi="ar-SA"/>
        </w:rPr>
        <w:t>制度建设有待进一步完善。为保证单位的正常运转，还需进一步完善财务制度体系和绩效评价体系，使财务工作有章可循，为提升财务服务质量提供制度保障。</w:t>
      </w:r>
    </w:p>
    <w:p w:rsidR="002A3024" w:rsidRPr="002A3024" w:rsidRDefault="002A3024" w:rsidP="002A3024">
      <w:pPr>
        <w:pStyle w:val="a0"/>
        <w:rPr>
          <w:rFonts w:hint="eastAsia"/>
          <w:lang w:val="zh-CN"/>
        </w:rPr>
      </w:pPr>
    </w:p>
    <w:p w:rsidR="008073F4" w:rsidRDefault="00132590" w:rsidP="00690794">
      <w:pPr>
        <w:widowControl/>
        <w:adjustRightInd w:val="0"/>
        <w:snapToGrid w:val="0"/>
        <w:spacing w:line="578" w:lineRule="exact"/>
        <w:ind w:firstLineChars="200" w:firstLine="640"/>
        <w:contextualSpacing/>
        <w:jc w:val="left"/>
        <w:rPr>
          <w:rFonts w:eastAsia="仿宋_GB2312" w:hint="eastAsia"/>
          <w:sz w:val="32"/>
          <w:szCs w:val="32"/>
          <w:lang/>
        </w:rPr>
      </w:pPr>
      <w:r>
        <w:rPr>
          <w:rFonts w:eastAsia="楷体_GB2312"/>
          <w:b/>
          <w:bCs/>
          <w:color w:val="000000"/>
          <w:kern w:val="0"/>
          <w:sz w:val="32"/>
          <w:szCs w:val="32"/>
          <w:shd w:val="clear" w:color="auto" w:fill="FFFFFF"/>
          <w:lang w:val="zh-CN"/>
        </w:rPr>
        <w:t>（三）改进建议。</w:t>
      </w:r>
      <w:bookmarkStart w:id="22" w:name="_Hlk110546638"/>
    </w:p>
    <w:bookmarkEnd w:id="22"/>
    <w:p w:rsidR="002A3024" w:rsidRDefault="002A3024" w:rsidP="002A3024">
      <w:pPr>
        <w:pBdr>
          <w:bottom w:val="single" w:sz="4" w:space="31" w:color="FFFFFF"/>
        </w:pBdr>
        <w:autoSpaceDE w:val="0"/>
        <w:spacing w:line="560" w:lineRule="exact"/>
        <w:ind w:firstLineChars="100" w:firstLine="320"/>
        <w:rPr>
          <w:rFonts w:ascii="仿宋_GB2312" w:eastAsia="仿宋_GB2312" w:hAnsi="仿宋" w:hint="eastAsia"/>
          <w:sz w:val="32"/>
          <w:szCs w:val="32"/>
          <w:lang w:bidi="ar-SA"/>
        </w:rPr>
      </w:pPr>
      <w:r>
        <w:rPr>
          <w:rFonts w:ascii="仿宋_GB2312" w:eastAsia="仿宋_GB2312" w:hAnsi="仿宋" w:hint="eastAsia"/>
          <w:sz w:val="32"/>
          <w:szCs w:val="32"/>
          <w:lang w:bidi="ar-SA"/>
        </w:rPr>
        <w:t>做好绩效管理的宣传和培训工作至关重要。1.加强学习，提高思想认识。组织单位人员认真学习《预算法》等相关法规、制度，提高单位领导对前面预算管理的重视程度。增强财务人员的预算意识，坚持先有预算、后有支出，没有预算不得支出。2.细化指标，提高预算科学性。科学合理编制预算，推进预算编制科学化、准确化。年度预算编制后，根据实际情况，定期做好预算分析，掌握预算执行力度，及时找出预算实际执行情况与预算目标之间存在的差距，纠正偏差，为下一次科学、准确地编制部门预算积累经验。3.严格管理，控制“三公”经费和公用经费支出。严格落实中央“八项规定”和“压缩一般性支出”要求，切实加强三公”经费和会</w:t>
      </w:r>
      <w:r>
        <w:rPr>
          <w:rFonts w:ascii="仿宋_GB2312" w:eastAsia="仿宋_GB2312" w:hAnsi="仿宋" w:hint="eastAsia"/>
          <w:sz w:val="32"/>
          <w:szCs w:val="32"/>
          <w:lang w:bidi="ar-SA"/>
        </w:rPr>
        <w:lastRenderedPageBreak/>
        <w:t>议费、培训费的管理，严格按照规定开支有关经费，确保三公”经费只减不增。4.规范财务运行，加强预算支出管理。严格遵循先有预算、后有支出的原则，在资金支付管理方面，严格按照规定程序向财政部门申请用款，在财政部门批复的支出预算资金范围内申请使用一般预算支出经费。建立健全并认真执行各项资金使用管理制度，建立内部控制制度，资金使用严格履行审批程序，确保资金支出合法、真实。</w:t>
      </w:r>
    </w:p>
    <w:p w:rsidR="008073F4" w:rsidRDefault="008073F4">
      <w:pPr>
        <w:pStyle w:val="20"/>
        <w:spacing w:line="560" w:lineRule="exact"/>
        <w:ind w:leftChars="0" w:left="0" w:firstLine="640"/>
        <w:rPr>
          <w:rFonts w:ascii="Times New Roman" w:eastAsia="仿宋_GB2312"/>
          <w:sz w:val="32"/>
          <w:lang w:val="zh-CN"/>
        </w:rPr>
      </w:pPr>
    </w:p>
    <w:p w:rsidR="008073F4" w:rsidRDefault="00132590">
      <w:pPr>
        <w:pStyle w:val="20"/>
        <w:spacing w:line="560" w:lineRule="exact"/>
        <w:ind w:leftChars="0" w:left="0" w:firstLine="640"/>
        <w:rPr>
          <w:rFonts w:ascii="Times New Roman" w:eastAsia="仿宋_GB2312"/>
          <w:sz w:val="32"/>
          <w:lang w:val="zh-CN"/>
        </w:rPr>
      </w:pPr>
      <w:r>
        <w:rPr>
          <w:rFonts w:ascii="Times New Roman" w:eastAsia="仿宋_GB2312" w:hint="eastAsia"/>
          <w:sz w:val="32"/>
          <w:lang w:val="zh-CN"/>
        </w:rPr>
        <w:t>附表：</w:t>
      </w:r>
      <w:r>
        <w:rPr>
          <w:rFonts w:ascii="Times New Roman" w:eastAsia="仿宋_GB2312" w:hint="eastAsia"/>
          <w:sz w:val="32"/>
          <w:lang/>
        </w:rPr>
        <w:t>部门预算项目支出绩效自评表（</w:t>
      </w:r>
      <w:r>
        <w:rPr>
          <w:rFonts w:ascii="Times New Roman" w:eastAsia="仿宋_GB2312" w:hint="eastAsia"/>
          <w:sz w:val="32"/>
          <w:lang/>
        </w:rPr>
        <w:t>2025</w:t>
      </w:r>
      <w:r>
        <w:rPr>
          <w:rFonts w:ascii="Times New Roman" w:eastAsia="仿宋_GB2312" w:hint="eastAsia"/>
          <w:sz w:val="32"/>
          <w:lang/>
        </w:rPr>
        <w:t>年度</w:t>
      </w:r>
      <w:r>
        <w:rPr>
          <w:rFonts w:ascii="Times New Roman" w:eastAsia="仿宋_GB2312" w:hint="eastAsia"/>
          <w:sz w:val="32"/>
          <w:lang/>
        </w:rPr>
        <w:t>）</w:t>
      </w:r>
    </w:p>
    <w:p w:rsidR="008073F4" w:rsidRDefault="00132590">
      <w:pPr>
        <w:pStyle w:val="20"/>
        <w:spacing w:line="560" w:lineRule="exact"/>
        <w:ind w:leftChars="0" w:left="0" w:firstLine="640"/>
        <w:rPr>
          <w:rFonts w:ascii="Times New Roman" w:eastAsia="仿宋_GB2312" w:cs="仿宋_GB2312"/>
          <w:kern w:val="0"/>
          <w:sz w:val="32"/>
        </w:rPr>
      </w:pPr>
      <w:r>
        <w:rPr>
          <w:rFonts w:ascii="Times New Roman" w:eastAsia="仿宋_GB2312" w:cs="仿宋_GB2312" w:hint="eastAsia"/>
          <w:kern w:val="0"/>
          <w:sz w:val="32"/>
        </w:rPr>
        <w:t>（注：</w:t>
      </w:r>
      <w:r>
        <w:rPr>
          <w:rFonts w:ascii="Times New Roman" w:eastAsia="仿宋_GB2312" w:cs="仿宋_GB2312" w:hint="eastAsia"/>
          <w:kern w:val="0"/>
          <w:sz w:val="32"/>
        </w:rPr>
        <w:t>部门需公开部门预算绩效自评报告和部门预算项目支出绩效自评表（</w:t>
      </w:r>
      <w:r>
        <w:rPr>
          <w:rFonts w:ascii="Times New Roman" w:eastAsia="仿宋_GB2312" w:cs="仿宋_GB2312" w:hint="eastAsia"/>
          <w:kern w:val="0"/>
          <w:sz w:val="32"/>
        </w:rPr>
        <w:t>2025</w:t>
      </w:r>
      <w:r>
        <w:rPr>
          <w:rFonts w:ascii="Times New Roman" w:eastAsia="仿宋_GB2312" w:cs="仿宋_GB2312" w:hint="eastAsia"/>
          <w:kern w:val="0"/>
          <w:sz w:val="32"/>
        </w:rPr>
        <w:t>年度），各下属单位需公开部门预算项目支出绩效自评表（</w:t>
      </w:r>
      <w:r>
        <w:rPr>
          <w:rFonts w:ascii="Times New Roman" w:eastAsia="仿宋_GB2312" w:cs="仿宋_GB2312" w:hint="eastAsia"/>
          <w:kern w:val="0"/>
          <w:sz w:val="32"/>
        </w:rPr>
        <w:t>2025</w:t>
      </w:r>
      <w:r>
        <w:rPr>
          <w:rFonts w:ascii="Times New Roman" w:eastAsia="仿宋_GB2312" w:cs="仿宋_GB2312" w:hint="eastAsia"/>
          <w:kern w:val="0"/>
          <w:sz w:val="32"/>
        </w:rPr>
        <w:t>年度）。</w:t>
      </w:r>
    </w:p>
    <w:p w:rsidR="008073F4" w:rsidRDefault="00132590">
      <w:pPr>
        <w:pStyle w:val="20"/>
        <w:spacing w:line="560" w:lineRule="exact"/>
        <w:ind w:leftChars="0" w:left="0" w:firstLine="640"/>
        <w:rPr>
          <w:rFonts w:ascii="Times New Roman" w:eastAsia="仿宋_GB2312" w:cs="仿宋_GB2312"/>
          <w:kern w:val="0"/>
          <w:sz w:val="32"/>
          <w:lang w:val="zh-CN"/>
        </w:rPr>
      </w:pPr>
      <w:r>
        <w:rPr>
          <w:rFonts w:ascii="Times New Roman" w:eastAsia="仿宋_GB2312" w:cs="仿宋_GB2312" w:hint="eastAsia"/>
          <w:kern w:val="0"/>
          <w:sz w:val="32"/>
        </w:rPr>
        <w:t>部门预算项目支出绩效自评表（</w:t>
      </w:r>
      <w:r>
        <w:rPr>
          <w:rFonts w:ascii="Times New Roman" w:eastAsia="仿宋_GB2312" w:cs="仿宋_GB2312" w:hint="eastAsia"/>
          <w:kern w:val="0"/>
          <w:sz w:val="32"/>
        </w:rPr>
        <w:t>2025</w:t>
      </w:r>
      <w:r>
        <w:rPr>
          <w:rFonts w:ascii="Times New Roman" w:eastAsia="仿宋_GB2312" w:cs="仿宋_GB2312" w:hint="eastAsia"/>
          <w:kern w:val="0"/>
          <w:sz w:val="32"/>
        </w:rPr>
        <w:t>年度）</w:t>
      </w:r>
      <w:r>
        <w:rPr>
          <w:rFonts w:ascii="Times New Roman" w:eastAsia="仿宋_GB2312" w:cs="仿宋_GB2312" w:hint="eastAsia"/>
          <w:kern w:val="0"/>
          <w:sz w:val="32"/>
        </w:rPr>
        <w:t>为各部门在预算管理一体化系统绩效自评模块上传的表格，</w:t>
      </w:r>
      <w:r>
        <w:rPr>
          <w:rFonts w:ascii="Times New Roman" w:eastAsia="仿宋_GB2312" w:cs="仿宋_GB2312" w:hint="eastAsia"/>
          <w:kern w:val="0"/>
          <w:sz w:val="32"/>
        </w:rPr>
        <w:t>该表格应作为附表予以公开）</w:t>
      </w:r>
    </w:p>
    <w:p w:rsidR="008073F4" w:rsidRDefault="008073F4">
      <w:pPr>
        <w:pStyle w:val="20"/>
        <w:spacing w:line="560" w:lineRule="exact"/>
        <w:ind w:leftChars="0" w:left="0" w:firstLineChars="0" w:firstLine="0"/>
        <w:rPr>
          <w:rFonts w:ascii="Times New Roman"/>
          <w:sz w:val="32"/>
          <w:highlight w:val="yellow"/>
          <w:lang w:val="zh-CN"/>
        </w:rPr>
      </w:pPr>
    </w:p>
    <w:p w:rsidR="008073F4" w:rsidRDefault="008073F4" w:rsidP="00690794">
      <w:pPr>
        <w:pStyle w:val="a5"/>
        <w:spacing w:before="93"/>
        <w:rPr>
          <w:rFonts w:ascii="Times New Roman" w:cs="宋体"/>
          <w:color w:val="FF0000"/>
          <w:sz w:val="32"/>
          <w:szCs w:val="32"/>
          <w:highlight w:val="yellow"/>
          <w:shd w:val="clear" w:color="auto" w:fill="FFFFFF"/>
          <w:lang w:val="zh-CN"/>
        </w:rPr>
      </w:pPr>
    </w:p>
    <w:p w:rsidR="008073F4" w:rsidRDefault="00132590">
      <w:pPr>
        <w:rPr>
          <w:rFonts w:eastAsia="黑体" w:cs="黑体"/>
          <w:kern w:val="0"/>
          <w:sz w:val="32"/>
          <w:szCs w:val="32"/>
          <w:shd w:val="clear" w:color="auto" w:fill="FFFFFF"/>
          <w:lang w:val="zh-CN"/>
        </w:rPr>
      </w:pPr>
      <w:r>
        <w:rPr>
          <w:rFonts w:eastAsia="黑体" w:cs="黑体" w:hint="eastAsia"/>
          <w:kern w:val="0"/>
          <w:sz w:val="32"/>
          <w:szCs w:val="32"/>
          <w:shd w:val="clear" w:color="auto" w:fill="FFFFFF"/>
          <w:lang w:val="zh-CN"/>
        </w:rPr>
        <w:br w:type="page"/>
      </w:r>
    </w:p>
    <w:p w:rsidR="008073F4" w:rsidRDefault="00132590" w:rsidP="00690794">
      <w:pPr>
        <w:pStyle w:val="a5"/>
        <w:spacing w:before="93"/>
        <w:rPr>
          <w:rFonts w:ascii="Times New Roman" w:eastAsia="黑体" w:cs="黑体"/>
          <w:sz w:val="32"/>
          <w:szCs w:val="32"/>
        </w:rPr>
      </w:pPr>
      <w:r>
        <w:rPr>
          <w:rFonts w:ascii="Times New Roman" w:eastAsia="黑体" w:cs="黑体" w:hint="eastAsia"/>
          <w:sz w:val="32"/>
          <w:szCs w:val="32"/>
          <w:shd w:val="clear" w:color="auto" w:fill="FFFFFF"/>
          <w:lang w:val="zh-CN"/>
        </w:rPr>
        <w:lastRenderedPageBreak/>
        <w:t>附件</w:t>
      </w:r>
      <w:r>
        <w:rPr>
          <w:rFonts w:ascii="Times New Roman" w:eastAsia="黑体" w:cs="黑体" w:hint="eastAsia"/>
          <w:sz w:val="32"/>
          <w:szCs w:val="32"/>
          <w:shd w:val="clear" w:color="auto" w:fill="FFFFFF"/>
        </w:rPr>
        <w:t>2</w:t>
      </w:r>
    </w:p>
    <w:p w:rsidR="008073F4" w:rsidRDefault="008073F4">
      <w:pPr>
        <w:pStyle w:val="ac"/>
        <w:spacing w:line="578" w:lineRule="exact"/>
        <w:jc w:val="center"/>
        <w:rPr>
          <w:rFonts w:ascii="Times New Roman" w:eastAsia="方正小标宋简体" w:hAnsi="Times New Roman" w:cs="方正小标宋简体"/>
          <w:color w:val="auto"/>
          <w:kern w:val="2"/>
          <w:sz w:val="44"/>
          <w:szCs w:val="44"/>
          <w:lang w:val="en-US"/>
        </w:rPr>
      </w:pPr>
    </w:p>
    <w:p w:rsidR="008073F4" w:rsidRDefault="00132590">
      <w:pPr>
        <w:pStyle w:val="ac"/>
        <w:spacing w:line="578" w:lineRule="exact"/>
        <w:jc w:val="center"/>
        <w:rPr>
          <w:rFonts w:ascii="Times New Roman" w:eastAsia="方正小标宋简体" w:hAnsi="Times New Roman" w:cs="方正小标宋简体"/>
          <w:color w:val="auto"/>
          <w:kern w:val="2"/>
          <w:sz w:val="44"/>
          <w:szCs w:val="44"/>
          <w:lang w:val="en-US"/>
        </w:rPr>
      </w:pPr>
      <w:r>
        <w:rPr>
          <w:rFonts w:ascii="Times New Roman" w:eastAsia="方正小标宋简体" w:hAnsi="Times New Roman" w:cs="方正小标宋简体" w:hint="eastAsia"/>
          <w:color w:val="auto"/>
          <w:kern w:val="2"/>
          <w:sz w:val="44"/>
          <w:szCs w:val="44"/>
          <w:lang w:val="en-US"/>
        </w:rPr>
        <w:t>专项预算项目绩效评价报告范本</w:t>
      </w:r>
    </w:p>
    <w:p w:rsidR="008073F4" w:rsidRDefault="008073F4">
      <w:pPr>
        <w:pStyle w:val="ac"/>
        <w:spacing w:line="578" w:lineRule="exact"/>
        <w:ind w:firstLine="640"/>
        <w:jc w:val="center"/>
        <w:rPr>
          <w:rFonts w:ascii="Times New Roman" w:hAnsi="Times New Roman"/>
          <w:color w:val="auto"/>
          <w:kern w:val="2"/>
          <w:sz w:val="32"/>
          <w:szCs w:val="32"/>
        </w:rPr>
      </w:pPr>
    </w:p>
    <w:p w:rsidR="008073F4" w:rsidRDefault="00132590">
      <w:pPr>
        <w:adjustRightInd w:val="0"/>
        <w:snapToGrid w:val="0"/>
        <w:spacing w:line="578" w:lineRule="exact"/>
        <w:ind w:firstLineChars="200" w:firstLine="640"/>
        <w:rPr>
          <w:rFonts w:eastAsia="黑体"/>
          <w:sz w:val="32"/>
          <w:szCs w:val="32"/>
          <w:lang w:val="zh-CN"/>
        </w:rPr>
      </w:pPr>
      <w:r>
        <w:rPr>
          <w:rFonts w:eastAsia="黑体" w:hint="eastAsia"/>
          <w:sz w:val="32"/>
          <w:szCs w:val="32"/>
        </w:rPr>
        <w:t>一、</w:t>
      </w:r>
      <w:r>
        <w:rPr>
          <w:rFonts w:eastAsia="黑体" w:hint="eastAsia"/>
          <w:sz w:val="32"/>
          <w:szCs w:val="32"/>
          <w:lang w:val="zh-CN"/>
        </w:rPr>
        <w:t>项目概况</w:t>
      </w:r>
    </w:p>
    <w:p w:rsidR="008073F4" w:rsidRDefault="00132590" w:rsidP="00690794">
      <w:pPr>
        <w:widowControl/>
        <w:adjustRightInd w:val="0"/>
        <w:snapToGrid w:val="0"/>
        <w:spacing w:line="578" w:lineRule="exact"/>
        <w:ind w:firstLineChars="200" w:firstLine="640"/>
        <w:contextualSpacing/>
        <w:jc w:val="left"/>
        <w:rPr>
          <w:rFonts w:eastAsia="仿宋_GB2312" w:cs="仿宋_GB2312"/>
          <w:kern w:val="0"/>
          <w:sz w:val="32"/>
          <w:szCs w:val="32"/>
          <w:shd w:val="clear" w:color="auto" w:fill="FFFFFF"/>
          <w:lang w:val="zh-CN"/>
        </w:rPr>
      </w:pPr>
      <w:r>
        <w:rPr>
          <w:rFonts w:eastAsia="楷体_GB2312" w:hint="eastAsia"/>
          <w:b/>
          <w:sz w:val="32"/>
          <w:szCs w:val="32"/>
          <w:lang w:val="zh-CN"/>
        </w:rPr>
        <w:t>（一）设立背景及基本情况。</w:t>
      </w:r>
      <w:r>
        <w:rPr>
          <w:rFonts w:eastAsia="仿宋_GB2312" w:cs="仿宋_GB2312" w:hint="eastAsia"/>
          <w:kern w:val="0"/>
          <w:sz w:val="32"/>
          <w:szCs w:val="32"/>
        </w:rPr>
        <w:t>项目设立原因及背景，</w:t>
      </w:r>
      <w:r>
        <w:rPr>
          <w:rFonts w:eastAsia="仿宋_GB2312" w:cs="仿宋_GB2312" w:hint="eastAsia"/>
          <w:kern w:val="0"/>
          <w:sz w:val="32"/>
          <w:szCs w:val="32"/>
          <w:lang w:val="zh-CN"/>
        </w:rPr>
        <w:t>项目立项、资金申报的依据，项目主要内容</w:t>
      </w:r>
      <w:r>
        <w:rPr>
          <w:rFonts w:eastAsia="仿宋_GB2312" w:cs="仿宋_GB2312" w:hint="eastAsia"/>
          <w:kern w:val="0"/>
          <w:sz w:val="32"/>
          <w:szCs w:val="32"/>
        </w:rPr>
        <w:t>。</w:t>
      </w:r>
      <w:r>
        <w:rPr>
          <w:rFonts w:eastAsia="仿宋_GB2312" w:cs="仿宋_GB2312" w:hint="eastAsia"/>
          <w:kern w:val="0"/>
          <w:sz w:val="32"/>
          <w:szCs w:val="32"/>
          <w:lang w:val="zh-CN"/>
        </w:rPr>
        <w:t>主管部门职能</w:t>
      </w:r>
      <w:r>
        <w:rPr>
          <w:rFonts w:eastAsia="仿宋_GB2312" w:cs="仿宋_GB2312" w:hint="eastAsia"/>
          <w:kern w:val="0"/>
          <w:sz w:val="32"/>
          <w:szCs w:val="32"/>
          <w:shd w:val="clear" w:color="auto" w:fill="FFFFFF"/>
          <w:lang w:val="zh-CN"/>
        </w:rPr>
        <w:t>。</w:t>
      </w:r>
    </w:p>
    <w:p w:rsidR="008073F4" w:rsidRDefault="00132590" w:rsidP="00690794">
      <w:pPr>
        <w:adjustRightInd w:val="0"/>
        <w:snapToGrid w:val="0"/>
        <w:spacing w:line="578" w:lineRule="exact"/>
        <w:ind w:firstLineChars="200" w:firstLine="640"/>
        <w:rPr>
          <w:rFonts w:eastAsia="仿宋_GB2312" w:cs="仿宋_GB2312"/>
          <w:kern w:val="0"/>
          <w:sz w:val="32"/>
          <w:szCs w:val="32"/>
          <w:lang w:val="zh-CN"/>
        </w:rPr>
      </w:pPr>
      <w:r>
        <w:rPr>
          <w:rFonts w:eastAsia="楷体_GB2312" w:hint="eastAsia"/>
          <w:b/>
          <w:sz w:val="32"/>
          <w:szCs w:val="32"/>
          <w:lang w:val="zh-CN"/>
        </w:rPr>
        <w:t>（</w:t>
      </w:r>
      <w:r>
        <w:rPr>
          <w:rFonts w:eastAsia="楷体_GB2312" w:hint="eastAsia"/>
          <w:b/>
          <w:sz w:val="32"/>
          <w:szCs w:val="32"/>
          <w:lang w:val="zh-CN"/>
        </w:rPr>
        <w:t>二）</w:t>
      </w:r>
      <w:r>
        <w:rPr>
          <w:rFonts w:eastAsia="楷体_GB2312"/>
          <w:b/>
          <w:sz w:val="32"/>
          <w:szCs w:val="32"/>
        </w:rPr>
        <w:t>实施目的及支持方向</w:t>
      </w:r>
      <w:r>
        <w:rPr>
          <w:rFonts w:eastAsia="楷体_GB2312" w:hint="eastAsia"/>
          <w:b/>
          <w:sz w:val="32"/>
          <w:szCs w:val="32"/>
        </w:rPr>
        <w:t>。</w:t>
      </w:r>
      <w:r>
        <w:rPr>
          <w:rFonts w:eastAsia="仿宋_GB2312" w:cs="仿宋_GB2312" w:hint="eastAsia"/>
          <w:kern w:val="0"/>
          <w:sz w:val="32"/>
          <w:szCs w:val="32"/>
        </w:rPr>
        <w:t>项目资金</w:t>
      </w:r>
      <w:r>
        <w:rPr>
          <w:rFonts w:eastAsia="仿宋_GB2312" w:cs="仿宋_GB2312" w:hint="eastAsia"/>
          <w:kern w:val="0"/>
          <w:sz w:val="32"/>
          <w:szCs w:val="32"/>
          <w:lang w:val="zh-CN"/>
        </w:rPr>
        <w:t>管理办法制定情况，项目实施目的和主要工作任务，项目支持方向。</w:t>
      </w:r>
    </w:p>
    <w:p w:rsidR="008073F4" w:rsidRDefault="00132590" w:rsidP="00690794">
      <w:pPr>
        <w:widowControl/>
        <w:adjustRightInd w:val="0"/>
        <w:snapToGrid w:val="0"/>
        <w:spacing w:line="578" w:lineRule="exact"/>
        <w:ind w:firstLineChars="200" w:firstLine="640"/>
        <w:contextualSpacing/>
        <w:jc w:val="left"/>
        <w:rPr>
          <w:rFonts w:eastAsia="仿宋_GB2312" w:cs="仿宋_GB2312"/>
          <w:kern w:val="0"/>
          <w:sz w:val="32"/>
          <w:szCs w:val="32"/>
          <w:lang w:val="zh-CN"/>
        </w:rPr>
      </w:pPr>
      <w:r>
        <w:rPr>
          <w:rFonts w:eastAsia="楷体_GB2312" w:hint="eastAsia"/>
          <w:b/>
          <w:sz w:val="32"/>
          <w:szCs w:val="32"/>
          <w:lang w:val="zh-CN"/>
        </w:rPr>
        <w:t>（三）</w:t>
      </w:r>
      <w:r>
        <w:rPr>
          <w:rFonts w:eastAsia="楷体_GB2312"/>
          <w:b/>
          <w:sz w:val="32"/>
          <w:szCs w:val="32"/>
        </w:rPr>
        <w:t>预算安排及分配管理</w:t>
      </w:r>
      <w:r>
        <w:rPr>
          <w:rFonts w:eastAsia="楷体_GB2312" w:hint="eastAsia"/>
          <w:b/>
          <w:sz w:val="32"/>
          <w:szCs w:val="32"/>
          <w:lang w:val="zh-CN"/>
        </w:rPr>
        <w:t>。</w:t>
      </w:r>
      <w:r>
        <w:rPr>
          <w:rFonts w:eastAsia="仿宋_GB2312" w:cs="仿宋_GB2312" w:hint="eastAsia"/>
          <w:kern w:val="0"/>
          <w:sz w:val="32"/>
          <w:szCs w:val="32"/>
          <w:lang w:val="zh-CN"/>
        </w:rPr>
        <w:t>项目预算安排情况，项目资金分配原则及考虑因素，项目资金分配情况。</w:t>
      </w:r>
    </w:p>
    <w:p w:rsidR="008073F4" w:rsidRDefault="00132590" w:rsidP="00690794">
      <w:pPr>
        <w:adjustRightInd w:val="0"/>
        <w:snapToGrid w:val="0"/>
        <w:spacing w:line="578" w:lineRule="exact"/>
        <w:ind w:firstLineChars="200" w:firstLine="640"/>
        <w:rPr>
          <w:rFonts w:eastAsia="仿宋_GB2312" w:cs="仿宋_GB2312"/>
          <w:kern w:val="0"/>
          <w:sz w:val="32"/>
          <w:szCs w:val="32"/>
          <w:lang w:val="zh-CN"/>
        </w:rPr>
      </w:pPr>
      <w:r>
        <w:rPr>
          <w:rFonts w:eastAsia="楷体_GB2312" w:hint="eastAsia"/>
          <w:b/>
          <w:sz w:val="32"/>
          <w:szCs w:val="32"/>
          <w:lang w:val="zh-CN"/>
        </w:rPr>
        <w:t>（四）项目绩效目标设置。</w:t>
      </w:r>
      <w:r>
        <w:rPr>
          <w:rFonts w:eastAsia="仿宋_GB2312" w:cs="仿宋_GB2312" w:hint="eastAsia"/>
          <w:kern w:val="0"/>
          <w:sz w:val="32"/>
          <w:szCs w:val="32"/>
          <w:lang w:val="zh-CN"/>
        </w:rPr>
        <w:t>项目整体、区域和具体绩效目标设置情况，项目自评工作开展情况。</w:t>
      </w:r>
    </w:p>
    <w:p w:rsidR="008073F4" w:rsidRDefault="00132590">
      <w:pPr>
        <w:adjustRightInd w:val="0"/>
        <w:snapToGrid w:val="0"/>
        <w:spacing w:line="578" w:lineRule="exact"/>
        <w:ind w:firstLineChars="200" w:firstLine="640"/>
        <w:rPr>
          <w:rFonts w:eastAsia="黑体"/>
          <w:sz w:val="32"/>
          <w:szCs w:val="32"/>
        </w:rPr>
      </w:pPr>
      <w:r>
        <w:rPr>
          <w:rFonts w:eastAsia="黑体" w:hint="eastAsia"/>
          <w:sz w:val="32"/>
          <w:szCs w:val="32"/>
        </w:rPr>
        <w:t>二、</w:t>
      </w:r>
      <w:r>
        <w:rPr>
          <w:rFonts w:eastAsia="黑体" w:hint="eastAsia"/>
          <w:sz w:val="32"/>
          <w:szCs w:val="32"/>
        </w:rPr>
        <w:t>评价实施</w:t>
      </w:r>
    </w:p>
    <w:p w:rsidR="008073F4" w:rsidRDefault="00132590">
      <w:pPr>
        <w:spacing w:line="578" w:lineRule="exact"/>
        <w:ind w:firstLine="640"/>
        <w:rPr>
          <w:rFonts w:eastAsia="仿宋_GB2312" w:cs="仿宋_GB2312"/>
          <w:kern w:val="0"/>
          <w:sz w:val="32"/>
          <w:szCs w:val="32"/>
          <w:lang w:val="zh-CN"/>
        </w:rPr>
      </w:pPr>
      <w:r>
        <w:rPr>
          <w:rFonts w:eastAsia="楷体_GB2312" w:hint="eastAsia"/>
          <w:b/>
          <w:sz w:val="32"/>
          <w:szCs w:val="32"/>
          <w:lang w:val="zh-CN"/>
        </w:rPr>
        <w:t>（一）评价目的。</w:t>
      </w:r>
      <w:r>
        <w:rPr>
          <w:rFonts w:eastAsia="仿宋_GB2312" w:cs="仿宋_GB2312" w:hint="eastAsia"/>
          <w:kern w:val="0"/>
          <w:sz w:val="32"/>
          <w:szCs w:val="32"/>
          <w:lang w:val="zh-CN"/>
        </w:rPr>
        <w:t>通过项目绩效自评要实现的目的。</w:t>
      </w:r>
    </w:p>
    <w:p w:rsidR="008073F4" w:rsidRDefault="00132590" w:rsidP="00690794">
      <w:pPr>
        <w:adjustRightInd w:val="0"/>
        <w:snapToGrid w:val="0"/>
        <w:spacing w:line="578" w:lineRule="exact"/>
        <w:ind w:firstLineChars="200" w:firstLine="640"/>
        <w:rPr>
          <w:rFonts w:eastAsia="仿宋_GB2312" w:cs="仿宋_GB2312"/>
          <w:kern w:val="0"/>
          <w:sz w:val="32"/>
          <w:szCs w:val="32"/>
          <w:lang w:val="zh-CN"/>
        </w:rPr>
      </w:pPr>
      <w:r>
        <w:rPr>
          <w:rFonts w:eastAsia="楷体_GB2312" w:hint="eastAsia"/>
          <w:b/>
          <w:sz w:val="32"/>
          <w:szCs w:val="32"/>
          <w:lang w:val="zh-CN"/>
        </w:rPr>
        <w:t>（二）预设问题及评价重点。</w:t>
      </w:r>
      <w:r>
        <w:rPr>
          <w:rFonts w:eastAsia="仿宋_GB2312" w:cs="仿宋_GB2312" w:hint="eastAsia"/>
          <w:kern w:val="0"/>
          <w:sz w:val="32"/>
          <w:szCs w:val="32"/>
          <w:lang w:val="zh-CN"/>
        </w:rPr>
        <w:t>按照绩效评价指标体系，对资金支出使用全过程及其实施效果进行综合评价和判断。</w:t>
      </w:r>
    </w:p>
    <w:p w:rsidR="008073F4" w:rsidRDefault="00132590" w:rsidP="00690794">
      <w:pPr>
        <w:adjustRightInd w:val="0"/>
        <w:snapToGrid w:val="0"/>
        <w:spacing w:line="578" w:lineRule="exact"/>
        <w:ind w:firstLineChars="200" w:firstLine="640"/>
        <w:rPr>
          <w:rFonts w:eastAsia="仿宋_GB2312" w:cs="仿宋_GB2312"/>
          <w:kern w:val="0"/>
          <w:sz w:val="32"/>
          <w:szCs w:val="32"/>
          <w:lang w:val="zh-CN"/>
        </w:rPr>
      </w:pPr>
      <w:r>
        <w:rPr>
          <w:rFonts w:eastAsia="楷体_GB2312" w:hint="eastAsia"/>
          <w:b/>
          <w:sz w:val="32"/>
          <w:szCs w:val="32"/>
          <w:lang w:val="zh-CN"/>
        </w:rPr>
        <w:t>（三）评价选点。</w:t>
      </w:r>
      <w:r>
        <w:rPr>
          <w:rFonts w:eastAsia="仿宋_GB2312" w:cs="仿宋_GB2312" w:hint="eastAsia"/>
          <w:kern w:val="0"/>
          <w:sz w:val="32"/>
          <w:szCs w:val="32"/>
          <w:lang w:val="zh-CN"/>
        </w:rPr>
        <w:t>项目绩效自评所抽样点位情况。每个专项预算项目应选取专项资金分配涉及市县总数的</w:t>
      </w:r>
      <w:r>
        <w:rPr>
          <w:rFonts w:eastAsia="仿宋_GB2312" w:cs="仿宋_GB2312" w:hint="eastAsia"/>
          <w:kern w:val="0"/>
          <w:sz w:val="32"/>
          <w:szCs w:val="32"/>
          <w:lang w:val="zh-CN"/>
        </w:rPr>
        <w:t>20%</w:t>
      </w:r>
      <w:r>
        <w:rPr>
          <w:rFonts w:eastAsia="仿宋_GB2312" w:cs="仿宋_GB2312" w:hint="eastAsia"/>
          <w:kern w:val="0"/>
          <w:sz w:val="32"/>
          <w:szCs w:val="32"/>
          <w:lang w:val="zh-CN"/>
        </w:rPr>
        <w:t>、总计不超过</w:t>
      </w:r>
      <w:r>
        <w:rPr>
          <w:rFonts w:eastAsia="仿宋_GB2312" w:cs="仿宋_GB2312" w:hint="eastAsia"/>
          <w:kern w:val="0"/>
          <w:sz w:val="32"/>
          <w:szCs w:val="32"/>
          <w:lang w:val="zh-CN"/>
        </w:rPr>
        <w:t>20</w:t>
      </w:r>
      <w:r>
        <w:rPr>
          <w:rFonts w:eastAsia="仿宋_GB2312" w:cs="仿宋_GB2312" w:hint="eastAsia"/>
          <w:kern w:val="0"/>
          <w:sz w:val="32"/>
          <w:szCs w:val="32"/>
          <w:lang w:val="zh-CN"/>
        </w:rPr>
        <w:t>个的市县点位进行实地踏勘，且点位清单应作为自评附表。</w:t>
      </w:r>
    </w:p>
    <w:p w:rsidR="008073F4" w:rsidRDefault="00132590">
      <w:pPr>
        <w:spacing w:line="578" w:lineRule="exact"/>
        <w:ind w:firstLine="640"/>
        <w:rPr>
          <w:rFonts w:eastAsia="仿宋_GB2312" w:cs="仿宋_GB2312"/>
          <w:kern w:val="0"/>
          <w:sz w:val="32"/>
          <w:szCs w:val="32"/>
          <w:lang w:val="zh-CN"/>
        </w:rPr>
      </w:pPr>
      <w:r>
        <w:rPr>
          <w:rFonts w:eastAsia="楷体_GB2312" w:hint="eastAsia"/>
          <w:b/>
          <w:sz w:val="32"/>
          <w:szCs w:val="32"/>
          <w:lang w:val="zh-CN"/>
        </w:rPr>
        <w:t>（四）评价方法。</w:t>
      </w:r>
      <w:r>
        <w:rPr>
          <w:rFonts w:eastAsia="仿宋_GB2312" w:cs="仿宋_GB2312" w:hint="eastAsia"/>
          <w:kern w:val="0"/>
          <w:sz w:val="32"/>
          <w:szCs w:val="32"/>
          <w:lang w:val="zh-CN"/>
        </w:rPr>
        <w:t>根据项目情况和评价重点，用来收集相关材料和开展具体评价的方法。包括：采用成本效益分析法、标杆管理法、案</w:t>
      </w:r>
      <w:r>
        <w:rPr>
          <w:rFonts w:eastAsia="仿宋_GB2312" w:cs="仿宋_GB2312" w:hint="eastAsia"/>
          <w:kern w:val="0"/>
          <w:sz w:val="32"/>
          <w:szCs w:val="32"/>
          <w:lang w:val="zh-CN"/>
        </w:rPr>
        <w:t>卷研究法、单位自评法、实地勘察法、</w:t>
      </w:r>
      <w:r>
        <w:rPr>
          <w:rFonts w:eastAsia="仿宋_GB2312" w:cs="仿宋_GB2312" w:hint="eastAsia"/>
          <w:kern w:val="0"/>
          <w:sz w:val="32"/>
          <w:szCs w:val="32"/>
          <w:lang w:val="zh-CN"/>
        </w:rPr>
        <w:lastRenderedPageBreak/>
        <w:t>问卷调查法、座谈调研法等多种方法。</w:t>
      </w:r>
    </w:p>
    <w:p w:rsidR="008073F4" w:rsidRDefault="00132590">
      <w:pPr>
        <w:spacing w:line="578" w:lineRule="exact"/>
        <w:ind w:firstLine="640"/>
        <w:rPr>
          <w:rFonts w:eastAsia="仿宋_GB2312"/>
          <w:bCs/>
        </w:rPr>
      </w:pPr>
      <w:r>
        <w:rPr>
          <w:rFonts w:eastAsia="楷体_GB2312" w:hint="eastAsia"/>
          <w:b/>
          <w:sz w:val="32"/>
          <w:szCs w:val="32"/>
          <w:lang w:val="zh-CN"/>
        </w:rPr>
        <w:t>（五）评价组织。</w:t>
      </w:r>
      <w:r>
        <w:rPr>
          <w:rFonts w:eastAsia="仿宋_GB2312" w:cs="仿宋_GB2312" w:hint="eastAsia"/>
          <w:kern w:val="0"/>
          <w:sz w:val="32"/>
          <w:szCs w:val="32"/>
          <w:lang w:val="zh-CN"/>
        </w:rPr>
        <w:t>评价组人员构成和职责分工。</w:t>
      </w:r>
    </w:p>
    <w:p w:rsidR="008073F4" w:rsidRDefault="00132590">
      <w:pPr>
        <w:adjustRightInd w:val="0"/>
        <w:snapToGrid w:val="0"/>
        <w:spacing w:line="578" w:lineRule="exact"/>
        <w:ind w:firstLineChars="200" w:firstLine="640"/>
        <w:rPr>
          <w:sz w:val="32"/>
          <w:szCs w:val="32"/>
          <w:lang w:val="zh-CN"/>
        </w:rPr>
      </w:pPr>
      <w:r>
        <w:rPr>
          <w:rFonts w:eastAsia="黑体" w:hint="eastAsia"/>
          <w:sz w:val="32"/>
          <w:szCs w:val="32"/>
        </w:rPr>
        <w:t>三、</w:t>
      </w:r>
      <w:r>
        <w:rPr>
          <w:rFonts w:eastAsia="黑体" w:hint="eastAsia"/>
          <w:sz w:val="32"/>
          <w:szCs w:val="32"/>
        </w:rPr>
        <w:t>绩效分析</w:t>
      </w:r>
      <w:r>
        <w:rPr>
          <w:rFonts w:hint="eastAsia"/>
          <w:sz w:val="32"/>
          <w:szCs w:val="32"/>
          <w:lang w:val="zh-CN"/>
        </w:rPr>
        <w:tab/>
      </w:r>
    </w:p>
    <w:p w:rsidR="008073F4" w:rsidRDefault="00132590">
      <w:pPr>
        <w:spacing w:line="578" w:lineRule="exact"/>
        <w:ind w:firstLine="640"/>
        <w:rPr>
          <w:rFonts w:eastAsia="仿宋_GB2312" w:cs="仿宋_GB2312"/>
          <w:kern w:val="0"/>
          <w:sz w:val="32"/>
          <w:szCs w:val="32"/>
        </w:rPr>
      </w:pPr>
      <w:r>
        <w:rPr>
          <w:rFonts w:eastAsia="仿宋_GB2312" w:cs="仿宋_GB2312"/>
          <w:kern w:val="0"/>
          <w:sz w:val="32"/>
          <w:szCs w:val="32"/>
          <w:lang w:val="zh-CN"/>
        </w:rPr>
        <w:t>根据</w:t>
      </w:r>
      <w:r>
        <w:rPr>
          <w:rFonts w:eastAsia="仿宋_GB2312" w:cs="仿宋_GB2312" w:hint="eastAsia"/>
          <w:kern w:val="0"/>
          <w:sz w:val="32"/>
          <w:szCs w:val="32"/>
          <w:lang w:val="zh-CN"/>
        </w:rPr>
        <w:t>项目</w:t>
      </w:r>
      <w:r>
        <w:rPr>
          <w:rFonts w:eastAsia="仿宋_GB2312" w:cs="仿宋_GB2312"/>
          <w:kern w:val="0"/>
          <w:sz w:val="32"/>
          <w:szCs w:val="32"/>
          <w:lang w:val="zh-CN"/>
        </w:rPr>
        <w:t>预算绩效评价指标体系</w:t>
      </w:r>
      <w:r>
        <w:rPr>
          <w:rFonts w:eastAsia="仿宋_GB2312" w:cs="仿宋_GB2312" w:hint="eastAsia"/>
          <w:kern w:val="0"/>
          <w:sz w:val="32"/>
          <w:szCs w:val="32"/>
          <w:lang w:val="zh-CN"/>
        </w:rPr>
        <w:t>通用指标、专用指标、个性指标</w:t>
      </w:r>
      <w:r>
        <w:rPr>
          <w:rFonts w:eastAsia="仿宋_GB2312" w:cs="仿宋_GB2312"/>
          <w:kern w:val="0"/>
          <w:sz w:val="32"/>
          <w:szCs w:val="32"/>
          <w:lang w:val="zh-CN"/>
        </w:rPr>
        <w:t>涉及</w:t>
      </w:r>
      <w:r>
        <w:rPr>
          <w:rFonts w:eastAsia="仿宋_GB2312" w:cs="仿宋_GB2312" w:hint="eastAsia"/>
          <w:kern w:val="0"/>
          <w:sz w:val="32"/>
          <w:szCs w:val="32"/>
          <w:lang w:val="zh-CN"/>
        </w:rPr>
        <w:t>二、三级</w:t>
      </w:r>
      <w:r>
        <w:rPr>
          <w:rFonts w:eastAsia="仿宋_GB2312" w:cs="仿宋_GB2312"/>
          <w:kern w:val="0"/>
          <w:sz w:val="32"/>
          <w:szCs w:val="32"/>
          <w:lang w:val="zh-CN"/>
        </w:rPr>
        <w:t>指标进行</w:t>
      </w:r>
      <w:r>
        <w:rPr>
          <w:rFonts w:eastAsia="仿宋_GB2312" w:cs="仿宋_GB2312" w:hint="eastAsia"/>
          <w:kern w:val="0"/>
          <w:sz w:val="32"/>
          <w:szCs w:val="32"/>
          <w:lang w:val="zh-CN"/>
        </w:rPr>
        <w:t>逐项</w:t>
      </w:r>
      <w:r>
        <w:rPr>
          <w:rFonts w:eastAsia="仿宋_GB2312" w:cs="仿宋_GB2312"/>
          <w:kern w:val="0"/>
          <w:sz w:val="32"/>
          <w:szCs w:val="32"/>
          <w:lang w:val="zh-CN"/>
        </w:rPr>
        <w:t>绩效分析</w:t>
      </w:r>
      <w:r>
        <w:rPr>
          <w:rFonts w:eastAsia="仿宋_GB2312" w:cs="仿宋_GB2312" w:hint="eastAsia"/>
          <w:kern w:val="0"/>
          <w:sz w:val="32"/>
          <w:szCs w:val="32"/>
          <w:lang w:val="zh-CN"/>
        </w:rPr>
        <w:t>并评分</w:t>
      </w:r>
      <w:r>
        <w:rPr>
          <w:rFonts w:eastAsia="仿宋_GB2312" w:cs="仿宋_GB2312" w:hint="eastAsia"/>
          <w:kern w:val="0"/>
          <w:sz w:val="32"/>
          <w:szCs w:val="32"/>
        </w:rPr>
        <w:t>。</w:t>
      </w:r>
    </w:p>
    <w:p w:rsidR="008073F4" w:rsidRDefault="00132590">
      <w:pPr>
        <w:spacing w:line="578" w:lineRule="exact"/>
        <w:ind w:firstLine="640"/>
        <w:rPr>
          <w:rFonts w:eastAsia="楷体_GB2312"/>
          <w:b/>
          <w:sz w:val="32"/>
          <w:szCs w:val="32"/>
        </w:rPr>
      </w:pPr>
      <w:r>
        <w:rPr>
          <w:rFonts w:eastAsia="楷体_GB2312" w:hint="eastAsia"/>
          <w:b/>
          <w:sz w:val="32"/>
          <w:szCs w:val="32"/>
          <w:lang w:val="zh-CN"/>
        </w:rPr>
        <w:t>（一）</w:t>
      </w:r>
      <w:r>
        <w:rPr>
          <w:rFonts w:eastAsia="楷体_GB2312" w:hint="eastAsia"/>
          <w:b/>
          <w:sz w:val="32"/>
          <w:szCs w:val="32"/>
        </w:rPr>
        <w:t>通用指标</w:t>
      </w:r>
      <w:r>
        <w:rPr>
          <w:rFonts w:eastAsia="楷体_GB2312"/>
          <w:b/>
          <w:bCs/>
          <w:color w:val="000000"/>
          <w:kern w:val="0"/>
          <w:sz w:val="32"/>
          <w:szCs w:val="32"/>
          <w:shd w:val="clear" w:color="auto" w:fill="FFFFFF"/>
          <w:lang w:val="zh-CN"/>
        </w:rPr>
        <w:t>绩效分析。</w:t>
      </w:r>
    </w:p>
    <w:p w:rsidR="008073F4" w:rsidRDefault="00132590">
      <w:pPr>
        <w:spacing w:line="578" w:lineRule="exact"/>
        <w:ind w:firstLine="640"/>
        <w:rPr>
          <w:rFonts w:eastAsia="仿宋_GB2312" w:cs="仿宋_GB2312"/>
          <w:kern w:val="0"/>
          <w:sz w:val="32"/>
          <w:szCs w:val="32"/>
          <w:lang w:val="zh-CN"/>
        </w:rPr>
      </w:pPr>
      <w:r>
        <w:rPr>
          <w:rFonts w:eastAsia="仿宋_GB2312" w:cs="仿宋_GB2312" w:hint="eastAsia"/>
          <w:kern w:val="0"/>
          <w:sz w:val="32"/>
          <w:szCs w:val="32"/>
        </w:rPr>
        <w:t>1.</w:t>
      </w:r>
      <w:r>
        <w:rPr>
          <w:rFonts w:eastAsia="仿宋_GB2312" w:cs="仿宋_GB2312" w:hint="eastAsia"/>
          <w:kern w:val="0"/>
          <w:sz w:val="32"/>
          <w:szCs w:val="32"/>
          <w:lang w:val="zh-CN"/>
        </w:rPr>
        <w:t>项目决策。围绕决策程序、规划论证、资金投向进行绩效分析。</w:t>
      </w:r>
    </w:p>
    <w:p w:rsidR="008073F4" w:rsidRDefault="00132590">
      <w:pPr>
        <w:spacing w:line="578" w:lineRule="exact"/>
        <w:ind w:firstLine="640"/>
        <w:rPr>
          <w:rFonts w:eastAsia="仿宋_GB2312" w:cs="仿宋_GB2312"/>
          <w:kern w:val="0"/>
          <w:sz w:val="32"/>
          <w:szCs w:val="32"/>
          <w:lang w:val="zh-CN"/>
        </w:rPr>
      </w:pPr>
      <w:r>
        <w:rPr>
          <w:rFonts w:eastAsia="仿宋_GB2312" w:cs="仿宋_GB2312" w:hint="eastAsia"/>
          <w:kern w:val="0"/>
          <w:sz w:val="32"/>
          <w:szCs w:val="32"/>
        </w:rPr>
        <w:t>2.</w:t>
      </w:r>
      <w:r>
        <w:rPr>
          <w:rFonts w:eastAsia="仿宋_GB2312" w:cs="仿宋_GB2312" w:hint="eastAsia"/>
          <w:kern w:val="0"/>
          <w:sz w:val="32"/>
          <w:szCs w:val="32"/>
          <w:lang w:val="zh-CN"/>
        </w:rPr>
        <w:t>项目管理。围绕制度办法、分配管理、绩效监管进行绩效分析。</w:t>
      </w:r>
    </w:p>
    <w:p w:rsidR="008073F4" w:rsidRDefault="00132590">
      <w:pPr>
        <w:spacing w:line="578" w:lineRule="exact"/>
        <w:ind w:firstLine="640"/>
        <w:rPr>
          <w:rFonts w:eastAsia="仿宋_GB2312" w:cs="仿宋_GB2312"/>
          <w:kern w:val="0"/>
          <w:sz w:val="32"/>
          <w:szCs w:val="32"/>
          <w:lang w:val="zh-CN"/>
        </w:rPr>
      </w:pPr>
      <w:r>
        <w:rPr>
          <w:rFonts w:eastAsia="仿宋_GB2312" w:cs="仿宋_GB2312" w:hint="eastAsia"/>
          <w:kern w:val="0"/>
          <w:sz w:val="32"/>
          <w:szCs w:val="32"/>
        </w:rPr>
        <w:t>3.</w:t>
      </w:r>
      <w:r>
        <w:rPr>
          <w:rFonts w:eastAsia="仿宋_GB2312" w:cs="仿宋_GB2312" w:hint="eastAsia"/>
          <w:kern w:val="0"/>
          <w:sz w:val="32"/>
          <w:szCs w:val="32"/>
        </w:rPr>
        <w:t>项目实施。</w:t>
      </w:r>
      <w:r>
        <w:rPr>
          <w:rFonts w:eastAsia="仿宋_GB2312" w:cs="仿宋_GB2312" w:hint="eastAsia"/>
          <w:kern w:val="0"/>
          <w:sz w:val="32"/>
          <w:szCs w:val="32"/>
          <w:lang w:val="zh-CN"/>
        </w:rPr>
        <w:t>围绕预算执行、资金使用进行绩效分析。</w:t>
      </w:r>
    </w:p>
    <w:p w:rsidR="008073F4" w:rsidRDefault="00132590">
      <w:pPr>
        <w:spacing w:line="578" w:lineRule="exact"/>
        <w:ind w:firstLine="640"/>
        <w:rPr>
          <w:rFonts w:eastAsia="仿宋_GB2312" w:cs="仿宋_GB2312"/>
          <w:kern w:val="0"/>
          <w:sz w:val="32"/>
          <w:szCs w:val="32"/>
          <w:lang w:val="zh-CN"/>
        </w:rPr>
      </w:pPr>
      <w:r>
        <w:rPr>
          <w:rFonts w:eastAsia="仿宋_GB2312" w:cs="仿宋_GB2312" w:hint="eastAsia"/>
          <w:kern w:val="0"/>
          <w:sz w:val="32"/>
          <w:szCs w:val="32"/>
        </w:rPr>
        <w:t>4.</w:t>
      </w:r>
      <w:r>
        <w:rPr>
          <w:rFonts w:eastAsia="仿宋_GB2312" w:cs="仿宋_GB2312" w:hint="eastAsia"/>
          <w:kern w:val="0"/>
          <w:sz w:val="32"/>
          <w:szCs w:val="32"/>
        </w:rPr>
        <w:t>项目结果。围绕</w:t>
      </w:r>
      <w:r>
        <w:rPr>
          <w:rFonts w:eastAsia="仿宋_GB2312" w:cs="仿宋_GB2312" w:hint="eastAsia"/>
          <w:kern w:val="0"/>
          <w:sz w:val="32"/>
          <w:szCs w:val="32"/>
          <w:lang w:val="zh-CN"/>
        </w:rPr>
        <w:t>目标完成、完成时效进行绩效分析。</w:t>
      </w:r>
    </w:p>
    <w:p w:rsidR="008073F4" w:rsidRDefault="00132590">
      <w:pPr>
        <w:spacing w:line="578" w:lineRule="exact"/>
        <w:ind w:firstLine="640"/>
        <w:rPr>
          <w:rFonts w:eastAsia="仿宋_GB2312" w:cs="仿宋_GB2312"/>
          <w:kern w:val="0"/>
          <w:sz w:val="32"/>
          <w:szCs w:val="32"/>
          <w:lang w:val="zh-CN"/>
        </w:rPr>
      </w:pPr>
      <w:r>
        <w:rPr>
          <w:rFonts w:eastAsia="楷体_GB2312" w:hint="eastAsia"/>
          <w:b/>
          <w:sz w:val="32"/>
          <w:szCs w:val="32"/>
          <w:lang w:val="zh-CN"/>
        </w:rPr>
        <w:t>（二）</w:t>
      </w:r>
      <w:r>
        <w:rPr>
          <w:rFonts w:eastAsia="楷体_GB2312" w:hint="eastAsia"/>
          <w:b/>
          <w:sz w:val="32"/>
          <w:szCs w:val="32"/>
        </w:rPr>
        <w:t>专用指标</w:t>
      </w:r>
      <w:r>
        <w:rPr>
          <w:rFonts w:eastAsia="楷体_GB2312"/>
          <w:b/>
          <w:bCs/>
          <w:color w:val="000000"/>
          <w:kern w:val="0"/>
          <w:sz w:val="32"/>
          <w:szCs w:val="32"/>
          <w:shd w:val="clear" w:color="auto" w:fill="FFFFFF"/>
          <w:lang w:val="zh-CN"/>
        </w:rPr>
        <w:t>绩效分析。</w:t>
      </w:r>
      <w:r>
        <w:rPr>
          <w:rFonts w:eastAsia="仿宋_GB2312" w:cs="仿宋_GB2312" w:hint="eastAsia"/>
          <w:kern w:val="0"/>
          <w:sz w:val="32"/>
          <w:szCs w:val="32"/>
          <w:lang w:val="zh-CN"/>
        </w:rPr>
        <w:t>根据</w:t>
      </w:r>
      <w:r>
        <w:rPr>
          <w:rFonts w:eastAsia="仿宋_GB2312" w:cs="仿宋_GB2312" w:hint="eastAsia"/>
          <w:kern w:val="0"/>
          <w:sz w:val="32"/>
          <w:szCs w:val="32"/>
        </w:rPr>
        <w:t>专项预算项目资金支持对象选择所属指标进行绩效分析。支持对象</w:t>
      </w:r>
      <w:r>
        <w:rPr>
          <w:rFonts w:eastAsia="仿宋_GB2312" w:cs="仿宋_GB2312" w:hint="eastAsia"/>
          <w:kern w:val="0"/>
          <w:sz w:val="32"/>
          <w:szCs w:val="32"/>
          <w:lang w:val="zh-CN"/>
        </w:rPr>
        <w:t>包括产业发展、民生保障、基础设施、行政运转等方面。</w:t>
      </w:r>
    </w:p>
    <w:p w:rsidR="008073F4" w:rsidRDefault="00132590">
      <w:pPr>
        <w:spacing w:line="578" w:lineRule="exact"/>
        <w:ind w:firstLine="640"/>
        <w:rPr>
          <w:rFonts w:eastAsia="仿宋_GB2312" w:cs="仿宋_GB2312"/>
          <w:kern w:val="0"/>
          <w:sz w:val="32"/>
          <w:szCs w:val="32"/>
        </w:rPr>
      </w:pPr>
      <w:r>
        <w:rPr>
          <w:rFonts w:eastAsia="仿宋_GB2312" w:cs="仿宋_GB2312" w:hint="eastAsia"/>
          <w:kern w:val="0"/>
          <w:sz w:val="32"/>
          <w:szCs w:val="32"/>
        </w:rPr>
        <w:t>1.</w:t>
      </w:r>
      <w:r>
        <w:rPr>
          <w:rFonts w:eastAsia="仿宋_GB2312" w:cs="仿宋_GB2312" w:hint="eastAsia"/>
          <w:kern w:val="0"/>
          <w:sz w:val="32"/>
          <w:szCs w:val="32"/>
        </w:rPr>
        <w:t>产业发展。围绕符合性、成长性、经济性进行绩效分析。</w:t>
      </w:r>
    </w:p>
    <w:p w:rsidR="008073F4" w:rsidRDefault="00132590">
      <w:pPr>
        <w:spacing w:line="578" w:lineRule="exact"/>
        <w:ind w:firstLine="640"/>
        <w:rPr>
          <w:rFonts w:eastAsia="仿宋_GB2312" w:cs="仿宋_GB2312"/>
          <w:kern w:val="0"/>
          <w:sz w:val="32"/>
          <w:szCs w:val="32"/>
        </w:rPr>
      </w:pPr>
      <w:r>
        <w:rPr>
          <w:rFonts w:eastAsia="仿宋_GB2312" w:cs="仿宋_GB2312" w:hint="eastAsia"/>
          <w:kern w:val="0"/>
          <w:sz w:val="32"/>
          <w:szCs w:val="32"/>
        </w:rPr>
        <w:t>2.</w:t>
      </w:r>
      <w:r>
        <w:rPr>
          <w:rFonts w:eastAsia="仿宋_GB2312" w:cs="仿宋_GB2312" w:hint="eastAsia"/>
          <w:kern w:val="0"/>
          <w:sz w:val="32"/>
          <w:szCs w:val="32"/>
          <w:lang w:val="zh-CN"/>
        </w:rPr>
        <w:t>民生保障。</w:t>
      </w:r>
      <w:r>
        <w:rPr>
          <w:rFonts w:eastAsia="仿宋_GB2312" w:cs="仿宋_GB2312" w:hint="eastAsia"/>
          <w:kern w:val="0"/>
          <w:sz w:val="32"/>
          <w:szCs w:val="32"/>
        </w:rPr>
        <w:t>围绕区域均衡性、对象精准性、标准合理性、群众满意度进行绩效分析。</w:t>
      </w:r>
    </w:p>
    <w:p w:rsidR="008073F4" w:rsidRDefault="00132590">
      <w:pPr>
        <w:spacing w:line="578" w:lineRule="exact"/>
        <w:ind w:firstLine="640"/>
        <w:rPr>
          <w:rFonts w:eastAsia="仿宋_GB2312" w:cs="仿宋_GB2312"/>
          <w:kern w:val="0"/>
          <w:sz w:val="32"/>
          <w:szCs w:val="32"/>
        </w:rPr>
      </w:pPr>
      <w:r>
        <w:rPr>
          <w:rFonts w:eastAsia="仿宋_GB2312" w:cs="仿宋_GB2312" w:hint="eastAsia"/>
          <w:kern w:val="0"/>
          <w:sz w:val="32"/>
          <w:szCs w:val="32"/>
        </w:rPr>
        <w:t>3.</w:t>
      </w:r>
      <w:r>
        <w:rPr>
          <w:rFonts w:eastAsia="仿宋_GB2312" w:cs="仿宋_GB2312" w:hint="eastAsia"/>
          <w:kern w:val="0"/>
          <w:sz w:val="32"/>
          <w:szCs w:val="32"/>
        </w:rPr>
        <w:t>基础设施。在建项目围绕工程进度和资金拨付进行绩效分析；建成项目围绕项目验收、功能实现、后续管护进行</w:t>
      </w:r>
      <w:r>
        <w:rPr>
          <w:rFonts w:eastAsia="仿宋_GB2312" w:cs="仿宋_GB2312" w:hint="eastAsia"/>
          <w:kern w:val="0"/>
          <w:sz w:val="32"/>
          <w:szCs w:val="32"/>
          <w:lang w:val="zh-CN"/>
        </w:rPr>
        <w:t>绩效分析。</w:t>
      </w:r>
    </w:p>
    <w:p w:rsidR="008073F4" w:rsidRDefault="00132590">
      <w:pPr>
        <w:spacing w:line="578" w:lineRule="exact"/>
        <w:ind w:firstLine="640"/>
        <w:rPr>
          <w:rFonts w:eastAsia="仿宋_GB2312" w:cs="仿宋_GB2312"/>
          <w:kern w:val="0"/>
          <w:sz w:val="32"/>
          <w:szCs w:val="32"/>
        </w:rPr>
      </w:pPr>
      <w:r>
        <w:rPr>
          <w:rFonts w:eastAsia="仿宋_GB2312" w:cs="仿宋_GB2312" w:hint="eastAsia"/>
          <w:kern w:val="0"/>
          <w:sz w:val="32"/>
          <w:szCs w:val="32"/>
        </w:rPr>
        <w:t>4.</w:t>
      </w:r>
      <w:r>
        <w:rPr>
          <w:rFonts w:eastAsia="仿宋_GB2312" w:cs="仿宋_GB2312" w:hint="eastAsia"/>
          <w:kern w:val="0"/>
          <w:sz w:val="32"/>
          <w:szCs w:val="32"/>
          <w:lang w:val="zh-CN"/>
        </w:rPr>
        <w:t>行政运转。围绕用途合规性、程序合规性、标准合规性进行绩效分析。</w:t>
      </w:r>
    </w:p>
    <w:p w:rsidR="008073F4" w:rsidRDefault="00132590">
      <w:pPr>
        <w:spacing w:line="578" w:lineRule="exact"/>
        <w:ind w:firstLine="640"/>
        <w:rPr>
          <w:rFonts w:eastAsia="仿宋_GB2312" w:cs="仿宋_GB2312"/>
          <w:kern w:val="0"/>
          <w:sz w:val="32"/>
          <w:szCs w:val="32"/>
        </w:rPr>
      </w:pPr>
      <w:r>
        <w:rPr>
          <w:rFonts w:eastAsia="楷体_GB2312" w:hint="eastAsia"/>
          <w:b/>
          <w:sz w:val="32"/>
          <w:szCs w:val="32"/>
          <w:lang w:val="zh-CN"/>
        </w:rPr>
        <w:lastRenderedPageBreak/>
        <w:t>（三）</w:t>
      </w:r>
      <w:r>
        <w:rPr>
          <w:rFonts w:eastAsia="楷体_GB2312" w:hint="eastAsia"/>
          <w:b/>
          <w:sz w:val="32"/>
          <w:szCs w:val="32"/>
        </w:rPr>
        <w:t>个性指标</w:t>
      </w:r>
      <w:r>
        <w:rPr>
          <w:rFonts w:eastAsia="楷体_GB2312"/>
          <w:b/>
          <w:bCs/>
          <w:color w:val="000000"/>
          <w:kern w:val="0"/>
          <w:sz w:val="32"/>
          <w:szCs w:val="32"/>
          <w:shd w:val="clear" w:color="auto" w:fill="FFFFFF"/>
          <w:lang w:val="zh-CN"/>
        </w:rPr>
        <w:t>绩效分析。</w:t>
      </w:r>
      <w:r>
        <w:rPr>
          <w:rFonts w:eastAsia="仿宋_GB2312" w:cs="仿宋_GB2312" w:hint="eastAsia"/>
          <w:kern w:val="0"/>
          <w:sz w:val="32"/>
          <w:szCs w:val="32"/>
          <w:lang w:val="zh-CN"/>
        </w:rPr>
        <w:t>根据项目个性自行设定部分指标，反映该项指标执行完成情况。</w:t>
      </w:r>
    </w:p>
    <w:p w:rsidR="008073F4" w:rsidRDefault="00132590">
      <w:pPr>
        <w:spacing w:line="578" w:lineRule="exact"/>
        <w:ind w:firstLine="640"/>
        <w:rPr>
          <w:rFonts w:ascii="黑体" w:eastAsia="黑体" w:hAnsi="黑体" w:cs="黑体"/>
          <w:kern w:val="0"/>
          <w:sz w:val="32"/>
          <w:szCs w:val="32"/>
        </w:rPr>
      </w:pPr>
      <w:r>
        <w:rPr>
          <w:rFonts w:ascii="黑体" w:eastAsia="黑体" w:hAnsi="黑体" w:cs="黑体" w:hint="eastAsia"/>
          <w:kern w:val="0"/>
          <w:sz w:val="32"/>
          <w:szCs w:val="32"/>
        </w:rPr>
        <w:t>四、评价结论</w:t>
      </w:r>
    </w:p>
    <w:p w:rsidR="008073F4" w:rsidRDefault="00132590">
      <w:pPr>
        <w:spacing w:line="578" w:lineRule="exact"/>
        <w:ind w:firstLine="640"/>
        <w:rPr>
          <w:rFonts w:eastAsia="仿宋_GB2312" w:cs="仿宋_GB2312"/>
          <w:kern w:val="0"/>
          <w:sz w:val="32"/>
          <w:szCs w:val="32"/>
        </w:rPr>
      </w:pPr>
      <w:r>
        <w:rPr>
          <w:rFonts w:eastAsia="仿宋_GB2312" w:cs="仿宋_GB2312" w:hint="eastAsia"/>
          <w:kern w:val="0"/>
          <w:sz w:val="32"/>
          <w:szCs w:val="32"/>
        </w:rPr>
        <w:t>简要阐述专项预算项目绩效自评总体结论，包含评价总分、</w:t>
      </w:r>
      <w:r>
        <w:rPr>
          <w:rFonts w:eastAsia="仿宋_GB2312" w:cs="仿宋_GB2312" w:hint="eastAsia"/>
          <w:kern w:val="0"/>
          <w:sz w:val="32"/>
          <w:szCs w:val="32"/>
          <w:lang w:val="zh-CN"/>
        </w:rPr>
        <w:t>项目实施情况。</w:t>
      </w:r>
    </w:p>
    <w:p w:rsidR="008073F4" w:rsidRDefault="00132590">
      <w:pPr>
        <w:spacing w:line="578" w:lineRule="exact"/>
        <w:ind w:firstLine="640"/>
        <w:rPr>
          <w:rFonts w:ascii="黑体" w:eastAsia="黑体" w:hAnsi="黑体" w:cs="黑体"/>
          <w:kern w:val="0"/>
          <w:sz w:val="32"/>
          <w:szCs w:val="32"/>
        </w:rPr>
      </w:pPr>
      <w:r>
        <w:rPr>
          <w:rFonts w:ascii="黑体" w:eastAsia="黑体" w:hAnsi="黑体" w:cs="黑体" w:hint="eastAsia"/>
          <w:kern w:val="0"/>
          <w:sz w:val="32"/>
          <w:szCs w:val="32"/>
        </w:rPr>
        <w:t>五、存在主要问题</w:t>
      </w:r>
    </w:p>
    <w:p w:rsidR="008073F4" w:rsidRDefault="00132590">
      <w:pPr>
        <w:spacing w:line="578" w:lineRule="exact"/>
        <w:ind w:firstLine="640"/>
        <w:rPr>
          <w:rFonts w:eastAsia="仿宋_GB2312" w:cs="仿宋_GB2312"/>
          <w:kern w:val="0"/>
          <w:sz w:val="32"/>
          <w:szCs w:val="32"/>
        </w:rPr>
      </w:pPr>
      <w:r>
        <w:rPr>
          <w:rFonts w:eastAsia="仿宋_GB2312" w:cs="仿宋_GB2312" w:hint="eastAsia"/>
          <w:kern w:val="0"/>
          <w:sz w:val="32"/>
          <w:szCs w:val="32"/>
        </w:rPr>
        <w:t>简要阐述专项预算项目绩效自评发现的主要问题。</w:t>
      </w:r>
    </w:p>
    <w:p w:rsidR="008073F4" w:rsidRDefault="00132590">
      <w:pPr>
        <w:spacing w:line="578" w:lineRule="exact"/>
        <w:ind w:firstLine="640"/>
        <w:rPr>
          <w:rFonts w:ascii="黑体" w:eastAsia="黑体" w:hAnsi="黑体" w:cs="黑体"/>
          <w:kern w:val="0"/>
          <w:sz w:val="32"/>
          <w:szCs w:val="32"/>
          <w:lang w:val="zh-CN"/>
        </w:rPr>
      </w:pPr>
      <w:r>
        <w:rPr>
          <w:rFonts w:ascii="黑体" w:eastAsia="黑体" w:hAnsi="黑体" w:cs="黑体" w:hint="eastAsia"/>
          <w:kern w:val="0"/>
          <w:sz w:val="32"/>
          <w:szCs w:val="32"/>
          <w:lang w:val="zh-CN"/>
        </w:rPr>
        <w:t>六、改进建议</w:t>
      </w:r>
    </w:p>
    <w:p w:rsidR="008073F4" w:rsidRDefault="00132590">
      <w:pPr>
        <w:spacing w:line="578" w:lineRule="exact"/>
        <w:ind w:firstLine="640"/>
        <w:rPr>
          <w:rFonts w:eastAsia="仿宋_GB2312" w:cs="仿宋_GB2312"/>
          <w:kern w:val="0"/>
          <w:sz w:val="32"/>
          <w:szCs w:val="32"/>
        </w:rPr>
      </w:pPr>
      <w:r>
        <w:rPr>
          <w:rFonts w:eastAsia="仿宋_GB2312" w:cs="仿宋_GB2312" w:hint="eastAsia"/>
          <w:kern w:val="0"/>
          <w:sz w:val="32"/>
          <w:szCs w:val="32"/>
        </w:rPr>
        <w:t>简要阐述专项预算项目在</w:t>
      </w:r>
      <w:r>
        <w:rPr>
          <w:rFonts w:eastAsia="仿宋_GB2312" w:cs="仿宋_GB2312" w:hint="eastAsia"/>
          <w:kern w:val="0"/>
          <w:sz w:val="32"/>
          <w:szCs w:val="32"/>
          <w:lang/>
        </w:rPr>
        <w:t>预算安排、完善政策、改进管理等方面的</w:t>
      </w:r>
      <w:r>
        <w:rPr>
          <w:rFonts w:eastAsia="仿宋_GB2312" w:cs="仿宋_GB2312" w:hint="eastAsia"/>
          <w:kern w:val="0"/>
          <w:sz w:val="32"/>
          <w:szCs w:val="32"/>
        </w:rPr>
        <w:t>措施</w:t>
      </w:r>
      <w:r>
        <w:rPr>
          <w:rFonts w:eastAsia="仿宋_GB2312" w:cs="仿宋_GB2312" w:hint="eastAsia"/>
          <w:kern w:val="0"/>
          <w:sz w:val="32"/>
          <w:szCs w:val="32"/>
          <w:lang/>
        </w:rPr>
        <w:t>建议，其中</w:t>
      </w:r>
      <w:r>
        <w:rPr>
          <w:rFonts w:eastAsia="仿宋_GB2312" w:cs="仿宋_GB2312" w:hint="eastAsia"/>
          <w:kern w:val="0"/>
          <w:sz w:val="32"/>
          <w:szCs w:val="32"/>
        </w:rPr>
        <w:t>必须对应评价发现的主要问题一一提出措施建议。</w:t>
      </w:r>
    </w:p>
    <w:p w:rsidR="008073F4" w:rsidRDefault="00132590">
      <w:pPr>
        <w:spacing w:line="578" w:lineRule="exact"/>
        <w:ind w:firstLine="640"/>
        <w:rPr>
          <w:rFonts w:eastAsia="仿宋_GB2312" w:cs="仿宋_GB2312"/>
          <w:b/>
          <w:bCs/>
          <w:kern w:val="0"/>
          <w:sz w:val="32"/>
          <w:szCs w:val="32"/>
        </w:rPr>
      </w:pPr>
      <w:r>
        <w:rPr>
          <w:rFonts w:eastAsia="仿宋_GB2312" w:cs="仿宋_GB2312" w:hint="eastAsia"/>
          <w:b/>
          <w:bCs/>
          <w:kern w:val="0"/>
          <w:sz w:val="32"/>
          <w:szCs w:val="32"/>
        </w:rPr>
        <w:t>（</w:t>
      </w:r>
      <w:r>
        <w:rPr>
          <w:rFonts w:eastAsia="仿宋_GB2312" w:cs="仿宋_GB2312" w:hint="eastAsia"/>
          <w:b/>
          <w:bCs/>
          <w:kern w:val="0"/>
          <w:sz w:val="32"/>
          <w:szCs w:val="32"/>
        </w:rPr>
        <w:t>注：</w:t>
      </w:r>
      <w:r>
        <w:rPr>
          <w:rFonts w:eastAsia="仿宋_GB2312" w:cs="仿宋_GB2312" w:hint="eastAsia"/>
          <w:b/>
          <w:bCs/>
          <w:kern w:val="0"/>
          <w:sz w:val="32"/>
          <w:szCs w:val="32"/>
        </w:rPr>
        <w:t>以上绩效自评报告，除涉密敏感内容外，原则上都应予以公开）</w:t>
      </w:r>
    </w:p>
    <w:p w:rsidR="008073F4" w:rsidRDefault="008073F4">
      <w:pPr>
        <w:spacing w:line="578" w:lineRule="exact"/>
        <w:ind w:firstLine="640"/>
        <w:rPr>
          <w:rFonts w:eastAsia="仿宋_GB2312" w:cs="仿宋_GB2312"/>
          <w:kern w:val="0"/>
          <w:sz w:val="32"/>
          <w:szCs w:val="32"/>
        </w:rPr>
      </w:pPr>
    </w:p>
    <w:p w:rsidR="008073F4" w:rsidRDefault="008073F4">
      <w:pPr>
        <w:spacing w:line="578" w:lineRule="exact"/>
        <w:ind w:firstLine="640"/>
        <w:rPr>
          <w:rFonts w:eastAsia="仿宋_GB2312" w:cs="仿宋_GB2312"/>
          <w:kern w:val="0"/>
          <w:sz w:val="32"/>
          <w:szCs w:val="32"/>
        </w:rPr>
      </w:pPr>
    </w:p>
    <w:p w:rsidR="008073F4" w:rsidRDefault="00132590">
      <w:pPr>
        <w:spacing w:line="578" w:lineRule="exact"/>
        <w:ind w:firstLine="640"/>
        <w:rPr>
          <w:rFonts w:eastAsia="仿宋_GB2312" w:cs="仿宋_GB2312"/>
          <w:kern w:val="0"/>
          <w:sz w:val="32"/>
          <w:szCs w:val="32"/>
        </w:rPr>
      </w:pPr>
      <w:bookmarkStart w:id="23" w:name="_Toc15396618"/>
      <w:r>
        <w:rPr>
          <w:rFonts w:eastAsia="仿宋_GB2312" w:cs="仿宋_GB2312" w:hint="eastAsia"/>
          <w:kern w:val="0"/>
          <w:sz w:val="32"/>
          <w:szCs w:val="32"/>
        </w:rPr>
        <w:br w:type="page"/>
      </w:r>
    </w:p>
    <w:p w:rsidR="008073F4" w:rsidRDefault="00132590">
      <w:pPr>
        <w:widowControl/>
        <w:jc w:val="center"/>
        <w:rPr>
          <w:rFonts w:eastAsia="仿宋"/>
        </w:rPr>
      </w:pPr>
      <w:r>
        <w:rPr>
          <w:rFonts w:eastAsia="黑体" w:hint="eastAsia"/>
          <w:sz w:val="44"/>
          <w:szCs w:val="44"/>
        </w:rPr>
        <w:lastRenderedPageBreak/>
        <w:t>第</w:t>
      </w:r>
      <w:r>
        <w:rPr>
          <w:rStyle w:val="1Char"/>
          <w:rFonts w:eastAsia="黑体" w:hint="eastAsia"/>
          <w:b w:val="0"/>
        </w:rPr>
        <w:t>五部分</w:t>
      </w:r>
      <w:r>
        <w:rPr>
          <w:rStyle w:val="1Char"/>
          <w:rFonts w:eastAsia="黑体" w:hint="eastAsia"/>
          <w:b w:val="0"/>
        </w:rPr>
        <w:t xml:space="preserve"> </w:t>
      </w:r>
      <w:r>
        <w:rPr>
          <w:rStyle w:val="1Char"/>
          <w:rFonts w:eastAsia="黑体" w:hint="eastAsia"/>
          <w:b w:val="0"/>
        </w:rPr>
        <w:t>附表</w:t>
      </w:r>
      <w:bookmarkStart w:id="24" w:name="_Toc15396619"/>
      <w:bookmarkEnd w:id="20"/>
      <w:bookmarkEnd w:id="23"/>
    </w:p>
    <w:p w:rsidR="008073F4" w:rsidRDefault="008073F4">
      <w:pPr>
        <w:pStyle w:val="21"/>
        <w:adjustRightInd w:val="0"/>
        <w:snapToGrid w:val="0"/>
        <w:spacing w:line="560" w:lineRule="exact"/>
        <w:jc w:val="left"/>
        <w:rPr>
          <w:rFonts w:eastAsia="仿宋_GB2312" w:cs="仿宋_GB2312"/>
          <w:sz w:val="32"/>
          <w:szCs w:val="32"/>
        </w:rPr>
      </w:pPr>
    </w:p>
    <w:p w:rsidR="008073F4" w:rsidRDefault="00132590">
      <w:pPr>
        <w:pStyle w:val="21"/>
        <w:adjustRightInd w:val="0"/>
        <w:snapToGrid w:val="0"/>
        <w:spacing w:line="560" w:lineRule="exact"/>
        <w:jc w:val="left"/>
        <w:rPr>
          <w:rFonts w:eastAsia="仿宋_GB2312" w:cs="仿宋_GB2312"/>
          <w:sz w:val="32"/>
          <w:szCs w:val="32"/>
        </w:rPr>
      </w:pPr>
      <w:r>
        <w:rPr>
          <w:rFonts w:eastAsia="仿宋_GB2312" w:cs="仿宋_GB2312" w:hint="eastAsia"/>
          <w:sz w:val="32"/>
          <w:szCs w:val="32"/>
        </w:rPr>
        <w:t>一、收入支出决算总表</w:t>
      </w:r>
      <w:bookmarkEnd w:id="24"/>
    </w:p>
    <w:p w:rsidR="008073F4" w:rsidRDefault="00132590">
      <w:pPr>
        <w:pStyle w:val="21"/>
        <w:adjustRightInd w:val="0"/>
        <w:snapToGrid w:val="0"/>
        <w:spacing w:line="560" w:lineRule="exact"/>
        <w:jc w:val="left"/>
        <w:rPr>
          <w:rFonts w:eastAsia="仿宋_GB2312" w:cs="仿宋_GB2312"/>
          <w:sz w:val="32"/>
          <w:szCs w:val="32"/>
        </w:rPr>
      </w:pPr>
      <w:bookmarkStart w:id="25" w:name="_Toc15396620"/>
      <w:r>
        <w:rPr>
          <w:rFonts w:eastAsia="仿宋_GB2312" w:cs="仿宋_GB2312" w:hint="eastAsia"/>
          <w:sz w:val="32"/>
          <w:szCs w:val="32"/>
        </w:rPr>
        <w:t>二、收入决算表</w:t>
      </w:r>
      <w:bookmarkEnd w:id="25"/>
    </w:p>
    <w:p w:rsidR="008073F4" w:rsidRDefault="00132590">
      <w:pPr>
        <w:pStyle w:val="21"/>
        <w:adjustRightInd w:val="0"/>
        <w:snapToGrid w:val="0"/>
        <w:spacing w:line="560" w:lineRule="exact"/>
        <w:jc w:val="left"/>
        <w:rPr>
          <w:rFonts w:eastAsia="仿宋_GB2312" w:cs="仿宋_GB2312"/>
          <w:sz w:val="32"/>
          <w:szCs w:val="32"/>
        </w:rPr>
      </w:pPr>
      <w:bookmarkStart w:id="26" w:name="_Toc15396621"/>
      <w:r>
        <w:rPr>
          <w:rFonts w:eastAsia="仿宋_GB2312" w:cs="仿宋_GB2312" w:hint="eastAsia"/>
          <w:sz w:val="32"/>
          <w:szCs w:val="32"/>
        </w:rPr>
        <w:t>三、支出决算表</w:t>
      </w:r>
      <w:bookmarkEnd w:id="26"/>
    </w:p>
    <w:p w:rsidR="008073F4" w:rsidRDefault="00132590">
      <w:pPr>
        <w:pStyle w:val="21"/>
        <w:adjustRightInd w:val="0"/>
        <w:snapToGrid w:val="0"/>
        <w:spacing w:line="560" w:lineRule="exact"/>
        <w:jc w:val="left"/>
        <w:rPr>
          <w:rFonts w:eastAsia="仿宋_GB2312" w:cs="仿宋_GB2312"/>
          <w:sz w:val="32"/>
          <w:szCs w:val="32"/>
        </w:rPr>
      </w:pPr>
      <w:bookmarkStart w:id="27" w:name="_Toc15396622"/>
      <w:r>
        <w:rPr>
          <w:rFonts w:eastAsia="仿宋_GB2312" w:cs="仿宋_GB2312" w:hint="eastAsia"/>
          <w:sz w:val="32"/>
          <w:szCs w:val="32"/>
        </w:rPr>
        <w:t>四、财政拨款收入支出决算总表</w:t>
      </w:r>
      <w:bookmarkEnd w:id="27"/>
    </w:p>
    <w:p w:rsidR="008073F4" w:rsidRDefault="00132590">
      <w:pPr>
        <w:pStyle w:val="21"/>
        <w:adjustRightInd w:val="0"/>
        <w:snapToGrid w:val="0"/>
        <w:spacing w:line="560" w:lineRule="exact"/>
        <w:jc w:val="left"/>
        <w:rPr>
          <w:rFonts w:eastAsia="仿宋_GB2312" w:cs="仿宋_GB2312"/>
          <w:sz w:val="32"/>
          <w:szCs w:val="32"/>
        </w:rPr>
      </w:pPr>
      <w:bookmarkStart w:id="28" w:name="_Toc15396623"/>
      <w:r>
        <w:rPr>
          <w:rFonts w:eastAsia="仿宋_GB2312" w:cs="仿宋_GB2312" w:hint="eastAsia"/>
          <w:sz w:val="32"/>
          <w:szCs w:val="32"/>
        </w:rPr>
        <w:t>五、财政拨款支出决算明细表</w:t>
      </w:r>
      <w:bookmarkStart w:id="29" w:name="_Toc15396624"/>
      <w:bookmarkEnd w:id="28"/>
    </w:p>
    <w:p w:rsidR="008073F4" w:rsidRDefault="00132590">
      <w:pPr>
        <w:pStyle w:val="21"/>
        <w:adjustRightInd w:val="0"/>
        <w:snapToGrid w:val="0"/>
        <w:spacing w:line="560" w:lineRule="exact"/>
        <w:jc w:val="left"/>
        <w:rPr>
          <w:rFonts w:eastAsia="仿宋_GB2312" w:cs="仿宋_GB2312"/>
          <w:sz w:val="32"/>
          <w:szCs w:val="32"/>
        </w:rPr>
      </w:pPr>
      <w:r>
        <w:rPr>
          <w:rFonts w:eastAsia="仿宋_GB2312" w:cs="仿宋_GB2312" w:hint="eastAsia"/>
          <w:sz w:val="32"/>
          <w:szCs w:val="32"/>
        </w:rPr>
        <w:t>六、一般公共预算财政拨款支出决算表</w:t>
      </w:r>
      <w:bookmarkEnd w:id="29"/>
    </w:p>
    <w:p w:rsidR="008073F4" w:rsidRDefault="00132590">
      <w:pPr>
        <w:pStyle w:val="21"/>
        <w:adjustRightInd w:val="0"/>
        <w:snapToGrid w:val="0"/>
        <w:spacing w:line="560" w:lineRule="exact"/>
        <w:jc w:val="left"/>
        <w:rPr>
          <w:rFonts w:eastAsia="仿宋_GB2312" w:cs="仿宋_GB2312"/>
          <w:sz w:val="32"/>
          <w:szCs w:val="32"/>
        </w:rPr>
      </w:pPr>
      <w:bookmarkStart w:id="30" w:name="_Toc15396625"/>
      <w:r>
        <w:rPr>
          <w:rFonts w:eastAsia="仿宋_GB2312" w:cs="仿宋_GB2312" w:hint="eastAsia"/>
          <w:sz w:val="32"/>
          <w:szCs w:val="32"/>
        </w:rPr>
        <w:t>七、一般公共预算财政拨款支出决算明细表</w:t>
      </w:r>
      <w:bookmarkEnd w:id="30"/>
    </w:p>
    <w:p w:rsidR="008073F4" w:rsidRDefault="00132590">
      <w:pPr>
        <w:pStyle w:val="21"/>
        <w:adjustRightInd w:val="0"/>
        <w:snapToGrid w:val="0"/>
        <w:spacing w:line="560" w:lineRule="exact"/>
        <w:jc w:val="left"/>
        <w:rPr>
          <w:rFonts w:eastAsia="仿宋_GB2312" w:cs="仿宋_GB2312"/>
          <w:sz w:val="32"/>
          <w:szCs w:val="32"/>
        </w:rPr>
      </w:pPr>
      <w:bookmarkStart w:id="31" w:name="_Toc15396626"/>
      <w:r>
        <w:rPr>
          <w:rFonts w:eastAsia="仿宋_GB2312" w:cs="仿宋_GB2312" w:hint="eastAsia"/>
          <w:sz w:val="32"/>
          <w:szCs w:val="32"/>
        </w:rPr>
        <w:t>八、一般公共预算财政拨款基本支出决算表</w:t>
      </w:r>
      <w:bookmarkEnd w:id="31"/>
    </w:p>
    <w:p w:rsidR="008073F4" w:rsidRDefault="00132590">
      <w:pPr>
        <w:pStyle w:val="21"/>
        <w:adjustRightInd w:val="0"/>
        <w:snapToGrid w:val="0"/>
        <w:spacing w:line="560" w:lineRule="exact"/>
        <w:jc w:val="left"/>
        <w:rPr>
          <w:rFonts w:eastAsia="仿宋_GB2312" w:cs="仿宋_GB2312"/>
          <w:sz w:val="32"/>
          <w:szCs w:val="32"/>
        </w:rPr>
      </w:pPr>
      <w:bookmarkStart w:id="32" w:name="_Toc15396627"/>
      <w:r>
        <w:rPr>
          <w:rFonts w:eastAsia="仿宋_GB2312" w:cs="仿宋_GB2312" w:hint="eastAsia"/>
          <w:sz w:val="32"/>
          <w:szCs w:val="32"/>
        </w:rPr>
        <w:t>九、一般公共预算财政拨款项目支出决算表</w:t>
      </w:r>
      <w:bookmarkEnd w:id="32"/>
    </w:p>
    <w:p w:rsidR="008073F4" w:rsidRDefault="00132590">
      <w:pPr>
        <w:pStyle w:val="21"/>
        <w:adjustRightInd w:val="0"/>
        <w:snapToGrid w:val="0"/>
        <w:spacing w:line="560" w:lineRule="exact"/>
        <w:jc w:val="left"/>
        <w:rPr>
          <w:rFonts w:eastAsia="仿宋_GB2312" w:cs="仿宋_GB2312"/>
          <w:sz w:val="32"/>
          <w:szCs w:val="32"/>
        </w:rPr>
      </w:pPr>
      <w:bookmarkStart w:id="33" w:name="_Toc15396628"/>
      <w:r>
        <w:rPr>
          <w:rFonts w:eastAsia="仿宋_GB2312" w:cs="仿宋_GB2312" w:hint="eastAsia"/>
          <w:sz w:val="32"/>
          <w:szCs w:val="32"/>
        </w:rPr>
        <w:t>十、</w:t>
      </w:r>
      <w:bookmarkEnd w:id="33"/>
      <w:r>
        <w:rPr>
          <w:rFonts w:eastAsia="仿宋_GB2312" w:cs="仿宋_GB2312" w:hint="eastAsia"/>
          <w:sz w:val="32"/>
          <w:szCs w:val="32"/>
        </w:rPr>
        <w:t>政府性基金预算财政拨款收入支出决算表</w:t>
      </w:r>
    </w:p>
    <w:p w:rsidR="008073F4" w:rsidRDefault="00132590">
      <w:pPr>
        <w:pStyle w:val="21"/>
        <w:adjustRightInd w:val="0"/>
        <w:snapToGrid w:val="0"/>
        <w:spacing w:line="560" w:lineRule="exact"/>
        <w:jc w:val="left"/>
        <w:rPr>
          <w:rFonts w:eastAsia="仿宋_GB2312" w:cs="仿宋_GB2312"/>
          <w:sz w:val="32"/>
          <w:szCs w:val="32"/>
        </w:rPr>
      </w:pPr>
      <w:bookmarkStart w:id="34" w:name="_Toc15396629"/>
      <w:r>
        <w:rPr>
          <w:rFonts w:eastAsia="仿宋_GB2312" w:cs="仿宋_GB2312" w:hint="eastAsia"/>
          <w:sz w:val="32"/>
          <w:szCs w:val="32"/>
        </w:rPr>
        <w:t>十一、</w:t>
      </w:r>
      <w:bookmarkEnd w:id="34"/>
      <w:r>
        <w:rPr>
          <w:rFonts w:eastAsia="仿宋_GB2312" w:cs="仿宋_GB2312" w:hint="eastAsia"/>
          <w:sz w:val="32"/>
          <w:szCs w:val="32"/>
        </w:rPr>
        <w:t>国有资本经营预算</w:t>
      </w:r>
      <w:r>
        <w:rPr>
          <w:rFonts w:eastAsia="仿宋_GB2312" w:cs="仿宋_GB2312" w:hint="eastAsia"/>
          <w:sz w:val="32"/>
          <w:szCs w:val="32"/>
        </w:rPr>
        <w:t>财政拨款收入</w:t>
      </w:r>
      <w:r>
        <w:rPr>
          <w:rFonts w:eastAsia="仿宋_GB2312" w:cs="仿宋_GB2312" w:hint="eastAsia"/>
          <w:sz w:val="32"/>
          <w:szCs w:val="32"/>
        </w:rPr>
        <w:t>支出决算表</w:t>
      </w:r>
    </w:p>
    <w:p w:rsidR="008073F4" w:rsidRDefault="00132590">
      <w:pPr>
        <w:pStyle w:val="21"/>
        <w:adjustRightInd w:val="0"/>
        <w:snapToGrid w:val="0"/>
        <w:spacing w:line="560" w:lineRule="exact"/>
        <w:jc w:val="left"/>
        <w:rPr>
          <w:rFonts w:eastAsia="仿宋_GB2312" w:cs="仿宋_GB2312"/>
          <w:sz w:val="32"/>
          <w:szCs w:val="32"/>
        </w:rPr>
      </w:pPr>
      <w:bookmarkStart w:id="35" w:name="_Toc15396630"/>
      <w:r>
        <w:rPr>
          <w:rFonts w:eastAsia="仿宋_GB2312" w:cs="仿宋_GB2312" w:hint="eastAsia"/>
          <w:sz w:val="32"/>
          <w:szCs w:val="32"/>
        </w:rPr>
        <w:t>十二、</w:t>
      </w:r>
      <w:bookmarkEnd w:id="35"/>
      <w:r>
        <w:rPr>
          <w:rFonts w:eastAsia="仿宋_GB2312" w:cs="仿宋_GB2312" w:hint="eastAsia"/>
          <w:sz w:val="32"/>
          <w:szCs w:val="32"/>
        </w:rPr>
        <w:t>国有资本经营预算财政拨款支出决算表</w:t>
      </w:r>
    </w:p>
    <w:p w:rsidR="008073F4" w:rsidRDefault="00132590">
      <w:pPr>
        <w:pStyle w:val="21"/>
        <w:adjustRightInd w:val="0"/>
        <w:snapToGrid w:val="0"/>
        <w:spacing w:line="560" w:lineRule="exact"/>
        <w:jc w:val="left"/>
        <w:rPr>
          <w:rFonts w:eastAsia="仿宋_GB2312" w:cs="仿宋_GB2312"/>
          <w:sz w:val="32"/>
          <w:szCs w:val="32"/>
        </w:rPr>
      </w:pPr>
      <w:bookmarkStart w:id="36" w:name="_Toc15396631"/>
      <w:r>
        <w:rPr>
          <w:rFonts w:eastAsia="仿宋_GB2312" w:cs="仿宋_GB2312" w:hint="eastAsia"/>
          <w:sz w:val="32"/>
          <w:szCs w:val="32"/>
        </w:rPr>
        <w:t>十三、</w:t>
      </w:r>
      <w:bookmarkEnd w:id="36"/>
      <w:r>
        <w:rPr>
          <w:rFonts w:eastAsia="仿宋_GB2312" w:cs="仿宋_GB2312" w:hint="eastAsia"/>
          <w:sz w:val="32"/>
          <w:szCs w:val="32"/>
        </w:rPr>
        <w:t>财政拨款“三公”经费支出决算表</w:t>
      </w:r>
    </w:p>
    <w:p w:rsidR="008073F4" w:rsidRDefault="008073F4"/>
    <w:sectPr w:rsidR="008073F4" w:rsidSect="008073F4">
      <w:footerReference w:type="default" r:id="rId20"/>
      <w:footerReference w:type="first" r:id="rId21"/>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590" w:rsidRDefault="00132590" w:rsidP="008073F4">
      <w:r>
        <w:separator/>
      </w:r>
    </w:p>
  </w:endnote>
  <w:endnote w:type="continuationSeparator" w:id="0">
    <w:p w:rsidR="00132590" w:rsidRDefault="00132590" w:rsidP="008073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微软雅黑"/>
    <w:charset w:val="86"/>
    <w:family w:val="modern"/>
    <w:pitch w:val="default"/>
    <w:sig w:usb0="00000000"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
    <w:altName w:val="Segoe Print"/>
    <w:charset w:val="00"/>
    <w:family w:val="roman"/>
    <w:pitch w:val="default"/>
    <w:sig w:usb0="00000000" w:usb1="00000000" w:usb2="00000000" w:usb3="00000000" w:csb0="00000000" w:csb1="00000000"/>
  </w:font>
  <w:font w:name="方正小标宋简体">
    <w:altName w:val="微软雅黑"/>
    <w:charset w:val="86"/>
    <w:family w:val="script"/>
    <w:pitch w:val="default"/>
    <w:sig w:usb0="00000000"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楷体_GB2312">
    <w:altName w:val="微软雅黑"/>
    <w:charset w:val="86"/>
    <w:family w:val="auto"/>
    <w:pitch w:val="default"/>
    <w:sig w:usb0="00000000"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3F4" w:rsidRDefault="008073F4">
    <w:pPr>
      <w:pStyle w:val="a7"/>
      <w:jc w:val="center"/>
    </w:pPr>
  </w:p>
  <w:p w:rsidR="008073F4" w:rsidRDefault="008073F4">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3F4" w:rsidRDefault="008073F4">
    <w:pPr>
      <w:pStyle w:val="a7"/>
      <w:jc w:val="center"/>
    </w:pPr>
  </w:p>
  <w:p w:rsidR="008073F4" w:rsidRDefault="008073F4">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3F4" w:rsidRDefault="008073F4">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3F4" w:rsidRDefault="008073F4">
    <w:pPr>
      <w:pStyle w:val="a7"/>
      <w:jc w:val="center"/>
    </w:pPr>
  </w:p>
  <w:p w:rsidR="008073F4" w:rsidRDefault="008073F4">
    <w:pPr>
      <w:pStyle w:val="a7"/>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3F4" w:rsidRDefault="008073F4">
    <w:pPr>
      <w:pStyle w:val="a7"/>
    </w:pPr>
    <w:r>
      <w:pict>
        <v:shapetype id="_x0000_t202" coordsize="21600,21600" o:spt="202" path="m,l,21600r21600,l21600,xe">
          <v:stroke joinstyle="miter"/>
          <v:path gradientshapeok="t" o:connecttype="rect"/>
        </v:shapetype>
        <v:shape id="_x0000_s1026" type="#_x0000_t202" style="position:absolute;margin-left:0;margin-top:0;width:2in;height:2in;z-index:251659264;mso-wrap-style:none;mso-position-horizontal:center;mso-position-horizontal-relative:margin" filled="f" stroked="f" strokeweight=".5pt">
          <v:textbox style="mso-fit-shape-to-text:t" inset="0,0,0,0">
            <w:txbxContent>
              <w:p w:rsidR="008073F4" w:rsidRDefault="008073F4">
                <w:pPr>
                  <w:pStyle w:val="a7"/>
                </w:pPr>
                <w:r>
                  <w:rPr>
                    <w:rFonts w:hint="eastAsia"/>
                  </w:rPr>
                  <w:fldChar w:fldCharType="begin"/>
                </w:r>
                <w:r w:rsidR="00132590">
                  <w:rPr>
                    <w:rFonts w:hint="eastAsia"/>
                  </w:rPr>
                  <w:instrText xml:space="preserve"> PAGE  \* MERGEFORMAT </w:instrText>
                </w:r>
                <w:r>
                  <w:rPr>
                    <w:rFonts w:hint="eastAsia"/>
                  </w:rPr>
                  <w:fldChar w:fldCharType="separate"/>
                </w:r>
                <w:r w:rsidR="00132590">
                  <w:rPr>
                    <w:rFonts w:hint="eastAsia"/>
                  </w:rPr>
                  <w:t>- 1 -</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590" w:rsidRDefault="00132590" w:rsidP="008073F4">
      <w:r>
        <w:separator/>
      </w:r>
    </w:p>
  </w:footnote>
  <w:footnote w:type="continuationSeparator" w:id="0">
    <w:p w:rsidR="00132590" w:rsidRDefault="00132590" w:rsidP="008073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3F4" w:rsidRDefault="008073F4">
    <w:pPr>
      <w:pStyle w:val="a8"/>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532750"/>
    <w:multiLevelType w:val="singleLevel"/>
    <w:tmpl w:val="86532750"/>
    <w:lvl w:ilvl="0">
      <w:start w:val="2"/>
      <w:numFmt w:val="decimal"/>
      <w:suff w:val="nothing"/>
      <w:lvlText w:val="（%1）"/>
      <w:lvlJc w:val="left"/>
    </w:lvl>
  </w:abstractNum>
  <w:abstractNum w:abstractNumId="1">
    <w:nsid w:val="D560E0B0"/>
    <w:multiLevelType w:val="singleLevel"/>
    <w:tmpl w:val="D560E0B0"/>
    <w:lvl w:ilvl="0">
      <w:start w:val="2"/>
      <w:numFmt w:val="decimal"/>
      <w:suff w:val="nothing"/>
      <w:lvlText w:val="%1．"/>
      <w:lvlJc w:val="left"/>
    </w:lvl>
  </w:abstractNum>
  <w:abstractNum w:abstractNumId="2">
    <w:nsid w:val="EFFC8AAD"/>
    <w:multiLevelType w:val="singleLevel"/>
    <w:tmpl w:val="EFFC8AAD"/>
    <w:lvl w:ilvl="0">
      <w:start w:val="4"/>
      <w:numFmt w:val="decimal"/>
      <w:suff w:val="nothing"/>
      <w:lvlText w:val="%1."/>
      <w:lvlJc w:val="left"/>
      <w:pPr>
        <w:tabs>
          <w:tab w:val="num" w:pos="0"/>
        </w:tabs>
      </w:pPr>
    </w:lvl>
  </w:abstractNum>
  <w:abstractNum w:abstractNumId="3">
    <w:nsid w:val="F6796401"/>
    <w:multiLevelType w:val="singleLevel"/>
    <w:tmpl w:val="F6796401"/>
    <w:lvl w:ilvl="0">
      <w:start w:val="6"/>
      <w:numFmt w:val="chineseCounting"/>
      <w:suff w:val="nothing"/>
      <w:lvlText w:val="（%1）"/>
      <w:lvlJc w:val="left"/>
      <w:rPr>
        <w:rFonts w:hint="eastAsia"/>
      </w:rPr>
    </w:lvl>
  </w:abstractNum>
  <w:abstractNum w:abstractNumId="4">
    <w:nsid w:val="1BEF572E"/>
    <w:multiLevelType w:val="hybridMultilevel"/>
    <w:tmpl w:val="43B4BF12"/>
    <w:lvl w:ilvl="0" w:tplc="72189C22">
      <w:start w:val="1"/>
      <w:numFmt w:val="decimal"/>
      <w:lvlText w:val="%1."/>
      <w:lvlJc w:val="left"/>
      <w:pPr>
        <w:ind w:left="892" w:hanging="252"/>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5">
    <w:nsid w:val="2C2D5689"/>
    <w:multiLevelType w:val="singleLevel"/>
    <w:tmpl w:val="2C2D5689"/>
    <w:lvl w:ilvl="0">
      <w:start w:val="2"/>
      <w:numFmt w:val="decimal"/>
      <w:lvlText w:val="%1."/>
      <w:lvlJc w:val="left"/>
      <w:pPr>
        <w:tabs>
          <w:tab w:val="num" w:pos="312"/>
        </w:tabs>
      </w:pPr>
    </w:lvl>
  </w:abstractNum>
  <w:abstractNum w:abstractNumId="6">
    <w:nsid w:val="5D2D4060"/>
    <w:multiLevelType w:val="hybridMultilevel"/>
    <w:tmpl w:val="A95CB59A"/>
    <w:lvl w:ilvl="0" w:tplc="52145A32">
      <w:start w:val="1"/>
      <w:numFmt w:val="japaneseCounting"/>
      <w:lvlText w:val="%1、"/>
      <w:lvlJc w:val="left"/>
      <w:pPr>
        <w:ind w:left="672" w:hanging="67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2621CDC"/>
    <w:multiLevelType w:val="multilevel"/>
    <w:tmpl w:val="62621CDC"/>
    <w:lvl w:ilvl="0">
      <w:start w:val="1"/>
      <w:numFmt w:val="decimal"/>
      <w:lvlText w:val="%1."/>
      <w:lvlJc w:val="left"/>
      <w:pPr>
        <w:ind w:left="1152" w:hanging="480"/>
      </w:pPr>
      <w:rPr>
        <w:rFonts w:hint="default"/>
      </w:rPr>
    </w:lvl>
    <w:lvl w:ilvl="1">
      <w:start w:val="1"/>
      <w:numFmt w:val="lowerLetter"/>
      <w:lvlText w:val="%2)"/>
      <w:lvlJc w:val="left"/>
      <w:pPr>
        <w:ind w:left="1512" w:hanging="420"/>
      </w:pPr>
    </w:lvl>
    <w:lvl w:ilvl="2">
      <w:start w:val="1"/>
      <w:numFmt w:val="lowerRoman"/>
      <w:lvlText w:val="%3."/>
      <w:lvlJc w:val="right"/>
      <w:pPr>
        <w:ind w:left="1932" w:hanging="420"/>
      </w:pPr>
    </w:lvl>
    <w:lvl w:ilvl="3">
      <w:start w:val="1"/>
      <w:numFmt w:val="decimal"/>
      <w:lvlText w:val="%4."/>
      <w:lvlJc w:val="left"/>
      <w:pPr>
        <w:ind w:left="2352" w:hanging="420"/>
      </w:pPr>
    </w:lvl>
    <w:lvl w:ilvl="4">
      <w:start w:val="1"/>
      <w:numFmt w:val="lowerLetter"/>
      <w:lvlText w:val="%5)"/>
      <w:lvlJc w:val="left"/>
      <w:pPr>
        <w:ind w:left="2772" w:hanging="420"/>
      </w:pPr>
    </w:lvl>
    <w:lvl w:ilvl="5">
      <w:start w:val="1"/>
      <w:numFmt w:val="lowerRoman"/>
      <w:lvlText w:val="%6."/>
      <w:lvlJc w:val="right"/>
      <w:pPr>
        <w:ind w:left="3192" w:hanging="420"/>
      </w:pPr>
    </w:lvl>
    <w:lvl w:ilvl="6">
      <w:start w:val="1"/>
      <w:numFmt w:val="decimal"/>
      <w:lvlText w:val="%7."/>
      <w:lvlJc w:val="left"/>
      <w:pPr>
        <w:ind w:left="3612" w:hanging="420"/>
      </w:pPr>
    </w:lvl>
    <w:lvl w:ilvl="7">
      <w:start w:val="1"/>
      <w:numFmt w:val="lowerLetter"/>
      <w:lvlText w:val="%8)"/>
      <w:lvlJc w:val="left"/>
      <w:pPr>
        <w:ind w:left="4032" w:hanging="420"/>
      </w:pPr>
    </w:lvl>
    <w:lvl w:ilvl="8">
      <w:start w:val="1"/>
      <w:numFmt w:val="lowerRoman"/>
      <w:lvlText w:val="%9."/>
      <w:lvlJc w:val="right"/>
      <w:pPr>
        <w:ind w:left="4452" w:hanging="420"/>
      </w:pPr>
    </w:lvl>
  </w:abstractNum>
  <w:num w:numId="1">
    <w:abstractNumId w:val="7"/>
  </w:num>
  <w:num w:numId="2">
    <w:abstractNumId w:val="6"/>
  </w:num>
  <w:num w:numId="3">
    <w:abstractNumId w:val="1"/>
  </w:num>
  <w:num w:numId="4">
    <w:abstractNumId w:val="0"/>
  </w:num>
  <w:num w:numId="5">
    <w:abstractNumId w:val="2"/>
  </w:num>
  <w:num w:numId="6">
    <w:abstractNumId w:val="5"/>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9"/>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1361C"/>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32590"/>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024"/>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96A6B"/>
    <w:rsid w:val="004A711F"/>
    <w:rsid w:val="004B199D"/>
    <w:rsid w:val="004B4690"/>
    <w:rsid w:val="004E0A2D"/>
    <w:rsid w:val="004E206B"/>
    <w:rsid w:val="004E6DF7"/>
    <w:rsid w:val="004F0FBD"/>
    <w:rsid w:val="00505A47"/>
    <w:rsid w:val="00512FDA"/>
    <w:rsid w:val="00513B7D"/>
    <w:rsid w:val="00520DA0"/>
    <w:rsid w:val="005664BB"/>
    <w:rsid w:val="00566FFA"/>
    <w:rsid w:val="0057481D"/>
    <w:rsid w:val="00574CC1"/>
    <w:rsid w:val="0058314B"/>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90794"/>
    <w:rsid w:val="006A3141"/>
    <w:rsid w:val="006A5E34"/>
    <w:rsid w:val="006B2422"/>
    <w:rsid w:val="006B2B9A"/>
    <w:rsid w:val="006C1937"/>
    <w:rsid w:val="006E6CFE"/>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073F4"/>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CF09EB"/>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6548D"/>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61E35DE"/>
    <w:rsid w:val="066E0107"/>
    <w:rsid w:val="07996F6E"/>
    <w:rsid w:val="07DFD8BA"/>
    <w:rsid w:val="08DB07E4"/>
    <w:rsid w:val="09867E8F"/>
    <w:rsid w:val="0A2032A3"/>
    <w:rsid w:val="0C6C4794"/>
    <w:rsid w:val="0CA8290A"/>
    <w:rsid w:val="0D35B1ED"/>
    <w:rsid w:val="0DE07E2B"/>
    <w:rsid w:val="0F98263C"/>
    <w:rsid w:val="101860EC"/>
    <w:rsid w:val="10C055FF"/>
    <w:rsid w:val="11772AA4"/>
    <w:rsid w:val="118107EC"/>
    <w:rsid w:val="13957196"/>
    <w:rsid w:val="13D50BC4"/>
    <w:rsid w:val="14022904"/>
    <w:rsid w:val="152F2A07"/>
    <w:rsid w:val="165E0673"/>
    <w:rsid w:val="16BB723D"/>
    <w:rsid w:val="16F13FCB"/>
    <w:rsid w:val="186504BB"/>
    <w:rsid w:val="1938089F"/>
    <w:rsid w:val="19A445FC"/>
    <w:rsid w:val="1B7D550C"/>
    <w:rsid w:val="1BE8440E"/>
    <w:rsid w:val="1D155CEE"/>
    <w:rsid w:val="1DE178F3"/>
    <w:rsid w:val="1E740ACF"/>
    <w:rsid w:val="1FF35744"/>
    <w:rsid w:val="1FF6BC77"/>
    <w:rsid w:val="21962A9E"/>
    <w:rsid w:val="21AE7C77"/>
    <w:rsid w:val="22BC3C41"/>
    <w:rsid w:val="23860B96"/>
    <w:rsid w:val="240371BF"/>
    <w:rsid w:val="260F557C"/>
    <w:rsid w:val="281408E2"/>
    <w:rsid w:val="29FD04D3"/>
    <w:rsid w:val="2BFF7BC6"/>
    <w:rsid w:val="2C8A61B5"/>
    <w:rsid w:val="2D2E01CF"/>
    <w:rsid w:val="2DF04E50"/>
    <w:rsid w:val="2E9545B0"/>
    <w:rsid w:val="2F040D46"/>
    <w:rsid w:val="2FAE5751"/>
    <w:rsid w:val="2FB1A395"/>
    <w:rsid w:val="2FD9A7D8"/>
    <w:rsid w:val="319F7F4E"/>
    <w:rsid w:val="321B2544"/>
    <w:rsid w:val="3304709D"/>
    <w:rsid w:val="34281836"/>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E54C45"/>
    <w:rsid w:val="41313393"/>
    <w:rsid w:val="43A407DF"/>
    <w:rsid w:val="44515BEA"/>
    <w:rsid w:val="44E268DA"/>
    <w:rsid w:val="453F7E5B"/>
    <w:rsid w:val="486A6C7A"/>
    <w:rsid w:val="49176D9B"/>
    <w:rsid w:val="494006BD"/>
    <w:rsid w:val="4A627F82"/>
    <w:rsid w:val="4B0E749A"/>
    <w:rsid w:val="4B4F25DA"/>
    <w:rsid w:val="4BDA0CFB"/>
    <w:rsid w:val="4BE068DB"/>
    <w:rsid w:val="4D3C0CCC"/>
    <w:rsid w:val="4D577224"/>
    <w:rsid w:val="4DBF1CEB"/>
    <w:rsid w:val="4EAB630A"/>
    <w:rsid w:val="4ECE2238"/>
    <w:rsid w:val="4F833267"/>
    <w:rsid w:val="4FE9BD67"/>
    <w:rsid w:val="4FFB052F"/>
    <w:rsid w:val="53083A92"/>
    <w:rsid w:val="537E6D0A"/>
    <w:rsid w:val="53AF27A2"/>
    <w:rsid w:val="53F74C96"/>
    <w:rsid w:val="56E47B74"/>
    <w:rsid w:val="57BD3DD4"/>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2BF3928"/>
    <w:rsid w:val="647F5392"/>
    <w:rsid w:val="664B1D71"/>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9086DAD"/>
    <w:rsid w:val="79974F09"/>
    <w:rsid w:val="79D7FD79"/>
    <w:rsid w:val="79EE5BA4"/>
    <w:rsid w:val="7A894339"/>
    <w:rsid w:val="7AFF7572"/>
    <w:rsid w:val="7B6C7DFB"/>
    <w:rsid w:val="7BBFBED0"/>
    <w:rsid w:val="7BC3E394"/>
    <w:rsid w:val="7C1F3737"/>
    <w:rsid w:val="7CBFC87B"/>
    <w:rsid w:val="7CFE0F48"/>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qFormat="1"/>
    <w:lsdException w:name="header" w:unhideWhenUsed="0" w:qFormat="1"/>
    <w:lsdException w:name="footer" w:semiHidden="0" w:unhideWhenUsed="0" w:qFormat="1"/>
    <w:lsdException w:name="caption" w:uiPriority="35" w:qFormat="1"/>
    <w:lsdException w:name="Title" w:semiHidden="0" w:uiPriority="10" w:unhideWhenUsed="0" w:qFormat="1"/>
    <w:lsdException w:name="Default Paragraph Font" w:semiHidden="0" w:uiPriority="1" w:qFormat="1"/>
    <w:lsdException w:name="Body Text" w:semiHidden="0" w:unhideWhenUsed="0" w:qFormat="1"/>
    <w:lsdException w:name="Body Text Indent" w:semiHidden="0" w:uiPriority="0" w:unhideWhenUsed="0" w:qFormat="1"/>
    <w:lsdException w:name="Subtitle" w:semiHidden="0" w:uiPriority="11" w:unhideWhenUsed="0" w:qFormat="1"/>
    <w:lsdException w:name="Body Text First Indent 2" w:semiHidden="0" w:qFormat="1"/>
    <w:lsdException w:name="Hyperlink" w:semiHidden="0" w:qFormat="1"/>
    <w:lsdException w:name="Strong" w:semiHidden="0" w:unhideWhenUsed="0" w:qFormat="1"/>
    <w:lsdException w:name="Emphasis" w:semiHidden="0" w:uiPriority="20" w:unhideWhenUsed="0" w:qFormat="1"/>
    <w:lsdException w:name="Normal Table"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073F4"/>
    <w:pPr>
      <w:widowControl w:val="0"/>
      <w:jc w:val="both"/>
    </w:pPr>
    <w:rPr>
      <w:kern w:val="2"/>
      <w:sz w:val="21"/>
      <w:szCs w:val="24"/>
    </w:rPr>
  </w:style>
  <w:style w:type="paragraph" w:styleId="1">
    <w:name w:val="heading 1"/>
    <w:basedOn w:val="a"/>
    <w:next w:val="a"/>
    <w:link w:val="1Char"/>
    <w:uiPriority w:val="9"/>
    <w:qFormat/>
    <w:rsid w:val="008073F4"/>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8073F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8073F4"/>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next w:val="20"/>
    <w:semiHidden/>
    <w:qFormat/>
    <w:rsid w:val="008073F4"/>
    <w:pPr>
      <w:snapToGrid w:val="0"/>
      <w:jc w:val="left"/>
    </w:pPr>
    <w:rPr>
      <w:sz w:val="18"/>
      <w:szCs w:val="18"/>
    </w:rPr>
  </w:style>
  <w:style w:type="paragraph" w:styleId="20">
    <w:name w:val="Body Text First Indent 2"/>
    <w:basedOn w:val="a4"/>
    <w:next w:val="a"/>
    <w:uiPriority w:val="99"/>
    <w:unhideWhenUsed/>
    <w:qFormat/>
    <w:rsid w:val="008073F4"/>
    <w:pPr>
      <w:ind w:firstLineChars="200" w:firstLine="420"/>
    </w:pPr>
  </w:style>
  <w:style w:type="paragraph" w:styleId="a4">
    <w:name w:val="Body Text Indent"/>
    <w:basedOn w:val="a"/>
    <w:next w:val="20"/>
    <w:qFormat/>
    <w:rsid w:val="008073F4"/>
    <w:pPr>
      <w:spacing w:after="120"/>
      <w:ind w:leftChars="200" w:left="200"/>
    </w:pPr>
    <w:rPr>
      <w:rFonts w:ascii="仿宋_GB2312"/>
      <w:szCs w:val="32"/>
    </w:rPr>
  </w:style>
  <w:style w:type="paragraph" w:styleId="a5">
    <w:name w:val="Body Text"/>
    <w:basedOn w:val="a"/>
    <w:link w:val="Char"/>
    <w:uiPriority w:val="99"/>
    <w:qFormat/>
    <w:rsid w:val="008073F4"/>
    <w:pPr>
      <w:spacing w:beforeLines="30"/>
    </w:pPr>
    <w:rPr>
      <w:rFonts w:ascii="仿宋_GB2312" w:eastAsia="仿宋_GB2312"/>
      <w:kern w:val="0"/>
      <w:sz w:val="30"/>
    </w:rPr>
  </w:style>
  <w:style w:type="paragraph" w:styleId="30">
    <w:name w:val="toc 3"/>
    <w:basedOn w:val="a"/>
    <w:next w:val="a"/>
    <w:uiPriority w:val="39"/>
    <w:unhideWhenUsed/>
    <w:qFormat/>
    <w:rsid w:val="008073F4"/>
    <w:pPr>
      <w:tabs>
        <w:tab w:val="right" w:leader="dot" w:pos="8296"/>
      </w:tabs>
      <w:ind w:leftChars="400" w:left="840"/>
    </w:pPr>
  </w:style>
  <w:style w:type="paragraph" w:styleId="a6">
    <w:name w:val="Balloon Text"/>
    <w:basedOn w:val="a"/>
    <w:link w:val="Char0"/>
    <w:uiPriority w:val="99"/>
    <w:semiHidden/>
    <w:unhideWhenUsed/>
    <w:qFormat/>
    <w:rsid w:val="008073F4"/>
    <w:rPr>
      <w:sz w:val="18"/>
      <w:szCs w:val="18"/>
    </w:rPr>
  </w:style>
  <w:style w:type="paragraph" w:styleId="a7">
    <w:name w:val="footer"/>
    <w:basedOn w:val="a"/>
    <w:link w:val="Char1"/>
    <w:uiPriority w:val="99"/>
    <w:qFormat/>
    <w:rsid w:val="008073F4"/>
    <w:pPr>
      <w:tabs>
        <w:tab w:val="center" w:pos="4153"/>
        <w:tab w:val="right" w:pos="8306"/>
      </w:tabs>
      <w:snapToGrid w:val="0"/>
      <w:jc w:val="left"/>
    </w:pPr>
    <w:rPr>
      <w:rFonts w:ascii="Calibri" w:hAnsi="Calibri"/>
      <w:kern w:val="0"/>
      <w:sz w:val="18"/>
      <w:szCs w:val="18"/>
    </w:rPr>
  </w:style>
  <w:style w:type="paragraph" w:styleId="a8">
    <w:name w:val="header"/>
    <w:basedOn w:val="a"/>
    <w:link w:val="Char2"/>
    <w:uiPriority w:val="99"/>
    <w:semiHidden/>
    <w:qFormat/>
    <w:rsid w:val="008073F4"/>
    <w:pPr>
      <w:pBdr>
        <w:bottom w:val="single" w:sz="6" w:space="1" w:color="auto"/>
      </w:pBdr>
      <w:tabs>
        <w:tab w:val="center" w:pos="4153"/>
        <w:tab w:val="right" w:pos="8306"/>
      </w:tabs>
      <w:snapToGrid w:val="0"/>
      <w:jc w:val="center"/>
    </w:pPr>
    <w:rPr>
      <w:rFonts w:ascii="Calibri" w:hAnsi="Calibri"/>
      <w:kern w:val="0"/>
      <w:sz w:val="18"/>
      <w:szCs w:val="18"/>
    </w:rPr>
  </w:style>
  <w:style w:type="paragraph" w:styleId="10">
    <w:name w:val="toc 1"/>
    <w:basedOn w:val="a"/>
    <w:next w:val="a"/>
    <w:uiPriority w:val="39"/>
    <w:unhideWhenUsed/>
    <w:qFormat/>
    <w:rsid w:val="008073F4"/>
    <w:pPr>
      <w:tabs>
        <w:tab w:val="right" w:leader="dot" w:pos="8296"/>
      </w:tabs>
      <w:spacing w:before="93"/>
      <w:jc w:val="center"/>
    </w:pPr>
    <w:rPr>
      <w:rFonts w:ascii="仿宋" w:eastAsia="仿宋" w:hAnsi="仿宋"/>
      <w:sz w:val="28"/>
      <w:szCs w:val="28"/>
    </w:rPr>
  </w:style>
  <w:style w:type="paragraph" w:styleId="21">
    <w:name w:val="toc 2"/>
    <w:basedOn w:val="a"/>
    <w:next w:val="a"/>
    <w:uiPriority w:val="39"/>
    <w:unhideWhenUsed/>
    <w:qFormat/>
    <w:rsid w:val="008073F4"/>
    <w:pPr>
      <w:tabs>
        <w:tab w:val="right" w:leader="dot" w:pos="8296"/>
      </w:tabs>
      <w:ind w:leftChars="200" w:left="420"/>
    </w:pPr>
  </w:style>
  <w:style w:type="character" w:styleId="a9">
    <w:name w:val="Strong"/>
    <w:basedOn w:val="a1"/>
    <w:uiPriority w:val="99"/>
    <w:qFormat/>
    <w:rsid w:val="008073F4"/>
    <w:rPr>
      <w:b/>
    </w:rPr>
  </w:style>
  <w:style w:type="character" w:styleId="aa">
    <w:name w:val="Hyperlink"/>
    <w:basedOn w:val="a1"/>
    <w:uiPriority w:val="99"/>
    <w:unhideWhenUsed/>
    <w:qFormat/>
    <w:rsid w:val="008073F4"/>
    <w:rPr>
      <w:color w:val="0000FF" w:themeColor="hyperlink"/>
      <w:u w:val="single"/>
    </w:rPr>
  </w:style>
  <w:style w:type="paragraph" w:customStyle="1" w:styleId="5">
    <w:name w:val="标题 5（有编号）（绿盟科技）"/>
    <w:next w:val="a"/>
    <w:uiPriority w:val="99"/>
    <w:qFormat/>
    <w:rsid w:val="008073F4"/>
    <w:pPr>
      <w:keepNext/>
      <w:keepLines/>
      <w:widowControl w:val="0"/>
      <w:spacing w:before="280" w:after="156" w:line="377" w:lineRule="auto"/>
      <w:outlineLvl w:val="4"/>
    </w:pPr>
    <w:rPr>
      <w:rFonts w:ascii="Arial" w:eastAsia="黑体" w:hAnsi="Arial"/>
      <w:b/>
      <w:kern w:val="2"/>
      <w:sz w:val="24"/>
      <w:szCs w:val="28"/>
    </w:rPr>
  </w:style>
  <w:style w:type="character" w:customStyle="1" w:styleId="HeaderChar">
    <w:name w:val="Header Char"/>
    <w:basedOn w:val="a1"/>
    <w:uiPriority w:val="99"/>
    <w:semiHidden/>
    <w:qFormat/>
    <w:rsid w:val="008073F4"/>
    <w:rPr>
      <w:rFonts w:ascii="Times New Roman" w:hAnsi="Times New Roman"/>
      <w:sz w:val="18"/>
      <w:szCs w:val="18"/>
    </w:rPr>
  </w:style>
  <w:style w:type="character" w:customStyle="1" w:styleId="Char2">
    <w:name w:val="页眉 Char"/>
    <w:link w:val="a8"/>
    <w:uiPriority w:val="99"/>
    <w:semiHidden/>
    <w:qFormat/>
    <w:locked/>
    <w:rsid w:val="008073F4"/>
    <w:rPr>
      <w:sz w:val="18"/>
    </w:rPr>
  </w:style>
  <w:style w:type="character" w:customStyle="1" w:styleId="FooterChar">
    <w:name w:val="Footer Char"/>
    <w:basedOn w:val="a1"/>
    <w:uiPriority w:val="99"/>
    <w:semiHidden/>
    <w:qFormat/>
    <w:rsid w:val="008073F4"/>
    <w:rPr>
      <w:rFonts w:ascii="Times New Roman" w:hAnsi="Times New Roman"/>
      <w:sz w:val="18"/>
      <w:szCs w:val="18"/>
    </w:rPr>
  </w:style>
  <w:style w:type="character" w:customStyle="1" w:styleId="Char1">
    <w:name w:val="页脚 Char"/>
    <w:link w:val="a7"/>
    <w:uiPriority w:val="99"/>
    <w:qFormat/>
    <w:locked/>
    <w:rsid w:val="008073F4"/>
    <w:rPr>
      <w:sz w:val="18"/>
    </w:rPr>
  </w:style>
  <w:style w:type="character" w:customStyle="1" w:styleId="BodyTextChar">
    <w:name w:val="Body Text Char"/>
    <w:basedOn w:val="a1"/>
    <w:uiPriority w:val="99"/>
    <w:semiHidden/>
    <w:qFormat/>
    <w:rsid w:val="008073F4"/>
    <w:rPr>
      <w:rFonts w:ascii="Times New Roman" w:hAnsi="Times New Roman"/>
      <w:szCs w:val="24"/>
    </w:rPr>
  </w:style>
  <w:style w:type="character" w:customStyle="1" w:styleId="Char">
    <w:name w:val="正文文本 Char"/>
    <w:link w:val="a5"/>
    <w:uiPriority w:val="99"/>
    <w:qFormat/>
    <w:locked/>
    <w:rsid w:val="008073F4"/>
    <w:rPr>
      <w:rFonts w:ascii="仿宋_GB2312" w:eastAsia="仿宋_GB2312" w:hAnsi="Times New Roman"/>
      <w:sz w:val="24"/>
    </w:rPr>
  </w:style>
  <w:style w:type="paragraph" w:customStyle="1" w:styleId="Default">
    <w:name w:val="Default"/>
    <w:qFormat/>
    <w:rsid w:val="008073F4"/>
    <w:pPr>
      <w:widowControl w:val="0"/>
      <w:autoSpaceDE w:val="0"/>
      <w:autoSpaceDN w:val="0"/>
      <w:adjustRightInd w:val="0"/>
    </w:pPr>
    <w:rPr>
      <w:rFonts w:ascii="仿宋" w:eastAsia="仿宋" w:hAnsi="Calibri" w:cs="仿宋"/>
      <w:color w:val="000000"/>
      <w:sz w:val="24"/>
      <w:szCs w:val="24"/>
    </w:rPr>
  </w:style>
  <w:style w:type="paragraph" w:styleId="ab">
    <w:name w:val="List Paragraph"/>
    <w:basedOn w:val="a"/>
    <w:uiPriority w:val="34"/>
    <w:qFormat/>
    <w:rsid w:val="008073F4"/>
    <w:pPr>
      <w:ind w:firstLineChars="200" w:firstLine="420"/>
    </w:pPr>
  </w:style>
  <w:style w:type="character" w:customStyle="1" w:styleId="1Char">
    <w:name w:val="标题 1 Char"/>
    <w:basedOn w:val="a1"/>
    <w:link w:val="1"/>
    <w:uiPriority w:val="9"/>
    <w:qFormat/>
    <w:rsid w:val="008073F4"/>
    <w:rPr>
      <w:rFonts w:ascii="Times New Roman" w:hAnsi="Times New Roman"/>
      <w:b/>
      <w:bCs/>
      <w:kern w:val="44"/>
      <w:sz w:val="44"/>
      <w:szCs w:val="44"/>
    </w:rPr>
  </w:style>
  <w:style w:type="character" w:customStyle="1" w:styleId="2Char">
    <w:name w:val="标题 2 Char"/>
    <w:basedOn w:val="a1"/>
    <w:link w:val="2"/>
    <w:uiPriority w:val="9"/>
    <w:qFormat/>
    <w:rsid w:val="008073F4"/>
    <w:rPr>
      <w:rFonts w:asciiTheme="majorHAnsi" w:eastAsiaTheme="majorEastAsia" w:hAnsiTheme="majorHAnsi" w:cstheme="majorBidi"/>
      <w:b/>
      <w:bCs/>
      <w:kern w:val="2"/>
      <w:sz w:val="32"/>
      <w:szCs w:val="32"/>
    </w:rPr>
  </w:style>
  <w:style w:type="paragraph" w:customStyle="1" w:styleId="TOC1">
    <w:name w:val="TOC 标题1"/>
    <w:basedOn w:val="1"/>
    <w:next w:val="a"/>
    <w:uiPriority w:val="39"/>
    <w:unhideWhenUsed/>
    <w:qFormat/>
    <w:rsid w:val="008073F4"/>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har0">
    <w:name w:val="批注框文本 Char"/>
    <w:basedOn w:val="a1"/>
    <w:link w:val="a6"/>
    <w:uiPriority w:val="99"/>
    <w:semiHidden/>
    <w:qFormat/>
    <w:rsid w:val="008073F4"/>
    <w:rPr>
      <w:rFonts w:ascii="Times New Roman" w:hAnsi="Times New Roman"/>
      <w:kern w:val="2"/>
      <w:sz w:val="18"/>
      <w:szCs w:val="18"/>
    </w:rPr>
  </w:style>
  <w:style w:type="character" w:customStyle="1" w:styleId="3Char">
    <w:name w:val="标题 3 Char"/>
    <w:basedOn w:val="a1"/>
    <w:link w:val="3"/>
    <w:uiPriority w:val="9"/>
    <w:qFormat/>
    <w:rsid w:val="008073F4"/>
    <w:rPr>
      <w:rFonts w:ascii="Times New Roman" w:hAnsi="Times New Roman"/>
      <w:b/>
      <w:bCs/>
      <w:kern w:val="2"/>
      <w:sz w:val="32"/>
      <w:szCs w:val="32"/>
    </w:rPr>
  </w:style>
  <w:style w:type="paragraph" w:customStyle="1" w:styleId="TOC2">
    <w:name w:val="TOC 标题2"/>
    <w:basedOn w:val="1"/>
    <w:next w:val="a"/>
    <w:uiPriority w:val="39"/>
    <w:unhideWhenUsed/>
    <w:qFormat/>
    <w:rsid w:val="008073F4"/>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ac">
    <w:name w:val="四号正文"/>
    <w:basedOn w:val="a"/>
    <w:qFormat/>
    <w:rsid w:val="008073F4"/>
    <w:pPr>
      <w:spacing w:line="360" w:lineRule="auto"/>
    </w:pPr>
    <w:rPr>
      <w:rFonts w:ascii="??" w:hAnsi="??"/>
      <w:color w:val="000000"/>
      <w:kern w:val="0"/>
      <w:sz w:val="28"/>
      <w:szCs w:val="21"/>
      <w:lang w:val="zh-CN"/>
    </w:rPr>
  </w:style>
  <w:style w:type="table" w:styleId="ad">
    <w:name w:val="Table Grid"/>
    <w:basedOn w:val="a2"/>
    <w:qFormat/>
    <w:rsid w:val="00513B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正文-公1"/>
    <w:basedOn w:val="a"/>
    <w:next w:val="a"/>
    <w:qFormat/>
    <w:rsid w:val="00513B7D"/>
    <w:pPr>
      <w:ind w:firstLineChars="200" w:firstLine="200"/>
    </w:pPr>
    <w:rPr>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34</Pages>
  <Words>2039</Words>
  <Characters>11626</Characters>
  <Application>Microsoft Office Word</Application>
  <DocSecurity>0</DocSecurity>
  <Lines>96</Lines>
  <Paragraphs>27</Paragraphs>
  <ScaleCrop>false</ScaleCrop>
  <Company>四川省财政厅</Company>
  <LinksUpToDate>false</LinksUpToDate>
  <CharactersWithSpaces>13638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四川省***</dc:title>
  <dc:creator>曹颖</dc:creator>
  <cp:lastModifiedBy>Administrator</cp:lastModifiedBy>
  <cp:revision>2</cp:revision>
  <cp:lastPrinted>2026-08-03T09:27:00Z</cp:lastPrinted>
  <dcterms:created xsi:type="dcterms:W3CDTF">2026-10-27T11:43:00Z</dcterms:created>
  <dcterms:modified xsi:type="dcterms:W3CDTF">2026-10-27T11:43:00Z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400D301575C74348A5277D00A7902E06</vt:lpwstr>
  </property>
</Properties>
</file>