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tabs>
          <w:tab w:val="left" w:pos="7540"/>
        </w:tabs>
        <w:sectPr>
          <w:headerReference w:type="default" r:id="rId2"/>
          <w:footerReference w:type="default" r:id="rId3"/>
          <w:pgSz w:w="11906" w:h="16838"/>
          <w:pgMar w:top="1440" w:right="1800" w:bottom="1440" w:left="1800" w:header="851" w:footer="992" w:gutter="0"/>
          <w:pgNumType w:start="1"/>
          <w:cols w:num="1" w:space="425"/>
          <w:titlePg/>
          <w:docGrid w:type="lines" w:linePitch="312" w:charSpace="0"/>
        </w:sectPr>
      </w:pPr>
      <w:bookmarkStart w:id="0" w:name="_Toc15396475"/>
      <w:bookmarkStart w:id="1" w:name="_Toc15378441"/>
      <w:bookmarkStart w:id="2" w:name="_Toc15377193"/>
      <w:bookmarkStart w:id="3" w:name="_Toc15396597"/>
      <w:bookmarkStart w:id="4" w:name="_Toc15377425"/>
      <w:bookmarkStart w:id="5" w:name="_Toc15306267"/>
    </w:p>
    <w:p>
      <w:pPr>
        <w:rPr>
          <w:rFonts w:ascii="Times New Roman" w:hAnsi="Times New Roman"/>
        </w:rPr>
      </w:pPr>
    </w:p>
    <w:p>
      <w:pPr>
        <w:pStyle w:val="18"/>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8"/>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8"/>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8"/>
        <w:jc w:val="center"/>
        <w:rPr>
          <w:rFonts w:ascii="Times New Roman" w:eastAsia="方正小标宋简体" w:cs="Times New Roman" w:hAnsi="Times New Roman" w:hint="eastAsia"/>
          <w:color w:val="auto"/>
          <w:kern w:val="2"/>
          <w:sz w:val="44"/>
          <w:szCs w:val="44"/>
          <w:lang w:val="en-US" w:eastAsia="zh-CN" w:bidi="ar-SA"/>
          <w:highlight w:val="none"/>
        </w:rPr>
      </w:pPr>
    </w:p>
    <w:p>
      <w:pPr>
        <w:pStyle w:val="18"/>
        <w:jc w:val="center"/>
        <w:rPr>
          <w:rFonts w:ascii="方正小标宋简体" w:eastAsia="方正小标宋简体" w:cs="方正小标宋简体" w:hAnsi="方正小标宋简体" w:hint="eastAsia"/>
          <w:color w:val="auto"/>
          <w:kern w:val="2"/>
          <w:sz w:val="44"/>
          <w:szCs w:val="44"/>
          <w:lang w:val="en-US" w:eastAsia="zh-CN" w:bidi="ar-SA"/>
          <w:highlight w:val="none"/>
        </w:rPr>
      </w:pPr>
      <w:bookmarkStart w:id="6" w:name="_Toc15396476"/>
      <w:bookmarkStart w:id="7" w:name="_Toc15396598"/>
      <w:bookmarkStart w:id="8" w:name="_Toc15377426"/>
      <w:bookmarkStart w:id="9" w:name="_Toc15377194"/>
      <w:bookmarkStart w:id="10" w:name="_Toc15378442"/>
      <w:bookmarkEnd w:id="0"/>
      <w:bookmarkEnd w:id="1"/>
      <w:bookmarkEnd w:id="2"/>
      <w:bookmarkEnd w:id="3"/>
      <w:bookmarkEnd w:id="4"/>
      <w:r>
        <w:rPr>
          <w:rFonts w:ascii="方正小标宋简体" w:eastAsia="方正小标宋简体" w:cs="方正小标宋简体" w:hAnsi="方正小标宋简体" w:hint="eastAsia"/>
          <w:color w:val="auto"/>
          <w:kern w:val="2"/>
          <w:sz w:val="44"/>
          <w:szCs w:val="44"/>
          <w:lang w:val="en-US" w:eastAsia="zh-CN" w:bidi="ar-SA"/>
          <w:highlight w:val="none"/>
        </w:rPr>
        <w:t>2025年度四川省</w:t>
      </w:r>
      <w:bookmarkStart w:id="11" w:name="_Toc15306268"/>
      <w:bookmarkEnd w:id="5"/>
      <w:r>
        <w:rPr>
          <w:rFonts w:ascii="方正小标宋简体" w:eastAsia="方正小标宋简体" w:cs="方正小标宋简体" w:hAnsi="方正小标宋简体" w:hint="eastAsia"/>
          <w:color w:val="auto"/>
          <w:kern w:val="2"/>
          <w:sz w:val="44"/>
          <w:szCs w:val="44"/>
          <w:lang w:val="en-US" w:eastAsia="zh-CN" w:bidi="ar-SA"/>
          <w:highlight w:val="none"/>
        </w:rPr>
        <w:t>红原县统计局部门决算</w:t>
      </w:r>
      <w:bookmarkEnd w:id="6"/>
      <w:bookmarkEnd w:id="7"/>
      <w:bookmarkEnd w:id="8"/>
      <w:bookmarkEnd w:id="9"/>
      <w:bookmarkEnd w:id="10"/>
      <w:bookmarkEnd w:id="11"/>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lang w:val="en-US" w:eastAsia="zh-CN"/>
          <w:highlight w:val="none"/>
        </w:rPr>
      </w:pPr>
    </w:p>
    <w:p>
      <w:pPr>
        <w:widowControl/>
        <w:jc w:val="center"/>
        <w:rPr>
          <w:rFonts w:ascii="Times New Roman" w:eastAsia="黑体" w:hAnsi="Times New Roman" w:hint="eastAsia"/>
          <w:color w:val="auto"/>
          <w:sz w:val="48"/>
          <w:szCs w:val="48"/>
          <w:highlight w:val="none"/>
        </w:rPr>
        <w:sectPr>
          <w:footerReference w:type="default" r:id="rId4"/>
          <w:footerReference w:type="first" r:id="rId5"/>
          <w:pgSz w:w="11906" w:h="16838"/>
          <w:pgMar w:top="1440" w:right="1800" w:bottom="1440" w:left="1800" w:header="851" w:footer="992" w:gutter="0"/>
          <w:pgNumType w:start="4"/>
          <w:cols w:num="1" w:space="425"/>
          <w:titlePg/>
          <w:docGrid w:type="lines" w:linePitch="312" w:charSpace="0"/>
        </w:sectPr>
      </w:pPr>
    </w:p>
    <w:p>
      <w:pPr>
        <w:widowControl/>
        <w:jc w:val="center"/>
        <w:rPr>
          <w:rFonts w:ascii="Times New Roman" w:eastAsia="黑体" w:hAnsi="Times New Roman"/>
          <w:color w:val="auto"/>
          <w:sz w:val="48"/>
          <w:szCs w:val="48"/>
          <w:highlight w:val="none"/>
        </w:rPr>
      </w:pPr>
      <w:r>
        <w:rPr>
          <w:rFonts w:ascii="Times New Roman" w:eastAsia="黑体" w:hAnsi="Times New Roman" w:hint="eastAsia"/>
          <w:color w:val="auto"/>
          <w:sz w:val="48"/>
          <w:szCs w:val="48"/>
          <w:highlight w:val="none"/>
        </w:rPr>
        <w:t>目录</w:t>
      </w:r>
    </w:p>
    <w:p>
      <w:pPr>
        <w:widowControl/>
        <w:jc w:val="center"/>
        <w:rPr>
          <w:rFonts w:ascii="Times New Roman" w:eastAsia="黑体" w:cs="Arial" w:hAnsi="Times New Roman"/>
          <w:color w:val="auto"/>
          <w:sz w:val="28"/>
          <w:szCs w:val="28"/>
          <w:highlight w:val="none"/>
        </w:rPr>
      </w:pPr>
    </w:p>
    <w:p>
      <w:pPr>
        <w:pStyle w:val="23"/>
        <w:tabs>
          <w:tab w:val="right" w:leader="dot" w:pos="8296"/>
        </w:tabs>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公开时间：20</w:t>
      </w:r>
      <w:r>
        <w:rPr>
          <w:rFonts w:ascii="Times New Roman" w:eastAsia="仿宋_GB2312" w:cs="仿宋_GB2312" w:hAnsi="Times New Roman" w:hint="eastAsia"/>
          <w:color w:val="auto"/>
          <w:sz w:val="32"/>
          <w:szCs w:val="32"/>
          <w:lang w:val="en-US" w:eastAsia="zh-CN"/>
          <w:highlight w:val="none"/>
        </w:rPr>
        <w:t>26</w:t>
      </w:r>
      <w:r>
        <w:rPr>
          <w:rFonts w:ascii="Times New Roman" w:eastAsia="仿宋_GB2312" w:cs="仿宋_GB2312" w:hAnsi="Times New Roman" w:hint="eastAsia"/>
          <w:color w:val="auto"/>
          <w:sz w:val="32"/>
          <w:szCs w:val="32"/>
          <w:highlight w:val="none"/>
        </w:rPr>
        <w:t>年</w:t>
      </w:r>
      <w:r>
        <w:rPr>
          <w:rFonts w:ascii="Times New Roman" w:eastAsia="仿宋_GB2312" w:cs="仿宋_GB2312" w:hAnsi="Times New Roman" w:hint="eastAsia"/>
          <w:color w:val="auto"/>
          <w:sz w:val="32"/>
          <w:szCs w:val="32"/>
          <w:lang w:val="en-US" w:eastAsia="zh-CN"/>
          <w:highlight w:val="none"/>
        </w:rPr>
        <w:t xml:space="preserve"> 10 </w:t>
      </w:r>
      <w:r>
        <w:rPr>
          <w:rFonts w:ascii="Times New Roman" w:eastAsia="仿宋_GB2312" w:cs="仿宋_GB2312" w:hAnsi="Times New Roman" w:hint="eastAsia"/>
          <w:color w:val="auto"/>
          <w:sz w:val="32"/>
          <w:szCs w:val="32"/>
          <w:highlight w:val="none"/>
        </w:rPr>
        <w:t>月</w:t>
      </w:r>
      <w:r>
        <w:rPr>
          <w:rFonts w:ascii="Times New Roman" w:eastAsia="仿宋_GB2312" w:cs="仿宋_GB2312" w:hAnsi="Times New Roman" w:hint="eastAsia"/>
          <w:color w:val="auto"/>
          <w:sz w:val="32"/>
          <w:szCs w:val="32"/>
          <w:lang w:val="en-US" w:eastAsia="zh-CN"/>
          <w:highlight w:val="none"/>
        </w:rPr>
        <w:t xml:space="preserve"> 26 </w:t>
      </w:r>
      <w:r>
        <w:rPr>
          <w:rFonts w:ascii="Times New Roman" w:eastAsia="仿宋_GB2312" w:cs="仿宋_GB2312" w:hAnsi="Times New Roman" w:hint="eastAsia"/>
          <w:color w:val="auto"/>
          <w:sz w:val="32"/>
          <w:szCs w:val="32"/>
          <w:highlight w:val="none"/>
        </w:rPr>
        <w:t>日</w:t>
      </w:r>
    </w:p>
    <w:p>
      <w:pPr>
        <w:rPr>
          <w:rFonts w:ascii="Times New Roman" w:hAnsi="Times New Roman"/>
          <w:color w:val="auto"/>
          <w:highlight w:val="none"/>
        </w:rPr>
      </w:pPr>
    </w:p>
    <w:p>
      <w:pPr>
        <w:pStyle w:val="23"/>
        <w:keepNext w:val="0"/>
        <w:keepLines w:val="0"/>
        <w:pageBreakBefore w:val="0"/>
        <w:tabs>
          <w:tab w:val="right" w:leader="dot" w:pos="8296"/>
        </w:tabs>
        <w:kinsoku/>
        <w:wordWrap/>
        <w:overflowPunct/>
        <w:topLinePunct w:val="0"/>
        <w:autoSpaceDE/>
        <w:autoSpaceDN/>
        <w:bidi w:val="0"/>
        <w:adjustRightInd w:val="0"/>
        <w:snapToGrid w:val="0"/>
        <w:spacing w:before="0" w:line="560" w:lineRule="exact"/>
        <w:jc w:val="left"/>
        <w:textAlignment w:val="auto"/>
        <w:rPr>
          <w:rFonts w:ascii="Times New Roman" w:eastAsia="黑体" w:cs="黑体" w:hAnsi="Times New Roman" w:hint="eastAsia"/>
          <w:color w:val="auto"/>
          <w:sz w:val="32"/>
          <w:szCs w:val="32"/>
          <w:highlight w:val="none"/>
        </w:rPr>
      </w:pPr>
      <w:r>
        <w:rPr>
          <w:rFonts w:ascii="Times New Roman" w:eastAsia="黑体" w:cs="黑体" w:hAnsi="Times New Roman" w:hint="eastAsia"/>
          <w:color w:val="auto"/>
          <w:sz w:val="32"/>
          <w:szCs w:val="32"/>
          <w:highlight w:val="none"/>
        </w:rPr>
        <w:t>第一部分 部门概况</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一、</w:t>
      </w:r>
      <w:r>
        <w:rPr>
          <w:rFonts w:ascii="Times New Roman" w:eastAsia="仿宋_GB2312" w:cs="仿宋_GB2312" w:hAnsi="Times New Roman" w:hint="eastAsia"/>
          <w:color w:val="auto"/>
          <w:sz w:val="32"/>
          <w:szCs w:val="32"/>
          <w:lang w:eastAsia="zh-CN"/>
          <w:highlight w:val="none"/>
        </w:rPr>
        <w:t>部门职责</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二、机构设置</w:t>
      </w:r>
    </w:p>
    <w:p>
      <w:pPr>
        <w:pStyle w:val="23"/>
        <w:keepNext w:val="0"/>
        <w:keepLines w:val="0"/>
        <w:pageBreakBefore w:val="0"/>
        <w:tabs>
          <w:tab w:val="right" w:leader="dot" w:pos="8296"/>
        </w:tabs>
        <w:kinsoku/>
        <w:wordWrap/>
        <w:overflowPunct/>
        <w:topLinePunct w:val="0"/>
        <w:autoSpaceDE/>
        <w:autoSpaceDN/>
        <w:bidi w:val="0"/>
        <w:adjustRightInd w:val="0"/>
        <w:snapToGrid w:val="0"/>
        <w:spacing w:before="0" w:line="560" w:lineRule="exact"/>
        <w:jc w:val="left"/>
        <w:textAlignment w:val="auto"/>
        <w:rPr>
          <w:rFonts w:ascii="Times New Roman" w:eastAsia="黑体" w:cs="黑体" w:hAnsi="Times New Roman" w:hint="eastAsia"/>
          <w:color w:val="auto"/>
          <w:sz w:val="32"/>
          <w:szCs w:val="32"/>
          <w:highlight w:val="none"/>
        </w:rPr>
      </w:pPr>
      <w:r>
        <w:rPr>
          <w:rFonts w:ascii="Times New Roman" w:eastAsia="黑体" w:cs="黑体" w:hAnsi="Times New Roman" w:hint="eastAsia"/>
          <w:color w:val="auto"/>
          <w:sz w:val="32"/>
          <w:szCs w:val="32"/>
          <w:highlight w:val="none"/>
        </w:rPr>
        <w:t>第二部分</w:t>
      </w:r>
      <w:r>
        <w:rPr>
          <w:rFonts w:ascii="Times New Roman" w:eastAsia="黑体" w:cs="黑体" w:hAnsi="Times New Roman" w:hint="eastAsia"/>
          <w:color w:val="auto"/>
          <w:sz w:val="32"/>
          <w:szCs w:val="32"/>
          <w:lang w:val="en-US" w:eastAsia="zh-CN"/>
          <w:highlight w:val="none"/>
        </w:rPr>
        <w:t xml:space="preserve"> 2025年度</w:t>
      </w:r>
      <w:r>
        <w:rPr>
          <w:rFonts w:ascii="Times New Roman" w:eastAsia="黑体" w:cs="黑体" w:hAnsi="Times New Roman" w:hint="eastAsia"/>
          <w:color w:val="auto"/>
          <w:sz w:val="32"/>
          <w:szCs w:val="32"/>
          <w:highlight w:val="none"/>
        </w:rPr>
        <w:t>部门决算情况说明</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一、收入支出决算总体情况说明</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二、收入决算情况说明</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三、支出决算情况说明</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四、财政拨款收入支出决算总体情况说明</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五、一般公共预算财政拨款支出决算情况说明</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六、一般公共预算财政拨款基本支出决算情况说明</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七、财政拨款</w:t>
      </w:r>
      <w:r>
        <w:rPr>
          <w:rFonts w:ascii="Times New Roman" w:eastAsia="仿宋_GB2312" w:cs="仿宋_GB2312" w:hAnsi="Times New Roman" w:hint="eastAsia"/>
          <w:color w:val="auto"/>
          <w:sz w:val="32"/>
          <w:szCs w:val="32"/>
          <w:lang w:eastAsia="zh-CN"/>
          <w:highlight w:val="none"/>
        </w:rPr>
        <w:t>“</w:t>
      </w:r>
      <w:r>
        <w:rPr>
          <w:rFonts w:ascii="Times New Roman" w:eastAsia="仿宋_GB2312" w:cs="仿宋_GB2312" w:hAnsi="Times New Roman" w:hint="eastAsia"/>
          <w:color w:val="auto"/>
          <w:sz w:val="32"/>
          <w:szCs w:val="32"/>
          <w:highlight w:val="none"/>
        </w:rPr>
        <w:t>三公”经费支出决算情况说明</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八、政府性基金预算支出决算情况说明</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九、</w:t>
      </w:r>
      <w:r>
        <w:rPr>
          <w:rFonts w:ascii="Times New Roman" w:eastAsia="仿宋_GB2312" w:cs="仿宋_GB2312" w:hAnsi="Times New Roman" w:hint="eastAsia"/>
          <w:color w:val="auto"/>
          <w:sz w:val="32"/>
          <w:szCs w:val="32"/>
          <w:lang w:eastAsia="zh-CN"/>
          <w:highlight w:val="none"/>
        </w:rPr>
        <w:t>国</w:t>
      </w:r>
      <w:r>
        <w:rPr>
          <w:rFonts w:ascii="Times New Roman" w:eastAsia="仿宋_GB2312" w:cs="仿宋_GB2312" w:hAnsi="Times New Roman" w:hint="eastAsia"/>
          <w:color w:val="auto"/>
          <w:sz w:val="32"/>
          <w:szCs w:val="32"/>
          <w:highlight w:val="none"/>
        </w:rPr>
        <w:t>有资本经营预算支出决算情况说明</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lang w:eastAsia="zh-CN"/>
          <w:highlight w:val="none"/>
        </w:rPr>
        <w:t>十</w:t>
      </w:r>
      <w:r>
        <w:rPr>
          <w:rFonts w:ascii="Times New Roman" w:eastAsia="仿宋_GB2312" w:cs="仿宋_GB2312" w:hAnsi="Times New Roman" w:hint="eastAsia"/>
          <w:color w:val="auto"/>
          <w:sz w:val="32"/>
          <w:szCs w:val="32"/>
          <w:highlight w:val="none"/>
        </w:rPr>
        <w:t>、其他重要事项的情况说明</w:t>
      </w:r>
    </w:p>
    <w:p>
      <w:pPr>
        <w:pStyle w:val="23"/>
        <w:keepNext w:val="0"/>
        <w:keepLines w:val="0"/>
        <w:pageBreakBefore w:val="0"/>
        <w:tabs>
          <w:tab w:val="right" w:leader="dot" w:pos="8296"/>
        </w:tabs>
        <w:kinsoku/>
        <w:wordWrap/>
        <w:overflowPunct/>
        <w:topLinePunct w:val="0"/>
        <w:autoSpaceDE/>
        <w:autoSpaceDN/>
        <w:bidi w:val="0"/>
        <w:adjustRightInd w:val="0"/>
        <w:snapToGrid w:val="0"/>
        <w:spacing w:before="0" w:line="560" w:lineRule="exact"/>
        <w:jc w:val="left"/>
        <w:textAlignment w:val="auto"/>
        <w:rPr>
          <w:rFonts w:ascii="Times New Roman" w:eastAsia="黑体" w:cs="黑体" w:hAnsi="Times New Roman" w:hint="eastAsia"/>
          <w:color w:val="auto"/>
          <w:sz w:val="32"/>
          <w:szCs w:val="32"/>
          <w:highlight w:val="none"/>
        </w:rPr>
      </w:pPr>
      <w:r>
        <w:rPr>
          <w:rFonts w:ascii="Times New Roman" w:eastAsia="黑体" w:cs="黑体" w:hAnsi="Times New Roman" w:hint="eastAsia"/>
          <w:color w:val="auto"/>
          <w:sz w:val="32"/>
          <w:szCs w:val="32"/>
          <w:highlight w:val="none"/>
        </w:rPr>
        <w:t>第三部分 名词解释</w:t>
      </w:r>
    </w:p>
    <w:p>
      <w:pPr>
        <w:pStyle w:val="23"/>
        <w:keepNext w:val="0"/>
        <w:keepLines w:val="0"/>
        <w:pageBreakBefore w:val="0"/>
        <w:tabs>
          <w:tab w:val="right" w:leader="dot" w:pos="8296"/>
        </w:tabs>
        <w:kinsoku/>
        <w:wordWrap/>
        <w:overflowPunct/>
        <w:topLinePunct w:val="0"/>
        <w:autoSpaceDE/>
        <w:autoSpaceDN/>
        <w:bidi w:val="0"/>
        <w:adjustRightInd w:val="0"/>
        <w:snapToGrid w:val="0"/>
        <w:spacing w:before="0" w:line="560" w:lineRule="exact"/>
        <w:jc w:val="left"/>
        <w:textAlignment w:val="auto"/>
        <w:rPr>
          <w:rFonts w:ascii="Times New Roman" w:eastAsia="黑体" w:cs="黑体" w:hAnsi="Times New Roman" w:hint="eastAsia"/>
          <w:color w:val="auto"/>
          <w:sz w:val="32"/>
          <w:szCs w:val="32"/>
          <w:highlight w:val="none"/>
        </w:rPr>
      </w:pPr>
      <w:r>
        <w:rPr>
          <w:rFonts w:ascii="Times New Roman" w:eastAsia="黑体" w:cs="黑体" w:hAnsi="Times New Roman" w:hint="eastAsia"/>
          <w:color w:val="auto"/>
          <w:sz w:val="32"/>
          <w:szCs w:val="32"/>
          <w:highlight w:val="none"/>
        </w:rPr>
        <w:t>第四部分 附件</w:t>
      </w:r>
    </w:p>
    <w:p>
      <w:pPr>
        <w:pStyle w:val="23"/>
        <w:keepNext w:val="0"/>
        <w:keepLines w:val="0"/>
        <w:pageBreakBefore w:val="0"/>
        <w:tabs>
          <w:tab w:val="right" w:leader="dot" w:pos="8296"/>
        </w:tabs>
        <w:kinsoku/>
        <w:wordWrap/>
        <w:overflowPunct/>
        <w:topLinePunct w:val="0"/>
        <w:autoSpaceDE/>
        <w:autoSpaceDN/>
        <w:bidi w:val="0"/>
        <w:adjustRightInd w:val="0"/>
        <w:snapToGrid w:val="0"/>
        <w:spacing w:before="0" w:line="560" w:lineRule="exact"/>
        <w:jc w:val="left"/>
        <w:textAlignment w:val="auto"/>
        <w:rPr>
          <w:rFonts w:ascii="Times New Roman" w:eastAsia="黑体" w:cs="黑体" w:hAnsi="Times New Roman" w:hint="eastAsia"/>
          <w:color w:val="auto"/>
          <w:sz w:val="32"/>
          <w:szCs w:val="32"/>
          <w:highlight w:val="none"/>
        </w:rPr>
      </w:pPr>
      <w:r>
        <w:rPr>
          <w:rFonts w:ascii="Times New Roman" w:eastAsia="黑体" w:cs="黑体" w:hAnsi="Times New Roman" w:hint="eastAsia"/>
          <w:color w:val="auto"/>
          <w:sz w:val="32"/>
          <w:szCs w:val="32"/>
          <w:highlight w:val="none"/>
        </w:rPr>
        <w:t>第五部分 附表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一、收入支出决算总表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二、收入决算表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三、支出决算表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四、财政拨款收入支出决算总表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五、财政拨款支出决算明细表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六、一般公共预算财政拨款支出决算表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七、一般公共预算财政拨款支出决算明细表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八、一般公共预算财政拨款基本支出决算</w:t>
      </w:r>
      <w:r>
        <w:rPr>
          <w:rFonts w:ascii="Times New Roman" w:eastAsia="仿宋_GB2312" w:cs="仿宋_GB2312" w:hAnsi="Times New Roman" w:hint="eastAsia"/>
          <w:color w:val="auto"/>
          <w:sz w:val="32"/>
          <w:szCs w:val="32"/>
          <w:lang w:eastAsia="zh-CN"/>
          <w:highlight w:val="none"/>
        </w:rPr>
        <w:t>明细</w:t>
      </w:r>
      <w:r>
        <w:rPr>
          <w:rFonts w:ascii="Times New Roman" w:eastAsia="仿宋_GB2312" w:cs="仿宋_GB2312" w:hAnsi="Times New Roman" w:hint="eastAsia"/>
          <w:color w:val="auto"/>
          <w:sz w:val="32"/>
          <w:szCs w:val="32"/>
          <w:highlight w:val="none"/>
        </w:rPr>
        <w:t>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九、一般公共预算财政拨款项目支出决算表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十、政府性基金预算财政拨款收入支出决算表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十一、国有资本经营预算财政拨款收入支出决算表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十二、</w:t>
      </w:r>
      <w:r>
        <w:rPr>
          <w:rFonts w:ascii="Times New Roman" w:eastAsia="仿宋_GB2312" w:cs="仿宋_GB2312" w:hAnsi="Times New Roman" w:hint="eastAsia"/>
          <w:color w:val="auto"/>
          <w:sz w:val="32"/>
          <w:szCs w:val="32"/>
          <w:lang w:val="en-US" w:eastAsia="zh-CN"/>
          <w:highlight w:val="none"/>
        </w:rPr>
        <w:t>国有资本经营预算财政拨款支出决算表</w:t>
      </w:r>
    </w:p>
    <w:p>
      <w:pPr>
        <w:pStyle w:val="24"/>
        <w:keepNext w:val="0"/>
        <w:keepLines w:val="0"/>
        <w:pageBreakBefore w:val="0"/>
        <w:widowControl w:val="0"/>
        <w:tabs>
          <w:tab w:val="right" w:leader="dot" w:pos="8296"/>
        </w:tabs>
        <w:kinsoku/>
        <w:wordWrap/>
        <w:overflowPunct/>
        <w:topLinePunct w:val="0"/>
        <w:autoSpaceDE/>
        <w:autoSpaceDN/>
        <w:bidi w:val="0"/>
        <w:adjustRightInd w:val="0"/>
        <w:snapToGrid w:val="0"/>
        <w:spacing w:line="560" w:lineRule="exact"/>
        <w:ind w:leftChars="0" w:left="0" w:firstLineChars="200" w:firstLine="640"/>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十三、财政拨款“三公”经费支出决算表</w:t>
      </w:r>
    </w:p>
    <w:p>
      <w:pPr>
        <w:pStyle w:val="1"/>
        <w:jc w:val="center"/>
        <w:rPr>
          <w:rFonts w:ascii="Times New Roman" w:eastAsia="方正小标宋简体" w:cs="方正小标宋简体" w:hAnsi="Times New Roman"/>
          <w:b w:val="0"/>
          <w:color w:val="auto"/>
          <w:highlight w:val="none"/>
        </w:rPr>
        <w:sectPr>
          <w:footerReference w:type="default" r:id="rId6"/>
          <w:footerReference w:type="first" r:id="rId7"/>
          <w:pgSz w:w="11906" w:h="16838"/>
          <w:pgMar w:top="1440" w:right="1800" w:bottom="1440" w:left="1800" w:header="851" w:footer="992" w:gutter="0"/>
          <w:pgNumType w:start="1"/>
          <w:cols w:num="1" w:space="425"/>
          <w:docGrid w:type="lines" w:linePitch="312" w:charSpace="0"/>
        </w:sectPr>
      </w:pPr>
      <w:bookmarkStart w:id="12" w:name="_Toc15377196"/>
      <w:bookmarkStart w:id="13" w:name="_Toc15396599"/>
    </w:p>
    <w:p>
      <w:pPr>
        <w:pStyle w:val="1"/>
        <w:jc w:val="center"/>
        <w:rPr>
          <w:rStyle w:val="1Char"/>
          <w:rFonts w:ascii="Times New Roman" w:eastAsia="方正小标宋简体" w:cs="方正小标宋简体" w:hAnsi="Times New Roman" w:hint="eastAsia"/>
          <w:b/>
          <w:bCs w:val="0"/>
          <w:color w:val="auto"/>
          <w:highlight w:val="none"/>
        </w:rPr>
      </w:pPr>
      <w:r>
        <w:rPr>
          <w:rFonts w:ascii="Times New Roman" w:eastAsia="方正小标宋简体" w:cs="方正小标宋简体" w:hAnsi="Times New Roman" w:hint="eastAsia"/>
          <w:b w:val="0"/>
          <w:color w:val="auto"/>
          <w:highlight w:val="none"/>
        </w:rPr>
        <w:t>第一部分</w:t>
      </w:r>
      <w:r>
        <w:rPr>
          <w:rFonts w:ascii="Times New Roman" w:eastAsia="方正小标宋简体" w:cs="方正小标宋简体" w:hAnsi="Times New Roman" w:hint="eastAsia"/>
          <w:b w:val="0"/>
          <w:color w:val="auto"/>
          <w:lang w:val="en-US" w:eastAsia="zh-CN"/>
          <w:highlight w:val="none"/>
        </w:rPr>
        <w:t xml:space="preserve"> </w:t>
      </w:r>
      <w:r>
        <w:rPr>
          <w:rFonts w:ascii="Times New Roman" w:eastAsia="方正小标宋简体" w:cs="方正小标宋简体" w:hAnsi="Times New Roman" w:hint="eastAsia"/>
          <w:b w:val="0"/>
          <w:color w:val="auto"/>
          <w:highlight w:val="none"/>
        </w:rPr>
        <w:t xml:space="preserve"> </w:t>
      </w:r>
      <w:r>
        <w:rPr>
          <w:rStyle w:val="1Char"/>
          <w:rFonts w:ascii="Times New Roman" w:eastAsia="方正小标宋简体" w:cs="方正小标宋简体" w:hAnsi="Times New Roman" w:hint="eastAsia"/>
          <w:b w:val="0"/>
          <w:bCs w:val="0"/>
          <w:color w:val="auto"/>
          <w:highlight w:val="none"/>
        </w:rPr>
        <w:t>部门概况</w:t>
      </w:r>
      <w:bookmarkEnd w:id="12"/>
      <w:bookmarkEnd w:id="13"/>
    </w:p>
    <w:p>
      <w:pPr>
        <w:widowControl/>
        <w:jc w:val="left"/>
        <w:rPr>
          <w:rFonts w:ascii="Times New Roman" w:eastAsia="黑体" w:hAnsi="Times New Roman"/>
          <w:color w:val="auto"/>
          <w:sz w:val="32"/>
          <w:szCs w:val="32"/>
          <w:highlight w:val="none"/>
        </w:rPr>
      </w:pPr>
    </w:p>
    <w:p>
      <w:pPr>
        <w:pStyle w:val="2"/>
        <w:numPr>
          <w:ilvl w:val="0"/>
          <w:numId w:val="1"/>
        </w:numPr>
        <w:rPr>
          <w:rFonts w:ascii="Times New Roman" w:eastAsia="黑体" w:hAnsi="Times New Roman"/>
          <w:b w:val="0"/>
          <w:color w:val="auto"/>
          <w:lang w:eastAsia="zh-CN"/>
        </w:rPr>
      </w:pPr>
      <w:bookmarkStart w:id="14" w:name="_Toc15377197"/>
      <w:bookmarkStart w:id="15" w:name="_Toc15396600"/>
      <w:bookmarkEnd w:id="14"/>
      <w:bookmarkEnd w:id="15"/>
      <w:r>
        <w:rPr>
          <w:rFonts w:ascii="Times New Roman" w:eastAsia="黑体" w:hAnsi="Times New Roman" w:hint="eastAsia"/>
          <w:b w:val="0"/>
          <w:color w:val="auto"/>
          <w:lang w:eastAsia="zh-CN"/>
        </w:rPr>
        <w:t>部门职责</w:t>
      </w:r>
    </w:p>
    <w:p>
      <w:pPr>
        <w:spacing w:line="557" w:lineRule="atLeast"/>
        <w:ind w:firstLine="639"/>
        <w:rPr>
          <w:rFonts w:ascii="仿宋_GB2312" w:eastAsia="仿宋_GB2312" w:hAnsi="仿宋_GB2312" w:hint="eastAsia"/>
          <w:sz w:val="32"/>
        </w:rPr>
      </w:pPr>
      <w:r>
        <w:rPr>
          <w:rFonts w:ascii="仿宋_GB2312" w:eastAsia="仿宋_GB2312" w:hAnsi="仿宋_GB2312" w:hint="eastAsia"/>
          <w:sz w:val="32"/>
        </w:rPr>
        <w:t>红原县</w:t>
      </w:r>
      <w:r>
        <w:rPr>
          <w:rFonts w:ascii="仿宋_GB2312" w:eastAsia="仿宋_GB2312" w:hAnsi="仿宋_GB2312" w:hint="eastAsia"/>
          <w:sz w:val="32"/>
          <w:lang w:val="en-US" w:eastAsia="zh-CN"/>
        </w:rPr>
        <w:t>统计</w:t>
      </w:r>
      <w:r>
        <w:rPr>
          <w:rFonts w:ascii="仿宋_GB2312" w:eastAsia="仿宋_GB2312" w:hAnsi="仿宋_GB2312" w:hint="eastAsia"/>
          <w:sz w:val="32"/>
        </w:rPr>
        <w:t>局的主要职责是：</w:t>
      </w:r>
    </w:p>
    <w:p>
      <w:pPr>
        <w:ind w:firstLineChars="200" w:firstLine="640"/>
        <w:rPr>
          <w:rFonts w:ascii="仿宋_GB2312" w:eastAsia="仿宋_GB2312" w:hAnsi="仿宋_GB2312" w:hint="eastAsia"/>
          <w:bCs/>
          <w:color w:val="000000"/>
          <w:sz w:val="32"/>
          <w:szCs w:val="22"/>
        </w:rPr>
      </w:pPr>
      <w:r>
        <w:rPr>
          <w:rFonts w:ascii="仿宋_GB2312" w:eastAsia="仿宋_GB2312" w:hAnsi="仿宋_GB2312" w:hint="eastAsia"/>
          <w:bCs/>
          <w:color w:val="000000"/>
          <w:sz w:val="32"/>
          <w:szCs w:val="22"/>
        </w:rPr>
        <w:t>(一)负责组织实施上级业务主管部门及县委、县政府规定和下达的统计调查任务，统计现代化建设规划；组织领导和综合协调各乡镇、各部门的统计和国民经济核算工作。</w:t>
      </w:r>
    </w:p>
    <w:p>
      <w:pPr>
        <w:ind w:firstLineChars="200" w:firstLine="640"/>
        <w:rPr>
          <w:rFonts w:ascii="仿宋_GB2312" w:eastAsia="仿宋_GB2312" w:hAnsi="仿宋_GB2312" w:hint="eastAsia"/>
          <w:bCs/>
          <w:color w:val="000000"/>
          <w:sz w:val="32"/>
          <w:szCs w:val="22"/>
        </w:rPr>
      </w:pPr>
      <w:r>
        <w:rPr>
          <w:rFonts w:ascii="仿宋_GB2312" w:eastAsia="仿宋_GB2312" w:hAnsi="仿宋_GB2312" w:hint="eastAsia"/>
          <w:bCs/>
          <w:color w:val="000000"/>
          <w:sz w:val="32"/>
          <w:szCs w:val="22"/>
        </w:rPr>
        <w:t>(二)在县委、县政府统一领导下，会同有关部门组织实施重大的国情国力普查；负责组织协调各乡镇、各部门的统计调查、社会经济调查、社会监测；组织全县统计报表的管理工作。</w:t>
      </w:r>
    </w:p>
    <w:p>
      <w:pPr>
        <w:pStyle w:val="102"/>
        <w:spacing w:line="320" w:lineRule="atLeast"/>
        <w:ind w:firstLineChars="200" w:firstLine="640"/>
        <w:rPr>
          <w:rFonts w:ascii="仿宋_GB2312" w:eastAsia="仿宋_GB2312" w:hAnsi="仿宋_GB2312" w:hint="eastAsia"/>
          <w:bCs/>
          <w:color w:val="000000"/>
          <w:sz w:val="32"/>
          <w:szCs w:val="22"/>
        </w:rPr>
      </w:pPr>
      <w:r>
        <w:rPr>
          <w:rFonts w:ascii="仿宋_GB2312" w:eastAsia="仿宋_GB2312" w:hAnsi="仿宋_GB2312" w:hint="eastAsia"/>
          <w:bCs/>
          <w:color w:val="000000"/>
          <w:sz w:val="32"/>
          <w:szCs w:val="22"/>
        </w:rPr>
        <w:t>(三)搜集、整理、提供全县性的基本统计资料，并对国民经济、社会发展和科技进步情况进行统计分析、统计预测和统计监督，向县委、县政府及有关部门提供咨询建议；搜集、整理、提供全州各县基本统计资料，并进行对比、分析研究。</w:t>
      </w:r>
    </w:p>
    <w:p>
      <w:pPr>
        <w:pStyle w:val="102"/>
        <w:spacing w:line="320" w:lineRule="atLeast"/>
        <w:ind w:firstLineChars="200" w:firstLine="640"/>
        <w:rPr>
          <w:rFonts w:ascii="仿宋_GB2312" w:eastAsia="仿宋_GB2312" w:hAnsi="仿宋_GB2312" w:hint="eastAsia"/>
          <w:bCs/>
          <w:color w:val="000000"/>
          <w:sz w:val="32"/>
          <w:szCs w:val="22"/>
        </w:rPr>
      </w:pPr>
      <w:r>
        <w:rPr>
          <w:rFonts w:ascii="仿宋_GB2312" w:eastAsia="仿宋_GB2312" w:hAnsi="仿宋_GB2312" w:hint="eastAsia"/>
          <w:bCs/>
          <w:color w:val="000000"/>
          <w:sz w:val="32"/>
          <w:szCs w:val="22"/>
        </w:rPr>
        <w:t>(四)统一核定、管理、公布全县性的基本统计资料，定期发布全县国民经济和社会发展情况统计公报。</w:t>
      </w:r>
    </w:p>
    <w:p>
      <w:pPr>
        <w:pStyle w:val="102"/>
        <w:spacing w:line="320" w:lineRule="atLeast"/>
        <w:ind w:firstLineChars="200" w:firstLine="640"/>
        <w:rPr>
          <w:rFonts w:ascii="仿宋_GB2312" w:eastAsia="仿宋_GB2312" w:hAnsi="仿宋_GB2312" w:hint="eastAsia"/>
          <w:bCs/>
          <w:color w:val="000000"/>
          <w:sz w:val="32"/>
          <w:szCs w:val="22"/>
        </w:rPr>
      </w:pPr>
      <w:r>
        <w:rPr>
          <w:rFonts w:ascii="仿宋_GB2312" w:eastAsia="仿宋_GB2312" w:hAnsi="仿宋_GB2312" w:hint="eastAsia"/>
          <w:bCs/>
          <w:color w:val="000000"/>
          <w:sz w:val="32"/>
          <w:szCs w:val="22"/>
        </w:rPr>
        <w:t>(五)逐步建立、健全和管理全县统计信息自动化系统和全县统计数据数据库体系；组织协调和统一管理各乡镇、各部门的统计数据库网络。</w:t>
      </w:r>
    </w:p>
    <w:p>
      <w:pPr>
        <w:pStyle w:val="102"/>
        <w:spacing w:line="320" w:lineRule="atLeast"/>
        <w:ind w:firstLineChars="200" w:firstLine="640"/>
        <w:rPr>
          <w:rFonts w:ascii="仿宋_GB2312" w:eastAsia="仿宋_GB2312" w:hAnsi="仿宋_GB2312" w:hint="eastAsia"/>
          <w:bCs/>
          <w:color w:val="000000"/>
          <w:sz w:val="32"/>
          <w:szCs w:val="22"/>
        </w:rPr>
      </w:pPr>
      <w:r>
        <w:rPr>
          <w:rFonts w:ascii="仿宋_GB2312" w:eastAsia="仿宋_GB2312" w:hAnsi="仿宋_GB2312" w:hint="eastAsia"/>
          <w:bCs/>
          <w:color w:val="000000"/>
          <w:sz w:val="32"/>
          <w:szCs w:val="22"/>
        </w:rPr>
        <w:t>(六)组织指导统计教育、统计干部培训工作，组织实施全县统计专业职务资格的统一考试和统计人员上岗培训及资格考试的有关工作；切实抓好对统计干部的教育培训工作；指导和管理统计专业技术人员继续教育工作。</w:t>
      </w:r>
    </w:p>
    <w:p>
      <w:pPr>
        <w:pStyle w:val="102"/>
        <w:spacing w:line="320" w:lineRule="atLeast"/>
        <w:ind w:firstLineChars="200" w:firstLine="640"/>
        <w:rPr>
          <w:rFonts w:ascii="仿宋_GB2312" w:eastAsia="仿宋_GB2312" w:hAnsi="仿宋_GB2312" w:hint="eastAsia"/>
          <w:bCs/>
          <w:color w:val="000000"/>
          <w:sz w:val="32"/>
          <w:szCs w:val="22"/>
        </w:rPr>
      </w:pPr>
      <w:r>
        <w:rPr>
          <w:rFonts w:ascii="仿宋_GB2312" w:eastAsia="仿宋_GB2312" w:hAnsi="仿宋_GB2312" w:hint="eastAsia"/>
          <w:bCs/>
          <w:color w:val="000000"/>
          <w:sz w:val="32"/>
          <w:szCs w:val="22"/>
        </w:rPr>
        <w:t>(七)依照《统计法》和《统计法实施细则》及《四川省统计管理条例》的有关规定，监督检查统计法律法规在我县的贯彻实施，组织统计执法检查，查处统计违法案件。</w:t>
      </w:r>
    </w:p>
    <w:p>
      <w:pPr>
        <w:pStyle w:val="102"/>
        <w:numPr>
          <w:ilvl w:val="0"/>
          <w:numId w:val="2"/>
        </w:numPr>
        <w:spacing w:line="320" w:lineRule="atLeast"/>
        <w:ind w:left="0" w:firstLineChars="200" w:firstLine="640"/>
        <w:rPr>
          <w:rFonts w:ascii="仿宋_GB2312" w:eastAsia="仿宋_GB2312" w:hAnsi="仿宋_GB2312" w:hint="eastAsia"/>
          <w:bCs/>
          <w:color w:val="000000"/>
          <w:sz w:val="32"/>
          <w:szCs w:val="22"/>
        </w:rPr>
      </w:pPr>
      <w:r>
        <w:rPr>
          <w:rFonts w:ascii="仿宋_GB2312" w:eastAsia="仿宋_GB2312" w:hAnsi="仿宋_GB2312" w:hint="eastAsia"/>
          <w:bCs/>
          <w:color w:val="000000"/>
          <w:sz w:val="32"/>
          <w:szCs w:val="22"/>
        </w:rPr>
        <w:t>承担国家统计局阿坝调查队交办的各项统计调查任务。</w:t>
      </w:r>
    </w:p>
    <w:p>
      <w:pPr>
        <w:pStyle w:val="102"/>
        <w:numPr>
          <w:ilvl w:val="0"/>
          <w:numId w:val="2"/>
        </w:numPr>
        <w:spacing w:line="320" w:lineRule="atLeast"/>
        <w:ind w:left="0" w:firstLineChars="200" w:firstLine="640"/>
        <w:rPr>
          <w:rFonts w:ascii="仿宋_GB2312" w:eastAsia="仿宋_GB2312" w:hAnsi="仿宋_GB2312" w:hint="eastAsia"/>
          <w:bCs/>
          <w:color w:val="000000"/>
          <w:sz w:val="32"/>
          <w:szCs w:val="22"/>
        </w:rPr>
      </w:pPr>
      <w:r>
        <w:rPr>
          <w:rFonts w:ascii="仿宋_GB2312" w:eastAsia="仿宋_GB2312" w:hAnsi="仿宋_GB2312" w:hint="eastAsia"/>
          <w:bCs/>
          <w:color w:val="000000"/>
          <w:sz w:val="32"/>
          <w:szCs w:val="22"/>
        </w:rPr>
        <w:t>加强本机关的党建、廉政建设及精神文明建设等工作。</w:t>
      </w:r>
    </w:p>
    <w:p>
      <w:pPr>
        <w:pStyle w:val="102"/>
        <w:spacing w:line="320" w:lineRule="atLeast"/>
        <w:ind w:firstLineChars="200" w:firstLine="640"/>
        <w:rPr>
          <w:rFonts w:ascii="仿宋_GB2312" w:eastAsia="仿宋_GB2312" w:hint="eastAsia"/>
          <w:bCs/>
          <w:color w:val="000000"/>
          <w:sz w:val="32"/>
          <w:szCs w:val="32"/>
        </w:rPr>
      </w:pPr>
      <w:r>
        <w:rPr>
          <w:rFonts w:ascii="仿宋_GB2312" w:eastAsia="仿宋_GB2312" w:hAnsi="仿宋_GB2312" w:hint="eastAsia"/>
          <w:bCs/>
          <w:color w:val="000000"/>
          <w:sz w:val="32"/>
          <w:szCs w:val="22"/>
        </w:rPr>
        <w:t>(十)承办县委、县政府和上级业务主管部门交办的其他事项。</w:t>
      </w:r>
      <w:r>
        <w:rPr>
          <w:rFonts w:ascii="仿宋_GB2312" w:eastAsia="仿宋_GB2312" w:hint="eastAsia"/>
          <w:bCs/>
          <w:color w:val="000000"/>
          <w:sz w:val="32"/>
          <w:szCs w:val="32"/>
        </w:rPr>
        <w:t xml:space="preserve">   </w:t>
      </w:r>
    </w:p>
    <w:p>
      <w:pPr>
        <w:rPr>
          <w:rFonts w:hint="eastAsia"/>
        </w:rPr>
      </w:pPr>
    </w:p>
    <w:p>
      <w:pPr>
        <w:pStyle w:val="2"/>
        <w:rPr>
          <w:rStyle w:val="2Char"/>
          <w:rFonts w:ascii="Times New Roman" w:hAnsi="Times New Roman"/>
          <w:b w:val="0"/>
          <w:bCs w:val="0"/>
          <w:color w:val="auto"/>
          <w:highlight w:val="none"/>
        </w:rPr>
      </w:pPr>
      <w:bookmarkStart w:id="16" w:name="_Toc15377200"/>
      <w:bookmarkStart w:id="17" w:name="_Toc15396601"/>
      <w:r>
        <w:rPr>
          <w:rFonts w:ascii="Times New Roman" w:eastAsia="黑体" w:hAnsi="Times New Roman" w:hint="eastAsia"/>
          <w:b w:val="0"/>
          <w:color w:val="auto"/>
          <w:highlight w:val="none"/>
        </w:rPr>
        <w:t>二、机</w:t>
      </w:r>
      <w:r>
        <w:rPr>
          <w:rStyle w:val="2Char"/>
          <w:rFonts w:ascii="Times New Roman" w:eastAsia="黑体" w:hAnsi="Times New Roman" w:hint="eastAsia"/>
          <w:b w:val="0"/>
          <w:bCs w:val="0"/>
          <w:color w:val="auto"/>
          <w:highlight w:val="none"/>
        </w:rPr>
        <w:t>构设置</w:t>
      </w:r>
      <w:bookmarkEnd w:id="16"/>
      <w:bookmarkEnd w:id="17"/>
    </w:p>
    <w:p>
      <w:pPr>
        <w:ind w:firstLineChars="250" w:firstLine="800"/>
        <w:rPr>
          <w:rFonts w:ascii="Times New Roman" w:eastAsia="仿宋_GB2312" w:cs="仿宋_GB2312" w:hAnsi="Times New Roman" w:hint="eastAsia"/>
          <w:color w:val="auto"/>
          <w:sz w:val="32"/>
          <w:szCs w:val="32"/>
          <w:highlight w:val="none"/>
        </w:rPr>
      </w:pPr>
      <w:r>
        <w:rPr>
          <w:rFonts w:ascii="仿宋_GB2312" w:eastAsia="仿宋_GB2312" w:cs="仿宋_GB2312" w:hAnsi="仿宋_GB2312" w:hint="eastAsia"/>
          <w:color w:val="auto"/>
          <w:sz w:val="32"/>
          <w:szCs w:val="32"/>
          <w:highlight w:val="none"/>
        </w:rPr>
        <w:t>红原县统计局</w:t>
      </w:r>
      <w:r>
        <w:rPr>
          <w:rFonts w:ascii="仿宋_GB2312" w:eastAsia="仿宋_GB2312" w:cs="仿宋_GB2312" w:hAnsi="仿宋_GB2312" w:hint="eastAsia"/>
          <w:color w:val="auto"/>
          <w:sz w:val="32"/>
          <w:szCs w:val="32"/>
          <w:lang w:val="en-US" w:eastAsia="zh-CN"/>
          <w:highlight w:val="none"/>
        </w:rPr>
        <w:t>为独立核算全额拨款行政单位。</w:t>
      </w:r>
      <w:r>
        <w:rPr>
          <w:rFonts w:ascii="Times New Roman" w:eastAsia="仿宋_GB2312" w:cs="仿宋_GB2312" w:hAnsi="Times New Roman" w:hint="eastAsia"/>
          <w:color w:val="auto"/>
          <w:sz w:val="32"/>
          <w:szCs w:val="32"/>
          <w:highlight w:val="none"/>
        </w:rPr>
        <w:t>下属二级</w:t>
      </w:r>
      <w:r>
        <w:rPr>
          <w:rFonts w:ascii="Times New Roman" w:eastAsia="仿宋_GB2312" w:cs="仿宋_GB2312" w:hAnsi="Times New Roman" w:hint="eastAsia"/>
          <w:color w:val="auto"/>
          <w:sz w:val="32"/>
          <w:szCs w:val="32"/>
          <w:lang w:eastAsia="zh-CN"/>
          <w:highlight w:val="none"/>
        </w:rPr>
        <w:t>预算</w:t>
      </w:r>
      <w:r>
        <w:rPr>
          <w:rFonts w:ascii="Times New Roman" w:eastAsia="仿宋_GB2312" w:cs="仿宋_GB2312" w:hAnsi="Times New Roman" w:hint="eastAsia"/>
          <w:color w:val="auto"/>
          <w:sz w:val="32"/>
          <w:szCs w:val="32"/>
          <w:highlight w:val="none"/>
        </w:rPr>
        <w:t>单位</w:t>
      </w:r>
      <w:r>
        <w:rPr>
          <w:rFonts w:eastAsia="仿宋_GB2312" w:cs="仿宋_GB2312" w:hint="eastAsia"/>
          <w:color w:val="auto"/>
          <w:sz w:val="32"/>
          <w:szCs w:val="32"/>
          <w:lang w:val="en-US" w:eastAsia="zh-CN"/>
          <w:highlight w:val="none"/>
        </w:rPr>
        <w:t>1</w:t>
      </w:r>
      <w:r>
        <w:rPr>
          <w:rFonts w:ascii="Times New Roman" w:eastAsia="仿宋_GB2312" w:cs="仿宋_GB2312" w:hAnsi="Times New Roman" w:hint="eastAsia"/>
          <w:color w:val="auto"/>
          <w:sz w:val="32"/>
          <w:szCs w:val="32"/>
          <w:highlight w:val="none"/>
        </w:rPr>
        <w:t>个，</w:t>
      </w:r>
      <w:r>
        <w:rPr>
          <w:rFonts w:eastAsia="仿宋_GB2312" w:cs="仿宋_GB2312" w:hint="eastAsia"/>
          <w:color w:val="auto"/>
          <w:sz w:val="32"/>
          <w:szCs w:val="32"/>
          <w:lang w:val="en-US" w:eastAsia="zh-CN"/>
          <w:highlight w:val="none"/>
        </w:rPr>
        <w:t>红原县普查中心是参照公务员法管理的事业单位。</w:t>
      </w:r>
    </w:p>
    <w:p>
      <w:pPr>
        <w:pStyle w:val="18"/>
        <w:adjustRightInd w:val="0"/>
        <w:snapToGrid w:val="0"/>
        <w:spacing w:line="600" w:lineRule="exact"/>
        <w:ind w:firstLineChars="209" w:firstLine="672"/>
        <w:rPr>
          <w:rFonts w:ascii="Times New Roman" w:eastAsia="仿宋_GB2312" w:cs="仿宋_GB2312" w:hAnsi="Times New Roman"/>
          <w:color w:val="auto"/>
          <w:sz w:val="32"/>
          <w:szCs w:val="32"/>
          <w:lang w:val="en-US" w:eastAsia="zh-CN"/>
          <w:highlight w:val="none"/>
        </w:rPr>
      </w:pPr>
      <w:r>
        <w:rPr>
          <w:rFonts w:ascii="Times New Roman" w:eastAsia="仿宋_GB2312" w:cs="仿宋_GB2312" w:hAnsi="Times New Roman" w:hint="eastAsia"/>
          <w:color w:val="auto"/>
          <w:sz w:val="32"/>
          <w:szCs w:val="32"/>
          <w:highlight w:val="none"/>
        </w:rPr>
        <w:t>纳入</w:t>
      </w:r>
      <w:r>
        <w:rPr>
          <w:rFonts w:ascii="仿宋_GB2312" w:eastAsia="仿宋_GB2312" w:cs="仿宋_GB2312" w:hAnsi="仿宋_GB2312" w:hint="eastAsia"/>
          <w:color w:val="auto"/>
          <w:sz w:val="32"/>
          <w:szCs w:val="32"/>
          <w:highlight w:val="none"/>
        </w:rPr>
        <w:t>红原县统计局</w:t>
      </w:r>
      <w:r>
        <w:rPr>
          <w:rFonts w:ascii="Times New Roman" w:cs="仿宋_GB2312" w:hAnsi="Times New Roman" w:hint="eastAsia"/>
          <w:color w:val="auto"/>
          <w:sz w:val="32"/>
          <w:szCs w:val="32"/>
          <w:lang w:eastAsia="zh-CN"/>
          <w:highlight w:val="none"/>
        </w:rPr>
        <w:t>2025年度</w:t>
      </w:r>
      <w:r>
        <w:rPr>
          <w:rFonts w:ascii="Times New Roman" w:eastAsia="仿宋_GB2312" w:cs="仿宋_GB2312" w:hAnsi="Times New Roman" w:hint="eastAsia"/>
          <w:color w:val="auto"/>
          <w:sz w:val="32"/>
          <w:szCs w:val="32"/>
          <w:highlight w:val="none"/>
        </w:rPr>
        <w:t>部门决算编制范围的二级预算单位包括：</w:t>
      </w:r>
      <w:r>
        <w:rPr>
          <w:rFonts w:ascii="Times New Roman" w:cs="仿宋_GB2312" w:hAnsi="Times New Roman" w:hint="eastAsia"/>
          <w:color w:val="auto"/>
          <w:sz w:val="32"/>
          <w:szCs w:val="32"/>
          <w:lang w:val="en-US" w:eastAsia="zh-CN"/>
          <w:highlight w:val="none"/>
        </w:rPr>
        <w:t>红原县普查中心。本单位本年度纳入本套决算编制范围的独立编制机构数1个，比上年增加0个。独立核算机构数共1个，比上年增加0个。截止2025年底，我单位共有编制14个，在职人员14人。其中，行政编制人员4人，行政工勤人员1人，参公工勤人员1人，参公编制人员8人。</w:t>
      </w:r>
    </w:p>
    <w:p>
      <w:pPr>
        <w:widowControl/>
        <w:jc w:val="left"/>
        <w:rPr>
          <w:rFonts w:ascii="Times New Roman" w:eastAsia="仿宋" w:hAnsi="Times New Roman"/>
          <w:color w:val="auto"/>
          <w:kern w:val="0"/>
          <w:sz w:val="32"/>
          <w:szCs w:val="32"/>
          <w:highlight w:val="none"/>
        </w:rPr>
      </w:pPr>
      <w:r>
        <w:rPr>
          <w:rFonts w:ascii="Times New Roman" w:eastAsia="仿宋" w:hAnsi="Times New Roman"/>
          <w:color w:val="auto"/>
          <w:sz w:val="32"/>
          <w:szCs w:val="32"/>
          <w:highlight w:val="none"/>
        </w:rPr>
        <w:br w:type="page"/>
      </w:r>
    </w:p>
    <w:p>
      <w:pPr>
        <w:pStyle w:val="1"/>
        <w:jc w:val="center"/>
        <w:rPr>
          <w:rFonts w:ascii="Times New Roman" w:eastAsia="方正小标宋简体" w:cs="方正小标宋简体" w:hAnsi="Times New Roman" w:hint="eastAsia"/>
          <w:b w:val="0"/>
          <w:color w:val="auto"/>
          <w:highlight w:val="none"/>
        </w:rPr>
      </w:pPr>
      <w:bookmarkStart w:id="18" w:name="_Toc15396602"/>
      <w:bookmarkStart w:id="19" w:name="_Toc15377204"/>
      <w:r>
        <w:rPr>
          <w:rFonts w:ascii="Times New Roman" w:eastAsia="方正小标宋简体" w:cs="方正小标宋简体" w:hAnsi="Times New Roman" w:hint="eastAsia"/>
          <w:b w:val="0"/>
          <w:color w:val="auto"/>
          <w:highlight w:val="none"/>
        </w:rPr>
        <w:t>第二部分</w:t>
      </w:r>
      <w:r>
        <w:rPr>
          <w:rFonts w:ascii="Times New Roman" w:eastAsia="方正小标宋简体" w:cs="方正小标宋简体" w:hAnsi="Times New Roman" w:hint="eastAsia"/>
          <w:b w:val="0"/>
          <w:color w:val="auto"/>
          <w:lang w:val="en-US" w:eastAsia="zh-CN"/>
          <w:highlight w:val="none"/>
        </w:rPr>
        <w:t xml:space="preserve"> </w:t>
      </w:r>
      <w:r>
        <w:rPr>
          <w:rFonts w:ascii="Times New Roman" w:eastAsia="方正小标宋简体" w:cs="方正小标宋简体" w:hAnsi="Times New Roman" w:hint="eastAsia"/>
          <w:b w:val="0"/>
          <w:color w:val="auto"/>
          <w:highlight w:val="none"/>
        </w:rPr>
        <w:t xml:space="preserve"> </w:t>
      </w:r>
      <w:r>
        <w:rPr>
          <w:rFonts w:eastAsia="方正小标宋简体" w:cs="方正小标宋简体" w:hint="eastAsia"/>
          <w:b w:val="0"/>
          <w:color w:val="auto"/>
          <w:lang w:val="en-US" w:eastAsia="zh-CN"/>
          <w:highlight w:val="none"/>
        </w:rPr>
        <w:t>2025年度</w:t>
      </w:r>
      <w:r>
        <w:rPr>
          <w:rFonts w:ascii="Times New Roman" w:eastAsia="方正小标宋简体" w:cs="方正小标宋简体" w:hAnsi="Times New Roman" w:hint="eastAsia"/>
          <w:b w:val="0"/>
          <w:color w:val="auto"/>
          <w:highlight w:val="none"/>
        </w:rPr>
        <w:t>部门决算情况说明</w:t>
      </w:r>
      <w:bookmarkEnd w:id="18"/>
      <w:bookmarkEnd w:id="19"/>
    </w:p>
    <w:p>
      <w:pPr>
        <w:rPr>
          <w:rFonts w:ascii="Times New Roman" w:hAnsi="Times New Roman"/>
          <w:color w:val="auto"/>
          <w:highlight w:val="none"/>
        </w:rPr>
      </w:pPr>
    </w:p>
    <w:p>
      <w:pPr>
        <w:pStyle w:val="32"/>
        <w:keepNext w:val="0"/>
        <w:keepLines w:val="0"/>
        <w:pageBreakBefore w:val="0"/>
        <w:widowControl w:val="0"/>
        <w:kinsoku/>
        <w:wordWrap/>
        <w:overflowPunct/>
        <w:topLinePunct w:val="0"/>
        <w:autoSpaceDE/>
        <w:autoSpaceDN/>
        <w:bidi w:val="0"/>
        <w:adjustRightInd/>
        <w:snapToGrid/>
        <w:spacing w:line="600" w:lineRule="exact"/>
        <w:ind w:firstLineChars="200" w:firstLine="640"/>
        <w:textAlignment w:val="auto"/>
        <w:outlineLvl w:val="1"/>
        <w:rPr>
          <w:rStyle w:val="2Char"/>
          <w:rFonts w:ascii="Times New Roman" w:eastAsia="黑体" w:hAnsi="Times New Roman" w:hint="eastAsia"/>
          <w:b w:val="0"/>
          <w:color w:val="auto"/>
          <w:highlight w:val="none"/>
        </w:rPr>
      </w:pPr>
      <w:bookmarkStart w:id="20" w:name="_Toc15377205"/>
      <w:bookmarkStart w:id="21" w:name="_Toc15396603"/>
      <w:r>
        <w:rPr>
          <w:rFonts w:ascii="Times New Roman" w:eastAsia="黑体" w:hAnsi="Times New Roman" w:hint="eastAsia"/>
          <w:color w:val="auto"/>
          <w:sz w:val="32"/>
          <w:szCs w:val="32"/>
          <w:lang w:eastAsia="zh-CN"/>
          <w:highlight w:val="none"/>
        </w:rPr>
        <w:t>一、</w:t>
      </w:r>
      <w:r>
        <w:rPr>
          <w:rFonts w:ascii="Times New Roman" w:eastAsia="黑体" w:hAnsi="Times New Roman" w:hint="eastAsia"/>
          <w:color w:val="auto"/>
          <w:sz w:val="32"/>
          <w:szCs w:val="32"/>
          <w:highlight w:val="none"/>
        </w:rPr>
        <w:t>收</w:t>
      </w:r>
      <w:r>
        <w:rPr>
          <w:rStyle w:val="2Char"/>
          <w:rFonts w:ascii="Times New Roman" w:eastAsia="黑体" w:hAnsi="Times New Roman" w:hint="eastAsia"/>
          <w:b w:val="0"/>
          <w:color w:val="auto"/>
          <w:highlight w:val="none"/>
        </w:rPr>
        <w:t>入支出决算总体情况说明</w:t>
      </w:r>
      <w:bookmarkEnd w:id="20"/>
      <w:bookmarkEnd w:id="21"/>
    </w:p>
    <w:p>
      <w:pPr>
        <w:pStyle w:val="32"/>
        <w:keepNext w:val="0"/>
        <w:keepLines w:val="0"/>
        <w:pageBreakBefore w:val="0"/>
        <w:widowControl w:val="0"/>
        <w:kinsoku/>
        <w:wordWrap/>
        <w:overflowPunct/>
        <w:topLinePunct w:val="0"/>
        <w:autoSpaceDE/>
        <w:autoSpaceDN/>
        <w:bidi w:val="0"/>
        <w:adjustRightInd/>
        <w:snapToGrid/>
        <w:spacing w:line="600" w:lineRule="exact"/>
        <w:ind w:firstLineChars="200" w:firstLine="640"/>
        <w:textAlignment w:val="auto"/>
        <w:outlineLvl w:val="1"/>
        <w:rPr>
          <w:rFonts w:eastAsia="仿宋_GB2312" w:cs="仿宋_GB2312"/>
          <w:color w:val="auto"/>
          <w:sz w:val="32"/>
          <w:szCs w:val="32"/>
          <w:lang w:val="en-US" w:eastAsia="zh-CN"/>
          <w:highlight w:val="none"/>
        </w:rPr>
      </w:pPr>
      <w:r>
        <w:rPr>
          <w:rFonts w:eastAsia="仿宋_GB2312" w:cs="仿宋_GB2312" w:hint="eastAsia"/>
          <w:color w:val="auto"/>
          <w:sz w:val="32"/>
          <w:szCs w:val="32"/>
          <w:lang w:eastAsia="zh-CN"/>
          <w:highlight w:val="none"/>
        </w:rPr>
        <w:t>2025年度</w:t>
      </w:r>
      <w:r>
        <w:rPr>
          <w:rFonts w:ascii="Times New Roman" w:eastAsia="仿宋_GB2312" w:cs="仿宋_GB2312" w:hAnsi="Times New Roman" w:hint="eastAsia"/>
          <w:color w:val="auto"/>
          <w:sz w:val="32"/>
          <w:szCs w:val="32"/>
          <w:lang w:eastAsia="zh-CN"/>
          <w:highlight w:val="none"/>
        </w:rPr>
        <w:t>收入</w:t>
      </w:r>
      <w:r>
        <w:rPr>
          <w:rFonts w:ascii="Times New Roman" w:eastAsia="仿宋_GB2312" w:cs="仿宋_GB2312" w:hAnsi="Times New Roman" w:hint="eastAsia"/>
          <w:color w:val="auto"/>
          <w:sz w:val="32"/>
          <w:szCs w:val="32"/>
          <w:highlight w:val="none"/>
        </w:rPr>
        <w:t>、</w:t>
      </w:r>
      <w:r>
        <w:rPr>
          <w:rFonts w:ascii="Times New Roman" w:eastAsia="仿宋_GB2312" w:cs="仿宋_GB2312" w:hAnsi="Times New Roman" w:hint="eastAsia"/>
          <w:color w:val="auto"/>
          <w:sz w:val="32"/>
          <w:szCs w:val="32"/>
          <w:lang w:eastAsia="zh-CN"/>
          <w:highlight w:val="none"/>
        </w:rPr>
        <w:t>支出</w:t>
      </w:r>
      <w:r>
        <w:rPr>
          <w:rFonts w:ascii="Times New Roman" w:eastAsia="仿宋_GB2312" w:cs="仿宋_GB2312" w:hAnsi="Times New Roman" w:hint="eastAsia"/>
          <w:color w:val="auto"/>
          <w:sz w:val="32"/>
          <w:szCs w:val="32"/>
          <w:highlight w:val="none"/>
        </w:rPr>
        <w:t>总计</w:t>
      </w:r>
      <w:r>
        <w:rPr>
          <w:rFonts w:ascii="Times New Roman" w:eastAsia="仿宋_GB2312" w:cs="仿宋_GB2312" w:hAnsi="Times New Roman" w:hint="eastAsia"/>
          <w:color w:val="auto"/>
          <w:sz w:val="32"/>
          <w:szCs w:val="32"/>
          <w:lang w:eastAsia="zh-CN"/>
          <w:highlight w:val="none"/>
        </w:rPr>
        <w:t>均为</w:t>
      </w:r>
      <w:r>
        <w:rPr>
          <w:rFonts w:ascii="仿宋_GB2312" w:eastAsia="仿宋_GB2312" w:cs="仿宋_GB2312" w:hAnsi="仿宋_GB2312" w:hint="eastAsia"/>
          <w:sz w:val="32"/>
          <w:szCs w:val="32"/>
        </w:rPr>
        <w:t>479.82</w:t>
      </w:r>
      <w:r>
        <w:rPr>
          <w:rFonts w:ascii="Times New Roman" w:eastAsia="仿宋_GB2312" w:cs="仿宋_GB2312" w:hAnsi="Times New Roman" w:hint="eastAsia"/>
          <w:color w:val="auto"/>
          <w:sz w:val="32"/>
          <w:szCs w:val="32"/>
          <w:highlight w:val="none"/>
        </w:rPr>
        <w:t>万元。与</w:t>
      </w:r>
      <w:r>
        <w:rPr>
          <w:rFonts w:eastAsia="仿宋_GB2312" w:cs="仿宋_GB2312" w:hint="eastAsia"/>
          <w:color w:val="auto"/>
          <w:sz w:val="32"/>
          <w:szCs w:val="32"/>
          <w:lang w:eastAsia="zh-CN"/>
          <w:highlight w:val="none"/>
        </w:rPr>
        <w:t>上</w:t>
      </w:r>
      <w:r>
        <w:rPr>
          <w:rFonts w:ascii="Times New Roman" w:eastAsia="仿宋_GB2312" w:cs="仿宋_GB2312" w:hAnsi="Times New Roman" w:hint="eastAsia"/>
          <w:color w:val="auto"/>
          <w:sz w:val="32"/>
          <w:szCs w:val="32"/>
          <w:highlight w:val="none"/>
        </w:rPr>
        <w:t>年</w:t>
      </w:r>
      <w:r>
        <w:rPr>
          <w:rFonts w:ascii="Times New Roman" w:eastAsia="仿宋_GB2312" w:cs="仿宋_GB2312" w:hAnsi="Times New Roman" w:hint="eastAsia"/>
          <w:color w:val="auto"/>
          <w:sz w:val="32"/>
          <w:szCs w:val="32"/>
          <w:lang w:eastAsia="zh-CN"/>
          <w:highlight w:val="none"/>
        </w:rPr>
        <w:t>度</w:t>
      </w:r>
      <w:r>
        <w:rPr>
          <w:rFonts w:ascii="Times New Roman" w:eastAsia="仿宋_GB2312" w:cs="仿宋_GB2312" w:hAnsi="Times New Roman" w:hint="eastAsia"/>
          <w:color w:val="auto"/>
          <w:sz w:val="32"/>
          <w:szCs w:val="32"/>
          <w:highlight w:val="none"/>
        </w:rPr>
        <w:t>相比，</w:t>
      </w:r>
      <w:r>
        <w:rPr>
          <w:rFonts w:ascii="Times New Roman" w:eastAsia="仿宋_GB2312" w:cs="仿宋_GB2312" w:hAnsi="Times New Roman" w:hint="eastAsia"/>
          <w:color w:val="auto"/>
          <w:sz w:val="32"/>
          <w:szCs w:val="32"/>
          <w:lang w:eastAsia="zh-CN"/>
          <w:highlight w:val="none"/>
        </w:rPr>
        <w:t>收入</w:t>
      </w:r>
      <w:r>
        <w:rPr>
          <w:rFonts w:ascii="Times New Roman" w:eastAsia="仿宋_GB2312" w:cs="仿宋_GB2312" w:hAnsi="Times New Roman" w:hint="eastAsia"/>
          <w:color w:val="auto"/>
          <w:sz w:val="32"/>
          <w:szCs w:val="32"/>
          <w:highlight w:val="none"/>
        </w:rPr>
        <w:t>、</w:t>
      </w:r>
      <w:r>
        <w:rPr>
          <w:rFonts w:ascii="Times New Roman" w:eastAsia="仿宋_GB2312" w:cs="仿宋_GB2312" w:hAnsi="Times New Roman" w:hint="eastAsia"/>
          <w:color w:val="auto"/>
          <w:sz w:val="32"/>
          <w:szCs w:val="32"/>
          <w:lang w:eastAsia="zh-CN"/>
          <w:highlight w:val="none"/>
        </w:rPr>
        <w:t>支出</w:t>
      </w:r>
      <w:r>
        <w:rPr>
          <w:rFonts w:ascii="Times New Roman" w:eastAsia="仿宋_GB2312" w:cs="仿宋_GB2312" w:hAnsi="Times New Roman" w:hint="eastAsia"/>
          <w:color w:val="auto"/>
          <w:sz w:val="32"/>
          <w:szCs w:val="32"/>
          <w:highlight w:val="none"/>
        </w:rPr>
        <w:t>总计各减少</w:t>
      </w:r>
      <w:r>
        <w:rPr>
          <w:rFonts w:eastAsia="仿宋_GB2312" w:cs="仿宋_GB2312" w:hint="eastAsia"/>
          <w:color w:val="auto"/>
          <w:sz w:val="32"/>
          <w:szCs w:val="32"/>
          <w:lang w:val="en-US" w:eastAsia="zh-CN"/>
          <w:highlight w:val="none"/>
        </w:rPr>
        <w:t>12.61</w:t>
      </w:r>
      <w:r>
        <w:rPr>
          <w:rFonts w:ascii="Times New Roman" w:eastAsia="仿宋_GB2312" w:cs="仿宋_GB2312" w:hAnsi="Times New Roman" w:hint="eastAsia"/>
          <w:color w:val="auto"/>
          <w:sz w:val="32"/>
          <w:szCs w:val="32"/>
          <w:highlight w:val="none"/>
        </w:rPr>
        <w:t>万元，下降</w:t>
      </w:r>
      <w:r>
        <w:rPr>
          <w:rFonts w:eastAsia="仿宋_GB2312" w:cs="仿宋_GB2312" w:hint="eastAsia"/>
          <w:color w:val="auto"/>
          <w:sz w:val="32"/>
          <w:szCs w:val="32"/>
          <w:lang w:val="en-US" w:eastAsia="zh-CN"/>
          <w:highlight w:val="none"/>
        </w:rPr>
        <w:t>2.56</w:t>
      </w:r>
      <w:r>
        <w:rPr>
          <w:rFonts w:ascii="Times New Roman" w:eastAsia="仿宋_GB2312" w:cs="仿宋_GB2312" w:hAnsi="Times New Roman" w:hint="eastAsia"/>
          <w:color w:val="auto"/>
          <w:sz w:val="32"/>
          <w:szCs w:val="32"/>
          <w:highlight w:val="none"/>
        </w:rPr>
        <w:t>%。主要变动原因是</w:t>
      </w:r>
      <w:r>
        <w:rPr>
          <w:rFonts w:eastAsia="仿宋_GB2312" w:cs="仿宋_GB2312" w:hint="eastAsia"/>
          <w:color w:val="auto"/>
          <w:sz w:val="32"/>
          <w:szCs w:val="32"/>
          <w:lang w:val="en-US" w:eastAsia="zh-CN"/>
          <w:highlight w:val="none"/>
        </w:rPr>
        <w:t>严格落实过紧日子的要求，厉行节约，全年支出规模同比减少。</w:t>
      </w:r>
    </w:p>
    <w:p>
      <w:pPr>
        <w:keepNext w:val="0"/>
        <w:keepLines w:val="0"/>
        <w:pageBreakBefore w:val="0"/>
        <w:widowControl w:val="0"/>
        <w:kinsoku/>
        <w:wordWrap/>
        <w:overflowPunct/>
        <w:topLinePunct w:val="0"/>
        <w:autoSpaceDE/>
        <w:autoSpaceDN/>
        <w:bidi w:val="0"/>
        <w:adjustRightInd/>
        <w:snapToGrid/>
        <w:ind w:firstLineChars="200" w:firstLine="420"/>
        <w:textAlignment w:val="auto"/>
        <w:rPr>
          <w:rFonts w:ascii="Times New Roman" w:eastAsia="仿宋_GB2312" w:cs="仿宋_GB2312" w:hAnsi="Times New Roman" w:hint="eastAsia"/>
          <w:color w:val="auto"/>
          <w:sz w:val="32"/>
          <w:szCs w:val="32"/>
          <w:highlight w:val="none"/>
        </w:rPr>
      </w:pPr>
      <w:r>
        <w:drawing>
          <wp:inline distT="0" distB="0" distL="114300" distR="114300">
            <wp:extent cx="4572000" cy="2743200"/>
            <wp:effectExtent l="4444" t="4444" r="14604" b="14604"/>
            <wp:docPr id="2" name="图表 1"/>
            <wp:cNvGraphicFramePr>
              <a:graphicFrameLocks noChangeAspect="0"/>
            </wp:cNvGraphicFramePr>
            <a:graphic>
              <a:graphicData uri="http://schemas.openxmlformats.org/drawingml/2006/chart">
                <c:chart xmlns:c="http://schemas.openxmlformats.org/drawingml/2006/chart" r:id="rId9"/>
              </a:graphicData>
            </a:graphic>
          </wp:inline>
        </w:drawing>
      </w:r>
    </w:p>
    <w:p>
      <w:pPr>
        <w:pStyle w:val="32"/>
        <w:keepNext w:val="0"/>
        <w:keepLines w:val="0"/>
        <w:pageBreakBefore w:val="0"/>
        <w:widowControl w:val="0"/>
        <w:kinsoku/>
        <w:wordWrap/>
        <w:overflowPunct/>
        <w:topLinePunct w:val="0"/>
        <w:autoSpaceDE/>
        <w:autoSpaceDN/>
        <w:bidi w:val="0"/>
        <w:adjustRightInd/>
        <w:snapToGrid/>
        <w:spacing w:line="600" w:lineRule="exact"/>
        <w:ind w:firstLineChars="200" w:firstLine="640"/>
        <w:textAlignment w:val="auto"/>
        <w:outlineLvl w:val="1"/>
        <w:rPr>
          <w:rFonts w:ascii="Times New Roman" w:eastAsia="黑体" w:hAnsi="Times New Roman" w:hint="eastAsia"/>
          <w:color w:val="auto"/>
          <w:sz w:val="32"/>
          <w:szCs w:val="32"/>
          <w:lang w:eastAsia="zh-CN"/>
          <w:highlight w:val="none"/>
        </w:rPr>
      </w:pPr>
      <w:bookmarkStart w:id="22" w:name="_Toc15377206"/>
      <w:bookmarkStart w:id="23" w:name="_Toc15396604"/>
      <w:r>
        <w:rPr>
          <w:rFonts w:ascii="Times New Roman" w:eastAsia="黑体" w:hAnsi="Times New Roman" w:hint="eastAsia"/>
          <w:color w:val="auto"/>
          <w:sz w:val="32"/>
          <w:szCs w:val="32"/>
          <w:lang w:eastAsia="zh-CN"/>
          <w:highlight w:val="none"/>
        </w:rPr>
        <w:t>二、收入决算情况说明</w:t>
      </w:r>
      <w:bookmarkEnd w:id="22"/>
      <w:bookmarkEnd w:id="23"/>
    </w:p>
    <w:p>
      <w:pPr>
        <w:pStyle w:val="32"/>
        <w:keepNext w:val="0"/>
        <w:keepLines w:val="0"/>
        <w:pageBreakBefore w:val="0"/>
        <w:widowControl w:val="0"/>
        <w:kinsoku/>
        <w:wordWrap/>
        <w:overflowPunct/>
        <w:topLinePunct w:val="0"/>
        <w:autoSpaceDE/>
        <w:autoSpaceDN/>
        <w:bidi w:val="0"/>
        <w:adjustRightInd/>
        <w:snapToGrid/>
        <w:spacing w:line="600" w:lineRule="exact"/>
        <w:ind w:firstLineChars="200" w:firstLine="640"/>
        <w:textAlignment w:val="auto"/>
        <w:outlineLvl w:val="1"/>
        <w:rPr>
          <w:rFonts w:ascii="Times New Roman" w:eastAsia="仿宋_GB2312" w:cs="仿宋_GB2312" w:hAnsi="Times New Roman" w:hint="eastAsia"/>
          <w:b/>
          <w:bCs/>
          <w:color w:val="auto"/>
          <w:sz w:val="32"/>
          <w:szCs w:val="32"/>
          <w:lang w:eastAsia="zh-CN"/>
          <w:highlight w:val="none"/>
        </w:rPr>
      </w:pPr>
      <w:r>
        <w:rPr>
          <w:rFonts w:eastAsia="仿宋_GB2312" w:cs="仿宋_GB2312" w:hint="eastAsia"/>
          <w:color w:val="auto"/>
          <w:sz w:val="32"/>
          <w:szCs w:val="32"/>
          <w:lang w:eastAsia="zh-CN"/>
          <w:highlight w:val="none"/>
        </w:rPr>
        <w:t>2025年度</w:t>
      </w:r>
      <w:r>
        <w:rPr>
          <w:rFonts w:ascii="Times New Roman" w:eastAsia="仿宋_GB2312" w:cs="仿宋_GB2312" w:hAnsi="Times New Roman" w:hint="eastAsia"/>
          <w:color w:val="auto"/>
          <w:sz w:val="32"/>
          <w:szCs w:val="32"/>
          <w:lang w:eastAsia="zh-CN"/>
          <w:highlight w:val="none"/>
        </w:rPr>
        <w:t>本年收入合计</w:t>
      </w:r>
      <w:r>
        <w:rPr>
          <w:rFonts w:ascii="仿宋_GB2312" w:eastAsia="仿宋_GB2312" w:cs="仿宋_GB2312" w:hAnsi="仿宋_GB2312" w:hint="eastAsia"/>
          <w:sz w:val="32"/>
          <w:szCs w:val="32"/>
        </w:rPr>
        <w:t>479.82</w:t>
      </w:r>
      <w:r>
        <w:rPr>
          <w:rFonts w:ascii="Times New Roman" w:eastAsia="仿宋_GB2312" w:cs="仿宋_GB2312" w:hAnsi="Times New Roman" w:hint="eastAsia"/>
          <w:color w:val="auto"/>
          <w:sz w:val="32"/>
          <w:szCs w:val="32"/>
          <w:lang w:eastAsia="zh-CN"/>
          <w:highlight w:val="none"/>
        </w:rPr>
        <w:t>万元，其中：一般公共预算财政拨款收入</w:t>
      </w:r>
      <w:r>
        <w:rPr>
          <w:rFonts w:ascii="仿宋_GB2312" w:eastAsia="仿宋_GB2312" w:cs="仿宋_GB2312" w:hAnsi="仿宋_GB2312" w:hint="eastAsia"/>
          <w:sz w:val="32"/>
          <w:szCs w:val="32"/>
        </w:rPr>
        <w:t>459.82</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95.83</w:t>
      </w:r>
      <w:r>
        <w:rPr>
          <w:rFonts w:ascii="Times New Roman" w:eastAsia="仿宋_GB2312" w:cs="仿宋_GB2312" w:hAnsi="Times New Roman" w:hint="eastAsia"/>
          <w:color w:val="auto"/>
          <w:sz w:val="32"/>
          <w:szCs w:val="32"/>
          <w:lang w:eastAsia="zh-CN"/>
          <w:highlight w:val="none"/>
        </w:rPr>
        <w:t>%；政府性基金预算财政拨款收入</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%；国有资本经营预算财政拨款收入</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%；上级补助收入</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%；事业收入</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%；经营收入</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%；附属单位上缴收入</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%；其他收入</w:t>
      </w:r>
      <w:r>
        <w:rPr>
          <w:rFonts w:ascii="仿宋_GB2312" w:eastAsia="仿宋_GB2312" w:cs="仿宋_GB2312" w:hAnsi="仿宋_GB2312" w:hint="eastAsia"/>
          <w:sz w:val="32"/>
          <w:szCs w:val="32"/>
        </w:rPr>
        <w:t>20</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4.16</w:t>
      </w:r>
      <w:r>
        <w:rPr>
          <w:rFonts w:ascii="Times New Roman" w:eastAsia="仿宋_GB2312" w:cs="仿宋_GB2312" w:hAnsi="Times New Roman" w:hint="eastAsia"/>
          <w:color w:val="auto"/>
          <w:sz w:val="32"/>
          <w:szCs w:val="32"/>
          <w:lang w:eastAsia="zh-CN"/>
          <w:highlight w:val="none"/>
        </w:rPr>
        <w:t>%。</w:t>
      </w:r>
    </w:p>
    <w:p>
      <w:pPr>
        <w:ind w:firstLineChars="250" w:firstLine="525"/>
        <w:rPr>
          <w:rFonts w:ascii="Times New Roman" w:eastAsia="仿宋_GB2312" w:cs="仿宋_GB2312" w:hAnsi="Times New Roman" w:hint="eastAsia"/>
          <w:color w:val="auto"/>
          <w:sz w:val="32"/>
          <w:szCs w:val="32"/>
          <w:lang w:eastAsia="zh-CN"/>
          <w:highlight w:val="none"/>
        </w:rPr>
      </w:pPr>
      <w:r>
        <w:drawing>
          <wp:inline distT="0" distB="0" distL="114300" distR="114300">
            <wp:extent cx="4572000" cy="2743200"/>
            <wp:effectExtent l="4444" t="4444" r="14604" b="14604"/>
            <wp:docPr id="4" name="图表 3"/>
            <wp:cNvGraphicFramePr>
              <a:graphicFrameLocks noChangeAspect="0"/>
            </wp:cNvGraphicFramePr>
            <a:graphic>
              <a:graphicData uri="http://schemas.openxmlformats.org/drawingml/2006/chart">
                <c:chart xmlns:c="http://schemas.openxmlformats.org/drawingml/2006/chart" r:id="rId10"/>
              </a:graphicData>
            </a:graphic>
          </wp:inline>
        </w:drawing>
      </w:r>
    </w:p>
    <w:p>
      <w:pPr>
        <w:pStyle w:val="32"/>
        <w:keepNext w:val="0"/>
        <w:keepLines w:val="0"/>
        <w:pageBreakBefore w:val="0"/>
        <w:widowControl w:val="0"/>
        <w:kinsoku/>
        <w:wordWrap/>
        <w:overflowPunct/>
        <w:topLinePunct w:val="0"/>
        <w:autoSpaceDE/>
        <w:autoSpaceDN/>
        <w:bidi w:val="0"/>
        <w:adjustRightInd/>
        <w:snapToGrid/>
        <w:spacing w:line="600" w:lineRule="exact"/>
        <w:ind w:firstLineChars="200" w:firstLine="640"/>
        <w:textAlignment w:val="auto"/>
        <w:outlineLvl w:val="1"/>
        <w:rPr>
          <w:rStyle w:val="2Char"/>
          <w:rFonts w:ascii="Times New Roman" w:eastAsia="黑体" w:hAnsi="Times New Roman" w:hint="eastAsia"/>
          <w:b w:val="0"/>
          <w:color w:val="auto"/>
          <w:highlight w:val="none"/>
        </w:rPr>
      </w:pPr>
      <w:bookmarkStart w:id="24" w:name="_Toc15396605"/>
      <w:bookmarkStart w:id="25" w:name="_Toc15377207"/>
      <w:r>
        <w:rPr>
          <w:rFonts w:ascii="Times New Roman" w:eastAsia="黑体" w:hAnsi="Times New Roman" w:hint="eastAsia"/>
          <w:color w:val="auto"/>
          <w:sz w:val="32"/>
          <w:szCs w:val="32"/>
          <w:lang w:eastAsia="zh-CN"/>
          <w:highlight w:val="none"/>
        </w:rPr>
        <w:t>三、</w:t>
      </w:r>
      <w:r>
        <w:rPr>
          <w:rFonts w:ascii="Times New Roman" w:eastAsia="黑体" w:hAnsi="Times New Roman" w:hint="eastAsia"/>
          <w:color w:val="auto"/>
          <w:sz w:val="32"/>
          <w:szCs w:val="32"/>
          <w:highlight w:val="none"/>
        </w:rPr>
        <w:t>支</w:t>
      </w:r>
      <w:r>
        <w:rPr>
          <w:rStyle w:val="2Char"/>
          <w:rFonts w:ascii="Times New Roman" w:eastAsia="黑体" w:hAnsi="Times New Roman" w:hint="eastAsia"/>
          <w:b w:val="0"/>
          <w:color w:val="auto"/>
          <w:highlight w:val="none"/>
        </w:rPr>
        <w:t>出决算情况说明</w:t>
      </w:r>
      <w:bookmarkEnd w:id="24"/>
      <w:bookmarkEnd w:id="25"/>
    </w:p>
    <w:p>
      <w:pPr>
        <w:pStyle w:val="32"/>
        <w:keepNext w:val="0"/>
        <w:keepLines w:val="0"/>
        <w:pageBreakBefore w:val="0"/>
        <w:widowControl w:val="0"/>
        <w:kinsoku/>
        <w:wordWrap/>
        <w:overflowPunct/>
        <w:topLinePunct w:val="0"/>
        <w:autoSpaceDE/>
        <w:autoSpaceDN/>
        <w:bidi w:val="0"/>
        <w:adjustRightInd/>
        <w:snapToGrid/>
        <w:spacing w:line="600" w:lineRule="exact"/>
        <w:ind w:firstLineChars="200" w:firstLine="640"/>
        <w:textAlignment w:val="auto"/>
        <w:outlineLvl w:val="1"/>
        <w:rPr>
          <w:rFonts w:ascii="Times New Roman" w:eastAsia="仿宋_GB2312" w:cs="仿宋_GB2312" w:hAnsi="Times New Roman" w:hint="eastAsia"/>
          <w:b/>
          <w:bCs/>
          <w:color w:val="auto"/>
          <w:sz w:val="32"/>
          <w:szCs w:val="32"/>
          <w:lang w:eastAsia="zh-CN"/>
          <w:highlight w:val="none"/>
        </w:rPr>
      </w:pPr>
      <w:r>
        <w:rPr>
          <w:rFonts w:eastAsia="仿宋_GB2312" w:cs="仿宋_GB2312" w:hint="eastAsia"/>
          <w:color w:val="auto"/>
          <w:sz w:val="32"/>
          <w:szCs w:val="32"/>
          <w:lang w:eastAsia="zh-CN"/>
          <w:highlight w:val="none"/>
        </w:rPr>
        <w:t>2025年度</w:t>
      </w:r>
      <w:r>
        <w:rPr>
          <w:rFonts w:ascii="Times New Roman" w:eastAsia="仿宋_GB2312" w:cs="仿宋_GB2312" w:hAnsi="Times New Roman" w:hint="eastAsia"/>
          <w:color w:val="auto"/>
          <w:sz w:val="32"/>
          <w:szCs w:val="32"/>
          <w:lang w:eastAsia="zh-CN"/>
          <w:highlight w:val="none"/>
        </w:rPr>
        <w:t>本年支出合计</w:t>
      </w:r>
      <w:r>
        <w:rPr>
          <w:rFonts w:ascii="仿宋_GB2312" w:eastAsia="仿宋_GB2312" w:cs="仿宋_GB2312" w:hAnsi="仿宋_GB2312" w:hint="eastAsia"/>
          <w:sz w:val="32"/>
          <w:szCs w:val="32"/>
        </w:rPr>
        <w:t>479.82</w:t>
      </w:r>
      <w:r>
        <w:rPr>
          <w:rFonts w:ascii="Times New Roman" w:eastAsia="仿宋_GB2312" w:cs="仿宋_GB2312" w:hAnsi="Times New Roman" w:hint="eastAsia"/>
          <w:color w:val="auto"/>
          <w:sz w:val="32"/>
          <w:szCs w:val="32"/>
          <w:lang w:eastAsia="zh-CN"/>
          <w:highlight w:val="none"/>
        </w:rPr>
        <w:t>万元，其中：基本支出</w:t>
      </w:r>
      <w:r>
        <w:rPr>
          <w:rFonts w:ascii="仿宋_GB2312" w:eastAsia="仿宋_GB2312" w:cs="仿宋_GB2312" w:hAnsi="仿宋_GB2312" w:hint="eastAsia"/>
          <w:sz w:val="32"/>
          <w:szCs w:val="32"/>
        </w:rPr>
        <w:t>348.48</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72.62</w:t>
      </w:r>
      <w:r>
        <w:rPr>
          <w:rFonts w:ascii="Times New Roman" w:eastAsia="仿宋_GB2312" w:cs="仿宋_GB2312" w:hAnsi="Times New Roman" w:hint="eastAsia"/>
          <w:color w:val="auto"/>
          <w:sz w:val="32"/>
          <w:szCs w:val="32"/>
          <w:lang w:eastAsia="zh-CN"/>
          <w:highlight w:val="none"/>
        </w:rPr>
        <w:t>%；项目支出</w:t>
      </w:r>
      <w:r>
        <w:rPr>
          <w:rFonts w:ascii="仿宋_GB2312" w:eastAsia="仿宋_GB2312" w:cs="仿宋_GB2312" w:hAnsi="仿宋_GB2312" w:hint="eastAsia"/>
          <w:sz w:val="32"/>
          <w:szCs w:val="32"/>
        </w:rPr>
        <w:t>131.34</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27.37</w:t>
      </w:r>
      <w:r>
        <w:rPr>
          <w:rFonts w:ascii="Times New Roman" w:eastAsia="仿宋_GB2312" w:cs="仿宋_GB2312" w:hAnsi="Times New Roman" w:hint="eastAsia"/>
          <w:color w:val="auto"/>
          <w:sz w:val="32"/>
          <w:szCs w:val="32"/>
          <w:lang w:eastAsia="zh-CN"/>
          <w:highlight w:val="none"/>
        </w:rPr>
        <w:t>%；上缴上级支出</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%；经营支出</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%；对附属单位补助支出</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万元，占</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sz w:val="32"/>
          <w:szCs w:val="32"/>
          <w:lang w:eastAsia="zh-CN"/>
          <w:highlight w:val="none"/>
        </w:rPr>
        <w:t>%。</w:t>
      </w:r>
    </w:p>
    <w:p>
      <w:pPr>
        <w:ind w:firstLineChars="250" w:firstLine="525"/>
        <w:rPr>
          <w:rFonts w:ascii="Times New Roman" w:eastAsia="仿宋_GB2312" w:cs="仿宋_GB2312" w:hAnsi="Times New Roman" w:hint="eastAsia"/>
          <w:color w:val="auto"/>
          <w:sz w:val="32"/>
          <w:szCs w:val="32"/>
          <w:lang w:eastAsia="zh-CN"/>
          <w:highlight w:val="none"/>
        </w:rPr>
      </w:pPr>
      <w:r>
        <w:drawing>
          <wp:inline distT="0" distB="0" distL="114300" distR="114300">
            <wp:extent cx="4572000" cy="2743200"/>
            <wp:effectExtent l="4444" t="4444" r="14604" b="14604"/>
            <wp:docPr id="5" name="图表 4"/>
            <wp:cNvGraphicFramePr>
              <a:graphicFrameLocks noChangeAspect="0"/>
            </wp:cNvGraphicFramePr>
            <a:graphic>
              <a:graphicData uri="http://schemas.openxmlformats.org/drawingml/2006/chart">
                <c:chart xmlns:c="http://schemas.openxmlformats.org/drawingml/2006/chart" r:id="rId11"/>
              </a:graphicData>
            </a:graphic>
          </wp:inline>
        </w:drawing>
      </w:r>
    </w:p>
    <w:p>
      <w:pPr>
        <w:spacing w:line="600" w:lineRule="exact"/>
        <w:ind w:firstLineChars="200" w:firstLine="640"/>
        <w:outlineLvl w:val="1"/>
        <w:rPr>
          <w:rStyle w:val="2Char"/>
          <w:rFonts w:ascii="Times New Roman" w:eastAsia="黑体" w:hAnsi="Times New Roman"/>
          <w:b w:val="0"/>
          <w:color w:val="auto"/>
          <w:highlight w:val="none"/>
        </w:rPr>
      </w:pPr>
      <w:bookmarkStart w:id="26" w:name="_Toc15377208"/>
      <w:bookmarkStart w:id="27" w:name="_Toc15396606"/>
      <w:r>
        <w:rPr>
          <w:rFonts w:ascii="Times New Roman" w:eastAsia="黑体" w:hAnsi="Times New Roman" w:hint="eastAsia"/>
          <w:color w:val="auto"/>
          <w:sz w:val="32"/>
          <w:szCs w:val="32"/>
          <w:highlight w:val="none"/>
        </w:rPr>
        <w:t>四、财</w:t>
      </w:r>
      <w:r>
        <w:rPr>
          <w:rStyle w:val="2Char"/>
          <w:rFonts w:ascii="Times New Roman" w:eastAsia="黑体" w:hAnsi="Times New Roman" w:hint="eastAsia"/>
          <w:b w:val="0"/>
          <w:color w:val="auto"/>
          <w:highlight w:val="none"/>
        </w:rPr>
        <w:t>政拨款收入支出决算总体情况说明</w:t>
      </w:r>
      <w:bookmarkEnd w:id="26"/>
      <w:bookmarkEnd w:id="27"/>
    </w:p>
    <w:p>
      <w:pPr>
        <w:spacing w:line="600" w:lineRule="exact"/>
        <w:ind w:firstLine="640"/>
        <w:rPr>
          <w:rFonts w:eastAsia="仿宋_GB2312" w:cs="仿宋_GB2312" w:hint="eastAsia"/>
          <w:color w:val="auto"/>
          <w:sz w:val="32"/>
          <w:szCs w:val="32"/>
          <w:lang w:val="en-US" w:eastAsia="zh-CN"/>
          <w:highlight w:val="none"/>
        </w:rPr>
      </w:pPr>
      <w:r>
        <w:rPr>
          <w:rFonts w:eastAsia="仿宋_GB2312" w:cs="仿宋_GB2312" w:hint="eastAsia"/>
          <w:color w:val="auto"/>
          <w:kern w:val="2"/>
          <w:sz w:val="32"/>
          <w:szCs w:val="32"/>
          <w:lang w:val="en-US" w:eastAsia="zh-CN" w:bidi="ar-SA"/>
          <w:highlight w:val="none"/>
        </w:rPr>
        <w:t>2025年度</w:t>
      </w:r>
      <w:r>
        <w:rPr>
          <w:rFonts w:ascii="Times New Roman" w:eastAsia="仿宋_GB2312" w:cs="仿宋_GB2312" w:hAnsi="Times New Roman" w:hint="eastAsia"/>
          <w:color w:val="auto"/>
          <w:kern w:val="2"/>
          <w:sz w:val="32"/>
          <w:szCs w:val="32"/>
          <w:lang w:val="en-US" w:eastAsia="zh-CN" w:bidi="ar-SA"/>
          <w:highlight w:val="none"/>
        </w:rPr>
        <w:t>财政拨款收入、支出总计均为</w:t>
      </w:r>
      <w:r>
        <w:rPr>
          <w:rFonts w:ascii="仿宋_GB2312" w:eastAsia="仿宋_GB2312" w:cs="仿宋_GB2312" w:hAnsi="仿宋_GB2312" w:hint="eastAsia"/>
          <w:sz w:val="32"/>
          <w:szCs w:val="32"/>
        </w:rPr>
        <w:t>459.82</w:t>
      </w:r>
      <w:r>
        <w:rPr>
          <w:rFonts w:ascii="Times New Roman" w:eastAsia="仿宋_GB2312" w:cs="仿宋_GB2312" w:hAnsi="Times New Roman" w:hint="eastAsia"/>
          <w:color w:val="auto"/>
          <w:kern w:val="2"/>
          <w:sz w:val="32"/>
          <w:szCs w:val="32"/>
          <w:lang w:val="en-US" w:eastAsia="zh-CN" w:bidi="ar-SA"/>
          <w:highlight w:val="none"/>
        </w:rPr>
        <w:t>万元。与</w:t>
      </w:r>
      <w:r>
        <w:rPr>
          <w:rFonts w:eastAsia="仿宋_GB2312" w:cs="仿宋_GB2312" w:hint="eastAsia"/>
          <w:color w:val="auto"/>
          <w:kern w:val="2"/>
          <w:sz w:val="32"/>
          <w:szCs w:val="32"/>
          <w:lang w:val="en-US" w:eastAsia="zh-CN" w:bidi="ar-SA"/>
          <w:highlight w:val="none"/>
        </w:rPr>
        <w:t>上</w:t>
      </w:r>
      <w:r>
        <w:rPr>
          <w:rFonts w:ascii="Times New Roman" w:eastAsia="仿宋_GB2312" w:cs="仿宋_GB2312" w:hAnsi="Times New Roman" w:hint="eastAsia"/>
          <w:color w:val="auto"/>
          <w:kern w:val="2"/>
          <w:sz w:val="32"/>
          <w:szCs w:val="32"/>
          <w:lang w:val="en-US" w:eastAsia="zh-CN" w:bidi="ar-SA"/>
          <w:highlight w:val="none"/>
        </w:rPr>
        <w:t>年度相比，财政拨款收入、支出总计各减少</w:t>
      </w:r>
      <w:r>
        <w:rPr>
          <w:rFonts w:eastAsia="仿宋_GB2312" w:cs="仿宋_GB2312" w:hint="eastAsia"/>
          <w:color w:val="auto"/>
          <w:kern w:val="2"/>
          <w:sz w:val="32"/>
          <w:szCs w:val="32"/>
          <w:lang w:val="en-US" w:eastAsia="zh-CN" w:bidi="ar-SA"/>
          <w:highlight w:val="none"/>
        </w:rPr>
        <w:t>26.62</w:t>
      </w:r>
      <w:r>
        <w:rPr>
          <w:rFonts w:ascii="Times New Roman" w:eastAsia="仿宋_GB2312" w:cs="仿宋_GB2312" w:hAnsi="Times New Roman" w:hint="eastAsia"/>
          <w:color w:val="auto"/>
          <w:kern w:val="2"/>
          <w:sz w:val="32"/>
          <w:szCs w:val="32"/>
          <w:lang w:val="en-US" w:eastAsia="zh-CN" w:bidi="ar-SA"/>
          <w:highlight w:val="none"/>
        </w:rPr>
        <w:t>万元，下降</w:t>
      </w:r>
      <w:r>
        <w:rPr>
          <w:rFonts w:eastAsia="仿宋_GB2312" w:cs="仿宋_GB2312" w:hint="eastAsia"/>
          <w:color w:val="auto"/>
          <w:kern w:val="2"/>
          <w:sz w:val="32"/>
          <w:szCs w:val="32"/>
          <w:lang w:val="en-US" w:eastAsia="zh-CN" w:bidi="ar-SA"/>
          <w:highlight w:val="none"/>
        </w:rPr>
        <w:t>5.47</w:t>
      </w:r>
      <w:r>
        <w:rPr>
          <w:rFonts w:ascii="Times New Roman" w:eastAsia="仿宋_GB2312" w:cs="仿宋_GB2312" w:hAnsi="Times New Roman" w:hint="eastAsia"/>
          <w:color w:val="auto"/>
          <w:kern w:val="2"/>
          <w:sz w:val="32"/>
          <w:szCs w:val="32"/>
          <w:lang w:val="en-US" w:eastAsia="zh-CN" w:bidi="ar-SA"/>
          <w:highlight w:val="none"/>
        </w:rPr>
        <w:t>%。主要变动原因是</w:t>
      </w:r>
      <w:r>
        <w:rPr>
          <w:rFonts w:eastAsia="仿宋_GB2312" w:cs="仿宋_GB2312" w:hint="eastAsia"/>
          <w:color w:val="auto"/>
          <w:sz w:val="32"/>
          <w:szCs w:val="32"/>
          <w:lang w:val="en-US" w:eastAsia="zh-CN"/>
          <w:highlight w:val="none"/>
        </w:rPr>
        <w:t>严格落实过紧日子的要求，厉行节约，全年支出规模同比减少。</w:t>
      </w:r>
    </w:p>
    <w:p>
      <w:pPr>
        <w:spacing w:line="600" w:lineRule="exact"/>
        <w:ind w:firstLine="640"/>
        <w:rPr>
          <w:rFonts w:hint="eastAsia"/>
          <w:lang w:val="en-US" w:eastAsia="zh-CN"/>
        </w:rPr>
      </w:pPr>
      <w:r>
        <w:drawing>
          <wp:anchor distT="0" distB="0" distL="114935" distR="114935" simplePos="0" relativeHeight="27" behindDoc="0" locked="0" layoutInCell="1" hidden="0" allowOverlap="1">
            <wp:simplePos x="0" y="0"/>
            <wp:positionH relativeFrom="column">
              <wp:posOffset>220345</wp:posOffset>
            </wp:positionH>
            <wp:positionV relativeFrom="paragraph">
              <wp:posOffset>90170</wp:posOffset>
            </wp:positionV>
            <wp:extent cx="4572000" cy="2743200"/>
            <wp:effectExtent l="4444" t="4444" r="14604" b="14604"/>
            <wp:wrapTopAndBottom/>
            <wp:docPr id="3" name="图表 5"/>
            <wp:cNvGraphicFramePr>
              <a:graphicFrameLocks noChangeAspect="0"/>
            </wp:cNvGraphicFramePr>
            <a:graphic>
              <a:graphicData uri="http://schemas.openxmlformats.org/drawingml/2006/chart">
                <c:chart xmlns:c="http://schemas.openxmlformats.org/drawingml/2006/chart" r:id="rId12"/>
              </a:graphicData>
            </a:graphic>
          </wp:anchor>
        </w:drawing>
      </w:r>
    </w:p>
    <w:p>
      <w:pPr>
        <w:spacing w:line="600" w:lineRule="exact"/>
        <w:ind w:firstLineChars="200" w:firstLine="640"/>
        <w:outlineLvl w:val="1"/>
        <w:rPr>
          <w:rStyle w:val="2Char"/>
          <w:rFonts w:ascii="Times New Roman" w:eastAsia="黑体" w:hAnsi="Times New Roman"/>
          <w:b w:val="0"/>
          <w:color w:val="auto"/>
          <w:highlight w:val="none"/>
        </w:rPr>
      </w:pPr>
      <w:bookmarkStart w:id="28" w:name="_Toc15396607"/>
      <w:bookmarkStart w:id="29" w:name="_Toc15377209"/>
      <w:r>
        <w:rPr>
          <w:rFonts w:ascii="Times New Roman" w:eastAsia="黑体" w:hAnsi="Times New Roman" w:hint="eastAsia"/>
          <w:color w:val="auto"/>
          <w:sz w:val="32"/>
          <w:szCs w:val="32"/>
          <w:highlight w:val="none"/>
        </w:rPr>
        <w:t>五、</w:t>
      </w:r>
      <w:r>
        <w:rPr>
          <w:rFonts w:ascii="Times New Roman" w:eastAsia="黑体" w:hAnsi="Times New Roman" w:hint="eastAsia"/>
          <w:b/>
          <w:color w:val="auto"/>
          <w:sz w:val="32"/>
          <w:szCs w:val="32"/>
          <w:highlight w:val="none"/>
        </w:rPr>
        <w:t>一</w:t>
      </w:r>
      <w:r>
        <w:rPr>
          <w:rStyle w:val="2Char"/>
          <w:rFonts w:ascii="Times New Roman" w:eastAsia="黑体" w:hAnsi="Times New Roman" w:hint="eastAsia"/>
          <w:b w:val="0"/>
          <w:color w:val="auto"/>
          <w:highlight w:val="none"/>
        </w:rPr>
        <w:t>般公共预算财政拨款支出决算情况说明</w:t>
      </w:r>
      <w:bookmarkEnd w:id="28"/>
      <w:bookmarkEnd w:id="29"/>
    </w:p>
    <w:p>
      <w:pPr>
        <w:spacing w:line="600" w:lineRule="exact"/>
        <w:ind w:firstLineChars="200" w:firstLine="640"/>
        <w:outlineLvl w:val="2"/>
        <w:rPr>
          <w:rFonts w:ascii="Times New Roman" w:eastAsia="楷体_GB2312" w:cs="楷体_GB2312" w:hAnsi="Times New Roman" w:hint="eastAsia"/>
          <w:b/>
          <w:color w:val="auto"/>
          <w:sz w:val="32"/>
          <w:szCs w:val="32"/>
          <w:highlight w:val="none"/>
        </w:rPr>
      </w:pPr>
      <w:bookmarkStart w:id="30" w:name="_Toc15377210"/>
      <w:r>
        <w:rPr>
          <w:rFonts w:ascii="Times New Roman" w:eastAsia="楷体_GB2312" w:cs="楷体_GB2312" w:hAnsi="Times New Roman" w:hint="eastAsia"/>
          <w:b/>
          <w:color w:val="auto"/>
          <w:sz w:val="32"/>
          <w:szCs w:val="32"/>
          <w:highlight w:val="none"/>
        </w:rPr>
        <w:t>（一）一般公共预算财政拨款支出决算总体情况</w:t>
      </w:r>
      <w:bookmarkEnd w:id="30"/>
    </w:p>
    <w:p>
      <w:pPr>
        <w:spacing w:line="600" w:lineRule="exact"/>
        <w:ind w:firstLine="640"/>
        <w:rPr>
          <w:rFonts w:hint="eastAsia"/>
          <w:lang w:val="en-US" w:eastAsia="zh-CN"/>
        </w:rPr>
      </w:pPr>
      <w:r>
        <w:rPr>
          <w:rFonts w:eastAsia="仿宋_GB2312" w:cs="仿宋_GB2312" w:hint="eastAsia"/>
          <w:color w:val="auto"/>
          <w:kern w:val="2"/>
          <w:sz w:val="32"/>
          <w:szCs w:val="32"/>
          <w:lang w:val="en-US" w:eastAsia="zh-CN" w:bidi="ar-SA"/>
          <w:highlight w:val="none"/>
        </w:rPr>
        <w:t>2025年度</w:t>
      </w:r>
      <w:r>
        <w:rPr>
          <w:rFonts w:ascii="Times New Roman" w:eastAsia="仿宋_GB2312" w:cs="仿宋_GB2312" w:hAnsi="Times New Roman" w:hint="eastAsia"/>
          <w:color w:val="auto"/>
          <w:kern w:val="2"/>
          <w:sz w:val="32"/>
          <w:szCs w:val="32"/>
          <w:lang w:val="en-US" w:eastAsia="zh-CN" w:bidi="ar-SA"/>
          <w:highlight w:val="none"/>
        </w:rPr>
        <w:t>一般公共预算财政拨款支出</w:t>
      </w:r>
      <w:r>
        <w:rPr>
          <w:rFonts w:ascii="仿宋_GB2312" w:eastAsia="仿宋_GB2312" w:cs="仿宋_GB2312" w:hAnsi="仿宋_GB2312" w:hint="eastAsia"/>
          <w:sz w:val="32"/>
          <w:szCs w:val="32"/>
        </w:rPr>
        <w:t>459.82</w:t>
      </w:r>
      <w:r>
        <w:rPr>
          <w:rFonts w:ascii="Times New Roman" w:eastAsia="仿宋_GB2312" w:cs="仿宋_GB2312" w:hAnsi="Times New Roman" w:hint="eastAsia"/>
          <w:color w:val="auto"/>
          <w:kern w:val="2"/>
          <w:sz w:val="32"/>
          <w:szCs w:val="32"/>
          <w:lang w:val="en-US" w:eastAsia="zh-CN" w:bidi="ar-SA"/>
          <w:highlight w:val="none"/>
        </w:rPr>
        <w:t>万元，占本年支出合计的</w:t>
      </w:r>
      <w:r>
        <w:rPr>
          <w:rFonts w:ascii="仿宋_GB2312" w:eastAsia="仿宋_GB2312" w:cs="仿宋_GB2312" w:hAnsi="仿宋_GB2312" w:hint="eastAsia"/>
          <w:sz w:val="32"/>
          <w:szCs w:val="32"/>
        </w:rPr>
        <w:t>95.83</w:t>
      </w:r>
      <w:r>
        <w:rPr>
          <w:rFonts w:ascii="Times New Roman" w:eastAsia="仿宋_GB2312" w:cs="仿宋_GB2312" w:hAnsi="Times New Roman" w:hint="eastAsia"/>
          <w:color w:val="auto"/>
          <w:kern w:val="2"/>
          <w:sz w:val="32"/>
          <w:szCs w:val="32"/>
          <w:lang w:val="en-US" w:eastAsia="zh-CN" w:bidi="ar-SA"/>
          <w:highlight w:val="none"/>
        </w:rPr>
        <w:t>%。与</w:t>
      </w:r>
      <w:r>
        <w:rPr>
          <w:rFonts w:eastAsia="仿宋_GB2312" w:cs="仿宋_GB2312" w:hint="eastAsia"/>
          <w:color w:val="auto"/>
          <w:kern w:val="2"/>
          <w:sz w:val="32"/>
          <w:szCs w:val="32"/>
          <w:lang w:val="en-US" w:eastAsia="zh-CN" w:bidi="ar-SA"/>
          <w:highlight w:val="none"/>
        </w:rPr>
        <w:t>上</w:t>
      </w:r>
      <w:r>
        <w:rPr>
          <w:rFonts w:ascii="Times New Roman" w:eastAsia="仿宋_GB2312" w:cs="仿宋_GB2312" w:hAnsi="Times New Roman" w:hint="eastAsia"/>
          <w:color w:val="auto"/>
          <w:kern w:val="2"/>
          <w:sz w:val="32"/>
          <w:szCs w:val="32"/>
          <w:lang w:val="en-US" w:eastAsia="zh-CN" w:bidi="ar-SA"/>
          <w:highlight w:val="none"/>
        </w:rPr>
        <w:t>年度相比，一般公共预算财政拨款支出减少</w:t>
      </w:r>
      <w:r>
        <w:rPr>
          <w:rFonts w:eastAsia="仿宋_GB2312" w:cs="仿宋_GB2312" w:hint="eastAsia"/>
          <w:color w:val="auto"/>
          <w:kern w:val="2"/>
          <w:sz w:val="32"/>
          <w:szCs w:val="32"/>
          <w:lang w:val="en-US" w:eastAsia="zh-CN" w:bidi="ar-SA"/>
          <w:highlight w:val="none"/>
        </w:rPr>
        <w:t>26.62</w:t>
      </w:r>
      <w:r>
        <w:rPr>
          <w:rFonts w:ascii="Times New Roman" w:eastAsia="仿宋_GB2312" w:cs="仿宋_GB2312" w:hAnsi="Times New Roman" w:hint="eastAsia"/>
          <w:color w:val="auto"/>
          <w:kern w:val="2"/>
          <w:sz w:val="32"/>
          <w:szCs w:val="32"/>
          <w:lang w:val="en-US" w:eastAsia="zh-CN" w:bidi="ar-SA"/>
          <w:highlight w:val="none"/>
        </w:rPr>
        <w:t>万元，下降</w:t>
      </w:r>
      <w:r>
        <w:rPr>
          <w:rFonts w:eastAsia="仿宋_GB2312" w:cs="仿宋_GB2312" w:hint="eastAsia"/>
          <w:color w:val="auto"/>
          <w:kern w:val="2"/>
          <w:sz w:val="32"/>
          <w:szCs w:val="32"/>
          <w:lang w:val="en-US" w:eastAsia="zh-CN" w:bidi="ar-SA"/>
          <w:highlight w:val="none"/>
        </w:rPr>
        <w:t>5.47</w:t>
      </w:r>
      <w:r>
        <w:rPr>
          <w:rFonts w:ascii="Times New Roman" w:eastAsia="仿宋_GB2312" w:cs="仿宋_GB2312" w:hAnsi="Times New Roman" w:hint="eastAsia"/>
          <w:color w:val="auto"/>
          <w:kern w:val="2"/>
          <w:sz w:val="32"/>
          <w:szCs w:val="32"/>
          <w:lang w:val="en-US" w:eastAsia="zh-CN" w:bidi="ar-SA"/>
          <w:highlight w:val="none"/>
        </w:rPr>
        <w:t>%。主要变动原因是</w:t>
      </w:r>
      <w:r>
        <w:rPr>
          <w:rFonts w:eastAsia="仿宋_GB2312" w:cs="仿宋_GB2312" w:hint="eastAsia"/>
          <w:color w:val="auto"/>
          <w:sz w:val="32"/>
          <w:szCs w:val="32"/>
          <w:lang w:val="en-US" w:eastAsia="zh-CN"/>
          <w:highlight w:val="none"/>
        </w:rPr>
        <w:t>严格落实过紧日子的要求，厉行节约，全年支出规模同比减少。</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drawing>
          <wp:anchor distT="0" distB="0" distL="114300" distR="114300" simplePos="0" relativeHeight="15" behindDoc="0" locked="0" layoutInCell="1" hidden="0" allowOverlap="1">
            <wp:simplePos x="0" y="0"/>
            <wp:positionH relativeFrom="column">
              <wp:posOffset>410844</wp:posOffset>
            </wp:positionH>
            <wp:positionV relativeFrom="paragraph">
              <wp:posOffset>-4358004</wp:posOffset>
            </wp:positionV>
            <wp:extent cx="4752339" cy="4657725"/>
            <wp:effectExtent l="4444" t="4444" r="5715" b="5080"/>
            <wp:wrapTight wrapText="bothSides">
              <wp:wrapPolygon>
                <wp:start x="-20" y="-21"/>
                <wp:lineTo x="-20" y="21535"/>
                <wp:lineTo x="21539" y="21535"/>
                <wp:lineTo x="21539" y="-21"/>
                <wp:lineTo x="-20" y="-21"/>
              </wp:wrapPolygon>
            </wp:wrapTight>
            <wp:docPr id="10" name="图表 5"/>
            <wp:cNvGraphicFramePr>
              <a:graphicFrameLocks noChangeAspect="0"/>
            </wp:cNvGraphicFramePr>
            <a:graphic>
              <a:graphicData uri="http://schemas.openxmlformats.org/drawingml/2006/chart">
                <c:chart xmlns:c="http://schemas.openxmlformats.org/drawingml/2006/chart" r:id="rId13"/>
              </a:graphicData>
            </a:graphic>
          </wp:anchor>
        </w:drawing>
      </w:r>
    </w:p>
    <w:p>
      <w:pPr>
        <w:spacing w:line="600" w:lineRule="exact"/>
        <w:ind w:firstLineChars="200" w:firstLine="640"/>
        <w:outlineLvl w:val="2"/>
        <w:rPr>
          <w:rFonts w:ascii="Times New Roman" w:eastAsia="楷体_GB2312" w:cs="楷体_GB2312" w:hAnsi="Times New Roman" w:hint="eastAsia"/>
          <w:b/>
          <w:color w:val="auto"/>
          <w:sz w:val="32"/>
          <w:szCs w:val="32"/>
          <w:highlight w:val="none"/>
        </w:rPr>
      </w:pPr>
      <w:bookmarkStart w:id="31" w:name="_Toc15377211"/>
      <w:r>
        <w:rPr>
          <w:rFonts w:ascii="Times New Roman" w:eastAsia="楷体_GB2312" w:cs="楷体_GB2312" w:hAnsi="Times New Roman" w:hint="eastAsia"/>
          <w:b/>
          <w:color w:val="auto"/>
          <w:sz w:val="32"/>
          <w:szCs w:val="32"/>
          <w:highlight w:val="none"/>
        </w:rPr>
        <w:t>（二）一般公共预算财政拨款支出决算结构情况</w:t>
      </w:r>
      <w:bookmarkEnd w:id="31"/>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2025年度</w:t>
      </w:r>
      <w:r>
        <w:rPr>
          <w:rFonts w:ascii="Times New Roman" w:eastAsia="仿宋_GB2312" w:cs="仿宋_GB2312" w:hAnsi="Times New Roman" w:hint="eastAsia"/>
          <w:color w:val="auto"/>
          <w:kern w:val="2"/>
          <w:sz w:val="32"/>
          <w:szCs w:val="32"/>
          <w:lang w:val="en-US" w:eastAsia="zh-CN" w:bidi="ar-SA"/>
          <w:highlight w:val="none"/>
        </w:rPr>
        <w:t>一般公共预算财政拨款支出</w:t>
      </w:r>
      <w:r>
        <w:rPr>
          <w:rFonts w:ascii="仿宋_GB2312" w:eastAsia="仿宋_GB2312" w:cs="仿宋_GB2312" w:hAnsi="仿宋_GB2312" w:hint="eastAsia"/>
          <w:sz w:val="32"/>
          <w:szCs w:val="32"/>
        </w:rPr>
        <w:t>459.82</w:t>
      </w:r>
      <w:r>
        <w:rPr>
          <w:rFonts w:ascii="Times New Roman" w:eastAsia="仿宋_GB2312" w:cs="仿宋_GB2312" w:hAnsi="Times New Roman" w:hint="eastAsia"/>
          <w:color w:val="auto"/>
          <w:kern w:val="2"/>
          <w:sz w:val="32"/>
          <w:szCs w:val="32"/>
          <w:lang w:val="en-US" w:eastAsia="zh-CN" w:bidi="ar-SA"/>
          <w:highlight w:val="none"/>
        </w:rPr>
        <w:t>万元，主要用于以下方面</w:t>
      </w:r>
      <w:r>
        <w:rPr>
          <w:rFonts w:eastAsia="仿宋_GB2312" w:cs="仿宋_GB2312" w:hint="eastAsia"/>
          <w:color w:val="auto"/>
          <w:kern w:val="2"/>
          <w:sz w:val="32"/>
          <w:szCs w:val="32"/>
          <w:lang w:val="en-US" w:eastAsia="zh-CN" w:bidi="ar-SA"/>
          <w:highlight w:val="none"/>
        </w:rPr>
        <w:t>：</w:t>
      </w:r>
      <w:r>
        <w:rPr>
          <w:rFonts w:ascii="Times New Roman" w:eastAsia="仿宋_GB2312" w:cs="仿宋_GB2312" w:hAnsi="Times New Roman" w:hint="eastAsia"/>
          <w:color w:val="auto"/>
          <w:kern w:val="2"/>
          <w:sz w:val="32"/>
          <w:szCs w:val="32"/>
          <w:lang w:val="en-US" w:eastAsia="zh-CN" w:bidi="ar-SA"/>
          <w:highlight w:val="none"/>
        </w:rPr>
        <w:t>一般公共服务支出</w:t>
      </w:r>
      <w:r>
        <w:rPr>
          <w:rFonts w:eastAsia="仿宋_GB2312" w:cs="仿宋_GB2312" w:hint="eastAsia"/>
          <w:color w:val="auto"/>
          <w:kern w:val="2"/>
          <w:sz w:val="32"/>
          <w:szCs w:val="32"/>
          <w:lang w:val="en-US" w:eastAsia="zh-CN" w:bidi="ar-SA"/>
          <w:highlight w:val="none"/>
        </w:rPr>
        <w:t>372.13</w:t>
      </w:r>
      <w:r>
        <w:rPr>
          <w:rFonts w:ascii="Times New Roman" w:eastAsia="仿宋_GB2312" w:cs="仿宋_GB2312" w:hAnsi="Times New Roman" w:hint="eastAsia"/>
          <w:color w:val="auto"/>
          <w:kern w:val="2"/>
          <w:sz w:val="32"/>
          <w:szCs w:val="32"/>
          <w:lang w:val="en-US" w:eastAsia="zh-CN" w:bidi="ar-SA"/>
          <w:highlight w:val="none"/>
        </w:rPr>
        <w:t>万元，占</w:t>
      </w:r>
      <w:r>
        <w:rPr>
          <w:rFonts w:eastAsia="仿宋_GB2312" w:cs="仿宋_GB2312" w:hint="eastAsia"/>
          <w:color w:val="auto"/>
          <w:kern w:val="2"/>
          <w:sz w:val="32"/>
          <w:szCs w:val="32"/>
          <w:lang w:val="en-US" w:eastAsia="zh-CN" w:bidi="ar-SA"/>
          <w:highlight w:val="none"/>
        </w:rPr>
        <w:t>80.93</w:t>
      </w:r>
      <w:r>
        <w:rPr>
          <w:rFonts w:ascii="Times New Roman" w:eastAsia="仿宋_GB2312" w:cs="仿宋_GB2312" w:hAnsi="Times New Roman" w:hint="eastAsia"/>
          <w:color w:val="auto"/>
          <w:kern w:val="2"/>
          <w:sz w:val="32"/>
          <w:szCs w:val="32"/>
          <w:lang w:val="en-US" w:eastAsia="zh-CN" w:bidi="ar-SA"/>
          <w:highlight w:val="none"/>
        </w:rPr>
        <w:t>%；社会保障和就业支出</w:t>
      </w:r>
      <w:r>
        <w:rPr>
          <w:rFonts w:eastAsia="仿宋_GB2312" w:cs="仿宋_GB2312" w:hint="eastAsia"/>
          <w:color w:val="auto"/>
          <w:kern w:val="2"/>
          <w:sz w:val="32"/>
          <w:szCs w:val="32"/>
          <w:lang w:val="en-US" w:eastAsia="zh-CN" w:bidi="ar-SA"/>
          <w:highlight w:val="none"/>
        </w:rPr>
        <w:t>46.69</w:t>
      </w:r>
      <w:r>
        <w:rPr>
          <w:rFonts w:ascii="Times New Roman" w:eastAsia="仿宋_GB2312" w:cs="仿宋_GB2312" w:hAnsi="Times New Roman" w:hint="eastAsia"/>
          <w:color w:val="auto"/>
          <w:kern w:val="2"/>
          <w:sz w:val="32"/>
          <w:szCs w:val="32"/>
          <w:lang w:val="en-US" w:eastAsia="zh-CN" w:bidi="ar-SA"/>
          <w:highlight w:val="none"/>
        </w:rPr>
        <w:t>万元，占</w:t>
      </w:r>
      <w:r>
        <w:rPr>
          <w:rFonts w:eastAsia="仿宋_GB2312" w:cs="仿宋_GB2312" w:hint="eastAsia"/>
          <w:color w:val="auto"/>
          <w:kern w:val="2"/>
          <w:sz w:val="32"/>
          <w:szCs w:val="32"/>
          <w:lang w:val="en-US" w:eastAsia="zh-CN" w:bidi="ar-SA"/>
          <w:highlight w:val="none"/>
        </w:rPr>
        <w:t>10.15</w:t>
      </w:r>
      <w:r>
        <w:rPr>
          <w:rFonts w:ascii="Times New Roman" w:eastAsia="仿宋_GB2312" w:cs="仿宋_GB2312" w:hAnsi="Times New Roman" w:hint="eastAsia"/>
          <w:color w:val="auto"/>
          <w:kern w:val="2"/>
          <w:sz w:val="32"/>
          <w:szCs w:val="32"/>
          <w:lang w:val="en-US" w:eastAsia="zh-CN" w:bidi="ar-SA"/>
          <w:highlight w:val="none"/>
        </w:rPr>
        <w:t>%；卫生健康支出</w:t>
      </w:r>
      <w:r>
        <w:rPr>
          <w:rFonts w:eastAsia="仿宋_GB2312" w:cs="仿宋_GB2312" w:hint="eastAsia"/>
          <w:color w:val="auto"/>
          <w:kern w:val="2"/>
          <w:sz w:val="32"/>
          <w:szCs w:val="32"/>
          <w:lang w:val="en-US" w:eastAsia="zh-CN" w:bidi="ar-SA"/>
          <w:highlight w:val="none"/>
        </w:rPr>
        <w:t>16.55</w:t>
      </w:r>
      <w:r>
        <w:rPr>
          <w:rFonts w:ascii="Times New Roman" w:eastAsia="仿宋_GB2312" w:cs="仿宋_GB2312" w:hAnsi="Times New Roman" w:hint="eastAsia"/>
          <w:color w:val="auto"/>
          <w:kern w:val="2"/>
          <w:sz w:val="32"/>
          <w:szCs w:val="32"/>
          <w:lang w:val="en-US" w:eastAsia="zh-CN" w:bidi="ar-SA"/>
          <w:highlight w:val="none"/>
        </w:rPr>
        <w:t>万元，占</w:t>
      </w:r>
      <w:r>
        <w:rPr>
          <w:rFonts w:eastAsia="仿宋_GB2312" w:cs="仿宋_GB2312" w:hint="eastAsia"/>
          <w:color w:val="auto"/>
          <w:kern w:val="2"/>
          <w:sz w:val="32"/>
          <w:szCs w:val="32"/>
          <w:lang w:val="en-US" w:eastAsia="zh-CN" w:bidi="ar-SA"/>
          <w:highlight w:val="none"/>
        </w:rPr>
        <w:t>3.60</w:t>
      </w:r>
      <w:r>
        <w:rPr>
          <w:rFonts w:ascii="Times New Roman" w:eastAsia="仿宋_GB2312" w:cs="仿宋_GB2312" w:hAnsi="Times New Roman" w:hint="eastAsia"/>
          <w:color w:val="auto"/>
          <w:kern w:val="2"/>
          <w:sz w:val="32"/>
          <w:szCs w:val="32"/>
          <w:lang w:val="en-US" w:eastAsia="zh-CN" w:bidi="ar-SA"/>
          <w:highlight w:val="none"/>
        </w:rPr>
        <w:t>%；住房保障支出</w:t>
      </w:r>
      <w:r>
        <w:rPr>
          <w:rFonts w:eastAsia="仿宋_GB2312" w:cs="仿宋_GB2312" w:hint="eastAsia"/>
          <w:color w:val="auto"/>
          <w:kern w:val="2"/>
          <w:sz w:val="32"/>
          <w:szCs w:val="32"/>
          <w:lang w:val="en-US" w:eastAsia="zh-CN" w:bidi="ar-SA"/>
          <w:highlight w:val="none"/>
        </w:rPr>
        <w:t>24.45</w:t>
      </w:r>
      <w:r>
        <w:rPr>
          <w:rFonts w:ascii="Times New Roman" w:eastAsia="仿宋_GB2312" w:cs="仿宋_GB2312" w:hAnsi="Times New Roman" w:hint="eastAsia"/>
          <w:color w:val="auto"/>
          <w:kern w:val="2"/>
          <w:sz w:val="32"/>
          <w:szCs w:val="32"/>
          <w:lang w:val="en-US" w:eastAsia="zh-CN" w:bidi="ar-SA"/>
          <w:highlight w:val="none"/>
        </w:rPr>
        <w:t>万元，占</w:t>
      </w:r>
      <w:r>
        <w:rPr>
          <w:rFonts w:eastAsia="仿宋_GB2312" w:cs="仿宋_GB2312" w:hint="eastAsia"/>
          <w:color w:val="auto"/>
          <w:kern w:val="2"/>
          <w:sz w:val="32"/>
          <w:szCs w:val="32"/>
          <w:lang w:val="en-US" w:eastAsia="zh-CN" w:bidi="ar-SA"/>
          <w:highlight w:val="none"/>
        </w:rPr>
        <w:t>5.32</w:t>
      </w:r>
      <w:r>
        <w:rPr>
          <w:rFonts w:ascii="Times New Roman" w:eastAsia="仿宋_GB2312" w:cs="仿宋_GB2312" w:hAnsi="Times New Roman" w:hint="eastAsia"/>
          <w:color w:val="auto"/>
          <w:kern w:val="2"/>
          <w:sz w:val="32"/>
          <w:szCs w:val="32"/>
          <w:lang w:val="en-US" w:eastAsia="zh-CN" w:bidi="ar-SA"/>
          <w:highlight w:val="none"/>
        </w:rPr>
        <w:t>%；</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drawing>
          <wp:anchor distT="0" distB="0" distL="114935" distR="114935" simplePos="0" relativeHeight="31" behindDoc="0" locked="0" layoutInCell="1" hidden="0" allowOverlap="1">
            <wp:simplePos x="0" y="0"/>
            <wp:positionH relativeFrom="column">
              <wp:posOffset>410209</wp:posOffset>
            </wp:positionH>
            <wp:positionV relativeFrom="line">
              <wp:posOffset>-909955</wp:posOffset>
            </wp:positionV>
            <wp:extent cx="4847590" cy="3152775"/>
            <wp:effectExtent l="4444" t="4444" r="5715" b="5080"/>
            <wp:wrapTopAndBottom/>
            <wp:docPr id="7" name="图表 6"/>
            <wp:cNvGraphicFramePr>
              <a:graphicFrameLocks noChangeAspect="0"/>
            </wp:cNvGraphicFramePr>
            <a:graphic>
              <a:graphicData uri="http://schemas.openxmlformats.org/drawingml/2006/chart">
                <c:chart xmlns:c="http://schemas.openxmlformats.org/drawingml/2006/chart" r:id="rId14"/>
              </a:graphicData>
            </a:graphic>
          </wp:anchor>
        </w:drawing>
      </w:r>
    </w:p>
    <w:p>
      <w:pPr>
        <w:spacing w:line="600" w:lineRule="exact"/>
        <w:ind w:firstLineChars="200" w:firstLine="640"/>
        <w:outlineLvl w:val="2"/>
        <w:rPr>
          <w:rFonts w:ascii="Times New Roman" w:eastAsia="楷体_GB2312" w:cs="楷体_GB2312" w:hAnsi="Times New Roman" w:hint="eastAsia"/>
          <w:b/>
          <w:color w:val="auto"/>
          <w:sz w:val="32"/>
          <w:szCs w:val="32"/>
          <w:highlight w:val="none"/>
        </w:rPr>
      </w:pPr>
      <w:bookmarkStart w:id="32" w:name="_Toc15377212"/>
      <w:r>
        <w:rPr>
          <w:rFonts w:ascii="Times New Roman" w:eastAsia="楷体_GB2312" w:cs="楷体_GB2312" w:hAnsi="Times New Roman" w:hint="eastAsia"/>
          <w:b/>
          <w:color w:val="auto"/>
          <w:sz w:val="32"/>
          <w:szCs w:val="32"/>
          <w:highlight w:val="none"/>
        </w:rPr>
        <w:t>（三）一般公共预算财政拨款支出决算具体情况</w:t>
      </w:r>
      <w:bookmarkEnd w:id="32"/>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bookmarkStart w:id="33" w:name="_Toc15378460"/>
      <w:bookmarkStart w:id="34" w:name="_Toc15377444"/>
      <w:bookmarkStart w:id="35" w:name="_Toc15377213"/>
      <w:r>
        <w:rPr>
          <w:rFonts w:eastAsia="仿宋_GB2312" w:cs="仿宋_GB2312" w:hint="eastAsia"/>
          <w:color w:val="auto"/>
          <w:kern w:val="2"/>
          <w:sz w:val="32"/>
          <w:szCs w:val="32"/>
          <w:lang w:val="en-US" w:eastAsia="zh-CN" w:bidi="ar-SA"/>
          <w:highlight w:val="none"/>
        </w:rPr>
        <w:t>2025年度</w:t>
      </w:r>
      <w:r>
        <w:rPr>
          <w:rFonts w:ascii="Times New Roman" w:eastAsia="仿宋_GB2312" w:cs="仿宋_GB2312" w:hAnsi="Times New Roman" w:hint="eastAsia"/>
          <w:color w:val="auto"/>
          <w:kern w:val="2"/>
          <w:sz w:val="32"/>
          <w:szCs w:val="32"/>
          <w:lang w:val="en-US" w:eastAsia="zh-CN" w:bidi="ar-SA"/>
          <w:highlight w:val="none"/>
        </w:rPr>
        <w:t>一般公共预算支出决算数为</w:t>
      </w:r>
      <w:r>
        <w:rPr>
          <w:rFonts w:ascii="仿宋_GB2312" w:eastAsia="仿宋_GB2312" w:cs="仿宋_GB2312" w:hAnsi="仿宋_GB2312" w:hint="eastAsia"/>
          <w:sz w:val="32"/>
          <w:szCs w:val="32"/>
        </w:rPr>
        <w:t>459.82</w:t>
      </w:r>
      <w:r>
        <w:rPr>
          <w:rFonts w:ascii="Times New Roman" w:eastAsia="仿宋_GB2312" w:cs="仿宋_GB2312" w:hAnsi="Times New Roman" w:hint="eastAsia"/>
          <w:color w:val="auto"/>
          <w:kern w:val="2"/>
          <w:sz w:val="32"/>
          <w:szCs w:val="32"/>
          <w:lang w:val="en-US" w:eastAsia="zh-CN" w:bidi="ar-SA"/>
          <w:highlight w:val="none"/>
        </w:rPr>
        <w:t>，完成预算</w:t>
      </w:r>
      <w:r>
        <w:rPr>
          <w:rFonts w:eastAsia="仿宋_GB2312" w:cs="仿宋_GB2312" w:hint="eastAsia"/>
          <w:color w:val="auto"/>
          <w:kern w:val="2"/>
          <w:sz w:val="32"/>
          <w:szCs w:val="32"/>
          <w:lang w:val="en-US" w:eastAsia="zh-CN" w:bidi="ar-SA"/>
          <w:highlight w:val="none"/>
        </w:rPr>
        <w:t>100</w:t>
      </w:r>
      <w:r>
        <w:rPr>
          <w:rFonts w:ascii="Times New Roman" w:eastAsia="仿宋_GB2312" w:cs="仿宋_GB2312" w:hAnsi="Times New Roman" w:hint="eastAsia"/>
          <w:color w:val="auto"/>
          <w:kern w:val="2"/>
          <w:sz w:val="32"/>
          <w:szCs w:val="32"/>
          <w:lang w:val="en-US" w:eastAsia="zh-CN" w:bidi="ar-SA"/>
          <w:highlight w:val="none"/>
        </w:rPr>
        <w:t>%。其中：</w:t>
      </w:r>
      <w:bookmarkEnd w:id="33"/>
      <w:bookmarkEnd w:id="34"/>
      <w:bookmarkEnd w:id="35"/>
    </w:p>
    <w:p>
      <w:pPr>
        <w:numPr>
          <w:ilvl w:val="0"/>
          <w:numId w:val="3"/>
        </w:numPr>
        <w:spacing w:line="600" w:lineRule="exact"/>
        <w:ind w:left="0"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一般公共服务</w:t>
      </w:r>
      <w:r>
        <w:rPr>
          <w:rFonts w:eastAsia="仿宋_GB2312" w:cs="仿宋_GB2312" w:hint="eastAsia"/>
          <w:color w:val="auto"/>
          <w:kern w:val="2"/>
          <w:sz w:val="32"/>
          <w:szCs w:val="32"/>
          <w:lang w:val="en-US" w:eastAsia="zh-CN" w:bidi="ar-SA"/>
          <w:highlight w:val="none"/>
        </w:rPr>
        <w:t>：</w:t>
      </w:r>
      <w:r>
        <w:rPr>
          <w:rFonts w:ascii="Times New Roman" w:eastAsia="仿宋_GB2312" w:cs="仿宋_GB2312" w:hAnsi="Times New Roman" w:hint="eastAsia"/>
          <w:color w:val="auto"/>
          <w:kern w:val="2"/>
          <w:sz w:val="32"/>
          <w:szCs w:val="32"/>
          <w:lang w:val="en-US" w:eastAsia="zh-CN" w:bidi="ar-SA"/>
          <w:highlight w:val="none"/>
        </w:rPr>
        <w:t>支出决算为</w:t>
      </w:r>
      <w:r>
        <w:rPr>
          <w:rFonts w:eastAsia="仿宋_GB2312" w:cs="仿宋_GB2312" w:hint="eastAsia"/>
          <w:color w:val="auto"/>
          <w:kern w:val="2"/>
          <w:sz w:val="32"/>
          <w:szCs w:val="32"/>
          <w:lang w:val="en-US" w:eastAsia="zh-CN" w:bidi="ar-SA"/>
          <w:highlight w:val="none"/>
        </w:rPr>
        <w:t>372.13</w:t>
      </w:r>
      <w:r>
        <w:rPr>
          <w:rFonts w:ascii="Times New Roman" w:eastAsia="仿宋_GB2312" w:cs="仿宋_GB2312" w:hAnsi="Times New Roman" w:hint="eastAsia"/>
          <w:color w:val="auto"/>
          <w:kern w:val="2"/>
          <w:sz w:val="32"/>
          <w:szCs w:val="32"/>
          <w:lang w:val="en-US" w:eastAsia="zh-CN" w:bidi="ar-SA"/>
          <w:highlight w:val="none"/>
        </w:rPr>
        <w:t>万元，完成预算</w:t>
      </w:r>
      <w:r>
        <w:rPr>
          <w:rFonts w:eastAsia="仿宋_GB2312" w:cs="仿宋_GB2312" w:hint="eastAsia"/>
          <w:color w:val="auto"/>
          <w:kern w:val="2"/>
          <w:sz w:val="32"/>
          <w:szCs w:val="32"/>
          <w:lang w:val="en-US" w:eastAsia="zh-CN" w:bidi="ar-SA"/>
          <w:highlight w:val="none"/>
        </w:rPr>
        <w:t>100</w:t>
      </w:r>
      <w:r>
        <w:rPr>
          <w:rFonts w:ascii="Times New Roman" w:eastAsia="仿宋_GB2312" w:cs="仿宋_GB2312" w:hAnsi="Times New Roman" w:hint="eastAsia"/>
          <w:color w:val="auto"/>
          <w:kern w:val="2"/>
          <w:sz w:val="32"/>
          <w:szCs w:val="32"/>
          <w:lang w:val="en-US" w:eastAsia="zh-CN" w:bidi="ar-SA"/>
          <w:highlight w:val="none"/>
        </w:rPr>
        <w:t>%</w:t>
      </w:r>
      <w:r>
        <w:rPr>
          <w:rFonts w:eastAsia="仿宋_GB2312" w:cs="仿宋_GB2312" w:hint="eastAsia"/>
          <w:color w:val="auto"/>
          <w:kern w:val="2"/>
          <w:sz w:val="32"/>
          <w:szCs w:val="32"/>
          <w:lang w:val="en-US" w:eastAsia="zh-CN" w:bidi="ar-SA"/>
          <w:highlight w:val="none"/>
        </w:rPr>
        <w:t>。</w:t>
      </w:r>
    </w:p>
    <w:p>
      <w:pPr>
        <w:numPr>
          <w:ilvl w:val="0"/>
          <w:numId w:val="3"/>
        </w:numPr>
        <w:spacing w:line="600" w:lineRule="exact"/>
        <w:ind w:left="0"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社会保障和就业</w:t>
      </w:r>
      <w:r>
        <w:rPr>
          <w:rFonts w:eastAsia="仿宋_GB2312" w:cs="仿宋_GB2312" w:hint="eastAsia"/>
          <w:color w:val="auto"/>
          <w:kern w:val="2"/>
          <w:sz w:val="32"/>
          <w:szCs w:val="32"/>
          <w:lang w:val="en-US" w:eastAsia="zh-CN" w:bidi="ar-SA"/>
          <w:highlight w:val="none"/>
        </w:rPr>
        <w:t>：</w:t>
      </w:r>
      <w:r>
        <w:rPr>
          <w:rFonts w:ascii="Times New Roman" w:eastAsia="仿宋_GB2312" w:cs="仿宋_GB2312" w:hAnsi="Times New Roman" w:hint="eastAsia"/>
          <w:color w:val="auto"/>
          <w:kern w:val="2"/>
          <w:sz w:val="32"/>
          <w:szCs w:val="32"/>
          <w:lang w:val="en-US" w:eastAsia="zh-CN" w:bidi="ar-SA"/>
          <w:highlight w:val="none"/>
        </w:rPr>
        <w:t>支出决算为</w:t>
      </w:r>
      <w:r>
        <w:rPr>
          <w:rFonts w:eastAsia="仿宋_GB2312" w:cs="仿宋_GB2312" w:hint="eastAsia"/>
          <w:color w:val="auto"/>
          <w:kern w:val="2"/>
          <w:sz w:val="32"/>
          <w:szCs w:val="32"/>
          <w:lang w:val="en-US" w:eastAsia="zh-CN" w:bidi="ar-SA"/>
          <w:highlight w:val="none"/>
        </w:rPr>
        <w:t>46.69</w:t>
      </w:r>
      <w:r>
        <w:rPr>
          <w:rFonts w:ascii="Times New Roman" w:eastAsia="仿宋_GB2312" w:cs="仿宋_GB2312" w:hAnsi="Times New Roman" w:hint="eastAsia"/>
          <w:color w:val="auto"/>
          <w:kern w:val="2"/>
          <w:sz w:val="32"/>
          <w:szCs w:val="32"/>
          <w:lang w:val="en-US" w:eastAsia="zh-CN" w:bidi="ar-SA"/>
          <w:highlight w:val="none"/>
        </w:rPr>
        <w:t>万元，完成预算</w:t>
      </w:r>
      <w:r>
        <w:rPr>
          <w:rFonts w:eastAsia="仿宋_GB2312" w:cs="仿宋_GB2312" w:hint="eastAsia"/>
          <w:color w:val="auto"/>
          <w:kern w:val="2"/>
          <w:sz w:val="32"/>
          <w:szCs w:val="32"/>
          <w:lang w:val="en-US" w:eastAsia="zh-CN" w:bidi="ar-SA"/>
          <w:highlight w:val="none"/>
        </w:rPr>
        <w:t>100</w:t>
      </w:r>
      <w:r>
        <w:rPr>
          <w:rFonts w:ascii="Times New Roman" w:eastAsia="仿宋_GB2312" w:cs="仿宋_GB2312" w:hAnsi="Times New Roman" w:hint="eastAsia"/>
          <w:color w:val="auto"/>
          <w:kern w:val="2"/>
          <w:sz w:val="32"/>
          <w:szCs w:val="32"/>
          <w:lang w:val="en-US" w:eastAsia="zh-CN" w:bidi="ar-SA"/>
          <w:highlight w:val="none"/>
        </w:rPr>
        <w:t>%</w:t>
      </w:r>
      <w:r>
        <w:rPr>
          <w:rFonts w:eastAsia="仿宋_GB2312" w:cs="仿宋_GB2312" w:hint="eastAsia"/>
          <w:color w:val="auto"/>
          <w:kern w:val="2"/>
          <w:sz w:val="32"/>
          <w:szCs w:val="32"/>
          <w:lang w:val="en-US" w:eastAsia="zh-CN" w:bidi="ar-SA"/>
          <w:highlight w:val="none"/>
        </w:rPr>
        <w:t>。</w:t>
      </w:r>
    </w:p>
    <w:p>
      <w:pPr>
        <w:numPr>
          <w:ilvl w:val="0"/>
          <w:numId w:val="3"/>
        </w:numPr>
        <w:spacing w:line="600" w:lineRule="exact"/>
        <w:ind w:left="0"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卫生健康</w:t>
      </w:r>
      <w:r>
        <w:rPr>
          <w:rFonts w:eastAsia="仿宋_GB2312" w:cs="仿宋_GB2312" w:hint="eastAsia"/>
          <w:color w:val="auto"/>
          <w:kern w:val="2"/>
          <w:sz w:val="32"/>
          <w:szCs w:val="32"/>
          <w:lang w:val="en-US" w:eastAsia="zh-CN" w:bidi="ar-SA"/>
          <w:highlight w:val="none"/>
        </w:rPr>
        <w:t>：</w:t>
      </w:r>
      <w:r>
        <w:rPr>
          <w:rFonts w:ascii="Times New Roman" w:eastAsia="仿宋_GB2312" w:cs="仿宋_GB2312" w:hAnsi="Times New Roman" w:hint="eastAsia"/>
          <w:color w:val="auto"/>
          <w:kern w:val="2"/>
          <w:sz w:val="32"/>
          <w:szCs w:val="32"/>
          <w:lang w:val="en-US" w:eastAsia="zh-CN" w:bidi="ar-SA"/>
          <w:highlight w:val="none"/>
        </w:rPr>
        <w:t>支出决算为</w:t>
      </w:r>
      <w:r>
        <w:rPr>
          <w:rFonts w:eastAsia="仿宋_GB2312" w:cs="仿宋_GB2312" w:hint="eastAsia"/>
          <w:color w:val="auto"/>
          <w:kern w:val="2"/>
          <w:sz w:val="32"/>
          <w:szCs w:val="32"/>
          <w:lang w:val="en-US" w:eastAsia="zh-CN" w:bidi="ar-SA"/>
          <w:highlight w:val="none"/>
        </w:rPr>
        <w:t>16.55</w:t>
      </w:r>
      <w:r>
        <w:rPr>
          <w:rFonts w:ascii="Times New Roman" w:eastAsia="仿宋_GB2312" w:cs="仿宋_GB2312" w:hAnsi="Times New Roman" w:hint="eastAsia"/>
          <w:color w:val="auto"/>
          <w:kern w:val="2"/>
          <w:sz w:val="32"/>
          <w:szCs w:val="32"/>
          <w:lang w:val="en-US" w:eastAsia="zh-CN" w:bidi="ar-SA"/>
          <w:highlight w:val="none"/>
        </w:rPr>
        <w:t>万元，完成预算</w:t>
      </w:r>
      <w:r>
        <w:rPr>
          <w:rFonts w:eastAsia="仿宋_GB2312" w:cs="仿宋_GB2312" w:hint="eastAsia"/>
          <w:color w:val="auto"/>
          <w:kern w:val="2"/>
          <w:sz w:val="32"/>
          <w:szCs w:val="32"/>
          <w:lang w:val="en-US" w:eastAsia="zh-CN" w:bidi="ar-SA"/>
          <w:highlight w:val="none"/>
        </w:rPr>
        <w:t>100</w:t>
      </w:r>
      <w:r>
        <w:rPr>
          <w:rFonts w:ascii="Times New Roman" w:eastAsia="仿宋_GB2312" w:cs="仿宋_GB2312" w:hAnsi="Times New Roman" w:hint="eastAsia"/>
          <w:color w:val="auto"/>
          <w:kern w:val="2"/>
          <w:sz w:val="32"/>
          <w:szCs w:val="32"/>
          <w:lang w:val="en-US" w:eastAsia="zh-CN" w:bidi="ar-SA"/>
          <w:highlight w:val="none"/>
        </w:rPr>
        <w:t>%</w:t>
      </w:r>
      <w:r>
        <w:rPr>
          <w:rFonts w:eastAsia="仿宋_GB2312" w:cs="仿宋_GB2312" w:hint="eastAsia"/>
          <w:color w:val="auto"/>
          <w:kern w:val="2"/>
          <w:sz w:val="32"/>
          <w:szCs w:val="32"/>
          <w:lang w:val="en-US" w:eastAsia="zh-CN" w:bidi="ar-SA"/>
          <w:highlight w:val="none"/>
        </w:rPr>
        <w:t>。</w:t>
      </w:r>
    </w:p>
    <w:p>
      <w:pPr>
        <w:numPr>
          <w:ilvl w:val="0"/>
          <w:numId w:val="3"/>
        </w:numPr>
        <w:spacing w:line="600" w:lineRule="exact"/>
        <w:ind w:left="0" w:firstLine="640"/>
        <w:rPr>
          <w:rFonts w:eastAsia="仿宋_GB2312" w:cs="仿宋_GB2312"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住房保障支出：</w:t>
      </w:r>
      <w:r>
        <w:rPr>
          <w:rFonts w:ascii="Times New Roman" w:eastAsia="仿宋_GB2312" w:cs="仿宋_GB2312" w:hAnsi="Times New Roman" w:hint="eastAsia"/>
          <w:color w:val="auto"/>
          <w:kern w:val="2"/>
          <w:sz w:val="32"/>
          <w:szCs w:val="32"/>
          <w:lang w:val="en-US" w:eastAsia="zh-CN" w:bidi="ar-SA"/>
          <w:highlight w:val="none"/>
        </w:rPr>
        <w:t>支出决算为</w:t>
      </w:r>
      <w:r>
        <w:rPr>
          <w:rFonts w:eastAsia="仿宋_GB2312" w:cs="仿宋_GB2312" w:hint="eastAsia"/>
          <w:color w:val="auto"/>
          <w:kern w:val="2"/>
          <w:sz w:val="32"/>
          <w:szCs w:val="32"/>
          <w:lang w:val="en-US" w:eastAsia="zh-CN" w:bidi="ar-SA"/>
          <w:highlight w:val="none"/>
        </w:rPr>
        <w:t>24.45</w:t>
      </w:r>
      <w:r>
        <w:rPr>
          <w:rFonts w:ascii="Times New Roman" w:eastAsia="仿宋_GB2312" w:cs="仿宋_GB2312" w:hAnsi="Times New Roman" w:hint="eastAsia"/>
          <w:color w:val="auto"/>
          <w:kern w:val="2"/>
          <w:sz w:val="32"/>
          <w:szCs w:val="32"/>
          <w:lang w:val="en-US" w:eastAsia="zh-CN" w:bidi="ar-SA"/>
          <w:highlight w:val="none"/>
        </w:rPr>
        <w:t>万元，完成预算</w:t>
      </w:r>
      <w:r>
        <w:rPr>
          <w:rFonts w:eastAsia="仿宋_GB2312" w:cs="仿宋_GB2312" w:hint="eastAsia"/>
          <w:color w:val="auto"/>
          <w:kern w:val="2"/>
          <w:sz w:val="32"/>
          <w:szCs w:val="32"/>
          <w:lang w:val="en-US" w:eastAsia="zh-CN" w:bidi="ar-SA"/>
          <w:highlight w:val="none"/>
        </w:rPr>
        <w:t>100</w:t>
      </w:r>
      <w:r>
        <w:rPr>
          <w:rFonts w:ascii="Times New Roman" w:eastAsia="仿宋_GB2312" w:cs="仿宋_GB2312" w:hAnsi="Times New Roman" w:hint="eastAsia"/>
          <w:color w:val="auto"/>
          <w:kern w:val="2"/>
          <w:sz w:val="32"/>
          <w:szCs w:val="32"/>
          <w:lang w:val="en-US" w:eastAsia="zh-CN" w:bidi="ar-SA"/>
          <w:highlight w:val="none"/>
        </w:rPr>
        <w:t>%</w:t>
      </w:r>
      <w:r>
        <w:rPr>
          <w:rFonts w:eastAsia="仿宋_GB2312" w:cs="仿宋_GB2312" w:hint="eastAsia"/>
          <w:color w:val="auto"/>
          <w:kern w:val="2"/>
          <w:sz w:val="32"/>
          <w:szCs w:val="32"/>
          <w:lang w:val="en-US" w:eastAsia="zh-CN" w:bidi="ar-SA"/>
          <w:highlight w:val="none"/>
        </w:rPr>
        <w:t>。</w:t>
      </w:r>
    </w:p>
    <w:p>
      <w:pPr>
        <w:pStyle w:val="15"/>
        <w:rPr>
          <w:rFonts w:hint="eastAsia"/>
          <w:lang w:val="en-US" w:eastAsia="zh-CN"/>
        </w:rPr>
      </w:pPr>
    </w:p>
    <w:p>
      <w:pPr>
        <w:tabs>
          <w:tab w:val="right" w:pos="8306"/>
        </w:tabs>
        <w:spacing w:line="600" w:lineRule="exact"/>
        <w:ind w:firstLine="640"/>
        <w:outlineLvl w:val="1"/>
        <w:rPr>
          <w:rStyle w:val="2Char"/>
          <w:rFonts w:ascii="Times New Roman" w:hAnsi="Times New Roman"/>
          <w:color w:val="auto"/>
          <w:highlight w:val="none"/>
        </w:rPr>
      </w:pPr>
      <w:bookmarkStart w:id="36" w:name="_Toc15377214"/>
      <w:bookmarkStart w:id="37" w:name="_Toc15396608"/>
      <w:r>
        <w:rPr>
          <w:rFonts w:ascii="Times New Roman" w:eastAsia="黑体" w:hAnsi="Times New Roman" w:hint="eastAsia"/>
          <w:color w:val="auto"/>
          <w:sz w:val="32"/>
          <w:szCs w:val="32"/>
          <w:highlight w:val="none"/>
        </w:rPr>
        <w:t>六</w:t>
      </w:r>
      <w:r>
        <w:rPr>
          <w:rFonts w:ascii="Times New Roman" w:eastAsia="黑体" w:hAnsi="Times New Roman" w:hint="eastAsia"/>
          <w:b/>
          <w:color w:val="auto"/>
          <w:sz w:val="32"/>
          <w:szCs w:val="32"/>
          <w:highlight w:val="none"/>
        </w:rPr>
        <w:t>、一</w:t>
      </w:r>
      <w:r>
        <w:rPr>
          <w:rStyle w:val="2Char"/>
          <w:rFonts w:ascii="Times New Roman" w:eastAsia="黑体" w:hAnsi="Times New Roman" w:hint="eastAsia"/>
          <w:b w:val="0"/>
          <w:color w:val="auto"/>
          <w:highlight w:val="none"/>
        </w:rPr>
        <w:t>般公共预算财政拨款基本支出决算情况说明</w:t>
      </w:r>
      <w:bookmarkEnd w:id="36"/>
      <w:bookmarkEnd w:id="37"/>
      <w:r>
        <w:rPr>
          <w:rStyle w:val="2Char"/>
          <w:rFonts w:ascii="Times New Roman" w:eastAsia="黑体" w:hAnsi="Times New Roman"/>
          <w:b w:val="0"/>
          <w:color w:val="auto"/>
          <w:highlight w:val="none"/>
        </w:rPr>
        <w:tab/>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2025年度</w:t>
      </w:r>
      <w:r>
        <w:rPr>
          <w:rFonts w:ascii="Times New Roman" w:eastAsia="仿宋_GB2312" w:cs="仿宋_GB2312" w:hAnsi="Times New Roman" w:hint="eastAsia"/>
          <w:color w:val="auto"/>
          <w:kern w:val="2"/>
          <w:sz w:val="32"/>
          <w:szCs w:val="32"/>
          <w:lang w:val="en-US" w:eastAsia="zh-CN" w:bidi="ar-SA"/>
          <w:highlight w:val="none"/>
        </w:rPr>
        <w:t>一般公共预算财政拨款基本支出</w:t>
      </w:r>
      <w:r>
        <w:rPr>
          <w:rFonts w:ascii="仿宋_GB2312" w:eastAsia="仿宋_GB2312" w:cs="仿宋_GB2312" w:hAnsi="仿宋_GB2312" w:hint="eastAsia"/>
          <w:sz w:val="32"/>
          <w:szCs w:val="32"/>
        </w:rPr>
        <w:t>348.48</w:t>
      </w:r>
      <w:r>
        <w:rPr>
          <w:rFonts w:ascii="Times New Roman" w:eastAsia="仿宋_GB2312" w:cs="仿宋_GB2312" w:hAnsi="Times New Roman" w:hint="eastAsia"/>
          <w:color w:val="auto"/>
          <w:kern w:val="2"/>
          <w:sz w:val="32"/>
          <w:szCs w:val="32"/>
          <w:lang w:val="en-US" w:eastAsia="zh-CN" w:bidi="ar-SA"/>
          <w:highlight w:val="none"/>
        </w:rPr>
        <w:t>万元，其中：</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人员经费</w:t>
      </w:r>
      <w:r>
        <w:rPr>
          <w:rFonts w:ascii="仿宋_GB2312" w:eastAsia="仿宋_GB2312" w:cs="仿宋_GB2312" w:hAnsi="仿宋_GB2312" w:hint="eastAsia"/>
          <w:sz w:val="32"/>
          <w:szCs w:val="32"/>
        </w:rPr>
        <w:t>325.43</w:t>
      </w:r>
      <w:r>
        <w:rPr>
          <w:rFonts w:ascii="Times New Roman" w:eastAsia="仿宋_GB2312" w:cs="仿宋_GB2312" w:hAnsi="Times New Roman" w:hint="eastAsia"/>
          <w:color w:val="auto"/>
          <w:kern w:val="2"/>
          <w:sz w:val="32"/>
          <w:szCs w:val="32"/>
          <w:lang w:val="en-US" w:eastAsia="zh-CN" w:bidi="ar-SA"/>
          <w:highlight w:val="none"/>
        </w:rPr>
        <w:t>万元，主要包括：基本工资、津贴补贴、奖金、机关事业单位基本养老保险缴费、职业年金缴费、</w:t>
      </w:r>
      <w:r>
        <w:rPr>
          <w:rFonts w:eastAsia="仿宋_GB2312" w:cs="仿宋_GB2312" w:hint="eastAsia"/>
          <w:color w:val="auto"/>
          <w:kern w:val="2"/>
          <w:sz w:val="32"/>
          <w:szCs w:val="32"/>
          <w:lang w:val="en-US" w:eastAsia="zh-CN" w:bidi="ar-SA"/>
          <w:highlight w:val="none"/>
        </w:rPr>
        <w:t>职工基本医疗保险缴费、公务员医疗补助缴费、其他社会保障缴费、住房公积金、医疗费、其他工资福利支出、生活补助、医疗费补助</w:t>
      </w:r>
      <w:r>
        <w:rPr>
          <w:rFonts w:ascii="Times New Roman" w:eastAsia="仿宋_GB2312" w:cs="仿宋_GB2312" w:hAnsi="Times New Roman" w:hint="eastAsia"/>
          <w:color w:val="auto"/>
          <w:kern w:val="2"/>
          <w:sz w:val="32"/>
          <w:szCs w:val="32"/>
          <w:lang w:val="en-US" w:eastAsia="zh-CN" w:bidi="ar-SA"/>
          <w:highlight w:val="none"/>
        </w:rPr>
        <w:t>等。</w:t>
        <w:br/>
        <w:t>　　公用经费</w:t>
      </w:r>
      <w:r>
        <w:rPr>
          <w:rFonts w:ascii="仿宋_GB2312" w:eastAsia="仿宋_GB2312" w:cs="仿宋_GB2312" w:hAnsi="仿宋_GB2312" w:hint="eastAsia"/>
          <w:sz w:val="32"/>
          <w:szCs w:val="32"/>
        </w:rPr>
        <w:t>23.05</w:t>
      </w:r>
      <w:r>
        <w:rPr>
          <w:rFonts w:ascii="Times New Roman" w:eastAsia="仿宋_GB2312" w:cs="仿宋_GB2312" w:hAnsi="Times New Roman" w:hint="eastAsia"/>
          <w:color w:val="auto"/>
          <w:kern w:val="2"/>
          <w:sz w:val="32"/>
          <w:szCs w:val="32"/>
          <w:lang w:val="en-US" w:eastAsia="zh-CN" w:bidi="ar-SA"/>
          <w:highlight w:val="none"/>
        </w:rPr>
        <w:t>万元，主要包括：办公费、印刷费、手续费、电费、差旅费、会议费、公务接待费、工会经费、福利费、公务用车运行维护费、其他商品和服务支出等。</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p>
    <w:p>
      <w:pPr>
        <w:spacing w:line="600" w:lineRule="exact"/>
        <w:ind w:firstLine="640"/>
        <w:outlineLvl w:val="1"/>
        <w:rPr>
          <w:rStyle w:val="2Char"/>
          <w:rFonts w:ascii="Times New Roman" w:eastAsia="黑体" w:hAnsi="Times New Roman"/>
          <w:b w:val="0"/>
          <w:color w:val="auto"/>
          <w:highlight w:val="none"/>
        </w:rPr>
      </w:pPr>
      <w:bookmarkStart w:id="38" w:name="_Toc15377215"/>
      <w:bookmarkStart w:id="39" w:name="_Toc15396609"/>
      <w:r>
        <w:rPr>
          <w:rFonts w:ascii="Times New Roman" w:eastAsia="黑体" w:hAnsi="Times New Roman" w:hint="eastAsia"/>
          <w:color w:val="auto"/>
          <w:sz w:val="32"/>
          <w:szCs w:val="32"/>
          <w:highlight w:val="none"/>
        </w:rPr>
        <w:t>七、</w:t>
      </w:r>
      <w:r>
        <w:rPr>
          <w:rStyle w:val="2Char"/>
          <w:rFonts w:ascii="Times New Roman" w:eastAsia="黑体" w:hAnsi="Times New Roman" w:hint="eastAsia"/>
          <w:b w:val="0"/>
          <w:color w:val="auto"/>
          <w:highlight w:val="none"/>
        </w:rPr>
        <w:t>财政拨款</w:t>
      </w:r>
      <w:r>
        <w:rPr>
          <w:rStyle w:val="2Char"/>
          <w:rFonts w:ascii="Times New Roman" w:eastAsia="黑体" w:hAnsi="Times New Roman" w:hint="eastAsia"/>
          <w:color w:val="auto"/>
          <w:highlight w:val="none"/>
        </w:rPr>
        <w:t>“</w:t>
      </w:r>
      <w:r>
        <w:rPr>
          <w:rStyle w:val="2Char"/>
          <w:rFonts w:ascii="Times New Roman" w:eastAsia="黑体" w:hAnsi="Times New Roman" w:hint="eastAsia"/>
          <w:b w:val="0"/>
          <w:color w:val="auto"/>
          <w:highlight w:val="none"/>
        </w:rPr>
        <w:t>三公”经费支出决算情况说明</w:t>
      </w:r>
      <w:bookmarkEnd w:id="38"/>
      <w:bookmarkEnd w:id="39"/>
    </w:p>
    <w:p>
      <w:pPr>
        <w:spacing w:line="600" w:lineRule="exact"/>
        <w:ind w:firstLineChars="200" w:firstLine="640"/>
        <w:outlineLvl w:val="2"/>
        <w:rPr>
          <w:rFonts w:ascii="Times New Roman" w:eastAsia="楷体_GB2312" w:cs="楷体_GB2312" w:hAnsi="Times New Roman" w:hint="eastAsia"/>
          <w:b/>
          <w:color w:val="auto"/>
          <w:sz w:val="32"/>
          <w:szCs w:val="32"/>
          <w:highlight w:val="none"/>
        </w:rPr>
      </w:pPr>
      <w:bookmarkStart w:id="40" w:name="_Toc15377216"/>
      <w:r>
        <w:rPr>
          <w:rFonts w:ascii="Times New Roman" w:eastAsia="楷体_GB2312" w:cs="楷体_GB2312" w:hAnsi="Times New Roman" w:hint="eastAsia"/>
          <w:b/>
          <w:color w:val="auto"/>
          <w:sz w:val="32"/>
          <w:szCs w:val="32"/>
          <w:highlight w:val="none"/>
        </w:rPr>
        <w:t>（一）财政拨款“三公”经费支出决算总体情况说明</w:t>
      </w:r>
      <w:bookmarkEnd w:id="40"/>
    </w:p>
    <w:p>
      <w:pPr>
        <w:spacing w:line="600" w:lineRule="exact"/>
        <w:ind w:firstLine="640"/>
        <w:rPr>
          <w:rFonts w:ascii="Times New Roman" w:eastAsia="仿宋_GB2312" w:cs="仿宋_GB2312" w:hAnsi="Times New Roman" w:hint="eastAsia"/>
          <w:b/>
          <w:bCs/>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2025年度</w:t>
      </w:r>
      <w:r>
        <w:rPr>
          <w:rFonts w:ascii="Times New Roman" w:eastAsia="仿宋_GB2312" w:cs="仿宋_GB2312" w:hAnsi="Times New Roman" w:hint="eastAsia"/>
          <w:color w:val="auto"/>
          <w:kern w:val="2"/>
          <w:sz w:val="32"/>
          <w:szCs w:val="32"/>
          <w:lang w:val="en-US" w:eastAsia="zh-CN" w:bidi="ar-SA"/>
          <w:highlight w:val="none"/>
        </w:rPr>
        <w:t>财政拨款“三公”经费支出决算为</w:t>
      </w:r>
      <w:r>
        <w:rPr>
          <w:rFonts w:ascii="仿宋_GB2312" w:eastAsia="仿宋_GB2312" w:cs="仿宋_GB2312" w:hAnsi="仿宋_GB2312" w:hint="eastAsia"/>
          <w:sz w:val="32"/>
          <w:szCs w:val="32"/>
        </w:rPr>
        <w:t>4.78</w:t>
      </w:r>
      <w:r>
        <w:rPr>
          <w:rFonts w:ascii="Times New Roman" w:eastAsia="仿宋_GB2312" w:cs="仿宋_GB2312" w:hAnsi="Times New Roman" w:hint="eastAsia"/>
          <w:color w:val="auto"/>
          <w:kern w:val="2"/>
          <w:sz w:val="32"/>
          <w:szCs w:val="32"/>
          <w:lang w:val="en-US" w:eastAsia="zh-CN" w:bidi="ar-SA"/>
          <w:highlight w:val="none"/>
        </w:rPr>
        <w:t>万元，完成预算</w:t>
      </w:r>
      <w:r>
        <w:rPr>
          <w:rFonts w:ascii="仿宋_GB2312" w:eastAsia="仿宋_GB2312" w:cs="仿宋_GB2312" w:hAnsi="仿宋_GB2312" w:hint="eastAsia"/>
          <w:sz w:val="32"/>
          <w:szCs w:val="32"/>
        </w:rPr>
        <w:t>100</w:t>
      </w:r>
      <w:r>
        <w:rPr>
          <w:rFonts w:ascii="Times New Roman" w:eastAsia="仿宋_GB2312" w:cs="仿宋_GB2312" w:hAnsi="Times New Roman" w:hint="eastAsia"/>
          <w:color w:val="auto"/>
          <w:kern w:val="2"/>
          <w:sz w:val="32"/>
          <w:szCs w:val="32"/>
          <w:lang w:val="en-US" w:eastAsia="zh-CN" w:bidi="ar-SA"/>
          <w:highlight w:val="none"/>
        </w:rPr>
        <w:t>%</w:t>
      </w:r>
      <w:r>
        <w:rPr>
          <w:rFonts w:eastAsia="仿宋_GB2312" w:cs="仿宋_GB2312" w:hint="eastAsia"/>
          <w:color w:val="auto"/>
          <w:kern w:val="2"/>
          <w:sz w:val="32"/>
          <w:szCs w:val="32"/>
          <w:lang w:val="en-US" w:eastAsia="zh-CN" w:bidi="ar-SA"/>
          <w:highlight w:val="none"/>
        </w:rPr>
        <w:t>。</w:t>
      </w:r>
    </w:p>
    <w:p>
      <w:pPr>
        <w:spacing w:line="600" w:lineRule="exact"/>
        <w:ind w:firstLineChars="200" w:firstLine="640"/>
        <w:outlineLvl w:val="2"/>
        <w:rPr>
          <w:rFonts w:ascii="Times New Roman" w:eastAsia="楷体_GB2312" w:cs="楷体_GB2312" w:hAnsi="Times New Roman" w:hint="eastAsia"/>
          <w:b/>
          <w:color w:val="auto"/>
          <w:sz w:val="32"/>
          <w:szCs w:val="32"/>
          <w:highlight w:val="none"/>
        </w:rPr>
      </w:pPr>
      <w:bookmarkStart w:id="41" w:name="_Toc15377217"/>
      <w:r>
        <w:rPr>
          <w:rFonts w:ascii="Times New Roman" w:eastAsia="楷体_GB2312" w:cs="楷体_GB2312" w:hAnsi="Times New Roman" w:hint="eastAsia"/>
          <w:b/>
          <w:color w:val="auto"/>
          <w:sz w:val="32"/>
          <w:szCs w:val="32"/>
          <w:highlight w:val="none"/>
        </w:rPr>
        <w:t>（二）财政拨款“三公”经费支出决算具体情况说明</w:t>
      </w:r>
      <w:bookmarkEnd w:id="41"/>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2025年度</w:t>
      </w:r>
      <w:r>
        <w:rPr>
          <w:rFonts w:ascii="Times New Roman" w:eastAsia="仿宋_GB2312" w:cs="仿宋_GB2312" w:hAnsi="Times New Roman" w:hint="eastAsia"/>
          <w:color w:val="auto"/>
          <w:kern w:val="2"/>
          <w:sz w:val="32"/>
          <w:szCs w:val="32"/>
          <w:lang w:val="en-US" w:eastAsia="zh-CN" w:bidi="ar-SA"/>
          <w:highlight w:val="none"/>
        </w:rPr>
        <w:t>财政拨款“三公”经费支出决算中，因公出国（境）费支出决算</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kern w:val="2"/>
          <w:sz w:val="32"/>
          <w:szCs w:val="32"/>
          <w:lang w:val="en-US" w:eastAsia="zh-CN" w:bidi="ar-SA"/>
          <w:highlight w:val="none"/>
        </w:rPr>
        <w:t>万元，占</w:t>
      </w:r>
      <w:r>
        <w:rPr>
          <w:rFonts w:eastAsia="仿宋_GB2312" w:cs="仿宋_GB2312" w:hint="eastAsia"/>
          <w:color w:val="auto"/>
          <w:kern w:val="2"/>
          <w:sz w:val="32"/>
          <w:szCs w:val="32"/>
          <w:lang w:val="en-US" w:eastAsia="zh-CN" w:bidi="ar-SA"/>
          <w:highlight w:val="none"/>
        </w:rPr>
        <w:t>0</w:t>
      </w:r>
      <w:r>
        <w:rPr>
          <w:rFonts w:ascii="Times New Roman" w:eastAsia="仿宋_GB2312" w:cs="仿宋_GB2312" w:hAnsi="Times New Roman" w:hint="eastAsia"/>
          <w:color w:val="auto"/>
          <w:kern w:val="2"/>
          <w:sz w:val="32"/>
          <w:szCs w:val="32"/>
          <w:lang w:val="en-US" w:eastAsia="zh-CN" w:bidi="ar-SA"/>
          <w:highlight w:val="none"/>
        </w:rPr>
        <w:t>%；公务用车购置及运行维护费支出决算</w:t>
      </w:r>
      <w:r>
        <w:rPr>
          <w:rFonts w:ascii="仿宋_GB2312" w:eastAsia="仿宋_GB2312" w:cs="仿宋_GB2312" w:hAnsi="仿宋_GB2312" w:hint="eastAsia"/>
          <w:sz w:val="32"/>
          <w:szCs w:val="32"/>
        </w:rPr>
        <w:t>4.58</w:t>
      </w:r>
      <w:r>
        <w:rPr>
          <w:rFonts w:ascii="Times New Roman" w:eastAsia="仿宋_GB2312" w:cs="仿宋_GB2312" w:hAnsi="Times New Roman" w:hint="eastAsia"/>
          <w:color w:val="auto"/>
          <w:kern w:val="2"/>
          <w:sz w:val="32"/>
          <w:szCs w:val="32"/>
          <w:lang w:val="en-US" w:eastAsia="zh-CN" w:bidi="ar-SA"/>
          <w:highlight w:val="none"/>
        </w:rPr>
        <w:t>万元，占</w:t>
      </w:r>
      <w:r>
        <w:rPr>
          <w:rFonts w:eastAsia="仿宋_GB2312" w:cs="仿宋_GB2312" w:hint="eastAsia"/>
          <w:color w:val="auto"/>
          <w:kern w:val="2"/>
          <w:sz w:val="32"/>
          <w:szCs w:val="32"/>
          <w:lang w:val="en-US" w:eastAsia="zh-CN" w:bidi="ar-SA"/>
          <w:highlight w:val="none"/>
        </w:rPr>
        <w:t>95.82</w:t>
      </w:r>
      <w:r>
        <w:rPr>
          <w:rFonts w:ascii="Times New Roman" w:eastAsia="仿宋_GB2312" w:cs="仿宋_GB2312" w:hAnsi="Times New Roman" w:hint="eastAsia"/>
          <w:color w:val="auto"/>
          <w:kern w:val="2"/>
          <w:sz w:val="32"/>
          <w:szCs w:val="32"/>
          <w:lang w:val="en-US" w:eastAsia="zh-CN" w:bidi="ar-SA"/>
          <w:highlight w:val="none"/>
        </w:rPr>
        <w:t>%；公务接待费支出决算</w:t>
      </w:r>
      <w:r>
        <w:rPr>
          <w:rFonts w:ascii="仿宋_GB2312" w:eastAsia="仿宋_GB2312" w:cs="仿宋_GB2312" w:hAnsi="仿宋_GB2312" w:hint="eastAsia"/>
          <w:sz w:val="32"/>
          <w:szCs w:val="32"/>
        </w:rPr>
        <w:t>0.2</w:t>
      </w:r>
      <w:r>
        <w:rPr>
          <w:rFonts w:ascii="Times New Roman" w:eastAsia="仿宋_GB2312" w:cs="仿宋_GB2312" w:hAnsi="Times New Roman" w:hint="eastAsia"/>
          <w:color w:val="auto"/>
          <w:kern w:val="2"/>
          <w:sz w:val="32"/>
          <w:szCs w:val="32"/>
          <w:lang w:val="en-US" w:eastAsia="zh-CN" w:bidi="ar-SA"/>
          <w:highlight w:val="none"/>
        </w:rPr>
        <w:t>万元，占</w:t>
      </w:r>
      <w:r>
        <w:rPr>
          <w:rFonts w:eastAsia="仿宋_GB2312" w:cs="仿宋_GB2312" w:hint="eastAsia"/>
          <w:color w:val="auto"/>
          <w:kern w:val="2"/>
          <w:sz w:val="32"/>
          <w:szCs w:val="32"/>
          <w:lang w:val="en-US" w:eastAsia="zh-CN" w:bidi="ar-SA"/>
          <w:highlight w:val="none"/>
        </w:rPr>
        <w:t>4.18</w:t>
      </w:r>
      <w:r>
        <w:rPr>
          <w:rFonts w:ascii="Times New Roman" w:eastAsia="仿宋_GB2312" w:cs="仿宋_GB2312" w:hAnsi="Times New Roman" w:hint="eastAsia"/>
          <w:color w:val="auto"/>
          <w:kern w:val="2"/>
          <w:sz w:val="32"/>
          <w:szCs w:val="32"/>
          <w:lang w:val="en-US" w:eastAsia="zh-CN" w:bidi="ar-SA"/>
          <w:highlight w:val="none"/>
        </w:rPr>
        <w:t>%。具体情况如下：</w:t>
      </w:r>
    </w:p>
    <w:p>
      <w:pPr>
        <w:numPr>
          <w:ilvl w:val="0"/>
          <w:numId w:val="4"/>
        </w:numPr>
        <w:spacing w:line="600" w:lineRule="exact"/>
        <w:ind w:left="0" w:firstLine="640"/>
        <w:rPr>
          <w:rFonts w:ascii="Times New Roman" w:eastAsia="仿宋_GB2312" w:cs="仿宋_GB2312" w:hAnsi="Times New Roman" w:hint="eastAsia"/>
          <w:color w:val="auto"/>
          <w:kern w:val="2"/>
          <w:sz w:val="32"/>
          <w:szCs w:val="32"/>
          <w:lang w:val="en-US" w:eastAsia="zh-CN" w:bidi="ar-SA"/>
          <w:highlight w:val="none"/>
        </w:rPr>
      </w:pPr>
      <w:r>
        <w:drawing>
          <wp:anchor distT="0" distB="0" distL="114300" distR="114300" simplePos="0" relativeHeight="33" behindDoc="0" locked="0" layoutInCell="1" hidden="0" allowOverlap="1">
            <wp:simplePos x="0" y="0"/>
            <wp:positionH relativeFrom="column">
              <wp:posOffset>410844</wp:posOffset>
            </wp:positionH>
            <wp:positionV relativeFrom="paragraph">
              <wp:posOffset>-2453004</wp:posOffset>
            </wp:positionV>
            <wp:extent cx="4826000" cy="2743200"/>
            <wp:effectExtent l="4444" t="4444" r="8255" b="14604"/>
            <wp:wrapTopAndBottom/>
            <wp:docPr id="8" name="图表 2"/>
            <wp:cNvGraphicFramePr>
              <a:graphicFrameLocks noChangeAspect="0"/>
            </wp:cNvGraphicFramePr>
            <a:graphic>
              <a:graphicData uri="http://schemas.openxmlformats.org/drawingml/2006/chart">
                <c:chart xmlns:c="http://schemas.openxmlformats.org/drawingml/2006/chart" r:id="rId15"/>
              </a:graphicData>
            </a:graphic>
          </wp:anchor>
        </w:drawing>
      </w:r>
      <w:r>
        <w:rPr>
          <w:rFonts w:ascii="Times New Roman" w:eastAsia="仿宋_GB2312" w:cs="仿宋_GB2312" w:hAnsi="Times New Roman" w:hint="eastAsia"/>
          <w:b/>
          <w:bCs/>
          <w:color w:val="auto"/>
          <w:kern w:val="2"/>
          <w:sz w:val="32"/>
          <w:szCs w:val="32"/>
          <w:lang w:val="en-US" w:eastAsia="zh-CN" w:bidi="ar-SA"/>
          <w:highlight w:val="none"/>
        </w:rPr>
        <w:t>因公出国（境）经费支出</w:t>
      </w:r>
      <w:r>
        <w:rPr>
          <w:rFonts w:ascii="仿宋_GB2312" w:eastAsia="仿宋_GB2312" w:cs="仿宋_GB2312" w:hAnsi="仿宋_GB2312" w:hint="eastAsia"/>
          <w:sz w:val="32"/>
          <w:szCs w:val="32"/>
        </w:rPr>
        <w:t>0</w:t>
      </w:r>
      <w:r>
        <w:rPr>
          <w:rFonts w:ascii="Times New Roman" w:eastAsia="仿宋_GB2312" w:cs="仿宋_GB2312" w:hAnsi="Times New Roman" w:hint="eastAsia"/>
          <w:b/>
          <w:bCs/>
          <w:color w:val="auto"/>
          <w:kern w:val="2"/>
          <w:sz w:val="32"/>
          <w:szCs w:val="32"/>
          <w:lang w:val="en-US" w:eastAsia="zh-CN" w:bidi="ar-SA"/>
          <w:highlight w:val="none"/>
        </w:rPr>
        <w:t>万元，完成预算</w:t>
      </w:r>
      <w:r>
        <w:rPr>
          <w:rFonts w:eastAsia="仿宋_GB2312" w:cs="仿宋_GB2312" w:hint="eastAsia"/>
          <w:b/>
          <w:bCs/>
          <w:color w:val="auto"/>
          <w:kern w:val="2"/>
          <w:sz w:val="32"/>
          <w:szCs w:val="32"/>
          <w:lang w:val="en-US" w:eastAsia="zh-CN" w:bidi="ar-SA"/>
          <w:highlight w:val="none"/>
        </w:rPr>
        <w:t>0</w:t>
      </w:r>
      <w:r>
        <w:rPr>
          <w:rFonts w:ascii="Times New Roman" w:eastAsia="仿宋_GB2312" w:cs="仿宋_GB2312" w:hAnsi="Times New Roman" w:hint="eastAsia"/>
          <w:b/>
          <w:bCs/>
          <w:color w:val="auto"/>
          <w:kern w:val="2"/>
          <w:sz w:val="32"/>
          <w:szCs w:val="32"/>
          <w:lang w:val="en-US" w:eastAsia="zh-CN" w:bidi="ar-SA"/>
          <w:highlight w:val="none"/>
        </w:rPr>
        <w:t>%。</w:t>
      </w:r>
      <w:r>
        <w:rPr>
          <w:rFonts w:ascii="Times New Roman" w:eastAsia="仿宋_GB2312" w:cs="仿宋_GB2312" w:hAnsi="Times New Roman" w:hint="eastAsia"/>
          <w:color w:val="auto"/>
          <w:kern w:val="2"/>
          <w:sz w:val="32"/>
          <w:szCs w:val="32"/>
          <w:lang w:val="en-US" w:eastAsia="zh-CN" w:bidi="ar-SA"/>
          <w:highlight w:val="none"/>
        </w:rPr>
        <w:t>全年安排因公出国（境）团组</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kern w:val="2"/>
          <w:sz w:val="32"/>
          <w:szCs w:val="32"/>
          <w:lang w:val="en-US" w:eastAsia="zh-CN" w:bidi="ar-SA"/>
          <w:highlight w:val="none"/>
        </w:rPr>
        <w:t>次，出国（境）</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kern w:val="2"/>
          <w:sz w:val="32"/>
          <w:szCs w:val="32"/>
          <w:lang w:val="en-US" w:eastAsia="zh-CN" w:bidi="ar-SA"/>
          <w:highlight w:val="none"/>
        </w:rPr>
        <w:t>人。</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b/>
          <w:bCs/>
          <w:color w:val="auto"/>
          <w:kern w:val="2"/>
          <w:sz w:val="32"/>
          <w:szCs w:val="32"/>
          <w:lang w:val="en-US" w:eastAsia="zh-CN" w:bidi="ar-SA"/>
          <w:highlight w:val="none"/>
        </w:rPr>
        <w:t>2.公务用车购置及运行维护费支出</w:t>
      </w:r>
      <w:r>
        <w:rPr>
          <w:rFonts w:ascii="仿宋_GB2312" w:eastAsia="仿宋_GB2312" w:cs="仿宋_GB2312" w:hAnsi="仿宋_GB2312" w:hint="eastAsia"/>
          <w:b/>
          <w:bCs/>
          <w:color w:val="auto"/>
          <w:kern w:val="2"/>
          <w:sz w:val="32"/>
          <w:szCs w:val="32"/>
          <w:lang w:val="en-US" w:eastAsia="zh-CN" w:bidi="ar-SA"/>
          <w:highlight w:val="none"/>
        </w:rPr>
        <w:t>4.58</w:t>
      </w:r>
      <w:r>
        <w:rPr>
          <w:rFonts w:ascii="Times New Roman" w:eastAsia="仿宋_GB2312" w:cs="仿宋_GB2312" w:hAnsi="Times New Roman" w:hint="eastAsia"/>
          <w:b/>
          <w:bCs/>
          <w:color w:val="auto"/>
          <w:kern w:val="2"/>
          <w:sz w:val="32"/>
          <w:szCs w:val="32"/>
          <w:lang w:val="en-US" w:eastAsia="zh-CN" w:bidi="ar-SA"/>
          <w:highlight w:val="none"/>
        </w:rPr>
        <w:t>万元</w:t>
      </w:r>
      <w:r>
        <w:rPr>
          <w:rFonts w:eastAsia="仿宋_GB2312" w:cs="仿宋_GB2312" w:hint="eastAsia"/>
          <w:b/>
          <w:bCs/>
          <w:color w:val="auto"/>
          <w:kern w:val="2"/>
          <w:sz w:val="32"/>
          <w:szCs w:val="32"/>
          <w:lang w:val="en-US" w:eastAsia="zh-CN" w:bidi="ar-SA"/>
          <w:highlight w:val="none"/>
        </w:rPr>
        <w:t>，</w:t>
      </w:r>
      <w:r>
        <w:rPr>
          <w:rFonts w:ascii="Times New Roman" w:eastAsia="仿宋_GB2312" w:cs="仿宋_GB2312" w:hAnsi="Times New Roman" w:hint="eastAsia"/>
          <w:b/>
          <w:bCs/>
          <w:color w:val="auto"/>
          <w:kern w:val="2"/>
          <w:sz w:val="32"/>
          <w:szCs w:val="32"/>
          <w:lang w:val="en-US" w:eastAsia="zh-CN" w:bidi="ar-SA"/>
          <w:highlight w:val="none"/>
        </w:rPr>
        <w:t>完成预算</w:t>
      </w:r>
      <w:r>
        <w:rPr>
          <w:rFonts w:eastAsia="仿宋_GB2312" w:cs="仿宋_GB2312" w:hint="eastAsia"/>
          <w:b/>
          <w:bCs/>
          <w:color w:val="auto"/>
          <w:kern w:val="2"/>
          <w:sz w:val="32"/>
          <w:szCs w:val="32"/>
          <w:lang w:val="en-US" w:eastAsia="zh-CN" w:bidi="ar-SA"/>
          <w:highlight w:val="none"/>
        </w:rPr>
        <w:t>100</w:t>
      </w:r>
      <w:r>
        <w:rPr>
          <w:rFonts w:ascii="Times New Roman" w:eastAsia="仿宋_GB2312" w:cs="仿宋_GB2312" w:hAnsi="Times New Roman" w:hint="eastAsia"/>
          <w:b/>
          <w:bCs/>
          <w:color w:val="auto"/>
          <w:kern w:val="2"/>
          <w:sz w:val="32"/>
          <w:szCs w:val="32"/>
          <w:lang w:val="en-US" w:eastAsia="zh-CN" w:bidi="ar-SA"/>
          <w:highlight w:val="none"/>
        </w:rPr>
        <w:t>%。</w:t>
      </w:r>
      <w:r>
        <w:rPr>
          <w:rFonts w:ascii="Times New Roman" w:eastAsia="仿宋_GB2312" w:cs="仿宋_GB2312" w:hAnsi="Times New Roman" w:hint="eastAsia"/>
          <w:color w:val="auto"/>
          <w:kern w:val="2"/>
          <w:sz w:val="32"/>
          <w:szCs w:val="32"/>
          <w:lang w:val="en-US" w:eastAsia="zh-CN" w:bidi="ar-SA"/>
          <w:highlight w:val="none"/>
        </w:rPr>
        <w:t>公务用车购置及运行维护费支出决算比</w:t>
      </w:r>
      <w:r>
        <w:rPr>
          <w:rFonts w:eastAsia="仿宋_GB2312" w:cs="仿宋_GB2312" w:hint="eastAsia"/>
          <w:color w:val="auto"/>
          <w:kern w:val="2"/>
          <w:sz w:val="32"/>
          <w:szCs w:val="32"/>
          <w:lang w:val="en-US" w:eastAsia="zh-CN" w:bidi="ar-SA"/>
          <w:highlight w:val="none"/>
        </w:rPr>
        <w:t>上年度</w:t>
      </w:r>
      <w:r>
        <w:rPr>
          <w:rFonts w:ascii="Times New Roman" w:eastAsia="仿宋_GB2312" w:cs="仿宋_GB2312" w:hAnsi="Times New Roman" w:hint="eastAsia"/>
          <w:color w:val="auto"/>
          <w:kern w:val="2"/>
          <w:sz w:val="32"/>
          <w:szCs w:val="32"/>
          <w:lang w:val="en-US" w:eastAsia="zh-CN" w:bidi="ar-SA"/>
          <w:highlight w:val="none"/>
        </w:rPr>
        <w:t>减少</w:t>
      </w:r>
      <w:r>
        <w:rPr>
          <w:rFonts w:eastAsia="仿宋_GB2312" w:cs="仿宋_GB2312" w:hint="eastAsia"/>
          <w:color w:val="auto"/>
          <w:kern w:val="2"/>
          <w:sz w:val="32"/>
          <w:szCs w:val="32"/>
          <w:lang w:val="en-US" w:eastAsia="zh-CN" w:bidi="ar-SA"/>
          <w:highlight w:val="none"/>
        </w:rPr>
        <w:t>0.57</w:t>
      </w:r>
      <w:r>
        <w:rPr>
          <w:rFonts w:ascii="Times New Roman" w:eastAsia="仿宋_GB2312" w:cs="仿宋_GB2312" w:hAnsi="Times New Roman" w:hint="eastAsia"/>
          <w:color w:val="auto"/>
          <w:kern w:val="2"/>
          <w:sz w:val="32"/>
          <w:szCs w:val="32"/>
          <w:lang w:val="en-US" w:eastAsia="zh-CN" w:bidi="ar-SA"/>
          <w:highlight w:val="none"/>
        </w:rPr>
        <w:t>万元，下降</w:t>
      </w:r>
      <w:r>
        <w:rPr>
          <w:rFonts w:eastAsia="仿宋_GB2312" w:cs="仿宋_GB2312" w:hint="eastAsia"/>
          <w:color w:val="auto"/>
          <w:kern w:val="2"/>
          <w:sz w:val="32"/>
          <w:szCs w:val="32"/>
          <w:lang w:val="en-US" w:eastAsia="zh-CN" w:bidi="ar-SA"/>
          <w:highlight w:val="none"/>
        </w:rPr>
        <w:t>11.06</w:t>
      </w:r>
      <w:r>
        <w:rPr>
          <w:rFonts w:ascii="Times New Roman" w:eastAsia="仿宋_GB2312" w:cs="仿宋_GB2312" w:hAnsi="Times New Roman" w:hint="eastAsia"/>
          <w:color w:val="auto"/>
          <w:kern w:val="2"/>
          <w:sz w:val="32"/>
          <w:szCs w:val="32"/>
          <w:lang w:val="en-US" w:eastAsia="zh-CN" w:bidi="ar-SA"/>
          <w:highlight w:val="none"/>
        </w:rPr>
        <w:t>%。主要原因是</w:t>
      </w:r>
      <w:r>
        <w:rPr>
          <w:rFonts w:eastAsia="仿宋_GB2312" w:cs="仿宋_GB2312" w:hint="eastAsia"/>
          <w:color w:val="auto"/>
          <w:sz w:val="32"/>
          <w:szCs w:val="32"/>
          <w:lang w:val="en-US" w:eastAsia="zh-CN"/>
          <w:highlight w:val="none"/>
        </w:rPr>
        <w:t>严格落实过紧日子的要求，厉行节约，全年支出规模同比减少。</w:t>
      </w:r>
    </w:p>
    <w:p>
      <w:pPr>
        <w:spacing w:line="600" w:lineRule="exact"/>
        <w:ind w:firstLine="640"/>
        <w:rPr>
          <w:rFonts w:ascii="Times New Roman" w:eastAsia="仿宋_GB2312" w:cs="仿宋_GB2312" w:hAnsi="Times New Roman"/>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其中：公务用车购置支出</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kern w:val="2"/>
          <w:sz w:val="32"/>
          <w:szCs w:val="32"/>
          <w:lang w:val="en-US" w:eastAsia="zh-CN" w:bidi="ar-SA"/>
          <w:highlight w:val="none"/>
        </w:rPr>
        <w:t>万元。截至202</w:t>
      </w:r>
      <w:r>
        <w:rPr>
          <w:rFonts w:eastAsia="仿宋_GB2312" w:cs="仿宋_GB2312" w:hint="eastAsia"/>
          <w:color w:val="auto"/>
          <w:kern w:val="2"/>
          <w:sz w:val="32"/>
          <w:szCs w:val="32"/>
          <w:lang w:val="en-US" w:eastAsia="zh-CN" w:bidi="ar-SA"/>
          <w:highlight w:val="none"/>
        </w:rPr>
        <w:t>5</w:t>
      </w:r>
      <w:r>
        <w:rPr>
          <w:rFonts w:ascii="Times New Roman" w:eastAsia="仿宋_GB2312" w:cs="仿宋_GB2312" w:hAnsi="Times New Roman" w:hint="eastAsia"/>
          <w:color w:val="auto"/>
          <w:kern w:val="2"/>
          <w:sz w:val="32"/>
          <w:szCs w:val="32"/>
          <w:lang w:val="en-US" w:eastAsia="zh-CN" w:bidi="ar-SA"/>
          <w:highlight w:val="none"/>
        </w:rPr>
        <w:t>年12月31日，单位共有公务用车</w:t>
      </w:r>
      <w:r>
        <w:rPr>
          <w:rFonts w:eastAsia="仿宋_GB2312" w:cs="仿宋_GB2312" w:hint="eastAsia"/>
          <w:color w:val="auto"/>
          <w:kern w:val="2"/>
          <w:sz w:val="32"/>
          <w:szCs w:val="32"/>
          <w:lang w:val="en-US" w:eastAsia="zh-CN" w:bidi="ar-SA"/>
          <w:highlight w:val="none"/>
        </w:rPr>
        <w:t>1</w:t>
      </w:r>
      <w:r>
        <w:rPr>
          <w:rFonts w:ascii="Times New Roman" w:eastAsia="仿宋_GB2312" w:cs="仿宋_GB2312" w:hAnsi="Times New Roman" w:hint="eastAsia"/>
          <w:color w:val="auto"/>
          <w:kern w:val="2"/>
          <w:sz w:val="32"/>
          <w:szCs w:val="32"/>
          <w:lang w:val="en-US" w:eastAsia="zh-CN" w:bidi="ar-SA"/>
          <w:highlight w:val="none"/>
        </w:rPr>
        <w:t>辆，其中：</w:t>
      </w:r>
      <w:r>
        <w:rPr>
          <w:rFonts w:eastAsia="仿宋_GB2312" w:cs="仿宋_GB2312" w:hint="eastAsia"/>
          <w:color w:val="auto"/>
          <w:kern w:val="2"/>
          <w:sz w:val="32"/>
          <w:szCs w:val="32"/>
          <w:lang w:val="en-US" w:eastAsia="zh-CN" w:bidi="ar-SA"/>
          <w:highlight w:val="none"/>
        </w:rPr>
        <w:t>应急保障用车1辆。</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公务用车运行维护费支出</w:t>
      </w:r>
      <w:r>
        <w:rPr>
          <w:rFonts w:ascii="仿宋_GB2312" w:eastAsia="仿宋_GB2312" w:cs="仿宋_GB2312" w:hAnsi="仿宋_GB2312" w:hint="eastAsia"/>
          <w:sz w:val="32"/>
          <w:szCs w:val="32"/>
        </w:rPr>
        <w:t>4.58</w:t>
      </w:r>
      <w:r>
        <w:rPr>
          <w:rFonts w:ascii="Times New Roman" w:eastAsia="仿宋_GB2312" w:cs="仿宋_GB2312" w:hAnsi="Times New Roman" w:hint="eastAsia"/>
          <w:color w:val="auto"/>
          <w:kern w:val="2"/>
          <w:sz w:val="32"/>
          <w:szCs w:val="32"/>
          <w:lang w:val="en-US" w:eastAsia="zh-CN" w:bidi="ar-SA"/>
          <w:highlight w:val="none"/>
        </w:rPr>
        <w:t>万元。主要用于公务用车燃料费、维修费、过路过桥费、保险费等支出。</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b/>
          <w:bCs/>
          <w:color w:val="auto"/>
          <w:kern w:val="2"/>
          <w:sz w:val="32"/>
          <w:szCs w:val="32"/>
          <w:lang w:val="en-US" w:eastAsia="zh-CN" w:bidi="ar-SA"/>
          <w:highlight w:val="none"/>
        </w:rPr>
        <w:t>3.公务接待费支出</w:t>
      </w:r>
      <w:r>
        <w:rPr>
          <w:rFonts w:ascii="仿宋_GB2312" w:eastAsia="仿宋_GB2312" w:cs="仿宋_GB2312" w:hAnsi="仿宋_GB2312" w:hint="eastAsia"/>
          <w:b/>
          <w:bCs/>
          <w:color w:val="auto"/>
          <w:kern w:val="2"/>
          <w:sz w:val="32"/>
          <w:szCs w:val="32"/>
          <w:lang w:val="en-US" w:eastAsia="zh-CN" w:bidi="ar-SA"/>
          <w:highlight w:val="none"/>
        </w:rPr>
        <w:t>0.2</w:t>
      </w:r>
      <w:r>
        <w:rPr>
          <w:rFonts w:ascii="Times New Roman" w:eastAsia="仿宋_GB2312" w:cs="仿宋_GB2312" w:hAnsi="Times New Roman" w:hint="eastAsia"/>
          <w:b/>
          <w:bCs/>
          <w:color w:val="auto"/>
          <w:kern w:val="2"/>
          <w:sz w:val="32"/>
          <w:szCs w:val="32"/>
          <w:lang w:val="en-US" w:eastAsia="zh-CN" w:bidi="ar-SA"/>
          <w:highlight w:val="none"/>
        </w:rPr>
        <w:t>万元，完成预算</w:t>
      </w:r>
      <w:r>
        <w:rPr>
          <w:rFonts w:eastAsia="仿宋_GB2312" w:cs="仿宋_GB2312" w:hint="eastAsia"/>
          <w:b/>
          <w:bCs/>
          <w:color w:val="auto"/>
          <w:kern w:val="2"/>
          <w:sz w:val="32"/>
          <w:szCs w:val="32"/>
          <w:lang w:val="en-US" w:eastAsia="zh-CN" w:bidi="ar-SA"/>
          <w:highlight w:val="none"/>
        </w:rPr>
        <w:t>100</w:t>
      </w:r>
      <w:r>
        <w:rPr>
          <w:rFonts w:ascii="Times New Roman" w:eastAsia="仿宋_GB2312" w:cs="仿宋_GB2312" w:hAnsi="Times New Roman" w:hint="eastAsia"/>
          <w:b/>
          <w:bCs/>
          <w:color w:val="auto"/>
          <w:kern w:val="2"/>
          <w:sz w:val="32"/>
          <w:szCs w:val="32"/>
          <w:lang w:val="en-US" w:eastAsia="zh-CN" w:bidi="ar-SA"/>
          <w:highlight w:val="none"/>
        </w:rPr>
        <w:t>%。</w:t>
      </w:r>
      <w:r>
        <w:rPr>
          <w:rFonts w:ascii="Times New Roman" w:eastAsia="仿宋_GB2312" w:cs="仿宋_GB2312" w:hAnsi="Times New Roman" w:hint="eastAsia"/>
          <w:color w:val="auto"/>
          <w:kern w:val="2"/>
          <w:sz w:val="32"/>
          <w:szCs w:val="32"/>
          <w:lang w:val="en-US" w:eastAsia="zh-CN" w:bidi="ar-SA"/>
          <w:highlight w:val="none"/>
        </w:rPr>
        <w:t>公务接待费支出决算比</w:t>
      </w:r>
      <w:r>
        <w:rPr>
          <w:rFonts w:eastAsia="仿宋_GB2312" w:cs="仿宋_GB2312" w:hint="eastAsia"/>
          <w:color w:val="auto"/>
          <w:kern w:val="2"/>
          <w:sz w:val="32"/>
          <w:szCs w:val="32"/>
          <w:lang w:val="en-US" w:eastAsia="zh-CN" w:bidi="ar-SA"/>
          <w:highlight w:val="none"/>
        </w:rPr>
        <w:t>上</w:t>
      </w:r>
      <w:r>
        <w:rPr>
          <w:rFonts w:ascii="Times New Roman" w:eastAsia="仿宋_GB2312" w:cs="仿宋_GB2312" w:hAnsi="Times New Roman" w:hint="eastAsia"/>
          <w:color w:val="auto"/>
          <w:kern w:val="2"/>
          <w:sz w:val="32"/>
          <w:szCs w:val="32"/>
          <w:lang w:val="en-US" w:eastAsia="zh-CN" w:bidi="ar-SA"/>
          <w:highlight w:val="none"/>
        </w:rPr>
        <w:t>年度增加</w:t>
      </w:r>
      <w:r>
        <w:rPr>
          <w:rFonts w:eastAsia="仿宋_GB2312" w:cs="仿宋_GB2312" w:hint="eastAsia"/>
          <w:color w:val="auto"/>
          <w:kern w:val="2"/>
          <w:sz w:val="32"/>
          <w:szCs w:val="32"/>
          <w:lang w:val="en-US" w:eastAsia="zh-CN" w:bidi="ar-SA"/>
          <w:highlight w:val="none"/>
        </w:rPr>
        <w:t>0.03</w:t>
      </w:r>
      <w:r>
        <w:rPr>
          <w:rFonts w:ascii="Times New Roman" w:eastAsia="仿宋_GB2312" w:cs="仿宋_GB2312" w:hAnsi="Times New Roman" w:hint="eastAsia"/>
          <w:color w:val="auto"/>
          <w:kern w:val="2"/>
          <w:sz w:val="32"/>
          <w:szCs w:val="32"/>
          <w:lang w:val="en-US" w:eastAsia="zh-CN" w:bidi="ar-SA"/>
          <w:highlight w:val="none"/>
        </w:rPr>
        <w:t>万元，增长</w:t>
      </w:r>
      <w:r>
        <w:rPr>
          <w:rFonts w:eastAsia="仿宋_GB2312" w:cs="仿宋_GB2312" w:hint="eastAsia"/>
          <w:color w:val="auto"/>
          <w:kern w:val="2"/>
          <w:sz w:val="32"/>
          <w:szCs w:val="32"/>
          <w:lang w:val="en-US" w:eastAsia="zh-CN" w:bidi="ar-SA"/>
          <w:highlight w:val="none"/>
        </w:rPr>
        <w:t>17.65</w:t>
      </w:r>
      <w:r>
        <w:rPr>
          <w:rFonts w:ascii="Times New Roman" w:eastAsia="仿宋_GB2312" w:cs="仿宋_GB2312" w:hAnsi="Times New Roman" w:hint="eastAsia"/>
          <w:color w:val="auto"/>
          <w:kern w:val="2"/>
          <w:sz w:val="32"/>
          <w:szCs w:val="32"/>
          <w:lang w:val="en-US" w:eastAsia="zh-CN" w:bidi="ar-SA"/>
          <w:highlight w:val="none"/>
        </w:rPr>
        <w:t>%。</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国内公务接待支出</w:t>
      </w:r>
      <w:r>
        <w:rPr>
          <w:rFonts w:ascii="仿宋_GB2312" w:eastAsia="仿宋_GB2312" w:cs="仿宋_GB2312" w:hAnsi="仿宋_GB2312" w:hint="eastAsia"/>
          <w:sz w:val="32"/>
          <w:szCs w:val="32"/>
        </w:rPr>
        <w:t>0.2</w:t>
      </w:r>
      <w:r>
        <w:rPr>
          <w:rFonts w:ascii="Times New Roman" w:eastAsia="仿宋_GB2312" w:cs="仿宋_GB2312" w:hAnsi="Times New Roman" w:hint="eastAsia"/>
          <w:color w:val="auto"/>
          <w:kern w:val="2"/>
          <w:sz w:val="32"/>
          <w:szCs w:val="32"/>
          <w:lang w:val="en-US" w:eastAsia="zh-CN" w:bidi="ar-SA"/>
          <w:highlight w:val="none"/>
        </w:rPr>
        <w:t>万元，主要用于开展业务活动开支的交通费、住宿费、用餐费等。国内公务接待</w:t>
      </w:r>
      <w:r>
        <w:rPr>
          <w:rFonts w:ascii="仿宋_GB2312" w:eastAsia="仿宋_GB2312" w:cs="仿宋_GB2312" w:hAnsi="仿宋_GB2312" w:hint="eastAsia"/>
          <w:sz w:val="32"/>
          <w:szCs w:val="32"/>
        </w:rPr>
        <w:t>8</w:t>
      </w:r>
      <w:r>
        <w:rPr>
          <w:rFonts w:ascii="Times New Roman" w:eastAsia="仿宋_GB2312" w:cs="仿宋_GB2312" w:hAnsi="Times New Roman" w:hint="eastAsia"/>
          <w:color w:val="auto"/>
          <w:kern w:val="2"/>
          <w:sz w:val="32"/>
          <w:szCs w:val="32"/>
          <w:lang w:val="en-US" w:eastAsia="zh-CN" w:bidi="ar-SA"/>
          <w:highlight w:val="none"/>
        </w:rPr>
        <w:t>批次，</w:t>
      </w:r>
      <w:r>
        <w:rPr>
          <w:rFonts w:ascii="仿宋_GB2312" w:eastAsia="仿宋_GB2312" w:cs="仿宋_GB2312" w:hAnsi="仿宋_GB2312" w:hint="eastAsia"/>
          <w:sz w:val="32"/>
          <w:szCs w:val="32"/>
        </w:rPr>
        <w:t>41</w:t>
      </w:r>
      <w:r>
        <w:rPr>
          <w:rFonts w:ascii="Times New Roman" w:eastAsia="仿宋_GB2312" w:cs="仿宋_GB2312" w:hAnsi="Times New Roman" w:hint="eastAsia"/>
          <w:color w:val="auto"/>
          <w:kern w:val="2"/>
          <w:sz w:val="32"/>
          <w:szCs w:val="32"/>
          <w:lang w:val="en-US" w:eastAsia="zh-CN" w:bidi="ar-SA"/>
          <w:highlight w:val="none"/>
        </w:rPr>
        <w:t>人次（不包括陪同人员），共计支出</w:t>
      </w:r>
      <w:r>
        <w:rPr>
          <w:rFonts w:eastAsia="仿宋_GB2312" w:cs="仿宋_GB2312" w:hint="eastAsia"/>
          <w:color w:val="auto"/>
          <w:kern w:val="2"/>
          <w:sz w:val="32"/>
          <w:szCs w:val="32"/>
          <w:lang w:val="en-US" w:eastAsia="zh-CN" w:bidi="ar-SA"/>
          <w:highlight w:val="none"/>
        </w:rPr>
        <w:t>0.17</w:t>
      </w:r>
      <w:r>
        <w:rPr>
          <w:rFonts w:ascii="Times New Roman" w:eastAsia="仿宋_GB2312" w:cs="仿宋_GB2312" w:hAnsi="Times New Roman" w:hint="eastAsia"/>
          <w:color w:val="auto"/>
          <w:kern w:val="2"/>
          <w:sz w:val="32"/>
          <w:szCs w:val="32"/>
          <w:lang w:val="en-US" w:eastAsia="zh-CN" w:bidi="ar-SA"/>
          <w:highlight w:val="none"/>
        </w:rPr>
        <w:t>万元。</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外事接待支出</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kern w:val="2"/>
          <w:sz w:val="32"/>
          <w:szCs w:val="32"/>
          <w:lang w:val="en-US" w:eastAsia="zh-CN" w:bidi="ar-SA"/>
          <w:highlight w:val="none"/>
        </w:rPr>
        <w:t>万元。外事接待</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kern w:val="2"/>
          <w:sz w:val="32"/>
          <w:szCs w:val="32"/>
          <w:lang w:val="en-US" w:eastAsia="zh-CN" w:bidi="ar-SA"/>
          <w:highlight w:val="none"/>
        </w:rPr>
        <w:t>批次，</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kern w:val="2"/>
          <w:sz w:val="32"/>
          <w:szCs w:val="32"/>
          <w:lang w:val="en-US" w:eastAsia="zh-CN" w:bidi="ar-SA"/>
          <w:highlight w:val="none"/>
        </w:rPr>
        <w:t>人次（不包括陪同人员），共计支出</w:t>
      </w:r>
      <w:r>
        <w:rPr>
          <w:rFonts w:eastAsia="仿宋_GB2312" w:cs="仿宋_GB2312" w:hint="eastAsia"/>
          <w:color w:val="auto"/>
          <w:kern w:val="2"/>
          <w:sz w:val="32"/>
          <w:szCs w:val="32"/>
          <w:lang w:val="en-US" w:eastAsia="zh-CN" w:bidi="ar-SA"/>
          <w:highlight w:val="none"/>
        </w:rPr>
        <w:t>0</w:t>
      </w:r>
      <w:r>
        <w:rPr>
          <w:rFonts w:ascii="Times New Roman" w:eastAsia="仿宋_GB2312" w:cs="仿宋_GB2312" w:hAnsi="Times New Roman" w:hint="eastAsia"/>
          <w:color w:val="auto"/>
          <w:kern w:val="2"/>
          <w:sz w:val="32"/>
          <w:szCs w:val="32"/>
          <w:lang w:val="en-US" w:eastAsia="zh-CN" w:bidi="ar-SA"/>
          <w:highlight w:val="none"/>
        </w:rPr>
        <w:t>万元。</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bookmarkStart w:id="42" w:name="_Toc15396610"/>
      <w:bookmarkStart w:id="43" w:name="_Toc15377218"/>
    </w:p>
    <w:p>
      <w:pPr>
        <w:spacing w:line="600" w:lineRule="exact"/>
        <w:ind w:firstLine="640"/>
        <w:outlineLvl w:val="1"/>
        <w:rPr>
          <w:rStyle w:val="2Char"/>
          <w:rFonts w:ascii="Times New Roman" w:eastAsia="黑体" w:hAnsi="Times New Roman"/>
          <w:color w:val="auto"/>
          <w:highlight w:val="none"/>
        </w:rPr>
      </w:pPr>
      <w:r>
        <w:rPr>
          <w:rFonts w:ascii="Times New Roman" w:eastAsia="黑体" w:hAnsi="Times New Roman" w:hint="eastAsia"/>
          <w:color w:val="auto"/>
          <w:sz w:val="32"/>
          <w:szCs w:val="32"/>
          <w:highlight w:val="none"/>
        </w:rPr>
        <w:t>八、</w:t>
      </w:r>
      <w:r>
        <w:rPr>
          <w:rStyle w:val="2Char"/>
          <w:rFonts w:ascii="Times New Roman" w:eastAsia="黑体" w:hAnsi="Times New Roman" w:hint="eastAsia"/>
          <w:b w:val="0"/>
          <w:color w:val="auto"/>
          <w:highlight w:val="none"/>
        </w:rPr>
        <w:t>政府性基金预算支出决算情况说明</w:t>
      </w:r>
      <w:bookmarkEnd w:id="42"/>
      <w:bookmarkEnd w:id="43"/>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2025年度</w:t>
      </w:r>
      <w:r>
        <w:rPr>
          <w:rFonts w:ascii="Times New Roman" w:eastAsia="仿宋_GB2312" w:cs="仿宋_GB2312" w:hAnsi="Times New Roman" w:hint="eastAsia"/>
          <w:color w:val="auto"/>
          <w:kern w:val="2"/>
          <w:sz w:val="32"/>
          <w:szCs w:val="32"/>
          <w:lang w:val="en-US" w:eastAsia="zh-CN" w:bidi="ar-SA"/>
          <w:highlight w:val="none"/>
        </w:rPr>
        <w:t>政府性基金预算财政拨款支出</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kern w:val="2"/>
          <w:sz w:val="32"/>
          <w:szCs w:val="32"/>
          <w:lang w:val="en-US" w:eastAsia="zh-CN" w:bidi="ar-SA"/>
          <w:highlight w:val="none"/>
        </w:rPr>
        <w:t>万元，占本年支出合计的</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kern w:val="2"/>
          <w:sz w:val="32"/>
          <w:szCs w:val="32"/>
          <w:lang w:val="en-US" w:eastAsia="zh-CN" w:bidi="ar-SA"/>
          <w:highlight w:val="none"/>
        </w:rPr>
        <w:t>%。</w:t>
      </w:r>
    </w:p>
    <w:p>
      <w:pPr>
        <w:spacing w:line="600" w:lineRule="exact"/>
        <w:ind w:left="630"/>
        <w:outlineLvl w:val="1"/>
        <w:rPr>
          <w:rStyle w:val="2Char"/>
          <w:rFonts w:ascii="Times New Roman" w:eastAsia="黑体" w:hAnsi="Times New Roman"/>
          <w:b w:val="0"/>
          <w:color w:val="auto"/>
          <w:highlight w:val="none"/>
        </w:rPr>
      </w:pPr>
      <w:bookmarkStart w:id="44" w:name="_Toc15377219"/>
      <w:bookmarkStart w:id="45" w:name="_Toc15396611"/>
      <w:r>
        <w:rPr>
          <w:rStyle w:val="2Char"/>
          <w:rFonts w:ascii="Times New Roman" w:eastAsia="黑体" w:hAnsi="Times New Roman" w:hint="eastAsia"/>
          <w:b w:val="0"/>
          <w:color w:val="auto"/>
          <w:lang w:eastAsia="zh-CN"/>
          <w:highlight w:val="none"/>
        </w:rPr>
        <w:t>九、</w:t>
      </w:r>
      <w:r>
        <w:rPr>
          <w:rStyle w:val="2Char"/>
          <w:rFonts w:ascii="Times New Roman" w:eastAsia="黑体" w:hAnsi="Times New Roman" w:hint="eastAsia"/>
          <w:b w:val="0"/>
          <w:color w:val="auto"/>
          <w:highlight w:val="none"/>
        </w:rPr>
        <w:t>国有资本经营预算支出决算情况说明</w:t>
      </w:r>
      <w:bookmarkEnd w:id="44"/>
      <w:bookmarkEnd w:id="45"/>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2025年度</w:t>
      </w:r>
      <w:r>
        <w:rPr>
          <w:rFonts w:ascii="Times New Roman" w:eastAsia="仿宋_GB2312" w:cs="仿宋_GB2312" w:hAnsi="Times New Roman" w:hint="eastAsia"/>
          <w:color w:val="auto"/>
          <w:kern w:val="2"/>
          <w:sz w:val="32"/>
          <w:szCs w:val="32"/>
          <w:lang w:val="en-US" w:eastAsia="zh-CN" w:bidi="ar-SA"/>
          <w:highlight w:val="none"/>
        </w:rPr>
        <w:t>国有资本经营预算财政拨款支出</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kern w:val="2"/>
          <w:sz w:val="32"/>
          <w:szCs w:val="32"/>
          <w:lang w:val="en-US" w:eastAsia="zh-CN" w:bidi="ar-SA"/>
          <w:highlight w:val="none"/>
        </w:rPr>
        <w:t>万元，占本年支出合计的</w:t>
      </w:r>
      <w:r>
        <w:rPr>
          <w:rFonts w:ascii="仿宋_GB2312" w:eastAsia="仿宋_GB2312" w:cs="仿宋_GB2312" w:hAnsi="仿宋_GB2312" w:hint="eastAsia"/>
          <w:sz w:val="32"/>
          <w:szCs w:val="32"/>
        </w:rPr>
        <w:t>0</w:t>
      </w:r>
      <w:r>
        <w:rPr>
          <w:rFonts w:ascii="Times New Roman" w:eastAsia="仿宋_GB2312" w:cs="仿宋_GB2312" w:hAnsi="Times New Roman" w:hint="eastAsia"/>
          <w:color w:val="auto"/>
          <w:kern w:val="2"/>
          <w:sz w:val="32"/>
          <w:szCs w:val="32"/>
          <w:lang w:val="en-US" w:eastAsia="zh-CN" w:bidi="ar-SA"/>
          <w:highlight w:val="none"/>
        </w:rPr>
        <w:t>%。</w:t>
      </w:r>
    </w:p>
    <w:p>
      <w:pPr>
        <w:spacing w:line="600" w:lineRule="exact"/>
        <w:ind w:left="630"/>
        <w:outlineLvl w:val="1"/>
        <w:rPr>
          <w:rStyle w:val="2Char"/>
          <w:rFonts w:ascii="Times New Roman" w:eastAsia="黑体" w:hAnsi="Times New Roman" w:hint="eastAsia"/>
          <w:b w:val="0"/>
          <w:color w:val="auto"/>
          <w:highlight w:val="none"/>
        </w:rPr>
      </w:pPr>
      <w:bookmarkStart w:id="46" w:name="_Toc15377221"/>
      <w:bookmarkStart w:id="47" w:name="_Toc15396612"/>
      <w:r>
        <w:rPr>
          <w:rStyle w:val="2Char"/>
          <w:rFonts w:ascii="Times New Roman" w:eastAsia="黑体" w:hAnsi="Times New Roman" w:hint="eastAsia"/>
          <w:b w:val="0"/>
          <w:color w:val="auto"/>
          <w:lang w:eastAsia="zh-CN"/>
          <w:highlight w:val="none"/>
        </w:rPr>
        <w:t>十、</w:t>
      </w:r>
      <w:r>
        <w:rPr>
          <w:rStyle w:val="2Char"/>
          <w:rFonts w:ascii="Times New Roman" w:eastAsia="黑体" w:hAnsi="Times New Roman" w:hint="eastAsia"/>
          <w:b w:val="0"/>
          <w:color w:val="auto"/>
          <w:highlight w:val="none"/>
        </w:rPr>
        <w:t>其他重要事项的情况说明</w:t>
      </w:r>
      <w:bookmarkEnd w:id="46"/>
      <w:bookmarkEnd w:id="47"/>
    </w:p>
    <w:p>
      <w:pPr>
        <w:spacing w:line="600" w:lineRule="exact"/>
        <w:ind w:firstLineChars="200" w:firstLine="640"/>
        <w:outlineLvl w:val="2"/>
        <w:rPr>
          <w:rFonts w:ascii="Times New Roman" w:eastAsia="楷体_GB2312" w:cs="楷体_GB2312" w:hAnsi="Times New Roman" w:hint="eastAsia"/>
          <w:b/>
          <w:color w:val="auto"/>
          <w:sz w:val="32"/>
          <w:szCs w:val="32"/>
          <w:highlight w:val="none"/>
        </w:rPr>
      </w:pPr>
      <w:bookmarkStart w:id="48" w:name="_Toc15377222"/>
      <w:r>
        <w:rPr>
          <w:rFonts w:ascii="Times New Roman" w:eastAsia="楷体_GB2312" w:cs="楷体_GB2312" w:hAnsi="Times New Roman" w:hint="eastAsia"/>
          <w:b/>
          <w:color w:val="auto"/>
          <w:sz w:val="32"/>
          <w:szCs w:val="32"/>
          <w:highlight w:val="none"/>
        </w:rPr>
        <w:t>（一）机关运行经费支出情况</w:t>
      </w:r>
      <w:bookmarkEnd w:id="48"/>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2025年度</w:t>
      </w:r>
      <w:r>
        <w:rPr>
          <w:rFonts w:ascii="Times New Roman" w:eastAsia="仿宋_GB2312" w:cs="仿宋_GB2312" w:hAnsi="Times New Roman" w:hint="eastAsia"/>
          <w:color w:val="auto"/>
          <w:kern w:val="2"/>
          <w:sz w:val="32"/>
          <w:szCs w:val="32"/>
          <w:lang w:val="en-US" w:eastAsia="zh-CN" w:bidi="ar-SA"/>
          <w:highlight w:val="none"/>
        </w:rPr>
        <w:t>，</w:t>
      </w:r>
      <w:r>
        <w:rPr>
          <w:rFonts w:ascii="仿宋_GB2312" w:eastAsia="仿宋_GB2312" w:cs="仿宋_GB2312" w:hAnsi="仿宋_GB2312" w:hint="eastAsia"/>
          <w:sz w:val="32"/>
          <w:szCs w:val="32"/>
        </w:rPr>
        <w:t>红原县统计局</w:t>
      </w:r>
      <w:r>
        <w:rPr>
          <w:rFonts w:ascii="Times New Roman" w:eastAsia="仿宋_GB2312" w:cs="仿宋_GB2312" w:hAnsi="Times New Roman" w:hint="eastAsia"/>
          <w:color w:val="auto"/>
          <w:kern w:val="2"/>
          <w:sz w:val="32"/>
          <w:szCs w:val="32"/>
          <w:lang w:val="en-US" w:eastAsia="zh-CN" w:bidi="ar-SA"/>
          <w:highlight w:val="none"/>
        </w:rPr>
        <w:t>机关运行经费支出</w:t>
      </w:r>
      <w:r>
        <w:rPr>
          <w:rFonts w:ascii="仿宋_GB2312" w:eastAsia="仿宋_GB2312" w:cs="仿宋_GB2312" w:hAnsi="仿宋_GB2312" w:hint="eastAsia"/>
          <w:sz w:val="32"/>
          <w:szCs w:val="32"/>
        </w:rPr>
        <w:t>23.05</w:t>
      </w:r>
      <w:r>
        <w:rPr>
          <w:rFonts w:ascii="Times New Roman" w:eastAsia="仿宋_GB2312" w:cs="仿宋_GB2312" w:hAnsi="Times New Roman" w:hint="eastAsia"/>
          <w:color w:val="auto"/>
          <w:kern w:val="2"/>
          <w:sz w:val="32"/>
          <w:szCs w:val="32"/>
          <w:lang w:val="en-US" w:eastAsia="zh-CN" w:bidi="ar-SA"/>
          <w:highlight w:val="none"/>
        </w:rPr>
        <w:t>万元，比</w:t>
      </w:r>
      <w:r>
        <w:rPr>
          <w:rFonts w:eastAsia="仿宋_GB2312" w:cs="仿宋_GB2312" w:hint="eastAsia"/>
          <w:color w:val="auto"/>
          <w:kern w:val="2"/>
          <w:sz w:val="32"/>
          <w:szCs w:val="32"/>
          <w:lang w:val="en-US" w:eastAsia="zh-CN" w:bidi="ar-SA"/>
          <w:highlight w:val="none"/>
        </w:rPr>
        <w:t>上</w:t>
      </w:r>
      <w:r>
        <w:rPr>
          <w:rFonts w:ascii="Times New Roman" w:eastAsia="仿宋_GB2312" w:cs="仿宋_GB2312" w:hAnsi="Times New Roman" w:hint="eastAsia"/>
          <w:color w:val="auto"/>
          <w:kern w:val="2"/>
          <w:sz w:val="32"/>
          <w:szCs w:val="32"/>
          <w:lang w:val="en-US" w:eastAsia="zh-CN" w:bidi="ar-SA"/>
          <w:highlight w:val="none"/>
        </w:rPr>
        <w:t>年度增加</w:t>
      </w:r>
      <w:r>
        <w:rPr>
          <w:rFonts w:eastAsia="仿宋_GB2312" w:cs="仿宋_GB2312" w:hint="eastAsia"/>
          <w:color w:val="auto"/>
          <w:kern w:val="2"/>
          <w:sz w:val="32"/>
          <w:szCs w:val="32"/>
          <w:lang w:val="en-US" w:eastAsia="zh-CN" w:bidi="ar-SA"/>
          <w:highlight w:val="none"/>
        </w:rPr>
        <w:t>3.94</w:t>
      </w:r>
      <w:r>
        <w:rPr>
          <w:rFonts w:ascii="Times New Roman" w:eastAsia="仿宋_GB2312" w:cs="仿宋_GB2312" w:hAnsi="Times New Roman" w:hint="eastAsia"/>
          <w:color w:val="auto"/>
          <w:kern w:val="2"/>
          <w:sz w:val="32"/>
          <w:szCs w:val="32"/>
          <w:lang w:val="en-US" w:eastAsia="zh-CN" w:bidi="ar-SA"/>
          <w:highlight w:val="none"/>
        </w:rPr>
        <w:t>万元，增长</w:t>
      </w:r>
      <w:r>
        <w:rPr>
          <w:rFonts w:eastAsia="仿宋_GB2312" w:cs="仿宋_GB2312" w:hint="eastAsia"/>
          <w:color w:val="auto"/>
          <w:kern w:val="2"/>
          <w:sz w:val="32"/>
          <w:szCs w:val="32"/>
          <w:lang w:val="en-US" w:eastAsia="zh-CN" w:bidi="ar-SA"/>
          <w:highlight w:val="none"/>
        </w:rPr>
        <w:t>20.61</w:t>
      </w:r>
      <w:r>
        <w:rPr>
          <w:rFonts w:ascii="Times New Roman" w:eastAsia="仿宋_GB2312" w:cs="仿宋_GB2312" w:hAnsi="Times New Roman" w:hint="eastAsia"/>
          <w:color w:val="auto"/>
          <w:kern w:val="2"/>
          <w:sz w:val="32"/>
          <w:szCs w:val="32"/>
          <w:lang w:val="en-US" w:eastAsia="zh-CN" w:bidi="ar-SA"/>
          <w:highlight w:val="none"/>
        </w:rPr>
        <w:t>%。主要原因是</w:t>
      </w:r>
      <w:r>
        <w:rPr>
          <w:rFonts w:eastAsia="仿宋_GB2312" w:cs="仿宋_GB2312" w:hint="eastAsia"/>
          <w:color w:val="auto"/>
          <w:kern w:val="2"/>
          <w:sz w:val="32"/>
          <w:szCs w:val="32"/>
          <w:lang w:val="en-US" w:eastAsia="zh-CN" w:bidi="ar-SA"/>
          <w:highlight w:val="none"/>
        </w:rPr>
        <w:t>：开展日常办公，办公经费增加。</w:t>
      </w:r>
    </w:p>
    <w:p>
      <w:pPr>
        <w:spacing w:line="600" w:lineRule="exact"/>
        <w:ind w:firstLineChars="200" w:firstLine="640"/>
        <w:outlineLvl w:val="2"/>
        <w:rPr>
          <w:rFonts w:ascii="Times New Roman" w:eastAsia="楷体_GB2312" w:cs="楷体_GB2312" w:hAnsi="Times New Roman" w:hint="eastAsia"/>
          <w:b/>
          <w:color w:val="auto"/>
          <w:sz w:val="32"/>
          <w:szCs w:val="32"/>
          <w:highlight w:val="none"/>
        </w:rPr>
      </w:pPr>
      <w:bookmarkStart w:id="49" w:name="_Toc15377223"/>
      <w:r>
        <w:rPr>
          <w:rFonts w:ascii="Times New Roman" w:eastAsia="楷体_GB2312" w:cs="楷体_GB2312" w:hAnsi="Times New Roman" w:hint="eastAsia"/>
          <w:b/>
          <w:color w:val="auto"/>
          <w:sz w:val="32"/>
          <w:szCs w:val="32"/>
          <w:highlight w:val="none"/>
        </w:rPr>
        <w:t>（二）政府采购支出情况</w:t>
      </w:r>
      <w:bookmarkEnd w:id="49"/>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2025年度</w:t>
      </w:r>
      <w:r>
        <w:rPr>
          <w:rFonts w:ascii="Times New Roman" w:eastAsia="仿宋_GB2312" w:cs="仿宋_GB2312" w:hAnsi="Times New Roman" w:hint="eastAsia"/>
          <w:color w:val="auto"/>
          <w:kern w:val="2"/>
          <w:sz w:val="32"/>
          <w:szCs w:val="32"/>
          <w:lang w:val="en-US" w:eastAsia="zh-CN" w:bidi="ar-SA"/>
          <w:highlight w:val="none"/>
        </w:rPr>
        <w:t>，</w:t>
      </w:r>
      <w:r>
        <w:rPr>
          <w:rFonts w:ascii="仿宋_GB2312" w:eastAsia="仿宋_GB2312" w:cs="仿宋_GB2312" w:hAnsi="仿宋_GB2312" w:hint="eastAsia"/>
          <w:sz w:val="32"/>
          <w:szCs w:val="32"/>
        </w:rPr>
        <w:t>红原县统计局</w:t>
      </w:r>
      <w:r>
        <w:rPr>
          <w:rFonts w:ascii="Times New Roman" w:eastAsia="仿宋_GB2312" w:cs="仿宋_GB2312" w:hAnsi="Times New Roman" w:hint="eastAsia"/>
          <w:color w:val="auto"/>
          <w:kern w:val="2"/>
          <w:sz w:val="32"/>
          <w:szCs w:val="32"/>
          <w:lang w:val="en-US" w:eastAsia="zh-CN" w:bidi="ar-SA"/>
          <w:highlight w:val="none"/>
        </w:rPr>
        <w:t>政府采购支出总额</w:t>
      </w:r>
      <w:r>
        <w:rPr>
          <w:rFonts w:ascii="仿宋_GB2312" w:eastAsia="仿宋_GB2312" w:cs="仿宋_GB2312" w:hAnsi="仿宋_GB2312" w:hint="eastAsia"/>
          <w:sz w:val="32"/>
          <w:szCs w:val="32"/>
        </w:rPr>
        <w:t>0.45</w:t>
      </w:r>
      <w:r>
        <w:rPr>
          <w:rFonts w:ascii="Times New Roman" w:eastAsia="仿宋_GB2312" w:cs="仿宋_GB2312" w:hAnsi="Times New Roman" w:hint="eastAsia"/>
          <w:color w:val="auto"/>
          <w:kern w:val="2"/>
          <w:sz w:val="32"/>
          <w:szCs w:val="32"/>
          <w:lang w:val="en-US" w:eastAsia="zh-CN" w:bidi="ar-SA"/>
          <w:highlight w:val="none"/>
        </w:rPr>
        <w:t>万元，其中：政府采购服务支出</w:t>
      </w:r>
      <w:r>
        <w:rPr>
          <w:rFonts w:ascii="仿宋_GB2312" w:eastAsia="仿宋_GB2312" w:cs="仿宋_GB2312" w:hAnsi="仿宋_GB2312" w:hint="eastAsia"/>
          <w:sz w:val="32"/>
          <w:szCs w:val="32"/>
        </w:rPr>
        <w:t>0.45</w:t>
      </w:r>
      <w:r>
        <w:rPr>
          <w:rFonts w:ascii="Times New Roman" w:eastAsia="仿宋_GB2312" w:cs="仿宋_GB2312" w:hAnsi="Times New Roman" w:hint="eastAsia"/>
          <w:color w:val="auto"/>
          <w:kern w:val="2"/>
          <w:sz w:val="32"/>
          <w:szCs w:val="32"/>
          <w:lang w:val="en-US" w:eastAsia="zh-CN" w:bidi="ar-SA"/>
          <w:highlight w:val="none"/>
        </w:rPr>
        <w:t>万元。</w:t>
      </w:r>
    </w:p>
    <w:p>
      <w:pPr>
        <w:spacing w:line="600" w:lineRule="exact"/>
        <w:ind w:firstLineChars="200" w:firstLine="640"/>
        <w:outlineLvl w:val="2"/>
        <w:rPr>
          <w:rFonts w:ascii="Times New Roman" w:eastAsia="楷体_GB2312" w:cs="楷体_GB2312" w:hAnsi="Times New Roman" w:hint="eastAsia"/>
          <w:b/>
          <w:color w:val="auto"/>
          <w:sz w:val="32"/>
          <w:szCs w:val="32"/>
          <w:highlight w:val="none"/>
        </w:rPr>
      </w:pPr>
      <w:bookmarkStart w:id="50" w:name="_Toc15377224"/>
      <w:r>
        <w:rPr>
          <w:rFonts w:ascii="Times New Roman" w:eastAsia="楷体_GB2312" w:cs="楷体_GB2312" w:hAnsi="Times New Roman" w:hint="eastAsia"/>
          <w:b/>
          <w:color w:val="auto"/>
          <w:sz w:val="32"/>
          <w:szCs w:val="32"/>
          <w:highlight w:val="none"/>
        </w:rPr>
        <w:t>（三）国有资产占有使用情况</w:t>
      </w:r>
      <w:bookmarkEnd w:id="50"/>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截至202</w:t>
      </w:r>
      <w:r>
        <w:rPr>
          <w:rFonts w:eastAsia="仿宋_GB2312" w:cs="仿宋_GB2312" w:hint="eastAsia"/>
          <w:color w:val="auto"/>
          <w:kern w:val="2"/>
          <w:sz w:val="32"/>
          <w:szCs w:val="32"/>
          <w:lang w:val="en-US" w:eastAsia="zh-CN" w:bidi="ar-SA"/>
          <w:highlight w:val="none"/>
        </w:rPr>
        <w:t>5</w:t>
      </w:r>
      <w:r>
        <w:rPr>
          <w:rFonts w:ascii="Times New Roman" w:eastAsia="仿宋_GB2312" w:cs="仿宋_GB2312" w:hAnsi="Times New Roman" w:hint="eastAsia"/>
          <w:color w:val="auto"/>
          <w:kern w:val="2"/>
          <w:sz w:val="32"/>
          <w:szCs w:val="32"/>
          <w:lang w:val="en-US" w:eastAsia="zh-CN" w:bidi="ar-SA"/>
          <w:highlight w:val="none"/>
        </w:rPr>
        <w:t>年12月31日，</w:t>
      </w:r>
      <w:r>
        <w:rPr>
          <w:rFonts w:ascii="仿宋_GB2312" w:eastAsia="仿宋_GB2312" w:cs="仿宋_GB2312" w:hAnsi="仿宋_GB2312" w:hint="eastAsia"/>
          <w:sz w:val="32"/>
          <w:szCs w:val="32"/>
        </w:rPr>
        <w:t>红原县统计局</w:t>
      </w:r>
      <w:r>
        <w:rPr>
          <w:rFonts w:ascii="Times New Roman" w:eastAsia="仿宋_GB2312" w:cs="仿宋_GB2312" w:hAnsi="Times New Roman" w:hint="eastAsia"/>
          <w:color w:val="auto"/>
          <w:kern w:val="2"/>
          <w:sz w:val="32"/>
          <w:szCs w:val="32"/>
          <w:lang w:val="en-US" w:eastAsia="zh-CN" w:bidi="ar-SA"/>
          <w:highlight w:val="none"/>
        </w:rPr>
        <w:t>共有车辆</w:t>
      </w:r>
      <w:r>
        <w:rPr>
          <w:rFonts w:ascii="仿宋_GB2312" w:eastAsia="仿宋_GB2312" w:cs="仿宋_GB2312" w:hAnsi="仿宋_GB2312" w:hint="eastAsia"/>
          <w:sz w:val="32"/>
          <w:szCs w:val="32"/>
        </w:rPr>
        <w:t>1</w:t>
      </w:r>
      <w:r>
        <w:rPr>
          <w:rFonts w:ascii="Times New Roman" w:eastAsia="仿宋_GB2312" w:cs="仿宋_GB2312" w:hAnsi="Times New Roman" w:hint="eastAsia"/>
          <w:color w:val="auto"/>
          <w:kern w:val="2"/>
          <w:sz w:val="32"/>
          <w:szCs w:val="32"/>
          <w:lang w:val="en-US" w:eastAsia="zh-CN" w:bidi="ar-SA"/>
          <w:highlight w:val="none"/>
        </w:rPr>
        <w:t>辆，其中：应急保障用车</w:t>
      </w:r>
      <w:r>
        <w:rPr>
          <w:rFonts w:ascii="仿宋_GB2312" w:eastAsia="仿宋_GB2312" w:cs="仿宋_GB2312" w:hAnsi="仿宋_GB2312" w:hint="eastAsia"/>
          <w:sz w:val="32"/>
          <w:szCs w:val="32"/>
        </w:rPr>
        <w:t>1</w:t>
      </w:r>
      <w:r>
        <w:rPr>
          <w:rFonts w:ascii="Times New Roman" w:eastAsia="仿宋_GB2312" w:cs="仿宋_GB2312" w:hAnsi="Times New Roman" w:hint="eastAsia"/>
          <w:color w:val="auto"/>
          <w:kern w:val="2"/>
          <w:sz w:val="32"/>
          <w:szCs w:val="32"/>
          <w:lang w:val="en-US" w:eastAsia="zh-CN" w:bidi="ar-SA"/>
          <w:highlight w:val="none"/>
        </w:rPr>
        <w:t>辆</w:t>
      </w:r>
      <w:r>
        <w:rPr>
          <w:rFonts w:eastAsia="仿宋_GB2312" w:cs="仿宋_GB2312" w:hint="eastAsia"/>
          <w:color w:val="auto"/>
          <w:kern w:val="2"/>
          <w:sz w:val="32"/>
          <w:szCs w:val="32"/>
          <w:lang w:val="en-US" w:eastAsia="zh-CN" w:bidi="ar-SA"/>
          <w:highlight w:val="none"/>
        </w:rPr>
        <w:t>。</w:t>
      </w:r>
    </w:p>
    <w:p>
      <w:pPr>
        <w:spacing w:line="600" w:lineRule="exact"/>
        <w:ind w:firstLineChars="200" w:firstLine="640"/>
        <w:outlineLvl w:val="2"/>
        <w:rPr>
          <w:rFonts w:ascii="Times New Roman" w:eastAsia="楷体_GB2312" w:cs="楷体_GB2312" w:hAnsi="Times New Roman" w:hint="eastAsia"/>
          <w:b/>
          <w:color w:val="auto"/>
          <w:sz w:val="32"/>
          <w:szCs w:val="32"/>
          <w:highlight w:val="none"/>
        </w:rPr>
      </w:pPr>
      <w:r>
        <w:rPr>
          <w:rFonts w:ascii="Times New Roman" w:eastAsia="楷体_GB2312" w:cs="楷体_GB2312" w:hAnsi="Times New Roman" w:hint="eastAsia"/>
          <w:b/>
          <w:color w:val="auto"/>
          <w:sz w:val="32"/>
          <w:szCs w:val="32"/>
          <w:highlight w:val="none"/>
        </w:rPr>
        <w:t>（四）预算绩效管理情况</w:t>
      </w:r>
    </w:p>
    <w:p>
      <w:pPr>
        <w:spacing w:line="600" w:lineRule="exact"/>
        <w:ind w:firstLine="640"/>
        <w:rPr>
          <w:rFonts w:eastAsia="仿宋_GB2312" w:cs="仿宋_GB2312"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根据预算绩效管理要求，</w:t>
      </w:r>
      <w:r>
        <w:rPr>
          <w:rFonts w:eastAsia="仿宋_GB2312" w:cs="仿宋_GB2312" w:hint="eastAsia"/>
          <w:color w:val="auto"/>
          <w:kern w:val="2"/>
          <w:sz w:val="32"/>
          <w:szCs w:val="32"/>
          <w:lang w:val="en-US" w:eastAsia="zh-CN" w:bidi="ar-SA"/>
          <w:highlight w:val="none"/>
        </w:rPr>
        <w:t>我单位领导高度重视绩效评价工作，成立了绩效评价工作领导小组，采取座谈等方式听取相关情况，检查基本支出、专项经费支出有关账目，收集整理相关资料，进行分析形成评价结论。</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部门预算严格按照上级部门预算编制通知和有关要求，结合单位具体工作及县级相关规定进行编制，按时完成基础、项目报送工作，单位预算按时在红原县门户网站进行公开。</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认真开展部门绩效评价工作，绩效评价规章制度逐渐健全，严格按照相关法律法规进行会计核算，严格资金管理，专款专用，资金拨付严格按照相关程序报批后支付。认真开展部门整体绩效评价工作，绩效评价工作正逐步完善。</w:t>
      </w:r>
    </w:p>
    <w:p>
      <w:pPr>
        <w:spacing w:line="600" w:lineRule="exact"/>
        <w:ind w:firstLine="640"/>
        <w:rPr>
          <w:rFonts w:ascii="Times New Roman" w:eastAsia="仿宋_GB2312" w:cs="仿宋_GB2312" w:hAnsi="Times New Roman"/>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本部门按要求对2025年部门整体支出绩效评价情况开展自评，《红原县统计局2025年部门整体支出绩效评价报告》详见附件1</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p>
    <w:p>
      <w:pPr>
        <w:spacing w:line="600" w:lineRule="exact"/>
        <w:jc w:val="center"/>
        <w:outlineLvl w:val="0"/>
        <w:rPr>
          <w:rFonts w:ascii="Times New Roman" w:eastAsia="黑体" w:hAnsi="Times New Roman" w:hint="eastAsia"/>
          <w:color w:val="auto"/>
          <w:sz w:val="44"/>
          <w:szCs w:val="44"/>
          <w:highlight w:val="none"/>
        </w:rPr>
      </w:pPr>
      <w:bookmarkStart w:id="51" w:name="_Toc15377225"/>
      <w:bookmarkStart w:id="52" w:name="_Toc15396613"/>
      <w:r>
        <w:rPr>
          <w:rFonts w:ascii="Times New Roman" w:eastAsia="黑体" w:hAnsi="Times New Roman" w:hint="eastAsia"/>
          <w:color w:val="auto"/>
          <w:sz w:val="44"/>
          <w:szCs w:val="44"/>
          <w:highlight w:val="none"/>
        </w:rPr>
        <w:t>第</w:t>
      </w:r>
      <w:r>
        <w:rPr>
          <w:rFonts w:eastAsia="黑体" w:hint="eastAsia"/>
          <w:color w:val="auto"/>
          <w:sz w:val="44"/>
          <w:szCs w:val="44"/>
          <w:lang w:eastAsia="zh-CN"/>
          <w:highlight w:val="none"/>
        </w:rPr>
        <w:t>三</w:t>
      </w:r>
      <w:r>
        <w:rPr>
          <w:rFonts w:ascii="Times New Roman" w:eastAsia="黑体" w:hAnsi="Times New Roman" w:hint="eastAsia"/>
          <w:color w:val="auto"/>
          <w:sz w:val="44"/>
          <w:szCs w:val="44"/>
          <w:highlight w:val="none"/>
        </w:rPr>
        <w:t>部分</w:t>
      </w:r>
      <w:r>
        <w:rPr>
          <w:rFonts w:ascii="Times New Roman" w:eastAsia="黑体" w:hAnsi="Times New Roman" w:hint="eastAsia"/>
          <w:color w:val="auto"/>
          <w:sz w:val="44"/>
          <w:szCs w:val="44"/>
          <w:lang w:val="en-US" w:eastAsia="zh-CN"/>
          <w:highlight w:val="none"/>
        </w:rPr>
        <w:t xml:space="preserve"> </w:t>
      </w:r>
      <w:r>
        <w:rPr>
          <w:rFonts w:eastAsia="黑体" w:hint="eastAsia"/>
          <w:color w:val="auto"/>
          <w:sz w:val="44"/>
          <w:szCs w:val="44"/>
          <w:lang w:val="en-US" w:eastAsia="zh-CN"/>
          <w:highlight w:val="none"/>
        </w:rPr>
        <w:t xml:space="preserve"> </w:t>
      </w:r>
      <w:r>
        <w:rPr>
          <w:rFonts w:ascii="Times New Roman" w:eastAsia="黑体" w:hAnsi="Times New Roman" w:hint="eastAsia"/>
          <w:color w:val="auto"/>
          <w:sz w:val="44"/>
          <w:szCs w:val="44"/>
          <w:highlight w:val="none"/>
        </w:rPr>
        <w:t>名词解释</w:t>
      </w:r>
      <w:bookmarkEnd w:id="51"/>
      <w:bookmarkEnd w:id="52"/>
    </w:p>
    <w:p>
      <w:pPr>
        <w:spacing w:line="600" w:lineRule="exact"/>
        <w:jc w:val="left"/>
        <w:rPr>
          <w:rFonts w:ascii="Times New Roman" w:hAnsi="Times New Roman"/>
          <w:b/>
          <w:color w:val="auto"/>
          <w:sz w:val="44"/>
          <w:szCs w:val="44"/>
          <w:highlight w:val="none"/>
        </w:rPr>
      </w:pP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1.财政拨款收入：指单位从同级财政部门取得的财政预算资金。</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2.事业收入：指事业单位开展专业业务活动及辅助活动取得的收入。</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3.经营收入：指事业单位在专业业务活动及其辅助活动之外开展非独立核算经营活动取得的收入。</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ascii="Times New Roman" w:eastAsia="仿宋_GB2312" w:cs="仿宋_GB2312" w:hAnsi="Times New Roman" w:hint="eastAsia"/>
          <w:color w:val="auto"/>
          <w:kern w:val="2"/>
          <w:sz w:val="32"/>
          <w:szCs w:val="32"/>
          <w:lang w:val="en-US" w:eastAsia="zh-CN" w:bidi="ar-SA"/>
          <w:highlight w:val="none"/>
        </w:rPr>
        <w:t xml:space="preserve">4.其他收入：指单位取得的除上述收入以外的各项收入。  </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5</w:t>
      </w:r>
      <w:r>
        <w:rPr>
          <w:rFonts w:ascii="Times New Roman" w:eastAsia="仿宋_GB2312" w:cs="仿宋_GB2312" w:hAnsi="Times New Roman" w:hint="eastAsia"/>
          <w:color w:val="auto"/>
          <w:kern w:val="2"/>
          <w:sz w:val="32"/>
          <w:szCs w:val="32"/>
          <w:lang w:val="en-US" w:eastAsia="zh-CN" w:bidi="ar-SA"/>
          <w:highlight w:val="none"/>
        </w:rPr>
        <w:t xml:space="preserve">.年初结转和结余：指以前年度尚未完成、结转到本年按有关规定继续使用的资金。 </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6</w:t>
      </w:r>
      <w:r>
        <w:rPr>
          <w:rFonts w:ascii="Times New Roman" w:eastAsia="仿宋_GB2312" w:cs="仿宋_GB2312" w:hAnsi="Times New Roman" w:hint="eastAsia"/>
          <w:color w:val="auto"/>
          <w:kern w:val="2"/>
          <w:sz w:val="32"/>
          <w:szCs w:val="32"/>
          <w:lang w:val="en-US" w:eastAsia="zh-CN" w:bidi="ar-SA"/>
          <w:highlight w:val="none"/>
        </w:rPr>
        <w:t>.结余分配：指事业单位按照会计制度规定缴纳的所得税、提取的专用结余以及转入非财政拨款结余的金额等。</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7</w:t>
      </w:r>
      <w:r>
        <w:rPr>
          <w:rFonts w:ascii="Times New Roman" w:eastAsia="仿宋_GB2312" w:cs="仿宋_GB2312" w:hAnsi="Times New Roman" w:hint="eastAsia"/>
          <w:color w:val="auto"/>
          <w:kern w:val="2"/>
          <w:sz w:val="32"/>
          <w:szCs w:val="32"/>
          <w:lang w:val="en-US" w:eastAsia="zh-CN" w:bidi="ar-SA"/>
          <w:highlight w:val="none"/>
        </w:rPr>
        <w:t>.年末结转和结余：指单位按有关规定结转到下年或以后年度继续使用的资金。</w:t>
      </w:r>
    </w:p>
    <w:p>
      <w:pPr>
        <w:spacing w:line="600" w:lineRule="exact"/>
        <w:ind w:firstLine="640"/>
        <w:rPr>
          <w:rFonts w:ascii="Times New Roman" w:eastAsia="仿宋_GB2312" w:cs="仿宋_GB2312" w:hAnsi="Times New Roman"/>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8</w:t>
      </w:r>
      <w:r>
        <w:rPr>
          <w:rFonts w:ascii="Times New Roman" w:eastAsia="仿宋_GB2312" w:cs="仿宋_GB2312" w:hAnsi="Times New Roman" w:hint="eastAsia"/>
          <w:color w:val="auto"/>
          <w:kern w:val="2"/>
          <w:sz w:val="32"/>
          <w:szCs w:val="32"/>
          <w:lang w:val="en-US" w:eastAsia="zh-CN" w:bidi="ar-SA"/>
          <w:highlight w:val="none"/>
        </w:rPr>
        <w:t>.一般公共服务支出（科目201类）：反映政府提供一般公共服务的支出，主要用于保障党委、人大、政府、政协、纪检监察、发改、财政、统计、审计、商贸、档案、群众团体等党政机关及相关机构正常运转、开展行政管理工作的基本支出和专项业务支出，不含教育、社保、卫生、农林水等专项事业支出 。</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9</w:t>
      </w:r>
      <w:r>
        <w:rPr>
          <w:rFonts w:ascii="Times New Roman" w:eastAsia="仿宋_GB2312" w:cs="仿宋_GB2312" w:hAnsi="Times New Roman" w:hint="eastAsia"/>
          <w:color w:val="auto"/>
          <w:kern w:val="2"/>
          <w:sz w:val="32"/>
          <w:szCs w:val="32"/>
          <w:lang w:val="en-US" w:eastAsia="zh-CN" w:bidi="ar-SA"/>
          <w:highlight w:val="none"/>
        </w:rPr>
        <w:t>.社会保障和就业</w:t>
      </w:r>
      <w:r>
        <w:rPr>
          <w:rFonts w:eastAsia="仿宋_GB2312" w:cs="仿宋_GB2312" w:hint="eastAsia"/>
          <w:color w:val="auto"/>
          <w:kern w:val="2"/>
          <w:sz w:val="32"/>
          <w:szCs w:val="32"/>
          <w:lang w:val="en-US" w:eastAsia="zh-CN" w:bidi="ar-SA"/>
          <w:highlight w:val="none"/>
        </w:rPr>
        <w:t>支出（科目208类）</w:t>
      </w:r>
      <w:r>
        <w:rPr>
          <w:rFonts w:ascii="Times New Roman" w:eastAsia="仿宋_GB2312" w:cs="仿宋_GB2312" w:hAnsi="Times New Roman" w:hint="eastAsia"/>
          <w:color w:val="auto"/>
          <w:kern w:val="2"/>
          <w:sz w:val="32"/>
          <w:szCs w:val="32"/>
          <w:lang w:val="en-US" w:eastAsia="zh-CN" w:bidi="ar-SA"/>
          <w:highlight w:val="none"/>
        </w:rPr>
        <w:t>：指反映政府在社会保障、就业扶持、民政救助、优抚安置等方面的支出。主要包括行政事业单位养老保险、职业年金缴费、离退休经费、就业补助、抚恤优待、退役安置、社会救助、残疾人事业、社会福利、社保经办及民政管理事务等支出。不含医疗保险（归入卫生健康支出）、住房公积金（归入住房保障支出） 。</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10</w:t>
      </w:r>
      <w:r>
        <w:rPr>
          <w:rFonts w:ascii="Times New Roman" w:eastAsia="仿宋_GB2312" w:cs="仿宋_GB2312" w:hAnsi="Times New Roman" w:hint="eastAsia"/>
          <w:color w:val="auto"/>
          <w:kern w:val="2"/>
          <w:sz w:val="32"/>
          <w:szCs w:val="32"/>
          <w:lang w:val="en-US" w:eastAsia="zh-CN" w:bidi="ar-SA"/>
          <w:highlight w:val="none"/>
        </w:rPr>
        <w:t>.卫生健康</w:t>
      </w:r>
      <w:r>
        <w:rPr>
          <w:rFonts w:eastAsia="仿宋_GB2312" w:cs="仿宋_GB2312" w:hint="eastAsia"/>
          <w:color w:val="auto"/>
          <w:kern w:val="2"/>
          <w:sz w:val="32"/>
          <w:szCs w:val="32"/>
          <w:lang w:val="en-US" w:eastAsia="zh-CN" w:bidi="ar-SA"/>
          <w:highlight w:val="none"/>
        </w:rPr>
        <w:t>支出</w:t>
      </w:r>
      <w:r>
        <w:rPr>
          <w:rFonts w:ascii="Times New Roman" w:eastAsia="仿宋_GB2312" w:cs="仿宋_GB2312" w:hAnsi="Times New Roman" w:hint="eastAsia"/>
          <w:color w:val="auto"/>
          <w:kern w:val="2"/>
          <w:sz w:val="32"/>
          <w:szCs w:val="32"/>
          <w:lang w:val="en-US" w:eastAsia="zh-CN" w:bidi="ar-SA"/>
          <w:highlight w:val="none"/>
        </w:rPr>
        <w:t>（</w:t>
      </w:r>
      <w:r>
        <w:rPr>
          <w:rFonts w:eastAsia="仿宋_GB2312" w:cs="仿宋_GB2312" w:hint="eastAsia"/>
          <w:color w:val="auto"/>
          <w:kern w:val="2"/>
          <w:sz w:val="32"/>
          <w:szCs w:val="32"/>
          <w:lang w:val="en-US" w:eastAsia="zh-CN" w:bidi="ar-SA"/>
          <w:highlight w:val="none"/>
        </w:rPr>
        <w:t>科目210</w:t>
      </w:r>
      <w:r>
        <w:rPr>
          <w:rFonts w:ascii="Times New Roman" w:eastAsia="仿宋_GB2312" w:cs="仿宋_GB2312" w:hAnsi="Times New Roman" w:hint="eastAsia"/>
          <w:color w:val="auto"/>
          <w:kern w:val="2"/>
          <w:sz w:val="32"/>
          <w:szCs w:val="32"/>
          <w:lang w:val="en-US" w:eastAsia="zh-CN" w:bidi="ar-SA"/>
          <w:highlight w:val="none"/>
        </w:rPr>
        <w:t>类）：指反映政府卫生健康领域的相关支出，包含行政单位医疗、事业单位医疗、公务员医疗补助、公共卫生服务、公立医院、基层医疗卫生、中医药、计划生育事务、卫生健康管理事务等开支。对统计局、商贸这类机关单位，本类支出主要是单位职工基本医疗保险、公务员医疗补助经费 。</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11</w:t>
      </w:r>
      <w:r>
        <w:rPr>
          <w:rFonts w:ascii="Times New Roman" w:eastAsia="仿宋_GB2312" w:cs="仿宋_GB2312" w:hAnsi="Times New Roman" w:hint="eastAsia"/>
          <w:color w:val="auto"/>
          <w:kern w:val="2"/>
          <w:sz w:val="32"/>
          <w:szCs w:val="32"/>
          <w:lang w:val="en-US" w:eastAsia="zh-CN" w:bidi="ar-SA"/>
          <w:highlight w:val="none"/>
        </w:rPr>
        <w:t>.住房保障</w:t>
      </w:r>
      <w:r>
        <w:rPr>
          <w:rFonts w:eastAsia="仿宋_GB2312" w:cs="仿宋_GB2312" w:hint="eastAsia"/>
          <w:color w:val="auto"/>
          <w:kern w:val="2"/>
          <w:sz w:val="32"/>
          <w:szCs w:val="32"/>
          <w:lang w:val="en-US" w:eastAsia="zh-CN" w:bidi="ar-SA"/>
          <w:highlight w:val="none"/>
        </w:rPr>
        <w:t>支出</w:t>
      </w:r>
      <w:r>
        <w:rPr>
          <w:rFonts w:ascii="Times New Roman" w:eastAsia="仿宋_GB2312" w:cs="仿宋_GB2312" w:hAnsi="Times New Roman" w:hint="eastAsia"/>
          <w:color w:val="auto"/>
          <w:kern w:val="2"/>
          <w:sz w:val="32"/>
          <w:szCs w:val="32"/>
          <w:lang w:val="en-US" w:eastAsia="zh-CN" w:bidi="ar-SA"/>
          <w:highlight w:val="none"/>
        </w:rPr>
        <w:t>（</w:t>
      </w:r>
      <w:r>
        <w:rPr>
          <w:rFonts w:eastAsia="仿宋_GB2312" w:cs="仿宋_GB2312" w:hint="eastAsia"/>
          <w:color w:val="auto"/>
          <w:kern w:val="2"/>
          <w:sz w:val="32"/>
          <w:szCs w:val="32"/>
          <w:lang w:val="en-US" w:eastAsia="zh-CN" w:bidi="ar-SA"/>
          <w:highlight w:val="none"/>
        </w:rPr>
        <w:t>科目221</w:t>
      </w:r>
      <w:r>
        <w:rPr>
          <w:rFonts w:ascii="Times New Roman" w:eastAsia="仿宋_GB2312" w:cs="仿宋_GB2312" w:hAnsi="Times New Roman" w:hint="eastAsia"/>
          <w:color w:val="auto"/>
          <w:kern w:val="2"/>
          <w:sz w:val="32"/>
          <w:szCs w:val="32"/>
          <w:lang w:val="en-US" w:eastAsia="zh-CN" w:bidi="ar-SA"/>
          <w:highlight w:val="none"/>
        </w:rPr>
        <w:t>类）：指反映政府用于住房保障方面的支出。机关单位主要是职工住房公积金、提租补贴、购房补贴等。</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12</w:t>
      </w:r>
      <w:r>
        <w:rPr>
          <w:rFonts w:ascii="Times New Roman" w:eastAsia="仿宋_GB2312" w:cs="仿宋_GB2312" w:hAnsi="Times New Roman" w:hint="eastAsia"/>
          <w:color w:val="auto"/>
          <w:kern w:val="2"/>
          <w:sz w:val="32"/>
          <w:szCs w:val="32"/>
          <w:lang w:val="en-US" w:eastAsia="zh-CN" w:bidi="ar-SA"/>
          <w:highlight w:val="none"/>
        </w:rPr>
        <w:t>.基本支出：指为保障机构正常运转、完成日常工作任务而发生的人员支出和公用支出。</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13</w:t>
      </w:r>
      <w:r>
        <w:rPr>
          <w:rFonts w:ascii="Times New Roman" w:eastAsia="仿宋_GB2312" w:cs="仿宋_GB2312" w:hAnsi="Times New Roman" w:hint="eastAsia"/>
          <w:color w:val="auto"/>
          <w:kern w:val="2"/>
          <w:sz w:val="32"/>
          <w:szCs w:val="32"/>
          <w:lang w:val="en-US" w:eastAsia="zh-CN" w:bidi="ar-SA"/>
          <w:highlight w:val="none"/>
        </w:rPr>
        <w:t xml:space="preserve">.项目支出：指在基本支出之外为完成特定行政任务和事业发展目标所发生的支出。 </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14</w:t>
      </w:r>
      <w:r>
        <w:rPr>
          <w:rFonts w:ascii="Times New Roman" w:eastAsia="仿宋_GB2312" w:cs="仿宋_GB2312" w:hAnsi="Times New Roman" w:hint="eastAsia"/>
          <w:color w:val="auto"/>
          <w:kern w:val="2"/>
          <w:sz w:val="32"/>
          <w:szCs w:val="32"/>
          <w:lang w:val="en-US" w:eastAsia="zh-CN" w:bidi="ar-SA"/>
          <w:highlight w:val="none"/>
        </w:rPr>
        <w:t>.</w:t>
      </w:r>
      <w:r>
        <w:rPr>
          <w:rFonts w:eastAsia="仿宋_GB2312" w:cs="仿宋_GB2312" w:hint="eastAsia"/>
          <w:color w:val="auto"/>
          <w:kern w:val="2"/>
          <w:sz w:val="32"/>
          <w:szCs w:val="32"/>
          <w:lang w:val="en-US" w:eastAsia="zh-CN" w:bidi="ar-SA"/>
          <w:highlight w:val="none"/>
        </w:rPr>
        <w:t>“</w:t>
      </w:r>
      <w:r>
        <w:rPr>
          <w:rFonts w:ascii="Times New Roman" w:eastAsia="仿宋_GB2312" w:cs="仿宋_GB2312" w:hAnsi="Times New Roman" w:hint="eastAsia"/>
          <w:color w:val="auto"/>
          <w:kern w:val="2"/>
          <w:sz w:val="32"/>
          <w:szCs w:val="32"/>
          <w:lang w:val="en-US" w:eastAsia="zh-CN" w:bidi="ar-SA"/>
          <w:highlight w:val="none"/>
        </w:rPr>
        <w:t>三公</w:t>
      </w:r>
      <w:r>
        <w:rPr>
          <w:rFonts w:eastAsia="仿宋_GB2312" w:cs="仿宋_GB2312" w:hint="eastAsia"/>
          <w:color w:val="auto"/>
          <w:kern w:val="2"/>
          <w:sz w:val="32"/>
          <w:szCs w:val="32"/>
          <w:lang w:val="en-US" w:eastAsia="zh-CN" w:bidi="ar-SA"/>
          <w:highlight w:val="none"/>
        </w:rPr>
        <w:t>”</w:t>
      </w:r>
      <w:r>
        <w:rPr>
          <w:rFonts w:ascii="Times New Roman" w:eastAsia="仿宋_GB2312" w:cs="仿宋_GB2312" w:hAnsi="Times New Roman" w:hint="eastAsia"/>
          <w:color w:val="auto"/>
          <w:kern w:val="2"/>
          <w:sz w:val="32"/>
          <w:szCs w:val="32"/>
          <w:lang w:val="en-US" w:eastAsia="zh-CN" w:bidi="ar-SA"/>
          <w:highlight w:val="none"/>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spacing w:line="600" w:lineRule="exact"/>
        <w:ind w:firstLine="640"/>
        <w:rPr>
          <w:rFonts w:ascii="Times New Roman" w:eastAsia="仿宋_GB2312" w:cs="仿宋_GB2312" w:hAnsi="Times New Roman"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15</w:t>
      </w:r>
      <w:r>
        <w:rPr>
          <w:rFonts w:ascii="Times New Roman" w:eastAsia="仿宋_GB2312" w:cs="仿宋_GB2312" w:hAnsi="Times New Roman" w:hint="eastAsia"/>
          <w:color w:val="auto"/>
          <w:kern w:val="2"/>
          <w:sz w:val="32"/>
          <w:szCs w:val="32"/>
          <w:lang w:val="en-US" w:eastAsia="zh-CN" w:bidi="ar-SA"/>
          <w:highlight w:val="none"/>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jc w:val="center"/>
        <w:rPr>
          <w:rStyle w:val="1Char"/>
          <w:rFonts w:ascii="Times New Roman" w:eastAsia="黑体" w:hAnsi="Times New Roman" w:hint="eastAsia"/>
          <w:b w:val="0"/>
          <w:color w:val="auto"/>
          <w:lang w:eastAsia="zh-CN"/>
          <w:highlight w:val="none"/>
        </w:rPr>
      </w:pPr>
      <w:bookmarkStart w:id="53" w:name="_Toc15377226"/>
      <w:r>
        <w:rPr>
          <w:rFonts w:ascii="Times New Roman" w:eastAsia="仿宋_GB2312" w:cs="仿宋_GB2312" w:hAnsi="Times New Roman" w:hint="eastAsia"/>
          <w:color w:val="auto"/>
          <w:kern w:val="2"/>
          <w:sz w:val="32"/>
          <w:szCs w:val="32"/>
          <w:lang w:val="en-US" w:eastAsia="zh-CN" w:bidi="ar-SA"/>
          <w:highlight w:val="none"/>
        </w:rPr>
        <w:br w:type="page"/>
      </w:r>
      <w:bookmarkStart w:id="54" w:name="_Toc15396614"/>
      <w:r>
        <w:rPr>
          <w:rFonts w:ascii="Times New Roman" w:eastAsia="黑体" w:hAnsi="Times New Roman" w:hint="eastAsia"/>
          <w:color w:val="auto"/>
          <w:sz w:val="44"/>
          <w:szCs w:val="44"/>
          <w:highlight w:val="none"/>
        </w:rPr>
        <w:t>第四部分</w:t>
      </w:r>
      <w:r>
        <w:rPr>
          <w:rFonts w:ascii="Times New Roman" w:eastAsia="黑体" w:hAnsi="Times New Roman" w:hint="eastAsia"/>
          <w:color w:val="auto"/>
          <w:sz w:val="44"/>
          <w:szCs w:val="44"/>
          <w:lang w:val="en-US" w:eastAsia="zh-CN"/>
          <w:highlight w:val="none"/>
        </w:rPr>
        <w:t xml:space="preserve"> </w:t>
      </w:r>
      <w:r>
        <w:rPr>
          <w:rFonts w:ascii="Times New Roman" w:eastAsia="黑体" w:hAnsi="Times New Roman" w:hint="eastAsia"/>
          <w:color w:val="auto"/>
          <w:sz w:val="44"/>
          <w:szCs w:val="44"/>
          <w:highlight w:val="none"/>
        </w:rPr>
        <w:t xml:space="preserve"> 附件</w:t>
      </w:r>
      <w:bookmarkEnd w:id="54"/>
    </w:p>
    <w:p>
      <w:pPr>
        <w:keepNext w:val="0"/>
        <w:keepLines w:val="0"/>
        <w:pageBreakBefore w:val="0"/>
        <w:kinsoku/>
        <w:wordWrap/>
        <w:overflowPunct/>
        <w:topLinePunct w:val="0"/>
        <w:autoSpaceDE/>
        <w:autoSpaceDN/>
        <w:bidi w:val="0"/>
        <w:spacing w:line="572" w:lineRule="exact"/>
        <w:jc w:val="left"/>
        <w:textAlignment w:val="auto"/>
        <w:outlineLvl w:val="0"/>
        <w:rPr>
          <w:rFonts w:ascii="Times New Roman" w:eastAsia="黑体" w:cs="黑体" w:hAnsi="Times New Roman" w:hint="eastAsia"/>
          <w:color w:val="FF0000"/>
          <w:sz w:val="32"/>
          <w:szCs w:val="32"/>
          <w:highlight w:val="none"/>
        </w:rPr>
      </w:pPr>
    </w:p>
    <w:p>
      <w:pPr>
        <w:keepNext w:val="0"/>
        <w:keepLines w:val="0"/>
        <w:pageBreakBefore w:val="0"/>
        <w:kinsoku/>
        <w:wordWrap/>
        <w:overflowPunct/>
        <w:topLinePunct w:val="0"/>
        <w:autoSpaceDE/>
        <w:autoSpaceDN/>
        <w:bidi w:val="0"/>
        <w:spacing w:line="572" w:lineRule="exact"/>
        <w:jc w:val="left"/>
        <w:textAlignment w:val="auto"/>
        <w:outlineLvl w:val="0"/>
        <w:rPr>
          <w:rFonts w:ascii="Times New Roman" w:eastAsia="黑体" w:cs="方正小标宋简体" w:hAnsi="Times New Roman" w:hint="eastAsia"/>
          <w:color w:val="auto"/>
          <w:sz w:val="44"/>
          <w:szCs w:val="44"/>
          <w:lang w:val="en-US" w:eastAsia="zh-CN"/>
          <w:highlight w:val="none"/>
        </w:rPr>
      </w:pPr>
      <w:r>
        <w:rPr>
          <w:rFonts w:ascii="Times New Roman" w:eastAsia="黑体" w:cs="黑体" w:hAnsi="Times New Roman" w:hint="eastAsia"/>
          <w:color w:val="auto"/>
          <w:sz w:val="32"/>
          <w:szCs w:val="32"/>
          <w:highlight w:val="none"/>
        </w:rPr>
        <w:t>附件</w:t>
      </w:r>
      <w:r>
        <w:rPr>
          <w:rFonts w:ascii="Times New Roman" w:eastAsia="黑体" w:cs="黑体" w:hAnsi="Times New Roman" w:hint="eastAsia"/>
          <w:color w:val="auto"/>
          <w:sz w:val="32"/>
          <w:szCs w:val="32"/>
          <w:lang w:val="en-US" w:eastAsia="zh-CN"/>
          <w:highlight w:val="none"/>
        </w:rPr>
        <w:t>1</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ascii="Times New Roman" w:eastAsia="方正小标宋简体" w:cs="Times New Roman" w:hAnsi="Times New Roman"/>
          <w:b w:val="0"/>
          <w:bCs/>
          <w:sz w:val="44"/>
          <w:szCs w:val="44"/>
          <w:shd w:val="clear" w:color="auto" w:fill="FFFFFF"/>
          <w:highlight w:val="none"/>
        </w:rPr>
      </w:pP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ascii="Times New Roman" w:eastAsia="方正小标宋简体" w:cs="Times New Roman" w:hAnsi="Times New Roman"/>
          <w:b w:val="0"/>
          <w:bCs/>
          <w:sz w:val="44"/>
          <w:szCs w:val="44"/>
          <w:shd w:val="clear" w:color="auto" w:fill="FFFFFF"/>
          <w:highlight w:val="none"/>
        </w:rPr>
      </w:pPr>
      <w:r>
        <w:rPr>
          <w:rFonts w:eastAsia="方正小标宋简体" w:cs="Times New Roman" w:hint="eastAsia"/>
          <w:b w:val="0"/>
          <w:bCs/>
          <w:sz w:val="44"/>
          <w:szCs w:val="44"/>
          <w:shd w:val="clear" w:color="auto" w:fill="FFFFFF"/>
          <w:lang w:val="en-US" w:eastAsia="zh-CN"/>
          <w:highlight w:val="none"/>
        </w:rPr>
        <w:t>红原县统计局2025年</w:t>
      </w:r>
      <w:r>
        <w:rPr>
          <w:rFonts w:ascii="Times New Roman" w:eastAsia="方正小标宋简体" w:cs="Times New Roman" w:hAnsi="Times New Roman"/>
          <w:b w:val="0"/>
          <w:bCs/>
          <w:sz w:val="44"/>
          <w:szCs w:val="44"/>
          <w:shd w:val="clear" w:color="auto" w:fill="FFFFFF"/>
          <w:highlight w:val="none"/>
        </w:rPr>
        <w:t>部门</w:t>
      </w:r>
      <w:r>
        <w:rPr>
          <w:rFonts w:ascii="Times New Roman" w:eastAsia="方正小标宋简体" w:cs="Times New Roman" w:hAnsi="Times New Roman"/>
          <w:b w:val="0"/>
          <w:bCs/>
          <w:sz w:val="44"/>
          <w:szCs w:val="44"/>
          <w:shd w:val="clear" w:color="auto" w:fill="FFFFFF"/>
          <w:lang w:eastAsia="zh-CN"/>
          <w:highlight w:val="none"/>
        </w:rPr>
        <w:t>预算</w:t>
      </w:r>
      <w:r>
        <w:rPr>
          <w:rFonts w:ascii="Times New Roman" w:eastAsia="方正小标宋简体" w:cs="Times New Roman" w:hAnsi="Times New Roman"/>
          <w:b w:val="0"/>
          <w:bCs/>
          <w:sz w:val="44"/>
          <w:szCs w:val="44"/>
          <w:shd w:val="clear" w:color="auto" w:fill="FFFFFF"/>
          <w:highlight w:val="none"/>
        </w:rPr>
        <w:t>绩效</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ascii="Times New Roman" w:eastAsia="方正小标宋简体" w:cs="Times New Roman" w:hAnsi="Times New Roman"/>
          <w:b w:val="0"/>
          <w:bCs/>
          <w:sz w:val="44"/>
          <w:szCs w:val="44"/>
          <w:shd w:val="clear" w:color="auto" w:fill="FFFFFF"/>
          <w:highlight w:val="none"/>
        </w:rPr>
      </w:pPr>
      <w:r>
        <w:rPr>
          <w:rFonts w:ascii="Times New Roman" w:eastAsia="方正小标宋简体" w:cs="Times New Roman" w:hAnsi="Times New Roman" w:hint="eastAsia"/>
          <w:b w:val="0"/>
          <w:bCs/>
          <w:sz w:val="44"/>
          <w:szCs w:val="44"/>
          <w:shd w:val="clear" w:color="auto" w:fill="FFFFFF"/>
          <w:lang w:eastAsia="zh-CN"/>
          <w:highlight w:val="none"/>
        </w:rPr>
        <w:t>评价</w:t>
      </w:r>
      <w:r>
        <w:rPr>
          <w:rFonts w:ascii="Times New Roman" w:eastAsia="方正小标宋简体" w:cs="Times New Roman" w:hAnsi="Times New Roman"/>
          <w:b w:val="0"/>
          <w:bCs/>
          <w:sz w:val="44"/>
          <w:szCs w:val="44"/>
          <w:shd w:val="clear" w:color="auto" w:fill="FFFFFF"/>
          <w:highlight w:val="none"/>
        </w:rPr>
        <w:t>报告</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ascii="Times New Roman" w:eastAsia="仿宋_GB2312" w:cs="Times New Roman" w:hAnsi="Times New Roman"/>
          <w:sz w:val="32"/>
          <w:szCs w:val="32"/>
          <w:shd w:val="clear" w:color="auto" w:fill="FFFFFF"/>
          <w:highlight w:val="none"/>
        </w:rPr>
      </w:pPr>
      <w:r>
        <w:rPr>
          <w:rFonts w:ascii="Times New Roman" w:eastAsia="仿宋_GB2312" w:cs="Times New Roman" w:hAnsi="Times New Roman"/>
          <w:sz w:val="32"/>
          <w:szCs w:val="32"/>
          <w:shd w:val="clear" w:color="auto" w:fill="FFFFFF"/>
          <w:highlight w:val="none"/>
        </w:rPr>
        <w:t>（报告范围包括机关和下属单位）</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480"/>
        <w:contextualSpacing/>
        <w:jc w:val="left"/>
        <w:textAlignment w:val="auto"/>
        <w:outlineLvl w:val="9"/>
        <w:rPr>
          <w:rFonts w:ascii="Times New Roman" w:eastAsia="黑体" w:cs="Times New Roman" w:hAnsi="Times New Roman"/>
          <w:color w:val="000000"/>
          <w:kern w:val="0"/>
          <w:sz w:val="24"/>
          <w:szCs w:val="32"/>
          <w:shd w:val="clear" w:color="auto" w:fill="FFFFFF"/>
          <w:highlight w:val="none"/>
        </w:rPr>
      </w:pP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黑体" w:cs="Times New Roman" w:hAnsi="Times New Roman"/>
          <w:color w:val="000000"/>
          <w:kern w:val="0"/>
          <w:sz w:val="32"/>
          <w:szCs w:val="32"/>
          <w:shd w:val="clear" w:color="auto" w:fill="FFFFFF"/>
          <w:lang w:val="zh-CN"/>
          <w:highlight w:val="none"/>
        </w:rPr>
      </w:pPr>
      <w:r>
        <w:rPr>
          <w:rFonts w:ascii="Times New Roman" w:eastAsia="黑体" w:cs="Times New Roman" w:hAnsi="Times New Roman" w:hint="eastAsia"/>
          <w:color w:val="000000"/>
          <w:kern w:val="0"/>
          <w:sz w:val="32"/>
          <w:szCs w:val="32"/>
          <w:shd w:val="clear" w:color="auto" w:fill="FFFFFF"/>
          <w:lang w:val="zh-CN"/>
          <w:highlight w:val="none"/>
        </w:rPr>
        <w:t>一、</w:t>
      </w:r>
      <w:r>
        <w:rPr>
          <w:rFonts w:ascii="Times New Roman" w:eastAsia="黑体" w:cs="Times New Roman" w:hAnsi="Times New Roman"/>
          <w:color w:val="000000"/>
          <w:kern w:val="0"/>
          <w:sz w:val="32"/>
          <w:szCs w:val="32"/>
          <w:shd w:val="clear" w:color="auto" w:fill="FFFFFF"/>
          <w:lang w:val="zh-CN"/>
          <w:highlight w:val="none"/>
        </w:rPr>
        <w:t>部门（单位）基本情况</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cs="Times New Roman" w:hAnsi="Times New Roman"/>
          <w:szCs w:val="32"/>
        </w:rPr>
      </w:pPr>
      <w:r>
        <w:rPr>
          <w:rFonts w:ascii="Times New Roman" w:eastAsia="楷体_GB2312" w:cs="楷体_GB2312" w:hAnsi="Times New Roman" w:hint="eastAsia"/>
          <w:b/>
          <w:color w:val="auto"/>
          <w:sz w:val="32"/>
          <w:szCs w:val="32"/>
          <w:lang w:val="zh-CN"/>
          <w:highlight w:val="none"/>
        </w:rPr>
        <w:t>（一）</w:t>
      </w:r>
      <w:r>
        <w:rPr>
          <w:rFonts w:ascii="Times New Roman" w:eastAsia="楷体_GB2312" w:cs="楷体_GB2312" w:hAnsi="Times New Roman"/>
          <w:b/>
          <w:color w:val="auto"/>
          <w:sz w:val="32"/>
          <w:szCs w:val="32"/>
          <w:lang w:val="zh-CN"/>
          <w:highlight w:val="none"/>
        </w:rPr>
        <w:t>机构组成。</w:t>
      </w:r>
      <w:r>
        <w:rPr>
          <w:rFonts w:ascii="Times New Roman" w:eastAsia="仿宋_GB2312" w:cs="仿宋_GB2312" w:hAnsi="Times New Roman" w:hint="eastAsia"/>
          <w:color w:val="auto"/>
          <w:kern w:val="2"/>
          <w:sz w:val="32"/>
          <w:szCs w:val="32"/>
          <w:lang w:val="en-US" w:eastAsia="zh-CN" w:bidi="ar-SA"/>
          <w:highlight w:val="none"/>
        </w:rPr>
        <w:t>我单位为独立核算全额拨款行政单位，下设普查中心，3个内设机构：办公室（挂统计执法监督局牌子）、国民经济综合股、工农业股</w:t>
      </w:r>
      <w:r>
        <w:rPr>
          <w:rFonts w:ascii="Times New Roman" w:eastAsia="仿宋_GB2312" w:cs="仿宋_GB2312" w:hAnsi="Times New Roman"/>
          <w:color w:val="auto"/>
          <w:kern w:val="2"/>
          <w:sz w:val="32"/>
          <w:szCs w:val="32"/>
          <w:lang w:val="en-US" w:eastAsia="zh-CN" w:bidi="ar-SA"/>
          <w:highlight w:val="none"/>
        </w:rPr>
        <w:t>。</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楷体_GB2312" w:cs="楷体_GB2312" w:hAnsi="Times New Roman" w:hint="eastAsia"/>
          <w:b/>
          <w:color w:val="auto"/>
          <w:sz w:val="32"/>
          <w:szCs w:val="32"/>
          <w:lang w:val="zh-CN"/>
          <w:highlight w:val="none"/>
        </w:rPr>
      </w:pPr>
      <w:r>
        <w:rPr>
          <w:rFonts w:ascii="Times New Roman" w:eastAsia="楷体_GB2312" w:cs="楷体_GB2312" w:hAnsi="Times New Roman"/>
          <w:b/>
          <w:color w:val="auto"/>
          <w:sz w:val="32"/>
          <w:szCs w:val="32"/>
          <w:lang w:val="zh-CN"/>
          <w:highlight w:val="none"/>
        </w:rPr>
        <w:t>（二）机构职能</w:t>
      </w:r>
      <w:r>
        <w:rPr>
          <w:rFonts w:ascii="Times New Roman" w:eastAsia="楷体_GB2312" w:cs="楷体_GB2312" w:hAnsi="Times New Roman" w:hint="eastAsia"/>
          <w:b/>
          <w:color w:val="auto"/>
          <w:sz w:val="32"/>
          <w:szCs w:val="32"/>
          <w:lang w:val="zh-CN"/>
          <w:highlight w:val="none"/>
        </w:rPr>
        <w:t>。</w:t>
      </w:r>
    </w:p>
    <w:p>
      <w:pPr>
        <w:spacing w:beforeAutospacing="0" w:afterAutospacing="0"/>
        <w:ind w:firstLineChars="200" w:firstLine="640"/>
        <w:rPr>
          <w:rFonts w:ascii="仿宋_GB2312" w:eastAsia="仿宋_GB2312" w:hAnsi="仿宋_GB2312" w:hint="eastAsia"/>
          <w:bCs/>
          <w:color w:val="000000"/>
          <w:sz w:val="32"/>
          <w:szCs w:val="22"/>
        </w:rPr>
      </w:pPr>
      <w:r>
        <w:rPr>
          <w:rFonts w:ascii="仿宋_GB2312" w:eastAsia="仿宋_GB2312" w:hAnsi="仿宋_GB2312"/>
          <w:bCs/>
          <w:color w:val="000000"/>
          <w:sz w:val="32"/>
          <w:szCs w:val="22"/>
        </w:rPr>
        <w:t>1.</w:t>
      </w:r>
      <w:r>
        <w:rPr>
          <w:rFonts w:ascii="仿宋_GB2312" w:eastAsia="仿宋_GB2312" w:hAnsi="仿宋_GB2312" w:hint="eastAsia"/>
          <w:bCs/>
          <w:color w:val="000000"/>
          <w:sz w:val="32"/>
          <w:szCs w:val="22"/>
        </w:rPr>
        <w:t>负责组织实施上级业务主管部门及县委、县政府规定和下达的统计调查任务，统计现代化建设规划；组织领导和综合协调各乡镇、各部门的统计和国民经济核算工作。</w:t>
      </w:r>
    </w:p>
    <w:p>
      <w:pPr>
        <w:spacing w:beforeAutospacing="0" w:afterAutospacing="0"/>
        <w:ind w:firstLineChars="200" w:firstLine="640"/>
        <w:rPr>
          <w:rFonts w:ascii="仿宋_GB2312" w:eastAsia="仿宋_GB2312" w:hAnsi="仿宋_GB2312" w:hint="eastAsia"/>
          <w:bCs/>
          <w:color w:val="000000"/>
          <w:sz w:val="32"/>
          <w:szCs w:val="22"/>
        </w:rPr>
      </w:pPr>
      <w:r>
        <w:rPr>
          <w:rFonts w:ascii="仿宋_GB2312" w:eastAsia="仿宋_GB2312" w:hAnsi="仿宋_GB2312"/>
          <w:bCs/>
          <w:color w:val="000000"/>
          <w:sz w:val="32"/>
          <w:szCs w:val="22"/>
        </w:rPr>
        <w:t>2.</w:t>
      </w:r>
      <w:r>
        <w:rPr>
          <w:rFonts w:ascii="仿宋_GB2312" w:eastAsia="仿宋_GB2312" w:hAnsi="仿宋_GB2312" w:hint="eastAsia"/>
          <w:bCs/>
          <w:color w:val="000000"/>
          <w:sz w:val="32"/>
          <w:szCs w:val="22"/>
        </w:rPr>
        <w:t>在县委、县政府统一领导下，会同有关部门组织实施重大的国情国力普查；负责组织协调各乡镇、各部门的统计调查、社会经济调查、社会监测；组织全县统计报表的管理工作。</w:t>
      </w:r>
    </w:p>
    <w:p>
      <w:pPr>
        <w:pStyle w:val="102"/>
        <w:spacing w:line="320" w:lineRule="atLeast"/>
        <w:ind w:firstLineChars="200" w:firstLine="640"/>
        <w:rPr>
          <w:rFonts w:ascii="仿宋_GB2312" w:eastAsia="仿宋_GB2312" w:hAnsi="仿宋_GB2312" w:hint="eastAsia"/>
          <w:bCs/>
          <w:color w:val="000000"/>
          <w:sz w:val="32"/>
          <w:szCs w:val="22"/>
        </w:rPr>
      </w:pPr>
      <w:r>
        <w:rPr>
          <w:rFonts w:ascii="仿宋_GB2312" w:eastAsia="仿宋_GB2312" w:hAnsi="仿宋_GB2312"/>
          <w:bCs/>
          <w:color w:val="000000"/>
          <w:sz w:val="32"/>
          <w:szCs w:val="22"/>
        </w:rPr>
        <w:t>3.</w:t>
      </w:r>
      <w:r>
        <w:rPr>
          <w:rFonts w:ascii="仿宋_GB2312" w:eastAsia="仿宋_GB2312" w:hAnsi="仿宋_GB2312" w:hint="eastAsia"/>
          <w:bCs/>
          <w:color w:val="000000"/>
          <w:sz w:val="32"/>
          <w:szCs w:val="22"/>
        </w:rPr>
        <w:t>搜集、整理、提供全县性的基本统计资料，并对国民经济、社会发展和科技进步情况进行统计分析、统计预测和统计监督，向县委、县政府及有关部门提供咨询建议；搜集、整理、提供全州各县基本统计资料，并进行对比、分析研究。</w:t>
      </w:r>
    </w:p>
    <w:p>
      <w:pPr>
        <w:pStyle w:val="102"/>
        <w:spacing w:line="320" w:lineRule="atLeast"/>
        <w:ind w:firstLineChars="200" w:firstLine="640"/>
        <w:rPr>
          <w:rFonts w:ascii="仿宋_GB2312" w:eastAsia="仿宋_GB2312" w:hAnsi="仿宋_GB2312" w:hint="eastAsia"/>
          <w:bCs/>
          <w:color w:val="000000"/>
          <w:sz w:val="32"/>
          <w:szCs w:val="22"/>
        </w:rPr>
      </w:pPr>
      <w:r>
        <w:rPr>
          <w:rFonts w:ascii="仿宋_GB2312" w:eastAsia="仿宋_GB2312" w:hAnsi="仿宋_GB2312"/>
          <w:bCs/>
          <w:color w:val="000000"/>
          <w:sz w:val="32"/>
          <w:szCs w:val="22"/>
        </w:rPr>
        <w:t>4.</w:t>
      </w:r>
      <w:r>
        <w:rPr>
          <w:rFonts w:ascii="仿宋_GB2312" w:eastAsia="仿宋_GB2312" w:hAnsi="仿宋_GB2312" w:hint="eastAsia"/>
          <w:bCs/>
          <w:color w:val="000000"/>
          <w:sz w:val="32"/>
          <w:szCs w:val="22"/>
        </w:rPr>
        <w:t>统一核定、管理、公布全县性的基本统计资料，定期发布全县国民经济和社会发展情况统计公报。</w:t>
      </w:r>
    </w:p>
    <w:p>
      <w:pPr>
        <w:pStyle w:val="102"/>
        <w:spacing w:line="320" w:lineRule="atLeast"/>
        <w:ind w:firstLineChars="200" w:firstLine="640"/>
        <w:rPr>
          <w:rFonts w:ascii="仿宋_GB2312" w:eastAsia="仿宋_GB2312" w:hAnsi="仿宋_GB2312" w:hint="eastAsia"/>
          <w:bCs/>
          <w:color w:val="000000"/>
          <w:sz w:val="32"/>
          <w:szCs w:val="22"/>
        </w:rPr>
      </w:pPr>
      <w:r>
        <w:rPr>
          <w:rFonts w:ascii="仿宋_GB2312" w:eastAsia="仿宋_GB2312" w:hAnsi="仿宋_GB2312"/>
          <w:bCs/>
          <w:color w:val="000000"/>
          <w:sz w:val="32"/>
          <w:szCs w:val="22"/>
        </w:rPr>
        <w:t>5.</w:t>
      </w:r>
      <w:r>
        <w:rPr>
          <w:rFonts w:ascii="仿宋_GB2312" w:eastAsia="仿宋_GB2312" w:hAnsi="仿宋_GB2312" w:hint="eastAsia"/>
          <w:bCs/>
          <w:color w:val="000000"/>
          <w:sz w:val="32"/>
          <w:szCs w:val="22"/>
        </w:rPr>
        <w:t>逐步建立、健全和管理全县统计信息自动化系统和全县统计数据数据库体系；组织协调和统一管理各乡镇、各部门的统计数据库网络。</w:t>
      </w:r>
    </w:p>
    <w:p>
      <w:pPr>
        <w:pStyle w:val="102"/>
        <w:spacing w:line="320" w:lineRule="atLeast"/>
        <w:ind w:firstLineChars="200" w:firstLine="640"/>
        <w:rPr>
          <w:rFonts w:ascii="仿宋_GB2312" w:eastAsia="仿宋_GB2312" w:hAnsi="仿宋_GB2312" w:hint="eastAsia"/>
          <w:bCs/>
          <w:color w:val="000000"/>
          <w:sz w:val="32"/>
          <w:szCs w:val="22"/>
        </w:rPr>
      </w:pPr>
      <w:r>
        <w:rPr>
          <w:rFonts w:ascii="仿宋_GB2312" w:eastAsia="仿宋_GB2312" w:hAnsi="仿宋_GB2312"/>
          <w:bCs/>
          <w:color w:val="000000"/>
          <w:sz w:val="32"/>
          <w:szCs w:val="22"/>
        </w:rPr>
        <w:t>6.</w:t>
      </w:r>
      <w:r>
        <w:rPr>
          <w:rFonts w:ascii="仿宋_GB2312" w:eastAsia="仿宋_GB2312" w:hAnsi="仿宋_GB2312" w:hint="eastAsia"/>
          <w:bCs/>
          <w:color w:val="000000"/>
          <w:sz w:val="32"/>
          <w:szCs w:val="22"/>
        </w:rPr>
        <w:t>组织指导统计教育、统计干部培训工作，组织实施全县统计专业职务资格的统一考试和统计人员上岗培训及资格考试的有关工作；切实抓好对统计干部的教育培训工作；指导和管理统计专业技术人员继续教育工作。</w:t>
      </w:r>
    </w:p>
    <w:p>
      <w:pPr>
        <w:pStyle w:val="102"/>
        <w:spacing w:line="320" w:lineRule="atLeast"/>
        <w:ind w:firstLineChars="200" w:firstLine="640"/>
        <w:rPr>
          <w:rFonts w:ascii="仿宋_GB2312" w:eastAsia="仿宋_GB2312" w:hAnsi="仿宋_GB2312" w:hint="eastAsia"/>
          <w:bCs/>
          <w:color w:val="000000"/>
          <w:sz w:val="32"/>
          <w:szCs w:val="22"/>
        </w:rPr>
      </w:pPr>
      <w:r>
        <w:rPr>
          <w:rFonts w:ascii="仿宋_GB2312" w:eastAsia="仿宋_GB2312" w:hAnsi="仿宋_GB2312"/>
          <w:bCs/>
          <w:color w:val="000000"/>
          <w:sz w:val="32"/>
          <w:szCs w:val="22"/>
        </w:rPr>
        <w:t>7.</w:t>
      </w:r>
      <w:r>
        <w:rPr>
          <w:rFonts w:ascii="仿宋_GB2312" w:eastAsia="仿宋_GB2312" w:hAnsi="仿宋_GB2312" w:hint="eastAsia"/>
          <w:bCs/>
          <w:color w:val="000000"/>
          <w:sz w:val="32"/>
          <w:szCs w:val="22"/>
        </w:rPr>
        <w:t>依照《统计法》和《统计法实施细则》及《四川省统计管理条例》的有关规定，监督检查统计法律法规在我县的贯彻实施，组织统计执法检查，查处统计违法案件。</w:t>
      </w:r>
    </w:p>
    <w:p>
      <w:pPr>
        <w:pStyle w:val="102"/>
        <w:spacing w:before="0" w:beforeAutospacing="0" w:after="0" w:afterAutospacing="0" w:line="320" w:lineRule="atLeast"/>
        <w:ind w:left="0" w:firstLineChars="200" w:firstLine="640"/>
        <w:rPr>
          <w:rFonts w:ascii="仿宋_GB2312" w:eastAsia="仿宋_GB2312" w:hAnsi="仿宋_GB2312" w:hint="eastAsia"/>
          <w:bCs/>
          <w:color w:val="000000"/>
          <w:sz w:val="32"/>
          <w:szCs w:val="22"/>
        </w:rPr>
      </w:pPr>
      <w:r>
        <w:rPr>
          <w:rFonts w:ascii="仿宋_GB2312" w:eastAsia="仿宋_GB2312" w:hAnsi="仿宋_GB2312"/>
          <w:bCs/>
          <w:color w:val="000000"/>
          <w:sz w:val="32"/>
          <w:szCs w:val="22"/>
        </w:rPr>
        <w:t>8.</w:t>
      </w:r>
      <w:r>
        <w:rPr>
          <w:rFonts w:ascii="仿宋_GB2312" w:eastAsia="仿宋_GB2312" w:hAnsi="仿宋_GB2312" w:hint="eastAsia"/>
          <w:bCs/>
          <w:color w:val="000000"/>
          <w:sz w:val="32"/>
          <w:szCs w:val="22"/>
        </w:rPr>
        <w:t>承担国家统计局阿坝调查队交办的各项统计调查</w:t>
      </w:r>
      <w:r>
        <w:rPr>
          <w:rFonts w:ascii="仿宋_GB2312" w:eastAsia="仿宋_GB2312" w:hAnsi="仿宋_GB2312"/>
          <w:bCs/>
          <w:color w:val="000000"/>
          <w:sz w:val="32"/>
          <w:szCs w:val="22"/>
        </w:rPr>
        <w:t>ren</w:t>
      </w:r>
      <w:r>
        <w:rPr>
          <w:rFonts w:ascii="仿宋_GB2312" w:eastAsia="仿宋_GB2312" w:hAnsi="仿宋_GB2312" w:hint="eastAsia"/>
          <w:bCs/>
          <w:color w:val="000000"/>
          <w:sz w:val="32"/>
          <w:szCs w:val="22"/>
        </w:rPr>
        <w:t>务。</w:t>
      </w:r>
    </w:p>
    <w:p>
      <w:pPr>
        <w:pStyle w:val="102"/>
        <w:spacing w:line="320" w:lineRule="atLeast"/>
        <w:ind w:left="640"/>
        <w:rPr>
          <w:rFonts w:ascii="仿宋_GB2312" w:eastAsia="仿宋_GB2312" w:hAnsi="仿宋_GB2312" w:hint="eastAsia"/>
          <w:bCs/>
          <w:color w:val="000000"/>
          <w:sz w:val="32"/>
          <w:szCs w:val="22"/>
        </w:rPr>
      </w:pPr>
      <w:r>
        <w:rPr>
          <w:rFonts w:ascii="仿宋_GB2312" w:eastAsia="仿宋_GB2312" w:hAnsi="仿宋_GB2312"/>
          <w:bCs/>
          <w:color w:val="000000"/>
          <w:sz w:val="32"/>
          <w:szCs w:val="22"/>
        </w:rPr>
        <w:t>9.</w:t>
      </w:r>
      <w:r>
        <w:rPr>
          <w:rFonts w:ascii="仿宋_GB2312" w:eastAsia="仿宋_GB2312" w:hAnsi="仿宋_GB2312" w:hint="eastAsia"/>
          <w:bCs/>
          <w:color w:val="000000"/>
          <w:sz w:val="32"/>
          <w:szCs w:val="22"/>
        </w:rPr>
        <w:t>加强本机关的党建、廉政建设及精神文明建设等工作。</w:t>
      </w:r>
    </w:p>
    <w:p>
      <w:pPr>
        <w:pStyle w:val="102"/>
        <w:spacing w:line="320" w:lineRule="atLeast"/>
        <w:ind w:firstLineChars="200" w:firstLine="640"/>
        <w:rPr>
          <w:rFonts w:ascii="仿宋_GB2312" w:eastAsia="仿宋_GB2312" w:hint="eastAsia"/>
          <w:bCs/>
          <w:color w:val="000000"/>
          <w:sz w:val="32"/>
          <w:szCs w:val="32"/>
        </w:rPr>
      </w:pPr>
      <w:r>
        <w:rPr>
          <w:rFonts w:ascii="仿宋_GB2312" w:eastAsia="仿宋_GB2312" w:hAnsi="仿宋_GB2312"/>
          <w:bCs/>
          <w:color w:val="000000"/>
          <w:sz w:val="32"/>
          <w:szCs w:val="22"/>
        </w:rPr>
        <w:t>10.</w:t>
      </w:r>
      <w:r>
        <w:rPr>
          <w:rFonts w:ascii="仿宋_GB2312" w:eastAsia="仿宋_GB2312" w:hAnsi="仿宋_GB2312" w:hint="eastAsia"/>
          <w:bCs/>
          <w:color w:val="000000"/>
          <w:sz w:val="32"/>
          <w:szCs w:val="22"/>
        </w:rPr>
        <w:t>承办县委、县政府和上级业务主管部门交办的其他事项。</w:t>
      </w:r>
      <w:r>
        <w:rPr>
          <w:rFonts w:ascii="仿宋_GB2312" w:eastAsia="仿宋_GB2312" w:hint="eastAsia"/>
          <w:bCs/>
          <w:color w:val="000000"/>
          <w:sz w:val="32"/>
          <w:szCs w:val="32"/>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Chars="200" w:firstLine="640"/>
        <w:textAlignment w:val="auto"/>
        <w:rPr>
          <w:rFonts w:ascii="Times New Roman" w:eastAsia="楷体_GB2312" w:cs="Times New Roman" w:hAnsi="Times New Roman" w:hint="eastAsia"/>
          <w:b/>
          <w:bCs/>
          <w:color w:val="000000"/>
          <w:kern w:val="0"/>
          <w:sz w:val="32"/>
          <w:szCs w:val="32"/>
          <w:shd w:val="clear" w:color="auto" w:fill="FFFFFF"/>
          <w:lang w:val="zh-CN"/>
          <w:highlight w:val="none"/>
        </w:rPr>
      </w:pPr>
      <w:r>
        <w:rPr>
          <w:rFonts w:ascii="Times New Roman" w:eastAsia="楷体_GB2312" w:cs="Times New Roman" w:hAnsi="Times New Roman"/>
          <w:b/>
          <w:bCs/>
          <w:color w:val="000000"/>
          <w:kern w:val="0"/>
          <w:sz w:val="32"/>
          <w:szCs w:val="32"/>
          <w:shd w:val="clear" w:color="auto" w:fill="FFFFFF"/>
          <w:lang w:val="zh-CN"/>
          <w:highlight w:val="none"/>
        </w:rPr>
        <w:t>（</w:t>
      </w:r>
      <w:r>
        <w:rPr>
          <w:rFonts w:ascii="Times New Roman" w:eastAsia="楷体_GB2312" w:cs="Times New Roman" w:hAnsi="Times New Roman" w:hint="eastAsia"/>
          <w:b/>
          <w:bCs/>
          <w:color w:val="000000"/>
          <w:kern w:val="0"/>
          <w:sz w:val="32"/>
          <w:szCs w:val="32"/>
          <w:shd w:val="clear" w:color="auto" w:fill="FFFFFF"/>
          <w:lang w:val="zh-CN"/>
          <w:highlight w:val="none"/>
        </w:rPr>
        <w:t>三</w:t>
      </w:r>
      <w:r>
        <w:rPr>
          <w:rFonts w:ascii="Times New Roman" w:eastAsia="楷体_GB2312" w:cs="Times New Roman" w:hAnsi="Times New Roman"/>
          <w:b/>
          <w:bCs/>
          <w:color w:val="000000"/>
          <w:kern w:val="0"/>
          <w:sz w:val="32"/>
          <w:szCs w:val="32"/>
          <w:shd w:val="clear" w:color="auto" w:fill="FFFFFF"/>
          <w:lang w:val="zh-CN"/>
          <w:highlight w:val="none"/>
        </w:rPr>
        <w:t>）人员概况</w:t>
      </w:r>
      <w:r>
        <w:rPr>
          <w:rFonts w:ascii="Times New Roman" w:eastAsia="楷体_GB2312" w:cs="Times New Roman" w:hAnsi="Times New Roman" w:hint="eastAsia"/>
          <w:b/>
          <w:bCs/>
          <w:color w:val="000000"/>
          <w:kern w:val="0"/>
          <w:sz w:val="32"/>
          <w:szCs w:val="32"/>
          <w:shd w:val="clear" w:color="auto" w:fill="FFFFFF"/>
          <w:lang w:val="zh-CN"/>
          <w:highlight w:val="none"/>
        </w:rPr>
        <w:t>。</w:t>
      </w:r>
    </w:p>
    <w:p>
      <w:pPr>
        <w:pStyle w:val="18"/>
        <w:adjustRightInd w:val="0"/>
        <w:snapToGrid w:val="0"/>
        <w:spacing w:line="600" w:lineRule="exact"/>
        <w:ind w:firstLineChars="209" w:firstLine="672"/>
        <w:rPr>
          <w:rFonts w:ascii="Times New Roman" w:cs="仿宋_GB2312" w:hAnsi="Times New Roman" w:hint="eastAsia"/>
          <w:color w:val="auto"/>
          <w:sz w:val="32"/>
          <w:szCs w:val="32"/>
          <w:lang w:val="en-US" w:eastAsia="zh-CN"/>
          <w:highlight w:val="none"/>
        </w:rPr>
      </w:pPr>
      <w:r>
        <w:rPr>
          <w:rFonts w:ascii="Times New Roman" w:eastAsia="仿宋_GB2312" w:cs="Times New Roman" w:hAnsi="Times New Roman"/>
          <w:sz w:val="32"/>
          <w:szCs w:val="32"/>
          <w:lang w:val="en-US" w:eastAsia="zh-CN"/>
        </w:rPr>
        <w:t>截至202</w:t>
      </w:r>
      <w:r>
        <w:rPr>
          <w:rFonts w:eastAsia="仿宋_GB2312" w:cs="Times New Roman" w:hint="eastAsia"/>
          <w:sz w:val="32"/>
          <w:szCs w:val="32"/>
          <w:lang w:val="en-US" w:eastAsia="zh-CN"/>
        </w:rPr>
        <w:t>5</w:t>
      </w:r>
      <w:r>
        <w:rPr>
          <w:rFonts w:ascii="Times New Roman" w:eastAsia="仿宋_GB2312" w:cs="Times New Roman" w:hAnsi="Times New Roman"/>
          <w:sz w:val="32"/>
          <w:szCs w:val="32"/>
          <w:lang w:val="en-US" w:eastAsia="zh-CN"/>
        </w:rPr>
        <w:t>年末，</w:t>
      </w:r>
      <w:r>
        <w:rPr>
          <w:rFonts w:ascii="Times New Roman" w:cs="仿宋_GB2312" w:hAnsi="Times New Roman" w:hint="eastAsia"/>
          <w:color w:val="auto"/>
          <w:sz w:val="32"/>
          <w:szCs w:val="32"/>
          <w:lang w:val="en-US" w:eastAsia="zh-CN"/>
          <w:highlight w:val="none"/>
        </w:rPr>
        <w:t>我单位共有编制14个，在职人员14人。其中，行政编制人员4人，行政工勤人员1人，参公工勤人员1人，参公编制人员8人。</w:t>
      </w:r>
    </w:p>
    <w:p>
      <w:pPr>
        <w:pStyle w:val="18"/>
        <w:adjustRightInd w:val="0"/>
        <w:snapToGrid w:val="0"/>
        <w:spacing w:line="600" w:lineRule="exact"/>
        <w:ind w:firstLineChars="209" w:firstLine="672"/>
        <w:rPr>
          <w:rFonts w:ascii="Times New Roman" w:cs="仿宋_GB2312" w:hAnsi="Times New Roman"/>
          <w:color w:val="auto"/>
          <w:sz w:val="32"/>
          <w:szCs w:val="32"/>
          <w:lang w:val="en-US" w:eastAsia="zh-CN"/>
          <w:highlight w:val="none"/>
        </w:rPr>
      </w:pP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黑体" w:cs="Times New Roman" w:hAnsi="Times New Roman"/>
          <w:color w:val="000000"/>
          <w:kern w:val="0"/>
          <w:sz w:val="32"/>
          <w:szCs w:val="32"/>
          <w:shd w:val="clear" w:color="auto" w:fill="FFFFFF"/>
          <w:lang w:val="zh-CN" w:eastAsia="zh-CN"/>
          <w:highlight w:val="none"/>
        </w:rPr>
      </w:pPr>
      <w:r>
        <w:rPr>
          <w:rFonts w:ascii="Times New Roman" w:eastAsia="黑体" w:cs="Times New Roman" w:hAnsi="Times New Roman"/>
          <w:color w:val="000000"/>
          <w:kern w:val="0"/>
          <w:sz w:val="32"/>
          <w:szCs w:val="32"/>
          <w:shd w:val="clear" w:color="auto" w:fill="FFFFFF"/>
          <w:lang w:val="zh-CN" w:eastAsia="zh-CN"/>
          <w:highlight w:val="none"/>
        </w:rPr>
        <w:t>二、部门资金收支情况</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楷体_GB2312" w:cs="Times New Roman" w:hAnsi="Times New Roman"/>
          <w:b/>
          <w:bCs/>
          <w:color w:val="000000"/>
          <w:kern w:val="0"/>
          <w:sz w:val="32"/>
          <w:szCs w:val="32"/>
          <w:shd w:val="clear" w:color="auto" w:fill="FFFFFF"/>
          <w:lang w:val="zh-CN"/>
          <w:highlight w:val="none"/>
        </w:rPr>
      </w:pPr>
      <w:r>
        <w:rPr>
          <w:rFonts w:ascii="Times New Roman" w:eastAsia="楷体_GB2312" w:cs="Times New Roman" w:hAnsi="Times New Roman"/>
          <w:b/>
          <w:bCs/>
          <w:color w:val="000000"/>
          <w:kern w:val="0"/>
          <w:sz w:val="32"/>
          <w:szCs w:val="32"/>
          <w:shd w:val="clear" w:color="auto" w:fill="FFFFFF"/>
          <w:lang w:val="zh-CN"/>
          <w:highlight w:val="none"/>
        </w:rPr>
        <w:t>（一）</w:t>
      </w:r>
      <w:r>
        <w:rPr>
          <w:rFonts w:ascii="Times New Roman" w:eastAsia="楷体_GB2312" w:cs="Times New Roman" w:hAnsi="Times New Roman" w:hint="eastAsia"/>
          <w:b/>
          <w:bCs/>
          <w:color w:val="000000"/>
          <w:kern w:val="0"/>
          <w:sz w:val="32"/>
          <w:szCs w:val="32"/>
          <w:shd w:val="clear" w:color="auto" w:fill="FFFFFF"/>
          <w:lang w:val="zh-CN"/>
          <w:highlight w:val="none"/>
        </w:rPr>
        <w:t>收入情况</w:t>
      </w:r>
      <w:r>
        <w:rPr>
          <w:rFonts w:ascii="Times New Roman" w:eastAsia="楷体_GB2312" w:cs="Times New Roman" w:hAnsi="Times New Roman"/>
          <w:b/>
          <w:bCs/>
          <w:color w:val="000000"/>
          <w:kern w:val="0"/>
          <w:sz w:val="32"/>
          <w:szCs w:val="32"/>
          <w:shd w:val="clear" w:color="auto" w:fill="FFFFFF"/>
          <w:lang w:val="zh-CN"/>
          <w:highlight w:val="none"/>
        </w:rPr>
        <w:t>。</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eastAsia="仿宋_GB2312" w:cs="Times New Roman" w:hint="eastAsia"/>
          <w:sz w:val="32"/>
          <w:szCs w:val="32"/>
          <w:lang w:val="en-US" w:eastAsia="zh-CN"/>
        </w:rPr>
      </w:pPr>
      <w:r>
        <w:rPr>
          <w:rFonts w:ascii="Times New Roman" w:eastAsia="仿宋_GB2312" w:cs="Times New Roman" w:hAnsi="Times New Roman" w:hint="eastAsia"/>
          <w:sz w:val="32"/>
          <w:szCs w:val="32"/>
          <w:lang w:val="en-US" w:eastAsia="zh-CN"/>
        </w:rPr>
        <w:t>202</w:t>
      </w:r>
      <w:r>
        <w:rPr>
          <w:rFonts w:eastAsia="仿宋_GB2312" w:cs="Times New Roman" w:hint="eastAsia"/>
          <w:sz w:val="32"/>
          <w:szCs w:val="32"/>
          <w:lang w:val="en-US" w:eastAsia="zh-CN"/>
        </w:rPr>
        <w:t>5</w:t>
      </w:r>
      <w:r>
        <w:rPr>
          <w:rFonts w:ascii="Times New Roman" w:eastAsia="仿宋_GB2312" w:cs="Times New Roman" w:hAnsi="Times New Roman" w:hint="eastAsia"/>
          <w:sz w:val="32"/>
          <w:szCs w:val="32"/>
          <w:lang w:val="en-US" w:eastAsia="zh-CN"/>
        </w:rPr>
        <w:t>年</w:t>
      </w:r>
      <w:r>
        <w:rPr>
          <w:rFonts w:eastAsia="仿宋_GB2312" w:cs="Times New Roman" w:hint="eastAsia"/>
          <w:sz w:val="32"/>
          <w:szCs w:val="32"/>
          <w:lang w:val="en-US" w:eastAsia="zh-CN"/>
        </w:rPr>
        <w:t>收入总合计479.82万元，其中，一般公共预算财政拨款收入459.82万元；其他收入20万元，来源于国家调查队下拨的业务经费。</w:t>
      </w:r>
    </w:p>
    <w:p>
      <w:pPr>
        <w:keepNext w:val="0"/>
        <w:keepLines w:val="0"/>
        <w:pageBreakBefore w:val="0"/>
        <w:widowControl/>
        <w:numPr>
          <w:ilvl w:val="0"/>
          <w:numId w:val="5"/>
        </w:numPr>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Times New Roman" w:eastAsia="楷体_GB2312" w:cs="Times New Roman" w:hAnsi="Times New Roman"/>
          <w:b/>
          <w:bCs/>
          <w:color w:val="000000"/>
          <w:kern w:val="0"/>
          <w:sz w:val="32"/>
          <w:szCs w:val="32"/>
          <w:shd w:val="clear" w:color="auto" w:fill="FFFFFF"/>
          <w:lang w:val="zh-CN"/>
          <w:highlight w:val="none"/>
        </w:rPr>
      </w:pPr>
      <w:r>
        <w:rPr>
          <w:rFonts w:ascii="Times New Roman" w:eastAsia="楷体_GB2312" w:cs="Times New Roman" w:hAnsi="Times New Roman" w:hint="eastAsia"/>
          <w:b/>
          <w:bCs/>
          <w:color w:val="000000"/>
          <w:kern w:val="0"/>
          <w:sz w:val="32"/>
          <w:szCs w:val="32"/>
          <w:shd w:val="clear" w:color="auto" w:fill="FFFFFF"/>
          <w:lang w:val="zh-CN"/>
          <w:highlight w:val="none"/>
        </w:rPr>
        <w:t>支出情况</w:t>
      </w:r>
      <w:r>
        <w:rPr>
          <w:rFonts w:ascii="Times New Roman" w:eastAsia="楷体_GB2312" w:cs="Times New Roman" w:hAnsi="Times New Roman"/>
          <w:b/>
          <w:bCs/>
          <w:color w:val="000000"/>
          <w:kern w:val="0"/>
          <w:sz w:val="32"/>
          <w:szCs w:val="32"/>
          <w:shd w:val="clear" w:color="auto" w:fill="FFFFFF"/>
          <w:lang w:val="zh-CN"/>
          <w:highlight w:val="none"/>
        </w:rPr>
        <w:t>。</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cs="Times New Roman" w:hAnsi="Times New Roman"/>
          <w:szCs w:val="32"/>
          <w:lang w:val="zh-CN" w:eastAsia="zh-CN"/>
        </w:rPr>
      </w:pPr>
      <w:r>
        <w:rPr>
          <w:rFonts w:ascii="Times New Roman" w:eastAsia="仿宋_GB2312" w:cs="Times New Roman" w:hAnsi="Times New Roman" w:hint="eastAsia"/>
          <w:sz w:val="32"/>
          <w:szCs w:val="32"/>
          <w:lang w:val="en-US" w:eastAsia="zh-CN"/>
        </w:rPr>
        <w:t>202</w:t>
      </w:r>
      <w:r>
        <w:rPr>
          <w:rFonts w:eastAsia="仿宋_GB2312" w:cs="Times New Roman" w:hint="eastAsia"/>
          <w:sz w:val="32"/>
          <w:szCs w:val="32"/>
          <w:lang w:val="en-US" w:eastAsia="zh-CN"/>
        </w:rPr>
        <w:t>5</w:t>
      </w:r>
      <w:r>
        <w:rPr>
          <w:rFonts w:ascii="Times New Roman" w:eastAsia="仿宋_GB2312" w:cs="Times New Roman" w:hAnsi="Times New Roman" w:hint="eastAsia"/>
          <w:sz w:val="32"/>
          <w:szCs w:val="32"/>
          <w:lang w:val="en-US" w:eastAsia="zh-CN"/>
        </w:rPr>
        <w:t>年</w:t>
      </w:r>
      <w:r>
        <w:rPr>
          <w:rFonts w:eastAsia="仿宋_GB2312" w:cs="Times New Roman" w:hint="eastAsia"/>
          <w:sz w:val="32"/>
          <w:szCs w:val="32"/>
          <w:lang w:val="en-US" w:eastAsia="zh-CN"/>
        </w:rPr>
        <w:t>支出总合计479.82万元，其中，一般公共服务支出392.13万元；社会保障和就业支出46.69万元；卫生健康支出16.55万元；住房保障支出24.45万元。</w:t>
      </w:r>
    </w:p>
    <w:p>
      <w:pPr>
        <w:keepNext w:val="0"/>
        <w:keepLines w:val="0"/>
        <w:pageBreakBefore w:val="0"/>
        <w:widowControl/>
        <w:numPr>
          <w:ilvl w:val="0"/>
          <w:numId w:val="5"/>
        </w:numPr>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Times New Roman" w:eastAsia="楷体_GB2312" w:cs="Times New Roman" w:hAnsi="Times New Roman" w:hint="eastAsia"/>
          <w:b/>
          <w:bCs/>
          <w:color w:val="000000"/>
          <w:kern w:val="0"/>
          <w:sz w:val="32"/>
          <w:szCs w:val="32"/>
          <w:shd w:val="clear" w:color="auto" w:fill="FFFFFF"/>
          <w:lang w:val="zh-CN" w:eastAsia="zh-CN"/>
          <w:highlight w:val="none"/>
        </w:rPr>
      </w:pPr>
      <w:r>
        <w:rPr>
          <w:rFonts w:ascii="Times New Roman" w:eastAsia="楷体_GB2312" w:cs="Times New Roman" w:hAnsi="Times New Roman"/>
          <w:b/>
          <w:bCs/>
          <w:color w:val="000000"/>
          <w:kern w:val="0"/>
          <w:sz w:val="32"/>
          <w:szCs w:val="32"/>
          <w:shd w:val="clear" w:color="auto" w:fill="FFFFFF"/>
          <w:lang w:val="zh-CN"/>
          <w:highlight w:val="none"/>
        </w:rPr>
        <w:t>结余分配和结转结余情况</w:t>
      </w:r>
      <w:r>
        <w:rPr>
          <w:rFonts w:ascii="Times New Roman" w:eastAsia="楷体_GB2312" w:cs="Times New Roman" w:hAnsi="Times New Roman" w:hint="eastAsia"/>
          <w:b/>
          <w:bCs/>
          <w:color w:val="000000"/>
          <w:kern w:val="0"/>
          <w:sz w:val="32"/>
          <w:szCs w:val="32"/>
          <w:shd w:val="clear" w:color="auto" w:fill="FFFFFF"/>
          <w:lang w:val="zh-CN" w:eastAsia="zh-CN"/>
          <w:highlight w:val="none"/>
        </w:rPr>
        <w:t>。</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b w:val="0"/>
          <w:bCs w:val="0"/>
          <w:color w:val="000000"/>
          <w:kern w:val="0"/>
          <w:szCs w:val="32"/>
          <w:shd w:val="clear" w:color="auto" w:fill="FFFFFF"/>
          <w:lang w:val="zh-CN" w:eastAsia="zh-CN"/>
          <w:highlight w:val="none"/>
        </w:rPr>
      </w:pPr>
      <w:r>
        <w:rPr>
          <w:rFonts w:ascii="Times New Roman" w:eastAsia="仿宋_GB2312" w:cs="Times New Roman" w:hAnsi="Times New Roman" w:hint="eastAsia"/>
          <w:sz w:val="32"/>
          <w:szCs w:val="32"/>
          <w:lang w:val="en-US" w:eastAsia="zh-CN"/>
        </w:rPr>
        <w:t>202</w:t>
      </w:r>
      <w:r>
        <w:rPr>
          <w:rFonts w:eastAsia="仿宋_GB2312" w:cs="Times New Roman" w:hint="eastAsia"/>
          <w:sz w:val="32"/>
          <w:szCs w:val="32"/>
          <w:lang w:val="en-US" w:eastAsia="zh-CN"/>
        </w:rPr>
        <w:t>5</w:t>
      </w:r>
      <w:r>
        <w:rPr>
          <w:rFonts w:ascii="Times New Roman" w:eastAsia="仿宋_GB2312" w:cs="Times New Roman" w:hAnsi="Times New Roman" w:hint="eastAsia"/>
          <w:sz w:val="32"/>
          <w:szCs w:val="32"/>
          <w:lang w:val="en-US" w:eastAsia="zh-CN"/>
        </w:rPr>
        <w:t>年</w:t>
      </w:r>
      <w:r>
        <w:rPr>
          <w:rFonts w:eastAsia="仿宋_GB2312" w:cs="Times New Roman" w:hint="eastAsia"/>
          <w:sz w:val="32"/>
          <w:szCs w:val="32"/>
          <w:lang w:val="en-US" w:eastAsia="zh-CN"/>
        </w:rPr>
        <w:t>无</w:t>
      </w:r>
      <w:r>
        <w:rPr>
          <w:rFonts w:ascii="Times New Roman" w:eastAsia="仿宋_GB2312" w:cs="Times New Roman" w:hAnsi="Times New Roman"/>
          <w:sz w:val="32"/>
          <w:szCs w:val="32"/>
          <w:lang w:val="en-US" w:eastAsia="zh-CN"/>
        </w:rPr>
        <w:t>结转结余</w:t>
      </w:r>
      <w:r>
        <w:rPr>
          <w:rFonts w:ascii="Times New Roman" w:eastAsia="仿宋_GB2312" w:cs="Times New Roman" w:hAnsi="Times New Roman" w:hint="eastAsia"/>
          <w:sz w:val="32"/>
          <w:szCs w:val="32"/>
          <w:lang w:val="en-US" w:eastAsia="zh-CN"/>
        </w:rPr>
        <w:t>情况</w:t>
      </w:r>
      <w:r>
        <w:rPr>
          <w:rFonts w:ascii="Times New Roman" w:eastAsia="仿宋_GB2312" w:cs="Times New Roman" w:hAnsi="Times New Roman"/>
          <w:sz w:val="32"/>
          <w:szCs w:val="32"/>
          <w:lang w:val="en-US" w:eastAsia="zh-CN"/>
        </w:rPr>
        <w:t>。</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黑体" w:cs="Times New Roman" w:hAnsi="Times New Roman"/>
          <w:color w:val="000000"/>
          <w:kern w:val="0"/>
          <w:sz w:val="32"/>
          <w:szCs w:val="32"/>
          <w:shd w:val="clear" w:color="auto" w:fill="FFFFFF"/>
          <w:lang w:val="en-US" w:eastAsia="zh-CN"/>
          <w:highlight w:val="none"/>
        </w:rPr>
      </w:pPr>
      <w:r>
        <w:rPr>
          <w:rFonts w:ascii="Times New Roman" w:eastAsia="黑体" w:cs="Times New Roman" w:hAnsi="Times New Roman"/>
          <w:color w:val="000000"/>
          <w:kern w:val="0"/>
          <w:sz w:val="32"/>
          <w:szCs w:val="32"/>
          <w:shd w:val="clear" w:color="auto" w:fill="FFFFFF"/>
          <w:lang w:val="zh-CN" w:eastAsia="zh-CN"/>
          <w:highlight w:val="none"/>
        </w:rPr>
        <w:t>三、部门</w:t>
      </w:r>
      <w:r>
        <w:rPr>
          <w:rFonts w:eastAsia="黑体" w:cs="Times New Roman" w:hint="eastAsia"/>
          <w:color w:val="000000"/>
          <w:kern w:val="0"/>
          <w:sz w:val="32"/>
          <w:szCs w:val="32"/>
          <w:shd w:val="clear" w:color="auto" w:fill="FFFFFF"/>
          <w:lang w:val="en-US" w:eastAsia="zh-CN"/>
          <w:highlight w:val="none"/>
        </w:rPr>
        <w:t>财政支出管理情况</w:t>
      </w:r>
    </w:p>
    <w:p>
      <w:pPr>
        <w:keepNext w:val="0"/>
        <w:keepLines w:val="0"/>
        <w:pageBreakBefore w:val="0"/>
        <w:widowControl w:val="0"/>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eastAsia="楷体_GB2312" w:cs="Times New Roman" w:hint="eastAsia"/>
          <w:b/>
          <w:bCs/>
          <w:color w:val="000000"/>
          <w:kern w:val="0"/>
          <w:sz w:val="32"/>
          <w:szCs w:val="32"/>
          <w:shd w:val="clear" w:color="auto" w:fill="FFFFFF"/>
          <w:lang w:val="en-US" w:eastAsia="zh-CN"/>
          <w:highlight w:val="none"/>
        </w:rPr>
      </w:pPr>
      <w:r>
        <w:rPr>
          <w:rFonts w:ascii="Times New Roman" w:eastAsia="楷体_GB2312" w:cs="Times New Roman" w:hAnsi="Times New Roman"/>
          <w:b/>
          <w:bCs/>
          <w:color w:val="000000"/>
          <w:kern w:val="0"/>
          <w:sz w:val="32"/>
          <w:szCs w:val="32"/>
          <w:shd w:val="clear" w:color="auto" w:fill="FFFFFF"/>
          <w:lang w:val="zh-CN"/>
          <w:highlight w:val="none"/>
        </w:rPr>
        <w:t>（一）</w:t>
      </w:r>
      <w:r>
        <w:rPr>
          <w:rFonts w:eastAsia="楷体_GB2312" w:cs="Times New Roman" w:hint="eastAsia"/>
          <w:b/>
          <w:bCs/>
          <w:color w:val="000000"/>
          <w:kern w:val="0"/>
          <w:sz w:val="32"/>
          <w:szCs w:val="32"/>
          <w:shd w:val="clear" w:color="auto" w:fill="FFFFFF"/>
          <w:lang w:val="en-US" w:eastAsia="zh-CN"/>
          <w:highlight w:val="none"/>
        </w:rPr>
        <w:t>预算编制情况</w:t>
      </w:r>
    </w:p>
    <w:p>
      <w:pPr>
        <w:keepNext w:val="0"/>
        <w:keepLines w:val="0"/>
        <w:pageBreakBefore w:val="0"/>
        <w:widowControl w:val="0"/>
        <w:kinsoku/>
        <w:wordWrap/>
        <w:overflowPunct/>
        <w:topLinePunct w:val="0"/>
        <w:autoSpaceDE/>
        <w:autoSpaceDN/>
        <w:bidi w:val="0"/>
        <w:adjustRightInd w:val="0"/>
        <w:snapToGrid w:val="0"/>
        <w:spacing w:line="578" w:lineRule="exact"/>
        <w:ind w:firstLineChars="200" w:firstLine="640"/>
        <w:contextualSpacing/>
        <w:jc w:val="both"/>
        <w:textAlignment w:val="auto"/>
        <w:outlineLvl w:val="9"/>
        <w:rPr>
          <w:rFonts w:ascii="Times New Roman" w:eastAsia="仿宋_GB2312" w:cs="仿宋_GB2312" w:hAnsi="Times New Roman"/>
          <w:color w:val="auto"/>
          <w:kern w:val="2"/>
          <w:sz w:val="32"/>
          <w:szCs w:val="32"/>
          <w:lang w:val="zh-CN" w:eastAsia="zh-CN" w:bidi="ar-SA"/>
          <w:highlight w:val="none"/>
        </w:rPr>
      </w:pPr>
      <w:r>
        <w:rPr>
          <w:rFonts w:ascii="Times New Roman" w:eastAsia="仿宋_GB2312" w:cs="仿宋_GB2312" w:hAnsi="Times New Roman"/>
          <w:color w:val="auto"/>
          <w:kern w:val="2"/>
          <w:sz w:val="32"/>
          <w:szCs w:val="32"/>
          <w:lang w:val="zh-CN" w:eastAsia="zh-CN" w:bidi="ar-SA"/>
          <w:highlight w:val="none"/>
        </w:rPr>
        <w:t>红原县统计局预算编制严格按照《预算法》相关规定</w:t>
      </w:r>
      <w:r>
        <w:rPr>
          <w:rFonts w:eastAsia="仿宋_GB2312" w:cs="仿宋_GB2312" w:hint="eastAsia"/>
          <w:color w:val="auto"/>
          <w:kern w:val="2"/>
          <w:sz w:val="32"/>
          <w:szCs w:val="32"/>
          <w:lang w:val="zh-CN" w:eastAsia="zh-CN" w:bidi="ar-SA"/>
          <w:highlight w:val="none"/>
        </w:rPr>
        <w:t>，</w:t>
      </w:r>
      <w:r>
        <w:rPr>
          <w:rFonts w:ascii="Times New Roman" w:eastAsia="仿宋_GB2312" w:cs="仿宋_GB2312" w:hAnsi="Times New Roman"/>
          <w:color w:val="auto"/>
          <w:kern w:val="2"/>
          <w:sz w:val="32"/>
          <w:szCs w:val="32"/>
          <w:lang w:val="zh-CN" w:eastAsia="zh-CN" w:bidi="ar-SA"/>
          <w:highlight w:val="none"/>
        </w:rPr>
        <w:t>结合全县预算编制口径，结合我单位实际情况，主要用于保障统计机构正常运转、完成日常工作任务而编制。</w:t>
      </w:r>
    </w:p>
    <w:p>
      <w:pPr>
        <w:keepNext w:val="0"/>
        <w:keepLines w:val="0"/>
        <w:pageBreakBefore w:val="0"/>
        <w:widowControl w:val="0"/>
        <w:numPr>
          <w:ilvl w:val="0"/>
          <w:numId w:val="6"/>
        </w:numPr>
        <w:kinsoku/>
        <w:wordWrap/>
        <w:overflowPunct/>
        <w:topLinePunct w:val="0"/>
        <w:autoSpaceDE/>
        <w:autoSpaceDN/>
        <w:bidi w:val="0"/>
        <w:adjustRightInd w:val="0"/>
        <w:snapToGrid w:val="0"/>
        <w:spacing w:line="578" w:lineRule="exact"/>
        <w:ind w:left="0" w:firstLineChars="200" w:firstLine="640"/>
        <w:contextualSpacing/>
        <w:jc w:val="both"/>
        <w:textAlignment w:val="auto"/>
        <w:outlineLvl w:val="9"/>
        <w:rPr>
          <w:rFonts w:ascii="Times New Roman" w:eastAsia="楷体_GB2312" w:cs="Times New Roman" w:hAnsi="Times New Roman"/>
          <w:b/>
          <w:bCs/>
          <w:color w:val="000000"/>
          <w:kern w:val="0"/>
          <w:sz w:val="32"/>
          <w:szCs w:val="32"/>
          <w:shd w:val="clear" w:color="auto" w:fill="FFFFFF"/>
          <w:lang w:val="zh-CN"/>
          <w:highlight w:val="none"/>
        </w:rPr>
      </w:pPr>
      <w:r>
        <w:rPr>
          <w:rFonts w:eastAsia="楷体_GB2312" w:cs="Times New Roman" w:hint="eastAsia"/>
          <w:b/>
          <w:bCs/>
          <w:color w:val="000000"/>
          <w:kern w:val="0"/>
          <w:sz w:val="32"/>
          <w:szCs w:val="32"/>
          <w:shd w:val="clear" w:color="auto" w:fill="FFFFFF"/>
          <w:lang w:val="en-US" w:eastAsia="zh-CN"/>
          <w:highlight w:val="none"/>
        </w:rPr>
        <w:t>执行管理情况</w:t>
      </w:r>
    </w:p>
    <w:p>
      <w:pPr>
        <w:keepNext w:val="0"/>
        <w:keepLines w:val="0"/>
        <w:pageBreakBefore w:val="0"/>
        <w:widowControl w:val="0"/>
        <w:kinsoku/>
        <w:wordWrap/>
        <w:overflowPunct/>
        <w:topLinePunct w:val="0"/>
        <w:autoSpaceDE/>
        <w:autoSpaceDN/>
        <w:bidi w:val="0"/>
        <w:adjustRightInd w:val="0"/>
        <w:snapToGrid w:val="0"/>
        <w:spacing w:line="578" w:lineRule="exact"/>
        <w:ind w:firstLineChars="200" w:firstLine="640"/>
        <w:contextualSpacing/>
        <w:jc w:val="both"/>
        <w:textAlignment w:val="auto"/>
        <w:outlineLvl w:val="9"/>
        <w:rPr>
          <w:rFonts w:ascii="Times New Roman" w:eastAsia="仿宋_GB2312" w:cs="仿宋_GB2312" w:hAnsi="Times New Roman"/>
          <w:color w:val="auto"/>
          <w:kern w:val="2"/>
          <w:sz w:val="32"/>
          <w:szCs w:val="32"/>
          <w:lang w:val="zh-CN" w:eastAsia="zh-CN" w:bidi="ar-SA"/>
          <w:highlight w:val="none"/>
        </w:rPr>
      </w:pPr>
      <w:r>
        <w:rPr>
          <w:rFonts w:ascii="Times New Roman" w:eastAsia="仿宋_GB2312" w:cs="仿宋_GB2312" w:hAnsi="Times New Roman"/>
          <w:color w:val="auto"/>
          <w:kern w:val="2"/>
          <w:sz w:val="32"/>
          <w:szCs w:val="32"/>
          <w:lang w:val="zh-CN" w:eastAsia="zh-CN" w:bidi="ar-SA"/>
          <w:highlight w:val="none"/>
        </w:rPr>
        <w:t>1.因公出国（境）经费</w:t>
      </w:r>
    </w:p>
    <w:p>
      <w:pPr>
        <w:keepNext w:val="0"/>
        <w:keepLines w:val="0"/>
        <w:pageBreakBefore w:val="0"/>
        <w:widowControl w:val="0"/>
        <w:kinsoku/>
        <w:wordWrap/>
        <w:overflowPunct/>
        <w:topLinePunct w:val="0"/>
        <w:autoSpaceDE/>
        <w:autoSpaceDN/>
        <w:bidi w:val="0"/>
        <w:adjustRightInd w:val="0"/>
        <w:snapToGrid w:val="0"/>
        <w:spacing w:line="578" w:lineRule="exact"/>
        <w:ind w:firstLineChars="200" w:firstLine="640"/>
        <w:contextualSpacing/>
        <w:jc w:val="both"/>
        <w:textAlignment w:val="auto"/>
        <w:outlineLvl w:val="9"/>
        <w:rPr>
          <w:rFonts w:ascii="Times New Roman" w:eastAsia="仿宋_GB2312" w:cs="仿宋_GB2312" w:hAnsi="Times New Roman"/>
          <w:color w:val="auto"/>
          <w:kern w:val="2"/>
          <w:sz w:val="32"/>
          <w:szCs w:val="32"/>
          <w:lang w:val="zh-CN" w:eastAsia="zh-CN" w:bidi="ar-SA"/>
          <w:highlight w:val="none"/>
        </w:rPr>
      </w:pPr>
      <w:r>
        <w:rPr>
          <w:rFonts w:ascii="Times New Roman" w:eastAsia="仿宋_GB2312" w:cs="仿宋_GB2312" w:hAnsi="Times New Roman"/>
          <w:color w:val="auto"/>
          <w:kern w:val="2"/>
          <w:sz w:val="32"/>
          <w:szCs w:val="32"/>
          <w:lang w:val="zh-CN" w:eastAsia="zh-CN" w:bidi="ar-SA"/>
          <w:highlight w:val="none"/>
        </w:rPr>
        <w:t>20</w:t>
      </w:r>
      <w:r>
        <w:rPr>
          <w:rFonts w:eastAsia="仿宋_GB2312" w:cs="仿宋_GB2312" w:hint="eastAsia"/>
          <w:color w:val="auto"/>
          <w:kern w:val="2"/>
          <w:sz w:val="32"/>
          <w:szCs w:val="32"/>
          <w:lang w:val="en-US" w:eastAsia="zh-CN" w:bidi="ar-SA"/>
          <w:highlight w:val="none"/>
        </w:rPr>
        <w:t>25</w:t>
      </w:r>
      <w:r>
        <w:rPr>
          <w:rFonts w:ascii="Times New Roman" w:eastAsia="仿宋_GB2312" w:cs="仿宋_GB2312" w:hAnsi="Times New Roman"/>
          <w:color w:val="auto"/>
          <w:kern w:val="2"/>
          <w:sz w:val="32"/>
          <w:szCs w:val="32"/>
          <w:lang w:val="zh-CN" w:eastAsia="zh-CN" w:bidi="ar-SA"/>
          <w:highlight w:val="none"/>
        </w:rPr>
        <w:t>年因公出国（境）费0.00元，因公出国（境）0人，与上年持平。</w:t>
      </w:r>
    </w:p>
    <w:p>
      <w:pPr>
        <w:keepNext w:val="0"/>
        <w:keepLines w:val="0"/>
        <w:pageBreakBefore w:val="0"/>
        <w:widowControl w:val="0"/>
        <w:kinsoku/>
        <w:wordWrap/>
        <w:overflowPunct/>
        <w:topLinePunct w:val="0"/>
        <w:autoSpaceDE/>
        <w:autoSpaceDN/>
        <w:bidi w:val="0"/>
        <w:adjustRightInd w:val="0"/>
        <w:snapToGrid w:val="0"/>
        <w:spacing w:line="578" w:lineRule="exact"/>
        <w:ind w:firstLineChars="200" w:firstLine="640"/>
        <w:contextualSpacing/>
        <w:jc w:val="both"/>
        <w:textAlignment w:val="auto"/>
        <w:outlineLvl w:val="9"/>
        <w:rPr>
          <w:rFonts w:ascii="Times New Roman" w:eastAsia="仿宋_GB2312" w:cs="仿宋_GB2312" w:hAnsi="Times New Roman"/>
          <w:color w:val="auto"/>
          <w:kern w:val="2"/>
          <w:sz w:val="32"/>
          <w:szCs w:val="32"/>
          <w:lang w:val="zh-CN" w:eastAsia="zh-CN" w:bidi="ar-SA"/>
          <w:highlight w:val="none"/>
        </w:rPr>
      </w:pPr>
      <w:r>
        <w:rPr>
          <w:rFonts w:ascii="Times New Roman" w:eastAsia="仿宋_GB2312" w:cs="仿宋_GB2312" w:hAnsi="Times New Roman"/>
          <w:color w:val="auto"/>
          <w:kern w:val="2"/>
          <w:sz w:val="32"/>
          <w:szCs w:val="32"/>
          <w:lang w:val="zh-CN" w:eastAsia="zh-CN" w:bidi="ar-SA"/>
          <w:highlight w:val="none"/>
        </w:rPr>
        <w:t>2.公务接待费</w:t>
      </w:r>
    </w:p>
    <w:p>
      <w:pPr>
        <w:keepNext w:val="0"/>
        <w:keepLines w:val="0"/>
        <w:pageBreakBefore w:val="0"/>
        <w:widowControl w:val="0"/>
        <w:kinsoku/>
        <w:wordWrap/>
        <w:overflowPunct/>
        <w:topLinePunct w:val="0"/>
        <w:autoSpaceDE/>
        <w:autoSpaceDN/>
        <w:bidi w:val="0"/>
        <w:adjustRightInd w:val="0"/>
        <w:snapToGrid w:val="0"/>
        <w:spacing w:line="578" w:lineRule="exact"/>
        <w:ind w:firstLineChars="200" w:firstLine="640"/>
        <w:contextualSpacing/>
        <w:jc w:val="both"/>
        <w:textAlignment w:val="auto"/>
        <w:outlineLvl w:val="9"/>
        <w:rPr>
          <w:rFonts w:ascii="Times New Roman" w:eastAsia="仿宋_GB2312" w:cs="仿宋_GB2312" w:hAnsi="Times New Roman"/>
          <w:color w:val="auto"/>
          <w:kern w:val="2"/>
          <w:sz w:val="32"/>
          <w:szCs w:val="32"/>
          <w:lang w:val="zh-CN" w:eastAsia="zh-CN" w:bidi="ar-SA"/>
          <w:highlight w:val="none"/>
        </w:rPr>
      </w:pPr>
      <w:r>
        <w:rPr>
          <w:rFonts w:ascii="Times New Roman" w:eastAsia="仿宋_GB2312" w:cs="仿宋_GB2312" w:hAnsi="Times New Roman"/>
          <w:color w:val="auto"/>
          <w:kern w:val="2"/>
          <w:sz w:val="32"/>
          <w:szCs w:val="32"/>
          <w:lang w:val="zh-CN" w:eastAsia="zh-CN" w:bidi="ar-SA"/>
          <w:highlight w:val="none"/>
        </w:rPr>
        <w:t>202</w:t>
      </w:r>
      <w:r>
        <w:rPr>
          <w:rFonts w:eastAsia="仿宋_GB2312" w:cs="仿宋_GB2312" w:hint="eastAsia"/>
          <w:color w:val="auto"/>
          <w:kern w:val="2"/>
          <w:sz w:val="32"/>
          <w:szCs w:val="32"/>
          <w:lang w:val="en-US" w:eastAsia="zh-CN" w:bidi="ar-SA"/>
          <w:highlight w:val="none"/>
        </w:rPr>
        <w:t>5</w:t>
      </w:r>
      <w:r>
        <w:rPr>
          <w:rFonts w:ascii="Times New Roman" w:eastAsia="仿宋_GB2312" w:cs="仿宋_GB2312" w:hAnsi="Times New Roman"/>
          <w:color w:val="auto"/>
          <w:kern w:val="2"/>
          <w:sz w:val="32"/>
          <w:szCs w:val="32"/>
          <w:lang w:val="zh-CN" w:eastAsia="zh-CN" w:bidi="ar-SA"/>
          <w:highlight w:val="none"/>
        </w:rPr>
        <w:t>年公务接待费</w:t>
      </w:r>
      <w:r>
        <w:rPr>
          <w:rFonts w:eastAsia="仿宋_GB2312" w:cs="仿宋_GB2312" w:hint="eastAsia"/>
          <w:color w:val="auto"/>
          <w:kern w:val="2"/>
          <w:sz w:val="32"/>
          <w:szCs w:val="32"/>
          <w:lang w:val="en-US" w:eastAsia="zh-CN" w:bidi="ar-SA"/>
          <w:highlight w:val="none"/>
        </w:rPr>
        <w:t>0.20</w:t>
      </w:r>
      <w:r>
        <w:rPr>
          <w:rFonts w:ascii="Times New Roman" w:eastAsia="仿宋_GB2312" w:cs="仿宋_GB2312" w:hAnsi="Times New Roman"/>
          <w:color w:val="auto"/>
          <w:kern w:val="2"/>
          <w:sz w:val="32"/>
          <w:szCs w:val="32"/>
          <w:lang w:val="zh-CN" w:eastAsia="zh-CN" w:bidi="ar-SA"/>
          <w:highlight w:val="none"/>
        </w:rPr>
        <w:t>万元。比202</w:t>
      </w:r>
      <w:r>
        <w:rPr>
          <w:rFonts w:eastAsia="仿宋_GB2312" w:cs="仿宋_GB2312" w:hint="eastAsia"/>
          <w:color w:val="auto"/>
          <w:kern w:val="2"/>
          <w:sz w:val="32"/>
          <w:szCs w:val="32"/>
          <w:lang w:val="en-US" w:eastAsia="zh-CN" w:bidi="ar-SA"/>
          <w:highlight w:val="none"/>
        </w:rPr>
        <w:t>4</w:t>
      </w:r>
      <w:r>
        <w:rPr>
          <w:rFonts w:ascii="Times New Roman" w:eastAsia="仿宋_GB2312" w:cs="仿宋_GB2312" w:hAnsi="Times New Roman"/>
          <w:color w:val="auto"/>
          <w:kern w:val="2"/>
          <w:sz w:val="32"/>
          <w:szCs w:val="32"/>
          <w:lang w:val="zh-CN" w:eastAsia="zh-CN" w:bidi="ar-SA"/>
          <w:highlight w:val="none"/>
        </w:rPr>
        <w:t>年决算</w:t>
      </w:r>
      <w:r>
        <w:rPr>
          <w:rFonts w:eastAsia="仿宋_GB2312" w:cs="仿宋_GB2312" w:hint="eastAsia"/>
          <w:color w:val="auto"/>
          <w:kern w:val="2"/>
          <w:sz w:val="32"/>
          <w:szCs w:val="32"/>
          <w:lang w:val="en-US" w:eastAsia="zh-CN" w:bidi="ar-SA"/>
          <w:highlight w:val="none"/>
        </w:rPr>
        <w:t>增加0.03</w:t>
      </w:r>
      <w:r>
        <w:rPr>
          <w:rFonts w:ascii="Times New Roman" w:eastAsia="仿宋_GB2312" w:cs="仿宋_GB2312" w:hAnsi="Times New Roman"/>
          <w:color w:val="auto"/>
          <w:kern w:val="2"/>
          <w:sz w:val="32"/>
          <w:szCs w:val="32"/>
          <w:lang w:val="zh-CN" w:eastAsia="zh-CN" w:bidi="ar-SA"/>
          <w:highlight w:val="none"/>
        </w:rPr>
        <w:t>万元。主要原因为调研检查次数相对之前</w:t>
      </w:r>
      <w:r>
        <w:rPr>
          <w:rFonts w:eastAsia="仿宋_GB2312" w:cs="仿宋_GB2312" w:hint="eastAsia"/>
          <w:color w:val="auto"/>
          <w:kern w:val="2"/>
          <w:sz w:val="32"/>
          <w:szCs w:val="32"/>
          <w:lang w:val="en-US" w:eastAsia="zh-CN" w:bidi="ar-SA"/>
          <w:highlight w:val="none"/>
        </w:rPr>
        <w:t>增加</w:t>
      </w:r>
      <w:r>
        <w:rPr>
          <w:rFonts w:ascii="Times New Roman" w:eastAsia="仿宋_GB2312" w:cs="仿宋_GB2312" w:hAnsi="Times New Roman"/>
          <w:color w:val="auto"/>
          <w:kern w:val="2"/>
          <w:sz w:val="32"/>
          <w:szCs w:val="32"/>
          <w:lang w:val="zh-CN" w:eastAsia="zh-CN" w:bidi="ar-SA"/>
          <w:highlight w:val="none"/>
        </w:rPr>
        <w:t>。</w:t>
      </w:r>
    </w:p>
    <w:p>
      <w:pPr>
        <w:keepNext w:val="0"/>
        <w:keepLines w:val="0"/>
        <w:pageBreakBefore w:val="0"/>
        <w:widowControl w:val="0"/>
        <w:kinsoku/>
        <w:wordWrap/>
        <w:overflowPunct/>
        <w:topLinePunct w:val="0"/>
        <w:autoSpaceDE/>
        <w:autoSpaceDN/>
        <w:bidi w:val="0"/>
        <w:adjustRightInd w:val="0"/>
        <w:snapToGrid w:val="0"/>
        <w:spacing w:line="578" w:lineRule="exact"/>
        <w:ind w:firstLineChars="200" w:firstLine="640"/>
        <w:contextualSpacing/>
        <w:jc w:val="both"/>
        <w:textAlignment w:val="auto"/>
        <w:outlineLvl w:val="9"/>
        <w:rPr>
          <w:rFonts w:ascii="Times New Roman" w:eastAsia="仿宋_GB2312" w:cs="仿宋_GB2312" w:hAnsi="Times New Roman"/>
          <w:color w:val="auto"/>
          <w:kern w:val="2"/>
          <w:sz w:val="32"/>
          <w:szCs w:val="32"/>
          <w:lang w:val="zh-CN" w:eastAsia="zh-CN" w:bidi="ar-SA"/>
          <w:highlight w:val="none"/>
        </w:rPr>
      </w:pPr>
      <w:r>
        <w:rPr>
          <w:rFonts w:ascii="Times New Roman" w:eastAsia="仿宋_GB2312" w:cs="仿宋_GB2312" w:hAnsi="Times New Roman"/>
          <w:color w:val="auto"/>
          <w:kern w:val="2"/>
          <w:sz w:val="32"/>
          <w:szCs w:val="32"/>
          <w:lang w:val="zh-CN" w:eastAsia="zh-CN" w:bidi="ar-SA"/>
          <w:highlight w:val="none"/>
        </w:rPr>
        <w:t>3.公务用车购置及运行维护费</w:t>
      </w:r>
    </w:p>
    <w:p>
      <w:pPr>
        <w:keepNext w:val="0"/>
        <w:keepLines w:val="0"/>
        <w:pageBreakBefore w:val="0"/>
        <w:widowControl w:val="0"/>
        <w:kinsoku/>
        <w:wordWrap/>
        <w:overflowPunct/>
        <w:topLinePunct w:val="0"/>
        <w:autoSpaceDE/>
        <w:autoSpaceDN/>
        <w:bidi w:val="0"/>
        <w:adjustRightInd w:val="0"/>
        <w:snapToGrid w:val="0"/>
        <w:spacing w:line="578" w:lineRule="exact"/>
        <w:ind w:firstLineChars="200" w:firstLine="640"/>
        <w:contextualSpacing/>
        <w:jc w:val="both"/>
        <w:textAlignment w:val="auto"/>
        <w:outlineLvl w:val="9"/>
        <w:rPr>
          <w:rFonts w:ascii="Times New Roman" w:eastAsia="仿宋_GB2312" w:cs="仿宋_GB2312" w:hAnsi="Times New Roman"/>
          <w:color w:val="auto"/>
          <w:kern w:val="2"/>
          <w:sz w:val="32"/>
          <w:szCs w:val="32"/>
          <w:lang w:val="zh-CN" w:eastAsia="zh-CN" w:bidi="ar-SA"/>
          <w:highlight w:val="none"/>
        </w:rPr>
      </w:pPr>
      <w:r>
        <w:rPr>
          <w:rFonts w:ascii="Times New Roman" w:eastAsia="仿宋_GB2312" w:cs="仿宋_GB2312" w:hAnsi="Times New Roman"/>
          <w:color w:val="auto"/>
          <w:kern w:val="2"/>
          <w:sz w:val="32"/>
          <w:szCs w:val="32"/>
          <w:lang w:val="zh-CN" w:eastAsia="zh-CN" w:bidi="ar-SA"/>
          <w:highlight w:val="none"/>
        </w:rPr>
        <w:t>202</w:t>
      </w:r>
      <w:r>
        <w:rPr>
          <w:rFonts w:eastAsia="仿宋_GB2312" w:cs="仿宋_GB2312" w:hint="eastAsia"/>
          <w:color w:val="auto"/>
          <w:kern w:val="2"/>
          <w:sz w:val="32"/>
          <w:szCs w:val="32"/>
          <w:lang w:val="en-US" w:eastAsia="zh-CN" w:bidi="ar-SA"/>
          <w:highlight w:val="none"/>
        </w:rPr>
        <w:t>5</w:t>
      </w:r>
      <w:r>
        <w:rPr>
          <w:rFonts w:ascii="Times New Roman" w:eastAsia="仿宋_GB2312" w:cs="仿宋_GB2312" w:hAnsi="Times New Roman"/>
          <w:color w:val="auto"/>
          <w:kern w:val="2"/>
          <w:sz w:val="32"/>
          <w:szCs w:val="32"/>
          <w:lang w:val="zh-CN" w:eastAsia="zh-CN" w:bidi="ar-SA"/>
          <w:highlight w:val="none"/>
        </w:rPr>
        <w:t>年公务用车运行维护费</w:t>
      </w:r>
      <w:r>
        <w:rPr>
          <w:rFonts w:eastAsia="仿宋_GB2312" w:cs="仿宋_GB2312" w:hint="eastAsia"/>
          <w:color w:val="auto"/>
          <w:kern w:val="2"/>
          <w:sz w:val="32"/>
          <w:szCs w:val="32"/>
          <w:lang w:val="en-US" w:eastAsia="zh-CN" w:bidi="ar-SA"/>
          <w:highlight w:val="none"/>
        </w:rPr>
        <w:t>4.58</w:t>
      </w:r>
      <w:r>
        <w:rPr>
          <w:rFonts w:ascii="Times New Roman" w:eastAsia="仿宋_GB2312" w:cs="仿宋_GB2312" w:hAnsi="Times New Roman"/>
          <w:color w:val="auto"/>
          <w:kern w:val="2"/>
          <w:sz w:val="32"/>
          <w:szCs w:val="32"/>
          <w:lang w:val="zh-CN" w:eastAsia="zh-CN" w:bidi="ar-SA"/>
          <w:highlight w:val="none"/>
        </w:rPr>
        <w:t>万元。比202</w:t>
      </w:r>
      <w:r>
        <w:rPr>
          <w:rFonts w:eastAsia="仿宋_GB2312" w:cs="仿宋_GB2312" w:hint="eastAsia"/>
          <w:color w:val="auto"/>
          <w:kern w:val="2"/>
          <w:sz w:val="32"/>
          <w:szCs w:val="32"/>
          <w:lang w:val="en-US" w:eastAsia="zh-CN" w:bidi="ar-SA"/>
          <w:highlight w:val="none"/>
        </w:rPr>
        <w:t>4</w:t>
      </w:r>
      <w:r>
        <w:rPr>
          <w:rFonts w:ascii="Times New Roman" w:eastAsia="仿宋_GB2312" w:cs="仿宋_GB2312" w:hAnsi="Times New Roman"/>
          <w:color w:val="auto"/>
          <w:kern w:val="2"/>
          <w:sz w:val="32"/>
          <w:szCs w:val="32"/>
          <w:lang w:val="zh-CN" w:eastAsia="zh-CN" w:bidi="ar-SA"/>
          <w:highlight w:val="none"/>
        </w:rPr>
        <w:t>年决算</w:t>
      </w:r>
    </w:p>
    <w:p>
      <w:pPr>
        <w:keepNext w:val="0"/>
        <w:keepLines w:val="0"/>
        <w:pageBreakBefore w:val="0"/>
        <w:widowControl w:val="0"/>
        <w:kinsoku/>
        <w:wordWrap/>
        <w:overflowPunct/>
        <w:topLinePunct w:val="0"/>
        <w:autoSpaceDE/>
        <w:autoSpaceDN/>
        <w:bidi w:val="0"/>
        <w:adjustRightInd w:val="0"/>
        <w:snapToGrid w:val="0"/>
        <w:spacing w:line="578" w:lineRule="exact"/>
        <w:contextualSpacing/>
        <w:jc w:val="both"/>
        <w:textAlignment w:val="auto"/>
        <w:outlineLvl w:val="9"/>
        <w:rPr>
          <w:rFonts w:eastAsia="仿宋_GB2312" w:cs="仿宋_GB2312" w:hint="eastAsia"/>
          <w:color w:val="auto"/>
          <w:kern w:val="2"/>
          <w:sz w:val="32"/>
          <w:szCs w:val="32"/>
          <w:lang w:val="en-US" w:eastAsia="zh-CN" w:bidi="ar-SA"/>
          <w:highlight w:val="none"/>
        </w:rPr>
      </w:pPr>
      <w:r>
        <w:rPr>
          <w:rFonts w:eastAsia="仿宋_GB2312" w:cs="仿宋_GB2312" w:hint="eastAsia"/>
          <w:color w:val="auto"/>
          <w:kern w:val="2"/>
          <w:sz w:val="32"/>
          <w:szCs w:val="32"/>
          <w:lang w:val="en-US" w:eastAsia="zh-CN" w:bidi="ar-SA"/>
          <w:highlight w:val="none"/>
        </w:rPr>
        <w:t>减少</w:t>
      </w:r>
      <w:r>
        <w:rPr>
          <w:rFonts w:ascii="Times New Roman" w:eastAsia="仿宋_GB2312" w:cs="仿宋_GB2312" w:hAnsi="Times New Roman"/>
          <w:color w:val="auto"/>
          <w:kern w:val="2"/>
          <w:sz w:val="32"/>
          <w:szCs w:val="32"/>
          <w:lang w:val="zh-CN" w:eastAsia="zh-CN" w:bidi="ar-SA"/>
          <w:highlight w:val="none"/>
        </w:rPr>
        <w:t>0.</w:t>
      </w:r>
      <w:r>
        <w:rPr>
          <w:rFonts w:eastAsia="仿宋_GB2312" w:cs="仿宋_GB2312" w:hint="eastAsia"/>
          <w:color w:val="auto"/>
          <w:kern w:val="2"/>
          <w:sz w:val="32"/>
          <w:szCs w:val="32"/>
          <w:lang w:val="en-US" w:eastAsia="zh-CN" w:bidi="ar-SA"/>
          <w:highlight w:val="none"/>
        </w:rPr>
        <w:t>57</w:t>
      </w:r>
      <w:r>
        <w:rPr>
          <w:rFonts w:ascii="Times New Roman" w:eastAsia="仿宋_GB2312" w:cs="仿宋_GB2312" w:hAnsi="Times New Roman"/>
          <w:color w:val="auto"/>
          <w:kern w:val="2"/>
          <w:sz w:val="32"/>
          <w:szCs w:val="32"/>
          <w:lang w:val="zh-CN" w:eastAsia="zh-CN" w:bidi="ar-SA"/>
          <w:highlight w:val="none"/>
        </w:rPr>
        <w:t>万元。</w:t>
      </w:r>
      <w:r>
        <w:rPr>
          <w:rFonts w:ascii="Times New Roman" w:eastAsia="仿宋_GB2312" w:cs="仿宋_GB2312" w:hAnsi="Times New Roman" w:hint="eastAsia"/>
          <w:color w:val="auto"/>
          <w:kern w:val="2"/>
          <w:sz w:val="32"/>
          <w:szCs w:val="32"/>
          <w:lang w:val="en-US" w:eastAsia="zh-CN" w:bidi="ar-SA"/>
          <w:highlight w:val="none"/>
        </w:rPr>
        <w:t>主要原因是</w:t>
      </w:r>
      <w:r>
        <w:rPr>
          <w:rFonts w:eastAsia="仿宋_GB2312" w:cs="仿宋_GB2312" w:hint="eastAsia"/>
          <w:color w:val="auto"/>
          <w:sz w:val="32"/>
          <w:szCs w:val="32"/>
          <w:lang w:val="en-US" w:eastAsia="zh-CN"/>
          <w:highlight w:val="none"/>
        </w:rPr>
        <w:t>严格落实过紧日子的要求，厉行节约，全年支出规模同比减少。</w:t>
      </w:r>
    </w:p>
    <w:p>
      <w:pPr>
        <w:keepNext w:val="0"/>
        <w:keepLines w:val="0"/>
        <w:pageBreakBefore w:val="0"/>
        <w:widowControl w:val="0"/>
        <w:numPr>
          <w:ilvl w:val="0"/>
          <w:numId w:val="6"/>
        </w:numPr>
        <w:kinsoku/>
        <w:wordWrap/>
        <w:overflowPunct/>
        <w:topLinePunct w:val="0"/>
        <w:autoSpaceDE/>
        <w:autoSpaceDN/>
        <w:bidi w:val="0"/>
        <w:adjustRightInd w:val="0"/>
        <w:snapToGrid w:val="0"/>
        <w:spacing w:line="578" w:lineRule="exact"/>
        <w:ind w:left="0" w:firstLineChars="200" w:firstLine="640"/>
        <w:contextualSpacing/>
        <w:jc w:val="both"/>
        <w:textAlignment w:val="auto"/>
        <w:outlineLvl w:val="9"/>
        <w:rPr>
          <w:rFonts w:ascii="Times New Roman" w:eastAsia="楷体_GB2312" w:cs="Times New Roman" w:hAnsi="Times New Roman"/>
          <w:b/>
          <w:bCs/>
          <w:color w:val="000000"/>
          <w:kern w:val="0"/>
          <w:sz w:val="32"/>
          <w:szCs w:val="32"/>
          <w:shd w:val="clear" w:color="auto" w:fill="FFFFFF"/>
          <w:lang w:val="zh-CN" w:eastAsia="zh-CN"/>
          <w:highlight w:val="none"/>
        </w:rPr>
      </w:pPr>
      <w:r>
        <w:rPr>
          <w:rFonts w:eastAsia="楷体_GB2312" w:cs="Times New Roman" w:hint="eastAsia"/>
          <w:b/>
          <w:bCs/>
          <w:color w:val="000000"/>
          <w:kern w:val="0"/>
          <w:sz w:val="32"/>
          <w:szCs w:val="32"/>
          <w:shd w:val="clear" w:color="auto" w:fill="FFFFFF"/>
          <w:lang w:val="en-US" w:eastAsia="zh-CN"/>
          <w:highlight w:val="none"/>
        </w:rPr>
        <w:t>综合管理</w:t>
      </w:r>
      <w:r>
        <w:rPr>
          <w:rFonts w:ascii="Times New Roman" w:eastAsia="楷体_GB2312" w:cs="Times New Roman" w:hAnsi="Times New Roman"/>
          <w:b/>
          <w:bCs/>
          <w:color w:val="000000"/>
          <w:kern w:val="0"/>
          <w:sz w:val="32"/>
          <w:szCs w:val="32"/>
          <w:shd w:val="clear" w:color="auto" w:fill="FFFFFF"/>
          <w:lang w:val="zh-CN" w:eastAsia="zh-CN"/>
          <w:highlight w:val="none"/>
        </w:rPr>
        <w:t>情况</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hint="eastAsia"/>
          <w:sz w:val="32"/>
          <w:szCs w:val="32"/>
          <w:lang w:val="zh-CN" w:eastAsia="zh-CN"/>
        </w:rPr>
      </w:pPr>
      <w:r>
        <w:rPr>
          <w:rFonts w:ascii="Times New Roman" w:eastAsia="仿宋_GB2312" w:cs="Times New Roman" w:hAnsi="Times New Roman" w:hint="eastAsia"/>
          <w:sz w:val="32"/>
          <w:szCs w:val="32"/>
          <w:lang w:val="zh-CN" w:eastAsia="zh-CN"/>
        </w:rPr>
        <w:t>根据《会计法》《预算法》和《行政单位会计制度》等法律和财政部及其省财政厅有关财务规章的规定，明确了单</w:t>
      </w:r>
    </w:p>
    <w:p>
      <w:pPr>
        <w:keepNext w:val="0"/>
        <w:keepLines w:val="0"/>
        <w:pageBreakBefore w:val="0"/>
        <w:widowControl/>
        <w:kinsoku/>
        <w:wordWrap/>
        <w:overflowPunct/>
        <w:topLinePunct w:val="0"/>
        <w:autoSpaceDE/>
        <w:autoSpaceDN/>
        <w:bidi w:val="0"/>
        <w:adjustRightInd w:val="0"/>
        <w:snapToGrid w:val="0"/>
        <w:spacing w:line="578" w:lineRule="exact"/>
        <w:contextualSpacing/>
        <w:jc w:val="left"/>
        <w:textAlignment w:val="auto"/>
        <w:outlineLvl w:val="9"/>
        <w:rPr>
          <w:rFonts w:ascii="Times New Roman" w:eastAsia="仿宋_GB2312" w:cs="Times New Roman" w:hAnsi="Times New Roman" w:hint="eastAsia"/>
          <w:sz w:val="32"/>
          <w:szCs w:val="32"/>
          <w:lang w:val="zh-CN" w:eastAsia="zh-CN"/>
        </w:rPr>
      </w:pPr>
      <w:r>
        <w:rPr>
          <w:rFonts w:ascii="Times New Roman" w:eastAsia="仿宋_GB2312" w:cs="Times New Roman" w:hAnsi="Times New Roman" w:hint="eastAsia"/>
          <w:sz w:val="32"/>
          <w:szCs w:val="32"/>
          <w:lang w:val="zh-CN" w:eastAsia="zh-CN"/>
        </w:rPr>
        <w:t>位经费审批权限及程序，经费预算、核算管理、资产购置与处置、财务监督等相关规定。按规定对本单位财务信息依法进行公开。</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sz w:val="32"/>
          <w:szCs w:val="32"/>
          <w:lang w:val="en-US" w:eastAsia="zh-CN"/>
        </w:rPr>
      </w:pPr>
      <w:r>
        <w:rPr>
          <w:rFonts w:ascii="Times New Roman" w:eastAsia="仿宋_GB2312" w:cs="Times New Roman" w:hAnsi="Times New Roman"/>
          <w:sz w:val="32"/>
          <w:szCs w:val="32"/>
          <w:lang w:val="en-US" w:eastAsia="zh-CN"/>
        </w:rPr>
        <w:t>1.资产管理</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sz w:val="32"/>
          <w:szCs w:val="32"/>
          <w:lang w:val="en-US" w:eastAsia="zh-CN"/>
        </w:rPr>
      </w:pPr>
      <w:r>
        <w:rPr>
          <w:rFonts w:ascii="Times New Roman" w:eastAsia="仿宋_GB2312" w:cs="Times New Roman" w:hAnsi="Times New Roman"/>
          <w:sz w:val="32"/>
          <w:szCs w:val="32"/>
          <w:lang w:val="en-US" w:eastAsia="zh-CN"/>
        </w:rPr>
        <w:t>由于现在的日常工作已逐步普及办公自动化，加快了办公设备淘汰更新，这就需要对固定资产进行年年清查盘点，使固定资产清查工作经常化、常态化，更好的从源头上对单位固定资产进行监控和管理。</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sz w:val="32"/>
          <w:szCs w:val="32"/>
          <w:lang w:val="en-US" w:eastAsia="zh-CN"/>
        </w:rPr>
      </w:pPr>
      <w:r>
        <w:rPr>
          <w:rFonts w:ascii="Times New Roman" w:eastAsia="仿宋_GB2312" w:cs="Times New Roman" w:hAnsi="Times New Roman"/>
          <w:sz w:val="32"/>
          <w:szCs w:val="32"/>
          <w:lang w:val="en-US" w:eastAsia="zh-CN"/>
        </w:rPr>
        <w:t>2.单位内控管理</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sz w:val="32"/>
          <w:szCs w:val="32"/>
          <w:lang w:val="en-US" w:eastAsia="zh-CN"/>
        </w:rPr>
      </w:pPr>
      <w:r>
        <w:rPr>
          <w:rFonts w:ascii="Times New Roman" w:eastAsia="仿宋_GB2312" w:cs="Times New Roman" w:hAnsi="Times New Roman"/>
          <w:sz w:val="32"/>
          <w:szCs w:val="32"/>
          <w:lang w:val="en-US" w:eastAsia="zh-CN"/>
        </w:rPr>
        <w:t>在财务管理过程中逐步建立健全财务管理制度、财务核算制度、财务报销制度等，严格按照《行政单位会计制度》和《行政单位财务规则》的规定设置会计科目，建立了科学有效的会计核算方式，各项经济活动均真实、合法、准确、及时的反应在会计账目上，建立健全内部控制制度，积极配合财政部门开展预算、决算考评工作。</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sz w:val="32"/>
          <w:szCs w:val="32"/>
          <w:lang w:val="en-US" w:eastAsia="zh-CN"/>
        </w:rPr>
      </w:pPr>
      <w:r>
        <w:rPr>
          <w:rFonts w:ascii="Times New Roman" w:eastAsia="仿宋_GB2312" w:cs="Times New Roman" w:hAnsi="Times New Roman"/>
          <w:sz w:val="32"/>
          <w:szCs w:val="32"/>
          <w:lang w:val="en-US" w:eastAsia="zh-CN"/>
        </w:rPr>
        <w:t>3.部门预算管理</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sz w:val="32"/>
          <w:szCs w:val="32"/>
          <w:lang w:val="en-US" w:eastAsia="zh-CN"/>
        </w:rPr>
      </w:pPr>
      <w:r>
        <w:rPr>
          <w:rFonts w:ascii="Times New Roman" w:eastAsia="仿宋_GB2312" w:cs="Times New Roman" w:hAnsi="Times New Roman"/>
          <w:sz w:val="32"/>
          <w:szCs w:val="32"/>
          <w:lang w:val="en-US" w:eastAsia="zh-CN"/>
        </w:rPr>
        <w:t>严格按照综合预算原则。统一编制、统一管理、统筹安排资金，将单位所有安排的各项支出纳入综合预算，确保预算全面、真实反映单位实际的收支情况，使所有收支活动纳入预算管理与监督的范围。</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sz w:val="32"/>
          <w:szCs w:val="32"/>
          <w:lang w:val="en-US" w:eastAsia="zh-CN"/>
        </w:rPr>
      </w:pPr>
      <w:r>
        <w:rPr>
          <w:rFonts w:ascii="Times New Roman" w:eastAsia="仿宋_GB2312" w:cs="Times New Roman" w:hAnsi="Times New Roman"/>
          <w:sz w:val="32"/>
          <w:szCs w:val="32"/>
          <w:lang w:val="en-US" w:eastAsia="zh-CN"/>
        </w:rPr>
        <w:t>4.绩效管理</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sz w:val="32"/>
          <w:szCs w:val="32"/>
          <w:lang w:val="en-US" w:eastAsia="zh-CN"/>
        </w:rPr>
      </w:pPr>
      <w:r>
        <w:rPr>
          <w:rFonts w:ascii="Times New Roman" w:eastAsia="仿宋_GB2312" w:cs="Times New Roman" w:hAnsi="Times New Roman"/>
          <w:sz w:val="32"/>
          <w:szCs w:val="32"/>
          <w:lang w:val="en-US" w:eastAsia="zh-CN"/>
        </w:rPr>
        <w:t>我单位领导高度重视绩效评价工作，成立了绩效评价工作领导小组，采取座谈等方式听取相关情况，检查基本支出、专项经费支出有关账目，收集整理相关资料，并对资料进行分析，形成评价结论。部门预算严格按照上级部门预算编制通知和有关要求,结合单位具体工作及县级相关规定编制，按时完成基础、项目报送工作，单位预算按时在红原县门户网站公开。严格执行支出预算，“三公经费”本着节约、高效的原则严格控制支出。认真开展部门绩效评价工作，绩效评价规章制度逐渐健全；严格按照相关法律、法规进行会计核算，严格资金管理，专款专用，资金拨付严格按相关程序报批后支付。认真开展部门整体绩效评价工作，绩效评价工作正逐步完善。</w:t>
      </w:r>
    </w:p>
    <w:p>
      <w:pPr>
        <w:keepNext w:val="0"/>
        <w:keepLines w:val="0"/>
        <w:pageBreakBefore w:val="0"/>
        <w:widowControl w:val="0"/>
        <w:numPr>
          <w:ilvl w:val="0"/>
          <w:numId w:val="6"/>
        </w:numPr>
        <w:kinsoku/>
        <w:wordWrap/>
        <w:overflowPunct/>
        <w:topLinePunct w:val="0"/>
        <w:autoSpaceDE/>
        <w:autoSpaceDN/>
        <w:bidi w:val="0"/>
        <w:adjustRightInd w:val="0"/>
        <w:snapToGrid w:val="0"/>
        <w:spacing w:line="578" w:lineRule="exact"/>
        <w:ind w:left="0" w:firstLineChars="200" w:firstLine="640"/>
        <w:contextualSpacing/>
        <w:jc w:val="both"/>
        <w:textAlignment w:val="auto"/>
        <w:outlineLvl w:val="9"/>
        <w:rPr>
          <w:rFonts w:eastAsia="楷体_GB2312" w:cs="Times New Roman"/>
          <w:b/>
          <w:bCs/>
          <w:color w:val="000000"/>
          <w:kern w:val="0"/>
          <w:sz w:val="32"/>
          <w:szCs w:val="32"/>
          <w:shd w:val="clear" w:color="auto" w:fill="FFFFFF"/>
          <w:lang w:val="en-US" w:eastAsia="zh-CN"/>
          <w:highlight w:val="none"/>
        </w:rPr>
      </w:pPr>
      <w:r>
        <w:rPr>
          <w:rFonts w:eastAsia="楷体_GB2312" w:cs="Times New Roman" w:hint="eastAsia"/>
          <w:b/>
          <w:bCs/>
          <w:color w:val="000000"/>
          <w:kern w:val="0"/>
          <w:sz w:val="32"/>
          <w:szCs w:val="32"/>
          <w:shd w:val="clear" w:color="auto" w:fill="FFFFFF"/>
          <w:lang w:val="en-US" w:eastAsia="zh-CN"/>
          <w:highlight w:val="none"/>
        </w:rPr>
        <w:t>整体绩效</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sz w:val="32"/>
          <w:szCs w:val="32"/>
          <w:lang w:val="en-US" w:eastAsia="zh-CN"/>
        </w:rPr>
      </w:pPr>
      <w:r>
        <w:rPr>
          <w:rFonts w:ascii="Times New Roman" w:eastAsia="仿宋_GB2312" w:cs="Times New Roman" w:hAnsi="Times New Roman"/>
          <w:sz w:val="32"/>
          <w:szCs w:val="32"/>
          <w:lang w:val="en-US" w:eastAsia="zh-CN"/>
        </w:rPr>
        <w:t>通过整体绩效自评，我局能按照统计工作要求有效履行职责，完成统计各项工作任务，绩效评价结果为优，县级各部门、社会公众及调查户对统计工作满意度较高。</w:t>
      </w:r>
    </w:p>
    <w:p>
      <w:pPr>
        <w:keepNext w:val="0"/>
        <w:keepLines w:val="0"/>
        <w:pageBreakBefore w:val="0"/>
        <w:widowControl w:val="0"/>
        <w:numPr>
          <w:ilvl w:val="0"/>
          <w:numId w:val="6"/>
        </w:numPr>
        <w:kinsoku/>
        <w:wordWrap/>
        <w:overflowPunct/>
        <w:topLinePunct w:val="0"/>
        <w:autoSpaceDE/>
        <w:autoSpaceDN/>
        <w:bidi w:val="0"/>
        <w:adjustRightInd w:val="0"/>
        <w:snapToGrid w:val="0"/>
        <w:spacing w:line="578" w:lineRule="exact"/>
        <w:ind w:left="0" w:firstLineChars="200" w:firstLine="640"/>
        <w:contextualSpacing/>
        <w:jc w:val="both"/>
        <w:textAlignment w:val="auto"/>
        <w:outlineLvl w:val="9"/>
        <w:rPr>
          <w:rFonts w:eastAsia="楷体_GB2312" w:cs="Times New Roman" w:hint="eastAsia"/>
          <w:b/>
          <w:bCs/>
          <w:color w:val="000000"/>
          <w:kern w:val="0"/>
          <w:sz w:val="32"/>
          <w:szCs w:val="32"/>
          <w:shd w:val="clear" w:color="auto" w:fill="FFFFFF"/>
          <w:lang w:val="en-US" w:eastAsia="zh-CN"/>
          <w:highlight w:val="none"/>
        </w:rPr>
      </w:pPr>
      <w:r>
        <w:rPr>
          <w:rFonts w:eastAsia="楷体_GB2312" w:cs="Times New Roman" w:hint="eastAsia"/>
          <w:b/>
          <w:bCs/>
          <w:color w:val="000000"/>
          <w:kern w:val="0"/>
          <w:sz w:val="32"/>
          <w:szCs w:val="32"/>
          <w:shd w:val="clear" w:color="auto" w:fill="FFFFFF"/>
          <w:lang w:val="en-US" w:eastAsia="zh-CN"/>
          <w:highlight w:val="none"/>
        </w:rPr>
        <w:t>结果应用情况</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sz w:val="32"/>
          <w:szCs w:val="32"/>
          <w:lang w:val="en-US" w:eastAsia="zh-CN"/>
        </w:rPr>
      </w:pPr>
      <w:r>
        <w:rPr>
          <w:rFonts w:ascii="Times New Roman" w:eastAsia="仿宋_GB2312" w:cs="Times New Roman" w:hAnsi="Times New Roman"/>
          <w:sz w:val="32"/>
          <w:szCs w:val="32"/>
          <w:lang w:val="en-US" w:eastAsia="zh-CN"/>
        </w:rPr>
        <w:t>202</w:t>
      </w:r>
      <w:r>
        <w:rPr>
          <w:rFonts w:eastAsia="仿宋_GB2312" w:cs="Times New Roman" w:hint="eastAsia"/>
          <w:sz w:val="32"/>
          <w:szCs w:val="32"/>
          <w:lang w:val="en-US" w:eastAsia="zh-CN"/>
        </w:rPr>
        <w:t>5</w:t>
      </w:r>
      <w:r>
        <w:rPr>
          <w:rFonts w:ascii="Times New Roman" w:eastAsia="仿宋_GB2312" w:cs="Times New Roman" w:hAnsi="Times New Roman"/>
          <w:sz w:val="32"/>
          <w:szCs w:val="32"/>
          <w:lang w:val="en-US" w:eastAsia="zh-CN"/>
        </w:rPr>
        <w:t>年我单位从收支执行，三公经费管理，预算管理,绩效管理等方面进行了详尽部门自评、202</w:t>
      </w:r>
      <w:r>
        <w:rPr>
          <w:rFonts w:eastAsia="仿宋_GB2312" w:cs="Times New Roman" w:hint="eastAsia"/>
          <w:sz w:val="32"/>
          <w:szCs w:val="32"/>
          <w:lang w:val="en-US" w:eastAsia="zh-CN"/>
        </w:rPr>
        <w:t>5</w:t>
      </w:r>
      <w:r>
        <w:rPr>
          <w:rFonts w:ascii="Times New Roman" w:eastAsia="仿宋_GB2312" w:cs="Times New Roman" w:hAnsi="Times New Roman"/>
          <w:sz w:val="32"/>
          <w:szCs w:val="32"/>
          <w:lang w:val="en-US" w:eastAsia="zh-CN"/>
        </w:rPr>
        <w:t>年预算绩效目标，项目预算绩效目标等均进行了公开，评价结果较好，对部门预算编制不够精准细化的问题将在后续工作中逐步改进。</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黑体" w:cs="Times New Roman" w:hAnsi="Times New Roman"/>
          <w:color w:val="000000"/>
          <w:kern w:val="0"/>
          <w:sz w:val="32"/>
          <w:szCs w:val="32"/>
          <w:shd w:val="clear" w:color="auto" w:fill="FFFFFF"/>
          <w:lang w:val="zh-CN"/>
          <w:highlight w:val="none"/>
        </w:rPr>
      </w:pPr>
      <w:r>
        <w:rPr>
          <w:rFonts w:ascii="Times New Roman" w:eastAsia="黑体" w:cs="Times New Roman" w:hAnsi="Times New Roman"/>
          <w:color w:val="000000"/>
          <w:kern w:val="0"/>
          <w:sz w:val="32"/>
          <w:szCs w:val="32"/>
          <w:shd w:val="clear" w:color="auto" w:fill="FFFFFF"/>
          <w:lang w:val="zh-CN" w:eastAsia="zh-CN"/>
          <w:highlight w:val="none"/>
        </w:rPr>
        <w:t>四、</w:t>
      </w:r>
      <w:r>
        <w:rPr>
          <w:rFonts w:ascii="Times New Roman" w:eastAsia="黑体" w:cs="Times New Roman" w:hAnsi="Times New Roman"/>
          <w:color w:val="000000"/>
          <w:kern w:val="0"/>
          <w:sz w:val="32"/>
          <w:szCs w:val="32"/>
          <w:shd w:val="clear" w:color="auto" w:fill="FFFFFF"/>
          <w:lang w:val="zh-CN"/>
          <w:highlight w:val="none"/>
        </w:rPr>
        <w:t>评价结论及建议</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楷体_GB2312" w:cs="Times New Roman" w:hAnsi="Times New Roman"/>
          <w:b/>
          <w:bCs/>
          <w:color w:val="000000"/>
          <w:kern w:val="0"/>
          <w:sz w:val="32"/>
          <w:szCs w:val="32"/>
          <w:shd w:val="clear" w:color="auto" w:fill="FFFFFF"/>
          <w:lang w:val="zh-CN"/>
          <w:highlight w:val="none"/>
        </w:rPr>
      </w:pPr>
      <w:r>
        <w:rPr>
          <w:rFonts w:ascii="Times New Roman" w:eastAsia="楷体_GB2312" w:cs="Times New Roman" w:hAnsi="Times New Roman"/>
          <w:b/>
          <w:bCs/>
          <w:color w:val="000000"/>
          <w:kern w:val="0"/>
          <w:sz w:val="32"/>
          <w:szCs w:val="32"/>
          <w:shd w:val="clear" w:color="auto" w:fill="FFFFFF"/>
          <w:lang w:val="zh-CN"/>
          <w:highlight w:val="none"/>
        </w:rPr>
        <w:t>（一）评价结论</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sz w:val="32"/>
          <w:szCs w:val="32"/>
          <w:u w:val="none"/>
          <w:lang w:val="en-US" w:eastAsia="zh-CN"/>
        </w:rPr>
      </w:pPr>
      <w:r>
        <w:rPr>
          <w:rFonts w:ascii="Times New Roman" w:eastAsia="仿宋_GB2312" w:cs="Times New Roman" w:hAnsi="Times New Roman" w:hint="eastAsia"/>
          <w:sz w:val="32"/>
          <w:szCs w:val="32"/>
          <w:u w:val="none"/>
          <w:lang w:val="en-US" w:eastAsia="zh-CN"/>
        </w:rPr>
        <w:t>根据《红原县部门预算绩效评价指标体系》总分95分，总体评价较好。</w:t>
      </w:r>
    </w:p>
    <w:p>
      <w:pPr>
        <w:keepNext w:val="0"/>
        <w:keepLines w:val="0"/>
        <w:pageBreakBefore w:val="0"/>
        <w:widowControl/>
        <w:numPr>
          <w:ilvl w:val="0"/>
          <w:numId w:val="7"/>
        </w:numPr>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Times New Roman" w:eastAsia="仿宋_GB2312" w:cs="Times New Roman" w:hAnsi="Times New Roman" w:hint="eastAsia"/>
          <w:sz w:val="32"/>
          <w:szCs w:val="32"/>
          <w:u w:val="none"/>
          <w:lang w:val="en-US" w:eastAsia="zh-CN"/>
        </w:rPr>
      </w:pPr>
      <w:r>
        <w:rPr>
          <w:rFonts w:ascii="Times New Roman" w:eastAsia="楷体_GB2312" w:cs="Times New Roman" w:hAnsi="Times New Roman"/>
          <w:b/>
          <w:bCs/>
          <w:color w:val="000000"/>
          <w:kern w:val="0"/>
          <w:sz w:val="32"/>
          <w:szCs w:val="32"/>
          <w:shd w:val="clear" w:color="auto" w:fill="FFFFFF"/>
          <w:lang w:val="zh-CN"/>
          <w:highlight w:val="none"/>
        </w:rPr>
        <w:t>存在问题</w:t>
      </w:r>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hint="eastAsia"/>
          <w:sz w:val="32"/>
          <w:szCs w:val="32"/>
          <w:u w:val="none"/>
          <w:lang w:val="en-US" w:eastAsia="zh-CN"/>
        </w:rPr>
      </w:pPr>
      <w:r>
        <w:rPr>
          <w:rFonts w:ascii="Times New Roman" w:eastAsia="仿宋_GB2312" w:cs="Times New Roman" w:hAnsi="Times New Roman" w:hint="eastAsia"/>
          <w:sz w:val="32"/>
          <w:szCs w:val="32"/>
          <w:u w:val="none"/>
          <w:lang w:val="en-US" w:eastAsia="zh-CN"/>
        </w:rPr>
        <w:t>财务内控管理方法、制度不够完善，信息化建设为短板，绩效管理经验不足。财务人员不够专业，预算编制不够精准，绩效评价指标体系设置难度大，缺乏实操，在今后的工作中需进一步完善。</w:t>
      </w:r>
    </w:p>
    <w:p>
      <w:pPr>
        <w:keepNext w:val="0"/>
        <w:keepLines w:val="0"/>
        <w:pageBreakBefore w:val="0"/>
        <w:widowControl/>
        <w:numPr>
          <w:ilvl w:val="0"/>
          <w:numId w:val="7"/>
        </w:numPr>
        <w:kinsoku/>
        <w:wordWrap/>
        <w:overflowPunct/>
        <w:topLinePunct w:val="0"/>
        <w:autoSpaceDE/>
        <w:autoSpaceDN/>
        <w:bidi w:val="0"/>
        <w:adjustRightInd w:val="0"/>
        <w:snapToGrid w:val="0"/>
        <w:spacing w:line="578" w:lineRule="exact"/>
        <w:ind w:left="0" w:firstLineChars="200" w:firstLine="640"/>
        <w:contextualSpacing/>
        <w:jc w:val="left"/>
        <w:textAlignment w:val="auto"/>
        <w:outlineLvl w:val="9"/>
        <w:rPr>
          <w:rFonts w:ascii="Times New Roman" w:eastAsia="楷体_GB2312" w:cs="Times New Roman" w:hAnsi="Times New Roman"/>
          <w:b/>
          <w:bCs/>
          <w:color w:val="000000"/>
          <w:kern w:val="0"/>
          <w:sz w:val="32"/>
          <w:szCs w:val="32"/>
          <w:shd w:val="clear" w:color="auto" w:fill="FFFFFF"/>
          <w:lang w:val="zh-CN" w:eastAsia="zh-CN"/>
          <w:highlight w:val="none"/>
        </w:rPr>
      </w:pPr>
      <w:r>
        <w:rPr>
          <w:rFonts w:ascii="Times New Roman" w:eastAsia="楷体_GB2312" w:cs="Times New Roman" w:hAnsi="Times New Roman"/>
          <w:b/>
          <w:bCs/>
          <w:color w:val="000000"/>
          <w:kern w:val="0"/>
          <w:sz w:val="32"/>
          <w:szCs w:val="32"/>
          <w:shd w:val="clear" w:color="auto" w:fill="FFFFFF"/>
          <w:lang w:val="zh-CN" w:eastAsia="zh-CN"/>
          <w:highlight w:val="none"/>
        </w:rPr>
        <w:t>改进建议</w:t>
      </w:r>
      <w:bookmarkStart w:id="55" w:name="_Hlk110546638"/>
    </w:p>
    <w:p>
      <w:pPr>
        <w:keepNext w:val="0"/>
        <w:keepLines w:val="0"/>
        <w:pageBreakBefore w:val="0"/>
        <w:widowControl/>
        <w:kinsoku/>
        <w:wordWrap/>
        <w:overflowPunct/>
        <w:topLinePunct w:val="0"/>
        <w:autoSpaceDE/>
        <w:autoSpaceDN/>
        <w:bidi w:val="0"/>
        <w:adjustRightInd w:val="0"/>
        <w:snapToGrid w:val="0"/>
        <w:spacing w:line="578" w:lineRule="exact"/>
        <w:ind w:firstLineChars="200" w:firstLine="640"/>
        <w:contextualSpacing/>
        <w:jc w:val="left"/>
        <w:textAlignment w:val="auto"/>
        <w:outlineLvl w:val="9"/>
        <w:rPr>
          <w:rFonts w:ascii="Times New Roman" w:eastAsia="仿宋_GB2312" w:cs="Times New Roman" w:hAnsi="Times New Roman" w:hint="eastAsia"/>
          <w:sz w:val="32"/>
          <w:szCs w:val="32"/>
          <w:u w:val="none"/>
          <w:lang w:val="en-US" w:eastAsia="zh-CN"/>
        </w:rPr>
      </w:pPr>
      <w:r>
        <w:rPr>
          <w:rFonts w:ascii="Times New Roman" w:eastAsia="仿宋_GB2312" w:cs="Times New Roman" w:hAnsi="Times New Roman" w:hint="eastAsia"/>
          <w:sz w:val="32"/>
          <w:szCs w:val="32"/>
          <w:u w:val="none"/>
          <w:lang w:val="en-US" w:eastAsia="zh-CN"/>
        </w:rPr>
        <w:t>加强财务人员培训，由具有会计从业资格人员担任财务工作。</w:t>
      </w:r>
    </w:p>
    <w:p>
      <w:pPr>
        <w:pStyle w:val="17"/>
        <w:keepNext w:val="0"/>
        <w:keepLines w:val="0"/>
        <w:pageBreakBefore w:val="0"/>
        <w:kinsoku/>
        <w:wordWrap/>
        <w:overflowPunct/>
        <w:topLinePunct w:val="0"/>
        <w:autoSpaceDE/>
        <w:autoSpaceDN/>
        <w:bidi w:val="0"/>
        <w:spacing w:line="560" w:lineRule="exact"/>
        <w:ind w:firstLineChars="200" w:firstLine="640"/>
        <w:textAlignment w:val="auto"/>
        <w:rPr>
          <w:rFonts w:ascii="Times New Roman" w:eastAsia="仿宋_GB2312" w:cs="Times New Roman" w:hAnsi="Times New Roman" w:hint="eastAsia"/>
          <w:kern w:val="2"/>
          <w:sz w:val="32"/>
          <w:szCs w:val="32"/>
          <w:u w:val="none"/>
          <w:lang w:val="zh-CN" w:eastAsia="zh-CN"/>
        </w:rPr>
      </w:pPr>
      <w:bookmarkEnd w:id="55"/>
    </w:p>
    <w:p>
      <w:pPr>
        <w:pStyle w:val="17"/>
        <w:keepNext w:val="0"/>
        <w:keepLines w:val="0"/>
        <w:pageBreakBefore w:val="0"/>
        <w:kinsoku/>
        <w:wordWrap/>
        <w:overflowPunct/>
        <w:topLinePunct w:val="0"/>
        <w:autoSpaceDE/>
        <w:autoSpaceDN/>
        <w:bidi w:val="0"/>
        <w:spacing w:line="560" w:lineRule="exact"/>
        <w:textAlignment w:val="auto"/>
        <w:rPr>
          <w:rFonts w:ascii="Times New Roman" w:cs="Times New Roman" w:hAnsi="Times New Roman" w:hint="eastAsia"/>
          <w:sz w:val="32"/>
          <w:szCs w:val="32"/>
          <w:lang w:val="zh-CN" w:eastAsia="zh-CN"/>
          <w:highlight w:val="yellow"/>
        </w:rPr>
      </w:pPr>
    </w:p>
    <w:p>
      <w:pPr>
        <w:pStyle w:val="18"/>
        <w:rPr>
          <w:rFonts w:ascii="Times New Roman" w:cs="宋体" w:hAnsi="Times New Roman" w:hint="eastAsia"/>
          <w:color w:val="FF0000"/>
          <w:kern w:val="0"/>
          <w:sz w:val="32"/>
          <w:szCs w:val="32"/>
          <w:shd w:val="clear" w:color="auto" w:fill="FFFFFF"/>
          <w:lang w:val="zh-CN"/>
          <w:highlight w:val="yellow"/>
        </w:rPr>
      </w:pPr>
    </w:p>
    <w:p>
      <w:pPr>
        <w:rPr>
          <w:rFonts w:ascii="Times New Roman" w:eastAsia="黑体" w:cs="黑体" w:hAnsi="Times New Roman" w:hint="eastAsia"/>
          <w:color w:val="auto"/>
          <w:kern w:val="0"/>
          <w:sz w:val="32"/>
          <w:szCs w:val="32"/>
          <w:shd w:val="clear" w:color="auto" w:fill="FFFFFF"/>
          <w:lang w:val="zh-CN"/>
          <w:highlight w:val="none"/>
        </w:rPr>
      </w:pPr>
      <w:r>
        <w:rPr>
          <w:rFonts w:ascii="Times New Roman" w:eastAsia="黑体" w:cs="黑体" w:hAnsi="Times New Roman" w:hint="eastAsia"/>
          <w:color w:val="auto"/>
          <w:kern w:val="0"/>
          <w:sz w:val="32"/>
          <w:szCs w:val="32"/>
          <w:shd w:val="clear" w:color="auto" w:fill="FFFFFF"/>
          <w:lang w:val="zh-CN"/>
          <w:highlight w:val="none"/>
        </w:rPr>
        <w:br w:type="page"/>
      </w:r>
    </w:p>
    <w:p>
      <w:pPr>
        <w:widowControl/>
        <w:jc w:val="center"/>
        <w:rPr>
          <w:rFonts w:ascii="Times New Roman" w:eastAsia="仿宋" w:hAnsi="Times New Roman" w:hint="eastAsia"/>
          <w:b w:val="0"/>
          <w:color w:val="auto"/>
          <w:highlight w:val="none"/>
        </w:rPr>
      </w:pPr>
      <w:bookmarkStart w:id="56" w:name="_Toc15396618"/>
      <w:bookmarkStart w:id="57" w:name="_GoBack"/>
      <w:bookmarkEnd w:id="57"/>
      <w:r>
        <w:rPr>
          <w:rFonts w:ascii="Times New Roman" w:eastAsia="黑体" w:hAnsi="Times New Roman" w:hint="eastAsia"/>
          <w:color w:val="auto"/>
          <w:sz w:val="44"/>
          <w:szCs w:val="44"/>
          <w:highlight w:val="none"/>
        </w:rPr>
        <w:t>第</w:t>
      </w:r>
      <w:r>
        <w:rPr>
          <w:rStyle w:val="1Char"/>
          <w:rFonts w:ascii="Times New Roman" w:eastAsia="黑体" w:hAnsi="Times New Roman" w:hint="eastAsia"/>
          <w:b w:val="0"/>
          <w:color w:val="auto"/>
          <w:highlight w:val="none"/>
        </w:rPr>
        <w:t>五部分 附表</w:t>
      </w:r>
      <w:bookmarkStart w:id="58" w:name="_Toc15396619"/>
      <w:bookmarkEnd w:id="53"/>
      <w:bookmarkEnd w:id="56"/>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一、收入支出决算总表</w:t>
      </w:r>
      <w:bookmarkEnd w:id="58"/>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59" w:name="_Toc15396620"/>
      <w:r>
        <w:rPr>
          <w:rFonts w:ascii="Times New Roman" w:eastAsia="仿宋_GB2312" w:cs="仿宋_GB2312" w:hAnsi="Times New Roman" w:hint="eastAsia"/>
          <w:color w:val="auto"/>
          <w:sz w:val="32"/>
          <w:szCs w:val="32"/>
          <w:highlight w:val="none"/>
        </w:rPr>
        <w:t>二、收入决算表</w:t>
      </w:r>
      <w:bookmarkEnd w:id="59"/>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60" w:name="_Toc15396621"/>
      <w:r>
        <w:rPr>
          <w:rFonts w:ascii="Times New Roman" w:eastAsia="仿宋_GB2312" w:cs="仿宋_GB2312" w:hAnsi="Times New Roman" w:hint="eastAsia"/>
          <w:color w:val="auto"/>
          <w:sz w:val="32"/>
          <w:szCs w:val="32"/>
          <w:highlight w:val="none"/>
        </w:rPr>
        <w:t>三、支出决算表</w:t>
      </w:r>
      <w:bookmarkEnd w:id="60"/>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61" w:name="_Toc15396622"/>
      <w:r>
        <w:rPr>
          <w:rFonts w:ascii="Times New Roman" w:eastAsia="仿宋_GB2312" w:cs="仿宋_GB2312" w:hAnsi="Times New Roman" w:hint="eastAsia"/>
          <w:color w:val="auto"/>
          <w:sz w:val="32"/>
          <w:szCs w:val="32"/>
          <w:highlight w:val="none"/>
        </w:rPr>
        <w:t>四、财政拨款收入支出决算总表</w:t>
      </w:r>
      <w:bookmarkEnd w:id="61"/>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62" w:name="_Toc15396623"/>
      <w:r>
        <w:rPr>
          <w:rFonts w:ascii="Times New Roman" w:eastAsia="仿宋_GB2312" w:cs="仿宋_GB2312" w:hAnsi="Times New Roman" w:hint="eastAsia"/>
          <w:color w:val="auto"/>
          <w:sz w:val="32"/>
          <w:szCs w:val="32"/>
          <w:highlight w:val="none"/>
        </w:rPr>
        <w:t>五、财政拨款支出决算明细表</w:t>
      </w:r>
      <w:bookmarkStart w:id="63" w:name="_Toc15396624"/>
      <w:bookmarkEnd w:id="62"/>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r>
        <w:rPr>
          <w:rFonts w:ascii="Times New Roman" w:eastAsia="仿宋_GB2312" w:cs="仿宋_GB2312" w:hAnsi="Times New Roman" w:hint="eastAsia"/>
          <w:color w:val="auto"/>
          <w:sz w:val="32"/>
          <w:szCs w:val="32"/>
          <w:highlight w:val="none"/>
        </w:rPr>
        <w:t>六、一般公共预算财政拨款支出决算表</w:t>
      </w:r>
      <w:bookmarkEnd w:id="63"/>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64" w:name="_Toc15396625"/>
      <w:r>
        <w:rPr>
          <w:rFonts w:ascii="Times New Roman" w:eastAsia="仿宋_GB2312" w:cs="仿宋_GB2312" w:hAnsi="Times New Roman" w:hint="eastAsia"/>
          <w:color w:val="auto"/>
          <w:sz w:val="32"/>
          <w:szCs w:val="32"/>
          <w:highlight w:val="none"/>
        </w:rPr>
        <w:t>七、一般公共预算财政拨款支出决算明细表</w:t>
      </w:r>
      <w:bookmarkEnd w:id="64"/>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65" w:name="_Toc15396626"/>
      <w:r>
        <w:rPr>
          <w:rFonts w:ascii="Times New Roman" w:eastAsia="仿宋_GB2312" w:cs="仿宋_GB2312" w:hAnsi="Times New Roman" w:hint="eastAsia"/>
          <w:color w:val="auto"/>
          <w:sz w:val="32"/>
          <w:szCs w:val="32"/>
          <w:highlight w:val="none"/>
        </w:rPr>
        <w:t>八、一般公共预算财政拨款基本支出决算表</w:t>
      </w:r>
      <w:bookmarkEnd w:id="65"/>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66" w:name="_Toc15396627"/>
      <w:r>
        <w:rPr>
          <w:rFonts w:ascii="Times New Roman" w:eastAsia="仿宋_GB2312" w:cs="仿宋_GB2312" w:hAnsi="Times New Roman" w:hint="eastAsia"/>
          <w:color w:val="auto"/>
          <w:sz w:val="32"/>
          <w:szCs w:val="32"/>
          <w:highlight w:val="none"/>
        </w:rPr>
        <w:t>九、一般公共预算财政拨款项目支出决算表</w:t>
      </w:r>
      <w:bookmarkEnd w:id="66"/>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67" w:name="_Toc15396628"/>
      <w:r>
        <w:rPr>
          <w:rFonts w:ascii="Times New Roman" w:eastAsia="仿宋_GB2312" w:cs="仿宋_GB2312" w:hAnsi="Times New Roman" w:hint="eastAsia"/>
          <w:color w:val="auto"/>
          <w:sz w:val="32"/>
          <w:szCs w:val="32"/>
          <w:highlight w:val="none"/>
        </w:rPr>
        <w:t>十、</w:t>
      </w:r>
      <w:bookmarkEnd w:id="67"/>
      <w:r>
        <w:rPr>
          <w:rFonts w:ascii="Times New Roman" w:eastAsia="仿宋_GB2312" w:cs="仿宋_GB2312" w:hAnsi="Times New Roman" w:hint="eastAsia"/>
          <w:color w:val="auto"/>
          <w:sz w:val="32"/>
          <w:szCs w:val="32"/>
          <w:highlight w:val="none"/>
        </w:rPr>
        <w:t>政府性基金预算财政拨款收入支出决算表</w:t>
      </w:r>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68" w:name="_Toc15396629"/>
      <w:r>
        <w:rPr>
          <w:rFonts w:ascii="Times New Roman" w:eastAsia="仿宋_GB2312" w:cs="仿宋_GB2312" w:hAnsi="Times New Roman" w:hint="eastAsia"/>
          <w:color w:val="auto"/>
          <w:sz w:val="32"/>
          <w:szCs w:val="32"/>
          <w:highlight w:val="none"/>
        </w:rPr>
        <w:t>十一、</w:t>
      </w:r>
      <w:bookmarkEnd w:id="68"/>
      <w:r>
        <w:rPr>
          <w:rFonts w:ascii="Times New Roman" w:eastAsia="仿宋_GB2312" w:cs="仿宋_GB2312" w:hAnsi="Times New Roman" w:hint="eastAsia"/>
          <w:color w:val="auto"/>
          <w:sz w:val="32"/>
          <w:szCs w:val="32"/>
          <w:highlight w:val="none"/>
        </w:rPr>
        <w:t>国有资本经营预算</w:t>
      </w:r>
      <w:r>
        <w:rPr>
          <w:rFonts w:ascii="Times New Roman" w:eastAsia="仿宋_GB2312" w:cs="仿宋_GB2312" w:hAnsi="Times New Roman" w:hint="eastAsia"/>
          <w:color w:val="auto"/>
          <w:sz w:val="32"/>
          <w:szCs w:val="32"/>
          <w:lang w:eastAsia="zh-CN"/>
          <w:highlight w:val="none"/>
        </w:rPr>
        <w:t>财政拨款收入</w:t>
      </w:r>
      <w:r>
        <w:rPr>
          <w:rFonts w:ascii="Times New Roman" w:eastAsia="仿宋_GB2312" w:cs="仿宋_GB2312" w:hAnsi="Times New Roman" w:hint="eastAsia"/>
          <w:color w:val="auto"/>
          <w:sz w:val="32"/>
          <w:szCs w:val="32"/>
          <w:highlight w:val="none"/>
        </w:rPr>
        <w:t>支出决算表</w:t>
      </w:r>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highlight w:val="none"/>
        </w:rPr>
      </w:pPr>
      <w:bookmarkStart w:id="69" w:name="_Toc15396630"/>
      <w:r>
        <w:rPr>
          <w:rFonts w:ascii="Times New Roman" w:eastAsia="仿宋_GB2312" w:cs="仿宋_GB2312" w:hAnsi="Times New Roman" w:hint="eastAsia"/>
          <w:color w:val="auto"/>
          <w:sz w:val="32"/>
          <w:szCs w:val="32"/>
          <w:highlight w:val="none"/>
        </w:rPr>
        <w:t>十二、</w:t>
      </w:r>
      <w:bookmarkEnd w:id="69"/>
      <w:r>
        <w:rPr>
          <w:rFonts w:ascii="Times New Roman" w:eastAsia="仿宋_GB2312" w:cs="仿宋_GB2312" w:hAnsi="Times New Roman" w:hint="eastAsia"/>
          <w:color w:val="auto"/>
          <w:sz w:val="32"/>
          <w:szCs w:val="32"/>
          <w:lang w:eastAsia="zh-CN"/>
          <w:highlight w:val="none"/>
        </w:rPr>
        <w:t>国有资本经营预算财政拨款支出决算表</w:t>
      </w:r>
    </w:p>
    <w:p>
      <w:pPr>
        <w:pStyle w:val="24"/>
        <w:keepNext w:val="0"/>
        <w:keepLines w:val="0"/>
        <w:pageBreakBefore w:val="0"/>
        <w:tabs>
          <w:tab w:val="right" w:leader="dot" w:pos="8296"/>
        </w:tabs>
        <w:kinsoku/>
        <w:wordWrap/>
        <w:overflowPunct/>
        <w:topLinePunct w:val="0"/>
        <w:autoSpaceDE/>
        <w:autoSpaceDN/>
        <w:bidi w:val="0"/>
        <w:adjustRightInd w:val="0"/>
        <w:snapToGrid w:val="0"/>
        <w:spacing w:line="560" w:lineRule="exact"/>
        <w:jc w:val="left"/>
        <w:textAlignment w:val="auto"/>
        <w:rPr>
          <w:rFonts w:ascii="Times New Roman" w:eastAsia="仿宋_GB2312" w:cs="仿宋_GB2312" w:hAnsi="Times New Roman" w:hint="eastAsia"/>
          <w:color w:val="auto"/>
          <w:sz w:val="32"/>
          <w:szCs w:val="32"/>
          <w:lang w:eastAsia="zh-CN"/>
          <w:highlight w:val="none"/>
        </w:rPr>
      </w:pPr>
      <w:bookmarkStart w:id="70" w:name="_Toc15396631"/>
      <w:r>
        <w:rPr>
          <w:rFonts w:ascii="Times New Roman" w:eastAsia="仿宋_GB2312" w:cs="仿宋_GB2312" w:hAnsi="Times New Roman" w:hint="eastAsia"/>
          <w:color w:val="auto"/>
          <w:sz w:val="32"/>
          <w:szCs w:val="32"/>
          <w:highlight w:val="none"/>
        </w:rPr>
        <w:t>十三、</w:t>
      </w:r>
      <w:bookmarkEnd w:id="70"/>
      <w:r>
        <w:rPr>
          <w:rFonts w:ascii="Times New Roman" w:eastAsia="仿宋_GB2312" w:cs="仿宋_GB2312" w:hAnsi="Times New Roman" w:hint="eastAsia"/>
          <w:color w:val="auto"/>
          <w:sz w:val="32"/>
          <w:szCs w:val="32"/>
          <w:lang w:eastAsia="zh-CN"/>
          <w:highlight w:val="none"/>
        </w:rPr>
        <w:t>财政拨款“三公”经费支出决算表</w:t>
      </w:r>
    </w:p>
    <w:p>
      <w:pPr>
        <w:rPr>
          <w:rFonts w:ascii="Times New Roman" w:hAnsi="Times New Roman" w:hint="eastAsia"/>
          <w:lang w:eastAsia="zh-CN"/>
        </w:rPr>
      </w:pPr>
    </w:p>
    <w:sectPr>
      <w:footerReference w:type="default" r:id="rId8"/>
      <w:pgSz w:w="11906" w:h="16838"/>
      <w:pgMar w:top="1440" w:right="1800" w:bottom="1440" w:left="1800" w:header="851" w:footer="992" w:gutter="0"/>
      <w:pgNumType w:start="1"/>
      <w:cols w:num="1" w:space="425"/>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1"/>
    <w:family w:val="auto"/>
    <w:pitch w:val="variable"/>
    <w:sig w:usb0="E0002EFF" w:usb1="C000785B" w:usb2="00000009" w:usb3="00000000" w:csb0="400001FF" w:csb1="FFFF0000"/>
  </w:font>
  <w:font w:name="方正小标宋简体">
    <w:panose1 w:val="02000000000000000000"/>
    <w:charset w:val="86"/>
    <w:family w:val="script"/>
    <w:pitch w:val="variable"/>
    <w:sig w:usb0="00000001" w:usb1="08000000" w:usb2="00000000" w:usb3="00000000" w:csb0="00040000" w:csb1="00000000"/>
  </w:font>
  <w:font w:name="仿宋_GB2312">
    <w:panose1 w:val="02010609030101010101"/>
    <w:charset w:val="86"/>
    <w:family w:val="modern"/>
    <w:pitch w:val="variable"/>
    <w:sig w:usb0="00000001" w:usb1="080E0000" w:usb2="00000000" w:usb3="00000000" w:csb0="00040000" w:csb1="00000000"/>
  </w:font>
  <w:font w:name="黑体">
    <w:panose1 w:val="02010609060101010101"/>
    <w:charset w:val="86"/>
    <w:family w:val="auto"/>
    <w:pitch w:val="variable"/>
    <w:sig w:usb0="800002BF" w:usb1="38CF7CFA" w:usb2="00000016" w:usb3="00000000" w:csb0="00040001" w:csb1="00000000"/>
  </w:font>
  <w:font w:name="宋体">
    <w:panose1 w:val="02010600030101010101"/>
    <w:charset w:val="7A"/>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仿宋">
    <w:altName w:val="方正仿宋_GBK"/>
    <w:panose1 w:val="02010609060101010101"/>
    <w:charset w:val="86"/>
    <w:family w:val="modern"/>
    <w:pitch w:val="variable"/>
    <w:sig w:usb0="800002BF" w:usb1="38CF7CFA" w:usb2="00000016" w:usb3="00000000" w:csb0="00040001" w:csb1="00000000"/>
  </w:font>
  <w:font w:name="楷体_GB2312">
    <w:panose1 w:val="02010609030101010101"/>
    <w:charset w:val="86"/>
    <w:family w:val="auto"/>
    <w:pitch w:val="variable"/>
    <w:sig w:usb0="00000001" w:usb1="080E0000" w:usb2="00000000" w:usb3="00000000" w:csb0="00040000" w:csb1="00000000"/>
  </w:font>
  <w:font w:name="Lucida Sans">
    <w:panose1 w:val="020B0602030504020204"/>
    <w:charset w:val="00"/>
    <w:family w:val="auto"/>
    <w:pitch w:val="variable"/>
    <w:sig w:usb0="00000003" w:usb1="00000000" w:usb2="00000000" w:usb3="00000000" w:csb0="20000001" w:csb1="00000000"/>
  </w:font>
  <w:font w:name="Cambria">
    <w:altName w:val="Arial"/>
    <w:panose1 w:val="02040503050406030204"/>
    <w:charset w:val="00"/>
    <w:family w:val="roman"/>
    <w:pitch w:val="variable"/>
    <w:sig w:usb0="E00006FF" w:usb1="420024FF" w:usb2="02000000" w:usb3="00000000" w:csb0="2000019F" w:csb1="00000000"/>
  </w:font>
  <w:font w:name="Calibri">
    <w:panose1 w:val="020F0502020204030204"/>
    <w:charset w:val="00"/>
    <w:family w:val="swiss"/>
    <w:pitch w:val="variable"/>
    <w:sig w:usb0="E4002EFF" w:usb1="C000247B" w:usb2="00000009" w:usb3="00000000" w:csb0="200001FF" w:csb1="00000000"/>
  </w:font>
  <w:font w:name="??">
    <w:altName w:val="Arial"/>
    <w:panose1 w:val="00000000000000000000"/>
    <w:charset w:val="00"/>
    <w:family w:val="roman"/>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1"/>
      <w:tabs>
        <w:tab w:val="center" w:pos="4153"/>
        <w:tab w:val="right" w:pos="8306"/>
      </w:tabs>
      <w:jc w:val="center"/>
    </w:pPr>
  </w:p>
  <w:p>
    <w:pPr>
      <w:pStyle w:val="21"/>
      <w:tabs>
        <w:tab w:val="center" w:pos="4153"/>
        <w:tab w:val="right" w:pos="8306"/>
      </w:tabs>
    </w:pP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1"/>
      <w:tabs>
        <w:tab w:val="center" w:pos="4153"/>
        <w:tab w:val="right" w:pos="8306"/>
      </w:tabs>
      <w:jc w:val="center"/>
    </w:pPr>
  </w:p>
  <w:p>
    <w:pPr>
      <w:pStyle w:val="21"/>
      <w:tabs>
        <w:tab w:val="center" w:pos="4153"/>
        <w:tab w:val="right" w:pos="8306"/>
      </w:tabs>
    </w:pPr>
  </w:p>
</w:ftr>
</file>

<file path=word/footer3.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1"/>
      <w:tabs>
        <w:tab w:val="center" w:pos="4153"/>
        <w:tab w:val="right" w:pos="8306"/>
      </w:tabs>
    </w:pPr>
  </w:p>
</w:ftr>
</file>

<file path=word/footer4.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1"/>
      <w:tabs>
        <w:tab w:val="center" w:pos="4153"/>
        <w:tab w:val="right" w:pos="8306"/>
      </w:tabs>
      <w:jc w:val="center"/>
    </w:pPr>
  </w:p>
  <w:p>
    <w:pPr>
      <w:pStyle w:val="21"/>
      <w:tabs>
        <w:tab w:val="center" w:pos="4153"/>
        <w:tab w:val="right" w:pos="8306"/>
      </w:tabs>
    </w:pPr>
  </w:p>
</w:ftr>
</file>

<file path=word/footer5.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1"/>
      <w:tabs>
        <w:tab w:val="center" w:pos="4153"/>
        <w:tab w:val="right" w:pos="8306"/>
      </w:tabs>
    </w:pPr>
    <w:r>
      <w:rPr>
        <w:sz w:val="18"/>
      </w:rPr>
      <mc:AlternateContent>
        <mc:Choice Requires="wps">
          <w:drawing>
            <wp:anchor distT="0" distB="0" distL="114300" distR="114300" simplePos="0" relativeHeight="29" behindDoc="0" locked="0" layoutInCell="1" hidden="0" allowOverlap="1">
              <wp:simplePos x="0" y="0"/>
              <wp:positionH relativeFrom="margin">
                <wp:align>center</wp:align>
              </wp:positionH>
              <wp:positionV relativeFrom="paragraph">
                <wp:posOffset>0</wp:posOffset>
              </wp:positionV>
              <wp:extent cx="179598" cy="139526"/>
              <wp:wrapNone/>
              <wp:docPr id="6" name="文本框 6"/>
              <wp:cNvGraphicFramePr>
                <a:graphicFrameLocks noChangeAspect="0"/>
              </wp:cNvGraphicFramePr>
              <a:graphic>
                <a:graphicData uri="http://schemas.microsoft.com/office/word/2010/wordprocessingShape">
                  <wps:wsp>
                    <wps:cNvSpPr/>
                    <wps:spPr>
                      <a:xfrm rot="0">
                        <a:off x="0" y="0"/>
                        <a:ext cx="179598" cy="139526"/>
                      </a:xfrm>
                      <a:prstGeom prst="rect"/>
                      <a:noFill/>
                      <a:ln w="6350" cmpd="sng" cap="flat">
                        <a:noFill/>
                        <a:prstDash val="solid"/>
                        <a:round/>
                      </a:ln>
                    </wps:spPr>
                    <wps:txbx id="1">
                      <w:txbxContent>
                        <w:p>
                          <w:pPr>
                            <w:pStyle w:val="21"/>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rect type="#_x0000_t1" id="文本框 6" o:spid="_x0000_s2" filled="f" stroked="f" strokeweight="0.5pt" style="position:absolute;margin-left:0.0pt;margin-top:0.0pt;width:14.141602pt;height:10.986328pt;z-index:29;mso-position-horizontal:center;mso-position-horizontal-relative:margin;mso-position-vertical:absolute;mso-wrap-style:none;">
              <v:stroke/>
              <v:textbox id="848" inset="0mm,0mm,0mm,0mm" o:insetmode="custom" style="layout-flow:horizontal;v-text-anchor:top;mso-fit-shape-to-text:t;">
                <w:txbxContent>
                  <w:p>
                    <w:pPr>
                      <w:pStyle w:val="21"/>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rect>
          </w:pict>
        </mc:Fallback>
      </mc:AlternateContent>
    </w:r>
  </w:p>
</w:ftr>
</file>

<file path=word/footer6.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1"/>
      <w:framePr w:w="0" w:hRule="auto" w:wrap="around" w:vAnchor="text" w:hAnchor="margin" w:xAlign="center" w:y="1" w:anchorLock="0"/>
      <w:pBdr>
        <w:top w:val="none" w:sz="0" w:space="0" w:color="auto"/>
        <w:left w:val="none" w:sz="0" w:space="0" w:color="auto"/>
        <w:bottom w:val="none" w:sz="0" w:space="0" w:color="auto"/>
        <w:right w:val="none" w:sz="0" w:space="0" w:color="auto"/>
      </w:pBdr>
      <w:tabs>
        <w:tab w:val="center" w:pos="4153"/>
        <w:tab w:val="right" w:pos="8306"/>
      </w:tabs>
    </w:pPr>
    <w:r>
      <w:rPr>
        <w:rStyle w:val="57"/>
      </w:rPr>
      <w:fldChar w:fldCharType="begin"/>
    </w:r>
    <w:r>
      <w:rPr>
        <w:rStyle w:val="57"/>
      </w:rPr>
      <w:instrText>Page</w:instrText>
    </w:r>
    <w:r>
      <w:rPr>
        <w:rStyle w:val="57"/>
      </w:rPr>
      <w:fldChar w:fldCharType="separate"/>
    </w:r>
    <w:r>
      <w:rPr>
        <w:rStyle w:val="57"/>
      </w:rPr>
      <w:t>1</w:t>
    </w:r>
    <w:r>
      <w:rPr>
        <w:rStyle w:val="57"/>
      </w:rPr>
      <w:fldChar w:fldCharType="end"/>
    </w:r>
  </w:p>
  <w:p>
    <w:pPr>
      <w:pStyle w:val="21"/>
      <w:tabs>
        <w:tab w:val="center" w:pos="4153"/>
        <w:tab w:val="right" w:pos="8306"/>
      </w:tabs>
      <w:jc w:val="center"/>
    </w:pPr>
  </w:p>
  <w:p>
    <w:pPr>
      <w:pStyle w:val="21"/>
      <w:tabs>
        <w:tab w:val="center" w:pos="4153"/>
        <w:tab w:val="right" w:pos="8306"/>
      </w:tabs>
    </w:pP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2"/>
      <w:pBdr>
        <w:bottom w:val="none" w:sz="0" w:space="0" w:color="auto"/>
      </w:pBdr>
      <w:tabs>
        <w:tab w:val="center" w:pos="4153"/>
        <w:tab w:val="right" w:pos="8306"/>
      </w:tabs>
    </w:pP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43328525"/>
    <w:multiLevelType w:val="hybridMultilevel"/>
    <w:tmpl w:val="00000000"/>
    <w:lvl w:ilvl="0">
      <w:start w:val="1"/>
      <w:numFmt w:val="chineseCountingThousand"/>
      <w:lvlRestart w:val="0"/>
      <w:suff w:val="nothing"/>
      <w:lvlText w:val="%1、"/>
      <w:lvlJc w:val="left"/>
      <w:pPr>
        <w:ind w:left="0" w:hanging="0"/>
      </w:pPr>
      <w:rPr>
        <w:rFonts w:eastAsia="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000000A"/>
    <w:multiLevelType w:val="singleLevel"/>
    <w:tmpl w:val="0000000A"/>
    <w:lvl w:ilvl="0">
      <w:start w:val="8"/>
      <w:numFmt w:val="chineseCounting"/>
      <w:lvlRestart w:val="0"/>
      <w:suff w:val="nothing"/>
      <w:lvlText w:val="(%1)"/>
      <w:lvlJc w:val="left"/>
      <w:pPr/>
    </w:lvl>
  </w:abstractNum>
  <w:abstractNum w:abstractNumId="2">
    <w:nsid w:val="9C6D352D"/>
    <w:multiLevelType w:val="singleLevel"/>
    <w:tmpl w:val="9C6D352D"/>
    <w:lvl w:ilvl="0">
      <w:start w:val="1"/>
      <w:numFmt w:val="decimal"/>
      <w:lvlRestart w:val="0"/>
      <w:lvlText w:val="%1."/>
      <w:lvlJc w:val="left"/>
      <w:pPr>
        <w:tabs>
          <w:tab w:val="num" w:pos="312"/>
        </w:tabs>
      </w:pPr>
    </w:lvl>
  </w:abstractNum>
  <w:abstractNum w:abstractNumId="3">
    <w:nsid w:val="F4DFDEED"/>
    <w:multiLevelType w:val="singleLevel"/>
    <w:tmpl w:val="F4DFDEED"/>
    <w:lvl w:ilvl="0">
      <w:start w:val="1"/>
      <w:numFmt w:val="decimal"/>
      <w:lvlRestart w:val="0"/>
      <w:lvlText w:val="%1."/>
      <w:lvlJc w:val="left"/>
      <w:pPr>
        <w:tabs>
          <w:tab w:val="num" w:pos="312"/>
        </w:tabs>
      </w:pPr>
    </w:lvl>
  </w:abstractNum>
  <w:abstractNum w:abstractNumId="4">
    <w:nsid w:val="09AC8027"/>
    <w:multiLevelType w:val="singleLevel"/>
    <w:tmpl w:val="09AC8027"/>
    <w:lvl w:ilvl="0">
      <w:start w:val="2"/>
      <w:numFmt w:val="chineseCounting"/>
      <w:lvlRestart w:val="0"/>
      <w:suff w:val="nothing"/>
      <w:lvlText w:val="（%1）"/>
      <w:lvlJc w:val="left"/>
      <w:pPr/>
      <w:rPr>
        <w:rFonts w:hint="eastAsia"/>
      </w:rPr>
    </w:lvl>
  </w:abstractNum>
  <w:abstractNum w:abstractNumId="5">
    <w:nsid w:val="5F6CC90A"/>
    <w:multiLevelType w:val="singleLevel"/>
    <w:tmpl w:val="5F6CC90A"/>
    <w:lvl w:ilvl="0">
      <w:start w:val="2"/>
      <w:numFmt w:val="chineseCounting"/>
      <w:lvlRestart w:val="0"/>
      <w:suff w:val="nothing"/>
      <w:lvlText w:val="（%1）"/>
      <w:lvlJc w:val="left"/>
      <w:pPr/>
      <w:rPr>
        <w:rFonts w:hint="eastAsia"/>
      </w:rPr>
    </w:lvl>
  </w:abstractNum>
  <w:abstractNum w:abstractNumId="6">
    <w:nsid w:val="BC8A26CE"/>
    <w:multiLevelType w:val="singleLevel"/>
    <w:tmpl w:val="BC8A26CE"/>
    <w:lvl w:ilvl="0">
      <w:start w:val="2"/>
      <w:numFmt w:val="chineseCounting"/>
      <w:lvlRestart w:val="0"/>
      <w:suff w:val="nothing"/>
      <w:lvlText w:val="（%1）"/>
      <w:lvlJc w:val="left"/>
      <w:pPr/>
      <w:rPr>
        <w:rFonts w:hint="eastAsi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compatSetting w:name="compatibilityMode" w:uri="http://schemas.microsoft.com/office/word" w:val="14"/>
  </w:compat>
  <m:mathPr>
    <m:mathFont m:val="Cambria Math"/>
    <m:brkBin m:val="before"/>
    <m:brkBinSub m:val="--"/>
    <m:smallFrac m:val="0"/>
    <m:dispDef/>
    <m:lMargin m:val="0"/>
    <m:rMargin m:val="0"/>
    <m:defJc m:val="centerGroup"/>
    <m:wrapIndent m:val="1440"/>
    <m:intLim m:val="subSup"/>
    <m:naryLim m:val="undOvr"/>
  </m:mathPr>
  <w:doNotIncludeSubdocsInStat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Lucida Sans"/>
        <w:lang w:val="en-US" w:eastAsia="zh-CN" w:bidi="ar-SA"/>
      </w:rPr>
    </w:rPrDefault>
    <w:pPrDefault/>
  </w:docDefaults>
  <w:style w:type="paragraph" w:default="1" w:styleId="0">
    <w:name w:val="Normal"/>
    <w:qFormat/>
    <w:next w:val="15"/>
    <w:pPr>
      <w:widowControl w:val="0"/>
      <w:jc w:val="both"/>
    </w:pPr>
    <w:rPr>
      <w:rFonts w:ascii="Times New Roman" w:eastAsia="宋体" w:cs="Times New Roman" w:hAnsi="Times New Roman"/>
      <w:kern w:val="2"/>
      <w:sz w:val="21"/>
      <w:szCs w:val="24"/>
      <w:lang w:val="en-US" w:eastAsia="zh-CN" w:bidi="ar-SA"/>
    </w:rPr>
  </w:style>
  <w:style w:type="paragraph" w:styleId="1">
    <w:name w:val="heading 1"/>
    <w:qFormat/>
    <w:basedOn w:val="0"/>
    <w:next w:val="0"/>
    <w:link w:val="1Char"/>
    <w:pPr>
      <w:keepNext/>
      <w:keepLines/>
      <w:spacing w:before="340" w:after="330" w:line="578" w:lineRule="auto"/>
      <w:outlineLvl w:val="0"/>
    </w:pPr>
    <w:rPr>
      <w:b/>
      <w:bCs/>
      <w:kern w:val="44"/>
      <w:sz w:val="44"/>
      <w:szCs w:val="44"/>
    </w:rPr>
  </w:style>
  <w:style w:type="character" w:customStyle="1" w:styleId="1Char">
    <w:name w:val="heading 1 Char"/>
    <w:basedOn w:val="10"/>
    <w:link w:val="1"/>
    <w:rPr>
      <w:rFonts w:ascii="Times New Roman" w:eastAsia="宋体" w:cs="Times New Roman" w:hAnsi="Times New Roman"/>
      <w:b/>
      <w:bCs/>
      <w:kern w:val="44"/>
      <w:sz w:val="44"/>
      <w:szCs w:val="44"/>
      <w:lang w:val="en-US" w:eastAsia="zh-CN" w:bidi="ar-SA"/>
    </w:rPr>
  </w:style>
  <w:style w:type="paragraph" w:styleId="2">
    <w:name w:val="heading 2"/>
    <w:qFormat/>
    <w:basedOn w:val="0"/>
    <w:next w:val="0"/>
    <w:link w:val="2Char"/>
    <w:pPr>
      <w:keepNext/>
      <w:keepLines/>
      <w:spacing w:before="260" w:after="260" w:line="415" w:lineRule="auto"/>
      <w:outlineLvl w:val="1"/>
    </w:pPr>
    <w:rPr>
      <w:rFonts w:ascii="Cambria" w:eastAsia="宋体" w:cs="Times New Roman" w:hAnsi="Cambria"/>
      <w:b/>
      <w:bCs/>
      <w:sz w:val="32"/>
      <w:szCs w:val="32"/>
    </w:rPr>
  </w:style>
  <w:style w:type="character" w:customStyle="1" w:styleId="2Char">
    <w:name w:val="heading 2 Char"/>
    <w:basedOn w:val="10"/>
    <w:link w:val="2"/>
    <w:rPr>
      <w:rFonts w:ascii="Cambria" w:eastAsia="宋体" w:cs="Times New Roman" w:hAnsi="Cambria"/>
      <w:b/>
      <w:bCs/>
      <w:kern w:val="2"/>
      <w:sz w:val="32"/>
      <w:szCs w:val="32"/>
      <w:lang w:val="en-US" w:eastAsia="zh-CN" w:bidi="ar-SA"/>
    </w:rPr>
  </w:style>
  <w:style w:type="paragraph" w:styleId="3">
    <w:name w:val="heading 3"/>
    <w:qFormat/>
    <w:basedOn w:val="0"/>
    <w:next w:val="0"/>
    <w:link w:val="3Char"/>
    <w:pPr>
      <w:keepNext/>
      <w:keepLines/>
      <w:spacing w:before="260" w:after="260" w:line="415" w:lineRule="auto"/>
      <w:outlineLvl w:val="2"/>
    </w:pPr>
    <w:rPr>
      <w:b/>
      <w:bCs/>
      <w:sz w:val="32"/>
      <w:szCs w:val="32"/>
    </w:rPr>
  </w:style>
  <w:style w:type="character" w:customStyle="1" w:styleId="3Char">
    <w:name w:val="heading 3 Char"/>
    <w:basedOn w:val="10"/>
    <w:link w:val="3"/>
    <w:rPr>
      <w:rFonts w:ascii="Times New Roman" w:eastAsia="宋体" w:cs="Times New Roman" w:hAnsi="Times New Roman"/>
      <w:b/>
      <w:bCs/>
      <w:kern w:val="2"/>
      <w:sz w:val="32"/>
      <w:szCs w:val="32"/>
      <w:lang w:val="en-US" w:eastAsia="zh-CN" w:bidi="ar-SA"/>
    </w:rPr>
  </w:style>
  <w:style w:type="character" w:default="1" w:styleId="10">
    <w:name w:val="Default Paragraph Font"/>
    <w:qFormat/>
  </w:style>
  <w:style w:type="paragraph" w:styleId="15">
    <w:name w:val="footnote text"/>
    <w:qFormat/>
    <w:basedOn w:val="0"/>
    <w:next w:val="17"/>
    <w:pPr>
      <w:snapToGrid w:val="0"/>
      <w:jc w:val="left"/>
    </w:pPr>
    <w:rPr>
      <w:sz w:val="18"/>
      <w:szCs w:val="18"/>
    </w:rPr>
  </w:style>
  <w:style w:type="paragraph" w:styleId="16">
    <w:name w:val="Body Text Indent"/>
    <w:qFormat/>
    <w:basedOn w:val="0"/>
    <w:next w:val="17"/>
    <w:pPr>
      <w:spacing w:after="120"/>
      <w:ind w:leftChars="200" w:left="200"/>
    </w:pPr>
    <w:rPr>
      <w:rFonts w:ascii="仿宋_GB2312" w:hAnsi="仿宋_GB2312"/>
      <w:szCs w:val="32"/>
    </w:rPr>
  </w:style>
  <w:style w:type="paragraph" w:styleId="17">
    <w:name w:val="Body Text First Indent 2"/>
    <w:qFormat/>
    <w:basedOn w:val="16"/>
    <w:next w:val="0"/>
    <w:pPr>
      <w:ind w:firstLineChars="200" w:firstLine="200"/>
    </w:pPr>
  </w:style>
  <w:style w:type="paragraph" w:styleId="18">
    <w:name w:val="Body Text"/>
    <w:qFormat/>
    <w:basedOn w:val="0"/>
    <w:pPr>
      <w:spacing w:beforeLines="30" w:before="30"/>
    </w:pPr>
    <w:rPr>
      <w:rFonts w:ascii="仿宋_GB2312" w:eastAsia="仿宋_GB2312"/>
      <w:kern w:val="0"/>
      <w:sz w:val="30"/>
    </w:rPr>
  </w:style>
  <w:style w:type="paragraph" w:styleId="19">
    <w:name w:val="toc 3"/>
    <w:qFormat/>
    <w:basedOn w:val="0"/>
    <w:next w:val="0"/>
    <w:pPr>
      <w:tabs>
        <w:tab w:val="right" w:leader="dot" w:pos="8296"/>
      </w:tabs>
      <w:ind w:leftChars="400" w:left="400"/>
    </w:pPr>
  </w:style>
  <w:style w:type="paragraph" w:styleId="20">
    <w:name w:val="Balloon Text"/>
    <w:qFormat/>
    <w:basedOn w:val="0"/>
    <w:rPr>
      <w:sz w:val="18"/>
      <w:szCs w:val="18"/>
    </w:rPr>
  </w:style>
  <w:style w:type="paragraph" w:styleId="21">
    <w:name w:val="footer"/>
    <w:qFormat/>
    <w:basedOn w:val="0"/>
    <w:pPr>
      <w:tabs>
        <w:tab w:val="center" w:pos="4153"/>
        <w:tab w:val="right" w:pos="8306"/>
      </w:tabs>
      <w:snapToGrid w:val="0"/>
      <w:jc w:val="left"/>
    </w:pPr>
    <w:rPr>
      <w:rFonts w:ascii="Calibri" w:hAnsi="Calibri"/>
      <w:kern w:val="0"/>
      <w:sz w:val="18"/>
      <w:szCs w:val="18"/>
    </w:rPr>
  </w:style>
  <w:style w:type="paragraph" w:styleId="22">
    <w:name w:val="header"/>
    <w:qFormat/>
    <w:basedOn w:val="0"/>
    <w:pPr>
      <w:pBdr>
        <w:bottom w:val="single" w:sz="6" w:space="1" w:color="auto"/>
      </w:pBdr>
      <w:tabs>
        <w:tab w:val="center" w:pos="4153"/>
        <w:tab w:val="right" w:pos="8306"/>
      </w:tabs>
      <w:snapToGrid w:val="0"/>
      <w:jc w:val="center"/>
    </w:pPr>
    <w:rPr>
      <w:rFonts w:ascii="Calibri" w:hAnsi="Calibri"/>
      <w:kern w:val="0"/>
      <w:sz w:val="18"/>
      <w:szCs w:val="18"/>
    </w:rPr>
  </w:style>
  <w:style w:type="paragraph" w:styleId="23">
    <w:name w:val="toc 1"/>
    <w:qFormat/>
    <w:basedOn w:val="0"/>
    <w:next w:val="0"/>
    <w:pPr>
      <w:tabs>
        <w:tab w:val="right" w:leader="dot" w:pos="8296"/>
      </w:tabs>
      <w:spacing w:before="93"/>
      <w:jc w:val="center"/>
    </w:pPr>
    <w:rPr>
      <w:rFonts w:ascii="仿宋" w:eastAsia="仿宋" w:hAnsi="仿宋"/>
      <w:sz w:val="28"/>
      <w:szCs w:val="28"/>
    </w:rPr>
  </w:style>
  <w:style w:type="paragraph" w:styleId="24">
    <w:name w:val="toc 2"/>
    <w:qFormat/>
    <w:basedOn w:val="0"/>
    <w:next w:val="0"/>
    <w:pPr>
      <w:tabs>
        <w:tab w:val="right" w:leader="dot" w:pos="8296"/>
      </w:tabs>
      <w:ind w:leftChars="200" w:left="200"/>
    </w:pPr>
  </w:style>
  <w:style w:type="character" w:styleId="25">
    <w:name w:val="Strong"/>
    <w:qFormat/>
    <w:basedOn w:val="10"/>
    <w:rPr>
      <w:b/>
    </w:rPr>
  </w:style>
  <w:style w:type="character" w:styleId="26">
    <w:name w:val="Hyperlink"/>
    <w:qFormat/>
    <w:basedOn w:val="10"/>
    <w:rPr>
      <w:color w:val="0000FF"/>
      <w:u w:val="single"/>
      <w14:textFill xmlns:w14="http://schemas.microsoft.com/office/word/2010/wordml">
        <w14:solidFill>
          <w14:srgbClr w14:val="0000FF"/>
        </w14:solidFill>
      </w14:textFill>
    </w:rPr>
  </w:style>
  <w:style w:type="paragraph" w:customStyle="1" w:yozoId="4094" w:styleId="27">
    <w:name w:val="标题 5（有编号）（绿盟科技）"/>
    <w:qFormat/>
    <w:next w:val="0"/>
    <w:pPr>
      <w:keepNext/>
      <w:keepLines/>
      <w:widowControl w:val="0"/>
      <w:spacing w:before="280" w:after="156" w:line="377" w:lineRule="auto"/>
      <w:jc w:val="left"/>
      <w:outlineLvl w:val="4"/>
    </w:pPr>
    <w:rPr>
      <w:rFonts w:ascii="Arial" w:eastAsia="黑体" w:cs="Times New Roman" w:hAnsi="Arial"/>
      <w:b/>
      <w:kern w:val="2"/>
      <w:sz w:val="24"/>
      <w:szCs w:val="28"/>
      <w:lang w:val="en-US" w:eastAsia="zh-CN" w:bidi="ar-SA"/>
    </w:rPr>
  </w:style>
  <w:style w:type="character" w:customStyle="1" w:yozoId="4094" w:styleId="28">
    <w:name w:val="Header Char"/>
    <w:qFormat/>
    <w:basedOn w:val="10"/>
    <w:rPr>
      <w:rFonts w:ascii="Times New Roman" w:hAnsi="Times New Roman"/>
      <w:sz w:val="18"/>
      <w:szCs w:val="18"/>
    </w:rPr>
  </w:style>
  <w:style w:type="character" w:customStyle="1" w:yozoId="4094" w:styleId="29">
    <w:name w:val="Footer Char"/>
    <w:qFormat/>
    <w:basedOn w:val="10"/>
    <w:rPr>
      <w:rFonts w:ascii="Times New Roman" w:hAnsi="Times New Roman"/>
      <w:sz w:val="18"/>
      <w:szCs w:val="18"/>
    </w:rPr>
  </w:style>
  <w:style w:type="character" w:customStyle="1" w:yozoId="4094" w:styleId="30">
    <w:name w:val="Body Text Char"/>
    <w:qFormat/>
    <w:basedOn w:val="10"/>
    <w:rPr>
      <w:rFonts w:ascii="Times New Roman" w:hAnsi="Times New Roman"/>
      <w:szCs w:val="24"/>
    </w:rPr>
  </w:style>
  <w:style w:type="paragraph" w:customStyle="1" w:yozoId="4094" w:styleId="31">
    <w:name w:val="Default"/>
    <w:qFormat/>
    <w:pPr>
      <w:widowControl w:val="0"/>
      <w:autoSpaceDE w:val="0"/>
      <w:autoSpaceDN w:val="0"/>
      <w:adjustRightInd w:val="0"/>
    </w:pPr>
    <w:rPr>
      <w:rFonts w:ascii="仿宋" w:eastAsia="仿宋" w:cs="仿宋" w:hAnsi="Calibri"/>
      <w:color w:val="000000"/>
      <w:sz w:val="24"/>
      <w:szCs w:val="24"/>
      <w:lang w:val="en-US" w:eastAsia="zh-CN" w:bidi="ar-SA"/>
    </w:rPr>
  </w:style>
  <w:style w:type="paragraph" w:styleId="32">
    <w:name w:val="List Paragraph"/>
    <w:qFormat/>
    <w:basedOn w:val="0"/>
    <w:pPr>
      <w:ind w:firstLineChars="200" w:firstLine="200"/>
    </w:pPr>
  </w:style>
  <w:style w:type="paragraph" w:customStyle="1" w:yozoId="4094" w:styleId="33">
    <w:name w:val="TOC 标题1"/>
    <w:qFormat/>
    <w:basedOn w:val="1"/>
    <w:next w:val="0"/>
    <w:pPr>
      <w:keepNext/>
      <w:keepLines/>
      <w:widowControl/>
      <w:spacing w:before="480" w:after="0" w:line="276" w:lineRule="auto"/>
      <w:jc w:val="left"/>
      <w:outlineLvl w:val="9"/>
    </w:pPr>
    <w:rPr>
      <w:rFonts w:ascii="Cambria" w:eastAsia="宋体" w:cs="Times New Roman" w:hAnsi="Cambria"/>
      <w:color w:val="376092"/>
      <w:kern w:val="0"/>
      <w:sz w:val="28"/>
      <w:szCs w:val="28"/>
    </w:rPr>
  </w:style>
  <w:style w:type="paragraph" w:customStyle="1" w:yozoId="4094" w:styleId="34">
    <w:name w:val="TOC Heading"/>
    <w:qFormat/>
    <w:basedOn w:val="1"/>
    <w:next w:val="0"/>
    <w:pPr>
      <w:keepNext/>
      <w:keepLines/>
      <w:widowControl/>
      <w:spacing w:before="480" w:after="0" w:line="276" w:lineRule="auto"/>
      <w:jc w:val="left"/>
      <w:outlineLvl w:val="9"/>
    </w:pPr>
    <w:rPr>
      <w:rFonts w:ascii="Cambria" w:eastAsia="宋体" w:cs="Times New Roman" w:hAnsi="Cambria"/>
      <w:color w:val="376092"/>
      <w:kern w:val="0"/>
      <w:sz w:val="28"/>
      <w:szCs w:val="28"/>
    </w:rPr>
  </w:style>
  <w:style w:type="paragraph" w:customStyle="1" w:yozoId="4094" w:styleId="35">
    <w:name w:val="四号正文"/>
    <w:qFormat/>
    <w:basedOn w:val="0"/>
    <w:pPr>
      <w:spacing w:line="360" w:lineRule="auto"/>
    </w:pPr>
    <w:rPr>
      <w:rFonts w:ascii="??" w:eastAsia="宋体" w:hAnsi="??"/>
      <w:color w:val="000000"/>
      <w:kern w:val="0"/>
      <w:sz w:val="28"/>
      <w:szCs w:val="21"/>
      <w:lang w:val="zh-CN" w:eastAsia="zh-CN"/>
    </w:rPr>
  </w:style>
  <w:style w:type="character" w:styleId="57">
    <w:name w:val="page number"/>
    <w:qFormat/>
    <w:basedOn w:val="10"/>
  </w:style>
  <w:style w:type="paragraph" w:styleId="102">
    <w:name w:val="Normal (Web)"/>
    <w:qFormat/>
    <w:basedOn w:val="0"/>
    <w:pPr>
      <w:widowControl/>
      <w:spacing w:before="100" w:beforeAutospacing="1" w:after="100" w:afterAutospacing="1" w:line="365" w:lineRule="atLeast"/>
      <w:ind w:left="1" w:firstLine="0"/>
      <w:jc w:val="left"/>
    </w:pPr>
    <w:rPr>
      <w:rFonts w:ascii="宋体" w:eastAsia="宋体" w:cs="宋体" w:hAnsi="宋体"/>
      <w:kern w:val="0"/>
      <w:sz w:val="24"/>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footer" Target="footer6.xml"/><Relationship Id="rId9" Type="http://schemas.openxmlformats.org/officeDocument/2006/relationships/chart" Target="charts/chart1.xml"/><Relationship Id="rId10" Type="http://schemas.openxmlformats.org/officeDocument/2006/relationships/chart" Target="charts/chart2.xml"/><Relationship Id="rId11" Type="http://schemas.openxmlformats.org/officeDocument/2006/relationships/chart" Target="charts/chart3.xml"/><Relationship Id="rId12" Type="http://schemas.openxmlformats.org/officeDocument/2006/relationships/chart" Target="charts/chart4.xml"/><Relationship Id="rId13" Type="http://schemas.openxmlformats.org/officeDocument/2006/relationships/chart" Target="charts/chart5.xml"/><Relationship Id="rId14" Type="http://schemas.openxmlformats.org/officeDocument/2006/relationships/chart" Target="charts/chart6.xml"/><Relationship Id="rId15" Type="http://schemas.openxmlformats.org/officeDocument/2006/relationships/chart" Target="charts/chart7.xml"/><Relationship Id="rId16" Type="http://schemas.openxmlformats.org/officeDocument/2006/relationships/styles" Target="styles.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customXml" Target="../customXml/item1.xml"/><Relationship Id="rId2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Externa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xterna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xterna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xternal"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External"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External"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xternal"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400" b="0" i="0" u="none" strike="noStrike" baseline="0">
                <a:solidFill>
                  <a:srgbClr val="595959"/>
                </a:solidFill>
                <a:latin typeface="Calibri"/>
                <a:ea typeface="宋体"/>
                <a:cs typeface="Lucida Sans"/>
              </a:defRPr>
            </a:pPr>
            <a:r>
              <a:rPr lang="zh-CN"/>
              <a:t>收入与支出情况（万元）</a:t>
            </a:r>
          </a:p>
        </c:rich>
      </c:tx>
      <c:layout/>
      <c:overlay val="0"/>
      <c:spPr>
        <a:noFill/>
        <a:ln>
          <a:noFill/>
        </a:ln>
      </c:spPr>
    </c:title>
    <c:autoTitleDeleted val="0"/>
    <c:plotArea>
      <c:layout/>
      <c:barChart>
        <c:barDir val="col"/>
        <c:grouping val="clustered"/>
        <c:varyColors val="0"/>
        <c:ser>
          <c:idx val="0"/>
          <c:order val="0"/>
          <c:tx>
            <c:v>收入与支出情况（万元）</c:v>
          </c:tx>
          <c:spPr>
            <a:solidFill>
              <a:srgbClr val="4F81BD"/>
            </a:solidFill>
            <a:ln>
              <a:noFill/>
            </a:ln>
          </c:spPr>
          <c:invertIfNegative val="0"/>
          <c:dLbls>
            <c:spPr>
              <a:noFill/>
              <a:ln>
                <a:noFill/>
              </a:ln>
            </c:spPr>
            <c:txPr>
              <a:bodyPr vert="horz" anchor="ctr"/>
              <a:lstStyle/>
              <a:p>
                <a:pPr algn="ctr">
                  <a:defRPr sz="900" b="0" i="0" u="none" strike="noStrike" baseline="0">
                    <a:solidFill>
                      <a:srgbClr val="404040"/>
                    </a:solidFill>
                    <a:latin typeface="Calibri"/>
                    <a:ea typeface="宋体"/>
                    <a:cs typeface="Lucida Sans"/>
                  </a:defRPr>
                </a:pPr>
                <a:endParaRPr lang="zh-CN"/>
              </a:p>
            </c:txPr>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={"2024年","2025年"}</c:f>
              <c:strCache>
                <c:ptCount val="2"/>
                <c:pt idx="0">
                  <c:v>2024年</c:v>
                </c:pt>
                <c:pt idx="1">
                  <c:v>2025年</c:v>
                </c:pt>
              </c:strCache>
            </c:strRef>
          </c:cat>
          <c:val>
            <c:numLit>
              <c:formatCode>General</c:formatCode>
              <c:ptCount val="2"/>
              <c:pt idx="0">
                <c:v>492.43</c:v>
              </c:pt>
              <c:pt idx="1">
                <c:v>479.82</c:v>
              </c:pt>
            </c:numLit>
          </c:val>
        </c:ser>
        <c:overlap val="-27"/>
        <c:gapWidth val="219"/>
        <c:axId val="0"/>
        <c:axId val="1"/>
      </c:barChart>
      <c:catAx>
        <c:axId val="0"/>
        <c:scaling>
          <c:orientation val="minMax"/>
        </c:scaling>
        <c:delete val="0"/>
        <c:axPos val="b"/>
        <c:numFmt formatCode="General" sourceLinked="1"/>
        <c:majorTickMark val="none"/>
        <c:minorTickMark val="none"/>
        <c:tickLblPos val="nextTo"/>
        <c:spPr>
          <a:ln w="12700">
            <a:solidFill>
              <a:srgbClr val="D9D9D9"/>
            </a:solidFill>
            <a:prstDash val="solid"/>
          </a:ln>
        </c:spPr>
        <c:txPr>
          <a:bodyPr/>
          <a:lstStyle/>
          <a:p>
            <a:pPr>
              <a:defRPr sz="900" b="0" i="0" u="none" strike="noStrike" baseline="0">
                <a:solidFill>
                  <a:srgbClr val="595959"/>
                </a:solidFill>
                <a:latin typeface="Calibri"/>
                <a:ea typeface="宋体"/>
                <a:cs typeface="Lucida Sans"/>
              </a:defRPr>
            </a:pPr>
            <a:endParaRPr lang="zh-CN"/>
          </a:p>
        </c:txPr>
        <c:crosses val="autoZero"/>
        <c:auto val="1"/>
        <c:lblOffset val="100"/>
        <c:lblAlgn val="ctr"/>
        <c:noMultiLvlLbl val="0"/>
        <c:crossAx val="1"/>
      </c:catAx>
      <c:valAx>
        <c:axId val="1"/>
        <c:scaling>
          <c:orientation val="minMax"/>
        </c:scaling>
        <c:delete val="0"/>
        <c:axPos val="l"/>
        <c:majorGridlines>
          <c:spPr>
            <a:ln w="12700">
              <a:solidFill>
                <a:srgbClr val="D9D9D9"/>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Calibri"/>
                <a:ea typeface="宋体"/>
                <a:cs typeface="Lucida Sans"/>
              </a:defRPr>
            </a:pPr>
            <a:endParaRPr lang="zh-CN"/>
          </a:p>
        </c:txPr>
        <c:crosses val="autoZero"/>
        <c:crossBetween val="between"/>
        <c:crossAx val="0"/>
      </c:valAx>
      <c:dTable>
        <c:showHorzBorder val="1"/>
        <c:showVertBorder val="1"/>
        <c:showOutline val="1"/>
        <c:showKeys val="1"/>
        <c:spPr>
          <a:ln w="12700">
            <a:solidFill>
              <a:srgbClr val="D9D9D9"/>
            </a:solidFill>
            <a:prstDash val="solid"/>
          </a:ln>
        </c:spPr>
        <c:txPr>
          <a:bodyPr/>
          <a:lstStyle/>
          <a:p>
            <a:pPr rtl="0">
              <a:defRPr sz="900" b="0" i="0" u="none" strike="noStrike" baseline="0">
                <a:solidFill>
                  <a:srgbClr val="595959"/>
                </a:solidFill>
                <a:latin typeface="Calibri"/>
                <a:ea typeface="宋体"/>
                <a:cs typeface="Lucida Sans"/>
              </a:defRPr>
            </a:pPr>
            <a:endParaRPr lang="zh-CN"/>
          </a:p>
        </c:txPr>
      </c:dTable>
      <c:spPr>
        <a:noFill/>
        <a:ln>
          <a:noFill/>
        </a:ln>
      </c:spPr>
    </c:plotArea>
    <c:plotVisOnly val="1"/>
    <c:dispBlanksAs val="gap"/>
    <c:showDLblsOverMax val="0"/>
  </c:chart>
  <c:spPr>
    <a:solidFill>
      <a:srgbClr val="FFFFFF"/>
    </a:solidFill>
    <a:ln w="12700">
      <a:solidFill>
        <a:srgbClr val="D9D9D9"/>
      </a:solidFill>
      <a:prstDash val="solid"/>
    </a:ln>
  </c:spPr>
  <c:txPr>
    <a:bodyPr/>
    <a:lstStyle/>
    <a:p>
      <a:pPr>
        <a:defRPr sz="10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400" b="0" i="0" u="none" strike="noStrike" baseline="0">
                <a:solidFill>
                  <a:srgbClr val="595959"/>
                </a:solidFill>
                <a:latin typeface="Calibri"/>
                <a:ea typeface="宋体"/>
                <a:cs typeface="Lucida Sans"/>
              </a:defRPr>
            </a:pPr>
            <a:r>
              <a:rPr lang="zh-CN"/>
              <a:t>收入占比（%）</a:t>
            </a:r>
          </a:p>
        </c:rich>
      </c:tx>
      <c:layout/>
      <c:overlay val="0"/>
      <c:spPr>
        <a:noFill/>
        <a:ln>
          <a:noFill/>
        </a:ln>
      </c:spPr>
    </c:title>
    <c:autoTitleDeleted val="1"/>
    <c:view3D>
      <c:rotX val="30"/>
      <c:hPercent val="100"/>
      <c:rotY val="0"/>
      <c:depthPercent val="100"/>
      <c:rAngAx val="0"/>
      <c:perspective val="0"/>
    </c:view3D>
    <c:floor>
      <c:thickness val="0"/>
      <c:spPr>
        <a:ln>
          <a:noFill/>
        </a:ln>
      </c:spPr>
    </c:floor>
    <c:sideWall>
      <c:thickness val="0"/>
      <c:spPr>
        <a:ln>
          <a:noFill/>
        </a:ln>
      </c:spPr>
    </c:sideWall>
    <c:backWall>
      <c:thickness val="0"/>
      <c:spPr>
        <a:noFill/>
        <a:ln>
          <a:noFill/>
        </a:ln>
      </c:spPr>
    </c:backWall>
    <c:plotArea>
      <c:layout/>
      <c:pie3DChart>
        <c:varyColors val="1"/>
        <c:ser>
          <c:idx val="0"/>
          <c:order val="0"/>
          <c:tx>
            <c:v>占比（%）</c:v>
          </c:tx>
          <c:dPt>
            <c:idx val="0"/>
            <c:bubble3D val="0"/>
            <c:spPr>
              <a:solidFill>
                <a:srgbClr val="4F81BD"/>
              </a:solidFill>
              <a:ln w="25400">
                <a:solidFill>
                  <a:srgbClr val="FFFFFF"/>
                </a:solidFill>
                <a:prstDash val="solid"/>
              </a:ln>
            </c:spPr>
          </c:dPt>
          <c:dPt>
            <c:idx val="1"/>
            <c:bubble3D val="0"/>
            <c:spPr>
              <a:solidFill>
                <a:srgbClr val="C0504D"/>
              </a:solidFill>
              <a:ln w="25400">
                <a:solidFill>
                  <a:srgbClr val="FFFFFF"/>
                </a:solidFill>
                <a:prstDash val="solid"/>
              </a:ln>
            </c:spPr>
          </c:dPt>
          <c:dLbls>
            <c:spPr>
              <a:noFill/>
              <a:ln>
                <a:noFill/>
              </a:ln>
            </c:spPr>
            <c:txPr>
              <a:bodyPr vert="horz" anchor="ctr"/>
              <a:lstStyle/>
              <a:p>
                <a:pPr algn="ctr">
                  <a:defRPr sz="900" b="0" i="0" u="none" strike="noStrike" baseline="0">
                    <a:solidFill>
                      <a:srgbClr val="404040"/>
                    </a:solidFill>
                    <a:latin typeface="Calibri"/>
                    <a:ea typeface="宋体"/>
                    <a:cs typeface="Lucida Sans"/>
                  </a:defRPr>
                </a:pPr>
                <a:endParaRPr lang="zh-CN"/>
              </a:p>
            </c:txPr>
            <c:showLegendKey val="0"/>
            <c:showVal val="1"/>
            <c:showCatName val="0"/>
            <c:showSerName val="0"/>
            <c:showPercent val="0"/>
            <c:showBubbleSize val="0"/>
            <c:showLeaderLines val="1"/>
          </c:dLbls>
          <c:cat>
            <c:strRef>
              <c:f>={"一般公共预算财政拨款收入","其他收入"}</c:f>
              <c:strCache>
                <c:ptCount val="2"/>
                <c:pt idx="0">
                  <c:v>一般公共预算财政拨款收入</c:v>
                </c:pt>
                <c:pt idx="1">
                  <c:v>其他收入</c:v>
                </c:pt>
              </c:strCache>
            </c:strRef>
          </c:cat>
          <c:val>
            <c:numLit>
              <c:formatCode>0.00%</c:formatCode>
              <c:ptCount val="2"/>
              <c:pt idx="0">
                <c:v>0.9583</c:v>
              </c:pt>
              <c:pt idx="1">
                <c:v>0.0416</c:v>
              </c:pt>
            </c:numLit>
          </c:val>
        </c:ser>
        <c:gapDepth val="150"/>
        <c:firstSliceAng val="0"/>
      </c:pie3DChart>
      <c:spPr>
        <a:noFill/>
        <a:ln>
          <a:noFill/>
        </a:ln>
      </c:spPr>
    </c:plotArea>
    <c:legend>
      <c:legendPos val="b"/>
      <c:layout/>
      <c:overlay val="0"/>
      <c:spPr>
        <a:noFill/>
        <a:ln>
          <a:noFill/>
        </a:ln>
      </c:spPr>
      <c:txPr>
        <a:bodyPr/>
        <a:lstStyle/>
        <a:p>
          <a:pPr>
            <a:defRPr sz="900" b="0" i="0" u="none" strike="noStrike" baseline="0">
              <a:solidFill>
                <a:srgbClr val="595959"/>
              </a:solidFill>
              <a:latin typeface="Calibri"/>
              <a:ea typeface="宋体"/>
              <a:cs typeface="Lucida Sans"/>
            </a:defRPr>
          </a:pPr>
          <a:endParaRPr lang="zh-CN"/>
        </a:p>
      </c:txPr>
    </c:legend>
    <c:plotVisOnly val="1"/>
    <c:dispBlanksAs val="gap"/>
    <c:showDLblsOverMax val="0"/>
  </c:chart>
  <c:spPr>
    <a:solidFill>
      <a:srgbClr val="FFFFFF"/>
    </a:solidFill>
    <a:ln w="12700">
      <a:solidFill>
        <a:srgbClr val="D9D9D9"/>
      </a:solidFill>
      <a:prstDash val="solid"/>
    </a:ln>
  </c:spPr>
  <c:txPr>
    <a:bodyPr/>
    <a:lstStyle/>
    <a:p>
      <a:pPr>
        <a:defRPr sz="10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400" b="0" i="0" u="none" strike="noStrike" baseline="0">
                <a:solidFill>
                  <a:srgbClr val="595959"/>
                </a:solidFill>
                <a:latin typeface="Calibri"/>
                <a:ea typeface="宋体"/>
                <a:cs typeface="Lucida Sans"/>
              </a:defRPr>
            </a:pPr>
            <a:r>
              <a:rPr lang="zh-CN"/>
              <a:t>支出占比（%）</a:t>
            </a:r>
          </a:p>
        </c:rich>
      </c:tx>
      <c:layout>
        <c:manualLayout>
          <c:xMode val="edge"/>
          <c:yMode val="edge"/>
          <c:x val="0.39847222"/>
          <c:y val="0.024305556"/>
        </c:manualLayout>
      </c:layout>
      <c:overlay val="0"/>
      <c:spPr>
        <a:noFill/>
        <a:ln>
          <a:noFill/>
        </a:ln>
      </c:spPr>
    </c:title>
    <c:autoTitleDeleted val="1"/>
    <c:plotArea>
      <c:layout/>
      <c:doughnutChart>
        <c:varyColors val="1"/>
        <c:ser>
          <c:idx val="0"/>
          <c:order val="0"/>
          <c:tx>
            <c:v>占比（%）</c:v>
          </c:tx>
          <c:spPr>
            <a:ln>
              <a:noFill/>
            </a:ln>
          </c:spPr>
          <c:dPt>
            <c:idx val="0"/>
            <c:bubble3D val="0"/>
            <c:spPr>
              <a:solidFill>
                <a:srgbClr val="4F81BD"/>
              </a:solidFill>
              <a:ln w="19050">
                <a:solidFill>
                  <a:srgbClr val="FFFFFF"/>
                </a:solidFill>
                <a:prstDash val="solid"/>
              </a:ln>
            </c:spPr>
          </c:dPt>
          <c:dPt>
            <c:idx val="1"/>
            <c:bubble3D val="0"/>
            <c:spPr>
              <a:solidFill>
                <a:srgbClr val="C0504D"/>
              </a:solidFill>
              <a:ln w="19050">
                <a:solidFill>
                  <a:srgbClr val="FFFFFF"/>
                </a:solidFill>
                <a:prstDash val="solid"/>
              </a:ln>
            </c:spPr>
          </c:dPt>
          <c:dLbls>
            <c:spPr>
              <a:noFill/>
              <a:ln>
                <a:noFill/>
              </a:ln>
            </c:spPr>
            <c:txPr>
              <a:bodyPr vert="horz" anchor="ctr"/>
              <a:lstStyle/>
              <a:p>
                <a:pPr algn="ctr">
                  <a:defRPr sz="900" b="0" i="0" u="none" strike="noStrike" baseline="0">
                    <a:solidFill>
                      <a:srgbClr val="404040"/>
                    </a:solidFill>
                    <a:latin typeface="Calibri"/>
                    <a:ea typeface="宋体"/>
                    <a:cs typeface="Lucida Sans"/>
                  </a:defRPr>
                </a:pPr>
                <a:endParaRPr lang="zh-CN"/>
              </a:p>
            </c:txPr>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={"基本支出","项目支出"}</c:f>
              <c:strCache>
                <c:ptCount val="2"/>
                <c:pt idx="0">
                  <c:v>基本支出</c:v>
                </c:pt>
                <c:pt idx="1">
                  <c:v>项目支出</c:v>
                </c:pt>
              </c:strCache>
            </c:strRef>
          </c:cat>
          <c:val>
            <c:numLit>
              <c:formatCode>0.00%</c:formatCode>
              <c:ptCount val="2"/>
              <c:pt idx="0">
                <c:v>0.7262</c:v>
              </c:pt>
              <c:pt idx="1">
                <c:v>0.2737</c:v>
              </c:pt>
            </c:numLit>
          </c:val>
        </c:ser>
        <c:holeSize val="75"/>
        <c:firstSliceAng val="0"/>
      </c:doughnutChart>
      <c:spPr>
        <a:noFill/>
        <a:ln>
          <a:noFill/>
        </a:ln>
      </c:spPr>
    </c:plotArea>
    <c:legend>
      <c:legendPos val="b"/>
      <c:layout/>
      <c:overlay val="0"/>
      <c:spPr>
        <a:noFill/>
        <a:ln>
          <a:noFill/>
        </a:ln>
      </c:spPr>
      <c:txPr>
        <a:bodyPr/>
        <a:lstStyle/>
        <a:p>
          <a:pPr>
            <a:defRPr sz="900" b="0" i="0" u="none" strike="noStrike" baseline="0">
              <a:solidFill>
                <a:srgbClr val="595959"/>
              </a:solidFill>
              <a:latin typeface="Calibri"/>
              <a:ea typeface="宋体"/>
              <a:cs typeface="Lucida Sans"/>
            </a:defRPr>
          </a:pPr>
          <a:endParaRPr lang="zh-CN"/>
        </a:p>
      </c:txPr>
    </c:legend>
    <c:plotVisOnly val="1"/>
    <c:dispBlanksAs val="gap"/>
    <c:showDLblsOverMax val="0"/>
  </c:chart>
  <c:spPr>
    <a:solidFill>
      <a:srgbClr val="FFFFFF"/>
    </a:solidFill>
    <a:ln w="12700">
      <a:solidFill>
        <a:srgbClr val="D9D9D9"/>
      </a:solidFill>
      <a:prstDash val="solid"/>
    </a:ln>
  </c:spPr>
  <c:txPr>
    <a:bodyPr/>
    <a:lstStyle/>
    <a:p>
      <a:pPr>
        <a:defRPr sz="10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400" b="0" i="0" u="none" strike="noStrike" baseline="0">
                <a:solidFill>
                  <a:srgbClr val="595959"/>
                </a:solidFill>
                <a:latin typeface="Calibri"/>
                <a:ea typeface="宋体"/>
                <a:cs typeface="Lucida Sans"/>
              </a:defRPr>
            </a:pPr>
            <a:r>
              <a:rPr lang="zh-CN"/>
              <a:t>财政拨款收、支决算总计变动情况（万元）</a:t>
            </a:r>
          </a:p>
        </c:rich>
      </c:tx>
      <c:layout>
        <c:manualLayout>
          <c:xMode val="edge"/>
          <c:yMode val="edge"/>
          <c:x val="0.12069444"/>
          <c:y val="0.017361112"/>
        </c:manualLayout>
      </c:layout>
      <c:overlay val="0"/>
      <c:spPr>
        <a:noFill/>
        <a:ln>
          <a:noFill/>
        </a:ln>
      </c:spPr>
    </c:title>
    <c:autoTitleDeleted val="0"/>
    <c:plotArea>
      <c:layout/>
      <c:barChart>
        <c:barDir val="col"/>
        <c:grouping val="clustered"/>
        <c:varyColors val="0"/>
        <c:ser>
          <c:idx val="0"/>
          <c:order val="0"/>
          <c:tx>
            <c:v>财政拨款收、支决算总计变动情况（万元）</c:v>
          </c:tx>
          <c:spPr>
            <a:solidFill>
              <a:srgbClr val="4F81BD"/>
            </a:solidFill>
            <a:ln>
              <a:noFill/>
            </a:ln>
          </c:spPr>
          <c:invertIfNegative val="0"/>
          <c:dLbls>
            <c:spPr>
              <a:noFill/>
              <a:ln>
                <a:noFill/>
              </a:ln>
            </c:spPr>
            <c:txPr>
              <a:bodyPr vert="horz" anchor="ctr"/>
              <a:lstStyle/>
              <a:p>
                <a:pPr algn="ctr">
                  <a:defRPr sz="900" b="0" i="0" u="none" strike="noStrike" baseline="0">
                    <a:solidFill>
                      <a:srgbClr val="404040"/>
                    </a:solidFill>
                    <a:latin typeface="Calibri"/>
                    <a:ea typeface="宋体"/>
                    <a:cs typeface="Lucida Sans"/>
                  </a:defRPr>
                </a:pPr>
                <a:endParaRPr lang="zh-CN"/>
              </a:p>
            </c:txPr>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={"2024年","2025年"}</c:f>
              <c:strCache>
                <c:ptCount val="2"/>
                <c:pt idx="0">
                  <c:v>2024年</c:v>
                </c:pt>
                <c:pt idx="1">
                  <c:v>2025年</c:v>
                </c:pt>
              </c:strCache>
            </c:strRef>
          </c:cat>
          <c:val>
            <c:numLit>
              <c:formatCode>General</c:formatCode>
              <c:ptCount val="2"/>
              <c:pt idx="0">
                <c:v>486.44</c:v>
              </c:pt>
              <c:pt idx="1">
                <c:v>459.82</c:v>
              </c:pt>
            </c:numLit>
          </c:val>
        </c:ser>
        <c:overlap val="-27"/>
        <c:gapWidth val="219"/>
        <c:axId val="0"/>
        <c:axId val="1"/>
      </c:barChart>
      <c:catAx>
        <c:axId val="0"/>
        <c:scaling>
          <c:orientation val="minMax"/>
        </c:scaling>
        <c:delete val="0"/>
        <c:axPos val="b"/>
        <c:numFmt formatCode="General" sourceLinked="1"/>
        <c:majorTickMark val="none"/>
        <c:minorTickMark val="none"/>
        <c:tickLblPos val="nextTo"/>
        <c:spPr>
          <a:ln w="12700">
            <a:solidFill>
              <a:srgbClr val="D9D9D9"/>
            </a:solidFill>
            <a:prstDash val="solid"/>
          </a:ln>
        </c:spPr>
        <c:txPr>
          <a:bodyPr/>
          <a:lstStyle/>
          <a:p>
            <a:pPr>
              <a:defRPr sz="900" b="0" i="0" u="none" strike="noStrike" baseline="0">
                <a:solidFill>
                  <a:srgbClr val="595959"/>
                </a:solidFill>
                <a:latin typeface="Calibri"/>
                <a:ea typeface="宋体"/>
                <a:cs typeface="Lucida Sans"/>
              </a:defRPr>
            </a:pPr>
            <a:endParaRPr lang="zh-CN"/>
          </a:p>
        </c:txPr>
        <c:crosses val="autoZero"/>
        <c:auto val="1"/>
        <c:lblOffset val="100"/>
        <c:lblAlgn val="ctr"/>
        <c:noMultiLvlLbl val="0"/>
        <c:crossAx val="1"/>
      </c:catAx>
      <c:valAx>
        <c:axId val="1"/>
        <c:scaling>
          <c:orientation val="minMax"/>
        </c:scaling>
        <c:delete val="0"/>
        <c:axPos val="l"/>
        <c:majorGridlines>
          <c:spPr>
            <a:ln w="12700">
              <a:solidFill>
                <a:srgbClr val="D9D9D9"/>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Calibri"/>
                <a:ea typeface="宋体"/>
                <a:cs typeface="Lucida Sans"/>
              </a:defRPr>
            </a:pPr>
            <a:endParaRPr lang="zh-CN"/>
          </a:p>
        </c:txPr>
        <c:crosses val="autoZero"/>
        <c:crossBetween val="between"/>
        <c:crossAx val="0"/>
      </c:valAx>
      <c:dTable>
        <c:showHorzBorder val="1"/>
        <c:showVertBorder val="1"/>
        <c:showOutline val="1"/>
        <c:showKeys val="1"/>
        <c:spPr>
          <a:ln w="12700">
            <a:solidFill>
              <a:srgbClr val="D9D9D9"/>
            </a:solidFill>
            <a:prstDash val="solid"/>
          </a:ln>
        </c:spPr>
        <c:txPr>
          <a:bodyPr/>
          <a:lstStyle/>
          <a:p>
            <a:pPr rtl="0">
              <a:defRPr sz="900" b="0" i="0" u="none" strike="noStrike" baseline="0">
                <a:solidFill>
                  <a:srgbClr val="595959"/>
                </a:solidFill>
                <a:latin typeface="Calibri"/>
                <a:ea typeface="宋体"/>
                <a:cs typeface="Lucida Sans"/>
              </a:defRPr>
            </a:pPr>
            <a:endParaRPr lang="zh-CN"/>
          </a:p>
        </c:txPr>
      </c:dTable>
      <c:spPr>
        <a:noFill/>
        <a:ln>
          <a:noFill/>
        </a:ln>
      </c:spPr>
    </c:plotArea>
    <c:plotVisOnly val="1"/>
    <c:dispBlanksAs val="gap"/>
    <c:showDLblsOverMax val="0"/>
  </c:chart>
  <c:spPr>
    <a:solidFill>
      <a:srgbClr val="FFFFFF"/>
    </a:solidFill>
    <a:ln w="12700">
      <a:solidFill>
        <a:srgbClr val="D9D9D9"/>
      </a:solidFill>
      <a:prstDash val="solid"/>
    </a:ln>
  </c:spPr>
  <c:txPr>
    <a:bodyPr/>
    <a:lstStyle/>
    <a:p>
      <a:pPr>
        <a:defRPr sz="10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400" b="0" i="0" u="none" strike="noStrike" baseline="0">
                <a:solidFill>
                  <a:srgbClr val="595959"/>
                </a:solidFill>
                <a:latin typeface="Calibri"/>
                <a:ea typeface="宋体"/>
                <a:cs typeface="Lucida Sans"/>
              </a:defRPr>
            </a:pPr>
            <a:r>
              <a:rPr lang="zh-CN"/>
              <a:t>一般公共预算财政拨款支出决算变动情况（万元）</a:t>
            </a:r>
          </a:p>
        </c:rich>
      </c:tx>
      <c:layout>
        <c:manualLayout>
          <c:xMode val="edge"/>
          <c:yMode val="edge"/>
          <c:x val="0.16849278"/>
          <c:y val="0.028629856"/>
        </c:manualLayout>
      </c:layout>
      <c:overlay val="0"/>
      <c:spPr>
        <a:noFill/>
        <a:ln>
          <a:noFill/>
        </a:ln>
      </c:spPr>
    </c:title>
    <c:autoTitleDeleted val="0"/>
    <c:plotArea>
      <c:layout/>
      <c:barChart>
        <c:barDir val="col"/>
        <c:grouping val="clustered"/>
        <c:varyColors val="0"/>
        <c:ser>
          <c:idx val="0"/>
          <c:order val="0"/>
          <c:tx>
            <c:v>一般公共预算财政拨款支出决算变动情况（万元）</c:v>
          </c:tx>
          <c:spPr>
            <a:solidFill>
              <a:srgbClr val="4F81BD"/>
            </a:solidFill>
            <a:ln>
              <a:noFill/>
            </a:ln>
          </c:spPr>
          <c:invertIfNegative val="0"/>
          <c:dLbls>
            <c:spPr>
              <a:noFill/>
              <a:ln>
                <a:noFill/>
              </a:ln>
            </c:spPr>
            <c:txPr>
              <a:bodyPr vert="horz" anchor="ctr"/>
              <a:lstStyle/>
              <a:p>
                <a:pPr algn="ctr">
                  <a:defRPr sz="900" b="0" i="0" u="none" strike="noStrike" baseline="0">
                    <a:solidFill>
                      <a:srgbClr val="404040"/>
                    </a:solidFill>
                    <a:latin typeface="Calibri"/>
                    <a:ea typeface="宋体"/>
                    <a:cs typeface="Lucida Sans"/>
                  </a:defRPr>
                </a:pPr>
                <a:endParaRPr lang="zh-CN"/>
              </a:p>
            </c:txPr>
            <c:dLblPos val="outEnd"/>
            <c:showLegendKey val="0"/>
            <c:showVal val="1"/>
            <c:showCatName val="0"/>
            <c:showSerName val="0"/>
            <c:showPercent val="0"/>
            <c:showBubbleSize val="0"/>
            <c:showLeaderLines val="1"/>
            <c:extLst>
              <c:ext xmlns:c15="http://schemas.microsoft.com/office/drawing/2012/chart" uri="{CE6537A1-D6FC-4f65-9D91-7224C49458BB}">
                <c15:showLeaderLines val="1"/>
              </c:ext>
            </c:extLst>
          </c:dLbls>
          <c:cat>
            <c:strRef>
              <c:f>={"2024年","2025年"}</c:f>
              <c:strCache>
                <c:ptCount val="2"/>
                <c:pt idx="0">
                  <c:v>2024年</c:v>
                </c:pt>
                <c:pt idx="1">
                  <c:v>2025年</c:v>
                </c:pt>
              </c:strCache>
            </c:strRef>
          </c:cat>
          <c:val>
            <c:numLit>
              <c:formatCode>General</c:formatCode>
              <c:ptCount val="2"/>
              <c:pt idx="0">
                <c:v>486.44</c:v>
              </c:pt>
              <c:pt idx="1">
                <c:v>459.82</c:v>
              </c:pt>
            </c:numLit>
          </c:val>
        </c:ser>
        <c:overlap val="-27"/>
        <c:gapWidth val="219"/>
        <c:axId val="0"/>
        <c:axId val="1"/>
      </c:barChart>
      <c:catAx>
        <c:axId val="0"/>
        <c:scaling>
          <c:orientation val="minMax"/>
        </c:scaling>
        <c:delete val="0"/>
        <c:axPos val="b"/>
        <c:numFmt formatCode="General" sourceLinked="1"/>
        <c:majorTickMark val="none"/>
        <c:minorTickMark val="none"/>
        <c:tickLblPos val="nextTo"/>
        <c:spPr>
          <a:ln w="12700">
            <a:solidFill>
              <a:srgbClr val="D9D9D9"/>
            </a:solidFill>
            <a:prstDash val="solid"/>
          </a:ln>
        </c:spPr>
        <c:txPr>
          <a:bodyPr/>
          <a:lstStyle/>
          <a:p>
            <a:pPr>
              <a:defRPr sz="900" b="0" i="0" u="none" strike="noStrike" baseline="0">
                <a:solidFill>
                  <a:srgbClr val="595959"/>
                </a:solidFill>
                <a:latin typeface="Calibri"/>
                <a:ea typeface="宋体"/>
                <a:cs typeface="Lucida Sans"/>
              </a:defRPr>
            </a:pPr>
            <a:endParaRPr lang="zh-CN"/>
          </a:p>
        </c:txPr>
        <c:crosses val="autoZero"/>
        <c:auto val="1"/>
        <c:lblOffset val="100"/>
        <c:lblAlgn val="ctr"/>
        <c:noMultiLvlLbl val="0"/>
        <c:crossAx val="1"/>
      </c:catAx>
      <c:valAx>
        <c:axId val="1"/>
        <c:scaling>
          <c:orientation val="minMax"/>
        </c:scaling>
        <c:delete val="0"/>
        <c:axPos val="l"/>
        <c:majorGridlines>
          <c:spPr>
            <a:ln w="12700">
              <a:solidFill>
                <a:srgbClr val="D9D9D9"/>
              </a:solidFill>
              <a:prstDash val="solid"/>
            </a:ln>
          </c:spPr>
        </c:majorGridlines>
        <c:numFmt formatCode="General" sourceLinked="1"/>
        <c:majorTickMark val="none"/>
        <c:minorTickMark val="none"/>
        <c:tickLblPos val="nextTo"/>
        <c:spPr>
          <a:ln>
            <a:noFill/>
          </a:ln>
        </c:spPr>
        <c:txPr>
          <a:bodyPr/>
          <a:lstStyle/>
          <a:p>
            <a:pPr>
              <a:defRPr sz="900" b="0" i="0" u="none" strike="noStrike" baseline="0">
                <a:solidFill>
                  <a:srgbClr val="595959"/>
                </a:solidFill>
                <a:latin typeface="Calibri"/>
                <a:ea typeface="宋体"/>
                <a:cs typeface="Lucida Sans"/>
              </a:defRPr>
            </a:pPr>
            <a:endParaRPr lang="zh-CN"/>
          </a:p>
        </c:txPr>
        <c:crosses val="autoZero"/>
        <c:crossBetween val="between"/>
        <c:crossAx val="0"/>
      </c:valAx>
      <c:dTable>
        <c:showHorzBorder val="1"/>
        <c:showVertBorder val="1"/>
        <c:showOutline val="1"/>
        <c:showKeys val="1"/>
        <c:spPr>
          <a:ln w="12700">
            <a:solidFill>
              <a:srgbClr val="D9D9D9"/>
            </a:solidFill>
            <a:prstDash val="solid"/>
          </a:ln>
        </c:spPr>
        <c:txPr>
          <a:bodyPr/>
          <a:lstStyle/>
          <a:p>
            <a:pPr rtl="0">
              <a:defRPr sz="900" b="0" i="0" u="none" strike="noStrike" baseline="0">
                <a:solidFill>
                  <a:srgbClr val="595959"/>
                </a:solidFill>
                <a:latin typeface="Calibri"/>
                <a:ea typeface="宋体"/>
                <a:cs typeface="Lucida Sans"/>
              </a:defRPr>
            </a:pPr>
            <a:endParaRPr lang="zh-CN"/>
          </a:p>
        </c:txPr>
      </c:dTable>
      <c:spPr>
        <a:noFill/>
        <a:ln>
          <a:noFill/>
        </a:ln>
      </c:spPr>
    </c:plotArea>
    <c:plotVisOnly val="1"/>
    <c:dispBlanksAs val="gap"/>
    <c:showDLblsOverMax val="0"/>
  </c:chart>
  <c:spPr>
    <a:solidFill>
      <a:srgbClr val="FFFFFF"/>
    </a:solidFill>
    <a:ln w="12700">
      <a:solidFill>
        <a:srgbClr val="D9D9D9"/>
      </a:solidFill>
      <a:prstDash val="solid"/>
    </a:ln>
  </c:spPr>
  <c:txPr>
    <a:bodyPr/>
    <a:lstStyle/>
    <a:p>
      <a:pPr>
        <a:defRPr sz="10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400" b="0" i="0" u="none" strike="noStrike" baseline="0">
                <a:solidFill>
                  <a:srgbClr val="595959"/>
                </a:solidFill>
                <a:latin typeface="Calibri"/>
                <a:ea typeface="宋体"/>
                <a:cs typeface="Lucida Sans"/>
              </a:defRPr>
            </a:pPr>
            <a:r>
              <a:rPr lang="zh-CN"/>
              <a:t>一般公共预算财政拨款支出决算结构情况（%）</a:t>
            </a:r>
          </a:p>
        </c:rich>
      </c:tx>
      <c:layout/>
      <c:overlay val="0"/>
      <c:spPr>
        <a:noFill/>
        <a:ln>
          <a:noFill/>
        </a:ln>
      </c:spPr>
    </c:title>
    <c:autoTitleDeleted val="0"/>
    <c:view3D>
      <c:rotX val="30"/>
      <c:hPercent val="100"/>
      <c:rotY val="0"/>
      <c:depthPercent val="100"/>
      <c:rAngAx val="0"/>
      <c:perspective val="0"/>
    </c:view3D>
    <c:floor>
      <c:thickness val="0"/>
      <c:spPr>
        <a:ln>
          <a:noFill/>
        </a:ln>
      </c:spPr>
    </c:floor>
    <c:sideWall>
      <c:thickness val="0"/>
      <c:spPr>
        <a:ln>
          <a:noFill/>
        </a:ln>
      </c:spPr>
    </c:sideWall>
    <c:backWall>
      <c:thickness val="0"/>
      <c:spPr>
        <a:noFill/>
        <a:ln>
          <a:noFill/>
        </a:ln>
      </c:spPr>
    </c:backWall>
    <c:plotArea>
      <c:layout>
        <c:manualLayout>
          <c:layoutTarget val="inner"/>
          <c:xMode val="edge"/>
          <c:yMode val="edge"/>
          <c:x val="0.08307754"/>
          <c:y val="0.21273674"/>
          <c:w val="0.82622224"/>
          <c:h val="0.5870741"/>
        </c:manualLayout>
      </c:layout>
      <c:pie3DChart>
        <c:varyColors val="1"/>
        <c:ser>
          <c:idx val="0"/>
          <c:order val="0"/>
          <c:tx>
            <c:v>一般公共预算财政拨款支出决算结构情况（%）</c:v>
          </c:tx>
          <c:dPt>
            <c:idx val="0"/>
            <c:bubble3D val="0"/>
            <c:spPr>
              <a:solidFill>
                <a:srgbClr val="4F81BD"/>
              </a:solidFill>
              <a:ln w="25400">
                <a:solidFill>
                  <a:srgbClr val="FFFFFF"/>
                </a:solidFill>
                <a:prstDash val="solid"/>
              </a:ln>
            </c:spPr>
          </c:dPt>
          <c:dPt>
            <c:idx val="1"/>
            <c:bubble3D val="0"/>
            <c:spPr>
              <a:solidFill>
                <a:srgbClr val="C0504D"/>
              </a:solidFill>
              <a:ln w="25400">
                <a:solidFill>
                  <a:srgbClr val="FFFFFF"/>
                </a:solidFill>
                <a:prstDash val="solid"/>
              </a:ln>
            </c:spPr>
          </c:dPt>
          <c:dPt>
            <c:idx val="2"/>
            <c:bubble3D val="0"/>
            <c:spPr>
              <a:solidFill>
                <a:srgbClr val="9BBB59"/>
              </a:solidFill>
              <a:ln w="25400">
                <a:solidFill>
                  <a:srgbClr val="FFFFFF"/>
                </a:solidFill>
                <a:prstDash val="solid"/>
              </a:ln>
            </c:spPr>
          </c:dPt>
          <c:dPt>
            <c:idx val="3"/>
            <c:bubble3D val="0"/>
            <c:spPr>
              <a:solidFill>
                <a:srgbClr val="8064A2"/>
              </a:solidFill>
              <a:ln w="25400">
                <a:solidFill>
                  <a:srgbClr val="FFFFFF"/>
                </a:solidFill>
                <a:prstDash val="solid"/>
              </a:ln>
            </c:spPr>
          </c:dPt>
          <c:dLbls>
            <c:spPr>
              <a:noFill/>
              <a:ln>
                <a:noFill/>
              </a:ln>
            </c:spPr>
            <c:txPr>
              <a:bodyPr vert="horz" anchor="ctr"/>
              <a:lstStyle/>
              <a:p>
                <a:pPr algn="ctr">
                  <a:defRPr sz="900" b="0" i="0" u="none" strike="noStrike" baseline="0">
                    <a:solidFill>
                      <a:srgbClr val="404040"/>
                    </a:solidFill>
                    <a:latin typeface="Calibri"/>
                    <a:ea typeface="宋体"/>
                    <a:cs typeface="Lucida Sans"/>
                  </a:defRPr>
                </a:pPr>
                <a:endParaRPr lang="zh-CN"/>
              </a:p>
            </c:txPr>
            <c:showLegendKey val="0"/>
            <c:showVal val="1"/>
            <c:showCatName val="0"/>
            <c:showSerName val="0"/>
            <c:showPercent val="0"/>
            <c:showBubbleSize val="0"/>
            <c:showLeaderLines val="1"/>
          </c:dLbls>
          <c:cat>
            <c:strRef>
              <c:f>={"一般公共服务支出","社会保障和就业支出","卫生健康支出","住房保障支出"}</c:f>
              <c:strCache>
                <c:ptCount val="4"/>
                <c:pt idx="0">
                  <c:v>一般公共服务支出</c:v>
                </c:pt>
                <c:pt idx="1">
                  <c:v>社会保障和就业支出</c:v>
                </c:pt>
                <c:pt idx="2">
                  <c:v>卫生健康支出</c:v>
                </c:pt>
                <c:pt idx="3">
                  <c:v>住房保障支出</c:v>
                </c:pt>
              </c:strCache>
            </c:strRef>
          </c:cat>
          <c:val>
            <c:numLit>
              <c:formatCode>0.00%</c:formatCode>
              <c:ptCount val="4"/>
              <c:pt idx="0">
                <c:v>0.8093</c:v>
              </c:pt>
              <c:pt idx="1">
                <c:v>0.1015</c:v>
              </c:pt>
              <c:pt idx="2">
                <c:v>0.036</c:v>
              </c:pt>
              <c:pt idx="3">
                <c:v>0.0532</c:v>
              </c:pt>
            </c:numLit>
          </c:val>
        </c:ser>
        <c:gapDepth val="150"/>
        <c:firstSliceAng val="0"/>
      </c:pie3DChart>
      <c:spPr>
        <a:noFill/>
        <a:ln>
          <a:noFill/>
        </a:ln>
      </c:spPr>
    </c:plotArea>
    <c:legend>
      <c:legendPos val="b"/>
      <c:layout>
        <c:manualLayout>
          <c:xMode val="edge"/>
          <c:yMode val="edge"/>
          <c:x val="0.07020833"/>
          <c:y val="0.91597223"/>
        </c:manualLayout>
      </c:layout>
      <c:overlay val="0"/>
      <c:spPr>
        <a:noFill/>
        <a:ln>
          <a:noFill/>
        </a:ln>
      </c:spPr>
      <c:txPr>
        <a:bodyPr/>
        <a:lstStyle/>
        <a:p>
          <a:pPr>
            <a:defRPr sz="900" b="0" i="0" u="none" strike="noStrike" baseline="0">
              <a:solidFill>
                <a:srgbClr val="595959"/>
              </a:solidFill>
              <a:latin typeface="Calibri"/>
              <a:ea typeface="宋体"/>
              <a:cs typeface="Lucida Sans"/>
            </a:defRPr>
          </a:pPr>
          <a:endParaRPr lang="zh-CN"/>
        </a:p>
      </c:txPr>
    </c:legend>
    <c:plotVisOnly val="1"/>
    <c:dispBlanksAs val="gap"/>
    <c:showDLblsOverMax val="0"/>
  </c:chart>
  <c:spPr>
    <a:solidFill>
      <a:srgbClr val="FFFFFF"/>
    </a:solidFill>
    <a:ln w="12700">
      <a:solidFill>
        <a:srgbClr val="D9D9D9"/>
      </a:solidFill>
      <a:prstDash val="solid"/>
    </a:ln>
  </c:spPr>
  <c:txPr>
    <a:bodyPr/>
    <a:lstStyle/>
    <a:p>
      <a:pPr>
        <a:defRPr sz="10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400" b="1" i="0" u="none" strike="noStrike" baseline="0">
                <a:solidFill>
                  <a:srgbClr val="404040"/>
                </a:solidFill>
                <a:latin typeface="Calibri"/>
                <a:ea typeface="宋体"/>
                <a:cs typeface="Lucida Sans"/>
              </a:defRPr>
            </a:pPr>
            <a:r>
              <a:rPr lang="zh-CN"/>
              <a:t>财政拨款“三公”经费支出结构（%）</a:t>
            </a:r>
          </a:p>
        </c:rich>
      </c:tx>
      <c:layout/>
      <c:overlay val="0"/>
      <c:spPr>
        <a:noFill/>
        <a:ln>
          <a:noFill/>
        </a:ln>
      </c:spPr>
    </c:title>
    <c:autoTitleDeleted val="0"/>
    <c:plotArea>
      <c:layout/>
      <c:pieChart>
        <c:varyColors val="1"/>
        <c:ser>
          <c:idx val="0"/>
          <c:order val="0"/>
          <c:tx>
            <c:v>财政拨款“三公”经费支出结构（%）</c:v>
          </c:tx>
          <c:spPr>
            <a:ln>
              <a:noFill/>
            </a:ln>
          </c:spPr>
          <c:dPt>
            <c:idx val="0"/>
            <c:bubble3D val="0"/>
            <c:spPr>
              <a:solidFill>
                <a:srgbClr val="4F81BD"/>
              </a:solidFill>
              <a:ln w="3175">
                <a:solidFill>
                  <a:srgbClr val="FFFFFF"/>
                </a:solidFill>
                <a:prstDash val="solid"/>
              </a:ln>
            </c:spPr>
          </c:dPt>
          <c:dPt>
            <c:idx val="1"/>
            <c:bubble3D val="0"/>
            <c:spPr>
              <a:solidFill>
                <a:srgbClr val="C0504D"/>
              </a:solidFill>
              <a:ln w="3175">
                <a:solidFill>
                  <a:srgbClr val="FFFFFF"/>
                </a:solidFill>
                <a:prstDash val="solid"/>
              </a:ln>
            </c:spPr>
          </c:dPt>
          <c:dPt>
            <c:idx val="2"/>
            <c:bubble3D val="0"/>
            <c:spPr>
              <a:solidFill>
                <a:srgbClr val="9BBB59"/>
              </a:solidFill>
              <a:ln w="3175">
                <a:solidFill>
                  <a:srgbClr val="FFFFFF"/>
                </a:solidFill>
                <a:prstDash val="solid"/>
              </a:ln>
            </c:spPr>
          </c:dPt>
          <c:dLbls>
            <c:spPr>
              <a:noFill/>
              <a:ln>
                <a:noFill/>
              </a:ln>
            </c:spPr>
            <c:txPr>
              <a:bodyPr vert="horz" anchor="ctr"/>
              <a:lstStyle/>
              <a:p>
                <a:pPr algn="ctr">
                  <a:defRPr sz="1000" b="0" i="0" u="none" strike="noStrike" baseline="0">
                    <a:solidFill>
                      <a:srgbClr val="404040"/>
                    </a:solidFill>
                    <a:latin typeface="Calibri"/>
                    <a:ea typeface="宋体"/>
                    <a:cs typeface="Lucida Sans"/>
                  </a:defRPr>
                </a:pPr>
                <a:endParaRPr lang="zh-CN"/>
              </a:p>
            </c:txPr>
            <c:showLegendKey val="0"/>
            <c:showVal val="1"/>
            <c:showCatName val="0"/>
            <c:showSerName val="0"/>
            <c:showPercent val="0"/>
            <c:showBubbleSize val="0"/>
            <c:showLeaderLines val="1"/>
          </c:dLbls>
          <c:cat>
            <c:strRef>
              <c:f>={"因公出国（境）费支出","公务用车购置及运行维护费支出","公务接待费支出"}</c:f>
              <c:strCache>
                <c:ptCount val="3"/>
                <c:pt idx="0">
                  <c:v>因公出国（境）费支出</c:v>
                </c:pt>
                <c:pt idx="1">
                  <c:v>公务用车购置及运行维护费支出</c:v>
                </c:pt>
                <c:pt idx="2">
                  <c:v>公务接待费支出</c:v>
                </c:pt>
              </c:strCache>
            </c:strRef>
          </c:cat>
          <c:val>
            <c:numLit>
              <c:formatCode>0%</c:formatCode>
              <c:ptCount val="3"/>
              <c:pt idx="0">
                <c:v>0.0</c:v>
              </c:pt>
              <c:pt idx="1">
                <c:v>0.9582</c:v>
              </c:pt>
              <c:pt idx="2">
                <c:v>0.0418</c:v>
              </c:pt>
            </c:numLit>
          </c:val>
        </c:ser>
        <c:firstSliceAng val="0"/>
      </c:pieChart>
      <c:spPr>
        <a:noFill/>
        <a:ln>
          <a:noFill/>
        </a:ln>
      </c:spPr>
    </c:plotArea>
    <c:legend>
      <c:legendPos val="t"/>
      <c:layout/>
      <c:overlay val="0"/>
      <c:spPr>
        <a:noFill/>
        <a:ln>
          <a:noFill/>
        </a:ln>
      </c:spPr>
      <c:txPr>
        <a:bodyPr/>
        <a:lstStyle/>
        <a:p>
          <a:pPr>
            <a:defRPr sz="900" b="0" i="0" u="none" strike="noStrike" baseline="0">
              <a:solidFill>
                <a:srgbClr val="595959"/>
              </a:solidFill>
              <a:latin typeface="Calibri"/>
              <a:ea typeface="宋体"/>
              <a:cs typeface="Lucida Sans"/>
            </a:defRPr>
          </a:pPr>
          <a:endParaRPr lang="zh-CN"/>
        </a:p>
      </c:txPr>
    </c:legend>
    <c:plotVisOnly val="1"/>
    <c:dispBlanksAs val="gap"/>
    <c:showDLblsOverMax val="0"/>
  </c:chart>
  <c:spPr>
    <a:solidFill>
      <a:srgbClr val="FFFFFF"/>
    </a:solidFill>
    <a:ln w="12700">
      <a:solidFill>
        <a:srgbClr val="D9D9D9"/>
      </a:solidFill>
      <a:prstDash val="solid"/>
    </a:ln>
  </c:spPr>
  <c:txPr>
    <a:bodyPr/>
    <a:lstStyle/>
    <a:p>
      <a:pPr>
        <a:defRPr sz="1000" b="0" i="0" u="none" strike="noStrike" baseline="0">
          <a:solidFill>
            <a:srgbClr val="000000"/>
          </a:solidFill>
          <a:latin typeface="Times New Roman"/>
          <a:ea typeface="宋体"/>
          <a:cs typeface="Lucida Sans"/>
        </a:defRPr>
      </a:pPr>
      <a:endParaRPr lang="zh-CN"/>
    </a:p>
  </c:txPr>
  <c:printSettings>
    <c:headerFooter/>
    <c:pageMargins b="0.75" l="0.7" r="0.7" t="0.75" header="0.3" footer="0.3"/>
    <c:pageSetup/>
  </c:printSettings>
  <c:externalData r:id="rId1">
    <c:autoUpdate val="0"/>
  </c:externalData>
</c:chartSpace>
</file>

<file path=word/theme/theme1.xml><?xml version="1.0" encoding="utf-8"?>
<a:theme xmlns:a="http://schemas.openxmlformats.org/drawingml/2006/main" name="Office Theme">
  <a:themeElements>
    <a:clrScheme name="Office The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Theme">
      <a:majorFont>
        <a:latin typeface=""/>
        <a:ea typeface=""/>
        <a:cs typeface=""/>
      </a:majorFont>
      <a:minorFont>
        <a:latin typeface=""/>
        <a:ea typeface=""/>
        <a:cs typefac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mpd="sng" cap="flat">
          <a:solidFill>
            <a:schemeClr val="phClr">
              <a:shade val="95000"/>
              <a:satMod val="105000"/>
            </a:schemeClr>
          </a:solidFill>
          <a:prstDash val="solid"/>
          <a:round/>
        </a:ln>
        <a:ln w="25400" cmpd="sng" cap="flat">
          <a:solidFill>
            <a:schemeClr val="phClr"/>
          </a:solidFill>
          <a:prstDash val="solid"/>
          <a:round/>
        </a:ln>
        <a:ln w="38100" cmpd="sng" cap="flat">
          <a:solidFill>
            <a:schemeClr val="phClr"/>
          </a:solidFill>
          <a:prstDash val="solid"/>
          <a:round/>
        </a:ln>
      </a:lnStyleLst>
      <a:effectStyleLst>
        <a:effectStyle>
          <a:effectLst>
            <a:outerShdw sx="100000" sy="100000" algn="b" rotWithShape="0" blurRad="40000" dist="20000" dir="5400000">
              <a:srgbClr val="000000">
                <a:alpha val="37647"/>
              </a:srgbClr>
            </a:outerShdw>
          </a:effectLst>
        </a:effectStyle>
        <a:effectStyle>
          <a:effectLst>
            <a:outerShdw sx="100000" sy="100000" algn="b" rotWithShape="0" blurRad="40000" dist="23000" dir="5400000">
              <a:srgbClr val="000000">
                <a:alpha val="34509"/>
              </a:srgbClr>
            </a:outerShdw>
          </a:effectLst>
        </a:effectStyle>
        <a:effectStyle>
          <a:effectLst>
            <a:outerShdw sx="100000" sy="100000" algn="b" rotWithShape="0" blurRad="40000" dist="23000" dir="540000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50000" r="50000" b="5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26650 1 1 1 1 1"/>
    <sectPr/>
    <sectPr/>
    <sectPr/>
    <sectPr/>
  </customProps>
</customData>
</file>

<file path=customXml/itemProps1.xml><?xml version="1.0" encoding="utf-8"?>
<ds:datastoreItem xmlns:ds="http://schemas.openxmlformats.org/officeDocument/2006/customXml" ds:itemID="{67E8798D-3677-4BC8-AE8A-E704C750DCB4}">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29</TotalTime>
  <Application>WPS_Yozo_Office9.0.6589.191ZH.SC29</Application>
  <Pages>25</Pages>
  <Words>0</Words>
  <Characters>5953</Characters>
  <Lines>0</Lines>
  <Paragraphs>226</Paragraphs>
  <CharactersWithSpaces>7938</CharactersWithSpaces>
  <Company>四川省财政厅</Company>
</Properties>
</file>

<file path=docProps/core.xml><?xml version="1.0" encoding="utf-8"?>
<cp:coreProperties xmlns:cp="http://schemas.openxmlformats.org/package/2006/metadata/core-properties" xmlns:dc="http://purl.org/dc/elements/1.1/" xmlns:dcterms="http://purl.org/dc/terms/" xmlns:xsi="http://www.w3.org/2001/XMLSchema-instance">
  <dc:title>四川省***</dc:title>
  <dc:creator>曹颖</dc:creator>
  <cp:lastModifiedBy>user</cp:lastModifiedBy>
  <cp:revision>39</cp:revision>
  <cp:lastPrinted>2026-08-03T09:27:00Z</cp:lastPrinted>
  <dcterms:created xsi:type="dcterms:W3CDTF">2020-08-08T17:49:00Z</dcterms:created>
  <dcterms:modified xsi:type="dcterms:W3CDTF">2026-10-26T02:10:29Z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2052-12.1.0.29161</vt:lpwstr>
  </property>
  <property fmtid="{D5CDD505-2E9C-101B-9397-08002B2CF9AE}" pid="3" name="ICV">
    <vt:lpwstr>400D301575C74348A5277D00A7902E06</vt:lpwstr>
  </property>
  <property fmtid="{D5CDD505-2E9C-101B-9397-08002B2CF9AE}" pid="4" name="KSOTemplateDocerSaveRecord">
    <vt:lpwstr>eyJoZGlkIjoiOTA4MjYwYzk0YWJlNzRhNzA1NjY3ZTBlM2I0YmFlMDgiLCJ1c2VySWQiOiI0NTUxOTA3OTQifQ==</vt:lpwstr>
  </property>
</Properties>
</file>