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drawings/drawing1.xml" ContentType="application/vnd.openxmlformats-officedocument.drawingml.chartshap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Times New Roman" w:hAnsi="Times New Roman" w:eastAsia="方正小标宋简体" w:cs="Times New Roman"/>
          <w:color w:val="auto"/>
          <w:kern w:val="2"/>
          <w:sz w:val="72"/>
          <w:szCs w:val="72"/>
          <w:highlight w:val="none"/>
          <w:lang w:val="en-US" w:eastAsia="zh-CN" w:bidi="ar-SA"/>
        </w:rPr>
      </w:pPr>
      <w:bookmarkStart w:id="0" w:name="_Toc15396475"/>
      <w:bookmarkStart w:id="1" w:name="_Toc15396597"/>
      <w:bookmarkStart w:id="2" w:name="_Toc15377425"/>
      <w:bookmarkStart w:id="3" w:name="_Toc15378441"/>
      <w:bookmarkStart w:id="4" w:name="_Toc15377193"/>
      <w:bookmarkStart w:id="5" w:name="_Toc15306267"/>
    </w:p>
    <w:p>
      <w:pPr>
        <w:pStyle w:val="2"/>
        <w:rPr>
          <w:rFonts w:hint="eastAsia" w:ascii="Times New Roman" w:hAnsi="Times New Roman" w:eastAsia="方正小标宋简体" w:cs="Times New Roman"/>
          <w:color w:val="auto"/>
          <w:kern w:val="2"/>
          <w:sz w:val="72"/>
          <w:szCs w:val="72"/>
          <w:highlight w:val="none"/>
          <w:lang w:val="en-US" w:eastAsia="zh-CN" w:bidi="ar-SA"/>
        </w:rPr>
      </w:pPr>
    </w:p>
    <w:p>
      <w:pPr>
        <w:pStyle w:val="2"/>
        <w:rPr>
          <w:rFonts w:hint="eastAsia" w:ascii="Times New Roman" w:hAnsi="Times New Roman" w:eastAsia="方正小标宋简体" w:cs="Times New Roman"/>
          <w:color w:val="auto"/>
          <w:kern w:val="2"/>
          <w:sz w:val="72"/>
          <w:szCs w:val="72"/>
          <w:highlight w:val="none"/>
          <w:lang w:val="en-US" w:eastAsia="zh-CN" w:bidi="ar-SA"/>
        </w:rPr>
      </w:pPr>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202</w:t>
      </w:r>
      <w:r>
        <w:rPr>
          <w:rFonts w:hint="eastAsia" w:ascii="Times New Roman" w:eastAsia="方正小标宋简体" w:cs="Times New Roman"/>
          <w:color w:val="auto"/>
          <w:kern w:val="2"/>
          <w:sz w:val="44"/>
          <w:szCs w:val="44"/>
          <w:highlight w:val="none"/>
          <w:lang w:val="en-US" w:eastAsia="zh-CN" w:bidi="ar-SA"/>
        </w:rPr>
        <w:t>5</w:t>
      </w:r>
      <w:r>
        <w:rPr>
          <w:rFonts w:hint="eastAsia" w:ascii="Times New Roman" w:hAnsi="Times New Roman" w:eastAsia="方正小标宋简体" w:cs="Times New Roman"/>
          <w:color w:val="auto"/>
          <w:kern w:val="2"/>
          <w:sz w:val="44"/>
          <w:szCs w:val="44"/>
          <w:highlight w:val="none"/>
          <w:lang w:val="en-US" w:eastAsia="zh-CN" w:bidi="ar-SA"/>
        </w:rPr>
        <w:t>年度省级部门（单位）决算</w:t>
      </w:r>
    </w:p>
    <w:p>
      <w:pPr>
        <w:pStyle w:val="2"/>
        <w:jc w:val="center"/>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公开文字说明范本</w:t>
      </w:r>
    </w:p>
    <w:p>
      <w:pPr>
        <w:spacing w:line="600" w:lineRule="exact"/>
        <w:jc w:val="center"/>
        <w:outlineLvl w:val="0"/>
        <w:rPr>
          <w:rFonts w:ascii="Times New Roman" w:hAnsi="Times New Roman" w:eastAsia="方正小标宋简体"/>
          <w:color w:val="auto"/>
          <w:sz w:val="72"/>
          <w:szCs w:val="72"/>
          <w:highlight w:val="none"/>
        </w:rPr>
      </w:pPr>
    </w:p>
    <w:p>
      <w:pPr>
        <w:pStyle w:val="19"/>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p>
      <w:pPr>
        <w:rPr>
          <w:rFonts w:ascii="Times New Roman" w:hAnsi="Times New Roman"/>
        </w:rPr>
      </w:pPr>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bookmarkStart w:id="6" w:name="_Toc15396476"/>
      <w:bookmarkStart w:id="7" w:name="_Toc15377426"/>
      <w:bookmarkStart w:id="8" w:name="_Toc15378442"/>
      <w:bookmarkStart w:id="9" w:name="_Toc15377194"/>
      <w:bookmarkStart w:id="10" w:name="_Toc15396598"/>
      <w:r>
        <w:rPr>
          <w:rFonts w:hint="eastAsia" w:ascii="Times New Roman" w:hAnsi="Times New Roman" w:eastAsia="方正小标宋简体" w:cs="Times New Roman"/>
          <w:color w:val="auto"/>
          <w:kern w:val="2"/>
          <w:sz w:val="44"/>
          <w:szCs w:val="44"/>
          <w:highlight w:val="none"/>
          <w:lang w:val="en-US" w:eastAsia="zh-CN" w:bidi="ar-SA"/>
        </w:rPr>
        <w:t>202</w:t>
      </w:r>
      <w:r>
        <w:rPr>
          <w:rFonts w:hint="eastAsia" w:ascii="Times New Roman" w:eastAsia="方正小标宋简体" w:cs="Times New Roman"/>
          <w:color w:val="auto"/>
          <w:kern w:val="2"/>
          <w:sz w:val="44"/>
          <w:szCs w:val="44"/>
          <w:highlight w:val="none"/>
          <w:lang w:val="en-US" w:eastAsia="zh-CN" w:bidi="ar-SA"/>
        </w:rPr>
        <w:t>5</w:t>
      </w:r>
      <w:r>
        <w:rPr>
          <w:rFonts w:hint="eastAsia" w:ascii="Times New Roman" w:hAnsi="Times New Roman" w:eastAsia="方正小标宋简体" w:cs="Times New Roman"/>
          <w:color w:val="auto"/>
          <w:kern w:val="2"/>
          <w:sz w:val="44"/>
          <w:szCs w:val="44"/>
          <w:highlight w:val="none"/>
          <w:lang w:val="en-US" w:eastAsia="zh-CN" w:bidi="ar-SA"/>
        </w:rPr>
        <w:t>年度四川省</w:t>
      </w:r>
      <w:bookmarkEnd w:id="5"/>
      <w:bookmarkStart w:id="11" w:name="_Toc15306268"/>
      <w:r>
        <w:rPr>
          <w:rFonts w:hint="eastAsia" w:ascii="Times New Roman" w:eastAsia="方正小标宋简体" w:cs="Times New Roman"/>
          <w:color w:val="auto"/>
          <w:kern w:val="2"/>
          <w:sz w:val="44"/>
          <w:szCs w:val="44"/>
          <w:highlight w:val="none"/>
          <w:lang w:val="en-US" w:eastAsia="zh-CN" w:bidi="ar-SA"/>
        </w:rPr>
        <w:t>红原县安曲镇小学</w:t>
      </w:r>
      <w:r>
        <w:rPr>
          <w:rFonts w:hint="eastAsia" w:ascii="Times New Roman" w:hAnsi="Times New Roman" w:eastAsia="方正小标宋简体" w:cs="Times New Roman"/>
          <w:color w:val="auto"/>
          <w:kern w:val="2"/>
          <w:sz w:val="44"/>
          <w:szCs w:val="44"/>
          <w:highlight w:val="none"/>
          <w:lang w:val="en-US" w:eastAsia="zh-CN" w:bidi="ar-SA"/>
        </w:rPr>
        <w:t>部门决算</w:t>
      </w:r>
      <w:bookmarkEnd w:id="6"/>
      <w:bookmarkEnd w:id="7"/>
      <w:bookmarkEnd w:id="8"/>
      <w:bookmarkEnd w:id="9"/>
      <w:bookmarkEnd w:id="10"/>
      <w:bookmarkEnd w:id="1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val="en-US" w:eastAsia="zh-CN"/>
        </w:rPr>
        <w:t>（注：</w:t>
      </w:r>
      <w:r>
        <w:rPr>
          <w:rFonts w:hint="eastAsia" w:eastAsia="仿宋_GB2312" w:cs="仿宋_GB2312"/>
          <w:color w:val="auto"/>
          <w:sz w:val="32"/>
          <w:szCs w:val="32"/>
          <w:highlight w:val="none"/>
          <w:lang w:val="en-US" w:eastAsia="zh-CN"/>
        </w:rPr>
        <w:t>以下为部门公开范本。单位公开内容应参照部门公开内容和报表格式，并与部门公开内容做好衔接）</w:t>
      </w:r>
    </w:p>
    <w:p>
      <w:pPr>
        <w:widowControl/>
        <w:jc w:val="center"/>
        <w:rPr>
          <w:rFonts w:ascii="Times New Roman" w:hAnsi="Times New Roman" w:eastAsia="黑体"/>
          <w:color w:val="auto"/>
          <w:sz w:val="48"/>
          <w:szCs w:val="48"/>
          <w:highlight w:val="none"/>
        </w:rPr>
      </w:pPr>
      <w:r>
        <w:rPr>
          <w:rFonts w:ascii="Times New Roman" w:hAnsi="Times New Roman" w:eastAsia="方正小标宋简体"/>
          <w:color w:val="auto"/>
          <w:sz w:val="36"/>
          <w:szCs w:val="36"/>
          <w:highlight w:val="none"/>
        </w:rPr>
        <w:br w:type="page"/>
      </w: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28 </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rPr>
        <w:t>二、</w:t>
      </w:r>
      <w:r>
        <w:rPr>
          <w:rFonts w:hint="eastAsia" w:eastAsia="仿宋_GB2312" w:cs="仿宋_GB2312"/>
          <w:color w:val="auto"/>
          <w:sz w:val="32"/>
          <w:szCs w:val="32"/>
          <w:highlight w:val="none"/>
          <w:lang w:val="en-US" w:eastAsia="zh-CN"/>
        </w:rPr>
        <w:t>2025年重点工作完成情况</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2" w:name="_Toc15396599"/>
      <w:bookmarkStart w:id="13" w:name="_Toc15377196"/>
      <w:r>
        <w:rPr>
          <w:rFonts w:hint="eastAsia" w:ascii="Times New Roman" w:hAnsi="Times New Roman" w:eastAsia="仿宋_GB2312" w:cs="仿宋_GB2312"/>
          <w:b/>
          <w:color w:val="auto"/>
          <w:sz w:val="32"/>
          <w:szCs w:val="32"/>
          <w:highlight w:val="none"/>
        </w:rPr>
        <w:br w:type="page"/>
      </w:r>
    </w:p>
    <w:p>
      <w:pPr>
        <w:pStyle w:val="3"/>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8"/>
          <w:rFonts w:hint="eastAsia" w:ascii="Times New Roman" w:hAnsi="Times New Roman" w:eastAsia="方正小标宋简体" w:cs="方正小标宋简体"/>
          <w:b w:val="0"/>
          <w:bCs w:val="0"/>
          <w:color w:val="auto"/>
          <w:highlight w:val="none"/>
        </w:rPr>
        <w:t>部门概况</w:t>
      </w:r>
      <w:bookmarkEnd w:id="12"/>
      <w:bookmarkEnd w:id="13"/>
    </w:p>
    <w:p>
      <w:pPr>
        <w:widowControl/>
        <w:jc w:val="left"/>
        <w:rPr>
          <w:rFonts w:ascii="Times New Roman" w:hAnsi="Times New Roman" w:eastAsia="黑体"/>
          <w:color w:val="auto"/>
          <w:sz w:val="32"/>
          <w:szCs w:val="32"/>
          <w:highlight w:val="none"/>
        </w:rPr>
      </w:pPr>
    </w:p>
    <w:p>
      <w:pPr>
        <w:pStyle w:val="4"/>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pPr>
        <w:pStyle w:val="2"/>
        <w:adjustRightInd w:val="0"/>
        <w:snapToGrid w:val="0"/>
        <w:spacing w:before="93" w:beforeLines="0" w:line="560" w:lineRule="exact"/>
        <w:ind w:firstLine="640" w:firstLineChars="200"/>
        <w:rPr>
          <w:rFonts w:hint="eastAsia" w:hAnsi="Times New Roman" w:cs="Times New Roman"/>
          <w:bCs/>
          <w:color w:val="000000"/>
          <w:sz w:val="32"/>
          <w:szCs w:val="32"/>
        </w:rPr>
      </w:pPr>
      <w:bookmarkStart w:id="14" w:name="_Toc15377200"/>
      <w:bookmarkStart w:id="15" w:name="_Toc15396601"/>
      <w:r>
        <w:rPr>
          <w:rFonts w:hint="eastAsia" w:hAnsi="Times New Roman" w:cs="Times New Roman"/>
          <w:bCs/>
          <w:color w:val="000000"/>
          <w:sz w:val="32"/>
          <w:szCs w:val="32"/>
        </w:rPr>
        <w:t>小学义务教育的实施，促进基础教育发展，培养学生高尚的思想道德情操，丰富的科学文化知识，良好的身体素质，促进学生全面发展，业务范围是从事小学教育。</w:t>
      </w:r>
    </w:p>
    <w:p>
      <w:pPr>
        <w:pStyle w:val="2"/>
        <w:adjustRightInd w:val="0"/>
        <w:snapToGrid w:val="0"/>
        <w:spacing w:before="93" w:beforeLines="0" w:line="560" w:lineRule="exact"/>
        <w:ind w:firstLine="640" w:firstLineChars="200"/>
        <w:rPr>
          <w:rFonts w:hint="eastAsia" w:hAnsi="Times New Roman" w:cs="Times New Roman"/>
          <w:bCs/>
          <w:color w:val="000000"/>
          <w:sz w:val="32"/>
          <w:szCs w:val="32"/>
        </w:rPr>
      </w:pPr>
    </w:p>
    <w:p>
      <w:pPr>
        <w:pStyle w:val="2"/>
        <w:adjustRightInd w:val="0"/>
        <w:snapToGrid w:val="0"/>
        <w:spacing w:before="93" w:beforeLines="0" w:line="560" w:lineRule="exact"/>
        <w:ind w:firstLine="640" w:firstLineChars="200"/>
        <w:rPr>
          <w:rFonts w:hint="eastAsia" w:hAnsi="Times New Roman" w:cs="Times New Roman"/>
          <w:bCs/>
          <w:color w:val="000000"/>
          <w:sz w:val="32"/>
          <w:szCs w:val="32"/>
        </w:rPr>
      </w:pPr>
    </w:p>
    <w:p>
      <w:pPr>
        <w:pStyle w:val="4"/>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202</w:t>
      </w:r>
      <w:r>
        <w:rPr>
          <w:rFonts w:hint="eastAsia" w:ascii="Times New Roman" w:hAnsi="Times New Roman" w:eastAsia="黑体"/>
          <w:b w:val="0"/>
          <w:color w:val="auto"/>
          <w:highlight w:val="none"/>
          <w:lang w:val="en-US" w:eastAsia="zh-CN"/>
        </w:rPr>
        <w:t>5</w:t>
      </w:r>
      <w:r>
        <w:rPr>
          <w:rFonts w:hint="eastAsia" w:ascii="Times New Roman" w:hAnsi="Times New Roman" w:eastAsia="黑体"/>
          <w:b w:val="0"/>
          <w:color w:val="auto"/>
          <w:highlight w:val="none"/>
          <w:lang w:eastAsia="zh-CN"/>
        </w:rPr>
        <w:t>年重点工作完成情况</w:t>
      </w:r>
    </w:p>
    <w:p>
      <w:pPr>
        <w:pStyle w:val="2"/>
        <w:adjustRightInd w:val="0"/>
        <w:snapToGrid w:val="0"/>
        <w:spacing w:before="93" w:beforeLines="0" w:line="560" w:lineRule="exact"/>
        <w:ind w:firstLine="640" w:firstLineChars="200"/>
        <w:rPr>
          <w:rFonts w:ascii="仿宋" w:hAnsi="仿宋" w:eastAsia="仿宋"/>
          <w:bCs/>
          <w:color w:val="000000"/>
          <w:sz w:val="32"/>
          <w:szCs w:val="32"/>
        </w:rPr>
      </w:pPr>
      <w:r>
        <w:rPr>
          <w:rFonts w:hint="eastAsia" w:hAnsi="Times New Roman" w:cs="Times New Roman"/>
          <w:bCs/>
          <w:color w:val="000000"/>
          <w:sz w:val="32"/>
          <w:szCs w:val="32"/>
        </w:rPr>
        <w:t xml:space="preserve">  我校今年根据财政资金的安排情况，加强了资金的管理，合理用于教育事业，对我校贫困学生实行帮扶。资金合理合法使用。</w:t>
      </w:r>
    </w:p>
    <w:bookmarkEnd w:id="14"/>
    <w:bookmarkEnd w:id="15"/>
    <w:p>
      <w:pPr>
        <w:pStyle w:val="3"/>
        <w:ind w:right="440"/>
        <w:jc w:val="center"/>
        <w:rPr>
          <w:rFonts w:hint="eastAsia" w:ascii="黑体" w:hAnsi="Times New Roman" w:eastAsia="黑体" w:cs="Times New Roman"/>
          <w:b w:val="0"/>
        </w:rPr>
      </w:pPr>
    </w:p>
    <w:p>
      <w:pPr>
        <w:pStyle w:val="3"/>
        <w:ind w:right="440"/>
        <w:jc w:val="center"/>
        <w:rPr>
          <w:rFonts w:hint="eastAsia" w:ascii="黑体" w:hAnsi="Times New Roman" w:eastAsia="黑体" w:cs="Times New Roman"/>
          <w:b w:val="0"/>
        </w:rPr>
      </w:pPr>
      <w:bookmarkStart w:id="16" w:name="_Toc15377204"/>
      <w:bookmarkStart w:id="17" w:name="_Toc15396602"/>
      <w:r>
        <w:rPr>
          <w:rFonts w:hint="eastAsia" w:ascii="黑体" w:hAnsi="Times New Roman" w:eastAsia="黑体" w:cs="Times New Roman"/>
          <w:b w:val="0"/>
        </w:rPr>
        <w:t>第二部分</w:t>
      </w:r>
      <w:r>
        <w:rPr>
          <w:rFonts w:hint="eastAsia" w:ascii="黑体" w:hAnsi="Times New Roman" w:eastAsia="黑体" w:cs="Times New Roman"/>
          <w:b w:val="0"/>
          <w:lang w:val="en-US" w:eastAsia="zh-CN"/>
        </w:rPr>
        <w:t xml:space="preserve"> </w:t>
      </w:r>
      <w:r>
        <w:rPr>
          <w:rFonts w:hint="eastAsia" w:ascii="黑体" w:hAnsi="Times New Roman" w:eastAsia="黑体" w:cs="Times New Roman"/>
          <w:b w:val="0"/>
        </w:rPr>
        <w:t xml:space="preserve"> </w:t>
      </w:r>
      <w:r>
        <w:rPr>
          <w:rFonts w:hint="eastAsia" w:ascii="黑体" w:hAnsi="Times New Roman" w:eastAsia="黑体" w:cs="Times New Roman"/>
          <w:b w:val="0"/>
          <w:lang w:val="en-US" w:eastAsia="zh-CN"/>
        </w:rPr>
        <w:t>202</w:t>
      </w:r>
      <w:r>
        <w:rPr>
          <w:rFonts w:hint="eastAsia" w:ascii="黑体" w:eastAsia="黑体" w:cs="Times New Roman"/>
          <w:b w:val="0"/>
          <w:lang w:val="en-US" w:eastAsia="zh-CN"/>
        </w:rPr>
        <w:t>5</w:t>
      </w:r>
      <w:r>
        <w:rPr>
          <w:rFonts w:hint="eastAsia" w:ascii="黑体" w:hAnsi="Times New Roman" w:eastAsia="黑体" w:cs="Times New Roman"/>
          <w:b w:val="0"/>
          <w:lang w:val="en-US" w:eastAsia="zh-CN"/>
        </w:rPr>
        <w:t>年度</w:t>
      </w:r>
      <w:r>
        <w:rPr>
          <w:rFonts w:hint="eastAsia" w:ascii="黑体" w:hAnsi="Times New Roman" w:eastAsia="黑体" w:cs="Times New Roman"/>
          <w:b w:val="0"/>
        </w:rPr>
        <w:t>部门决算情况说明</w:t>
      </w:r>
      <w:bookmarkEnd w:id="16"/>
      <w:bookmarkEnd w:id="17"/>
    </w:p>
    <w:p>
      <w:pPr>
        <w:rPr>
          <w:rFonts w:ascii="Times New Roman" w:hAnsi="Times New Roman"/>
          <w:color w:val="auto"/>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8" w:name="_Toc15377205"/>
      <w:bookmarkStart w:id="19"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8"/>
      <w:bookmarkEnd w:id="19"/>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eastAsia="仿宋_GB2312" w:cs="仿宋_GB2312"/>
          <w:color w:val="auto"/>
          <w:sz w:val="32"/>
          <w:szCs w:val="32"/>
          <w:highlight w:val="none"/>
          <w:lang w:val="en-US" w:eastAsia="zh-CN"/>
        </w:rPr>
        <w:t>1179.73</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w:t>
      </w:r>
      <w:r>
        <w:rPr>
          <w:rFonts w:hint="eastAsia" w:eastAsia="仿宋_GB2312" w:cs="仿宋_GB2312"/>
          <w:color w:val="auto"/>
          <w:sz w:val="32"/>
          <w:szCs w:val="32"/>
          <w:highlight w:val="none"/>
          <w:lang w:eastAsia="zh-CN"/>
        </w:rPr>
        <w:t>加</w:t>
      </w:r>
      <w:r>
        <w:rPr>
          <w:rFonts w:hint="eastAsia" w:eastAsia="仿宋_GB2312" w:cs="仿宋_GB2312"/>
          <w:color w:val="auto"/>
          <w:sz w:val="32"/>
          <w:szCs w:val="32"/>
          <w:highlight w:val="none"/>
          <w:lang w:val="en-US" w:eastAsia="zh-CN"/>
        </w:rPr>
        <w:t>215.5</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22.3</w:t>
      </w:r>
      <w:r>
        <w:rPr>
          <w:rFonts w:hint="eastAsia" w:ascii="Times New Roman" w:hAnsi="Times New Roman" w:eastAsia="仿宋_GB2312" w:cs="仿宋_GB2312"/>
          <w:color w:val="auto"/>
          <w:sz w:val="32"/>
          <w:szCs w:val="32"/>
          <w:highlight w:val="none"/>
        </w:rPr>
        <w:t>%。主要变动原因是</w:t>
      </w:r>
      <w:r>
        <w:rPr>
          <w:rFonts w:ascii="仿宋" w:eastAsia="仿宋"/>
          <w:color w:val="000000"/>
          <w:sz w:val="32"/>
          <w:szCs w:val="32"/>
        </w:rPr>
        <w:t>本年教职工人数增加、人均工资有所增长人员经费收支相应增加，本年年度考核奖随工资发放，各类保险基数相应提高</w:t>
      </w:r>
      <w:r>
        <w:rPr>
          <w:rFonts w:hint="eastAsia" w:ascii="仿宋" w:eastAsia="仿宋"/>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仿宋_GB2312" w:cs="仿宋_GB2312"/>
          <w:color w:val="auto"/>
          <w:sz w:val="32"/>
          <w:szCs w:val="32"/>
          <w:highlight w:val="none"/>
          <w:lang w:eastAsia="zh-CN"/>
        </w:rPr>
      </w:pPr>
      <w:r>
        <w:drawing>
          <wp:inline distT="0" distB="0" distL="114300" distR="114300">
            <wp:extent cx="5271135" cy="2619375"/>
            <wp:effectExtent l="4445" t="4445" r="12700" b="12700"/>
            <wp:docPr id="121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20" w:name="_Toc15377206"/>
      <w:bookmarkStart w:id="21" w:name="_Toc15396604"/>
      <w:r>
        <w:rPr>
          <w:rFonts w:hint="eastAsia" w:ascii="Times New Roman" w:hAnsi="Times New Roman" w:eastAsia="黑体"/>
          <w:color w:val="auto"/>
          <w:sz w:val="32"/>
          <w:szCs w:val="32"/>
          <w:highlight w:val="none"/>
          <w:lang w:eastAsia="zh-CN"/>
        </w:rPr>
        <w:t>二、收入决算情况说明</w:t>
      </w:r>
      <w:bookmarkEnd w:id="20"/>
      <w:bookmarkEnd w:id="21"/>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年度本年收入合计</w:t>
      </w:r>
      <w:r>
        <w:rPr>
          <w:rFonts w:hint="eastAsia" w:ascii="仿宋_GB2312" w:hAnsi="仿宋_GB2312" w:eastAsia="仿宋_GB2312" w:cs="仿宋_GB2312"/>
          <w:color w:val="auto"/>
          <w:sz w:val="32"/>
          <w:szCs w:val="32"/>
          <w:highlight w:val="none"/>
          <w:lang w:val="en-US" w:eastAsia="zh-CN"/>
        </w:rPr>
        <w:t>1179.73</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1175.77</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99</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color w:val="auto"/>
          <w:sz w:val="32"/>
          <w:szCs w:val="32"/>
          <w:highlight w:val="none"/>
          <w:lang w:val="en-US" w:eastAsia="zh-CN"/>
        </w:rPr>
        <w:t>3.96</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sz w:val="32"/>
          <w:szCs w:val="32"/>
        </w:rPr>
        <w:t>%</w:t>
      </w:r>
      <w:r>
        <w:rPr>
          <w:rFonts w:hint="eastAsia" w:ascii="仿宋_GB2312" w:hAnsi="仿宋_GB2312"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pPr>
        <w:ind w:firstLine="525" w:firstLineChars="250"/>
        <w:rPr>
          <w:rFonts w:hint="eastAsia" w:ascii="Times New Roman" w:hAnsi="Times New Roman" w:eastAsia="仿宋_GB2312" w:cs="仿宋_GB2312"/>
          <w:color w:val="auto"/>
          <w:sz w:val="32"/>
          <w:szCs w:val="32"/>
          <w:highlight w:val="none"/>
          <w:lang w:eastAsia="zh-CN"/>
        </w:rPr>
      </w:pPr>
      <w:r>
        <w:drawing>
          <wp:inline distT="0" distB="0" distL="114300" distR="114300">
            <wp:extent cx="4571365" cy="3000375"/>
            <wp:effectExtent l="4445" t="4445" r="11430" b="12700"/>
            <wp:docPr id="121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22" w:name="_Toc15377207"/>
      <w:bookmarkStart w:id="23"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22"/>
      <w:bookmarkEnd w:id="23"/>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年度本年支出合计</w:t>
      </w:r>
      <w:r>
        <w:rPr>
          <w:rFonts w:hint="eastAsia" w:ascii="仿宋_GB2312" w:hAnsi="仿宋_GB2312" w:eastAsia="仿宋_GB2312" w:cs="仿宋_GB2312"/>
          <w:color w:val="auto"/>
          <w:sz w:val="32"/>
          <w:szCs w:val="32"/>
          <w:highlight w:val="none"/>
          <w:lang w:val="en-US" w:eastAsia="zh-CN"/>
        </w:rPr>
        <w:t>1179.73</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color w:val="auto"/>
          <w:sz w:val="32"/>
          <w:szCs w:val="32"/>
          <w:highlight w:val="none"/>
          <w:lang w:val="en-US" w:eastAsia="zh-CN"/>
        </w:rPr>
        <w:t>1004.32</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85.13</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color w:val="auto"/>
          <w:sz w:val="32"/>
          <w:szCs w:val="32"/>
          <w:highlight w:val="none"/>
          <w:lang w:val="en-US" w:eastAsia="zh-CN"/>
        </w:rPr>
        <w:t>175.41</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14.87</w:t>
      </w:r>
      <w:r>
        <w:rPr>
          <w:rFonts w:hint="eastAsia" w:ascii="仿宋_GB2312" w:hAnsi="仿宋_GB2312"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pPr>
        <w:ind w:firstLine="525" w:firstLineChars="250"/>
        <w:rPr>
          <w:rFonts w:hint="eastAsia" w:ascii="Times New Roman" w:hAnsi="Times New Roman" w:eastAsia="仿宋_GB2312" w:cs="仿宋_GB2312"/>
          <w:color w:val="auto"/>
          <w:sz w:val="32"/>
          <w:szCs w:val="32"/>
          <w:highlight w:val="none"/>
          <w:lang w:eastAsia="zh-CN"/>
        </w:rPr>
      </w:pPr>
      <w:r>
        <w:drawing>
          <wp:inline distT="0" distB="0" distL="114300" distR="114300">
            <wp:extent cx="5272405" cy="2619375"/>
            <wp:effectExtent l="4445" t="4445" r="11430" b="12700"/>
            <wp:docPr id="121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Style w:val="29"/>
          <w:rFonts w:ascii="Times New Roman" w:hAnsi="Times New Roman" w:eastAsia="黑体"/>
          <w:b w:val="0"/>
          <w:color w:val="auto"/>
          <w:highlight w:val="none"/>
        </w:rPr>
      </w:pPr>
      <w:bookmarkStart w:id="24" w:name="_Toc15377208"/>
      <w:bookmarkStart w:id="25" w:name="_Toc15396606"/>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24"/>
      <w:bookmarkEnd w:id="2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eastAsia="仿宋_GB2312" w:cs="仿宋_GB2312"/>
          <w:color w:val="auto"/>
          <w:kern w:val="2"/>
          <w:sz w:val="32"/>
          <w:szCs w:val="32"/>
          <w:highlight w:val="none"/>
          <w:lang w:val="en-US" w:eastAsia="zh-CN" w:bidi="ar-SA"/>
        </w:rPr>
        <w:t>1175.77</w:t>
      </w:r>
      <w:r>
        <w:rPr>
          <w:rFonts w:hint="eastAsia" w:ascii="Times New Roman" w:hAnsi="Times New Roman" w:eastAsia="仿宋_GB2312" w:cs="仿宋_GB2312"/>
          <w:color w:val="auto"/>
          <w:kern w:val="2"/>
          <w:sz w:val="32"/>
          <w:szCs w:val="32"/>
          <w:highlight w:val="none"/>
          <w:lang w:val="en-US" w:eastAsia="zh-CN" w:bidi="ar-SA"/>
        </w:rPr>
        <w:t>万元。与202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年度相比，财政拨款收入总计、支出总计</w:t>
      </w:r>
      <w:r>
        <w:rPr>
          <w:rFonts w:hint="eastAsia" w:eastAsia="仿宋_GB2312" w:cs="仿宋_GB2312"/>
          <w:color w:val="auto"/>
          <w:kern w:val="2"/>
          <w:sz w:val="32"/>
          <w:szCs w:val="32"/>
          <w:highlight w:val="none"/>
          <w:lang w:val="en-US" w:eastAsia="zh-CN" w:bidi="ar-SA"/>
        </w:rPr>
        <w:t>964.23</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21.94</w:t>
      </w:r>
      <w:r>
        <w:rPr>
          <w:rFonts w:hint="eastAsia" w:ascii="仿宋_GB2312" w:hAnsi="仿宋_GB2312" w:eastAsia="仿宋_GB2312" w:cs="仿宋_GB2312"/>
          <w:sz w:val="32"/>
          <w:szCs w:val="32"/>
          <w:lang w:val="en-US" w:eastAsia="zh-CN"/>
        </w:rPr>
        <w:t>%</w:t>
      </w:r>
      <w:r>
        <w:rPr>
          <w:rFonts w:hint="eastAsia" w:ascii="Times New Roman" w:hAnsi="Times New Roman" w:eastAsia="仿宋_GB2312" w:cs="仿宋_GB2312"/>
          <w:color w:val="auto"/>
          <w:kern w:val="2"/>
          <w:sz w:val="32"/>
          <w:szCs w:val="32"/>
          <w:highlight w:val="none"/>
          <w:lang w:val="en-US" w:eastAsia="zh-CN" w:bidi="ar-SA"/>
        </w:rPr>
        <w:t>。主要变动原因</w:t>
      </w:r>
      <w:r>
        <w:rPr>
          <w:rFonts w:hint="eastAsia" w:eastAsia="仿宋_GB2312" w:cs="仿宋_GB2312"/>
          <w:color w:val="auto"/>
          <w:kern w:val="2"/>
          <w:sz w:val="32"/>
          <w:szCs w:val="32"/>
          <w:highlight w:val="none"/>
          <w:lang w:val="en-US" w:eastAsia="zh-CN" w:bidi="ar-SA"/>
        </w:rPr>
        <w:t>是</w:t>
      </w:r>
      <w:r>
        <w:rPr>
          <w:rFonts w:ascii="仿宋" w:eastAsia="仿宋"/>
          <w:color w:val="000000"/>
          <w:sz w:val="32"/>
          <w:szCs w:val="32"/>
        </w:rPr>
        <w:t>本年教职工人数增加、人均工资有所增长人员经费收入相应增加，本年年度考核奖随工资发放，各类保</w:t>
      </w:r>
      <w:r>
        <w:rPr>
          <w:rFonts w:hint="eastAsia" w:ascii="仿宋" w:eastAsia="仿宋"/>
          <w:color w:val="000000"/>
          <w:sz w:val="32"/>
          <w:szCs w:val="32"/>
          <w:lang w:eastAsia="zh-CN"/>
        </w:rPr>
        <w:t>险基数相应提高。</w:t>
      </w:r>
    </w:p>
    <w:p>
      <w:pPr>
        <w:pStyle w:val="2"/>
        <w:rPr>
          <w:rFonts w:hint="eastAsia" w:ascii="Times New Roman" w:hAnsi="Times New Roman" w:eastAsia="仿宋_GB2312" w:cs="仿宋_GB2312"/>
          <w:color w:val="auto"/>
          <w:kern w:val="2"/>
          <w:sz w:val="32"/>
          <w:szCs w:val="32"/>
          <w:highlight w:val="none"/>
          <w:lang w:val="en-US" w:eastAsia="zh-CN" w:bidi="ar-SA"/>
        </w:rPr>
      </w:pPr>
      <w:r>
        <w:drawing>
          <wp:inline distT="0" distB="0" distL="114300" distR="114300">
            <wp:extent cx="4572000" cy="3000375"/>
            <wp:effectExtent l="4445" t="4445" r="10795" b="12700"/>
            <wp:docPr id="122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2"/>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outlineLvl w:val="1"/>
        <w:rPr>
          <w:rStyle w:val="29"/>
          <w:rFonts w:ascii="Times New Roman" w:hAnsi="Times New Roman" w:eastAsia="黑体"/>
          <w:b w:val="0"/>
          <w:color w:val="auto"/>
          <w:highlight w:val="none"/>
        </w:rPr>
      </w:pPr>
      <w:bookmarkStart w:id="26" w:name="_Toc15396607"/>
      <w:bookmarkStart w:id="27"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6"/>
      <w:bookmarkEnd w:id="2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8"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2025年度一般公共预算财政拨款支出1175.77万元，占本年支出合计的99%。与2024年度相比，一般公共预算财政拨款支出增加211.54万元，增长21.94%。主要变动原因</w:t>
      </w:r>
      <w:r>
        <w:rPr>
          <w:rFonts w:ascii="仿宋" w:eastAsia="仿宋"/>
          <w:color w:val="000000"/>
          <w:sz w:val="32"/>
          <w:szCs w:val="32"/>
        </w:rPr>
        <w:t>本年教职工人数增加、人均工资有所增长人员经费收入相应增加，本年年度考核奖随工资发放，各类保</w:t>
      </w:r>
      <w:r>
        <w:rPr>
          <w:rFonts w:hint="eastAsia" w:ascii="仿宋" w:eastAsia="仿宋"/>
          <w:color w:val="000000"/>
          <w:sz w:val="32"/>
          <w:szCs w:val="32"/>
          <w:lang w:eastAsia="zh-CN"/>
        </w:rPr>
        <w:t>险基数相应提高。</w:t>
      </w:r>
    </w:p>
    <w:p>
      <w:pPr>
        <w:spacing w:line="240" w:lineRule="auto"/>
        <w:ind w:firstLine="0"/>
        <w:rPr>
          <w:rFonts w:hint="eastAsia" w:ascii="Times New Roman" w:hAnsi="Times New Roman" w:eastAsia="仿宋_GB2312" w:cs="仿宋_GB2312"/>
          <w:color w:val="auto"/>
          <w:kern w:val="2"/>
          <w:sz w:val="32"/>
          <w:szCs w:val="32"/>
          <w:highlight w:val="none"/>
          <w:lang w:val="en-US" w:eastAsia="zh-CN" w:bidi="ar-SA"/>
        </w:rPr>
      </w:pPr>
      <w:r>
        <w:drawing>
          <wp:inline distT="0" distB="0" distL="114300" distR="114300">
            <wp:extent cx="5248910" cy="3169920"/>
            <wp:effectExtent l="4445" t="4445" r="19685" b="10795"/>
            <wp:docPr id="5"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9"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9"/>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eastAsia="仿宋_GB2312" w:cs="仿宋_GB2312"/>
          <w:color w:val="auto"/>
          <w:kern w:val="2"/>
          <w:sz w:val="32"/>
          <w:szCs w:val="32"/>
          <w:highlight w:val="none"/>
          <w:lang w:val="en-US" w:eastAsia="zh-CN" w:bidi="ar-SA"/>
        </w:rPr>
        <w:t>1175.77</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%；教育</w:t>
      </w:r>
      <w:r>
        <w:rPr>
          <w:rFonts w:hint="eastAsia" w:eastAsia="仿宋_GB2312" w:cs="仿宋_GB2312"/>
          <w:color w:val="auto"/>
          <w:kern w:val="2"/>
          <w:sz w:val="32"/>
          <w:szCs w:val="32"/>
          <w:highlight w:val="none"/>
          <w:lang w:val="en-US" w:eastAsia="zh-CN" w:bidi="ar-SA"/>
        </w:rPr>
        <w:t>910.37</w:t>
      </w:r>
      <w:r>
        <w:rPr>
          <w:rFonts w:hint="eastAsia" w:ascii="Times New Roman" w:hAnsi="Times New Roman" w:eastAsia="仿宋_GB2312" w:cs="仿宋_GB2312"/>
          <w:color w:val="auto"/>
          <w:kern w:val="2"/>
          <w:sz w:val="32"/>
          <w:szCs w:val="32"/>
          <w:highlight w:val="none"/>
          <w:lang w:val="en-US" w:eastAsia="zh-CN" w:bidi="ar-SA"/>
        </w:rPr>
        <w:t>支出万元，占</w:t>
      </w:r>
      <w:r>
        <w:rPr>
          <w:rFonts w:hint="eastAsia" w:eastAsia="仿宋_GB2312" w:cs="仿宋_GB2312"/>
          <w:color w:val="auto"/>
          <w:kern w:val="2"/>
          <w:sz w:val="32"/>
          <w:szCs w:val="32"/>
          <w:highlight w:val="none"/>
          <w:lang w:val="en-US" w:eastAsia="zh-CN" w:bidi="ar-SA"/>
        </w:rPr>
        <w:t>77.43</w:t>
      </w:r>
      <w:r>
        <w:rPr>
          <w:rFonts w:hint="eastAsia" w:ascii="Times New Roman" w:hAnsi="Times New Roman" w:eastAsia="仿宋_GB2312" w:cs="仿宋_GB2312"/>
          <w:color w:val="auto"/>
          <w:kern w:val="2"/>
          <w:sz w:val="32"/>
          <w:szCs w:val="32"/>
          <w:highlight w:val="none"/>
          <w:lang w:val="en-US" w:eastAsia="zh-CN" w:bidi="ar-SA"/>
        </w:rPr>
        <w:t>%；科学技术支出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136.5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11.61</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51.16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4.35</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77.74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6.61</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pPr>
        <w:spacing w:line="240" w:lineRule="auto"/>
        <w:ind w:firstLine="0"/>
        <w:rPr>
          <w:rFonts w:hint="eastAsia" w:ascii="Times New Roman" w:hAnsi="Times New Roman" w:eastAsia="仿宋_GB2312" w:cs="仿宋_GB2312"/>
          <w:color w:val="auto"/>
          <w:kern w:val="2"/>
          <w:sz w:val="32"/>
          <w:szCs w:val="32"/>
          <w:highlight w:val="none"/>
          <w:lang w:val="en-US" w:eastAsia="zh-CN" w:bidi="ar-SA"/>
        </w:rPr>
      </w:pPr>
      <w:r>
        <w:drawing>
          <wp:inline distT="0" distB="0" distL="114300" distR="114300">
            <wp:extent cx="4573270" cy="3001010"/>
            <wp:effectExtent l="4445" t="4445" r="9525" b="12065"/>
            <wp:docPr id="1218"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0"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3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1" w:name="_Toc15377444"/>
      <w:bookmarkStart w:id="32" w:name="_Toc15378460"/>
      <w:bookmarkStart w:id="33" w:name="_Toc15377213"/>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eastAsia="仿宋_GB2312" w:cs="仿宋_GB2312"/>
          <w:color w:val="auto"/>
          <w:kern w:val="2"/>
          <w:sz w:val="32"/>
          <w:szCs w:val="32"/>
          <w:highlight w:val="none"/>
          <w:lang w:val="en-US" w:eastAsia="zh-CN" w:bidi="ar-SA"/>
        </w:rPr>
        <w:t>1175.77</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31"/>
      <w:bookmarkEnd w:id="32"/>
      <w:bookmarkEnd w:id="33"/>
    </w:p>
    <w:p>
      <w:pPr>
        <w:numPr>
          <w:ilvl w:val="0"/>
          <w:numId w:val="0"/>
        </w:numPr>
        <w:spacing w:line="600" w:lineRule="exact"/>
        <w:ind w:firstLine="320" w:firstLineChars="10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教育</w:t>
      </w:r>
      <w:r>
        <w:rPr>
          <w:rFonts w:hint="eastAsia" w:eastAsia="仿宋_GB2312" w:cs="仿宋_GB2312"/>
          <w:color w:val="auto"/>
          <w:kern w:val="2"/>
          <w:sz w:val="32"/>
          <w:szCs w:val="32"/>
          <w:highlight w:val="none"/>
          <w:lang w:val="en-US" w:eastAsia="zh-CN" w:bidi="ar-SA"/>
        </w:rPr>
        <w:t>2050202</w:t>
      </w:r>
      <w:r>
        <w:rPr>
          <w:rFonts w:hint="eastAsia" w:ascii="Times New Roman" w:hAnsi="Times New Roman" w:eastAsia="仿宋_GB2312" w:cs="仿宋_GB2312"/>
          <w:color w:val="auto"/>
          <w:kern w:val="2"/>
          <w:sz w:val="32"/>
          <w:szCs w:val="32"/>
          <w:highlight w:val="none"/>
          <w:lang w:val="en-US" w:eastAsia="zh-CN" w:bidi="ar-SA"/>
        </w:rPr>
        <w:t>: 支出决算为</w:t>
      </w:r>
      <w:r>
        <w:rPr>
          <w:rFonts w:hint="eastAsia" w:eastAsia="仿宋_GB2312" w:cs="仿宋_GB2312"/>
          <w:color w:val="auto"/>
          <w:kern w:val="2"/>
          <w:sz w:val="32"/>
          <w:szCs w:val="32"/>
          <w:highlight w:val="none"/>
          <w:lang w:val="en-US" w:eastAsia="zh-CN" w:bidi="ar-SA"/>
        </w:rPr>
        <w:t>910.37</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320" w:firstLineChars="1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2050202：</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136.5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320" w:firstLineChars="1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卫生健康</w:t>
      </w:r>
      <w:r>
        <w:rPr>
          <w:rFonts w:hint="eastAsia" w:eastAsia="仿宋_GB2312" w:cs="仿宋_GB2312"/>
          <w:color w:val="auto"/>
          <w:kern w:val="2"/>
          <w:sz w:val="32"/>
          <w:szCs w:val="32"/>
          <w:highlight w:val="none"/>
          <w:lang w:val="en-US" w:eastAsia="zh-CN" w:bidi="ar-SA"/>
        </w:rPr>
        <w:t>2050202：</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51.16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320" w:firstLineChars="100"/>
        <w:rPr>
          <w:rFonts w:hint="default"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4.住房保障支出2050202：</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77.74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tabs>
          <w:tab w:val="right" w:pos="8306"/>
        </w:tabs>
        <w:spacing w:line="600" w:lineRule="exact"/>
        <w:ind w:firstLine="640"/>
        <w:outlineLvl w:val="1"/>
        <w:rPr>
          <w:rStyle w:val="29"/>
          <w:rFonts w:ascii="Times New Roman" w:hAnsi="Times New Roman"/>
          <w:color w:val="auto"/>
          <w:highlight w:val="none"/>
        </w:rPr>
      </w:pPr>
      <w:bookmarkStart w:id="34" w:name="_Toc15377214"/>
      <w:bookmarkStart w:id="35"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34"/>
      <w:bookmarkEnd w:id="35"/>
      <w:r>
        <w:rPr>
          <w:rStyle w:val="29"/>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年度一般公共预算财政拨款基本支出</w:t>
      </w:r>
      <w:r>
        <w:rPr>
          <w:rFonts w:hint="eastAsia" w:eastAsia="仿宋_GB2312" w:cs="仿宋_GB2312"/>
          <w:color w:val="auto"/>
          <w:kern w:val="2"/>
          <w:sz w:val="32"/>
          <w:szCs w:val="32"/>
          <w:highlight w:val="none"/>
          <w:lang w:val="en-US" w:eastAsia="zh-CN" w:bidi="ar-SA"/>
        </w:rPr>
        <w:t>1004.32</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eastAsia="仿宋_GB2312" w:cs="仿宋_GB2312"/>
          <w:color w:val="auto"/>
          <w:kern w:val="2"/>
          <w:sz w:val="32"/>
          <w:szCs w:val="32"/>
          <w:highlight w:val="none"/>
          <w:lang w:val="en-US" w:eastAsia="zh-CN" w:bidi="ar-SA"/>
        </w:rPr>
        <w:t>977.68</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eastAsia="仿宋_GB2312" w:cs="仿宋_GB2312"/>
          <w:color w:val="auto"/>
          <w:kern w:val="2"/>
          <w:sz w:val="32"/>
          <w:szCs w:val="32"/>
          <w:highlight w:val="none"/>
          <w:lang w:val="en-US" w:eastAsia="zh-CN" w:bidi="ar-SA"/>
        </w:rPr>
        <w:t>26.65</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outlineLvl w:val="1"/>
        <w:rPr>
          <w:rStyle w:val="29"/>
          <w:rFonts w:ascii="Times New Roman" w:hAnsi="Times New Roman" w:eastAsia="黑体"/>
          <w:b w:val="0"/>
          <w:color w:val="auto"/>
          <w:highlight w:val="none"/>
        </w:rPr>
      </w:pPr>
      <w:bookmarkStart w:id="36" w:name="_Toc15377215"/>
      <w:bookmarkStart w:id="37" w:name="_Toc15396609"/>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36"/>
      <w:bookmarkEnd w:id="3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8"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年度“三公”经费财政拨款支出决算为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。决算数小于预算数（或与预算数持平）的主要原因是……</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9"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9"/>
    </w:p>
    <w:p>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万元，占0%；公务用车购置及运行维护费支出决算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（图7：“三公”经费财政拨款支出结构）（饼状图）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w:t>
      </w:r>
      <w:r>
        <w:rPr>
          <w:rFonts w:hint="eastAsia" w:ascii="仿宋_GB2312" w:hAnsi="仿宋_GB2312" w:eastAsia="仿宋_GB2312" w:cs="仿宋_GB2312"/>
          <w:color w:val="auto"/>
          <w:kern w:val="2"/>
          <w:sz w:val="32"/>
          <w:szCs w:val="32"/>
          <w:highlight w:val="none"/>
          <w:lang w:val="en-US" w:eastAsia="zh-CN" w:bidi="ar-SA"/>
        </w:rPr>
        <w:t>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w:t>
      </w:r>
      <w:r>
        <w:rPr>
          <w:rFonts w:hint="eastAsia" w:ascii="Times New Roman" w:hAnsi="Times New Roman" w:eastAsia="仿宋_GB2312" w:cs="仿宋_GB2312"/>
          <w:color w:val="auto"/>
          <w:kern w:val="2"/>
          <w:sz w:val="32"/>
          <w:szCs w:val="32"/>
          <w:highlight w:val="none"/>
          <w:lang w:val="en-US" w:eastAsia="zh-CN" w:bidi="ar-SA"/>
        </w:rPr>
        <w:t>。因公出国（境）支出决算比202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万元，越野车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辆、越野车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%。主要原因是……。其中：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元，主要用于……(执行公务、开展业务活动开支的交通费、住宿费、用餐费等)。国内公务接</w:t>
      </w:r>
      <w:r>
        <w:rPr>
          <w:rFonts w:hint="eastAsia" w:ascii="仿宋_GB2312" w:hAnsi="仿宋_GB2312" w:eastAsia="仿宋_GB2312" w:cs="仿宋_GB2312"/>
          <w:color w:val="auto"/>
          <w:kern w:val="2"/>
          <w:sz w:val="32"/>
          <w:szCs w:val="32"/>
          <w:highlight w:val="none"/>
          <w:lang w:val="en-US" w:eastAsia="zh-CN" w:bidi="ar-SA"/>
        </w:rPr>
        <w:t>待</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万元，具体内容包括：……（接待具体项目、金额）。</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人次（不包括陪同人员），共计支出0万</w:t>
      </w:r>
      <w:r>
        <w:rPr>
          <w:rFonts w:hint="eastAsia" w:ascii="Times New Roman" w:hAnsi="Times New Roman" w:eastAsia="仿宋_GB2312" w:cs="仿宋_GB2312"/>
          <w:color w:val="auto"/>
          <w:kern w:val="2"/>
          <w:sz w:val="32"/>
          <w:szCs w:val="32"/>
          <w:highlight w:val="none"/>
          <w:lang w:val="en-US" w:eastAsia="zh-CN" w:bidi="ar-SA"/>
        </w:rPr>
        <w:t>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0" w:name="_Toc15396610"/>
      <w:bookmarkStart w:id="41" w:name="_Toc15377218"/>
    </w:p>
    <w:p>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40"/>
      <w:bookmarkEnd w:id="41"/>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29"/>
          <w:rFonts w:ascii="Times New Roman" w:hAnsi="Times New Roman" w:eastAsia="黑体"/>
          <w:b w:val="0"/>
          <w:color w:val="auto"/>
          <w:highlight w:val="none"/>
        </w:rPr>
      </w:pPr>
      <w:bookmarkStart w:id="42" w:name="_Toc15396611"/>
      <w:bookmarkStart w:id="43" w:name="_Toc15377219"/>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42"/>
      <w:bookmarkEnd w:id="4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44" w:name="_Toc15377221"/>
      <w:bookmarkStart w:id="45" w:name="_Toc15396612"/>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44"/>
      <w:bookmarkEnd w:id="45"/>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6" w:name="_Toc15377222"/>
      <w:r>
        <w:rPr>
          <w:rFonts w:hint="eastAsia" w:ascii="Times New Roman" w:hAnsi="Times New Roman" w:eastAsia="楷体_GB2312" w:cs="楷体_GB2312"/>
          <w:b/>
          <w:color w:val="auto"/>
          <w:sz w:val="32"/>
          <w:szCs w:val="32"/>
          <w:highlight w:val="none"/>
        </w:rPr>
        <w:t>（一）机关运行经费支出情况</w:t>
      </w:r>
      <w:bookmarkEnd w:id="46"/>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红原县安曲镇小学</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%（或与202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68" w:name="_GoBack"/>
      <w:bookmarkEnd w:id="68"/>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7" w:name="_Toc15377223"/>
      <w:r>
        <w:rPr>
          <w:rFonts w:hint="eastAsia" w:ascii="Times New Roman" w:hAnsi="Times New Roman" w:eastAsia="楷体_GB2312" w:cs="楷体_GB2312"/>
          <w:b/>
          <w:color w:val="auto"/>
          <w:sz w:val="32"/>
          <w:szCs w:val="32"/>
          <w:highlight w:val="none"/>
        </w:rPr>
        <w:t>（二）政府采购支出情况</w:t>
      </w:r>
      <w:bookmarkEnd w:id="47"/>
    </w:p>
    <w:p>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w:t>
      </w:r>
      <w:r>
        <w:rPr>
          <w:rFonts w:hint="eastAsia" w:ascii="仿宋_GB2312" w:hAnsi="仿宋_GB2312" w:eastAsia="仿宋_GB2312" w:cs="仿宋_GB2312"/>
          <w:sz w:val="32"/>
          <w:szCs w:val="32"/>
        </w:rPr>
        <w:t>红原县安曲镇小学</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8" w:name="_Toc15377224"/>
      <w:r>
        <w:rPr>
          <w:rFonts w:hint="eastAsia" w:ascii="Times New Roman" w:hAnsi="Times New Roman" w:eastAsia="楷体_GB2312" w:cs="楷体_GB2312"/>
          <w:b/>
          <w:color w:val="auto"/>
          <w:sz w:val="32"/>
          <w:szCs w:val="32"/>
          <w:highlight w:val="none"/>
        </w:rPr>
        <w:t>（三）国有资产占有使用情况</w:t>
      </w:r>
      <w:bookmarkEnd w:id="4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截至2025年12月31日，</w:t>
      </w:r>
      <w:r>
        <w:rPr>
          <w:rFonts w:hint="eastAsia" w:ascii="仿宋_GB2312" w:hAnsi="仿宋_GB2312" w:eastAsia="仿宋_GB2312" w:cs="仿宋_GB2312"/>
          <w:sz w:val="32"/>
          <w:szCs w:val="32"/>
        </w:rPr>
        <w:t>红原县安曲镇小学</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辆，其中：主要负责人用车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辆，其他用车主要是用于……。单价100万元（含）以上设备（不含车辆）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台（套）</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_GB2312" w:eastAsia="仿宋_GB2312" w:cs="仿宋"/>
          <w:color w:val="000000"/>
          <w:kern w:val="0"/>
          <w:sz w:val="32"/>
          <w:szCs w:val="32"/>
          <w:lang w:val="zh-CN"/>
        </w:rPr>
        <w:t>工作规划和重点工作</w:t>
      </w:r>
      <w:r>
        <w:rPr>
          <w:rFonts w:hint="eastAsia" w:ascii="仿宋_GB2312" w:eastAsia="仿宋_GB2312" w:cs="仿宋"/>
          <w:color w:val="000000"/>
          <w:kern w:val="0"/>
          <w:sz w:val="32"/>
          <w:szCs w:val="32"/>
        </w:rPr>
        <w:t>规划</w:t>
      </w:r>
      <w:r>
        <w:rPr>
          <w:rFonts w:hint="eastAsia" w:ascii="仿宋_GB2312" w:eastAsia="仿宋_GB2312" w:cs="仿宋"/>
          <w:color w:val="000000"/>
          <w:kern w:val="0"/>
          <w:sz w:val="32"/>
          <w:szCs w:val="32"/>
          <w:lang w:val="zh-CN"/>
        </w:rPr>
        <w:t>，积极履行职责，强化本单位预算管理，</w:t>
      </w:r>
      <w:r>
        <w:rPr>
          <w:rFonts w:hint="eastAsia" w:ascii="仿宋_GB2312" w:eastAsia="仿宋_GB2312" w:cs="仿宋"/>
          <w:color w:val="000000"/>
          <w:kern w:val="0"/>
          <w:sz w:val="32"/>
          <w:szCs w:val="32"/>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在绩效目标编制方面，加强预算绩效动态监控管理，加强相关人员的业务培训，进一步提高预算绩效评价质量。积极履行职责，强化本单位预算管理，较好地完成年初绩效工作。</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本部门按要求对202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年部门整体支出绩效评价情况开展自评，《红原县</w:t>
      </w:r>
      <w:r>
        <w:rPr>
          <w:rFonts w:hint="eastAsia" w:ascii="仿宋_GB2312" w:eastAsia="仿宋_GB2312" w:cs="仿宋"/>
          <w:color w:val="000000"/>
          <w:kern w:val="0"/>
          <w:sz w:val="32"/>
          <w:szCs w:val="32"/>
          <w:lang w:val="en-US" w:eastAsia="zh-CN"/>
        </w:rPr>
        <w:t>安曲镇</w:t>
      </w:r>
      <w:r>
        <w:rPr>
          <w:rFonts w:hint="eastAsia" w:ascii="仿宋_GB2312" w:eastAsia="仿宋_GB2312" w:cs="仿宋"/>
          <w:color w:val="000000"/>
          <w:kern w:val="0"/>
          <w:sz w:val="32"/>
          <w:szCs w:val="32"/>
        </w:rPr>
        <w:t>小学202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年部门整体支出绩效评价报告》见附件1</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9" w:name="_Toc15396613"/>
      <w:bookmarkStart w:id="50"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9"/>
      <w:bookmarkEnd w:id="50"/>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9.教育</w:t>
      </w:r>
      <w:r>
        <w:rPr>
          <w:rFonts w:ascii="仿宋_GB2312" w:eastAsia="仿宋_GB2312"/>
          <w:color w:val="000000"/>
          <w:sz w:val="32"/>
          <w:szCs w:val="32"/>
        </w:rPr>
        <w:t>2050201：制学前教育收入；2050202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r>
        <w:rPr>
          <w:rFonts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hint="eastAsia"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经营支出：指事业单位在专业业务活动及其辅助活动之外开展非独立核算经营活动发生的支出。</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6"/>
        <w:spacing w:line="560" w:lineRule="exact"/>
        <w:ind w:firstLine="640" w:firstLineChars="200"/>
      </w:pPr>
      <w:r>
        <w:rPr>
          <w:rFonts w:ascii="仿宋_GB2312" w:eastAsia="仿宋_GB2312"/>
          <w:sz w:val="32"/>
          <w:szCs w:val="32"/>
        </w:rPr>
        <w:t>17.</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pPr>
        <w:spacing w:line="600" w:lineRule="exact"/>
        <w:jc w:val="center"/>
        <w:rPr>
          <w:rStyle w:val="28"/>
          <w:rFonts w:hint="eastAsia" w:ascii="Times New Roman" w:hAnsi="Times New Roman" w:eastAsia="黑体"/>
          <w:b w:val="0"/>
          <w:color w:val="auto"/>
          <w:highlight w:val="none"/>
          <w:lang w:eastAsia="zh-CN"/>
        </w:rPr>
      </w:pPr>
      <w:bookmarkStart w:id="51"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52"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52"/>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default" w:ascii="Times New Roman" w:hAnsi="Times New Roman" w:eastAsia="仿宋_GB2312" w:cs="Times New Roman"/>
          <w:sz w:val="32"/>
          <w:szCs w:val="32"/>
          <w:highlight w:val="none"/>
          <w:shd w:val="clear" w:color="auto" w:fill="FFFFFF"/>
        </w:rPr>
        <w:t>（报告范围包括机关和下属单位）</w:t>
      </w:r>
    </w:p>
    <w:p>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Times New Roman" w:hAnsi="Times New Roman" w:eastAsia="仿宋_GB2312" w:cs="仿宋_GB2312"/>
          <w:color w:val="auto"/>
          <w:kern w:val="2"/>
          <w:sz w:val="32"/>
          <w:szCs w:val="32"/>
          <w:highlight w:val="none"/>
          <w:lang w:val="en-US" w:eastAsia="zh-CN" w:bidi="ar-SA"/>
        </w:rPr>
        <w:t>***内设</w:t>
      </w:r>
      <w:r>
        <w:rPr>
          <w:rFonts w:hint="default" w:ascii="Times New Roman" w:hAnsi="Times New Roman" w:eastAsia="仿宋_GB2312" w:cs="仿宋_GB2312"/>
          <w:color w:val="auto"/>
          <w:kern w:val="2"/>
          <w:sz w:val="32"/>
          <w:szCs w:val="32"/>
          <w:highlight w:val="none"/>
          <w:lang w:val="en-US" w:eastAsia="zh-CN" w:bidi="ar-SA"/>
        </w:rPr>
        <w:t>处室</w:t>
      </w:r>
      <w:r>
        <w:rPr>
          <w:rFonts w:hint="eastAsia" w:ascii="Times New Roman" w:hAnsi="Times New Roman" w:eastAsia="仿宋_GB2312" w:cs="仿宋_GB2312"/>
          <w:color w:val="auto"/>
          <w:kern w:val="2"/>
          <w:sz w:val="32"/>
          <w:szCs w:val="32"/>
          <w:highlight w:val="none"/>
          <w:lang w:val="en-US" w:eastAsia="zh-CN" w:bidi="ar-SA"/>
        </w:rPr>
        <w:t>及下属单位情况</w:t>
      </w:r>
      <w:r>
        <w:rPr>
          <w:rFonts w:hint="default" w:ascii="Times New Roman" w:hAnsi="Times New Roman" w:eastAsia="仿宋_GB2312" w:cs="仿宋_GB2312"/>
          <w:color w:val="auto"/>
          <w:kern w:val="2"/>
          <w:sz w:val="32"/>
          <w:szCs w:val="32"/>
          <w:highlight w:val="none"/>
          <w:lang w:val="en-US" w:eastAsia="zh-CN" w:bidi="ar-SA"/>
        </w:rPr>
        <w:t>。</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职责和功能。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截至202</w:t>
      </w:r>
      <w:r>
        <w:rPr>
          <w:rFonts w:hint="eastAsia"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年末</w:t>
      </w:r>
      <w:r>
        <w:rPr>
          <w:rFonts w:hint="eastAsia" w:eastAsia="仿宋_GB2312" w:cs="Times New Roman"/>
          <w:sz w:val="32"/>
          <w:szCs w:val="32"/>
          <w:lang w:val="en-US" w:eastAsia="zh-CN"/>
        </w:rPr>
        <w:t>，安曲镇小学共有</w:t>
      </w:r>
      <w:r>
        <w:rPr>
          <w:rFonts w:hint="default" w:ascii="Times New Roman" w:hAnsi="Times New Roman" w:eastAsia="仿宋_GB2312" w:cs="Times New Roman"/>
          <w:sz w:val="32"/>
          <w:szCs w:val="32"/>
          <w:lang w:val="en-US" w:eastAsia="zh-CN"/>
        </w:rPr>
        <w:t>编制</w:t>
      </w:r>
      <w:r>
        <w:rPr>
          <w:rFonts w:hint="eastAsia" w:eastAsia="仿宋_GB2312" w:cs="Times New Roman"/>
          <w:sz w:val="32"/>
          <w:szCs w:val="32"/>
          <w:lang w:val="en-US" w:eastAsia="zh-CN"/>
        </w:rPr>
        <w:t>33</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年末实有</w:t>
      </w:r>
      <w:r>
        <w:rPr>
          <w:rFonts w:hint="eastAsia" w:eastAsia="仿宋_GB2312" w:cs="Times New Roman"/>
          <w:sz w:val="32"/>
          <w:szCs w:val="32"/>
          <w:lang w:val="en-US" w:eastAsia="zh-CN"/>
        </w:rPr>
        <w:t>36人</w:t>
      </w:r>
      <w:r>
        <w:rPr>
          <w:rFonts w:hint="eastAsia" w:ascii="Times New Roman" w:hAnsi="Times New Roman" w:eastAsia="仿宋_GB2312" w:cs="Times New Roman"/>
          <w:sz w:val="32"/>
          <w:szCs w:val="32"/>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2024年年初预算收入情况、决算报表收入情况。</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2024年年初预算支出情况、决算报表支出情况。</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2024年决算报表</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kinsoku/>
        <w:wordWrap/>
        <w:overflowPunct/>
        <w:topLinePunct w:val="0"/>
        <w:autoSpaceDE/>
        <w:autoSpaceDN/>
        <w:bidi w:val="0"/>
        <w:snapToGrid w:val="0"/>
        <w:spacing w:line="60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省级部门对2024年度一般公共预算、政府性基金预算、国有资本经营预算安排的常年项目、阶段项目绩效目标完成情况，以及债券资金、政府购买服务有关情况进行梳理阐述</w:t>
      </w:r>
      <w:r>
        <w:rPr>
          <w:rFonts w:hint="eastAsia" w:ascii="Times New Roman" w:hAnsi="Times New Roman" w:eastAsia="仿宋_GB2312" w:cs="Times New Roman"/>
          <w:sz w:val="32"/>
          <w:szCs w:val="32"/>
          <w:highlight w:val="none"/>
          <w:lang w:val="en-US" w:eastAsia="zh-CN"/>
        </w:rPr>
        <w:t>。</w:t>
      </w:r>
    </w:p>
    <w:p>
      <w:pPr>
        <w:keepNext w:val="0"/>
        <w:keepLines w:val="0"/>
        <w:pageBreakBefore w:val="0"/>
        <w:widowControl w:val="0"/>
        <w:kinsoku/>
        <w:wordWrap/>
        <w:overflowPunct/>
        <w:topLinePunct w:val="0"/>
        <w:autoSpaceDE/>
        <w:autoSpaceDN/>
        <w:bidi w:val="0"/>
        <w:snapToGrid w:val="0"/>
        <w:spacing w:line="600" w:lineRule="exact"/>
        <w:ind w:firstLine="643" w:firstLineChars="200"/>
        <w:textAlignment w:val="auto"/>
        <w:rPr>
          <w:rFonts w:hint="default" w:ascii="Times New Roman" w:hAnsi="Times New Roman" w:eastAsia="仿宋_GB2312" w:cs="Times New Roman"/>
          <w:sz w:val="32"/>
          <w:szCs w:val="32"/>
          <w:highlight w:val="none"/>
          <w:u w:val="none"/>
          <w:lang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Times New Roman"/>
          <w:sz w:val="32"/>
          <w:szCs w:val="32"/>
          <w:highlight w:val="none"/>
          <w:u w:val="none"/>
          <w:lang w:val="zh-CN" w:eastAsia="zh-CN" w:bidi="ar"/>
        </w:rPr>
        <w:t>围绕内部应用情况、</w:t>
      </w:r>
      <w:r>
        <w:rPr>
          <w:rFonts w:hint="default" w:ascii="Times New Roman" w:hAnsi="Times New Roman" w:eastAsia="仿宋_GB2312" w:cs="Times New Roman"/>
          <w:sz w:val="32"/>
          <w:szCs w:val="32"/>
          <w:highlight w:val="none"/>
          <w:u w:val="none"/>
          <w:lang w:val="zh-CN" w:eastAsia="zh-CN" w:bidi="ar"/>
        </w:rPr>
        <w:t>信息公开情况</w:t>
      </w:r>
      <w:r>
        <w:rPr>
          <w:rFonts w:hint="eastAsia" w:ascii="Times New Roman" w:hAnsi="Times New Roman" w:eastAsia="仿宋_GB2312" w:cs="Times New Roman"/>
          <w:sz w:val="32"/>
          <w:szCs w:val="32"/>
          <w:highlight w:val="none"/>
          <w:u w:val="none"/>
          <w:lang w:val="zh-CN" w:eastAsia="zh-CN" w:bidi="ar"/>
        </w:rPr>
        <w:t>、</w:t>
      </w:r>
      <w:r>
        <w:rPr>
          <w:rFonts w:hint="default" w:ascii="Times New Roman" w:hAnsi="Times New Roman" w:eastAsia="仿宋_GB2312" w:cs="Times New Roman"/>
          <w:sz w:val="32"/>
          <w:szCs w:val="32"/>
          <w:highlight w:val="none"/>
          <w:u w:val="none"/>
          <w:lang w:val="zh-CN" w:eastAsia="zh-CN" w:bidi="ar"/>
        </w:rPr>
        <w:t>整改反馈情况</w:t>
      </w:r>
      <w:r>
        <w:rPr>
          <w:rFonts w:hint="eastAsia" w:ascii="Times New Roman" w:hAnsi="Times New Roman" w:eastAsia="仿宋_GB2312" w:cs="Times New Roman"/>
          <w:sz w:val="32"/>
          <w:szCs w:val="32"/>
          <w:highlight w:val="none"/>
          <w:u w:val="none"/>
          <w:lang w:val="zh-CN" w:eastAsia="zh-CN" w:bidi="ar"/>
        </w:rPr>
        <w:t>进行分析。</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Times New Roman" w:hAnsi="Times New Roman" w:eastAsia="仿宋_GB2312" w:cs="Times New Roman"/>
          <w:sz w:val="32"/>
          <w:szCs w:val="32"/>
          <w:u w:val="none"/>
          <w:lang w:val="en-US" w:eastAsia="zh-CN" w:bidi="ar"/>
        </w:rPr>
        <w:t>简要阐述部门预算绩效自评总体结论，其中必须包含自评得分。</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Times New Roman" w:hAnsi="Times New Roman" w:eastAsia="仿宋_GB2312" w:cs="Times New Roman"/>
          <w:sz w:val="32"/>
          <w:szCs w:val="32"/>
          <w:u w:val="none"/>
          <w:lang w:val="en-US" w:eastAsia="zh-CN" w:bidi="ar"/>
        </w:rPr>
        <w:t>简要阐述部门预算绩效自评发现的主要问题。</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eastAsia" w:ascii="Times New Roman" w:hAnsi="Times New Roman" w:eastAsia="仿宋_GB2312" w:cs="Times New Roman"/>
          <w:sz w:val="32"/>
          <w:szCs w:val="32"/>
          <w:u w:val="none"/>
          <w:lang w:val="en-US" w:eastAsia="zh-CN" w:bidi="ar"/>
        </w:rPr>
        <w:t>简要阐述</w:t>
      </w:r>
      <w:bookmarkStart w:id="53" w:name="_Hlk110546638"/>
      <w:r>
        <w:rPr>
          <w:rFonts w:hint="eastAsia" w:ascii="Times New Roman" w:hAnsi="Times New Roman" w:eastAsia="仿宋_GB2312" w:cs="Times New Roman"/>
          <w:sz w:val="32"/>
          <w:szCs w:val="32"/>
          <w:u w:val="none"/>
          <w:lang w:val="en" w:eastAsia="zh-CN" w:bidi="ar"/>
        </w:rPr>
        <w:t>预算安排、完善政策、改进管理等方面的</w:t>
      </w:r>
      <w:r>
        <w:rPr>
          <w:rFonts w:hint="eastAsia" w:ascii="Times New Roman" w:hAnsi="Times New Roman" w:eastAsia="仿宋_GB2312" w:cs="Times New Roman"/>
          <w:sz w:val="32"/>
          <w:szCs w:val="32"/>
          <w:u w:val="none"/>
          <w:lang w:val="en-US" w:eastAsia="zh-CN" w:bidi="ar"/>
        </w:rPr>
        <w:t>措施</w:t>
      </w:r>
      <w:r>
        <w:rPr>
          <w:rFonts w:hint="eastAsia" w:ascii="Times New Roman" w:hAnsi="Times New Roman" w:eastAsia="仿宋_GB2312" w:cs="Times New Roman"/>
          <w:sz w:val="32"/>
          <w:szCs w:val="32"/>
          <w:u w:val="none"/>
          <w:lang w:val="en" w:eastAsia="zh-CN" w:bidi="ar"/>
        </w:rPr>
        <w:t>建议，其中</w:t>
      </w:r>
      <w:r>
        <w:rPr>
          <w:rFonts w:hint="eastAsia" w:ascii="Times New Roman" w:hAnsi="Times New Roman" w:eastAsia="仿宋_GB2312" w:cs="Times New Roman"/>
          <w:sz w:val="32"/>
          <w:szCs w:val="32"/>
          <w:u w:val="none"/>
          <w:lang w:val="en-US" w:eastAsia="zh-CN" w:bidi="ar"/>
        </w:rPr>
        <w:t>必须对应评价发现的主要问题一一提出措施建议。</w:t>
      </w:r>
    </w:p>
    <w:bookmarkEnd w:id="53"/>
    <w:p>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部门预算项目支出绩效自评表（2024年度）</w:t>
      </w:r>
    </w:p>
    <w:p>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（注：按照绩效自评工作安排，各部门已在预算管理一体化系统绩效自评模块上传“部门预算项目支出绩效自评表（2024年度）”，该表格应作为附表予以公开）</w:t>
      </w:r>
    </w:p>
    <w:p>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pPr>
        <w:pStyle w:val="2"/>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pPr>
        <w:pStyle w:val="2"/>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专项预算项目绩效评价报告范本</w:t>
      </w:r>
    </w:p>
    <w:p>
      <w:pPr>
        <w:pStyle w:val="3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Times New Roman" w:hAnsi="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color w:val="auto"/>
          <w:kern w:val="0"/>
          <w:sz w:val="32"/>
          <w:szCs w:val="32"/>
          <w:highlight w:val="none"/>
          <w:u w:val="none"/>
          <w:shd w:val="clear" w:color="auto" w:fill="FFFFFF"/>
          <w:lang w:val="zh-CN"/>
        </w:rPr>
      </w:pPr>
      <w:r>
        <w:rPr>
          <w:rFonts w:hint="eastAsia" w:ascii="Times New Roman" w:hAnsi="Times New Roman" w:eastAsia="楷体_GB2312"/>
          <w:b/>
          <w:color w:val="auto"/>
          <w:sz w:val="32"/>
          <w:szCs w:val="32"/>
          <w:highlight w:val="none"/>
          <w:u w:val="none"/>
          <w:lang w:val="zh-CN"/>
        </w:rPr>
        <w:t>（一）设立背景及基本情况。</w:t>
      </w:r>
      <w:r>
        <w:rPr>
          <w:rFonts w:hint="eastAsia" w:ascii="Times New Roman" w:hAnsi="Times New Roman" w:eastAsia="仿宋_GB2312" w:cs="仿宋_GB2312"/>
          <w:b w:val="0"/>
          <w:bCs w:val="0"/>
          <w:kern w:val="0"/>
          <w:position w:val="0"/>
          <w:sz w:val="32"/>
          <w:szCs w:val="32"/>
          <w:highlight w:val="none"/>
          <w:lang w:val="en-US" w:eastAsia="zh-CN" w:bidi="ar-SA"/>
        </w:rPr>
        <w:t>项目设立原因及背景，</w:t>
      </w:r>
      <w:r>
        <w:rPr>
          <w:rFonts w:hint="eastAsia" w:ascii="Times New Roman" w:hAnsi="Times New Roman" w:eastAsia="仿宋_GB2312" w:cs="仿宋_GB2312"/>
          <w:b w:val="0"/>
          <w:bCs w:val="0"/>
          <w:kern w:val="0"/>
          <w:position w:val="0"/>
          <w:sz w:val="32"/>
          <w:szCs w:val="32"/>
          <w:highlight w:val="none"/>
          <w:lang w:val="zh-CN" w:eastAsia="zh-CN" w:bidi="ar-SA"/>
        </w:rPr>
        <w:t>项目立项、资金申报的依据，项目主要内容</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主管部门职能</w:t>
      </w:r>
      <w:r>
        <w:rPr>
          <w:rFonts w:hint="eastAsia" w:ascii="Times New Roman" w:hAnsi="Times New Roman" w:eastAsia="仿宋_GB2312" w:cs="仿宋_GB2312"/>
          <w:color w:val="auto"/>
          <w:kern w:val="0"/>
          <w:sz w:val="32"/>
          <w:szCs w:val="32"/>
          <w:highlight w:val="none"/>
          <w:u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Times New Roman" w:hAnsi="Times New Roman" w:eastAsia="仿宋_GB2312" w:cs="仿宋_GB2312"/>
          <w:b w:val="0"/>
          <w:bCs w:val="0"/>
          <w:kern w:val="0"/>
          <w:position w:val="0"/>
          <w:sz w:val="32"/>
          <w:szCs w:val="32"/>
          <w:highlight w:val="none"/>
          <w:lang w:val="en-US" w:eastAsia="zh-CN" w:bidi="ar-SA"/>
        </w:rPr>
        <w:t>项目资金</w:t>
      </w:r>
      <w:r>
        <w:rPr>
          <w:rFonts w:hint="eastAsia" w:ascii="Times New Roman" w:hAnsi="Times New Roman" w:eastAsia="仿宋_GB2312" w:cs="仿宋_GB2312"/>
          <w:b w:val="0"/>
          <w:bCs w:val="0"/>
          <w:kern w:val="0"/>
          <w:position w:val="0"/>
          <w:sz w:val="32"/>
          <w:szCs w:val="32"/>
          <w:highlight w:val="none"/>
          <w:lang w:val="zh-CN" w:eastAsia="zh-CN" w:bidi="ar-SA"/>
        </w:rPr>
        <w:t>管理办法制定情况，项目实施目的和主要工作任务，项目支持方向。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w:t>
      </w:r>
      <w:r>
        <w:rPr>
          <w:rFonts w:hint="eastAsia" w:ascii="Times New Roman" w:hAnsi="Times New Roman" w:eastAsia="仿宋_GB2312" w:cs="仿宋_GB2312"/>
          <w:b w:val="0"/>
          <w:bCs w:val="0"/>
          <w:kern w:val="0"/>
          <w:position w:val="0"/>
          <w:sz w:val="32"/>
          <w:szCs w:val="32"/>
          <w:highlight w:val="none"/>
          <w:lang w:val="zh-CN" w:eastAsia="zh-CN" w:bidi="ar-SA"/>
        </w:rPr>
        <w:t>项目预算安排情况，项目资金分配原则及考虑因素，项目资金分配情况。</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项目整体、区域和具体绩效目标设置情况，项目自评工作开展情况。</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通过项目绩效自评要实现的目的。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按照绩效评价指标体系，对资金支出使用全过程及其实施效果进行综合评价和判断。</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楷体_GB2312"/>
          <w:b/>
          <w:color w:val="auto"/>
          <w:sz w:val="32"/>
          <w:szCs w:val="32"/>
          <w:highlight w:val="none"/>
          <w:u w:val="none"/>
          <w:lang w:val="zh-CN"/>
        </w:rPr>
      </w:pPr>
      <w:r>
        <w:rPr>
          <w:rFonts w:hint="eastAsia" w:ascii="Times New Roman" w:hAnsi="Times New Roman" w:eastAsia="楷体_GB2312"/>
          <w:b/>
          <w:color w:val="auto"/>
          <w:sz w:val="32"/>
          <w:szCs w:val="32"/>
          <w:highlight w:val="none"/>
          <w:u w:val="none"/>
          <w:lang w:val="zh-CN"/>
        </w:rPr>
        <w:t>（三）评价选点。</w:t>
      </w:r>
      <w:r>
        <w:rPr>
          <w:rFonts w:hint="eastAsia" w:ascii="Times New Roman" w:hAnsi="Times New Roman" w:eastAsia="仿宋_GB2312" w:cs="仿宋_GB2312"/>
          <w:b w:val="0"/>
          <w:color w:val="auto"/>
          <w:kern w:val="0"/>
          <w:sz w:val="32"/>
          <w:szCs w:val="32"/>
          <w:highlight w:val="none"/>
          <w:u w:val="none"/>
          <w:lang w:val="zh-CN"/>
        </w:rPr>
        <w:t>项目绩效自评所抽样点位情况。每个专项预算项目应选取专项资金分配涉及市县总数的20%、总计不超过20个的市县点位进行实地踏勘，且点位清单应作为自评附表。</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根据项目情况和评价重点，用来收集相关材料和开展具体评价的方法。包括：采用成本效益分析法、标杆管理法、案卷研究法、单位自评法、实地勘察法、问卷调查法、座谈调研法等多种方法。</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bCs/>
          <w:lang w:eastAsia="zh-CN"/>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评价组人员构成和职责分工。</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hint="default"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hint="default"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hint="default"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hint="default"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w:t>
      </w:r>
      <w:r>
        <w:rPr>
          <w:rFonts w:hint="eastAsia" w:ascii="Times New Roman" w:hAnsi="Times New Roman" w:eastAsia="仿宋_GB2312" w:cs="仿宋_GB2312"/>
          <w:b w:val="0"/>
          <w:bCs w:val="0"/>
          <w:kern w:val="0"/>
          <w:position w:val="0"/>
          <w:sz w:val="32"/>
          <w:szCs w:val="32"/>
          <w:highlight w:val="none"/>
          <w:lang w:val="zh-CN" w:eastAsia="zh-CN" w:bidi="ar-SA"/>
        </w:rPr>
        <w:t>项目决策。围绕决策程序、规划论证、资金投向进行绩效分析。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项目管理。围绕制度办法、分配管理、绩效监管进行绩效分析。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w:t>
      </w:r>
      <w:r>
        <w:rPr>
          <w:rFonts w:hint="eastAsia" w:ascii="Times New Roman" w:hAnsi="Times New Roman" w:eastAsia="仿宋_GB2312" w:cs="仿宋_GB2312"/>
          <w:b w:val="0"/>
          <w:bCs w:val="0"/>
          <w:kern w:val="0"/>
          <w:position w:val="0"/>
          <w:sz w:val="32"/>
          <w:szCs w:val="32"/>
          <w:highlight w:val="none"/>
          <w:lang w:val="zh-CN" w:eastAsia="zh-CN" w:bidi="ar-SA"/>
        </w:rPr>
        <w:t>围绕预算执行、资金使用进行绩效分析。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4.项目结果。围绕</w:t>
      </w:r>
      <w:r>
        <w:rPr>
          <w:rFonts w:hint="eastAsia" w:ascii="Times New Roman" w:hAnsi="Times New Roman" w:eastAsia="仿宋_GB2312" w:cs="仿宋_GB2312"/>
          <w:b w:val="0"/>
          <w:bCs w:val="0"/>
          <w:kern w:val="0"/>
          <w:position w:val="0"/>
          <w:sz w:val="32"/>
          <w:szCs w:val="32"/>
          <w:highlight w:val="none"/>
          <w:lang w:val="zh-CN" w:eastAsia="zh-CN" w:bidi="ar-SA"/>
        </w:rPr>
        <w:t>目标完成、完成时效进行绩效分析。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rPr>
        <w:t>（二）</w:t>
      </w:r>
      <w:r>
        <w:rPr>
          <w:rFonts w:hint="eastAsia"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en-US" w:eastAsia="zh-CN" w:bidi="ar-SA"/>
        </w:rPr>
        <w:t>专项预算项目资金支持对象选择所属指标进行绩效分析。支持对象</w:t>
      </w:r>
      <w:r>
        <w:rPr>
          <w:rFonts w:hint="eastAsia" w:ascii="Times New Roman" w:hAnsi="Times New Roman" w:eastAsia="仿宋_GB2312" w:cs="仿宋_GB2312"/>
          <w:b w:val="0"/>
          <w:bCs w:val="0"/>
          <w:kern w:val="0"/>
          <w:position w:val="0"/>
          <w:sz w:val="32"/>
          <w:szCs w:val="32"/>
          <w:highlight w:val="none"/>
          <w:lang w:val="zh-CN" w:eastAsia="zh-CN" w:bidi="ar-SA"/>
        </w:rPr>
        <w:t>包括产业发展、民生保障、基础设施、行政运转等方面。</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1.产业发展。围绕符合性、成长性、经济性进行绩效分析。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民生保障。</w:t>
      </w:r>
      <w:r>
        <w:rPr>
          <w:rFonts w:hint="eastAsia" w:ascii="Times New Roman" w:hAnsi="Times New Roman" w:eastAsia="仿宋_GB2312" w:cs="仿宋_GB2312"/>
          <w:b w:val="0"/>
          <w:bCs w:val="0"/>
          <w:kern w:val="0"/>
          <w:position w:val="0"/>
          <w:sz w:val="32"/>
          <w:szCs w:val="32"/>
          <w:highlight w:val="none"/>
          <w:lang w:val="en-US" w:eastAsia="zh-CN" w:bidi="ar-SA"/>
        </w:rPr>
        <w:t>围绕区域均衡性、对象精准性、标准合理性、群众满意度进行绩效分析。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3.基础设施。在建项目围绕工程进度和资金拨付进行绩效分析；建成项目围绕项目验收、功能实现、后续管护进行</w:t>
      </w:r>
      <w:r>
        <w:rPr>
          <w:rFonts w:hint="eastAsia" w:ascii="Times New Roman" w:hAnsi="Times New Roman" w:eastAsia="仿宋_GB2312" w:cs="仿宋_GB2312"/>
          <w:b w:val="0"/>
          <w:bCs w:val="0"/>
          <w:kern w:val="0"/>
          <w:position w:val="0"/>
          <w:sz w:val="32"/>
          <w:szCs w:val="32"/>
          <w:highlight w:val="none"/>
          <w:lang w:val="zh-CN" w:eastAsia="zh-CN" w:bidi="ar-SA"/>
        </w:rPr>
        <w:t>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w:t>
      </w:r>
      <w:r>
        <w:rPr>
          <w:rFonts w:hint="eastAsia" w:ascii="Times New Roman" w:hAnsi="Times New Roman" w:eastAsia="仿宋_GB2312" w:cs="仿宋_GB2312"/>
          <w:b w:val="0"/>
          <w:bCs w:val="0"/>
          <w:kern w:val="0"/>
          <w:position w:val="0"/>
          <w:sz w:val="32"/>
          <w:szCs w:val="32"/>
          <w:highlight w:val="none"/>
          <w:lang w:val="zh-CN" w:eastAsia="zh-CN" w:bidi="ar-SA"/>
        </w:rPr>
        <w:t>行政运转。围绕用途合规性、程序合规性、标准合规性进行绩效分析。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（三）</w:t>
      </w:r>
      <w:r>
        <w:rPr>
          <w:rFonts w:hint="eastAsia"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根据项目个性自行设定部分指标，反映该项指标执行完成情况。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简要阐述专项预算项目绩效自评总体结论，包含评价总分、</w:t>
      </w:r>
      <w:r>
        <w:rPr>
          <w:rFonts w:hint="eastAsia" w:ascii="Times New Roman" w:hAnsi="Times New Roman" w:eastAsia="仿宋_GB2312" w:cs="仿宋_GB2312"/>
          <w:b w:val="0"/>
          <w:bCs w:val="0"/>
          <w:kern w:val="0"/>
          <w:position w:val="0"/>
          <w:sz w:val="32"/>
          <w:szCs w:val="32"/>
          <w:highlight w:val="none"/>
          <w:lang w:val="zh-CN" w:eastAsia="zh-CN" w:bidi="ar-SA"/>
        </w:rPr>
        <w:t>项目实施情况。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简要阐述专项预算项目绩效自评发现的主要问题。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zh-CN" w:eastAsia="zh-CN" w:bidi="ar-SA"/>
        </w:rPr>
        <w:t>六、改进建议</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简要阐述专项预算项目在</w:t>
      </w:r>
      <w:r>
        <w:rPr>
          <w:rFonts w:hint="eastAsia" w:ascii="Times New Roman" w:hAnsi="Times New Roman" w:eastAsia="仿宋_GB2312" w:cs="仿宋_GB2312"/>
          <w:b w:val="0"/>
          <w:bCs w:val="0"/>
          <w:kern w:val="0"/>
          <w:position w:val="0"/>
          <w:sz w:val="32"/>
          <w:szCs w:val="32"/>
          <w:highlight w:val="none"/>
          <w:lang w:val="en" w:eastAsia="zh-CN" w:bidi="ar-SA"/>
        </w:rPr>
        <w:t>预算安排、完善政策、改进管理等方面的</w:t>
      </w:r>
      <w:r>
        <w:rPr>
          <w:rFonts w:hint="eastAsia" w:ascii="Times New Roman" w:hAnsi="Times New Roman" w:eastAsia="仿宋_GB2312" w:cs="仿宋_GB2312"/>
          <w:b w:val="0"/>
          <w:bCs w:val="0"/>
          <w:kern w:val="0"/>
          <w:position w:val="0"/>
          <w:sz w:val="32"/>
          <w:szCs w:val="32"/>
          <w:highlight w:val="none"/>
          <w:lang w:val="en-US" w:eastAsia="zh-CN" w:bidi="ar-SA"/>
        </w:rPr>
        <w:t>措施</w:t>
      </w:r>
      <w:r>
        <w:rPr>
          <w:rFonts w:hint="eastAsia" w:ascii="Times New Roman" w:hAnsi="Times New Roman" w:eastAsia="仿宋_GB2312" w:cs="仿宋_GB2312"/>
          <w:b w:val="0"/>
          <w:bCs w:val="0"/>
          <w:kern w:val="0"/>
          <w:position w:val="0"/>
          <w:sz w:val="32"/>
          <w:szCs w:val="32"/>
          <w:highlight w:val="none"/>
          <w:lang w:val="en" w:eastAsia="zh-CN" w:bidi="ar-SA"/>
        </w:rPr>
        <w:t>建议，其中</w:t>
      </w:r>
      <w:r>
        <w:rPr>
          <w:rFonts w:hint="eastAsia" w:ascii="Times New Roman" w:hAnsi="Times New Roman" w:eastAsia="仿宋_GB2312" w:cs="仿宋_GB2312"/>
          <w:b w:val="0"/>
          <w:bCs w:val="0"/>
          <w:kern w:val="0"/>
          <w:position w:val="0"/>
          <w:sz w:val="32"/>
          <w:szCs w:val="32"/>
          <w:highlight w:val="none"/>
          <w:lang w:val="en-US" w:eastAsia="zh-CN" w:bidi="ar-SA"/>
        </w:rPr>
        <w:t>必须对应评价发现的主要问题一一提出措施建议。</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eastAsia="仿宋_GB2312" w:cs="仿宋_GB2312"/>
          <w:b w:val="0"/>
          <w:bCs w:val="0"/>
          <w:kern w:val="0"/>
          <w:position w:val="0"/>
          <w:sz w:val="32"/>
          <w:szCs w:val="32"/>
          <w:highlight w:val="none"/>
          <w:lang w:val="en-US" w:eastAsia="zh-CN" w:bidi="ar-SA"/>
        </w:rPr>
        <w:t>注：</w:t>
      </w:r>
      <w:r>
        <w:rPr>
          <w:rFonts w:hint="eastAsia" w:ascii="Times New Roman" w:hAnsi="Times New Roman" w:eastAsia="仿宋_GB2312" w:cs="仿宋_GB2312"/>
          <w:b w:val="0"/>
          <w:bCs w:val="0"/>
          <w:kern w:val="0"/>
          <w:position w:val="0"/>
          <w:sz w:val="32"/>
          <w:szCs w:val="32"/>
          <w:highlight w:val="none"/>
          <w:lang w:val="en-US" w:eastAsia="zh-CN" w:bidi="ar-SA"/>
        </w:rPr>
        <w:t>以上绩效自评报告，除涉密敏感内容外，原则上都应予以公开）</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54"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51"/>
      <w:bookmarkEnd w:id="54"/>
      <w:bookmarkStart w:id="55"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0"/>
      <w:r>
        <w:rPr>
          <w:rFonts w:hint="eastAsia" w:ascii="Times New Roman" w:hAnsi="Times New Roman" w:eastAsia="仿宋_GB2312" w:cs="仿宋_GB2312"/>
          <w:color w:val="auto"/>
          <w:sz w:val="32"/>
          <w:szCs w:val="32"/>
          <w:highlight w:val="none"/>
        </w:rPr>
        <w:t>二、收入决算表</w:t>
      </w:r>
      <w:bookmarkEnd w:id="56"/>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1"/>
      <w:r>
        <w:rPr>
          <w:rFonts w:hint="eastAsia" w:ascii="Times New Roman" w:hAnsi="Times New Roman" w:eastAsia="仿宋_GB2312" w:cs="仿宋_GB2312"/>
          <w:color w:val="auto"/>
          <w:sz w:val="32"/>
          <w:szCs w:val="32"/>
          <w:highlight w:val="none"/>
        </w:rPr>
        <w:t>三、支出决算表</w:t>
      </w:r>
      <w:bookmarkEnd w:id="5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2"/>
      <w:r>
        <w:rPr>
          <w:rFonts w:hint="eastAsia" w:ascii="Times New Roman" w:hAnsi="Times New Roman" w:eastAsia="仿宋_GB2312" w:cs="仿宋_GB2312"/>
          <w:color w:val="auto"/>
          <w:sz w:val="32"/>
          <w:szCs w:val="32"/>
          <w:highlight w:val="none"/>
        </w:rPr>
        <w:t>四、财政拨款收入支出决算总表</w:t>
      </w:r>
      <w:bookmarkEnd w:id="5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3"/>
      <w:r>
        <w:rPr>
          <w:rFonts w:hint="eastAsia" w:ascii="Times New Roman" w:hAnsi="Times New Roman" w:eastAsia="仿宋_GB2312" w:cs="仿宋_GB2312"/>
          <w:color w:val="auto"/>
          <w:sz w:val="32"/>
          <w:szCs w:val="32"/>
          <w:highlight w:val="none"/>
        </w:rPr>
        <w:t>五、财政拨款支出决算明细表</w:t>
      </w:r>
      <w:bookmarkEnd w:id="59"/>
      <w:bookmarkStart w:id="60"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6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25"/>
      <w:r>
        <w:rPr>
          <w:rFonts w:hint="eastAsia" w:ascii="Times New Roman" w:hAnsi="Times New Roman" w:eastAsia="仿宋_GB2312" w:cs="仿宋_GB2312"/>
          <w:color w:val="auto"/>
          <w:sz w:val="32"/>
          <w:szCs w:val="32"/>
          <w:highlight w:val="none"/>
        </w:rPr>
        <w:t>七、一般公共预算财政拨款支出决算明细表</w:t>
      </w:r>
      <w:bookmarkEnd w:id="6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2" w:name="_Toc15396626"/>
      <w:r>
        <w:rPr>
          <w:rFonts w:hint="eastAsia" w:ascii="Times New Roman" w:hAnsi="Times New Roman" w:eastAsia="仿宋_GB2312" w:cs="仿宋_GB2312"/>
          <w:color w:val="auto"/>
          <w:sz w:val="32"/>
          <w:szCs w:val="32"/>
          <w:highlight w:val="none"/>
        </w:rPr>
        <w:t>八、一般公共预算财政拨款基本支出决算表</w:t>
      </w:r>
      <w:bookmarkEnd w:id="6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3" w:name="_Toc15396627"/>
      <w:r>
        <w:rPr>
          <w:rFonts w:hint="eastAsia" w:ascii="Times New Roman" w:hAnsi="Times New Roman" w:eastAsia="仿宋_GB2312" w:cs="仿宋_GB2312"/>
          <w:color w:val="auto"/>
          <w:sz w:val="32"/>
          <w:szCs w:val="32"/>
          <w:highlight w:val="none"/>
        </w:rPr>
        <w:t>九、一般公共预算财政拨款项目支出决算表</w:t>
      </w:r>
      <w:bookmarkEnd w:id="6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4" w:name="_Toc15396628"/>
      <w:r>
        <w:rPr>
          <w:rFonts w:hint="eastAsia" w:ascii="Times New Roman" w:hAnsi="Times New Roman" w:eastAsia="仿宋_GB2312" w:cs="仿宋_GB2312"/>
          <w:color w:val="auto"/>
          <w:sz w:val="32"/>
          <w:szCs w:val="32"/>
          <w:highlight w:val="none"/>
        </w:rPr>
        <w:t>十、</w:t>
      </w:r>
      <w:bookmarkEnd w:id="64"/>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5" w:name="_Toc15396629"/>
      <w:r>
        <w:rPr>
          <w:rFonts w:hint="eastAsia" w:ascii="Times New Roman" w:hAnsi="Times New Roman" w:eastAsia="仿宋_GB2312" w:cs="仿宋_GB2312"/>
          <w:color w:val="auto"/>
          <w:sz w:val="32"/>
          <w:szCs w:val="32"/>
          <w:highlight w:val="none"/>
        </w:rPr>
        <w:t>十一、</w:t>
      </w:r>
      <w:bookmarkEnd w:id="65"/>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6" w:name="_Toc15396630"/>
      <w:r>
        <w:rPr>
          <w:rFonts w:hint="eastAsia" w:ascii="Times New Roman" w:hAnsi="Times New Roman" w:eastAsia="仿宋_GB2312" w:cs="仿宋_GB2312"/>
          <w:color w:val="auto"/>
          <w:sz w:val="32"/>
          <w:szCs w:val="32"/>
          <w:highlight w:val="none"/>
        </w:rPr>
        <w:t>十二、</w:t>
      </w:r>
      <w:bookmarkEnd w:id="66"/>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7" w:name="_Toc15396631"/>
      <w:r>
        <w:rPr>
          <w:rFonts w:hint="eastAsia" w:ascii="Times New Roman" w:hAnsi="Times New Roman" w:eastAsia="仿宋_GB2312" w:cs="仿宋_GB2312"/>
          <w:color w:val="auto"/>
          <w:sz w:val="32"/>
          <w:szCs w:val="32"/>
          <w:highlight w:val="none"/>
        </w:rPr>
        <w:t>十三、</w:t>
      </w:r>
      <w:bookmarkEnd w:id="67"/>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29F070"/>
    <w:multiLevelType w:val="singleLevel"/>
    <w:tmpl w:val="5129F07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61E35DE"/>
    <w:rsid w:val="066E0107"/>
    <w:rsid w:val="07996F6E"/>
    <w:rsid w:val="07DFD8BA"/>
    <w:rsid w:val="09867E8F"/>
    <w:rsid w:val="0A2032A3"/>
    <w:rsid w:val="0CA8290A"/>
    <w:rsid w:val="0D35B1ED"/>
    <w:rsid w:val="0E254B6B"/>
    <w:rsid w:val="0F98263C"/>
    <w:rsid w:val="101860EC"/>
    <w:rsid w:val="101F47CC"/>
    <w:rsid w:val="10C055FF"/>
    <w:rsid w:val="11694EBD"/>
    <w:rsid w:val="11772AA4"/>
    <w:rsid w:val="118107EC"/>
    <w:rsid w:val="12E24EE2"/>
    <w:rsid w:val="13D50BC4"/>
    <w:rsid w:val="14B17F78"/>
    <w:rsid w:val="165E0673"/>
    <w:rsid w:val="16B831D5"/>
    <w:rsid w:val="16BB723D"/>
    <w:rsid w:val="16F46D10"/>
    <w:rsid w:val="17E50567"/>
    <w:rsid w:val="186504BB"/>
    <w:rsid w:val="19A445FC"/>
    <w:rsid w:val="1BE8440E"/>
    <w:rsid w:val="1D155CEE"/>
    <w:rsid w:val="1D1638FE"/>
    <w:rsid w:val="1E312DEB"/>
    <w:rsid w:val="1E740ACF"/>
    <w:rsid w:val="1FF35744"/>
    <w:rsid w:val="1FF6BC77"/>
    <w:rsid w:val="2186353C"/>
    <w:rsid w:val="23860B96"/>
    <w:rsid w:val="240371BF"/>
    <w:rsid w:val="244F3473"/>
    <w:rsid w:val="24C97D99"/>
    <w:rsid w:val="25A718F0"/>
    <w:rsid w:val="25BB59F6"/>
    <w:rsid w:val="260F557C"/>
    <w:rsid w:val="26970054"/>
    <w:rsid w:val="281408E2"/>
    <w:rsid w:val="29FD04D3"/>
    <w:rsid w:val="2BFF7BC6"/>
    <w:rsid w:val="2C8A61B5"/>
    <w:rsid w:val="2DC25069"/>
    <w:rsid w:val="2DF04E50"/>
    <w:rsid w:val="2E586DFA"/>
    <w:rsid w:val="2F040D46"/>
    <w:rsid w:val="2F6B035B"/>
    <w:rsid w:val="2FAE5751"/>
    <w:rsid w:val="2FB1A395"/>
    <w:rsid w:val="2FD9A7D8"/>
    <w:rsid w:val="2FDBF714"/>
    <w:rsid w:val="30AB6865"/>
    <w:rsid w:val="319F7F4E"/>
    <w:rsid w:val="32BD1EF1"/>
    <w:rsid w:val="3304709D"/>
    <w:rsid w:val="33A773CB"/>
    <w:rsid w:val="349D6851"/>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4046753"/>
    <w:rsid w:val="44E268DA"/>
    <w:rsid w:val="450D13D7"/>
    <w:rsid w:val="45506656"/>
    <w:rsid w:val="486A6C7A"/>
    <w:rsid w:val="49B053C4"/>
    <w:rsid w:val="4A627F82"/>
    <w:rsid w:val="4B0E749A"/>
    <w:rsid w:val="4B2477C4"/>
    <w:rsid w:val="4B4F25DA"/>
    <w:rsid w:val="4BE068DB"/>
    <w:rsid w:val="4D577224"/>
    <w:rsid w:val="4DBF1CEB"/>
    <w:rsid w:val="4DF0007C"/>
    <w:rsid w:val="4EAB630A"/>
    <w:rsid w:val="4ECE2238"/>
    <w:rsid w:val="4F833267"/>
    <w:rsid w:val="4FE9BD67"/>
    <w:rsid w:val="4FFB052F"/>
    <w:rsid w:val="537E6D0A"/>
    <w:rsid w:val="53F74C96"/>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CEC941"/>
    <w:rsid w:val="5FBF9FF3"/>
    <w:rsid w:val="5FCD4E2C"/>
    <w:rsid w:val="5FEF394A"/>
    <w:rsid w:val="5FF67715"/>
    <w:rsid w:val="60964E45"/>
    <w:rsid w:val="62BF3928"/>
    <w:rsid w:val="63B3701E"/>
    <w:rsid w:val="647F5392"/>
    <w:rsid w:val="65E66580"/>
    <w:rsid w:val="664B1D71"/>
    <w:rsid w:val="664B4E8E"/>
    <w:rsid w:val="67277B67"/>
    <w:rsid w:val="67AA3209"/>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BFE59B6"/>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3"/>
    <w:qFormat/>
    <w:uiPriority w:val="9"/>
    <w:rPr>
      <w:rFonts w:ascii="Times New Roman" w:hAnsi="Times New Roman"/>
      <w:b/>
      <w:bCs/>
      <w:kern w:val="44"/>
      <w:sz w:val="44"/>
      <w:szCs w:val="44"/>
    </w:rPr>
  </w:style>
  <w:style w:type="character" w:customStyle="1" w:styleId="29">
    <w:name w:val="标题 2 Char"/>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9"/>
    <w:semiHidden/>
    <w:qFormat/>
    <w:uiPriority w:val="99"/>
    <w:rPr>
      <w:rFonts w:ascii="Times New Roman" w:hAnsi="Times New Roman"/>
      <w:kern w:val="2"/>
      <w:sz w:val="18"/>
      <w:szCs w:val="18"/>
    </w:rPr>
  </w:style>
  <w:style w:type="character" w:customStyle="1" w:styleId="32">
    <w:name w:val="标题 3 Char"/>
    <w:basedOn w:val="16"/>
    <w:link w:val="5"/>
    <w:qFormat/>
    <w:uiPriority w:val="9"/>
    <w:rPr>
      <w:rFonts w:ascii="Times New Roman" w:hAnsi="Times New Roman"/>
      <w:b/>
      <w:bCs/>
      <w:kern w:val="2"/>
      <w:sz w:val="32"/>
      <w:szCs w:val="32"/>
    </w:rPr>
  </w:style>
  <w:style w:type="paragraph" w:customStyle="1" w:styleId="33">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I:\&#23433;&#26354;&#38215;&#23567;&#23398;2025&#24180;&#36164;&#26009;\2025&#24180;&#20915;&#31639;&#20844;&#24320;\&#22270;&#34920;.xls"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I:\&#23433;&#26354;&#38215;&#23567;&#23398;2025&#24180;&#36164;&#26009;\2025&#24180;&#20915;&#31639;&#20844;&#24320;\&#22270;&#349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I:\&#23433;&#26354;&#38215;&#23567;&#23398;2025&#24180;&#36164;&#26009;\2025&#24180;&#20915;&#31639;&#20844;&#24320;\&#22270;&#349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I:\&#23433;&#26354;&#38215;&#23567;&#23398;2025&#24180;&#36164;&#26009;\2025&#24180;&#20915;&#31639;&#20844;&#24320;\&#22270;&#3492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I:\&#23433;&#26354;&#38215;&#23567;&#23398;2025&#24180;&#36164;&#26009;\2025&#24180;&#20915;&#31639;&#20844;&#24320;\&#22270;&#34920;.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I:\&#23433;&#26354;&#38215;&#23567;&#23398;2025&#24180;&#36164;&#26009;\2025&#24180;&#20915;&#31639;&#20844;&#24320;\&#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收、支决算总计变动情况图</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075"/>
        </c:manualLayout>
      </c:layout>
      <c:overlay val="0"/>
    </c:title>
    <c:autoTitleDeleted val="0"/>
    <c:plotArea>
      <c:layout>
        <c:manualLayout>
          <c:layoutTarget val="inner"/>
          <c:xMode val="edge"/>
          <c:yMode val="edge"/>
          <c:x val="0.152012493424513"/>
          <c:y val="0.201539682539683"/>
          <c:w val="0.83525"/>
          <c:h val="0.595"/>
        </c:manualLayout>
      </c:layout>
      <c:barChart>
        <c:barDir val="col"/>
        <c:grouping val="clustered"/>
        <c:varyColors val="0"/>
        <c:ser>
          <c:idx val="0"/>
          <c:order val="0"/>
          <c:tx>
            <c:strRef>
              <c:f>[图表.xls]Sheet1!$A$2</c:f>
              <c:strCache>
                <c:ptCount val="1"/>
                <c:pt idx="0">
                  <c:v>      本年收入合计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[图表.xls]Sheet1!$B$2:$C$2</c:f>
              <c:numCache>
                <c:formatCode>#,##0.00</c:formatCode>
                <c:ptCount val="2"/>
                <c:pt idx="0">
                  <c:v>964.23</c:v>
                </c:pt>
                <c:pt idx="1">
                  <c:v>1179.73</c:v>
                </c:pt>
              </c:numCache>
            </c:numRef>
          </c:val>
        </c:ser>
        <c:ser>
          <c:idx val="1"/>
          <c:order val="1"/>
          <c:tx>
            <c:strRef>
              <c:f>[图表.xls]Sheet1!$A$3</c:f>
              <c:strCache>
                <c:ptCount val="1"/>
                <c:pt idx="0">
                  <c:v>      本年支出合计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[图表.xls]Sheet1!$B$3:$C$3</c:f>
              <c:numCache>
                <c:formatCode>#,##0.00</c:formatCode>
                <c:ptCount val="2"/>
                <c:pt idx="0">
                  <c:v>964.23</c:v>
                </c:pt>
                <c:pt idx="1">
                  <c:v>1179.73</c:v>
                </c:pt>
              </c:numCache>
            </c:numRef>
          </c:val>
        </c:ser>
        <c:dLbls>
          <c:showLegendKey val="0"/>
          <c:showVal val="0"/>
          <c:showCatName val="0"/>
          <c:showSerName val="0"/>
          <c:showPercent val="0"/>
          <c:showBubbleSize val="0"/>
        </c:dLbls>
        <c:gapWidth val="219"/>
        <c:overlap val="-10"/>
        <c:axId val="793784030"/>
        <c:axId val="358011914"/>
      </c:barChart>
      <c:catAx>
        <c:axId val="793784030"/>
        <c:scaling>
          <c:orientation val="minMax"/>
        </c:scaling>
        <c:delete val="0"/>
        <c:axPos val="b"/>
        <c:majorTickMark val="none"/>
        <c:minorTickMark val="none"/>
        <c:tickLblPos val="nextTo"/>
        <c:spPr>
          <a:ln w="3175" cap="flat" cmpd="sng" algn="ctr">
            <a:solidFill>
              <a:srgbClr val="F2F2F2">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358011914"/>
        <c:crosses val="autoZero"/>
        <c:auto val="1"/>
        <c:lblAlgn val="ctr"/>
        <c:lblOffset val="100"/>
        <c:noMultiLvlLbl val="0"/>
      </c:catAx>
      <c:valAx>
        <c:axId val="358011914"/>
        <c:scaling>
          <c:orientation val="minMax"/>
        </c:scaling>
        <c:delete val="0"/>
        <c:axPos val="l"/>
        <c:majorGridlines>
          <c:spPr>
            <a:ln w="3175" cap="flat" cmpd="sng" algn="ctr">
              <a:solidFill>
                <a:srgbClr val="F2F2F2">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793784030"/>
        <c:crosses val="autoZero"/>
        <c:crossBetween val="between"/>
      </c:valAx>
      <c:spPr>
        <a:noFill/>
        <a:ln w="3175">
          <a:noFill/>
        </a:ln>
      </c:spPr>
    </c:plotArea>
    <c:legend>
      <c:legendPos val="r"/>
      <c:layout>
        <c:manualLayout>
          <c:xMode val="edge"/>
          <c:yMode val="edge"/>
          <c:x val="0.33475"/>
          <c:y val="0.8645"/>
          <c:w val="0.328110213484726"/>
          <c:h val="0.101210121012101"/>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收入决算结构图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01075"/>
        </c:manualLayout>
      </c:layout>
      <c:overlay val="0"/>
    </c:title>
    <c:autoTitleDeleted val="0"/>
    <c:plotArea>
      <c:layout>
        <c:manualLayout>
          <c:layoutTarget val="inner"/>
          <c:xMode val="edge"/>
          <c:yMode val="edge"/>
          <c:x val="0.11475"/>
          <c:y val="0.2055"/>
          <c:w val="0.4215"/>
          <c:h val="0.70375"/>
        </c:manualLayout>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4.52755132451285"/>
                  <c:y val="104.45216135865"/>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8.86489915566854"/>
                  <c:y val="20.6607494945566"/>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99.6196131015"/>
                  <c:y val="383.740087583958"/>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[图表.xls]Sheet1!$G$1:$H$1</c:f>
              <c:strCache>
                <c:ptCount val="2"/>
                <c:pt idx="0">
                  <c:v>一般公共预算财政拨款收入</c:v>
                </c:pt>
              </c:strCache>
            </c:strRef>
          </c:cat>
          <c:val>
            <c:numRef>
              <c:f>[图表.xls]Sheet1!$G$2:$I$2</c:f>
              <c:numCache>
                <c:formatCode>General</c:formatCode>
                <c:ptCount val="3"/>
                <c:pt idx="0">
                  <c:v>1179.73</c:v>
                </c:pt>
                <c:pt idx="1">
                  <c:v>0</c:v>
                </c:pt>
                <c:pt idx="2">
                  <c:v>3.96</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egendEntry>
        <c:idx val="2"/>
        <c:delete val="1"/>
      </c:legendEntry>
      <c:layout>
        <c:manualLayout>
          <c:xMode val="edge"/>
          <c:yMode val="edge"/>
          <c:x val="0.653083796360606"/>
          <c:y val="0.422551587301587"/>
          <c:w val="0.325045147914874"/>
          <c:h val="0.189218921892189"/>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支出决算结构图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15"/>
          <c:y val="-0.01075"/>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[图表.xls]Sheet1!$A$22:$B$22</c:f>
              <c:strCache>
                <c:ptCount val="2"/>
                <c:pt idx="0">
                  <c:v>基本支出</c:v>
                </c:pt>
                <c:pt idx="1">
                  <c:v>项目支出</c:v>
                </c:pt>
              </c:strCache>
            </c:strRef>
          </c:cat>
          <c:val>
            <c:numRef>
              <c:f>[图表.xls]Sheet1!$A$23:$B$23</c:f>
              <c:numCache>
                <c:formatCode>General</c:formatCode>
                <c:ptCount val="2"/>
                <c:pt idx="0">
                  <c:v>1004.32</c:v>
                </c:pt>
                <c:pt idx="1">
                  <c:v>175.41</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891"/>
          <c:y val="0.46325"/>
          <c:w val="0.0946272761121188"/>
          <c:h val="0.154015401540154"/>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财政拨款收、支决算总计变动情况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425"/>
        </c:manualLayout>
      </c:layout>
      <c:overlay val="0"/>
    </c:title>
    <c:autoTitleDeleted val="0"/>
    <c:plotArea>
      <c:layout/>
      <c:barChart>
        <c:barDir val="col"/>
        <c:grouping val="clustered"/>
        <c:varyColors val="0"/>
        <c:ser>
          <c:idx val="0"/>
          <c:order val="0"/>
          <c:tx>
            <c:strRef>
              <c:f>[图表.xls]Sheet1!$G$23</c:f>
              <c:strCache>
                <c:ptCount val="1"/>
                <c:pt idx="0">
                  <c:v>      本年财政拨款收入合计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[图表.xls]Sheet1!$H$23:$I$23</c:f>
              <c:numCache>
                <c:formatCode>#,##0.00</c:formatCode>
                <c:ptCount val="2"/>
                <c:pt idx="0">
                  <c:v>964.23</c:v>
                </c:pt>
                <c:pt idx="1">
                  <c:v>1175.77</c:v>
                </c:pt>
              </c:numCache>
            </c:numRef>
          </c:val>
        </c:ser>
        <c:ser>
          <c:idx val="1"/>
          <c:order val="1"/>
          <c:tx>
            <c:strRef>
              <c:f>[图表.xls]Sheet1!$G$24</c:f>
              <c:strCache>
                <c:ptCount val="1"/>
                <c:pt idx="0">
                  <c:v>      本年财政拨款支出合计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[图表.xls]Sheet1!$H$24:$I$24</c:f>
              <c:numCache>
                <c:formatCode>#,##0.00</c:formatCode>
                <c:ptCount val="2"/>
                <c:pt idx="0">
                  <c:v>964.23</c:v>
                </c:pt>
                <c:pt idx="1">
                  <c:v>1175.77</c:v>
                </c:pt>
              </c:numCache>
            </c:numRef>
          </c:val>
        </c:ser>
        <c:dLbls>
          <c:showLegendKey val="0"/>
          <c:showVal val="0"/>
          <c:showCatName val="0"/>
          <c:showSerName val="0"/>
          <c:showPercent val="0"/>
          <c:showBubbleSize val="0"/>
        </c:dLbls>
        <c:gapWidth val="219"/>
        <c:overlap val="-10"/>
        <c:axId val="293972596"/>
        <c:axId val="284086173"/>
      </c:barChart>
      <c:catAx>
        <c:axId val="293972596"/>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284086173"/>
        <c:crosses val="autoZero"/>
        <c:auto val="1"/>
        <c:lblAlgn val="ctr"/>
        <c:lblOffset val="100"/>
        <c:noMultiLvlLbl val="0"/>
      </c:catAx>
      <c:valAx>
        <c:axId val="284086173"/>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293972596"/>
        <c:crosses val="autoZero"/>
        <c:crossBetween val="between"/>
      </c:valAx>
      <c:spPr>
        <a:noFill/>
        <a:ln w="3175">
          <a:noFill/>
        </a:ln>
      </c:spPr>
    </c:plotArea>
    <c:legend>
      <c:legendPos val="r"/>
      <c:layout>
        <c:manualLayout>
          <c:xMode val="edge"/>
          <c:yMode val="edge"/>
          <c:x val="0.1895"/>
          <c:y val="0.8645"/>
          <c:w val="0.619444444444444"/>
          <c:h val="0.101210121012101"/>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一般公共预算财政拨款支出决算变动情况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00175"/>
          <c:y val="-0.01075"/>
        </c:manualLayout>
      </c:layout>
      <c:overlay val="0"/>
    </c:title>
    <c:autoTitleDeleted val="0"/>
    <c:plotArea>
      <c:layout>
        <c:manualLayout>
          <c:layoutTarget val="inner"/>
          <c:xMode val="edge"/>
          <c:yMode val="edge"/>
          <c:x val="0.121050084684249"/>
          <c:y val="0.172149122807018"/>
          <c:w val="0.854149528187757"/>
          <c:h val="0.621798245614035"/>
        </c:manualLayout>
      </c:layout>
      <c:barChart>
        <c:barDir val="col"/>
        <c:grouping val="clustered"/>
        <c:varyColors val="0"/>
        <c:ser>
          <c:idx val="0"/>
          <c:order val="0"/>
          <c:tx>
            <c:strRef>
              <c:f>[图表.xls]Sheet1!$A$44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[图表.xls]Sheet1!$B$43:$C$43</c:f>
              <c:strCache>
                <c:ptCount val="2"/>
                <c:pt idx="0">
                  <c:v>2024年</c:v>
                </c:pt>
                <c:pt idx="1">
                  <c:v>2025年</c:v>
                </c:pt>
              </c:strCache>
            </c:strRef>
          </c:cat>
          <c:val>
            <c:numRef>
              <c:f>[图表.xls]Sheet1!$B$44:$C$44</c:f>
              <c:numCache>
                <c:formatCode>#,##0.00</c:formatCode>
                <c:ptCount val="2"/>
                <c:pt idx="0">
                  <c:v>964.23</c:v>
                </c:pt>
                <c:pt idx="1">
                  <c:v>1175.77</c:v>
                </c:pt>
              </c:numCache>
            </c:numRef>
          </c:val>
        </c:ser>
        <c:dLbls>
          <c:showLegendKey val="0"/>
          <c:showVal val="0"/>
          <c:showCatName val="0"/>
          <c:showSerName val="0"/>
          <c:showPercent val="0"/>
          <c:showBubbleSize val="0"/>
        </c:dLbls>
        <c:gapWidth val="219"/>
        <c:overlap val="-10"/>
        <c:axId val="347167969"/>
        <c:axId val="690334461"/>
      </c:barChart>
      <c:catAx>
        <c:axId val="347167969"/>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690334461"/>
        <c:crosses val="autoZero"/>
        <c:auto val="1"/>
        <c:lblAlgn val="ctr"/>
        <c:lblOffset val="100"/>
        <c:noMultiLvlLbl val="0"/>
      </c:catAx>
      <c:valAx>
        <c:axId val="690334461"/>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347167969"/>
        <c:crosses val="autoZero"/>
        <c:crossBetween val="between"/>
      </c:valAx>
      <c:spPr>
        <a:noFill/>
        <a:ln w="3175">
          <a:noFill/>
        </a:ln>
      </c:spPr>
    </c:plotArea>
    <c:legend>
      <c:legendPos val="r"/>
      <c:layout>
        <c:manualLayout>
          <c:xMode val="edge"/>
          <c:yMode val="edge"/>
          <c:x val="0.39875"/>
          <c:y val="0.723"/>
          <c:w val="0.302443754396178"/>
          <c:h val="0.266666666666667"/>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一般公共预算财政拨款支出决算结构</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889"/>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3"/>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0.0615011336293887"/>
                  <c:y val="-0.0365839190411225"/>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114462107699565"/>
                  <c:y val="0.0398397182623823"/>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56837401749068"/>
                  <c:y val="-0.0281265329515699"/>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[图表.xls]Sheet1!$A$64:$D$64</c:f>
              <c:strCache>
                <c:ptCount val="4"/>
                <c:pt idx="0">
                  <c:v>教育支出</c:v>
                </c:pt>
                <c:pt idx="1">
                  <c:v>社会保障和就业支出</c:v>
                </c:pt>
                <c:pt idx="2">
                  <c:v>医疗卫生与计划生育支出</c:v>
                </c:pt>
                <c:pt idx="3">
                  <c:v>住房保障支出</c:v>
                </c:pt>
              </c:strCache>
            </c:strRef>
          </c:cat>
          <c:val>
            <c:numRef>
              <c:f>[图表.xls]Sheet1!$A$65:$D$65</c:f>
              <c:numCache>
                <c:formatCode>#,##0.00</c:formatCode>
                <c:ptCount val="4"/>
                <c:pt idx="0">
                  <c:v>910.37</c:v>
                </c:pt>
                <c:pt idx="1">
                  <c:v>136.5</c:v>
                </c:pt>
                <c:pt idx="2">
                  <c:v>51.16</c:v>
                </c:pt>
                <c:pt idx="3">
                  <c:v>77.74</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78825"/>
          <c:y val="0.3175"/>
          <c:w val="0.197167458497978"/>
          <c:h val="0.268367810277053"/>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0.692874010279205</cdr:x>
      <cdr:y>0.566137566137566</cdr:y>
    </cdr:from>
    <cdr:to>
      <cdr:x>0.956243922767051</cdr:x>
      <cdr:y>0.599365079365079</cdr:y>
    </cdr:to>
    <cdr:sp>
      <cdr:nvSpPr>
        <cdr:cNvPr id="2" name="矩形 1"/>
        <cdr:cNvSpPr/>
      </cdr:nvSpPr>
      <cdr:spPr xmlns:a="http://schemas.openxmlformats.org/drawingml/2006/main">
        <a:xfrm xmlns:a="http://schemas.openxmlformats.org/drawingml/2006/main">
          <a:off x="3167380" y="1698625"/>
          <a:ext cx="1203960" cy="99695"/>
        </a:xfrm>
        <a:prstGeom xmlns:a="http://schemas.openxmlformats.org/drawingml/2006/main" prst="rect">
          <a:avLst/>
        </a:prstGeom>
      </cdr:spPr>
      <cdr:txBody xmlns:a="http://schemas.openxmlformats.org/drawingml/2006/main">
        <a:bodyPr vert="horz" wrap="none" lIns="45720" tIns="45720" rIns="45720" bIns="45720" anchor="t" anchorCtr="0">
          <a:normAutofit/>
        </a:bodyPr>
        <a:p>
          <a:endParaRPr lang="zh-CN" alt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25</Pages>
  <Words>7685</Words>
  <Characters>8186</Characters>
  <Lines>61</Lines>
  <Paragraphs>17</Paragraphs>
  <TotalTime>48</TotalTime>
  <ScaleCrop>false</ScaleCrop>
  <LinksUpToDate>false</LinksUpToDate>
  <CharactersWithSpaces>8216</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Administrator</cp:lastModifiedBy>
  <cp:lastPrinted>2025-08-06T17:34:00Z</cp:lastPrinted>
  <dcterms:modified xsi:type="dcterms:W3CDTF">2026-10-26T08:30:42Z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04787F2533EB45DC91BCDE4AB213247F</vt:lpwstr>
  </property>
  <property fmtid="{D5CDD505-2E9C-101B-9397-08002B2CF9AE}" pid="4" name="KSOTemplateDocerSaveRecord">
    <vt:lpwstr>eyJoZGlkIjoiNTU0ZmIwYTQ3NzlmZGUxZmU3Zjk0M2IyZTNmM2IxNjAiLCJ1c2VySWQiOiIyMzk0OTk4NzYifQ==</vt:lpwstr>
  </property>
</Properties>
</file>