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EF44B6">
      <w:pPr>
        <w:spacing w:line="600" w:lineRule="exact"/>
        <w:jc w:val="center"/>
        <w:outlineLvl w:val="0"/>
        <w:rPr>
          <w:rFonts w:ascii="方正小标宋简体" w:hAnsi="宋体" w:eastAsia="方正小标宋简体"/>
          <w:color w:val="000000"/>
          <w:sz w:val="72"/>
          <w:szCs w:val="72"/>
        </w:rPr>
      </w:pPr>
      <w:bookmarkStart w:id="0" w:name="_Toc15306267"/>
    </w:p>
    <w:p w14:paraId="77F0D42B">
      <w:pPr>
        <w:spacing w:line="600" w:lineRule="exact"/>
        <w:jc w:val="center"/>
        <w:outlineLvl w:val="0"/>
        <w:rPr>
          <w:rFonts w:ascii="方正小标宋简体" w:hAnsi="宋体" w:eastAsia="方正小标宋简体"/>
          <w:color w:val="000000"/>
          <w:sz w:val="72"/>
          <w:szCs w:val="72"/>
        </w:rPr>
      </w:pPr>
    </w:p>
    <w:p w14:paraId="20DE5205">
      <w:pPr>
        <w:spacing w:line="600" w:lineRule="exact"/>
        <w:jc w:val="center"/>
        <w:outlineLvl w:val="0"/>
        <w:rPr>
          <w:rFonts w:ascii="方正小标宋简体" w:hAnsi="宋体" w:eastAsia="方正小标宋简体"/>
          <w:color w:val="000000"/>
          <w:sz w:val="72"/>
          <w:szCs w:val="72"/>
        </w:rPr>
      </w:pPr>
    </w:p>
    <w:p w14:paraId="3A23C63F">
      <w:pPr>
        <w:ind w:firstLine="2880" w:firstLineChars="400"/>
        <w:jc w:val="both"/>
        <w:rPr>
          <w:rFonts w:ascii="黑体" w:hAnsi="黑体" w:eastAsia="黑体"/>
          <w:sz w:val="72"/>
          <w:szCs w:val="72"/>
        </w:rPr>
      </w:pPr>
      <w:bookmarkStart w:id="1" w:name="_Toc15377425"/>
      <w:bookmarkStart w:id="2" w:name="_Toc15378441"/>
      <w:bookmarkStart w:id="3" w:name="_Toc15396597"/>
      <w:bookmarkStart w:id="4" w:name="_Toc15396475"/>
      <w:bookmarkStart w:id="5" w:name="_Toc15377193"/>
    </w:p>
    <w:bookmarkEnd w:id="0"/>
    <w:bookmarkEnd w:id="1"/>
    <w:bookmarkEnd w:id="2"/>
    <w:bookmarkEnd w:id="3"/>
    <w:bookmarkEnd w:id="4"/>
    <w:bookmarkEnd w:id="5"/>
    <w:p w14:paraId="35E248A3">
      <w:pPr>
        <w:jc w:val="center"/>
        <w:rPr>
          <w:rFonts w:ascii="黑体" w:hAnsi="黑体" w:eastAsia="黑体"/>
          <w:sz w:val="72"/>
          <w:szCs w:val="72"/>
        </w:rPr>
      </w:pPr>
      <w:r>
        <w:rPr>
          <w:rFonts w:ascii="黑体" w:hAnsi="黑体" w:eastAsia="黑体"/>
          <w:sz w:val="72"/>
          <w:szCs w:val="72"/>
        </w:rPr>
        <w:t>20</w:t>
      </w:r>
      <w:r>
        <w:rPr>
          <w:rFonts w:hint="eastAsia" w:ascii="黑体" w:hAnsi="黑体" w:eastAsia="黑体"/>
          <w:sz w:val="72"/>
          <w:szCs w:val="72"/>
        </w:rPr>
        <w:t>2</w:t>
      </w:r>
      <w:r>
        <w:rPr>
          <w:rFonts w:hint="eastAsia" w:ascii="黑体" w:hAnsi="黑体" w:eastAsia="黑体"/>
          <w:sz w:val="72"/>
          <w:szCs w:val="72"/>
          <w:lang w:val="en-US" w:eastAsia="zh-CN"/>
        </w:rPr>
        <w:t>5</w:t>
      </w:r>
      <w:r>
        <w:rPr>
          <w:rFonts w:hint="eastAsia" w:ascii="黑体" w:hAnsi="黑体" w:eastAsia="黑体"/>
          <w:sz w:val="72"/>
          <w:szCs w:val="72"/>
        </w:rPr>
        <w:t>年度</w:t>
      </w:r>
    </w:p>
    <w:p w14:paraId="5AA2F542">
      <w:pPr>
        <w:jc w:val="center"/>
        <w:rPr>
          <w:rFonts w:ascii="方正小标宋简体" w:eastAsia="方正小标宋简体"/>
          <w:sz w:val="72"/>
          <w:szCs w:val="72"/>
        </w:rPr>
      </w:pPr>
      <w:bookmarkStart w:id="6" w:name="_Toc15396598"/>
      <w:bookmarkStart w:id="7" w:name="_Toc15378442"/>
      <w:bookmarkStart w:id="8" w:name="_Toc15396476"/>
      <w:bookmarkStart w:id="9" w:name="_Toc15377426"/>
      <w:bookmarkStart w:id="10" w:name="_Toc15377194"/>
      <w:r>
        <w:rPr>
          <w:rFonts w:hint="eastAsia" w:ascii="方正小标宋简体" w:eastAsia="方正小标宋简体"/>
          <w:sz w:val="72"/>
          <w:szCs w:val="72"/>
        </w:rPr>
        <w:t>四川省阿坝州</w:t>
      </w:r>
      <w:bookmarkStart w:id="11" w:name="_Toc15306268"/>
      <w:r>
        <w:rPr>
          <w:rFonts w:hint="eastAsia" w:ascii="方正小标宋简体" w:eastAsia="方正小标宋简体"/>
          <w:sz w:val="72"/>
          <w:szCs w:val="72"/>
        </w:rPr>
        <w:t>红原县</w:t>
      </w:r>
    </w:p>
    <w:p w14:paraId="24D34629">
      <w:pPr>
        <w:jc w:val="center"/>
        <w:outlineLvl w:val="0"/>
        <w:rPr>
          <w:rFonts w:ascii="方正小标宋简体" w:eastAsia="方正小标宋简体"/>
          <w:sz w:val="72"/>
          <w:szCs w:val="72"/>
        </w:rPr>
      </w:pPr>
      <w:bookmarkStart w:id="12" w:name="_Toc15057"/>
      <w:r>
        <w:rPr>
          <w:rFonts w:hint="eastAsia" w:ascii="方正小标宋简体" w:eastAsia="方正小标宋简体"/>
          <w:sz w:val="72"/>
          <w:szCs w:val="72"/>
        </w:rPr>
        <w:t>邛溪易地育人寄宿制学校部门决算</w:t>
      </w:r>
      <w:bookmarkEnd w:id="6"/>
      <w:bookmarkEnd w:id="7"/>
      <w:bookmarkEnd w:id="8"/>
      <w:bookmarkEnd w:id="9"/>
      <w:bookmarkEnd w:id="10"/>
      <w:bookmarkEnd w:id="11"/>
      <w:bookmarkEnd w:id="12"/>
    </w:p>
    <w:p w14:paraId="0359141F">
      <w:pPr>
        <w:widowControl/>
        <w:jc w:val="center"/>
        <w:rPr>
          <w:rFonts w:ascii="方正小标宋简体" w:hAnsi="宋体" w:eastAsia="方正小标宋简体"/>
          <w:color w:val="000000"/>
          <w:sz w:val="36"/>
          <w:szCs w:val="36"/>
        </w:rPr>
      </w:pPr>
    </w:p>
    <w:p w14:paraId="0CDD43BF">
      <w:pPr>
        <w:rPr>
          <w:rFonts w:ascii="方正小标宋简体" w:hAnsi="宋体" w:eastAsia="方正小标宋简体"/>
          <w:sz w:val="36"/>
          <w:szCs w:val="36"/>
        </w:rPr>
      </w:pPr>
    </w:p>
    <w:p w14:paraId="55E047F9">
      <w:pPr>
        <w:rPr>
          <w:rFonts w:ascii="方正小标宋简体" w:hAnsi="宋体" w:eastAsia="方正小标宋简体"/>
          <w:sz w:val="36"/>
          <w:szCs w:val="36"/>
        </w:rPr>
      </w:pPr>
    </w:p>
    <w:p w14:paraId="7FFD8F4C">
      <w:pPr>
        <w:rPr>
          <w:rFonts w:ascii="方正小标宋简体" w:hAnsi="宋体" w:eastAsia="方正小标宋简体"/>
          <w:sz w:val="36"/>
          <w:szCs w:val="36"/>
        </w:rPr>
      </w:pPr>
    </w:p>
    <w:p w14:paraId="11AF8C9E">
      <w:pPr>
        <w:rPr>
          <w:rFonts w:ascii="方正小标宋简体" w:hAnsi="宋体" w:eastAsia="方正小标宋简体"/>
          <w:sz w:val="36"/>
          <w:szCs w:val="36"/>
        </w:rPr>
      </w:pPr>
    </w:p>
    <w:p w14:paraId="21419E6F">
      <w:pPr>
        <w:rPr>
          <w:rFonts w:ascii="方正小标宋简体" w:hAnsi="宋体" w:eastAsia="方正小标宋简体"/>
          <w:sz w:val="36"/>
          <w:szCs w:val="36"/>
        </w:rPr>
      </w:pPr>
    </w:p>
    <w:p w14:paraId="325B1FDE">
      <w:pPr>
        <w:rPr>
          <w:rFonts w:ascii="方正小标宋简体" w:hAnsi="宋体" w:eastAsia="方正小标宋简体"/>
          <w:sz w:val="36"/>
          <w:szCs w:val="36"/>
        </w:rPr>
      </w:pPr>
    </w:p>
    <w:p w14:paraId="7CD6FF50">
      <w:pPr>
        <w:rPr>
          <w:rFonts w:ascii="方正小标宋简体" w:hAnsi="宋体" w:eastAsia="方正小标宋简体"/>
          <w:sz w:val="36"/>
          <w:szCs w:val="36"/>
        </w:rPr>
      </w:pPr>
    </w:p>
    <w:p w14:paraId="2A52E1BA">
      <w:pPr>
        <w:autoSpaceDE w:val="0"/>
        <w:autoSpaceDN w:val="0"/>
        <w:adjustRightInd w:val="0"/>
        <w:ind w:firstLine="640" w:firstLineChars="200"/>
        <w:jc w:val="left"/>
        <w:rPr>
          <w:rFonts w:ascii="宋体" w:hAnsi="宋体"/>
          <w:sz w:val="32"/>
          <w:szCs w:val="32"/>
        </w:rPr>
      </w:pPr>
      <w:r>
        <w:rPr>
          <w:rFonts w:hint="eastAsia" w:ascii="宋体" w:hAnsi="宋体" w:cs="仿宋_GB2312"/>
          <w:sz w:val="32"/>
          <w:szCs w:val="32"/>
        </w:rPr>
        <w:t>保密审查情况：已审查，内容审定</w:t>
      </w:r>
    </w:p>
    <w:p w14:paraId="550C5F9B">
      <w:pPr>
        <w:autoSpaceDE w:val="0"/>
        <w:autoSpaceDN w:val="0"/>
        <w:adjustRightInd w:val="0"/>
        <w:ind w:left="420" w:leftChars="200" w:firstLine="320" w:firstLineChars="100"/>
        <w:jc w:val="left"/>
        <w:rPr>
          <w:rFonts w:ascii="宋体" w:hAnsi="宋体"/>
          <w:sz w:val="32"/>
          <w:szCs w:val="32"/>
        </w:rPr>
      </w:pPr>
      <w:r>
        <w:rPr>
          <w:rFonts w:hint="eastAsia" w:ascii="宋体" w:hAnsi="宋体" w:cs="仿宋_GB2312"/>
          <w:sz w:val="32"/>
          <w:szCs w:val="32"/>
        </w:rPr>
        <w:t>部门主要负责人审签情况：已审签，同意对外公开</w:t>
      </w:r>
    </w:p>
    <w:p w14:paraId="3468EE85">
      <w:pPr>
        <w:widowControl/>
        <w:jc w:val="both"/>
        <w:rPr>
          <w:rFonts w:ascii="方正小标宋简体" w:hAnsi="宋体" w:eastAsia="方正小标宋简体"/>
          <w:sz w:val="36"/>
          <w:szCs w:val="36"/>
        </w:rPr>
      </w:pPr>
    </w:p>
    <w:sdt>
      <w:sdtPr>
        <w:rPr>
          <w:rFonts w:ascii="宋体" w:hAnsi="宋体" w:eastAsia="宋体" w:cs="Times New Roman"/>
          <w:kern w:val="2"/>
          <w:sz w:val="21"/>
          <w:szCs w:val="24"/>
          <w:lang w:val="en-US" w:eastAsia="zh-CN" w:bidi="ar-SA"/>
        </w:rPr>
        <w:id w:val="147480783"/>
        <w:docPartObj>
          <w:docPartGallery w:val="Table of Contents"/>
          <w:docPartUnique/>
        </w:docPartObj>
      </w:sdtPr>
      <w:sdtEndPr>
        <w:rPr>
          <w:rFonts w:ascii="Calibri" w:hAnsi="Calibri" w:eastAsia="宋体" w:cs="Times New Roman"/>
          <w:kern w:val="2"/>
          <w:sz w:val="20"/>
          <w:szCs w:val="20"/>
          <w:lang w:val="en-US" w:eastAsia="zh-CN" w:bidi="ar-SA"/>
        </w:rPr>
      </w:sdtEndPr>
      <w:sdtContent>
        <w:p w14:paraId="380F7F52">
          <w:pPr>
            <w:spacing w:before="0" w:beforeLines="0" w:after="0" w:afterLines="0" w:line="240" w:lineRule="auto"/>
            <w:ind w:left="0" w:leftChars="0" w:right="0" w:rightChars="0" w:firstLine="0" w:firstLineChars="0"/>
            <w:jc w:val="center"/>
            <w:rPr>
              <w:rFonts w:ascii="宋体" w:hAnsi="宋体" w:eastAsia="宋体" w:cs="Times New Roman"/>
              <w:kern w:val="2"/>
              <w:sz w:val="21"/>
              <w:szCs w:val="24"/>
              <w:lang w:val="en-US" w:eastAsia="zh-CN" w:bidi="ar-SA"/>
            </w:rPr>
          </w:pPr>
          <w:bookmarkStart w:id="13" w:name="_Toc32767_WPSOffice_Type3"/>
        </w:p>
        <w:p w14:paraId="4E3B3739">
          <w:pPr>
            <w:spacing w:before="0" w:beforeLines="0" w:after="0" w:afterLines="0" w:line="240" w:lineRule="auto"/>
            <w:ind w:left="0" w:leftChars="0" w:right="0" w:rightChars="0" w:firstLine="0" w:firstLineChars="0"/>
            <w:jc w:val="center"/>
            <w:rPr>
              <w:rFonts w:ascii="宋体" w:hAnsi="宋体" w:eastAsia="宋体" w:cs="Times New Roman"/>
              <w:kern w:val="2"/>
              <w:sz w:val="21"/>
              <w:szCs w:val="24"/>
              <w:lang w:val="en-US" w:eastAsia="zh-CN" w:bidi="ar-SA"/>
            </w:rPr>
          </w:pPr>
        </w:p>
        <w:bookmarkEnd w:id="13"/>
        <w:sdt>
          <w:sdtPr>
            <w:rPr>
              <w:rFonts w:hint="eastAsia" w:ascii="黑体" w:hAnsi="黑体" w:eastAsia="黑体" w:cs="黑体"/>
              <w:sz w:val="48"/>
              <w:szCs w:val="48"/>
            </w:rPr>
            <w:id w:val="147465206"/>
            <w:docPartObj>
              <w:docPartGallery w:val="Table of Contents"/>
              <w:docPartUnique/>
            </w:docPartObj>
          </w:sdtPr>
          <w:sdtEndPr>
            <w:rPr>
              <w:rFonts w:hint="eastAsia" w:ascii="Times New Roman" w:hAnsi="Times New Roman" w:eastAsia="宋体" w:cs="Times New Roman"/>
              <w:sz w:val="21"/>
              <w:szCs w:val="24"/>
            </w:rPr>
          </w:sdtEndPr>
          <w:sdtContent>
            <w:p w14:paraId="1A01AD58">
              <w:pPr>
                <w:jc w:val="center"/>
                <w:rPr>
                  <w:rFonts w:ascii="黑体" w:hAnsi="黑体" w:eastAsia="黑体" w:cs="黑体"/>
                  <w:sz w:val="48"/>
                  <w:szCs w:val="48"/>
                </w:rPr>
              </w:pPr>
              <w:bookmarkStart w:id="14" w:name="_Toc79163851"/>
              <w:bookmarkStart w:id="15" w:name="_Toc247_WPSOffice_Level1"/>
              <w:bookmarkStart w:id="16" w:name="_Toc79163601"/>
              <w:r>
                <w:rPr>
                  <w:rFonts w:hint="eastAsia" w:ascii="黑体" w:hAnsi="黑体" w:eastAsia="黑体" w:cs="黑体"/>
                  <w:sz w:val="48"/>
                  <w:szCs w:val="48"/>
                </w:rPr>
                <w:t>目录</w:t>
              </w:r>
            </w:p>
            <w:p w14:paraId="4C65C600">
              <w:pPr>
                <w:pStyle w:val="13"/>
                <w:jc w:val="center"/>
                <w:rPr>
                  <w:rFonts w:hAnsiTheme="minorHAnsi"/>
                  <w:b w:val="0"/>
                  <w:bCs w:val="0"/>
                  <w:sz w:val="24"/>
                  <w:szCs w:val="24"/>
                </w:rPr>
              </w:pPr>
              <w:r>
                <w:rPr>
                  <w:rFonts w:hint="eastAsia" w:hAnsiTheme="minorHAnsi"/>
                  <w:b w:val="0"/>
                  <w:bCs w:val="0"/>
                  <w:sz w:val="24"/>
                  <w:szCs w:val="24"/>
                </w:rPr>
                <w:t>公开时间：202</w:t>
              </w:r>
              <w:r>
                <w:rPr>
                  <w:rFonts w:hint="eastAsia" w:hAnsiTheme="minorHAnsi"/>
                  <w:b w:val="0"/>
                  <w:bCs w:val="0"/>
                  <w:sz w:val="24"/>
                  <w:szCs w:val="24"/>
                  <w:lang w:val="en-US" w:eastAsia="zh-CN"/>
                </w:rPr>
                <w:t>6</w:t>
              </w:r>
              <w:r>
                <w:rPr>
                  <w:rFonts w:hint="eastAsia" w:hAnsiTheme="minorHAnsi"/>
                  <w:b w:val="0"/>
                  <w:bCs w:val="0"/>
                  <w:sz w:val="24"/>
                  <w:szCs w:val="24"/>
                </w:rPr>
                <w:t xml:space="preserve">年 </w:t>
              </w:r>
              <w:r>
                <w:rPr>
                  <w:rFonts w:hint="eastAsia" w:hAnsiTheme="minorHAnsi"/>
                  <w:b w:val="0"/>
                  <w:bCs w:val="0"/>
                  <w:sz w:val="24"/>
                  <w:szCs w:val="24"/>
                  <w:lang w:val="en-US" w:eastAsia="zh-CN"/>
                </w:rPr>
                <w:t>10</w:t>
              </w:r>
              <w:r>
                <w:rPr>
                  <w:rFonts w:hint="eastAsia" w:hAnsiTheme="minorHAnsi"/>
                  <w:b w:val="0"/>
                  <w:bCs w:val="0"/>
                  <w:sz w:val="24"/>
                  <w:szCs w:val="24"/>
                </w:rPr>
                <w:t>月</w:t>
              </w:r>
              <w:r>
                <w:rPr>
                  <w:rFonts w:hint="eastAsia" w:hAnsiTheme="minorHAnsi"/>
                  <w:b w:val="0"/>
                  <w:bCs w:val="0"/>
                  <w:sz w:val="24"/>
                  <w:szCs w:val="24"/>
                  <w:lang w:val="en-US" w:eastAsia="zh-CN"/>
                </w:rPr>
                <w:t>20</w:t>
              </w:r>
              <w:r>
                <w:rPr>
                  <w:rFonts w:hint="eastAsia" w:hAnsiTheme="minorHAnsi"/>
                  <w:b w:val="0"/>
                  <w:bCs w:val="0"/>
                  <w:sz w:val="24"/>
                  <w:szCs w:val="24"/>
                </w:rPr>
                <w:t>日</w:t>
              </w:r>
            </w:p>
            <w:p w14:paraId="5E875655">
              <w:pPr>
                <w:jc w:val="center"/>
                <w:rPr>
                  <w:rFonts w:ascii="黑体" w:hAnsi="黑体" w:eastAsia="黑体" w:cs="黑体"/>
                  <w:sz w:val="48"/>
                  <w:szCs w:val="48"/>
                </w:rPr>
              </w:pPr>
            </w:p>
            <w:p w14:paraId="0BAC9ECE">
              <w:pPr>
                <w:pStyle w:val="39"/>
                <w:tabs>
                  <w:tab w:val="right" w:leader="dot" w:pos="8306"/>
                </w:tabs>
              </w:pPr>
              <w:r>
                <w:fldChar w:fldCharType="begin"/>
              </w:r>
              <w:r>
                <w:instrText xml:space="preserve">TOC \o "1-3" \h \u </w:instrText>
              </w:r>
              <w:r>
                <w:fldChar w:fldCharType="separate"/>
              </w:r>
              <w:r>
                <w:fldChar w:fldCharType="begin"/>
              </w:r>
              <w:r>
                <w:instrText xml:space="preserve"> HYPERLINK \l "_Toc7935" </w:instrText>
              </w:r>
              <w:r>
                <w:fldChar w:fldCharType="separate"/>
              </w:r>
              <w:r>
                <w:rPr>
                  <w:rFonts w:hint="eastAsia" w:ascii="黑体" w:hAnsi="黑体" w:eastAsia="黑体"/>
                </w:rPr>
                <w:t>第一部分部门概况</w:t>
              </w:r>
              <w:r>
                <w:tab/>
              </w:r>
              <w:r>
                <w:fldChar w:fldCharType="begin"/>
              </w:r>
              <w:r>
                <w:instrText xml:space="preserve"> PAGEREF _Toc7935 \h </w:instrText>
              </w:r>
              <w:r>
                <w:fldChar w:fldCharType="separate"/>
              </w:r>
              <w:r>
                <w:t>4</w:t>
              </w:r>
              <w:r>
                <w:fldChar w:fldCharType="end"/>
              </w:r>
              <w:r>
                <w:fldChar w:fldCharType="end"/>
              </w:r>
            </w:p>
            <w:p w14:paraId="594EFC63">
              <w:pPr>
                <w:pStyle w:val="40"/>
                <w:tabs>
                  <w:tab w:val="right" w:leader="dot" w:pos="8306"/>
                </w:tabs>
                <w:ind w:left="420"/>
              </w:pPr>
              <w:r>
                <w:fldChar w:fldCharType="begin"/>
              </w:r>
              <w:r>
                <w:instrText xml:space="preserve"> HYPERLINK \l "_Toc25033" </w:instrText>
              </w:r>
              <w:r>
                <w:fldChar w:fldCharType="separate"/>
              </w:r>
              <w:r>
                <w:rPr>
                  <w:rFonts w:hint="eastAsia" w:ascii="黑体" w:hAnsi="黑体" w:eastAsia="黑体"/>
                </w:rPr>
                <w:t>一、基本职能及主要工作</w:t>
              </w:r>
              <w:r>
                <w:tab/>
              </w:r>
              <w:r>
                <w:fldChar w:fldCharType="begin"/>
              </w:r>
              <w:r>
                <w:instrText xml:space="preserve"> PAGEREF _Toc25033 \h </w:instrText>
              </w:r>
              <w:r>
                <w:fldChar w:fldCharType="separate"/>
              </w:r>
              <w:r>
                <w:t>4</w:t>
              </w:r>
              <w:r>
                <w:fldChar w:fldCharType="end"/>
              </w:r>
              <w:r>
                <w:fldChar w:fldCharType="end"/>
              </w:r>
            </w:p>
            <w:p w14:paraId="338F1889">
              <w:pPr>
                <w:pStyle w:val="41"/>
                <w:tabs>
                  <w:tab w:val="right" w:leader="dot" w:pos="8306"/>
                </w:tabs>
                <w:ind w:left="840"/>
              </w:pPr>
              <w:r>
                <w:fldChar w:fldCharType="begin"/>
              </w:r>
              <w:r>
                <w:instrText xml:space="preserve"> HYPERLINK \l "_Toc15711" </w:instrText>
              </w:r>
              <w:r>
                <w:fldChar w:fldCharType="separate"/>
              </w:r>
              <w:r>
                <w:rPr>
                  <w:rFonts w:hint="eastAsia" w:ascii="仿宋" w:hAnsi="仿宋" w:eastAsia="仿宋"/>
                  <w:bCs/>
                  <w:szCs w:val="32"/>
                </w:rPr>
                <w:t>（一）主要职能。</w:t>
              </w:r>
              <w:r>
                <w:tab/>
              </w:r>
              <w:r>
                <w:fldChar w:fldCharType="begin"/>
              </w:r>
              <w:r>
                <w:instrText xml:space="preserve"> PAGEREF _Toc15711 \h </w:instrText>
              </w:r>
              <w:r>
                <w:fldChar w:fldCharType="separate"/>
              </w:r>
              <w:r>
                <w:t>4</w:t>
              </w:r>
              <w:r>
                <w:fldChar w:fldCharType="end"/>
              </w:r>
              <w:r>
                <w:fldChar w:fldCharType="end"/>
              </w:r>
            </w:p>
            <w:p w14:paraId="11532CA5">
              <w:pPr>
                <w:pStyle w:val="41"/>
                <w:tabs>
                  <w:tab w:val="right" w:leader="dot" w:pos="8306"/>
                </w:tabs>
                <w:ind w:left="840"/>
              </w:pPr>
              <w:r>
                <w:fldChar w:fldCharType="begin"/>
              </w:r>
              <w:r>
                <w:instrText xml:space="preserve"> HYPERLINK \l "_Toc10477" </w:instrText>
              </w:r>
              <w:r>
                <w:fldChar w:fldCharType="separate"/>
              </w:r>
              <w:r>
                <w:rPr>
                  <w:rFonts w:hint="eastAsia" w:ascii="仿宋" w:hAnsi="仿宋" w:eastAsia="仿宋"/>
                  <w:bCs/>
                  <w:szCs w:val="32"/>
                </w:rPr>
                <w:t>（二）</w:t>
              </w:r>
              <w:r>
                <w:rPr>
                  <w:rFonts w:ascii="仿宋" w:hAnsi="仿宋" w:eastAsia="仿宋"/>
                  <w:bCs/>
                  <w:szCs w:val="32"/>
                </w:rPr>
                <w:t>202</w:t>
              </w:r>
              <w:r>
                <w:rPr>
                  <w:rFonts w:hint="eastAsia" w:ascii="仿宋" w:hAnsi="仿宋" w:eastAsia="仿宋"/>
                  <w:bCs/>
                  <w:szCs w:val="32"/>
                  <w:lang w:val="en-US" w:eastAsia="zh-CN"/>
                </w:rPr>
                <w:t>5</w:t>
              </w:r>
              <w:r>
                <w:rPr>
                  <w:rFonts w:hint="eastAsia" w:ascii="仿宋" w:hAnsi="仿宋" w:eastAsia="仿宋"/>
                  <w:bCs/>
                  <w:szCs w:val="32"/>
                </w:rPr>
                <w:t>重点工作完成情况。</w:t>
              </w:r>
              <w:r>
                <w:tab/>
              </w:r>
              <w:r>
                <w:fldChar w:fldCharType="begin"/>
              </w:r>
              <w:r>
                <w:instrText xml:space="preserve"> PAGEREF _Toc10477 \h </w:instrText>
              </w:r>
              <w:r>
                <w:fldChar w:fldCharType="separate"/>
              </w:r>
              <w:r>
                <w:t>4</w:t>
              </w:r>
              <w:r>
                <w:fldChar w:fldCharType="end"/>
              </w:r>
              <w:r>
                <w:fldChar w:fldCharType="end"/>
              </w:r>
            </w:p>
            <w:p w14:paraId="0F458ABF">
              <w:pPr>
                <w:pStyle w:val="40"/>
                <w:tabs>
                  <w:tab w:val="right" w:leader="dot" w:pos="8306"/>
                </w:tabs>
                <w:ind w:left="420"/>
              </w:pPr>
              <w:r>
                <w:fldChar w:fldCharType="begin"/>
              </w:r>
              <w:r>
                <w:instrText xml:space="preserve"> HYPERLINK \l "_Toc27840" </w:instrText>
              </w:r>
              <w:r>
                <w:fldChar w:fldCharType="separate"/>
              </w:r>
              <w:r>
                <w:rPr>
                  <w:rFonts w:hint="eastAsia" w:ascii="黑体" w:hAnsi="黑体" w:eastAsia="黑体"/>
                </w:rPr>
                <w:t xml:space="preserve">二、 </w:t>
              </w:r>
              <w:r>
                <w:rPr>
                  <w:rFonts w:hint="eastAsia" w:ascii="黑体" w:hAnsi="黑体" w:eastAsia="黑体"/>
                  <w:szCs w:val="32"/>
                </w:rPr>
                <w:t>机</w:t>
              </w:r>
              <w:r>
                <w:rPr>
                  <w:rFonts w:hint="eastAsia" w:ascii="黑体" w:hAnsi="黑体" w:eastAsia="黑体"/>
                </w:rPr>
                <w:t>构设置</w:t>
              </w:r>
              <w:r>
                <w:tab/>
              </w:r>
              <w:r>
                <w:fldChar w:fldCharType="begin"/>
              </w:r>
              <w:r>
                <w:instrText xml:space="preserve"> PAGEREF _Toc27840 \h </w:instrText>
              </w:r>
              <w:r>
                <w:fldChar w:fldCharType="separate"/>
              </w:r>
              <w:r>
                <w:t>5</w:t>
              </w:r>
              <w:r>
                <w:fldChar w:fldCharType="end"/>
              </w:r>
              <w:r>
                <w:fldChar w:fldCharType="end"/>
              </w:r>
            </w:p>
            <w:p w14:paraId="60ECB674">
              <w:pPr>
                <w:pStyle w:val="39"/>
                <w:tabs>
                  <w:tab w:val="right" w:leader="dot" w:pos="8306"/>
                </w:tabs>
              </w:pPr>
              <w:r>
                <w:fldChar w:fldCharType="begin"/>
              </w:r>
              <w:r>
                <w:instrText xml:space="preserve"> HYPERLINK \l "_Toc18820" </w:instrText>
              </w:r>
              <w:r>
                <w:fldChar w:fldCharType="separate"/>
              </w:r>
              <w:r>
                <w:rPr>
                  <w:rFonts w:hint="eastAsia" w:ascii="黑体" w:hAnsi="黑体" w:eastAsia="黑体"/>
                </w:rPr>
                <w:t>第二部分</w:t>
              </w:r>
              <w:r>
                <w:rPr>
                  <w:rFonts w:ascii="黑体" w:hAnsi="黑体" w:eastAsia="黑体"/>
                </w:rPr>
                <w:t>202</w:t>
              </w:r>
              <w:r>
                <w:rPr>
                  <w:rFonts w:hint="eastAsia" w:ascii="黑体" w:hAnsi="黑体" w:eastAsia="黑体"/>
                  <w:lang w:val="en-US" w:eastAsia="zh-CN"/>
                </w:rPr>
                <w:t>5</w:t>
              </w:r>
              <w:r>
                <w:rPr>
                  <w:rFonts w:hint="eastAsia" w:ascii="黑体" w:hAnsi="黑体" w:eastAsia="黑体"/>
                </w:rPr>
                <w:t>年度部门决算情况说明</w:t>
              </w:r>
              <w:r>
                <w:tab/>
              </w:r>
              <w:r>
                <w:fldChar w:fldCharType="begin"/>
              </w:r>
              <w:r>
                <w:instrText xml:space="preserve"> PAGEREF _Toc18820 \h </w:instrText>
              </w:r>
              <w:r>
                <w:fldChar w:fldCharType="separate"/>
              </w:r>
              <w:r>
                <w:t>5</w:t>
              </w:r>
              <w:r>
                <w:fldChar w:fldCharType="end"/>
              </w:r>
              <w:r>
                <w:fldChar w:fldCharType="end"/>
              </w:r>
            </w:p>
            <w:p w14:paraId="0D2AED48">
              <w:pPr>
                <w:pStyle w:val="40"/>
                <w:tabs>
                  <w:tab w:val="right" w:leader="dot" w:pos="8306"/>
                </w:tabs>
                <w:ind w:left="420"/>
              </w:pPr>
              <w:r>
                <w:fldChar w:fldCharType="begin"/>
              </w:r>
              <w:r>
                <w:instrText xml:space="preserve"> HYPERLINK \l "_Toc18286" </w:instrText>
              </w:r>
              <w:r>
                <w:fldChar w:fldCharType="separate"/>
              </w:r>
              <w:r>
                <w:rPr>
                  <w:rFonts w:ascii="黑体" w:hAnsi="黑体" w:eastAsia="黑体"/>
                </w:rPr>
                <w:t xml:space="preserve">一、 </w:t>
              </w:r>
              <w:r>
                <w:rPr>
                  <w:rFonts w:hint="eastAsia" w:ascii="黑体" w:hAnsi="黑体" w:eastAsia="黑体"/>
                  <w:szCs w:val="32"/>
                </w:rPr>
                <w:t>收</w:t>
              </w:r>
              <w:r>
                <w:rPr>
                  <w:rFonts w:hint="eastAsia" w:ascii="黑体" w:hAnsi="黑体" w:eastAsia="黑体"/>
                </w:rPr>
                <w:t>入支出决算总体情况说明</w:t>
              </w:r>
              <w:r>
                <w:tab/>
              </w:r>
              <w:r>
                <w:fldChar w:fldCharType="begin"/>
              </w:r>
              <w:r>
                <w:instrText xml:space="preserve"> PAGEREF _Toc18286 \h </w:instrText>
              </w:r>
              <w:r>
                <w:fldChar w:fldCharType="separate"/>
              </w:r>
              <w:r>
                <w:t>5</w:t>
              </w:r>
              <w:r>
                <w:fldChar w:fldCharType="end"/>
              </w:r>
              <w:r>
                <w:fldChar w:fldCharType="end"/>
              </w:r>
            </w:p>
            <w:p w14:paraId="0C426FB5">
              <w:pPr>
                <w:pStyle w:val="40"/>
                <w:tabs>
                  <w:tab w:val="right" w:leader="dot" w:pos="8306"/>
                </w:tabs>
                <w:ind w:left="420"/>
              </w:pPr>
              <w:r>
                <w:fldChar w:fldCharType="begin"/>
              </w:r>
              <w:r>
                <w:instrText xml:space="preserve"> HYPERLINK \l "_Toc10818" </w:instrText>
              </w:r>
              <w:r>
                <w:fldChar w:fldCharType="separate"/>
              </w:r>
              <w:r>
                <w:rPr>
                  <w:rFonts w:ascii="黑体" w:hAnsi="黑体" w:eastAsia="黑体"/>
                </w:rPr>
                <w:t xml:space="preserve">二、 </w:t>
              </w:r>
              <w:r>
                <w:rPr>
                  <w:rFonts w:hint="eastAsia" w:ascii="黑体" w:hAnsi="黑体" w:eastAsia="黑体"/>
                  <w:szCs w:val="32"/>
                </w:rPr>
                <w:t>收</w:t>
              </w:r>
              <w:r>
                <w:rPr>
                  <w:rFonts w:hint="eastAsia" w:ascii="黑体" w:hAnsi="黑体" w:eastAsia="黑体"/>
                </w:rPr>
                <w:t>入决算情况说明</w:t>
              </w:r>
              <w:r>
                <w:tab/>
              </w:r>
              <w:r>
                <w:fldChar w:fldCharType="begin"/>
              </w:r>
              <w:r>
                <w:instrText xml:space="preserve"> PAGEREF _Toc10818 \h </w:instrText>
              </w:r>
              <w:r>
                <w:fldChar w:fldCharType="separate"/>
              </w:r>
              <w:r>
                <w:t>6</w:t>
              </w:r>
              <w:r>
                <w:fldChar w:fldCharType="end"/>
              </w:r>
              <w:r>
                <w:fldChar w:fldCharType="end"/>
              </w:r>
            </w:p>
            <w:p w14:paraId="2B36C2CB">
              <w:pPr>
                <w:pStyle w:val="40"/>
                <w:tabs>
                  <w:tab w:val="right" w:leader="dot" w:pos="8306"/>
                </w:tabs>
                <w:ind w:left="420"/>
              </w:pPr>
              <w:r>
                <w:fldChar w:fldCharType="begin"/>
              </w:r>
              <w:r>
                <w:instrText xml:space="preserve"> HYPERLINK \l "_Toc24701" </w:instrText>
              </w:r>
              <w:r>
                <w:fldChar w:fldCharType="separate"/>
              </w:r>
              <w:r>
                <w:rPr>
                  <w:rFonts w:ascii="黑体" w:hAnsi="黑体" w:eastAsia="黑体"/>
                </w:rPr>
                <w:t xml:space="preserve">三、 </w:t>
              </w:r>
              <w:r>
                <w:rPr>
                  <w:rFonts w:hint="eastAsia" w:ascii="黑体" w:hAnsi="黑体" w:eastAsia="黑体"/>
                  <w:szCs w:val="32"/>
                </w:rPr>
                <w:t>支</w:t>
              </w:r>
              <w:r>
                <w:rPr>
                  <w:rFonts w:hint="eastAsia" w:ascii="黑体" w:hAnsi="黑体" w:eastAsia="黑体"/>
                </w:rPr>
                <w:t>出决算情况说明</w:t>
              </w:r>
              <w:r>
                <w:tab/>
              </w:r>
              <w:r>
                <w:fldChar w:fldCharType="begin"/>
              </w:r>
              <w:r>
                <w:instrText xml:space="preserve"> PAGEREF _Toc24701 \h </w:instrText>
              </w:r>
              <w:r>
                <w:fldChar w:fldCharType="separate"/>
              </w:r>
              <w:r>
                <w:t>7</w:t>
              </w:r>
              <w:r>
                <w:fldChar w:fldCharType="end"/>
              </w:r>
              <w:r>
                <w:fldChar w:fldCharType="end"/>
              </w:r>
            </w:p>
            <w:p w14:paraId="7A5CB94B">
              <w:pPr>
                <w:pStyle w:val="40"/>
                <w:tabs>
                  <w:tab w:val="right" w:leader="dot" w:pos="8306"/>
                </w:tabs>
                <w:ind w:left="420"/>
              </w:pPr>
              <w:r>
                <w:fldChar w:fldCharType="begin"/>
              </w:r>
              <w:r>
                <w:instrText xml:space="preserve"> HYPERLINK \l "_Toc1106" </w:instrText>
              </w:r>
              <w:r>
                <w:fldChar w:fldCharType="separate"/>
              </w:r>
              <w:r>
                <w:rPr>
                  <w:rFonts w:hint="eastAsia" w:ascii="黑体" w:hAnsi="黑体" w:eastAsia="黑体"/>
                  <w:szCs w:val="32"/>
                </w:rPr>
                <w:t>四、财</w:t>
              </w:r>
              <w:r>
                <w:rPr>
                  <w:rFonts w:hint="eastAsia" w:ascii="黑体" w:hAnsi="黑体" w:eastAsia="黑体"/>
                </w:rPr>
                <w:t>政拨款收入支出决算总体情况说明</w:t>
              </w:r>
              <w:r>
                <w:tab/>
              </w:r>
              <w:r>
                <w:fldChar w:fldCharType="begin"/>
              </w:r>
              <w:r>
                <w:instrText xml:space="preserve"> PAGEREF _Toc1106 \h </w:instrText>
              </w:r>
              <w:r>
                <w:fldChar w:fldCharType="separate"/>
              </w:r>
              <w:r>
                <w:t>8</w:t>
              </w:r>
              <w:r>
                <w:fldChar w:fldCharType="end"/>
              </w:r>
              <w:r>
                <w:fldChar w:fldCharType="end"/>
              </w:r>
            </w:p>
            <w:p w14:paraId="2730347F">
              <w:pPr>
                <w:pStyle w:val="40"/>
                <w:tabs>
                  <w:tab w:val="right" w:leader="dot" w:pos="8306"/>
                </w:tabs>
                <w:ind w:left="420"/>
              </w:pPr>
              <w:r>
                <w:fldChar w:fldCharType="begin"/>
              </w:r>
              <w:r>
                <w:instrText xml:space="preserve"> HYPERLINK \l "_Toc23861" </w:instrText>
              </w:r>
              <w:r>
                <w:fldChar w:fldCharType="separate"/>
              </w:r>
              <w:r>
                <w:rPr>
                  <w:rFonts w:hint="eastAsia" w:ascii="黑体" w:hAnsi="黑体" w:eastAsia="黑体"/>
                  <w:szCs w:val="32"/>
                </w:rPr>
                <w:t>五、一</w:t>
              </w:r>
              <w:r>
                <w:rPr>
                  <w:rFonts w:hint="eastAsia" w:ascii="黑体" w:hAnsi="黑体" w:eastAsia="黑体"/>
                </w:rPr>
                <w:t>般公共预算财政拨款支出决算情况说明</w:t>
              </w:r>
              <w:r>
                <w:tab/>
              </w:r>
              <w:r>
                <w:fldChar w:fldCharType="begin"/>
              </w:r>
              <w:r>
                <w:instrText xml:space="preserve"> PAGEREF _Toc23861 \h </w:instrText>
              </w:r>
              <w:r>
                <w:fldChar w:fldCharType="separate"/>
              </w:r>
              <w:r>
                <w:t>9</w:t>
              </w:r>
              <w:r>
                <w:fldChar w:fldCharType="end"/>
              </w:r>
              <w:r>
                <w:fldChar w:fldCharType="end"/>
              </w:r>
            </w:p>
            <w:p w14:paraId="598B2CF1">
              <w:pPr>
                <w:pStyle w:val="41"/>
                <w:tabs>
                  <w:tab w:val="right" w:leader="dot" w:pos="8306"/>
                </w:tabs>
                <w:ind w:left="840"/>
              </w:pPr>
              <w:r>
                <w:fldChar w:fldCharType="begin"/>
              </w:r>
              <w:r>
                <w:instrText xml:space="preserve"> HYPERLINK \l "_Toc32153" </w:instrText>
              </w:r>
              <w:r>
                <w:fldChar w:fldCharType="separate"/>
              </w:r>
              <w:r>
                <w:rPr>
                  <w:rFonts w:hint="eastAsia" w:ascii="仿宋" w:hAnsi="仿宋" w:eastAsia="仿宋"/>
                  <w:szCs w:val="32"/>
                </w:rPr>
                <w:t>（一）一般公共预算财政拨款支出决算总体情况</w:t>
              </w:r>
              <w:r>
                <w:tab/>
              </w:r>
              <w:r>
                <w:fldChar w:fldCharType="begin"/>
              </w:r>
              <w:r>
                <w:instrText xml:space="preserve"> PAGEREF _Toc32153 \h </w:instrText>
              </w:r>
              <w:r>
                <w:fldChar w:fldCharType="separate"/>
              </w:r>
              <w:r>
                <w:t>9</w:t>
              </w:r>
              <w:r>
                <w:fldChar w:fldCharType="end"/>
              </w:r>
              <w:r>
                <w:fldChar w:fldCharType="end"/>
              </w:r>
            </w:p>
            <w:p w14:paraId="1AEE51AC">
              <w:pPr>
                <w:pStyle w:val="41"/>
                <w:tabs>
                  <w:tab w:val="right" w:leader="dot" w:pos="8306"/>
                </w:tabs>
                <w:ind w:left="840"/>
              </w:pPr>
              <w:r>
                <w:fldChar w:fldCharType="begin"/>
              </w:r>
              <w:r>
                <w:instrText xml:space="preserve"> HYPERLINK \l "_Toc29361" </w:instrText>
              </w:r>
              <w:r>
                <w:fldChar w:fldCharType="separate"/>
              </w:r>
              <w:r>
                <w:rPr>
                  <w:rFonts w:hint="eastAsia" w:ascii="仿宋" w:hAnsi="仿宋" w:eastAsia="仿宋"/>
                  <w:szCs w:val="32"/>
                </w:rPr>
                <w:t>（二）一般公共预算财政拨款支出决算结构情况</w:t>
              </w:r>
              <w:r>
                <w:tab/>
              </w:r>
              <w:r>
                <w:fldChar w:fldCharType="begin"/>
              </w:r>
              <w:r>
                <w:instrText xml:space="preserve"> PAGEREF _Toc29361 \h </w:instrText>
              </w:r>
              <w:r>
                <w:fldChar w:fldCharType="separate"/>
              </w:r>
              <w:r>
                <w:t>10</w:t>
              </w:r>
              <w:r>
                <w:fldChar w:fldCharType="end"/>
              </w:r>
              <w:r>
                <w:fldChar w:fldCharType="end"/>
              </w:r>
            </w:p>
            <w:p w14:paraId="0A80EF34">
              <w:pPr>
                <w:pStyle w:val="41"/>
                <w:tabs>
                  <w:tab w:val="right" w:leader="dot" w:pos="8306"/>
                </w:tabs>
                <w:ind w:left="840"/>
              </w:pPr>
              <w:r>
                <w:fldChar w:fldCharType="begin"/>
              </w:r>
              <w:r>
                <w:instrText xml:space="preserve"> HYPERLINK \l "_Toc19024" </w:instrText>
              </w:r>
              <w:r>
                <w:fldChar w:fldCharType="separate"/>
              </w:r>
              <w:r>
                <w:rPr>
                  <w:rFonts w:hint="eastAsia" w:ascii="仿宋" w:hAnsi="仿宋" w:eastAsia="仿宋"/>
                  <w:szCs w:val="32"/>
                </w:rPr>
                <w:t>（三）一般公共预算财政拨款支出决算具体情况</w:t>
              </w:r>
              <w:r>
                <w:tab/>
              </w:r>
              <w:r>
                <w:fldChar w:fldCharType="begin"/>
              </w:r>
              <w:r>
                <w:instrText xml:space="preserve"> PAGEREF _Toc19024 \h </w:instrText>
              </w:r>
              <w:r>
                <w:fldChar w:fldCharType="separate"/>
              </w:r>
              <w:r>
                <w:t>11</w:t>
              </w:r>
              <w:r>
                <w:fldChar w:fldCharType="end"/>
              </w:r>
              <w:r>
                <w:fldChar w:fldCharType="end"/>
              </w:r>
            </w:p>
            <w:p w14:paraId="6B784497">
              <w:pPr>
                <w:pStyle w:val="40"/>
                <w:tabs>
                  <w:tab w:val="right" w:leader="dot" w:pos="8306"/>
                </w:tabs>
                <w:ind w:left="420"/>
              </w:pPr>
              <w:r>
                <w:fldChar w:fldCharType="begin"/>
              </w:r>
              <w:r>
                <w:instrText xml:space="preserve"> HYPERLINK \l "_Toc12715" </w:instrText>
              </w:r>
              <w:r>
                <w:fldChar w:fldCharType="separate"/>
              </w:r>
              <w:r>
                <w:rPr>
                  <w:rFonts w:hint="eastAsia" w:ascii="黑体" w:eastAsia="黑体"/>
                  <w:szCs w:val="32"/>
                </w:rPr>
                <w:t>六、</w:t>
              </w:r>
              <w:r>
                <w:rPr>
                  <w:rFonts w:hint="eastAsia" w:ascii="黑体" w:hAnsi="黑体" w:eastAsia="黑体"/>
                  <w:szCs w:val="32"/>
                </w:rPr>
                <w:t>一</w:t>
              </w:r>
              <w:r>
                <w:rPr>
                  <w:rFonts w:hint="eastAsia" w:ascii="黑体" w:hAnsi="黑体" w:eastAsia="黑体"/>
                </w:rPr>
                <w:t>般公共预算财政拨款基本支出决算情况说明</w:t>
              </w:r>
              <w:r>
                <w:tab/>
              </w:r>
              <w:r>
                <w:fldChar w:fldCharType="begin"/>
              </w:r>
              <w:r>
                <w:instrText xml:space="preserve"> PAGEREF _Toc12715 \h </w:instrText>
              </w:r>
              <w:r>
                <w:fldChar w:fldCharType="separate"/>
              </w:r>
              <w:r>
                <w:t>12</w:t>
              </w:r>
              <w:r>
                <w:fldChar w:fldCharType="end"/>
              </w:r>
              <w:r>
                <w:fldChar w:fldCharType="end"/>
              </w:r>
            </w:p>
            <w:p w14:paraId="7F0F5B90">
              <w:pPr>
                <w:pStyle w:val="40"/>
                <w:tabs>
                  <w:tab w:val="right" w:leader="dot" w:pos="8306"/>
                </w:tabs>
                <w:ind w:left="420"/>
              </w:pPr>
              <w:r>
                <w:fldChar w:fldCharType="begin"/>
              </w:r>
              <w:r>
                <w:instrText xml:space="preserve"> HYPERLINK \l "_Toc14371" </w:instrText>
              </w:r>
              <w:r>
                <w:fldChar w:fldCharType="separate"/>
              </w:r>
              <w:r>
                <w:rPr>
                  <w:rFonts w:hint="eastAsia" w:ascii="黑体" w:eastAsia="黑体"/>
                  <w:szCs w:val="32"/>
                </w:rPr>
                <w:t>七、</w:t>
              </w:r>
              <w:r>
                <w:rPr>
                  <w:rFonts w:hint="eastAsia" w:ascii="黑体" w:hAnsi="黑体" w:eastAsia="黑体"/>
                </w:rPr>
                <w:t>“三公”经费财政拨款支出决算情况说明</w:t>
              </w:r>
              <w:r>
                <w:tab/>
              </w:r>
              <w:r>
                <w:fldChar w:fldCharType="begin"/>
              </w:r>
              <w:r>
                <w:instrText xml:space="preserve"> PAGEREF _Toc14371 \h </w:instrText>
              </w:r>
              <w:r>
                <w:fldChar w:fldCharType="separate"/>
              </w:r>
              <w:r>
                <w:t>12</w:t>
              </w:r>
              <w:r>
                <w:fldChar w:fldCharType="end"/>
              </w:r>
              <w:r>
                <w:fldChar w:fldCharType="end"/>
              </w:r>
            </w:p>
            <w:p w14:paraId="3C914E9C">
              <w:pPr>
                <w:pStyle w:val="41"/>
                <w:tabs>
                  <w:tab w:val="right" w:leader="dot" w:pos="8306"/>
                </w:tabs>
                <w:ind w:left="840"/>
              </w:pPr>
              <w:r>
                <w:fldChar w:fldCharType="begin"/>
              </w:r>
              <w:r>
                <w:instrText xml:space="preserve"> HYPERLINK \l "_Toc6546" </w:instrText>
              </w:r>
              <w:r>
                <w:fldChar w:fldCharType="separate"/>
              </w:r>
              <w:r>
                <w:rPr>
                  <w:rFonts w:hint="eastAsia" w:ascii="仿宋" w:hAnsi="仿宋" w:eastAsia="仿宋"/>
                  <w:szCs w:val="32"/>
                </w:rPr>
                <w:t>（一）“三公”经费财政拨款支出决算总体情况说明</w:t>
              </w:r>
              <w:r>
                <w:tab/>
              </w:r>
              <w:r>
                <w:fldChar w:fldCharType="begin"/>
              </w:r>
              <w:r>
                <w:instrText xml:space="preserve"> PAGEREF _Toc6546 \h </w:instrText>
              </w:r>
              <w:r>
                <w:fldChar w:fldCharType="separate"/>
              </w:r>
              <w:r>
                <w:t>12</w:t>
              </w:r>
              <w:r>
                <w:fldChar w:fldCharType="end"/>
              </w:r>
              <w:r>
                <w:fldChar w:fldCharType="end"/>
              </w:r>
            </w:p>
            <w:p w14:paraId="10F558C4">
              <w:pPr>
                <w:pStyle w:val="41"/>
                <w:tabs>
                  <w:tab w:val="right" w:leader="dot" w:pos="8306"/>
                </w:tabs>
                <w:ind w:left="840"/>
              </w:pPr>
              <w:r>
                <w:fldChar w:fldCharType="begin"/>
              </w:r>
              <w:r>
                <w:instrText xml:space="preserve"> HYPERLINK \l "_Toc22381" </w:instrText>
              </w:r>
              <w:r>
                <w:fldChar w:fldCharType="separate"/>
              </w:r>
              <w:r>
                <w:rPr>
                  <w:rFonts w:hint="eastAsia" w:ascii="仿宋" w:hAnsi="仿宋" w:eastAsia="仿宋"/>
                  <w:szCs w:val="32"/>
                </w:rPr>
                <w:t>（二）“三公”经费财政拨款支出决算具体情况说明</w:t>
              </w:r>
              <w:r>
                <w:tab/>
              </w:r>
              <w:r>
                <w:fldChar w:fldCharType="begin"/>
              </w:r>
              <w:r>
                <w:instrText xml:space="preserve"> PAGEREF _Toc22381 \h </w:instrText>
              </w:r>
              <w:r>
                <w:fldChar w:fldCharType="separate"/>
              </w:r>
              <w:r>
                <w:t>13</w:t>
              </w:r>
              <w:r>
                <w:fldChar w:fldCharType="end"/>
              </w:r>
              <w:r>
                <w:fldChar w:fldCharType="end"/>
              </w:r>
            </w:p>
            <w:p w14:paraId="14D59041">
              <w:pPr>
                <w:pStyle w:val="40"/>
                <w:tabs>
                  <w:tab w:val="right" w:leader="dot" w:pos="8306"/>
                </w:tabs>
                <w:ind w:left="420"/>
              </w:pPr>
              <w:r>
                <w:fldChar w:fldCharType="begin"/>
              </w:r>
              <w:r>
                <w:instrText xml:space="preserve"> HYPERLINK \l "_Toc30039" </w:instrText>
              </w:r>
              <w:r>
                <w:fldChar w:fldCharType="separate"/>
              </w:r>
              <w:r>
                <w:rPr>
                  <w:rFonts w:hint="eastAsia" w:ascii="黑体" w:eastAsia="黑体"/>
                  <w:szCs w:val="32"/>
                </w:rPr>
                <w:t>八、</w:t>
              </w:r>
              <w:r>
                <w:rPr>
                  <w:rFonts w:hint="eastAsia" w:ascii="黑体" w:hAnsi="黑体" w:eastAsia="黑体"/>
                </w:rPr>
                <w:t>政府性基金预算支出决算情况说明</w:t>
              </w:r>
              <w:r>
                <w:tab/>
              </w:r>
              <w:r>
                <w:fldChar w:fldCharType="begin"/>
              </w:r>
              <w:r>
                <w:instrText xml:space="preserve"> PAGEREF _Toc30039 \h </w:instrText>
              </w:r>
              <w:r>
                <w:fldChar w:fldCharType="separate"/>
              </w:r>
              <w:r>
                <w:t>14</w:t>
              </w:r>
              <w:r>
                <w:fldChar w:fldCharType="end"/>
              </w:r>
              <w:r>
                <w:fldChar w:fldCharType="end"/>
              </w:r>
            </w:p>
            <w:p w14:paraId="0E253043">
              <w:pPr>
                <w:pStyle w:val="40"/>
                <w:tabs>
                  <w:tab w:val="right" w:leader="dot" w:pos="8306"/>
                </w:tabs>
                <w:ind w:left="420"/>
              </w:pPr>
              <w:r>
                <w:fldChar w:fldCharType="begin"/>
              </w:r>
              <w:r>
                <w:instrText xml:space="preserve"> HYPERLINK \l "_Toc23381" </w:instrText>
              </w:r>
              <w:r>
                <w:fldChar w:fldCharType="separate"/>
              </w:r>
              <w:r>
                <w:rPr>
                  <w:rFonts w:hint="eastAsia" w:ascii="黑体" w:hAnsi="黑体" w:eastAsia="黑体"/>
                </w:rPr>
                <w:t>九、 国有资本经营预算支出决算情况说明</w:t>
              </w:r>
              <w:r>
                <w:tab/>
              </w:r>
              <w:r>
                <w:fldChar w:fldCharType="begin"/>
              </w:r>
              <w:r>
                <w:instrText xml:space="preserve"> PAGEREF _Toc23381 \h </w:instrText>
              </w:r>
              <w:r>
                <w:fldChar w:fldCharType="separate"/>
              </w:r>
              <w:r>
                <w:t>14</w:t>
              </w:r>
              <w:r>
                <w:fldChar w:fldCharType="end"/>
              </w:r>
              <w:r>
                <w:fldChar w:fldCharType="end"/>
              </w:r>
            </w:p>
            <w:p w14:paraId="65BC032F">
              <w:pPr>
                <w:pStyle w:val="40"/>
                <w:tabs>
                  <w:tab w:val="right" w:leader="dot" w:pos="8306"/>
                </w:tabs>
                <w:ind w:left="420"/>
              </w:pPr>
              <w:r>
                <w:fldChar w:fldCharType="begin"/>
              </w:r>
              <w:r>
                <w:instrText xml:space="preserve"> HYPERLINK \l "_Toc22421" </w:instrText>
              </w:r>
              <w:r>
                <w:fldChar w:fldCharType="separate"/>
              </w:r>
              <w:r>
                <w:rPr>
                  <w:rFonts w:hint="eastAsia" w:ascii="黑体" w:hAnsi="黑体" w:eastAsia="黑体"/>
                  <w:szCs w:val="32"/>
                </w:rPr>
                <w:t>十</w:t>
              </w:r>
              <w:r>
                <w:rPr>
                  <w:rFonts w:hint="eastAsia" w:ascii="黑体" w:hAnsi="黑体" w:eastAsia="黑体"/>
                </w:rPr>
                <w:t>、其他重要事项的情况说明</w:t>
              </w:r>
              <w:r>
                <w:tab/>
              </w:r>
              <w:r>
                <w:fldChar w:fldCharType="begin"/>
              </w:r>
              <w:r>
                <w:instrText xml:space="preserve"> PAGEREF _Toc22421 \h </w:instrText>
              </w:r>
              <w:r>
                <w:fldChar w:fldCharType="separate"/>
              </w:r>
              <w:r>
                <w:t>14</w:t>
              </w:r>
              <w:r>
                <w:fldChar w:fldCharType="end"/>
              </w:r>
              <w:r>
                <w:fldChar w:fldCharType="end"/>
              </w:r>
            </w:p>
            <w:p w14:paraId="744719CF">
              <w:pPr>
                <w:pStyle w:val="41"/>
                <w:tabs>
                  <w:tab w:val="right" w:leader="dot" w:pos="8306"/>
                </w:tabs>
                <w:ind w:left="840"/>
              </w:pPr>
              <w:r>
                <w:fldChar w:fldCharType="begin"/>
              </w:r>
              <w:r>
                <w:instrText xml:space="preserve"> HYPERLINK \l "_Toc20439" </w:instrText>
              </w:r>
              <w:r>
                <w:fldChar w:fldCharType="separate"/>
              </w:r>
              <w:r>
                <w:rPr>
                  <w:rFonts w:hint="eastAsia" w:ascii="仿宋" w:hAnsi="仿宋" w:eastAsia="仿宋"/>
                  <w:szCs w:val="32"/>
                </w:rPr>
                <w:t>（一）机关运行经费支出情况</w:t>
              </w:r>
              <w:r>
                <w:tab/>
              </w:r>
              <w:r>
                <w:fldChar w:fldCharType="begin"/>
              </w:r>
              <w:r>
                <w:instrText xml:space="preserve"> PAGEREF _Toc20439 \h </w:instrText>
              </w:r>
              <w:r>
                <w:fldChar w:fldCharType="separate"/>
              </w:r>
              <w:r>
                <w:t>14</w:t>
              </w:r>
              <w:r>
                <w:fldChar w:fldCharType="end"/>
              </w:r>
              <w:r>
                <w:fldChar w:fldCharType="end"/>
              </w:r>
            </w:p>
            <w:p w14:paraId="58DDD7D8">
              <w:pPr>
                <w:pStyle w:val="41"/>
                <w:tabs>
                  <w:tab w:val="right" w:leader="dot" w:pos="8306"/>
                </w:tabs>
                <w:ind w:left="840"/>
              </w:pPr>
              <w:r>
                <w:fldChar w:fldCharType="begin"/>
              </w:r>
              <w:r>
                <w:instrText xml:space="preserve"> HYPERLINK \l "_Toc30974" </w:instrText>
              </w:r>
              <w:r>
                <w:fldChar w:fldCharType="separate"/>
              </w:r>
              <w:r>
                <w:rPr>
                  <w:rFonts w:hint="eastAsia" w:ascii="仿宋" w:hAnsi="仿宋" w:eastAsia="仿宋"/>
                  <w:szCs w:val="32"/>
                </w:rPr>
                <w:t>（二）政府采购支出情况</w:t>
              </w:r>
              <w:r>
                <w:tab/>
              </w:r>
              <w:r>
                <w:fldChar w:fldCharType="begin"/>
              </w:r>
              <w:r>
                <w:instrText xml:space="preserve"> PAGEREF _Toc30974 \h </w:instrText>
              </w:r>
              <w:r>
                <w:fldChar w:fldCharType="separate"/>
              </w:r>
              <w:r>
                <w:t>14</w:t>
              </w:r>
              <w:r>
                <w:fldChar w:fldCharType="end"/>
              </w:r>
              <w:r>
                <w:fldChar w:fldCharType="end"/>
              </w:r>
            </w:p>
            <w:p w14:paraId="50FADDF1">
              <w:pPr>
                <w:pStyle w:val="41"/>
                <w:tabs>
                  <w:tab w:val="right" w:leader="dot" w:pos="8306"/>
                </w:tabs>
                <w:ind w:left="840"/>
              </w:pPr>
              <w:r>
                <w:fldChar w:fldCharType="begin"/>
              </w:r>
              <w:r>
                <w:instrText xml:space="preserve"> HYPERLINK \l "_Toc31990" </w:instrText>
              </w:r>
              <w:r>
                <w:fldChar w:fldCharType="separate"/>
              </w:r>
              <w:r>
                <w:rPr>
                  <w:rFonts w:hint="eastAsia" w:ascii="仿宋" w:hAnsi="仿宋" w:eastAsia="仿宋"/>
                  <w:szCs w:val="32"/>
                </w:rPr>
                <w:t>（三）国有资产占有使用情况</w:t>
              </w:r>
              <w:r>
                <w:tab/>
              </w:r>
              <w:r>
                <w:fldChar w:fldCharType="begin"/>
              </w:r>
              <w:r>
                <w:instrText xml:space="preserve"> PAGEREF _Toc31990 \h </w:instrText>
              </w:r>
              <w:r>
                <w:fldChar w:fldCharType="separate"/>
              </w:r>
              <w:r>
                <w:t>15</w:t>
              </w:r>
              <w:r>
                <w:fldChar w:fldCharType="end"/>
              </w:r>
              <w:r>
                <w:fldChar w:fldCharType="end"/>
              </w:r>
            </w:p>
            <w:p w14:paraId="7CA9DB4A">
              <w:pPr>
                <w:pStyle w:val="41"/>
                <w:tabs>
                  <w:tab w:val="right" w:leader="dot" w:pos="8306"/>
                </w:tabs>
                <w:ind w:left="840"/>
              </w:pPr>
              <w:r>
                <w:fldChar w:fldCharType="begin"/>
              </w:r>
              <w:r>
                <w:instrText xml:space="preserve"> HYPERLINK \l "_Toc4916" </w:instrText>
              </w:r>
              <w:r>
                <w:fldChar w:fldCharType="separate"/>
              </w:r>
              <w:r>
                <w:rPr>
                  <w:rFonts w:hint="eastAsia" w:ascii="仿宋" w:hAnsi="仿宋" w:eastAsia="仿宋"/>
                  <w:szCs w:val="32"/>
                </w:rPr>
                <w:t>（四）预算绩效管理情况。</w:t>
              </w:r>
              <w:r>
                <w:tab/>
              </w:r>
              <w:r>
                <w:fldChar w:fldCharType="begin"/>
              </w:r>
              <w:r>
                <w:instrText xml:space="preserve"> PAGEREF _Toc4916 \h </w:instrText>
              </w:r>
              <w:r>
                <w:fldChar w:fldCharType="separate"/>
              </w:r>
              <w:r>
                <w:t>15</w:t>
              </w:r>
              <w:r>
                <w:fldChar w:fldCharType="end"/>
              </w:r>
              <w:r>
                <w:fldChar w:fldCharType="end"/>
              </w:r>
            </w:p>
            <w:p w14:paraId="26939FFC">
              <w:pPr>
                <w:pStyle w:val="39"/>
                <w:tabs>
                  <w:tab w:val="right" w:leader="dot" w:pos="8306"/>
                </w:tabs>
              </w:pPr>
              <w:r>
                <w:fldChar w:fldCharType="begin"/>
              </w:r>
              <w:r>
                <w:instrText xml:space="preserve"> HYPERLINK \l "_Toc18611" </w:instrText>
              </w:r>
              <w:r>
                <w:fldChar w:fldCharType="separate"/>
              </w:r>
              <w:r>
                <w:rPr>
                  <w:rFonts w:hint="eastAsia" w:ascii="黑体" w:hAnsi="黑体" w:eastAsia="黑体"/>
                </w:rPr>
                <w:t xml:space="preserve">第三部分 </w:t>
              </w:r>
              <w:r>
                <w:rPr>
                  <w:rFonts w:hint="eastAsia" w:ascii="黑体" w:hAnsi="黑体" w:eastAsia="黑体"/>
                  <w:szCs w:val="44"/>
                </w:rPr>
                <w:t>名</w:t>
              </w:r>
              <w:r>
                <w:rPr>
                  <w:rFonts w:hint="eastAsia" w:ascii="黑体" w:hAnsi="黑体" w:eastAsia="黑体"/>
                </w:rPr>
                <w:t>词解释</w:t>
              </w:r>
              <w:r>
                <w:tab/>
              </w:r>
              <w:r>
                <w:fldChar w:fldCharType="begin"/>
              </w:r>
              <w:r>
                <w:instrText xml:space="preserve"> PAGEREF _Toc18611 \h </w:instrText>
              </w:r>
              <w:r>
                <w:fldChar w:fldCharType="separate"/>
              </w:r>
              <w:r>
                <w:t>16</w:t>
              </w:r>
              <w:r>
                <w:fldChar w:fldCharType="end"/>
              </w:r>
              <w:r>
                <w:fldChar w:fldCharType="end"/>
              </w:r>
            </w:p>
            <w:p w14:paraId="3A9525A8">
              <w:pPr>
                <w:pStyle w:val="39"/>
                <w:tabs>
                  <w:tab w:val="right" w:leader="dot" w:pos="8306"/>
                </w:tabs>
              </w:pPr>
              <w:r>
                <w:fldChar w:fldCharType="begin"/>
              </w:r>
              <w:r>
                <w:instrText xml:space="preserve"> HYPERLINK \l "_Toc25470" </w:instrText>
              </w:r>
              <w:r>
                <w:fldChar w:fldCharType="separate"/>
              </w:r>
              <w:r>
                <w:rPr>
                  <w:rFonts w:hint="eastAsia" w:ascii="黑体" w:hAnsi="黑体" w:eastAsia="黑体"/>
                  <w:szCs w:val="44"/>
                </w:rPr>
                <w:t>第</w:t>
              </w:r>
              <w:r>
                <w:rPr>
                  <w:rFonts w:hint="eastAsia" w:ascii="黑体" w:hAnsi="黑体" w:eastAsia="黑体"/>
                </w:rPr>
                <w:t>四部分附件</w:t>
              </w:r>
              <w:r>
                <w:tab/>
              </w:r>
              <w:r>
                <w:fldChar w:fldCharType="begin"/>
              </w:r>
              <w:r>
                <w:instrText xml:space="preserve"> PAGEREF _Toc25470 \h </w:instrText>
              </w:r>
              <w:r>
                <w:fldChar w:fldCharType="separate"/>
              </w:r>
              <w:r>
                <w:t>18</w:t>
              </w:r>
              <w:r>
                <w:fldChar w:fldCharType="end"/>
              </w:r>
              <w:r>
                <w:fldChar w:fldCharType="end"/>
              </w:r>
            </w:p>
            <w:p w14:paraId="307C9C28">
              <w:pPr>
                <w:pStyle w:val="40"/>
                <w:tabs>
                  <w:tab w:val="right" w:leader="dot" w:pos="8306"/>
                </w:tabs>
                <w:ind w:left="420"/>
              </w:pPr>
              <w:r>
                <w:fldChar w:fldCharType="begin"/>
              </w:r>
              <w:r>
                <w:instrText xml:space="preserve"> HYPERLINK \l "_Toc13687" </w:instrText>
              </w:r>
              <w:r>
                <w:fldChar w:fldCharType="separate"/>
              </w:r>
              <w:r>
                <w:rPr>
                  <w:rFonts w:hint="eastAsia" w:ascii="黑体" w:hAnsi="黑体" w:eastAsia="黑体" w:cs="黑体"/>
                  <w:szCs w:val="32"/>
                </w:rPr>
                <w:t>附件</w:t>
              </w:r>
              <w:r>
                <w:rPr>
                  <w:rFonts w:ascii="黑体" w:hAnsi="黑体" w:eastAsia="黑体" w:cs="黑体"/>
                  <w:szCs w:val="32"/>
                </w:rPr>
                <w:t>1</w:t>
              </w:r>
              <w:r>
                <w:tab/>
              </w:r>
              <w:r>
                <w:fldChar w:fldCharType="begin"/>
              </w:r>
              <w:r>
                <w:instrText xml:space="preserve"> PAGEREF _Toc13687 \h </w:instrText>
              </w:r>
              <w:r>
                <w:fldChar w:fldCharType="separate"/>
              </w:r>
              <w:r>
                <w:t>18</w:t>
              </w:r>
              <w:r>
                <w:fldChar w:fldCharType="end"/>
              </w:r>
              <w:r>
                <w:fldChar w:fldCharType="end"/>
              </w:r>
            </w:p>
            <w:p w14:paraId="12C64BE5">
              <w:pPr>
                <w:pStyle w:val="40"/>
                <w:tabs>
                  <w:tab w:val="right" w:leader="dot" w:pos="8306"/>
                </w:tabs>
                <w:ind w:left="420"/>
              </w:pPr>
              <w:r>
                <w:fldChar w:fldCharType="begin"/>
              </w:r>
              <w:r>
                <w:instrText xml:space="preserve"> HYPERLINK \l "_Toc7151" </w:instrText>
              </w:r>
              <w:r>
                <w:fldChar w:fldCharType="separate"/>
              </w:r>
              <w:r>
                <w:rPr>
                  <w:rFonts w:hint="eastAsia" w:ascii="黑体" w:hAnsi="宋体" w:eastAsia="黑体" w:cs="宋体"/>
                </w:rPr>
                <w:t>一、</w:t>
              </w:r>
              <w:r>
                <w:rPr>
                  <w:rFonts w:hint="eastAsia" w:ascii="黑体" w:hAnsi="宋体" w:eastAsia="黑体" w:cs="宋体"/>
                  <w:lang w:val="zh-CN"/>
                </w:rPr>
                <w:t>单位概况</w:t>
              </w:r>
              <w:r>
                <w:tab/>
              </w:r>
              <w:r>
                <w:fldChar w:fldCharType="begin"/>
              </w:r>
              <w:r>
                <w:instrText xml:space="preserve"> PAGEREF _Toc7151 \h </w:instrText>
              </w:r>
              <w:r>
                <w:fldChar w:fldCharType="separate"/>
              </w:r>
              <w:r>
                <w:t>19</w:t>
              </w:r>
              <w:r>
                <w:fldChar w:fldCharType="end"/>
              </w:r>
              <w:r>
                <w:fldChar w:fldCharType="end"/>
              </w:r>
            </w:p>
            <w:p w14:paraId="209A098B">
              <w:pPr>
                <w:pStyle w:val="41"/>
                <w:tabs>
                  <w:tab w:val="right" w:leader="dot" w:pos="8306"/>
                </w:tabs>
                <w:ind w:left="840"/>
              </w:pPr>
              <w:r>
                <w:fldChar w:fldCharType="begin"/>
              </w:r>
              <w:r>
                <w:instrText xml:space="preserve"> HYPERLINK \l "_Toc18705" </w:instrText>
              </w:r>
              <w:r>
                <w:fldChar w:fldCharType="separate"/>
              </w:r>
              <w:r>
                <w:rPr>
                  <w:rFonts w:hint="eastAsia" w:ascii="仿宋_GB2312" w:hAnsi="宋体" w:eastAsia="仿宋_GB2312" w:cs="宋体"/>
                  <w:szCs w:val="32"/>
                  <w:lang w:val="zh-CN"/>
                </w:rPr>
                <w:t>（一）机构组成</w:t>
              </w:r>
              <w:r>
                <w:tab/>
              </w:r>
              <w:r>
                <w:fldChar w:fldCharType="begin"/>
              </w:r>
              <w:r>
                <w:instrText xml:space="preserve"> PAGEREF _Toc18705 \h </w:instrText>
              </w:r>
              <w:r>
                <w:fldChar w:fldCharType="separate"/>
              </w:r>
              <w:r>
                <w:t>19</w:t>
              </w:r>
              <w:r>
                <w:fldChar w:fldCharType="end"/>
              </w:r>
              <w:r>
                <w:fldChar w:fldCharType="end"/>
              </w:r>
            </w:p>
            <w:p w14:paraId="2BEB7B79">
              <w:pPr>
                <w:pStyle w:val="41"/>
                <w:tabs>
                  <w:tab w:val="right" w:leader="dot" w:pos="8306"/>
                </w:tabs>
                <w:ind w:left="840"/>
              </w:pPr>
              <w:r>
                <w:fldChar w:fldCharType="begin"/>
              </w:r>
              <w:r>
                <w:instrText xml:space="preserve"> HYPERLINK \l "_Toc32506" </w:instrText>
              </w:r>
              <w:r>
                <w:fldChar w:fldCharType="separate"/>
              </w:r>
              <w:r>
                <w:rPr>
                  <w:rFonts w:hint="eastAsia" w:ascii="仿宋_GB2312" w:hAnsi="宋体" w:eastAsia="仿宋_GB2312" w:cs="宋体"/>
                  <w:szCs w:val="32"/>
                  <w:lang w:val="zh-CN"/>
                </w:rPr>
                <w:t>（二）机构职能</w:t>
              </w:r>
              <w:r>
                <w:tab/>
              </w:r>
              <w:r>
                <w:fldChar w:fldCharType="begin"/>
              </w:r>
              <w:r>
                <w:instrText xml:space="preserve"> PAGEREF _Toc32506 \h </w:instrText>
              </w:r>
              <w:r>
                <w:fldChar w:fldCharType="separate"/>
              </w:r>
              <w:r>
                <w:t>19</w:t>
              </w:r>
              <w:r>
                <w:fldChar w:fldCharType="end"/>
              </w:r>
              <w:r>
                <w:fldChar w:fldCharType="end"/>
              </w:r>
            </w:p>
            <w:p w14:paraId="282BE095">
              <w:pPr>
                <w:pStyle w:val="41"/>
                <w:tabs>
                  <w:tab w:val="right" w:leader="dot" w:pos="8306"/>
                </w:tabs>
                <w:ind w:left="840"/>
              </w:pPr>
              <w:r>
                <w:fldChar w:fldCharType="begin"/>
              </w:r>
              <w:r>
                <w:instrText xml:space="preserve"> HYPERLINK \l "_Toc18562" </w:instrText>
              </w:r>
              <w:r>
                <w:fldChar w:fldCharType="separate"/>
              </w:r>
              <w:r>
                <w:rPr>
                  <w:rFonts w:hint="eastAsia" w:ascii="仿宋_GB2312" w:hAnsi="宋体" w:eastAsia="仿宋_GB2312" w:cs="宋体"/>
                  <w:szCs w:val="32"/>
                  <w:lang w:val="zh-CN"/>
                </w:rPr>
                <w:t>（三）人员概况</w:t>
              </w:r>
              <w:r>
                <w:tab/>
              </w:r>
              <w:r>
                <w:fldChar w:fldCharType="begin"/>
              </w:r>
              <w:r>
                <w:instrText xml:space="preserve"> PAGEREF _Toc18562 \h </w:instrText>
              </w:r>
              <w:r>
                <w:fldChar w:fldCharType="separate"/>
              </w:r>
              <w:r>
                <w:t>19</w:t>
              </w:r>
              <w:r>
                <w:fldChar w:fldCharType="end"/>
              </w:r>
              <w:r>
                <w:fldChar w:fldCharType="end"/>
              </w:r>
            </w:p>
            <w:p w14:paraId="300ED592">
              <w:pPr>
                <w:pStyle w:val="40"/>
                <w:tabs>
                  <w:tab w:val="right" w:leader="dot" w:pos="8306"/>
                </w:tabs>
                <w:ind w:left="420"/>
              </w:pPr>
              <w:r>
                <w:fldChar w:fldCharType="begin"/>
              </w:r>
              <w:r>
                <w:instrText xml:space="preserve"> HYPERLINK \l "_Toc145" </w:instrText>
              </w:r>
              <w:r>
                <w:fldChar w:fldCharType="separate"/>
              </w:r>
              <w:r>
                <w:rPr>
                  <w:rFonts w:hint="eastAsia" w:ascii="黑体" w:hAnsi="宋体" w:eastAsia="黑体" w:cs="宋体"/>
                </w:rPr>
                <w:t>二、部门财政资金收支情况</w:t>
              </w:r>
              <w:r>
                <w:tab/>
              </w:r>
              <w:r>
                <w:fldChar w:fldCharType="begin"/>
              </w:r>
              <w:r>
                <w:instrText xml:space="preserve"> PAGEREF _Toc145 \h </w:instrText>
              </w:r>
              <w:r>
                <w:fldChar w:fldCharType="separate"/>
              </w:r>
              <w:r>
                <w:t>19</w:t>
              </w:r>
              <w:r>
                <w:fldChar w:fldCharType="end"/>
              </w:r>
              <w:r>
                <w:fldChar w:fldCharType="end"/>
              </w:r>
            </w:p>
            <w:p w14:paraId="49EAD2CF">
              <w:pPr>
                <w:pStyle w:val="41"/>
                <w:tabs>
                  <w:tab w:val="right" w:leader="dot" w:pos="8306"/>
                </w:tabs>
                <w:ind w:left="840"/>
              </w:pPr>
              <w:r>
                <w:fldChar w:fldCharType="begin"/>
              </w:r>
              <w:r>
                <w:instrText xml:space="preserve"> HYPERLINK \l "_Toc22303" </w:instrText>
              </w:r>
              <w:r>
                <w:fldChar w:fldCharType="separate"/>
              </w:r>
              <w:r>
                <w:rPr>
                  <w:rFonts w:hint="eastAsia" w:ascii="仿宋_GB2312" w:eastAsia="仿宋_GB2312"/>
                  <w:szCs w:val="32"/>
                  <w:lang w:val="zh-CN"/>
                </w:rPr>
                <w:t>（一）部门财政资金收入情况</w:t>
              </w:r>
              <w:r>
                <w:tab/>
              </w:r>
              <w:r>
                <w:fldChar w:fldCharType="begin"/>
              </w:r>
              <w:r>
                <w:instrText xml:space="preserve"> PAGEREF _Toc22303 \h </w:instrText>
              </w:r>
              <w:r>
                <w:fldChar w:fldCharType="separate"/>
              </w:r>
              <w:r>
                <w:t>19</w:t>
              </w:r>
              <w:r>
                <w:fldChar w:fldCharType="end"/>
              </w:r>
              <w:r>
                <w:fldChar w:fldCharType="end"/>
              </w:r>
            </w:p>
            <w:p w14:paraId="08C185CA">
              <w:pPr>
                <w:pStyle w:val="41"/>
                <w:tabs>
                  <w:tab w:val="right" w:leader="dot" w:pos="8306"/>
                </w:tabs>
                <w:ind w:left="840"/>
              </w:pPr>
              <w:r>
                <w:fldChar w:fldCharType="begin"/>
              </w:r>
              <w:r>
                <w:instrText xml:space="preserve"> HYPERLINK \l "_Toc24887" </w:instrText>
              </w:r>
              <w:r>
                <w:fldChar w:fldCharType="separate"/>
              </w:r>
              <w:r>
                <w:rPr>
                  <w:rFonts w:hint="eastAsia" w:ascii="仿宋_GB2312" w:hAnsi="宋体" w:eastAsia="仿宋_GB2312" w:cs="宋体"/>
                  <w:szCs w:val="32"/>
                  <w:lang w:val="zh-CN"/>
                </w:rPr>
                <w:t>（二）部门财政资金支出情况</w:t>
              </w:r>
              <w:r>
                <w:tab/>
              </w:r>
              <w:r>
                <w:fldChar w:fldCharType="begin"/>
              </w:r>
              <w:r>
                <w:instrText xml:space="preserve"> PAGEREF _Toc24887 \h </w:instrText>
              </w:r>
              <w:r>
                <w:fldChar w:fldCharType="separate"/>
              </w:r>
              <w:r>
                <w:t>19</w:t>
              </w:r>
              <w:r>
                <w:fldChar w:fldCharType="end"/>
              </w:r>
              <w:r>
                <w:fldChar w:fldCharType="end"/>
              </w:r>
            </w:p>
            <w:p w14:paraId="6501C642">
              <w:pPr>
                <w:pStyle w:val="40"/>
                <w:tabs>
                  <w:tab w:val="right" w:leader="dot" w:pos="8306"/>
                </w:tabs>
                <w:ind w:left="420"/>
              </w:pPr>
              <w:r>
                <w:fldChar w:fldCharType="begin"/>
              </w:r>
              <w:r>
                <w:instrText xml:space="preserve"> HYPERLINK \l "_Toc15317" </w:instrText>
              </w:r>
              <w:r>
                <w:fldChar w:fldCharType="separate"/>
              </w:r>
              <w:r>
                <w:rPr>
                  <w:rFonts w:hint="eastAsia" w:ascii="黑体" w:hAnsi="宋体" w:eastAsia="黑体" w:cs="宋体"/>
                </w:rPr>
                <w:t>三、部门整体预算绩效管理情况</w:t>
              </w:r>
              <w:r>
                <w:tab/>
              </w:r>
              <w:r>
                <w:fldChar w:fldCharType="begin"/>
              </w:r>
              <w:r>
                <w:instrText xml:space="preserve"> PAGEREF _Toc15317 \h </w:instrText>
              </w:r>
              <w:r>
                <w:fldChar w:fldCharType="separate"/>
              </w:r>
              <w:r>
                <w:t>20</w:t>
              </w:r>
              <w:r>
                <w:fldChar w:fldCharType="end"/>
              </w:r>
              <w:r>
                <w:fldChar w:fldCharType="end"/>
              </w:r>
            </w:p>
            <w:p w14:paraId="4B6857C4">
              <w:pPr>
                <w:pStyle w:val="41"/>
                <w:tabs>
                  <w:tab w:val="right" w:leader="dot" w:pos="8306"/>
                </w:tabs>
                <w:ind w:left="840"/>
              </w:pPr>
              <w:r>
                <w:fldChar w:fldCharType="begin"/>
              </w:r>
              <w:r>
                <w:instrText xml:space="preserve"> HYPERLINK \l "_Toc6836" </w:instrText>
              </w:r>
              <w:r>
                <w:fldChar w:fldCharType="separate"/>
              </w:r>
              <w:r>
                <w:rPr>
                  <w:rFonts w:hint="eastAsia" w:ascii="楷体" w:hAnsi="楷体" w:eastAsia="楷体" w:cs="宋体"/>
                  <w:lang w:val="zh-CN"/>
                </w:rPr>
                <w:t>（一）部门预算管理</w:t>
              </w:r>
              <w:r>
                <w:tab/>
              </w:r>
              <w:r>
                <w:fldChar w:fldCharType="begin"/>
              </w:r>
              <w:r>
                <w:instrText xml:space="preserve"> PAGEREF _Toc6836 \h </w:instrText>
              </w:r>
              <w:r>
                <w:fldChar w:fldCharType="separate"/>
              </w:r>
              <w:r>
                <w:t>20</w:t>
              </w:r>
              <w:r>
                <w:fldChar w:fldCharType="end"/>
              </w:r>
              <w:r>
                <w:fldChar w:fldCharType="end"/>
              </w:r>
            </w:p>
            <w:p w14:paraId="2CE55A9F">
              <w:pPr>
                <w:pStyle w:val="41"/>
                <w:tabs>
                  <w:tab w:val="right" w:leader="dot" w:pos="8306"/>
                </w:tabs>
                <w:ind w:left="840"/>
              </w:pPr>
              <w:r>
                <w:fldChar w:fldCharType="begin"/>
              </w:r>
              <w:r>
                <w:instrText xml:space="preserve"> HYPERLINK \l "_Toc26012" </w:instrText>
              </w:r>
              <w:r>
                <w:fldChar w:fldCharType="separate"/>
              </w:r>
              <w:r>
                <w:rPr>
                  <w:rFonts w:hint="eastAsia" w:ascii="楷体" w:hAnsi="楷体" w:eastAsia="楷体" w:cs="宋体"/>
                  <w:lang w:val="zh-CN"/>
                </w:rPr>
                <w:t>（二）结果应用情况</w:t>
              </w:r>
              <w:r>
                <w:tab/>
              </w:r>
              <w:r>
                <w:fldChar w:fldCharType="begin"/>
              </w:r>
              <w:r>
                <w:instrText xml:space="preserve"> PAGEREF _Toc26012 \h </w:instrText>
              </w:r>
              <w:r>
                <w:fldChar w:fldCharType="separate"/>
              </w:r>
              <w:r>
                <w:t>20</w:t>
              </w:r>
              <w:r>
                <w:fldChar w:fldCharType="end"/>
              </w:r>
              <w:r>
                <w:fldChar w:fldCharType="end"/>
              </w:r>
            </w:p>
            <w:p w14:paraId="1F4A6EB1">
              <w:pPr>
                <w:pStyle w:val="41"/>
                <w:tabs>
                  <w:tab w:val="right" w:leader="dot" w:pos="8306"/>
                </w:tabs>
                <w:ind w:left="840"/>
              </w:pPr>
              <w:r>
                <w:fldChar w:fldCharType="begin"/>
              </w:r>
              <w:r>
                <w:instrText xml:space="preserve"> HYPERLINK \l "_Toc29510" </w:instrText>
              </w:r>
              <w:r>
                <w:fldChar w:fldCharType="separate"/>
              </w:r>
              <w:r>
                <w:rPr>
                  <w:rFonts w:hint="eastAsia" w:ascii="楷体" w:hAnsi="楷体" w:eastAsia="楷体" w:cs="宋体"/>
                  <w:lang w:val="zh-CN"/>
                </w:rPr>
                <w:t>（四）整体绩效</w:t>
              </w:r>
              <w:r>
                <w:tab/>
              </w:r>
              <w:r>
                <w:fldChar w:fldCharType="begin"/>
              </w:r>
              <w:r>
                <w:instrText xml:space="preserve"> PAGEREF _Toc29510 \h </w:instrText>
              </w:r>
              <w:r>
                <w:fldChar w:fldCharType="separate"/>
              </w:r>
              <w:r>
                <w:t>22</w:t>
              </w:r>
              <w:r>
                <w:fldChar w:fldCharType="end"/>
              </w:r>
              <w:r>
                <w:fldChar w:fldCharType="end"/>
              </w:r>
            </w:p>
            <w:p w14:paraId="7DEC6B04">
              <w:pPr>
                <w:pStyle w:val="40"/>
                <w:tabs>
                  <w:tab w:val="right" w:leader="dot" w:pos="8306"/>
                </w:tabs>
                <w:ind w:left="420"/>
              </w:pPr>
              <w:r>
                <w:fldChar w:fldCharType="begin"/>
              </w:r>
              <w:r>
                <w:instrText xml:space="preserve"> HYPERLINK \l "_Toc20561" </w:instrText>
              </w:r>
              <w:r>
                <w:fldChar w:fldCharType="separate"/>
              </w:r>
              <w:r>
                <w:rPr>
                  <w:rFonts w:hint="eastAsia" w:ascii="黑体" w:hAnsi="宋体" w:eastAsia="黑体" w:cs="宋体"/>
                </w:rPr>
                <w:t>四、评价结论及建议</w:t>
              </w:r>
              <w:r>
                <w:tab/>
              </w:r>
              <w:r>
                <w:fldChar w:fldCharType="begin"/>
              </w:r>
              <w:r>
                <w:instrText xml:space="preserve"> PAGEREF _Toc20561 \h </w:instrText>
              </w:r>
              <w:r>
                <w:fldChar w:fldCharType="separate"/>
              </w:r>
              <w:r>
                <w:t>23</w:t>
              </w:r>
              <w:r>
                <w:fldChar w:fldCharType="end"/>
              </w:r>
              <w:r>
                <w:fldChar w:fldCharType="end"/>
              </w:r>
            </w:p>
            <w:p w14:paraId="58E66203">
              <w:pPr>
                <w:pStyle w:val="41"/>
                <w:tabs>
                  <w:tab w:val="right" w:leader="dot" w:pos="8306"/>
                </w:tabs>
                <w:ind w:left="840"/>
              </w:pPr>
              <w:r>
                <w:fldChar w:fldCharType="begin"/>
              </w:r>
              <w:r>
                <w:instrText xml:space="preserve"> HYPERLINK \l "_Toc29575" </w:instrText>
              </w:r>
              <w:r>
                <w:fldChar w:fldCharType="separate"/>
              </w:r>
              <w:r>
                <w:rPr>
                  <w:rFonts w:hint="eastAsia" w:ascii="楷体" w:hAnsi="楷体" w:eastAsia="楷体" w:cs="楷体"/>
                  <w:lang w:val="zh-CN"/>
                </w:rPr>
                <w:t>(一）评价结论</w:t>
              </w:r>
              <w:r>
                <w:tab/>
              </w:r>
              <w:r>
                <w:fldChar w:fldCharType="begin"/>
              </w:r>
              <w:r>
                <w:instrText xml:space="preserve"> PAGEREF _Toc29575 \h </w:instrText>
              </w:r>
              <w:r>
                <w:fldChar w:fldCharType="separate"/>
              </w:r>
              <w:r>
                <w:t>23</w:t>
              </w:r>
              <w:r>
                <w:fldChar w:fldCharType="end"/>
              </w:r>
              <w:r>
                <w:fldChar w:fldCharType="end"/>
              </w:r>
            </w:p>
            <w:p w14:paraId="05B8E1D8">
              <w:pPr>
                <w:pStyle w:val="41"/>
                <w:tabs>
                  <w:tab w:val="right" w:leader="dot" w:pos="8306"/>
                </w:tabs>
                <w:ind w:left="840"/>
              </w:pPr>
              <w:r>
                <w:fldChar w:fldCharType="begin"/>
              </w:r>
              <w:r>
                <w:instrText xml:space="preserve"> HYPERLINK \l "_Toc13712" </w:instrText>
              </w:r>
              <w:r>
                <w:fldChar w:fldCharType="separate"/>
              </w:r>
              <w:r>
                <w:rPr>
                  <w:rFonts w:hint="eastAsia" w:ascii="楷体" w:hAnsi="楷体" w:eastAsia="楷体" w:cs="楷体"/>
                  <w:lang w:val="zh-CN"/>
                </w:rPr>
                <w:t>（二）存在问题</w:t>
              </w:r>
              <w:r>
                <w:tab/>
              </w:r>
              <w:r>
                <w:fldChar w:fldCharType="begin"/>
              </w:r>
              <w:r>
                <w:instrText xml:space="preserve"> PAGEREF _Toc13712 \h </w:instrText>
              </w:r>
              <w:r>
                <w:fldChar w:fldCharType="separate"/>
              </w:r>
              <w:r>
                <w:t>23</w:t>
              </w:r>
              <w:r>
                <w:fldChar w:fldCharType="end"/>
              </w:r>
              <w:r>
                <w:fldChar w:fldCharType="end"/>
              </w:r>
            </w:p>
            <w:p w14:paraId="5FA00D29">
              <w:pPr>
                <w:pStyle w:val="41"/>
                <w:tabs>
                  <w:tab w:val="right" w:leader="dot" w:pos="8306"/>
                </w:tabs>
                <w:ind w:left="840"/>
              </w:pPr>
              <w:r>
                <w:fldChar w:fldCharType="begin"/>
              </w:r>
              <w:r>
                <w:instrText xml:space="preserve"> HYPERLINK \l "_Toc7268" </w:instrText>
              </w:r>
              <w:r>
                <w:fldChar w:fldCharType="separate"/>
              </w:r>
              <w:r>
                <w:rPr>
                  <w:rFonts w:hint="eastAsia" w:ascii="楷体" w:hAnsi="楷体" w:eastAsia="楷体" w:cs="楷体"/>
                  <w:lang w:val="zh-CN"/>
                </w:rPr>
                <w:t>（三）改进建议</w:t>
              </w:r>
              <w:r>
                <w:tab/>
              </w:r>
              <w:r>
                <w:fldChar w:fldCharType="begin"/>
              </w:r>
              <w:r>
                <w:instrText xml:space="preserve"> PAGEREF _Toc7268 \h </w:instrText>
              </w:r>
              <w:r>
                <w:fldChar w:fldCharType="separate"/>
              </w:r>
              <w:r>
                <w:t>24</w:t>
              </w:r>
              <w:r>
                <w:fldChar w:fldCharType="end"/>
              </w:r>
              <w:r>
                <w:fldChar w:fldCharType="end"/>
              </w:r>
            </w:p>
            <w:p w14:paraId="1B149AB1">
              <w:pPr>
                <w:pStyle w:val="39"/>
                <w:tabs>
                  <w:tab w:val="right" w:leader="dot" w:pos="8306"/>
                </w:tabs>
              </w:pPr>
              <w:r>
                <w:fldChar w:fldCharType="begin"/>
              </w:r>
              <w:r>
                <w:instrText xml:space="preserve"> HYPERLINK \l "_Toc4430" </w:instrText>
              </w:r>
              <w:r>
                <w:fldChar w:fldCharType="separate"/>
              </w:r>
              <w:r>
                <w:rPr>
                  <w:rFonts w:hint="eastAsia" w:ascii="黑体" w:hAnsi="黑体" w:eastAsia="黑体"/>
                  <w:szCs w:val="44"/>
                </w:rPr>
                <w:t>第</w:t>
              </w:r>
              <w:r>
                <w:rPr>
                  <w:rFonts w:hint="eastAsia" w:ascii="黑体" w:hAnsi="黑体" w:eastAsia="黑体"/>
                </w:rPr>
                <w:t>五部分附表</w:t>
              </w:r>
              <w:r>
                <w:tab/>
              </w:r>
              <w:r>
                <w:fldChar w:fldCharType="begin"/>
              </w:r>
              <w:r>
                <w:instrText xml:space="preserve"> PAGEREF _Toc4430 \h </w:instrText>
              </w:r>
              <w:r>
                <w:fldChar w:fldCharType="separate"/>
              </w:r>
              <w:r>
                <w:t>25</w:t>
              </w:r>
              <w:r>
                <w:fldChar w:fldCharType="end"/>
              </w:r>
              <w:r>
                <w:fldChar w:fldCharType="end"/>
              </w:r>
            </w:p>
            <w:p w14:paraId="2CBAF154">
              <w:pPr>
                <w:pStyle w:val="40"/>
                <w:tabs>
                  <w:tab w:val="right" w:leader="dot" w:pos="8306"/>
                </w:tabs>
                <w:ind w:left="420"/>
              </w:pPr>
              <w:r>
                <w:fldChar w:fldCharType="begin"/>
              </w:r>
              <w:r>
                <w:instrText xml:space="preserve"> HYPERLINK \l "_Toc26063" </w:instrText>
              </w:r>
              <w:r>
                <w:fldChar w:fldCharType="separate"/>
              </w:r>
              <w:r>
                <w:rPr>
                  <w:rFonts w:hint="eastAsia" w:ascii="仿宋" w:hAnsi="仿宋" w:eastAsia="仿宋"/>
                </w:rPr>
                <w:t>一、收入支出决算总表</w:t>
              </w:r>
              <w:r>
                <w:tab/>
              </w:r>
              <w:r>
                <w:fldChar w:fldCharType="begin"/>
              </w:r>
              <w:r>
                <w:instrText xml:space="preserve"> PAGEREF _Toc26063 \h </w:instrText>
              </w:r>
              <w:r>
                <w:fldChar w:fldCharType="separate"/>
              </w:r>
              <w:r>
                <w:t>25</w:t>
              </w:r>
              <w:r>
                <w:fldChar w:fldCharType="end"/>
              </w:r>
              <w:r>
                <w:fldChar w:fldCharType="end"/>
              </w:r>
            </w:p>
            <w:p w14:paraId="4FDD014E">
              <w:pPr>
                <w:pStyle w:val="40"/>
                <w:tabs>
                  <w:tab w:val="right" w:leader="dot" w:pos="8306"/>
                </w:tabs>
                <w:ind w:left="420"/>
              </w:pPr>
              <w:r>
                <w:fldChar w:fldCharType="begin"/>
              </w:r>
              <w:r>
                <w:instrText xml:space="preserve"> HYPERLINK \l "_Toc59" </w:instrText>
              </w:r>
              <w:r>
                <w:fldChar w:fldCharType="separate"/>
              </w:r>
              <w:r>
                <w:rPr>
                  <w:rFonts w:hint="eastAsia" w:ascii="仿宋" w:hAnsi="仿宋" w:eastAsia="仿宋"/>
                </w:rPr>
                <w:t>二、收入决算表</w:t>
              </w:r>
              <w:r>
                <w:tab/>
              </w:r>
              <w:r>
                <w:fldChar w:fldCharType="begin"/>
              </w:r>
              <w:r>
                <w:instrText xml:space="preserve"> PAGEREF _Toc59 \h </w:instrText>
              </w:r>
              <w:r>
                <w:fldChar w:fldCharType="separate"/>
              </w:r>
              <w:r>
                <w:t>25</w:t>
              </w:r>
              <w:r>
                <w:fldChar w:fldCharType="end"/>
              </w:r>
              <w:r>
                <w:fldChar w:fldCharType="end"/>
              </w:r>
            </w:p>
            <w:p w14:paraId="37E7EF9C">
              <w:pPr>
                <w:pStyle w:val="40"/>
                <w:tabs>
                  <w:tab w:val="right" w:leader="dot" w:pos="8306"/>
                </w:tabs>
                <w:ind w:left="420"/>
              </w:pPr>
              <w:r>
                <w:fldChar w:fldCharType="begin"/>
              </w:r>
              <w:r>
                <w:instrText xml:space="preserve"> HYPERLINK \l "_Toc5150" </w:instrText>
              </w:r>
              <w:r>
                <w:fldChar w:fldCharType="separate"/>
              </w:r>
              <w:r>
                <w:rPr>
                  <w:rFonts w:hint="eastAsia" w:ascii="仿宋" w:hAnsi="仿宋" w:eastAsia="仿宋"/>
                </w:rPr>
                <w:t>三、支出决算表</w:t>
              </w:r>
              <w:r>
                <w:tab/>
              </w:r>
              <w:r>
                <w:fldChar w:fldCharType="begin"/>
              </w:r>
              <w:r>
                <w:instrText xml:space="preserve"> PAGEREF _Toc5150 \h </w:instrText>
              </w:r>
              <w:r>
                <w:fldChar w:fldCharType="separate"/>
              </w:r>
              <w:r>
                <w:t>25</w:t>
              </w:r>
              <w:r>
                <w:fldChar w:fldCharType="end"/>
              </w:r>
              <w:r>
                <w:fldChar w:fldCharType="end"/>
              </w:r>
            </w:p>
            <w:p w14:paraId="6FF1BB1B">
              <w:pPr>
                <w:pStyle w:val="40"/>
                <w:tabs>
                  <w:tab w:val="right" w:leader="dot" w:pos="8306"/>
                </w:tabs>
                <w:ind w:left="420"/>
              </w:pPr>
              <w:r>
                <w:fldChar w:fldCharType="begin"/>
              </w:r>
              <w:r>
                <w:instrText xml:space="preserve"> HYPERLINK \l "_Toc28210" </w:instrText>
              </w:r>
              <w:r>
                <w:fldChar w:fldCharType="separate"/>
              </w:r>
              <w:r>
                <w:rPr>
                  <w:rFonts w:hint="eastAsia" w:ascii="仿宋" w:hAnsi="仿宋" w:eastAsia="仿宋"/>
                </w:rPr>
                <w:t>四、财政拨款收入支出决算总表</w:t>
              </w:r>
              <w:r>
                <w:tab/>
              </w:r>
              <w:r>
                <w:fldChar w:fldCharType="begin"/>
              </w:r>
              <w:r>
                <w:instrText xml:space="preserve"> PAGEREF _Toc28210 \h </w:instrText>
              </w:r>
              <w:r>
                <w:fldChar w:fldCharType="separate"/>
              </w:r>
              <w:r>
                <w:t>25</w:t>
              </w:r>
              <w:r>
                <w:fldChar w:fldCharType="end"/>
              </w:r>
              <w:r>
                <w:fldChar w:fldCharType="end"/>
              </w:r>
            </w:p>
            <w:p w14:paraId="69696210">
              <w:pPr>
                <w:pStyle w:val="40"/>
                <w:tabs>
                  <w:tab w:val="right" w:leader="dot" w:pos="8306"/>
                </w:tabs>
                <w:ind w:left="420"/>
              </w:pPr>
              <w:r>
                <w:fldChar w:fldCharType="begin"/>
              </w:r>
              <w:r>
                <w:instrText xml:space="preserve"> HYPERLINK \l "_Toc8492" </w:instrText>
              </w:r>
              <w:r>
                <w:fldChar w:fldCharType="separate"/>
              </w:r>
              <w:r>
                <w:rPr>
                  <w:rFonts w:hint="eastAsia" w:ascii="仿宋" w:hAnsi="仿宋" w:eastAsia="仿宋"/>
                </w:rPr>
                <w:t>五、财政拨款支出决算明细表</w:t>
              </w:r>
              <w:r>
                <w:tab/>
              </w:r>
              <w:r>
                <w:fldChar w:fldCharType="begin"/>
              </w:r>
              <w:r>
                <w:instrText xml:space="preserve"> PAGEREF _Toc8492 \h </w:instrText>
              </w:r>
              <w:r>
                <w:fldChar w:fldCharType="separate"/>
              </w:r>
              <w:r>
                <w:t>25</w:t>
              </w:r>
              <w:r>
                <w:fldChar w:fldCharType="end"/>
              </w:r>
              <w:r>
                <w:fldChar w:fldCharType="end"/>
              </w:r>
            </w:p>
            <w:p w14:paraId="639A7C60">
              <w:pPr>
                <w:pStyle w:val="40"/>
                <w:tabs>
                  <w:tab w:val="right" w:leader="dot" w:pos="8306"/>
                </w:tabs>
                <w:ind w:left="420"/>
              </w:pPr>
              <w:r>
                <w:fldChar w:fldCharType="begin"/>
              </w:r>
              <w:r>
                <w:instrText xml:space="preserve"> HYPERLINK \l "_Toc32075" </w:instrText>
              </w:r>
              <w:r>
                <w:fldChar w:fldCharType="separate"/>
              </w:r>
              <w:r>
                <w:rPr>
                  <w:rFonts w:hint="eastAsia" w:ascii="仿宋" w:hAnsi="仿宋" w:eastAsia="仿宋"/>
                </w:rPr>
                <w:t>六、一般公共预算财政拨款支出决算表</w:t>
              </w:r>
              <w:r>
                <w:tab/>
              </w:r>
              <w:r>
                <w:fldChar w:fldCharType="begin"/>
              </w:r>
              <w:r>
                <w:instrText xml:space="preserve"> PAGEREF _Toc32075 \h </w:instrText>
              </w:r>
              <w:r>
                <w:fldChar w:fldCharType="separate"/>
              </w:r>
              <w:r>
                <w:t>25</w:t>
              </w:r>
              <w:r>
                <w:fldChar w:fldCharType="end"/>
              </w:r>
              <w:r>
                <w:fldChar w:fldCharType="end"/>
              </w:r>
            </w:p>
            <w:p w14:paraId="0D591586">
              <w:pPr>
                <w:pStyle w:val="40"/>
                <w:tabs>
                  <w:tab w:val="right" w:leader="dot" w:pos="8306"/>
                </w:tabs>
                <w:ind w:left="420"/>
              </w:pPr>
              <w:r>
                <w:fldChar w:fldCharType="begin"/>
              </w:r>
              <w:r>
                <w:instrText xml:space="preserve"> HYPERLINK \l "_Toc8121" </w:instrText>
              </w:r>
              <w:r>
                <w:fldChar w:fldCharType="separate"/>
              </w:r>
              <w:r>
                <w:rPr>
                  <w:rFonts w:hint="eastAsia" w:ascii="仿宋" w:hAnsi="仿宋" w:eastAsia="仿宋"/>
                </w:rPr>
                <w:t>七、一般公共预算财政拨款支出决算明细表</w:t>
              </w:r>
              <w:r>
                <w:tab/>
              </w:r>
              <w:r>
                <w:fldChar w:fldCharType="begin"/>
              </w:r>
              <w:r>
                <w:instrText xml:space="preserve"> PAGEREF _Toc8121 \h </w:instrText>
              </w:r>
              <w:r>
                <w:fldChar w:fldCharType="separate"/>
              </w:r>
              <w:r>
                <w:t>25</w:t>
              </w:r>
              <w:r>
                <w:fldChar w:fldCharType="end"/>
              </w:r>
              <w:r>
                <w:fldChar w:fldCharType="end"/>
              </w:r>
            </w:p>
            <w:p w14:paraId="045E63FC">
              <w:pPr>
                <w:pStyle w:val="40"/>
                <w:tabs>
                  <w:tab w:val="right" w:leader="dot" w:pos="8306"/>
                </w:tabs>
                <w:ind w:left="420"/>
              </w:pPr>
              <w:r>
                <w:fldChar w:fldCharType="begin"/>
              </w:r>
              <w:r>
                <w:instrText xml:space="preserve"> HYPERLINK \l "_Toc4674" </w:instrText>
              </w:r>
              <w:r>
                <w:fldChar w:fldCharType="separate"/>
              </w:r>
              <w:r>
                <w:rPr>
                  <w:rFonts w:hint="eastAsia" w:ascii="仿宋" w:hAnsi="仿宋" w:eastAsia="仿宋"/>
                </w:rPr>
                <w:t>八、一般公共预算财政拨款基本支出决算表</w:t>
              </w:r>
              <w:r>
                <w:tab/>
              </w:r>
              <w:r>
                <w:fldChar w:fldCharType="begin"/>
              </w:r>
              <w:r>
                <w:instrText xml:space="preserve"> PAGEREF _Toc4674 \h </w:instrText>
              </w:r>
              <w:r>
                <w:fldChar w:fldCharType="separate"/>
              </w:r>
              <w:r>
                <w:t>25</w:t>
              </w:r>
              <w:r>
                <w:fldChar w:fldCharType="end"/>
              </w:r>
              <w:r>
                <w:fldChar w:fldCharType="end"/>
              </w:r>
            </w:p>
            <w:p w14:paraId="165ECDAE">
              <w:pPr>
                <w:pStyle w:val="40"/>
                <w:tabs>
                  <w:tab w:val="right" w:leader="dot" w:pos="8306"/>
                </w:tabs>
                <w:ind w:left="420"/>
              </w:pPr>
              <w:r>
                <w:fldChar w:fldCharType="begin"/>
              </w:r>
              <w:r>
                <w:instrText xml:space="preserve"> HYPERLINK \l "_Toc29342" </w:instrText>
              </w:r>
              <w:r>
                <w:fldChar w:fldCharType="separate"/>
              </w:r>
              <w:r>
                <w:rPr>
                  <w:rFonts w:hint="eastAsia" w:ascii="仿宋" w:hAnsi="仿宋" w:eastAsia="仿宋"/>
                </w:rPr>
                <w:t>九、一般公共预算财政拨款项目支出决算表</w:t>
              </w:r>
              <w:r>
                <w:tab/>
              </w:r>
              <w:r>
                <w:fldChar w:fldCharType="begin"/>
              </w:r>
              <w:r>
                <w:instrText xml:space="preserve"> PAGEREF _Toc29342 \h </w:instrText>
              </w:r>
              <w:r>
                <w:fldChar w:fldCharType="separate"/>
              </w:r>
              <w:r>
                <w:t>25</w:t>
              </w:r>
              <w:r>
                <w:fldChar w:fldCharType="end"/>
              </w:r>
              <w:r>
                <w:fldChar w:fldCharType="end"/>
              </w:r>
            </w:p>
            <w:p w14:paraId="3000AA60">
              <w:pPr>
                <w:pStyle w:val="40"/>
                <w:tabs>
                  <w:tab w:val="right" w:leader="dot" w:pos="8306"/>
                </w:tabs>
                <w:ind w:left="420"/>
              </w:pPr>
              <w:r>
                <w:fldChar w:fldCharType="begin"/>
              </w:r>
              <w:r>
                <w:instrText xml:space="preserve"> HYPERLINK \l "_Toc6482" </w:instrText>
              </w:r>
              <w:r>
                <w:fldChar w:fldCharType="separate"/>
              </w:r>
              <w:r>
                <w:rPr>
                  <w:rFonts w:hint="eastAsia" w:ascii="仿宋" w:hAnsi="仿宋" w:eastAsia="仿宋"/>
                </w:rPr>
                <w:t>十、一般公共预算财政拨款“三公”经费支出决算表</w:t>
              </w:r>
              <w:r>
                <w:tab/>
              </w:r>
              <w:r>
                <w:fldChar w:fldCharType="begin"/>
              </w:r>
              <w:r>
                <w:instrText xml:space="preserve"> PAGEREF _Toc6482 \h </w:instrText>
              </w:r>
              <w:r>
                <w:fldChar w:fldCharType="separate"/>
              </w:r>
              <w:r>
                <w:t>25</w:t>
              </w:r>
              <w:r>
                <w:fldChar w:fldCharType="end"/>
              </w:r>
              <w:r>
                <w:fldChar w:fldCharType="end"/>
              </w:r>
            </w:p>
            <w:p w14:paraId="11C78B34">
              <w:pPr>
                <w:pStyle w:val="40"/>
                <w:tabs>
                  <w:tab w:val="right" w:leader="dot" w:pos="8306"/>
                </w:tabs>
                <w:ind w:left="420"/>
              </w:pPr>
              <w:r>
                <w:fldChar w:fldCharType="begin"/>
              </w:r>
              <w:r>
                <w:instrText xml:space="preserve"> HYPERLINK \l "_Toc16080" </w:instrText>
              </w:r>
              <w:r>
                <w:fldChar w:fldCharType="separate"/>
              </w:r>
              <w:r>
                <w:rPr>
                  <w:rFonts w:hint="eastAsia" w:ascii="仿宋" w:hAnsi="仿宋" w:eastAsia="仿宋"/>
                </w:rPr>
                <w:t>十一、政府性基金预算财政拨款收入支出决算表</w:t>
              </w:r>
              <w:r>
                <w:tab/>
              </w:r>
              <w:r>
                <w:fldChar w:fldCharType="begin"/>
              </w:r>
              <w:r>
                <w:instrText xml:space="preserve"> PAGEREF _Toc16080 \h </w:instrText>
              </w:r>
              <w:r>
                <w:fldChar w:fldCharType="separate"/>
              </w:r>
              <w:r>
                <w:t>25</w:t>
              </w:r>
              <w:r>
                <w:fldChar w:fldCharType="end"/>
              </w:r>
              <w:r>
                <w:fldChar w:fldCharType="end"/>
              </w:r>
            </w:p>
            <w:p w14:paraId="43597B35">
              <w:pPr>
                <w:pStyle w:val="40"/>
                <w:tabs>
                  <w:tab w:val="right" w:leader="dot" w:pos="8306"/>
                </w:tabs>
                <w:ind w:left="420"/>
              </w:pPr>
              <w:r>
                <w:fldChar w:fldCharType="begin"/>
              </w:r>
              <w:r>
                <w:instrText xml:space="preserve"> HYPERLINK \l "_Toc28344" </w:instrText>
              </w:r>
              <w:r>
                <w:fldChar w:fldCharType="separate"/>
              </w:r>
              <w:r>
                <w:rPr>
                  <w:rFonts w:hint="eastAsia" w:ascii="仿宋" w:hAnsi="仿宋" w:eastAsia="仿宋"/>
                </w:rPr>
                <w:t>十二、政府性基金预算财政拨款“三公”经费支出决算表</w:t>
              </w:r>
              <w:r>
                <w:tab/>
              </w:r>
              <w:r>
                <w:fldChar w:fldCharType="begin"/>
              </w:r>
              <w:r>
                <w:instrText xml:space="preserve"> PAGEREF _Toc28344 \h </w:instrText>
              </w:r>
              <w:r>
                <w:fldChar w:fldCharType="separate"/>
              </w:r>
              <w:r>
                <w:t>25</w:t>
              </w:r>
              <w:r>
                <w:fldChar w:fldCharType="end"/>
              </w:r>
              <w:r>
                <w:fldChar w:fldCharType="end"/>
              </w:r>
            </w:p>
            <w:p w14:paraId="4429269F">
              <w:pPr>
                <w:pStyle w:val="40"/>
                <w:tabs>
                  <w:tab w:val="right" w:leader="dot" w:pos="8306"/>
                </w:tabs>
                <w:ind w:left="420"/>
              </w:pPr>
              <w:r>
                <w:fldChar w:fldCharType="begin"/>
              </w:r>
              <w:r>
                <w:instrText xml:space="preserve"> HYPERLINK \l "_Toc30279" </w:instrText>
              </w:r>
              <w:r>
                <w:fldChar w:fldCharType="separate"/>
              </w:r>
              <w:r>
                <w:rPr>
                  <w:rFonts w:hint="eastAsia" w:ascii="仿宋" w:hAnsi="仿宋" w:eastAsia="仿宋"/>
                </w:rPr>
                <w:t>十三、国有资本经营预算财政拨款支出决算表</w:t>
              </w:r>
              <w:r>
                <w:tab/>
              </w:r>
              <w:r>
                <w:fldChar w:fldCharType="begin"/>
              </w:r>
              <w:r>
                <w:instrText xml:space="preserve"> PAGEREF _Toc30279 \h </w:instrText>
              </w:r>
              <w:r>
                <w:fldChar w:fldCharType="separate"/>
              </w:r>
              <w:r>
                <w:t>25</w:t>
              </w:r>
              <w:r>
                <w:fldChar w:fldCharType="end"/>
              </w:r>
              <w:r>
                <w:fldChar w:fldCharType="end"/>
              </w:r>
            </w:p>
            <w:p w14:paraId="76A13315">
              <w:pPr>
                <w:pStyle w:val="40"/>
                <w:tabs>
                  <w:tab w:val="right" w:leader="dot" w:pos="8306"/>
                </w:tabs>
                <w:ind w:left="420"/>
              </w:pPr>
              <w:r>
                <w:fldChar w:fldCharType="begin"/>
              </w:r>
              <w:r>
                <w:instrText xml:space="preserve"> HYPERLINK \l "_Toc28790" </w:instrText>
              </w:r>
              <w:r>
                <w:fldChar w:fldCharType="separate"/>
              </w:r>
              <w:r>
                <w:rPr>
                  <w:rFonts w:hint="eastAsia" w:ascii="仿宋" w:hAnsi="仿宋" w:eastAsia="仿宋"/>
                </w:rPr>
                <w:t>十四、国有资本经营预算财政拨款支出决算表</w:t>
              </w:r>
              <w:r>
                <w:tab/>
              </w:r>
              <w:r>
                <w:fldChar w:fldCharType="begin"/>
              </w:r>
              <w:r>
                <w:instrText xml:space="preserve"> PAGEREF _Toc28790 \h </w:instrText>
              </w:r>
              <w:r>
                <w:fldChar w:fldCharType="separate"/>
              </w:r>
              <w:r>
                <w:t>25</w:t>
              </w:r>
              <w:r>
                <w:fldChar w:fldCharType="end"/>
              </w:r>
              <w:r>
                <w:fldChar w:fldCharType="end"/>
              </w:r>
            </w:p>
            <w:p w14:paraId="6CBCAA4C">
              <w:r>
                <w:fldChar w:fldCharType="end"/>
              </w:r>
            </w:p>
          </w:sdtContent>
        </w:sdt>
        <w:p w14:paraId="4604383B">
          <w:pPr>
            <w:widowControl/>
            <w:adjustRightInd w:val="0"/>
            <w:snapToGrid w:val="0"/>
            <w:spacing w:line="440" w:lineRule="exact"/>
            <w:jc w:val="left"/>
            <w:rPr>
              <w:rFonts w:ascii="仿宋" w:hAnsi="仿宋" w:eastAsia="仿宋"/>
              <w:color w:val="FF0000"/>
              <w:sz w:val="24"/>
            </w:rPr>
          </w:pPr>
        </w:p>
        <w:p w14:paraId="041EE1B9">
          <w:pPr>
            <w:widowControl/>
            <w:spacing w:line="440" w:lineRule="exact"/>
            <w:jc w:val="left"/>
            <w:rPr>
              <w:rFonts w:ascii="仿宋" w:hAnsi="仿宋" w:eastAsia="仿宋"/>
              <w:bCs/>
              <w:kern w:val="44"/>
              <w:sz w:val="24"/>
            </w:rPr>
          </w:pPr>
          <w:r>
            <w:rPr>
              <w:rFonts w:ascii="仿宋" w:hAnsi="仿宋" w:eastAsia="仿宋"/>
              <w:b/>
              <w:sz w:val="24"/>
            </w:rPr>
            <w:br w:type="page"/>
          </w:r>
        </w:p>
        <w:p w14:paraId="7334ADD3">
          <w:pPr>
            <w:pStyle w:val="2"/>
            <w:jc w:val="center"/>
            <w:rPr>
              <w:rFonts w:hint="eastAsia" w:ascii="黑体" w:hAnsi="黑体" w:eastAsia="黑体"/>
              <w:b w:val="0"/>
            </w:rPr>
          </w:pPr>
        </w:p>
      </w:sdtContent>
    </w:sdt>
    <w:bookmarkEnd w:id="14"/>
    <w:bookmarkEnd w:id="15"/>
    <w:bookmarkEnd w:id="16"/>
    <w:p w14:paraId="4A32F4E0">
      <w:pPr>
        <w:pStyle w:val="2"/>
        <w:jc w:val="center"/>
        <w:rPr>
          <w:rStyle w:val="24"/>
          <w:rFonts w:ascii="黑体" w:hAnsi="黑体" w:eastAsia="黑体"/>
          <w:b/>
          <w:bCs w:val="0"/>
        </w:rPr>
      </w:pPr>
      <w:bookmarkStart w:id="17" w:name="_Toc7935"/>
      <w:r>
        <w:rPr>
          <w:rFonts w:hint="eastAsia" w:ascii="黑体" w:hAnsi="黑体" w:eastAsia="黑体"/>
          <w:b w:val="0"/>
        </w:rPr>
        <w:t>第一部分</w:t>
      </w:r>
      <w:r>
        <w:rPr>
          <w:rStyle w:val="24"/>
          <w:rFonts w:hint="eastAsia" w:ascii="黑体" w:hAnsi="黑体" w:eastAsia="黑体"/>
          <w:b w:val="0"/>
          <w:bCs w:val="0"/>
        </w:rPr>
        <w:t>部门概况</w:t>
      </w:r>
      <w:bookmarkEnd w:id="17"/>
    </w:p>
    <w:p w14:paraId="318AD83D">
      <w:pPr>
        <w:widowControl/>
        <w:jc w:val="left"/>
        <w:rPr>
          <w:rFonts w:ascii="黑体" w:eastAsia="黑体"/>
          <w:color w:val="000000"/>
          <w:sz w:val="32"/>
          <w:szCs w:val="32"/>
        </w:rPr>
      </w:pPr>
    </w:p>
    <w:p w14:paraId="2D525BA7">
      <w:pPr>
        <w:pStyle w:val="3"/>
        <w:rPr>
          <w:rStyle w:val="25"/>
          <w:rFonts w:ascii="仿宋" w:hAnsi="仿宋" w:eastAsia="仿宋"/>
          <w:b w:val="0"/>
          <w:bCs w:val="0"/>
        </w:rPr>
      </w:pPr>
      <w:bookmarkStart w:id="18" w:name="_Toc15396600"/>
      <w:bookmarkStart w:id="19" w:name="_Toc79163602"/>
      <w:bookmarkStart w:id="20" w:name="_Toc79163852"/>
      <w:bookmarkStart w:id="21" w:name="_Toc15377197"/>
      <w:bookmarkStart w:id="22" w:name="_Toc25033"/>
      <w:r>
        <w:rPr>
          <w:rFonts w:hint="eastAsia" w:ascii="黑体" w:hAnsi="黑体" w:eastAsia="黑体"/>
          <w:b w:val="0"/>
          <w:color w:val="000000"/>
        </w:rPr>
        <w:t>一、基</w:t>
      </w:r>
      <w:r>
        <w:rPr>
          <w:rStyle w:val="25"/>
          <w:rFonts w:hint="eastAsia" w:ascii="黑体" w:hAnsi="黑体" w:eastAsia="黑体"/>
          <w:b w:val="0"/>
          <w:bCs w:val="0"/>
        </w:rPr>
        <w:t>本职能及主要工作</w:t>
      </w:r>
      <w:bookmarkEnd w:id="18"/>
      <w:bookmarkEnd w:id="19"/>
      <w:bookmarkEnd w:id="20"/>
      <w:bookmarkEnd w:id="21"/>
      <w:bookmarkEnd w:id="22"/>
    </w:p>
    <w:p w14:paraId="158E1D40">
      <w:pPr>
        <w:pStyle w:val="6"/>
        <w:adjustRightInd w:val="0"/>
        <w:snapToGrid w:val="0"/>
        <w:spacing w:before="93" w:line="600" w:lineRule="exact"/>
        <w:ind w:firstLine="672" w:firstLineChars="210"/>
        <w:outlineLvl w:val="2"/>
        <w:rPr>
          <w:rFonts w:ascii="仿宋" w:hAnsi="仿宋" w:eastAsia="仿宋"/>
          <w:bCs/>
          <w:color w:val="000000"/>
          <w:sz w:val="32"/>
          <w:szCs w:val="32"/>
        </w:rPr>
      </w:pPr>
      <w:bookmarkStart w:id="23" w:name="_Toc79163603"/>
      <w:bookmarkStart w:id="24" w:name="_Toc15711"/>
      <w:bookmarkStart w:id="25" w:name="_Toc79163853"/>
      <w:bookmarkStart w:id="26" w:name="_Toc15377198"/>
      <w:bookmarkStart w:id="27" w:name="_Toc15378445"/>
      <w:r>
        <w:rPr>
          <w:rFonts w:hint="eastAsia" w:ascii="仿宋" w:hAnsi="仿宋" w:eastAsia="仿宋"/>
          <w:bCs/>
          <w:color w:val="000000"/>
          <w:sz w:val="32"/>
          <w:szCs w:val="32"/>
        </w:rPr>
        <w:t>（一）主要职能。</w:t>
      </w:r>
      <w:bookmarkEnd w:id="23"/>
      <w:bookmarkEnd w:id="24"/>
      <w:bookmarkEnd w:id="25"/>
    </w:p>
    <w:p w14:paraId="707DDF01">
      <w:pPr>
        <w:spacing w:line="360" w:lineRule="auto"/>
        <w:ind w:firstLine="640" w:firstLineChars="200"/>
        <w:jc w:val="left"/>
        <w:rPr>
          <w:rFonts w:ascii="仿宋" w:hAnsi="仿宋" w:eastAsia="仿宋"/>
          <w:sz w:val="32"/>
          <w:szCs w:val="32"/>
        </w:rPr>
      </w:pPr>
      <w:r>
        <w:rPr>
          <w:rFonts w:hint="eastAsia" w:ascii="仿宋" w:hAnsi="仿宋" w:eastAsia="仿宋"/>
          <w:bCs/>
          <w:color w:val="000000"/>
          <w:sz w:val="32"/>
          <w:szCs w:val="32"/>
        </w:rPr>
        <w:t>我校是实行义务教育的学校，小学义务教育的实施，是促进基础教育发展，培养学生高尚的思想道德情操，丰富的科学文化知识，良好的身体素质，促进学生全面发展，业务范围是从事小学教育。系统的引导受教育者获得知识技能，陶冶思想品德，以人为本为学生的学习和终生发展奠定基础。贯彻和执行党和国家的教育方针政策法律法规等，搞好教育教学工作。认真执行财政收入和支出下达的预算标准进行核算，且严格执行收支两条线的规定，做好学校的工作。</w:t>
      </w:r>
      <w:bookmarkEnd w:id="26"/>
      <w:bookmarkEnd w:id="27"/>
    </w:p>
    <w:p w14:paraId="3AD266F0">
      <w:pPr>
        <w:spacing w:line="360" w:lineRule="auto"/>
        <w:ind w:firstLine="640" w:firstLineChars="200"/>
        <w:jc w:val="left"/>
        <w:outlineLvl w:val="2"/>
        <w:rPr>
          <w:rFonts w:ascii="仿宋" w:hAnsi="仿宋" w:eastAsia="仿宋"/>
          <w:bCs/>
          <w:color w:val="000000"/>
          <w:sz w:val="32"/>
          <w:szCs w:val="32"/>
        </w:rPr>
      </w:pPr>
      <w:bookmarkStart w:id="28" w:name="_Toc79163854"/>
      <w:bookmarkStart w:id="29" w:name="_Toc15377199"/>
      <w:bookmarkStart w:id="30" w:name="_Toc79163604"/>
      <w:bookmarkStart w:id="31" w:name="_Toc15378446"/>
      <w:bookmarkStart w:id="32" w:name="_Toc10477"/>
      <w:r>
        <w:rPr>
          <w:rFonts w:hint="eastAsia" w:ascii="仿宋" w:hAnsi="仿宋" w:eastAsia="仿宋"/>
          <w:bCs/>
          <w:color w:val="000000"/>
          <w:sz w:val="32"/>
          <w:szCs w:val="32"/>
        </w:rPr>
        <w:t>（二）</w:t>
      </w:r>
      <w:r>
        <w:rPr>
          <w:rFonts w:ascii="仿宋" w:hAnsi="仿宋" w:eastAsia="仿宋"/>
          <w:bCs/>
          <w:color w:val="000000"/>
          <w:sz w:val="32"/>
          <w:szCs w:val="32"/>
        </w:rPr>
        <w:t>202</w:t>
      </w:r>
      <w:r>
        <w:rPr>
          <w:rFonts w:hint="eastAsia" w:ascii="仿宋" w:hAnsi="仿宋" w:eastAsia="仿宋"/>
          <w:bCs/>
          <w:color w:val="000000"/>
          <w:sz w:val="32"/>
          <w:szCs w:val="32"/>
          <w:lang w:val="en-US" w:eastAsia="zh-CN"/>
        </w:rPr>
        <w:t>5</w:t>
      </w:r>
      <w:r>
        <w:rPr>
          <w:rFonts w:hint="eastAsia" w:ascii="仿宋" w:hAnsi="仿宋" w:eastAsia="仿宋"/>
          <w:bCs/>
          <w:color w:val="000000"/>
          <w:sz w:val="32"/>
          <w:szCs w:val="32"/>
        </w:rPr>
        <w:t>年重点工作完成情况。</w:t>
      </w:r>
      <w:bookmarkEnd w:id="28"/>
      <w:bookmarkEnd w:id="29"/>
      <w:bookmarkEnd w:id="30"/>
      <w:bookmarkEnd w:id="31"/>
      <w:bookmarkEnd w:id="32"/>
    </w:p>
    <w:p w14:paraId="102867F0">
      <w:pPr>
        <w:spacing w:line="360" w:lineRule="auto"/>
        <w:ind w:firstLine="640" w:firstLineChars="200"/>
        <w:jc w:val="left"/>
        <w:rPr>
          <w:rFonts w:ascii="仿宋" w:hAnsi="仿宋" w:eastAsia="仿宋"/>
          <w:bCs/>
          <w:color w:val="000000"/>
          <w:sz w:val="32"/>
          <w:szCs w:val="32"/>
        </w:rPr>
      </w:pPr>
      <w:r>
        <w:rPr>
          <w:rFonts w:hint="eastAsia" w:ascii="仿宋" w:hAnsi="仿宋" w:eastAsia="仿宋"/>
          <w:bCs/>
          <w:color w:val="000000"/>
          <w:sz w:val="32"/>
          <w:szCs w:val="32"/>
        </w:rPr>
        <w:t>我单位今年根据财政资金的安排情况，加强了资金的管理，合理用于教育事业，做好一切财务工作，做到资金合理合法使用。同财政部门及时沟通学习，积极进行财政部门组织的决算、编报、审核等方面工作按时完成，认真如实填报。不断强化预算意识，实行部门综合预算管理，保证预算编制质量。</w:t>
      </w:r>
    </w:p>
    <w:p w14:paraId="38283B96">
      <w:pPr>
        <w:spacing w:line="360" w:lineRule="auto"/>
        <w:ind w:firstLine="640" w:firstLineChars="200"/>
        <w:jc w:val="left"/>
        <w:rPr>
          <w:rFonts w:ascii="仿宋" w:hAnsi="仿宋" w:eastAsia="仿宋"/>
          <w:bCs/>
          <w:color w:val="000000"/>
          <w:sz w:val="32"/>
          <w:szCs w:val="32"/>
        </w:rPr>
      </w:pPr>
      <w:r>
        <w:rPr>
          <w:rFonts w:hint="eastAsia" w:ascii="仿宋" w:hAnsi="仿宋" w:eastAsia="仿宋"/>
          <w:bCs/>
          <w:color w:val="000000"/>
          <w:sz w:val="32"/>
          <w:szCs w:val="32"/>
        </w:rPr>
        <w:t>学校报表按当地财政部门的规定执行，装订成册，在校领导的直接领导下，将我校的有限资金进行合理安排。做到长安排，短打算。在使用经费上，始终坚持服务于教学，有利于教职工积极性的提高，在财务上进行合理安排和运用，以“认真、严谨、细致”精神，做好一切财务工作，财务“收支两条线”所有的支出都必须按单位事先规定的用款手续办理用款。在做好和出纳的对账工作的基础上，认真完成了定期与银行、县财政、的各项部门经费、收支对账工作。一方面，及时编制财务报表，部门预算报表、决算报表等，保证了财务数据的准确性。另一方面，加强与财政的沟通，圆满完成各项定期和不定期报表工作,坚持做好各方面财务工作更好地服务于学校教育事业。</w:t>
      </w:r>
    </w:p>
    <w:p w14:paraId="0B658098">
      <w:pPr>
        <w:pStyle w:val="6"/>
        <w:adjustRightInd w:val="0"/>
        <w:snapToGrid w:val="0"/>
        <w:spacing w:before="93" w:line="600" w:lineRule="exact"/>
        <w:ind w:firstLine="672" w:firstLineChars="210"/>
        <w:rPr>
          <w:rFonts w:ascii="仿宋" w:hAnsi="仿宋" w:eastAsia="仿宋"/>
          <w:bCs/>
          <w:color w:val="000000"/>
          <w:sz w:val="32"/>
          <w:szCs w:val="32"/>
        </w:rPr>
      </w:pPr>
    </w:p>
    <w:p w14:paraId="41249865">
      <w:pPr>
        <w:pStyle w:val="6"/>
        <w:numPr>
          <w:ilvl w:val="0"/>
          <w:numId w:val="1"/>
        </w:numPr>
        <w:adjustRightInd w:val="0"/>
        <w:snapToGrid w:val="0"/>
        <w:spacing w:before="93" w:line="580" w:lineRule="exact"/>
        <w:ind w:firstLine="640" w:firstLineChars="200"/>
        <w:outlineLvl w:val="1"/>
        <w:rPr>
          <w:rStyle w:val="25"/>
          <w:rFonts w:ascii="黑体" w:hAnsi="黑体" w:eastAsia="黑体"/>
          <w:b w:val="0"/>
          <w:bCs w:val="0"/>
        </w:rPr>
      </w:pPr>
      <w:bookmarkStart w:id="33" w:name="_Toc27840"/>
      <w:bookmarkStart w:id="34" w:name="_Toc15396601"/>
      <w:bookmarkStart w:id="35" w:name="_Toc79163855"/>
      <w:bookmarkStart w:id="36" w:name="_Toc15377200"/>
      <w:bookmarkStart w:id="37" w:name="_Toc79163605"/>
      <w:r>
        <w:rPr>
          <w:rFonts w:hint="eastAsia" w:ascii="黑体" w:hAnsi="黑体" w:eastAsia="黑体"/>
          <w:color w:val="000000"/>
          <w:sz w:val="32"/>
          <w:szCs w:val="32"/>
        </w:rPr>
        <w:t>机</w:t>
      </w:r>
      <w:r>
        <w:rPr>
          <w:rStyle w:val="25"/>
          <w:rFonts w:hint="eastAsia" w:ascii="黑体" w:hAnsi="黑体" w:eastAsia="黑体"/>
          <w:b w:val="0"/>
          <w:bCs w:val="0"/>
        </w:rPr>
        <w:t>构设置</w:t>
      </w:r>
      <w:bookmarkEnd w:id="33"/>
      <w:bookmarkEnd w:id="34"/>
      <w:bookmarkEnd w:id="35"/>
      <w:bookmarkEnd w:id="36"/>
      <w:bookmarkEnd w:id="37"/>
    </w:p>
    <w:p w14:paraId="234B8D97">
      <w:pPr>
        <w:pStyle w:val="6"/>
        <w:adjustRightInd w:val="0"/>
        <w:snapToGrid w:val="0"/>
        <w:spacing w:before="93" w:line="580" w:lineRule="exact"/>
        <w:ind w:firstLine="640" w:firstLineChars="200"/>
        <w:rPr>
          <w:rFonts w:ascii="仿宋" w:hAnsi="仿宋" w:eastAsia="仿宋"/>
          <w:bCs/>
          <w:color w:val="000000"/>
          <w:kern w:val="2"/>
          <w:sz w:val="32"/>
          <w:szCs w:val="32"/>
        </w:rPr>
      </w:pPr>
      <w:r>
        <w:rPr>
          <w:rFonts w:hint="eastAsia" w:ascii="仿宋" w:hAnsi="仿宋" w:eastAsia="仿宋"/>
          <w:bCs/>
          <w:color w:val="000000"/>
          <w:kern w:val="2"/>
          <w:sz w:val="32"/>
          <w:szCs w:val="32"/>
        </w:rPr>
        <w:t>我校属于红原县教育局下属的二级预算单位，执行的是政府会计制度，我单位为独立核算财政全额拨款事业单位，红原县邛溪易地育人寄宿制学校共有编制91人，截止20</w:t>
      </w:r>
      <w:r>
        <w:rPr>
          <w:rFonts w:hint="eastAsia" w:ascii="仿宋" w:hAnsi="仿宋" w:eastAsia="仿宋"/>
          <w:bCs/>
          <w:color w:val="000000"/>
          <w:kern w:val="2"/>
          <w:sz w:val="32"/>
          <w:szCs w:val="32"/>
          <w:lang w:val="en-US"/>
        </w:rPr>
        <w:t>2</w:t>
      </w:r>
      <w:r>
        <w:rPr>
          <w:rFonts w:hint="eastAsia" w:ascii="仿宋" w:hAnsi="仿宋" w:eastAsia="仿宋"/>
          <w:bCs/>
          <w:color w:val="000000"/>
          <w:kern w:val="2"/>
          <w:sz w:val="32"/>
          <w:szCs w:val="32"/>
          <w:lang w:val="en-US" w:eastAsia="zh-CN"/>
        </w:rPr>
        <w:t>5</w:t>
      </w:r>
      <w:r>
        <w:rPr>
          <w:rFonts w:hint="eastAsia" w:ascii="仿宋" w:hAnsi="仿宋" w:eastAsia="仿宋"/>
          <w:bCs/>
          <w:color w:val="000000"/>
          <w:kern w:val="2"/>
          <w:sz w:val="32"/>
          <w:szCs w:val="32"/>
        </w:rPr>
        <w:t>年底在职职工</w:t>
      </w:r>
      <w:r>
        <w:rPr>
          <w:rFonts w:hint="eastAsia" w:ascii="仿宋" w:hAnsi="仿宋" w:eastAsia="仿宋"/>
          <w:bCs/>
          <w:color w:val="000000"/>
          <w:kern w:val="2"/>
          <w:sz w:val="32"/>
          <w:szCs w:val="32"/>
          <w:lang w:val="en-US"/>
        </w:rPr>
        <w:t>8</w:t>
      </w:r>
      <w:r>
        <w:rPr>
          <w:rFonts w:hint="eastAsia" w:ascii="仿宋" w:hAnsi="仿宋" w:eastAsia="仿宋"/>
          <w:bCs/>
          <w:color w:val="000000"/>
          <w:kern w:val="2"/>
          <w:sz w:val="32"/>
          <w:szCs w:val="32"/>
          <w:lang w:val="en-US" w:eastAsia="zh-CN"/>
        </w:rPr>
        <w:t>3</w:t>
      </w:r>
      <w:r>
        <w:rPr>
          <w:rFonts w:hint="eastAsia" w:ascii="仿宋" w:hAnsi="仿宋" w:eastAsia="仿宋"/>
          <w:bCs/>
          <w:color w:val="000000"/>
          <w:kern w:val="2"/>
          <w:sz w:val="32"/>
          <w:szCs w:val="32"/>
        </w:rPr>
        <w:t>人，退休职工</w:t>
      </w:r>
      <w:r>
        <w:rPr>
          <w:rFonts w:hint="eastAsia" w:ascii="仿宋" w:hAnsi="仿宋" w:eastAsia="仿宋"/>
          <w:bCs/>
          <w:color w:val="000000"/>
          <w:kern w:val="2"/>
          <w:sz w:val="32"/>
          <w:szCs w:val="32"/>
          <w:lang w:val="en-US" w:eastAsia="zh-CN"/>
        </w:rPr>
        <w:t>15</w:t>
      </w:r>
      <w:r>
        <w:rPr>
          <w:rFonts w:hint="eastAsia" w:ascii="仿宋" w:hAnsi="仿宋" w:eastAsia="仿宋"/>
          <w:bCs/>
          <w:color w:val="000000"/>
          <w:kern w:val="2"/>
          <w:sz w:val="32"/>
          <w:szCs w:val="32"/>
        </w:rPr>
        <w:t>人。</w:t>
      </w:r>
    </w:p>
    <w:p w14:paraId="3CA6265B"/>
    <w:p w14:paraId="2BF52D25">
      <w:pPr>
        <w:pStyle w:val="2"/>
        <w:ind w:right="440" w:firstLine="440" w:firstLineChars="100"/>
        <w:rPr>
          <w:rStyle w:val="24"/>
          <w:rFonts w:ascii="黑体" w:hAnsi="黑体" w:eastAsia="黑体"/>
          <w:b w:val="0"/>
          <w:bCs w:val="0"/>
        </w:rPr>
      </w:pPr>
      <w:bookmarkStart w:id="38" w:name="_Toc15377204"/>
      <w:bookmarkStart w:id="39" w:name="_Toc15396602"/>
      <w:bookmarkStart w:id="40" w:name="_Toc79163859"/>
      <w:bookmarkStart w:id="41" w:name="_Toc18820"/>
      <w:bookmarkStart w:id="42" w:name="_Toc79163609"/>
      <w:r>
        <w:rPr>
          <w:rFonts w:hint="eastAsia" w:ascii="黑体" w:hAnsi="黑体" w:eastAsia="黑体"/>
          <w:b w:val="0"/>
          <w:color w:val="000000"/>
        </w:rPr>
        <w:t>第二部分</w:t>
      </w:r>
      <w:r>
        <w:rPr>
          <w:rStyle w:val="24"/>
          <w:rFonts w:ascii="黑体" w:hAnsi="黑体" w:eastAsia="黑体"/>
          <w:b w:val="0"/>
          <w:bCs w:val="0"/>
        </w:rPr>
        <w:t>202</w:t>
      </w:r>
      <w:r>
        <w:rPr>
          <w:rStyle w:val="24"/>
          <w:rFonts w:hint="eastAsia" w:ascii="黑体" w:hAnsi="黑体" w:eastAsia="黑体"/>
          <w:b w:val="0"/>
          <w:bCs w:val="0"/>
          <w:lang w:val="en-US" w:eastAsia="zh-CN"/>
        </w:rPr>
        <w:t>5</w:t>
      </w:r>
      <w:r>
        <w:rPr>
          <w:rStyle w:val="24"/>
          <w:rFonts w:hint="eastAsia" w:ascii="黑体" w:hAnsi="黑体" w:eastAsia="黑体"/>
          <w:b w:val="0"/>
          <w:bCs w:val="0"/>
        </w:rPr>
        <w:t>年度部门决算情况说明</w:t>
      </w:r>
      <w:bookmarkEnd w:id="38"/>
      <w:bookmarkEnd w:id="39"/>
      <w:bookmarkEnd w:id="40"/>
      <w:bookmarkEnd w:id="41"/>
      <w:bookmarkEnd w:id="42"/>
    </w:p>
    <w:p w14:paraId="3AF14D50"/>
    <w:p w14:paraId="15C71601">
      <w:pPr>
        <w:pStyle w:val="35"/>
        <w:numPr>
          <w:ilvl w:val="0"/>
          <w:numId w:val="2"/>
        </w:numPr>
        <w:spacing w:line="600" w:lineRule="exact"/>
        <w:ind w:firstLineChars="0"/>
        <w:outlineLvl w:val="1"/>
        <w:rPr>
          <w:rStyle w:val="25"/>
          <w:rFonts w:ascii="黑体" w:hAnsi="黑体" w:eastAsia="黑体"/>
          <w:b w:val="0"/>
        </w:rPr>
      </w:pPr>
      <w:bookmarkStart w:id="43" w:name="_Toc15377205"/>
      <w:bookmarkStart w:id="44" w:name="_Toc15396603"/>
      <w:bookmarkStart w:id="45" w:name="_Toc79163860"/>
      <w:bookmarkStart w:id="46" w:name="_Toc18286"/>
      <w:bookmarkStart w:id="47" w:name="_Toc79163610"/>
      <w:r>
        <w:rPr>
          <w:rFonts w:hint="eastAsia" w:ascii="黑体" w:hAnsi="黑体" w:eastAsia="黑体"/>
          <w:color w:val="000000"/>
          <w:sz w:val="32"/>
          <w:szCs w:val="32"/>
        </w:rPr>
        <w:t>收</w:t>
      </w:r>
      <w:r>
        <w:rPr>
          <w:rStyle w:val="25"/>
          <w:rFonts w:hint="eastAsia" w:ascii="黑体" w:hAnsi="黑体" w:eastAsia="黑体"/>
          <w:b w:val="0"/>
        </w:rPr>
        <w:t>入支出决算总体情况说明</w:t>
      </w:r>
      <w:bookmarkEnd w:id="43"/>
      <w:bookmarkEnd w:id="44"/>
      <w:bookmarkEnd w:id="45"/>
      <w:bookmarkEnd w:id="46"/>
      <w:bookmarkEnd w:id="47"/>
    </w:p>
    <w:p w14:paraId="7130FED3">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年度收入合计</w:t>
      </w:r>
      <w:r>
        <w:rPr>
          <w:rFonts w:hint="eastAsia" w:ascii="仿宋" w:hAnsi="仿宋" w:eastAsia="仿宋"/>
          <w:color w:val="000000"/>
          <w:sz w:val="32"/>
          <w:szCs w:val="32"/>
          <w:lang w:val="en-US" w:eastAsia="zh-CN"/>
        </w:rPr>
        <w:t>2923.05</w:t>
      </w:r>
      <w:r>
        <w:rPr>
          <w:rFonts w:hint="eastAsia" w:ascii="仿宋" w:hAnsi="仿宋" w:eastAsia="仿宋"/>
          <w:color w:val="000000"/>
          <w:sz w:val="32"/>
          <w:szCs w:val="32"/>
        </w:rPr>
        <w:t>万元。与</w:t>
      </w:r>
      <w:r>
        <w:rPr>
          <w:rFonts w:ascii="仿宋" w:hAnsi="仿宋" w:eastAsia="仿宋"/>
          <w:color w:val="000000"/>
          <w:sz w:val="32"/>
          <w:szCs w:val="32"/>
        </w:rPr>
        <w:t>20</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年相比，收入合计</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61.42</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2.06</w:t>
      </w:r>
      <w:r>
        <w:rPr>
          <w:rFonts w:ascii="仿宋" w:hAnsi="仿宋" w:eastAsia="仿宋"/>
          <w:color w:val="000000"/>
          <w:sz w:val="32"/>
          <w:szCs w:val="32"/>
        </w:rPr>
        <w:t>%</w:t>
      </w:r>
      <w:r>
        <w:rPr>
          <w:rFonts w:hint="eastAsia" w:ascii="仿宋" w:hAnsi="仿宋" w:eastAsia="仿宋"/>
          <w:color w:val="000000"/>
          <w:sz w:val="32"/>
          <w:szCs w:val="32"/>
        </w:rPr>
        <w:t>。</w:t>
      </w: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年度支出合计</w:t>
      </w:r>
      <w:r>
        <w:rPr>
          <w:rFonts w:hint="eastAsia" w:ascii="仿宋" w:hAnsi="仿宋" w:eastAsia="仿宋"/>
          <w:color w:val="000000"/>
          <w:sz w:val="32"/>
          <w:szCs w:val="32"/>
          <w:lang w:val="en-US" w:eastAsia="zh-CN"/>
        </w:rPr>
        <w:t>2923.057</w:t>
      </w:r>
      <w:r>
        <w:rPr>
          <w:rFonts w:hint="eastAsia" w:ascii="仿宋" w:hAnsi="仿宋" w:eastAsia="仿宋"/>
          <w:color w:val="000000"/>
          <w:sz w:val="32"/>
          <w:szCs w:val="32"/>
        </w:rPr>
        <w:t>万元。与</w:t>
      </w:r>
      <w:r>
        <w:rPr>
          <w:rFonts w:ascii="仿宋" w:hAnsi="仿宋" w:eastAsia="仿宋"/>
          <w:color w:val="000000"/>
          <w:sz w:val="32"/>
          <w:szCs w:val="32"/>
        </w:rPr>
        <w:t>20</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年相比，支出合计</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61.42</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2.06</w:t>
      </w:r>
      <w:r>
        <w:rPr>
          <w:rFonts w:ascii="仿宋" w:hAnsi="仿宋" w:eastAsia="仿宋"/>
          <w:color w:val="000000"/>
          <w:sz w:val="32"/>
          <w:szCs w:val="32"/>
        </w:rPr>
        <w:t>%</w:t>
      </w:r>
      <w:r>
        <w:rPr>
          <w:rFonts w:hint="eastAsia" w:ascii="仿宋" w:hAnsi="仿宋" w:eastAsia="仿宋"/>
          <w:color w:val="000000"/>
          <w:sz w:val="32"/>
          <w:szCs w:val="32"/>
        </w:rPr>
        <w:t>。主要变动原因是本年公用经费增加，上级补助收入增加。</w:t>
      </w:r>
    </w:p>
    <w:p w14:paraId="0101FA90">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1</w:t>
      </w:r>
      <w:r>
        <w:rPr>
          <w:rFonts w:hint="eastAsia" w:ascii="仿宋" w:hAnsi="仿宋" w:eastAsia="仿宋"/>
          <w:color w:val="000000"/>
          <w:sz w:val="32"/>
          <w:szCs w:val="32"/>
        </w:rPr>
        <w:t>：收、支决算总计变动情况图）（柱状图）</w:t>
      </w:r>
    </w:p>
    <w:p w14:paraId="357C1EE4">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59264" behindDoc="0" locked="0" layoutInCell="1" allowOverlap="1">
            <wp:simplePos x="0" y="0"/>
            <wp:positionH relativeFrom="column">
              <wp:posOffset>534670</wp:posOffset>
            </wp:positionH>
            <wp:positionV relativeFrom="paragraph">
              <wp:posOffset>23495</wp:posOffset>
            </wp:positionV>
            <wp:extent cx="4739005" cy="3124200"/>
            <wp:effectExtent l="4445" t="4445" r="19050" b="14605"/>
            <wp:wrapNone/>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270A1175">
      <w:pPr>
        <w:spacing w:line="600" w:lineRule="exact"/>
        <w:ind w:firstLine="640" w:firstLineChars="200"/>
        <w:rPr>
          <w:rFonts w:ascii="仿宋" w:hAnsi="仿宋" w:eastAsia="仿宋"/>
          <w:color w:val="000000"/>
          <w:sz w:val="32"/>
          <w:szCs w:val="32"/>
        </w:rPr>
      </w:pPr>
    </w:p>
    <w:p w14:paraId="686D0108">
      <w:pPr>
        <w:spacing w:line="600" w:lineRule="exact"/>
        <w:ind w:firstLine="640" w:firstLineChars="200"/>
        <w:rPr>
          <w:rFonts w:ascii="仿宋" w:hAnsi="仿宋" w:eastAsia="仿宋"/>
          <w:color w:val="000000"/>
          <w:sz w:val="32"/>
          <w:szCs w:val="32"/>
        </w:rPr>
      </w:pPr>
    </w:p>
    <w:p w14:paraId="2D49849D">
      <w:pPr>
        <w:spacing w:line="600" w:lineRule="exact"/>
        <w:ind w:firstLine="640" w:firstLineChars="200"/>
        <w:rPr>
          <w:rFonts w:ascii="仿宋" w:hAnsi="仿宋" w:eastAsia="仿宋"/>
          <w:color w:val="000000"/>
          <w:sz w:val="32"/>
          <w:szCs w:val="32"/>
        </w:rPr>
      </w:pPr>
    </w:p>
    <w:p w14:paraId="1A0EF9E5">
      <w:pPr>
        <w:spacing w:line="600" w:lineRule="exact"/>
        <w:ind w:firstLine="640" w:firstLineChars="200"/>
        <w:rPr>
          <w:rFonts w:ascii="仿宋" w:hAnsi="仿宋" w:eastAsia="仿宋"/>
          <w:color w:val="000000"/>
          <w:sz w:val="32"/>
          <w:szCs w:val="32"/>
        </w:rPr>
      </w:pPr>
    </w:p>
    <w:p w14:paraId="74414E30">
      <w:pPr>
        <w:spacing w:line="600" w:lineRule="exact"/>
        <w:ind w:firstLine="640" w:firstLineChars="200"/>
        <w:rPr>
          <w:rFonts w:ascii="仿宋" w:hAnsi="仿宋" w:eastAsia="仿宋"/>
          <w:color w:val="000000"/>
          <w:sz w:val="32"/>
          <w:szCs w:val="32"/>
        </w:rPr>
      </w:pPr>
    </w:p>
    <w:p w14:paraId="0237B8AC">
      <w:pPr>
        <w:pStyle w:val="35"/>
        <w:numPr>
          <w:ilvl w:val="0"/>
          <w:numId w:val="0"/>
        </w:numPr>
        <w:spacing w:line="600" w:lineRule="exact"/>
        <w:ind w:firstLine="320" w:firstLineChars="100"/>
        <w:outlineLvl w:val="1"/>
        <w:rPr>
          <w:rFonts w:hint="eastAsia" w:ascii="黑体" w:hAnsi="黑体" w:eastAsia="黑体"/>
          <w:color w:val="000000"/>
          <w:sz w:val="32"/>
          <w:szCs w:val="32"/>
          <w:lang w:eastAsia="zh-CN"/>
        </w:rPr>
      </w:pPr>
      <w:bookmarkStart w:id="48" w:name="_Toc15396604"/>
      <w:bookmarkStart w:id="49" w:name="_Toc10718_WPSOffice_Level2"/>
      <w:bookmarkStart w:id="50" w:name="_Toc79163861"/>
      <w:bookmarkStart w:id="51" w:name="_Toc15377206"/>
      <w:bookmarkStart w:id="52" w:name="_Toc79163611"/>
    </w:p>
    <w:p w14:paraId="0FAFDB43">
      <w:pPr>
        <w:pStyle w:val="35"/>
        <w:numPr>
          <w:ilvl w:val="0"/>
          <w:numId w:val="0"/>
        </w:numPr>
        <w:spacing w:line="600" w:lineRule="exact"/>
        <w:ind w:firstLine="320" w:firstLineChars="100"/>
        <w:outlineLvl w:val="1"/>
        <w:rPr>
          <w:rFonts w:hint="eastAsia" w:ascii="黑体" w:hAnsi="黑体" w:eastAsia="黑体"/>
          <w:color w:val="000000"/>
          <w:sz w:val="32"/>
          <w:szCs w:val="32"/>
          <w:lang w:eastAsia="zh-CN"/>
        </w:rPr>
      </w:pPr>
    </w:p>
    <w:p w14:paraId="25117227">
      <w:pPr>
        <w:pStyle w:val="35"/>
        <w:numPr>
          <w:ilvl w:val="0"/>
          <w:numId w:val="0"/>
        </w:numPr>
        <w:spacing w:line="600" w:lineRule="exact"/>
        <w:ind w:firstLine="320" w:firstLineChars="100"/>
        <w:outlineLvl w:val="1"/>
        <w:rPr>
          <w:rFonts w:hint="eastAsia" w:ascii="黑体" w:hAnsi="黑体" w:eastAsia="黑体"/>
          <w:color w:val="000000"/>
          <w:sz w:val="32"/>
          <w:szCs w:val="32"/>
          <w:lang w:eastAsia="zh-CN"/>
        </w:rPr>
      </w:pPr>
    </w:p>
    <w:bookmarkEnd w:id="48"/>
    <w:bookmarkEnd w:id="49"/>
    <w:bookmarkEnd w:id="50"/>
    <w:bookmarkEnd w:id="51"/>
    <w:bookmarkEnd w:id="52"/>
    <w:p w14:paraId="61C6212C">
      <w:pPr>
        <w:pStyle w:val="35"/>
        <w:numPr>
          <w:ilvl w:val="0"/>
          <w:numId w:val="2"/>
        </w:numPr>
        <w:spacing w:line="600" w:lineRule="exact"/>
        <w:ind w:firstLineChars="0"/>
        <w:outlineLvl w:val="1"/>
        <w:rPr>
          <w:rStyle w:val="25"/>
          <w:rFonts w:ascii="黑体" w:hAnsi="黑体" w:eastAsia="黑体"/>
          <w:b w:val="0"/>
        </w:rPr>
      </w:pPr>
      <w:bookmarkStart w:id="53" w:name="_Toc10818"/>
      <w:r>
        <w:rPr>
          <w:rFonts w:hint="eastAsia" w:ascii="黑体" w:hAnsi="黑体" w:eastAsia="黑体"/>
          <w:color w:val="000000"/>
          <w:sz w:val="32"/>
          <w:szCs w:val="32"/>
        </w:rPr>
        <w:t>收</w:t>
      </w:r>
      <w:r>
        <w:rPr>
          <w:rStyle w:val="25"/>
          <w:rFonts w:hint="eastAsia" w:ascii="黑体" w:hAnsi="黑体" w:eastAsia="黑体"/>
          <w:b w:val="0"/>
        </w:rPr>
        <w:t>入决算情况说明</w:t>
      </w:r>
      <w:bookmarkEnd w:id="53"/>
    </w:p>
    <w:p w14:paraId="3E6D08F5">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年本年收入合计</w:t>
      </w:r>
      <w:r>
        <w:rPr>
          <w:rFonts w:hint="eastAsia" w:ascii="仿宋" w:hAnsi="仿宋" w:eastAsia="仿宋"/>
          <w:color w:val="000000"/>
          <w:sz w:val="32"/>
          <w:szCs w:val="32"/>
          <w:lang w:val="en-US" w:eastAsia="zh-CN"/>
        </w:rPr>
        <w:t>2923.05</w:t>
      </w:r>
      <w:r>
        <w:rPr>
          <w:rFonts w:hint="eastAsia" w:ascii="仿宋" w:hAnsi="仿宋" w:eastAsia="仿宋"/>
          <w:color w:val="000000"/>
          <w:sz w:val="32"/>
          <w:szCs w:val="32"/>
        </w:rPr>
        <w:t>万元，其中：一般公共预算财政拨款收入</w:t>
      </w:r>
      <w:r>
        <w:rPr>
          <w:rFonts w:hint="eastAsia" w:ascii="仿宋" w:hAnsi="仿宋" w:eastAsia="仿宋"/>
          <w:color w:val="000000"/>
          <w:sz w:val="32"/>
          <w:szCs w:val="32"/>
          <w:lang w:val="en-US" w:eastAsia="zh-CN"/>
        </w:rPr>
        <w:t>2886.99</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98.77</w:t>
      </w:r>
      <w:r>
        <w:rPr>
          <w:rFonts w:ascii="仿宋" w:hAnsi="仿宋" w:eastAsia="仿宋"/>
          <w:color w:val="000000"/>
          <w:sz w:val="32"/>
          <w:szCs w:val="32"/>
        </w:rPr>
        <w:t>%</w:t>
      </w:r>
      <w:r>
        <w:rPr>
          <w:rFonts w:hint="eastAsia" w:ascii="仿宋" w:hAnsi="仿宋" w:eastAsia="仿宋"/>
          <w:color w:val="000000"/>
          <w:sz w:val="32"/>
          <w:szCs w:val="32"/>
        </w:rPr>
        <w:t>；政府性基金预算财政拨款收入0万元，占0</w:t>
      </w:r>
      <w:r>
        <w:rPr>
          <w:rFonts w:ascii="仿宋" w:hAnsi="仿宋" w:eastAsia="仿宋"/>
          <w:color w:val="000000"/>
          <w:sz w:val="32"/>
          <w:szCs w:val="32"/>
        </w:rPr>
        <w:t>%</w:t>
      </w:r>
      <w:r>
        <w:rPr>
          <w:rFonts w:hint="eastAsia" w:ascii="仿宋" w:hAnsi="仿宋" w:eastAsia="仿宋"/>
          <w:color w:val="000000"/>
          <w:sz w:val="32"/>
          <w:szCs w:val="32"/>
        </w:rPr>
        <w:t>；上级补助收入0万元，占0</w:t>
      </w:r>
      <w:r>
        <w:rPr>
          <w:rFonts w:ascii="仿宋" w:hAnsi="仿宋" w:eastAsia="仿宋"/>
          <w:color w:val="000000"/>
          <w:sz w:val="32"/>
          <w:szCs w:val="32"/>
        </w:rPr>
        <w:t>%</w:t>
      </w:r>
      <w:r>
        <w:rPr>
          <w:rFonts w:hint="eastAsia" w:ascii="仿宋" w:hAnsi="仿宋" w:eastAsia="仿宋"/>
          <w:color w:val="000000"/>
          <w:sz w:val="32"/>
          <w:szCs w:val="32"/>
        </w:rPr>
        <w:t>；事业收入0万元，占0</w:t>
      </w:r>
      <w:r>
        <w:rPr>
          <w:rFonts w:ascii="仿宋" w:hAnsi="仿宋" w:eastAsia="仿宋"/>
          <w:color w:val="000000"/>
          <w:sz w:val="32"/>
          <w:szCs w:val="32"/>
        </w:rPr>
        <w:t>%</w:t>
      </w:r>
      <w:r>
        <w:rPr>
          <w:rFonts w:hint="eastAsia" w:ascii="仿宋" w:hAnsi="仿宋" w:eastAsia="仿宋"/>
          <w:color w:val="000000"/>
          <w:sz w:val="32"/>
          <w:szCs w:val="32"/>
        </w:rPr>
        <w:t>；经营收入0万元，占0</w:t>
      </w:r>
      <w:r>
        <w:rPr>
          <w:rFonts w:ascii="仿宋" w:hAnsi="仿宋" w:eastAsia="仿宋"/>
          <w:color w:val="000000"/>
          <w:sz w:val="32"/>
          <w:szCs w:val="32"/>
        </w:rPr>
        <w:t>%</w:t>
      </w:r>
      <w:r>
        <w:rPr>
          <w:rFonts w:hint="eastAsia" w:ascii="仿宋" w:hAnsi="仿宋" w:eastAsia="仿宋"/>
          <w:color w:val="000000"/>
          <w:sz w:val="32"/>
          <w:szCs w:val="32"/>
        </w:rPr>
        <w:t>；附属单位上缴收入0万元，占0</w:t>
      </w:r>
      <w:r>
        <w:rPr>
          <w:rFonts w:ascii="仿宋" w:hAnsi="仿宋" w:eastAsia="仿宋"/>
          <w:color w:val="000000"/>
          <w:sz w:val="32"/>
          <w:szCs w:val="32"/>
        </w:rPr>
        <w:t>%</w:t>
      </w:r>
      <w:r>
        <w:rPr>
          <w:rFonts w:hint="eastAsia" w:ascii="仿宋" w:hAnsi="仿宋" w:eastAsia="仿宋"/>
          <w:color w:val="000000"/>
          <w:sz w:val="32"/>
          <w:szCs w:val="32"/>
        </w:rPr>
        <w:t>；其他收入</w:t>
      </w:r>
      <w:r>
        <w:rPr>
          <w:rFonts w:hint="eastAsia" w:ascii="仿宋" w:hAnsi="仿宋" w:eastAsia="仿宋"/>
          <w:color w:val="000000"/>
          <w:sz w:val="32"/>
          <w:szCs w:val="32"/>
          <w:lang w:val="en-US" w:eastAsia="zh-CN"/>
        </w:rPr>
        <w:t>36.06</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1.23</w:t>
      </w:r>
      <w:r>
        <w:rPr>
          <w:rFonts w:ascii="仿宋" w:hAnsi="仿宋" w:eastAsia="仿宋"/>
          <w:color w:val="000000"/>
          <w:sz w:val="32"/>
          <w:szCs w:val="32"/>
        </w:rPr>
        <w:t>%</w:t>
      </w:r>
      <w:r>
        <w:rPr>
          <w:rFonts w:hint="eastAsia" w:ascii="仿宋" w:hAnsi="仿宋" w:eastAsia="仿宋"/>
          <w:color w:val="000000"/>
          <w:sz w:val="32"/>
          <w:szCs w:val="32"/>
        </w:rPr>
        <w:t>。</w:t>
      </w:r>
    </w:p>
    <w:p w14:paraId="421EFB67">
      <w:pPr>
        <w:spacing w:line="600" w:lineRule="exact"/>
        <w:rPr>
          <w:rFonts w:ascii="仿宋" w:hAnsi="仿宋" w:eastAsia="仿宋"/>
          <w:color w:val="FF0000"/>
          <w:sz w:val="32"/>
          <w:szCs w:val="32"/>
        </w:rPr>
      </w:pPr>
    </w:p>
    <w:p w14:paraId="13451355">
      <w:pPr>
        <w:spacing w:line="600" w:lineRule="exact"/>
        <w:ind w:firstLine="640" w:firstLineChars="200"/>
        <w:rPr>
          <w:rFonts w:ascii="仿宋_GB2312" w:eastAsia="仿宋_GB2312"/>
          <w:sz w:val="32"/>
          <w:szCs w:val="32"/>
        </w:rPr>
      </w:pPr>
      <w:r>
        <w:rPr>
          <w:rFonts w:hint="eastAsia" w:ascii="仿宋_GB2312" w:eastAsia="仿宋_GB2312"/>
          <w:sz w:val="32"/>
          <w:szCs w:val="32"/>
        </w:rPr>
        <w:t>（注：数据来源于财决</w:t>
      </w:r>
      <w:r>
        <w:rPr>
          <w:rFonts w:ascii="仿宋_GB2312" w:eastAsia="仿宋_GB2312"/>
          <w:sz w:val="32"/>
          <w:szCs w:val="32"/>
        </w:rPr>
        <w:t>0</w:t>
      </w:r>
      <w:r>
        <w:rPr>
          <w:rFonts w:hint="eastAsia" w:ascii="仿宋_GB2312" w:eastAsia="仿宋_GB2312"/>
          <w:sz w:val="32"/>
          <w:szCs w:val="32"/>
          <w:lang w:val="en-US" w:eastAsia="zh-CN"/>
        </w:rPr>
        <w:t>3</w:t>
      </w:r>
      <w:r>
        <w:rPr>
          <w:rFonts w:hint="eastAsia" w:ascii="仿宋_GB2312" w:eastAsia="仿宋_GB2312"/>
          <w:sz w:val="32"/>
          <w:szCs w:val="32"/>
        </w:rPr>
        <w:t>表）</w:t>
      </w:r>
    </w:p>
    <w:p w14:paraId="22B52C42">
      <w:pPr>
        <w:spacing w:line="600" w:lineRule="exact"/>
        <w:ind w:firstLine="640" w:firstLineChars="200"/>
        <w:jc w:val="left"/>
        <w:rPr>
          <w:rFonts w:ascii="仿宋" w:hAnsi="仿宋" w:eastAsia="仿宋"/>
          <w:color w:val="000000"/>
          <w:sz w:val="32"/>
          <w:szCs w:val="32"/>
        </w:rPr>
      </w:pPr>
    </w:p>
    <w:p w14:paraId="7C6194FF">
      <w:pPr>
        <w:spacing w:line="60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2</w:t>
      </w:r>
      <w:r>
        <w:rPr>
          <w:rFonts w:hint="eastAsia" w:ascii="仿宋" w:hAnsi="仿宋" w:eastAsia="仿宋"/>
          <w:color w:val="000000"/>
          <w:sz w:val="32"/>
          <w:szCs w:val="32"/>
        </w:rPr>
        <w:t>：收入决算结构图）（饼状图）</w:t>
      </w:r>
    </w:p>
    <w:p w14:paraId="397701C6">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0288" behindDoc="0" locked="0" layoutInCell="1" allowOverlap="1">
            <wp:simplePos x="0" y="0"/>
            <wp:positionH relativeFrom="column">
              <wp:posOffset>572770</wp:posOffset>
            </wp:positionH>
            <wp:positionV relativeFrom="paragraph">
              <wp:posOffset>307340</wp:posOffset>
            </wp:positionV>
            <wp:extent cx="5089525" cy="2890520"/>
            <wp:effectExtent l="4445" t="4445" r="11430" b="19685"/>
            <wp:wrapNone/>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04F0CFE1">
      <w:pPr>
        <w:spacing w:line="600" w:lineRule="exact"/>
        <w:ind w:firstLine="640" w:firstLineChars="200"/>
        <w:rPr>
          <w:rFonts w:ascii="仿宋" w:hAnsi="仿宋" w:eastAsia="仿宋"/>
          <w:color w:val="000000"/>
          <w:sz w:val="32"/>
          <w:szCs w:val="32"/>
        </w:rPr>
      </w:pPr>
    </w:p>
    <w:p w14:paraId="2C5DDE81">
      <w:pPr>
        <w:spacing w:line="600" w:lineRule="exact"/>
        <w:ind w:firstLine="640" w:firstLineChars="200"/>
        <w:rPr>
          <w:rFonts w:ascii="仿宋" w:hAnsi="仿宋" w:eastAsia="仿宋"/>
          <w:color w:val="000000"/>
          <w:sz w:val="32"/>
          <w:szCs w:val="32"/>
        </w:rPr>
      </w:pPr>
    </w:p>
    <w:p w14:paraId="6854D1CF">
      <w:pPr>
        <w:spacing w:line="600" w:lineRule="exact"/>
        <w:ind w:firstLine="640" w:firstLineChars="200"/>
        <w:rPr>
          <w:rFonts w:ascii="仿宋" w:hAnsi="仿宋" w:eastAsia="仿宋"/>
          <w:color w:val="000000"/>
          <w:sz w:val="32"/>
          <w:szCs w:val="32"/>
        </w:rPr>
      </w:pPr>
    </w:p>
    <w:p w14:paraId="64BA82D4">
      <w:pPr>
        <w:spacing w:line="600" w:lineRule="exact"/>
        <w:ind w:firstLine="640" w:firstLineChars="200"/>
        <w:rPr>
          <w:rFonts w:ascii="仿宋" w:hAnsi="仿宋" w:eastAsia="仿宋"/>
          <w:color w:val="000000"/>
          <w:sz w:val="32"/>
          <w:szCs w:val="32"/>
        </w:rPr>
      </w:pPr>
    </w:p>
    <w:p w14:paraId="73C1C1E3">
      <w:pPr>
        <w:spacing w:line="600" w:lineRule="exact"/>
        <w:ind w:firstLine="640" w:firstLineChars="200"/>
        <w:rPr>
          <w:rFonts w:ascii="仿宋" w:hAnsi="仿宋" w:eastAsia="仿宋"/>
          <w:color w:val="000000"/>
          <w:sz w:val="32"/>
          <w:szCs w:val="32"/>
        </w:rPr>
      </w:pPr>
    </w:p>
    <w:p w14:paraId="247DA360">
      <w:pPr>
        <w:spacing w:line="600" w:lineRule="exact"/>
        <w:ind w:firstLine="640" w:firstLineChars="200"/>
        <w:rPr>
          <w:rFonts w:ascii="仿宋" w:hAnsi="仿宋" w:eastAsia="仿宋"/>
          <w:color w:val="000000"/>
          <w:sz w:val="32"/>
          <w:szCs w:val="32"/>
        </w:rPr>
      </w:pPr>
    </w:p>
    <w:p w14:paraId="1AFF9971">
      <w:pPr>
        <w:spacing w:line="600" w:lineRule="exact"/>
        <w:ind w:firstLine="640" w:firstLineChars="200"/>
        <w:rPr>
          <w:rFonts w:ascii="仿宋" w:hAnsi="仿宋" w:eastAsia="仿宋"/>
          <w:color w:val="000000"/>
          <w:sz w:val="32"/>
          <w:szCs w:val="32"/>
        </w:rPr>
      </w:pPr>
    </w:p>
    <w:p w14:paraId="6E7C0A9F">
      <w:pPr>
        <w:spacing w:line="600" w:lineRule="exact"/>
        <w:rPr>
          <w:rFonts w:ascii="仿宋" w:hAnsi="仿宋" w:eastAsia="仿宋"/>
          <w:color w:val="000000"/>
          <w:sz w:val="32"/>
          <w:szCs w:val="32"/>
        </w:rPr>
      </w:pPr>
    </w:p>
    <w:p w14:paraId="2999E289">
      <w:pPr>
        <w:pStyle w:val="35"/>
        <w:spacing w:line="600" w:lineRule="exact"/>
        <w:ind w:firstLine="0" w:firstLineChars="0"/>
        <w:outlineLvl w:val="1"/>
        <w:rPr>
          <w:rStyle w:val="25"/>
          <w:rFonts w:ascii="黑体" w:hAnsi="黑体" w:eastAsia="黑体"/>
          <w:b w:val="0"/>
        </w:rPr>
      </w:pPr>
      <w:bookmarkStart w:id="54" w:name="_Toc23921_WPSOffice_Level2"/>
      <w:bookmarkStart w:id="55" w:name="_Toc79163612"/>
      <w:bookmarkStart w:id="56" w:name="_Toc15396605"/>
      <w:bookmarkStart w:id="57" w:name="_Toc17127_WPSOffice_Level2"/>
      <w:bookmarkStart w:id="58" w:name="_Toc15377207"/>
      <w:bookmarkStart w:id="59" w:name="_Toc79163862"/>
      <w:r>
        <w:rPr>
          <w:rFonts w:hint="eastAsia" w:ascii="黑体" w:hAnsi="黑体" w:eastAsia="黑体"/>
          <w:color w:val="000000"/>
          <w:sz w:val="32"/>
          <w:szCs w:val="32"/>
        </w:rPr>
        <w:t>三、支</w:t>
      </w:r>
      <w:r>
        <w:rPr>
          <w:rStyle w:val="25"/>
          <w:rFonts w:hint="eastAsia" w:ascii="黑体" w:hAnsi="黑体" w:eastAsia="黑体"/>
          <w:b w:val="0"/>
        </w:rPr>
        <w:t>出决算情况说明</w:t>
      </w:r>
      <w:bookmarkEnd w:id="54"/>
      <w:bookmarkEnd w:id="55"/>
      <w:bookmarkEnd w:id="56"/>
      <w:bookmarkEnd w:id="57"/>
      <w:bookmarkEnd w:id="58"/>
      <w:bookmarkEnd w:id="59"/>
    </w:p>
    <w:p w14:paraId="40FD7F65">
      <w:pPr>
        <w:spacing w:line="600" w:lineRule="exact"/>
        <w:ind w:firstLine="640" w:firstLineChars="20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lang w:val="en-US" w:eastAsia="zh-CN"/>
        </w:rPr>
        <w:t>25</w:t>
      </w:r>
      <w:r>
        <w:rPr>
          <w:rFonts w:hint="eastAsia" w:ascii="仿宋_GB2312" w:eastAsia="仿宋_GB2312"/>
          <w:sz w:val="32"/>
          <w:szCs w:val="32"/>
        </w:rPr>
        <w:t>年本年支出合计</w:t>
      </w:r>
      <w:r>
        <w:rPr>
          <w:rFonts w:hint="eastAsia" w:ascii="仿宋_GB2312" w:eastAsia="仿宋_GB2312"/>
          <w:sz w:val="32"/>
          <w:szCs w:val="32"/>
          <w:lang w:val="en-US" w:eastAsia="zh-CN"/>
        </w:rPr>
        <w:t>2923.05</w:t>
      </w:r>
      <w:r>
        <w:rPr>
          <w:rFonts w:hint="eastAsia" w:ascii="仿宋_GB2312" w:eastAsia="仿宋_GB2312"/>
          <w:sz w:val="32"/>
          <w:szCs w:val="32"/>
        </w:rPr>
        <w:t>万元，其中：基本支出</w:t>
      </w:r>
      <w:r>
        <w:rPr>
          <w:rFonts w:hint="eastAsia" w:ascii="仿宋_GB2312" w:eastAsia="仿宋_GB2312"/>
          <w:sz w:val="32"/>
          <w:szCs w:val="32"/>
          <w:lang w:val="en-US" w:eastAsia="zh-CN"/>
        </w:rPr>
        <w:t>2685.40</w:t>
      </w:r>
      <w:r>
        <w:rPr>
          <w:rFonts w:hint="eastAsia" w:ascii="仿宋_GB2312" w:eastAsia="仿宋_GB2312"/>
          <w:sz w:val="32"/>
          <w:szCs w:val="32"/>
        </w:rPr>
        <w:t>万元，占</w:t>
      </w:r>
      <w:r>
        <w:rPr>
          <w:rFonts w:hint="eastAsia" w:ascii="仿宋_GB2312" w:eastAsia="仿宋_GB2312"/>
          <w:sz w:val="32"/>
          <w:szCs w:val="32"/>
          <w:lang w:val="en-US" w:eastAsia="zh-CN"/>
        </w:rPr>
        <w:t>91.87</w:t>
      </w:r>
      <w:r>
        <w:rPr>
          <w:rFonts w:ascii="仿宋_GB2312" w:eastAsia="仿宋_GB2312"/>
          <w:sz w:val="32"/>
          <w:szCs w:val="32"/>
        </w:rPr>
        <w:t>%</w:t>
      </w:r>
      <w:r>
        <w:rPr>
          <w:rFonts w:hint="eastAsia" w:ascii="仿宋_GB2312" w:eastAsia="仿宋_GB2312"/>
          <w:sz w:val="32"/>
          <w:szCs w:val="32"/>
        </w:rPr>
        <w:t>；项目支出</w:t>
      </w:r>
      <w:r>
        <w:rPr>
          <w:rFonts w:hint="eastAsia" w:ascii="仿宋_GB2312" w:eastAsia="仿宋_GB2312"/>
          <w:sz w:val="32"/>
          <w:szCs w:val="32"/>
          <w:lang w:val="en-US" w:eastAsia="zh-CN"/>
        </w:rPr>
        <w:t>237.65</w:t>
      </w:r>
      <w:r>
        <w:rPr>
          <w:rFonts w:hint="eastAsia" w:ascii="仿宋_GB2312" w:eastAsia="仿宋_GB2312"/>
          <w:sz w:val="32"/>
          <w:szCs w:val="32"/>
        </w:rPr>
        <w:t>万元，占</w:t>
      </w:r>
      <w:r>
        <w:rPr>
          <w:rFonts w:hint="eastAsia" w:ascii="仿宋_GB2312" w:eastAsia="仿宋_GB2312"/>
          <w:sz w:val="32"/>
          <w:szCs w:val="32"/>
          <w:lang w:val="en-US" w:eastAsia="zh-CN"/>
        </w:rPr>
        <w:t>8.13</w:t>
      </w:r>
      <w:r>
        <w:rPr>
          <w:rFonts w:ascii="仿宋_GB2312" w:eastAsia="仿宋_GB2312"/>
          <w:sz w:val="32"/>
          <w:szCs w:val="32"/>
        </w:rPr>
        <w:t>%</w:t>
      </w:r>
      <w:r>
        <w:rPr>
          <w:rFonts w:hint="eastAsia" w:ascii="仿宋_GB2312" w:eastAsia="仿宋_GB2312"/>
          <w:sz w:val="32"/>
          <w:szCs w:val="32"/>
        </w:rPr>
        <w:t>；上缴上级支出0万元，占0</w:t>
      </w:r>
      <w:r>
        <w:rPr>
          <w:rFonts w:ascii="仿宋_GB2312" w:eastAsia="仿宋_GB2312"/>
          <w:sz w:val="32"/>
          <w:szCs w:val="32"/>
        </w:rPr>
        <w:t>%</w:t>
      </w:r>
      <w:r>
        <w:rPr>
          <w:rFonts w:hint="eastAsia" w:ascii="仿宋_GB2312" w:eastAsia="仿宋_GB2312"/>
          <w:sz w:val="32"/>
          <w:szCs w:val="32"/>
        </w:rPr>
        <w:t>；经营支出0万元，占0</w:t>
      </w:r>
      <w:r>
        <w:rPr>
          <w:rFonts w:ascii="仿宋_GB2312" w:eastAsia="仿宋_GB2312"/>
          <w:sz w:val="32"/>
          <w:szCs w:val="32"/>
        </w:rPr>
        <w:t>%</w:t>
      </w:r>
      <w:r>
        <w:rPr>
          <w:rFonts w:hint="eastAsia" w:ascii="仿宋_GB2312" w:eastAsia="仿宋_GB2312"/>
          <w:sz w:val="32"/>
          <w:szCs w:val="32"/>
        </w:rPr>
        <w:t>；对附属单位补助支出0万元，占0</w:t>
      </w:r>
      <w:r>
        <w:rPr>
          <w:rFonts w:ascii="仿宋_GB2312" w:eastAsia="仿宋_GB2312"/>
          <w:sz w:val="32"/>
          <w:szCs w:val="32"/>
        </w:rPr>
        <w:t>%</w:t>
      </w:r>
      <w:r>
        <w:rPr>
          <w:rFonts w:hint="eastAsia" w:ascii="仿宋_GB2312" w:eastAsia="仿宋_GB2312"/>
          <w:sz w:val="32"/>
          <w:szCs w:val="32"/>
        </w:rPr>
        <w:t>。</w:t>
      </w:r>
    </w:p>
    <w:p w14:paraId="16993C84">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3</w:t>
      </w:r>
      <w:r>
        <w:rPr>
          <w:rFonts w:hint="eastAsia" w:ascii="仿宋" w:hAnsi="仿宋" w:eastAsia="仿宋"/>
          <w:color w:val="000000"/>
          <w:sz w:val="32"/>
          <w:szCs w:val="32"/>
        </w:rPr>
        <w:t>：支出决算结构图）（饼状图）</w:t>
      </w:r>
    </w:p>
    <w:p w14:paraId="18DDC24C">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drawing>
          <wp:anchor distT="0" distB="0" distL="114300" distR="114300" simplePos="0" relativeHeight="251661312" behindDoc="0" locked="0" layoutInCell="1" allowOverlap="1">
            <wp:simplePos x="0" y="0"/>
            <wp:positionH relativeFrom="column">
              <wp:posOffset>541020</wp:posOffset>
            </wp:positionH>
            <wp:positionV relativeFrom="paragraph">
              <wp:posOffset>104140</wp:posOffset>
            </wp:positionV>
            <wp:extent cx="5020945" cy="2715895"/>
            <wp:effectExtent l="4445" t="4445" r="22860" b="22860"/>
            <wp:wrapNone/>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0550A036">
      <w:pPr>
        <w:spacing w:line="600" w:lineRule="exact"/>
        <w:ind w:firstLine="640" w:firstLineChars="200"/>
        <w:rPr>
          <w:rFonts w:ascii="仿宋" w:hAnsi="仿宋" w:eastAsia="仿宋"/>
          <w:color w:val="000000"/>
          <w:sz w:val="32"/>
          <w:szCs w:val="32"/>
        </w:rPr>
      </w:pPr>
    </w:p>
    <w:p w14:paraId="728C7699">
      <w:pPr>
        <w:spacing w:line="600" w:lineRule="exact"/>
        <w:ind w:firstLine="640" w:firstLineChars="200"/>
        <w:rPr>
          <w:rFonts w:ascii="仿宋" w:hAnsi="仿宋" w:eastAsia="仿宋"/>
          <w:color w:val="000000"/>
          <w:sz w:val="32"/>
          <w:szCs w:val="32"/>
        </w:rPr>
      </w:pPr>
    </w:p>
    <w:p w14:paraId="35E72AAB">
      <w:pPr>
        <w:spacing w:line="600" w:lineRule="exact"/>
        <w:ind w:firstLine="640" w:firstLineChars="200"/>
        <w:rPr>
          <w:rFonts w:ascii="仿宋" w:hAnsi="仿宋" w:eastAsia="仿宋"/>
          <w:color w:val="000000"/>
          <w:sz w:val="32"/>
          <w:szCs w:val="32"/>
        </w:rPr>
      </w:pPr>
    </w:p>
    <w:p w14:paraId="3818CE64">
      <w:pPr>
        <w:spacing w:line="600" w:lineRule="exact"/>
        <w:ind w:firstLine="640" w:firstLineChars="200"/>
        <w:rPr>
          <w:rFonts w:ascii="仿宋" w:hAnsi="仿宋" w:eastAsia="仿宋"/>
          <w:color w:val="000000"/>
          <w:sz w:val="32"/>
          <w:szCs w:val="32"/>
        </w:rPr>
      </w:pPr>
    </w:p>
    <w:p w14:paraId="3D25D302">
      <w:pPr>
        <w:spacing w:line="600" w:lineRule="exact"/>
        <w:ind w:firstLine="640" w:firstLineChars="200"/>
        <w:rPr>
          <w:rFonts w:ascii="仿宋" w:hAnsi="仿宋" w:eastAsia="仿宋"/>
          <w:color w:val="000000"/>
          <w:sz w:val="32"/>
          <w:szCs w:val="32"/>
        </w:rPr>
      </w:pPr>
    </w:p>
    <w:p w14:paraId="53ADD49F">
      <w:pPr>
        <w:spacing w:line="600" w:lineRule="exact"/>
        <w:outlineLvl w:val="1"/>
        <w:rPr>
          <w:rFonts w:hint="eastAsia" w:ascii="黑体" w:hAnsi="黑体" w:eastAsia="黑体"/>
          <w:color w:val="000000"/>
          <w:sz w:val="32"/>
          <w:szCs w:val="32"/>
        </w:rPr>
      </w:pPr>
      <w:bookmarkStart w:id="60" w:name="_Toc15396606"/>
      <w:bookmarkStart w:id="61" w:name="_Toc7947_WPSOffice_Level2"/>
      <w:bookmarkStart w:id="62" w:name="_Toc15377208"/>
      <w:bookmarkStart w:id="63" w:name="_Toc79163863"/>
      <w:bookmarkStart w:id="64" w:name="_Toc8275_WPSOffice_Level2"/>
      <w:bookmarkStart w:id="65" w:name="_Toc79163613"/>
    </w:p>
    <w:p w14:paraId="61E490B9">
      <w:pPr>
        <w:spacing w:line="600" w:lineRule="exact"/>
        <w:outlineLvl w:val="1"/>
        <w:rPr>
          <w:rStyle w:val="25"/>
          <w:rFonts w:ascii="黑体" w:hAnsi="黑体" w:eastAsia="黑体"/>
          <w:b w:val="0"/>
        </w:rPr>
      </w:pPr>
      <w:r>
        <w:rPr>
          <w:rFonts w:hint="eastAsia" w:ascii="黑体" w:hAnsi="黑体" w:eastAsia="黑体"/>
          <w:color w:val="000000"/>
          <w:sz w:val="32"/>
          <w:szCs w:val="32"/>
        </w:rPr>
        <w:t>四、财</w:t>
      </w:r>
      <w:r>
        <w:rPr>
          <w:rStyle w:val="25"/>
          <w:rFonts w:hint="eastAsia" w:ascii="黑体" w:hAnsi="黑体" w:eastAsia="黑体"/>
          <w:b w:val="0"/>
        </w:rPr>
        <w:t>政拨款收入支出决算总体情况说明</w:t>
      </w:r>
      <w:bookmarkEnd w:id="60"/>
      <w:bookmarkEnd w:id="61"/>
      <w:bookmarkEnd w:id="62"/>
      <w:bookmarkEnd w:id="63"/>
      <w:bookmarkEnd w:id="64"/>
      <w:bookmarkEnd w:id="65"/>
    </w:p>
    <w:p w14:paraId="246B1DAC">
      <w:pPr>
        <w:spacing w:line="600" w:lineRule="exact"/>
        <w:ind w:firstLine="640" w:firstLineChars="200"/>
        <w:rPr>
          <w:rFonts w:ascii="仿宋" w:hAnsi="仿宋" w:eastAsia="仿宋"/>
          <w:color w:val="222A35" w:themeColor="text2" w:themeShade="80"/>
          <w:sz w:val="32"/>
          <w:szCs w:val="32"/>
        </w:rPr>
      </w:pPr>
      <w:r>
        <w:rPr>
          <w:rFonts w:ascii="仿宋" w:hAnsi="仿宋" w:eastAsia="仿宋"/>
          <w:color w:val="222A35" w:themeColor="text2" w:themeShade="80"/>
          <w:sz w:val="32"/>
          <w:szCs w:val="32"/>
        </w:rPr>
        <w:t>202</w:t>
      </w:r>
      <w:r>
        <w:rPr>
          <w:rFonts w:hint="eastAsia" w:ascii="仿宋" w:hAnsi="仿宋" w:eastAsia="仿宋"/>
          <w:color w:val="222A35" w:themeColor="text2" w:themeShade="80"/>
          <w:sz w:val="32"/>
          <w:szCs w:val="32"/>
          <w:lang w:val="en-US" w:eastAsia="zh-CN"/>
        </w:rPr>
        <w:t>5</w:t>
      </w:r>
      <w:r>
        <w:rPr>
          <w:rFonts w:hint="eastAsia" w:ascii="仿宋" w:hAnsi="仿宋" w:eastAsia="仿宋"/>
          <w:color w:val="222A35" w:themeColor="text2" w:themeShade="80"/>
          <w:sz w:val="32"/>
          <w:szCs w:val="32"/>
        </w:rPr>
        <w:t>年财政拨款收入总计</w:t>
      </w:r>
      <w:r>
        <w:rPr>
          <w:rFonts w:hint="eastAsia" w:ascii="仿宋" w:hAnsi="仿宋" w:eastAsia="仿宋"/>
          <w:color w:val="222A35" w:themeColor="text2" w:themeShade="80"/>
          <w:sz w:val="32"/>
          <w:szCs w:val="32"/>
          <w:lang w:val="en-US" w:eastAsia="zh-CN"/>
        </w:rPr>
        <w:t>2886.99</w:t>
      </w:r>
      <w:r>
        <w:rPr>
          <w:rFonts w:hint="eastAsia" w:ascii="仿宋" w:hAnsi="仿宋" w:eastAsia="仿宋"/>
          <w:color w:val="222A35" w:themeColor="text2" w:themeShade="80"/>
          <w:sz w:val="32"/>
          <w:szCs w:val="32"/>
        </w:rPr>
        <w:t>万元。与</w:t>
      </w:r>
      <w:r>
        <w:rPr>
          <w:rFonts w:ascii="仿宋" w:hAnsi="仿宋" w:eastAsia="仿宋"/>
          <w:color w:val="222A35" w:themeColor="text2" w:themeShade="80"/>
          <w:sz w:val="32"/>
          <w:szCs w:val="32"/>
        </w:rPr>
        <w:t>20</w:t>
      </w:r>
      <w:r>
        <w:rPr>
          <w:rFonts w:hint="eastAsia" w:ascii="仿宋" w:hAnsi="仿宋" w:eastAsia="仿宋"/>
          <w:color w:val="222A35" w:themeColor="text2" w:themeShade="80"/>
          <w:sz w:val="32"/>
          <w:szCs w:val="32"/>
        </w:rPr>
        <w:t>2</w:t>
      </w:r>
      <w:r>
        <w:rPr>
          <w:rFonts w:hint="eastAsia" w:ascii="仿宋" w:hAnsi="仿宋" w:eastAsia="仿宋"/>
          <w:color w:val="222A35" w:themeColor="text2" w:themeShade="80"/>
          <w:sz w:val="32"/>
          <w:szCs w:val="32"/>
          <w:lang w:val="en-US" w:eastAsia="zh-CN"/>
        </w:rPr>
        <w:t>4</w:t>
      </w:r>
      <w:r>
        <w:rPr>
          <w:rFonts w:hint="eastAsia" w:ascii="仿宋" w:hAnsi="仿宋" w:eastAsia="仿宋"/>
          <w:color w:val="222A35" w:themeColor="text2" w:themeShade="80"/>
          <w:sz w:val="32"/>
          <w:szCs w:val="32"/>
        </w:rPr>
        <w:t>年相比，财政拨款收入总计</w:t>
      </w:r>
      <w:r>
        <w:rPr>
          <w:rFonts w:hint="eastAsia" w:ascii="仿宋" w:hAnsi="仿宋" w:eastAsia="仿宋"/>
          <w:color w:val="222A35" w:themeColor="text2" w:themeShade="80"/>
          <w:sz w:val="32"/>
          <w:szCs w:val="32"/>
          <w:lang w:eastAsia="zh-CN"/>
        </w:rPr>
        <w:t>增</w:t>
      </w:r>
      <w:r>
        <w:rPr>
          <w:rFonts w:hint="eastAsia" w:ascii="仿宋" w:hAnsi="仿宋" w:eastAsia="仿宋"/>
          <w:color w:val="222A35" w:themeColor="text2" w:themeShade="80"/>
          <w:sz w:val="32"/>
          <w:szCs w:val="32"/>
        </w:rPr>
        <w:t>加</w:t>
      </w:r>
      <w:r>
        <w:rPr>
          <w:rFonts w:hint="eastAsia" w:ascii="仿宋" w:hAnsi="仿宋" w:eastAsia="仿宋"/>
          <w:color w:val="222A35" w:themeColor="text2" w:themeShade="80"/>
          <w:sz w:val="32"/>
          <w:szCs w:val="32"/>
          <w:lang w:val="en-US" w:eastAsia="zh-CN"/>
        </w:rPr>
        <w:t>29.78</w:t>
      </w:r>
      <w:r>
        <w:rPr>
          <w:rFonts w:hint="eastAsia" w:ascii="仿宋" w:hAnsi="仿宋" w:eastAsia="仿宋"/>
          <w:color w:val="222A35" w:themeColor="text2" w:themeShade="80"/>
          <w:sz w:val="32"/>
          <w:szCs w:val="32"/>
        </w:rPr>
        <w:t>万元，增长</w:t>
      </w:r>
      <w:r>
        <w:rPr>
          <w:rFonts w:hint="eastAsia" w:ascii="仿宋" w:hAnsi="仿宋" w:eastAsia="仿宋"/>
          <w:color w:val="222A35" w:themeColor="text2" w:themeShade="80"/>
          <w:sz w:val="32"/>
          <w:szCs w:val="32"/>
          <w:lang w:val="en-US" w:eastAsia="zh-CN"/>
        </w:rPr>
        <w:t>1.04</w:t>
      </w:r>
      <w:r>
        <w:rPr>
          <w:rFonts w:hint="eastAsia" w:ascii="仿宋" w:hAnsi="仿宋" w:eastAsia="仿宋"/>
          <w:color w:val="222A35" w:themeColor="text2" w:themeShade="80"/>
          <w:sz w:val="32"/>
          <w:szCs w:val="32"/>
        </w:rPr>
        <w:t xml:space="preserve"> </w:t>
      </w:r>
      <w:r>
        <w:rPr>
          <w:rFonts w:ascii="仿宋" w:hAnsi="仿宋" w:eastAsia="仿宋"/>
          <w:color w:val="222A35" w:themeColor="text2" w:themeShade="80"/>
          <w:sz w:val="32"/>
          <w:szCs w:val="32"/>
        </w:rPr>
        <w:t>%</w:t>
      </w:r>
      <w:r>
        <w:rPr>
          <w:rFonts w:hint="eastAsia" w:ascii="仿宋" w:hAnsi="仿宋" w:eastAsia="仿宋"/>
          <w:color w:val="222A35" w:themeColor="text2" w:themeShade="80"/>
          <w:sz w:val="32"/>
          <w:szCs w:val="32"/>
        </w:rPr>
        <w:t>。</w:t>
      </w:r>
      <w:r>
        <w:rPr>
          <w:rFonts w:ascii="仿宋" w:hAnsi="仿宋" w:eastAsia="仿宋"/>
          <w:color w:val="222A35" w:themeColor="text2" w:themeShade="80"/>
          <w:sz w:val="32"/>
          <w:szCs w:val="32"/>
        </w:rPr>
        <w:t>202</w:t>
      </w:r>
      <w:r>
        <w:rPr>
          <w:rFonts w:hint="eastAsia" w:ascii="仿宋" w:hAnsi="仿宋" w:eastAsia="仿宋"/>
          <w:color w:val="222A35" w:themeColor="text2" w:themeShade="80"/>
          <w:sz w:val="32"/>
          <w:szCs w:val="32"/>
          <w:lang w:val="en-US" w:eastAsia="zh-CN"/>
        </w:rPr>
        <w:t>5</w:t>
      </w:r>
      <w:r>
        <w:rPr>
          <w:rFonts w:hint="eastAsia" w:ascii="仿宋" w:hAnsi="仿宋" w:eastAsia="仿宋"/>
          <w:color w:val="222A35" w:themeColor="text2" w:themeShade="80"/>
          <w:sz w:val="32"/>
          <w:szCs w:val="32"/>
        </w:rPr>
        <w:t>年财政拨款支出总计</w:t>
      </w:r>
      <w:r>
        <w:rPr>
          <w:rFonts w:hint="eastAsia" w:ascii="仿宋" w:hAnsi="仿宋" w:eastAsia="仿宋"/>
          <w:color w:val="222A35" w:themeColor="text2" w:themeShade="80"/>
          <w:sz w:val="32"/>
          <w:szCs w:val="32"/>
          <w:lang w:val="en-US" w:eastAsia="zh-CN"/>
        </w:rPr>
        <w:t>2886.99</w:t>
      </w:r>
      <w:r>
        <w:rPr>
          <w:rFonts w:hint="eastAsia" w:ascii="仿宋" w:hAnsi="仿宋" w:eastAsia="仿宋"/>
          <w:color w:val="222A35" w:themeColor="text2" w:themeShade="80"/>
          <w:sz w:val="32"/>
          <w:szCs w:val="32"/>
        </w:rPr>
        <w:t>万元。与</w:t>
      </w:r>
      <w:r>
        <w:rPr>
          <w:rFonts w:ascii="仿宋" w:hAnsi="仿宋" w:eastAsia="仿宋"/>
          <w:color w:val="222A35" w:themeColor="text2" w:themeShade="80"/>
          <w:sz w:val="32"/>
          <w:szCs w:val="32"/>
        </w:rPr>
        <w:t>20</w:t>
      </w:r>
      <w:r>
        <w:rPr>
          <w:rFonts w:hint="eastAsia" w:ascii="仿宋" w:hAnsi="仿宋" w:eastAsia="仿宋"/>
          <w:color w:val="222A35" w:themeColor="text2" w:themeShade="80"/>
          <w:sz w:val="32"/>
          <w:szCs w:val="32"/>
        </w:rPr>
        <w:t>2</w:t>
      </w:r>
      <w:r>
        <w:rPr>
          <w:rFonts w:hint="eastAsia" w:ascii="仿宋" w:hAnsi="仿宋" w:eastAsia="仿宋"/>
          <w:color w:val="222A35" w:themeColor="text2" w:themeShade="80"/>
          <w:sz w:val="32"/>
          <w:szCs w:val="32"/>
          <w:lang w:val="en-US" w:eastAsia="zh-CN"/>
        </w:rPr>
        <w:t>4</w:t>
      </w:r>
      <w:r>
        <w:rPr>
          <w:rFonts w:hint="eastAsia" w:ascii="仿宋" w:hAnsi="仿宋" w:eastAsia="仿宋"/>
          <w:color w:val="222A35" w:themeColor="text2" w:themeShade="80"/>
          <w:sz w:val="32"/>
          <w:szCs w:val="32"/>
        </w:rPr>
        <w:t>年相比，财政拨款支出总计增加</w:t>
      </w:r>
      <w:r>
        <w:rPr>
          <w:rFonts w:hint="eastAsia" w:ascii="仿宋" w:hAnsi="仿宋" w:eastAsia="仿宋"/>
          <w:color w:val="222A35" w:themeColor="text2" w:themeShade="80"/>
          <w:sz w:val="32"/>
          <w:szCs w:val="32"/>
          <w:lang w:val="en-US" w:eastAsia="zh-CN"/>
        </w:rPr>
        <w:t>29.78</w:t>
      </w:r>
      <w:r>
        <w:rPr>
          <w:rFonts w:hint="eastAsia" w:ascii="仿宋" w:hAnsi="仿宋" w:eastAsia="仿宋"/>
          <w:color w:val="222A35" w:themeColor="text2" w:themeShade="80"/>
          <w:sz w:val="32"/>
          <w:szCs w:val="32"/>
        </w:rPr>
        <w:t>万元，增长</w:t>
      </w:r>
      <w:r>
        <w:rPr>
          <w:rFonts w:hint="eastAsia" w:ascii="仿宋" w:hAnsi="仿宋" w:eastAsia="仿宋"/>
          <w:color w:val="222A35" w:themeColor="text2" w:themeShade="80"/>
          <w:sz w:val="32"/>
          <w:szCs w:val="32"/>
          <w:lang w:val="en-US" w:eastAsia="zh-CN"/>
        </w:rPr>
        <w:t>1.04</w:t>
      </w:r>
      <w:r>
        <w:rPr>
          <w:rFonts w:hint="eastAsia" w:ascii="仿宋" w:hAnsi="仿宋" w:eastAsia="仿宋"/>
          <w:color w:val="222A35" w:themeColor="text2" w:themeShade="80"/>
          <w:sz w:val="32"/>
          <w:szCs w:val="32"/>
        </w:rPr>
        <w:t xml:space="preserve"> </w:t>
      </w:r>
      <w:r>
        <w:rPr>
          <w:rFonts w:ascii="仿宋" w:hAnsi="仿宋" w:eastAsia="仿宋"/>
          <w:color w:val="222A35" w:themeColor="text2" w:themeShade="80"/>
          <w:sz w:val="32"/>
          <w:szCs w:val="32"/>
        </w:rPr>
        <w:t>%</w:t>
      </w:r>
      <w:r>
        <w:rPr>
          <w:rFonts w:hint="eastAsia" w:ascii="仿宋" w:hAnsi="仿宋" w:eastAsia="仿宋"/>
          <w:color w:val="222A35" w:themeColor="text2" w:themeShade="80"/>
          <w:sz w:val="32"/>
          <w:szCs w:val="32"/>
        </w:rPr>
        <w:t>.主要变动原因是本年公用经费增加，上级补助收入增加。</w:t>
      </w:r>
    </w:p>
    <w:p w14:paraId="776C8952">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4</w:t>
      </w:r>
      <w:r>
        <w:rPr>
          <w:rFonts w:hint="eastAsia" w:ascii="仿宋" w:hAnsi="仿宋" w:eastAsia="仿宋"/>
          <w:color w:val="000000"/>
          <w:sz w:val="32"/>
          <w:szCs w:val="32"/>
        </w:rPr>
        <w:t>：财政拨款收、支决算总计变动情况）（柱状图）</w:t>
      </w:r>
    </w:p>
    <w:p w14:paraId="57AF6E2D">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2336" behindDoc="0" locked="0" layoutInCell="1" allowOverlap="1">
            <wp:simplePos x="0" y="0"/>
            <wp:positionH relativeFrom="column">
              <wp:posOffset>525145</wp:posOffset>
            </wp:positionH>
            <wp:positionV relativeFrom="paragraph">
              <wp:posOffset>161925</wp:posOffset>
            </wp:positionV>
            <wp:extent cx="5241925" cy="3610610"/>
            <wp:effectExtent l="4445" t="4445" r="11430" b="23495"/>
            <wp:wrapNone/>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072A7937">
      <w:pPr>
        <w:spacing w:line="600" w:lineRule="exact"/>
        <w:ind w:firstLine="640" w:firstLineChars="200"/>
        <w:rPr>
          <w:rFonts w:ascii="仿宋" w:hAnsi="仿宋" w:eastAsia="仿宋"/>
          <w:color w:val="000000"/>
          <w:sz w:val="32"/>
          <w:szCs w:val="32"/>
        </w:rPr>
      </w:pPr>
    </w:p>
    <w:p w14:paraId="6F86437C">
      <w:pPr>
        <w:spacing w:line="600" w:lineRule="exact"/>
        <w:ind w:firstLine="640" w:firstLineChars="200"/>
        <w:rPr>
          <w:rFonts w:ascii="仿宋" w:hAnsi="仿宋" w:eastAsia="仿宋"/>
          <w:color w:val="000000"/>
          <w:sz w:val="32"/>
          <w:szCs w:val="32"/>
        </w:rPr>
      </w:pPr>
    </w:p>
    <w:p w14:paraId="005BC5A8">
      <w:pPr>
        <w:spacing w:line="600" w:lineRule="exact"/>
        <w:ind w:firstLine="640" w:firstLineChars="200"/>
        <w:rPr>
          <w:rFonts w:ascii="仿宋" w:hAnsi="仿宋" w:eastAsia="仿宋"/>
          <w:color w:val="000000"/>
          <w:sz w:val="32"/>
          <w:szCs w:val="32"/>
        </w:rPr>
      </w:pPr>
    </w:p>
    <w:p w14:paraId="75F15556">
      <w:pPr>
        <w:spacing w:line="600" w:lineRule="exact"/>
        <w:ind w:firstLine="640" w:firstLineChars="200"/>
        <w:rPr>
          <w:rFonts w:ascii="仿宋" w:hAnsi="仿宋" w:eastAsia="仿宋"/>
          <w:color w:val="000000"/>
          <w:sz w:val="32"/>
          <w:szCs w:val="32"/>
        </w:rPr>
      </w:pPr>
    </w:p>
    <w:p w14:paraId="579C5AF5">
      <w:pPr>
        <w:spacing w:line="600" w:lineRule="exact"/>
        <w:ind w:firstLine="640" w:firstLineChars="200"/>
        <w:rPr>
          <w:rFonts w:ascii="仿宋" w:hAnsi="仿宋" w:eastAsia="仿宋"/>
          <w:color w:val="000000"/>
          <w:sz w:val="32"/>
          <w:szCs w:val="32"/>
        </w:rPr>
      </w:pPr>
    </w:p>
    <w:p w14:paraId="75BEC199">
      <w:pPr>
        <w:spacing w:line="600" w:lineRule="exact"/>
        <w:ind w:firstLine="640" w:firstLineChars="200"/>
        <w:rPr>
          <w:rFonts w:ascii="仿宋" w:hAnsi="仿宋" w:eastAsia="仿宋"/>
          <w:color w:val="000000"/>
          <w:sz w:val="32"/>
          <w:szCs w:val="32"/>
        </w:rPr>
      </w:pPr>
    </w:p>
    <w:p w14:paraId="2461F4FD">
      <w:pPr>
        <w:spacing w:line="600" w:lineRule="exact"/>
        <w:ind w:firstLine="640" w:firstLineChars="200"/>
        <w:rPr>
          <w:rFonts w:ascii="仿宋" w:hAnsi="仿宋" w:eastAsia="仿宋"/>
          <w:color w:val="000000"/>
          <w:sz w:val="32"/>
          <w:szCs w:val="32"/>
        </w:rPr>
      </w:pPr>
    </w:p>
    <w:p w14:paraId="2C12122D">
      <w:pPr>
        <w:spacing w:line="600" w:lineRule="exact"/>
        <w:ind w:firstLine="320" w:firstLineChars="100"/>
        <w:outlineLvl w:val="1"/>
        <w:rPr>
          <w:rFonts w:hint="eastAsia" w:ascii="黑体" w:hAnsi="黑体" w:eastAsia="黑体"/>
          <w:color w:val="000000"/>
          <w:sz w:val="32"/>
          <w:szCs w:val="32"/>
        </w:rPr>
      </w:pPr>
      <w:bookmarkStart w:id="66" w:name="_Toc15377209"/>
      <w:bookmarkStart w:id="67" w:name="_Toc22035_WPSOffice_Level2"/>
      <w:bookmarkStart w:id="68" w:name="_Toc79163864"/>
      <w:bookmarkStart w:id="69" w:name="_Toc15396607"/>
      <w:bookmarkStart w:id="70" w:name="_Toc79163614"/>
    </w:p>
    <w:p w14:paraId="3B39DD86">
      <w:pPr>
        <w:spacing w:line="600" w:lineRule="exact"/>
        <w:ind w:firstLine="320" w:firstLineChars="100"/>
        <w:outlineLvl w:val="1"/>
        <w:rPr>
          <w:rFonts w:hint="eastAsia" w:ascii="黑体" w:hAnsi="黑体" w:eastAsia="黑体"/>
          <w:color w:val="000000"/>
          <w:sz w:val="32"/>
          <w:szCs w:val="32"/>
        </w:rPr>
      </w:pPr>
    </w:p>
    <w:p w14:paraId="2C099B2E">
      <w:pPr>
        <w:spacing w:line="600" w:lineRule="exact"/>
        <w:ind w:firstLine="320" w:firstLineChars="100"/>
        <w:outlineLvl w:val="1"/>
        <w:rPr>
          <w:rStyle w:val="25"/>
          <w:rFonts w:ascii="黑体" w:hAnsi="黑体" w:eastAsia="黑体"/>
          <w:b w:val="0"/>
          <w:color w:val="auto"/>
        </w:rPr>
      </w:pPr>
      <w:bookmarkStart w:id="71" w:name="_Toc1150_WPSOffice_Level2"/>
      <w:r>
        <w:rPr>
          <w:rFonts w:hint="eastAsia" w:ascii="黑体" w:hAnsi="黑体" w:eastAsia="黑体"/>
          <w:color w:val="auto"/>
          <w:sz w:val="32"/>
          <w:szCs w:val="32"/>
        </w:rPr>
        <w:t>五、</w:t>
      </w:r>
      <w:r>
        <w:rPr>
          <w:rFonts w:hint="eastAsia" w:ascii="黑体" w:hAnsi="黑体" w:eastAsia="黑体"/>
          <w:b/>
          <w:color w:val="auto"/>
          <w:sz w:val="32"/>
          <w:szCs w:val="32"/>
        </w:rPr>
        <w:t>一</w:t>
      </w:r>
      <w:r>
        <w:rPr>
          <w:rStyle w:val="25"/>
          <w:rFonts w:hint="eastAsia" w:ascii="黑体" w:hAnsi="黑体" w:eastAsia="黑体"/>
          <w:b w:val="0"/>
          <w:color w:val="auto"/>
        </w:rPr>
        <w:t>般公共预算财政拨款支出决算情况说明</w:t>
      </w:r>
      <w:bookmarkEnd w:id="66"/>
      <w:bookmarkEnd w:id="67"/>
      <w:bookmarkEnd w:id="68"/>
      <w:bookmarkEnd w:id="69"/>
      <w:bookmarkEnd w:id="70"/>
      <w:bookmarkEnd w:id="71"/>
    </w:p>
    <w:p w14:paraId="06832805">
      <w:pPr>
        <w:spacing w:line="600" w:lineRule="exact"/>
        <w:ind w:firstLine="643" w:firstLineChars="200"/>
        <w:outlineLvl w:val="2"/>
        <w:rPr>
          <w:rFonts w:ascii="仿宋" w:hAnsi="仿宋" w:eastAsia="仿宋"/>
          <w:b/>
          <w:color w:val="auto"/>
          <w:sz w:val="32"/>
          <w:szCs w:val="32"/>
        </w:rPr>
      </w:pPr>
      <w:bookmarkStart w:id="72" w:name="_Toc79163615"/>
      <w:bookmarkStart w:id="73" w:name="_Toc79163865"/>
      <w:bookmarkStart w:id="74" w:name="_Toc15377210"/>
      <w:bookmarkStart w:id="75" w:name="_Toc145599204"/>
      <w:r>
        <w:rPr>
          <w:rFonts w:hint="eastAsia" w:ascii="仿宋" w:hAnsi="仿宋" w:eastAsia="仿宋"/>
          <w:b/>
          <w:color w:val="auto"/>
          <w:sz w:val="32"/>
          <w:szCs w:val="32"/>
        </w:rPr>
        <w:t>（一）一般公共预算财政拨款支出决算总体情况</w:t>
      </w:r>
      <w:bookmarkEnd w:id="72"/>
      <w:bookmarkEnd w:id="73"/>
      <w:bookmarkEnd w:id="74"/>
      <w:bookmarkEnd w:id="75"/>
    </w:p>
    <w:p w14:paraId="00DB43F5">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年一般公共预算财政拨款支出</w:t>
      </w:r>
      <w:r>
        <w:rPr>
          <w:rFonts w:hint="eastAsia" w:ascii="仿宋" w:hAnsi="仿宋" w:eastAsia="仿宋"/>
          <w:color w:val="000000"/>
          <w:sz w:val="32"/>
          <w:szCs w:val="32"/>
          <w:lang w:val="en-US" w:eastAsia="zh-CN"/>
        </w:rPr>
        <w:t>2886.99</w:t>
      </w:r>
      <w:r>
        <w:rPr>
          <w:rFonts w:hint="eastAsia" w:ascii="仿宋" w:hAnsi="仿宋" w:eastAsia="仿宋"/>
          <w:color w:val="000000"/>
          <w:sz w:val="32"/>
          <w:szCs w:val="32"/>
        </w:rPr>
        <w:t>万元，占支出合计的</w:t>
      </w:r>
      <w:r>
        <w:rPr>
          <w:rFonts w:hint="eastAsia" w:ascii="仿宋" w:hAnsi="仿宋" w:eastAsia="仿宋"/>
          <w:color w:val="000000"/>
          <w:sz w:val="32"/>
          <w:szCs w:val="32"/>
          <w:lang w:val="en-US" w:eastAsia="zh-CN"/>
        </w:rPr>
        <w:t>9</w:t>
      </w:r>
      <w:r>
        <w:rPr>
          <w:rFonts w:hint="eastAsia" w:ascii="仿宋" w:hAnsi="仿宋" w:eastAsia="仿宋"/>
          <w:color w:val="000000"/>
          <w:sz w:val="32"/>
          <w:szCs w:val="32"/>
          <w:lang w:val="en-US" w:eastAsia="zh-CN"/>
        </w:rPr>
        <w:t>8.77</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年相比，一般公共预算财政拨款增加</w:t>
      </w:r>
      <w:r>
        <w:rPr>
          <w:rFonts w:hint="eastAsia" w:ascii="仿宋" w:hAnsi="仿宋" w:eastAsia="仿宋"/>
          <w:color w:val="000000"/>
          <w:sz w:val="32"/>
          <w:szCs w:val="32"/>
          <w:lang w:val="en-US" w:eastAsia="zh-CN"/>
        </w:rPr>
        <w:t>29.78</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1.04</w:t>
      </w:r>
      <w:r>
        <w:rPr>
          <w:rFonts w:ascii="仿宋" w:hAnsi="仿宋" w:eastAsia="仿宋"/>
          <w:color w:val="000000"/>
          <w:sz w:val="32"/>
          <w:szCs w:val="32"/>
        </w:rPr>
        <w:t>%</w:t>
      </w:r>
      <w:r>
        <w:rPr>
          <w:rFonts w:hint="eastAsia" w:ascii="仿宋" w:hAnsi="仿宋" w:eastAsia="仿宋"/>
          <w:color w:val="000000"/>
          <w:sz w:val="32"/>
          <w:szCs w:val="32"/>
        </w:rPr>
        <w:t>。主要变动原因是本年公用经费增加，上级补助收入增加。</w:t>
      </w:r>
    </w:p>
    <w:p w14:paraId="7D529728">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5</w:t>
      </w:r>
      <w:r>
        <w:rPr>
          <w:rFonts w:hint="eastAsia" w:ascii="仿宋" w:hAnsi="仿宋" w:eastAsia="仿宋"/>
          <w:color w:val="000000"/>
          <w:sz w:val="32"/>
          <w:szCs w:val="32"/>
        </w:rPr>
        <w:t>：一般公共预算财政拨款支出决算变动情况）（柱状图）</w:t>
      </w:r>
    </w:p>
    <w:p w14:paraId="592E8E58">
      <w:pPr>
        <w:spacing w:line="600" w:lineRule="exact"/>
        <w:ind w:firstLine="640" w:firstLineChars="200"/>
        <w:rPr>
          <w:rFonts w:ascii="仿宋" w:hAnsi="仿宋" w:eastAsia="仿宋"/>
          <w:color w:val="000000"/>
          <w:sz w:val="32"/>
          <w:szCs w:val="32"/>
        </w:rPr>
      </w:pPr>
    </w:p>
    <w:p w14:paraId="43D13BE5">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drawing>
          <wp:anchor distT="0" distB="0" distL="114300" distR="114300" simplePos="0" relativeHeight="251663360" behindDoc="0" locked="0" layoutInCell="1" allowOverlap="1">
            <wp:simplePos x="0" y="0"/>
            <wp:positionH relativeFrom="column">
              <wp:posOffset>210185</wp:posOffset>
            </wp:positionH>
            <wp:positionV relativeFrom="paragraph">
              <wp:posOffset>76200</wp:posOffset>
            </wp:positionV>
            <wp:extent cx="5494655" cy="3674110"/>
            <wp:effectExtent l="5080" t="4445" r="5715" b="17145"/>
            <wp:wrapNone/>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19FE7521">
      <w:pPr>
        <w:spacing w:line="600" w:lineRule="exact"/>
        <w:ind w:firstLine="640" w:firstLineChars="200"/>
        <w:rPr>
          <w:rFonts w:ascii="仿宋" w:hAnsi="仿宋" w:eastAsia="仿宋"/>
          <w:color w:val="000000"/>
          <w:sz w:val="32"/>
          <w:szCs w:val="32"/>
        </w:rPr>
      </w:pPr>
    </w:p>
    <w:p w14:paraId="64BD3FC9">
      <w:pPr>
        <w:spacing w:line="600" w:lineRule="exact"/>
        <w:ind w:firstLine="640" w:firstLineChars="200"/>
        <w:rPr>
          <w:rFonts w:ascii="仿宋" w:hAnsi="仿宋" w:eastAsia="仿宋"/>
          <w:color w:val="000000"/>
          <w:sz w:val="32"/>
          <w:szCs w:val="32"/>
        </w:rPr>
      </w:pPr>
    </w:p>
    <w:p w14:paraId="6B4D8807">
      <w:pPr>
        <w:spacing w:line="600" w:lineRule="exact"/>
        <w:ind w:firstLine="640" w:firstLineChars="200"/>
        <w:rPr>
          <w:rFonts w:ascii="仿宋" w:hAnsi="仿宋" w:eastAsia="仿宋"/>
          <w:color w:val="000000"/>
          <w:sz w:val="32"/>
          <w:szCs w:val="32"/>
        </w:rPr>
      </w:pPr>
    </w:p>
    <w:p w14:paraId="3C0FE810">
      <w:pPr>
        <w:spacing w:line="600" w:lineRule="exact"/>
        <w:ind w:firstLine="640" w:firstLineChars="200"/>
        <w:rPr>
          <w:rFonts w:ascii="仿宋" w:hAnsi="仿宋" w:eastAsia="仿宋"/>
          <w:color w:val="000000"/>
          <w:sz w:val="32"/>
          <w:szCs w:val="32"/>
        </w:rPr>
      </w:pPr>
    </w:p>
    <w:p w14:paraId="1B478B19">
      <w:pPr>
        <w:spacing w:line="600" w:lineRule="exact"/>
        <w:ind w:firstLine="640" w:firstLineChars="200"/>
        <w:rPr>
          <w:rFonts w:ascii="仿宋" w:hAnsi="仿宋" w:eastAsia="仿宋"/>
          <w:color w:val="000000"/>
          <w:sz w:val="32"/>
          <w:szCs w:val="32"/>
        </w:rPr>
      </w:pPr>
    </w:p>
    <w:p w14:paraId="4BF8F44E">
      <w:pPr>
        <w:spacing w:line="600" w:lineRule="exact"/>
        <w:ind w:firstLine="640" w:firstLineChars="200"/>
        <w:rPr>
          <w:rFonts w:ascii="仿宋" w:hAnsi="仿宋" w:eastAsia="仿宋"/>
          <w:color w:val="000000"/>
          <w:sz w:val="32"/>
          <w:szCs w:val="32"/>
        </w:rPr>
      </w:pPr>
    </w:p>
    <w:p w14:paraId="37C29309">
      <w:pPr>
        <w:spacing w:line="600" w:lineRule="exact"/>
        <w:outlineLvl w:val="2"/>
        <w:rPr>
          <w:rFonts w:hint="eastAsia" w:ascii="仿宋" w:hAnsi="仿宋" w:eastAsia="仿宋"/>
          <w:b/>
          <w:color w:val="000000"/>
          <w:sz w:val="32"/>
          <w:szCs w:val="32"/>
        </w:rPr>
      </w:pPr>
      <w:bookmarkStart w:id="76" w:name="_Toc10718_WPSOffice_Level3"/>
      <w:bookmarkStart w:id="77" w:name="_Toc79163866"/>
      <w:bookmarkStart w:id="78" w:name="_Toc79163616"/>
      <w:bookmarkStart w:id="79" w:name="_Toc15377211"/>
    </w:p>
    <w:p w14:paraId="3C4E1EBC">
      <w:pPr>
        <w:spacing w:line="600" w:lineRule="exact"/>
        <w:outlineLvl w:val="2"/>
        <w:rPr>
          <w:rFonts w:hint="eastAsia" w:ascii="仿宋" w:hAnsi="仿宋" w:eastAsia="仿宋"/>
          <w:b/>
          <w:color w:val="000000"/>
          <w:sz w:val="32"/>
          <w:szCs w:val="32"/>
        </w:rPr>
      </w:pPr>
    </w:p>
    <w:p w14:paraId="3818AA78">
      <w:pPr>
        <w:spacing w:line="600" w:lineRule="exact"/>
        <w:outlineLvl w:val="2"/>
        <w:rPr>
          <w:rFonts w:hint="eastAsia" w:ascii="仿宋" w:hAnsi="仿宋" w:eastAsia="仿宋"/>
          <w:b/>
          <w:color w:val="000000"/>
          <w:sz w:val="32"/>
          <w:szCs w:val="32"/>
        </w:rPr>
      </w:pPr>
    </w:p>
    <w:p w14:paraId="541B3F10">
      <w:pPr>
        <w:spacing w:line="600" w:lineRule="exact"/>
        <w:outlineLvl w:val="2"/>
        <w:rPr>
          <w:rFonts w:ascii="仿宋" w:hAnsi="仿宋" w:eastAsia="仿宋"/>
          <w:b/>
          <w:color w:val="000000"/>
          <w:sz w:val="32"/>
          <w:szCs w:val="32"/>
        </w:rPr>
      </w:pPr>
      <w:bookmarkStart w:id="80" w:name="_Toc3982_WPSOffice_Level3"/>
      <w:r>
        <w:rPr>
          <w:rFonts w:hint="eastAsia" w:ascii="仿宋" w:hAnsi="仿宋" w:eastAsia="仿宋"/>
          <w:b/>
          <w:color w:val="000000"/>
          <w:sz w:val="32"/>
          <w:szCs w:val="32"/>
        </w:rPr>
        <w:t>（二）一般公共预算财政拨款支出决算结构情况</w:t>
      </w:r>
      <w:bookmarkEnd w:id="76"/>
      <w:bookmarkEnd w:id="77"/>
      <w:bookmarkEnd w:id="78"/>
      <w:bookmarkEnd w:id="79"/>
      <w:bookmarkEnd w:id="80"/>
    </w:p>
    <w:p w14:paraId="74DE5BD8">
      <w:pPr>
        <w:spacing w:line="600" w:lineRule="exact"/>
        <w:ind w:firstLine="640"/>
        <w:rPr>
          <w:rFonts w:ascii="仿宋" w:hAnsi="仿宋" w:eastAsia="仿宋"/>
          <w:b/>
          <w:color w:val="000000"/>
          <w:sz w:val="32"/>
          <w:szCs w:val="32"/>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年一般公共预算财政拨款支出</w:t>
      </w:r>
      <w:r>
        <w:rPr>
          <w:rFonts w:hint="eastAsia" w:ascii="仿宋" w:hAnsi="仿宋" w:eastAsia="仿宋"/>
          <w:color w:val="000000"/>
          <w:sz w:val="32"/>
          <w:szCs w:val="32"/>
          <w:lang w:val="en-US" w:eastAsia="zh-CN"/>
        </w:rPr>
        <w:t>2886.99</w:t>
      </w:r>
      <w:r>
        <w:rPr>
          <w:rFonts w:hint="eastAsia" w:ascii="仿宋" w:hAnsi="仿宋" w:eastAsia="仿宋"/>
          <w:color w:val="000000"/>
          <w:sz w:val="32"/>
          <w:szCs w:val="32"/>
        </w:rPr>
        <w:t>万元，主要用于以下方面</w:t>
      </w:r>
      <w:r>
        <w:rPr>
          <w:rFonts w:ascii="仿宋" w:hAnsi="仿宋" w:eastAsia="仿宋"/>
          <w:color w:val="000000"/>
          <w:sz w:val="32"/>
          <w:szCs w:val="32"/>
        </w:rPr>
        <w:t>:</w:t>
      </w:r>
      <w:r>
        <w:rPr>
          <w:rFonts w:hint="eastAsia" w:ascii="仿宋" w:hAnsi="仿宋" w:eastAsia="仿宋"/>
          <w:b/>
          <w:color w:val="000000"/>
          <w:sz w:val="32"/>
          <w:szCs w:val="32"/>
        </w:rPr>
        <w:t>一般公共服务（类）</w:t>
      </w:r>
      <w:r>
        <w:rPr>
          <w:rFonts w:hint="eastAsia" w:ascii="仿宋" w:hAnsi="仿宋" w:eastAsia="仿宋"/>
          <w:color w:val="000000"/>
          <w:sz w:val="32"/>
          <w:szCs w:val="32"/>
        </w:rPr>
        <w:t>支出0万元，占0</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color w:val="000000"/>
          <w:sz w:val="32"/>
          <w:szCs w:val="32"/>
        </w:rPr>
        <w:t>教育支出（类）</w:t>
      </w:r>
      <w:r>
        <w:rPr>
          <w:rFonts w:hint="eastAsia" w:ascii="仿宋" w:hAnsi="仿宋" w:eastAsia="仿宋"/>
          <w:b/>
          <w:color w:val="000000"/>
          <w:sz w:val="32"/>
          <w:szCs w:val="32"/>
          <w:lang w:val="en-US" w:eastAsia="zh-CN"/>
        </w:rPr>
        <w:t>2160.80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74.90</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color w:val="000000"/>
          <w:sz w:val="32"/>
          <w:szCs w:val="32"/>
        </w:rPr>
        <w:t>科学技术（类）</w:t>
      </w:r>
      <w:r>
        <w:rPr>
          <w:rFonts w:hint="eastAsia" w:ascii="仿宋" w:hAnsi="仿宋" w:eastAsia="仿宋"/>
          <w:color w:val="000000"/>
          <w:sz w:val="32"/>
          <w:szCs w:val="32"/>
        </w:rPr>
        <w:t>支出0万元，占0</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bCs/>
          <w:color w:val="000000"/>
          <w:sz w:val="32"/>
          <w:szCs w:val="32"/>
        </w:rPr>
        <w:t>文化旅游体育与传媒（类）支出0万元，</w:t>
      </w:r>
      <w:r>
        <w:rPr>
          <w:rFonts w:hint="eastAsia" w:ascii="仿宋" w:hAnsi="仿宋" w:eastAsia="仿宋"/>
          <w:b/>
          <w:bCs/>
          <w:color w:val="000000"/>
          <w:sz w:val="32"/>
          <w:szCs w:val="32"/>
          <w:lang w:val="en-US" w:eastAsia="zh-CN"/>
        </w:rPr>
        <w:t xml:space="preserve"> </w:t>
      </w:r>
      <w:r>
        <w:rPr>
          <w:rFonts w:hint="eastAsia" w:ascii="仿宋" w:hAnsi="仿宋" w:eastAsia="仿宋"/>
          <w:b/>
          <w:bCs/>
          <w:color w:val="000000"/>
          <w:sz w:val="32"/>
          <w:szCs w:val="32"/>
        </w:rPr>
        <w:t>占0</w:t>
      </w:r>
      <w:r>
        <w:rPr>
          <w:rFonts w:ascii="仿宋" w:hAnsi="仿宋" w:eastAsia="仿宋"/>
          <w:b/>
          <w:bCs/>
          <w:color w:val="000000"/>
          <w:sz w:val="32"/>
          <w:szCs w:val="32"/>
        </w:rPr>
        <w:t>%</w:t>
      </w:r>
      <w:r>
        <w:rPr>
          <w:rFonts w:hint="eastAsia" w:ascii="仿宋" w:hAnsi="仿宋" w:eastAsia="仿宋"/>
          <w:color w:val="000000"/>
          <w:sz w:val="32"/>
          <w:szCs w:val="32"/>
        </w:rPr>
        <w:t>；</w:t>
      </w:r>
      <w:r>
        <w:rPr>
          <w:rFonts w:hint="eastAsia" w:ascii="仿宋" w:hAnsi="仿宋" w:eastAsia="仿宋"/>
          <w:b/>
          <w:color w:val="000000"/>
          <w:sz w:val="32"/>
          <w:szCs w:val="32"/>
        </w:rPr>
        <w:t>社会保障和就业（类）</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372.96</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12.92</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b/>
          <w:bCs/>
          <w:color w:val="000000"/>
          <w:sz w:val="32"/>
          <w:szCs w:val="32"/>
        </w:rPr>
        <w:t>卫生健康支出</w:t>
      </w:r>
      <w:r>
        <w:rPr>
          <w:rFonts w:hint="eastAsia" w:ascii="仿宋" w:hAnsi="仿宋" w:eastAsia="仿宋"/>
          <w:b/>
          <w:bCs/>
          <w:color w:val="000000"/>
          <w:sz w:val="32"/>
          <w:szCs w:val="32"/>
          <w:lang w:val="en-US" w:eastAsia="zh-CN"/>
        </w:rPr>
        <w:t>141.42</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4.97</w:t>
      </w:r>
      <w:r>
        <w:rPr>
          <w:rFonts w:ascii="仿宋" w:hAnsi="仿宋" w:eastAsia="仿宋"/>
          <w:color w:val="000000"/>
          <w:sz w:val="32"/>
          <w:szCs w:val="32"/>
        </w:rPr>
        <w:t>%</w:t>
      </w:r>
      <w:r>
        <w:rPr>
          <w:rFonts w:hint="eastAsia" w:ascii="仿宋" w:hAnsi="仿宋" w:eastAsia="仿宋"/>
          <w:color w:val="000000"/>
          <w:sz w:val="32"/>
          <w:szCs w:val="32"/>
        </w:rPr>
        <w:t>；住房保障支出</w:t>
      </w:r>
      <w:r>
        <w:rPr>
          <w:rFonts w:hint="eastAsia" w:ascii="仿宋" w:hAnsi="仿宋" w:eastAsia="仿宋"/>
          <w:color w:val="000000"/>
          <w:sz w:val="32"/>
          <w:szCs w:val="32"/>
          <w:lang w:val="en-US" w:eastAsia="zh-CN"/>
        </w:rPr>
        <w:t>207.81</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7.21</w:t>
      </w:r>
      <w:r>
        <w:rPr>
          <w:rFonts w:ascii="仿宋" w:hAnsi="仿宋" w:eastAsia="仿宋"/>
          <w:color w:val="000000"/>
          <w:sz w:val="32"/>
          <w:szCs w:val="32"/>
        </w:rPr>
        <w:t>%</w:t>
      </w:r>
      <w:r>
        <w:rPr>
          <w:rFonts w:hint="eastAsia" w:ascii="仿宋" w:hAnsi="仿宋" w:eastAsia="仿宋"/>
          <w:color w:val="000000"/>
          <w:sz w:val="32"/>
          <w:szCs w:val="32"/>
        </w:rPr>
        <w:t>；</w:t>
      </w:r>
    </w:p>
    <w:p w14:paraId="484BF9BA">
      <w:pPr>
        <w:spacing w:line="600" w:lineRule="exact"/>
        <w:ind w:firstLine="320" w:firstLineChars="1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6</w:t>
      </w:r>
      <w:r>
        <w:rPr>
          <w:rFonts w:hint="eastAsia" w:ascii="仿宋" w:hAnsi="仿宋" w:eastAsia="仿宋"/>
          <w:color w:val="000000"/>
          <w:sz w:val="32"/>
          <w:szCs w:val="32"/>
        </w:rPr>
        <w:t>：一般公共预算财政拨款支出决算结构）（饼状图）</w:t>
      </w:r>
    </w:p>
    <w:p w14:paraId="5DD143EA">
      <w:pPr>
        <w:spacing w:line="600" w:lineRule="exact"/>
        <w:ind w:firstLine="320" w:firstLineChars="100"/>
        <w:rPr>
          <w:rFonts w:ascii="仿宋" w:hAnsi="仿宋" w:eastAsia="仿宋"/>
          <w:color w:val="000000"/>
          <w:sz w:val="32"/>
          <w:szCs w:val="32"/>
        </w:rPr>
      </w:pPr>
      <w:bookmarkStart w:id="157" w:name="_GoBack"/>
      <w:r>
        <w:rPr>
          <w:rFonts w:hint="eastAsia" w:ascii="仿宋" w:hAnsi="仿宋" w:eastAsia="仿宋"/>
          <w:color w:val="000000"/>
          <w:sz w:val="32"/>
          <w:szCs w:val="32"/>
        </w:rPr>
        <w:drawing>
          <wp:anchor distT="0" distB="0" distL="114300" distR="114300" simplePos="0" relativeHeight="251664384" behindDoc="0" locked="0" layoutInCell="1" allowOverlap="1">
            <wp:simplePos x="0" y="0"/>
            <wp:positionH relativeFrom="column">
              <wp:posOffset>531495</wp:posOffset>
            </wp:positionH>
            <wp:positionV relativeFrom="paragraph">
              <wp:posOffset>95885</wp:posOffset>
            </wp:positionV>
            <wp:extent cx="5118100" cy="3335655"/>
            <wp:effectExtent l="4445" t="4445" r="20955" b="12700"/>
            <wp:wrapNone/>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bookmarkEnd w:id="157"/>
    </w:p>
    <w:p w14:paraId="16FA48EF">
      <w:pPr>
        <w:spacing w:line="600" w:lineRule="exact"/>
        <w:ind w:firstLine="320" w:firstLineChars="100"/>
        <w:rPr>
          <w:rFonts w:ascii="仿宋" w:hAnsi="仿宋" w:eastAsia="仿宋"/>
          <w:color w:val="000000"/>
          <w:sz w:val="32"/>
          <w:szCs w:val="32"/>
        </w:rPr>
      </w:pPr>
    </w:p>
    <w:p w14:paraId="5785A05E">
      <w:pPr>
        <w:spacing w:line="600" w:lineRule="exact"/>
        <w:ind w:firstLine="320" w:firstLineChars="100"/>
        <w:rPr>
          <w:rFonts w:ascii="仿宋" w:hAnsi="仿宋" w:eastAsia="仿宋"/>
          <w:color w:val="000000"/>
          <w:sz w:val="32"/>
          <w:szCs w:val="32"/>
        </w:rPr>
      </w:pPr>
    </w:p>
    <w:p w14:paraId="03CD379E">
      <w:pPr>
        <w:spacing w:line="600" w:lineRule="exact"/>
        <w:ind w:firstLine="320" w:firstLineChars="100"/>
        <w:rPr>
          <w:rFonts w:ascii="仿宋" w:hAnsi="仿宋" w:eastAsia="仿宋"/>
          <w:color w:val="000000"/>
          <w:sz w:val="32"/>
          <w:szCs w:val="32"/>
        </w:rPr>
      </w:pPr>
    </w:p>
    <w:p w14:paraId="22D17AE4">
      <w:pPr>
        <w:spacing w:line="600" w:lineRule="exact"/>
        <w:ind w:firstLine="320" w:firstLineChars="100"/>
        <w:rPr>
          <w:rFonts w:ascii="仿宋" w:hAnsi="仿宋" w:eastAsia="仿宋"/>
          <w:color w:val="000000"/>
          <w:sz w:val="32"/>
          <w:szCs w:val="32"/>
        </w:rPr>
      </w:pPr>
    </w:p>
    <w:p w14:paraId="6D5A42B1">
      <w:pPr>
        <w:spacing w:line="600" w:lineRule="exact"/>
        <w:ind w:firstLine="320" w:firstLineChars="100"/>
        <w:rPr>
          <w:rFonts w:ascii="仿宋" w:hAnsi="仿宋" w:eastAsia="仿宋"/>
          <w:color w:val="000000"/>
          <w:sz w:val="32"/>
          <w:szCs w:val="32"/>
        </w:rPr>
      </w:pPr>
    </w:p>
    <w:p w14:paraId="01CF7868">
      <w:pPr>
        <w:spacing w:line="600" w:lineRule="exact"/>
        <w:ind w:firstLine="320" w:firstLineChars="100"/>
        <w:rPr>
          <w:rFonts w:ascii="仿宋" w:hAnsi="仿宋" w:eastAsia="仿宋"/>
          <w:color w:val="000000"/>
          <w:sz w:val="32"/>
          <w:szCs w:val="32"/>
        </w:rPr>
      </w:pPr>
    </w:p>
    <w:p w14:paraId="5337F1C8">
      <w:pPr>
        <w:spacing w:line="600" w:lineRule="exact"/>
        <w:outlineLvl w:val="2"/>
        <w:rPr>
          <w:rFonts w:hint="eastAsia" w:ascii="仿宋" w:hAnsi="仿宋" w:eastAsia="仿宋"/>
          <w:b/>
          <w:color w:val="000000"/>
          <w:sz w:val="32"/>
          <w:szCs w:val="32"/>
        </w:rPr>
      </w:pPr>
      <w:bookmarkStart w:id="81" w:name="_Toc15377212"/>
      <w:bookmarkStart w:id="82" w:name="_Toc79163617"/>
      <w:bookmarkStart w:id="83" w:name="_Toc17127_WPSOffice_Level3"/>
      <w:bookmarkStart w:id="84" w:name="_Toc79163867"/>
    </w:p>
    <w:p w14:paraId="200B19B5">
      <w:pPr>
        <w:spacing w:line="600" w:lineRule="exact"/>
        <w:outlineLvl w:val="2"/>
        <w:rPr>
          <w:rFonts w:hint="eastAsia" w:ascii="仿宋" w:hAnsi="仿宋" w:eastAsia="仿宋"/>
          <w:b/>
          <w:color w:val="000000"/>
          <w:sz w:val="32"/>
          <w:szCs w:val="32"/>
        </w:rPr>
      </w:pPr>
    </w:p>
    <w:p w14:paraId="39230A43">
      <w:pPr>
        <w:spacing w:line="600" w:lineRule="exact"/>
        <w:outlineLvl w:val="2"/>
        <w:rPr>
          <w:rFonts w:ascii="仿宋" w:hAnsi="仿宋" w:eastAsia="仿宋"/>
          <w:b/>
          <w:color w:val="000000"/>
          <w:sz w:val="32"/>
          <w:szCs w:val="32"/>
        </w:rPr>
      </w:pPr>
      <w:bookmarkStart w:id="85" w:name="_Toc23921_WPSOffice_Level3"/>
      <w:r>
        <w:rPr>
          <w:rFonts w:hint="eastAsia" w:ascii="仿宋" w:hAnsi="仿宋" w:eastAsia="仿宋"/>
          <w:b/>
          <w:color w:val="000000"/>
          <w:sz w:val="32"/>
          <w:szCs w:val="32"/>
        </w:rPr>
        <w:t>（三）一般公共预算财政拨款支出决算具体情况</w:t>
      </w:r>
      <w:bookmarkEnd w:id="81"/>
      <w:bookmarkEnd w:id="82"/>
      <w:bookmarkEnd w:id="83"/>
      <w:bookmarkEnd w:id="84"/>
      <w:bookmarkEnd w:id="85"/>
    </w:p>
    <w:p w14:paraId="3C32CDAB">
      <w:pPr>
        <w:spacing w:line="600" w:lineRule="exact"/>
        <w:ind w:firstLine="643" w:firstLineChars="200"/>
        <w:rPr>
          <w:rFonts w:ascii="仿宋_GB2312" w:eastAsia="仿宋_GB2312"/>
          <w:b/>
          <w:bCs/>
          <w:sz w:val="32"/>
          <w:szCs w:val="32"/>
        </w:rPr>
      </w:pPr>
      <w:bookmarkStart w:id="86" w:name="_Toc15377213"/>
      <w:bookmarkStart w:id="87" w:name="_Toc15377444"/>
      <w:bookmarkStart w:id="88" w:name="_Toc15378460"/>
      <w:bookmarkStart w:id="89" w:name="_Toc15396608"/>
      <w:bookmarkStart w:id="90" w:name="_Toc79163868"/>
      <w:bookmarkStart w:id="91" w:name="_Toc19215_WPSOffice_Level2"/>
      <w:bookmarkStart w:id="92" w:name="_Toc31285_WPSOffice_Level2"/>
      <w:bookmarkStart w:id="93" w:name="_Toc15377214"/>
      <w:bookmarkStart w:id="94" w:name="_Toc79163618"/>
      <w:r>
        <w:rPr>
          <w:rFonts w:ascii="仿宋_GB2312" w:eastAsia="仿宋_GB2312"/>
          <w:b/>
          <w:bCs/>
          <w:sz w:val="32"/>
          <w:szCs w:val="32"/>
        </w:rPr>
        <w:t>202</w:t>
      </w:r>
      <w:r>
        <w:rPr>
          <w:rFonts w:hint="eastAsia" w:ascii="仿宋_GB2312" w:eastAsia="仿宋_GB2312"/>
          <w:b/>
          <w:bCs/>
          <w:sz w:val="32"/>
          <w:szCs w:val="32"/>
          <w:lang w:val="en-US" w:eastAsia="zh-CN"/>
        </w:rPr>
        <w:t>5</w:t>
      </w:r>
      <w:r>
        <w:rPr>
          <w:rFonts w:hint="eastAsia" w:ascii="仿宋_GB2312" w:eastAsia="仿宋_GB2312"/>
          <w:b/>
          <w:bCs/>
          <w:sz w:val="32"/>
          <w:szCs w:val="32"/>
        </w:rPr>
        <w:t>年一般公共预算支出决算数为</w:t>
      </w:r>
      <w:r>
        <w:rPr>
          <w:rFonts w:hint="eastAsia" w:ascii="仿宋_GB2312" w:eastAsia="仿宋_GB2312"/>
          <w:b/>
          <w:bCs/>
          <w:sz w:val="32"/>
          <w:szCs w:val="32"/>
          <w:lang w:val="en-US" w:eastAsia="zh-CN"/>
        </w:rPr>
        <w:t>2886.99</w:t>
      </w:r>
      <w:r>
        <w:rPr>
          <w:rFonts w:hint="eastAsia" w:ascii="仿宋_GB2312" w:eastAsia="仿宋_GB2312"/>
          <w:b/>
          <w:bCs/>
          <w:sz w:val="32"/>
          <w:szCs w:val="32"/>
        </w:rPr>
        <w:t>万元，完成预算100</w:t>
      </w:r>
      <w:r>
        <w:rPr>
          <w:rFonts w:ascii="仿宋_GB2312" w:eastAsia="仿宋_GB2312"/>
          <w:b/>
          <w:bCs/>
          <w:sz w:val="32"/>
          <w:szCs w:val="32"/>
        </w:rPr>
        <w:t>%</w:t>
      </w:r>
      <w:r>
        <w:rPr>
          <w:rFonts w:hint="eastAsia" w:ascii="仿宋_GB2312" w:eastAsia="仿宋_GB2312"/>
          <w:b/>
          <w:bCs/>
          <w:sz w:val="32"/>
          <w:szCs w:val="32"/>
        </w:rPr>
        <w:t>。其中：</w:t>
      </w:r>
      <w:bookmarkEnd w:id="86"/>
      <w:bookmarkEnd w:id="87"/>
      <w:bookmarkEnd w:id="88"/>
    </w:p>
    <w:p w14:paraId="3BE4C7BA">
      <w:pPr>
        <w:spacing w:line="600" w:lineRule="exact"/>
        <w:ind w:firstLine="643" w:firstLineChars="200"/>
        <w:rPr>
          <w:rStyle w:val="22"/>
          <w:rFonts w:ascii="仿宋" w:hAnsi="仿宋" w:eastAsia="仿宋"/>
          <w:b w:val="0"/>
          <w:bCs/>
          <w:color w:val="000000"/>
          <w:sz w:val="32"/>
          <w:szCs w:val="32"/>
        </w:rPr>
      </w:pPr>
      <w:r>
        <w:rPr>
          <w:rStyle w:val="22"/>
          <w:rFonts w:ascii="仿宋" w:hAnsi="仿宋" w:eastAsia="仿宋"/>
          <w:bCs/>
          <w:color w:val="000000"/>
          <w:sz w:val="32"/>
          <w:szCs w:val="32"/>
        </w:rPr>
        <w:t>1.</w:t>
      </w:r>
      <w:r>
        <w:rPr>
          <w:rStyle w:val="22"/>
          <w:rFonts w:hint="eastAsia" w:ascii="仿宋" w:hAnsi="仿宋" w:eastAsia="仿宋"/>
          <w:bCs/>
          <w:color w:val="000000"/>
          <w:sz w:val="32"/>
          <w:szCs w:val="32"/>
        </w:rPr>
        <w:t>教育205</w:t>
      </w:r>
      <w:r>
        <w:rPr>
          <w:rStyle w:val="22"/>
          <w:rFonts w:hint="eastAsia" w:ascii="仿宋" w:hAnsi="仿宋" w:eastAsia="仿宋"/>
          <w:b w:val="0"/>
          <w:bCs/>
          <w:color w:val="000000"/>
          <w:sz w:val="32"/>
          <w:szCs w:val="32"/>
        </w:rPr>
        <w:t>支出决算为</w:t>
      </w:r>
      <w:r>
        <w:rPr>
          <w:rFonts w:hint="eastAsia" w:ascii="仿宋" w:hAnsi="仿宋" w:eastAsia="仿宋"/>
          <w:b/>
          <w:color w:val="000000"/>
          <w:sz w:val="32"/>
          <w:szCs w:val="32"/>
          <w:lang w:val="en-US" w:eastAsia="zh-CN"/>
        </w:rPr>
        <w:t>2160.80</w:t>
      </w:r>
      <w:r>
        <w:rPr>
          <w:rStyle w:val="22"/>
          <w:rFonts w:hint="eastAsia" w:ascii="仿宋" w:hAnsi="仿宋" w:eastAsia="仿宋"/>
          <w:b w:val="0"/>
          <w:bCs/>
          <w:color w:val="000000"/>
          <w:sz w:val="32"/>
          <w:szCs w:val="32"/>
        </w:rPr>
        <w:t>万元。</w:t>
      </w:r>
    </w:p>
    <w:p w14:paraId="0ACD0128">
      <w:pPr>
        <w:spacing w:line="600" w:lineRule="exact"/>
        <w:ind w:firstLine="640" w:firstLineChars="200"/>
        <w:rPr>
          <w:rFonts w:ascii="仿宋" w:hAnsi="仿宋" w:eastAsia="仿宋"/>
          <w:b/>
          <w:color w:val="000000"/>
          <w:sz w:val="32"/>
          <w:szCs w:val="32"/>
        </w:rPr>
      </w:pPr>
      <w:r>
        <w:rPr>
          <w:rStyle w:val="22"/>
          <w:rFonts w:hint="eastAsia" w:ascii="仿宋" w:hAnsi="仿宋" w:eastAsia="仿宋"/>
          <w:b w:val="0"/>
          <w:bCs/>
          <w:color w:val="000000"/>
          <w:sz w:val="32"/>
          <w:szCs w:val="32"/>
        </w:rPr>
        <w:t>其中：2050202小学教育支出</w:t>
      </w:r>
      <w:r>
        <w:rPr>
          <w:rStyle w:val="22"/>
          <w:rFonts w:hint="eastAsia" w:ascii="仿宋" w:hAnsi="仿宋" w:eastAsia="仿宋"/>
          <w:b w:val="0"/>
          <w:bCs/>
          <w:color w:val="000000"/>
          <w:sz w:val="32"/>
          <w:szCs w:val="32"/>
          <w:lang w:val="en-US" w:eastAsia="zh-CN"/>
        </w:rPr>
        <w:t>2117.86</w:t>
      </w:r>
      <w:r>
        <w:rPr>
          <w:rStyle w:val="22"/>
          <w:rFonts w:hint="eastAsia" w:ascii="仿宋" w:hAnsi="仿宋" w:eastAsia="仿宋"/>
          <w:b w:val="0"/>
          <w:bCs/>
          <w:color w:val="000000"/>
          <w:sz w:val="32"/>
          <w:szCs w:val="32"/>
        </w:rPr>
        <w:t>万元；2050299其他普通教育支出</w:t>
      </w:r>
      <w:r>
        <w:rPr>
          <w:rStyle w:val="22"/>
          <w:rFonts w:hint="eastAsia" w:ascii="仿宋" w:hAnsi="仿宋" w:eastAsia="仿宋"/>
          <w:b w:val="0"/>
          <w:bCs/>
          <w:color w:val="000000"/>
          <w:sz w:val="32"/>
          <w:szCs w:val="32"/>
          <w:lang w:val="en-US" w:eastAsia="zh-CN"/>
        </w:rPr>
        <w:t>24.23</w:t>
      </w:r>
      <w:r>
        <w:rPr>
          <w:rStyle w:val="22"/>
          <w:rFonts w:hint="eastAsia" w:ascii="仿宋" w:hAnsi="仿宋" w:eastAsia="仿宋"/>
          <w:b w:val="0"/>
          <w:bCs/>
          <w:color w:val="000000"/>
          <w:sz w:val="32"/>
          <w:szCs w:val="32"/>
        </w:rPr>
        <w:t>万元，</w:t>
      </w:r>
      <w:r>
        <w:rPr>
          <w:rStyle w:val="22"/>
          <w:rFonts w:hint="eastAsia" w:ascii="仿宋" w:hAnsi="仿宋" w:eastAsia="仿宋"/>
          <w:b w:val="0"/>
          <w:bCs/>
          <w:color w:val="000000"/>
          <w:sz w:val="32"/>
          <w:szCs w:val="32"/>
          <w:lang w:val="en-US" w:eastAsia="zh-CN"/>
        </w:rPr>
        <w:t>2059999其他教育支出1万元，</w:t>
      </w:r>
      <w:r>
        <w:rPr>
          <w:rStyle w:val="22"/>
          <w:rFonts w:hint="eastAsia" w:ascii="仿宋" w:hAnsi="仿宋" w:eastAsia="仿宋"/>
          <w:b w:val="0"/>
          <w:bCs/>
          <w:color w:val="000000"/>
          <w:sz w:val="32"/>
          <w:szCs w:val="32"/>
        </w:rPr>
        <w:t>2050201学前教育支出</w:t>
      </w:r>
      <w:r>
        <w:rPr>
          <w:rStyle w:val="22"/>
          <w:rFonts w:hint="eastAsia" w:ascii="仿宋" w:hAnsi="仿宋" w:eastAsia="仿宋"/>
          <w:b w:val="0"/>
          <w:bCs/>
          <w:color w:val="000000"/>
          <w:sz w:val="32"/>
          <w:szCs w:val="32"/>
          <w:lang w:val="en-US" w:eastAsia="zh-CN"/>
        </w:rPr>
        <w:t>17.71</w:t>
      </w:r>
      <w:r>
        <w:rPr>
          <w:rStyle w:val="22"/>
          <w:rFonts w:hint="eastAsia" w:ascii="仿宋" w:hAnsi="仿宋" w:eastAsia="仿宋"/>
          <w:b w:val="0"/>
          <w:bCs/>
          <w:color w:val="000000"/>
          <w:sz w:val="32"/>
          <w:szCs w:val="32"/>
        </w:rPr>
        <w:t>万元，完成预算100</w:t>
      </w:r>
      <w:r>
        <w:rPr>
          <w:rStyle w:val="22"/>
          <w:rFonts w:ascii="仿宋" w:hAnsi="仿宋" w:eastAsia="仿宋"/>
          <w:b w:val="0"/>
          <w:bCs/>
          <w:color w:val="000000"/>
          <w:sz w:val="32"/>
          <w:szCs w:val="32"/>
        </w:rPr>
        <w:t>%</w:t>
      </w:r>
      <w:r>
        <w:rPr>
          <w:rStyle w:val="22"/>
          <w:rFonts w:hint="eastAsia" w:ascii="仿宋" w:hAnsi="仿宋" w:eastAsia="仿宋"/>
          <w:b w:val="0"/>
          <w:bCs/>
          <w:color w:val="000000"/>
          <w:sz w:val="32"/>
          <w:szCs w:val="32"/>
        </w:rPr>
        <w:t>。</w:t>
      </w:r>
    </w:p>
    <w:p w14:paraId="2FF83632">
      <w:pPr>
        <w:spacing w:line="600" w:lineRule="exact"/>
        <w:ind w:firstLine="643" w:firstLineChars="200"/>
        <w:rPr>
          <w:rStyle w:val="22"/>
          <w:rFonts w:ascii="仿宋" w:hAnsi="仿宋" w:eastAsia="仿宋"/>
          <w:b w:val="0"/>
          <w:bCs/>
          <w:color w:val="000000"/>
          <w:sz w:val="32"/>
          <w:szCs w:val="32"/>
        </w:rPr>
      </w:pPr>
      <w:r>
        <w:rPr>
          <w:rStyle w:val="22"/>
          <w:rFonts w:hint="eastAsia" w:ascii="仿宋" w:hAnsi="仿宋" w:eastAsia="仿宋"/>
          <w:bCs/>
          <w:color w:val="000000"/>
          <w:sz w:val="32"/>
          <w:szCs w:val="32"/>
        </w:rPr>
        <w:t>2</w:t>
      </w:r>
      <w:r>
        <w:rPr>
          <w:rStyle w:val="22"/>
          <w:rFonts w:ascii="仿宋" w:hAnsi="仿宋" w:eastAsia="仿宋"/>
          <w:bCs/>
          <w:color w:val="000000"/>
          <w:sz w:val="32"/>
          <w:szCs w:val="32"/>
        </w:rPr>
        <w:t>.</w:t>
      </w:r>
      <w:r>
        <w:rPr>
          <w:rStyle w:val="22"/>
          <w:rFonts w:hint="eastAsia" w:ascii="仿宋" w:hAnsi="仿宋" w:eastAsia="仿宋"/>
          <w:bCs/>
          <w:color w:val="000000"/>
          <w:sz w:val="32"/>
          <w:szCs w:val="32"/>
        </w:rPr>
        <w:t xml:space="preserve"> 社会保障和就业208</w:t>
      </w:r>
      <w:r>
        <w:rPr>
          <w:rStyle w:val="22"/>
          <w:rFonts w:ascii="仿宋" w:hAnsi="仿宋" w:eastAsia="仿宋"/>
          <w:bCs/>
          <w:color w:val="000000"/>
          <w:sz w:val="32"/>
          <w:szCs w:val="32"/>
        </w:rPr>
        <w:t>:</w:t>
      </w:r>
      <w:r>
        <w:rPr>
          <w:rStyle w:val="22"/>
          <w:rFonts w:hint="eastAsia" w:ascii="仿宋" w:hAnsi="仿宋" w:eastAsia="仿宋"/>
          <w:b w:val="0"/>
          <w:bCs/>
          <w:color w:val="000000"/>
          <w:sz w:val="32"/>
          <w:szCs w:val="32"/>
        </w:rPr>
        <w:t>支出决算为</w:t>
      </w:r>
      <w:r>
        <w:rPr>
          <w:rStyle w:val="22"/>
          <w:rFonts w:hint="eastAsia" w:ascii="仿宋" w:hAnsi="仿宋" w:eastAsia="仿宋"/>
          <w:b w:val="0"/>
          <w:bCs/>
          <w:color w:val="000000"/>
          <w:sz w:val="32"/>
          <w:szCs w:val="32"/>
          <w:lang w:val="en-US" w:eastAsia="zh-CN"/>
        </w:rPr>
        <w:t>372.96</w:t>
      </w:r>
      <w:r>
        <w:rPr>
          <w:rStyle w:val="22"/>
          <w:rFonts w:hint="eastAsia" w:ascii="仿宋" w:hAnsi="仿宋" w:eastAsia="仿宋"/>
          <w:b w:val="0"/>
          <w:bCs/>
          <w:color w:val="000000"/>
          <w:sz w:val="32"/>
          <w:szCs w:val="32"/>
        </w:rPr>
        <w:t>万元，</w:t>
      </w:r>
    </w:p>
    <w:p w14:paraId="7C4357F6">
      <w:pPr>
        <w:spacing w:line="360" w:lineRule="auto"/>
        <w:ind w:firstLine="640" w:firstLineChars="200"/>
        <w:rPr>
          <w:rFonts w:ascii="仿宋" w:hAnsi="仿宋" w:eastAsia="仿宋"/>
          <w:b/>
          <w:bCs/>
          <w:color w:val="000000"/>
          <w:sz w:val="32"/>
          <w:szCs w:val="32"/>
        </w:rPr>
      </w:pPr>
      <w:r>
        <w:rPr>
          <w:rStyle w:val="22"/>
          <w:rFonts w:hint="eastAsia" w:ascii="仿宋" w:hAnsi="仿宋" w:eastAsia="仿宋"/>
          <w:b w:val="0"/>
          <w:bCs/>
          <w:color w:val="000000"/>
          <w:sz w:val="32"/>
          <w:szCs w:val="32"/>
        </w:rPr>
        <w:t>其中：</w:t>
      </w:r>
      <w:r>
        <w:rPr>
          <w:rStyle w:val="42"/>
          <w:rFonts w:ascii="仿宋" w:hAnsi="仿宋" w:eastAsia="仿宋"/>
          <w:b w:val="0"/>
          <w:color w:val="000000"/>
          <w:sz w:val="32"/>
          <w:szCs w:val="32"/>
        </w:rPr>
        <w:t>2080505</w:t>
      </w:r>
      <w:r>
        <w:rPr>
          <w:rStyle w:val="42"/>
          <w:rFonts w:hint="eastAsia" w:ascii="仿宋" w:hAnsi="仿宋" w:eastAsia="仿宋"/>
          <w:b w:val="0"/>
          <w:color w:val="000000"/>
          <w:sz w:val="32"/>
          <w:szCs w:val="32"/>
        </w:rPr>
        <w:t>机关事业单位基本养老保险缴费支出</w:t>
      </w:r>
      <w:r>
        <w:rPr>
          <w:rStyle w:val="42"/>
          <w:rFonts w:hint="eastAsia" w:ascii="仿宋" w:hAnsi="仿宋" w:eastAsia="仿宋"/>
          <w:b w:val="0"/>
          <w:color w:val="000000"/>
          <w:sz w:val="32"/>
          <w:szCs w:val="32"/>
          <w:lang w:val="en-US" w:eastAsia="zh-CN"/>
        </w:rPr>
        <w:t>248.64</w:t>
      </w:r>
      <w:r>
        <w:rPr>
          <w:rStyle w:val="42"/>
          <w:rFonts w:hint="eastAsia" w:ascii="仿宋" w:hAnsi="仿宋" w:eastAsia="仿宋"/>
          <w:b w:val="0"/>
          <w:color w:val="000000"/>
          <w:sz w:val="32"/>
          <w:szCs w:val="32"/>
        </w:rPr>
        <w:t>万元</w:t>
      </w:r>
      <w:r>
        <w:rPr>
          <w:rStyle w:val="22"/>
          <w:rFonts w:hint="eastAsia" w:ascii="仿宋" w:hAnsi="仿宋" w:eastAsia="仿宋"/>
          <w:b w:val="0"/>
          <w:bCs/>
          <w:color w:val="000000"/>
          <w:sz w:val="32"/>
          <w:szCs w:val="32"/>
        </w:rPr>
        <w:t>，完成预算100</w:t>
      </w:r>
      <w:r>
        <w:rPr>
          <w:rStyle w:val="22"/>
          <w:rFonts w:ascii="仿宋" w:hAnsi="仿宋" w:eastAsia="仿宋"/>
          <w:b w:val="0"/>
          <w:bCs/>
          <w:color w:val="000000"/>
          <w:sz w:val="32"/>
          <w:szCs w:val="32"/>
        </w:rPr>
        <w:t>%</w:t>
      </w:r>
      <w:r>
        <w:rPr>
          <w:rStyle w:val="22"/>
          <w:rFonts w:hint="eastAsia" w:ascii="仿宋" w:hAnsi="仿宋" w:eastAsia="仿宋"/>
          <w:b w:val="0"/>
          <w:bCs/>
          <w:color w:val="000000"/>
          <w:sz w:val="32"/>
          <w:szCs w:val="32"/>
        </w:rPr>
        <w:t>。</w:t>
      </w:r>
      <w:r>
        <w:rPr>
          <w:rStyle w:val="42"/>
          <w:rFonts w:ascii="仿宋" w:hAnsi="仿宋" w:eastAsia="仿宋"/>
          <w:b w:val="0"/>
          <w:color w:val="000000"/>
          <w:sz w:val="32"/>
          <w:szCs w:val="32"/>
        </w:rPr>
        <w:t>2080506</w:t>
      </w:r>
      <w:r>
        <w:rPr>
          <w:rStyle w:val="42"/>
          <w:rFonts w:hint="eastAsia" w:ascii="仿宋" w:hAnsi="仿宋" w:eastAsia="仿宋"/>
          <w:b w:val="0"/>
          <w:color w:val="000000"/>
          <w:sz w:val="32"/>
          <w:szCs w:val="32"/>
        </w:rPr>
        <w:t>机关事业单位职业年金缴费支出</w:t>
      </w:r>
      <w:r>
        <w:rPr>
          <w:rStyle w:val="42"/>
          <w:rFonts w:hint="eastAsia" w:ascii="仿宋" w:hAnsi="仿宋" w:eastAsia="仿宋"/>
          <w:b w:val="0"/>
          <w:color w:val="000000"/>
          <w:sz w:val="32"/>
          <w:szCs w:val="32"/>
          <w:lang w:val="en-US" w:eastAsia="zh-CN"/>
        </w:rPr>
        <w:t>124.32</w:t>
      </w:r>
      <w:r>
        <w:rPr>
          <w:rStyle w:val="42"/>
          <w:rFonts w:hint="eastAsia" w:ascii="仿宋" w:hAnsi="仿宋" w:eastAsia="仿宋"/>
          <w:b w:val="0"/>
          <w:color w:val="000000"/>
          <w:sz w:val="32"/>
          <w:szCs w:val="32"/>
        </w:rPr>
        <w:t>万元，完成预算</w:t>
      </w:r>
      <w:r>
        <w:rPr>
          <w:rStyle w:val="42"/>
          <w:rFonts w:ascii="仿宋" w:hAnsi="仿宋" w:eastAsia="仿宋"/>
          <w:b w:val="0"/>
          <w:color w:val="000000"/>
          <w:sz w:val="32"/>
          <w:szCs w:val="32"/>
        </w:rPr>
        <w:t>100%</w:t>
      </w:r>
      <w:r>
        <w:rPr>
          <w:rStyle w:val="42"/>
          <w:rFonts w:hint="eastAsia" w:ascii="仿宋" w:hAnsi="仿宋" w:eastAsia="仿宋"/>
          <w:b w:val="0"/>
          <w:color w:val="000000"/>
          <w:sz w:val="32"/>
          <w:szCs w:val="32"/>
        </w:rPr>
        <w:t>。</w:t>
      </w:r>
    </w:p>
    <w:p w14:paraId="08726AD6">
      <w:pPr>
        <w:spacing w:line="360" w:lineRule="auto"/>
        <w:ind w:firstLine="643" w:firstLineChars="200"/>
        <w:rPr>
          <w:rStyle w:val="42"/>
          <w:rFonts w:ascii="仿宋" w:hAnsi="仿宋" w:eastAsia="仿宋"/>
          <w:b w:val="0"/>
          <w:color w:val="000000"/>
          <w:sz w:val="32"/>
          <w:szCs w:val="32"/>
        </w:rPr>
      </w:pPr>
      <w:r>
        <w:rPr>
          <w:rStyle w:val="42"/>
          <w:rFonts w:ascii="仿宋" w:hAnsi="仿宋" w:eastAsia="仿宋"/>
          <w:color w:val="000000"/>
          <w:sz w:val="32"/>
          <w:szCs w:val="32"/>
        </w:rPr>
        <w:t>3.</w:t>
      </w:r>
      <w:r>
        <w:rPr>
          <w:rStyle w:val="42"/>
          <w:rFonts w:hint="eastAsia" w:ascii="仿宋" w:hAnsi="仿宋" w:eastAsia="仿宋"/>
          <w:color w:val="000000"/>
          <w:sz w:val="32"/>
          <w:szCs w:val="32"/>
        </w:rPr>
        <w:t>卫生健康支出</w:t>
      </w:r>
      <w:r>
        <w:rPr>
          <w:rStyle w:val="42"/>
          <w:rFonts w:hint="eastAsia" w:ascii="仿宋" w:hAnsi="仿宋" w:eastAsia="仿宋"/>
          <w:b w:val="0"/>
          <w:color w:val="000000"/>
          <w:sz w:val="32"/>
          <w:szCs w:val="32"/>
        </w:rPr>
        <w:t>210决算支出</w:t>
      </w:r>
      <w:r>
        <w:rPr>
          <w:rStyle w:val="42"/>
          <w:rFonts w:hint="eastAsia" w:ascii="仿宋" w:hAnsi="仿宋" w:eastAsia="仿宋"/>
          <w:b w:val="0"/>
          <w:color w:val="000000"/>
          <w:sz w:val="32"/>
          <w:szCs w:val="32"/>
          <w:lang w:val="en-US" w:eastAsia="zh-CN"/>
        </w:rPr>
        <w:t>141.42</w:t>
      </w:r>
      <w:r>
        <w:rPr>
          <w:rStyle w:val="42"/>
          <w:rFonts w:hint="eastAsia" w:ascii="仿宋" w:hAnsi="仿宋" w:eastAsia="仿宋"/>
          <w:b w:val="0"/>
          <w:color w:val="000000"/>
          <w:sz w:val="32"/>
          <w:szCs w:val="32"/>
        </w:rPr>
        <w:t>万元。</w:t>
      </w:r>
    </w:p>
    <w:p w14:paraId="01F3E9A1">
      <w:pPr>
        <w:spacing w:line="360" w:lineRule="auto"/>
        <w:ind w:firstLine="640" w:firstLineChars="200"/>
        <w:rPr>
          <w:rStyle w:val="42"/>
          <w:rFonts w:ascii="仿宋" w:eastAsia="仿宋"/>
          <w:b w:val="0"/>
        </w:rPr>
      </w:pPr>
      <w:r>
        <w:rPr>
          <w:rStyle w:val="42"/>
          <w:rFonts w:hint="eastAsia" w:ascii="仿宋" w:hAnsi="仿宋" w:eastAsia="仿宋"/>
          <w:b w:val="0"/>
          <w:color w:val="000000"/>
          <w:sz w:val="32"/>
          <w:szCs w:val="32"/>
        </w:rPr>
        <w:t>其中;</w:t>
      </w:r>
      <w:r>
        <w:rPr>
          <w:rStyle w:val="42"/>
          <w:rFonts w:ascii="仿宋" w:hAnsi="仿宋" w:eastAsia="仿宋"/>
          <w:b w:val="0"/>
          <w:color w:val="000000"/>
          <w:sz w:val="32"/>
          <w:szCs w:val="32"/>
        </w:rPr>
        <w:t xml:space="preserve"> 2101102</w:t>
      </w:r>
      <w:r>
        <w:rPr>
          <w:rStyle w:val="42"/>
          <w:rFonts w:hint="eastAsia" w:ascii="仿宋" w:hAnsi="仿宋" w:eastAsia="仿宋"/>
          <w:b w:val="0"/>
          <w:color w:val="000000"/>
          <w:sz w:val="32"/>
          <w:szCs w:val="32"/>
        </w:rPr>
        <w:t>事业单位医疗，支出决算为</w:t>
      </w:r>
      <w:r>
        <w:rPr>
          <w:rStyle w:val="42"/>
          <w:rFonts w:hint="eastAsia" w:ascii="仿宋" w:hAnsi="仿宋" w:eastAsia="仿宋"/>
          <w:b w:val="0"/>
          <w:color w:val="000000"/>
          <w:sz w:val="32"/>
          <w:szCs w:val="32"/>
          <w:lang w:val="en-US" w:eastAsia="zh-CN"/>
        </w:rPr>
        <w:t>123.83</w:t>
      </w:r>
      <w:r>
        <w:rPr>
          <w:rStyle w:val="42"/>
          <w:rFonts w:hint="eastAsia" w:ascii="仿宋" w:hAnsi="仿宋" w:eastAsia="仿宋"/>
          <w:b w:val="0"/>
          <w:color w:val="000000"/>
          <w:sz w:val="32"/>
          <w:szCs w:val="32"/>
        </w:rPr>
        <w:t>万元，完成预算</w:t>
      </w:r>
      <w:r>
        <w:rPr>
          <w:rStyle w:val="42"/>
          <w:rFonts w:ascii="仿宋" w:hAnsi="仿宋" w:eastAsia="仿宋"/>
          <w:b w:val="0"/>
          <w:color w:val="000000"/>
          <w:sz w:val="32"/>
          <w:szCs w:val="32"/>
        </w:rPr>
        <w:t>100%</w:t>
      </w:r>
      <w:r>
        <w:rPr>
          <w:rStyle w:val="42"/>
          <w:rFonts w:hint="eastAsia" w:ascii="仿宋" w:hAnsi="仿宋" w:eastAsia="仿宋"/>
          <w:b w:val="0"/>
          <w:color w:val="000000"/>
          <w:sz w:val="32"/>
          <w:szCs w:val="32"/>
        </w:rPr>
        <w:t>；</w:t>
      </w:r>
      <w:r>
        <w:rPr>
          <w:rStyle w:val="42"/>
          <w:rFonts w:ascii="仿宋" w:hAnsi="仿宋" w:eastAsia="仿宋"/>
          <w:b w:val="0"/>
          <w:color w:val="000000"/>
          <w:sz w:val="32"/>
          <w:szCs w:val="32"/>
        </w:rPr>
        <w:t>2101199</w:t>
      </w:r>
      <w:r>
        <w:rPr>
          <w:rStyle w:val="42"/>
          <w:rFonts w:hint="eastAsia" w:ascii="仿宋" w:hAnsi="仿宋" w:eastAsia="仿宋"/>
          <w:b w:val="0"/>
          <w:color w:val="000000"/>
          <w:sz w:val="32"/>
          <w:szCs w:val="32"/>
        </w:rPr>
        <w:t>其他行政事业单位医疗支出</w:t>
      </w:r>
      <w:r>
        <w:rPr>
          <w:rStyle w:val="42"/>
          <w:rFonts w:ascii="仿宋" w:hAnsi="仿宋" w:eastAsia="仿宋"/>
          <w:b w:val="0"/>
          <w:color w:val="000000"/>
          <w:sz w:val="32"/>
          <w:szCs w:val="32"/>
        </w:rPr>
        <w:t>:</w:t>
      </w:r>
      <w:r>
        <w:rPr>
          <w:rStyle w:val="42"/>
          <w:rFonts w:hint="eastAsia" w:ascii="仿宋" w:hAnsi="仿宋" w:eastAsia="仿宋"/>
          <w:b w:val="0"/>
          <w:color w:val="000000"/>
          <w:sz w:val="32"/>
          <w:szCs w:val="32"/>
        </w:rPr>
        <w:t>支出决算为</w:t>
      </w:r>
      <w:r>
        <w:rPr>
          <w:rStyle w:val="42"/>
          <w:rFonts w:hint="eastAsia" w:ascii="仿宋" w:hAnsi="仿宋" w:eastAsia="仿宋"/>
          <w:b w:val="0"/>
          <w:color w:val="000000"/>
          <w:sz w:val="32"/>
          <w:szCs w:val="32"/>
          <w:lang w:val="en-US" w:eastAsia="zh-CN"/>
        </w:rPr>
        <w:t>17.59</w:t>
      </w:r>
      <w:r>
        <w:rPr>
          <w:rStyle w:val="42"/>
          <w:rFonts w:hint="eastAsia" w:ascii="仿宋" w:hAnsi="仿宋" w:eastAsia="仿宋"/>
          <w:b w:val="0"/>
          <w:color w:val="000000"/>
          <w:sz w:val="32"/>
          <w:szCs w:val="32"/>
        </w:rPr>
        <w:t>万元，完成预算</w:t>
      </w:r>
      <w:r>
        <w:rPr>
          <w:rStyle w:val="42"/>
          <w:rFonts w:ascii="仿宋" w:hAnsi="仿宋" w:eastAsia="仿宋"/>
          <w:b w:val="0"/>
          <w:color w:val="000000"/>
          <w:sz w:val="32"/>
          <w:szCs w:val="32"/>
        </w:rPr>
        <w:t>100%</w:t>
      </w:r>
      <w:r>
        <w:rPr>
          <w:rStyle w:val="42"/>
          <w:rFonts w:hint="eastAsia" w:ascii="仿宋" w:hAnsi="仿宋" w:eastAsia="仿宋"/>
          <w:b w:val="0"/>
          <w:color w:val="000000"/>
          <w:sz w:val="32"/>
          <w:szCs w:val="32"/>
        </w:rPr>
        <w:t>。</w:t>
      </w:r>
    </w:p>
    <w:p w14:paraId="032C9D03">
      <w:pPr>
        <w:spacing w:line="360" w:lineRule="auto"/>
        <w:ind w:firstLine="643" w:firstLineChars="200"/>
        <w:rPr>
          <w:rStyle w:val="42"/>
          <w:rFonts w:ascii="仿宋" w:hAnsi="仿宋" w:eastAsia="仿宋"/>
          <w:b w:val="0"/>
          <w:color w:val="000000"/>
          <w:sz w:val="32"/>
          <w:szCs w:val="32"/>
        </w:rPr>
      </w:pPr>
      <w:r>
        <w:rPr>
          <w:rStyle w:val="42"/>
          <w:rFonts w:ascii="仿宋" w:hAnsi="仿宋" w:eastAsia="仿宋"/>
          <w:color w:val="000000"/>
          <w:sz w:val="32"/>
          <w:szCs w:val="32"/>
        </w:rPr>
        <w:t>4.</w:t>
      </w:r>
      <w:r>
        <w:rPr>
          <w:rStyle w:val="42"/>
          <w:rFonts w:hint="eastAsia" w:ascii="仿宋" w:hAnsi="仿宋" w:eastAsia="仿宋"/>
          <w:color w:val="000000"/>
          <w:sz w:val="32"/>
          <w:szCs w:val="32"/>
        </w:rPr>
        <w:t>住房保障支出</w:t>
      </w:r>
      <w:r>
        <w:rPr>
          <w:rStyle w:val="42"/>
          <w:rFonts w:ascii="仿宋" w:hAnsi="仿宋" w:eastAsia="仿宋"/>
          <w:color w:val="000000"/>
          <w:sz w:val="32"/>
          <w:szCs w:val="32"/>
        </w:rPr>
        <w:t>2210201</w:t>
      </w:r>
      <w:r>
        <w:rPr>
          <w:rStyle w:val="42"/>
          <w:rFonts w:hint="eastAsia" w:ascii="仿宋" w:hAnsi="仿宋" w:eastAsia="仿宋"/>
          <w:color w:val="000000"/>
          <w:sz w:val="32"/>
          <w:szCs w:val="32"/>
        </w:rPr>
        <w:t>：</w:t>
      </w:r>
      <w:r>
        <w:rPr>
          <w:rStyle w:val="42"/>
          <w:rFonts w:hint="eastAsia" w:ascii="仿宋" w:hAnsi="仿宋" w:eastAsia="仿宋"/>
          <w:b w:val="0"/>
          <w:color w:val="000000"/>
          <w:sz w:val="32"/>
          <w:szCs w:val="32"/>
        </w:rPr>
        <w:t>住房公积金支出决算为</w:t>
      </w:r>
      <w:r>
        <w:rPr>
          <w:rStyle w:val="42"/>
          <w:rFonts w:hint="eastAsia" w:ascii="仿宋" w:hAnsi="仿宋" w:eastAsia="仿宋"/>
          <w:b w:val="0"/>
          <w:color w:val="000000"/>
          <w:sz w:val="32"/>
          <w:szCs w:val="32"/>
          <w:lang w:val="en-US" w:eastAsia="zh-CN"/>
        </w:rPr>
        <w:t>207.81</w:t>
      </w:r>
      <w:r>
        <w:rPr>
          <w:rStyle w:val="42"/>
          <w:rFonts w:hint="eastAsia" w:ascii="仿宋" w:hAnsi="仿宋" w:eastAsia="仿宋"/>
          <w:b w:val="0"/>
          <w:color w:val="000000"/>
          <w:sz w:val="32"/>
          <w:szCs w:val="32"/>
        </w:rPr>
        <w:t>万元，完成预算100%。</w:t>
      </w:r>
    </w:p>
    <w:p w14:paraId="318AD4FC">
      <w:pPr>
        <w:spacing w:line="600" w:lineRule="exact"/>
        <w:rPr>
          <w:rFonts w:ascii="仿宋" w:hAnsi="仿宋" w:eastAsia="仿宋"/>
          <w:b/>
          <w:color w:val="FF0000"/>
          <w:sz w:val="32"/>
          <w:szCs w:val="32"/>
        </w:rPr>
      </w:pPr>
    </w:p>
    <w:p w14:paraId="6DE42B3A">
      <w:pPr>
        <w:tabs>
          <w:tab w:val="right" w:pos="8306"/>
        </w:tabs>
        <w:spacing w:line="600" w:lineRule="exact"/>
        <w:ind w:firstLine="320" w:firstLineChars="100"/>
        <w:outlineLvl w:val="1"/>
        <w:rPr>
          <w:rStyle w:val="25"/>
        </w:rPr>
      </w:pPr>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5"/>
          <w:rFonts w:hint="eastAsia" w:ascii="黑体" w:hAnsi="黑体" w:eastAsia="黑体"/>
          <w:b w:val="0"/>
        </w:rPr>
        <w:t>般公共预算财政拨款基本支出决算情况说明</w:t>
      </w:r>
      <w:bookmarkEnd w:id="89"/>
      <w:bookmarkEnd w:id="90"/>
      <w:bookmarkEnd w:id="91"/>
      <w:bookmarkEnd w:id="92"/>
      <w:bookmarkEnd w:id="93"/>
      <w:bookmarkEnd w:id="94"/>
      <w:r>
        <w:rPr>
          <w:rStyle w:val="25"/>
          <w:rFonts w:ascii="黑体" w:hAnsi="黑体" w:eastAsia="黑体"/>
          <w:b w:val="0"/>
        </w:rPr>
        <w:tab/>
      </w:r>
    </w:p>
    <w:p w14:paraId="28F45EB0">
      <w:pPr>
        <w:spacing w:line="600" w:lineRule="exact"/>
        <w:ind w:firstLine="645"/>
        <w:rPr>
          <w:rFonts w:ascii="仿宋" w:hAnsi="仿宋" w:eastAsia="仿宋"/>
          <w:color w:val="000000"/>
          <w:sz w:val="32"/>
          <w:szCs w:val="32"/>
        </w:rPr>
      </w:pPr>
      <w:bookmarkStart w:id="95" w:name="_Toc145599208"/>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年一般公共预算财政拨款基本支出</w:t>
      </w:r>
      <w:r>
        <w:rPr>
          <w:rFonts w:hint="eastAsia" w:ascii="仿宋" w:hAnsi="仿宋" w:eastAsia="仿宋"/>
          <w:color w:val="000000"/>
          <w:sz w:val="32"/>
          <w:szCs w:val="32"/>
          <w:lang w:val="en-US" w:eastAsia="zh-CN"/>
        </w:rPr>
        <w:t>2685.40</w:t>
      </w:r>
      <w:r>
        <w:rPr>
          <w:rFonts w:hint="eastAsia" w:ascii="仿宋" w:hAnsi="仿宋" w:eastAsia="仿宋"/>
          <w:color w:val="000000"/>
          <w:sz w:val="32"/>
          <w:szCs w:val="32"/>
        </w:rPr>
        <w:t>万元，其中：</w:t>
      </w:r>
    </w:p>
    <w:p w14:paraId="34DC0B86">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工资福利支出</w:t>
      </w:r>
      <w:r>
        <w:rPr>
          <w:rFonts w:hint="eastAsia" w:ascii="仿宋" w:hAnsi="仿宋" w:eastAsia="仿宋"/>
          <w:color w:val="000000"/>
          <w:sz w:val="32"/>
          <w:szCs w:val="32"/>
          <w:lang w:val="en-US" w:eastAsia="zh-CN"/>
        </w:rPr>
        <w:t>2576.21</w:t>
      </w:r>
      <w:r>
        <w:rPr>
          <w:rFonts w:hint="eastAsia" w:ascii="仿宋" w:hAnsi="仿宋" w:eastAsia="仿宋"/>
          <w:color w:val="000000"/>
          <w:sz w:val="32"/>
          <w:szCs w:val="32"/>
        </w:rPr>
        <w:t>万元，主要包括：基本工资</w:t>
      </w:r>
      <w:r>
        <w:rPr>
          <w:rFonts w:hint="eastAsia" w:ascii="仿宋" w:hAnsi="仿宋" w:eastAsia="仿宋"/>
          <w:color w:val="000000"/>
          <w:sz w:val="32"/>
          <w:szCs w:val="32"/>
          <w:lang w:val="en-US" w:eastAsia="zh-CN"/>
        </w:rPr>
        <w:t>545.09</w:t>
      </w:r>
      <w:r>
        <w:rPr>
          <w:rFonts w:hint="eastAsia" w:ascii="仿宋" w:hAnsi="仿宋" w:eastAsia="仿宋"/>
          <w:color w:val="000000"/>
          <w:sz w:val="32"/>
          <w:szCs w:val="32"/>
        </w:rPr>
        <w:t>万元、津贴补贴</w:t>
      </w:r>
      <w:r>
        <w:rPr>
          <w:rFonts w:hint="eastAsia" w:ascii="仿宋" w:hAnsi="仿宋" w:eastAsia="仿宋"/>
          <w:color w:val="000000"/>
          <w:sz w:val="32"/>
          <w:szCs w:val="32"/>
          <w:lang w:val="en-US" w:eastAsia="zh-CN"/>
        </w:rPr>
        <w:t>547.58</w:t>
      </w:r>
      <w:r>
        <w:rPr>
          <w:rFonts w:hint="eastAsia" w:ascii="仿宋" w:hAnsi="仿宋" w:eastAsia="仿宋"/>
          <w:color w:val="000000"/>
          <w:sz w:val="32"/>
          <w:szCs w:val="32"/>
        </w:rPr>
        <w:t>万元、奖金</w:t>
      </w:r>
      <w:r>
        <w:rPr>
          <w:rFonts w:hint="eastAsia" w:ascii="仿宋" w:hAnsi="仿宋" w:eastAsia="仿宋"/>
          <w:color w:val="000000"/>
          <w:sz w:val="32"/>
          <w:szCs w:val="32"/>
          <w:lang w:val="en-US" w:eastAsia="zh-CN"/>
        </w:rPr>
        <w:t>458.80</w:t>
      </w:r>
      <w:r>
        <w:rPr>
          <w:rFonts w:hint="eastAsia" w:ascii="仿宋" w:hAnsi="仿宋" w:eastAsia="仿宋"/>
          <w:color w:val="000000"/>
          <w:sz w:val="32"/>
          <w:szCs w:val="32"/>
        </w:rPr>
        <w:t>万元、绩效工资</w:t>
      </w:r>
      <w:r>
        <w:rPr>
          <w:rFonts w:hint="eastAsia" w:ascii="仿宋" w:hAnsi="仿宋" w:eastAsia="仿宋"/>
          <w:color w:val="000000"/>
          <w:sz w:val="32"/>
          <w:szCs w:val="32"/>
          <w:lang w:val="en-US" w:eastAsia="zh-CN"/>
        </w:rPr>
        <w:t>273.07</w:t>
      </w:r>
      <w:r>
        <w:rPr>
          <w:rFonts w:hint="eastAsia" w:ascii="仿宋" w:hAnsi="仿宋" w:eastAsia="仿宋"/>
          <w:color w:val="000000"/>
          <w:sz w:val="32"/>
          <w:szCs w:val="32"/>
        </w:rPr>
        <w:t>万元、机关事业单位基本养老保险缴费</w:t>
      </w:r>
      <w:r>
        <w:rPr>
          <w:rFonts w:hint="eastAsia" w:ascii="仿宋" w:hAnsi="仿宋" w:eastAsia="仿宋"/>
          <w:color w:val="000000"/>
          <w:sz w:val="32"/>
          <w:szCs w:val="32"/>
          <w:lang w:val="en-US" w:eastAsia="zh-CN"/>
        </w:rPr>
        <w:t>248.64</w:t>
      </w:r>
      <w:r>
        <w:rPr>
          <w:rFonts w:hint="eastAsia" w:ascii="仿宋" w:hAnsi="仿宋" w:eastAsia="仿宋"/>
          <w:color w:val="000000"/>
          <w:sz w:val="32"/>
          <w:szCs w:val="32"/>
        </w:rPr>
        <w:t>万元、职业年金缴费</w:t>
      </w:r>
      <w:r>
        <w:rPr>
          <w:rFonts w:hint="eastAsia" w:ascii="仿宋" w:hAnsi="仿宋" w:eastAsia="仿宋"/>
          <w:color w:val="000000"/>
          <w:sz w:val="32"/>
          <w:szCs w:val="32"/>
          <w:lang w:val="en-US" w:eastAsia="zh-CN"/>
        </w:rPr>
        <w:t>124.33</w:t>
      </w:r>
      <w:r>
        <w:rPr>
          <w:rFonts w:hint="eastAsia" w:ascii="仿宋" w:hAnsi="仿宋" w:eastAsia="仿宋"/>
          <w:color w:val="000000"/>
          <w:sz w:val="32"/>
          <w:szCs w:val="32"/>
        </w:rPr>
        <w:t>万元、公务员医疗补助缴费</w:t>
      </w:r>
      <w:r>
        <w:rPr>
          <w:rFonts w:hint="eastAsia" w:ascii="仿宋" w:hAnsi="仿宋" w:eastAsia="仿宋"/>
          <w:color w:val="000000"/>
          <w:sz w:val="32"/>
          <w:szCs w:val="32"/>
          <w:lang w:val="en-US" w:eastAsia="zh-CN"/>
        </w:rPr>
        <w:t>17.59</w:t>
      </w:r>
      <w:r>
        <w:rPr>
          <w:rFonts w:hint="eastAsia" w:ascii="仿宋" w:hAnsi="仿宋" w:eastAsia="仿宋"/>
          <w:color w:val="000000"/>
          <w:sz w:val="32"/>
          <w:szCs w:val="32"/>
        </w:rPr>
        <w:t>万、</w:t>
      </w:r>
      <w:r>
        <w:rPr>
          <w:rFonts w:hint="eastAsia" w:ascii="仿宋" w:hAnsi="仿宋" w:eastAsia="仿宋"/>
          <w:color w:val="000000"/>
          <w:sz w:val="32"/>
          <w:szCs w:val="32"/>
          <w:lang w:eastAsia="zh-CN"/>
        </w:rPr>
        <w:t>职工</w:t>
      </w:r>
      <w:r>
        <w:rPr>
          <w:rFonts w:hint="eastAsia" w:ascii="仿宋" w:hAnsi="仿宋" w:eastAsia="仿宋"/>
          <w:color w:val="000000"/>
          <w:sz w:val="32"/>
          <w:szCs w:val="32"/>
        </w:rPr>
        <w:t>基本医疗保险缴费</w:t>
      </w:r>
      <w:r>
        <w:rPr>
          <w:rFonts w:hint="eastAsia" w:ascii="仿宋" w:hAnsi="仿宋" w:eastAsia="仿宋"/>
          <w:color w:val="000000"/>
          <w:sz w:val="32"/>
          <w:szCs w:val="32"/>
          <w:lang w:val="en-US" w:eastAsia="zh-CN"/>
        </w:rPr>
        <w:t>123.83</w:t>
      </w:r>
      <w:r>
        <w:rPr>
          <w:rFonts w:hint="eastAsia" w:ascii="仿宋" w:hAnsi="仿宋" w:eastAsia="仿宋"/>
          <w:color w:val="000000"/>
          <w:sz w:val="32"/>
          <w:szCs w:val="32"/>
        </w:rPr>
        <w:t>万元、其他社会保障缴费</w:t>
      </w:r>
      <w:r>
        <w:rPr>
          <w:rFonts w:hint="eastAsia" w:ascii="仿宋" w:hAnsi="仿宋" w:eastAsia="仿宋"/>
          <w:color w:val="000000"/>
          <w:sz w:val="32"/>
          <w:szCs w:val="32"/>
          <w:lang w:val="en-US" w:eastAsia="zh-CN"/>
        </w:rPr>
        <w:t>11.91</w:t>
      </w:r>
      <w:r>
        <w:rPr>
          <w:rFonts w:hint="eastAsia" w:ascii="仿宋" w:hAnsi="仿宋" w:eastAsia="仿宋"/>
          <w:color w:val="000000"/>
          <w:sz w:val="32"/>
          <w:szCs w:val="32"/>
        </w:rPr>
        <w:t>万元、医疗费</w:t>
      </w:r>
      <w:r>
        <w:rPr>
          <w:rFonts w:hint="eastAsia" w:ascii="仿宋" w:hAnsi="仿宋" w:eastAsia="仿宋"/>
          <w:color w:val="000000"/>
          <w:sz w:val="32"/>
          <w:szCs w:val="32"/>
          <w:lang w:val="en-US" w:eastAsia="zh-CN"/>
        </w:rPr>
        <w:t>17.57</w:t>
      </w:r>
      <w:r>
        <w:rPr>
          <w:rFonts w:hint="eastAsia" w:ascii="仿宋" w:hAnsi="仿宋" w:eastAsia="仿宋"/>
          <w:color w:val="000000"/>
          <w:sz w:val="32"/>
          <w:szCs w:val="32"/>
        </w:rPr>
        <w:t>万元、住房公积金</w:t>
      </w:r>
      <w:r>
        <w:rPr>
          <w:rFonts w:hint="eastAsia" w:ascii="仿宋" w:hAnsi="仿宋" w:eastAsia="仿宋"/>
          <w:color w:val="000000"/>
          <w:sz w:val="32"/>
          <w:szCs w:val="32"/>
          <w:lang w:val="en-US" w:eastAsia="zh-CN"/>
        </w:rPr>
        <w:t>207.81</w:t>
      </w:r>
      <w:r>
        <w:rPr>
          <w:rFonts w:hint="eastAsia" w:ascii="仿宋" w:hAnsi="仿宋" w:eastAsia="仿宋"/>
          <w:color w:val="000000"/>
          <w:sz w:val="32"/>
          <w:szCs w:val="32"/>
        </w:rPr>
        <w:t>万元 。</w:t>
      </w:r>
    </w:p>
    <w:p w14:paraId="4884FE6F">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商品和服务支出</w:t>
      </w:r>
      <w:r>
        <w:rPr>
          <w:rFonts w:hint="eastAsia" w:ascii="仿宋" w:hAnsi="仿宋" w:eastAsia="仿宋"/>
          <w:color w:val="000000"/>
          <w:sz w:val="32"/>
          <w:szCs w:val="32"/>
          <w:lang w:val="en-US" w:eastAsia="zh-CN"/>
        </w:rPr>
        <w:t>73.43</w:t>
      </w:r>
      <w:r>
        <w:rPr>
          <w:rFonts w:hint="eastAsia" w:ascii="仿宋" w:hAnsi="仿宋" w:eastAsia="仿宋"/>
          <w:color w:val="000000"/>
          <w:sz w:val="32"/>
          <w:szCs w:val="32"/>
        </w:rPr>
        <w:t>万元，主要包括：办公费</w:t>
      </w:r>
      <w:r>
        <w:rPr>
          <w:rFonts w:hint="eastAsia" w:ascii="仿宋" w:hAnsi="仿宋" w:eastAsia="仿宋"/>
          <w:color w:val="000000"/>
          <w:sz w:val="32"/>
          <w:szCs w:val="32"/>
          <w:lang w:val="en-US" w:eastAsia="zh-CN"/>
        </w:rPr>
        <w:t>18.59</w:t>
      </w:r>
      <w:r>
        <w:rPr>
          <w:rFonts w:hint="eastAsia" w:ascii="仿宋" w:hAnsi="仿宋" w:eastAsia="仿宋"/>
          <w:color w:val="000000"/>
          <w:sz w:val="32"/>
          <w:szCs w:val="32"/>
        </w:rPr>
        <w:t>万元、电费</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邮电费</w:t>
      </w:r>
      <w:r>
        <w:rPr>
          <w:rFonts w:hint="eastAsia" w:ascii="仿宋" w:hAnsi="仿宋" w:eastAsia="仿宋"/>
          <w:color w:val="000000"/>
          <w:sz w:val="32"/>
          <w:szCs w:val="32"/>
          <w:lang w:val="en-US" w:eastAsia="zh-CN"/>
        </w:rPr>
        <w:t>0万元、</w:t>
      </w:r>
      <w:r>
        <w:rPr>
          <w:rFonts w:hint="eastAsia" w:ascii="仿宋" w:hAnsi="仿宋" w:eastAsia="仿宋"/>
          <w:color w:val="000000"/>
          <w:sz w:val="32"/>
          <w:szCs w:val="32"/>
        </w:rPr>
        <w:t>工会经费</w:t>
      </w:r>
      <w:r>
        <w:rPr>
          <w:rFonts w:hint="eastAsia" w:ascii="仿宋" w:hAnsi="仿宋" w:eastAsia="仿宋"/>
          <w:color w:val="000000"/>
          <w:sz w:val="32"/>
          <w:szCs w:val="32"/>
          <w:lang w:val="en-US" w:eastAsia="zh-CN"/>
        </w:rPr>
        <w:t>18.79</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印刷费</w:t>
      </w:r>
      <w:r>
        <w:rPr>
          <w:rFonts w:hint="eastAsia" w:ascii="仿宋" w:hAnsi="仿宋" w:eastAsia="仿宋"/>
          <w:color w:val="000000"/>
          <w:sz w:val="32"/>
          <w:szCs w:val="32"/>
          <w:lang w:val="en-US" w:eastAsia="zh-CN"/>
        </w:rPr>
        <w:t>11.26万元、</w:t>
      </w:r>
      <w:r>
        <w:rPr>
          <w:rFonts w:hint="eastAsia" w:ascii="仿宋" w:hAnsi="仿宋" w:eastAsia="仿宋"/>
          <w:color w:val="000000"/>
          <w:sz w:val="32"/>
          <w:szCs w:val="32"/>
        </w:rPr>
        <w:t>取暖费</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万元、差旅费</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万元、培训费</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万元、维修维护费</w:t>
      </w:r>
      <w:r>
        <w:rPr>
          <w:rFonts w:hint="eastAsia" w:ascii="仿宋" w:hAnsi="仿宋" w:eastAsia="仿宋"/>
          <w:color w:val="000000"/>
          <w:sz w:val="32"/>
          <w:szCs w:val="32"/>
          <w:lang w:val="en-US" w:eastAsia="zh-CN"/>
        </w:rPr>
        <w:t>2.68</w:t>
      </w:r>
      <w:r>
        <w:rPr>
          <w:rFonts w:hint="eastAsia" w:ascii="仿宋" w:hAnsi="仿宋" w:eastAsia="仿宋"/>
          <w:color w:val="000000"/>
          <w:sz w:val="32"/>
          <w:szCs w:val="32"/>
        </w:rPr>
        <w:t>元</w:t>
      </w:r>
      <w:r>
        <w:rPr>
          <w:rFonts w:hint="eastAsia" w:ascii="仿宋" w:hAnsi="仿宋" w:eastAsia="仿宋"/>
          <w:color w:val="000000"/>
          <w:sz w:val="32"/>
          <w:szCs w:val="32"/>
          <w:lang w:eastAsia="zh-CN"/>
        </w:rPr>
        <w:t>、其他商品和服务支出</w:t>
      </w:r>
      <w:r>
        <w:rPr>
          <w:rFonts w:hint="eastAsia" w:ascii="仿宋" w:hAnsi="仿宋" w:eastAsia="仿宋"/>
          <w:color w:val="000000"/>
          <w:sz w:val="32"/>
          <w:szCs w:val="32"/>
          <w:lang w:val="en-US" w:eastAsia="zh-CN"/>
        </w:rPr>
        <w:t>22.05万元</w:t>
      </w:r>
      <w:r>
        <w:rPr>
          <w:rFonts w:hint="eastAsia" w:ascii="仿宋" w:hAnsi="仿宋" w:eastAsia="仿宋"/>
          <w:color w:val="000000"/>
          <w:sz w:val="32"/>
          <w:szCs w:val="32"/>
        </w:rPr>
        <w:t>。</w:t>
      </w:r>
    </w:p>
    <w:p w14:paraId="69B5A208">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对个人和家庭的补助支出</w:t>
      </w:r>
      <w:r>
        <w:rPr>
          <w:rFonts w:hint="eastAsia" w:ascii="仿宋" w:hAnsi="仿宋" w:eastAsia="仿宋"/>
          <w:color w:val="000000"/>
          <w:sz w:val="32"/>
          <w:szCs w:val="32"/>
          <w:lang w:val="en-US" w:eastAsia="zh-CN"/>
        </w:rPr>
        <w:t>35.75</w:t>
      </w:r>
      <w:r>
        <w:rPr>
          <w:rFonts w:hint="eastAsia" w:ascii="仿宋" w:hAnsi="仿宋" w:eastAsia="仿宋"/>
          <w:color w:val="000000"/>
          <w:sz w:val="32"/>
          <w:szCs w:val="32"/>
        </w:rPr>
        <w:t>万元，其中生活补助</w:t>
      </w:r>
      <w:r>
        <w:rPr>
          <w:rFonts w:hint="eastAsia" w:ascii="仿宋" w:hAnsi="仿宋" w:eastAsia="仿宋"/>
          <w:color w:val="000000"/>
          <w:sz w:val="32"/>
          <w:szCs w:val="32"/>
          <w:lang w:val="en-US" w:eastAsia="zh-CN"/>
        </w:rPr>
        <w:t>33.53</w:t>
      </w:r>
      <w:r>
        <w:rPr>
          <w:rFonts w:hint="eastAsia" w:ascii="仿宋" w:hAnsi="仿宋" w:eastAsia="仿宋"/>
          <w:color w:val="000000"/>
          <w:sz w:val="32"/>
          <w:szCs w:val="32"/>
        </w:rPr>
        <w:t>万元，助学金</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万元，奖励金</w:t>
      </w:r>
      <w:r>
        <w:rPr>
          <w:rFonts w:hint="eastAsia" w:ascii="仿宋" w:hAnsi="仿宋" w:eastAsia="仿宋"/>
          <w:color w:val="000000"/>
          <w:sz w:val="32"/>
          <w:szCs w:val="32"/>
          <w:lang w:val="en-US" w:eastAsia="zh-CN"/>
        </w:rPr>
        <w:t>0.03</w:t>
      </w:r>
      <w:r>
        <w:rPr>
          <w:rFonts w:hint="eastAsia" w:ascii="仿宋" w:hAnsi="仿宋" w:eastAsia="仿宋"/>
          <w:color w:val="000000"/>
          <w:sz w:val="32"/>
          <w:szCs w:val="32"/>
        </w:rPr>
        <w:t>万元,医疗费</w:t>
      </w:r>
      <w:r>
        <w:rPr>
          <w:rFonts w:hint="eastAsia" w:ascii="仿宋" w:hAnsi="仿宋" w:eastAsia="仿宋"/>
          <w:color w:val="000000"/>
          <w:sz w:val="32"/>
          <w:szCs w:val="32"/>
          <w:lang w:val="en-US" w:eastAsia="zh-CN"/>
        </w:rPr>
        <w:t>2.10</w:t>
      </w:r>
      <w:r>
        <w:rPr>
          <w:rFonts w:hint="eastAsia" w:ascii="仿宋" w:hAnsi="仿宋" w:eastAsia="仿宋"/>
          <w:color w:val="000000"/>
          <w:sz w:val="32"/>
          <w:szCs w:val="32"/>
        </w:rPr>
        <w:t>万元</w:t>
      </w:r>
    </w:p>
    <w:p w14:paraId="61121342">
      <w:pPr>
        <w:spacing w:line="600" w:lineRule="exact"/>
        <w:ind w:firstLine="640" w:firstLineChars="200"/>
        <w:outlineLvl w:val="1"/>
        <w:rPr>
          <w:rStyle w:val="25"/>
          <w:rFonts w:ascii="黑体" w:hAnsi="黑体" w:eastAsia="黑体"/>
          <w:b w:val="0"/>
        </w:rPr>
      </w:pPr>
      <w:r>
        <w:rPr>
          <w:rFonts w:hint="eastAsia" w:ascii="黑体" w:eastAsia="黑体"/>
          <w:color w:val="000000"/>
          <w:sz w:val="32"/>
          <w:szCs w:val="32"/>
        </w:rPr>
        <w:t>七、</w:t>
      </w:r>
      <w:r>
        <w:rPr>
          <w:rStyle w:val="25"/>
          <w:rFonts w:hint="eastAsia" w:ascii="黑体" w:hAnsi="黑体" w:eastAsia="黑体"/>
        </w:rPr>
        <w:t>“</w:t>
      </w:r>
      <w:r>
        <w:rPr>
          <w:rStyle w:val="25"/>
          <w:rFonts w:hint="eastAsia" w:ascii="黑体" w:hAnsi="黑体" w:eastAsia="黑体"/>
          <w:b w:val="0"/>
        </w:rPr>
        <w:t>三公”经费财政拨款支出决算情况说明</w:t>
      </w:r>
      <w:bookmarkEnd w:id="95"/>
    </w:p>
    <w:p w14:paraId="632F4D23">
      <w:pPr>
        <w:spacing w:line="600" w:lineRule="exact"/>
        <w:ind w:firstLine="640"/>
        <w:outlineLvl w:val="2"/>
        <w:rPr>
          <w:rFonts w:hint="eastAsia" w:ascii="仿宋_GB2312" w:hAnsi="仿宋_GB2312" w:eastAsia="仿宋_GB2312" w:cs="仿宋_GB2312"/>
          <w:b/>
          <w:color w:val="000000"/>
          <w:sz w:val="32"/>
          <w:szCs w:val="32"/>
        </w:rPr>
      </w:pPr>
      <w:bookmarkStart w:id="96" w:name="_Toc145599209"/>
      <w:bookmarkStart w:id="97" w:name="_Toc79163870"/>
      <w:bookmarkStart w:id="98" w:name="_Toc79163620"/>
      <w:bookmarkStart w:id="99" w:name="_Toc15377216"/>
      <w:r>
        <w:rPr>
          <w:rFonts w:hint="eastAsia" w:ascii="仿宋_GB2312" w:hAnsi="仿宋_GB2312" w:eastAsia="仿宋_GB2312" w:cs="仿宋_GB2312"/>
          <w:b/>
          <w:color w:val="000000"/>
          <w:sz w:val="32"/>
          <w:szCs w:val="32"/>
        </w:rPr>
        <w:t>（一）“三公”经费财政拨款支出决算总体情况说明</w:t>
      </w:r>
      <w:bookmarkEnd w:id="96"/>
      <w:bookmarkEnd w:id="97"/>
      <w:bookmarkEnd w:id="98"/>
      <w:bookmarkEnd w:id="99"/>
    </w:p>
    <w:p w14:paraId="53B8C570">
      <w:pPr>
        <w:spacing w:line="60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年“三公”经费财政拨款支出决算为0万元，完成预算0%，与预算数持平。</w:t>
      </w:r>
    </w:p>
    <w:p w14:paraId="107D5B17">
      <w:pPr>
        <w:spacing w:line="600" w:lineRule="exact"/>
        <w:ind w:firstLine="640"/>
        <w:outlineLvl w:val="2"/>
        <w:rPr>
          <w:rFonts w:hint="eastAsia" w:ascii="仿宋_GB2312" w:hAnsi="仿宋_GB2312" w:eastAsia="仿宋_GB2312" w:cs="仿宋_GB2312"/>
          <w:b/>
          <w:color w:val="000000"/>
          <w:sz w:val="32"/>
          <w:szCs w:val="32"/>
        </w:rPr>
      </w:pPr>
      <w:bookmarkStart w:id="100" w:name="_Toc79163871"/>
      <w:bookmarkStart w:id="101" w:name="_Toc79163621"/>
      <w:bookmarkStart w:id="102" w:name="_Toc15377217"/>
      <w:bookmarkStart w:id="103" w:name="_Toc145599210"/>
      <w:r>
        <w:rPr>
          <w:rFonts w:hint="eastAsia" w:ascii="仿宋_GB2312" w:hAnsi="仿宋_GB2312" w:eastAsia="仿宋_GB2312" w:cs="仿宋_GB2312"/>
          <w:b/>
          <w:color w:val="000000"/>
          <w:sz w:val="32"/>
          <w:szCs w:val="32"/>
        </w:rPr>
        <w:t>（二）“三公”经费财政拨款支出决算具体情况说明</w:t>
      </w:r>
      <w:bookmarkEnd w:id="100"/>
      <w:bookmarkEnd w:id="101"/>
      <w:bookmarkEnd w:id="102"/>
      <w:bookmarkEnd w:id="103"/>
    </w:p>
    <w:p w14:paraId="54A223CC">
      <w:pPr>
        <w:spacing w:line="60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年“三公”经费财政拨款支出决算中，因公出国（境）费支出决算0万元，占0%；公务用车购置及运行维护费支出决算0万元，占0%；公务接待费支出决算0万元，占0%。与预算数持平。</w:t>
      </w:r>
    </w:p>
    <w:p w14:paraId="20A5A8AD">
      <w:pPr>
        <w:spacing w:line="600" w:lineRule="exact"/>
        <w:ind w:firstLine="643"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1.因公出国（境）经费支出0</w:t>
      </w:r>
      <w:r>
        <w:rPr>
          <w:rFonts w:hint="eastAsia" w:ascii="仿宋_GB2312" w:hAnsi="仿宋_GB2312" w:eastAsia="仿宋_GB2312" w:cs="仿宋_GB2312"/>
          <w:color w:val="000000"/>
          <w:sz w:val="32"/>
          <w:szCs w:val="32"/>
        </w:rPr>
        <w:t>万元，</w:t>
      </w:r>
      <w:r>
        <w:rPr>
          <w:rStyle w:val="22"/>
          <w:rFonts w:hint="eastAsia" w:ascii="仿宋_GB2312" w:hAnsi="仿宋_GB2312" w:eastAsia="仿宋_GB2312" w:cs="仿宋_GB2312"/>
          <w:b w:val="0"/>
          <w:bCs/>
          <w:color w:val="000000"/>
          <w:sz w:val="32"/>
          <w:szCs w:val="32"/>
        </w:rPr>
        <w:t>完成预算0%。</w:t>
      </w:r>
      <w:r>
        <w:rPr>
          <w:rFonts w:hint="eastAsia" w:ascii="仿宋_GB2312" w:hAnsi="仿宋_GB2312" w:eastAsia="仿宋_GB2312" w:cs="仿宋_GB2312"/>
          <w:color w:val="000000"/>
          <w:sz w:val="32"/>
          <w:szCs w:val="32"/>
        </w:rPr>
        <w:t>全年安排因公出国（境）团组0次，出国（境）0人。</w:t>
      </w:r>
      <w:r>
        <w:rPr>
          <w:rFonts w:hint="eastAsia" w:ascii="仿宋_GB2312" w:hAnsi="仿宋_GB2312" w:eastAsia="仿宋_GB2312" w:cs="仿宋_GB2312"/>
          <w:b/>
          <w:color w:val="000000"/>
          <w:sz w:val="32"/>
          <w:szCs w:val="32"/>
        </w:rPr>
        <w:t>2.公务用车购置及运行维护费支出0</w:t>
      </w:r>
      <w:r>
        <w:rPr>
          <w:rFonts w:hint="eastAsia" w:ascii="仿宋_GB2312" w:hAnsi="仿宋_GB2312" w:eastAsia="仿宋_GB2312" w:cs="仿宋_GB2312"/>
          <w:color w:val="000000"/>
          <w:sz w:val="32"/>
          <w:szCs w:val="32"/>
        </w:rPr>
        <w:t>万元,</w:t>
      </w:r>
      <w:r>
        <w:rPr>
          <w:rStyle w:val="22"/>
          <w:rFonts w:hint="eastAsia" w:ascii="仿宋_GB2312" w:hAnsi="仿宋_GB2312" w:eastAsia="仿宋_GB2312" w:cs="仿宋_GB2312"/>
          <w:b w:val="0"/>
          <w:bCs/>
          <w:color w:val="000000"/>
          <w:sz w:val="32"/>
          <w:szCs w:val="32"/>
        </w:rPr>
        <w:t>完成预算0%，</w:t>
      </w:r>
      <w:r>
        <w:rPr>
          <w:rFonts w:hint="eastAsia" w:ascii="仿宋_GB2312" w:hAnsi="仿宋_GB2312" w:eastAsia="仿宋_GB2312" w:cs="仿宋_GB2312"/>
          <w:color w:val="000000"/>
          <w:sz w:val="32"/>
          <w:szCs w:val="32"/>
        </w:rPr>
        <w:t>与预算数持平。</w:t>
      </w:r>
    </w:p>
    <w:p w14:paraId="16A34EE4">
      <w:pPr>
        <w:spacing w:line="600" w:lineRule="exact"/>
        <w:ind w:firstLine="643"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sz w:val="32"/>
          <w:szCs w:val="32"/>
        </w:rPr>
        <w:t>2</w:t>
      </w:r>
      <w:r>
        <w:rPr>
          <w:rFonts w:hint="eastAsia" w:ascii="仿宋_GB2312" w:hAnsi="仿宋_GB2312" w:eastAsia="仿宋_GB2312" w:cs="仿宋_GB2312"/>
          <w:color w:val="000000"/>
          <w:sz w:val="32"/>
          <w:szCs w:val="32"/>
        </w:rPr>
        <w:t>.其中：</w:t>
      </w:r>
      <w:r>
        <w:rPr>
          <w:rFonts w:hint="eastAsia" w:ascii="仿宋_GB2312" w:hAnsi="仿宋_GB2312" w:eastAsia="仿宋_GB2312" w:cs="仿宋_GB2312"/>
          <w:b/>
          <w:color w:val="000000"/>
          <w:sz w:val="32"/>
          <w:szCs w:val="32"/>
        </w:rPr>
        <w:t>公务用车购置支出</w:t>
      </w:r>
      <w:r>
        <w:rPr>
          <w:rFonts w:hint="eastAsia" w:ascii="仿宋_GB2312" w:hAnsi="仿宋_GB2312" w:eastAsia="仿宋_GB2312" w:cs="仿宋_GB2312"/>
          <w:color w:val="000000"/>
          <w:sz w:val="32"/>
          <w:szCs w:val="32"/>
        </w:rPr>
        <w:t>0万元。全年按规定更新购置公务用车0辆，其中：轿车0辆、金额0万元，越野车0辆、金额0万元，载客汽车0辆、金额0万元，截至202</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年12月底，单位共有公务用车0辆，其中：轿车0辆、越野车0辆、载客汽车0辆，与预算数持平。</w:t>
      </w:r>
    </w:p>
    <w:p w14:paraId="7807BEA6">
      <w:pPr>
        <w:spacing w:line="600" w:lineRule="exact"/>
        <w:ind w:firstLine="643"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公务用车运行维护费支出</w:t>
      </w:r>
      <w:r>
        <w:rPr>
          <w:rFonts w:hint="eastAsia" w:ascii="仿宋_GB2312" w:hAnsi="仿宋_GB2312" w:eastAsia="仿宋_GB2312" w:cs="仿宋_GB2312"/>
          <w:color w:val="000000"/>
          <w:sz w:val="32"/>
          <w:szCs w:val="32"/>
        </w:rPr>
        <w:t>0万元，与预算数持平。</w:t>
      </w:r>
    </w:p>
    <w:p w14:paraId="61BA9449">
      <w:pPr>
        <w:spacing w:line="600" w:lineRule="exact"/>
        <w:ind w:firstLine="321" w:firstLineChars="100"/>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3.公务接待费支出</w:t>
      </w:r>
      <w:r>
        <w:rPr>
          <w:rFonts w:hint="eastAsia" w:ascii="仿宋_GB2312" w:hAnsi="仿宋_GB2312" w:eastAsia="仿宋_GB2312" w:cs="仿宋_GB2312"/>
          <w:color w:val="000000"/>
          <w:sz w:val="32"/>
          <w:szCs w:val="32"/>
        </w:rPr>
        <w:t>0万元，</w:t>
      </w:r>
      <w:r>
        <w:rPr>
          <w:rStyle w:val="22"/>
          <w:rFonts w:hint="eastAsia" w:ascii="仿宋_GB2312" w:hAnsi="仿宋_GB2312" w:eastAsia="仿宋_GB2312" w:cs="仿宋_GB2312"/>
          <w:b w:val="0"/>
          <w:bCs/>
          <w:color w:val="000000"/>
          <w:sz w:val="32"/>
          <w:szCs w:val="32"/>
        </w:rPr>
        <w:t>完成预算0%。</w:t>
      </w:r>
      <w:r>
        <w:rPr>
          <w:rFonts w:hint="eastAsia" w:ascii="仿宋_GB2312" w:hAnsi="仿宋_GB2312" w:eastAsia="仿宋_GB2312" w:cs="仿宋_GB2312"/>
          <w:color w:val="000000"/>
          <w:sz w:val="32"/>
          <w:szCs w:val="32"/>
        </w:rPr>
        <w:t>其中：与预算数持平。</w:t>
      </w:r>
    </w:p>
    <w:p w14:paraId="7F0E4861">
      <w:pPr>
        <w:spacing w:line="600" w:lineRule="exact"/>
        <w:ind w:firstLine="321" w:firstLineChars="100"/>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国内公务接待支出</w:t>
      </w:r>
      <w:r>
        <w:rPr>
          <w:rFonts w:hint="eastAsia" w:ascii="仿宋_GB2312" w:hAnsi="仿宋_GB2312" w:eastAsia="仿宋_GB2312" w:cs="仿宋_GB2312"/>
          <w:color w:val="000000"/>
          <w:sz w:val="32"/>
          <w:szCs w:val="32"/>
        </w:rPr>
        <w:t>0万元，与预算数持平。</w:t>
      </w:r>
    </w:p>
    <w:p w14:paraId="421A4BC3">
      <w:pPr>
        <w:spacing w:line="600" w:lineRule="exact"/>
        <w:ind w:firstLine="643"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外事接待支出</w:t>
      </w:r>
      <w:r>
        <w:rPr>
          <w:rFonts w:hint="eastAsia" w:ascii="仿宋_GB2312" w:hAnsi="仿宋_GB2312" w:eastAsia="仿宋_GB2312" w:cs="仿宋_GB2312"/>
          <w:color w:val="000000"/>
          <w:sz w:val="32"/>
          <w:szCs w:val="32"/>
        </w:rPr>
        <w:t>0万元，外事接待0批次，0人，共计支出0万元，与预算数持平。</w:t>
      </w:r>
    </w:p>
    <w:p w14:paraId="46BB8E8D">
      <w:pPr>
        <w:spacing w:line="600" w:lineRule="exact"/>
        <w:outlineLvl w:val="1"/>
        <w:rPr>
          <w:rStyle w:val="25"/>
          <w:rFonts w:hint="eastAsia" w:ascii="仿宋_GB2312" w:hAnsi="仿宋_GB2312" w:eastAsia="仿宋_GB2312" w:cs="仿宋_GB2312"/>
        </w:rPr>
      </w:pPr>
      <w:bookmarkStart w:id="104" w:name="_Toc15396610"/>
      <w:bookmarkStart w:id="105" w:name="_Toc15377218"/>
      <w:bookmarkStart w:id="106" w:name="_Toc145599211"/>
      <w:bookmarkStart w:id="107" w:name="_Toc79163872"/>
      <w:bookmarkStart w:id="108" w:name="_Toc79163622"/>
      <w:r>
        <w:rPr>
          <w:rFonts w:hint="eastAsia" w:ascii="仿宋_GB2312" w:hAnsi="仿宋_GB2312" w:eastAsia="仿宋_GB2312" w:cs="仿宋_GB2312"/>
          <w:color w:val="000000"/>
          <w:sz w:val="32"/>
          <w:szCs w:val="32"/>
        </w:rPr>
        <w:t>八、</w:t>
      </w:r>
      <w:r>
        <w:rPr>
          <w:rStyle w:val="25"/>
          <w:rFonts w:hint="eastAsia" w:ascii="仿宋_GB2312" w:hAnsi="仿宋_GB2312" w:eastAsia="仿宋_GB2312" w:cs="仿宋_GB2312"/>
          <w:b w:val="0"/>
        </w:rPr>
        <w:t>政府性基金预算支出决算情况说明</w:t>
      </w:r>
      <w:bookmarkEnd w:id="104"/>
      <w:bookmarkEnd w:id="105"/>
      <w:bookmarkEnd w:id="106"/>
      <w:bookmarkEnd w:id="107"/>
      <w:bookmarkEnd w:id="108"/>
    </w:p>
    <w:p w14:paraId="044423AF">
      <w:pPr>
        <w:spacing w:line="600" w:lineRule="exact"/>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年政府性基金预算拨款支出0万元。</w:t>
      </w:r>
    </w:p>
    <w:p w14:paraId="2A4839B7">
      <w:pPr>
        <w:numPr>
          <w:ilvl w:val="0"/>
          <w:numId w:val="3"/>
        </w:numPr>
        <w:spacing w:line="240" w:lineRule="auto"/>
        <w:ind w:firstLine="0"/>
        <w:outlineLvl w:val="1"/>
        <w:rPr>
          <w:rStyle w:val="25"/>
          <w:rFonts w:ascii="黑体" w:hAnsi="黑体" w:eastAsia="黑体"/>
          <w:b w:val="0"/>
        </w:rPr>
      </w:pPr>
      <w:bookmarkStart w:id="109" w:name="_Toc23381"/>
      <w:r>
        <w:rPr>
          <w:rStyle w:val="25"/>
          <w:rFonts w:hint="eastAsia" w:ascii="黑体" w:hAnsi="黑体" w:eastAsia="黑体"/>
          <w:b w:val="0"/>
        </w:rPr>
        <w:t>国有资本经营预算支出决算情况说明</w:t>
      </w:r>
      <w:bookmarkEnd w:id="109"/>
    </w:p>
    <w:p w14:paraId="5672A711">
      <w:pPr>
        <w:spacing w:line="600" w:lineRule="exact"/>
        <w:ind w:firstLine="640"/>
        <w:rPr>
          <w:rFonts w:ascii="仿宋_GB2312" w:eastAsia="仿宋_GB2312"/>
          <w:color w:val="000000"/>
          <w:sz w:val="32"/>
          <w:szCs w:val="32"/>
        </w:rPr>
      </w:pPr>
      <w:r>
        <w:rPr>
          <w:rFonts w:ascii="仿宋_GB2312" w:eastAsia="仿宋_GB2312"/>
          <w:color w:val="000000"/>
          <w:sz w:val="32"/>
          <w:szCs w:val="32"/>
        </w:rPr>
        <w:t>202</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年国有资本经营预算拨款支出0万元。</w:t>
      </w:r>
    </w:p>
    <w:p w14:paraId="4B99A0A0">
      <w:pPr>
        <w:spacing w:line="580" w:lineRule="exact"/>
        <w:jc w:val="center"/>
        <w:rPr>
          <w:rFonts w:ascii="方正小标宋简体" w:hAnsi="方正小标宋简体" w:eastAsia="方正小标宋简体" w:cs="方正小标宋简体"/>
          <w:sz w:val="44"/>
          <w:szCs w:val="44"/>
        </w:rPr>
      </w:pPr>
    </w:p>
    <w:p w14:paraId="78BC2CDB">
      <w:pPr>
        <w:spacing w:line="600" w:lineRule="exact"/>
        <w:ind w:firstLine="800" w:firstLineChars="250"/>
        <w:outlineLvl w:val="1"/>
        <w:rPr>
          <w:rStyle w:val="25"/>
          <w:rFonts w:ascii="黑体" w:hAnsi="黑体" w:eastAsia="黑体"/>
        </w:rPr>
      </w:pPr>
      <w:bookmarkStart w:id="110" w:name="_Toc22421"/>
      <w:bookmarkStart w:id="111" w:name="_Toc15377221"/>
      <w:bookmarkStart w:id="112" w:name="_Toc79163874"/>
      <w:bookmarkStart w:id="113" w:name="_Toc15396612"/>
      <w:bookmarkStart w:id="114" w:name="_Toc79163624"/>
      <w:r>
        <w:rPr>
          <w:rFonts w:hint="eastAsia" w:ascii="黑体" w:hAnsi="黑体" w:eastAsia="黑体"/>
          <w:color w:val="000000"/>
          <w:sz w:val="32"/>
          <w:szCs w:val="32"/>
        </w:rPr>
        <w:t>十</w:t>
      </w:r>
      <w:r>
        <w:rPr>
          <w:rStyle w:val="25"/>
          <w:rFonts w:hint="eastAsia" w:ascii="黑体" w:hAnsi="黑体" w:eastAsia="黑体"/>
        </w:rPr>
        <w:t>、</w:t>
      </w:r>
      <w:r>
        <w:rPr>
          <w:rStyle w:val="25"/>
          <w:rFonts w:hint="eastAsia" w:ascii="黑体" w:hAnsi="黑体" w:eastAsia="黑体"/>
          <w:b w:val="0"/>
        </w:rPr>
        <w:t>其他重要事项的情况说明</w:t>
      </w:r>
      <w:bookmarkEnd w:id="110"/>
      <w:bookmarkEnd w:id="111"/>
      <w:bookmarkEnd w:id="112"/>
      <w:bookmarkEnd w:id="113"/>
      <w:bookmarkEnd w:id="114"/>
    </w:p>
    <w:p w14:paraId="229C2E59">
      <w:pPr>
        <w:spacing w:line="600" w:lineRule="exact"/>
        <w:ind w:firstLine="643" w:firstLineChars="200"/>
        <w:outlineLvl w:val="2"/>
        <w:rPr>
          <w:rFonts w:ascii="仿宋" w:hAnsi="仿宋" w:eastAsia="仿宋"/>
          <w:color w:val="000000"/>
          <w:sz w:val="32"/>
          <w:szCs w:val="32"/>
        </w:rPr>
      </w:pPr>
      <w:bookmarkStart w:id="115" w:name="_Toc15377222"/>
      <w:bookmarkStart w:id="116" w:name="_Toc20439"/>
      <w:bookmarkStart w:id="117" w:name="_Toc79163875"/>
      <w:bookmarkStart w:id="118" w:name="_Toc79163625"/>
      <w:r>
        <w:rPr>
          <w:rFonts w:hint="eastAsia" w:ascii="仿宋" w:hAnsi="仿宋" w:eastAsia="仿宋"/>
          <w:b/>
          <w:color w:val="000000"/>
          <w:sz w:val="32"/>
          <w:szCs w:val="32"/>
        </w:rPr>
        <w:t>（一）机关运行经费支出情况</w:t>
      </w:r>
      <w:bookmarkEnd w:id="115"/>
      <w:bookmarkEnd w:id="116"/>
      <w:bookmarkEnd w:id="117"/>
      <w:bookmarkEnd w:id="118"/>
    </w:p>
    <w:p w14:paraId="33596147">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年，机关运行经费支出0万元，比</w:t>
      </w:r>
      <w:r>
        <w:rPr>
          <w:rFonts w:ascii="仿宋_GB2312" w:eastAsia="仿宋_GB2312"/>
          <w:color w:val="000000"/>
          <w:sz w:val="32"/>
          <w:szCs w:val="32"/>
        </w:rPr>
        <w:t>20</w:t>
      </w:r>
      <w:r>
        <w:rPr>
          <w:rFonts w:hint="eastAsia" w:ascii="仿宋_GB2312" w:eastAsia="仿宋_GB2312"/>
          <w:color w:val="000000"/>
          <w:sz w:val="32"/>
          <w:szCs w:val="32"/>
        </w:rPr>
        <w:t>2</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年增加0万元，增长0</w:t>
      </w:r>
      <w:r>
        <w:rPr>
          <w:rFonts w:ascii="仿宋_GB2312" w:eastAsia="仿宋_GB2312"/>
          <w:color w:val="000000"/>
          <w:sz w:val="32"/>
          <w:szCs w:val="32"/>
        </w:rPr>
        <w:t>%</w:t>
      </w:r>
      <w:r>
        <w:rPr>
          <w:rFonts w:hint="eastAsia" w:ascii="仿宋_GB2312" w:eastAsia="仿宋_GB2312"/>
          <w:color w:val="000000"/>
          <w:sz w:val="32"/>
          <w:szCs w:val="32"/>
        </w:rPr>
        <w:t>。与</w:t>
      </w:r>
      <w:r>
        <w:rPr>
          <w:rFonts w:ascii="仿宋_GB2312" w:eastAsia="仿宋_GB2312"/>
          <w:color w:val="000000"/>
          <w:sz w:val="32"/>
          <w:szCs w:val="32"/>
        </w:rPr>
        <w:t>20</w:t>
      </w:r>
      <w:r>
        <w:rPr>
          <w:rFonts w:hint="eastAsia" w:ascii="仿宋_GB2312" w:eastAsia="仿宋_GB2312"/>
          <w:color w:val="000000"/>
          <w:sz w:val="32"/>
          <w:szCs w:val="32"/>
        </w:rPr>
        <w:t>2</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年决算数持平。</w:t>
      </w:r>
    </w:p>
    <w:p w14:paraId="25175434">
      <w:pPr>
        <w:spacing w:line="600" w:lineRule="exact"/>
        <w:rPr>
          <w:rFonts w:ascii="仿宋" w:hAnsi="仿宋" w:eastAsia="仿宋"/>
          <w:b/>
          <w:color w:val="FF0000"/>
          <w:sz w:val="32"/>
          <w:szCs w:val="32"/>
        </w:rPr>
      </w:pPr>
    </w:p>
    <w:p w14:paraId="4CD24E32">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119" w:name="_Toc15377223"/>
      <w:bookmarkStart w:id="120" w:name="_Toc79163626"/>
      <w:bookmarkStart w:id="121" w:name="_Toc79163876"/>
      <w:bookmarkStart w:id="122" w:name="_Toc30974"/>
      <w:r>
        <w:rPr>
          <w:rFonts w:hint="eastAsia" w:ascii="仿宋" w:hAnsi="仿宋" w:eastAsia="仿宋"/>
          <w:b/>
          <w:color w:val="000000"/>
          <w:sz w:val="32"/>
          <w:szCs w:val="32"/>
        </w:rPr>
        <w:t>（二）政府采购支出情况</w:t>
      </w:r>
      <w:bookmarkEnd w:id="119"/>
      <w:bookmarkEnd w:id="120"/>
      <w:bookmarkEnd w:id="121"/>
      <w:bookmarkEnd w:id="122"/>
    </w:p>
    <w:p w14:paraId="17B9405C">
      <w:pPr>
        <w:spacing w:line="600" w:lineRule="exact"/>
        <w:ind w:firstLine="640" w:firstLineChars="200"/>
        <w:rPr>
          <w:rFonts w:ascii="仿宋" w:hAnsi="仿宋" w:eastAsia="仿宋"/>
          <w:b/>
          <w:color w:val="FF0000"/>
          <w:sz w:val="32"/>
          <w:szCs w:val="32"/>
        </w:rPr>
      </w:pPr>
      <w:r>
        <w:rPr>
          <w:rFonts w:ascii="仿宋_GB2312" w:eastAsia="仿宋_GB2312"/>
          <w:color w:val="000000"/>
          <w:sz w:val="32"/>
          <w:szCs w:val="32"/>
        </w:rPr>
        <w:t>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年，政府采购支出总额0万元，其中：政府采购货物支出0万元、政府采购工程支出0万元、政府采购服务支出0万元。授予中小企业合同金额0万元，占政府采购支出总额的0</w:t>
      </w:r>
      <w:r>
        <w:rPr>
          <w:rFonts w:ascii="仿宋_GB2312" w:eastAsia="仿宋_GB2312"/>
          <w:color w:val="000000"/>
          <w:sz w:val="32"/>
          <w:szCs w:val="32"/>
        </w:rPr>
        <w:t>%</w:t>
      </w:r>
      <w:r>
        <w:rPr>
          <w:rFonts w:hint="eastAsia" w:ascii="仿宋_GB2312" w:eastAsia="仿宋_GB2312"/>
          <w:color w:val="000000"/>
          <w:sz w:val="32"/>
          <w:szCs w:val="32"/>
        </w:rPr>
        <w:t>，其中：授予小微企业合同金额0万元，占政府采购支出总额的0</w:t>
      </w:r>
      <w:r>
        <w:rPr>
          <w:rFonts w:ascii="仿宋_GB2312" w:eastAsia="仿宋_GB2312"/>
          <w:color w:val="000000"/>
          <w:sz w:val="32"/>
          <w:szCs w:val="32"/>
        </w:rPr>
        <w:t>%</w:t>
      </w:r>
      <w:r>
        <w:rPr>
          <w:rFonts w:hint="eastAsia" w:ascii="仿宋_GB2312" w:eastAsia="仿宋_GB2312"/>
          <w:color w:val="000000"/>
          <w:sz w:val="32"/>
          <w:szCs w:val="32"/>
        </w:rPr>
        <w:t>。</w:t>
      </w:r>
    </w:p>
    <w:p w14:paraId="17375130">
      <w:pPr>
        <w:spacing w:line="600" w:lineRule="exact"/>
        <w:ind w:firstLine="643" w:firstLineChars="200"/>
        <w:rPr>
          <w:rFonts w:ascii="仿宋" w:hAnsi="仿宋" w:eastAsia="仿宋"/>
          <w:b/>
          <w:color w:val="FF0000"/>
          <w:sz w:val="32"/>
          <w:szCs w:val="32"/>
        </w:rPr>
      </w:pPr>
    </w:p>
    <w:p w14:paraId="79678005">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123" w:name="_Toc79163627"/>
      <w:bookmarkStart w:id="124" w:name="_Toc31990"/>
      <w:bookmarkStart w:id="125" w:name="_Toc15377224"/>
      <w:bookmarkStart w:id="126" w:name="_Toc79163877"/>
      <w:r>
        <w:rPr>
          <w:rFonts w:hint="eastAsia" w:ascii="仿宋" w:hAnsi="仿宋" w:eastAsia="仿宋"/>
          <w:b/>
          <w:color w:val="000000"/>
          <w:sz w:val="32"/>
          <w:szCs w:val="32"/>
        </w:rPr>
        <w:t>（三）国有资产占有使用情况</w:t>
      </w:r>
      <w:bookmarkEnd w:id="123"/>
      <w:bookmarkEnd w:id="124"/>
      <w:bookmarkEnd w:id="125"/>
      <w:bookmarkEnd w:id="126"/>
    </w:p>
    <w:p w14:paraId="41FA3D0C">
      <w:pPr>
        <w:autoSpaceDE w:val="0"/>
        <w:autoSpaceDN w:val="0"/>
        <w:adjustRightInd w:val="0"/>
        <w:spacing w:line="600" w:lineRule="exact"/>
        <w:ind w:firstLine="640" w:firstLineChars="200"/>
        <w:jc w:val="left"/>
        <w:rPr>
          <w:rFonts w:ascii="仿宋" w:hAnsi="仿宋" w:eastAsia="仿宋"/>
          <w:b/>
          <w:color w:val="FF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日，共有车辆0辆，其中：主要领导干部用车0辆、机要通信用车0辆、应急保障用车0辆、其他用车0辆,</w:t>
      </w:r>
      <w:r>
        <w:rPr>
          <w:rFonts w:hint="eastAsia" w:ascii="仿宋_GB2312" w:eastAsia="仿宋_GB2312"/>
          <w:color w:val="000000" w:themeColor="text1"/>
          <w:sz w:val="32"/>
          <w:szCs w:val="32"/>
          <w14:textFill>
            <w14:solidFill>
              <w14:schemeClr w14:val="tx1"/>
            </w14:solidFill>
          </w14:textFill>
        </w:rPr>
        <w:t>单价</w:t>
      </w:r>
      <w:r>
        <w:rPr>
          <w:rFonts w:ascii="仿宋_GB2312" w:eastAsia="仿宋_GB2312"/>
          <w:color w:val="000000" w:themeColor="text1"/>
          <w:sz w:val="32"/>
          <w:szCs w:val="32"/>
          <w14:textFill>
            <w14:solidFill>
              <w14:schemeClr w14:val="tx1"/>
            </w14:solidFill>
          </w14:textFill>
        </w:rPr>
        <w:t>50</w:t>
      </w:r>
      <w:r>
        <w:rPr>
          <w:rFonts w:hint="eastAsia" w:ascii="仿宋_GB2312" w:eastAsia="仿宋_GB2312"/>
          <w:color w:val="000000" w:themeColor="text1"/>
          <w:sz w:val="32"/>
          <w:szCs w:val="32"/>
          <w14:textFill>
            <w14:solidFill>
              <w14:schemeClr w14:val="tx1"/>
            </w14:solidFill>
          </w14:textFill>
        </w:rPr>
        <w:t>万元以上通用设备0台，单价</w:t>
      </w:r>
      <w:r>
        <w:rPr>
          <w:rFonts w:ascii="仿宋_GB2312" w:eastAsia="仿宋_GB2312"/>
          <w:color w:val="000000" w:themeColor="text1"/>
          <w:sz w:val="32"/>
          <w:szCs w:val="32"/>
          <w14:textFill>
            <w14:solidFill>
              <w14:schemeClr w14:val="tx1"/>
            </w14:solidFill>
          </w14:textFill>
        </w:rPr>
        <w:t>100</w:t>
      </w:r>
      <w:r>
        <w:rPr>
          <w:rFonts w:hint="eastAsia" w:ascii="仿宋_GB2312" w:eastAsia="仿宋_GB2312"/>
          <w:color w:val="000000"/>
          <w:sz w:val="32"/>
          <w:szCs w:val="32"/>
        </w:rPr>
        <w:t>万元以上专用设备0台。</w:t>
      </w:r>
    </w:p>
    <w:p w14:paraId="089A01D3">
      <w:pPr>
        <w:autoSpaceDE w:val="0"/>
        <w:autoSpaceDN w:val="0"/>
        <w:adjustRightInd w:val="0"/>
        <w:spacing w:line="600" w:lineRule="exact"/>
        <w:ind w:firstLine="643" w:firstLineChars="200"/>
        <w:jc w:val="left"/>
        <w:rPr>
          <w:rFonts w:ascii="仿宋" w:hAnsi="仿宋" w:eastAsia="仿宋"/>
          <w:b/>
          <w:color w:val="FF0000"/>
          <w:sz w:val="32"/>
          <w:szCs w:val="32"/>
        </w:rPr>
      </w:pPr>
    </w:p>
    <w:p w14:paraId="6AFE7DED">
      <w:pPr>
        <w:spacing w:line="580" w:lineRule="exact"/>
        <w:ind w:firstLine="643" w:firstLineChars="200"/>
        <w:outlineLvl w:val="2"/>
        <w:rPr>
          <w:rFonts w:ascii="仿宋" w:hAnsi="仿宋" w:eastAsia="仿宋"/>
          <w:b/>
          <w:color w:val="000000"/>
          <w:sz w:val="32"/>
          <w:szCs w:val="32"/>
        </w:rPr>
      </w:pPr>
      <w:bookmarkStart w:id="127" w:name="_Toc79163628"/>
      <w:bookmarkStart w:id="128" w:name="_Toc79163878"/>
      <w:bookmarkStart w:id="129" w:name="_Toc4916"/>
      <w:r>
        <w:rPr>
          <w:rFonts w:hint="eastAsia" w:ascii="仿宋" w:hAnsi="仿宋" w:eastAsia="仿宋"/>
          <w:b/>
          <w:color w:val="000000"/>
          <w:sz w:val="32"/>
          <w:szCs w:val="32"/>
        </w:rPr>
        <w:t>（四）预算绩效管理情况。</w:t>
      </w:r>
      <w:bookmarkEnd w:id="127"/>
      <w:bookmarkEnd w:id="128"/>
      <w:bookmarkEnd w:id="129"/>
    </w:p>
    <w:p w14:paraId="3CCFB420">
      <w:pPr>
        <w:spacing w:line="58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根据预算绩效管理要求，本单位在年初预算编制阶段，由学校领导牵头召开会议，制定学校规章制度，通过会议明确各处职责，学校开展考勤制度，确保执行，强化绩效，公开透明的公开化，管好用好财政资金更好的使用绩效。绩效考核作为资金管理与分配的核心依据，根据</w:t>
      </w:r>
      <w:r>
        <w:rPr>
          <w:rFonts w:hint="eastAsia" w:ascii="仿宋" w:hAnsi="仿宋" w:eastAsia="仿宋"/>
          <w:color w:val="000000"/>
          <w:sz w:val="32"/>
          <w:szCs w:val="32"/>
          <w:lang w:val="zh-CN"/>
        </w:rPr>
        <w:t>工作规划和重点工作</w:t>
      </w:r>
      <w:r>
        <w:rPr>
          <w:rFonts w:hint="eastAsia" w:ascii="仿宋" w:hAnsi="仿宋" w:eastAsia="仿宋"/>
          <w:color w:val="000000"/>
          <w:sz w:val="32"/>
          <w:szCs w:val="32"/>
        </w:rPr>
        <w:t>规划</w:t>
      </w:r>
      <w:r>
        <w:rPr>
          <w:rFonts w:hint="eastAsia" w:ascii="仿宋" w:hAnsi="仿宋" w:eastAsia="仿宋"/>
          <w:color w:val="000000"/>
          <w:sz w:val="32"/>
          <w:szCs w:val="32"/>
          <w:lang w:val="zh-CN"/>
        </w:rPr>
        <w:t>，积极履行职责，强化本单位预算管理，</w:t>
      </w:r>
      <w:r>
        <w:rPr>
          <w:rFonts w:hint="eastAsia" w:ascii="仿宋" w:hAnsi="仿宋" w:eastAsia="仿宋"/>
          <w:color w:val="000000"/>
          <w:sz w:val="32"/>
          <w:szCs w:val="32"/>
        </w:rPr>
        <w:t>单位进一步提高预算绩效管理认识，学校建立内部绩效评价工作考核制度，年终对有关业务的绩效评价工作开展情况进行考核，作为年终工作目标量化考核内容之一。强化以“绩效为中心、对支出结果负责、对社会公众负责”的理念，在绩效目标编制方面，数量目标和质量目标量化不细，效益目标编制不完整等方面加以了改善。加强预算绩效动态监控管理，加强相关人员的业务培训，进一步提高预算绩效评价质量。</w:t>
      </w:r>
    </w:p>
    <w:p w14:paraId="31846B15">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在绩效目标编制方面，加强预算绩效动态监控管理，加强相关人员的业务培训，进一步提高预算绩效评价质量。积极履行职责，强化本单位预算管理，较好地完成年初绩效工作。</w:t>
      </w:r>
    </w:p>
    <w:p w14:paraId="64F54C14">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绩效管理机制工作不断推进，学校绩效目标编制方面，针对绩效目标设置指向不清、预算和目标匹配不足，目标编制不完整等方面加以了改善。目前单位绩效评价结果还停留在反映情况、找问题、提建议层面，评价结果和预算安排有机结合的机制尚未真正建立，还在逐步搭建，要进一步提高预算绩效管理认识，更好的实施绩效管理工作。</w:t>
      </w:r>
    </w:p>
    <w:p w14:paraId="36079D8A">
      <w:pPr>
        <w:spacing w:line="580" w:lineRule="exact"/>
        <w:rPr>
          <w:rFonts w:ascii="仿宋" w:hAnsi="仿宋" w:eastAsia="仿宋" w:cs="??_GB2312"/>
          <w:sz w:val="32"/>
          <w:szCs w:val="32"/>
        </w:rPr>
      </w:pPr>
      <w:r>
        <w:rPr>
          <w:rFonts w:hint="eastAsia" w:ascii="仿宋" w:hAnsi="仿宋" w:eastAsia="仿宋" w:cs="楷体_GB2312"/>
          <w:b/>
          <w:bCs/>
          <w:sz w:val="32"/>
          <w:szCs w:val="32"/>
        </w:rPr>
        <w:t>1.部门开展绩效评价结果。</w:t>
      </w:r>
    </w:p>
    <w:p w14:paraId="0E427ADC">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本部门按要求对202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年部门整体支出绩效评价情况开展自评，《红原县邛溪易地育人寄宿制学校202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年部整体支出绩效评价报告》见附件1</w:t>
      </w:r>
    </w:p>
    <w:p w14:paraId="48B9DC84">
      <w:pPr>
        <w:widowControl/>
        <w:jc w:val="left"/>
        <w:rPr>
          <w:rFonts w:ascii="仿宋_GB2312" w:eastAsia="仿宋_GB2312"/>
          <w:b/>
          <w:color w:val="000000"/>
          <w:sz w:val="32"/>
          <w:szCs w:val="32"/>
        </w:rPr>
      </w:pPr>
    </w:p>
    <w:p w14:paraId="194DE44F">
      <w:pPr>
        <w:widowControl/>
        <w:jc w:val="left"/>
        <w:rPr>
          <w:rFonts w:ascii="仿宋_GB2312" w:eastAsia="仿宋_GB2312"/>
          <w:b/>
          <w:color w:val="000000"/>
          <w:sz w:val="32"/>
          <w:szCs w:val="32"/>
        </w:rPr>
      </w:pPr>
    </w:p>
    <w:p w14:paraId="459DC079">
      <w:pPr>
        <w:widowControl/>
        <w:jc w:val="left"/>
        <w:rPr>
          <w:rFonts w:ascii="仿宋_GB2312" w:eastAsia="仿宋_GB2312"/>
          <w:b/>
          <w:color w:val="000000"/>
          <w:sz w:val="32"/>
          <w:szCs w:val="32"/>
        </w:rPr>
      </w:pPr>
    </w:p>
    <w:p w14:paraId="174627C3">
      <w:pPr>
        <w:numPr>
          <w:ilvl w:val="0"/>
          <w:numId w:val="4"/>
        </w:numPr>
        <w:spacing w:line="600" w:lineRule="exact"/>
        <w:ind w:firstLine="660" w:firstLineChars="150"/>
        <w:jc w:val="center"/>
        <w:outlineLvl w:val="0"/>
        <w:rPr>
          <w:rStyle w:val="24"/>
          <w:rFonts w:ascii="黑体" w:hAnsi="黑体" w:eastAsia="黑体"/>
          <w:b w:val="0"/>
        </w:rPr>
      </w:pPr>
      <w:bookmarkStart w:id="130" w:name="_Toc15377225"/>
      <w:bookmarkStart w:id="131" w:name="_Toc15396613"/>
      <w:bookmarkStart w:id="132" w:name="_Toc79163629"/>
      <w:bookmarkStart w:id="133" w:name="_Toc79163879"/>
      <w:bookmarkStart w:id="134" w:name="_Toc18611"/>
      <w:r>
        <w:rPr>
          <w:rFonts w:hint="eastAsia" w:ascii="黑体" w:hAnsi="黑体" w:eastAsia="黑体"/>
          <w:color w:val="000000"/>
          <w:sz w:val="44"/>
          <w:szCs w:val="44"/>
        </w:rPr>
        <w:t>名</w:t>
      </w:r>
      <w:r>
        <w:rPr>
          <w:rStyle w:val="24"/>
          <w:rFonts w:hint="eastAsia" w:ascii="黑体" w:hAnsi="黑体" w:eastAsia="黑体"/>
          <w:b w:val="0"/>
        </w:rPr>
        <w:t>词解释</w:t>
      </w:r>
      <w:bookmarkEnd w:id="130"/>
      <w:bookmarkEnd w:id="131"/>
      <w:bookmarkEnd w:id="132"/>
      <w:bookmarkEnd w:id="133"/>
      <w:bookmarkEnd w:id="134"/>
    </w:p>
    <w:p w14:paraId="40D6277F">
      <w:pPr>
        <w:pStyle w:val="34"/>
        <w:spacing w:line="560" w:lineRule="exact"/>
        <w:rPr>
          <w:rFonts w:ascii="仿宋_GB2312" w:eastAsia="仿宋_GB2312"/>
          <w:sz w:val="32"/>
          <w:szCs w:val="32"/>
        </w:rPr>
      </w:pPr>
    </w:p>
    <w:p w14:paraId="50D6926A">
      <w:pPr>
        <w:pStyle w:val="34"/>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14:paraId="330EFE2C">
      <w:pPr>
        <w:pStyle w:val="34"/>
        <w:spacing w:line="56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p>
    <w:p w14:paraId="42E42950">
      <w:pPr>
        <w:pStyle w:val="34"/>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w:t>
      </w:r>
    </w:p>
    <w:p w14:paraId="53DE8FBF">
      <w:pPr>
        <w:pStyle w:val="34"/>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其他收入：指单位取得的除上述收入以外的各项收入。主要是利息收入等。</w:t>
      </w:r>
    </w:p>
    <w:p w14:paraId="3342C35D">
      <w:pPr>
        <w:pStyle w:val="34"/>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p>
    <w:p w14:paraId="389DE73D">
      <w:pPr>
        <w:pStyle w:val="34"/>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p>
    <w:p w14:paraId="6D93F2B6">
      <w:pPr>
        <w:pStyle w:val="34"/>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14:paraId="2E54AF3A">
      <w:pPr>
        <w:pStyle w:val="34"/>
        <w:spacing w:line="560" w:lineRule="exact"/>
        <w:ind w:firstLine="64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14:paraId="3F8E88AA">
      <w:pPr>
        <w:ind w:firstLine="640" w:firstLineChars="200"/>
        <w:rPr>
          <w:rFonts w:ascii="仿宋_GB2312" w:eastAsia="仿宋_GB2312"/>
          <w:color w:val="000000"/>
          <w:sz w:val="32"/>
          <w:szCs w:val="32"/>
        </w:rPr>
      </w:pPr>
      <w:r>
        <w:rPr>
          <w:rFonts w:hint="eastAsia" w:ascii="仿宋_GB2312" w:eastAsia="仿宋_GB2312"/>
          <w:color w:val="000000"/>
          <w:sz w:val="32"/>
          <w:szCs w:val="32"/>
        </w:rPr>
        <w:t>9</w:t>
      </w:r>
      <w:r>
        <w:rPr>
          <w:rFonts w:ascii="仿宋_GB2312" w:eastAsia="仿宋_GB2312"/>
          <w:color w:val="000000"/>
          <w:sz w:val="32"/>
          <w:szCs w:val="32"/>
        </w:rPr>
        <w:t>.</w:t>
      </w:r>
      <w:r>
        <w:rPr>
          <w:rFonts w:hint="eastAsia" w:ascii="仿宋_GB2312" w:eastAsia="仿宋_GB2312"/>
          <w:color w:val="000000"/>
          <w:sz w:val="32"/>
          <w:szCs w:val="32"/>
        </w:rPr>
        <w:t>教育</w:t>
      </w:r>
      <w:r>
        <w:rPr>
          <w:rFonts w:ascii="仿宋_GB2312" w:eastAsia="仿宋_GB2312"/>
          <w:color w:val="000000"/>
          <w:sz w:val="32"/>
          <w:szCs w:val="32"/>
        </w:rPr>
        <w:t>2050202</w:t>
      </w:r>
      <w:r>
        <w:rPr>
          <w:rFonts w:hint="eastAsia" w:ascii="仿宋_GB2312" w:eastAsia="仿宋_GB2312"/>
          <w:color w:val="000000"/>
          <w:sz w:val="32"/>
          <w:szCs w:val="32"/>
        </w:rPr>
        <w:t>：指小学教育收入；</w:t>
      </w:r>
      <w:r>
        <w:rPr>
          <w:rFonts w:ascii="仿宋_GB2312" w:eastAsia="仿宋_GB2312"/>
          <w:color w:val="000000"/>
          <w:sz w:val="32"/>
          <w:szCs w:val="32"/>
        </w:rPr>
        <w:t>2050299</w:t>
      </w:r>
      <w:r>
        <w:rPr>
          <w:rFonts w:hint="eastAsia" w:ascii="仿宋_GB2312" w:eastAsia="仿宋_GB2312"/>
          <w:color w:val="000000"/>
          <w:sz w:val="32"/>
          <w:szCs w:val="32"/>
        </w:rPr>
        <w:t>：指其他普通教育支出。</w:t>
      </w:r>
    </w:p>
    <w:p w14:paraId="552A7FFA">
      <w:pPr>
        <w:ind w:firstLine="640" w:firstLineChars="200"/>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olor w:val="000000"/>
          <w:sz w:val="32"/>
          <w:szCs w:val="32"/>
        </w:rPr>
        <w:t>社会保障和就业</w:t>
      </w:r>
      <w:r>
        <w:rPr>
          <w:rFonts w:ascii="仿宋_GB2312" w:eastAsia="仿宋_GB2312"/>
          <w:color w:val="000000"/>
          <w:sz w:val="32"/>
          <w:szCs w:val="32"/>
        </w:rPr>
        <w:t>2080505</w:t>
      </w:r>
      <w:r>
        <w:rPr>
          <w:rFonts w:hint="eastAsia" w:ascii="仿宋_GB2312" w:eastAsia="仿宋_GB2312"/>
          <w:color w:val="000000"/>
          <w:sz w:val="32"/>
          <w:szCs w:val="32"/>
        </w:rPr>
        <w:t>：指机关事业单位基本养老保险；</w:t>
      </w:r>
      <w:r>
        <w:rPr>
          <w:rFonts w:ascii="仿宋_GB2312" w:eastAsia="仿宋_GB2312"/>
          <w:color w:val="000000"/>
          <w:sz w:val="32"/>
          <w:szCs w:val="32"/>
        </w:rPr>
        <w:t>2080506</w:t>
      </w:r>
      <w:r>
        <w:rPr>
          <w:rFonts w:hint="eastAsia" w:ascii="仿宋_GB2312" w:eastAsia="仿宋_GB2312"/>
          <w:color w:val="000000"/>
          <w:sz w:val="32"/>
          <w:szCs w:val="32"/>
        </w:rPr>
        <w:t>：指机关事业单位职业年金缴费支出。</w:t>
      </w:r>
    </w:p>
    <w:p w14:paraId="52D88798">
      <w:pPr>
        <w:ind w:firstLine="640" w:firstLineChars="200"/>
        <w:rPr>
          <w:rFonts w:ascii="仿宋_GB2312" w:eastAsia="仿宋_GB2312"/>
          <w:color w:val="000000"/>
          <w:sz w:val="32"/>
          <w:szCs w:val="32"/>
        </w:rPr>
      </w:pPr>
      <w:r>
        <w:rPr>
          <w:rFonts w:hint="eastAsia" w:ascii="仿宋_GB2312" w:eastAsia="仿宋_GB2312"/>
          <w:color w:val="000000"/>
          <w:sz w:val="32"/>
          <w:szCs w:val="32"/>
        </w:rPr>
        <w:t>11</w:t>
      </w:r>
      <w:r>
        <w:rPr>
          <w:rFonts w:ascii="仿宋_GB2312" w:eastAsia="仿宋_GB2312"/>
          <w:color w:val="000000"/>
          <w:sz w:val="32"/>
          <w:szCs w:val="32"/>
        </w:rPr>
        <w:t>.</w:t>
      </w:r>
      <w:r>
        <w:rPr>
          <w:rFonts w:hint="eastAsia" w:ascii="仿宋_GB2312" w:eastAsia="仿宋_GB2312"/>
          <w:color w:val="000000"/>
          <w:sz w:val="32"/>
          <w:szCs w:val="32"/>
        </w:rPr>
        <w:t>卫生健康支出</w:t>
      </w:r>
      <w:r>
        <w:rPr>
          <w:rFonts w:ascii="仿宋_GB2312" w:eastAsia="仿宋_GB2312"/>
          <w:color w:val="000000"/>
          <w:sz w:val="32"/>
          <w:szCs w:val="32"/>
        </w:rPr>
        <w:t>2101102</w:t>
      </w:r>
      <w:r>
        <w:rPr>
          <w:rFonts w:hint="eastAsia" w:ascii="仿宋_GB2312" w:eastAsia="仿宋_GB2312"/>
          <w:color w:val="000000"/>
          <w:sz w:val="32"/>
          <w:szCs w:val="32"/>
        </w:rPr>
        <w:t>：指事业单位医疗；</w:t>
      </w:r>
      <w:r>
        <w:rPr>
          <w:rFonts w:ascii="仿宋_GB2312" w:eastAsia="仿宋_GB2312"/>
          <w:color w:val="000000"/>
          <w:sz w:val="32"/>
          <w:szCs w:val="32"/>
        </w:rPr>
        <w:t>2101199;</w:t>
      </w:r>
      <w:r>
        <w:rPr>
          <w:rFonts w:hint="eastAsia" w:ascii="仿宋_GB2312" w:eastAsia="仿宋_GB2312"/>
          <w:color w:val="000000"/>
          <w:sz w:val="32"/>
          <w:szCs w:val="32"/>
        </w:rPr>
        <w:t>指其他行政事业单位医疗支出。</w:t>
      </w:r>
    </w:p>
    <w:p w14:paraId="7E1B4D76">
      <w:pPr>
        <w:ind w:firstLine="640" w:firstLineChars="200"/>
        <w:rPr>
          <w:rFonts w:ascii="仿宋_GB2312" w:eastAsia="仿宋_GB2312"/>
          <w:color w:val="000000"/>
          <w:sz w:val="32"/>
          <w:szCs w:val="32"/>
        </w:rPr>
      </w:pPr>
      <w:r>
        <w:rPr>
          <w:rFonts w:hint="eastAsia" w:ascii="仿宋_GB2312" w:eastAsia="仿宋_GB2312"/>
          <w:color w:val="000000"/>
          <w:sz w:val="32"/>
          <w:szCs w:val="32"/>
        </w:rPr>
        <w:t>12</w:t>
      </w:r>
      <w:r>
        <w:rPr>
          <w:rFonts w:ascii="仿宋_GB2312" w:eastAsia="仿宋_GB2312"/>
          <w:color w:val="000000"/>
          <w:sz w:val="32"/>
          <w:szCs w:val="32"/>
        </w:rPr>
        <w:t>.</w:t>
      </w:r>
      <w:r>
        <w:rPr>
          <w:rFonts w:hint="eastAsia" w:ascii="仿宋_GB2312" w:eastAsia="仿宋_GB2312"/>
          <w:color w:val="000000"/>
          <w:sz w:val="32"/>
          <w:szCs w:val="32"/>
        </w:rPr>
        <w:t>住房保障</w:t>
      </w:r>
      <w:r>
        <w:rPr>
          <w:rFonts w:ascii="仿宋_GB2312" w:eastAsia="仿宋_GB2312"/>
          <w:color w:val="000000"/>
          <w:sz w:val="32"/>
          <w:szCs w:val="32"/>
        </w:rPr>
        <w:t>2210201</w:t>
      </w:r>
      <w:r>
        <w:rPr>
          <w:rFonts w:hint="eastAsia" w:ascii="仿宋_GB2312" w:eastAsia="仿宋_GB2312"/>
          <w:color w:val="000000"/>
          <w:sz w:val="32"/>
          <w:szCs w:val="32"/>
        </w:rPr>
        <w:t>：指住房公积金。</w:t>
      </w:r>
    </w:p>
    <w:p w14:paraId="6AA37C84">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13</w:t>
      </w:r>
      <w:r>
        <w:rPr>
          <w:rFonts w:ascii="仿宋_GB2312" w:eastAsia="仿宋_GB2312"/>
          <w:color w:val="000000"/>
          <w:sz w:val="32"/>
          <w:szCs w:val="32"/>
        </w:rPr>
        <w:t>.</w:t>
      </w:r>
      <w:r>
        <w:rPr>
          <w:rFonts w:hint="eastAsia" w:ascii="仿宋_GB2312" w:eastAsia="仿宋_GB2312"/>
          <w:color w:val="000000"/>
          <w:sz w:val="32"/>
          <w:szCs w:val="32"/>
        </w:rPr>
        <w:t>基本支出：指为保障机构正常运转、完成日常工作任务而发生的人员支出和公用支出。</w:t>
      </w:r>
    </w:p>
    <w:p w14:paraId="3C79FB87">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14</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p>
    <w:p w14:paraId="3137F088">
      <w:pPr>
        <w:pStyle w:val="34"/>
        <w:spacing w:line="520" w:lineRule="exact"/>
        <w:ind w:firstLine="640" w:firstLineChars="200"/>
        <w:rPr>
          <w:rFonts w:ascii="仿宋_GB2312" w:eastAsia="仿宋_GB2312"/>
          <w:sz w:val="32"/>
          <w:szCs w:val="32"/>
        </w:rPr>
      </w:pPr>
      <w:r>
        <w:rPr>
          <w:rFonts w:hint="eastAsia" w:ascii="仿宋_GB2312" w:eastAsia="仿宋_GB2312"/>
          <w:sz w:val="32"/>
          <w:szCs w:val="32"/>
        </w:rPr>
        <w:t>15</w:t>
      </w:r>
      <w:r>
        <w:rPr>
          <w:rFonts w:ascii="仿宋_GB2312" w:eastAsia="仿宋_GB2312"/>
          <w:sz w:val="32"/>
          <w:szCs w:val="32"/>
        </w:rPr>
        <w:t>.</w:t>
      </w:r>
      <w:r>
        <w:rPr>
          <w:rFonts w:hint="eastAsia" w:ascii="仿宋_GB2312" w:eastAsia="仿宋_GB2312"/>
          <w:sz w:val="32"/>
          <w:szCs w:val="32"/>
        </w:rPr>
        <w:t>“三公”经费：指部门用财政拨款安排的公务用车购置及运行费和公务接待费。其中，公务用车购置及运行费反映单位公务用车车辆购置支出（含车辆购置税）及租用费、燃料费、维修费、过路过桥费、保险费等支出；公务接待费反映单位按规定开支的各类公务接待（含外宾接待）支出。</w:t>
      </w:r>
    </w:p>
    <w:p w14:paraId="084DB9F3">
      <w:pPr>
        <w:pStyle w:val="34"/>
        <w:spacing w:line="520" w:lineRule="exact"/>
        <w:ind w:firstLine="640" w:firstLineChars="200"/>
        <w:rPr>
          <w:rFonts w:ascii="仿宋_GB2312" w:eastAsia="仿宋_GB2312" w:cs="黑体"/>
          <w:sz w:val="32"/>
          <w:szCs w:val="32"/>
        </w:rPr>
      </w:pPr>
      <w:r>
        <w:rPr>
          <w:rFonts w:hint="eastAsia" w:ascii="仿宋_GB2312" w:eastAsia="仿宋_GB2312"/>
          <w:sz w:val="32"/>
          <w:szCs w:val="32"/>
        </w:rPr>
        <w:t>16</w:t>
      </w:r>
      <w:r>
        <w:rPr>
          <w:rFonts w:ascii="仿宋_GB2312" w:eastAsia="仿宋_GB2312"/>
          <w:sz w:val="32"/>
          <w:szCs w:val="32"/>
        </w:rPr>
        <w:t>.</w:t>
      </w:r>
      <w:r>
        <w:rPr>
          <w:rFonts w:hint="eastAsia" w:ascii="仿宋_GB2312" w:eastAsia="仿宋_GB2312"/>
          <w:sz w:val="32"/>
          <w:szCs w:val="32"/>
        </w:rPr>
        <w:t>机关运行经费：为保障行政单位运行用于购买货物和服务的各项资金，包括办公费、印刷费、邮电费、差旅费、日常维修费、办公用房水电费、办公用房取暖费、公务用车运行维护费以及其他费用。</w:t>
      </w:r>
    </w:p>
    <w:p w14:paraId="3CB811A8">
      <w:pPr>
        <w:pStyle w:val="34"/>
        <w:spacing w:line="560" w:lineRule="exact"/>
        <w:ind w:firstLine="640" w:firstLineChars="200"/>
        <w:rPr>
          <w:rFonts w:ascii="仿宋_GB2312" w:eastAsia="仿宋_GB2312" w:cs="黑体"/>
          <w:sz w:val="32"/>
          <w:szCs w:val="32"/>
        </w:rPr>
      </w:pPr>
    </w:p>
    <w:p w14:paraId="6B4EDDDD">
      <w:pPr>
        <w:ind w:firstLine="643" w:firstLineChars="200"/>
        <w:rPr>
          <w:rFonts w:ascii="仿宋" w:hAnsi="仿宋" w:eastAsia="仿宋"/>
          <w:b/>
          <w:color w:val="000000"/>
          <w:sz w:val="32"/>
          <w:szCs w:val="32"/>
        </w:rPr>
      </w:pPr>
    </w:p>
    <w:p w14:paraId="114641C6">
      <w:pPr>
        <w:spacing w:line="600" w:lineRule="exact"/>
        <w:ind w:firstLine="1540" w:firstLineChars="350"/>
        <w:rPr>
          <w:rFonts w:ascii="黑体" w:hAnsi="黑体" w:eastAsia="黑体"/>
          <w:color w:val="000000"/>
          <w:sz w:val="44"/>
          <w:szCs w:val="44"/>
        </w:rPr>
      </w:pPr>
      <w:bookmarkStart w:id="135" w:name="_Toc79163630"/>
      <w:bookmarkStart w:id="136" w:name="_Toc15396614"/>
      <w:bookmarkStart w:id="137" w:name="_Toc79163880"/>
    </w:p>
    <w:p w14:paraId="4D1A5E4E">
      <w:pPr>
        <w:spacing w:line="600" w:lineRule="exact"/>
        <w:ind w:firstLine="1540" w:firstLineChars="350"/>
        <w:rPr>
          <w:rFonts w:ascii="黑体" w:hAnsi="黑体" w:eastAsia="黑体"/>
          <w:color w:val="000000"/>
          <w:sz w:val="44"/>
          <w:szCs w:val="44"/>
        </w:rPr>
      </w:pPr>
    </w:p>
    <w:p w14:paraId="1C4709DC">
      <w:pPr>
        <w:spacing w:line="600" w:lineRule="exact"/>
        <w:ind w:firstLine="1540" w:firstLineChars="350"/>
        <w:rPr>
          <w:rFonts w:ascii="黑体" w:hAnsi="黑体" w:eastAsia="黑体"/>
          <w:color w:val="000000"/>
          <w:sz w:val="44"/>
          <w:szCs w:val="44"/>
        </w:rPr>
      </w:pPr>
    </w:p>
    <w:p w14:paraId="753E9FDC">
      <w:pPr>
        <w:spacing w:line="600" w:lineRule="exact"/>
        <w:ind w:firstLine="1540" w:firstLineChars="350"/>
        <w:rPr>
          <w:rFonts w:ascii="黑体" w:hAnsi="黑体" w:eastAsia="黑体"/>
          <w:color w:val="000000"/>
          <w:sz w:val="44"/>
          <w:szCs w:val="44"/>
        </w:rPr>
      </w:pPr>
    </w:p>
    <w:p w14:paraId="72277552">
      <w:pPr>
        <w:spacing w:line="600" w:lineRule="exact"/>
        <w:ind w:left="2866" w:leftChars="1365" w:firstLine="5280" w:firstLineChars="1200"/>
        <w:outlineLvl w:val="0"/>
        <w:rPr>
          <w:rStyle w:val="24"/>
          <w:rFonts w:ascii="黑体" w:hAnsi="黑体" w:eastAsia="黑体"/>
          <w:b w:val="0"/>
        </w:rPr>
      </w:pPr>
      <w:r>
        <w:rPr>
          <w:rFonts w:hint="eastAsia" w:ascii="黑体" w:hAnsi="黑体" w:eastAsia="黑体"/>
          <w:color w:val="000000"/>
          <w:sz w:val="44"/>
          <w:szCs w:val="44"/>
        </w:rPr>
        <w:t xml:space="preserve"> </w:t>
      </w:r>
      <w:bookmarkStart w:id="138" w:name="_Toc25470"/>
      <w:r>
        <w:rPr>
          <w:rFonts w:hint="eastAsia" w:ascii="黑体" w:hAnsi="黑体" w:eastAsia="黑体"/>
          <w:color w:val="000000"/>
          <w:sz w:val="44"/>
          <w:szCs w:val="44"/>
        </w:rPr>
        <w:t>第</w:t>
      </w:r>
      <w:r>
        <w:rPr>
          <w:rStyle w:val="24"/>
          <w:rFonts w:hint="eastAsia" w:ascii="黑体" w:hAnsi="黑体" w:eastAsia="黑体"/>
          <w:b w:val="0"/>
        </w:rPr>
        <w:t>四部分附件</w:t>
      </w:r>
      <w:bookmarkEnd w:id="135"/>
      <w:bookmarkEnd w:id="136"/>
      <w:bookmarkEnd w:id="137"/>
      <w:bookmarkEnd w:id="138"/>
    </w:p>
    <w:p w14:paraId="334BF51A">
      <w:pPr>
        <w:spacing w:line="600" w:lineRule="exact"/>
        <w:jc w:val="left"/>
        <w:outlineLvl w:val="1"/>
        <w:rPr>
          <w:rFonts w:ascii="方正小标宋简体" w:hAnsi="方正小标宋简体" w:eastAsia="方正小标宋简体" w:cs="方正小标宋简体"/>
          <w:sz w:val="32"/>
          <w:szCs w:val="32"/>
        </w:rPr>
      </w:pPr>
      <w:bookmarkStart w:id="139" w:name="_Toc79163631"/>
      <w:bookmarkStart w:id="140" w:name="_Toc13687"/>
      <w:bookmarkStart w:id="141" w:name="_Toc79163881"/>
      <w:r>
        <w:rPr>
          <w:rFonts w:hint="eastAsia" w:ascii="黑体" w:hAnsi="黑体" w:eastAsia="黑体" w:cs="黑体"/>
          <w:sz w:val="32"/>
          <w:szCs w:val="32"/>
        </w:rPr>
        <w:t>附件</w:t>
      </w:r>
      <w:r>
        <w:rPr>
          <w:rFonts w:ascii="黑体" w:hAnsi="黑体" w:eastAsia="黑体" w:cs="黑体"/>
          <w:sz w:val="32"/>
          <w:szCs w:val="32"/>
        </w:rPr>
        <w:t>1</w:t>
      </w:r>
      <w:bookmarkEnd w:id="139"/>
      <w:bookmarkEnd w:id="140"/>
      <w:bookmarkEnd w:id="141"/>
    </w:p>
    <w:p w14:paraId="7E2346C5">
      <w:pPr>
        <w:spacing w:line="600" w:lineRule="exact"/>
        <w:rPr>
          <w:rFonts w:ascii="方正小标宋简体" w:hAnsi="黑体" w:eastAsia="方正小标宋简体" w:cs="黑体"/>
          <w:sz w:val="44"/>
          <w:szCs w:val="44"/>
        </w:rPr>
      </w:pPr>
    </w:p>
    <w:p w14:paraId="046EA649">
      <w:pPr>
        <w:spacing w:line="580" w:lineRule="exact"/>
        <w:ind w:firstLine="640"/>
        <w:rPr>
          <w:rFonts w:ascii="仿宋_GB2312" w:hAnsi="仿宋_GB2312" w:eastAsia="仿宋_GB2312" w:cs="仿宋_GB2312"/>
          <w:sz w:val="32"/>
          <w:szCs w:val="32"/>
        </w:rPr>
      </w:pPr>
    </w:p>
    <w:p w14:paraId="73D88D17">
      <w:pPr>
        <w:spacing w:line="600" w:lineRule="exact"/>
        <w:jc w:val="center"/>
        <w:rPr>
          <w:rFonts w:ascii="方正小标宋简体" w:hAnsi="宋体" w:eastAsia="方正小标宋简体"/>
          <w:color w:val="000000"/>
          <w:kern w:val="0"/>
          <w:sz w:val="40"/>
          <w:szCs w:val="44"/>
          <w:lang w:val="zh-CN"/>
        </w:rPr>
      </w:pPr>
      <w:r>
        <w:rPr>
          <w:rFonts w:hint="eastAsia" w:ascii="方正小标宋简体" w:hAnsi="宋体" w:eastAsia="方正小标宋简体"/>
          <w:color w:val="000000"/>
          <w:kern w:val="0"/>
          <w:sz w:val="40"/>
          <w:szCs w:val="44"/>
          <w:lang w:val="zh-CN"/>
        </w:rPr>
        <w:t>红原县邛溪易地育人寄宿制学校</w:t>
      </w:r>
      <w:r>
        <w:rPr>
          <w:rFonts w:ascii="方正小标宋简体" w:hAnsi="宋体" w:eastAsia="方正小标宋简体"/>
          <w:color w:val="000000"/>
          <w:kern w:val="0"/>
          <w:sz w:val="40"/>
          <w:szCs w:val="44"/>
        </w:rPr>
        <w:t>20</w:t>
      </w:r>
      <w:r>
        <w:rPr>
          <w:rFonts w:hint="eastAsia" w:ascii="方正小标宋简体" w:hAnsi="宋体" w:eastAsia="方正小标宋简体"/>
          <w:color w:val="000000"/>
          <w:kern w:val="0"/>
          <w:sz w:val="40"/>
          <w:szCs w:val="44"/>
        </w:rPr>
        <w:t>2</w:t>
      </w:r>
      <w:r>
        <w:rPr>
          <w:rFonts w:hint="eastAsia" w:ascii="方正小标宋简体" w:hAnsi="宋体" w:eastAsia="方正小标宋简体"/>
          <w:color w:val="000000"/>
          <w:kern w:val="0"/>
          <w:sz w:val="40"/>
          <w:szCs w:val="44"/>
          <w:lang w:val="en-US" w:eastAsia="zh-CN"/>
        </w:rPr>
        <w:t>5</w:t>
      </w:r>
      <w:r>
        <w:rPr>
          <w:rFonts w:ascii="方正小标宋简体" w:hAnsi="宋体" w:eastAsia="方正小标宋简体"/>
          <w:color w:val="000000"/>
          <w:kern w:val="0"/>
          <w:sz w:val="40"/>
          <w:szCs w:val="44"/>
        </w:rPr>
        <w:t>年</w:t>
      </w:r>
      <w:r>
        <w:rPr>
          <w:rFonts w:hint="eastAsia" w:ascii="方正小标宋简体" w:hAnsi="宋体" w:eastAsia="方正小标宋简体"/>
          <w:color w:val="000000"/>
          <w:kern w:val="0"/>
          <w:sz w:val="40"/>
          <w:szCs w:val="44"/>
          <w:lang w:val="zh-CN"/>
        </w:rPr>
        <w:t>整体支出绩效评价报告</w:t>
      </w:r>
    </w:p>
    <w:p w14:paraId="66C06546">
      <w:pPr>
        <w:widowControl/>
        <w:spacing w:line="580" w:lineRule="exact"/>
        <w:ind w:firstLine="880" w:firstLineChars="200"/>
        <w:contextualSpacing/>
        <w:rPr>
          <w:rFonts w:ascii="方正小标宋简体" w:hAnsi="宋体" w:eastAsia="方正小标宋简体" w:cs="方正小标宋简体"/>
          <w:sz w:val="44"/>
          <w:szCs w:val="44"/>
        </w:rPr>
      </w:pPr>
    </w:p>
    <w:p w14:paraId="5BE8B66A">
      <w:pPr>
        <w:widowControl/>
        <w:spacing w:line="480" w:lineRule="exact"/>
        <w:jc w:val="center"/>
        <w:rPr>
          <w:rFonts w:ascii="黑体" w:hAnsi="宋体" w:eastAsia="黑体" w:cs="宋体"/>
          <w:color w:val="000000"/>
          <w:kern w:val="0"/>
        </w:rPr>
      </w:pPr>
    </w:p>
    <w:p w14:paraId="571CB040">
      <w:pPr>
        <w:widowControl/>
        <w:adjustRightInd w:val="0"/>
        <w:snapToGrid w:val="0"/>
        <w:spacing w:line="480" w:lineRule="exact"/>
        <w:ind w:firstLine="720"/>
        <w:jc w:val="left"/>
        <w:outlineLvl w:val="1"/>
        <w:rPr>
          <w:rFonts w:ascii="黑体" w:hAnsi="宋体" w:eastAsia="黑体" w:cs="宋体"/>
          <w:color w:val="000000"/>
          <w:kern w:val="0"/>
          <w:lang w:val="zh-CN"/>
        </w:rPr>
      </w:pPr>
      <w:bookmarkStart w:id="142" w:name="_Toc7151"/>
      <w:r>
        <w:rPr>
          <w:rFonts w:hint="eastAsia" w:ascii="黑体" w:hAnsi="宋体" w:eastAsia="黑体" w:cs="宋体"/>
          <w:color w:val="000000"/>
          <w:kern w:val="0"/>
          <w:sz w:val="32"/>
        </w:rPr>
        <w:t>一、</w:t>
      </w:r>
      <w:r>
        <w:rPr>
          <w:rFonts w:hint="eastAsia" w:ascii="黑体" w:hAnsi="宋体" w:eastAsia="黑体" w:cs="宋体"/>
          <w:color w:val="000000"/>
          <w:kern w:val="0"/>
          <w:sz w:val="32"/>
          <w:lang w:val="zh-CN"/>
        </w:rPr>
        <w:t>单位概况</w:t>
      </w:r>
      <w:bookmarkEnd w:id="142"/>
    </w:p>
    <w:p w14:paraId="57A6ED72">
      <w:pPr>
        <w:spacing w:line="360" w:lineRule="auto"/>
        <w:ind w:firstLine="640" w:firstLineChars="200"/>
        <w:jc w:val="left"/>
        <w:outlineLvl w:val="2"/>
        <w:rPr>
          <w:rFonts w:ascii="仿宋_GB2312" w:hAnsi="宋体" w:eastAsia="仿宋_GB2312" w:cs="宋体"/>
          <w:color w:val="000000"/>
          <w:kern w:val="0"/>
          <w:sz w:val="32"/>
          <w:szCs w:val="32"/>
          <w:lang w:val="zh-CN"/>
        </w:rPr>
      </w:pPr>
      <w:bookmarkStart w:id="143" w:name="_Toc18705"/>
      <w:r>
        <w:rPr>
          <w:rFonts w:hint="eastAsia" w:ascii="仿宋_GB2312" w:hAnsi="宋体" w:eastAsia="仿宋_GB2312" w:cs="宋体"/>
          <w:color w:val="000000"/>
          <w:kern w:val="0"/>
          <w:sz w:val="32"/>
          <w:szCs w:val="32"/>
          <w:lang w:val="zh-CN"/>
        </w:rPr>
        <w:t>（一）机构组成</w:t>
      </w:r>
      <w:bookmarkEnd w:id="143"/>
    </w:p>
    <w:p w14:paraId="63EFF763">
      <w:pPr>
        <w:pStyle w:val="6"/>
        <w:adjustRightInd w:val="0"/>
        <w:snapToGrid w:val="0"/>
        <w:spacing w:before="93" w:line="580" w:lineRule="exact"/>
        <w:ind w:firstLine="640" w:firstLineChars="200"/>
        <w:rPr>
          <w:color w:val="000000"/>
          <w:kern w:val="2"/>
          <w:sz w:val="32"/>
          <w:szCs w:val="32"/>
        </w:rPr>
      </w:pPr>
      <w:r>
        <w:rPr>
          <w:rFonts w:hint="eastAsia"/>
          <w:color w:val="000000"/>
          <w:kern w:val="2"/>
          <w:sz w:val="32"/>
          <w:szCs w:val="32"/>
        </w:rPr>
        <w:t>我校属于红原县教育局下属的二级预算、财政全额拨款的事业单位，执行的是政府会计制度。</w:t>
      </w:r>
    </w:p>
    <w:p w14:paraId="4EAAF6F4">
      <w:pPr>
        <w:spacing w:line="360" w:lineRule="auto"/>
        <w:ind w:firstLine="640" w:firstLineChars="200"/>
        <w:jc w:val="left"/>
        <w:outlineLvl w:val="2"/>
        <w:rPr>
          <w:rFonts w:ascii="仿宋_GB2312" w:hAnsi="宋体" w:eastAsia="仿宋_GB2312" w:cs="宋体"/>
          <w:color w:val="000000"/>
          <w:kern w:val="0"/>
          <w:sz w:val="32"/>
          <w:szCs w:val="32"/>
          <w:lang w:val="zh-CN"/>
        </w:rPr>
      </w:pPr>
      <w:bookmarkStart w:id="144" w:name="_Toc32506"/>
      <w:r>
        <w:rPr>
          <w:rFonts w:hint="eastAsia" w:ascii="仿宋_GB2312" w:hAnsi="宋体" w:eastAsia="仿宋_GB2312" w:cs="宋体"/>
          <w:color w:val="000000"/>
          <w:kern w:val="0"/>
          <w:sz w:val="32"/>
          <w:szCs w:val="32"/>
          <w:lang w:val="zh-CN"/>
        </w:rPr>
        <w:t>（二）机构职能</w:t>
      </w:r>
      <w:bookmarkEnd w:id="144"/>
    </w:p>
    <w:p w14:paraId="64BF8676">
      <w:pPr>
        <w:ind w:firstLine="640" w:firstLineChars="200"/>
        <w:rPr>
          <w:rFonts w:ascii="仿宋_GB2312" w:eastAsia="仿宋_GB2312"/>
          <w:color w:val="000000"/>
          <w:sz w:val="32"/>
          <w:szCs w:val="32"/>
          <w:lang w:val="zh-CN"/>
        </w:rPr>
      </w:pPr>
      <w:r>
        <w:rPr>
          <w:rFonts w:hint="eastAsia" w:ascii="仿宋_GB2312" w:eastAsia="仿宋_GB2312"/>
          <w:color w:val="000000"/>
          <w:sz w:val="32"/>
          <w:szCs w:val="32"/>
        </w:rPr>
        <w:t>学校教书育人就是教师的天职，也是基本使命和主要工作，关心和爱护学生在传授专业知识的同时，以自身的道德行为和魅力，言传身教。引导学生寻找自己生命的意义，实现人生应有的价值追求，树立正确的人生观。小学教育工作要发扬爱岗敬业的精神，加强对学生的思想品德教育，培养学生德智体全面发展。</w:t>
      </w:r>
    </w:p>
    <w:p w14:paraId="64A9C2C1">
      <w:pPr>
        <w:spacing w:line="360" w:lineRule="auto"/>
        <w:ind w:firstLine="640" w:firstLineChars="200"/>
        <w:jc w:val="left"/>
        <w:outlineLvl w:val="2"/>
        <w:rPr>
          <w:rFonts w:ascii="仿宋_GB2312" w:hAnsi="宋体" w:eastAsia="仿宋_GB2312" w:cs="宋体"/>
          <w:color w:val="000000"/>
          <w:kern w:val="0"/>
          <w:sz w:val="32"/>
          <w:szCs w:val="32"/>
          <w:lang w:val="zh-CN"/>
        </w:rPr>
      </w:pPr>
      <w:bookmarkStart w:id="145" w:name="_Toc18562"/>
      <w:r>
        <w:rPr>
          <w:rFonts w:hint="eastAsia" w:ascii="仿宋_GB2312" w:hAnsi="宋体" w:eastAsia="仿宋_GB2312" w:cs="宋体"/>
          <w:color w:val="000000"/>
          <w:kern w:val="0"/>
          <w:sz w:val="32"/>
          <w:szCs w:val="32"/>
          <w:lang w:val="zh-CN"/>
        </w:rPr>
        <w:t>（三）人员概况</w:t>
      </w:r>
      <w:bookmarkEnd w:id="145"/>
    </w:p>
    <w:p w14:paraId="11B756EA">
      <w:pPr>
        <w:pStyle w:val="6"/>
        <w:adjustRightInd w:val="0"/>
        <w:snapToGrid w:val="0"/>
        <w:spacing w:before="93" w:line="580" w:lineRule="exact"/>
        <w:ind w:firstLine="640" w:firstLineChars="200"/>
        <w:rPr>
          <w:rFonts w:ascii="??_GB2312" w:hAnsi="宋体" w:eastAsia="Times New Roman" w:cs="宋体"/>
          <w:color w:val="000000"/>
        </w:rPr>
      </w:pPr>
      <w:r>
        <w:rPr>
          <w:rFonts w:hint="eastAsia"/>
          <w:color w:val="000000"/>
          <w:kern w:val="2"/>
          <w:sz w:val="32"/>
          <w:szCs w:val="32"/>
        </w:rPr>
        <w:t>截止202</w:t>
      </w:r>
      <w:r>
        <w:rPr>
          <w:rFonts w:hint="eastAsia"/>
          <w:color w:val="000000"/>
          <w:kern w:val="2"/>
          <w:sz w:val="32"/>
          <w:szCs w:val="32"/>
          <w:lang w:val="en-US" w:eastAsia="zh-CN"/>
        </w:rPr>
        <w:t>5</w:t>
      </w:r>
      <w:r>
        <w:rPr>
          <w:rFonts w:hint="eastAsia"/>
          <w:color w:val="000000"/>
          <w:kern w:val="2"/>
          <w:sz w:val="32"/>
          <w:szCs w:val="32"/>
        </w:rPr>
        <w:t>年年底，我单位共有编制91人,在职职工</w:t>
      </w:r>
      <w:r>
        <w:rPr>
          <w:rFonts w:hint="eastAsia"/>
          <w:color w:val="000000"/>
          <w:kern w:val="2"/>
          <w:sz w:val="32"/>
          <w:szCs w:val="32"/>
          <w:lang w:val="en-US" w:eastAsia="zh-CN"/>
        </w:rPr>
        <w:t>83</w:t>
      </w:r>
      <w:r>
        <w:rPr>
          <w:rFonts w:hint="eastAsia"/>
          <w:color w:val="000000"/>
          <w:kern w:val="2"/>
          <w:sz w:val="32"/>
          <w:szCs w:val="32"/>
        </w:rPr>
        <w:t>人，退休</w:t>
      </w:r>
      <w:r>
        <w:rPr>
          <w:rFonts w:hint="eastAsia"/>
          <w:color w:val="000000"/>
          <w:kern w:val="2"/>
          <w:sz w:val="32"/>
          <w:szCs w:val="32"/>
          <w:lang w:val="en-US" w:eastAsia="zh-CN"/>
        </w:rPr>
        <w:t>15</w:t>
      </w:r>
      <w:r>
        <w:rPr>
          <w:rFonts w:hint="eastAsia"/>
          <w:color w:val="000000"/>
          <w:kern w:val="2"/>
          <w:sz w:val="32"/>
          <w:szCs w:val="32"/>
        </w:rPr>
        <w:t>人。</w:t>
      </w:r>
    </w:p>
    <w:p w14:paraId="4E28B9E0">
      <w:pPr>
        <w:widowControl/>
        <w:adjustRightInd w:val="0"/>
        <w:snapToGrid w:val="0"/>
        <w:spacing w:line="480" w:lineRule="exact"/>
        <w:ind w:firstLine="720"/>
        <w:jc w:val="left"/>
        <w:outlineLvl w:val="1"/>
        <w:rPr>
          <w:rFonts w:ascii="黑体" w:hAnsi="宋体" w:eastAsia="黑体" w:cs="宋体"/>
          <w:color w:val="000000"/>
          <w:kern w:val="0"/>
        </w:rPr>
      </w:pPr>
      <w:bookmarkStart w:id="146" w:name="_Toc145"/>
      <w:r>
        <w:rPr>
          <w:rFonts w:hint="eastAsia" w:ascii="黑体" w:hAnsi="宋体" w:eastAsia="黑体" w:cs="宋体"/>
          <w:color w:val="000000"/>
          <w:kern w:val="0"/>
          <w:sz w:val="32"/>
        </w:rPr>
        <w:t>二、部门财政资金收支情况</w:t>
      </w:r>
      <w:bookmarkEnd w:id="146"/>
    </w:p>
    <w:p w14:paraId="1E0F7B03">
      <w:pPr>
        <w:spacing w:line="600" w:lineRule="exact"/>
        <w:ind w:firstLine="640" w:firstLineChars="200"/>
        <w:outlineLvl w:val="2"/>
        <w:rPr>
          <w:rFonts w:ascii="仿宋_GB2312" w:eastAsia="仿宋_GB2312"/>
          <w:sz w:val="32"/>
          <w:szCs w:val="32"/>
          <w:lang w:val="zh-CN"/>
        </w:rPr>
      </w:pPr>
      <w:bookmarkStart w:id="147" w:name="_Toc22303"/>
      <w:r>
        <w:rPr>
          <w:rFonts w:hint="eastAsia" w:ascii="仿宋_GB2312" w:eastAsia="仿宋_GB2312"/>
          <w:sz w:val="32"/>
          <w:szCs w:val="32"/>
          <w:lang w:val="zh-CN"/>
        </w:rPr>
        <w:t>（一）部门财政资金收入情况</w:t>
      </w:r>
      <w:bookmarkEnd w:id="147"/>
    </w:p>
    <w:p w14:paraId="4FBA883B">
      <w:pPr>
        <w:ind w:firstLine="640" w:firstLineChars="200"/>
        <w:rPr>
          <w:rFonts w:ascii="??_GB2312" w:hAnsi="宋体" w:eastAsia="Times New Roman" w:cs="宋体"/>
          <w:color w:val="000000"/>
          <w:kern w:val="0"/>
          <w:lang w:val="zh-CN"/>
        </w:rPr>
      </w:pPr>
      <w:r>
        <w:rPr>
          <w:rFonts w:hint="eastAsia" w:ascii="仿宋_GB2312" w:eastAsia="仿宋_GB2312"/>
          <w:color w:val="000000"/>
          <w:sz w:val="32"/>
          <w:szCs w:val="32"/>
        </w:rPr>
        <w:t>收入：202</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年收入</w:t>
      </w:r>
      <w:r>
        <w:rPr>
          <w:rFonts w:hint="eastAsia" w:ascii="仿宋_GB2312" w:eastAsia="仿宋_GB2312"/>
          <w:color w:val="000000"/>
          <w:sz w:val="32"/>
          <w:szCs w:val="32"/>
          <w:lang w:eastAsia="zh-CN"/>
        </w:rPr>
        <w:t>合</w:t>
      </w:r>
      <w:r>
        <w:rPr>
          <w:rFonts w:hint="eastAsia" w:ascii="仿宋_GB2312" w:eastAsia="仿宋_GB2312"/>
          <w:color w:val="000000"/>
          <w:sz w:val="32"/>
          <w:szCs w:val="32"/>
        </w:rPr>
        <w:t>计</w:t>
      </w:r>
      <w:r>
        <w:rPr>
          <w:rFonts w:hint="eastAsia" w:ascii="仿宋_GB2312" w:eastAsia="仿宋_GB2312"/>
          <w:color w:val="000000"/>
          <w:sz w:val="32"/>
          <w:szCs w:val="32"/>
          <w:lang w:val="en-US" w:eastAsia="zh-CN"/>
        </w:rPr>
        <w:t>2923.05</w:t>
      </w:r>
      <w:r>
        <w:rPr>
          <w:rFonts w:hint="eastAsia" w:ascii="仿宋_GB2312" w:eastAsia="仿宋_GB2312"/>
          <w:color w:val="000000"/>
          <w:sz w:val="32"/>
          <w:szCs w:val="32"/>
        </w:rPr>
        <w:t>万元。其中：一般公共预算财政拨款收入</w:t>
      </w:r>
      <w:r>
        <w:rPr>
          <w:rFonts w:hint="eastAsia" w:ascii="仿宋_GB2312" w:eastAsia="仿宋_GB2312"/>
          <w:color w:val="000000"/>
          <w:sz w:val="32"/>
          <w:szCs w:val="32"/>
          <w:lang w:val="en-US" w:eastAsia="zh-CN"/>
        </w:rPr>
        <w:t>2886.99</w:t>
      </w:r>
      <w:r>
        <w:rPr>
          <w:rFonts w:hint="eastAsia" w:ascii="仿宋_GB2312" w:eastAsia="仿宋_GB2312"/>
          <w:color w:val="000000"/>
          <w:sz w:val="32"/>
          <w:szCs w:val="32"/>
        </w:rPr>
        <w:t>万元，其他收入</w:t>
      </w:r>
      <w:r>
        <w:rPr>
          <w:rFonts w:hint="eastAsia" w:ascii="仿宋_GB2312" w:eastAsia="仿宋_GB2312"/>
          <w:color w:val="000000"/>
          <w:sz w:val="32"/>
          <w:szCs w:val="32"/>
          <w:lang w:val="en-US" w:eastAsia="zh-CN"/>
        </w:rPr>
        <w:t>36.06</w:t>
      </w:r>
      <w:r>
        <w:rPr>
          <w:rFonts w:hint="eastAsia" w:ascii="仿宋_GB2312" w:eastAsia="仿宋_GB2312"/>
          <w:color w:val="000000"/>
          <w:sz w:val="32"/>
          <w:szCs w:val="32"/>
        </w:rPr>
        <w:t>万元。</w:t>
      </w:r>
    </w:p>
    <w:p w14:paraId="235E4478">
      <w:pPr>
        <w:widowControl/>
        <w:adjustRightInd w:val="0"/>
        <w:snapToGrid w:val="0"/>
        <w:spacing w:line="360" w:lineRule="auto"/>
        <w:ind w:left="420" w:leftChars="200"/>
        <w:jc w:val="left"/>
        <w:outlineLvl w:val="2"/>
        <w:rPr>
          <w:rFonts w:ascii="仿宋_GB2312" w:hAnsi="宋体" w:eastAsia="仿宋_GB2312" w:cs="宋体"/>
          <w:color w:val="000000"/>
          <w:kern w:val="0"/>
          <w:sz w:val="32"/>
          <w:szCs w:val="32"/>
          <w:lang w:val="zh-CN"/>
        </w:rPr>
      </w:pPr>
      <w:bookmarkStart w:id="148" w:name="_Toc24887"/>
      <w:r>
        <w:rPr>
          <w:rFonts w:hint="eastAsia" w:ascii="仿宋_GB2312" w:hAnsi="宋体" w:eastAsia="仿宋_GB2312" w:cs="宋体"/>
          <w:color w:val="000000"/>
          <w:kern w:val="0"/>
          <w:sz w:val="32"/>
          <w:szCs w:val="32"/>
          <w:lang w:val="zh-CN"/>
        </w:rPr>
        <w:t>（二）部门财政资金支出情况</w:t>
      </w:r>
      <w:bookmarkEnd w:id="148"/>
    </w:p>
    <w:p w14:paraId="0C8EDA3D">
      <w:pPr>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rPr>
        <w:t>支出：20</w:t>
      </w:r>
      <w:r>
        <w:rPr>
          <w:rFonts w:hint="eastAsia" w:ascii="仿宋_GB2312" w:eastAsia="仿宋_GB2312"/>
          <w:color w:val="000000"/>
          <w:sz w:val="32"/>
          <w:szCs w:val="32"/>
          <w:lang w:val="en-US" w:eastAsia="zh-CN"/>
        </w:rPr>
        <w:t>25</w:t>
      </w:r>
      <w:r>
        <w:rPr>
          <w:rFonts w:hint="eastAsia" w:ascii="仿宋_GB2312" w:eastAsia="仿宋_GB2312"/>
          <w:color w:val="000000"/>
          <w:sz w:val="32"/>
          <w:szCs w:val="32"/>
        </w:rPr>
        <w:t>年支出</w:t>
      </w:r>
      <w:r>
        <w:rPr>
          <w:rFonts w:hint="eastAsia" w:ascii="仿宋_GB2312" w:eastAsia="仿宋_GB2312"/>
          <w:color w:val="000000"/>
          <w:sz w:val="32"/>
          <w:szCs w:val="32"/>
          <w:lang w:eastAsia="zh-CN"/>
        </w:rPr>
        <w:t>合计</w:t>
      </w:r>
      <w:r>
        <w:rPr>
          <w:rFonts w:hint="eastAsia" w:ascii="仿宋_GB2312" w:eastAsia="仿宋_GB2312"/>
          <w:color w:val="000000"/>
          <w:sz w:val="32"/>
          <w:szCs w:val="32"/>
        </w:rPr>
        <w:t>计</w:t>
      </w:r>
      <w:r>
        <w:rPr>
          <w:rFonts w:hint="eastAsia" w:ascii="仿宋_GB2312" w:eastAsia="仿宋_GB2312"/>
          <w:color w:val="000000"/>
          <w:sz w:val="32"/>
          <w:szCs w:val="32"/>
          <w:lang w:val="en-US" w:eastAsia="zh-CN"/>
        </w:rPr>
        <w:t>2923.05</w:t>
      </w:r>
      <w:r>
        <w:rPr>
          <w:rFonts w:hint="eastAsia" w:ascii="仿宋_GB2312" w:eastAsia="仿宋_GB2312"/>
          <w:color w:val="000000"/>
          <w:sz w:val="32"/>
          <w:szCs w:val="32"/>
        </w:rPr>
        <w:t>万元。其中：</w:t>
      </w:r>
      <w:r>
        <w:rPr>
          <w:rFonts w:hint="eastAsia" w:ascii="仿宋_GB2312" w:eastAsia="仿宋_GB2312"/>
          <w:color w:val="000000"/>
          <w:sz w:val="32"/>
          <w:szCs w:val="32"/>
          <w:lang w:val="zh-CN"/>
        </w:rPr>
        <w:t>其中基本支出：</w:t>
      </w:r>
      <w:r>
        <w:rPr>
          <w:rFonts w:hint="eastAsia" w:ascii="仿宋_GB2312" w:eastAsia="仿宋_GB2312"/>
          <w:color w:val="000000"/>
          <w:sz w:val="32"/>
          <w:szCs w:val="32"/>
          <w:lang w:val="en-US" w:eastAsia="zh-CN"/>
        </w:rPr>
        <w:t>2685.40</w:t>
      </w:r>
      <w:r>
        <w:rPr>
          <w:rFonts w:hint="eastAsia" w:ascii="仿宋_GB2312" w:eastAsia="仿宋_GB2312"/>
          <w:color w:val="000000"/>
          <w:sz w:val="32"/>
          <w:szCs w:val="32"/>
        </w:rPr>
        <w:t>万元</w:t>
      </w:r>
      <w:r>
        <w:rPr>
          <w:rFonts w:hint="eastAsia" w:ascii="仿宋_GB2312" w:eastAsia="仿宋_GB2312"/>
          <w:color w:val="000000"/>
          <w:sz w:val="32"/>
          <w:szCs w:val="32"/>
          <w:lang w:val="zh-CN"/>
        </w:rPr>
        <w:t>，项目支出：</w:t>
      </w:r>
      <w:r>
        <w:rPr>
          <w:rFonts w:hint="eastAsia" w:ascii="仿宋_GB2312" w:eastAsia="仿宋_GB2312"/>
          <w:color w:val="000000"/>
          <w:sz w:val="32"/>
          <w:szCs w:val="32"/>
          <w:lang w:val="en-US" w:eastAsia="zh-CN"/>
        </w:rPr>
        <w:t>237.65</w:t>
      </w:r>
      <w:r>
        <w:rPr>
          <w:rFonts w:hint="eastAsia" w:ascii="仿宋_GB2312" w:eastAsia="仿宋_GB2312"/>
          <w:color w:val="000000"/>
          <w:sz w:val="32"/>
          <w:szCs w:val="32"/>
          <w:lang w:val="zh-CN"/>
        </w:rPr>
        <w:t>万元。</w:t>
      </w:r>
    </w:p>
    <w:p w14:paraId="0E350336">
      <w:pPr>
        <w:widowControl/>
        <w:adjustRightInd w:val="0"/>
        <w:snapToGrid w:val="0"/>
        <w:spacing w:line="480" w:lineRule="exact"/>
        <w:ind w:firstLine="720"/>
        <w:jc w:val="left"/>
        <w:outlineLvl w:val="1"/>
        <w:rPr>
          <w:rFonts w:ascii="黑体" w:hAnsi="宋体" w:eastAsia="黑体" w:cs="宋体"/>
          <w:color w:val="000000"/>
          <w:kern w:val="0"/>
        </w:rPr>
      </w:pPr>
      <w:bookmarkStart w:id="149" w:name="_Toc15317"/>
      <w:r>
        <w:rPr>
          <w:rFonts w:hint="eastAsia" w:ascii="黑体" w:hAnsi="宋体" w:eastAsia="黑体" w:cs="宋体"/>
          <w:color w:val="000000"/>
          <w:kern w:val="0"/>
          <w:sz w:val="32"/>
        </w:rPr>
        <w:t>三、部门整体预算绩效管理情况</w:t>
      </w:r>
      <w:bookmarkEnd w:id="149"/>
    </w:p>
    <w:p w14:paraId="2FC8394F">
      <w:pPr>
        <w:spacing w:line="560" w:lineRule="exact"/>
        <w:ind w:firstLine="640" w:firstLineChars="200"/>
        <w:outlineLvl w:val="2"/>
        <w:rPr>
          <w:rFonts w:ascii="楷体" w:hAnsi="楷体" w:eastAsia="楷体" w:cs="宋体"/>
          <w:color w:val="000000"/>
          <w:kern w:val="0"/>
          <w:sz w:val="32"/>
          <w:lang w:val="zh-CN"/>
        </w:rPr>
      </w:pPr>
      <w:bookmarkStart w:id="150" w:name="_Toc6836"/>
      <w:r>
        <w:rPr>
          <w:rFonts w:hint="eastAsia" w:ascii="楷体" w:hAnsi="楷体" w:eastAsia="楷体" w:cs="宋体"/>
          <w:color w:val="000000"/>
          <w:kern w:val="0"/>
          <w:sz w:val="32"/>
          <w:lang w:val="zh-CN"/>
        </w:rPr>
        <w:t>（一）部门预算管理</w:t>
      </w:r>
      <w:bookmarkEnd w:id="150"/>
    </w:p>
    <w:p w14:paraId="21CED4B0">
      <w:pPr>
        <w:pStyle w:val="18"/>
        <w:shd w:val="clear" w:color="auto" w:fill="FFFFFF"/>
        <w:spacing w:before="150" w:after="150" w:line="435" w:lineRule="atLeast"/>
        <w:ind w:firstLine="640" w:firstLineChars="200"/>
        <w:rPr>
          <w:rFonts w:ascii="仿宋_GB2312" w:hAnsi="Times New Roman" w:eastAsia="仿宋_GB2312"/>
          <w:color w:val="000000"/>
          <w:kern w:val="2"/>
          <w:sz w:val="32"/>
          <w:szCs w:val="32"/>
        </w:rPr>
      </w:pPr>
      <w:r>
        <w:rPr>
          <w:rFonts w:hint="eastAsia" w:ascii="仿宋_GB2312" w:hAnsi="Times New Roman" w:eastAsia="仿宋_GB2312"/>
          <w:color w:val="000000"/>
          <w:kern w:val="2"/>
          <w:sz w:val="32"/>
          <w:szCs w:val="32"/>
        </w:rPr>
        <w:t>我单位预算编制向同财政部门及时沟通学习，在学校领导的支持下积极进行财政部门组织的决算、编报、审核等方面工作按时完成，认真如实填报。不断强化预算意识，实行部门综合预算管理，保证预算编制质量。结合单位情况，进行科学合理分配细化，部门预算经批复后，科学合理安排支出，降低预算支出的波动幅度。　　</w:t>
      </w:r>
    </w:p>
    <w:p w14:paraId="68043EE8">
      <w:pPr>
        <w:pStyle w:val="18"/>
        <w:shd w:val="clear" w:color="auto" w:fill="FFFFFF"/>
        <w:spacing w:before="150" w:after="150" w:line="435" w:lineRule="atLeast"/>
        <w:ind w:firstLine="640" w:firstLineChars="200"/>
        <w:rPr>
          <w:rFonts w:ascii="仿宋_GB2312" w:hAnsi="Times New Roman" w:eastAsia="仿宋_GB2312"/>
          <w:color w:val="000000"/>
          <w:kern w:val="2"/>
          <w:sz w:val="32"/>
          <w:szCs w:val="32"/>
          <w:lang w:val="zh-CN"/>
        </w:rPr>
      </w:pPr>
      <w:r>
        <w:rPr>
          <w:rFonts w:hint="eastAsia" w:ascii="仿宋_GB2312" w:hAnsi="Times New Roman" w:eastAsia="仿宋_GB2312"/>
          <w:color w:val="000000"/>
          <w:kern w:val="2"/>
          <w:sz w:val="32"/>
          <w:szCs w:val="32"/>
        </w:rPr>
        <w:t>规范预算编制，严格按照预算的执行。人员支出按工资统发数据为准安排，部门收入预算指本部门所有收入，包括：财政拨款收入、上级补助收入、其他收入。支出预算包括职工工资福利，日常公用经费，个人家庭补助，项目支出等预算。对预算和决算公开工作、及主管部门对所属单位按规定批复决算的各项工作按规定认真执行，该填制及时填制，该公开及时公开，该上报及时上报，在工作中进一步提高预算的编制和执行。</w:t>
      </w:r>
    </w:p>
    <w:p w14:paraId="3BB8015D">
      <w:pPr>
        <w:spacing w:line="560" w:lineRule="exact"/>
        <w:ind w:firstLine="640" w:firstLineChars="200"/>
        <w:outlineLvl w:val="2"/>
        <w:rPr>
          <w:rFonts w:ascii="楷体" w:hAnsi="楷体" w:eastAsia="楷体" w:cs="宋体"/>
          <w:color w:val="000000"/>
          <w:kern w:val="0"/>
          <w:sz w:val="32"/>
          <w:lang w:val="zh-CN"/>
        </w:rPr>
      </w:pPr>
      <w:bookmarkStart w:id="151" w:name="_Toc26012"/>
      <w:r>
        <w:rPr>
          <w:rFonts w:hint="eastAsia" w:ascii="楷体" w:hAnsi="楷体" w:eastAsia="楷体" w:cs="宋体"/>
          <w:color w:val="000000"/>
          <w:kern w:val="0"/>
          <w:sz w:val="32"/>
          <w:lang w:val="zh-CN"/>
        </w:rPr>
        <w:t>（二）结果应用情况</w:t>
      </w:r>
      <w:bookmarkEnd w:id="151"/>
    </w:p>
    <w:p w14:paraId="5B9F7A19">
      <w:pPr>
        <w:ind w:firstLine="640" w:firstLineChars="200"/>
        <w:rPr>
          <w:rFonts w:ascii="仿宋_GB2312" w:eastAsia="仿宋_GB2312"/>
          <w:color w:val="000000"/>
          <w:sz w:val="32"/>
          <w:szCs w:val="32"/>
          <w:lang w:val="zh-CN"/>
        </w:rPr>
      </w:pPr>
      <w:r>
        <w:rPr>
          <w:rFonts w:hint="eastAsia" w:ascii="仿宋_GB2312" w:eastAsia="仿宋_GB2312"/>
          <w:color w:val="000000"/>
          <w:sz w:val="32"/>
          <w:szCs w:val="32"/>
          <w:lang w:val="zh-CN"/>
        </w:rPr>
        <w:t>资金支出总额严格控制在预算总额内，集中财力保障内部平稳运转，与发展计划相协调，严格按照预算执行。</w:t>
      </w:r>
    </w:p>
    <w:p w14:paraId="1E3F6FAB">
      <w:pPr>
        <w:spacing w:line="56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1</w:t>
      </w:r>
      <w:r>
        <w:rPr>
          <w:rFonts w:hint="eastAsia" w:ascii="仿宋_GB2312" w:hAnsi="仿宋_GB2312" w:eastAsia="仿宋_GB2312" w:cs="仿宋_GB2312"/>
          <w:sz w:val="32"/>
          <w:szCs w:val="32"/>
        </w:rPr>
        <w:t>.资产管理</w:t>
      </w:r>
    </w:p>
    <w:p w14:paraId="33C020B0">
      <w:pPr>
        <w:ind w:firstLine="640" w:firstLineChars="200"/>
        <w:rPr>
          <w:rFonts w:ascii="仿宋_GB2312" w:eastAsia="仿宋_GB2312"/>
          <w:color w:val="000000"/>
          <w:sz w:val="32"/>
          <w:szCs w:val="32"/>
        </w:rPr>
      </w:pPr>
      <w:r>
        <w:rPr>
          <w:rFonts w:hint="eastAsia" w:ascii="仿宋_GB2312" w:eastAsia="仿宋_GB2312"/>
          <w:color w:val="000000"/>
          <w:sz w:val="32"/>
          <w:szCs w:val="32"/>
        </w:rPr>
        <w:t>加强学校资产管理，严格执行现行固定资产管理制度，防止学校固定资产的流失。做到账实相符，对购入的固定资产及时入账，编制固定资产卡片，确保账面上能真实、完整的反映单位的固定资产情况，并结合本单位的实际情况，完善固定资产管理制度。学校的固定资产一般分为土地房屋及构筑物、通用设备、专用设备、文物和陈列品、图书档案、家具用具装具及动植物这几种。学校固定资产有较多的低值易耗品，在使用过程中监管不力很容易损坏，学校应重视资产的管理，延长资产使用寿命。提高资产的使用效率，</w:t>
      </w:r>
    </w:p>
    <w:p w14:paraId="334BD407">
      <w:pPr>
        <w:spacing w:line="560" w:lineRule="exact"/>
        <w:ind w:firstLine="800" w:firstLineChars="250"/>
        <w:rPr>
          <w:rFonts w:ascii="仿宋_GB2312" w:hAnsi="仿宋_GB2312" w:eastAsia="仿宋_GB2312" w:cs="仿宋_GB2312"/>
          <w:sz w:val="32"/>
          <w:szCs w:val="32"/>
        </w:rPr>
      </w:pPr>
      <w:r>
        <w:rPr>
          <w:rFonts w:ascii="仿宋_GB2312" w:hAnsi="仿宋_GB2312" w:eastAsia="仿宋_GB2312" w:cs="仿宋_GB2312"/>
          <w:sz w:val="32"/>
          <w:szCs w:val="32"/>
        </w:rPr>
        <w:t>2</w:t>
      </w:r>
      <w:r>
        <w:rPr>
          <w:rFonts w:hint="eastAsia" w:ascii="仿宋_GB2312" w:hAnsi="仿宋_GB2312" w:eastAsia="仿宋_GB2312" w:cs="仿宋_GB2312"/>
          <w:sz w:val="32"/>
          <w:szCs w:val="32"/>
        </w:rPr>
        <w:t>.内控管理</w:t>
      </w:r>
    </w:p>
    <w:p w14:paraId="42DBBF2E">
      <w:pPr>
        <w:ind w:firstLine="640" w:firstLineChars="200"/>
        <w:rPr>
          <w:rFonts w:ascii="仿宋_GB2312" w:eastAsia="仿宋_GB2312"/>
          <w:color w:val="000000"/>
          <w:sz w:val="32"/>
          <w:szCs w:val="32"/>
        </w:rPr>
      </w:pPr>
      <w:r>
        <w:rPr>
          <w:rFonts w:hint="eastAsia" w:ascii="仿宋_GB2312" w:eastAsia="仿宋_GB2312"/>
          <w:color w:val="000000"/>
          <w:sz w:val="32"/>
          <w:szCs w:val="32"/>
        </w:rPr>
        <w:t>加强财务内部控制制度的认识，健全完善部门内控制度，形成常态的规划管理。明确业务分工，运用不相容岗位相互分离、提高风险防范能力。信息内部公开等内部控制基本方法，加强对单位层面和业务层面的内部控制，实现内部控制体系全面、有效实施。建立单位内控监督约束机制，确保资金安全、合理、有效使用，提高学校管理水平，保证学校协调、持续、稳定发展。</w:t>
      </w:r>
    </w:p>
    <w:p w14:paraId="3E090434">
      <w:pPr>
        <w:spacing w:line="56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3</w:t>
      </w:r>
      <w:r>
        <w:rPr>
          <w:rFonts w:hint="eastAsia" w:ascii="仿宋_GB2312" w:hAnsi="仿宋_GB2312" w:eastAsia="仿宋_GB2312" w:cs="仿宋_GB2312"/>
          <w:sz w:val="32"/>
          <w:szCs w:val="32"/>
        </w:rPr>
        <w:t>.绩效管理</w:t>
      </w:r>
    </w:p>
    <w:p w14:paraId="5D1F73C6">
      <w:pPr>
        <w:pStyle w:val="19"/>
        <w:shd w:val="clear" w:color="auto" w:fill="FFFFFF"/>
        <w:spacing w:before="0" w:beforeAutospacing="0" w:after="0" w:afterAutospacing="0" w:line="360" w:lineRule="auto"/>
        <w:ind w:firstLine="645"/>
        <w:rPr>
          <w:rFonts w:ascii="仿宋_GB2312" w:hAnsi="Times New Roman" w:eastAsia="仿宋_GB2312" w:cs="Times New Roman"/>
          <w:color w:val="000000"/>
          <w:kern w:val="2"/>
          <w:sz w:val="32"/>
          <w:szCs w:val="32"/>
        </w:rPr>
      </w:pPr>
      <w:r>
        <w:rPr>
          <w:rFonts w:hint="eastAsia" w:ascii="仿宋_GB2312" w:hAnsi="Times New Roman" w:eastAsia="仿宋_GB2312" w:cs="Times New Roman"/>
          <w:color w:val="000000"/>
          <w:kern w:val="2"/>
          <w:sz w:val="32"/>
          <w:szCs w:val="32"/>
        </w:rPr>
        <w:t>学校坚持多劳多得、注重实效、优绩优效的原则，把师德放在首位。我单位教师年度考核是绩效考核的主要依据，学校按照教师绩效考核的名次进行进行分配。重点考核教师拓展专业知识，提高教育教学能力的情况，包括教师技能培训、完成规定的教师继续教育任务，参与教学教研等方面的情况，还通过教师考勤、工作量、教育教学效果等内容进行进行绩效考核。学校应该进一步提高预算绩效评价质量使教师们满意。　</w:t>
      </w:r>
    </w:p>
    <w:p w14:paraId="60DB8AB4">
      <w:pPr>
        <w:spacing w:line="560" w:lineRule="exact"/>
        <w:ind w:firstLine="800" w:firstLineChars="250"/>
        <w:rPr>
          <w:rFonts w:ascii="仿宋_GB2312" w:hAnsi="仿宋_GB2312" w:eastAsia="仿宋_GB2312" w:cs="仿宋_GB2312"/>
          <w:sz w:val="32"/>
          <w:szCs w:val="32"/>
        </w:rPr>
      </w:pPr>
      <w:r>
        <w:rPr>
          <w:rFonts w:ascii="仿宋_GB2312" w:hAnsi="仿宋_GB2312" w:eastAsia="仿宋_GB2312" w:cs="仿宋_GB2312"/>
          <w:sz w:val="32"/>
          <w:szCs w:val="32"/>
        </w:rPr>
        <w:t>4</w:t>
      </w:r>
      <w:r>
        <w:rPr>
          <w:rFonts w:hint="eastAsia" w:ascii="仿宋_GB2312" w:hAnsi="仿宋_GB2312" w:eastAsia="仿宋_GB2312" w:cs="仿宋_GB2312"/>
          <w:sz w:val="32"/>
          <w:szCs w:val="32"/>
        </w:rPr>
        <w:t>.信息公开</w:t>
      </w:r>
    </w:p>
    <w:p w14:paraId="2BC12FBD">
      <w:pPr>
        <w:ind w:firstLine="640" w:firstLineChars="200"/>
        <w:rPr>
          <w:rFonts w:ascii="仿宋_GB2312" w:eastAsia="仿宋_GB2312"/>
          <w:color w:val="000000"/>
          <w:sz w:val="32"/>
          <w:szCs w:val="32"/>
        </w:rPr>
      </w:pPr>
      <w:r>
        <w:rPr>
          <w:rFonts w:hint="eastAsia" w:ascii="仿宋_GB2312" w:eastAsia="仿宋_GB2312"/>
          <w:color w:val="000000"/>
          <w:sz w:val="32"/>
          <w:szCs w:val="32"/>
        </w:rPr>
        <w:t>我单位按照政府信息公开应当遵循合法、真实、及时便民的原则，经财政部门对我校公开的信息进行真实性的审查，在信息公开办网站上进行了预决算公开。</w:t>
      </w:r>
    </w:p>
    <w:p w14:paraId="292F0995">
      <w:pPr>
        <w:spacing w:line="560" w:lineRule="exact"/>
        <w:ind w:firstLine="800" w:firstLineChars="250"/>
        <w:rPr>
          <w:rFonts w:ascii="仿宋_GB2312" w:hAnsi="仿宋_GB2312" w:eastAsia="仿宋_GB2312" w:cs="仿宋_GB2312"/>
          <w:sz w:val="32"/>
          <w:szCs w:val="32"/>
        </w:rPr>
      </w:pPr>
      <w:r>
        <w:rPr>
          <w:rFonts w:ascii="仿宋_GB2312" w:hAnsi="仿宋_GB2312" w:eastAsia="仿宋_GB2312" w:cs="仿宋_GB2312"/>
          <w:sz w:val="32"/>
          <w:szCs w:val="32"/>
        </w:rPr>
        <w:t>5</w:t>
      </w:r>
      <w:r>
        <w:rPr>
          <w:rFonts w:hint="eastAsia" w:ascii="仿宋_GB2312" w:hAnsi="仿宋_GB2312" w:eastAsia="仿宋_GB2312" w:cs="仿宋_GB2312"/>
          <w:sz w:val="32"/>
          <w:szCs w:val="32"/>
        </w:rPr>
        <w:t>.财政监督</w:t>
      </w:r>
    </w:p>
    <w:p w14:paraId="2F581D45">
      <w:pPr>
        <w:ind w:firstLine="640" w:firstLineChars="200"/>
        <w:rPr>
          <w:rFonts w:ascii="仿宋_GB2312" w:eastAsia="仿宋_GB2312"/>
          <w:color w:val="000000"/>
          <w:sz w:val="32"/>
          <w:szCs w:val="32"/>
        </w:rPr>
      </w:pPr>
      <w:r>
        <w:rPr>
          <w:rFonts w:hint="eastAsia" w:ascii="仿宋_GB2312" w:eastAsia="仿宋_GB2312"/>
          <w:color w:val="000000"/>
          <w:sz w:val="32"/>
          <w:szCs w:val="32"/>
        </w:rPr>
        <w:t>我校坚持将财政监督工作贯穿于学校的财务工作之中。确保财政监督工作的有效性实施，强化事前、事中、事后监督，提高财政监督信息化水平，逐步建立起预算编制、执行、监督紧密衔接，相互促进，实现对财政资金运行全过程的科学、规范、有效监督和管理。</w:t>
      </w:r>
    </w:p>
    <w:p w14:paraId="5CAE3B61">
      <w:pPr>
        <w:widowControl/>
        <w:adjustRightInd w:val="0"/>
        <w:snapToGrid w:val="0"/>
        <w:spacing w:line="480" w:lineRule="exact"/>
        <w:ind w:firstLine="320" w:firstLineChars="100"/>
        <w:jc w:val="left"/>
        <w:outlineLvl w:val="2"/>
        <w:rPr>
          <w:rFonts w:ascii="楷体" w:hAnsi="楷体" w:eastAsia="楷体" w:cs="宋体"/>
          <w:color w:val="000000"/>
          <w:kern w:val="0"/>
          <w:lang w:val="zh-CN"/>
        </w:rPr>
      </w:pPr>
      <w:bookmarkStart w:id="152" w:name="_Toc29510"/>
      <w:r>
        <w:rPr>
          <w:rFonts w:hint="eastAsia" w:ascii="楷体" w:hAnsi="楷体" w:eastAsia="楷体" w:cs="宋体"/>
          <w:color w:val="000000"/>
          <w:kern w:val="0"/>
          <w:sz w:val="32"/>
          <w:lang w:val="zh-CN"/>
        </w:rPr>
        <w:t>（四）整体绩效</w:t>
      </w:r>
      <w:bookmarkEnd w:id="152"/>
    </w:p>
    <w:p w14:paraId="66508B8C">
      <w:pPr>
        <w:ind w:firstLine="640" w:firstLineChars="200"/>
        <w:rPr>
          <w:rFonts w:ascii="仿宋_GB2312" w:eastAsia="仿宋_GB2312"/>
          <w:color w:val="000000"/>
          <w:sz w:val="32"/>
          <w:szCs w:val="32"/>
        </w:rPr>
      </w:pPr>
      <w:r>
        <w:rPr>
          <w:rFonts w:hint="eastAsia" w:ascii="仿宋_GB2312" w:eastAsia="仿宋_GB2312"/>
          <w:color w:val="000000"/>
          <w:sz w:val="32"/>
          <w:szCs w:val="32"/>
        </w:rPr>
        <w:t>学校提高预算绩效管理认识，强化以“绩效为中心、对支出结果负责、对社会公众负责”的理念，在绩效目标编制方面，针对绩效目标设置指向不清、预算和目标匹配不足，数量目标和质量目标量化不细，效益目标编制不完整等方面加以了改善。加强预算绩效动态监控管理，加强相关人员的业务培训，进一步扩大预算绩效评价范围。</w:t>
      </w:r>
    </w:p>
    <w:p w14:paraId="50A84EDD">
      <w:pPr>
        <w:ind w:firstLine="640" w:firstLineChars="200"/>
        <w:rPr>
          <w:rFonts w:ascii="仿宋_GB2312" w:eastAsia="仿宋_GB2312"/>
          <w:color w:val="000000"/>
          <w:sz w:val="32"/>
          <w:szCs w:val="32"/>
        </w:rPr>
      </w:pPr>
      <w:r>
        <w:rPr>
          <w:rFonts w:hint="eastAsia" w:ascii="仿宋_GB2312" w:eastAsia="仿宋_GB2312"/>
          <w:color w:val="000000"/>
          <w:sz w:val="32"/>
          <w:szCs w:val="32"/>
        </w:rPr>
        <w:t>对财务管理进行规范化，同财政部门及时沟通学习，积极进行财政部门组织的决算、编报、审核等方面工作按时完成，认真如实填报。不断强化预算意识，实行部门综合预算管理，保证预算编制质量。结合单位情况，进行科学合理分配细化，部门预算经批复后，科学合理安排支出，降低预算支出的波动幅度。对预算和决算公开工作、及主管部门对所属单位按规定批复决算的各项工作按规定批复决算的各项工作按规定认真执行。</w:t>
      </w:r>
    </w:p>
    <w:p w14:paraId="0838CF98">
      <w:pPr>
        <w:widowControl/>
        <w:adjustRightInd w:val="0"/>
        <w:snapToGrid w:val="0"/>
        <w:spacing w:line="480" w:lineRule="exact"/>
        <w:ind w:firstLine="720"/>
        <w:jc w:val="left"/>
        <w:outlineLvl w:val="1"/>
        <w:rPr>
          <w:rFonts w:ascii="黑体" w:hAnsi="宋体" w:eastAsia="黑体" w:cs="宋体"/>
          <w:color w:val="000000"/>
          <w:kern w:val="0"/>
        </w:rPr>
      </w:pPr>
      <w:bookmarkStart w:id="153" w:name="_Toc20561"/>
      <w:r>
        <w:rPr>
          <w:rFonts w:hint="eastAsia" w:ascii="黑体" w:hAnsi="宋体" w:eastAsia="黑体" w:cs="宋体"/>
          <w:color w:val="000000"/>
          <w:kern w:val="0"/>
          <w:sz w:val="32"/>
        </w:rPr>
        <w:t>四、评价结论及建议</w:t>
      </w:r>
      <w:bookmarkEnd w:id="153"/>
    </w:p>
    <w:p w14:paraId="30B57B7D">
      <w:pPr>
        <w:widowControl/>
        <w:adjustRightInd w:val="0"/>
        <w:snapToGrid w:val="0"/>
        <w:spacing w:line="480" w:lineRule="exact"/>
        <w:ind w:firstLine="720"/>
        <w:jc w:val="left"/>
        <w:outlineLvl w:val="2"/>
        <w:rPr>
          <w:rFonts w:ascii="楷体" w:hAnsi="楷体" w:eastAsia="楷体" w:cs="楷体"/>
          <w:color w:val="000000"/>
          <w:kern w:val="0"/>
          <w:sz w:val="32"/>
        </w:rPr>
      </w:pPr>
      <w:bookmarkStart w:id="154" w:name="_Toc29575"/>
      <w:r>
        <w:rPr>
          <w:rFonts w:hint="eastAsia" w:ascii="楷体" w:hAnsi="楷体" w:eastAsia="楷体" w:cs="楷体"/>
          <w:color w:val="000000"/>
          <w:kern w:val="0"/>
          <w:sz w:val="32"/>
          <w:lang w:val="zh-CN"/>
        </w:rPr>
        <w:t>(一）评价结论</w:t>
      </w:r>
      <w:bookmarkEnd w:id="154"/>
    </w:p>
    <w:p w14:paraId="1DFB2381">
      <w:pPr>
        <w:ind w:firstLine="640" w:firstLineChars="200"/>
        <w:rPr>
          <w:rFonts w:ascii="仿宋_GB2312" w:eastAsia="仿宋_GB2312"/>
          <w:color w:val="000000"/>
          <w:sz w:val="32"/>
          <w:szCs w:val="32"/>
          <w:lang w:val="zh-CN"/>
        </w:rPr>
      </w:pPr>
      <w:r>
        <w:rPr>
          <w:rFonts w:hint="eastAsia" w:ascii="仿宋_GB2312" w:eastAsia="仿宋_GB2312"/>
          <w:color w:val="000000"/>
          <w:sz w:val="32"/>
          <w:szCs w:val="32"/>
          <w:lang w:val="zh-CN"/>
        </w:rPr>
        <w:t>在上级部门的领导下，</w:t>
      </w:r>
      <w:r>
        <w:rPr>
          <w:rFonts w:hint="eastAsia" w:ascii="仿宋_GB2312" w:eastAsia="仿宋_GB2312"/>
          <w:color w:val="000000"/>
          <w:sz w:val="32"/>
          <w:szCs w:val="32"/>
        </w:rPr>
        <w:t>我单位扎实工作，全面完成了各项工作任务，按照年初预算进行部门整体支出，在支出过程中，能遵守各项规章制度基本按方案组织实施，并加强了监督，达到了节约、高效的支出目标。始终突出工作重点，积极发挥综合协调作用。筹落实各项任务，推动面上工作平衡发展。认真履行主体责任，切实加强干部队伍建设。我单位对财务管理进行规范化，同财政部门及时沟通学习，积极进行财政部门组织的决算、编报、审核等方面工作按时完成，认真如实填报。不断强化预算意识，实行部门综合预算管理，保证预算编制质量。结合单位情况，进行科学合理分配细化，部门预算经批复后，科学合理安排支出，降低预算支出的波动幅度。对预算和决算公开工作、及主管部门对所属单位按规定批复决算的各项工作按规定认真执行。</w:t>
      </w:r>
    </w:p>
    <w:p w14:paraId="16B7647B">
      <w:pPr>
        <w:widowControl/>
        <w:adjustRightInd w:val="0"/>
        <w:snapToGrid w:val="0"/>
        <w:spacing w:line="480" w:lineRule="exact"/>
        <w:ind w:firstLine="640" w:firstLineChars="200"/>
        <w:jc w:val="left"/>
        <w:outlineLvl w:val="2"/>
        <w:rPr>
          <w:rFonts w:ascii="楷体" w:hAnsi="楷体" w:eastAsia="楷体" w:cs="楷体"/>
          <w:color w:val="000000"/>
          <w:kern w:val="0"/>
          <w:sz w:val="32"/>
          <w:lang w:val="zh-CN"/>
        </w:rPr>
      </w:pPr>
      <w:bookmarkStart w:id="155" w:name="_Toc13712"/>
      <w:r>
        <w:rPr>
          <w:rFonts w:hint="eastAsia" w:ascii="楷体" w:hAnsi="楷体" w:eastAsia="楷体" w:cs="楷体"/>
          <w:color w:val="000000"/>
          <w:kern w:val="0"/>
          <w:sz w:val="32"/>
          <w:lang w:val="zh-CN"/>
        </w:rPr>
        <w:t>（二）存在问题</w:t>
      </w:r>
      <w:bookmarkEnd w:id="155"/>
    </w:p>
    <w:p w14:paraId="0E28F246">
      <w:pPr>
        <w:pStyle w:val="19"/>
        <w:shd w:val="clear" w:color="auto" w:fill="FFFFFF"/>
        <w:spacing w:before="0" w:beforeAutospacing="0" w:after="0" w:afterAutospacing="0" w:line="360" w:lineRule="auto"/>
        <w:ind w:firstLine="640" w:firstLineChars="200"/>
        <w:rPr>
          <w:rFonts w:ascii="??_GB2312"/>
          <w:color w:val="000000"/>
        </w:rPr>
      </w:pPr>
      <w:r>
        <w:rPr>
          <w:rFonts w:hint="eastAsia" w:ascii="仿宋_GB2312" w:hAnsi="Times New Roman" w:eastAsia="仿宋_GB2312" w:cs="Times New Roman"/>
          <w:color w:val="000000"/>
          <w:kern w:val="2"/>
          <w:sz w:val="32"/>
          <w:szCs w:val="32"/>
        </w:rPr>
        <w:t>绩效评价指标体系还不够完善、合理，绩效资金预算有待进一步规范，绩效评价管理制度尚不健全。绩效指标的设定不准确，绩效评价开展缺乏强有力的制度保障。绩效评价指标体系还不够完善、合理，绩效资金预算有待进一步规范。</w:t>
      </w:r>
    </w:p>
    <w:p w14:paraId="47DD00A3">
      <w:pPr>
        <w:widowControl/>
        <w:adjustRightInd w:val="0"/>
        <w:snapToGrid w:val="0"/>
        <w:spacing w:line="480" w:lineRule="exact"/>
        <w:ind w:firstLine="720"/>
        <w:jc w:val="left"/>
        <w:outlineLvl w:val="2"/>
        <w:rPr>
          <w:rFonts w:ascii="楷体" w:hAnsi="楷体" w:eastAsia="楷体" w:cs="楷体"/>
          <w:color w:val="000000"/>
          <w:kern w:val="0"/>
          <w:sz w:val="32"/>
          <w:lang w:val="zh-CN"/>
        </w:rPr>
      </w:pPr>
      <w:bookmarkStart w:id="156" w:name="_Toc7268"/>
      <w:r>
        <w:rPr>
          <w:rFonts w:hint="eastAsia" w:ascii="楷体" w:hAnsi="楷体" w:eastAsia="楷体" w:cs="楷体"/>
          <w:color w:val="000000"/>
          <w:kern w:val="0"/>
          <w:sz w:val="32"/>
          <w:lang w:val="zh-CN"/>
        </w:rPr>
        <w:t>（三）改进建议</w:t>
      </w:r>
      <w:bookmarkEnd w:id="156"/>
    </w:p>
    <w:p w14:paraId="4F1D10B9">
      <w:pPr>
        <w:ind w:firstLine="640" w:firstLineChars="200"/>
        <w:rPr>
          <w:rFonts w:ascii="仿宋_GB2312" w:eastAsia="仿宋_GB2312"/>
          <w:color w:val="000000"/>
          <w:sz w:val="32"/>
          <w:szCs w:val="32"/>
        </w:rPr>
      </w:pPr>
      <w:r>
        <w:rPr>
          <w:rFonts w:hint="eastAsia" w:ascii="仿宋_GB2312" w:eastAsia="仿宋_GB2312"/>
          <w:color w:val="000000"/>
          <w:sz w:val="32"/>
          <w:szCs w:val="32"/>
        </w:rPr>
        <w:t>加强资金管理，确保专款专用，切实提高资金使用绩效。主管部门应指导和督促各单位根据评价建议及时拟定整改方案，明确整改步骤。对绩效评价工作流程进行指导和监督，督促其改进预算和管理工作。学校应建立健全绩效评价制度，更好的确保资金的规范使用。</w:t>
      </w:r>
    </w:p>
    <w:p w14:paraId="34033B9B">
      <w:pPr>
        <w:widowControl/>
        <w:numPr>
          <w:ilvl w:val="0"/>
          <w:numId w:val="0"/>
        </w:numPr>
        <w:adjustRightInd w:val="0"/>
        <w:snapToGrid w:val="0"/>
        <w:spacing w:line="580" w:lineRule="exact"/>
        <w:ind w:firstLine="640" w:firstLineChars="200"/>
        <w:contextualSpacing/>
        <w:jc w:val="left"/>
        <w:rPr>
          <w:rFonts w:hint="eastAsia" w:ascii="仿宋" w:hAnsi="仿宋" w:eastAsia="仿宋"/>
          <w:color w:val="000000"/>
          <w:sz w:val="32"/>
          <w:szCs w:val="32"/>
        </w:rPr>
      </w:pP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CD8D9">
    <w:pPr>
      <w:pStyle w:val="11"/>
      <w:jc w:val="center"/>
    </w:pPr>
    <w:r>
      <w:fldChar w:fldCharType="begin"/>
    </w:r>
    <w:r>
      <w:instrText xml:space="preserve">PAGE   \* MERGEFORMAT</w:instrText>
    </w:r>
    <w:r>
      <w:fldChar w:fldCharType="separate"/>
    </w:r>
    <w:r>
      <w:t>16</w:t>
    </w:r>
    <w:r>
      <w:fldChar w:fldCharType="end"/>
    </w:r>
  </w:p>
  <w:p w14:paraId="1DBC2C10">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40381">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D9A836"/>
    <w:multiLevelType w:val="singleLevel"/>
    <w:tmpl w:val="BBD9A836"/>
    <w:lvl w:ilvl="0" w:tentative="0">
      <w:start w:val="2"/>
      <w:numFmt w:val="chineseCounting"/>
      <w:suff w:val="nothing"/>
      <w:lvlText w:val="%1、"/>
      <w:lvlJc w:val="left"/>
      <w:rPr>
        <w:rFonts w:hint="eastAsia"/>
      </w:rPr>
    </w:lvl>
  </w:abstractNum>
  <w:abstractNum w:abstractNumId="1">
    <w:nsid w:val="CF652CEC"/>
    <w:multiLevelType w:val="singleLevel"/>
    <w:tmpl w:val="CF652CEC"/>
    <w:lvl w:ilvl="0" w:tentative="0">
      <w:start w:val="9"/>
      <w:numFmt w:val="chineseCounting"/>
      <w:suff w:val="nothing"/>
      <w:lvlText w:val="%1、"/>
      <w:lvlJc w:val="left"/>
      <w:rPr>
        <w:rFonts w:hint="eastAsia" w:cs="Times New Roman"/>
      </w:rPr>
    </w:lvl>
  </w:abstractNum>
  <w:abstractNum w:abstractNumId="2">
    <w:nsid w:val="E2FA047D"/>
    <w:multiLevelType w:val="singleLevel"/>
    <w:tmpl w:val="E2FA047D"/>
    <w:lvl w:ilvl="0" w:tentative="0">
      <w:start w:val="3"/>
      <w:numFmt w:val="chineseCounting"/>
      <w:suff w:val="space"/>
      <w:lvlText w:val="第%1部分"/>
      <w:lvlJc w:val="left"/>
      <w:rPr>
        <w:rFonts w:hint="eastAsia" w:cs="Times New Roman"/>
      </w:rPr>
    </w:lvl>
  </w:abstractNum>
  <w:abstractNum w:abstractNumId="3">
    <w:nsid w:val="1272550B"/>
    <w:multiLevelType w:val="multilevel"/>
    <w:tmpl w:val="1272550B"/>
    <w:lvl w:ilvl="0" w:tentative="0">
      <w:start w:val="1"/>
      <w:numFmt w:val="japaneseCounting"/>
      <w:lvlText w:val="%1、"/>
      <w:lvlJc w:val="left"/>
      <w:pPr>
        <w:ind w:left="1360" w:hanging="720"/>
      </w:pPr>
      <w:rPr>
        <w:rFonts w:hint="default" w:cs="Times New Roman"/>
        <w:b w:val="0"/>
      </w:rPr>
    </w:lvl>
    <w:lvl w:ilvl="1" w:tentative="0">
      <w:start w:val="1"/>
      <w:numFmt w:val="lowerLetter"/>
      <w:lvlText w:val="%2)"/>
      <w:lvlJc w:val="left"/>
      <w:pPr>
        <w:ind w:left="1480" w:hanging="420"/>
      </w:pPr>
      <w:rPr>
        <w:rFonts w:cs="Times New Roman"/>
      </w:rPr>
    </w:lvl>
    <w:lvl w:ilvl="2" w:tentative="0">
      <w:start w:val="1"/>
      <w:numFmt w:val="lowerRoman"/>
      <w:lvlText w:val="%3."/>
      <w:lvlJc w:val="right"/>
      <w:pPr>
        <w:ind w:left="1900" w:hanging="420"/>
      </w:pPr>
      <w:rPr>
        <w:rFonts w:cs="Times New Roman"/>
      </w:rPr>
    </w:lvl>
    <w:lvl w:ilvl="3" w:tentative="0">
      <w:start w:val="1"/>
      <w:numFmt w:val="decimal"/>
      <w:lvlText w:val="%4."/>
      <w:lvlJc w:val="left"/>
      <w:pPr>
        <w:ind w:left="2320" w:hanging="420"/>
      </w:pPr>
      <w:rPr>
        <w:rFonts w:cs="Times New Roman"/>
      </w:rPr>
    </w:lvl>
    <w:lvl w:ilvl="4" w:tentative="0">
      <w:start w:val="1"/>
      <w:numFmt w:val="lowerLetter"/>
      <w:lvlText w:val="%5)"/>
      <w:lvlJc w:val="left"/>
      <w:pPr>
        <w:ind w:left="2740" w:hanging="420"/>
      </w:pPr>
      <w:rPr>
        <w:rFonts w:cs="Times New Roman"/>
      </w:rPr>
    </w:lvl>
    <w:lvl w:ilvl="5" w:tentative="0">
      <w:start w:val="1"/>
      <w:numFmt w:val="lowerRoman"/>
      <w:lvlText w:val="%6."/>
      <w:lvlJc w:val="right"/>
      <w:pPr>
        <w:ind w:left="3160" w:hanging="420"/>
      </w:pPr>
      <w:rPr>
        <w:rFonts w:cs="Times New Roman"/>
      </w:rPr>
    </w:lvl>
    <w:lvl w:ilvl="6" w:tentative="0">
      <w:start w:val="1"/>
      <w:numFmt w:val="decimal"/>
      <w:lvlText w:val="%7."/>
      <w:lvlJc w:val="left"/>
      <w:pPr>
        <w:ind w:left="3580" w:hanging="420"/>
      </w:pPr>
      <w:rPr>
        <w:rFonts w:cs="Times New Roman"/>
      </w:rPr>
    </w:lvl>
    <w:lvl w:ilvl="7" w:tentative="0">
      <w:start w:val="1"/>
      <w:numFmt w:val="lowerLetter"/>
      <w:lvlText w:val="%8)"/>
      <w:lvlJc w:val="left"/>
      <w:pPr>
        <w:ind w:left="4000" w:hanging="420"/>
      </w:pPr>
      <w:rPr>
        <w:rFonts w:cs="Times New Roman"/>
      </w:rPr>
    </w:lvl>
    <w:lvl w:ilvl="8" w:tentative="0">
      <w:start w:val="1"/>
      <w:numFmt w:val="lowerRoman"/>
      <w:lvlText w:val="%9."/>
      <w:lvlJc w:val="right"/>
      <w:pPr>
        <w:ind w:left="4420" w:hanging="42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NlYzQ3YWQyZGU3MzQ4NTQ3NTNmMzQyYjIzNzE3ZjIifQ=="/>
  </w:docVars>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15301"/>
    <w:rsid w:val="001319E1"/>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56262"/>
    <w:rsid w:val="00260C38"/>
    <w:rsid w:val="002616C0"/>
    <w:rsid w:val="00265372"/>
    <w:rsid w:val="002662AA"/>
    <w:rsid w:val="0027224D"/>
    <w:rsid w:val="00280496"/>
    <w:rsid w:val="00294DC9"/>
    <w:rsid w:val="00295495"/>
    <w:rsid w:val="002A31DE"/>
    <w:rsid w:val="002B2613"/>
    <w:rsid w:val="002B2FF7"/>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3E6FE4"/>
    <w:rsid w:val="00406254"/>
    <w:rsid w:val="004223DE"/>
    <w:rsid w:val="00434489"/>
    <w:rsid w:val="00437085"/>
    <w:rsid w:val="00443880"/>
    <w:rsid w:val="00445607"/>
    <w:rsid w:val="004464F4"/>
    <w:rsid w:val="00471401"/>
    <w:rsid w:val="00473F31"/>
    <w:rsid w:val="0048263A"/>
    <w:rsid w:val="00487E5D"/>
    <w:rsid w:val="004A711F"/>
    <w:rsid w:val="004B199D"/>
    <w:rsid w:val="004B4690"/>
    <w:rsid w:val="004D5479"/>
    <w:rsid w:val="004E0A2D"/>
    <w:rsid w:val="004E206B"/>
    <w:rsid w:val="004E6DF7"/>
    <w:rsid w:val="004F0FBD"/>
    <w:rsid w:val="00505A47"/>
    <w:rsid w:val="005121CB"/>
    <w:rsid w:val="00512FDA"/>
    <w:rsid w:val="00520DA0"/>
    <w:rsid w:val="005269A7"/>
    <w:rsid w:val="005269D7"/>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45F81"/>
    <w:rsid w:val="0066343B"/>
    <w:rsid w:val="00664777"/>
    <w:rsid w:val="006748A4"/>
    <w:rsid w:val="00681A31"/>
    <w:rsid w:val="00683E73"/>
    <w:rsid w:val="006A3141"/>
    <w:rsid w:val="006A5E34"/>
    <w:rsid w:val="006B2422"/>
    <w:rsid w:val="006B2B9A"/>
    <w:rsid w:val="006C1937"/>
    <w:rsid w:val="006F020C"/>
    <w:rsid w:val="007124CE"/>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0E41"/>
    <w:rsid w:val="008253BB"/>
    <w:rsid w:val="0083706E"/>
    <w:rsid w:val="008408F6"/>
    <w:rsid w:val="008423A5"/>
    <w:rsid w:val="00850625"/>
    <w:rsid w:val="00853718"/>
    <w:rsid w:val="00855221"/>
    <w:rsid w:val="00860645"/>
    <w:rsid w:val="00871F71"/>
    <w:rsid w:val="00872FD8"/>
    <w:rsid w:val="00885AF4"/>
    <w:rsid w:val="00892977"/>
    <w:rsid w:val="008939CD"/>
    <w:rsid w:val="008A28FC"/>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D8"/>
    <w:rsid w:val="00935C98"/>
    <w:rsid w:val="00946945"/>
    <w:rsid w:val="00951248"/>
    <w:rsid w:val="0095152F"/>
    <w:rsid w:val="00954C49"/>
    <w:rsid w:val="00955E37"/>
    <w:rsid w:val="00962656"/>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11E4"/>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0E4E"/>
    <w:rsid w:val="00B944D6"/>
    <w:rsid w:val="00B965DC"/>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26A06"/>
    <w:rsid w:val="00D34E7C"/>
    <w:rsid w:val="00D35489"/>
    <w:rsid w:val="00D36AFE"/>
    <w:rsid w:val="00D51276"/>
    <w:rsid w:val="00D7035F"/>
    <w:rsid w:val="00DA634F"/>
    <w:rsid w:val="00DA65AC"/>
    <w:rsid w:val="00DA7382"/>
    <w:rsid w:val="00DB1913"/>
    <w:rsid w:val="00DC410D"/>
    <w:rsid w:val="00DC5A81"/>
    <w:rsid w:val="00DC68CA"/>
    <w:rsid w:val="00DC74B0"/>
    <w:rsid w:val="00DC7CBA"/>
    <w:rsid w:val="00DD73B7"/>
    <w:rsid w:val="00DF28BC"/>
    <w:rsid w:val="00DF34B9"/>
    <w:rsid w:val="00E01053"/>
    <w:rsid w:val="00E07ACF"/>
    <w:rsid w:val="00E32CAD"/>
    <w:rsid w:val="00E331A1"/>
    <w:rsid w:val="00E33202"/>
    <w:rsid w:val="00E336A9"/>
    <w:rsid w:val="00E472B1"/>
    <w:rsid w:val="00E50624"/>
    <w:rsid w:val="00E568DF"/>
    <w:rsid w:val="00E64269"/>
    <w:rsid w:val="00E70582"/>
    <w:rsid w:val="00E70975"/>
    <w:rsid w:val="00E82267"/>
    <w:rsid w:val="00E853CE"/>
    <w:rsid w:val="00E867B6"/>
    <w:rsid w:val="00EA010F"/>
    <w:rsid w:val="00EC62D9"/>
    <w:rsid w:val="00ED1B63"/>
    <w:rsid w:val="00ED3C1F"/>
    <w:rsid w:val="00ED4085"/>
    <w:rsid w:val="00ED420E"/>
    <w:rsid w:val="00ED6FBE"/>
    <w:rsid w:val="00EE2F57"/>
    <w:rsid w:val="00EF4C34"/>
    <w:rsid w:val="00EF60EF"/>
    <w:rsid w:val="00EF77C6"/>
    <w:rsid w:val="00F05438"/>
    <w:rsid w:val="00F1361C"/>
    <w:rsid w:val="00F156F0"/>
    <w:rsid w:val="00F160C7"/>
    <w:rsid w:val="00F2408F"/>
    <w:rsid w:val="00F240E9"/>
    <w:rsid w:val="00F36D8F"/>
    <w:rsid w:val="00F417B1"/>
    <w:rsid w:val="00F45853"/>
    <w:rsid w:val="00F602DF"/>
    <w:rsid w:val="00F67211"/>
    <w:rsid w:val="00F754A1"/>
    <w:rsid w:val="00F81FD9"/>
    <w:rsid w:val="00F841AA"/>
    <w:rsid w:val="00F84A94"/>
    <w:rsid w:val="00F87E96"/>
    <w:rsid w:val="00FA23E8"/>
    <w:rsid w:val="00FD3CC1"/>
    <w:rsid w:val="00FF1E02"/>
    <w:rsid w:val="00FF30B4"/>
    <w:rsid w:val="01B110AA"/>
    <w:rsid w:val="021561FD"/>
    <w:rsid w:val="046F6954"/>
    <w:rsid w:val="04773540"/>
    <w:rsid w:val="047B2E33"/>
    <w:rsid w:val="04EC674A"/>
    <w:rsid w:val="04EE6E5A"/>
    <w:rsid w:val="054E00CC"/>
    <w:rsid w:val="07A768F8"/>
    <w:rsid w:val="0A2032A3"/>
    <w:rsid w:val="0A580440"/>
    <w:rsid w:val="0A9D2FAD"/>
    <w:rsid w:val="0BF1524F"/>
    <w:rsid w:val="0C58601B"/>
    <w:rsid w:val="0C681711"/>
    <w:rsid w:val="0C857BE9"/>
    <w:rsid w:val="0CAF7214"/>
    <w:rsid w:val="0CD128B5"/>
    <w:rsid w:val="0D64630F"/>
    <w:rsid w:val="0E496A93"/>
    <w:rsid w:val="0EA74D4C"/>
    <w:rsid w:val="10C055FF"/>
    <w:rsid w:val="10F90377"/>
    <w:rsid w:val="118107EC"/>
    <w:rsid w:val="11EF797C"/>
    <w:rsid w:val="12345296"/>
    <w:rsid w:val="12BE53D5"/>
    <w:rsid w:val="12E11EAA"/>
    <w:rsid w:val="13052EC9"/>
    <w:rsid w:val="14562885"/>
    <w:rsid w:val="160B17E7"/>
    <w:rsid w:val="16BB723D"/>
    <w:rsid w:val="16D8421D"/>
    <w:rsid w:val="18082818"/>
    <w:rsid w:val="18184F72"/>
    <w:rsid w:val="188D5986"/>
    <w:rsid w:val="19235D9E"/>
    <w:rsid w:val="1B98219D"/>
    <w:rsid w:val="1BB05F0B"/>
    <w:rsid w:val="1CDA135F"/>
    <w:rsid w:val="1D155CEE"/>
    <w:rsid w:val="1DFE4C51"/>
    <w:rsid w:val="20323B69"/>
    <w:rsid w:val="214967B1"/>
    <w:rsid w:val="218203E2"/>
    <w:rsid w:val="221B4CBB"/>
    <w:rsid w:val="237623F7"/>
    <w:rsid w:val="23767C2F"/>
    <w:rsid w:val="240371BF"/>
    <w:rsid w:val="24480FA2"/>
    <w:rsid w:val="24777D26"/>
    <w:rsid w:val="27235015"/>
    <w:rsid w:val="2840722A"/>
    <w:rsid w:val="28E21D56"/>
    <w:rsid w:val="29916B60"/>
    <w:rsid w:val="29FD04D3"/>
    <w:rsid w:val="2A7B2D7E"/>
    <w:rsid w:val="2B207D52"/>
    <w:rsid w:val="2B6F0527"/>
    <w:rsid w:val="2CF532BF"/>
    <w:rsid w:val="2D4A18E7"/>
    <w:rsid w:val="2EE05685"/>
    <w:rsid w:val="2F7E520B"/>
    <w:rsid w:val="2FBB5BD8"/>
    <w:rsid w:val="30EF050E"/>
    <w:rsid w:val="319F7F4E"/>
    <w:rsid w:val="31FD2680"/>
    <w:rsid w:val="33B411FF"/>
    <w:rsid w:val="35734CED"/>
    <w:rsid w:val="362D075D"/>
    <w:rsid w:val="36BB5948"/>
    <w:rsid w:val="37403D5B"/>
    <w:rsid w:val="378A606C"/>
    <w:rsid w:val="38A926DB"/>
    <w:rsid w:val="38F51A62"/>
    <w:rsid w:val="39677A7D"/>
    <w:rsid w:val="3A7C5814"/>
    <w:rsid w:val="3AAD5E9F"/>
    <w:rsid w:val="3AF048D8"/>
    <w:rsid w:val="3B2A73AD"/>
    <w:rsid w:val="3B64068A"/>
    <w:rsid w:val="3BFD1BE7"/>
    <w:rsid w:val="3C507839"/>
    <w:rsid w:val="3CD236A7"/>
    <w:rsid w:val="3D1002A1"/>
    <w:rsid w:val="3D4D5822"/>
    <w:rsid w:val="3DBF3C2B"/>
    <w:rsid w:val="3F5D7BA0"/>
    <w:rsid w:val="3F7751FA"/>
    <w:rsid w:val="40534AFF"/>
    <w:rsid w:val="40955845"/>
    <w:rsid w:val="429F792A"/>
    <w:rsid w:val="42E25341"/>
    <w:rsid w:val="43145374"/>
    <w:rsid w:val="438701E4"/>
    <w:rsid w:val="43B94512"/>
    <w:rsid w:val="43C31F9B"/>
    <w:rsid w:val="44161850"/>
    <w:rsid w:val="44BF2529"/>
    <w:rsid w:val="45592BB7"/>
    <w:rsid w:val="46451783"/>
    <w:rsid w:val="46FA422F"/>
    <w:rsid w:val="476C5077"/>
    <w:rsid w:val="47AC5F7F"/>
    <w:rsid w:val="4959010D"/>
    <w:rsid w:val="499E1D46"/>
    <w:rsid w:val="49CF169A"/>
    <w:rsid w:val="49D575AB"/>
    <w:rsid w:val="4A5263CA"/>
    <w:rsid w:val="4AAB6635"/>
    <w:rsid w:val="4AFC4B53"/>
    <w:rsid w:val="4C143CBE"/>
    <w:rsid w:val="4D3F476D"/>
    <w:rsid w:val="4E562758"/>
    <w:rsid w:val="4ECE2238"/>
    <w:rsid w:val="509D11F4"/>
    <w:rsid w:val="50AC4B83"/>
    <w:rsid w:val="5130616F"/>
    <w:rsid w:val="51B45354"/>
    <w:rsid w:val="525E3EB1"/>
    <w:rsid w:val="52B73855"/>
    <w:rsid w:val="530D6ED1"/>
    <w:rsid w:val="54AD25D8"/>
    <w:rsid w:val="54BD445D"/>
    <w:rsid w:val="57B73E0D"/>
    <w:rsid w:val="57F75931"/>
    <w:rsid w:val="5AAD4AE4"/>
    <w:rsid w:val="5B180C09"/>
    <w:rsid w:val="5C3801B4"/>
    <w:rsid w:val="5C5A1297"/>
    <w:rsid w:val="5D99194B"/>
    <w:rsid w:val="5EA84E94"/>
    <w:rsid w:val="601F5FC5"/>
    <w:rsid w:val="60BE45D8"/>
    <w:rsid w:val="61A0490B"/>
    <w:rsid w:val="61C144C7"/>
    <w:rsid w:val="61FC0A46"/>
    <w:rsid w:val="62DA681F"/>
    <w:rsid w:val="62EE5670"/>
    <w:rsid w:val="636476C4"/>
    <w:rsid w:val="63DD52E8"/>
    <w:rsid w:val="6500184A"/>
    <w:rsid w:val="65207E54"/>
    <w:rsid w:val="65516FAF"/>
    <w:rsid w:val="6576148A"/>
    <w:rsid w:val="6634210D"/>
    <w:rsid w:val="679576C9"/>
    <w:rsid w:val="67C46BC1"/>
    <w:rsid w:val="684842C4"/>
    <w:rsid w:val="68BE495C"/>
    <w:rsid w:val="69DA7BC1"/>
    <w:rsid w:val="6A106A72"/>
    <w:rsid w:val="6A943D76"/>
    <w:rsid w:val="6B660175"/>
    <w:rsid w:val="6BDF22E2"/>
    <w:rsid w:val="6C4A05C8"/>
    <w:rsid w:val="6D833458"/>
    <w:rsid w:val="6DE807B2"/>
    <w:rsid w:val="6F994C00"/>
    <w:rsid w:val="701720BE"/>
    <w:rsid w:val="7105266B"/>
    <w:rsid w:val="713F1D8E"/>
    <w:rsid w:val="719170B1"/>
    <w:rsid w:val="724763ED"/>
    <w:rsid w:val="72734D90"/>
    <w:rsid w:val="728C1336"/>
    <w:rsid w:val="74B74B14"/>
    <w:rsid w:val="766C1CFB"/>
    <w:rsid w:val="76727621"/>
    <w:rsid w:val="788D6B3B"/>
    <w:rsid w:val="78BA6329"/>
    <w:rsid w:val="78E421BD"/>
    <w:rsid w:val="7AB10B57"/>
    <w:rsid w:val="7B2B6F0D"/>
    <w:rsid w:val="7B7D515A"/>
    <w:rsid w:val="7D8A0E59"/>
    <w:rsid w:val="7D9A527C"/>
    <w:rsid w:val="7DD64A5E"/>
    <w:rsid w:val="7E0B4343"/>
    <w:rsid w:val="7E17055B"/>
    <w:rsid w:val="7F743A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5"/>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26"/>
    <w:qFormat/>
    <w:uiPriority w:val="9"/>
    <w:pPr>
      <w:keepNext/>
      <w:keepLines/>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1260"/>
      <w:jc w:val="left"/>
    </w:pPr>
    <w:rPr>
      <w:rFonts w:asciiTheme="minorHAnsi" w:eastAsiaTheme="minorHAnsi"/>
      <w:sz w:val="18"/>
      <w:szCs w:val="18"/>
    </w:rPr>
  </w:style>
  <w:style w:type="paragraph" w:styleId="6">
    <w:name w:val="Body Text"/>
    <w:basedOn w:val="1"/>
    <w:link w:val="33"/>
    <w:qFormat/>
    <w:uiPriority w:val="99"/>
    <w:pPr>
      <w:spacing w:beforeLines="30"/>
    </w:pPr>
    <w:rPr>
      <w:rFonts w:ascii="仿宋_GB2312" w:eastAsia="仿宋_GB2312"/>
      <w:kern w:val="0"/>
      <w:sz w:val="24"/>
      <w:szCs w:val="20"/>
      <w:lang w:val="zh-CN"/>
    </w:rPr>
  </w:style>
  <w:style w:type="paragraph" w:styleId="7">
    <w:name w:val="toc 5"/>
    <w:basedOn w:val="1"/>
    <w:next w:val="1"/>
    <w:unhideWhenUsed/>
    <w:qFormat/>
    <w:uiPriority w:val="39"/>
    <w:pPr>
      <w:ind w:left="840"/>
      <w:jc w:val="left"/>
    </w:pPr>
    <w:rPr>
      <w:rFonts w:asciiTheme="minorHAnsi" w:eastAsiaTheme="minorHAnsi"/>
      <w:sz w:val="18"/>
      <w:szCs w:val="18"/>
    </w:rPr>
  </w:style>
  <w:style w:type="paragraph" w:styleId="8">
    <w:name w:val="toc 3"/>
    <w:basedOn w:val="1"/>
    <w:next w:val="1"/>
    <w:unhideWhenUsed/>
    <w:qFormat/>
    <w:uiPriority w:val="39"/>
    <w:pPr>
      <w:ind w:left="420"/>
      <w:jc w:val="left"/>
    </w:pPr>
    <w:rPr>
      <w:rFonts w:asciiTheme="minorHAnsi" w:eastAsiaTheme="minorHAnsi"/>
      <w:i/>
      <w:iCs/>
      <w:sz w:val="20"/>
      <w:szCs w:val="20"/>
    </w:rPr>
  </w:style>
  <w:style w:type="paragraph" w:styleId="9">
    <w:name w:val="toc 8"/>
    <w:basedOn w:val="1"/>
    <w:next w:val="1"/>
    <w:unhideWhenUsed/>
    <w:qFormat/>
    <w:uiPriority w:val="39"/>
    <w:pPr>
      <w:ind w:left="1470"/>
      <w:jc w:val="left"/>
    </w:pPr>
    <w:rPr>
      <w:rFonts w:asciiTheme="minorHAnsi" w:eastAsiaTheme="minorHAnsi"/>
      <w:sz w:val="18"/>
      <w:szCs w:val="18"/>
    </w:rPr>
  </w:style>
  <w:style w:type="paragraph" w:styleId="10">
    <w:name w:val="Balloon Text"/>
    <w:basedOn w:val="1"/>
    <w:link w:val="28"/>
    <w:semiHidden/>
    <w:unhideWhenUsed/>
    <w:qFormat/>
    <w:uiPriority w:val="99"/>
    <w:rPr>
      <w:sz w:val="18"/>
      <w:szCs w:val="18"/>
    </w:rPr>
  </w:style>
  <w:style w:type="paragraph" w:styleId="11">
    <w:name w:val="footer"/>
    <w:basedOn w:val="1"/>
    <w:link w:val="32"/>
    <w:qFormat/>
    <w:uiPriority w:val="99"/>
    <w:pPr>
      <w:tabs>
        <w:tab w:val="center" w:pos="4153"/>
        <w:tab w:val="right" w:pos="8306"/>
      </w:tabs>
      <w:snapToGrid w:val="0"/>
      <w:jc w:val="left"/>
    </w:pPr>
    <w:rPr>
      <w:rFonts w:ascii="Calibri" w:hAnsi="Calibri"/>
      <w:kern w:val="0"/>
      <w:sz w:val="18"/>
      <w:szCs w:val="20"/>
      <w:lang w:val="zh-CN"/>
    </w:rPr>
  </w:style>
  <w:style w:type="paragraph" w:styleId="12">
    <w:name w:val="header"/>
    <w:basedOn w:val="1"/>
    <w:link w:val="31"/>
    <w:semiHidden/>
    <w:qFormat/>
    <w:uiPriority w:val="99"/>
    <w:pPr>
      <w:pBdr>
        <w:bottom w:val="single" w:color="auto" w:sz="6" w:space="1"/>
      </w:pBdr>
      <w:tabs>
        <w:tab w:val="center" w:pos="4153"/>
        <w:tab w:val="right" w:pos="8306"/>
      </w:tabs>
      <w:snapToGrid w:val="0"/>
      <w:jc w:val="center"/>
    </w:pPr>
    <w:rPr>
      <w:rFonts w:ascii="Calibri" w:hAnsi="Calibri"/>
      <w:kern w:val="0"/>
      <w:sz w:val="18"/>
      <w:szCs w:val="20"/>
      <w:lang w:val="zh-CN"/>
    </w:rPr>
  </w:style>
  <w:style w:type="paragraph" w:styleId="13">
    <w:name w:val="toc 1"/>
    <w:basedOn w:val="1"/>
    <w:next w:val="1"/>
    <w:unhideWhenUsed/>
    <w:qFormat/>
    <w:uiPriority w:val="39"/>
    <w:pPr>
      <w:spacing w:before="120" w:after="120"/>
      <w:jc w:val="left"/>
    </w:pPr>
    <w:rPr>
      <w:rFonts w:asciiTheme="minorHAnsi" w:eastAsiaTheme="minorHAnsi"/>
      <w:b/>
      <w:bCs/>
      <w:caps/>
      <w:sz w:val="20"/>
      <w:szCs w:val="20"/>
    </w:rPr>
  </w:style>
  <w:style w:type="paragraph" w:styleId="14">
    <w:name w:val="toc 4"/>
    <w:basedOn w:val="1"/>
    <w:next w:val="1"/>
    <w:unhideWhenUsed/>
    <w:qFormat/>
    <w:uiPriority w:val="39"/>
    <w:pPr>
      <w:ind w:left="630"/>
      <w:jc w:val="left"/>
    </w:pPr>
    <w:rPr>
      <w:rFonts w:asciiTheme="minorHAnsi" w:eastAsiaTheme="minorHAnsi"/>
      <w:sz w:val="18"/>
      <w:szCs w:val="18"/>
    </w:rPr>
  </w:style>
  <w:style w:type="paragraph" w:styleId="15">
    <w:name w:val="toc 6"/>
    <w:basedOn w:val="1"/>
    <w:next w:val="1"/>
    <w:unhideWhenUsed/>
    <w:qFormat/>
    <w:uiPriority w:val="39"/>
    <w:pPr>
      <w:ind w:left="1050"/>
      <w:jc w:val="left"/>
    </w:pPr>
    <w:rPr>
      <w:rFonts w:asciiTheme="minorHAnsi" w:eastAsiaTheme="minorHAnsi"/>
      <w:sz w:val="18"/>
      <w:szCs w:val="18"/>
    </w:rPr>
  </w:style>
  <w:style w:type="paragraph" w:styleId="16">
    <w:name w:val="toc 2"/>
    <w:basedOn w:val="1"/>
    <w:next w:val="1"/>
    <w:unhideWhenUsed/>
    <w:qFormat/>
    <w:uiPriority w:val="39"/>
    <w:pPr>
      <w:ind w:left="210"/>
      <w:jc w:val="left"/>
    </w:pPr>
    <w:rPr>
      <w:rFonts w:asciiTheme="minorHAnsi" w:eastAsiaTheme="minorHAnsi"/>
      <w:smallCaps/>
      <w:sz w:val="20"/>
      <w:szCs w:val="20"/>
    </w:rPr>
  </w:style>
  <w:style w:type="paragraph" w:styleId="17">
    <w:name w:val="toc 9"/>
    <w:basedOn w:val="1"/>
    <w:next w:val="1"/>
    <w:unhideWhenUsed/>
    <w:qFormat/>
    <w:uiPriority w:val="39"/>
    <w:pPr>
      <w:ind w:left="1680"/>
      <w:jc w:val="left"/>
    </w:pPr>
    <w:rPr>
      <w:rFonts w:asciiTheme="minorHAnsi" w:eastAsiaTheme="minorHAnsi"/>
      <w:sz w:val="18"/>
      <w:szCs w:val="18"/>
    </w:rPr>
  </w:style>
  <w:style w:type="paragraph" w:styleId="18">
    <w:name w:val="HTML Preformatted"/>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9">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22">
    <w:name w:val="Strong"/>
    <w:basedOn w:val="21"/>
    <w:qFormat/>
    <w:uiPriority w:val="99"/>
    <w:rPr>
      <w:rFonts w:cs="Times New Roman"/>
      <w:b/>
    </w:rPr>
  </w:style>
  <w:style w:type="character" w:styleId="23">
    <w:name w:val="Hyperlink"/>
    <w:basedOn w:val="21"/>
    <w:unhideWhenUsed/>
    <w:qFormat/>
    <w:uiPriority w:val="99"/>
    <w:rPr>
      <w:rFonts w:cs="Times New Roman"/>
      <w:color w:val="0000FF"/>
      <w:u w:val="single"/>
    </w:rPr>
  </w:style>
  <w:style w:type="character" w:customStyle="1" w:styleId="24">
    <w:name w:val="标题 1 Char"/>
    <w:basedOn w:val="21"/>
    <w:link w:val="2"/>
    <w:qFormat/>
    <w:locked/>
    <w:uiPriority w:val="9"/>
    <w:rPr>
      <w:rFonts w:ascii="Times New Roman" w:hAnsi="Times New Roman" w:cs="Times New Roman"/>
      <w:b/>
      <w:bCs/>
      <w:kern w:val="44"/>
      <w:sz w:val="44"/>
      <w:szCs w:val="44"/>
    </w:rPr>
  </w:style>
  <w:style w:type="character" w:customStyle="1" w:styleId="25">
    <w:name w:val="标题 2 Char"/>
    <w:basedOn w:val="21"/>
    <w:link w:val="3"/>
    <w:qFormat/>
    <w:locked/>
    <w:uiPriority w:val="9"/>
    <w:rPr>
      <w:rFonts w:ascii="Cambria" w:hAnsi="Cambria" w:eastAsia="宋体" w:cs="Times New Roman"/>
      <w:b/>
      <w:bCs/>
      <w:kern w:val="2"/>
      <w:sz w:val="32"/>
      <w:szCs w:val="32"/>
    </w:rPr>
  </w:style>
  <w:style w:type="character" w:customStyle="1" w:styleId="26">
    <w:name w:val="标题 3 Char"/>
    <w:basedOn w:val="21"/>
    <w:link w:val="4"/>
    <w:qFormat/>
    <w:locked/>
    <w:uiPriority w:val="9"/>
    <w:rPr>
      <w:rFonts w:ascii="Times New Roman" w:hAnsi="Times New Roman" w:cs="Times New Roman"/>
      <w:b/>
      <w:bCs/>
      <w:kern w:val="2"/>
      <w:sz w:val="32"/>
      <w:szCs w:val="32"/>
    </w:rPr>
  </w:style>
  <w:style w:type="character" w:customStyle="1" w:styleId="27">
    <w:name w:val="Body Text Char"/>
    <w:basedOn w:val="21"/>
    <w:semiHidden/>
    <w:qFormat/>
    <w:uiPriority w:val="99"/>
    <w:rPr>
      <w:rFonts w:ascii="Times New Roman" w:hAnsi="Times New Roman" w:cs="Times New Roman"/>
      <w:sz w:val="24"/>
      <w:szCs w:val="24"/>
    </w:rPr>
  </w:style>
  <w:style w:type="character" w:customStyle="1" w:styleId="28">
    <w:name w:val="批注框文本 Char"/>
    <w:basedOn w:val="21"/>
    <w:link w:val="10"/>
    <w:semiHidden/>
    <w:qFormat/>
    <w:locked/>
    <w:uiPriority w:val="99"/>
    <w:rPr>
      <w:rFonts w:ascii="Times New Roman" w:hAnsi="Times New Roman" w:cs="Times New Roman"/>
      <w:kern w:val="2"/>
      <w:sz w:val="18"/>
      <w:szCs w:val="18"/>
    </w:rPr>
  </w:style>
  <w:style w:type="character" w:customStyle="1" w:styleId="29">
    <w:name w:val="Footer Char"/>
    <w:basedOn w:val="21"/>
    <w:semiHidden/>
    <w:qFormat/>
    <w:uiPriority w:val="99"/>
    <w:rPr>
      <w:rFonts w:ascii="Times New Roman" w:hAnsi="Times New Roman" w:cs="Times New Roman"/>
      <w:sz w:val="18"/>
      <w:szCs w:val="18"/>
    </w:rPr>
  </w:style>
  <w:style w:type="character" w:customStyle="1" w:styleId="30">
    <w:name w:val="Header Char"/>
    <w:basedOn w:val="21"/>
    <w:semiHidden/>
    <w:qFormat/>
    <w:uiPriority w:val="99"/>
    <w:rPr>
      <w:rFonts w:ascii="Times New Roman" w:hAnsi="Times New Roman" w:cs="Times New Roman"/>
      <w:sz w:val="18"/>
      <w:szCs w:val="18"/>
    </w:rPr>
  </w:style>
  <w:style w:type="character" w:customStyle="1" w:styleId="31">
    <w:name w:val="页眉 Char"/>
    <w:link w:val="12"/>
    <w:semiHidden/>
    <w:qFormat/>
    <w:locked/>
    <w:uiPriority w:val="99"/>
    <w:rPr>
      <w:sz w:val="18"/>
    </w:rPr>
  </w:style>
  <w:style w:type="character" w:customStyle="1" w:styleId="32">
    <w:name w:val="页脚 Char"/>
    <w:link w:val="11"/>
    <w:qFormat/>
    <w:locked/>
    <w:uiPriority w:val="99"/>
    <w:rPr>
      <w:sz w:val="18"/>
    </w:rPr>
  </w:style>
  <w:style w:type="character" w:customStyle="1" w:styleId="33">
    <w:name w:val="正文文本 Char"/>
    <w:link w:val="6"/>
    <w:qFormat/>
    <w:locked/>
    <w:uiPriority w:val="99"/>
    <w:rPr>
      <w:rFonts w:ascii="仿宋_GB2312" w:hAnsi="Times New Roman" w:eastAsia="仿宋_GB2312"/>
      <w:sz w:val="24"/>
    </w:rPr>
  </w:style>
  <w:style w:type="paragraph" w:customStyle="1" w:styleId="34">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35">
    <w:name w:val="列表段落1"/>
    <w:basedOn w:val="1"/>
    <w:qFormat/>
    <w:uiPriority w:val="34"/>
    <w:pPr>
      <w:ind w:firstLine="420" w:firstLineChars="200"/>
    </w:pPr>
  </w:style>
  <w:style w:type="paragraph" w:customStyle="1" w:styleId="36">
    <w:name w:val="TOC 标题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7">
    <w:name w:val="TOC Heading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8">
    <w:name w:val="TOC 标题2"/>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39">
    <w:name w:val="WPSOffice手动目录 1"/>
    <w:qFormat/>
    <w:uiPriority w:val="0"/>
    <w:pPr>
      <w:ind w:leftChars="0"/>
    </w:pPr>
    <w:rPr>
      <w:rFonts w:ascii="Calibri" w:hAnsi="Calibri" w:eastAsia="宋体" w:cs="Times New Roman"/>
      <w:sz w:val="20"/>
      <w:szCs w:val="20"/>
    </w:rPr>
  </w:style>
  <w:style w:type="paragraph" w:customStyle="1" w:styleId="40">
    <w:name w:val="WPSOffice手动目录 2"/>
    <w:qFormat/>
    <w:uiPriority w:val="0"/>
    <w:pPr>
      <w:ind w:leftChars="200"/>
    </w:pPr>
    <w:rPr>
      <w:rFonts w:ascii="Calibri" w:hAnsi="Calibri" w:eastAsia="宋体" w:cs="Times New Roman"/>
      <w:sz w:val="20"/>
      <w:szCs w:val="20"/>
    </w:rPr>
  </w:style>
  <w:style w:type="paragraph" w:customStyle="1" w:styleId="41">
    <w:name w:val="WPSOffice手动目录 3"/>
    <w:qFormat/>
    <w:uiPriority w:val="0"/>
    <w:pPr>
      <w:ind w:leftChars="400"/>
    </w:pPr>
    <w:rPr>
      <w:rFonts w:ascii="Calibri" w:hAnsi="Calibri" w:eastAsia="宋体" w:cs="Times New Roman"/>
      <w:sz w:val="20"/>
      <w:szCs w:val="20"/>
    </w:rPr>
  </w:style>
  <w:style w:type="character" w:customStyle="1" w:styleId="42">
    <w:name w:val="15"/>
    <w:basedOn w:val="21"/>
    <w:qFormat/>
    <w:uiPriority w:val="99"/>
    <w:rPr>
      <w:rFonts w:ascii="Times New Roman" w:hAnsi="Times New Roman" w:cs="Times New Roman"/>
      <w:b/>
      <w:bCs/>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905265978828889"/>
          <c:y val="0.0508130081300813"/>
          <c:w val="0.884014471392201"/>
          <c:h val="0.765325203252033"/>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2984.47</c:v>
                </c:pt>
                <c:pt idx="1">
                  <c:v>2923.05</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2984.47</c:v>
                </c:pt>
                <c:pt idx="1">
                  <c:v>2923.05</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70945408"/>
        <c:axId val="70955392"/>
      </c:barChart>
      <c:catAx>
        <c:axId val="7094540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55392"/>
        <c:crosses val="autoZero"/>
        <c:auto val="1"/>
        <c:lblAlgn val="ctr"/>
        <c:lblOffset val="100"/>
        <c:noMultiLvlLbl val="0"/>
      </c:catAx>
      <c:valAx>
        <c:axId val="70955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4540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d21aebe-5c61-4677-8b3c-7ad156ed497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287286063569682"/>
          <c:y val="0.0350784788791741"/>
          <c:w val="0.961980440097799"/>
          <c:h val="0.828926577478142"/>
        </c:manualLayout>
      </c:layout>
      <c:pieChart>
        <c:varyColors val="1"/>
        <c:ser>
          <c:idx val="0"/>
          <c:order val="0"/>
          <c:tx>
            <c:strRef>
              <c:f>Sheet1!$B$1</c:f>
              <c:strCache>
                <c:ptCount val="1"/>
                <c:pt idx="0">
                  <c:v>销售额</c:v>
                </c:pt>
              </c:strCache>
            </c:strRef>
          </c:tx>
          <c:spPr/>
          <c:explosion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Lbls>
            <c:delete val="1"/>
          </c:dLbls>
          <c:cat>
            <c:strRef>
              <c:f>Sheet1!$A$2:$A$3</c:f>
              <c:strCache>
                <c:ptCount val="2"/>
                <c:pt idx="0">
                  <c:v>一般公共预算财政拨款收入</c:v>
                </c:pt>
                <c:pt idx="1">
                  <c:v>其他收入</c:v>
                </c:pt>
              </c:strCache>
            </c:strRef>
          </c:cat>
          <c:val>
            <c:numRef>
              <c:f>Sheet1!$B$2:$B$3</c:f>
              <c:numCache>
                <c:formatCode>General</c:formatCode>
                <c:ptCount val="2"/>
                <c:pt idx="0">
                  <c:v>2886.99</c:v>
                </c:pt>
                <c:pt idx="1">
                  <c:v>36.06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solidFill>
          <a:schemeClr val="lt1">
            <a:alpha val="50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d5d58ca8-edf2-44bc-a286-9ad9ba01687f}"/>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Sheet1!$C$1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Sheet1!$B$2:$B$3</c:f>
              <c:strCache>
                <c:ptCount val="2"/>
                <c:pt idx="0">
                  <c:v>基本支出</c:v>
                </c:pt>
                <c:pt idx="1">
                  <c:v>项目支出</c:v>
                </c:pt>
              </c:strCache>
            </c:strRef>
          </c:cat>
          <c:val>
            <c:numRef>
              <c:f>Sheet1!$C$2:$C$3</c:f>
              <c:numCache>
                <c:formatCode>General</c:formatCode>
                <c:ptCount val="2"/>
                <c:pt idx="0">
                  <c:v>2685.4</c:v>
                </c:pt>
                <c:pt idx="1">
                  <c:v>237.65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87be7e65-cdaa-4d55-b08c-ace3e0352a3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财政拨款收入</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2857.21</c:v>
                </c:pt>
                <c:pt idx="1">
                  <c:v>2886.99</c:v>
                </c:pt>
              </c:numCache>
            </c:numRef>
          </c:val>
        </c:ser>
        <c:ser>
          <c:idx val="1"/>
          <c:order val="1"/>
          <c:tx>
            <c:strRef>
              <c:f>Sheet1!$C$1</c:f>
              <c:strCache>
                <c:ptCount val="1"/>
                <c:pt idx="0">
                  <c:v>财政拨款支出</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2857.21</c:v>
                </c:pt>
                <c:pt idx="1">
                  <c:v>2886.99</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73094656"/>
        <c:axId val="73096192"/>
      </c:barChart>
      <c:catAx>
        <c:axId val="730946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3096192"/>
        <c:crosses val="autoZero"/>
        <c:auto val="1"/>
        <c:lblAlgn val="ctr"/>
        <c:lblOffset val="100"/>
        <c:noMultiLvlLbl val="0"/>
      </c:catAx>
      <c:valAx>
        <c:axId val="73096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309465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1ccae34-6c3a-4e68-b172-269beaabcbd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879148736709729"/>
          <c:y val="0.148951994851995"/>
          <c:w val="0.898675"/>
          <c:h val="0.816733333333333"/>
        </c:manualLayout>
      </c:layout>
      <c:barChart>
        <c:barDir val="col"/>
        <c:grouping val="clustered"/>
        <c:varyColors val="0"/>
        <c:ser>
          <c:idx val="0"/>
          <c:order val="0"/>
          <c:tx>
            <c:strRef>
              <c:f>Sheet1!$B$1</c:f>
              <c:strCache>
                <c:ptCount val="1"/>
                <c:pt idx="0">
                  <c:v>一般公共预算财政拨款支出</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2857.21</c:v>
                </c:pt>
                <c:pt idx="1">
                  <c:v>2886.99</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74522624"/>
        <c:axId val="74524160"/>
      </c:barChart>
      <c:catAx>
        <c:axId val="7452262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4524160"/>
        <c:crosses val="autoZero"/>
        <c:auto val="1"/>
        <c:lblAlgn val="ctr"/>
        <c:lblOffset val="100"/>
        <c:noMultiLvlLbl val="0"/>
      </c:catAx>
      <c:valAx>
        <c:axId val="74524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452262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dd9ca68-fecf-45e6-8c8f-c1d1c81f10d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教育支出</c:v>
                </c:pt>
                <c:pt idx="1">
                  <c:v>社会保障和就业支出</c:v>
                </c:pt>
                <c:pt idx="2">
                  <c:v>卫生健康支出</c:v>
                </c:pt>
                <c:pt idx="3">
                  <c:v>住房保障支出</c:v>
                </c:pt>
              </c:strCache>
            </c:strRef>
          </c:cat>
          <c:val>
            <c:numRef>
              <c:f>Sheet1!$B$2:$B$5</c:f>
              <c:numCache>
                <c:formatCode>General</c:formatCode>
                <c:ptCount val="4"/>
                <c:pt idx="0">
                  <c:v>2160.8</c:v>
                </c:pt>
                <c:pt idx="1">
                  <c:v>372.96</c:v>
                </c:pt>
                <c:pt idx="2">
                  <c:v>141.42</c:v>
                </c:pt>
                <c:pt idx="3">
                  <c:v>207.81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f09cfe8f-aa5d-43f9-a450-eacb36a2a86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AF237-CB33-4B21-A646-A19D082F1581}">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22</Pages>
  <Words>6403</Words>
  <Characters>7152</Characters>
  <Lines>23</Lines>
  <Paragraphs>23</Paragraphs>
  <TotalTime>19</TotalTime>
  <ScaleCrop>false</ScaleCrop>
  <LinksUpToDate>false</LinksUpToDate>
  <CharactersWithSpaces>7342</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2021-08-06T09:38:00Z</dcterms:created>
  <dc:creator>曹颖</dc:creator>
  <cp:lastModifiedBy>Administrator</cp:lastModifiedBy>
  <cp:lastPrinted>2021-11-29T06:36:00Z</cp:lastPrinted>
  <dcterms:modified xsi:type="dcterms:W3CDTF">2026-10-12T03:57:34Z</dcterms:modified>
  <dc:title>阿坝州部门决算说明</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FD3116CA6EC345F49768C02081A86EBE_13</vt:lpwstr>
  </property>
</Properties>
</file>