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Override PartName="/word/theme/themeOverride5.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ind w:firstLine="3080" w:firstLineChars="700"/>
        <w:jc w:val="both"/>
        <w:rPr>
          <w:rFonts w:hint="eastAsia" w:ascii="Times New Roman" w:eastAsia="方正小标宋简体" w:cs="Times New Roman"/>
          <w:color w:val="auto"/>
          <w:kern w:val="2"/>
          <w:sz w:val="44"/>
          <w:szCs w:val="44"/>
          <w:highlight w:val="none"/>
          <w:lang w:val="en-US" w:eastAsia="zh-CN" w:bidi="ar-SA"/>
        </w:rPr>
      </w:pPr>
      <w:bookmarkStart w:id="0" w:name="_Toc15377425"/>
      <w:bookmarkStart w:id="1" w:name="_Toc15396597"/>
      <w:bookmarkStart w:id="2" w:name="_Toc15377193"/>
      <w:bookmarkStart w:id="3" w:name="_Toc15378441"/>
      <w:bookmarkStart w:id="4" w:name="_Toc15396475"/>
      <w:bookmarkStart w:id="5" w:name="_Toc15306267"/>
    </w:p>
    <w:p>
      <w:pPr>
        <w:pStyle w:val="8"/>
        <w:ind w:firstLine="3080" w:firstLineChars="700"/>
        <w:jc w:val="both"/>
        <w:rPr>
          <w:rFonts w:hint="eastAsia" w:ascii="Times New Roman" w:eastAsia="方正小标宋简体" w:cs="Times New Roman"/>
          <w:color w:val="auto"/>
          <w:kern w:val="2"/>
          <w:sz w:val="44"/>
          <w:szCs w:val="44"/>
          <w:highlight w:val="none"/>
          <w:lang w:val="en-US" w:eastAsia="zh-CN" w:bidi="ar-SA"/>
        </w:rPr>
      </w:pPr>
      <w:r>
        <w:rPr>
          <w:rFonts w:hint="eastAsia" w:ascii="Times New Roman" w:eastAsia="方正小标宋简体" w:cs="Times New Roman"/>
          <w:color w:val="auto"/>
          <w:kern w:val="2"/>
          <w:sz w:val="44"/>
          <w:szCs w:val="44"/>
          <w:highlight w:val="none"/>
          <w:lang w:val="en-US" w:eastAsia="zh-CN" w:bidi="ar-SA"/>
        </w:rPr>
        <w:t>2025年度</w:t>
      </w:r>
    </w:p>
    <w:p>
      <w:pPr>
        <w:pStyle w:val="8"/>
        <w:jc w:val="center"/>
        <w:rPr>
          <w:rFonts w:hint="eastAsia" w:asci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四川省</w:t>
      </w:r>
      <w:r>
        <w:rPr>
          <w:rFonts w:hint="eastAsia" w:ascii="Times New Roman" w:eastAsia="方正小标宋简体" w:cs="Times New Roman"/>
          <w:color w:val="auto"/>
          <w:kern w:val="2"/>
          <w:sz w:val="44"/>
          <w:szCs w:val="44"/>
          <w:highlight w:val="none"/>
          <w:lang w:val="en-US" w:eastAsia="zh-CN" w:bidi="ar-SA"/>
        </w:rPr>
        <w:t>阿坝州红原县深圳福田</w:t>
      </w:r>
    </w:p>
    <w:p>
      <w:pPr>
        <w:pStyle w:val="8"/>
        <w:jc w:val="center"/>
        <w:rPr>
          <w:rFonts w:hint="eastAsia" w:ascii="Times New Roman" w:hAnsi="Times New Roman" w:eastAsia="方正小标宋简体" w:cs="Times New Roman"/>
          <w:color w:val="auto"/>
          <w:kern w:val="2"/>
          <w:sz w:val="44"/>
          <w:szCs w:val="44"/>
          <w:highlight w:val="none"/>
          <w:lang w:val="en-US" w:eastAsia="zh-CN" w:bidi="ar-SA"/>
        </w:rPr>
      </w:pPr>
      <w:r>
        <w:rPr>
          <w:rFonts w:hint="eastAsia" w:ascii="Times New Roman" w:eastAsia="方正小标宋简体" w:cs="Times New Roman"/>
          <w:color w:val="auto"/>
          <w:kern w:val="2"/>
          <w:sz w:val="44"/>
          <w:szCs w:val="44"/>
          <w:highlight w:val="none"/>
          <w:lang w:val="en-US" w:eastAsia="zh-CN" w:bidi="ar-SA"/>
        </w:rPr>
        <w:t>希望小学</w:t>
      </w:r>
      <w:r>
        <w:rPr>
          <w:rFonts w:hint="eastAsia" w:ascii="Times New Roman" w:hAnsi="Times New Roman" w:eastAsia="方正小标宋简体" w:cs="Times New Roman"/>
          <w:color w:val="auto"/>
          <w:kern w:val="2"/>
          <w:sz w:val="44"/>
          <w:szCs w:val="44"/>
          <w:highlight w:val="none"/>
          <w:lang w:val="en-US" w:eastAsia="zh-CN" w:bidi="ar-SA"/>
        </w:rPr>
        <w:t>部门决算</w:t>
      </w:r>
    </w:p>
    <w:p>
      <w:pPr>
        <w:rPr>
          <w:rFonts w:ascii="Times New Roman" w:hAnsi="Times New Roman"/>
        </w:rPr>
      </w:pPr>
    </w:p>
    <w:p>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pPr>
        <w:ind w:firstLine="1600" w:firstLineChars="500"/>
        <w:jc w:val="left"/>
        <w:rPr>
          <w:rFonts w:hint="eastAsia" w:ascii="宋体" w:hAnsi="宋体" w:cs="仿宋_GB2312"/>
          <w:sz w:val="32"/>
          <w:szCs w:val="32"/>
        </w:rPr>
      </w:pPr>
    </w:p>
    <w:p>
      <w:pPr>
        <w:ind w:firstLine="1600" w:firstLineChars="500"/>
        <w:jc w:val="left"/>
        <w:rPr>
          <w:rFonts w:hint="eastAsia" w:ascii="宋体" w:hAnsi="宋体" w:cs="仿宋_GB2312"/>
          <w:sz w:val="32"/>
          <w:szCs w:val="32"/>
        </w:rPr>
      </w:pPr>
    </w:p>
    <w:p>
      <w:pPr>
        <w:ind w:firstLine="1600" w:firstLineChars="500"/>
        <w:jc w:val="left"/>
        <w:rPr>
          <w:rFonts w:hint="eastAsia" w:ascii="宋体" w:hAnsi="宋体" w:cs="仿宋_GB2312"/>
          <w:sz w:val="32"/>
          <w:szCs w:val="32"/>
        </w:rPr>
      </w:pPr>
    </w:p>
    <w:p>
      <w:pPr>
        <w:ind w:firstLine="1600" w:firstLineChars="500"/>
        <w:jc w:val="left"/>
        <w:rPr>
          <w:rFonts w:hint="eastAsia" w:ascii="宋体" w:hAnsi="宋体" w:cs="仿宋_GB2312"/>
          <w:sz w:val="32"/>
          <w:szCs w:val="32"/>
        </w:rPr>
      </w:pPr>
    </w:p>
    <w:p>
      <w:pPr>
        <w:ind w:firstLine="1600" w:firstLineChars="500"/>
        <w:jc w:val="left"/>
        <w:rPr>
          <w:rFonts w:hint="eastAsia" w:ascii="宋体" w:hAnsi="宋体" w:cs="仿宋_GB2312"/>
          <w:sz w:val="32"/>
          <w:szCs w:val="32"/>
        </w:rPr>
      </w:pPr>
    </w:p>
    <w:p>
      <w:pPr>
        <w:ind w:firstLine="1600" w:firstLineChars="500"/>
        <w:jc w:val="left"/>
        <w:rPr>
          <w:rFonts w:ascii="宋体"/>
          <w:sz w:val="32"/>
          <w:szCs w:val="32"/>
        </w:rPr>
      </w:pPr>
      <w:r>
        <w:rPr>
          <w:rFonts w:hint="eastAsia" w:ascii="宋体" w:hAnsi="宋体" w:cs="仿宋_GB2312"/>
          <w:sz w:val="32"/>
          <w:szCs w:val="32"/>
        </w:rPr>
        <w:t>保密审查情况：已审查，内容审定</w:t>
      </w:r>
    </w:p>
    <w:p>
      <w:pPr>
        <w:ind w:left="420" w:firstLine="960" w:firstLineChars="300"/>
        <w:jc w:val="left"/>
        <w:rPr>
          <w:rFonts w:ascii="宋体"/>
          <w:sz w:val="32"/>
          <w:szCs w:val="32"/>
        </w:rPr>
      </w:pPr>
      <w:r>
        <w:rPr>
          <w:rFonts w:hint="eastAsia" w:ascii="宋体" w:hAnsi="宋体" w:cs="仿宋_GB2312"/>
          <w:sz w:val="32"/>
          <w:szCs w:val="32"/>
        </w:rPr>
        <w:t>部门主要负责人审签情况：已审签，同意对外公开</w:t>
      </w:r>
    </w:p>
    <w:p>
      <w:pPr>
        <w:widowControl/>
        <w:jc w:val="center"/>
        <w:rPr>
          <w:rFonts w:ascii="方正小标宋简体" w:hAnsi="宋体" w:eastAsia="方正小标宋简体"/>
          <w:color w:val="000000"/>
          <w:sz w:val="36"/>
          <w:szCs w:val="36"/>
        </w:rPr>
      </w:pPr>
    </w:p>
    <w:bookmarkEnd w:id="0"/>
    <w:bookmarkEnd w:id="1"/>
    <w:bookmarkEnd w:id="2"/>
    <w:bookmarkEnd w:id="3"/>
    <w:bookmarkEnd w:id="4"/>
    <w:p>
      <w:pPr>
        <w:pStyle w:val="8"/>
        <w:ind w:firstLine="2640" w:firstLineChars="600"/>
        <w:jc w:val="both"/>
        <w:rPr>
          <w:rFonts w:hint="eastAsia" w:ascii="Times New Roman" w:eastAsia="方正小标宋简体" w:cs="Times New Roman"/>
          <w:color w:val="auto"/>
          <w:kern w:val="2"/>
          <w:sz w:val="44"/>
          <w:szCs w:val="44"/>
          <w:highlight w:val="none"/>
          <w:lang w:val="en-US" w:eastAsia="zh-CN" w:bidi="ar-SA"/>
        </w:rPr>
      </w:pPr>
      <w:bookmarkStart w:id="6" w:name="_Toc15396598"/>
      <w:bookmarkStart w:id="7" w:name="_Toc15378442"/>
      <w:bookmarkStart w:id="8" w:name="_Toc15377426"/>
      <w:bookmarkStart w:id="9" w:name="_Toc15396476"/>
      <w:bookmarkStart w:id="10" w:name="_Toc15377194"/>
      <w:r>
        <w:rPr>
          <w:rFonts w:hint="eastAsia" w:ascii="Times New Roman" w:eastAsia="方正小标宋简体" w:cs="Times New Roman"/>
          <w:color w:val="auto"/>
          <w:kern w:val="2"/>
          <w:sz w:val="44"/>
          <w:szCs w:val="44"/>
          <w:highlight w:val="none"/>
          <w:lang w:val="en-US" w:eastAsia="zh-CN" w:bidi="ar-SA"/>
        </w:rPr>
        <w:t>2025年度</w:t>
      </w:r>
    </w:p>
    <w:p>
      <w:pPr>
        <w:pStyle w:val="8"/>
        <w:ind w:firstLine="880" w:firstLineChars="200"/>
        <w:jc w:val="both"/>
        <w:rPr>
          <w:rFonts w:hint="eastAsia" w:asci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四川省</w:t>
      </w:r>
      <w:r>
        <w:rPr>
          <w:rFonts w:hint="eastAsia" w:ascii="Times New Roman" w:eastAsia="方正小标宋简体" w:cs="Times New Roman"/>
          <w:color w:val="auto"/>
          <w:kern w:val="2"/>
          <w:sz w:val="44"/>
          <w:szCs w:val="44"/>
          <w:highlight w:val="none"/>
          <w:lang w:val="en-US" w:eastAsia="zh-CN" w:bidi="ar-SA"/>
        </w:rPr>
        <w:t>阿坝州红原县深圳福田</w:t>
      </w:r>
    </w:p>
    <w:p>
      <w:pPr>
        <w:pStyle w:val="8"/>
        <w:ind w:firstLine="1760" w:firstLineChars="400"/>
        <w:jc w:val="both"/>
        <w:rPr>
          <w:rFonts w:hint="eastAsia" w:ascii="Times New Roman" w:hAnsi="Times New Roman" w:eastAsia="方正小标宋简体" w:cs="Times New Roman"/>
          <w:color w:val="auto"/>
          <w:kern w:val="2"/>
          <w:sz w:val="44"/>
          <w:szCs w:val="44"/>
          <w:highlight w:val="none"/>
          <w:lang w:val="en-US" w:eastAsia="zh-CN" w:bidi="ar-SA"/>
        </w:rPr>
      </w:pPr>
      <w:r>
        <w:rPr>
          <w:rFonts w:hint="eastAsia" w:ascii="Times New Roman" w:eastAsia="方正小标宋简体" w:cs="Times New Roman"/>
          <w:color w:val="auto"/>
          <w:kern w:val="2"/>
          <w:sz w:val="44"/>
          <w:szCs w:val="44"/>
          <w:highlight w:val="none"/>
          <w:lang w:val="en-US" w:eastAsia="zh-CN" w:bidi="ar-SA"/>
        </w:rPr>
        <w:t>希望小学</w:t>
      </w:r>
      <w:bookmarkEnd w:id="5"/>
      <w:bookmarkStart w:id="11" w:name="_Toc15306268"/>
      <w:r>
        <w:rPr>
          <w:rFonts w:hint="eastAsia" w:ascii="Times New Roman" w:hAnsi="Times New Roman" w:eastAsia="方正小标宋简体" w:cs="Times New Roman"/>
          <w:color w:val="auto"/>
          <w:kern w:val="2"/>
          <w:sz w:val="44"/>
          <w:szCs w:val="44"/>
          <w:highlight w:val="none"/>
          <w:lang w:val="en-US" w:eastAsia="zh-CN" w:bidi="ar-SA"/>
        </w:rPr>
        <w:t>部门决算</w:t>
      </w:r>
      <w:bookmarkEnd w:id="6"/>
      <w:bookmarkEnd w:id="7"/>
      <w:bookmarkEnd w:id="8"/>
      <w:bookmarkEnd w:id="9"/>
      <w:bookmarkEnd w:id="10"/>
      <w:bookmarkEnd w:id="11"/>
    </w:p>
    <w:p>
      <w:pPr>
        <w:widowControl/>
        <w:jc w:val="center"/>
        <w:rPr>
          <w:rFonts w:hint="eastAsia" w:ascii="Times New Roman" w:hAnsi="Times New Roman" w:eastAsia="黑体"/>
          <w:color w:val="auto"/>
          <w:sz w:val="48"/>
          <w:szCs w:val="48"/>
          <w:highlight w:val="none"/>
        </w:rPr>
      </w:pPr>
    </w:p>
    <w:p>
      <w:pPr>
        <w:widowControl/>
        <w:ind w:firstLine="2880" w:firstLineChars="600"/>
        <w:jc w:val="both"/>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pPr>
        <w:widowControl/>
        <w:jc w:val="center"/>
        <w:rPr>
          <w:rFonts w:ascii="Times New Roman" w:hAnsi="Times New Roman" w:eastAsia="黑体" w:cstheme="minorBidi"/>
          <w:color w:val="auto"/>
          <w:sz w:val="28"/>
          <w:szCs w:val="28"/>
          <w:highlight w:val="none"/>
        </w:rPr>
      </w:pPr>
    </w:p>
    <w:p>
      <w:pPr>
        <w:pStyle w:val="13"/>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10</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18 </w:t>
      </w:r>
      <w:r>
        <w:rPr>
          <w:rFonts w:hint="eastAsia" w:ascii="Times New Roman" w:hAnsi="Times New Roman" w:eastAsia="仿宋_GB2312" w:cs="仿宋_GB2312"/>
          <w:color w:val="auto"/>
          <w:sz w:val="32"/>
          <w:szCs w:val="32"/>
          <w:highlight w:val="none"/>
        </w:rPr>
        <w:t>日</w:t>
      </w:r>
    </w:p>
    <w:p>
      <w:pPr>
        <w:rPr>
          <w:rFonts w:ascii="Times New Roman" w:hAnsi="Times New Roman"/>
          <w:color w:val="auto"/>
          <w:highlight w:val="none"/>
        </w:rPr>
      </w:pPr>
    </w:p>
    <w:p>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w:t>
      </w:r>
      <w:r>
        <w:rPr>
          <w:rFonts w:hint="eastAsia" w:eastAsia="仿宋_GB2312" w:cs="仿宋_GB2312"/>
          <w:color w:val="auto"/>
          <w:sz w:val="32"/>
          <w:szCs w:val="32"/>
          <w:highlight w:val="none"/>
          <w:lang w:eastAsia="zh-CN"/>
        </w:rPr>
        <w:t>责</w:t>
      </w:r>
      <w:bookmarkStart w:id="68" w:name="_GoBack"/>
      <w:bookmarkEnd w:id="68"/>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eastAsia="仿宋_GB2312" w:cs="仿宋_GB2312"/>
          <w:color w:val="auto"/>
          <w:sz w:val="32"/>
          <w:szCs w:val="32"/>
          <w:highlight w:val="none"/>
          <w:lang w:eastAsia="zh-CN"/>
        </w:rPr>
        <w:t>二、</w:t>
      </w:r>
      <w:r>
        <w:rPr>
          <w:rFonts w:hint="eastAsia" w:ascii="Times New Roman" w:hAnsi="Times New Roman" w:eastAsia="仿宋_GB2312" w:cs="仿宋_GB2312"/>
          <w:color w:val="auto"/>
          <w:sz w:val="32"/>
          <w:szCs w:val="32"/>
          <w:highlight w:val="none"/>
        </w:rPr>
        <w:t>机构设置</w:t>
      </w:r>
    </w:p>
    <w:p>
      <w:pPr>
        <w:numPr>
          <w:numId w:val="0"/>
        </w:numPr>
        <w:rPr>
          <w:rFonts w:hint="eastAsia" w:eastAsia="宋体"/>
          <w:lang w:val="en-US" w:eastAsia="zh-CN"/>
        </w:rPr>
      </w:pPr>
    </w:p>
    <w:p>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2025年度</w:t>
      </w:r>
      <w:r>
        <w:rPr>
          <w:rFonts w:hint="eastAsia" w:ascii="Times New Roman" w:hAnsi="Times New Roman" w:eastAsia="黑体" w:cs="黑体"/>
          <w:color w:val="auto"/>
          <w:sz w:val="32"/>
          <w:szCs w:val="32"/>
          <w:highlight w:val="none"/>
        </w:rPr>
        <w:t>部门决算情况说明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四、财政拨款收入支出决算总体情况说明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五、一般公共预算财政拨款支出决算情况说明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六、一般公共预算财政拨款基本支出决算情况说明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八、政府性基金预算支出决算情况说明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p>
    <w:p>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第四部分 附件</w:t>
      </w:r>
    </w:p>
    <w:p>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12" w:name="_Toc15396599"/>
      <w:bookmarkStart w:id="13" w:name="_Toc15377196"/>
      <w:r>
        <w:rPr>
          <w:rFonts w:hint="eastAsia" w:ascii="Times New Roman" w:hAnsi="Times New Roman" w:eastAsia="仿宋_GB2312" w:cs="仿宋_GB2312"/>
          <w:b/>
          <w:color w:val="auto"/>
          <w:sz w:val="32"/>
          <w:szCs w:val="32"/>
          <w:highlight w:val="none"/>
        </w:rPr>
        <w:br w:type="page"/>
      </w:r>
    </w:p>
    <w:p>
      <w:pPr>
        <w:pStyle w:val="5"/>
        <w:jc w:val="center"/>
        <w:rPr>
          <w:rStyle w:val="28"/>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8"/>
          <w:rFonts w:hint="eastAsia" w:ascii="Times New Roman" w:hAnsi="Times New Roman" w:eastAsia="方正小标宋简体" w:cs="方正小标宋简体"/>
          <w:b w:val="0"/>
          <w:bCs w:val="0"/>
          <w:color w:val="auto"/>
          <w:highlight w:val="none"/>
        </w:rPr>
        <w:t>部门概况</w:t>
      </w:r>
      <w:bookmarkEnd w:id="12"/>
      <w:bookmarkEnd w:id="13"/>
    </w:p>
    <w:p>
      <w:pPr>
        <w:widowControl/>
        <w:jc w:val="left"/>
        <w:rPr>
          <w:rFonts w:ascii="Times New Roman" w:hAnsi="Times New Roman" w:eastAsia="黑体"/>
          <w:color w:val="auto"/>
          <w:sz w:val="32"/>
          <w:szCs w:val="32"/>
          <w:highlight w:val="none"/>
        </w:rPr>
      </w:pPr>
    </w:p>
    <w:p>
      <w:pPr>
        <w:pStyle w:val="6"/>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bookmarkStart w:id="14" w:name="_Toc15396601"/>
      <w:bookmarkStart w:id="15" w:name="_Toc15377200"/>
    </w:p>
    <w:p>
      <w:pPr>
        <w:widowControl/>
        <w:shd w:val="clear" w:color="auto" w:fill="FFFFFF"/>
        <w:spacing w:line="560" w:lineRule="exact"/>
        <w:ind w:firstLine="617"/>
        <w:jc w:val="left"/>
        <w:rPr>
          <w:rFonts w:hint="eastAsia"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lang w:val="en-US" w:eastAsia="zh-CN"/>
        </w:rPr>
        <w:t>1、</w:t>
      </w:r>
      <w:r>
        <w:rPr>
          <w:rFonts w:hint="eastAsia" w:ascii="仿宋_GB2312" w:hAnsi="仿宋_GB2312" w:eastAsia="仿宋_GB2312" w:cs="仿宋_GB2312"/>
          <w:bCs/>
          <w:color w:val="000000"/>
          <w:sz w:val="32"/>
          <w:szCs w:val="32"/>
        </w:rPr>
        <w:t>研究拟定学校教育发展战略，严格贯彻执行党和国家的教育方针、政策、法规，全面落实上级部门部署的各项工作目标任务。</w:t>
      </w:r>
    </w:p>
    <w:p>
      <w:pPr>
        <w:widowControl/>
        <w:shd w:val="clear" w:color="auto" w:fill="FFFFFF"/>
        <w:spacing w:line="560" w:lineRule="exact"/>
        <w:ind w:firstLine="617"/>
        <w:jc w:val="left"/>
        <w:rPr>
          <w:rFonts w:hint="eastAsia"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lang w:val="en-US" w:eastAsia="zh-CN"/>
        </w:rPr>
        <w:t>2、</w:t>
      </w:r>
      <w:r>
        <w:rPr>
          <w:rFonts w:hint="eastAsia" w:ascii="仿宋_GB2312" w:hAnsi="仿宋_GB2312" w:eastAsia="仿宋_GB2312" w:cs="仿宋_GB2312"/>
          <w:bCs/>
          <w:color w:val="000000"/>
          <w:sz w:val="32"/>
          <w:szCs w:val="32"/>
        </w:rPr>
        <w:t>研究拟定学校教育发展规划与年度工作计划，制定具体实施意见，并组织开展各项工作以保障规划和计划落地。</w:t>
      </w:r>
    </w:p>
    <w:p>
      <w:pPr>
        <w:widowControl/>
        <w:shd w:val="clear" w:color="auto" w:fill="FFFFFF"/>
        <w:spacing w:line="560" w:lineRule="exact"/>
        <w:ind w:firstLine="617"/>
        <w:jc w:val="left"/>
        <w:rPr>
          <w:rFonts w:hint="eastAsia"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lang w:val="en-US" w:eastAsia="zh-CN"/>
        </w:rPr>
        <w:t>3、</w:t>
      </w:r>
      <w:r>
        <w:rPr>
          <w:rFonts w:hint="eastAsia" w:ascii="仿宋_GB2312" w:hAnsi="仿宋_GB2312" w:eastAsia="仿宋_GB2312" w:cs="仿宋_GB2312"/>
          <w:bCs/>
          <w:color w:val="000000"/>
          <w:sz w:val="32"/>
          <w:szCs w:val="32"/>
        </w:rPr>
        <w:t>管理并指导学校基础教育工作，持续巩固和提升普及九年义务教育工作成果，确保基础教育质量稳步推进。</w:t>
      </w:r>
    </w:p>
    <w:p>
      <w:pPr>
        <w:widowControl/>
        <w:shd w:val="clear" w:color="auto" w:fill="FFFFFF"/>
        <w:spacing w:line="560" w:lineRule="exact"/>
        <w:ind w:firstLine="617"/>
        <w:jc w:val="left"/>
        <w:rPr>
          <w:rFonts w:hint="eastAsia"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lang w:val="en-US" w:eastAsia="zh-CN"/>
        </w:rPr>
        <w:t>4、</w:t>
      </w:r>
      <w:r>
        <w:rPr>
          <w:rFonts w:hint="eastAsia" w:ascii="仿宋_GB2312" w:hAnsi="仿宋_GB2312" w:eastAsia="仿宋_GB2312" w:cs="仿宋_GB2312"/>
          <w:bCs/>
          <w:color w:val="000000"/>
          <w:sz w:val="32"/>
          <w:szCs w:val="32"/>
        </w:rPr>
        <w:t>行使综合协调与督促职能，统筹负责单位日常运行、后勤保障、建设发展、人事管理、职称评定、工资核算、人员经费统筹、党的建设、纪检工作及群团工作等；同时规范管理学校教育经费，严格执行财务管理制度，保障资金合理合规使用。</w:t>
      </w:r>
    </w:p>
    <w:p>
      <w:pPr>
        <w:widowControl/>
        <w:shd w:val="clear" w:color="auto" w:fill="FFFFFF"/>
        <w:spacing w:line="560" w:lineRule="exact"/>
        <w:ind w:firstLine="617"/>
        <w:jc w:val="left"/>
        <w:rPr>
          <w:rFonts w:hint="eastAsia"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lang w:val="en-US" w:eastAsia="zh-CN"/>
        </w:rPr>
        <w:t>5、</w:t>
      </w:r>
      <w:r>
        <w:rPr>
          <w:rFonts w:hint="eastAsia" w:ascii="仿宋_GB2312" w:hAnsi="仿宋_GB2312" w:eastAsia="仿宋_GB2312" w:cs="仿宋_GB2312"/>
          <w:bCs/>
          <w:color w:val="000000"/>
          <w:sz w:val="32"/>
          <w:szCs w:val="32"/>
        </w:rPr>
        <w:t>负责学校教师队伍建设工作，制定教师培养、培训计划，提升教师专业素养；推进学校内部管理体制改革，优化管理机制，提高办学效率。</w:t>
      </w:r>
    </w:p>
    <w:p>
      <w:pPr>
        <w:widowControl/>
        <w:shd w:val="clear" w:color="auto" w:fill="FFFFFF"/>
        <w:spacing w:line="560" w:lineRule="exact"/>
        <w:ind w:firstLine="617"/>
        <w:jc w:val="left"/>
        <w:rPr>
          <w:rFonts w:hint="eastAsia" w:ascii="仿宋_GB2312" w:hAnsi="仿宋_GB2312" w:eastAsia="仿宋_GB2312" w:cs="仿宋_GB2312"/>
          <w:bCs/>
          <w:color w:val="000000"/>
          <w:sz w:val="32"/>
          <w:szCs w:val="32"/>
          <w:lang w:eastAsia="zh-CN"/>
        </w:rPr>
      </w:pPr>
      <w:r>
        <w:rPr>
          <w:rFonts w:hint="eastAsia" w:ascii="仿宋_GB2312" w:hAnsi="仿宋_GB2312" w:eastAsia="仿宋_GB2312" w:cs="仿宋_GB2312"/>
          <w:bCs/>
          <w:color w:val="000000"/>
          <w:sz w:val="32"/>
          <w:szCs w:val="32"/>
          <w:lang w:val="en-US" w:eastAsia="zh-CN"/>
        </w:rPr>
        <w:t>6、</w:t>
      </w:r>
      <w:r>
        <w:rPr>
          <w:rFonts w:hint="eastAsia" w:ascii="仿宋_GB2312" w:hAnsi="仿宋_GB2312" w:eastAsia="仿宋_GB2312" w:cs="仿宋_GB2312"/>
          <w:bCs/>
          <w:color w:val="000000"/>
          <w:sz w:val="32"/>
          <w:szCs w:val="32"/>
        </w:rPr>
        <w:t>负责和指导学校教职工的思想政治工作，培育良好师德师风；统筹规划学校品德教育、体育卫生教育、艺术教育和国防教育工作，促进学生全面发展；切实做好学校社会治安治理及安全保卫工作，保障校园安全稳定。</w:t>
      </w:r>
    </w:p>
    <w:p>
      <w:pPr>
        <w:rPr>
          <w:rFonts w:hint="eastAsia"/>
          <w:lang w:eastAsia="zh-CN"/>
        </w:rPr>
      </w:pPr>
    </w:p>
    <w:p>
      <w:pPr>
        <w:pStyle w:val="6"/>
        <w:numPr>
          <w:numId w:val="0"/>
        </w:numPr>
        <w:rPr>
          <w:rStyle w:val="29"/>
          <w:rFonts w:ascii="Times New Roman" w:hAnsi="Times New Roman"/>
          <w:b w:val="0"/>
          <w:bCs w:val="0"/>
          <w:color w:val="auto"/>
          <w:highlight w:val="none"/>
        </w:rPr>
      </w:pPr>
      <w:r>
        <w:rPr>
          <w:rFonts w:hint="eastAsia" w:ascii="Times New Roman" w:hAnsi="Times New Roman" w:eastAsia="黑体"/>
          <w:b w:val="0"/>
          <w:color w:val="auto"/>
          <w:highlight w:val="none"/>
        </w:rPr>
        <w:t>二、机</w:t>
      </w:r>
      <w:r>
        <w:rPr>
          <w:rStyle w:val="29"/>
          <w:rFonts w:hint="eastAsia" w:ascii="Times New Roman" w:hAnsi="Times New Roman" w:eastAsia="黑体"/>
          <w:b w:val="0"/>
          <w:bCs w:val="0"/>
          <w:color w:val="auto"/>
          <w:highlight w:val="none"/>
        </w:rPr>
        <w:t>构设置</w:t>
      </w:r>
      <w:bookmarkEnd w:id="14"/>
      <w:bookmarkEnd w:id="15"/>
    </w:p>
    <w:p>
      <w:pPr>
        <w:ind w:firstLine="800" w:firstLineChars="250"/>
        <w:rPr>
          <w:rFonts w:hint="eastAsia" w:ascii="Times New Roman" w:hAnsi="Times New Roman"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红原县教育局希望小学</w:t>
      </w:r>
      <w:r>
        <w:rPr>
          <w:rFonts w:hint="eastAsia" w:ascii="Times New Roman" w:hAnsi="Times New Roman" w:eastAsia="仿宋_GB2312" w:cs="仿宋_GB2312"/>
          <w:color w:val="auto"/>
          <w:sz w:val="32"/>
          <w:szCs w:val="32"/>
          <w:highlight w:val="none"/>
        </w:rPr>
        <w:t>下属二级</w:t>
      </w:r>
      <w:r>
        <w:rPr>
          <w:rFonts w:hint="eastAsia" w:ascii="Times New Roman" w:hAnsi="Times New Roman" w:eastAsia="仿宋_GB2312" w:cs="仿宋_GB2312"/>
          <w:color w:val="auto"/>
          <w:sz w:val="32"/>
          <w:szCs w:val="32"/>
          <w:highlight w:val="none"/>
          <w:lang w:eastAsia="zh-CN"/>
        </w:rPr>
        <w:t>预算</w:t>
      </w:r>
      <w:r>
        <w:rPr>
          <w:rFonts w:hint="eastAsia" w:ascii="Times New Roman" w:hAnsi="Times New Roman" w:eastAsia="仿宋_GB2312" w:cs="仿宋_GB2312"/>
          <w:color w:val="auto"/>
          <w:sz w:val="32"/>
          <w:szCs w:val="32"/>
          <w:highlight w:val="none"/>
        </w:rPr>
        <w:t>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个，其中行政单位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个，参照公务员法管理的事业单位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个，其他事业单位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w:t>
      </w:r>
    </w:p>
    <w:p>
      <w:pPr>
        <w:widowControl/>
        <w:jc w:val="left"/>
        <w:rPr>
          <w:rFonts w:ascii="Times New Roman" w:hAnsi="Times New Roman" w:eastAsia="仿宋"/>
          <w:color w:val="auto"/>
          <w:kern w:val="0"/>
          <w:sz w:val="32"/>
          <w:szCs w:val="32"/>
          <w:highlight w:val="none"/>
        </w:rPr>
      </w:pPr>
      <w:r>
        <w:rPr>
          <w:rFonts w:hint="eastAsia" w:eastAsia="仿宋"/>
          <w:color w:val="auto"/>
          <w:sz w:val="32"/>
          <w:szCs w:val="32"/>
          <w:highlight w:val="none"/>
          <w:lang w:val="en-US" w:eastAsia="zh-CN"/>
        </w:rPr>
        <w:t xml:space="preserve">   我校属红原县教育局下属的二级预算单位，为独立核算财政全额拨款事业单位，无下属单位，执行政府会计制度，截止2025年末，我校编制人数64人，在职教师64人，退休教师26人。</w:t>
      </w:r>
      <w:r>
        <w:rPr>
          <w:rFonts w:ascii="Times New Roman" w:hAnsi="Times New Roman" w:eastAsia="仿宋"/>
          <w:color w:val="auto"/>
          <w:sz w:val="32"/>
          <w:szCs w:val="32"/>
          <w:highlight w:val="none"/>
        </w:rPr>
        <w:br w:type="page"/>
      </w:r>
    </w:p>
    <w:p>
      <w:pPr>
        <w:pStyle w:val="5"/>
        <w:jc w:val="center"/>
        <w:rPr>
          <w:rFonts w:hint="eastAsia" w:ascii="Times New Roman" w:hAnsi="Times New Roman" w:eastAsia="方正小标宋简体" w:cs="方正小标宋简体"/>
          <w:b w:val="0"/>
          <w:color w:val="auto"/>
          <w:highlight w:val="none"/>
        </w:rPr>
      </w:pPr>
      <w:bookmarkStart w:id="16" w:name="_Toc15377204"/>
      <w:bookmarkStart w:id="17" w:name="_Toc15396602"/>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16"/>
      <w:bookmarkEnd w:id="17"/>
    </w:p>
    <w:p>
      <w:pPr>
        <w:rPr>
          <w:rFonts w:ascii="Times New Roman" w:hAnsi="Times New Roman"/>
          <w:color w:val="auto"/>
          <w:highlight w:val="none"/>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8" w:name="_Toc15377205"/>
      <w:bookmarkStart w:id="19"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29"/>
          <w:rFonts w:hint="eastAsia" w:ascii="Times New Roman" w:hAnsi="Times New Roman" w:eastAsia="黑体"/>
          <w:b w:val="0"/>
          <w:color w:val="auto"/>
          <w:highlight w:val="none"/>
        </w:rPr>
        <w:t>入支出决算总体情况说明</w:t>
      </w:r>
      <w:bookmarkEnd w:id="18"/>
      <w:bookmarkEnd w:id="19"/>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1965.5</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上</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104.12</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5.94</w:t>
      </w:r>
      <w:r>
        <w:rPr>
          <w:rFonts w:hint="eastAsia" w:ascii="Times New Roman" w:hAnsi="Times New Roman" w:eastAsia="仿宋_GB2312" w:cs="仿宋_GB2312"/>
          <w:color w:val="auto"/>
          <w:sz w:val="32"/>
          <w:szCs w:val="32"/>
          <w:highlight w:val="none"/>
        </w:rPr>
        <w:t>%。主要变动原因</w:t>
      </w:r>
      <w:r>
        <w:rPr>
          <w:rFonts w:hint="eastAsia" w:eastAsia="仿宋_GB2312" w:cs="仿宋_GB2312"/>
          <w:color w:val="auto"/>
          <w:sz w:val="32"/>
          <w:szCs w:val="32"/>
          <w:highlight w:val="none"/>
          <w:lang w:eastAsia="zh-CN"/>
        </w:rPr>
        <w:t>是工资调标，社保、公积金缴费基数相应提高，人员经费有所增加，导致全年收入、支出总计同步增长。</w:t>
      </w:r>
    </w:p>
    <w:tbl>
      <w:tblPr>
        <w:tblStyle w:val="15"/>
        <w:tblpPr w:leftFromText="180" w:rightFromText="180" w:vertAnchor="text" w:horzAnchor="page" w:tblpX="2412" w:tblpY="612"/>
        <w:tblOverlap w:val="never"/>
        <w:tblW w:w="7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1340"/>
        <w:gridCol w:w="1495"/>
        <w:gridCol w:w="1575"/>
        <w:gridCol w:w="1470"/>
        <w:gridCol w:w="1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blHeader/>
        </w:trPr>
        <w:tc>
          <w:tcPr>
            <w:tcW w:w="1340"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val="en-US" w:eastAsia="zh-CN"/>
              </w:rPr>
              <w:t>项目</w:t>
            </w:r>
          </w:p>
        </w:tc>
        <w:tc>
          <w:tcPr>
            <w:tcW w:w="1495"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val="en-US" w:eastAsia="zh-CN"/>
              </w:rPr>
              <w:t>202</w:t>
            </w:r>
            <w:r>
              <w:rPr>
                <w:rFonts w:hint="eastAsia" w:eastAsia="仿宋_GB2312" w:cs="仿宋_GB2312"/>
                <w:color w:val="auto"/>
                <w:sz w:val="32"/>
                <w:szCs w:val="32"/>
                <w:highlight w:val="none"/>
                <w:lang w:val="en-US" w:eastAsia="zh-CN"/>
              </w:rPr>
              <w:t>4</w:t>
            </w:r>
            <w:r>
              <w:rPr>
                <w:rFonts w:hint="eastAsia" w:ascii="Times New Roman" w:hAnsi="Times New Roman" w:eastAsia="仿宋_GB2312" w:cs="仿宋_GB2312"/>
                <w:color w:val="auto"/>
                <w:sz w:val="32"/>
                <w:szCs w:val="32"/>
                <w:highlight w:val="none"/>
                <w:lang w:val="en-US" w:eastAsia="zh-CN"/>
              </w:rPr>
              <w:t>年（万元）</w:t>
            </w:r>
          </w:p>
        </w:tc>
        <w:tc>
          <w:tcPr>
            <w:tcW w:w="1575"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val="en-US" w:eastAsia="zh-CN"/>
              </w:rPr>
              <w:t>202</w:t>
            </w:r>
            <w:r>
              <w:rPr>
                <w:rFonts w:hint="eastAsia" w:eastAsia="仿宋_GB2312" w:cs="仿宋_GB2312"/>
                <w:color w:val="auto"/>
                <w:sz w:val="32"/>
                <w:szCs w:val="32"/>
                <w:highlight w:val="none"/>
                <w:lang w:val="en-US" w:eastAsia="zh-CN"/>
              </w:rPr>
              <w:t>5</w:t>
            </w:r>
            <w:r>
              <w:rPr>
                <w:rFonts w:hint="eastAsia" w:ascii="Times New Roman" w:hAnsi="Times New Roman" w:eastAsia="仿宋_GB2312" w:cs="仿宋_GB2312"/>
                <w:color w:val="auto"/>
                <w:sz w:val="32"/>
                <w:szCs w:val="32"/>
                <w:highlight w:val="none"/>
                <w:lang w:val="en-US" w:eastAsia="zh-CN"/>
              </w:rPr>
              <w:t xml:space="preserve"> 年（万元）</w:t>
            </w:r>
          </w:p>
        </w:tc>
        <w:tc>
          <w:tcPr>
            <w:tcW w:w="1470"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val="en-US" w:eastAsia="zh-CN"/>
              </w:rPr>
              <w:t>增减额（万元）</w:t>
            </w:r>
          </w:p>
        </w:tc>
        <w:tc>
          <w:tcPr>
            <w:tcW w:w="1411"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val="en-US" w:eastAsia="zh-CN"/>
              </w:rPr>
              <w:t>增减比例（%）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c>
          <w:tcPr>
            <w:tcW w:w="1340"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val="en-US" w:eastAsia="zh-CN"/>
              </w:rPr>
              <w:t>本年收入合计</w:t>
            </w:r>
          </w:p>
        </w:tc>
        <w:tc>
          <w:tcPr>
            <w:tcW w:w="1495"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val="en-US" w:eastAsia="zh-CN"/>
              </w:rPr>
              <w:t>1861.38</w:t>
            </w:r>
          </w:p>
        </w:tc>
        <w:tc>
          <w:tcPr>
            <w:tcW w:w="1575"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1965.5</w:t>
            </w:r>
          </w:p>
        </w:tc>
        <w:tc>
          <w:tcPr>
            <w:tcW w:w="1470"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Fonts w:hint="default" w:ascii="Times New Roman" w:hAnsi="Times New Roman" w:eastAsia="仿宋_GB2312" w:cs="仿宋_GB2312"/>
                <w:color w:val="auto"/>
                <w:sz w:val="32"/>
                <w:szCs w:val="32"/>
                <w:highlight w:val="none"/>
                <w:lang w:val="en-US" w:eastAsia="zh-CN"/>
              </w:rPr>
            </w:pPr>
            <w:r>
              <w:rPr>
                <w:rFonts w:hint="eastAsia" w:eastAsia="仿宋_GB2312" w:cs="仿宋_GB2312"/>
                <w:color w:val="auto"/>
                <w:sz w:val="32"/>
                <w:szCs w:val="32"/>
                <w:highlight w:val="none"/>
                <w:lang w:val="en-US" w:eastAsia="zh-CN"/>
              </w:rPr>
              <w:t>104.12</w:t>
            </w:r>
          </w:p>
        </w:tc>
        <w:tc>
          <w:tcPr>
            <w:tcW w:w="1411"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default" w:ascii="Times New Roman" w:hAnsi="Times New Roman" w:eastAsia="仿宋_GB2312" w:cs="仿宋_GB2312"/>
                <w:color w:val="auto"/>
                <w:sz w:val="32"/>
                <w:szCs w:val="32"/>
                <w:highlight w:val="none"/>
                <w:lang w:val="en-US" w:eastAsia="zh-CN"/>
              </w:rPr>
            </w:pPr>
            <w:r>
              <w:rPr>
                <w:rFonts w:hint="eastAsia" w:eastAsia="仿宋_GB2312" w:cs="仿宋_GB2312"/>
                <w:color w:val="auto"/>
                <w:sz w:val="32"/>
                <w:szCs w:val="32"/>
                <w:highlight w:val="none"/>
                <w:lang w:val="en-US" w:eastAsia="zh-CN"/>
              </w:rPr>
              <w:t>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c>
          <w:tcPr>
            <w:tcW w:w="1340"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val="en-US" w:eastAsia="zh-CN"/>
              </w:rPr>
              <w:t>本年支出合计</w:t>
            </w:r>
          </w:p>
        </w:tc>
        <w:tc>
          <w:tcPr>
            <w:tcW w:w="1495"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val="en-US" w:eastAsia="zh-CN"/>
              </w:rPr>
              <w:t>1861.38</w:t>
            </w:r>
          </w:p>
        </w:tc>
        <w:tc>
          <w:tcPr>
            <w:tcW w:w="1575"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1965.5</w:t>
            </w:r>
          </w:p>
        </w:tc>
        <w:tc>
          <w:tcPr>
            <w:tcW w:w="1470"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Fonts w:hint="eastAsia" w:ascii="Times New Roman" w:hAnsi="Times New Roman" w:eastAsia="仿宋_GB2312" w:cs="仿宋_GB2312"/>
                <w:color w:val="auto"/>
                <w:sz w:val="32"/>
                <w:szCs w:val="32"/>
                <w:highlight w:val="none"/>
              </w:rPr>
            </w:pPr>
            <w:r>
              <w:rPr>
                <w:rFonts w:hint="eastAsia" w:eastAsia="仿宋_GB2312" w:cs="仿宋_GB2312"/>
                <w:color w:val="auto"/>
                <w:sz w:val="32"/>
                <w:szCs w:val="32"/>
                <w:highlight w:val="none"/>
                <w:lang w:val="en-US" w:eastAsia="zh-CN"/>
              </w:rPr>
              <w:t>104.12</w:t>
            </w:r>
          </w:p>
        </w:tc>
        <w:tc>
          <w:tcPr>
            <w:tcW w:w="1411" w:type="dxa"/>
            <w:shd w:val="clear" w:color="auto" w:fill="auto"/>
            <w:vAlign w:val="center"/>
          </w:tcPr>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val="en-US" w:eastAsia="zh-CN"/>
              </w:rPr>
              <w:t>5.94</w:t>
            </w:r>
          </w:p>
        </w:tc>
      </w:tr>
    </w:tbl>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20" w:name="_Toc15377206"/>
      <w:bookmarkStart w:id="21" w:name="_Toc15396604"/>
      <w:r>
        <w:rPr>
          <w:rFonts w:hint="eastAsia" w:ascii="Times New Roman" w:hAnsi="Times New Roman" w:eastAsia="黑体"/>
          <w:color w:val="auto"/>
          <w:sz w:val="32"/>
          <w:szCs w:val="32"/>
          <w:highlight w:val="none"/>
          <w:lang w:eastAsia="zh-CN"/>
        </w:rPr>
        <w:t>二</w:t>
      </w:r>
      <w:r>
        <w:rPr>
          <w:rFonts w:hint="eastAsia" w:eastAsia="黑体"/>
          <w:color w:val="auto"/>
          <w:sz w:val="32"/>
          <w:szCs w:val="32"/>
          <w:highlight w:val="none"/>
          <w:lang w:eastAsia="zh-CN"/>
        </w:rPr>
        <w:t>二</w:t>
      </w:r>
      <w:r>
        <w:rPr>
          <w:rFonts w:hint="eastAsia" w:ascii="Times New Roman" w:hAnsi="Times New Roman" w:eastAsia="黑体"/>
          <w:color w:val="auto"/>
          <w:sz w:val="32"/>
          <w:szCs w:val="32"/>
          <w:highlight w:val="none"/>
          <w:lang w:eastAsia="zh-CN"/>
        </w:rPr>
        <w:t>、收入决算情况说明</w:t>
      </w:r>
      <w:bookmarkEnd w:id="20"/>
      <w:bookmarkEnd w:id="21"/>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1965.5</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1927.99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98.09</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37.52</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1.9</w:t>
      </w:r>
      <w:r>
        <w:rPr>
          <w:rFonts w:hint="eastAsia" w:ascii="Times New Roman" w:hAnsi="Times New Roman" w:eastAsia="仿宋_GB2312" w:cs="仿宋_GB2312"/>
          <w:color w:val="auto"/>
          <w:sz w:val="32"/>
          <w:szCs w:val="32"/>
          <w:highlight w:val="none"/>
          <w:lang w:eastAsia="zh-CN"/>
        </w:rPr>
        <w:t>%。</w:t>
      </w:r>
    </w:p>
    <w:p>
      <w:pPr>
        <w:ind w:firstLine="800" w:firstLineChars="250"/>
        <w:rPr>
          <w:rFonts w:hint="eastAsia" w:ascii="Times New Roman" w:hAnsi="Times New Roman" w:eastAsia="仿宋_GB2312" w:cs="仿宋_GB2312"/>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22" w:name="_Toc15377207"/>
      <w:bookmarkStart w:id="23" w:name="_Toc15396605"/>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textAlignment w:val="auto"/>
        <w:outlineLvl w:val="1"/>
        <w:rPr>
          <w:rFonts w:hint="eastAsia" w:ascii="Times New Roman" w:hAnsi="Times New Roman" w:eastAsia="黑体"/>
          <w:color w:val="auto"/>
          <w:sz w:val="32"/>
          <w:szCs w:val="32"/>
          <w:highlight w:val="none"/>
          <w:lang w:eastAsia="zh-CN"/>
        </w:rPr>
      </w:pPr>
      <w:r>
        <w:drawing>
          <wp:anchor distT="0" distB="0" distL="114300" distR="114300" simplePos="0" relativeHeight="251660288" behindDoc="0" locked="0" layoutInCell="1" allowOverlap="1">
            <wp:simplePos x="0" y="0"/>
            <wp:positionH relativeFrom="column">
              <wp:posOffset>440055</wp:posOffset>
            </wp:positionH>
            <wp:positionV relativeFrom="paragraph">
              <wp:posOffset>51435</wp:posOffset>
            </wp:positionV>
            <wp:extent cx="4364990" cy="2931160"/>
            <wp:effectExtent l="4445" t="4445" r="12065" b="17145"/>
            <wp:wrapSquare wrapText="bothSides"/>
            <wp:docPr id="2"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29"/>
          <w:rFonts w:hint="eastAsia" w:ascii="Times New Roman" w:hAnsi="Times New Roman" w:eastAsia="黑体"/>
          <w:b w:val="0"/>
          <w:color w:val="auto"/>
          <w:highlight w:val="none"/>
        </w:rPr>
        <w:t>出决算情况说明</w:t>
      </w:r>
      <w:bookmarkEnd w:id="22"/>
      <w:bookmarkEnd w:id="23"/>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1965.5</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1745.47</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88.8</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220.03</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11.19</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textAlignment w:val="auto"/>
        <w:outlineLvl w:val="1"/>
        <w:rPr>
          <w:rFonts w:hint="eastAsia" w:ascii="Times New Roman" w:hAnsi="Times New Roman" w:eastAsia="仿宋_GB2312" w:cs="仿宋_GB2312"/>
          <w:color w:val="auto"/>
          <w:sz w:val="32"/>
          <w:szCs w:val="32"/>
          <w:highlight w:val="none"/>
          <w:lang w:eastAsia="zh-CN"/>
        </w:rPr>
      </w:pPr>
      <w:r>
        <w:drawing>
          <wp:anchor distT="0" distB="0" distL="114300" distR="114300" simplePos="0" relativeHeight="251664384" behindDoc="0" locked="0" layoutInCell="1" allowOverlap="1">
            <wp:simplePos x="0" y="0"/>
            <wp:positionH relativeFrom="column">
              <wp:posOffset>-88265</wp:posOffset>
            </wp:positionH>
            <wp:positionV relativeFrom="paragraph">
              <wp:posOffset>580390</wp:posOffset>
            </wp:positionV>
            <wp:extent cx="5273675" cy="2420620"/>
            <wp:effectExtent l="4445" t="4445" r="17780" b="13335"/>
            <wp:wrapSquare wrapText="bothSides"/>
            <wp:docPr id="3"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ind w:firstLine="800" w:firstLineChars="250"/>
        <w:rPr>
          <w:rFonts w:hint="eastAsia" w:ascii="Times New Roman" w:hAnsi="Times New Roman" w:eastAsia="仿宋_GB2312" w:cs="仿宋_GB2312"/>
          <w:color w:val="auto"/>
          <w:sz w:val="32"/>
          <w:szCs w:val="32"/>
          <w:highlight w:val="none"/>
          <w:lang w:eastAsia="zh-CN"/>
        </w:rPr>
      </w:pPr>
    </w:p>
    <w:p>
      <w:pPr>
        <w:spacing w:line="600" w:lineRule="exact"/>
        <w:ind w:firstLine="640" w:firstLineChars="200"/>
        <w:outlineLvl w:val="1"/>
        <w:rPr>
          <w:rStyle w:val="29"/>
          <w:rFonts w:ascii="Times New Roman" w:hAnsi="Times New Roman" w:eastAsia="黑体"/>
          <w:b w:val="0"/>
          <w:color w:val="auto"/>
          <w:highlight w:val="none"/>
        </w:rPr>
      </w:pPr>
      <w:bookmarkStart w:id="24" w:name="_Toc15377208"/>
      <w:bookmarkStart w:id="25" w:name="_Toc15396606"/>
      <w:r>
        <w:rPr>
          <w:rFonts w:hint="eastAsia" w:ascii="Times New Roman" w:hAnsi="Times New Roman" w:eastAsia="黑体"/>
          <w:color w:val="auto"/>
          <w:sz w:val="32"/>
          <w:szCs w:val="32"/>
          <w:highlight w:val="none"/>
        </w:rPr>
        <w:t>四、财</w:t>
      </w:r>
      <w:r>
        <w:rPr>
          <w:rStyle w:val="29"/>
          <w:rFonts w:hint="eastAsia" w:ascii="Times New Roman" w:hAnsi="Times New Roman" w:eastAsia="黑体"/>
          <w:b w:val="0"/>
          <w:color w:val="auto"/>
          <w:highlight w:val="none"/>
        </w:rPr>
        <w:t>政拨款收入支出决算总体情况说明</w:t>
      </w:r>
      <w:bookmarkEnd w:id="24"/>
      <w:bookmarkEnd w:id="25"/>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1927.99</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年度相比，财政拨款收入、支出总计各增加164.89万元，增长</w:t>
      </w:r>
      <w:r>
        <w:rPr>
          <w:rFonts w:hint="eastAsia" w:eastAsia="仿宋_GB2312" w:cs="仿宋_GB2312"/>
          <w:color w:val="auto"/>
          <w:kern w:val="2"/>
          <w:sz w:val="32"/>
          <w:szCs w:val="32"/>
          <w:highlight w:val="none"/>
          <w:lang w:val="en-US" w:eastAsia="zh-CN" w:bidi="ar-SA"/>
        </w:rPr>
        <w:t>9.35</w:t>
      </w:r>
      <w:r>
        <w:rPr>
          <w:rFonts w:hint="eastAsia" w:ascii="Times New Roman" w:hAnsi="Times New Roman" w:eastAsia="仿宋_GB2312" w:cs="仿宋_GB2312"/>
          <w:color w:val="auto"/>
          <w:kern w:val="2"/>
          <w:sz w:val="32"/>
          <w:szCs w:val="32"/>
          <w:highlight w:val="none"/>
          <w:lang w:val="en-US" w:eastAsia="zh-CN" w:bidi="ar-SA"/>
        </w:rPr>
        <w:t>%。主要变动原因是工资调标，社保、公积金缴费基数相应提高，人员经费有所增加，导致全年收入、支出总计同步增长。</w:t>
      </w:r>
    </w:p>
    <w:p>
      <w:pPr>
        <w:spacing w:line="600" w:lineRule="exact"/>
        <w:ind w:firstLine="420" w:firstLineChars="200"/>
        <w:rPr>
          <w:rFonts w:hint="eastAsia" w:ascii="Times New Roman" w:hAnsi="Times New Roman" w:eastAsia="仿宋_GB2312" w:cs="仿宋_GB2312"/>
          <w:color w:val="auto"/>
          <w:kern w:val="2"/>
          <w:sz w:val="32"/>
          <w:szCs w:val="32"/>
          <w:highlight w:val="none"/>
          <w:lang w:val="en-US" w:eastAsia="zh-CN" w:bidi="ar-SA"/>
        </w:rPr>
      </w:pPr>
      <w:r>
        <w:drawing>
          <wp:anchor distT="0" distB="0" distL="114300" distR="114300" simplePos="0" relativeHeight="251665408" behindDoc="0" locked="0" layoutInCell="1" allowOverlap="1">
            <wp:simplePos x="0" y="0"/>
            <wp:positionH relativeFrom="column">
              <wp:posOffset>227330</wp:posOffset>
            </wp:positionH>
            <wp:positionV relativeFrom="paragraph">
              <wp:posOffset>193675</wp:posOffset>
            </wp:positionV>
            <wp:extent cx="5248910" cy="2743835"/>
            <wp:effectExtent l="4445" t="4445" r="23495" b="13970"/>
            <wp:wrapSquare wrapText="bothSides"/>
            <wp:docPr id="1722"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firstLineChars="200"/>
        <w:outlineLvl w:val="1"/>
        <w:rPr>
          <w:rStyle w:val="29"/>
          <w:rFonts w:ascii="Times New Roman" w:hAnsi="Times New Roman" w:eastAsia="黑体"/>
          <w:b w:val="0"/>
          <w:color w:val="auto"/>
          <w:highlight w:val="none"/>
        </w:rPr>
      </w:pPr>
      <w:bookmarkStart w:id="26" w:name="_Toc15396607"/>
      <w:bookmarkStart w:id="27"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般公共预算财政拨款支出决算情况说明</w:t>
      </w:r>
      <w:bookmarkEnd w:id="26"/>
      <w:bookmarkEnd w:id="27"/>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8"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1927.99</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98.09</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年度相比，一般公共预算财政拨款支出增加164.89万元，增长</w:t>
      </w:r>
      <w:r>
        <w:rPr>
          <w:rFonts w:hint="eastAsia" w:eastAsia="仿宋_GB2312" w:cs="仿宋_GB2312"/>
          <w:color w:val="auto"/>
          <w:kern w:val="2"/>
          <w:sz w:val="32"/>
          <w:szCs w:val="32"/>
          <w:highlight w:val="none"/>
          <w:lang w:val="en-US" w:eastAsia="zh-CN" w:bidi="ar-SA"/>
        </w:rPr>
        <w:t>9.35</w:t>
      </w:r>
      <w:r>
        <w:rPr>
          <w:rFonts w:hint="eastAsia" w:ascii="Times New Roman" w:hAnsi="Times New Roman" w:eastAsia="仿宋_GB2312" w:cs="仿宋_GB2312"/>
          <w:color w:val="auto"/>
          <w:kern w:val="2"/>
          <w:sz w:val="32"/>
          <w:szCs w:val="32"/>
          <w:highlight w:val="none"/>
          <w:lang w:val="en-US" w:eastAsia="zh-CN" w:bidi="ar-SA"/>
        </w:rPr>
        <w:t>%。主要变动原因是工资调标，社保、公积金缴费基数相应提高，人员经费有所增加，导致全年收入、支出总计同步增长</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drawing>
          <wp:anchor distT="0" distB="0" distL="114300" distR="114300" simplePos="0" relativeHeight="251673600" behindDoc="0" locked="0" layoutInCell="1" allowOverlap="1">
            <wp:simplePos x="0" y="0"/>
            <wp:positionH relativeFrom="column">
              <wp:posOffset>-24130</wp:posOffset>
            </wp:positionH>
            <wp:positionV relativeFrom="paragraph">
              <wp:posOffset>72390</wp:posOffset>
            </wp:positionV>
            <wp:extent cx="5214620" cy="2570480"/>
            <wp:effectExtent l="4445" t="4445" r="19685" b="15875"/>
            <wp:wrapSquare wrapText="bothSides"/>
            <wp:docPr id="5"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9"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9"/>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1927.99</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%；教育支出1450.99万元，占</w:t>
      </w:r>
      <w:r>
        <w:rPr>
          <w:rFonts w:hint="eastAsia" w:eastAsia="仿宋_GB2312" w:cs="仿宋_GB2312"/>
          <w:color w:val="auto"/>
          <w:kern w:val="2"/>
          <w:sz w:val="32"/>
          <w:szCs w:val="32"/>
          <w:highlight w:val="none"/>
          <w:lang w:val="en-US" w:eastAsia="zh-CN" w:bidi="ar-SA"/>
        </w:rPr>
        <w:t>75</w:t>
      </w:r>
      <w:r>
        <w:rPr>
          <w:rFonts w:hint="eastAsia" w:ascii="Times New Roman" w:hAnsi="Times New Roman" w:eastAsia="仿宋_GB2312" w:cs="仿宋_GB2312"/>
          <w:color w:val="auto"/>
          <w:kern w:val="2"/>
          <w:sz w:val="32"/>
          <w:szCs w:val="32"/>
          <w:highlight w:val="none"/>
          <w:lang w:val="en-US" w:eastAsia="zh-CN" w:bidi="ar-SA"/>
        </w:rPr>
        <w:t>%；科学技术支出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%；文化旅游体育与传媒支出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%；社会保障和就业支出249.68万元，占</w:t>
      </w:r>
      <w:r>
        <w:rPr>
          <w:rFonts w:hint="eastAsia" w:eastAsia="仿宋_GB2312" w:cs="仿宋_GB2312"/>
          <w:color w:val="auto"/>
          <w:kern w:val="2"/>
          <w:sz w:val="32"/>
          <w:szCs w:val="32"/>
          <w:highlight w:val="none"/>
          <w:lang w:val="en-US" w:eastAsia="zh-CN" w:bidi="ar-SA"/>
        </w:rPr>
        <w:t>13</w:t>
      </w:r>
      <w:r>
        <w:rPr>
          <w:rFonts w:hint="eastAsia" w:ascii="Times New Roman" w:hAnsi="Times New Roman" w:eastAsia="仿宋_GB2312" w:cs="仿宋_GB2312"/>
          <w:color w:val="auto"/>
          <w:kern w:val="2"/>
          <w:sz w:val="32"/>
          <w:szCs w:val="32"/>
          <w:highlight w:val="none"/>
          <w:lang w:val="en-US" w:eastAsia="zh-CN" w:bidi="ar-SA"/>
        </w:rPr>
        <w:t>%；卫生健康支出93.76万元，占</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%；住房保障支出133.56万元，占</w:t>
      </w: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pPr>
        <w:pStyle w:val="2"/>
        <w:rPr>
          <w:rFonts w:hint="eastAsia" w:ascii="Times New Roman" w:hAnsi="Times New Roman" w:eastAsia="仿宋_GB2312" w:cs="仿宋_GB2312"/>
          <w:b/>
          <w:bCs/>
          <w:color w:val="auto"/>
          <w:kern w:val="2"/>
          <w:sz w:val="32"/>
          <w:szCs w:val="32"/>
          <w:highlight w:val="none"/>
          <w:lang w:val="en-US" w:eastAsia="zh-CN" w:bidi="ar-SA"/>
        </w:rPr>
      </w:pPr>
    </w:p>
    <w:p>
      <w:pPr>
        <w:pStyle w:val="3"/>
        <w:rPr>
          <w:rFonts w:hint="eastAsia" w:ascii="Times New Roman" w:hAnsi="Times New Roman" w:eastAsia="仿宋_GB2312" w:cs="仿宋_GB2312"/>
          <w:b/>
          <w:bCs/>
          <w:color w:val="auto"/>
          <w:kern w:val="2"/>
          <w:sz w:val="32"/>
          <w:szCs w:val="32"/>
          <w:highlight w:val="none"/>
          <w:lang w:val="en-US" w:eastAsia="zh-CN" w:bidi="ar-SA"/>
        </w:rPr>
      </w:pPr>
    </w:p>
    <w:p>
      <w:pPr>
        <w:rPr>
          <w:rFonts w:hint="eastAsia" w:ascii="Times New Roman" w:hAnsi="Times New Roman" w:eastAsia="仿宋_GB2312" w:cs="仿宋_GB2312"/>
          <w:b/>
          <w:bCs/>
          <w:color w:val="auto"/>
          <w:kern w:val="2"/>
          <w:sz w:val="32"/>
          <w:szCs w:val="32"/>
          <w:highlight w:val="none"/>
          <w:lang w:val="en-US" w:eastAsia="zh-CN" w:bidi="ar-SA"/>
        </w:rPr>
      </w:pPr>
    </w:p>
    <w:p>
      <w:pPr>
        <w:pStyle w:val="2"/>
        <w:rPr>
          <w:rFonts w:hint="eastAsia" w:ascii="Times New Roman" w:hAnsi="Times New Roman" w:eastAsia="仿宋_GB2312" w:cs="仿宋_GB2312"/>
          <w:b/>
          <w:bCs/>
          <w:color w:val="auto"/>
          <w:kern w:val="2"/>
          <w:sz w:val="32"/>
          <w:szCs w:val="32"/>
          <w:highlight w:val="none"/>
          <w:lang w:val="en-US" w:eastAsia="zh-CN" w:bidi="ar-SA"/>
        </w:rPr>
      </w:pPr>
    </w:p>
    <w:p>
      <w:pPr>
        <w:pStyle w:val="3"/>
        <w:rPr>
          <w:rFonts w:hint="eastAsia" w:ascii="Times New Roman" w:hAnsi="Times New Roman" w:eastAsia="仿宋_GB2312" w:cs="仿宋_GB2312"/>
          <w:b/>
          <w:bCs/>
          <w:color w:val="auto"/>
          <w:kern w:val="2"/>
          <w:sz w:val="32"/>
          <w:szCs w:val="32"/>
          <w:highlight w:val="none"/>
          <w:lang w:val="en-US" w:eastAsia="zh-CN" w:bidi="ar-SA"/>
        </w:rPr>
      </w:pPr>
      <w:r>
        <w:drawing>
          <wp:inline distT="0" distB="0" distL="114300" distR="114300">
            <wp:extent cx="4573905" cy="2743835"/>
            <wp:effectExtent l="4445" t="4445" r="12700" b="13970"/>
            <wp:docPr id="1723"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line="600" w:lineRule="exact"/>
        <w:ind w:firstLine="320" w:firstLineChars="1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0"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30"/>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1" w:name="_Toc15377444"/>
      <w:bookmarkStart w:id="32" w:name="_Toc15378460"/>
      <w:bookmarkStart w:id="33" w:name="_Toc15377213"/>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1927.99</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31"/>
      <w:bookmarkEnd w:id="32"/>
      <w:bookmarkEnd w:id="33"/>
    </w:p>
    <w:p>
      <w:pPr>
        <w:widowControl/>
        <w:numPr>
          <w:ilvl w:val="0"/>
          <w:numId w:val="2"/>
        </w:numPr>
        <w:shd w:val="clear" w:color="auto" w:fill="FFFFFF"/>
        <w:spacing w:line="560" w:lineRule="exact"/>
        <w:ind w:firstLine="640"/>
        <w:jc w:val="left"/>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教育</w:t>
      </w:r>
      <w:r>
        <w:rPr>
          <w:rFonts w:hint="eastAsia" w:eastAsia="仿宋_GB2312" w:cs="仿宋_GB2312"/>
          <w:color w:val="auto"/>
          <w:kern w:val="2"/>
          <w:sz w:val="32"/>
          <w:szCs w:val="32"/>
          <w:highlight w:val="none"/>
          <w:lang w:val="en-US" w:eastAsia="zh-CN" w:bidi="ar-SA"/>
        </w:rPr>
        <w:t>2050202</w:t>
      </w:r>
      <w:r>
        <w:rPr>
          <w:rFonts w:hint="eastAsia" w:ascii="Times New Roman" w:hAnsi="Times New Roman" w:eastAsia="仿宋_GB2312" w:cs="仿宋_GB2312"/>
          <w:color w:val="auto"/>
          <w:kern w:val="2"/>
          <w:sz w:val="32"/>
          <w:szCs w:val="32"/>
          <w:highlight w:val="none"/>
          <w:lang w:val="en-US" w:eastAsia="zh-CN" w:bidi="ar-SA"/>
        </w:rPr>
        <w:t>: 支出决算为</w:t>
      </w:r>
      <w:r>
        <w:rPr>
          <w:rFonts w:hint="eastAsia" w:eastAsia="仿宋_GB2312" w:cs="仿宋_GB2312"/>
          <w:color w:val="auto"/>
          <w:kern w:val="2"/>
          <w:sz w:val="32"/>
          <w:szCs w:val="32"/>
          <w:highlight w:val="none"/>
          <w:lang w:val="en-US" w:eastAsia="zh-CN" w:bidi="ar-SA"/>
        </w:rPr>
        <w:t>1450.99</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widowControl/>
        <w:numPr>
          <w:ilvl w:val="0"/>
          <w:numId w:val="2"/>
        </w:numPr>
        <w:shd w:val="clear" w:color="auto" w:fill="FFFFFF"/>
        <w:spacing w:line="560" w:lineRule="exact"/>
        <w:ind w:left="0" w:leftChars="0" w:firstLine="640" w:firstLineChars="0"/>
        <w:jc w:val="left"/>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社会保障和就业</w:t>
      </w:r>
      <w:r>
        <w:rPr>
          <w:rFonts w:hint="eastAsia" w:eastAsia="仿宋_GB2312" w:cs="仿宋_GB2312"/>
          <w:color w:val="auto"/>
          <w:kern w:val="2"/>
          <w:sz w:val="32"/>
          <w:szCs w:val="32"/>
          <w:highlight w:val="none"/>
          <w:lang w:val="en-US" w:eastAsia="zh-CN" w:bidi="ar-SA"/>
        </w:rPr>
        <w:t>2080505：</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249.68</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widowControl/>
        <w:numPr>
          <w:ilvl w:val="0"/>
          <w:numId w:val="2"/>
        </w:numPr>
        <w:shd w:val="clear" w:color="auto" w:fill="FFFFFF"/>
        <w:spacing w:line="560" w:lineRule="exact"/>
        <w:ind w:left="0" w:leftChars="0" w:firstLine="640" w:firstLineChars="0"/>
        <w:jc w:val="left"/>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卫生健康</w:t>
      </w:r>
      <w:r>
        <w:rPr>
          <w:rFonts w:hint="default" w:ascii="仿宋_GB2312" w:hAnsi="仿宋_GB2312" w:eastAsia="仿宋_GB2312" w:cs="仿宋_GB2312"/>
          <w:bCs/>
          <w:color w:val="000000"/>
          <w:sz w:val="32"/>
          <w:szCs w:val="32"/>
          <w:lang w:val="en-US" w:eastAsia="zh-CN"/>
        </w:rPr>
        <w:t>2101102</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93.76</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widowControl/>
        <w:numPr>
          <w:numId w:val="0"/>
        </w:numPr>
        <w:shd w:val="clear" w:color="auto" w:fill="FFFFFF"/>
        <w:spacing w:line="560" w:lineRule="exact"/>
        <w:ind w:left="640" w:leftChars="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4.住房公积金2210201：</w:t>
      </w:r>
      <w:r>
        <w:rPr>
          <w:rFonts w:hint="eastAsia" w:ascii="仿宋_GB2312" w:hAnsi="仿宋_GB2312" w:eastAsia="仿宋_GB2312" w:cs="仿宋_GB2312"/>
          <w:sz w:val="32"/>
          <w:szCs w:val="32"/>
          <w:lang w:eastAsia="en-US"/>
        </w:rPr>
        <w:t>支出决算为</w:t>
      </w:r>
      <w:r>
        <w:rPr>
          <w:rFonts w:hint="eastAsia" w:ascii="仿宋_GB2312" w:hAnsi="仿宋_GB2312" w:eastAsia="仿宋_GB2312" w:cs="仿宋_GB2312"/>
          <w:sz w:val="32"/>
          <w:szCs w:val="32"/>
          <w:lang w:val="en-US" w:eastAsia="zh-CN"/>
        </w:rPr>
        <w:t>133.56</w:t>
      </w:r>
      <w:r>
        <w:rPr>
          <w:rFonts w:hint="eastAsia" w:ascii="仿宋_GB2312" w:hAnsi="仿宋_GB2312" w:eastAsia="仿宋_GB2312" w:cs="仿宋_GB2312"/>
          <w:sz w:val="32"/>
          <w:szCs w:val="32"/>
          <w:lang w:eastAsia="en-US"/>
        </w:rPr>
        <w:t>万元</w:t>
      </w:r>
      <w:r>
        <w:rPr>
          <w:rFonts w:hint="eastAsia" w:ascii="仿宋_GB2312" w:hAnsi="仿宋_GB2312" w:eastAsia="仿宋_GB2312" w:cs="仿宋_GB2312"/>
          <w:sz w:val="32"/>
          <w:szCs w:val="32"/>
        </w:rPr>
        <w:t>，完成预算100%。</w:t>
      </w:r>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tabs>
          <w:tab w:val="right" w:pos="8306"/>
        </w:tabs>
        <w:spacing w:line="600" w:lineRule="exact"/>
        <w:ind w:firstLine="640"/>
        <w:outlineLvl w:val="1"/>
        <w:rPr>
          <w:rStyle w:val="29"/>
          <w:rFonts w:ascii="Times New Roman" w:hAnsi="Times New Roman"/>
          <w:color w:val="auto"/>
          <w:highlight w:val="none"/>
        </w:rPr>
      </w:pPr>
      <w:bookmarkStart w:id="34" w:name="_Toc15377214"/>
      <w:bookmarkStart w:id="35"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般公共预算财政拨款基本支出决算情况说明</w:t>
      </w:r>
      <w:bookmarkEnd w:id="34"/>
      <w:bookmarkEnd w:id="35"/>
      <w:r>
        <w:rPr>
          <w:rStyle w:val="29"/>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1745.47</w:t>
      </w:r>
      <w:r>
        <w:rPr>
          <w:rFonts w:hint="eastAsia" w:ascii="Times New Roman" w:hAnsi="Times New Roman" w:eastAsia="仿宋_GB2312" w:cs="仿宋_GB2312"/>
          <w:color w:val="auto"/>
          <w:kern w:val="2"/>
          <w:sz w:val="32"/>
          <w:szCs w:val="32"/>
          <w:highlight w:val="none"/>
          <w:lang w:val="en-US" w:eastAsia="zh-CN" w:bidi="ar-SA"/>
        </w:rPr>
        <w:t>万元，其中：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1694.1</w:t>
      </w:r>
      <w:r>
        <w:rPr>
          <w:rFonts w:hint="eastAsia" w:ascii="Times New Roman" w:hAnsi="Times New Roman" w:eastAsia="仿宋_GB2312" w:cs="仿宋_GB2312"/>
          <w:color w:val="auto"/>
          <w:kern w:val="2"/>
          <w:sz w:val="32"/>
          <w:szCs w:val="32"/>
          <w:highlight w:val="none"/>
          <w:lang w:val="en-US" w:eastAsia="zh-CN" w:bidi="ar-SA"/>
        </w:rPr>
        <w:t>万元，主要包括：基本工资370.08</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、津贴补贴260.17</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、奖金330.52</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、伙食补助费</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、绩效工资204.29</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、机关事业单位基本养老保险缴费166.51、职业年金缴费83.17</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、其他社会保障缴费7.99</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、其他工资福利支出</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、离休费</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、退休费</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、抚恤金</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、生活补助115.25</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、医疗费补助2.95</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、奖励金</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、住房公积金133.56</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、其他对个人和家庭的补助支出118.21</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51.37</w:t>
      </w:r>
      <w:r>
        <w:rPr>
          <w:rFonts w:hint="eastAsia" w:ascii="Times New Roman" w:hAnsi="Times New Roman" w:eastAsia="仿宋_GB2312" w:cs="仿宋_GB2312"/>
          <w:color w:val="auto"/>
          <w:kern w:val="2"/>
          <w:sz w:val="32"/>
          <w:szCs w:val="32"/>
          <w:highlight w:val="none"/>
          <w:lang w:val="en-US" w:eastAsia="zh-CN" w:bidi="ar-SA"/>
        </w:rPr>
        <w:t>万元，主要包括：办公费19.14</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、印刷费18.46</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、咨询费</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、手续费</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、水费0.53</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、电费21.57</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、邮电费1</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、取暖费11.85</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、物业管理费、差旅费0.09</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、因公出国（境）费用、维修（护）费19.01</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、租赁费、会议费、培训费4.32</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、公务接待费、劳务费0.23</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、委托业务费4.64</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、工会经费11.84</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、福利费15.78</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、公务用车运行维护费</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、其他交通费</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、税金及附加费用</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、其他商品和服务支出16.18</w:t>
      </w:r>
      <w:r>
        <w:rPr>
          <w:rFonts w:hint="eastAsia"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、办公设备购置</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、专用设备购置</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、信息网络及软件购置更新</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、其他资本性支出</w:t>
      </w:r>
      <w:r>
        <w:rPr>
          <w:rFonts w:hint="eastAsia" w:eastAsia="仿宋_GB2312" w:cs="仿宋_GB2312"/>
          <w:color w:val="auto"/>
          <w:kern w:val="2"/>
          <w:sz w:val="32"/>
          <w:szCs w:val="32"/>
          <w:highlight w:val="none"/>
          <w:lang w:val="en-US" w:eastAsia="zh-CN" w:bidi="ar-SA"/>
        </w:rPr>
        <w:t>0元</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outlineLvl w:val="1"/>
        <w:rPr>
          <w:rStyle w:val="29"/>
          <w:rFonts w:ascii="Times New Roman" w:hAnsi="Times New Roman" w:eastAsia="黑体"/>
          <w:b w:val="0"/>
          <w:color w:val="auto"/>
          <w:highlight w:val="none"/>
        </w:rPr>
      </w:pPr>
      <w:bookmarkStart w:id="36" w:name="_Toc15396609"/>
      <w:bookmarkStart w:id="37" w:name="_Toc15377215"/>
      <w:r>
        <w:rPr>
          <w:rFonts w:hint="eastAsia" w:ascii="Times New Roman" w:hAnsi="Times New Roman" w:eastAsia="黑体"/>
          <w:color w:val="auto"/>
          <w:sz w:val="32"/>
          <w:szCs w:val="32"/>
          <w:highlight w:val="none"/>
        </w:rPr>
        <w:t>七、</w:t>
      </w:r>
      <w:r>
        <w:rPr>
          <w:rStyle w:val="29"/>
          <w:rFonts w:hint="eastAsia" w:ascii="Times New Roman" w:hAnsi="Times New Roman" w:eastAsia="黑体"/>
          <w:b w:val="0"/>
          <w:color w:val="auto"/>
          <w:highlight w:val="none"/>
        </w:rPr>
        <w:t>财政拨款</w:t>
      </w:r>
      <w:r>
        <w:rPr>
          <w:rStyle w:val="29"/>
          <w:rFonts w:hint="eastAsia" w:ascii="Times New Roman" w:hAnsi="Times New Roman" w:eastAsia="黑体"/>
          <w:color w:val="auto"/>
          <w:highlight w:val="none"/>
        </w:rPr>
        <w:t>“</w:t>
      </w:r>
      <w:r>
        <w:rPr>
          <w:rStyle w:val="29"/>
          <w:rFonts w:hint="eastAsia" w:ascii="Times New Roman" w:hAnsi="Times New Roman" w:eastAsia="黑体"/>
          <w:b w:val="0"/>
          <w:color w:val="auto"/>
          <w:highlight w:val="none"/>
        </w:rPr>
        <w:t>三公”经费支出决算情况说明</w:t>
      </w:r>
      <w:bookmarkEnd w:id="36"/>
      <w:bookmarkEnd w:id="37"/>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8"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%，较上年度增加/减少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与预算数持平</w:t>
      </w:r>
      <w:r>
        <w:rPr>
          <w:rFonts w:hint="eastAsia"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9"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9"/>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p>
    <w:p>
      <w:pPr>
        <w:numPr>
          <w:ilvl w:val="0"/>
          <w:numId w:val="3"/>
        </w:num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p>
    <w:p>
      <w:pPr>
        <w:numPr>
          <w:numId w:val="0"/>
        </w:numPr>
        <w:spacing w:line="600" w:lineRule="exact"/>
        <w:ind w:firstLine="643"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p>
    <w:p>
      <w:pPr>
        <w:spacing w:line="600" w:lineRule="exact"/>
        <w:ind w:firstLine="643"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p>
    <w:p>
      <w:pPr>
        <w:spacing w:line="600" w:lineRule="exact"/>
        <w:ind w:firstLine="640"/>
        <w:outlineLvl w:val="1"/>
        <w:rPr>
          <w:rStyle w:val="29"/>
          <w:rFonts w:ascii="Times New Roman" w:hAnsi="Times New Roman" w:eastAsia="黑体"/>
          <w:color w:val="auto"/>
          <w:highlight w:val="none"/>
        </w:rPr>
      </w:pPr>
      <w:bookmarkStart w:id="40" w:name="_Toc15377218"/>
      <w:bookmarkStart w:id="41" w:name="_Toc15396610"/>
      <w:r>
        <w:rPr>
          <w:rFonts w:hint="eastAsia" w:ascii="Times New Roman" w:hAnsi="Times New Roman" w:eastAsia="黑体"/>
          <w:color w:val="auto"/>
          <w:sz w:val="32"/>
          <w:szCs w:val="32"/>
          <w:highlight w:val="none"/>
        </w:rPr>
        <w:t>八、</w:t>
      </w:r>
      <w:r>
        <w:rPr>
          <w:rStyle w:val="29"/>
          <w:rFonts w:hint="eastAsia" w:ascii="Times New Roman" w:hAnsi="Times New Roman" w:eastAsia="黑体"/>
          <w:b w:val="0"/>
          <w:color w:val="auto"/>
          <w:highlight w:val="none"/>
        </w:rPr>
        <w:t>政府性基金预算支出决算情况说明</w:t>
      </w:r>
      <w:bookmarkEnd w:id="40"/>
      <w:bookmarkEnd w:id="41"/>
    </w:p>
    <w:p>
      <w:pPr>
        <w:widowControl/>
        <w:shd w:val="clear" w:color="auto" w:fill="FFFFFF"/>
        <w:spacing w:line="560" w:lineRule="exact"/>
        <w:ind w:firstLine="320" w:firstLineChars="100"/>
        <w:jc w:val="both"/>
        <w:rPr>
          <w:rFonts w:hint="eastAsia" w:ascii="仿宋_GB2312" w:hAnsi="仿宋_GB2312" w:eastAsia="仿宋_GB2312" w:cs="仿宋_GB2312"/>
          <w:sz w:val="32"/>
          <w:szCs w:val="32"/>
          <w:lang w:eastAsia="en-US"/>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w:t>
      </w:r>
    </w:p>
    <w:p>
      <w:pPr>
        <w:numPr>
          <w:ilvl w:val="0"/>
          <w:numId w:val="0"/>
        </w:numPr>
        <w:spacing w:line="600" w:lineRule="exact"/>
        <w:ind w:firstLine="640" w:firstLineChars="200"/>
        <w:outlineLvl w:val="1"/>
        <w:rPr>
          <w:rStyle w:val="29"/>
          <w:rFonts w:ascii="Times New Roman" w:hAnsi="Times New Roman" w:eastAsia="黑体"/>
          <w:b w:val="0"/>
          <w:color w:val="auto"/>
          <w:highlight w:val="none"/>
        </w:rPr>
      </w:pPr>
      <w:bookmarkStart w:id="42" w:name="_Toc15396611"/>
      <w:bookmarkStart w:id="43" w:name="_Toc15377219"/>
      <w:r>
        <w:rPr>
          <w:rStyle w:val="29"/>
          <w:rFonts w:hint="eastAsia" w:ascii="Times New Roman" w:hAnsi="Times New Roman" w:eastAsia="黑体"/>
          <w:b w:val="0"/>
          <w:color w:val="auto"/>
          <w:highlight w:val="none"/>
          <w:lang w:eastAsia="zh-CN"/>
        </w:rPr>
        <w:t>九、</w:t>
      </w:r>
      <w:r>
        <w:rPr>
          <w:rStyle w:val="29"/>
          <w:rFonts w:hint="eastAsia" w:ascii="Times New Roman" w:hAnsi="Times New Roman" w:eastAsia="黑体"/>
          <w:b w:val="0"/>
          <w:color w:val="auto"/>
          <w:highlight w:val="none"/>
        </w:rPr>
        <w:t>国有资本经营预算支出决算情况说明</w:t>
      </w:r>
      <w:bookmarkEnd w:id="42"/>
      <w:bookmarkEnd w:id="4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w:t>
      </w:r>
    </w:p>
    <w:p>
      <w:pPr>
        <w:numPr>
          <w:ilvl w:val="0"/>
          <w:numId w:val="0"/>
        </w:numPr>
        <w:spacing w:line="600" w:lineRule="exact"/>
        <w:ind w:left="630" w:leftChars="0"/>
        <w:outlineLvl w:val="1"/>
        <w:rPr>
          <w:rStyle w:val="29"/>
          <w:rFonts w:hint="eastAsia" w:ascii="Times New Roman" w:hAnsi="Times New Roman" w:eastAsia="黑体"/>
          <w:b w:val="0"/>
          <w:color w:val="auto"/>
          <w:highlight w:val="none"/>
        </w:rPr>
      </w:pPr>
      <w:bookmarkStart w:id="44" w:name="_Toc15377221"/>
      <w:bookmarkStart w:id="45" w:name="_Toc15396612"/>
      <w:r>
        <w:rPr>
          <w:rStyle w:val="29"/>
          <w:rFonts w:hint="eastAsia" w:ascii="Times New Roman" w:hAnsi="Times New Roman" w:eastAsia="黑体"/>
          <w:b w:val="0"/>
          <w:color w:val="auto"/>
          <w:highlight w:val="none"/>
          <w:lang w:eastAsia="zh-CN"/>
        </w:rPr>
        <w:t>十、</w:t>
      </w:r>
      <w:r>
        <w:rPr>
          <w:rStyle w:val="29"/>
          <w:rFonts w:hint="eastAsia" w:ascii="Times New Roman" w:hAnsi="Times New Roman" w:eastAsia="黑体"/>
          <w:b w:val="0"/>
          <w:color w:val="auto"/>
          <w:highlight w:val="none"/>
        </w:rPr>
        <w:t>其他重要事项的情况说明</w:t>
      </w:r>
      <w:bookmarkEnd w:id="44"/>
      <w:bookmarkEnd w:id="45"/>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6" w:name="_Toc15377222"/>
      <w:r>
        <w:rPr>
          <w:rFonts w:hint="eastAsia" w:ascii="Times New Roman" w:hAnsi="Times New Roman" w:eastAsia="楷体_GB2312" w:cs="楷体_GB2312"/>
          <w:b/>
          <w:color w:val="auto"/>
          <w:sz w:val="32"/>
          <w:szCs w:val="32"/>
          <w:highlight w:val="none"/>
        </w:rPr>
        <w:t>（一）机关运行经费支出情况</w:t>
      </w:r>
      <w:bookmarkEnd w:id="46"/>
    </w:p>
    <w:p>
      <w:pPr>
        <w:spacing w:line="600" w:lineRule="exact"/>
        <w:ind w:firstLine="640" w:firstLineChars="200"/>
        <w:outlineLvl w:val="2"/>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红原县教育局希望小学</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w:t>
      </w:r>
      <w:bookmarkStart w:id="47" w:name="_Toc15377223"/>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（二）政府采购支出情况</w:t>
      </w:r>
      <w:bookmarkEnd w:id="47"/>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红原县教育局希望小学</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8" w:name="_Toc15377224"/>
      <w:r>
        <w:rPr>
          <w:rFonts w:hint="eastAsia" w:ascii="Times New Roman" w:hAnsi="Times New Roman" w:eastAsia="楷体_GB2312" w:cs="楷体_GB2312"/>
          <w:b/>
          <w:color w:val="auto"/>
          <w:sz w:val="32"/>
          <w:szCs w:val="32"/>
          <w:highlight w:val="none"/>
        </w:rPr>
        <w:t>（三）国有资产占有使用情况</w:t>
      </w:r>
      <w:bookmarkEnd w:id="48"/>
    </w:p>
    <w:p>
      <w:pPr>
        <w:spacing w:line="600" w:lineRule="exact"/>
        <w:ind w:firstLine="640" w:firstLineChars="200"/>
        <w:outlineLvl w:val="2"/>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红原县教育局希望小学</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w:t>
      </w:r>
      <w:r>
        <w:rPr>
          <w:rFonts w:hint="eastAsia"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pPr>
        <w:widowControl/>
        <w:shd w:val="clear" w:color="auto" w:fill="FFFFFF"/>
        <w:spacing w:line="560" w:lineRule="exact"/>
        <w:jc w:val="both"/>
        <w:rPr>
          <w:rFonts w:hint="eastAsia" w:ascii="仿宋_GB2312" w:hAnsi="仿宋_GB2312" w:eastAsia="仿宋_GB2312" w:cs="仿宋_GB2312"/>
          <w:sz w:val="32"/>
          <w:szCs w:val="32"/>
          <w:lang w:eastAsia="en-US"/>
        </w:rPr>
      </w:pPr>
      <w:r>
        <w:rPr>
          <w:rFonts w:hint="eastAsia" w:ascii="仿宋_GB2312" w:hAnsi="仿宋_GB2312" w:eastAsia="仿宋_GB2312" w:cs="仿宋_GB2312"/>
          <w:sz w:val="32"/>
          <w:szCs w:val="32"/>
          <w:lang w:eastAsia="en-US"/>
        </w:rPr>
        <w:t>预算编制与管理：根据预算绩效管理要求，年初完成预算编制工作，不断提高预算绩效管理认识，强化 “绩效为中心、对支出结果负责、对社会公众负责” 的理念。在绩效目标编制中，针对以往绩效目标指向不清、预算与目标匹配不足、数量和质量目标量化不细、效益目标不完整等问题进行改善，并加强专业技术人员业务培训，提升预算绩效评价质量。</w:t>
      </w:r>
    </w:p>
    <w:p>
      <w:pPr>
        <w:widowControl/>
        <w:shd w:val="clear" w:color="auto" w:fill="FFFFFF"/>
        <w:spacing w:line="560" w:lineRule="exact"/>
        <w:jc w:val="both"/>
        <w:rPr>
          <w:rFonts w:hint="eastAsia" w:ascii="仿宋_GB2312" w:hAnsi="仿宋_GB2312" w:eastAsia="仿宋_GB2312" w:cs="仿宋_GB2312"/>
          <w:sz w:val="32"/>
          <w:szCs w:val="32"/>
          <w:lang w:eastAsia="en-US"/>
        </w:rPr>
      </w:pPr>
      <w:r>
        <w:rPr>
          <w:rFonts w:hint="eastAsia" w:ascii="仿宋_GB2312" w:hAnsi="仿宋_GB2312" w:eastAsia="仿宋_GB2312" w:cs="仿宋_GB2312"/>
          <w:sz w:val="32"/>
          <w:szCs w:val="32"/>
          <w:lang w:eastAsia="en-US"/>
        </w:rPr>
        <w:t>绩效自评情况：对 2024 年整体支出开展绩效自评，从评价结果来看，各项工作按要求逐步推进，但仍存在不足：一是绩效管理制度体系有待进一步完善，部分流程不够细化；二是绩效指标设定的精准度需提升，部分指标未能完全贴合实际工作成效；三是预算执行与绩效目标的动态监控机制不够健全，需加强资金使用过程中的绩效跟踪，确保经费合理高效支出。部门开展绩效评价结果具体见附件 1。</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9" w:name="_Toc15396613"/>
      <w:bookmarkStart w:id="50"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9"/>
      <w:bookmarkEnd w:id="50"/>
    </w:p>
    <w:p>
      <w:pPr>
        <w:spacing w:line="600" w:lineRule="exact"/>
        <w:jc w:val="left"/>
        <w:rPr>
          <w:rFonts w:ascii="Times New Roman" w:hAnsi="Times New Roman"/>
          <w:b/>
          <w:color w:val="auto"/>
          <w:sz w:val="44"/>
          <w:szCs w:val="44"/>
          <w:highlight w:val="none"/>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2.事业收入：指事业单位开展专业业务活动及辅助活动取得的收入。如……（二级预算单位事业收入情况）等。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3.经营收入：指事业单位在专业业务活动及其辅助活动之外开展非独立核算经营活动取得的收入。如……（二级预算单位经营收入情况）等。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4.其他收入：指单位取得的除上述收入以外的各项收入。主要是……（收入类型）等。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9.一般公共服务（类）……（款）……（项）：指……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10.外交（类）……（款）……（项）：指……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11.公共安全（类）……（款）……（项）：指……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12.教育（类）……（款）……（项）：指……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13.科学技术（类）……（款）……（项）：指……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14.文化旅游体育与传媒（类）……（款）……（项）：指……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15.社会保障和就业（类）……（款）……（项）：指……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16.卫生健康（类）……（款）……（项）：指……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17.节能环保（类）……（款）……（项）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18.城乡社区（类）……（款）……（项）：指……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19.农林水（类）……（款）……（项）：指……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20.交通运输（类）……（款）……（项）：指……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21.资源勘探工业信息等（类）……（款）……（项）：指……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22.商业服务业（类）……（款）……（项）：指……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23.金融（类）……（款）……（项）：指……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24.自然资源海洋气象等（类）……（款）……（项）：指……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25.住房保障（类）……（款）……（项）：指……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26.粮油物资储备（类）……（款）……（项）：指……</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注：</w:t>
      </w:r>
      <w:r>
        <w:rPr>
          <w:rFonts w:hint="eastAsia" w:ascii="Times New Roman" w:hAnsi="Times New Roman" w:eastAsia="仿宋_GB2312" w:cs="仿宋_GB2312"/>
          <w:b/>
          <w:bCs/>
          <w:color w:val="auto"/>
          <w:kern w:val="2"/>
          <w:sz w:val="32"/>
          <w:szCs w:val="32"/>
          <w:highlight w:val="none"/>
          <w:lang w:val="en-US" w:eastAsia="zh-CN" w:bidi="ar-SA"/>
        </w:rPr>
        <w:t>解释本部门决算报表中涉及的全部功能分类科目至项级，不涉及的科目请自行删除。请参照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202</w:t>
      </w:r>
      <w:r>
        <w:rPr>
          <w:rFonts w:hint="eastAsia" w:eastAsia="仿宋_GB2312" w:cs="仿宋_GB2312"/>
          <w:b/>
          <w:bCs/>
          <w:color w:val="auto"/>
          <w:kern w:val="2"/>
          <w:sz w:val="32"/>
          <w:szCs w:val="32"/>
          <w:highlight w:val="none"/>
          <w:lang w:val="en-US" w:eastAsia="zh-CN" w:bidi="ar-SA"/>
        </w:rPr>
        <w:t>5</w:t>
      </w:r>
      <w:r>
        <w:rPr>
          <w:rFonts w:hint="eastAsia" w:ascii="Times New Roman" w:hAnsi="Times New Roman" w:eastAsia="仿宋_GB2312" w:cs="仿宋_GB2312"/>
          <w:b/>
          <w:bCs/>
          <w:color w:val="auto"/>
          <w:kern w:val="2"/>
          <w:sz w:val="32"/>
          <w:szCs w:val="32"/>
          <w:highlight w:val="none"/>
          <w:lang w:val="en-US" w:eastAsia="zh-CN" w:bidi="ar-SA"/>
        </w:rPr>
        <w:t>年政府收支分类科目</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增减内容）</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27.基本支出：指为保障机构正常运转、完成日常工作任务而发生的人员支出和公用支出。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28.项目支出：指在基本支出之外为完成特定行政任务和事业发展目标所发生的支出。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29.经营支出：指事业单位在专业业务活动及其辅助活动之外开展非独立核算经营活动发生的支出。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30.</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（注：名词解释部分请根据各部门实际列支情况罗列，并根据本部门职责职能增减名词解释内容）</w:t>
      </w:r>
    </w:p>
    <w:p>
      <w:pPr>
        <w:spacing w:line="600" w:lineRule="exact"/>
        <w:jc w:val="center"/>
        <w:rPr>
          <w:rStyle w:val="28"/>
          <w:rFonts w:hint="eastAsia" w:ascii="Times New Roman" w:hAnsi="Times New Roman" w:eastAsia="黑体"/>
          <w:b w:val="0"/>
          <w:color w:val="auto"/>
          <w:highlight w:val="none"/>
          <w:lang w:eastAsia="zh-CN"/>
        </w:rPr>
      </w:pPr>
      <w:bookmarkStart w:id="51"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52" w:name="_Toc15396614"/>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52"/>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pPr>
        <w:widowControl/>
        <w:shd w:val="clear" w:color="auto" w:fill="FFFFFF"/>
        <w:spacing w:line="560" w:lineRule="exact"/>
        <w:ind w:left="638" w:leftChars="304" w:firstLine="0" w:firstLineChars="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红原县深圳福田希望小学 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年部门整体支出绩效评价报告</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楷体_GB2312"/>
          <w:b/>
          <w:color w:val="auto"/>
          <w:sz w:val="32"/>
          <w:szCs w:val="32"/>
          <w:highlight w:val="none"/>
          <w:lang w:val="zh-CN"/>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zh-CN" w:eastAsia="zh-CN"/>
        </w:rPr>
        <w:t>我校属红原县教育局下属的二级预算单位，为独立核算财政全额拨款事业单位，执行政府会计制度。</w:t>
      </w:r>
    </w:p>
    <w:p>
      <w:pPr>
        <w:keepNext w:val="0"/>
        <w:keepLines w:val="0"/>
        <w:pageBreakBefore w:val="0"/>
        <w:widowControl/>
        <w:numPr>
          <w:ilvl w:val="0"/>
          <w:numId w:val="4"/>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楷体_GB2312" w:cs="楷体_GB2312"/>
          <w:b/>
          <w:color w:val="auto"/>
          <w:sz w:val="32"/>
          <w:szCs w:val="32"/>
          <w:highlight w:val="none"/>
          <w:lang w:val="zh-CN"/>
        </w:rPr>
      </w:pPr>
      <w:r>
        <w:rPr>
          <w:rFonts w:hint="default" w:ascii="Times New Roman" w:hAnsi="Times New Roman" w:eastAsia="楷体_GB2312" w:cs="楷体_GB2312"/>
          <w:b/>
          <w:color w:val="auto"/>
          <w:sz w:val="32"/>
          <w:szCs w:val="32"/>
          <w:highlight w:val="none"/>
          <w:lang w:val="zh-CN"/>
        </w:rPr>
        <w:t>机构职能</w:t>
      </w:r>
      <w:r>
        <w:rPr>
          <w:rFonts w:hint="eastAsia" w:ascii="Times New Roman" w:hAnsi="Times New Roman" w:eastAsia="楷体_GB2312" w:cs="楷体_GB2312"/>
          <w:b/>
          <w:color w:val="auto"/>
          <w:sz w:val="32"/>
          <w:szCs w:val="32"/>
          <w:highlight w:val="none"/>
          <w:lang w:val="zh-CN"/>
        </w:rPr>
        <w:t>。</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研究拟定学校教育发展战略，贯彻执行党和国家的教育方针、政策、法规及上级各项目标任务。</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研究拟定学校教育发展规划和年度计划，制定有关实施意见并组织实施。</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管理和指导学校基础教育工作，确保普及九年义务教育工作成果。</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行使综合协调督促职能，主抓单位运行、后勤、建设发展、人事、职称、工资、人员经费、党的建设、纪检群团工作等，管理学校教育经费，执行财务管理制度。</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负责学校教师队伍建设工作，推进学校内部管理体制改革。</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负责和指导学校教职工的思想政治工作，规划学校品德教育、体育卫生教育、艺术教育和国防教育工作，做好社会治安治理及安全保卫工作。</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仿宋_GB2312" w:cs="Times New Roman"/>
          <w:sz w:val="32"/>
          <w:szCs w:val="32"/>
          <w:lang w:val="zh-CN" w:eastAsia="zh-CN"/>
        </w:rPr>
      </w:pPr>
    </w:p>
    <w:p>
      <w:pPr>
        <w:widowControl/>
        <w:shd w:val="clear" w:color="auto" w:fill="FFFFFF"/>
        <w:spacing w:line="560" w:lineRule="exact"/>
        <w:jc w:val="both"/>
        <w:rPr>
          <w:rFonts w:hint="eastAsia" w:ascii="仿宋_GB2312" w:hAnsi="仿宋_GB2312" w:eastAsia="仿宋_GB2312" w:cs="仿宋_GB2312"/>
          <w:sz w:val="32"/>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default" w:ascii="Times New Roman" w:hAnsi="Times New Roman" w:eastAsia="仿宋_GB2312" w:cs="Times New Roman"/>
          <w:sz w:val="32"/>
          <w:szCs w:val="32"/>
          <w:lang w:val="en-US" w:eastAsia="zh-CN"/>
        </w:rPr>
        <w:t>截至202</w:t>
      </w:r>
      <w:r>
        <w:rPr>
          <w:rFonts w:hint="eastAsia"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年末</w:t>
      </w:r>
      <w:r>
        <w:rPr>
          <w:rFonts w:hint="eastAsia" w:ascii="仿宋_GB2312" w:hAnsi="仿宋_GB2312" w:eastAsia="仿宋_GB2312" w:cs="仿宋_GB2312"/>
          <w:sz w:val="32"/>
          <w:szCs w:val="32"/>
        </w:rPr>
        <w:t>，我校编制人数 64 人，在职教师 6</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 xml:space="preserve"> 人，退休教师 26 人，财政供养人员共计 </w:t>
      </w:r>
      <w:r>
        <w:rPr>
          <w:rFonts w:hint="eastAsia" w:ascii="仿宋_GB2312" w:hAnsi="仿宋_GB2312" w:eastAsia="仿宋_GB2312" w:cs="仿宋_GB2312"/>
          <w:sz w:val="32"/>
          <w:szCs w:val="32"/>
          <w:lang w:val="en-US" w:eastAsia="zh-CN"/>
        </w:rPr>
        <w:t>90</w:t>
      </w:r>
      <w:r>
        <w:rPr>
          <w:rFonts w:hint="eastAsia" w:ascii="仿宋_GB2312" w:hAnsi="仿宋_GB2312" w:eastAsia="仿宋_GB2312" w:cs="仿宋_GB2312"/>
          <w:sz w:val="32"/>
          <w:szCs w:val="32"/>
        </w:rPr>
        <w:t>人。</w:t>
      </w:r>
    </w:p>
    <w:p>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hint="default" w:ascii="Times New Roman" w:hAnsi="Times New Roman" w:cs="Times New Roman"/>
          <w:szCs w:val="32"/>
        </w:rPr>
      </w:pP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pPr>
        <w:widowControl/>
        <w:shd w:val="clear" w:color="auto" w:fill="FFFFFF"/>
        <w:spacing w:line="560" w:lineRule="exact"/>
        <w:jc w:val="both"/>
        <w:rPr>
          <w:rFonts w:hint="eastAsia" w:ascii="仿宋_GB2312" w:hAnsi="仿宋_GB2312" w:eastAsia="仿宋_GB2312" w:cs="仿宋_GB2312"/>
          <w:sz w:val="32"/>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仿宋_GB2312" w:hAnsi="仿宋_GB2312" w:eastAsia="仿宋_GB2312" w:cs="仿宋_GB2312"/>
          <w:sz w:val="32"/>
          <w:szCs w:val="32"/>
        </w:rPr>
        <w:t>2024</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年财政拨款收入1927.99 万元，全部为一般公共预算财政拨款收入，无其他收入。</w:t>
      </w:r>
    </w:p>
    <w:p>
      <w:pPr>
        <w:keepNext w:val="0"/>
        <w:keepLines w:val="0"/>
        <w:pageBreakBefore w:val="0"/>
        <w:widowControl/>
        <w:kinsoku/>
        <w:wordWrap/>
        <w:overflowPunct/>
        <w:topLinePunct w:val="0"/>
        <w:autoSpaceDE/>
        <w:autoSpaceDN/>
        <w:bidi w:val="0"/>
        <w:adjustRightInd w:val="0"/>
        <w:snapToGrid w:val="0"/>
        <w:spacing w:line="578" w:lineRule="exact"/>
        <w:ind w:firstLine="422"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en-US"/>
        </w:rPr>
      </w:pP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年年初预算支出情况、决算报表支出情况。</w:t>
      </w:r>
      <w:r>
        <w:rPr>
          <w:rFonts w:hint="eastAsia" w:eastAsia="仿宋_GB2312" w:cs="Times New Roman"/>
          <w:sz w:val="32"/>
          <w:szCs w:val="32"/>
          <w:lang w:val="en-US" w:eastAsia="zh-CN"/>
        </w:rPr>
        <w:t>2025</w:t>
      </w:r>
      <w:r>
        <w:rPr>
          <w:rFonts w:hint="eastAsia" w:ascii="Times New Roman" w:hAnsi="Times New Roman" w:eastAsia="仿宋_GB2312" w:cs="Times New Roman"/>
          <w:sz w:val="32"/>
          <w:szCs w:val="32"/>
          <w:lang w:val="en-US" w:eastAsia="zh-CN"/>
        </w:rPr>
        <w:t xml:space="preserve">年财政拨款支出 </w:t>
      </w:r>
      <w:r>
        <w:rPr>
          <w:rFonts w:hint="eastAsia" w:eastAsia="仿宋_GB2312" w:cs="Times New Roman"/>
          <w:sz w:val="32"/>
          <w:szCs w:val="32"/>
          <w:lang w:val="en-US" w:eastAsia="zh-CN"/>
        </w:rPr>
        <w:t>1927.99</w:t>
      </w:r>
      <w:r>
        <w:rPr>
          <w:rFonts w:hint="eastAsia" w:ascii="Times New Roman" w:hAnsi="Times New Roman" w:eastAsia="仿宋_GB2312" w:cs="Times New Roman"/>
          <w:sz w:val="32"/>
          <w:szCs w:val="32"/>
          <w:lang w:val="en-US" w:eastAsia="zh-CN"/>
        </w:rPr>
        <w:t>万元，其中基本支出 1745.47 万元，项目支出 182.51万元。</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p>
    <w:p>
      <w:pPr>
        <w:widowControl/>
        <w:shd w:val="clear" w:color="auto" w:fill="FFFFFF"/>
        <w:spacing w:line="560" w:lineRule="exact"/>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本年度，我校严格落实《预算法》及全面实施预算绩效管理相关要求，围绕年度重点工作任务开展执行，整体绩效目标基本实现，从履职效能、预算管理、财务管理、资产管理、采购管理五个方面开展总体绩效分析：</w:t>
      </w:r>
    </w:p>
    <w:p>
      <w:pPr>
        <w:widowControl/>
        <w:numPr>
          <w:ilvl w:val="0"/>
          <w:numId w:val="5"/>
        </w:numPr>
        <w:shd w:val="clear" w:color="auto" w:fill="FFFFFF"/>
        <w:spacing w:line="560" w:lineRule="exact"/>
        <w:jc w:val="both"/>
        <w:rPr>
          <w:rFonts w:hint="default"/>
          <w:lang w:val="en-US" w:eastAsia="zh-CN"/>
        </w:rPr>
      </w:pPr>
      <w:r>
        <w:rPr>
          <w:rFonts w:hint="eastAsia" w:ascii="仿宋_GB2312" w:hAnsi="仿宋_GB2312" w:eastAsia="仿宋_GB2312" w:cs="仿宋_GB2312"/>
          <w:sz w:val="32"/>
          <w:szCs w:val="32"/>
          <w:lang w:val="en-US" w:eastAsia="zh-CN"/>
        </w:rPr>
        <w:t>履职效能</w:t>
      </w:r>
    </w:p>
    <w:p>
      <w:pPr>
        <w:pStyle w:val="2"/>
        <w:rPr>
          <w:rFonts w:hint="default"/>
          <w:lang w:val="en-US" w:eastAsia="zh-CN"/>
        </w:rPr>
      </w:pPr>
      <w:r>
        <w:rPr>
          <w:rFonts w:hint="eastAsia" w:ascii="仿宋_GB2312" w:hAnsi="仿宋_GB2312" w:eastAsia="仿宋_GB2312" w:cs="仿宋_GB2312"/>
          <w:sz w:val="32"/>
          <w:szCs w:val="32"/>
          <w:lang w:val="en-US" w:eastAsia="zh-CN"/>
        </w:rPr>
        <w:t xml:space="preserve">   财政资金保障单位履职运转，人员经费足额保障，重点业务、民生相关工作有序推进，年度核心工作任务基本完成，服务对象总体满意度较好，财政资金履职保障作用有效发挥。</w:t>
      </w:r>
    </w:p>
    <w:p>
      <w:pPr>
        <w:widowControl/>
        <w:shd w:val="clear" w:color="auto" w:fill="FFFFFF"/>
        <w:spacing w:line="560" w:lineRule="exact"/>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预算管理：</w:t>
      </w:r>
    </w:p>
    <w:p>
      <w:pPr>
        <w:widowControl/>
        <w:shd w:val="clear" w:color="auto" w:fill="FFFFFF"/>
        <w:spacing w:line="560" w:lineRule="exact"/>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预算编制</w:t>
      </w:r>
      <w:r>
        <w:rPr>
          <w:rFonts w:hint="eastAsia" w:ascii="仿宋_GB2312" w:hAnsi="仿宋_GB2312" w:eastAsia="仿宋_GB2312" w:cs="仿宋_GB2312"/>
          <w:sz w:val="32"/>
          <w:szCs w:val="32"/>
          <w:lang w:eastAsia="zh-CN"/>
        </w:rPr>
        <w:t>基本贴合单位履职实际，收入统筹规范，严格把控一般性支出。全年预算执行总体平稳，按照工作进度有序安排资金支付。预算执行</w:t>
      </w:r>
      <w:r>
        <w:rPr>
          <w:rFonts w:hint="eastAsia" w:ascii="仿宋_GB2312" w:hAnsi="仿宋_GB2312" w:eastAsia="仿宋_GB2312" w:cs="仿宋_GB2312"/>
          <w:sz w:val="32"/>
          <w:szCs w:val="32"/>
        </w:rPr>
        <w:t>过程中，</w:t>
      </w:r>
      <w:r>
        <w:rPr>
          <w:rFonts w:hint="eastAsia" w:ascii="仿宋_GB2312" w:hAnsi="仿宋_GB2312" w:eastAsia="仿宋_GB2312" w:cs="仿宋_GB2312"/>
          <w:sz w:val="32"/>
          <w:szCs w:val="32"/>
          <w:lang w:eastAsia="zh-CN"/>
        </w:rPr>
        <w:t>因部门临时性新增工作任务，存在少量预算调剂，年末结余资金按财政规定规范处置。</w:t>
      </w:r>
    </w:p>
    <w:p>
      <w:pPr>
        <w:widowControl/>
        <w:shd w:val="clear" w:color="auto" w:fill="FFFFFF"/>
        <w:spacing w:line="560" w:lineRule="exact"/>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财务管理：内部财务管理制度健全，严格执行国库集中支付、报销审核制度，资金支付、会计核算规范，严格遵守财经纪律，资金使用合规。</w:t>
      </w:r>
    </w:p>
    <w:p>
      <w:pPr>
        <w:widowControl/>
        <w:shd w:val="clear" w:color="auto" w:fill="FFFFFF"/>
        <w:spacing w:line="560" w:lineRule="exact"/>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资产管理：</w:t>
      </w:r>
      <w:r>
        <w:rPr>
          <w:rFonts w:hint="eastAsia" w:ascii="仿宋_GB2312" w:hAnsi="仿宋_GB2312" w:eastAsia="仿宋_GB2312" w:cs="仿宋_GB2312"/>
          <w:sz w:val="32"/>
          <w:szCs w:val="32"/>
        </w:rPr>
        <w:t>严格执行固定资产管理制度，对购入、捐赠的固定资产及时入账，登记明细账并编制固定资产卡片，确保账实相符，同时结合实际完善固定资产管理制度</w:t>
      </w:r>
    </w:p>
    <w:p>
      <w:pPr>
        <w:widowControl/>
        <w:shd w:val="clear" w:color="auto" w:fill="FFFFFF"/>
        <w:spacing w:line="560" w:lineRule="exact"/>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采购管理：严格执行采购程序，采购执行进度总体正常。</w:t>
      </w:r>
      <w:r>
        <w:rPr>
          <w:rFonts w:hint="eastAsia" w:ascii="仿宋_GB2312" w:hAnsi="仿宋_GB2312" w:eastAsia="仿宋_GB2312" w:cs="仿宋_GB2312"/>
          <w:sz w:val="32"/>
          <w:szCs w:val="32"/>
        </w:rPr>
        <w:t>不断强化预算意识，实行部门综合预算管理，结合单位实际情况科学合理分配细化预算，降低预算支出波动幅度。</w:t>
      </w:r>
    </w:p>
    <w:p>
      <w:pPr>
        <w:widowControl/>
        <w:shd w:val="clear" w:color="auto" w:fill="FFFFFF"/>
        <w:spacing w:line="560" w:lineRule="exact"/>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存在问题：一是预算绩效管理的认知水平有待进一步提高，部分工作人员对绩效评价的重要性认识不足；二是绩效评价指标体系仍需完善，部分指标的科学性和可操作性有待增强；三是绩效评价结果的应用力度不够，评价结果与预算调整、改进工作的结合不够紧密。</w:t>
      </w:r>
    </w:p>
    <w:p>
      <w:pPr>
        <w:widowControl/>
        <w:shd w:val="clear" w:color="auto" w:fill="FFFFFF"/>
        <w:spacing w:line="560" w:lineRule="exact"/>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改进建议：一是加强预算绩效管理培训，提升工作人员的专业素养和认知水平，树立全过程绩效管理理念；二是结合学校实际工作，进一步优化绩效评价指标体系，提高指标的针对性、科学性和可操作性；三是强化绩效评价结果应用，将评价结果作为预算编制、调整及改进工作的重要依据，建立健全绩效评价结果反馈与整改机制，推动学校财务管理和教育教学工作持续改进；四是主管部门加强对学校预算绩效管理工作的指导和监督，定期开展检查，督促学校落实整改措施，提升预算绩效管理整体水平。</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320" w:firstLineChars="1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zh-CN" w:eastAsia="zh-CN" w:bidi="ar-SA"/>
        </w:rPr>
        <w:t>本年度项目资金到位及时，立项依据充分，资金支付规范，无挤占挪用问题。项目产出基本达标，有效保障专项业务开展，社会效益较好，服务对象满意度较高。</w:t>
      </w:r>
    </w:p>
    <w:p>
      <w:pPr>
        <w:keepNext w:val="0"/>
        <w:keepLines w:val="0"/>
        <w:pageBreakBefore w:val="0"/>
        <w:widowControl w:val="0"/>
        <w:numPr>
          <w:ilvl w:val="0"/>
          <w:numId w:val="4"/>
        </w:numPr>
        <w:kinsoku/>
        <w:wordWrap/>
        <w:overflowPunct/>
        <w:topLinePunct w:val="0"/>
        <w:autoSpaceDE/>
        <w:autoSpaceDN/>
        <w:bidi w:val="0"/>
        <w:adjustRightInd w:val="0"/>
        <w:snapToGrid w:val="0"/>
        <w:spacing w:line="578" w:lineRule="exact"/>
        <w:ind w:left="0" w:leftChars="0"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p>
    <w:p>
      <w:pPr>
        <w:keepNext w:val="0"/>
        <w:keepLines w:val="0"/>
        <w:pageBreakBefore w:val="0"/>
        <w:widowControl w:val="0"/>
        <w:numPr>
          <w:numId w:val="0"/>
        </w:numPr>
        <w:kinsoku/>
        <w:wordWrap/>
        <w:overflowPunct/>
        <w:topLinePunct w:val="0"/>
        <w:autoSpaceDE/>
        <w:autoSpaceDN/>
        <w:bidi w:val="0"/>
        <w:adjustRightInd w:val="0"/>
        <w:snapToGrid w:val="0"/>
        <w:spacing w:line="578" w:lineRule="exact"/>
        <w:ind w:leftChars="200"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zh-CN" w:eastAsia="zh-CN" w:bidi="ar-SA"/>
        </w:rPr>
        <w:t>积极运用绩效评价结果，将绩效情况与下一年度预算编制挂钩。针对绩效发现的问题落实整改，优化项目指标及落实管理，强化绩效约约束，提高资金使用效益。</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p>
    <w:p>
      <w:pPr>
        <w:keepNext w:val="0"/>
        <w:keepLines w:val="0"/>
        <w:pageBreakBefore w:val="0"/>
        <w:widowControl/>
        <w:kinsoku/>
        <w:wordWrap/>
        <w:overflowPunct/>
        <w:topLinePunct w:val="0"/>
        <w:autoSpaceDE/>
        <w:autoSpaceDN/>
        <w:bidi w:val="0"/>
        <w:adjustRightInd w:val="0"/>
        <w:snapToGrid w:val="0"/>
        <w:spacing w:line="578" w:lineRule="exact"/>
        <w:ind w:left="958" w:leftChars="456" w:firstLine="0" w:firstLineChars="0"/>
        <w:contextualSpacing/>
        <w:jc w:val="left"/>
        <w:textAlignment w:val="auto"/>
        <w:outlineLvl w:val="9"/>
        <w:rPr>
          <w:rFonts w:hint="default" w:ascii="Times New Roman" w:hAnsi="Times New Roman" w:eastAsia="仿宋_GB2312" w:cs="Times New Roman"/>
          <w:sz w:val="32"/>
          <w:szCs w:val="32"/>
          <w:u w:val="none"/>
          <w:lang w:val="en-US" w:eastAsia="zh-CN" w:bidi="ar"/>
        </w:rPr>
      </w:pPr>
      <w:r>
        <w:rPr>
          <w:rFonts w:hint="eastAsia" w:eastAsia="仿宋_GB2312" w:cs="Times New Roman"/>
          <w:sz w:val="32"/>
          <w:szCs w:val="32"/>
          <w:u w:val="none"/>
          <w:lang w:val="en-US" w:eastAsia="zh-CN" w:bidi="ar"/>
        </w:rPr>
        <w:t>2025年度预算绩效自评总体情况较好，各项工作有序推进，预算资金保障单位履职运转及重点项目实施，年度绩效目标基本完成。</w:t>
      </w:r>
    </w:p>
    <w:p>
      <w:pPr>
        <w:keepNext w:val="0"/>
        <w:keepLines w:val="0"/>
        <w:pageBreakBefore w:val="0"/>
        <w:widowControl/>
        <w:numPr>
          <w:ilvl w:val="0"/>
          <w:numId w:val="6"/>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存在问题。</w:t>
      </w:r>
    </w:p>
    <w:p>
      <w:pPr>
        <w:keepNext w:val="0"/>
        <w:keepLines w:val="0"/>
        <w:pageBreakBefore w:val="0"/>
        <w:widowControl/>
        <w:numPr>
          <w:numId w:val="0"/>
        </w:numPr>
        <w:kinsoku/>
        <w:wordWrap/>
        <w:overflowPunct/>
        <w:topLinePunct w:val="0"/>
        <w:autoSpaceDE/>
        <w:autoSpaceDN/>
        <w:bidi w:val="0"/>
        <w:adjustRightInd w:val="0"/>
        <w:snapToGrid w:val="0"/>
        <w:spacing w:line="578" w:lineRule="exact"/>
        <w:ind w:firstLine="960" w:firstLineChars="300"/>
        <w:contextualSpacing/>
        <w:jc w:val="left"/>
        <w:textAlignment w:val="auto"/>
        <w:outlineLvl w:val="9"/>
        <w:rPr>
          <w:rFonts w:hint="eastAsia" w:eastAsia="仿宋_GB2312" w:cs="Times New Roman"/>
          <w:sz w:val="32"/>
          <w:szCs w:val="32"/>
          <w:u w:val="none"/>
          <w:lang w:val="en-US" w:eastAsia="zh-CN" w:bidi="ar"/>
        </w:rPr>
      </w:pPr>
      <w:r>
        <w:rPr>
          <w:rFonts w:hint="eastAsia" w:eastAsia="仿宋_GB2312" w:cs="Times New Roman"/>
          <w:sz w:val="32"/>
          <w:szCs w:val="32"/>
          <w:u w:val="none"/>
          <w:lang w:val="en-US" w:eastAsia="zh-CN" w:bidi="ar"/>
        </w:rPr>
        <w:t>1.个别项目受客观因素影响，预算执行进度不均衡。</w:t>
      </w:r>
    </w:p>
    <w:p>
      <w:pPr>
        <w:pStyle w:val="2"/>
        <w:ind w:firstLine="960" w:firstLineChars="300"/>
        <w:rPr>
          <w:rFonts w:hint="eastAsia"/>
          <w:lang w:val="en-US" w:eastAsia="zh-CN"/>
        </w:rPr>
      </w:pPr>
      <w:r>
        <w:rPr>
          <w:rFonts w:hint="eastAsia" w:eastAsia="仿宋_GB2312" w:cs="Times New Roman"/>
          <w:sz w:val="32"/>
          <w:szCs w:val="32"/>
          <w:u w:val="none"/>
          <w:lang w:val="en-US" w:eastAsia="zh-CN" w:bidi="ar"/>
        </w:rPr>
        <w:t>2.部分绩效指标设置精细化不足，量化程度有待提高。</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bookmarkStart w:id="53" w:name="_Hlk110546638"/>
    </w:p>
    <w:p>
      <w:pPr>
        <w:keepNext w:val="0"/>
        <w:keepLines w:val="0"/>
        <w:pageBreakBefore w:val="0"/>
        <w:widowControl/>
        <w:kinsoku/>
        <w:wordWrap/>
        <w:overflowPunct/>
        <w:topLinePunct w:val="0"/>
        <w:autoSpaceDE/>
        <w:autoSpaceDN/>
        <w:bidi w:val="0"/>
        <w:adjustRightInd w:val="0"/>
        <w:snapToGrid w:val="0"/>
        <w:spacing w:line="578" w:lineRule="exact"/>
        <w:ind w:left="958" w:leftChars="456" w:firstLine="0" w:firstLineChars="0"/>
        <w:contextualSpacing/>
        <w:jc w:val="left"/>
        <w:textAlignment w:val="auto"/>
        <w:outlineLvl w:val="9"/>
        <w:rPr>
          <w:rFonts w:hint="eastAsia" w:eastAsia="仿宋_GB2312" w:cs="Times New Roman"/>
          <w:sz w:val="32"/>
          <w:szCs w:val="32"/>
          <w:u w:val="none"/>
          <w:lang w:val="en-US" w:eastAsia="zh-CN" w:bidi="ar"/>
        </w:rPr>
      </w:pPr>
      <w:r>
        <w:rPr>
          <w:rFonts w:hint="eastAsia" w:eastAsia="仿宋_GB2312" w:cs="Times New Roman"/>
          <w:sz w:val="32"/>
          <w:szCs w:val="32"/>
          <w:u w:val="none"/>
          <w:lang w:val="en-US" w:eastAsia="zh-CN" w:bidi="ar"/>
        </w:rPr>
        <w:t>1.科学编制绩效目标，进一步细化、量化绩效指标，提升指标可考核性。</w:t>
      </w:r>
    </w:p>
    <w:p>
      <w:pPr>
        <w:pStyle w:val="2"/>
        <w:ind w:left="958" w:leftChars="456" w:firstLine="0" w:firstLineChars="0"/>
        <w:rPr>
          <w:rFonts w:hint="eastAsia" w:ascii="Times New Roman" w:hAnsi="Times New Roman" w:eastAsia="仿宋_GB2312" w:cs="Times New Roman"/>
          <w:kern w:val="2"/>
          <w:sz w:val="32"/>
          <w:szCs w:val="32"/>
          <w:u w:val="none"/>
          <w:lang w:val="en" w:eastAsia="zh-CN" w:bidi="ar"/>
        </w:rPr>
      </w:pPr>
      <w:r>
        <w:rPr>
          <w:rFonts w:hint="eastAsia" w:eastAsia="仿宋_GB2312" w:cs="Times New Roman"/>
          <w:kern w:val="2"/>
          <w:sz w:val="32"/>
          <w:szCs w:val="32"/>
          <w:u w:val="none"/>
          <w:lang w:val="en-US" w:eastAsia="zh-CN" w:bidi="ar"/>
        </w:rPr>
        <w:t>2.</w:t>
      </w:r>
      <w:r>
        <w:rPr>
          <w:rFonts w:hint="eastAsia" w:ascii="Times New Roman" w:hAnsi="Times New Roman" w:eastAsia="仿宋_GB2312" w:cs="Times New Roman"/>
          <w:kern w:val="2"/>
          <w:sz w:val="32"/>
          <w:szCs w:val="32"/>
          <w:u w:val="none"/>
          <w:lang w:val="en" w:eastAsia="zh-CN" w:bidi="ar"/>
        </w:rPr>
        <w:t>强化预算执行动态监控，及时调度项目实施进度，均衡推进资金支付。</w:t>
      </w:r>
    </w:p>
    <w:bookmarkEnd w:id="53"/>
    <w:p>
      <w:pPr>
        <w:pStyle w:val="3"/>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pPr>
        <w:pStyle w:val="3"/>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r>
        <w:rPr>
          <w:rFonts w:hint="eastAsia" w:ascii="Times New Roman" w:eastAsia="仿宋_GB2312" w:cs="Times New Roman"/>
          <w:kern w:val="2"/>
          <w:sz w:val="32"/>
          <w:szCs w:val="32"/>
          <w:u w:val="none"/>
          <w:lang w:val="en-US" w:eastAsia="zh-CN" w:bidi="ar"/>
        </w:rPr>
        <w:t xml:space="preserve"> </w:t>
      </w:r>
    </w:p>
    <w:p>
      <w:pPr>
        <w:pStyle w:val="8"/>
        <w:rPr>
          <w:rFonts w:hint="eastAsia" w:ascii="Times New Roman" w:hAnsi="Times New Roman" w:cs="宋体"/>
          <w:color w:val="FF0000"/>
          <w:kern w:val="0"/>
          <w:sz w:val="32"/>
          <w:szCs w:val="32"/>
          <w:highlight w:val="yellow"/>
          <w:shd w:val="clear" w:color="auto" w:fill="FFFFFF"/>
          <w:lang w:val="zh-CN"/>
        </w:rPr>
      </w:pPr>
    </w:p>
    <w:p>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pPr>
        <w:pStyle w:val="8"/>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pPr>
        <w:pStyle w:val="3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pPr>
        <w:pStyle w:val="3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r>
        <w:rPr>
          <w:rFonts w:hint="eastAsia" w:ascii="Times New Roman" w:hAnsi="Times New Roman" w:eastAsia="方正小标宋简体" w:cs="方正小标宋简体"/>
          <w:color w:val="auto"/>
          <w:kern w:val="2"/>
          <w:sz w:val="44"/>
          <w:szCs w:val="44"/>
          <w:highlight w:val="none"/>
          <w:lang w:val="en-US" w:eastAsia="zh-CN"/>
        </w:rPr>
        <w:t>专项预算项目绩效评价报告范本</w:t>
      </w:r>
    </w:p>
    <w:p>
      <w:pPr>
        <w:pStyle w:val="34"/>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Times New Roman" w:hAnsi="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eastAsia="黑体"/>
          <w:sz w:val="32"/>
          <w:szCs w:val="32"/>
          <w:highlight w:val="none"/>
          <w:lang w:val="zh-CN"/>
        </w:rPr>
      </w:pPr>
      <w:r>
        <w:rPr>
          <w:rFonts w:hint="eastAsia" w:ascii="Times New Roman" w:hAnsi="Times New Roman" w:eastAsia="黑体"/>
          <w:sz w:val="32"/>
          <w:szCs w:val="32"/>
          <w:highlight w:val="none"/>
        </w:rPr>
        <w:t>一、</w:t>
      </w:r>
      <w:r>
        <w:rPr>
          <w:rFonts w:hint="eastAsia" w:ascii="Times New Roman" w:hAnsi="Times New Roman" w:eastAsia="黑体"/>
          <w:sz w:val="32"/>
          <w:szCs w:val="32"/>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Times New Roman" w:hAnsi="Times New Roman" w:eastAsia="仿宋_GB2312" w:cs="仿宋_GB2312"/>
          <w:color w:val="auto"/>
          <w:kern w:val="0"/>
          <w:sz w:val="32"/>
          <w:szCs w:val="32"/>
          <w:highlight w:val="none"/>
          <w:u w:val="none"/>
          <w:shd w:val="clear" w:color="auto" w:fill="FFFFFF"/>
          <w:lang w:val="zh-CN"/>
        </w:rPr>
      </w:pPr>
      <w:r>
        <w:rPr>
          <w:rFonts w:hint="eastAsia" w:ascii="Times New Roman" w:hAnsi="Times New Roman" w:eastAsia="楷体_GB2312"/>
          <w:b/>
          <w:color w:val="auto"/>
          <w:sz w:val="32"/>
          <w:szCs w:val="32"/>
          <w:highlight w:val="none"/>
          <w:u w:val="none"/>
          <w:lang w:val="zh-CN"/>
        </w:rPr>
        <w:t>（一）设立背景及基本情况。</w:t>
      </w:r>
      <w:r>
        <w:rPr>
          <w:rFonts w:hint="eastAsia" w:ascii="Times New Roman" w:hAnsi="Times New Roman" w:eastAsia="仿宋_GB2312" w:cs="仿宋_GB2312"/>
          <w:b w:val="0"/>
          <w:bCs w:val="0"/>
          <w:kern w:val="0"/>
          <w:position w:val="0"/>
          <w:sz w:val="32"/>
          <w:szCs w:val="32"/>
          <w:highlight w:val="none"/>
          <w:lang w:val="en-US" w:eastAsia="zh-CN" w:bidi="ar-SA"/>
        </w:rPr>
        <w:t>项目设立原因及背景，</w:t>
      </w:r>
      <w:r>
        <w:rPr>
          <w:rFonts w:hint="eastAsia" w:ascii="Times New Roman" w:hAnsi="Times New Roman" w:eastAsia="仿宋_GB2312" w:cs="仿宋_GB2312"/>
          <w:b w:val="0"/>
          <w:bCs w:val="0"/>
          <w:kern w:val="0"/>
          <w:position w:val="0"/>
          <w:sz w:val="32"/>
          <w:szCs w:val="32"/>
          <w:highlight w:val="none"/>
          <w:lang w:val="zh-CN" w:eastAsia="zh-CN" w:bidi="ar-SA"/>
        </w:rPr>
        <w:t>项目立项、资金申报的依据，项目主要内容</w:t>
      </w:r>
      <w:r>
        <w:rPr>
          <w:rFonts w:hint="eastAsia" w:ascii="Times New Roman" w:hAnsi="Times New Roman" w:eastAsia="仿宋_GB2312" w:cs="仿宋_GB2312"/>
          <w:b w:val="0"/>
          <w:bCs w:val="0"/>
          <w:kern w:val="0"/>
          <w:position w:val="0"/>
          <w:sz w:val="32"/>
          <w:szCs w:val="32"/>
          <w:highlight w:val="none"/>
          <w:lang w:val="en-US"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主管部门职能</w:t>
      </w:r>
      <w:r>
        <w:rPr>
          <w:rFonts w:hint="eastAsia" w:ascii="Times New Roman" w:hAnsi="Times New Roman" w:eastAsia="仿宋_GB2312" w:cs="仿宋_GB2312"/>
          <w:color w:val="auto"/>
          <w:kern w:val="0"/>
          <w:sz w:val="32"/>
          <w:szCs w:val="32"/>
          <w:highlight w:val="none"/>
          <w:u w:val="none"/>
          <w:shd w:val="clear" w:color="auto" w:fill="FFFFFF"/>
          <w:lang w:val="zh-CN"/>
        </w:rPr>
        <w:t>。</w:t>
      </w:r>
    </w:p>
    <w:p>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w:t>
      </w:r>
      <w:r>
        <w:rPr>
          <w:rFonts w:hint="eastAsia"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r>
        <w:rPr>
          <w:rFonts w:hint="eastAsia" w:ascii="Times New Roman" w:hAnsi="Times New Roman" w:eastAsia="楷体_GB2312" w:cs="Times New Roman"/>
          <w:b/>
          <w:color w:val="auto"/>
          <w:sz w:val="32"/>
          <w:szCs w:val="32"/>
          <w:highlight w:val="none"/>
          <w:u w:val="none"/>
          <w:lang w:val="en-US" w:eastAsia="zh-CN"/>
        </w:rPr>
        <w:t>。</w:t>
      </w:r>
      <w:r>
        <w:rPr>
          <w:rFonts w:hint="eastAsia" w:ascii="Times New Roman" w:hAnsi="Times New Roman" w:eastAsia="仿宋_GB2312" w:cs="仿宋_GB2312"/>
          <w:b w:val="0"/>
          <w:bCs w:val="0"/>
          <w:kern w:val="0"/>
          <w:position w:val="0"/>
          <w:sz w:val="32"/>
          <w:szCs w:val="32"/>
          <w:highlight w:val="none"/>
          <w:lang w:val="en-US" w:eastAsia="zh-CN" w:bidi="ar-SA"/>
        </w:rPr>
        <w:t>项目资金</w:t>
      </w:r>
      <w:r>
        <w:rPr>
          <w:rFonts w:hint="eastAsia" w:ascii="Times New Roman" w:hAnsi="Times New Roman" w:eastAsia="仿宋_GB2312" w:cs="仿宋_GB2312"/>
          <w:b w:val="0"/>
          <w:bCs w:val="0"/>
          <w:kern w:val="0"/>
          <w:position w:val="0"/>
          <w:sz w:val="32"/>
          <w:szCs w:val="32"/>
          <w:highlight w:val="none"/>
          <w:lang w:val="zh-CN" w:eastAsia="zh-CN" w:bidi="ar-SA"/>
        </w:rPr>
        <w:t>管理办法制定情况，项目实施目的和主要工作任务，项目支持方向。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eastAsia" w:ascii="Times New Roman" w:hAnsi="Times New Roman" w:eastAsia="楷体_GB2312" w:cs="Times New Roman"/>
          <w:b/>
          <w:color w:val="auto"/>
          <w:sz w:val="32"/>
          <w:szCs w:val="32"/>
          <w:highlight w:val="none"/>
          <w:u w:val="none"/>
          <w:lang w:val="zh-CN" w:eastAsia="zh-CN"/>
        </w:rPr>
        <w:t>。</w:t>
      </w:r>
      <w:r>
        <w:rPr>
          <w:rFonts w:hint="eastAsia" w:ascii="Times New Roman" w:hAnsi="Times New Roman" w:eastAsia="仿宋_GB2312" w:cs="仿宋_GB2312"/>
          <w:b w:val="0"/>
          <w:bCs w:val="0"/>
          <w:kern w:val="0"/>
          <w:position w:val="0"/>
          <w:sz w:val="32"/>
          <w:szCs w:val="32"/>
          <w:highlight w:val="none"/>
          <w:lang w:val="zh-CN" w:eastAsia="zh-CN" w:bidi="ar-SA"/>
        </w:rPr>
        <w:t>项目预算安排情况，项目资金分配原则及考虑因素，项目资金分配情况。</w:t>
      </w:r>
    </w:p>
    <w:p>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（四）项目绩效目标设置。</w:t>
      </w:r>
      <w:r>
        <w:rPr>
          <w:rFonts w:hint="eastAsia" w:ascii="Times New Roman" w:hAnsi="Times New Roman" w:eastAsia="仿宋_GB2312" w:cs="仿宋_GB2312"/>
          <w:b w:val="0"/>
          <w:bCs w:val="0"/>
          <w:kern w:val="0"/>
          <w:position w:val="0"/>
          <w:sz w:val="32"/>
          <w:szCs w:val="32"/>
          <w:highlight w:val="none"/>
          <w:lang w:val="zh-CN" w:eastAsia="zh-CN" w:bidi="ar-SA"/>
        </w:rPr>
        <w:t>项目整体、区域和具体绩效目标设置情况，项目自评工作开展情况。</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Times New Roman" w:hAnsi="Times New Roman" w:eastAsia="黑体"/>
          <w:sz w:val="32"/>
          <w:szCs w:val="32"/>
          <w:highlight w:val="none"/>
          <w:lang w:eastAsia="zh-CN"/>
        </w:rPr>
      </w:pPr>
      <w:r>
        <w:rPr>
          <w:rFonts w:hint="eastAsia" w:ascii="Times New Roman" w:hAnsi="Times New Roman" w:eastAsia="黑体"/>
          <w:sz w:val="32"/>
          <w:szCs w:val="32"/>
          <w:highlight w:val="none"/>
        </w:rPr>
        <w:t>二、</w:t>
      </w:r>
      <w:r>
        <w:rPr>
          <w:rFonts w:hint="eastAsia" w:ascii="Times New Roman" w:hAnsi="Times New Roman" w:eastAsia="黑体"/>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（一）评价目的。</w:t>
      </w:r>
      <w:r>
        <w:rPr>
          <w:rFonts w:hint="eastAsia" w:ascii="Times New Roman" w:hAnsi="Times New Roman" w:eastAsia="仿宋_GB2312" w:cs="仿宋_GB2312"/>
          <w:b w:val="0"/>
          <w:bCs w:val="0"/>
          <w:kern w:val="0"/>
          <w:position w:val="0"/>
          <w:sz w:val="32"/>
          <w:szCs w:val="32"/>
          <w:highlight w:val="none"/>
          <w:lang w:val="zh-CN" w:eastAsia="zh-CN" w:bidi="ar-SA"/>
        </w:rPr>
        <w:t>通过项目绩效自评要实现的目的。</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（二）预设问题及评价重点。</w:t>
      </w:r>
      <w:r>
        <w:rPr>
          <w:rFonts w:hint="eastAsia" w:ascii="Times New Roman" w:hAnsi="Times New Roman" w:eastAsia="仿宋_GB2312" w:cs="仿宋_GB2312"/>
          <w:b w:val="0"/>
          <w:bCs w:val="0"/>
          <w:kern w:val="0"/>
          <w:position w:val="0"/>
          <w:sz w:val="32"/>
          <w:szCs w:val="32"/>
          <w:highlight w:val="none"/>
          <w:lang w:val="zh-CN" w:eastAsia="zh-CN" w:bidi="ar-SA"/>
        </w:rPr>
        <w:t>按照绩效评价指标体系，对资金支出使用全过程及其实施效果进行综合评价和判断。</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eastAsia="zh-CN"/>
        </w:rPr>
        <w:t>（三）评价选点。</w:t>
      </w:r>
      <w:r>
        <w:rPr>
          <w:rFonts w:hint="eastAsia" w:ascii="Times New Roman" w:hAnsi="Times New Roman" w:eastAsia="仿宋_GB2312" w:cs="仿宋_GB2312"/>
          <w:b w:val="0"/>
          <w:bCs w:val="0"/>
          <w:kern w:val="0"/>
          <w:position w:val="0"/>
          <w:sz w:val="32"/>
          <w:szCs w:val="32"/>
          <w:highlight w:val="none"/>
          <w:lang w:val="zh-CN" w:eastAsia="zh-CN" w:bidi="ar-SA"/>
        </w:rPr>
        <w:t>项目绩效自评所抽样点位情况。每个专项预算项目应选取专项资金分配涉及市县总数的20%、总计不超过20个的市县点位进行实地踏勘，且点位清单应作为自评附表。</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（四）评价方法。</w:t>
      </w:r>
      <w:r>
        <w:rPr>
          <w:rFonts w:hint="eastAsia" w:ascii="Times New Roman" w:hAnsi="Times New Roman" w:eastAsia="仿宋_GB2312" w:cs="仿宋_GB2312"/>
          <w:b w:val="0"/>
          <w:bCs w:val="0"/>
          <w:kern w:val="0"/>
          <w:position w:val="0"/>
          <w:sz w:val="32"/>
          <w:szCs w:val="32"/>
          <w:highlight w:val="none"/>
          <w:lang w:val="zh-CN" w:eastAsia="zh-CN" w:bidi="ar-SA"/>
        </w:rPr>
        <w:t>根据项目情况和评价重点，用来收集相关材料和开展具体评价的方法。包括：采用成本效益分析法、标杆管理法、案卷研究法、单位自评法、实地勘察法、问卷调查法、座谈调研法等多种方法。</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bCs/>
          <w:lang w:eastAsia="zh-CN"/>
        </w:rPr>
      </w:pPr>
      <w:r>
        <w:rPr>
          <w:rFonts w:hint="eastAsia" w:ascii="Times New Roman" w:hAnsi="Times New Roman" w:eastAsia="楷体_GB2312"/>
          <w:b/>
          <w:color w:val="auto"/>
          <w:sz w:val="32"/>
          <w:szCs w:val="32"/>
          <w:highlight w:val="none"/>
          <w:u w:val="none"/>
          <w:lang w:val="zh-CN"/>
        </w:rPr>
        <w:t>（五）评价组织。</w:t>
      </w:r>
      <w:r>
        <w:rPr>
          <w:rFonts w:hint="eastAsia" w:ascii="Times New Roman" w:hAnsi="Times New Roman" w:eastAsia="仿宋_GB2312" w:cs="仿宋_GB2312"/>
          <w:b w:val="0"/>
          <w:bCs w:val="0"/>
          <w:kern w:val="0"/>
          <w:position w:val="0"/>
          <w:sz w:val="32"/>
          <w:szCs w:val="32"/>
          <w:highlight w:val="none"/>
          <w:lang w:val="zh-CN" w:eastAsia="zh-CN" w:bidi="ar-SA"/>
        </w:rPr>
        <w:t>评价组人员构成和职责分工。</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color w:val="auto"/>
          <w:sz w:val="32"/>
          <w:szCs w:val="32"/>
          <w:highlight w:val="none"/>
          <w:u w:val="none"/>
          <w:lang w:val="zh-CN"/>
        </w:rPr>
      </w:pPr>
      <w:r>
        <w:rPr>
          <w:rFonts w:hint="eastAsia" w:ascii="Times New Roman" w:hAnsi="Times New Roman" w:eastAsia="黑体"/>
          <w:color w:val="auto"/>
          <w:sz w:val="32"/>
          <w:szCs w:val="32"/>
          <w:highlight w:val="none"/>
          <w:u w:val="none"/>
        </w:rPr>
        <w:t>三、</w:t>
      </w:r>
      <w:r>
        <w:rPr>
          <w:rFonts w:hint="eastAsia" w:ascii="Times New Roman" w:hAnsi="Times New Roman" w:eastAsia="黑体"/>
          <w:color w:val="auto"/>
          <w:sz w:val="32"/>
          <w:szCs w:val="32"/>
          <w:highlight w:val="none"/>
          <w:u w:val="none"/>
          <w:lang w:eastAsia="zh-CN"/>
        </w:rPr>
        <w:t>绩效分析</w:t>
      </w:r>
      <w:r>
        <w:rPr>
          <w:rFonts w:hint="eastAsia" w:ascii="Times New Roman" w:hAnsi="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default"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zh-CN" w:eastAsia="zh-CN" w:bidi="ar-SA"/>
        </w:rPr>
        <w:t>项目</w:t>
      </w:r>
      <w:r>
        <w:rPr>
          <w:rFonts w:hint="default" w:ascii="Times New Roman" w:hAnsi="Times New Roman" w:eastAsia="仿宋_GB2312" w:cs="仿宋_GB2312"/>
          <w:b w:val="0"/>
          <w:bCs w:val="0"/>
          <w:kern w:val="0"/>
          <w:position w:val="0"/>
          <w:sz w:val="32"/>
          <w:szCs w:val="32"/>
          <w:highlight w:val="none"/>
          <w:lang w:val="zh-CN" w:eastAsia="zh-CN" w:bidi="ar-SA"/>
        </w:rPr>
        <w:t>预算绩效评价指标体系</w:t>
      </w:r>
      <w:r>
        <w:rPr>
          <w:rFonts w:hint="eastAsia" w:ascii="Times New Roman" w:hAnsi="Times New Roman" w:eastAsia="仿宋_GB2312" w:cs="仿宋_GB2312"/>
          <w:b w:val="0"/>
          <w:bCs w:val="0"/>
          <w:kern w:val="0"/>
          <w:position w:val="0"/>
          <w:sz w:val="32"/>
          <w:szCs w:val="32"/>
          <w:highlight w:val="none"/>
          <w:lang w:val="zh-CN" w:eastAsia="zh-CN" w:bidi="ar-SA"/>
        </w:rPr>
        <w:t>通用指标、专用指标、个性指标</w:t>
      </w:r>
      <w:r>
        <w:rPr>
          <w:rFonts w:hint="default" w:ascii="Times New Roman" w:hAnsi="Times New Roman" w:eastAsia="仿宋_GB2312" w:cs="仿宋_GB2312"/>
          <w:b w:val="0"/>
          <w:bCs w:val="0"/>
          <w:kern w:val="0"/>
          <w:position w:val="0"/>
          <w:sz w:val="32"/>
          <w:szCs w:val="32"/>
          <w:highlight w:val="none"/>
          <w:lang w:val="zh-CN" w:eastAsia="zh-CN" w:bidi="ar-SA"/>
        </w:rPr>
        <w:t>涉及</w:t>
      </w:r>
      <w:r>
        <w:rPr>
          <w:rFonts w:hint="eastAsia" w:ascii="Times New Roman" w:hAnsi="Times New Roman" w:eastAsia="仿宋_GB2312" w:cs="仿宋_GB2312"/>
          <w:b w:val="0"/>
          <w:bCs w:val="0"/>
          <w:kern w:val="0"/>
          <w:position w:val="0"/>
          <w:sz w:val="32"/>
          <w:szCs w:val="32"/>
          <w:highlight w:val="none"/>
          <w:lang w:val="zh-CN" w:eastAsia="zh-CN" w:bidi="ar-SA"/>
        </w:rPr>
        <w:t>二、三级</w:t>
      </w:r>
      <w:r>
        <w:rPr>
          <w:rFonts w:hint="default" w:ascii="Times New Roman" w:hAnsi="Times New Roman" w:eastAsia="仿宋_GB2312" w:cs="仿宋_GB2312"/>
          <w:b w:val="0"/>
          <w:bCs w:val="0"/>
          <w:kern w:val="0"/>
          <w:position w:val="0"/>
          <w:sz w:val="32"/>
          <w:szCs w:val="32"/>
          <w:highlight w:val="none"/>
          <w:lang w:val="zh-CN" w:eastAsia="zh-CN" w:bidi="ar-SA"/>
        </w:rPr>
        <w:t>指标进行</w:t>
      </w:r>
      <w:r>
        <w:rPr>
          <w:rFonts w:hint="eastAsia" w:ascii="Times New Roman" w:hAnsi="Times New Roman" w:eastAsia="仿宋_GB2312" w:cs="仿宋_GB2312"/>
          <w:b w:val="0"/>
          <w:bCs w:val="0"/>
          <w:kern w:val="0"/>
          <w:position w:val="0"/>
          <w:sz w:val="32"/>
          <w:szCs w:val="32"/>
          <w:highlight w:val="none"/>
          <w:lang w:val="zh-CN" w:eastAsia="zh-CN" w:bidi="ar-SA"/>
        </w:rPr>
        <w:t>逐项</w:t>
      </w:r>
      <w:r>
        <w:rPr>
          <w:rFonts w:hint="default" w:ascii="Times New Roman" w:hAnsi="Times New Roman" w:eastAsia="仿宋_GB2312" w:cs="仿宋_GB2312"/>
          <w:b w:val="0"/>
          <w:bCs w:val="0"/>
          <w:kern w:val="0"/>
          <w:position w:val="0"/>
          <w:sz w:val="32"/>
          <w:szCs w:val="32"/>
          <w:highlight w:val="none"/>
          <w:lang w:val="zh-CN" w:eastAsia="zh-CN" w:bidi="ar-SA"/>
        </w:rPr>
        <w:t>绩效分析</w:t>
      </w:r>
      <w:r>
        <w:rPr>
          <w:rFonts w:hint="eastAsia" w:ascii="Times New Roman" w:hAnsi="Times New Roman" w:eastAsia="仿宋_GB2312" w:cs="仿宋_GB2312"/>
          <w:b w:val="0"/>
          <w:bCs w:val="0"/>
          <w:kern w:val="0"/>
          <w:position w:val="0"/>
          <w:sz w:val="32"/>
          <w:szCs w:val="32"/>
          <w:highlight w:val="none"/>
          <w:lang w:val="zh-CN" w:eastAsia="zh-CN" w:bidi="ar-SA"/>
        </w:rPr>
        <w:t>并评分</w:t>
      </w:r>
      <w:r>
        <w:rPr>
          <w:rFonts w:hint="eastAsia" w:ascii="Times New Roman" w:hAnsi="Times New Roman" w:eastAsia="仿宋_GB2312" w:cs="仿宋_GB2312"/>
          <w:b w:val="0"/>
          <w:bCs w:val="0"/>
          <w:kern w:val="0"/>
          <w:position w:val="0"/>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楷体_GB2312" w:cs="Times New Roman"/>
          <w:b/>
          <w:color w:val="auto"/>
          <w:sz w:val="32"/>
          <w:szCs w:val="32"/>
          <w:highlight w:val="none"/>
          <w:u w:val="none"/>
          <w:lang w:val="en-US" w:eastAsia="zh-CN"/>
        </w:rPr>
      </w:pPr>
      <w:r>
        <w:rPr>
          <w:rFonts w:hint="eastAsia" w:ascii="Times New Roman" w:hAnsi="Times New Roman" w:eastAsia="楷体_GB2312" w:cs="Times New Roman"/>
          <w:b/>
          <w:color w:val="auto"/>
          <w:sz w:val="32"/>
          <w:szCs w:val="32"/>
          <w:highlight w:val="none"/>
          <w:u w:val="none"/>
          <w:lang w:val="zh-CN"/>
        </w:rPr>
        <w:t>（一）</w:t>
      </w:r>
      <w:r>
        <w:rPr>
          <w:rFonts w:hint="eastAsia"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w:t>
      </w:r>
      <w:r>
        <w:rPr>
          <w:rFonts w:hint="eastAsia" w:ascii="Times New Roman" w:hAnsi="Times New Roman" w:eastAsia="仿宋_GB2312" w:cs="仿宋_GB2312"/>
          <w:b w:val="0"/>
          <w:bCs w:val="0"/>
          <w:kern w:val="0"/>
          <w:position w:val="0"/>
          <w:sz w:val="32"/>
          <w:szCs w:val="32"/>
          <w:highlight w:val="none"/>
          <w:lang w:val="zh-CN" w:eastAsia="zh-CN" w:bidi="ar-SA"/>
        </w:rPr>
        <w:t>项目决策。围绕决策程序、规划论证、资金投向进行绩效分析。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项目管理。围绕制度办法、分配管理、绩效监管进行绩效分析。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3.项目实施。</w:t>
      </w:r>
      <w:r>
        <w:rPr>
          <w:rFonts w:hint="eastAsia" w:ascii="Times New Roman" w:hAnsi="Times New Roman" w:eastAsia="仿宋_GB2312" w:cs="仿宋_GB2312"/>
          <w:b w:val="0"/>
          <w:bCs w:val="0"/>
          <w:kern w:val="0"/>
          <w:position w:val="0"/>
          <w:sz w:val="32"/>
          <w:szCs w:val="32"/>
          <w:highlight w:val="none"/>
          <w:lang w:val="zh-CN" w:eastAsia="zh-CN" w:bidi="ar-SA"/>
        </w:rPr>
        <w:t>围绕预算执行、资金使用进行绩效分析。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4.项目结果。围绕</w:t>
      </w:r>
      <w:r>
        <w:rPr>
          <w:rFonts w:hint="eastAsia" w:ascii="Times New Roman" w:hAnsi="Times New Roman" w:eastAsia="仿宋_GB2312" w:cs="仿宋_GB2312"/>
          <w:b w:val="0"/>
          <w:bCs w:val="0"/>
          <w:kern w:val="0"/>
          <w:position w:val="0"/>
          <w:sz w:val="32"/>
          <w:szCs w:val="32"/>
          <w:highlight w:val="none"/>
          <w:lang w:val="zh-CN" w:eastAsia="zh-CN" w:bidi="ar-SA"/>
        </w:rPr>
        <w:t>目标完成、完成时效进行绩效分析。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rPr>
        <w:t>（二）</w:t>
      </w:r>
      <w:r>
        <w:rPr>
          <w:rFonts w:hint="eastAsia"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en-US" w:eastAsia="zh-CN" w:bidi="ar-SA"/>
        </w:rPr>
        <w:t>专项预算项目资金支持对象选择所属指标进行绩效分析。支持对象</w:t>
      </w:r>
      <w:r>
        <w:rPr>
          <w:rFonts w:hint="eastAsia" w:ascii="Times New Roman" w:hAnsi="Times New Roman" w:eastAsia="仿宋_GB2312" w:cs="仿宋_GB2312"/>
          <w:b w:val="0"/>
          <w:bCs w:val="0"/>
          <w:kern w:val="0"/>
          <w:position w:val="0"/>
          <w:sz w:val="32"/>
          <w:szCs w:val="32"/>
          <w:highlight w:val="none"/>
          <w:lang w:val="zh-CN" w:eastAsia="zh-CN" w:bidi="ar-SA"/>
        </w:rPr>
        <w:t>包括产业发展、民生保障、基础设施、行政运转等方面。</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1.产业发展。围绕符合性、成长性、经济性进行绩效分析。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民生保障。</w:t>
      </w:r>
      <w:r>
        <w:rPr>
          <w:rFonts w:hint="eastAsia" w:ascii="Times New Roman" w:hAnsi="Times New Roman" w:eastAsia="仿宋_GB2312" w:cs="仿宋_GB2312"/>
          <w:b w:val="0"/>
          <w:bCs w:val="0"/>
          <w:kern w:val="0"/>
          <w:position w:val="0"/>
          <w:sz w:val="32"/>
          <w:szCs w:val="32"/>
          <w:highlight w:val="none"/>
          <w:lang w:val="en-US" w:eastAsia="zh-CN" w:bidi="ar-SA"/>
        </w:rPr>
        <w:t>围绕区域均衡性、对象精准性、标准合理性、群众满意度进行绩效分析。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3.基础设施。在建项目围绕工程进度和资金拨付进行绩效分析；建成项目围绕项目验收、功能实现、后续管护进行</w:t>
      </w:r>
      <w:r>
        <w:rPr>
          <w:rFonts w:hint="eastAsia" w:ascii="Times New Roman" w:hAnsi="Times New Roman" w:eastAsia="仿宋_GB2312" w:cs="仿宋_GB2312"/>
          <w:b w:val="0"/>
          <w:bCs w:val="0"/>
          <w:kern w:val="0"/>
          <w:position w:val="0"/>
          <w:sz w:val="32"/>
          <w:szCs w:val="32"/>
          <w:highlight w:val="none"/>
          <w:lang w:val="zh-CN" w:eastAsia="zh-CN" w:bidi="ar-SA"/>
        </w:rPr>
        <w:t>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w:t>
      </w:r>
      <w:r>
        <w:rPr>
          <w:rFonts w:hint="eastAsia" w:ascii="Times New Roman" w:hAnsi="Times New Roman" w:eastAsia="仿宋_GB2312" w:cs="仿宋_GB2312"/>
          <w:b w:val="0"/>
          <w:bCs w:val="0"/>
          <w:kern w:val="0"/>
          <w:position w:val="0"/>
          <w:sz w:val="32"/>
          <w:szCs w:val="32"/>
          <w:highlight w:val="none"/>
          <w:lang w:val="zh-CN" w:eastAsia="zh-CN" w:bidi="ar-SA"/>
        </w:rPr>
        <w:t>行政运转。围绕用途合规性、程序合规性、标准合规性进行绩效分析。</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（三）</w:t>
      </w:r>
      <w:r>
        <w:rPr>
          <w:rFonts w:hint="eastAsia"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zh-CN" w:eastAsia="zh-CN" w:bidi="ar-SA"/>
        </w:rPr>
        <w:t>根据项目个性自行设定部分指标，反映该项指标执行完成情况。</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四、评价结论</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简要阐述专项预算项目绩效自评总体结论，包含评价总分、</w:t>
      </w:r>
      <w:r>
        <w:rPr>
          <w:rFonts w:hint="eastAsia" w:ascii="Times New Roman" w:hAnsi="Times New Roman" w:eastAsia="仿宋_GB2312" w:cs="仿宋_GB2312"/>
          <w:b w:val="0"/>
          <w:bCs w:val="0"/>
          <w:kern w:val="0"/>
          <w:position w:val="0"/>
          <w:sz w:val="32"/>
          <w:szCs w:val="32"/>
          <w:highlight w:val="none"/>
          <w:lang w:val="zh-CN" w:eastAsia="zh-CN" w:bidi="ar-SA"/>
        </w:rPr>
        <w:t>项目实施情况。</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五、存在主要问题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简要阐述专项预算项目绩效自评发现的主要问题。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zh-CN" w:eastAsia="zh-CN" w:bidi="ar-SA"/>
        </w:rPr>
      </w:pPr>
      <w:r>
        <w:rPr>
          <w:rFonts w:hint="eastAsia" w:ascii="黑体" w:hAnsi="黑体" w:eastAsia="黑体" w:cs="黑体"/>
          <w:b w:val="0"/>
          <w:bCs w:val="0"/>
          <w:kern w:val="0"/>
          <w:position w:val="0"/>
          <w:sz w:val="32"/>
          <w:szCs w:val="32"/>
          <w:highlight w:val="none"/>
          <w:lang w:val="zh-CN" w:eastAsia="zh-CN" w:bidi="ar-SA"/>
        </w:rPr>
        <w:t>六、改进建议</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简要阐述专项预算项目在</w:t>
      </w:r>
      <w:r>
        <w:rPr>
          <w:rFonts w:hint="eastAsia" w:ascii="Times New Roman" w:hAnsi="Times New Roman" w:eastAsia="仿宋_GB2312" w:cs="仿宋_GB2312"/>
          <w:b w:val="0"/>
          <w:bCs w:val="0"/>
          <w:kern w:val="0"/>
          <w:position w:val="0"/>
          <w:sz w:val="32"/>
          <w:szCs w:val="32"/>
          <w:highlight w:val="none"/>
          <w:lang w:val="en" w:eastAsia="zh-CN" w:bidi="ar-SA"/>
        </w:rPr>
        <w:t>预算安排、完善政策、改进管理等方面的</w:t>
      </w:r>
      <w:r>
        <w:rPr>
          <w:rFonts w:hint="eastAsia" w:ascii="Times New Roman" w:hAnsi="Times New Roman" w:eastAsia="仿宋_GB2312" w:cs="仿宋_GB2312"/>
          <w:b w:val="0"/>
          <w:bCs w:val="0"/>
          <w:kern w:val="0"/>
          <w:position w:val="0"/>
          <w:sz w:val="32"/>
          <w:szCs w:val="32"/>
          <w:highlight w:val="none"/>
          <w:lang w:val="en-US" w:eastAsia="zh-CN" w:bidi="ar-SA"/>
        </w:rPr>
        <w:t>措施</w:t>
      </w:r>
      <w:r>
        <w:rPr>
          <w:rFonts w:hint="eastAsia" w:ascii="Times New Roman" w:hAnsi="Times New Roman" w:eastAsia="仿宋_GB2312" w:cs="仿宋_GB2312"/>
          <w:b w:val="0"/>
          <w:bCs w:val="0"/>
          <w:kern w:val="0"/>
          <w:position w:val="0"/>
          <w:sz w:val="32"/>
          <w:szCs w:val="32"/>
          <w:highlight w:val="none"/>
          <w:lang w:val="en" w:eastAsia="zh-CN" w:bidi="ar-SA"/>
        </w:rPr>
        <w:t>建议，其中</w:t>
      </w:r>
      <w:r>
        <w:rPr>
          <w:rFonts w:hint="eastAsia" w:ascii="Times New Roman" w:hAnsi="Times New Roman" w:eastAsia="仿宋_GB2312" w:cs="仿宋_GB2312"/>
          <w:b w:val="0"/>
          <w:bCs w:val="0"/>
          <w:kern w:val="0"/>
          <w:position w:val="0"/>
          <w:sz w:val="32"/>
          <w:szCs w:val="32"/>
          <w:highlight w:val="none"/>
          <w:lang w:val="en-US" w:eastAsia="zh-CN" w:bidi="ar-SA"/>
        </w:rPr>
        <w:t>必须对应评价发现的主要问题一一提出措施建议。</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bCs/>
          <w:kern w:val="0"/>
          <w:position w:val="0"/>
          <w:sz w:val="32"/>
          <w:szCs w:val="32"/>
          <w:highlight w:val="none"/>
          <w:lang w:val="en-US" w:eastAsia="zh-CN" w:bidi="ar-SA"/>
        </w:rPr>
      </w:pPr>
      <w:r>
        <w:rPr>
          <w:rFonts w:hint="eastAsia" w:ascii="Times New Roman" w:hAnsi="Times New Roman" w:eastAsia="仿宋_GB2312" w:cs="仿宋_GB2312"/>
          <w:b/>
          <w:bCs/>
          <w:kern w:val="0"/>
          <w:position w:val="0"/>
          <w:sz w:val="32"/>
          <w:szCs w:val="32"/>
          <w:highlight w:val="none"/>
          <w:lang w:val="en-US" w:eastAsia="zh-CN" w:bidi="ar-SA"/>
        </w:rPr>
        <w:t>（</w:t>
      </w:r>
      <w:r>
        <w:rPr>
          <w:rFonts w:hint="eastAsia" w:eastAsia="仿宋_GB2312" w:cs="仿宋_GB2312"/>
          <w:b/>
          <w:bCs/>
          <w:kern w:val="0"/>
          <w:position w:val="0"/>
          <w:sz w:val="32"/>
          <w:szCs w:val="32"/>
          <w:highlight w:val="none"/>
          <w:lang w:val="en-US" w:eastAsia="zh-CN" w:bidi="ar-SA"/>
        </w:rPr>
        <w:t>注：</w:t>
      </w:r>
      <w:r>
        <w:rPr>
          <w:rFonts w:hint="eastAsia" w:ascii="Times New Roman" w:hAnsi="Times New Roman" w:eastAsia="仿宋_GB2312" w:cs="仿宋_GB2312"/>
          <w:b/>
          <w:bCs/>
          <w:kern w:val="0"/>
          <w:position w:val="0"/>
          <w:sz w:val="32"/>
          <w:szCs w:val="32"/>
          <w:highlight w:val="none"/>
          <w:lang w:val="en-US" w:eastAsia="zh-CN" w:bidi="ar-SA"/>
        </w:rPr>
        <w:t>以上绩效自评报告，除涉密敏感内容外，原则上都应予以公开）</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54"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8"/>
          <w:rFonts w:hint="eastAsia" w:ascii="Times New Roman" w:hAnsi="Times New Roman" w:eastAsia="黑体"/>
          <w:b w:val="0"/>
          <w:color w:val="auto"/>
          <w:highlight w:val="none"/>
        </w:rPr>
        <w:t>五部分 附表</w:t>
      </w:r>
      <w:bookmarkEnd w:id="51"/>
      <w:bookmarkEnd w:id="54"/>
      <w:bookmarkStart w:id="55" w:name="_Toc1539661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55"/>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0"/>
      <w:r>
        <w:rPr>
          <w:rFonts w:hint="eastAsia" w:ascii="Times New Roman" w:hAnsi="Times New Roman" w:eastAsia="仿宋_GB2312" w:cs="仿宋_GB2312"/>
          <w:color w:val="auto"/>
          <w:sz w:val="32"/>
          <w:szCs w:val="32"/>
          <w:highlight w:val="none"/>
        </w:rPr>
        <w:t>二、收入决算表</w:t>
      </w:r>
      <w:bookmarkEnd w:id="56"/>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1"/>
      <w:r>
        <w:rPr>
          <w:rFonts w:hint="eastAsia" w:ascii="Times New Roman" w:hAnsi="Times New Roman" w:eastAsia="仿宋_GB2312" w:cs="仿宋_GB2312"/>
          <w:color w:val="auto"/>
          <w:sz w:val="32"/>
          <w:szCs w:val="32"/>
          <w:highlight w:val="none"/>
        </w:rPr>
        <w:t>三、支出决算表</w:t>
      </w:r>
      <w:bookmarkEnd w:id="57"/>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2"/>
      <w:r>
        <w:rPr>
          <w:rFonts w:hint="eastAsia" w:ascii="Times New Roman" w:hAnsi="Times New Roman" w:eastAsia="仿宋_GB2312" w:cs="仿宋_GB2312"/>
          <w:color w:val="auto"/>
          <w:sz w:val="32"/>
          <w:szCs w:val="32"/>
          <w:highlight w:val="none"/>
        </w:rPr>
        <w:t>四、财政拨款收入支出决算总表</w:t>
      </w:r>
      <w:bookmarkEnd w:id="58"/>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3"/>
      <w:r>
        <w:rPr>
          <w:rFonts w:hint="eastAsia" w:ascii="Times New Roman" w:hAnsi="Times New Roman" w:eastAsia="仿宋_GB2312" w:cs="仿宋_GB2312"/>
          <w:color w:val="auto"/>
          <w:sz w:val="32"/>
          <w:szCs w:val="32"/>
          <w:highlight w:val="none"/>
        </w:rPr>
        <w:t>五、财政拨款支出决算明细表</w:t>
      </w:r>
      <w:bookmarkEnd w:id="59"/>
      <w:bookmarkStart w:id="60" w:name="_Toc1539662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60"/>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1" w:name="_Toc15396625"/>
      <w:r>
        <w:rPr>
          <w:rFonts w:hint="eastAsia" w:ascii="Times New Roman" w:hAnsi="Times New Roman" w:eastAsia="仿宋_GB2312" w:cs="仿宋_GB2312"/>
          <w:color w:val="auto"/>
          <w:sz w:val="32"/>
          <w:szCs w:val="32"/>
          <w:highlight w:val="none"/>
        </w:rPr>
        <w:t>七、一般公共预算财政拨款支出决算明细表</w:t>
      </w:r>
      <w:bookmarkEnd w:id="61"/>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2" w:name="_Toc15396626"/>
      <w:r>
        <w:rPr>
          <w:rFonts w:hint="eastAsia" w:ascii="Times New Roman" w:hAnsi="Times New Roman" w:eastAsia="仿宋_GB2312" w:cs="仿宋_GB2312"/>
          <w:color w:val="auto"/>
          <w:sz w:val="32"/>
          <w:szCs w:val="32"/>
          <w:highlight w:val="none"/>
        </w:rPr>
        <w:t>八、一般公共预算财政拨款基本支出决算表</w:t>
      </w:r>
      <w:bookmarkEnd w:id="62"/>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3" w:name="_Toc15396627"/>
      <w:r>
        <w:rPr>
          <w:rFonts w:hint="eastAsia" w:ascii="Times New Roman" w:hAnsi="Times New Roman" w:eastAsia="仿宋_GB2312" w:cs="仿宋_GB2312"/>
          <w:color w:val="auto"/>
          <w:sz w:val="32"/>
          <w:szCs w:val="32"/>
          <w:highlight w:val="none"/>
        </w:rPr>
        <w:t>九、一般公共预算财政拨款项目支出决算表</w:t>
      </w:r>
      <w:bookmarkEnd w:id="63"/>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4" w:name="_Toc15396628"/>
      <w:r>
        <w:rPr>
          <w:rFonts w:hint="eastAsia" w:ascii="Times New Roman" w:hAnsi="Times New Roman" w:eastAsia="仿宋_GB2312" w:cs="仿宋_GB2312"/>
          <w:color w:val="auto"/>
          <w:sz w:val="32"/>
          <w:szCs w:val="32"/>
          <w:highlight w:val="none"/>
        </w:rPr>
        <w:t>十、</w:t>
      </w:r>
      <w:bookmarkEnd w:id="64"/>
      <w:r>
        <w:rPr>
          <w:rFonts w:hint="eastAsia" w:ascii="Times New Roman" w:hAnsi="Times New Roman" w:eastAsia="仿宋_GB2312" w:cs="仿宋_GB2312"/>
          <w:color w:val="auto"/>
          <w:sz w:val="32"/>
          <w:szCs w:val="32"/>
          <w:highlight w:val="none"/>
        </w:rPr>
        <w:t>政府性基金预算财政拨款收入支出决算表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5" w:name="_Toc15396629"/>
      <w:r>
        <w:rPr>
          <w:rFonts w:hint="eastAsia" w:ascii="Times New Roman" w:hAnsi="Times New Roman" w:eastAsia="仿宋_GB2312" w:cs="仿宋_GB2312"/>
          <w:color w:val="auto"/>
          <w:sz w:val="32"/>
          <w:szCs w:val="32"/>
          <w:highlight w:val="none"/>
        </w:rPr>
        <w:t>十一、</w:t>
      </w:r>
      <w:bookmarkEnd w:id="65"/>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6" w:name="_Toc15396630"/>
      <w:r>
        <w:rPr>
          <w:rFonts w:hint="eastAsia" w:ascii="Times New Roman" w:hAnsi="Times New Roman" w:eastAsia="仿宋_GB2312" w:cs="仿宋_GB2312"/>
          <w:color w:val="auto"/>
          <w:sz w:val="32"/>
          <w:szCs w:val="32"/>
          <w:highlight w:val="none"/>
        </w:rPr>
        <w:t>十二、</w:t>
      </w:r>
      <w:bookmarkEnd w:id="66"/>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7" w:name="_Toc15396631"/>
      <w:r>
        <w:rPr>
          <w:rFonts w:hint="eastAsia" w:ascii="Times New Roman" w:hAnsi="Times New Roman" w:eastAsia="仿宋_GB2312" w:cs="仿宋_GB2312"/>
          <w:color w:val="auto"/>
          <w:sz w:val="32"/>
          <w:szCs w:val="32"/>
          <w:highlight w:val="none"/>
        </w:rPr>
        <w:t>十三、</w:t>
      </w:r>
      <w:bookmarkEnd w:id="67"/>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sectPr>
      <w:footerReference r:id="rId5" w:type="first"/>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方正大标宋_GBK">
    <w:altName w:val="宋体"/>
    <w:panose1 w:val="020B0604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方正小标宋简体">
    <w:altName w:val="黑体"/>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B11D1"/>
    <w:multiLevelType w:val="singleLevel"/>
    <w:tmpl w:val="88FB11D1"/>
    <w:lvl w:ilvl="0" w:tentative="0">
      <w:start w:val="1"/>
      <w:numFmt w:val="chineseCounting"/>
      <w:suff w:val="nothing"/>
      <w:lvlText w:val="%1、"/>
      <w:lvlJc w:val="left"/>
      <w:rPr>
        <w:rFonts w:hint="eastAsia"/>
      </w:rPr>
    </w:lvl>
  </w:abstractNum>
  <w:abstractNum w:abstractNumId="1">
    <w:nsid w:val="FFEFBAC6"/>
    <w:multiLevelType w:val="singleLevel"/>
    <w:tmpl w:val="FFEFBAC6"/>
    <w:lvl w:ilvl="0" w:tentative="0">
      <w:start w:val="1"/>
      <w:numFmt w:val="decimal"/>
      <w:lvlText w:val="%1."/>
      <w:lvlJc w:val="left"/>
      <w:pPr>
        <w:tabs>
          <w:tab w:val="left" w:pos="312"/>
        </w:tabs>
      </w:pPr>
    </w:lvl>
  </w:abstractNum>
  <w:abstractNum w:abstractNumId="2">
    <w:nsid w:val="0B5C946F"/>
    <w:multiLevelType w:val="singleLevel"/>
    <w:tmpl w:val="0B5C946F"/>
    <w:lvl w:ilvl="0" w:tentative="0">
      <w:start w:val="2"/>
      <w:numFmt w:val="chineseCounting"/>
      <w:suff w:val="nothing"/>
      <w:lvlText w:val="（%1）"/>
      <w:lvlJc w:val="left"/>
      <w:rPr>
        <w:rFonts w:hint="eastAsia"/>
      </w:rPr>
    </w:lvl>
  </w:abstractNum>
  <w:abstractNum w:abstractNumId="3">
    <w:nsid w:val="43FE0EC2"/>
    <w:multiLevelType w:val="singleLevel"/>
    <w:tmpl w:val="43FE0EC2"/>
    <w:lvl w:ilvl="0" w:tentative="0">
      <w:start w:val="2"/>
      <w:numFmt w:val="chineseCounting"/>
      <w:suff w:val="nothing"/>
      <w:lvlText w:val="（%1）"/>
      <w:lvlJc w:val="left"/>
      <w:rPr>
        <w:rFonts w:hint="eastAsia"/>
      </w:rPr>
    </w:lvl>
  </w:abstractNum>
  <w:abstractNum w:abstractNumId="4">
    <w:nsid w:val="56B3FEB5"/>
    <w:multiLevelType w:val="singleLevel"/>
    <w:tmpl w:val="56B3FEB5"/>
    <w:lvl w:ilvl="0" w:tentative="0">
      <w:start w:val="1"/>
      <w:numFmt w:val="decimal"/>
      <w:lvlText w:val="%1."/>
      <w:lvlJc w:val="left"/>
      <w:pPr>
        <w:tabs>
          <w:tab w:val="left" w:pos="312"/>
        </w:tabs>
      </w:pPr>
    </w:lvl>
  </w:abstractNum>
  <w:abstractNum w:abstractNumId="5">
    <w:nsid w:val="72A5EABD"/>
    <w:multiLevelType w:val="singleLevel"/>
    <w:tmpl w:val="72A5EABD"/>
    <w:lvl w:ilvl="0" w:tentative="0">
      <w:start w:val="1"/>
      <w:numFmt w:val="decimal"/>
      <w:lvlText w:val="%1."/>
      <w:lvlJc w:val="left"/>
      <w:pPr>
        <w:tabs>
          <w:tab w:val="left" w:pos="312"/>
        </w:tabs>
      </w:pPr>
    </w:lvl>
  </w:abstractNum>
  <w:num w:numId="1">
    <w:abstractNumId w:val="0"/>
  </w:num>
  <w:num w:numId="2">
    <w:abstractNumId w:val="1"/>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D70724"/>
    <w:rsid w:val="02FEBE30"/>
    <w:rsid w:val="061E35DE"/>
    <w:rsid w:val="066E0107"/>
    <w:rsid w:val="07996F6E"/>
    <w:rsid w:val="07DFD8BA"/>
    <w:rsid w:val="08DB07E4"/>
    <w:rsid w:val="09867E8F"/>
    <w:rsid w:val="0A2032A3"/>
    <w:rsid w:val="0C6C4794"/>
    <w:rsid w:val="0CA8290A"/>
    <w:rsid w:val="0D35B1ED"/>
    <w:rsid w:val="0DE07E2B"/>
    <w:rsid w:val="0F14708A"/>
    <w:rsid w:val="0F98263C"/>
    <w:rsid w:val="101860EC"/>
    <w:rsid w:val="10C055FF"/>
    <w:rsid w:val="11772AA4"/>
    <w:rsid w:val="118107EC"/>
    <w:rsid w:val="13957196"/>
    <w:rsid w:val="13D50BC4"/>
    <w:rsid w:val="14022904"/>
    <w:rsid w:val="152F2A07"/>
    <w:rsid w:val="165E0673"/>
    <w:rsid w:val="1679349F"/>
    <w:rsid w:val="16BB723D"/>
    <w:rsid w:val="16F13FCB"/>
    <w:rsid w:val="186504BB"/>
    <w:rsid w:val="1938089F"/>
    <w:rsid w:val="19A445FC"/>
    <w:rsid w:val="1B7D550C"/>
    <w:rsid w:val="1BE8440E"/>
    <w:rsid w:val="1D155CEE"/>
    <w:rsid w:val="1DE178F3"/>
    <w:rsid w:val="1E740ACF"/>
    <w:rsid w:val="1FF35744"/>
    <w:rsid w:val="1FF6BC77"/>
    <w:rsid w:val="21962A9E"/>
    <w:rsid w:val="21AE7C77"/>
    <w:rsid w:val="227757BF"/>
    <w:rsid w:val="22BC3C41"/>
    <w:rsid w:val="23860B96"/>
    <w:rsid w:val="240371BF"/>
    <w:rsid w:val="260F557C"/>
    <w:rsid w:val="27A156BC"/>
    <w:rsid w:val="281408E2"/>
    <w:rsid w:val="29FD04D3"/>
    <w:rsid w:val="2BFF7BC6"/>
    <w:rsid w:val="2C8A61B5"/>
    <w:rsid w:val="2D2E01CF"/>
    <w:rsid w:val="2DF04E50"/>
    <w:rsid w:val="2E9545B0"/>
    <w:rsid w:val="2F040D46"/>
    <w:rsid w:val="2FAE5751"/>
    <w:rsid w:val="2FB1A395"/>
    <w:rsid w:val="2FD9A7D8"/>
    <w:rsid w:val="319F7F4E"/>
    <w:rsid w:val="321B2544"/>
    <w:rsid w:val="3304709D"/>
    <w:rsid w:val="34281836"/>
    <w:rsid w:val="349D6851"/>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EE7CF3"/>
    <w:rsid w:val="3DF02244"/>
    <w:rsid w:val="3E78745D"/>
    <w:rsid w:val="3FF4CAE0"/>
    <w:rsid w:val="3FF7B227"/>
    <w:rsid w:val="40E54C45"/>
    <w:rsid w:val="41313393"/>
    <w:rsid w:val="43A407DF"/>
    <w:rsid w:val="44515BEA"/>
    <w:rsid w:val="44E268DA"/>
    <w:rsid w:val="452538BB"/>
    <w:rsid w:val="453F7E5B"/>
    <w:rsid w:val="47A55D0E"/>
    <w:rsid w:val="486A6C7A"/>
    <w:rsid w:val="49176D9B"/>
    <w:rsid w:val="494006BD"/>
    <w:rsid w:val="4A627F82"/>
    <w:rsid w:val="4AB917A4"/>
    <w:rsid w:val="4B0E749A"/>
    <w:rsid w:val="4B4F25DA"/>
    <w:rsid w:val="4B8C10F3"/>
    <w:rsid w:val="4BDA0CFB"/>
    <w:rsid w:val="4BE068DB"/>
    <w:rsid w:val="4D3C0CCC"/>
    <w:rsid w:val="4D577224"/>
    <w:rsid w:val="4DBF1CEB"/>
    <w:rsid w:val="4EAB630A"/>
    <w:rsid w:val="4ECE2238"/>
    <w:rsid w:val="4F833267"/>
    <w:rsid w:val="4FE9BD67"/>
    <w:rsid w:val="4FFB052F"/>
    <w:rsid w:val="53083A92"/>
    <w:rsid w:val="537E6D0A"/>
    <w:rsid w:val="53AF27A2"/>
    <w:rsid w:val="53F74C96"/>
    <w:rsid w:val="556E6C13"/>
    <w:rsid w:val="56E47B74"/>
    <w:rsid w:val="57BD3DD4"/>
    <w:rsid w:val="5AF92295"/>
    <w:rsid w:val="5B1959DB"/>
    <w:rsid w:val="5BDD79E6"/>
    <w:rsid w:val="5BF561CA"/>
    <w:rsid w:val="5BFF5DFC"/>
    <w:rsid w:val="5C5404B1"/>
    <w:rsid w:val="5CD71FC4"/>
    <w:rsid w:val="5D1F11B5"/>
    <w:rsid w:val="5DAE1B18"/>
    <w:rsid w:val="5DE7D9E5"/>
    <w:rsid w:val="5ECEC941"/>
    <w:rsid w:val="5F493CB7"/>
    <w:rsid w:val="5FBF9FF3"/>
    <w:rsid w:val="5FCD4E2C"/>
    <w:rsid w:val="5FD15F49"/>
    <w:rsid w:val="5FEF394A"/>
    <w:rsid w:val="5FF67715"/>
    <w:rsid w:val="61E36970"/>
    <w:rsid w:val="62BF3928"/>
    <w:rsid w:val="647F5392"/>
    <w:rsid w:val="64E50505"/>
    <w:rsid w:val="664B1D71"/>
    <w:rsid w:val="67AA3209"/>
    <w:rsid w:val="681C4F0D"/>
    <w:rsid w:val="69046D0F"/>
    <w:rsid w:val="698D0931"/>
    <w:rsid w:val="6A993CED"/>
    <w:rsid w:val="6B053271"/>
    <w:rsid w:val="6BAC55FC"/>
    <w:rsid w:val="6BCE6674"/>
    <w:rsid w:val="6C4A05C8"/>
    <w:rsid w:val="6C8742B8"/>
    <w:rsid w:val="6C8A170F"/>
    <w:rsid w:val="6CB54609"/>
    <w:rsid w:val="6DBF5E93"/>
    <w:rsid w:val="6DFF077E"/>
    <w:rsid w:val="6E1F5D53"/>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1672995"/>
    <w:rsid w:val="71D36C6C"/>
    <w:rsid w:val="72233669"/>
    <w:rsid w:val="72734D90"/>
    <w:rsid w:val="72836276"/>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7FD1882"/>
    <w:rsid w:val="79086DAD"/>
    <w:rsid w:val="79974F09"/>
    <w:rsid w:val="79D7FD79"/>
    <w:rsid w:val="79EE5BA4"/>
    <w:rsid w:val="7A894339"/>
    <w:rsid w:val="7AFF7572"/>
    <w:rsid w:val="7B6C7DFB"/>
    <w:rsid w:val="7BBFBED0"/>
    <w:rsid w:val="7BC3E394"/>
    <w:rsid w:val="7C1F3737"/>
    <w:rsid w:val="7CBFC87B"/>
    <w:rsid w:val="7CFE0F48"/>
    <w:rsid w:val="7D7E6C64"/>
    <w:rsid w:val="7D7EC23E"/>
    <w:rsid w:val="7D916348"/>
    <w:rsid w:val="7E8ADEBF"/>
    <w:rsid w:val="7EEF11D3"/>
    <w:rsid w:val="7F0971A6"/>
    <w:rsid w:val="7F0A7860"/>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next w:val="1"/>
    <w:unhideWhenUsed/>
    <w:qFormat/>
    <w:uiPriority w:val="99"/>
    <w:pPr>
      <w:ind w:firstLine="420" w:firstLineChars="200"/>
    </w:pPr>
  </w:style>
  <w:style w:type="paragraph" w:styleId="4">
    <w:name w:val="Body Text Indent"/>
    <w:basedOn w:val="1"/>
    <w:next w:val="3"/>
    <w:qFormat/>
    <w:uiPriority w:val="0"/>
    <w:pPr>
      <w:spacing w:after="120"/>
      <w:ind w:leftChars="200"/>
    </w:pPr>
    <w:rPr>
      <w:rFonts w:ascii="仿宋_GB2312"/>
      <w:szCs w:val="32"/>
    </w:rPr>
  </w:style>
  <w:style w:type="paragraph" w:styleId="8">
    <w:name w:val="Body Text"/>
    <w:basedOn w:val="1"/>
    <w:link w:val="25"/>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1"/>
    <w:semiHidden/>
    <w:unhideWhenUsed/>
    <w:qFormat/>
    <w:uiPriority w:val="99"/>
    <w:rPr>
      <w:sz w:val="18"/>
      <w:szCs w:val="18"/>
    </w:rPr>
  </w:style>
  <w:style w:type="paragraph" w:styleId="11">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2"/>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1"/>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8"/>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5"/>
    <w:qFormat/>
    <w:uiPriority w:val="9"/>
    <w:rPr>
      <w:rFonts w:ascii="Times New Roman" w:hAnsi="Times New Roman"/>
      <w:b/>
      <w:bCs/>
      <w:kern w:val="44"/>
      <w:sz w:val="44"/>
      <w:szCs w:val="44"/>
    </w:rPr>
  </w:style>
  <w:style w:type="character" w:customStyle="1" w:styleId="29">
    <w:name w:val="标题 2 Char"/>
    <w:basedOn w:val="16"/>
    <w:link w:val="6"/>
    <w:qFormat/>
    <w:uiPriority w:val="9"/>
    <w:rPr>
      <w:rFonts w:asciiTheme="majorHAnsi" w:hAnsiTheme="majorHAnsi" w:eastAsiaTheme="majorEastAsia" w:cstheme="majorBidi"/>
      <w:b/>
      <w:bCs/>
      <w:kern w:val="2"/>
      <w:sz w:val="32"/>
      <w:szCs w:val="32"/>
    </w:rPr>
  </w:style>
  <w:style w:type="paragraph" w:customStyle="1" w:styleId="30">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6"/>
    <w:link w:val="10"/>
    <w:semiHidden/>
    <w:qFormat/>
    <w:uiPriority w:val="99"/>
    <w:rPr>
      <w:rFonts w:ascii="Times New Roman" w:hAnsi="Times New Roman"/>
      <w:kern w:val="2"/>
      <w:sz w:val="18"/>
      <w:szCs w:val="18"/>
    </w:rPr>
  </w:style>
  <w:style w:type="character" w:customStyle="1" w:styleId="32">
    <w:name w:val="标题 3 Char"/>
    <w:basedOn w:val="16"/>
    <w:link w:val="7"/>
    <w:qFormat/>
    <w:uiPriority w:val="9"/>
    <w:rPr>
      <w:rFonts w:ascii="Times New Roman" w:hAnsi="Times New Roman"/>
      <w:b/>
      <w:bCs/>
      <w:kern w:val="2"/>
      <w:sz w:val="32"/>
      <w:szCs w:val="32"/>
    </w:rPr>
  </w:style>
  <w:style w:type="paragraph" w:customStyle="1" w:styleId="33">
    <w:name w:val="TOC Heading"/>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chart" Target="charts/chart5.xml"/><Relationship Id="rId10" Type="http://schemas.openxmlformats.org/officeDocument/2006/relationships/chart" Target="charts/chart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2" Type="http://schemas.openxmlformats.org/officeDocument/2006/relationships/themeOverride" Target="../theme/themeOverride3.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2" Type="http://schemas.openxmlformats.org/officeDocument/2006/relationships/themeOverride" Target="../theme/themeOverride1.xml"/><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oleObject" Target="file:///D:\&#24037;&#20855;\&#22270;&#34920;.xls" TargetMode="External"/></Relationships>
</file>

<file path=word/charts/_rels/chart4.xml.rels><?xml version="1.0" encoding="UTF-8" standalone="yes"?>
<Relationships xmlns="http://schemas.openxmlformats.org/package/2006/relationships"><Relationship Id="rId2" Type="http://schemas.openxmlformats.org/officeDocument/2006/relationships/themeOverride" Target="../theme/themeOverride5.xml"/><Relationship Id="rId1" Type="http://schemas.openxmlformats.org/officeDocument/2006/relationships/oleObject" Target="file:///D:\&#24037;&#20855;\&#22270;&#34920;.xls" TargetMode="External"/></Relationships>
</file>

<file path=word/charts/_rels/chart5.xml.rels><?xml version="1.0" encoding="UTF-8" standalone="yes"?>
<Relationships xmlns="http://schemas.openxmlformats.org/package/2006/relationships"><Relationship Id="rId2" Type="http://schemas.openxmlformats.org/officeDocument/2006/relationships/themeOverride" Target="../theme/themeOverride4.xml"/><Relationship Id="rId1" Type="http://schemas.openxmlformats.org/officeDocument/2006/relationships/oleObject" Target="file:///D:\&#24037;&#20855;\&#22270;&#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宋体" panose="02010600030101010101" charset="-122"/>
              </a:defRPr>
            </a:pPr>
            <a:r>
              <a:t>收入决算结构图</a:t>
            </a:r>
            <a:endParaRPr sz="1400" b="1" i="0" u="none" strike="noStrike">
              <a:solidFill>
                <a:srgbClr val="808080"/>
              </a:solidFill>
              <a:latin typeface="宋体" panose="02010600030101010101" charset="-122"/>
              <a:ea typeface="宋体" panose="02010600030101010101" charset="-122"/>
              <a:cs typeface="宋体" panose="02010600030101010101" charset="-122"/>
            </a:endParaRPr>
          </a:p>
        </c:rich>
      </c:tx>
      <c:layout/>
      <c:overlay val="0"/>
      <c:spPr>
        <a:noFill/>
        <a:ln w="3175">
          <a:noFill/>
        </a:ln>
      </c:spPr>
    </c:title>
    <c:autoTitleDeleted val="0"/>
    <c:plotArea>
      <c:layout/>
      <c:pieChart>
        <c:varyColors val="1"/>
        <c:ser>
          <c:idx val="0"/>
          <c:order val="0"/>
          <c:explosion val="0"/>
          <c:dPt>
            <c:idx val="0"/>
            <c:bubble3D val="0"/>
            <c:explosion val="0"/>
            <c:spPr>
              <a:solidFill>
                <a:srgbClr val="5B9BD5"/>
              </a:solidFill>
              <a:ln w="19050">
                <a:solidFill>
                  <a:srgbClr val="FFFFFF"/>
                </a:solidFill>
                <a:prstDash val="solid"/>
              </a:ln>
            </c:spPr>
          </c:dPt>
          <c:dPt>
            <c:idx val="1"/>
            <c:bubble3D val="0"/>
            <c:explosion val="0"/>
            <c:spPr>
              <a:solidFill>
                <a:srgbClr val="70AD47">
                  <a:alpha val="50000"/>
                </a:srgbClr>
              </a:solidFill>
              <a:ln w="19050">
                <a:solidFill>
                  <a:schemeClr val="lt1"/>
                </a:solidFill>
              </a:ln>
              <a:effectLst/>
            </c:spPr>
          </c:dPt>
          <c:dPt>
            <c:idx val="2"/>
            <c:bubble3D val="0"/>
            <c:explosion val="0"/>
            <c:spPr>
              <a:solidFill>
                <a:srgbClr val="FFC000">
                  <a:alpha val="50000"/>
                </a:srgbClr>
              </a:solidFill>
              <a:ln w="19050">
                <a:solidFill>
                  <a:schemeClr val="lt1"/>
                </a:solidFill>
              </a:ln>
              <a:effectLst/>
            </c:spPr>
          </c:dPt>
          <c:dLbls>
            <c:dLbl>
              <c:idx val="0"/>
              <c:layout>
                <c:manualLayout>
                  <c:x val="0.008788"/>
                  <c:y val="-0.128789"/>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rgbClr val="333333"/>
                        </a:solidFill>
                        <a:latin typeface="宋体" panose="02010600030101010101" charset="-122"/>
                        <a:ea typeface="宋体" panose="02010600030101010101" charset="-122"/>
                        <a:cs typeface="宋体" panose="02010600030101010101" charset="-122"/>
                      </a:defRPr>
                    </a:pPr>
                    <a:r>
                      <a:rPr lang="en-US" altLang="zh-CN"/>
                      <a:t>1927.99</a:t>
                    </a:r>
                    <a:endParaRPr lang="en-US" altLang="zh-CN"/>
                  </a:p>
                </c:rich>
              </c:tx>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43254"/>
                  <c:y val="0.004947"/>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rgbClr val="333333"/>
                        </a:solidFill>
                        <a:latin typeface="宋体" panose="02010600030101010101" charset="-122"/>
                        <a:ea typeface="宋体" panose="02010600030101010101" charset="-122"/>
                        <a:cs typeface="宋体" panose="02010600030101010101" charset="-122"/>
                      </a:defRPr>
                    </a:pPr>
                    <a:r>
                      <a:rPr lang="en-US" altLang="zh-CN"/>
                      <a:t>37.52</a:t>
                    </a:r>
                    <a:endParaRPr lang="en-US" altLang="zh-CN"/>
                  </a:p>
                </c:rich>
              </c:tx>
              <c:numFmt formatCode="General" sourceLinked="1"/>
              <c:spPr>
                <a:solidFill>
                  <a:srgbClr val="70AD47"/>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49726"/>
                  <c:y val="0.008485"/>
                </c:manualLayout>
              </c:layout>
              <c:numFmt formatCode="General" sourceLinked="1"/>
              <c:spPr>
                <a:solidFill>
                  <a:srgbClr val="FFC000"/>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[图表.xls]Sheet1!$G$1:$H$1</c:f>
              <c:strCache>
                <c:ptCount val="2"/>
                <c:pt idx="0">
                  <c:v>一般公共预算财政拨款收入</c:v>
                </c:pt>
                <c:pt idx="1">
                  <c:v>其他收入</c:v>
                </c:pt>
              </c:strCache>
            </c:strRef>
          </c:cat>
          <c:val>
            <c:numRef>
              <c:f>[图表.xls]Sheet1!$G$2:$I$2</c:f>
              <c:numCache>
                <c:formatCode>General</c:formatCode>
                <c:ptCount val="3"/>
                <c:pt idx="0">
                  <c:v>1780.29</c:v>
                </c:pt>
                <c:pt idx="1">
                  <c:v>88.71</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manualLayout>
          <c:xMode val="edge"/>
          <c:yMode val="edge"/>
          <c:x val="0.647917"/>
          <c:y val="0.439699"/>
          <c:w val="0.3375"/>
          <c:h val="0.20425"/>
        </c:manualLayout>
      </c:layout>
      <c:overlay val="0"/>
      <c:spPr>
        <a:solidFill>
          <a:schemeClr val="lt1">
            <a:alpha val="50000"/>
          </a:schemeClr>
        </a:solidFill>
        <a:ln>
          <a:noFill/>
        </a:ln>
        <a:effectLst/>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pattFill prst="dkDnDiag">
      <a:fgClr>
        <a:schemeClr val="lt1"/>
      </a:fgClr>
      <a:bgClr>
        <a:sysClr val="window" lastClr="FFFFFF"/>
      </a:bgClr>
    </a:pattFill>
    <a:ln w="9525" cap="flat" cmpd="sng" algn="ctr">
      <a:solidFill>
        <a:schemeClr val="dk1">
          <a:lumMod val="15000"/>
          <a:lumOff val="85000"/>
        </a:schemeClr>
      </a:solidFill>
      <a:prstDash val="solid"/>
      <a:round/>
    </a:ln>
    <a:effectLst/>
  </c:spPr>
  <c:txPr>
    <a:bodyPr rot="0" wrap="square" anchor="ctr" anchorCtr="1"/>
    <a:lstStyle/>
    <a:p>
      <a:pPr>
        <a:defRPr lang="zh-CN" sz="1000" b="0" i="0" u="none" strike="noStrike">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宋体" panose="02010600030101010101" charset="-122"/>
              </a:defRPr>
            </a:pPr>
            <a:r>
              <a:t>支出决算结构图</a:t>
            </a:r>
            <a:endParaRPr sz="1400" b="1" i="0" u="none" strike="noStrike">
              <a:solidFill>
                <a:srgbClr val="808080"/>
              </a:solidFill>
              <a:latin typeface="宋体" panose="02010600030101010101" charset="-122"/>
              <a:ea typeface="宋体" panose="02010600030101010101" charset="-122"/>
              <a:cs typeface="宋体" panose="02010600030101010101" charset="-122"/>
            </a:endParaRPr>
          </a:p>
        </c:rich>
      </c:tx>
      <c:layout/>
      <c:overlay val="0"/>
      <c:spPr>
        <a:noFill/>
        <a:ln w="3175">
          <a:noFill/>
        </a:ln>
      </c:spPr>
    </c:title>
    <c:autoTitleDeleted val="0"/>
    <c:plotArea>
      <c:layout/>
      <c:pieChart>
        <c:varyColors val="1"/>
        <c:ser>
          <c:idx val="0"/>
          <c:order val="0"/>
          <c:spPr>
            <a:solidFill>
              <a:srgbClr val="70AD47"/>
            </a:solidFill>
          </c:spPr>
          <c:explosion val="0"/>
          <c:dPt>
            <c:idx val="0"/>
            <c:bubble3D val="0"/>
            <c:explosion val="0"/>
            <c:spPr>
              <a:solidFill>
                <a:srgbClr val="70AD47"/>
              </a:solidFill>
              <a:ln w="19050">
                <a:solidFill>
                  <a:srgbClr val="FFFFFF"/>
                </a:solidFill>
                <a:prstDash val="solid"/>
              </a:ln>
            </c:spPr>
          </c:dPt>
          <c:dPt>
            <c:idx val="1"/>
            <c:bubble3D val="0"/>
            <c:explosion val="0"/>
            <c:spPr>
              <a:solidFill>
                <a:srgbClr val="5B9BD5"/>
              </a:solidFill>
              <a:ln w="19050">
                <a:solidFill>
                  <a:srgbClr val="FFFFFF"/>
                </a:solidFill>
                <a:prstDash val="solid"/>
              </a:ln>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rgbClr val="000000"/>
                        </a:solidFill>
                        <a:latin typeface="宋体" panose="02010600030101010101" charset="-122"/>
                        <a:ea typeface="宋体" panose="02010600030101010101" charset="-122"/>
                        <a:cs typeface="宋体" panose="02010600030101010101" charset="-122"/>
                      </a:defRPr>
                    </a:pPr>
                    <a:r>
                      <a:rPr lang="en-US" altLang="zh-CN"/>
                      <a:t>1745.47</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rgbClr val="000000"/>
                        </a:solidFill>
                        <a:latin typeface="宋体" panose="02010600030101010101" charset="-122"/>
                        <a:ea typeface="宋体" panose="02010600030101010101" charset="-122"/>
                        <a:cs typeface="宋体" panose="02010600030101010101" charset="-122"/>
                      </a:defRPr>
                    </a:pPr>
                    <a:r>
                      <a:rPr lang="en-US" altLang="zh-CN"/>
                      <a:t>220.03</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w="3175">
                <a:noFill/>
                <a:round/>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[图表.xls]Sheet1!$A$22:$B$22</c:f>
              <c:strCache>
                <c:ptCount val="2"/>
                <c:pt idx="0">
                  <c:v>基本支出</c:v>
                </c:pt>
                <c:pt idx="1">
                  <c:v>项目支出</c:v>
                </c:pt>
              </c:strCache>
            </c:strRef>
          </c:cat>
          <c:val>
            <c:numRef>
              <c:f>[图表.xls]Sheet1!$A$23:$B$23</c:f>
              <c:numCache>
                <c:formatCode>General</c:formatCode>
                <c:ptCount val="2"/>
                <c:pt idx="0">
                  <c:v>1638.87</c:v>
                </c:pt>
                <c:pt idx="1">
                  <c:v>230.12</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overlay val="0"/>
      <c:spPr>
        <a:solidFill>
          <a:schemeClr val="lt1">
            <a:alpha val="50000"/>
          </a:schemeClr>
        </a:solidFill>
        <a:ln>
          <a:noFill/>
        </a:ln>
        <a:effectLst/>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pattFill prst="dkDnDiag">
      <a:fgClr>
        <a:schemeClr val="lt1"/>
      </a:fgClr>
      <a:bgClr>
        <a:sysClr val="window" lastClr="FFFFFF"/>
      </a:bgClr>
    </a:pattFill>
    <a:ln w="9525" cap="flat" cmpd="sng" algn="ctr">
      <a:solidFill>
        <a:schemeClr val="dk1">
          <a:lumMod val="15000"/>
          <a:lumOff val="85000"/>
        </a:schemeClr>
      </a:solidFill>
      <a:prstDash val="solid"/>
      <a:round/>
    </a:ln>
    <a:effectLst/>
  </c:spPr>
  <c:txPr>
    <a:bodyPr rot="0" wrap="square" anchor="ctr" anchorCtr="1"/>
    <a:lstStyle/>
    <a:p>
      <a:pPr>
        <a:defRPr lang="zh-CN" sz="1000" b="0" i="0" u="none" strike="noStrike">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r>
              <a:t>一般公共预算财政拨款支出决算变动情况</a:t>
            </a:r>
            <a:endParaRPr sz="1400" b="0" i="0" u="none" strike="noStrike" baseline="0">
              <a:solidFill>
                <a:srgbClr val="333333">
                  <a:alpha val="100000"/>
                </a:srgbClr>
              </a:solidFill>
              <a:latin typeface="微软雅黑" panose="020B0503020204020204" charset="-122"/>
              <a:ea typeface="微软雅黑" panose="020B0503020204020204" charset="-122"/>
              <a:cs typeface="微软雅黑" panose="020B0503020204020204" charset="-122"/>
            </a:endParaRPr>
          </a:p>
        </c:rich>
      </c:tx>
      <c:layout/>
      <c:overlay val="0"/>
      <c:spPr>
        <a:noFill/>
        <a:ln w="3175">
          <a:noFill/>
        </a:ln>
      </c:spPr>
    </c:title>
    <c:autoTitleDeleted val="0"/>
    <c:plotArea>
      <c:layout>
        <c:manualLayout>
          <c:layoutTarget val="inner"/>
          <c:xMode val="edge"/>
          <c:yMode val="edge"/>
          <c:x val="0.120808129687878"/>
          <c:y val="0.299004859986114"/>
          <c:w val="0.854149528187757"/>
          <c:h val="0.602267993520019"/>
        </c:manualLayout>
      </c:layout>
      <c:barChart>
        <c:barDir val="col"/>
        <c:grouping val="clustered"/>
        <c:varyColors val="0"/>
        <c:ser>
          <c:idx val="0"/>
          <c:order val="0"/>
          <c:tx>
            <c:strRef>
              <c:f>[图表.xls]Sheet1!$A$44</c:f>
              <c:strCache>
                <c:ptCount val="1"/>
                <c:pt idx="0">
                  <c:v>一般公共预算财政拨款支出</c:v>
                </c:pt>
              </c:strCache>
            </c:strRef>
          </c:tx>
          <c:spPr>
            <a:solidFill>
              <a:srgbClr val="5B9BD5">
                <a:alpha val="100000"/>
              </a:srgbClr>
            </a:solidFill>
            <a:ln w="3175">
              <a:noFill/>
            </a:ln>
          </c:spPr>
          <c:invertIfNegative val="0"/>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[图表.xls]Sheet1!$B$43:$C$43</c:f>
              <c:strCache>
                <c:ptCount val="2"/>
                <c:pt idx="0">
                  <c:v>2024年</c:v>
                </c:pt>
                <c:pt idx="1">
                  <c:v>2025年</c:v>
                </c:pt>
              </c:strCache>
            </c:strRef>
          </c:cat>
          <c:val>
            <c:numRef>
              <c:f>[图表.xls]Sheet1!$B$44:$C$44</c:f>
              <c:numCache>
                <c:formatCode>#,##0.00</c:formatCode>
                <c:ptCount val="2"/>
                <c:pt idx="0">
                  <c:v>1763.1</c:v>
                </c:pt>
                <c:pt idx="1">
                  <c:v>1927.99</c:v>
                </c:pt>
              </c:numCache>
            </c:numRef>
          </c:val>
        </c:ser>
        <c:dLbls>
          <c:showLegendKey val="0"/>
          <c:showVal val="0"/>
          <c:showCatName val="0"/>
          <c:showSerName val="0"/>
          <c:showPercent val="0"/>
          <c:showBubbleSize val="0"/>
        </c:dLbls>
        <c:gapWidth val="219"/>
        <c:overlap val="-10"/>
        <c:axId val="818251735"/>
        <c:axId val="732720664"/>
      </c:barChart>
      <c:catAx>
        <c:axId val="818251735"/>
        <c:scaling>
          <c:orientation val="minMax"/>
        </c:scaling>
        <c:delete val="0"/>
        <c:axPos val="b"/>
        <c:majorTickMark val="none"/>
        <c:minorTickMark val="none"/>
        <c:tickLblPos val="nextTo"/>
        <c:spPr>
          <a:noFill/>
          <a:ln w="9525" cap="flat" cmpd="sng" algn="ctr">
            <a:solidFill>
              <a:schemeClr val="bg1">
                <a:lumMod val="95000"/>
              </a:schemeClr>
            </a:solidFill>
            <a:prstDash val="solid"/>
            <a:round/>
          </a:ln>
          <a:effectLst/>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p>
        </c:txPr>
        <c:crossAx val="732720664"/>
        <c:crosses val="autoZero"/>
        <c:auto val="1"/>
        <c:lblAlgn val="ctr"/>
        <c:lblOffset val="100"/>
        <c:noMultiLvlLbl val="0"/>
      </c:catAx>
      <c:valAx>
        <c:axId val="732720664"/>
        <c:scaling>
          <c:orientation val="minMax"/>
        </c:scaling>
        <c:delete val="0"/>
        <c:axPos val="l"/>
        <c:majorGridlines>
          <c:spPr>
            <a:ln w="9525" cap="flat" cmpd="sng" algn="ctr">
              <a:solidFill>
                <a:schemeClr val="bg1">
                  <a:lumMod val="95000"/>
                </a:schemeClr>
              </a:solidFill>
              <a:prstDash val="solid"/>
              <a:round/>
            </a:ln>
            <a:effectLst/>
          </c:spPr>
        </c:majorGridlines>
        <c:numFmt formatCode="#,##0.00"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818251735"/>
        <c:crosses val="autoZero"/>
        <c:crossBetween val="between"/>
      </c:valAx>
      <c:spPr>
        <a:noFill/>
        <a:ln w="3175">
          <a:noFill/>
        </a:ln>
      </c:spPr>
    </c:plotArea>
    <c:legend>
      <c:legendPos val="b"/>
      <c:layout/>
      <c:overlay val="0"/>
      <c:spPr>
        <a:noFill/>
        <a:ln w="3175">
          <a:noFill/>
        </a:ln>
      </c:spPr>
      <c:txPr>
        <a:bodyPr rot="0" spcFirstLastPara="0" vertOverflow="ellipsis" vert="horz" wrap="square" anchor="ctr" anchorCtr="1"/>
        <a:lstStyle/>
        <a:p>
          <a:pPr>
            <a:defRPr lang="zh-CN" sz="825" b="0" i="0" u="none" strike="noStrike" kern="1200" baseline="0">
              <a:solidFill>
                <a:srgbClr val="333333"/>
              </a:solidFill>
              <a:latin typeface="微软雅黑" panose="020B0503020204020204" charset="-122"/>
              <a:ea typeface="微软雅黑" panose="020B0503020204020204" charset="-122"/>
              <a:cs typeface="微软雅黑" panose="020B0503020204020204" charset="-122"/>
            </a:defRPr>
          </a:pPr>
        </a:p>
      </c:txPr>
    </c:legend>
    <c:plotVisOnly val="1"/>
    <c:dispBlanksAs val="gap"/>
    <c:showDLblsOverMax val="0"/>
  </c:chart>
  <c:spPr>
    <a:solidFill>
      <a:schemeClr val="bg1"/>
    </a:solidFill>
    <a:ln w="9525" cap="flat" cmpd="sng" algn="ctr">
      <a:solidFill>
        <a:schemeClr val="bg1">
          <a:lumMod val="9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r>
              <a:t>一般公共预算财政拨款支出决算变动情况</a:t>
            </a:r>
            <a:endParaRPr sz="1400" b="0" i="0" u="none" strike="noStrike" baseline="0">
              <a:solidFill>
                <a:srgbClr val="333333">
                  <a:alpha val="100000"/>
                </a:srgbClr>
              </a:solidFill>
              <a:latin typeface="微软雅黑" panose="020B0503020204020204" charset="-122"/>
              <a:ea typeface="微软雅黑" panose="020B0503020204020204" charset="-122"/>
              <a:cs typeface="微软雅黑" panose="020B0503020204020204" charset="-122"/>
            </a:endParaRPr>
          </a:p>
        </c:rich>
      </c:tx>
      <c:layout>
        <c:manualLayout>
          <c:xMode val="edge"/>
          <c:yMode val="edge"/>
          <c:x val="0.188361964674571"/>
          <c:y val="0.0215227956491553"/>
        </c:manualLayout>
      </c:layout>
      <c:overlay val="0"/>
      <c:spPr>
        <a:noFill/>
        <a:ln w="3175">
          <a:noFill/>
        </a:ln>
      </c:spPr>
    </c:title>
    <c:autoTitleDeleted val="0"/>
    <c:plotArea>
      <c:layout>
        <c:manualLayout>
          <c:layoutTarget val="inner"/>
          <c:xMode val="edge"/>
          <c:yMode val="edge"/>
          <c:x val="0.120808129687878"/>
          <c:y val="0.299004859986114"/>
          <c:w val="0.854149528187757"/>
          <c:h val="0.602267993520019"/>
        </c:manualLayout>
      </c:layout>
      <c:barChart>
        <c:barDir val="col"/>
        <c:grouping val="clustered"/>
        <c:varyColors val="0"/>
        <c:ser>
          <c:idx val="0"/>
          <c:order val="0"/>
          <c:tx>
            <c:strRef>
              <c:f>[图表.xls]Sheet1!$A$44</c:f>
              <c:strCache>
                <c:ptCount val="1"/>
                <c:pt idx="0">
                  <c:v>一般公共预算财政拨款支出</c:v>
                </c:pt>
              </c:strCache>
            </c:strRef>
          </c:tx>
          <c:spPr>
            <a:solidFill>
              <a:srgbClr val="5B9BD5">
                <a:alpha val="100000"/>
              </a:srgbClr>
            </a:solidFill>
            <a:ln w="3175">
              <a:noFill/>
            </a:ln>
          </c:spPr>
          <c:invertIfNegative val="0"/>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[图表.xls]Sheet1!$B$43:$C$43</c:f>
              <c:strCache>
                <c:ptCount val="2"/>
                <c:pt idx="0">
                  <c:v>2024年</c:v>
                </c:pt>
                <c:pt idx="1">
                  <c:v>2025年</c:v>
                </c:pt>
              </c:strCache>
            </c:strRef>
          </c:cat>
          <c:val>
            <c:numRef>
              <c:f>[图表.xls]Sheet1!$B$44:$C$44</c:f>
              <c:numCache>
                <c:formatCode>#,##0.00</c:formatCode>
                <c:ptCount val="2"/>
                <c:pt idx="0">
                  <c:v>1763.1</c:v>
                </c:pt>
                <c:pt idx="1">
                  <c:v>1927.99</c:v>
                </c:pt>
              </c:numCache>
            </c:numRef>
          </c:val>
        </c:ser>
        <c:dLbls>
          <c:showLegendKey val="0"/>
          <c:showVal val="0"/>
          <c:showCatName val="0"/>
          <c:showSerName val="0"/>
          <c:showPercent val="0"/>
          <c:showBubbleSize val="0"/>
        </c:dLbls>
        <c:gapWidth val="219"/>
        <c:overlap val="-10"/>
        <c:axId val="818251735"/>
        <c:axId val="732720664"/>
      </c:barChart>
      <c:catAx>
        <c:axId val="818251735"/>
        <c:scaling>
          <c:orientation val="minMax"/>
        </c:scaling>
        <c:delete val="0"/>
        <c:axPos val="b"/>
        <c:majorTickMark val="none"/>
        <c:minorTickMark val="none"/>
        <c:tickLblPos val="nextTo"/>
        <c:spPr>
          <a:noFill/>
          <a:ln w="9525" cap="flat" cmpd="sng" algn="ctr">
            <a:solidFill>
              <a:schemeClr val="bg1">
                <a:lumMod val="95000"/>
              </a:schemeClr>
            </a:solidFill>
            <a:prstDash val="solid"/>
            <a:round/>
          </a:ln>
          <a:effectLst/>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p>
        </c:txPr>
        <c:crossAx val="732720664"/>
        <c:crosses val="autoZero"/>
        <c:auto val="1"/>
        <c:lblAlgn val="ctr"/>
        <c:lblOffset val="100"/>
        <c:noMultiLvlLbl val="0"/>
      </c:catAx>
      <c:valAx>
        <c:axId val="732720664"/>
        <c:scaling>
          <c:orientation val="minMax"/>
        </c:scaling>
        <c:delete val="0"/>
        <c:axPos val="l"/>
        <c:majorGridlines>
          <c:spPr>
            <a:ln w="9525" cap="flat" cmpd="sng" algn="ctr">
              <a:solidFill>
                <a:schemeClr val="bg1">
                  <a:lumMod val="95000"/>
                </a:schemeClr>
              </a:solidFill>
              <a:prstDash val="solid"/>
              <a:round/>
            </a:ln>
            <a:effectLst/>
          </c:spPr>
        </c:majorGridlines>
        <c:numFmt formatCode="#,##0.00"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818251735"/>
        <c:crosses val="autoZero"/>
        <c:crossBetween val="between"/>
      </c:valAx>
      <c:spPr>
        <a:noFill/>
        <a:ln w="3175">
          <a:noFill/>
        </a:ln>
      </c:spPr>
    </c:plotArea>
    <c:legend>
      <c:legendPos val="b"/>
      <c:layout/>
      <c:overlay val="0"/>
      <c:spPr>
        <a:noFill/>
        <a:ln w="3175">
          <a:noFill/>
        </a:ln>
      </c:spPr>
      <c:txPr>
        <a:bodyPr rot="0" spcFirstLastPara="0" vertOverflow="ellipsis" vert="horz" wrap="square" anchor="ctr" anchorCtr="1"/>
        <a:lstStyle/>
        <a:p>
          <a:pPr>
            <a:defRPr lang="zh-CN" sz="825" b="0" i="0" u="none" strike="noStrike" kern="1200" baseline="0">
              <a:solidFill>
                <a:srgbClr val="333333"/>
              </a:solidFill>
              <a:latin typeface="微软雅黑" panose="020B0503020204020204" charset="-122"/>
              <a:ea typeface="微软雅黑" panose="020B0503020204020204" charset="-122"/>
              <a:cs typeface="微软雅黑" panose="020B0503020204020204" charset="-122"/>
            </a:defRPr>
          </a:pPr>
        </a:p>
      </c:txPr>
    </c:legend>
    <c:plotVisOnly val="1"/>
    <c:dispBlanksAs val="gap"/>
    <c:showDLblsOverMax val="0"/>
  </c:chart>
  <c:spPr>
    <a:solidFill>
      <a:schemeClr val="bg1"/>
    </a:solidFill>
    <a:ln w="9525" cap="flat" cmpd="sng" algn="ctr">
      <a:solidFill>
        <a:schemeClr val="bg1">
          <a:lumMod val="9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t>一般公共预算财政拨款支出决算结构</a:t>
            </a:r>
            <a:endParaRPr sz="1400" b="1" i="0" u="none" strike="noStrike" baseline="0">
              <a:solidFill>
                <a:srgbClr val="808080">
                  <a:alpha val="100000"/>
                </a:srgbClr>
              </a:solidFill>
              <a:latin typeface="宋体" panose="02010600030101010101" charset="-122"/>
              <a:ea typeface="宋体" panose="02010600030101010101" charset="-122"/>
              <a:cs typeface="宋体" panose="02010600030101010101" charset="-122"/>
            </a:endParaRPr>
          </a:p>
        </c:rich>
      </c:tx>
      <c:layout>
        <c:manualLayout>
          <c:xMode val="edge"/>
          <c:yMode val="edge"/>
          <c:x val="0.180972222222222"/>
          <c:y val="0.901851851851852"/>
        </c:manualLayout>
      </c:layout>
      <c:overlay val="0"/>
      <c:spPr>
        <a:noFill/>
        <a:ln w="3175">
          <a:noFill/>
        </a:ln>
      </c:spPr>
    </c:title>
    <c:autoTitleDeleted val="0"/>
    <c:plotArea>
      <c:layout/>
      <c:pieChart>
        <c:varyColors val="1"/>
        <c:ser>
          <c:idx val="0"/>
          <c:order val="0"/>
          <c:explosion val="0"/>
          <c:dPt>
            <c:idx val="0"/>
            <c:bubble3D val="0"/>
            <c:explosion val="0"/>
            <c:spPr>
              <a:solidFill>
                <a:srgbClr val="70AD47">
                  <a:alpha val="100000"/>
                </a:srgbClr>
              </a:solidFill>
              <a:ln w="19050">
                <a:solidFill>
                  <a:srgbClr val="FFFFFF">
                    <a:alpha val="100000"/>
                  </a:srgbClr>
                </a:solidFill>
                <a:prstDash val="solid"/>
              </a:ln>
            </c:spPr>
          </c:dPt>
          <c:dPt>
            <c:idx val="1"/>
            <c:bubble3D val="0"/>
            <c:explosion val="0"/>
            <c:spPr>
              <a:solidFill>
                <a:srgbClr val="5B9BD5">
                  <a:alpha val="100000"/>
                </a:srgbClr>
              </a:solidFill>
              <a:ln w="19050">
                <a:solidFill>
                  <a:srgbClr val="FFFFFF">
                    <a:alpha val="100000"/>
                  </a:srgbClr>
                </a:solidFill>
                <a:prstDash val="solid"/>
              </a:ln>
            </c:spPr>
          </c:dPt>
          <c:dPt>
            <c:idx val="2"/>
            <c:bubble3D val="0"/>
            <c:explosion val="0"/>
            <c:spPr>
              <a:solidFill>
                <a:srgbClr val="FFC000">
                  <a:alpha val="100000"/>
                </a:srgbClr>
              </a:solidFill>
              <a:ln w="19050">
                <a:solidFill>
                  <a:srgbClr val="FFFFFF">
                    <a:alpha val="100000"/>
                  </a:srgbClr>
                </a:solidFill>
                <a:prstDash val="solid"/>
              </a:ln>
            </c:spPr>
          </c:dPt>
          <c:dPt>
            <c:idx val="3"/>
            <c:bubble3D val="0"/>
            <c:explosion val="0"/>
            <c:spPr>
              <a:solidFill>
                <a:srgbClr val="ED7D31">
                  <a:alpha val="100000"/>
                </a:srgbClr>
              </a:solidFill>
              <a:ln w="19050">
                <a:solidFill>
                  <a:srgbClr val="FFFFFF">
                    <a:alpha val="100000"/>
                  </a:srgbClr>
                </a:solidFill>
                <a:prstDash val="solid"/>
              </a:ln>
            </c:spPr>
          </c:dPt>
          <c:dLbls>
            <c:dLbl>
              <c:idx val="0"/>
              <c:layout>
                <c:manualLayout>
                  <c:x val="0.037693853945879"/>
                  <c:y val="-0.0471362878663148"/>
                </c:manualLayout>
              </c:layout>
              <c:numFmt formatCode="General" sourceLinked="1"/>
              <c:spPr>
                <a:solidFill>
                  <a:srgbClr val="70AD47">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825785823655661"/>
                  <c:y val="0.029251724540949"/>
                </c:manualLayout>
              </c:layout>
              <c:numFmt formatCode="General" sourceLinked="1"/>
              <c:spPr>
                <a:solidFill>
                  <a:srgbClr val="FFC000">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336623642926775"/>
                  <c:y val="-0.0470761325922897"/>
                </c:manualLayout>
              </c:layout>
              <c:numFmt formatCode="General" sourceLinked="1"/>
              <c:spPr>
                <a:solidFill>
                  <a:srgbClr val="ED7D31">
                    <a:alpha val="50000"/>
                  </a:srgbClr>
                </a:solid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969696">
                          <a:alpha val="100000"/>
                        </a:srgbClr>
                      </a:solidFill>
                      <a:prstDash val="solid"/>
                      <a:round/>
                    </a:ln>
                  </c:spPr>
                </c15:leaderLines>
              </c:ext>
            </c:extLst>
          </c:dLbls>
          <c:cat>
            <c:strRef>
              <c:f>[图表.xls]Sheet1!$A$64:$D$64</c:f>
              <c:strCache>
                <c:ptCount val="4"/>
                <c:pt idx="0">
                  <c:v>教育支出</c:v>
                </c:pt>
                <c:pt idx="1">
                  <c:v>社会保障和就业支出</c:v>
                </c:pt>
                <c:pt idx="2">
                  <c:v>医疗卫生与计划生育支出</c:v>
                </c:pt>
                <c:pt idx="3">
                  <c:v>住房保障支出</c:v>
                </c:pt>
              </c:strCache>
            </c:strRef>
          </c:cat>
          <c:val>
            <c:numRef>
              <c:f>[图表.xls]Sheet1!$A$65:$D$65</c:f>
              <c:numCache>
                <c:formatCode>#,##0.00</c:formatCode>
                <c:ptCount val="4"/>
                <c:pt idx="0">
                  <c:v>1450.99</c:v>
                </c:pt>
                <c:pt idx="1">
                  <c:v>249.68</c:v>
                </c:pt>
                <c:pt idx="2">
                  <c:v>93.76</c:v>
                </c:pt>
                <c:pt idx="3">
                  <c:v>133.56</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overlay val="0"/>
      <c:spPr>
        <a:solidFill>
          <a:schemeClr val="lt1">
            <a:alpha val="50000"/>
          </a:schemeClr>
        </a:solidFill>
        <a:ln>
          <a:noFill/>
        </a:ln>
        <a:effectLst/>
      </c:spPr>
      <c:txPr>
        <a:bodyPr rot="0" spcFirstLastPara="0" vertOverflow="ellipsis" vert="horz" wrap="square" anchor="ctr" anchorCtr="1"/>
        <a:lstStyle/>
        <a:p>
          <a:pPr>
            <a:defRPr lang="zh-CN" sz="825"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pattFill prst="dkDnDiag">
      <a:fgClr>
        <a:schemeClr val="lt1"/>
      </a:fgClr>
      <a:bgClr>
        <a:sysClr val="window" lastClr="FFFFFF"/>
      </a:bgClr>
    </a:pattFill>
    <a:ln w="9525" cap="flat" cmpd="sng" algn="ctr">
      <a:solidFill>
        <a:schemeClr val="dk1">
          <a:lumMod val="15000"/>
          <a:lumOff val="8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Cambria"/>
      <a:cs typeface="Arial"/>
    </a:majorFont>
    <a:minorFont>
      <a:latin typeface="等线"/>
      <a:ea typeface="等线"/>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Cambria"/>
      <a:cs typeface="Arial"/>
    </a:majorFont>
    <a:minorFont>
      <a:latin typeface="等线"/>
      <a:ea typeface="等线"/>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Override>
</file>

<file path=word/theme/themeOverride4.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23</Pages>
  <Words>1299</Words>
  <Characters>7410</Characters>
  <Lines>61</Lines>
  <Paragraphs>17</Paragraphs>
  <TotalTime>5</TotalTime>
  <ScaleCrop>false</ScaleCrop>
  <LinksUpToDate>false</LinksUpToDate>
  <CharactersWithSpaces>8692</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Administrator</cp:lastModifiedBy>
  <cp:lastPrinted>2026-08-03T09:27:00Z</cp:lastPrinted>
  <dcterms:modified xsi:type="dcterms:W3CDTF">2026-10-20T01:11:54Z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400D301575C74348A5277D00A7902E06</vt:lpwstr>
  </property>
</Properties>
</file>