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思源黑体 CN Normal" w:hAnsi="思源黑体 CN Normal" w:eastAsia="思源黑体 CN Normal" w:cs="思源黑体 CN Normal"/>
          <w:b/>
          <w:color w:val="000000" w:themeColor="text1"/>
          <w:sz w:val="72"/>
          <w:szCs w:val="72"/>
          <w14:textFill>
            <w14:solidFill>
              <w14:schemeClr w14:val="tx1"/>
            </w14:solidFill>
          </w14:textFill>
        </w:rPr>
      </w:pPr>
      <w:bookmarkStart w:id="0" w:name="_Toc15377425"/>
      <w:bookmarkStart w:id="1" w:name="_Toc15377193"/>
      <w:bookmarkStart w:id="2" w:name="_Toc15378441"/>
      <w:bookmarkStart w:id="3" w:name="_Toc15396597"/>
      <w:bookmarkStart w:id="4" w:name="_Toc15396475"/>
      <w:bookmarkStart w:id="5" w:name="_Toc15306267"/>
    </w:p>
    <w:p>
      <w:pPr>
        <w:pStyle w:val="8"/>
        <w:ind w:firstLine="0"/>
        <w:rPr>
          <w:rFonts w:hint="eastAsia" w:ascii="思源黑体 CN Normal" w:hAnsi="思源黑体 CN Normal" w:eastAsia="思源黑体 CN Normal" w:cs="思源黑体 CN Normal"/>
          <w:color w:val="000000" w:themeColor="text1"/>
          <w14:textFill>
            <w14:solidFill>
              <w14:schemeClr w14:val="tx1"/>
            </w14:solidFill>
          </w14:textFill>
        </w:rPr>
      </w:pPr>
    </w:p>
    <w:p>
      <w:pPr>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pPr>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pPr>
        <w:jc w:val="both"/>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p>
    <w:p>
      <w:pPr>
        <w:jc w:val="center"/>
        <w:rPr>
          <w:rFonts w:hint="eastAsia" w:ascii="黑体" w:hAnsi="黑体" w:eastAsia="黑体" w:cs="黑体"/>
          <w:b w:val="0"/>
          <w:bCs/>
          <w:color w:val="000000" w:themeColor="text1"/>
          <w:sz w:val="44"/>
          <w:szCs w:val="44"/>
          <w14:textFill>
            <w14:solidFill>
              <w14:schemeClr w14:val="tx1"/>
            </w14:solidFill>
          </w14:textFill>
        </w:rPr>
      </w:pPr>
      <w:r>
        <w:rPr>
          <w:rFonts w:hint="eastAsia" w:ascii="黑体" w:hAnsi="黑体" w:eastAsia="黑体" w:cs="黑体"/>
          <w:b w:val="0"/>
          <w:bCs/>
          <w:color w:val="000000" w:themeColor="text1"/>
          <w:sz w:val="44"/>
          <w:szCs w:val="44"/>
          <w14:textFill>
            <w14:solidFill>
              <w14:schemeClr w14:val="tx1"/>
            </w14:solidFill>
          </w14:textFill>
        </w:rPr>
        <w:t>2025</w:t>
      </w:r>
      <w:r>
        <w:rPr>
          <w:rFonts w:ascii="黑体" w:hAnsi="黑体" w:eastAsia="黑体" w:cs="黑体"/>
          <w:color w:val="000000"/>
          <w:sz w:val="44"/>
          <w:u w:color="auto"/>
        </w:rPr>
        <w:t>年度</w:t>
      </w:r>
      <w:bookmarkEnd w:id="0"/>
      <w:bookmarkEnd w:id="1"/>
      <w:bookmarkEnd w:id="2"/>
      <w:bookmarkEnd w:id="3"/>
      <w:bookmarkEnd w:id="4"/>
    </w:p>
    <w:bookmarkEnd w:id="5"/>
    <w:p>
      <w:pPr>
        <w:jc w:val="center"/>
        <w:rPr>
          <w:rFonts w:hint="eastAsia" w:ascii="黑体" w:hAnsi="黑体" w:eastAsia="黑体" w:cs="黑体"/>
          <w:b w:val="0"/>
          <w:bCs/>
          <w:color w:val="000000" w:themeColor="text1"/>
          <w:sz w:val="44"/>
          <w:szCs w:val="44"/>
          <w14:textFill>
            <w14:solidFill>
              <w14:schemeClr w14:val="tx1"/>
            </w14:solidFill>
          </w14:textFill>
        </w:rPr>
      </w:pPr>
      <w:bookmarkStart w:id="6" w:name="_Toc15377426"/>
      <w:bookmarkStart w:id="7" w:name="_Toc15306268"/>
      <w:bookmarkStart w:id="8" w:name="_Toc15396476"/>
      <w:bookmarkStart w:id="9" w:name="_Toc15378442"/>
      <w:bookmarkStart w:id="10" w:name="_Toc15377194"/>
      <w:bookmarkStart w:id="11" w:name="_Toc15396598"/>
      <w:r>
        <w:rPr>
          <w:rFonts w:hint="eastAsia" w:ascii="黑体" w:hAnsi="黑体" w:eastAsia="黑体" w:cs="黑体"/>
          <w:b w:val="0"/>
          <w:bCs/>
          <w:color w:val="000000" w:themeColor="text1"/>
          <w:sz w:val="44"/>
          <w:szCs w:val="44"/>
          <w14:textFill>
            <w14:solidFill>
              <w14:schemeClr w14:val="tx1"/>
            </w14:solidFill>
          </w14:textFill>
        </w:rPr>
        <w:t>红原县藏医院</w:t>
      </w:r>
      <w:r>
        <w:rPr>
          <w:rFonts w:ascii="黑体" w:hAnsi="黑体" w:eastAsia="黑体" w:cs="黑体"/>
          <w:color w:val="000000"/>
          <w:sz w:val="44"/>
          <w:u w:color="auto"/>
        </w:rPr>
        <w:t>单位决算</w:t>
      </w:r>
      <w:bookmarkEnd w:id="6"/>
      <w:bookmarkEnd w:id="7"/>
      <w:bookmarkEnd w:id="8"/>
      <w:bookmarkEnd w:id="9"/>
      <w:bookmarkEnd w:id="10"/>
      <w:bookmarkEnd w:id="11"/>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8"/>
        <w:tabs>
          <w:tab w:val="left" w:pos="3600"/>
        </w:tabs>
        <w:rPr>
          <w:rFonts w:hint="eastAsia" w:ascii="思源黑体 CN Normal" w:hAnsi="思源黑体 CN Normal" w:eastAsia="思源黑体 CN Normal" w:cs="思源黑体 CN Normal"/>
          <w:color w:val="000000" w:themeColor="text1"/>
          <w14:textFill>
            <w14:solidFill>
              <w14:schemeClr w14:val="tx1"/>
            </w14:solidFill>
          </w14:textFill>
        </w:rPr>
      </w:pPr>
      <w:r>
        <w:rPr>
          <w:rFonts w:hint="eastAsia" w:ascii="思源黑体 CN Normal" w:hAnsi="思源黑体 CN Normal" w:eastAsia="思源黑体 CN Normal" w:cs="思源黑体 CN Normal"/>
          <w:color w:val="000000" w:themeColor="text1"/>
          <w14:textFill>
            <w14:solidFill>
              <w14:schemeClr w14:val="tx1"/>
            </w14:solidFill>
          </w14:textFill>
        </w:rPr>
        <w:tab/>
      </w:r>
    </w:p>
    <w:p>
      <w:pPr>
        <w:pStyle w:val="8"/>
        <w:rPr>
          <w:rFonts w:hint="eastAsia" w:ascii="思源黑体 CN Normal" w:hAnsi="思源黑体 CN Normal" w:eastAsia="思源黑体 CN Normal" w:cs="思源黑体 CN Normal"/>
          <w:color w:val="000000" w:themeColor="text1"/>
          <w14:textFill>
            <w14:solidFill>
              <w14:schemeClr w14:val="tx1"/>
            </w14:solidFill>
          </w14:textFill>
        </w:rPr>
      </w:pPr>
    </w:p>
    <w:p>
      <w:pPr>
        <w:pStyle w:val="15"/>
        <w:jc w:val="both"/>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pPr>
      <w:r>
        <w:rPr>
          <w:rFonts w:hint="eastAsia" w:ascii="思源黑体 CN Normal" w:hAnsi="思源黑体 CN Normal" w:eastAsia="思源黑体 CN Normal" w:cs="思源黑体 CN Normal"/>
          <w:color w:val="000000" w:themeColor="text1"/>
          <w:sz w:val="36"/>
          <w:szCs w:val="36"/>
          <w14:textFill>
            <w14:solidFill>
              <w14:schemeClr w14:val="tx1"/>
            </w14:solidFill>
          </w14:textFill>
        </w:rPr>
        <w:br w:type="page"/>
      </w:r>
    </w:p>
    <w:p>
      <w:pPr>
        <w:widowControl/>
        <w:jc w:val="center"/>
        <w:rPr>
          <w:rFonts w:hint="eastAsia" w:ascii="思源黑体 CN Normal" w:hAnsi="思源黑体 CN Normal" w:eastAsia="思源黑体 CN Normal" w:cs="思源黑体 CN Normal"/>
          <w:b w:val="0"/>
          <w:bCs w:val="0"/>
          <w:color w:val="000000" w:themeColor="text1"/>
          <w:sz w:val="36"/>
          <w:szCs w:val="36"/>
          <w14:textFill>
            <w14:solidFill>
              <w14:schemeClr w14:val="tx1"/>
            </w14:solidFill>
          </w14:textFill>
        </w:rPr>
      </w:pPr>
      <w:r>
        <w:rPr>
          <w:rFonts w:hint="eastAsia" w:ascii="思源黑体 CN Normal" w:hAnsi="思源黑体 CN Normal" w:eastAsia="思源黑体 CN Normal" w:cs="思源黑体 CN Normal"/>
          <w:b w:val="0"/>
          <w:bCs w:val="0"/>
          <w:color w:val="000000" w:themeColor="text1"/>
          <w:sz w:val="48"/>
          <w:szCs w:val="48"/>
          <w14:textFill>
            <w14:solidFill>
              <w14:schemeClr w14:val="tx1"/>
            </w14:solidFill>
          </w14:textFill>
        </w:rPr>
        <w:t>目录</w:t>
      </w:r>
    </w:p>
    <w:p>
      <w:pPr>
        <w:pStyle w:val="1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公开时间：20</w:t>
      </w:r>
      <w:r>
        <w:rPr>
          <w:rFonts w:hint="eastAsia"/>
          <w:color w:val="000000" w:themeColor="text1"/>
          <w:highlight w:val="none"/>
          <w:lang w:val="en-US" w:eastAsia="zh-CN"/>
          <w14:textFill>
            <w14:solidFill>
              <w14:schemeClr w14:val="tx1"/>
            </w14:solidFill>
          </w14:textFill>
        </w:rPr>
        <w:t>26</w:t>
      </w:r>
      <w:r>
        <w:rPr>
          <w:rFonts w:hint="eastAsia"/>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 xml:space="preserve">13 </w:t>
      </w:r>
      <w:r>
        <w:rPr>
          <w:rFonts w:hint="eastAsia"/>
          <w:color w:val="000000" w:themeColor="text1"/>
          <w:highlight w:val="none"/>
          <w14:textFill>
            <w14:solidFill>
              <w14:schemeClr w14:val="tx1"/>
            </w14:solidFill>
          </w14:textFill>
        </w:rPr>
        <w:t>日</w:t>
      </w:r>
    </w:p>
    <w:p>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bookmarkStart w:id="12" w:name="_Toc15377196"/>
      <w:r>
        <w:rPr>
          <w:rFonts w:hint="eastAsia" w:ascii="宋体" w:hAnsi="宋体" w:eastAsia="宋体" w:cs="宋体"/>
          <w:smallCaps/>
          <w:color w:val="000000" w:themeColor="text1"/>
          <w:sz w:val="20"/>
          <w:szCs w:val="20"/>
          <w14:textFill>
            <w14:solidFill>
              <w14:schemeClr w14:val="tx1"/>
            </w14:solidFill>
          </w14:textFill>
        </w:rPr>
        <w:fldChar w:fldCharType="begin"/>
      </w:r>
      <w:r>
        <w:rPr>
          <w:rFonts w:hint="eastAsia" w:ascii="宋体" w:hAnsi="宋体" w:eastAsia="宋体" w:cs="宋体"/>
          <w:smallCaps/>
          <w:color w:val="000000" w:themeColor="text1"/>
          <w:sz w:val="20"/>
          <w:szCs w:val="20"/>
          <w14:textFill>
            <w14:solidFill>
              <w14:schemeClr w14:val="tx1"/>
            </w14:solidFill>
          </w14:textFill>
        </w:rPr>
        <w:instrText xml:space="preserve"> TOC \o "1-2" \h \z \u </w:instrText>
      </w:r>
      <w:r>
        <w:rPr>
          <w:rFonts w:hint="eastAsia" w:ascii="宋体" w:hAnsi="宋体" w:eastAsia="宋体" w:cs="宋体"/>
          <w:smallCaps/>
          <w:color w:val="000000" w:themeColor="text1"/>
          <w:sz w:val="20"/>
          <w:szCs w:val="20"/>
          <w14:textFill>
            <w14:solidFill>
              <w14:schemeClr w14:val="tx1"/>
            </w14:solidFill>
          </w14:textFill>
        </w:rPr>
        <w:fldChar w:fldCharType="separate"/>
      </w: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_Toc9016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 xml:space="preserve">第一部分 </w:t>
      </w:r>
      <w:r>
        <w:rPr>
          <w:rFonts w:hint="eastAsia" w:ascii="黑体" w:hAnsi="黑体" w:eastAsia="黑体" w:cs="黑体"/>
          <w:bCs w:val="0"/>
          <w:color w:val="000000" w:themeColor="text1"/>
          <w:sz w:val="32"/>
          <w:szCs w:val="32"/>
          <w14:textFill>
            <w14:solidFill>
              <w14:schemeClr w14:val="tx1"/>
            </w14:solidFill>
          </w14:textFill>
        </w:rPr>
        <w:t>单位</w:t>
      </w:r>
      <w:r>
        <w:rPr>
          <w:rFonts w:ascii="黑体" w:hAnsi="黑体" w:eastAsia="黑体" w:cs="黑体"/>
          <w:color w:val="000000"/>
          <w:sz w:val="32"/>
          <w:u w:color="auto"/>
        </w:rPr>
        <w:t>概况</w:t>
      </w:r>
      <w: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_Toc9016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1</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_Toc28564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一、</w:t>
      </w:r>
      <w:r>
        <w:rPr>
          <w:rFonts w:hint="eastAsia" w:ascii="仿宋" w:hAnsi="仿宋" w:eastAsia="仿宋" w:cs="仿宋"/>
          <w:bCs w:val="0"/>
          <w:color w:val="000000" w:themeColor="text1"/>
          <w:sz w:val="32"/>
          <w:szCs w:val="32"/>
          <w:lang w:val="en-US" w:eastAsia="zh-CN"/>
          <w14:textFill>
            <w14:solidFill>
              <w14:schemeClr w14:val="tx1"/>
            </w14:solidFill>
          </w14:textFill>
        </w:rPr>
        <w:t>主要职责</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_Toc28564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_Toc22056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二、机构设置</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_Toc22056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_Toc9058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 xml:space="preserve">第二部分 </w:t>
      </w:r>
      <w:r>
        <w:rPr>
          <w:rFonts w:ascii="黑体" w:hAnsi="黑体" w:eastAsia="黑体" w:cs="黑体"/>
          <w:color w:val="000000"/>
          <w:sz w:val="32"/>
          <w:u w:color="auto"/>
        </w:rPr>
        <w:t>2025年度</w:t>
      </w:r>
      <w:r>
        <w:rPr>
          <w:rFonts w:hint="eastAsia" w:ascii="黑体" w:hAnsi="黑体" w:eastAsia="黑体" w:cs="黑体"/>
          <w:color w:val="000000" w:themeColor="text1"/>
          <w:sz w:val="32"/>
          <w:szCs w:val="32"/>
          <w:lang w:val="en-US" w:eastAsia="zh-CN"/>
          <w14:textFill>
            <w14:solidFill>
              <w14:schemeClr w14:val="tx1"/>
            </w14:solidFill>
          </w14:textFill>
        </w:rPr>
        <w:t>单位</w:t>
      </w:r>
      <w:r>
        <w:rPr>
          <w:rFonts w:hint="eastAsia" w:ascii="黑体" w:hAnsi="黑体" w:eastAsia="黑体" w:cs="黑体"/>
          <w:color w:val="000000" w:themeColor="text1"/>
          <w:sz w:val="32"/>
          <w:szCs w:val="32"/>
          <w14:textFill>
            <w14:solidFill>
              <w14:schemeClr w14:val="tx1"/>
            </w14:solidFill>
          </w14:textFill>
        </w:rPr>
        <w:t>决算情况说明</w:t>
      </w:r>
      <w: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_Toc9058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3</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_Toc19710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一、收入支出决算总体情况说明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_Toc19710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_Toc8125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二、收入决算情况说明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_Toc8125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_Toc28283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三、支出决算情况说明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_Toc28283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_Toc19521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四、财政拨款收入支出决算总体情况说明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_Toc19521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_Toc14368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五、一般公共预算财政拨款支出决算情况说明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_Toc14368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6</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_Toc31578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六、一般公共预算财政拨款基本支出决算情况说明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_Toc31578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9</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_Toc6614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七、“三公”经费财政拨款支出决算情况说明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_Toc6614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9</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_Toc20439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八、政府性基金预算支出决算情况说明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_Toc20439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11</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_Toc23467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九、国有资本经营预算支出决算情况说明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_Toc23467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11</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_Toc18455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十、其他重要事项的情况说明</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_Toc18455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11</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_Toc18122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第三部分 名词解释</w:t>
      </w:r>
      <w:r>
        <w:rPr>
          <w:rFonts w:hint="eastAsia" w:ascii="黑体" w:hAnsi="黑体" w:eastAsia="黑体" w:cs="黑体"/>
          <w:color w:val="000000" w:themeColor="text1"/>
          <w:sz w:val="32"/>
          <w:szCs w:val="32"/>
          <w14:textFill>
            <w14:solidFill>
              <w14:schemeClr w14:val="tx1"/>
            </w14:solidFill>
          </w14:textFill>
        </w:rP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_Toc18122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13</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_Toc25539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第四部分 附件</w:t>
      </w:r>
      <w:r>
        <w:rPr>
          <w:rFonts w:hint="eastAsia" w:ascii="黑体" w:hAnsi="黑体" w:eastAsia="黑体" w:cs="黑体"/>
          <w:color w:val="000000" w:themeColor="text1"/>
          <w:sz w:val="32"/>
          <w:szCs w:val="32"/>
          <w14:textFill>
            <w14:solidFill>
              <w14:schemeClr w14:val="tx1"/>
            </w14:solidFill>
          </w14:textFill>
        </w:rP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_Toc25539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16</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pPr>
        <w:pStyle w:val="15"/>
        <w:tabs>
          <w:tab w:val="right" w:leader="dot" w:pos="8306"/>
          <w:tab w:val="clear" w:pos="8296"/>
        </w:tabs>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smallCaps/>
          <w:color w:val="000000" w:themeColor="text1"/>
          <w:sz w:val="32"/>
          <w:szCs w:val="32"/>
          <w14:textFill>
            <w14:solidFill>
              <w14:schemeClr w14:val="tx1"/>
            </w14:solidFill>
          </w14:textFill>
        </w:rPr>
        <w:fldChar w:fldCharType="begin"/>
      </w:r>
      <w:r>
        <w:rPr>
          <w:rFonts w:hint="eastAsia" w:ascii="黑体" w:hAnsi="黑体" w:eastAsia="黑体" w:cs="黑体"/>
          <w:smallCaps/>
          <w:color w:val="000000" w:themeColor="text1"/>
          <w:sz w:val="32"/>
          <w:szCs w:val="32"/>
          <w14:textFill>
            <w14:solidFill>
              <w14:schemeClr w14:val="tx1"/>
            </w14:solidFill>
          </w14:textFill>
        </w:rPr>
        <w:instrText xml:space="preserve"> HYPERLINK \l _Toc21200 </w:instrText>
      </w:r>
      <w:r>
        <w:rPr>
          <w:rFonts w:hint="eastAsia" w:ascii="黑体" w:hAnsi="黑体" w:eastAsia="黑体" w:cs="黑体"/>
          <w:smallCaps/>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第五部分 附表</w:t>
      </w:r>
      <w:r>
        <w:rPr>
          <w:rFonts w:hint="eastAsia" w:ascii="黑体" w:hAnsi="黑体" w:eastAsia="黑体" w:cs="黑体"/>
          <w:color w:val="000000" w:themeColor="text1"/>
          <w:sz w:val="32"/>
          <w:szCs w:val="32"/>
          <w14:textFill>
            <w14:solidFill>
              <w14:schemeClr w14:val="tx1"/>
            </w14:solidFill>
          </w14:textFill>
        </w:rPr>
        <w:tab/>
      </w: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color w:val="000000" w:themeColor="text1"/>
          <w:sz w:val="32"/>
          <w:szCs w:val="32"/>
          <w14:textFill>
            <w14:solidFill>
              <w14:schemeClr w14:val="tx1"/>
            </w14:solidFill>
          </w14:textFill>
        </w:rPr>
        <w:instrText xml:space="preserve"> PAGEREF _Toc21200 \h </w:instrText>
      </w:r>
      <w:r>
        <w:rPr>
          <w:rFonts w:hint="eastAsia" w:ascii="黑体" w:hAnsi="黑体" w:eastAsia="黑体" w:cs="黑体"/>
          <w:color w:val="000000" w:themeColor="text1"/>
          <w:sz w:val="32"/>
          <w:szCs w:val="32"/>
          <w14:textFill>
            <w14:solidFill>
              <w14:schemeClr w14:val="tx1"/>
            </w14:solidFill>
          </w14:textFill>
        </w:rPr>
        <w:fldChar w:fldCharType="separate"/>
      </w:r>
      <w:r>
        <w:rPr>
          <w:rFonts w:hint="eastAsia" w:ascii="黑体" w:hAnsi="黑体" w:eastAsia="黑体" w:cs="黑体"/>
          <w:color w:val="000000" w:themeColor="text1"/>
          <w:sz w:val="32"/>
          <w:szCs w:val="32"/>
          <w14:textFill>
            <w14:solidFill>
              <w14:schemeClr w14:val="tx1"/>
            </w14:solidFill>
          </w14:textFill>
        </w:rPr>
        <w:t>54</w:t>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_Toc16431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一、收入支出决算总表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_Toc16431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_Toc25389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二、收入决算表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_Toc25389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_Toc10450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三、支出决算表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_Toc10450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_Toc15415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四、财政拨款收入支出决算总表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_Toc15415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_Toc17530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五、财政拨款支出决算明细表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_Toc17530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_Toc22032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六、一般公共预算财政拨款支出决算表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_Toc22032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_Toc3364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七、一般公共预算财政拨款支出决算明细表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_Toc3364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_Toc9110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八、一般公共预算财政拨款基本支出决算表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_Toc9110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_Toc28582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九、一般公共预算财政拨款项目支出决算表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_Toc28582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_Toc22001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十、政府性基金预算财政拨款收入支出决算表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_Toc22001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_Toc6538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十一、国有资本经营预算财政拨款收入支出决算表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_Toc6538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_Toc10625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十二、国有资本经营预算财政拨款支出决算表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_Toc10625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17"/>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仿宋" w:hAnsi="仿宋" w:eastAsia="仿宋" w:cs="仿宋"/>
          <w:smallCaps/>
          <w:color w:val="000000" w:themeColor="text1"/>
          <w:sz w:val="32"/>
          <w:szCs w:val="32"/>
          <w14:textFill>
            <w14:solidFill>
              <w14:schemeClr w14:val="tx1"/>
            </w14:solidFill>
          </w14:textFill>
        </w:rPr>
        <w:fldChar w:fldCharType="begin"/>
      </w:r>
      <w:r>
        <w:rPr>
          <w:rFonts w:hint="eastAsia" w:ascii="仿宋" w:hAnsi="仿宋" w:eastAsia="仿宋" w:cs="仿宋"/>
          <w:smallCaps/>
          <w:color w:val="000000" w:themeColor="text1"/>
          <w:sz w:val="32"/>
          <w:szCs w:val="32"/>
          <w14:textFill>
            <w14:solidFill>
              <w14:schemeClr w14:val="tx1"/>
            </w14:solidFill>
          </w14:textFill>
        </w:rPr>
        <w:instrText xml:space="preserve"> HYPERLINK \l _Toc28356 </w:instrText>
      </w:r>
      <w:r>
        <w:rPr>
          <w:rFonts w:hint="eastAsia" w:ascii="仿宋" w:hAnsi="仿宋" w:eastAsia="仿宋" w:cs="仿宋"/>
          <w:smallCaps/>
          <w:color w:val="000000" w:themeColor="text1"/>
          <w:sz w:val="32"/>
          <w:szCs w:val="32"/>
          <w14:textFill>
            <w14:solidFill>
              <w14:schemeClr w14:val="tx1"/>
            </w14:solidFill>
          </w14:textFill>
        </w:rPr>
        <w:fldChar w:fldCharType="separate"/>
      </w:r>
      <w:r>
        <w:rPr>
          <w:rFonts w:hint="eastAsia" w:ascii="仿宋" w:hAnsi="仿宋" w:eastAsia="仿宋" w:cs="仿宋"/>
          <w:bCs w:val="0"/>
          <w:color w:val="000000" w:themeColor="text1"/>
          <w:sz w:val="32"/>
          <w:szCs w:val="32"/>
          <w14:textFill>
            <w14:solidFill>
              <w14:schemeClr w14:val="tx1"/>
            </w14:solidFill>
          </w14:textFill>
        </w:rPr>
        <w:t>十三、财政拨款“三公”经费支出决算表</w:t>
      </w:r>
      <w:r>
        <w:rPr>
          <w:rFonts w:hint="eastAsia" w:ascii="仿宋" w:hAnsi="仿宋" w:eastAsia="仿宋" w:cs="仿宋"/>
          <w:color w:val="000000" w:themeColor="text1"/>
          <w:sz w:val="32"/>
          <w:szCs w:val="32"/>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fldChar w:fldCharType="begin"/>
      </w:r>
      <w:r>
        <w:rPr>
          <w:rFonts w:hint="eastAsia" w:ascii="仿宋" w:hAnsi="仿宋" w:eastAsia="仿宋" w:cs="仿宋"/>
          <w:color w:val="000000" w:themeColor="text1"/>
          <w:sz w:val="32"/>
          <w:szCs w:val="32"/>
          <w14:textFill>
            <w14:solidFill>
              <w14:schemeClr w14:val="tx1"/>
            </w14:solidFill>
          </w14:textFill>
        </w:rPr>
        <w:instrText xml:space="preserve"> PAGEREF _Toc28356 \h </w:instrText>
      </w:r>
      <w:r>
        <w:rPr>
          <w:rFonts w:hint="eastAsia" w:ascii="仿宋" w:hAnsi="仿宋" w:eastAsia="仿宋" w:cs="仿宋"/>
          <w:color w:val="000000" w:themeColor="text1"/>
          <w:sz w:val="32"/>
          <w:szCs w:val="32"/>
          <w14:textFill>
            <w14:solidFill>
              <w14:schemeClr w14:val="tx1"/>
            </w14:solidFill>
          </w14:textFill>
        </w:rPr>
        <w:fldChar w:fldCharType="separate"/>
      </w:r>
      <w:r>
        <w:rPr>
          <w:rFonts w:hint="eastAsia" w:ascii="仿宋" w:hAnsi="仿宋" w:eastAsia="仿宋" w:cs="仿宋"/>
          <w:color w:val="000000" w:themeColor="text1"/>
          <w:sz w:val="32"/>
          <w:szCs w:val="32"/>
          <w14:textFill>
            <w14:solidFill>
              <w14:schemeClr w14:val="tx1"/>
            </w14:solidFill>
          </w14:textFill>
        </w:rPr>
        <w:t>54</w:t>
      </w:r>
      <w:r>
        <w:rPr>
          <w:rFonts w:hint="eastAsia" w:ascii="仿宋" w:hAnsi="仿宋" w:eastAsia="仿宋" w:cs="仿宋"/>
          <w:color w:val="000000" w:themeColor="text1"/>
          <w:sz w:val="32"/>
          <w:szCs w:val="32"/>
          <w14:textFill>
            <w14:solidFill>
              <w14:schemeClr w14:val="tx1"/>
            </w14:solidFill>
          </w14:textFill>
        </w:rPr>
        <w:fldChar w:fldCharType="end"/>
      </w:r>
      <w:r>
        <w:rPr>
          <w:rFonts w:hint="eastAsia" w:ascii="仿宋" w:hAnsi="仿宋" w:eastAsia="仿宋" w:cs="仿宋"/>
          <w:smallCaps/>
          <w:color w:val="000000" w:themeColor="text1"/>
          <w:sz w:val="32"/>
          <w:szCs w:val="32"/>
          <w14:textFill>
            <w14:solidFill>
              <w14:schemeClr w14:val="tx1"/>
            </w14:solidFill>
          </w14:textFill>
        </w:rPr>
        <w:fldChar w:fldCharType="end"/>
      </w:r>
    </w:p>
    <w:p>
      <w:pPr>
        <w:pStyle w:val="8"/>
        <w:rPr>
          <w:rFonts w:hint="eastAsia" w:ascii="宋体" w:hAnsi="宋体" w:eastAsia="宋体" w:cs="宋体"/>
        </w:rPr>
      </w:pPr>
      <w:r>
        <w:rPr>
          <w:rFonts w:hint="eastAsia" w:ascii="宋体" w:hAnsi="宋体" w:eastAsia="宋体" w:cs="宋体"/>
          <w:smallCaps/>
          <w:color w:val="000000" w:themeColor="text1"/>
          <w:szCs w:val="20"/>
          <w14:textFill>
            <w14:solidFill>
              <w14:schemeClr w14:val="tx1"/>
            </w14:solidFill>
          </w14:textFill>
        </w:rPr>
        <w:fldChar w:fldCharType="end"/>
      </w:r>
    </w:p>
    <w:p>
      <w:pPr>
        <w:pStyle w:val="5"/>
        <w:jc w:val="center"/>
        <w:rPr>
          <w:rFonts w:hint="eastAsia" w:ascii="黑体" w:hAnsi="黑体" w:eastAsia="黑体" w:cs="黑体"/>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bookmarkStart w:id="13" w:name="_Toc9016"/>
      <w:bookmarkStart w:id="14" w:name="_Toc111208495"/>
    </w:p>
    <w:p>
      <w:pPr>
        <w:pStyle w:val="5"/>
        <w:jc w:val="center"/>
        <w:rPr>
          <w:rFonts w:hint="eastAsia" w:ascii="黑体" w:hAnsi="黑体" w:eastAsia="黑体" w:cs="黑体"/>
          <w:b w:val="0"/>
          <w:bCs w:val="0"/>
        </w:rPr>
      </w:pPr>
      <w:r>
        <w:rPr>
          <w:rFonts w:hint="eastAsia" w:ascii="黑体" w:hAnsi="黑体" w:eastAsia="黑体" w:cs="黑体"/>
          <w:b w:val="0"/>
          <w:bCs w:val="0"/>
        </w:rPr>
        <w:t xml:space="preserve">第一部分 </w:t>
      </w:r>
      <w:r>
        <w:rPr>
          <w:rStyle w:val="32"/>
          <w:rFonts w:hint="eastAsia" w:ascii="黑体" w:hAnsi="黑体" w:eastAsia="黑体" w:cs="黑体"/>
          <w:b w:val="0"/>
          <w:bCs w:val="0"/>
        </w:rPr>
        <w:t>单位</w:t>
      </w:r>
      <w:r>
        <w:rPr>
          <w:rStyle w:val="32"/>
          <w:rFonts w:ascii="黑体" w:hAnsi="黑体" w:eastAsia="黑体" w:cs="黑体"/>
          <w:b w:val="0"/>
          <w:bCs w:val="0"/>
          <w:u w:color="auto"/>
        </w:rPr>
        <w:t>概况</w:t>
      </w:r>
      <w:bookmarkEnd w:id="12"/>
      <w:bookmarkEnd w:id="13"/>
      <w:bookmarkEnd w:id="14"/>
    </w:p>
    <w:p>
      <w:pPr>
        <w:pStyle w:val="6"/>
        <w:ind w:firstLine="640" w:firstLineChars="200"/>
        <w:rPr>
          <w:rFonts w:hint="eastAsia" w:ascii="黑体" w:hAnsi="黑体" w:eastAsia="黑体" w:cs="黑体"/>
          <w:b w:val="0"/>
          <w:bCs/>
          <w:color w:val="000000"/>
          <w:lang w:val="en-US" w:eastAsia="zh-CN"/>
        </w:rPr>
      </w:pPr>
      <w:bookmarkStart w:id="15" w:name="_Toc113981010"/>
      <w:bookmarkStart w:id="16" w:name="_Toc111208496"/>
      <w:bookmarkStart w:id="17" w:name="_Toc28564"/>
      <w:bookmarkStart w:id="18" w:name="_Toc15377197"/>
      <w:bookmarkStart w:id="19" w:name="_Toc15377204"/>
      <w:r>
        <w:rPr>
          <w:rFonts w:hint="eastAsia" w:ascii="黑体" w:hAnsi="黑体" w:eastAsia="黑体" w:cs="黑体"/>
          <w:b w:val="0"/>
          <w:bCs/>
          <w:color w:val="000000"/>
        </w:rPr>
        <w:t>一、</w:t>
      </w:r>
      <w:bookmarkEnd w:id="15"/>
      <w:bookmarkEnd w:id="16"/>
      <w:bookmarkEnd w:id="17"/>
      <w:bookmarkEnd w:id="18"/>
      <w:bookmarkStart w:id="20" w:name="_Toc15377198"/>
      <w:bookmarkStart w:id="21" w:name="_Toc15378445"/>
      <w:r>
        <w:rPr>
          <w:rFonts w:hint="eastAsia" w:ascii="黑体" w:hAnsi="黑体" w:eastAsia="黑体" w:cs="黑体"/>
          <w:b w:val="0"/>
          <w:bCs/>
          <w:color w:val="000000"/>
          <w:lang w:val="en-US" w:eastAsia="zh-CN"/>
        </w:rPr>
        <w:t>主要职责</w:t>
      </w:r>
    </w:p>
    <w:bookmarkEnd w:id="20"/>
    <w:bookmarkEnd w:id="21"/>
    <w:p>
      <w:pPr>
        <w:pStyle w:val="2"/>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 红原县藏医院是一所集医疗、预防、保健、康复、制药、教学、研究为一体的综合性“公立医院”，也是医保和新农合的定点医院。</w:t>
      </w:r>
    </w:p>
    <w:p>
      <w:pPr>
        <w:pStyle w:val="2"/>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rPr>
      </w:pPr>
      <w:r>
        <w:rPr>
          <w:rFonts w:hint="eastAsia" w:ascii="仿宋" w:hAnsi="仿宋" w:eastAsia="仿宋" w:cs="仿宋"/>
          <w:color w:val="000000"/>
          <w:sz w:val="32"/>
          <w:szCs w:val="32"/>
        </w:rPr>
        <w:t>其主要职责：我院属二级预算单位1个，其中内设机构4个。红原县藏医院于2003年正式成立，于2015年省级达标为“二级甲等”中医医院，门诊部设内科、外治科、妇科、等9个门诊科室，住院部设内一科、内二科、康复理疗科等病区为人民群众提供中藏医医疗、预防、保健、计划生育、康复等医疗卫生服务。贯彻落实医药卫生体制改革、中藏医并重方针和国家中医药法律法规，执行中医药政策；拟定实施中医药、民族医药和中西医结合发展战略、规划；指导全县各医疗机构发展中医药和中西医结合业务建设。确保全县人民中藏医疗健康需求，建立与地方经济发展相适应的中西医结合医疗环境。加强中医医院标准化管理。贯彻落实国家基本药物制度和药品集中采购工作，执行医用耗材集中采购工作；负责医院内部的药品和医疗器械管理工作。承担意外灾害事故、疫情等突发公共卫生工作。</w:t>
      </w:r>
    </w:p>
    <w:p>
      <w:pPr>
        <w:pStyle w:val="6"/>
        <w:ind w:firstLine="640" w:firstLineChars="200"/>
        <w:rPr>
          <w:rFonts w:hint="eastAsia" w:ascii="黑体" w:hAnsi="黑体" w:eastAsia="黑体" w:cs="黑体"/>
          <w:b w:val="0"/>
          <w:bCs/>
          <w:color w:val="000000"/>
        </w:rPr>
      </w:pPr>
      <w:bookmarkStart w:id="22" w:name="_Toc113981011"/>
      <w:bookmarkStart w:id="23" w:name="_Toc22056"/>
      <w:bookmarkStart w:id="24" w:name="_Toc111208497"/>
      <w:bookmarkStart w:id="25" w:name="_Toc15377200"/>
      <w:r>
        <w:rPr>
          <w:rFonts w:hint="eastAsia" w:ascii="黑体" w:hAnsi="黑体" w:eastAsia="黑体" w:cs="黑体"/>
          <w:b w:val="0"/>
          <w:bCs/>
          <w:color w:val="000000"/>
        </w:rPr>
        <w:t>二、机构设置</w:t>
      </w:r>
      <w:bookmarkEnd w:id="22"/>
      <w:bookmarkEnd w:id="23"/>
      <w:bookmarkEnd w:id="24"/>
      <w:bookmarkEnd w:id="25"/>
    </w:p>
    <w:p>
      <w:pPr>
        <w:widowControl/>
        <w:ind w:firstLine="640" w:firstLineChars="200"/>
        <w:jc w:val="left"/>
        <w:rPr>
          <w:rFonts w:hint="eastAsia" w:ascii="思源黑体 CN Normal" w:hAnsi="思源黑体 CN Normal" w:eastAsia="思源黑体 CN Normal" w:cs="思源黑体 CN Normal"/>
          <w:b/>
          <w:bCs/>
          <w:color w:val="000000"/>
          <w:kern w:val="44"/>
          <w:sz w:val="44"/>
          <w:szCs w:val="44"/>
        </w:rPr>
      </w:pPr>
      <w:r>
        <w:rPr>
          <w:rFonts w:hint="eastAsia" w:ascii="仿宋" w:hAnsi="仿宋" w:eastAsia="仿宋" w:cs="仿宋"/>
          <w:color w:val="000000"/>
          <w:kern w:val="2"/>
          <w:sz w:val="32"/>
          <w:szCs w:val="32"/>
          <w:lang w:val="en-US" w:eastAsia="zh-CN" w:bidi="ar-SA"/>
        </w:rPr>
        <w:t> 本单位本年度纳入本套决算编制范围的独立编制机构数共1个，比上年增加0个，独立核算机构数共1个，比上年增加0个。</w:t>
      </w:r>
      <w:r>
        <w:rPr>
          <w:rFonts w:hint="eastAsia" w:ascii="思源黑体 CN Normal" w:hAnsi="思源黑体 CN Normal" w:eastAsia="思源黑体 CN Normal" w:cs="思源黑体 CN Normal"/>
          <w:color w:val="000000"/>
        </w:rPr>
        <w:br w:type="page"/>
      </w:r>
    </w:p>
    <w:p>
      <w:pPr>
        <w:pStyle w:val="5"/>
        <w:jc w:val="center"/>
        <w:rPr>
          <w:rFonts w:hint="eastAsia" w:ascii="黑体" w:hAnsi="黑体" w:eastAsia="黑体" w:cs="黑体"/>
          <w:b w:val="0"/>
          <w:bCs w:val="0"/>
        </w:rPr>
      </w:pPr>
      <w:bookmarkStart w:id="26" w:name="_Toc111208498"/>
      <w:bookmarkStart w:id="27" w:name="_Toc9058"/>
      <w:r>
        <w:rPr>
          <w:rFonts w:hint="eastAsia" w:ascii="黑体" w:hAnsi="黑体" w:eastAsia="黑体" w:cs="黑体"/>
          <w:b w:val="0"/>
          <w:bCs w:val="0"/>
        </w:rPr>
        <w:t xml:space="preserve">第二部分 </w:t>
      </w:r>
      <w:r>
        <w:rPr>
          <w:rFonts w:ascii="黑体" w:hAnsi="黑体" w:eastAsia="黑体" w:cs="黑体"/>
          <w:u w:color="auto"/>
        </w:rPr>
        <w:t>2025年度</w:t>
      </w:r>
      <w:r>
        <w:rPr>
          <w:rFonts w:hint="eastAsia" w:ascii="黑体" w:hAnsi="黑体" w:eastAsia="黑体" w:cs="黑体"/>
          <w:b/>
          <w:bCs/>
          <w:lang w:val="en-US" w:eastAsia="zh-CN"/>
        </w:rPr>
        <w:t>单位</w:t>
      </w:r>
      <w:r>
        <w:rPr>
          <w:rFonts w:hint="eastAsia" w:ascii="黑体" w:hAnsi="黑体" w:eastAsia="黑体" w:cs="黑体"/>
          <w:b/>
          <w:bCs/>
        </w:rPr>
        <w:t>决算情况说明</w:t>
      </w:r>
      <w:bookmarkEnd w:id="19"/>
      <w:bookmarkEnd w:id="26"/>
      <w:bookmarkEnd w:id="27"/>
    </w:p>
    <w:p>
      <w:pPr>
        <w:pStyle w:val="6"/>
        <w:ind w:firstLine="640" w:firstLineChars="200"/>
        <w:rPr>
          <w:rFonts w:hint="eastAsia" w:ascii="黑体" w:hAnsi="黑体" w:eastAsia="黑体" w:cs="黑体"/>
          <w:b w:val="0"/>
          <w:bCs/>
          <w:color w:val="000000"/>
        </w:rPr>
      </w:pPr>
      <w:bookmarkStart w:id="28" w:name="_Toc15377205"/>
      <w:bookmarkStart w:id="29" w:name="_Toc111208499"/>
      <w:bookmarkStart w:id="30" w:name="_Toc19710"/>
      <w:r>
        <w:rPr>
          <w:rFonts w:hint="eastAsia" w:ascii="黑体" w:hAnsi="黑体" w:eastAsia="黑体" w:cs="黑体"/>
          <w:b w:val="0"/>
          <w:bCs/>
          <w:color w:val="000000"/>
        </w:rPr>
        <w:t>一、收入支出决算总体情况说</w:t>
      </w:r>
      <w:bookmarkEnd w:id="28"/>
      <w:r>
        <w:rPr>
          <w:rFonts w:hint="eastAsia" w:ascii="黑体" w:hAnsi="黑体" w:eastAsia="黑体" w:cs="黑体"/>
          <w:b w:val="0"/>
          <w:bCs/>
          <w:color w:val="000000"/>
        </w:rPr>
        <w:t>明</w:t>
      </w:r>
      <w:bookmarkEnd w:id="29"/>
      <w:bookmarkEnd w:id="30"/>
    </w:p>
    <w:p>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ascii="仿宋" w:hAnsi="仿宋" w:eastAsia="仿宋" w:cs="仿宋"/>
          <w:color w:val="000000"/>
          <w:sz w:val="32"/>
          <w:u w:color="auto"/>
        </w:rPr>
        <w:t>年度收入、支出总计均为3,111.04</w:t>
      </w:r>
      <w:r>
        <w:rPr>
          <w:rFonts w:hint="eastAsia" w:ascii="仿宋" w:hAnsi="仿宋" w:eastAsia="仿宋" w:cs="仿宋"/>
          <w:color w:val="000000"/>
          <w:sz w:val="32"/>
          <w:szCs w:val="32"/>
        </w:rPr>
        <w:t>万元。与</w:t>
      </w:r>
      <w:r>
        <w:rPr>
          <w:rFonts w:ascii="仿宋" w:hAnsi="仿宋" w:eastAsia="仿宋" w:cs="仿宋"/>
          <w:color w:val="000000"/>
          <w:sz w:val="32"/>
          <w:u w:color="auto"/>
        </w:rPr>
        <w:t>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相比，收入、支出总计各</w:t>
      </w:r>
      <w:r>
        <w:rPr>
          <w:rFonts w:ascii="仿宋" w:hAnsi="仿宋" w:eastAsia="仿宋" w:cs="仿宋"/>
          <w:color w:val="000000"/>
          <w:sz w:val="32"/>
          <w:u w:color="auto"/>
        </w:rPr>
        <w:t xml:space="preserve">增加85.04万元，增长2.8%。主要变动原因是财政专项经费增加。 </w:t>
      </w:r>
    </w:p>
    <w:p>
      <w:pPr>
        <w:pStyle w:val="8"/>
        <w:rPr>
          <w:rFonts w:hint="eastAsia" w:ascii="思源黑体 CN Normal" w:hAnsi="思源黑体 CN Normal" w:eastAsia="思源黑体 CN Normal" w:cs="思源黑体 CN Normal"/>
        </w:rPr>
      </w:pPr>
      <w:r>
        <w:rPr>
          <w:rFonts w:hint="eastAsia" w:ascii="思源黑体 CN Normal" w:hAnsi="思源黑体 CN Normal" w:eastAsia="思源黑体 CN Normal" w:cs="思源黑体 CN Normal"/>
        </w:rPr>
        <w:drawing>
          <wp:inline distT="0" distB="0" distL="114300" distR="114300">
            <wp:extent cx="4338955" cy="2423795"/>
            <wp:effectExtent l="5080" t="4445" r="18415" b="1016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jc w:val="center"/>
        <w:rPr>
          <w:rFonts w:hint="eastAsia" w:ascii="仿宋" w:hAnsi="仿宋" w:eastAsia="仿宋" w:cs="仿宋"/>
        </w:rPr>
      </w:pPr>
      <w:r>
        <w:rPr>
          <w:rFonts w:hint="eastAsia" w:ascii="仿宋" w:hAnsi="仿宋" w:eastAsia="仿宋" w:cs="仿宋"/>
          <w:color w:val="000000"/>
          <w:sz w:val="32"/>
          <w:szCs w:val="32"/>
        </w:rPr>
        <w:t>（图1：收、支决算总计变动情况图）</w:t>
      </w:r>
    </w:p>
    <w:p>
      <w:pPr>
        <w:pStyle w:val="6"/>
        <w:ind w:firstLine="640" w:firstLineChars="200"/>
        <w:rPr>
          <w:rFonts w:hint="eastAsia" w:ascii="黑体" w:hAnsi="黑体" w:eastAsia="黑体" w:cs="黑体"/>
          <w:bCs w:val="0"/>
          <w:color w:val="000000"/>
        </w:rPr>
      </w:pPr>
      <w:bookmarkStart w:id="31" w:name="_Toc15377206"/>
      <w:bookmarkStart w:id="32" w:name="_Toc111208500"/>
      <w:bookmarkStart w:id="33" w:name="_Toc8125"/>
      <w:r>
        <w:rPr>
          <w:rFonts w:hint="eastAsia" w:ascii="黑体" w:hAnsi="黑体" w:eastAsia="黑体" w:cs="黑体"/>
          <w:b w:val="0"/>
          <w:bCs/>
          <w:color w:val="000000"/>
        </w:rPr>
        <w:t>二、收入决算情况说明</w:t>
      </w:r>
      <w:bookmarkEnd w:id="31"/>
      <w:bookmarkEnd w:id="32"/>
      <w:bookmarkEnd w:id="33"/>
    </w:p>
    <w:p>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本年收入合计</w:t>
      </w:r>
      <w:r>
        <w:rPr>
          <w:rFonts w:ascii="仿宋" w:hAnsi="仿宋" w:eastAsia="仿宋" w:cs="仿宋"/>
          <w:color w:val="000000"/>
          <w:sz w:val="32"/>
          <w:u w:color="auto"/>
        </w:rPr>
        <w:t>3,111.04万元</w:t>
      </w:r>
      <w:r>
        <w:rPr>
          <w:rFonts w:hint="eastAsia" w:ascii="仿宋" w:hAnsi="仿宋" w:eastAsia="仿宋" w:cs="仿宋"/>
          <w:color w:val="000000"/>
          <w:sz w:val="32"/>
          <w:szCs w:val="32"/>
          <w:lang w:val="en-US" w:eastAsia="zh-CN"/>
        </w:rPr>
        <w:t>，其中:一般公共预算财政拨款收入2,259.46万元，占72.6%；事业收入851.58万元，占27.4%</w:t>
      </w:r>
      <w:r>
        <w:rPr>
          <w:rFonts w:hint="eastAsia" w:ascii="仿宋" w:hAnsi="仿宋" w:eastAsia="仿宋" w:cs="仿宋"/>
          <w:color w:val="000000"/>
          <w:sz w:val="32"/>
          <w:szCs w:val="32"/>
        </w:rPr>
        <w:t>。</w:t>
      </w:r>
    </w:p>
    <w:p>
      <w:pPr>
        <w:pStyle w:val="16"/>
        <w:ind w:left="1060" w:hanging="640"/>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32730" cy="3400425"/>
            <wp:effectExtent l="0" t="0" r="127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ind w:firstLine="640" w:firstLineChars="200"/>
        <w:jc w:val="center"/>
        <w:rPr>
          <w:rFonts w:hint="eastAsia" w:ascii="仿宋" w:hAnsi="仿宋" w:eastAsia="仿宋" w:cs="仿宋"/>
        </w:rPr>
      </w:pPr>
      <w:r>
        <w:rPr>
          <w:rFonts w:hint="eastAsia" w:ascii="仿宋" w:hAnsi="仿宋" w:eastAsia="仿宋" w:cs="仿宋"/>
          <w:color w:val="000000"/>
          <w:sz w:val="32"/>
          <w:szCs w:val="32"/>
        </w:rPr>
        <w:t>（图2：收入决算结构图）</w:t>
      </w:r>
    </w:p>
    <w:p>
      <w:pPr>
        <w:pStyle w:val="6"/>
        <w:ind w:firstLine="640" w:firstLineChars="200"/>
        <w:rPr>
          <w:rFonts w:hint="eastAsia" w:ascii="黑体" w:hAnsi="黑体" w:eastAsia="黑体" w:cs="黑体"/>
          <w:b w:val="0"/>
          <w:bCs/>
          <w:color w:val="000000"/>
        </w:rPr>
      </w:pPr>
      <w:bookmarkStart w:id="34" w:name="_Toc28283"/>
      <w:bookmarkStart w:id="35" w:name="_Toc15377207"/>
      <w:bookmarkStart w:id="36" w:name="_Toc111208501"/>
      <w:r>
        <w:rPr>
          <w:rFonts w:hint="eastAsia" w:ascii="黑体" w:hAnsi="黑体" w:eastAsia="黑体" w:cs="黑体"/>
          <w:b w:val="0"/>
          <w:bCs/>
          <w:color w:val="000000"/>
        </w:rPr>
        <w:t>三、支出决算情况说明</w:t>
      </w:r>
      <w:bookmarkEnd w:id="34"/>
      <w:bookmarkEnd w:id="35"/>
      <w:bookmarkEnd w:id="36"/>
    </w:p>
    <w:p>
      <w:pPr>
        <w:pStyle w:val="8"/>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本年支出合计</w:t>
      </w:r>
      <w:r>
        <w:rPr>
          <w:rFonts w:ascii="仿宋" w:hAnsi="仿宋" w:eastAsia="仿宋" w:cs="仿宋"/>
          <w:color w:val="000000"/>
          <w:sz w:val="32"/>
          <w:u w:color="auto"/>
        </w:rPr>
        <w:t>3,111.04万元</w:t>
      </w:r>
      <w:r>
        <w:rPr>
          <w:rFonts w:hint="eastAsia" w:ascii="仿宋" w:hAnsi="仿宋" w:eastAsia="仿宋" w:cs="仿宋"/>
          <w:color w:val="000000"/>
          <w:sz w:val="32"/>
          <w:szCs w:val="32"/>
          <w:lang w:val="en-US" w:eastAsia="zh-CN"/>
        </w:rPr>
        <w:t>，其中:基本支出1,043.04万元，占33.5%；项目支出2,068万元，占66.5%</w:t>
      </w:r>
      <w:r>
        <w:rPr>
          <w:rFonts w:hint="eastAsia" w:ascii="仿宋" w:hAnsi="仿宋" w:eastAsia="仿宋" w:cs="仿宋"/>
          <w:color w:val="000000"/>
          <w:sz w:val="32"/>
          <w:szCs w:val="32"/>
        </w:rPr>
        <w:t>。</w:t>
      </w:r>
    </w:p>
    <w:p>
      <w:pPr>
        <w:jc w:val="center"/>
        <w:rPr>
          <w:rFonts w:hint="eastAsia" w:ascii="思源黑体 CN Normal" w:hAnsi="思源黑体 CN Normal" w:eastAsia="思源黑体 CN Normal" w:cs="思源黑体 CN Normal"/>
          <w:color w:val="FF0000"/>
          <w:sz w:val="32"/>
          <w:szCs w:val="32"/>
        </w:rPr>
      </w:pPr>
      <w:r>
        <w:rPr>
          <w:rFonts w:hint="eastAsia" w:ascii="思源黑体 CN Normal" w:hAnsi="思源黑体 CN Normal" w:eastAsia="思源黑体 CN Normal" w:cs="思源黑体 CN Normal"/>
          <w:color w:val="FF0000"/>
          <w:sz w:val="32"/>
          <w:szCs w:val="32"/>
        </w:rPr>
        <w:drawing>
          <wp:inline distT="0" distB="0" distL="114300" distR="114300">
            <wp:extent cx="5304155" cy="3429000"/>
            <wp:effectExtent l="0" t="0" r="1079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0" w:firstLineChars="200"/>
        <w:jc w:val="center"/>
        <w:rPr>
          <w:rFonts w:hint="eastAsia" w:ascii="仿宋" w:hAnsi="仿宋" w:eastAsia="仿宋" w:cs="仿宋"/>
          <w:color w:val="000000"/>
          <w:sz w:val="32"/>
          <w:szCs w:val="32"/>
        </w:rPr>
      </w:pPr>
      <w:r>
        <w:rPr>
          <w:rFonts w:hint="eastAsia" w:ascii="仿宋" w:hAnsi="仿宋" w:eastAsia="仿宋" w:cs="仿宋"/>
          <w:color w:val="000000"/>
          <w:sz w:val="32"/>
          <w:szCs w:val="32"/>
        </w:rPr>
        <w:t>（图3：支出决算结构图）</w:t>
      </w:r>
    </w:p>
    <w:p>
      <w:pPr>
        <w:pStyle w:val="6"/>
        <w:ind w:firstLine="640" w:firstLineChars="200"/>
        <w:rPr>
          <w:rFonts w:hint="eastAsia" w:ascii="黑体" w:hAnsi="黑体" w:eastAsia="黑体" w:cs="黑体"/>
          <w:b w:val="0"/>
          <w:bCs/>
          <w:color w:val="000000"/>
        </w:rPr>
      </w:pPr>
      <w:bookmarkStart w:id="37" w:name="_Toc111208502"/>
      <w:bookmarkStart w:id="38" w:name="_Toc19521"/>
      <w:bookmarkStart w:id="39" w:name="_Toc15377208"/>
      <w:r>
        <w:rPr>
          <w:rFonts w:hint="eastAsia" w:ascii="黑体" w:hAnsi="黑体" w:eastAsia="黑体" w:cs="黑体"/>
          <w:b w:val="0"/>
          <w:bCs/>
          <w:color w:val="000000"/>
        </w:rPr>
        <w:t>四、财政拨款收入支出决算总体情况说明</w:t>
      </w:r>
      <w:bookmarkEnd w:id="37"/>
      <w:bookmarkEnd w:id="38"/>
      <w:bookmarkEnd w:id="39"/>
    </w:p>
    <w:p>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财政拨款收</w:t>
      </w:r>
      <w:r>
        <w:rPr>
          <w:rFonts w:hint="eastAsia" w:ascii="仿宋" w:hAnsi="仿宋" w:eastAsia="仿宋" w:cs="仿宋"/>
          <w:color w:val="000000"/>
          <w:sz w:val="32"/>
          <w:szCs w:val="32"/>
          <w:lang w:val="en-US" w:eastAsia="zh-CN"/>
        </w:rPr>
        <w:t>入</w:t>
      </w:r>
      <w:r>
        <w:rPr>
          <w:rFonts w:hint="eastAsia" w:ascii="仿宋" w:hAnsi="仿宋" w:eastAsia="仿宋" w:cs="仿宋"/>
          <w:color w:val="000000"/>
          <w:sz w:val="32"/>
          <w:szCs w:val="32"/>
        </w:rPr>
        <w:t>、支</w:t>
      </w:r>
      <w:r>
        <w:rPr>
          <w:rFonts w:hint="eastAsia" w:ascii="仿宋" w:hAnsi="仿宋" w:eastAsia="仿宋" w:cs="仿宋"/>
          <w:color w:val="000000"/>
          <w:sz w:val="32"/>
          <w:szCs w:val="32"/>
          <w:lang w:val="en-US" w:eastAsia="zh-CN"/>
        </w:rPr>
        <w:t>出</w:t>
      </w:r>
      <w:r>
        <w:rPr>
          <w:rFonts w:hint="eastAsia" w:ascii="仿宋" w:hAnsi="仿宋" w:eastAsia="仿宋" w:cs="仿宋"/>
          <w:color w:val="000000"/>
          <w:sz w:val="32"/>
          <w:szCs w:val="32"/>
        </w:rPr>
        <w:t>总计均为</w:t>
      </w:r>
      <w:r>
        <w:rPr>
          <w:rFonts w:ascii="仿宋" w:hAnsi="仿宋" w:eastAsia="仿宋" w:cs="仿宋"/>
          <w:color w:val="000000"/>
          <w:sz w:val="32"/>
          <w:u w:color="auto"/>
        </w:rPr>
        <w:t>2,259.46万元。与2024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相比，财政拨款收</w:t>
      </w:r>
      <w:r>
        <w:rPr>
          <w:rFonts w:hint="eastAsia" w:ascii="仿宋" w:hAnsi="仿宋" w:eastAsia="仿宋" w:cs="仿宋"/>
          <w:color w:val="000000"/>
          <w:sz w:val="32"/>
          <w:szCs w:val="32"/>
          <w:lang w:val="en-US" w:eastAsia="zh-CN"/>
        </w:rPr>
        <w:t>入</w:t>
      </w:r>
      <w:r>
        <w:rPr>
          <w:rFonts w:hint="eastAsia" w:ascii="仿宋" w:hAnsi="仿宋" w:eastAsia="仿宋" w:cs="仿宋"/>
          <w:color w:val="000000"/>
          <w:sz w:val="32"/>
          <w:szCs w:val="32"/>
        </w:rPr>
        <w:t>、支</w:t>
      </w:r>
      <w:r>
        <w:rPr>
          <w:rFonts w:hint="eastAsia" w:ascii="仿宋" w:hAnsi="仿宋" w:eastAsia="仿宋" w:cs="仿宋"/>
          <w:color w:val="000000"/>
          <w:sz w:val="32"/>
          <w:szCs w:val="32"/>
          <w:lang w:val="en-US" w:eastAsia="zh-CN"/>
        </w:rPr>
        <w:t>出</w:t>
      </w:r>
      <w:r>
        <w:rPr>
          <w:rFonts w:hint="eastAsia" w:ascii="仿宋" w:hAnsi="仿宋" w:eastAsia="仿宋" w:cs="仿宋"/>
          <w:color w:val="000000"/>
          <w:sz w:val="32"/>
          <w:szCs w:val="32"/>
        </w:rPr>
        <w:t>总计各</w:t>
      </w:r>
      <w:r>
        <w:rPr>
          <w:rFonts w:ascii="仿宋" w:hAnsi="仿宋" w:eastAsia="仿宋" w:cs="仿宋"/>
          <w:color w:val="000000"/>
          <w:sz w:val="32"/>
          <w:u w:color="auto"/>
        </w:rPr>
        <w:t xml:space="preserve">增加278.41万元，增长14.1%。主要变动原因是专项经费增加。 </w:t>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r>
    </w:p>
    <w:p>
      <w:pPr>
        <w:pStyle w:val="8"/>
        <w:ind w:left="0" w:leftChars="0" w:firstLine="0" w:firstLineChars="0"/>
        <w:jc w:val="left"/>
        <w:rPr>
          <w:rFonts w:hint="eastAsia" w:ascii="思源黑体 CN Normal" w:hAnsi="思源黑体 CN Normal" w:eastAsia="思源黑体 CN Normal" w:cs="思源黑体 CN Normal"/>
          <w:color w:val="000000"/>
          <w:sz w:val="32"/>
          <w:szCs w:val="32"/>
        </w:rPr>
      </w:pPr>
      <w:r>
        <w:rPr>
          <w:rFonts w:hint="eastAsia" w:ascii="思源黑体 CN Normal" w:hAnsi="思源黑体 CN Normal" w:eastAsia="思源黑体 CN Normal" w:cs="思源黑体 CN Normal"/>
          <w:color w:val="000000"/>
          <w:sz w:val="32"/>
          <w:szCs w:val="32"/>
        </w:rPr>
        <w:drawing>
          <wp:inline distT="0" distB="0" distL="0" distR="0">
            <wp:extent cx="4981575" cy="3171825"/>
            <wp:effectExtent l="0" t="0" r="9525" b="9525"/>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0" w:firstLineChars="200"/>
        <w:jc w:val="center"/>
        <w:rPr>
          <w:rFonts w:hint="eastAsia" w:ascii="仿宋" w:hAnsi="仿宋" w:eastAsia="仿宋" w:cs="仿宋"/>
        </w:rPr>
      </w:pPr>
      <w:r>
        <w:rPr>
          <w:rFonts w:hint="eastAsia" w:ascii="仿宋" w:hAnsi="仿宋" w:eastAsia="仿宋" w:cs="仿宋"/>
          <w:color w:val="000000"/>
          <w:sz w:val="32"/>
          <w:szCs w:val="32"/>
        </w:rPr>
        <w:t>（图4：财政拨款收、支决算总计变动情况）</w:t>
      </w:r>
    </w:p>
    <w:p>
      <w:pPr>
        <w:pStyle w:val="6"/>
        <w:ind w:firstLine="640" w:firstLineChars="200"/>
        <w:rPr>
          <w:rFonts w:hint="eastAsia" w:ascii="黑体" w:hAnsi="黑体" w:eastAsia="黑体" w:cs="黑体"/>
          <w:b w:val="0"/>
          <w:bCs/>
          <w:color w:val="000000"/>
        </w:rPr>
      </w:pPr>
      <w:bookmarkStart w:id="40" w:name="_Toc15377209"/>
      <w:bookmarkStart w:id="41" w:name="_Toc111208503"/>
      <w:bookmarkStart w:id="42" w:name="_Toc14368"/>
      <w:r>
        <w:rPr>
          <w:rFonts w:hint="eastAsia" w:ascii="黑体" w:hAnsi="黑体" w:eastAsia="黑体" w:cs="黑体"/>
          <w:b w:val="0"/>
          <w:bCs/>
          <w:color w:val="000000"/>
        </w:rPr>
        <w:t>五、一般公共预算财政拨款支出决算情况说</w:t>
      </w:r>
      <w:bookmarkEnd w:id="40"/>
      <w:r>
        <w:rPr>
          <w:rFonts w:hint="eastAsia" w:ascii="黑体" w:hAnsi="黑体" w:eastAsia="黑体" w:cs="黑体"/>
          <w:b w:val="0"/>
          <w:bCs/>
          <w:color w:val="000000"/>
        </w:rPr>
        <w:t>明</w:t>
      </w:r>
      <w:bookmarkEnd w:id="41"/>
      <w:bookmarkEnd w:id="42"/>
    </w:p>
    <w:p>
      <w:pPr>
        <w:spacing w:line="600" w:lineRule="exact"/>
        <w:ind w:firstLine="643" w:firstLineChars="200"/>
        <w:outlineLvl w:val="2"/>
        <w:rPr>
          <w:rFonts w:hint="eastAsia" w:ascii="楷体" w:hAnsi="楷体" w:eastAsia="楷体" w:cs="楷体"/>
          <w:b/>
          <w:color w:val="000000"/>
          <w:sz w:val="32"/>
          <w:szCs w:val="32"/>
        </w:rPr>
      </w:pPr>
      <w:bookmarkStart w:id="43" w:name="_Toc15377210"/>
      <w:r>
        <w:rPr>
          <w:rFonts w:hint="eastAsia" w:ascii="楷体" w:hAnsi="楷体" w:eastAsia="楷体" w:cs="楷体"/>
          <w:b/>
          <w:color w:val="000000"/>
          <w:sz w:val="32"/>
          <w:szCs w:val="32"/>
        </w:rPr>
        <w:t>（一）一般公共预算财政拨款支出决算总体情况</w:t>
      </w:r>
      <w:bookmarkEnd w:id="43"/>
    </w:p>
    <w:p>
      <w:pPr>
        <w:spacing w:line="600" w:lineRule="exact"/>
        <w:ind w:firstLine="640" w:firstLineChars="200"/>
        <w:rPr>
          <w:rFonts w:hint="eastAsia" w:ascii="思源黑体 CN Normal" w:hAnsi="思源黑体 CN Normal" w:eastAsia="仿宋" w:cs="思源黑体 CN Normal"/>
          <w:b/>
          <w:color w:val="000000"/>
          <w:sz w:val="32"/>
          <w:szCs w:val="32"/>
          <w:lang w:val="en-US" w:eastAsia="zh-CN"/>
        </w:rPr>
      </w:pPr>
      <w:bookmarkStart w:id="44" w:name="_Toc15377211"/>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一般公共预算财政拨款支出</w:t>
      </w:r>
      <w:r>
        <w:rPr>
          <w:rFonts w:ascii="仿宋" w:hAnsi="仿宋" w:eastAsia="仿宋" w:cs="仿宋"/>
          <w:color w:val="000000"/>
          <w:sz w:val="32"/>
          <w:u w:color="auto"/>
        </w:rPr>
        <w:t>2,259.46万元，占本年支出合计的72.6%。与2024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相比，一般公共预算财政拨款</w:t>
      </w:r>
      <w:r>
        <w:rPr>
          <w:rFonts w:ascii="仿宋" w:hAnsi="仿宋" w:eastAsia="仿宋" w:cs="仿宋"/>
          <w:color w:val="000000"/>
          <w:sz w:val="32"/>
          <w:u w:color="auto"/>
        </w:rPr>
        <w:t xml:space="preserve">增加278.41万元，增长14.1%。主要变动原因是专项经费增加。 </w:t>
      </w:r>
    </w:p>
    <w:p>
      <w:pPr>
        <w:pStyle w:val="8"/>
        <w:ind w:firstLine="0"/>
        <w:rPr>
          <w:rFonts w:hint="eastAsia" w:ascii="思源黑体 CN Normal" w:hAnsi="思源黑体 CN Normal" w:eastAsia="思源黑体 CN Normal" w:cs="思源黑体 CN Normal"/>
          <w:b/>
          <w:color w:val="000000"/>
          <w:sz w:val="32"/>
          <w:szCs w:val="32"/>
        </w:rPr>
      </w:pPr>
      <w:r>
        <w:rPr>
          <w:rFonts w:hint="eastAsia" w:ascii="思源黑体 CN Normal" w:hAnsi="思源黑体 CN Normal" w:eastAsia="思源黑体 CN Normal" w:cs="思源黑体 CN Normal"/>
          <w:b/>
          <w:color w:val="000000"/>
          <w:sz w:val="32"/>
          <w:szCs w:val="32"/>
        </w:rPr>
        <w:drawing>
          <wp:inline distT="0" distB="0" distL="0" distR="0">
            <wp:extent cx="4905375" cy="3569970"/>
            <wp:effectExtent l="0" t="0" r="9525" b="1143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firstLineChars="200"/>
        <w:rPr>
          <w:rFonts w:hint="eastAsia" w:ascii="思源黑体 CN Normal" w:hAnsi="思源黑体 CN Normal" w:eastAsia="思源黑体 CN Normal" w:cs="思源黑体 CN Normal"/>
          <w:b/>
          <w:color w:val="000000"/>
          <w:sz w:val="32"/>
          <w:szCs w:val="32"/>
        </w:rPr>
      </w:pPr>
      <w:r>
        <w:rPr>
          <w:rFonts w:hint="eastAsia" w:ascii="仿宋" w:hAnsi="仿宋" w:eastAsia="仿宋" w:cs="仿宋"/>
          <w:color w:val="000000"/>
          <w:sz w:val="32"/>
          <w:szCs w:val="32"/>
        </w:rPr>
        <w:t>（图5：一般公共预算财政拨款支出决算变动情况）</w:t>
      </w:r>
    </w:p>
    <w:p>
      <w:pPr>
        <w:spacing w:line="600" w:lineRule="exact"/>
        <w:ind w:firstLine="643" w:firstLineChars="200"/>
        <w:outlineLvl w:val="2"/>
        <w:rPr>
          <w:rFonts w:hint="eastAsia" w:ascii="楷体" w:hAnsi="楷体" w:eastAsia="楷体" w:cs="楷体"/>
          <w:b/>
          <w:color w:val="000000"/>
          <w:sz w:val="32"/>
          <w:szCs w:val="32"/>
        </w:rPr>
      </w:pPr>
      <w:r>
        <w:rPr>
          <w:rFonts w:hint="eastAsia" w:ascii="楷体" w:hAnsi="楷体" w:eastAsia="楷体" w:cs="楷体"/>
          <w:b/>
          <w:color w:val="000000"/>
          <w:sz w:val="32"/>
          <w:szCs w:val="32"/>
        </w:rPr>
        <w:t>（二）一般公共预算财政拨款支出决算结构情况</w:t>
      </w:r>
      <w:bookmarkEnd w:id="44"/>
    </w:p>
    <w:p>
      <w:pPr>
        <w:spacing w:line="600" w:lineRule="exact"/>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一般公共预算财政拨款支出</w:t>
      </w:r>
      <w:r>
        <w:rPr>
          <w:rFonts w:ascii="仿宋" w:hAnsi="仿宋" w:eastAsia="仿宋" w:cs="仿宋"/>
          <w:color w:val="000000"/>
          <w:sz w:val="32"/>
          <w:u w:color="auto"/>
        </w:rPr>
        <w:t>2,259.46万元，主要用于以下方面: 社会保障和就业支出162.58万元，占7.2%；卫生健康支出2,009.99万元，占89%；住房保障支出86.89万元，占3.8%。</w:t>
      </w:r>
    </w:p>
    <w:p>
      <w:pPr>
        <w:pStyle w:val="8"/>
        <w:rPr>
          <w:rFonts w:hint="eastAsia" w:ascii="思源黑体 CN Normal" w:hAnsi="思源黑体 CN Normal" w:eastAsia="思源黑体 CN Normal" w:cs="思源黑体 CN Normal"/>
        </w:rPr>
      </w:pPr>
      <w:bookmarkStart w:id="45" w:name="_Toc15377212"/>
      <w:r>
        <w:rPr>
          <w:rFonts w:hint="eastAsia" w:ascii="思源黑体 CN Normal" w:hAnsi="思源黑体 CN Normal" w:eastAsia="思源黑体 CN Normal" w:cs="思源黑体 CN Normal"/>
          <w:color w:val="FF0000"/>
          <w:sz w:val="32"/>
          <w:szCs w:val="32"/>
          <w:lang w:val="en-US" w:eastAsia="zh-CN"/>
        </w:rPr>
        <w:t xml:space="preserve"> </w:t>
      </w:r>
      <w:r>
        <w:rPr>
          <w:rFonts w:hint="eastAsia" w:ascii="思源黑体 CN Normal" w:hAnsi="思源黑体 CN Normal" w:eastAsia="思源黑体 CN Normal" w:cs="思源黑体 CN Normal"/>
          <w:color w:val="FF0000"/>
          <w:sz w:val="32"/>
          <w:szCs w:val="32"/>
        </w:rPr>
        <w:drawing>
          <wp:inline distT="0" distB="0" distL="114300" distR="114300">
            <wp:extent cx="4468495" cy="2564130"/>
            <wp:effectExtent l="4445" t="4445" r="22860" b="2222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spacing w:line="600" w:lineRule="exact"/>
        <w:ind w:firstLine="640" w:firstLineChars="200"/>
        <w:jc w:val="center"/>
        <w:rPr>
          <w:rFonts w:hint="eastAsia" w:ascii="思源黑体 CN Normal" w:hAnsi="思源黑体 CN Normal" w:eastAsia="思源黑体 CN Normal" w:cs="思源黑体 CN Normal"/>
        </w:rPr>
      </w:pPr>
      <w:r>
        <w:rPr>
          <w:rFonts w:hint="eastAsia" w:ascii="仿宋" w:hAnsi="仿宋" w:eastAsia="仿宋" w:cs="仿宋"/>
          <w:color w:val="000000"/>
          <w:sz w:val="32"/>
          <w:szCs w:val="32"/>
        </w:rPr>
        <w:t>（图6：一般公共预算财政拨款支出决算结构）</w:t>
      </w:r>
    </w:p>
    <w:p>
      <w:pPr>
        <w:spacing w:line="600" w:lineRule="exact"/>
        <w:ind w:firstLine="643" w:firstLineChars="200"/>
        <w:outlineLvl w:val="2"/>
        <w:rPr>
          <w:rFonts w:hint="eastAsia" w:ascii="楷体" w:hAnsi="楷体" w:eastAsia="楷体" w:cs="楷体"/>
          <w:b/>
          <w:color w:val="000000"/>
          <w:sz w:val="32"/>
          <w:szCs w:val="32"/>
        </w:rPr>
      </w:pPr>
      <w:r>
        <w:rPr>
          <w:rFonts w:hint="eastAsia" w:ascii="楷体" w:hAnsi="楷体" w:eastAsia="楷体" w:cs="楷体"/>
          <w:b/>
          <w:color w:val="000000"/>
          <w:sz w:val="32"/>
          <w:szCs w:val="32"/>
        </w:rPr>
        <w:t>（三）一般公共预算财政拨款支出决算具体情况</w:t>
      </w:r>
      <w:bookmarkEnd w:id="45"/>
    </w:p>
    <w:p>
      <w:pPr>
        <w:spacing w:line="600" w:lineRule="exact"/>
        <w:ind w:firstLine="640"/>
        <w:rPr>
          <w:rFonts w:hint="eastAsia" w:ascii="仿宋" w:hAnsi="仿宋" w:eastAsia="仿宋" w:cs="仿宋"/>
          <w:color w:val="000000"/>
          <w:sz w:val="32"/>
          <w:szCs w:val="32"/>
        </w:rPr>
      </w:pPr>
      <w:bookmarkStart w:id="46" w:name="_Toc15377444"/>
      <w:bookmarkStart w:id="47" w:name="_Toc15377213"/>
      <w:bookmarkStart w:id="48" w:name="_Toc15378460"/>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一般公共预算支出决算数为</w:t>
      </w:r>
      <w:r>
        <w:rPr>
          <w:rFonts w:ascii="仿宋" w:hAnsi="仿宋" w:eastAsia="仿宋" w:cs="仿宋"/>
          <w:color w:val="000000"/>
          <w:sz w:val="32"/>
          <w:u w:color="auto"/>
        </w:rPr>
        <w:t>2,259.46万元，完成预算100%。其中：</w:t>
      </w:r>
      <w:bookmarkEnd w:id="46"/>
      <w:bookmarkEnd w:id="47"/>
      <w:bookmarkEnd w:id="48"/>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1.社会保障和就业支出（类）行政事业单位养老支出（款）机关事业单位基本养老保险缴费支出（项）:支出决算108.39万元，完成预算100%。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2.社会保障和就业支出（类）行政事业单位养老支出（款）机关事业单位职业年金缴费支出（项）:支出决算54.19万元，完成预算100%。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3.卫生健康支出（类）公立医院（款）中医（民族）医院（项）:支出决算1,379.37万元，完成预算100%。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4.卫生健康支出（类）公立医院（款）其他公立医院支出（项）:支出决算117.67万元，完成预算100%。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5.卫生健康支出（类）公共卫生（款）基本公共卫生服务（项）:支出决算350.2万元，完成预算100%。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6.卫生健康支出（类）行政事业单位医疗（款）事业单位医疗（项）:支出决算49.44万元，完成预算100%。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7.卫生健康支出（类）行政事业单位医疗（款）其他行政事业单位医疗支出（项）:支出决算10.32万元，完成预算100%。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8.卫生健康支出（类）中医药事务（款）中医（民族医）药专项（项）:支出决算102.99万元，完成预算100%。</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9.住房保障支出（类）住房改革支出（款）住房公积金（项）:支出决算86.89万元，完成预算100%。</w:t>
      </w:r>
    </w:p>
    <w:p>
      <w:pPr>
        <w:pStyle w:val="6"/>
        <w:ind w:firstLine="640" w:firstLineChars="200"/>
        <w:rPr>
          <w:rFonts w:hint="eastAsia" w:ascii="黑体" w:hAnsi="黑体" w:eastAsia="黑体" w:cs="黑体"/>
          <w:b w:val="0"/>
          <w:color w:val="000000"/>
        </w:rPr>
      </w:pPr>
      <w:bookmarkStart w:id="49" w:name="_Toc15377214"/>
      <w:bookmarkStart w:id="50" w:name="_Toc111208504"/>
      <w:bookmarkStart w:id="51" w:name="_Toc31578"/>
      <w:r>
        <w:rPr>
          <w:rFonts w:hint="eastAsia" w:ascii="黑体" w:hAnsi="黑体" w:eastAsia="黑体" w:cs="黑体"/>
          <w:b w:val="0"/>
          <w:bCs/>
          <w:color w:val="000000"/>
        </w:rPr>
        <w:t>六、一般公共预算财政拨款基本支出决算情况说</w:t>
      </w:r>
      <w:bookmarkEnd w:id="49"/>
      <w:r>
        <w:rPr>
          <w:rFonts w:hint="eastAsia" w:ascii="黑体" w:hAnsi="黑体" w:eastAsia="黑体" w:cs="黑体"/>
          <w:b w:val="0"/>
          <w:bCs/>
          <w:color w:val="000000"/>
        </w:rPr>
        <w:t>明</w:t>
      </w:r>
      <w:bookmarkEnd w:id="50"/>
      <w:bookmarkEnd w:id="51"/>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一般公共预算财政拨款基本支出</w:t>
      </w:r>
      <w:r>
        <w:rPr>
          <w:rFonts w:ascii="仿宋" w:hAnsi="仿宋" w:eastAsia="仿宋" w:cs="仿宋"/>
          <w:color w:val="000000"/>
          <w:sz w:val="32"/>
          <w:u w:color="auto"/>
        </w:rPr>
        <w:t>1,043.04万元，其中：</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人员经费</w:t>
      </w:r>
      <w:r>
        <w:rPr>
          <w:rFonts w:ascii="仿宋" w:hAnsi="仿宋" w:eastAsia="仿宋" w:cs="仿宋"/>
          <w:color w:val="000000"/>
          <w:sz w:val="32"/>
          <w:u w:color="auto"/>
        </w:rPr>
        <w:t>1,007.51万元，主要包括：基本工资225.68万元、津贴补贴162.04万元、奖金147.12万元、绩效工资136.94万元、机关事业单位基本养老保险缴费108.39万元、职业年金缴费54.19万元、职工基本医疗保险缴费49.44万元、公务员医疗补助缴费10.32万元、其他社会保障缴费5.22万元、住房公积金86.89万元、医疗费5.35万元、生活补助15万元、医疗费补助0.94万元。</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公用经费</w:t>
      </w:r>
      <w:r>
        <w:rPr>
          <w:rFonts w:ascii="仿宋" w:hAnsi="仿宋" w:eastAsia="仿宋" w:cs="仿宋"/>
          <w:color w:val="000000"/>
          <w:sz w:val="32"/>
          <w:u w:color="auto"/>
        </w:rPr>
        <w:t>35.53万元，主要包括：办公费1.34万元、印刷费4.37万元、工会经费6.84万元、福利费14.16万元、其他商品和服务支出8.83万元。</w:t>
      </w:r>
    </w:p>
    <w:p>
      <w:pPr>
        <w:pStyle w:val="6"/>
        <w:ind w:firstLine="640" w:firstLineChars="200"/>
        <w:rPr>
          <w:rFonts w:hint="eastAsia" w:ascii="黑体" w:hAnsi="黑体" w:eastAsia="黑体" w:cs="黑体"/>
          <w:b w:val="0"/>
          <w:bCs/>
          <w:color w:val="000000"/>
        </w:rPr>
      </w:pPr>
      <w:bookmarkStart w:id="52" w:name="_Toc15377215"/>
      <w:bookmarkStart w:id="53" w:name="_Toc111208505"/>
      <w:bookmarkStart w:id="54" w:name="_Toc6614"/>
      <w:r>
        <w:rPr>
          <w:rFonts w:hint="eastAsia" w:ascii="黑体" w:hAnsi="黑体" w:eastAsia="黑体" w:cs="黑体"/>
          <w:b w:val="0"/>
          <w:bCs/>
          <w:color w:val="000000"/>
        </w:rPr>
        <w:t>七、财政拨款“三公”经费支出决算情况说明</w:t>
      </w:r>
      <w:bookmarkEnd w:id="52"/>
      <w:bookmarkEnd w:id="53"/>
      <w:bookmarkEnd w:id="54"/>
    </w:p>
    <w:p>
      <w:pPr>
        <w:spacing w:line="600" w:lineRule="exact"/>
        <w:ind w:firstLine="643" w:firstLineChars="200"/>
        <w:outlineLvl w:val="2"/>
        <w:rPr>
          <w:rFonts w:hint="eastAsia" w:ascii="仿宋" w:hAnsi="仿宋" w:eastAsia="仿宋" w:cs="仿宋"/>
          <w:b/>
          <w:color w:val="000000"/>
          <w:sz w:val="32"/>
          <w:szCs w:val="32"/>
        </w:rPr>
      </w:pPr>
      <w:bookmarkStart w:id="55" w:name="_Toc15377216"/>
      <w:r>
        <w:rPr>
          <w:rFonts w:hint="eastAsia" w:ascii="仿宋" w:hAnsi="仿宋" w:eastAsia="仿宋" w:cs="仿宋"/>
          <w:b/>
          <w:color w:val="000000"/>
          <w:sz w:val="32"/>
          <w:szCs w:val="32"/>
        </w:rPr>
        <w:t>（一）“三公”经费财政拨款支出决算总体情况说明</w:t>
      </w:r>
      <w:bookmarkEnd w:id="55"/>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“三公”经费财政拨款支出决算为</w:t>
      </w:r>
      <w:r>
        <w:rPr>
          <w:rFonts w:ascii="仿宋" w:hAnsi="仿宋" w:eastAsia="仿宋" w:cs="仿宋"/>
          <w:color w:val="000000"/>
          <w:sz w:val="32"/>
          <w:u w:color="auto"/>
        </w:rPr>
        <w:t>0万元，完成预算0%，较上年度增加0万元，增长0%。</w:t>
      </w:r>
      <w:bookmarkStart w:id="56" w:name="_Toc15377217"/>
    </w:p>
    <w:p>
      <w:pPr>
        <w:spacing w:line="600" w:lineRule="exact"/>
        <w:ind w:firstLine="640"/>
        <w:rPr>
          <w:rFonts w:hint="eastAsia"/>
        </w:rPr>
      </w:pPr>
      <w:r>
        <w:rPr>
          <w:rFonts w:hint="eastAsia" w:ascii="仿宋" w:hAnsi="仿宋" w:eastAsia="仿宋"/>
          <w:b/>
          <w:color w:val="auto"/>
          <w:sz w:val="32"/>
          <w:szCs w:val="32"/>
          <w:highlight w:val="none"/>
        </w:rPr>
        <w:t>（注：上述“预算”口径为</w:t>
      </w:r>
      <w:r>
        <w:rPr>
          <w:rFonts w:hint="eastAsia" w:ascii="仿宋" w:hAnsi="仿宋" w:eastAsia="仿宋"/>
          <w:b/>
          <w:color w:val="auto"/>
          <w:sz w:val="32"/>
          <w:szCs w:val="32"/>
          <w:highlight w:val="none"/>
          <w:lang w:eastAsia="zh-CN"/>
        </w:rPr>
        <w:t>全年预算</w:t>
      </w:r>
      <w:r>
        <w:rPr>
          <w:rFonts w:hint="eastAsia" w:ascii="仿宋" w:hAnsi="仿宋" w:eastAsia="仿宋"/>
          <w:b/>
          <w:color w:val="auto"/>
          <w:sz w:val="32"/>
          <w:szCs w:val="32"/>
          <w:highlight w:val="none"/>
        </w:rPr>
        <w:t>数，包括</w:t>
      </w:r>
      <w:r>
        <w:rPr>
          <w:rFonts w:hint="eastAsia" w:ascii="仿宋" w:hAnsi="仿宋" w:eastAsia="仿宋"/>
          <w:b/>
          <w:color w:val="auto"/>
          <w:sz w:val="32"/>
          <w:szCs w:val="32"/>
          <w:highlight w:val="none"/>
          <w:lang w:eastAsia="zh-CN"/>
        </w:rPr>
        <w:t>一般公共预算和</w:t>
      </w:r>
      <w:r>
        <w:rPr>
          <w:rFonts w:hint="eastAsia" w:ascii="仿宋" w:hAnsi="仿宋" w:eastAsia="仿宋"/>
          <w:b/>
          <w:color w:val="auto"/>
          <w:sz w:val="32"/>
          <w:szCs w:val="32"/>
          <w:highlight w:val="none"/>
        </w:rPr>
        <w:t>政府性基金</w:t>
      </w:r>
      <w:r>
        <w:rPr>
          <w:rFonts w:hint="eastAsia" w:ascii="仿宋" w:hAnsi="仿宋" w:eastAsia="仿宋"/>
          <w:b/>
          <w:color w:val="auto"/>
          <w:sz w:val="32"/>
          <w:szCs w:val="32"/>
          <w:highlight w:val="none"/>
          <w:lang w:eastAsia="zh-CN"/>
        </w:rPr>
        <w:t>预算财政拨款</w:t>
      </w:r>
      <w:r>
        <w:rPr>
          <w:rFonts w:hint="eastAsia" w:ascii="仿宋" w:hAnsi="仿宋" w:eastAsia="仿宋"/>
          <w:b/>
          <w:color w:val="auto"/>
          <w:sz w:val="32"/>
          <w:szCs w:val="32"/>
          <w:highlight w:val="none"/>
        </w:rPr>
        <w:t>支出决算情况。）</w:t>
      </w:r>
    </w:p>
    <w:p>
      <w:pPr>
        <w:spacing w:line="600" w:lineRule="exact"/>
        <w:ind w:firstLine="643" w:firstLineChars="200"/>
        <w:outlineLvl w:val="2"/>
        <w:rPr>
          <w:rFonts w:hint="eastAsia" w:ascii="仿宋" w:hAnsi="仿宋" w:eastAsia="仿宋" w:cs="仿宋"/>
          <w:b/>
          <w:color w:val="000000"/>
          <w:sz w:val="32"/>
          <w:szCs w:val="32"/>
        </w:rPr>
      </w:pPr>
      <w:r>
        <w:rPr>
          <w:rFonts w:hint="eastAsia" w:ascii="仿宋" w:hAnsi="仿宋" w:eastAsia="仿宋" w:cs="仿宋"/>
          <w:b/>
          <w:color w:val="000000"/>
          <w:sz w:val="32"/>
          <w:szCs w:val="32"/>
        </w:rPr>
        <w:t>（二）“三公”经费财政拨款支出决算具体情况说明</w:t>
      </w:r>
      <w:bookmarkEnd w:id="56"/>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“三公”经费财政拨款支出</w:t>
      </w:r>
      <w:r>
        <w:rPr>
          <w:rFonts w:ascii="仿宋" w:hAnsi="仿宋" w:eastAsia="仿宋" w:cs="仿宋"/>
          <w:color w:val="000000"/>
          <w:sz w:val="32"/>
          <w:u w:color="auto"/>
        </w:rPr>
        <w:t>0万元，因公出国（境）费支出决算0万元，占0%；公务用车购置及运行维护费支出决算0万元，占0%；公务接待费支出决算0万元，占0%。具体情况如下：</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1.因公出国（境）经费支出</w:t>
      </w:r>
      <w:r>
        <w:rPr>
          <w:rFonts w:hint="eastAsia" w:ascii="仿宋" w:hAnsi="仿宋" w:eastAsia="仿宋" w:cs="仿宋"/>
          <w:color w:val="000000"/>
          <w:sz w:val="32"/>
          <w:szCs w:val="32"/>
        </w:rPr>
        <w:t>0</w:t>
      </w:r>
      <w:r>
        <w:rPr>
          <w:rFonts w:ascii="仿宋" w:hAnsi="仿宋" w:eastAsia="仿宋" w:cs="仿宋"/>
          <w:color w:val="000000"/>
          <w:sz w:val="32"/>
          <w:u w:color="auto"/>
        </w:rPr>
        <w:t xml:space="preserve">万元,完成预算100%。全年安排因公出国（境）团组0次，出国（境）0人。因公出国（境）支出决算比2024年增加0万元，增长0%。 </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2.公务用车购置及运行维护费支出</w:t>
      </w:r>
      <w:r>
        <w:rPr>
          <w:rFonts w:hint="eastAsia" w:ascii="仿宋" w:hAnsi="仿宋" w:eastAsia="仿宋" w:cs="仿宋"/>
          <w:color w:val="000000"/>
          <w:sz w:val="32"/>
          <w:szCs w:val="32"/>
        </w:rPr>
        <w:t>0</w:t>
      </w:r>
      <w:r>
        <w:rPr>
          <w:rFonts w:ascii="仿宋" w:hAnsi="仿宋" w:eastAsia="仿宋" w:cs="仿宋"/>
          <w:color w:val="000000"/>
          <w:sz w:val="32"/>
          <w:u w:color="auto"/>
        </w:rPr>
        <w:t>万元,完成预算0%。公务用车购置及运行维护费支出决算比2024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增加0</w:t>
      </w:r>
      <w:r>
        <w:rPr>
          <w:rFonts w:ascii="仿宋" w:hAnsi="仿宋" w:eastAsia="仿宋" w:cs="仿宋"/>
          <w:color w:val="000000"/>
          <w:sz w:val="32"/>
          <w:u w:color="auto"/>
        </w:rPr>
        <w:t xml:space="preserve">万元，增长0%。 </w:t>
      </w:r>
    </w:p>
    <w:p>
      <w:pPr>
        <w:spacing w:line="600" w:lineRule="exact"/>
        <w:ind w:firstLine="640" w:firstLineChars="200"/>
        <w:rPr>
          <w:rFonts w:hint="eastAsia"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其中：</w:t>
      </w:r>
      <w:r>
        <w:rPr>
          <w:rFonts w:hint="eastAsia" w:ascii="仿宋" w:hAnsi="仿宋" w:eastAsia="仿宋" w:cs="仿宋"/>
          <w:b/>
          <w:bCs/>
          <w:color w:val="000000"/>
          <w:sz w:val="32"/>
          <w:szCs w:val="32"/>
          <w:highlight w:val="none"/>
        </w:rPr>
        <w:t>公务用车购置支出</w:t>
      </w:r>
      <w:r>
        <w:rPr>
          <w:rFonts w:hint="eastAsia" w:ascii="仿宋" w:hAnsi="仿宋" w:eastAsia="仿宋" w:cs="仿宋"/>
          <w:color w:val="000000"/>
          <w:sz w:val="32"/>
          <w:szCs w:val="32"/>
          <w:highlight w:val="none"/>
        </w:rPr>
        <w:t>0</w:t>
      </w:r>
      <w:r>
        <w:rPr>
          <w:rFonts w:ascii="仿宋" w:hAnsi="仿宋" w:eastAsia="仿宋" w:cs="仿宋"/>
          <w:color w:val="000000"/>
          <w:sz w:val="32"/>
          <w:highlight w:val="none"/>
          <w:u w:color="auto"/>
        </w:rPr>
        <w:t>万元。全年按规定更新购置公务用车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辆，其中：轿车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辆、金额</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万元，越野车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辆、金额</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万元，载客汽车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辆、金</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万元。截至</w:t>
      </w:r>
      <w:r>
        <w:rPr>
          <w:rFonts w:ascii="仿宋" w:hAnsi="仿宋" w:eastAsia="仿宋" w:cs="仿宋"/>
          <w:color w:val="000000"/>
          <w:sz w:val="32"/>
          <w:highlight w:val="none"/>
          <w:u w:color="auto"/>
        </w:rPr>
        <w:t>2025年12月</w:t>
      </w:r>
      <w:r>
        <w:rPr>
          <w:rFonts w:hint="eastAsia" w:ascii="仿宋" w:hAnsi="仿宋" w:eastAsia="仿宋" w:cs="仿宋"/>
          <w:color w:val="000000"/>
          <w:sz w:val="32"/>
          <w:szCs w:val="32"/>
          <w:highlight w:val="none"/>
          <w:lang w:val="en-US" w:eastAsia="zh-CN"/>
        </w:rPr>
        <w:t>31日</w:t>
      </w:r>
      <w:r>
        <w:rPr>
          <w:rFonts w:hint="eastAsia" w:ascii="仿宋" w:hAnsi="仿宋" w:eastAsia="仿宋" w:cs="仿宋"/>
          <w:color w:val="000000"/>
          <w:sz w:val="32"/>
          <w:szCs w:val="32"/>
          <w:highlight w:val="none"/>
        </w:rPr>
        <w:t>，单位共有公务用车</w:t>
      </w:r>
      <w:r>
        <w:rPr>
          <w:rFonts w:ascii="仿宋" w:hAnsi="仿宋" w:eastAsia="仿宋" w:cs="仿宋"/>
          <w:color w:val="000000"/>
          <w:sz w:val="32"/>
          <w:highlight w:val="none"/>
          <w:u w:color="auto"/>
        </w:rPr>
        <w:t>5辆，其中：轿车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辆、越野车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w:t>
      </w:r>
      <w:r>
        <w:rPr>
          <w:rFonts w:hint="eastAsia" w:ascii="仿宋" w:hAnsi="仿宋" w:eastAsia="仿宋" w:cs="仿宋"/>
          <w:color w:val="000000"/>
          <w:sz w:val="32"/>
          <w:szCs w:val="32"/>
          <w:highlight w:val="none"/>
          <w:lang w:val="en-US" w:eastAsia="zh-CN"/>
        </w:rPr>
        <w:t>应急保障用车5辆、</w:t>
      </w:r>
      <w:r>
        <w:rPr>
          <w:rFonts w:hint="eastAsia" w:ascii="仿宋" w:hAnsi="仿宋" w:eastAsia="仿宋" w:cs="仿宋"/>
          <w:color w:val="000000"/>
          <w:sz w:val="32"/>
          <w:szCs w:val="32"/>
          <w:highlight w:val="none"/>
        </w:rPr>
        <w:t>载客汽车</w:t>
      </w:r>
      <w:r>
        <w:rPr>
          <w:rFonts w:hint="eastAsia" w:ascii="仿宋" w:hAnsi="仿宋" w:eastAsia="仿宋" w:cs="仿宋"/>
          <w:color w:val="000000"/>
          <w:sz w:val="32"/>
          <w:szCs w:val="32"/>
          <w:highlight w:val="none"/>
          <w:lang w:val="en-US" w:eastAsia="zh-CN"/>
        </w:rPr>
        <w:t>0</w:t>
      </w:r>
      <w:r>
        <w:rPr>
          <w:rFonts w:hint="eastAsia" w:ascii="仿宋" w:hAnsi="仿宋" w:eastAsia="仿宋" w:cs="仿宋"/>
          <w:color w:val="000000"/>
          <w:sz w:val="32"/>
          <w:szCs w:val="32"/>
          <w:highlight w:val="none"/>
        </w:rPr>
        <w:t>辆</w:t>
      </w:r>
      <w:r>
        <w:rPr>
          <w:rFonts w:hint="eastAsia" w:ascii="仿宋" w:hAnsi="仿宋" w:eastAsia="仿宋" w:cs="仿宋"/>
          <w:color w:val="000000"/>
          <w:sz w:val="32"/>
          <w:szCs w:val="32"/>
          <w:highlight w:val="none"/>
          <w:lang w:val="en-US" w:eastAsia="zh-CN"/>
        </w:rPr>
        <w:t>。</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公务用车运行维护费支出</w:t>
      </w:r>
      <w:r>
        <w:rPr>
          <w:rFonts w:hint="eastAsia" w:ascii="仿宋" w:hAnsi="仿宋" w:eastAsia="仿宋" w:cs="仿宋"/>
          <w:color w:val="000000"/>
          <w:sz w:val="32"/>
          <w:szCs w:val="32"/>
        </w:rPr>
        <w:t>0</w:t>
      </w:r>
      <w:r>
        <w:rPr>
          <w:rFonts w:ascii="仿宋" w:hAnsi="仿宋" w:eastAsia="仿宋" w:cs="仿宋"/>
          <w:color w:val="000000"/>
          <w:sz w:val="32"/>
          <w:u w:color="auto"/>
        </w:rPr>
        <w:t xml:space="preserve">万元。 </w:t>
      </w:r>
    </w:p>
    <w:p>
      <w:pPr>
        <w:spacing w:line="600" w:lineRule="exact"/>
        <w:ind w:firstLine="640"/>
        <w:rPr>
          <w:rFonts w:hint="eastAsia" w:ascii="仿宋" w:hAnsi="仿宋" w:eastAsia="仿宋" w:cs="仿宋"/>
          <w:color w:val="000000"/>
          <w:sz w:val="32"/>
          <w:szCs w:val="32"/>
          <w:lang w:val="en-US" w:eastAsia="zh-CN"/>
        </w:rPr>
      </w:pPr>
      <w:r>
        <w:rPr>
          <w:rFonts w:hint="eastAsia" w:ascii="仿宋" w:hAnsi="仿宋" w:eastAsia="仿宋" w:cs="仿宋"/>
          <w:b/>
          <w:bCs/>
          <w:color w:val="000000"/>
          <w:sz w:val="32"/>
          <w:szCs w:val="32"/>
        </w:rPr>
        <w:t>3.公务接待费支出</w:t>
      </w:r>
      <w:r>
        <w:rPr>
          <w:rFonts w:hint="eastAsia" w:ascii="仿宋" w:hAnsi="仿宋" w:eastAsia="仿宋" w:cs="仿宋"/>
          <w:color w:val="000000"/>
          <w:sz w:val="32"/>
          <w:szCs w:val="32"/>
        </w:rPr>
        <w:t>0</w:t>
      </w:r>
      <w:r>
        <w:rPr>
          <w:rFonts w:ascii="仿宋" w:hAnsi="仿宋" w:eastAsia="仿宋" w:cs="仿宋"/>
          <w:color w:val="000000"/>
          <w:sz w:val="32"/>
          <w:u w:color="auto"/>
        </w:rPr>
        <w:t>万元，完成预算0%。公务接待费支出决算比2024</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增加0</w:t>
      </w:r>
      <w:r>
        <w:rPr>
          <w:rFonts w:ascii="仿宋" w:hAnsi="仿宋" w:eastAsia="仿宋" w:cs="仿宋"/>
          <w:color w:val="000000"/>
          <w:sz w:val="32"/>
          <w:u w:color="auto"/>
        </w:rPr>
        <w:t>万元，增长0%。</w:t>
      </w:r>
      <w:bookmarkStart w:id="57" w:name="_Toc15377218"/>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lang w:val="en-US" w:eastAsia="zh-CN"/>
        </w:rPr>
        <w:t>其中：</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b/>
          <w:bCs/>
          <w:color w:val="000000"/>
          <w:sz w:val="32"/>
          <w:szCs w:val="32"/>
        </w:rPr>
        <w:t>国内公务接待支出</w:t>
      </w:r>
      <w:r>
        <w:rPr>
          <w:rFonts w:hint="eastAsia" w:ascii="仿宋" w:hAnsi="仿宋" w:eastAsia="仿宋" w:cs="仿宋"/>
          <w:color w:val="000000"/>
          <w:sz w:val="32"/>
          <w:szCs w:val="32"/>
        </w:rPr>
        <w:t>0</w:t>
      </w:r>
      <w:r>
        <w:rPr>
          <w:rFonts w:ascii="仿宋" w:hAnsi="仿宋" w:eastAsia="仿宋" w:cs="仿宋"/>
          <w:color w:val="000000"/>
          <w:sz w:val="32"/>
          <w:u w:color="auto"/>
        </w:rPr>
        <w:t>万元。国内公务接待0批次，0人次（不包括陪同人员），共计支出0万元。</w:t>
      </w:r>
    </w:p>
    <w:p>
      <w:pPr>
        <w:pStyle w:val="8"/>
        <w:rPr>
          <w:rFonts w:hint="eastAsia" w:ascii="仿宋" w:hAnsi="仿宋" w:eastAsia="仿宋" w:cs="仿宋"/>
          <w:color w:val="000000"/>
          <w:sz w:val="32"/>
          <w:szCs w:val="32"/>
        </w:rPr>
      </w:pPr>
      <w:r>
        <w:rPr>
          <w:rFonts w:hint="eastAsia" w:ascii="仿宋" w:hAnsi="仿宋" w:eastAsia="仿宋" w:cs="仿宋"/>
          <w:b/>
          <w:bCs/>
          <w:color w:val="000000"/>
          <w:sz w:val="32"/>
          <w:szCs w:val="32"/>
        </w:rPr>
        <w:t>外事接待支出</w:t>
      </w:r>
      <w:r>
        <w:rPr>
          <w:rFonts w:hint="eastAsia" w:ascii="仿宋" w:hAnsi="仿宋" w:eastAsia="仿宋" w:cs="仿宋"/>
          <w:color w:val="000000"/>
          <w:sz w:val="32"/>
          <w:szCs w:val="32"/>
        </w:rPr>
        <w:t>0</w:t>
      </w:r>
      <w:r>
        <w:rPr>
          <w:rFonts w:ascii="仿宋" w:hAnsi="仿宋" w:eastAsia="仿宋" w:cs="仿宋"/>
          <w:color w:val="000000"/>
          <w:sz w:val="32"/>
          <w:u w:color="auto"/>
        </w:rPr>
        <w:t>万元。外事接待0批次，0人次（不包括陪同人员），共计支出0万元。</w:t>
      </w:r>
    </w:p>
    <w:p>
      <w:pPr>
        <w:pStyle w:val="6"/>
        <w:ind w:firstLine="640" w:firstLineChars="200"/>
        <w:rPr>
          <w:rFonts w:hint="eastAsia" w:ascii="黑体" w:hAnsi="黑体" w:eastAsia="黑体" w:cs="黑体"/>
          <w:b w:val="0"/>
          <w:bCs/>
          <w:color w:val="000000"/>
        </w:rPr>
      </w:pPr>
      <w:bookmarkStart w:id="58" w:name="_Toc20439"/>
      <w:bookmarkStart w:id="59" w:name="_Toc111208506"/>
      <w:r>
        <w:rPr>
          <w:rFonts w:hint="eastAsia" w:ascii="黑体" w:hAnsi="黑体" w:eastAsia="黑体" w:cs="黑体"/>
          <w:b w:val="0"/>
          <w:bCs/>
          <w:color w:val="000000"/>
        </w:rPr>
        <w:t>八、政府性基金预算支出决算情况说明</w:t>
      </w:r>
      <w:bookmarkEnd w:id="57"/>
      <w:bookmarkEnd w:id="58"/>
      <w:bookmarkEnd w:id="59"/>
    </w:p>
    <w:p>
      <w:pPr>
        <w:spacing w:line="600" w:lineRule="exact"/>
        <w:ind w:firstLine="640"/>
        <w:rPr>
          <w:rFonts w:hint="eastAsia" w:ascii="仿宋" w:hAnsi="仿宋" w:eastAsia="仿宋" w:cs="仿宋"/>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政府性基金预算拨款支出</w:t>
      </w:r>
      <w:r>
        <w:rPr>
          <w:rFonts w:ascii="仿宋" w:hAnsi="仿宋" w:eastAsia="仿宋" w:cs="仿宋"/>
          <w:color w:val="000000"/>
          <w:sz w:val="32"/>
          <w:u w:color="auto"/>
        </w:rPr>
        <w:t>0万元</w:t>
      </w:r>
      <w:bookmarkStart w:id="60" w:name="_Toc15377219"/>
      <w:r>
        <w:rPr>
          <w:rFonts w:hint="eastAsia" w:ascii="Times New Roman" w:hAnsi="Times New Roman" w:eastAsia="仿宋_GB2312" w:cs="仿宋_GB2312"/>
          <w:color w:val="auto"/>
          <w:kern w:val="2"/>
          <w:sz w:val="32"/>
          <w:szCs w:val="32"/>
          <w:highlight w:val="none"/>
          <w:lang w:val="en-US" w:eastAsia="zh-CN" w:bidi="ar-SA"/>
        </w:rPr>
        <w:t>，占本年支出合计的</w:t>
      </w:r>
      <w:r>
        <w:rPr>
          <w:rFonts w:hint="eastAsia" w:ascii="仿宋" w:hAnsi="仿宋" w:eastAsia="仿宋" w:cs="仿宋"/>
          <w:color w:val="000000"/>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ascii="仿宋" w:hAnsi="仿宋" w:eastAsia="仿宋" w:cs="仿宋"/>
          <w:color w:val="000000"/>
          <w:sz w:val="32"/>
          <w:szCs w:val="32"/>
        </w:rPr>
        <w:t>2024</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w:t>
      </w:r>
      <w:r>
        <w:rPr>
          <w:rFonts w:hint="eastAsia" w:ascii="仿宋" w:hAnsi="仿宋" w:eastAsia="仿宋" w:cs="仿宋"/>
          <w:color w:val="000000"/>
          <w:sz w:val="32"/>
          <w:szCs w:val="32"/>
        </w:rPr>
        <w:t>增加0万元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增长0%。</w:t>
      </w:r>
      <w:r>
        <w:rPr>
          <w:rFonts w:ascii="仿宋" w:hAnsi="仿宋" w:eastAsia="仿宋" w:cs="仿宋"/>
          <w:color w:val="000000"/>
          <w:sz w:val="32"/>
          <w:u w:color="auto"/>
        </w:rPr>
        <w:t xml:space="preserve"> </w:t>
      </w:r>
    </w:p>
    <w:p>
      <w:pPr>
        <w:pStyle w:val="6"/>
        <w:ind w:firstLine="640" w:firstLineChars="200"/>
        <w:rPr>
          <w:rFonts w:hint="eastAsia" w:ascii="黑体" w:hAnsi="黑体" w:eastAsia="黑体" w:cs="黑体"/>
          <w:b w:val="0"/>
          <w:bCs/>
          <w:color w:val="000000"/>
        </w:rPr>
      </w:pPr>
      <w:bookmarkStart w:id="61" w:name="_Toc111208507"/>
      <w:bookmarkStart w:id="62" w:name="_Toc23467"/>
      <w:r>
        <w:rPr>
          <w:rFonts w:hint="eastAsia" w:ascii="黑体" w:hAnsi="黑体" w:eastAsia="黑体" w:cs="黑体"/>
          <w:b w:val="0"/>
          <w:bCs/>
          <w:color w:val="000000"/>
        </w:rPr>
        <w:t>九、国有资本经营预算支出决算情况说明</w:t>
      </w:r>
      <w:bookmarkEnd w:id="60"/>
      <w:bookmarkEnd w:id="61"/>
      <w:bookmarkEnd w:id="62"/>
    </w:p>
    <w:p>
      <w:pPr>
        <w:spacing w:line="600" w:lineRule="exact"/>
        <w:ind w:firstLine="640"/>
        <w:rPr>
          <w:rFonts w:hint="eastAsia" w:ascii="仿宋" w:hAnsi="仿宋" w:eastAsia="仿宋" w:cs="仿宋"/>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国有资本经营预算拨款支出</w:t>
      </w:r>
      <w:r>
        <w:rPr>
          <w:rFonts w:ascii="仿宋" w:hAnsi="仿宋" w:eastAsia="仿宋" w:cs="仿宋"/>
          <w:color w:val="000000"/>
          <w:sz w:val="32"/>
          <w:u w:color="auto"/>
        </w:rPr>
        <w:t>0万元</w:t>
      </w:r>
      <w:r>
        <w:rPr>
          <w:rFonts w:hint="eastAsia" w:ascii="Times New Roman" w:hAnsi="Times New Roman" w:eastAsia="仿宋_GB2312" w:cs="仿宋_GB2312"/>
          <w:color w:val="auto"/>
          <w:kern w:val="2"/>
          <w:sz w:val="32"/>
          <w:szCs w:val="32"/>
          <w:highlight w:val="none"/>
          <w:lang w:val="en-US" w:eastAsia="zh-CN" w:bidi="ar-SA"/>
        </w:rPr>
        <w:t>，占本年支出合计的</w:t>
      </w:r>
      <w:r>
        <w:rPr>
          <w:rFonts w:hint="eastAsia" w:ascii="仿宋" w:hAnsi="仿宋" w:eastAsia="仿宋" w:cs="仿宋"/>
          <w:color w:val="000000"/>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ascii="仿宋" w:hAnsi="仿宋" w:eastAsia="仿宋" w:cs="仿宋"/>
          <w:color w:val="000000"/>
          <w:sz w:val="32"/>
          <w:szCs w:val="32"/>
        </w:rPr>
        <w:t>2024</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w:t>
      </w:r>
      <w:r>
        <w:rPr>
          <w:rFonts w:hint="eastAsia" w:ascii="仿宋" w:hAnsi="仿宋" w:eastAsia="仿宋" w:cs="仿宋"/>
          <w:color w:val="000000"/>
          <w:sz w:val="32"/>
          <w:szCs w:val="32"/>
        </w:rPr>
        <w:t>增加0万元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增长0%。</w:t>
      </w:r>
      <w:r>
        <w:rPr>
          <w:rFonts w:ascii="仿宋" w:hAnsi="仿宋" w:eastAsia="仿宋" w:cs="仿宋"/>
          <w:color w:val="000000"/>
          <w:sz w:val="32"/>
          <w:u w:color="auto"/>
        </w:rPr>
        <w:t xml:space="preserve"> </w:t>
      </w:r>
    </w:p>
    <w:p>
      <w:pPr>
        <w:spacing w:line="600" w:lineRule="exact"/>
        <w:ind w:firstLine="640"/>
        <w:rPr>
          <w:rFonts w:hint="eastAsia"/>
        </w:rPr>
      </w:pPr>
    </w:p>
    <w:p>
      <w:pPr>
        <w:pStyle w:val="6"/>
        <w:ind w:firstLine="640" w:firstLineChars="200"/>
        <w:rPr>
          <w:rFonts w:hint="eastAsia" w:ascii="黑体" w:hAnsi="黑体" w:eastAsia="黑体" w:cs="黑体"/>
          <w:b w:val="0"/>
          <w:bCs/>
          <w:color w:val="000000"/>
        </w:rPr>
      </w:pPr>
      <w:bookmarkStart w:id="63" w:name="_Toc15377221"/>
      <w:bookmarkStart w:id="64" w:name="_Toc18455"/>
      <w:bookmarkStart w:id="65" w:name="_Toc111208508"/>
      <w:r>
        <w:rPr>
          <w:rFonts w:hint="eastAsia" w:ascii="黑体" w:hAnsi="黑体" w:eastAsia="黑体" w:cs="黑体"/>
          <w:b w:val="0"/>
          <w:bCs/>
          <w:color w:val="000000"/>
        </w:rPr>
        <w:t>十、其他重要事项的情况说明</w:t>
      </w:r>
      <w:bookmarkEnd w:id="63"/>
      <w:bookmarkEnd w:id="64"/>
      <w:bookmarkEnd w:id="65"/>
    </w:p>
    <w:p>
      <w:pPr>
        <w:spacing w:line="600" w:lineRule="exact"/>
        <w:ind w:firstLine="643" w:firstLineChars="200"/>
        <w:outlineLvl w:val="2"/>
        <w:rPr>
          <w:rFonts w:hint="eastAsia" w:ascii="楷体" w:hAnsi="楷体" w:eastAsia="楷体" w:cs="楷体"/>
          <w:b/>
          <w:color w:val="000000"/>
          <w:sz w:val="32"/>
          <w:szCs w:val="32"/>
        </w:rPr>
      </w:pPr>
      <w:bookmarkStart w:id="66" w:name="_Toc15377222"/>
      <w:r>
        <w:rPr>
          <w:rFonts w:hint="eastAsia" w:ascii="楷体" w:hAnsi="楷体" w:eastAsia="楷体" w:cs="楷体"/>
          <w:b/>
          <w:color w:val="000000"/>
          <w:sz w:val="32"/>
          <w:szCs w:val="32"/>
        </w:rPr>
        <w:t>（一）机关运行经费支出情况</w:t>
      </w:r>
      <w:bookmarkEnd w:id="66"/>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w:t>
      </w:r>
      <w:r>
        <w:rPr>
          <w:rFonts w:ascii="仿宋" w:hAnsi="仿宋" w:eastAsia="仿宋" w:cs="仿宋"/>
          <w:color w:val="000000"/>
          <w:sz w:val="32"/>
          <w:u w:color="auto"/>
        </w:rPr>
        <w:t xml:space="preserve">红原县藏医院机关运行经费支出0万元。 </w:t>
      </w:r>
    </w:p>
    <w:p>
      <w:pPr>
        <w:spacing w:line="600" w:lineRule="exact"/>
        <w:ind w:firstLine="643" w:firstLineChars="200"/>
        <w:outlineLvl w:val="2"/>
        <w:rPr>
          <w:rFonts w:hint="eastAsia" w:ascii="楷体" w:hAnsi="楷体" w:eastAsia="楷体" w:cs="楷体"/>
          <w:b/>
          <w:color w:val="000000"/>
          <w:sz w:val="32"/>
          <w:szCs w:val="32"/>
        </w:rPr>
      </w:pPr>
      <w:bookmarkStart w:id="67" w:name="_Toc15377223"/>
      <w:r>
        <w:rPr>
          <w:rFonts w:hint="eastAsia" w:ascii="楷体" w:hAnsi="楷体" w:eastAsia="楷体" w:cs="楷体"/>
          <w:b/>
          <w:color w:val="000000"/>
          <w:sz w:val="32"/>
          <w:szCs w:val="32"/>
        </w:rPr>
        <w:t>（二）政府采购支出情况</w:t>
      </w:r>
      <w:bookmarkEnd w:id="67"/>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2025</w:t>
      </w:r>
      <w:r>
        <w:rPr>
          <w:rFonts w:hint="eastAsia" w:ascii="仿宋" w:hAnsi="仿宋" w:eastAsia="仿宋" w:cs="仿宋"/>
          <w:color w:val="000000"/>
          <w:sz w:val="32"/>
          <w:szCs w:val="32"/>
          <w:lang w:val="en-US" w:eastAsia="zh-CN"/>
        </w:rPr>
        <w:t>年度</w:t>
      </w:r>
      <w:r>
        <w:rPr>
          <w:rFonts w:hint="eastAsia" w:ascii="仿宋" w:hAnsi="仿宋" w:eastAsia="仿宋" w:cs="仿宋"/>
          <w:color w:val="000000"/>
          <w:sz w:val="32"/>
          <w:szCs w:val="32"/>
        </w:rPr>
        <w:t>，</w:t>
      </w:r>
      <w:r>
        <w:rPr>
          <w:rFonts w:ascii="仿宋" w:hAnsi="仿宋" w:eastAsia="仿宋" w:cs="仿宋"/>
          <w:color w:val="000000"/>
          <w:sz w:val="32"/>
          <w:u w:color="auto"/>
        </w:rPr>
        <w:t>红原县藏医院政府采购支出总额272.8万元，其中：政府采购货物支出267.37万元、政府采购工程支出0万元、政府采购服务支出5.44万元。授予中小企业合同金额0万元，</w:t>
      </w:r>
      <w:r>
        <w:rPr>
          <w:rFonts w:hint="eastAsia" w:ascii="仿宋" w:hAnsi="仿宋" w:eastAsia="仿宋" w:cs="仿宋"/>
          <w:color w:val="000000"/>
          <w:sz w:val="32"/>
          <w:szCs w:val="32"/>
          <w:lang w:val="en-US" w:eastAsia="zh-CN"/>
        </w:rPr>
        <w:t>占政府采购支出总额的</w:t>
      </w:r>
      <w:r>
        <w:rPr>
          <w:rFonts w:ascii="仿宋" w:hAnsi="仿宋" w:eastAsia="仿宋" w:cs="仿宋"/>
          <w:color w:val="000000"/>
          <w:sz w:val="32"/>
          <w:u w:color="auto"/>
        </w:rPr>
        <w:t>0%,</w:t>
      </w:r>
      <w:r>
        <w:rPr>
          <w:rFonts w:hint="eastAsia" w:ascii="仿宋" w:hAnsi="仿宋" w:eastAsia="仿宋" w:cs="仿宋"/>
          <w:color w:val="000000"/>
          <w:sz w:val="32"/>
          <w:szCs w:val="32"/>
        </w:rPr>
        <w:t>其中：授予小微企业合同金额</w:t>
      </w:r>
      <w:r>
        <w:rPr>
          <w:rFonts w:ascii="仿宋" w:hAnsi="仿宋" w:eastAsia="仿宋" w:cs="仿宋"/>
          <w:color w:val="000000"/>
          <w:sz w:val="32"/>
          <w:u w:color="auto"/>
        </w:rPr>
        <w:t>0万元，占</w:t>
      </w:r>
      <w:r>
        <w:rPr>
          <w:rFonts w:hint="eastAsia" w:ascii="仿宋" w:hAnsi="仿宋" w:eastAsia="仿宋" w:cs="仿宋"/>
          <w:color w:val="000000"/>
          <w:sz w:val="32"/>
          <w:szCs w:val="32"/>
          <w:lang w:val="en-US" w:eastAsia="zh-CN"/>
        </w:rPr>
        <w:t>政府采购支出总额</w:t>
      </w:r>
      <w:r>
        <w:rPr>
          <w:rFonts w:hint="eastAsia" w:ascii="仿宋" w:hAnsi="仿宋" w:eastAsia="仿宋" w:cs="仿宋"/>
          <w:color w:val="000000"/>
          <w:sz w:val="32"/>
          <w:szCs w:val="32"/>
        </w:rPr>
        <w:t>的</w:t>
      </w:r>
      <w:r>
        <w:rPr>
          <w:rFonts w:ascii="仿宋" w:hAnsi="仿宋" w:eastAsia="仿宋" w:cs="仿宋"/>
          <w:color w:val="000000"/>
          <w:sz w:val="32"/>
          <w:u w:color="auto"/>
        </w:rPr>
        <w:t>0%。</w:t>
      </w:r>
    </w:p>
    <w:p>
      <w:pPr>
        <w:spacing w:line="600" w:lineRule="exact"/>
        <w:ind w:firstLine="643" w:firstLineChars="200"/>
        <w:outlineLvl w:val="2"/>
        <w:rPr>
          <w:rFonts w:hint="eastAsia" w:ascii="楷体" w:hAnsi="楷体" w:eastAsia="楷体" w:cs="楷体"/>
          <w:b/>
          <w:color w:val="000000"/>
          <w:sz w:val="32"/>
          <w:szCs w:val="32"/>
        </w:rPr>
      </w:pPr>
      <w:bookmarkStart w:id="68" w:name="_Toc15377224"/>
      <w:r>
        <w:rPr>
          <w:rFonts w:hint="eastAsia" w:ascii="楷体" w:hAnsi="楷体" w:eastAsia="楷体" w:cs="楷体"/>
          <w:b/>
          <w:color w:val="000000"/>
          <w:sz w:val="32"/>
          <w:szCs w:val="32"/>
        </w:rPr>
        <w:t>（三）国有资产占有使用情况</w:t>
      </w:r>
      <w:bookmarkEnd w:id="68"/>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截至</w:t>
      </w:r>
      <w:r>
        <w:rPr>
          <w:rFonts w:ascii="仿宋" w:hAnsi="仿宋" w:eastAsia="仿宋" w:cs="仿宋"/>
          <w:color w:val="000000"/>
          <w:sz w:val="32"/>
          <w:u w:color="auto"/>
        </w:rPr>
        <w:t>2025年12月31日，红原县藏医院共有车辆5辆，其中：主要领导干部用车0辆、机要通信用车0辆、应急保障用车5辆、其他用车0辆。单价100万元以上专用设备</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不含车辆</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0</w:t>
      </w:r>
      <w:r>
        <w:rPr>
          <w:rFonts w:ascii="仿宋" w:hAnsi="仿宋" w:eastAsia="仿宋" w:cs="仿宋"/>
          <w:color w:val="000000"/>
          <w:sz w:val="32"/>
          <w:u w:color="auto"/>
        </w:rPr>
        <w:t>台（套）。</w:t>
      </w:r>
    </w:p>
    <w:p>
      <w:pPr>
        <w:spacing w:line="600" w:lineRule="exact"/>
        <w:ind w:firstLine="643" w:firstLineChars="200"/>
        <w:outlineLvl w:val="2"/>
        <w:rPr>
          <w:rFonts w:hint="eastAsia" w:ascii="楷体" w:hAnsi="楷体" w:eastAsia="楷体" w:cs="楷体"/>
          <w:b/>
          <w:color w:val="000000"/>
          <w:sz w:val="32"/>
          <w:szCs w:val="32"/>
        </w:rPr>
      </w:pPr>
      <w:r>
        <w:rPr>
          <w:rFonts w:hint="eastAsia" w:ascii="楷体" w:hAnsi="楷体" w:eastAsia="楷体" w:cs="楷体"/>
          <w:b/>
          <w:color w:val="000000"/>
          <w:sz w:val="32"/>
          <w:szCs w:val="32"/>
        </w:rPr>
        <w:t>（四）预算绩效管理情况</w:t>
      </w:r>
    </w:p>
    <w:p>
      <w:pPr>
        <w:pStyle w:val="8"/>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根据预算绩效管理要求，</w:t>
      </w:r>
      <w:r>
        <w:rPr>
          <w:rFonts w:ascii="仿宋" w:hAnsi="仿宋" w:eastAsia="仿宋" w:cs="仿宋"/>
          <w:color w:val="000000"/>
          <w:sz w:val="32"/>
          <w:u w:color="auto"/>
        </w:rPr>
        <w:t>红原县藏医院</w:t>
      </w:r>
      <w:r>
        <w:rPr>
          <w:rFonts w:hint="eastAsia" w:ascii="仿宋" w:hAnsi="仿宋" w:eastAsia="仿宋" w:cs="仿宋"/>
          <w:sz w:val="32"/>
          <w:szCs w:val="32"/>
          <w:lang w:val="en-US" w:eastAsia="zh-CN"/>
        </w:rPr>
        <w:t>在2025年度预算编制阶段，组织对公立医院取消药品加成补助县级财政补助等12个项目开展了预算事前绩效评估，对33个项目编制了绩效目标，预算执行过程中，选取33个项目开展绩效监控。绩效自评表详见第四部分附件。</w:t>
      </w:r>
    </w:p>
    <w:p>
      <w:pPr>
        <w:widowControl/>
        <w:jc w:val="left"/>
        <w:rPr>
          <w:rFonts w:hint="eastAsia" w:ascii="思源黑体 CN Normal" w:hAnsi="思源黑体 CN Normal" w:eastAsia="思源黑体 CN Normal" w:cs="思源黑体 CN Normal"/>
          <w:b/>
          <w:color w:val="000000"/>
          <w:sz w:val="32"/>
          <w:szCs w:val="32"/>
        </w:rPr>
      </w:pPr>
      <w:r>
        <w:rPr>
          <w:rFonts w:hint="eastAsia" w:ascii="思源黑体 CN Normal" w:hAnsi="思源黑体 CN Normal" w:eastAsia="思源黑体 CN Normal" w:cs="思源黑体 CN Normal"/>
          <w:b/>
          <w:color w:val="000000"/>
          <w:sz w:val="32"/>
          <w:szCs w:val="32"/>
        </w:rPr>
        <w:br w:type="page"/>
      </w:r>
    </w:p>
    <w:p>
      <w:pPr>
        <w:pStyle w:val="5"/>
        <w:jc w:val="center"/>
        <w:rPr>
          <w:rFonts w:hint="eastAsia" w:ascii="黑体" w:hAnsi="黑体" w:eastAsia="黑体" w:cs="黑体"/>
          <w:b w:val="0"/>
          <w:bCs w:val="0"/>
        </w:rPr>
      </w:pPr>
      <w:bookmarkStart w:id="69" w:name="_Toc18122"/>
      <w:bookmarkStart w:id="70" w:name="_Toc111208509"/>
      <w:bookmarkStart w:id="71" w:name="_Toc15377225"/>
      <w:r>
        <w:rPr>
          <w:rFonts w:hint="eastAsia" w:ascii="黑体" w:hAnsi="黑体" w:eastAsia="黑体" w:cs="黑体"/>
          <w:b w:val="0"/>
          <w:bCs w:val="0"/>
        </w:rPr>
        <w:t>第三部分 名词解释</w:t>
      </w:r>
      <w:bookmarkEnd w:id="69"/>
      <w:bookmarkEnd w:id="70"/>
      <w:bookmarkEnd w:id="71"/>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1.财政拨款收入：指单位从同级财政部门取得的财政预算资金。</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2.事业收入：指事业单位开展专业业务活动及辅助活动取得的收入。</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3.经营收入：指事业单位在专业业务活动及其辅助活动之外开展非独立核算经营活动取得的收入</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4.其他收入：指单位取得的除上述收入以外的各项收入。</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5.使用非财政拨款结余（含专用结余）：指事业单位使用以前年度积累的非财政拨款结余弥补当年收支差额的金额。 </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6.年初结转和结余：指以前年度尚未完成、结转到本年按有关规定继续使用的资金。 </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7.结余分配：指事业单位按照会计制度规定缴纳的所得税、提取的专用结余以及转入非财政拨款结余的金额等。</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8.年末结转和结余：指单位按有关规定结转到下年或以后年度继续使用的资金。</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9.社会保障和就业支出（类）行政事业单位养老支出（款）机关事业单位基本养老保险缴费支出（项）:反映机关事业单位实施养老保险制度由单位缴纳的基本养老保险费支出。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10.社会保障和就业支出（类）行政事业单位养老支出（款）机关事业单位职业年金缴费支出（项）:反映机关事业单位实施养老保险制度由单位实际缴纳的职业年金支出。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11.卫生健康支出（类）公立医院（款）中医（民族）医院（项）:反映卫生健康、中医部门所属的中医院、中西医结合医院、民族医院的支出。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12.卫生健康支出（类）公立医院（款）其他公立医院支出（项）:反映除上述项目以外的其他用于公立医院方面的支出。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13.卫生健康支出（类）公共卫生（款）基本公共卫生服务（项）:反映基本公共卫生服务支出。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14.卫生健康支出（类）行政事业单位医疗（款）事业单位医疗（项）:反映财政部门安排的事业单位基本医疗保险缴费经费，未参加医疗保险的事业单位的公费医疗经费，按国家规定享受离休人员待遇的医疗经费。</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15.卫生健康支出（类）行政事业单位医疗（款）其他行政事业单位医疗支出（项）:反映除上述项目以外的其他用于行政事业单位医疗方面的支出。</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16.卫生健康支出（类）中医药事务（款）中医（民族医）药专项（项）:无文字说明。</w:t>
      </w:r>
      <w:r>
        <w:rPr>
          <w:rFonts w:hint="eastAsia" w:ascii="仿宋" w:hAnsi="仿宋" w:eastAsia="仿宋" w:cs="仿宋"/>
          <w:color w:val="000000"/>
          <w:sz w:val="32"/>
          <w:szCs w:val="32"/>
        </w:rPr>
        <w:cr/>
      </w:r>
      <w:r>
        <w:rPr>
          <w:rFonts w:hint="eastAsia" w:ascii="仿宋" w:hAnsi="仿宋" w:eastAsia="仿宋" w:cs="仿宋"/>
          <w:color w:val="000000"/>
          <w:sz w:val="32"/>
          <w:szCs w:val="32"/>
        </w:rPr>
        <w:t xml:space="preserve">    17.住房保障支出（类）住房改革支出（款）住房公积金（项）:反映行政事业单位按人力资源和社会保障部、财政部规定的基本工资和津贴补贴以及规定比例为职工缴纳的住房公积金。</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18</w:t>
      </w:r>
      <w:r>
        <w:rPr>
          <w:rFonts w:ascii="仿宋" w:hAnsi="仿宋" w:eastAsia="仿宋" w:cs="仿宋"/>
          <w:color w:val="000000"/>
          <w:sz w:val="32"/>
          <w:u w:color="auto"/>
        </w:rPr>
        <w:t>.基本支出：指为保障机构正常运转、完成日常工作任务而发生的人员支出和公用支出。</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19</w:t>
      </w:r>
      <w:r>
        <w:rPr>
          <w:rFonts w:ascii="仿宋" w:hAnsi="仿宋" w:eastAsia="仿宋" w:cs="仿宋"/>
          <w:color w:val="000000"/>
          <w:sz w:val="32"/>
          <w:u w:color="auto"/>
        </w:rPr>
        <w:t xml:space="preserve">.项目支出：指在基本支出之外为完成特定行政任务和事业发展目标所发生的支出。 </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w:t>
      </w:r>
      <w:r>
        <w:rPr>
          <w:rFonts w:ascii="仿宋" w:hAnsi="仿宋" w:eastAsia="仿宋" w:cs="仿宋"/>
          <w:color w:val="000000"/>
          <w:sz w:val="32"/>
          <w:u w:color="auto"/>
        </w:rPr>
        <w:t>.经营支出：指事业单位在专业业务活动及其辅助活动之外开展非独立核算经营活动发生的支出。</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21</w:t>
      </w:r>
      <w:r>
        <w:rPr>
          <w:rFonts w:ascii="仿宋" w:hAnsi="仿宋" w:eastAsia="仿宋" w:cs="仿宋"/>
          <w:color w:val="000000"/>
          <w:sz w:val="32"/>
          <w:u w:color="auto"/>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22</w:t>
      </w:r>
      <w:r>
        <w:rPr>
          <w:rFonts w:ascii="仿宋" w:hAnsi="仿宋" w:eastAsia="仿宋" w:cs="仿宋"/>
          <w:color w:val="000000"/>
          <w:sz w:val="32"/>
          <w:u w:color="auto"/>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widowControl/>
        <w:jc w:val="left"/>
        <w:rPr>
          <w:rStyle w:val="32"/>
          <w:rFonts w:hint="eastAsia" w:ascii="思源黑体 CN Normal" w:hAnsi="思源黑体 CN Normal" w:eastAsia="思源黑体 CN Normal" w:cs="思源黑体 CN Normal"/>
        </w:rPr>
      </w:pPr>
      <w:r>
        <w:rPr>
          <w:rStyle w:val="32"/>
          <w:rFonts w:hint="eastAsia" w:ascii="思源黑体 CN Normal" w:hAnsi="思源黑体 CN Normal" w:eastAsia="思源黑体 CN Normal" w:cs="思源黑体 CN Normal"/>
        </w:rPr>
        <w:br w:type="page"/>
      </w:r>
    </w:p>
    <w:p>
      <w:pPr>
        <w:pStyle w:val="5"/>
        <w:jc w:val="center"/>
        <w:rPr>
          <w:rFonts w:hint="eastAsia" w:ascii="仿宋" w:hAnsi="仿宋" w:eastAsia="仿宋" w:cs="仿宋"/>
          <w:sz w:val="32"/>
          <w:szCs w:val="32"/>
        </w:rPr>
      </w:pPr>
      <w:bookmarkStart w:id="72" w:name="_Toc25539"/>
      <w:bookmarkStart w:id="73" w:name="_Toc111208510"/>
      <w:r>
        <w:rPr>
          <w:rFonts w:hint="eastAsia" w:ascii="黑体" w:hAnsi="黑体" w:eastAsia="黑体" w:cs="黑体"/>
          <w:b w:val="0"/>
          <w:bCs w:val="0"/>
        </w:rPr>
        <w:t>第四部分 附件</w:t>
      </w:r>
      <w:bookmarkEnd w:id="72"/>
      <w:bookmarkEnd w:id="73"/>
    </w:p>
    <w:tbl>
      <w:tblPr>
        <w:tblStyle w:val="19"/>
        <w:tblW w:w="83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1019"/>
        <w:gridCol w:w="850"/>
        <w:gridCol w:w="1206"/>
        <w:gridCol w:w="396"/>
        <w:gridCol w:w="846"/>
        <w:gridCol w:w="396"/>
        <w:gridCol w:w="846"/>
        <w:gridCol w:w="486"/>
        <w:gridCol w:w="486"/>
        <w:gridCol w:w="11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51323321T000000076742-公立医院取消药品加成补助县级财政补助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服务对象受益门诊人数16435人次，住院病人1614人次</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2025年门诊人次16435，住院病人1614人，完成率100%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lang w:eastAsia="zh-CN"/>
              </w:rPr>
            </w:pPr>
            <w:r>
              <w:rPr>
                <w:rFonts w:hint="eastAsia" w:ascii="宋体" w:hAnsi="宋体" w:cs="宋体"/>
                <w:i w:val="0"/>
                <w:iCs w:val="0"/>
                <w:color w:val="000000"/>
                <w:sz w:val="18"/>
                <w:szCs w:val="18"/>
                <w:u w:val="none"/>
                <w:lang w:eastAsia="zh-CN"/>
              </w:rPr>
              <w:t>取消药品加成补助用于采购西药一批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3.26</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31.65%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上级部门上资金太晚，未执行完成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3.26</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31.65%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医疗服务收入较上年提高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457</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按病种付费的住院参保人员占总住院参保人员的比例提高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住院患者平均住院日</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天</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就诊人次提高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15598</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医院达到收支平衡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549</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人均住院费用增幅</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门诊次均费用增幅</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取消药品加成项目资金支出1万元，主要用于弥补医院取消药品加成造成的亏损。为患者节约了就医成本，减轻了群众就医贵问题，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执行率偏低，2026年加快进度执行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51323322T000006178645-医疗服务与保障能力提升（中医药事业传承与发展部分）补助资金）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58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阿州财社【2025】22号文件《关于下达2025年医疗服务能力提升（中医药事业发）专项中央补助资金》县级中医医院“两专科一中心”建设资金100万元，一是基础设施建设项目合同总价为64.5万元，二是2025年已支付医疗设备及办公设备采购费合同总价全款33.3967万元；三是支付专科人才赴青海省考察学习经费1.768万元；四是专科科室制度资料费0.532万元。</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98.07</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98.07</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专科建设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人才培养合格率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项目周期完成时间</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中医药健康文化社会认可度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提高医疗服务能提升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该项目实施成后，为患者节约了就医成本，减轻了群众就医贵问题，实施中医药服务能力建设项目成后，在一定程度上弥补了医院的服务能力不足，有效保证了医院各项业务工作的开展，促进了工作任务和绩效目标的完成，医疗技术水平进一步提升，为患者提供很好的就医服务水平及服务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51323322Y000000274175-党建群众工作经费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51323323R000008370415-年度考核奖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57.11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57.11</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56.54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57.11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57.11</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56.54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51323323T000008138404-藏医院事业单位经营收入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承担着全县4万多人民群众的健康和治疗任务。红原县藏医院开放床位80张，医疗收入出现逐年上升的趋势。项目主要是用于医院“三公”经费支出，包括购买专用材料费（药品费，耗材费）、临时工工资、绩效奖励等支出。</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项目已完成建设工作任务，资金执行率为84.07%。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823.91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84.07%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预算一体化1-2月支付用往来支付，未下达资金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823.91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84.07%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工作完成率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保障医院正常工作运转</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提升医务工作者的幸福感</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解决职工后顾之忧</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提高医院服务能力</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社会成本指标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合理安排支出</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。项目主要是用于医院“三公”经费支出，包括购买专用材料费（药品费，耗材费）、临时工工资、绩效奖励等支出。及时支付，让每位员工获得幸福感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51323323T000008642723-红原县藏医院能力提升建设项目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红原县藏医院能力提升建设项目建成并投入生产后，将对红原县临床医疗救治工作，构建和谐社会发展产生积极的影响，推动当地社会经济全面、协调和可持续发展。</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13.14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13.14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13.14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13.14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设备数量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保障设备质量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提升服务能力</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51323324R000010090540-工资支出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177.81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225.68</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225.68</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177.81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225.68</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225.68</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51323324R000010091299-社会保障缴费—机关事业单位基本养老保险缴费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91.22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108.39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108.39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91.22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108.39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108.39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51323324R000010091464-社会保障缴费—职业年金缴费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45.61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54.19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54.19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45.61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54.19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54.19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51323324R000010091824-社会保障缴费—职工基本医疗保险缴费事业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39.91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49.44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49.44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39.91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49.44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49.44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51323324R000010092035-社会保障缴费—公务员医疗补助缴费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12.38</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10.32</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12.38</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10.32</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51323324R000010092418-住房公积金缴费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73.47</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86.89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86.89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73.47</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86.89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86.89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51323324R000010092593-社会保障缴费—其他社保缴费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5.22</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5.70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5.22</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51323324R000010092775-在职人员体检费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6.44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6.44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5.35</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83.07%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6.44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6.44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5.35</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83.07%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51323324R000010738493-退休人员经费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2.31</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40.58%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2.31</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40.58%</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51323324R000010744634-年终一次性奖金（新设）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14.82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14.82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51323324R000010745063-公务员基础绩效奖（新设）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86.05</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86.05</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85.89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99.82%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86.05</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86.05</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85.89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99.82%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51323324R000010745617-事业单位绩效工资（新设）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134.11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136.94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136.94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134.11</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136.94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136.94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51323324R000010747689-艰苦边远地区津贴（新设）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126.87</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130.37</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130.37</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126.87</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130.37</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130.37</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51323324R000010748401-高海拔地区折算工龄补贴（新设）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26.66</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27.76</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27.76</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26.66</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27.76</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27.76</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51323324R000011023313-其他津贴（新设）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3.91</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3.91</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51323324T000011736533-基本公共卫生服务补助费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地方病治疗补助</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.完工内容：完成大骨节病人治疗1230人，完成大骨节健康档案管理及随访病人1230人，完成大骨节病人诊断复核1364人，完成100%。</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2.完工内容：实际完成氟骨症病人治疗2094人，实际完成氟骨症健康档案管理及随访病6140人，完成氟骨症病人诊断复核3038人，完成100%。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350.20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350.20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350.20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350.20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当年地方病治疗任务数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人/年</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保质保量完成治疗任务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本年完成治疗</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提高患者的生活质量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患者持续得到治疗</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减轻患者病痛，减少患者到医院的路程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51323324Y000010716868-工会经费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6.84</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6.84</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51323325R000012306973-公务员基础绩效奖（非）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发放（缴纳）覆盖率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足额保障率（参保率）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51323325T000012966973-红原县藏医院赴浙江温州考察交流学习经费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通过实地考察、座谈交流、学习温州永嘉县、苍南县、平阳县医疗卫生行业的先进思路、创新做法，进一步提高县藏医院管理、卫生专技人员的综合素质，提高实际管理能力、实际操作能力。</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该项目未执行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资金未使用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抽不出人员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工作完成率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提升医务工作者的综合素质</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提升卫生事业人才培训和队伍建设</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xml:space="preserve">  提高医院服务能力</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提高医院的就诊人次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职工满意度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51323325T000013171173-红原县藏医院能力提升建设项目（民族地区卫生发展十年行动计划））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红原县藏医院能力提升建设项目建成并投入生产后，将对红原县临床医疗救治工作，构建和谐社会发展产生积极的影响，推动当地社会经济全面、协调和可持续发展。</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该项目已验收，截至目前已完成拨付资金共计1282万元；其中：工程款1170万元；二类费用90.7万元、其他费用21.3万元（监理服务费）；项目资金执行率为70%。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该项目于2023年8月1日开工；2024年12月已基本完工；目前针对存在的问题施工单位正在整改完善中；预计3月底进行新风系统和消防专项验收；计划4月15日组织整体项目验收。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1,416.24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396.79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28.02%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项目资料未通过财政审核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1,416.24</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396.79</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28.02%</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新建标准化制剂中心</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3569.89</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符合国家药品生产要求</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项目执行完成率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生产规模同比增速</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提升制剂生产能力</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患者对药品满意度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建设标准</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1870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51323325T000013211643-中医民族医能力提升项目补助资金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推广发挥县级中藏医医院的辐射带动作用，推广简便验廉的中藏医适宜技术到辖区内的乡村和社区医疗卫生机构，组织各县开展“百千万”强基层专家帮扶或基层适宜技术及调研等工作为绩效目标提升我院的服务能力。</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项目已完成建设工作任务，资金执行率为70.39%。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推广发挥县级中藏医医院的辐射带动作用，推广简便验廉的中藏医适宜技术到辖区内的乡村和社区医疗卫生机构，组织各县开展“百千万”强基层专家帮扶或基层适宜技术及调研等工作为绩效目标提升我院的服务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4.93</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70.39%</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未继续开展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4.93</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70.39%</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基层能力提升项目</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藏医适宜技术培训</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保质保量完成藏医适宜技术培训</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藏医药就诊患者比例提高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群众对藏医药服务获得感</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患者对藏医药满意度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民众调查满意度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51323325T000013332716-医疗服务与保障能力提升（公立医院综合改革）补助资金）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用于医院门诊医技楼消防设施升级改造项目73.5万元，取消药品加成2万元新建制剂中心接入新供暖管道项目3.5万元及新建制剂中心急需生产用具采购项目中列支4.6万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用于医院门诊医技楼消防设施升级改造项目73.5万元，取消药品加成2万元新建制剂中心接入新供暖管道项目3.5万元及新建制剂中心急需生产用具采购项目中列支4.6万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108.39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100.12</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92.37%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108.39</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100.12</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92.37%</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按病种付费的住院参保人员占总住院参保比例上升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医疗服务收入（不含药品、耗材、检查、化验收入）医疗收入比例</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公立医院平均住院日</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天</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公立医院门诊人次与住院人次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实现收支平衡</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公立医院次均门诊费用及人均住院费</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下降</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92</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51323325T000013838147-绵阳援建资金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采购制剂室设备一批</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下达2025年绵阳结对帮扶红原县项目资金》（红财函〔2025〕59号），医疗帮扶资金240万元，用于红原县医疗提档升级建设项目制剂设备采购。该项目于2025年6月完成招标工作，中标合同总价为234.6万元，于2025年9月20日验收，11月拨付总合同价的234.6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234.60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234.60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234.60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234.60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采购制剂室设备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符合采购需求</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本年采购完成</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提升就医服务能力</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增加资金投入</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51323325Y000012663012-福利费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用于职工书屋装饰装修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16.66</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14.16</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14.16</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16.66</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14.16</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14.16</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51323325Y000012663510-残疾人就业保障金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提高预算编制质量，严格执行预算，保障单位日常运转。</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8.83</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96.81%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9.12</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9.12</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8.83</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96.81%</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科目调整次数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预算编制准确率（计算方法为：∣（执行数-预算数）/预算数∣）</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运转保障率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51323326T000014315320-红原县医疗能力提档升级建设项目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采购制剂设备及药品检验设备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未执行完成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5.40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项目未完成采购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5.40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采购设备数量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符合采购设备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好</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当年完成</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提升就医服务能力</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资金投入</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患者满意度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94</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50"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20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84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486"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199"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8306"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51323326T000014460968-机关事业单位编内退休人员一次性补贴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4" w:hRule="atLeast"/>
        </w:trPr>
        <w:tc>
          <w:tcPr>
            <w:tcW w:w="15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红原县卫生健康局</w:t>
            </w:r>
          </w:p>
        </w:tc>
        <w:tc>
          <w:tcPr>
            <w:tcW w:w="84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217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红原县藏医院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369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阿坝州机关事业单位退休人员一次性补贴</w:t>
            </w:r>
          </w:p>
        </w:tc>
        <w:tc>
          <w:tcPr>
            <w:tcW w:w="30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项目已完成建设工作任务，资金执行率为100%。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9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671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5"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17.55</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17.55</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17.55</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17.55</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6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6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10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175536</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及时拨付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退休人员幸福感</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增加退休人员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退休人员</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38"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退休人员满意度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613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0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34"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773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4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项目负责人：仁香</w:t>
            </w:r>
          </w:p>
        </w:tc>
        <w:tc>
          <w:tcPr>
            <w:tcW w:w="42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财务负责人：仁香</w:t>
            </w:r>
          </w:p>
        </w:tc>
      </w:tr>
    </w:tbl>
    <w:p>
      <w:pPr>
        <w:pStyle w:val="8"/>
        <w:rPr>
          <w:rFonts w:hint="eastAsia" w:ascii="仿宋" w:hAnsi="仿宋" w:eastAsia="仿宋" w:cs="仿宋"/>
          <w:sz w:val="32"/>
          <w:szCs w:val="32"/>
        </w:rPr>
      </w:pPr>
    </w:p>
    <w:p>
      <w:pPr>
        <w:rPr>
          <w:rStyle w:val="37"/>
          <w:rFonts w:hint="eastAsia" w:ascii="黑体" w:hAnsi="黑体" w:eastAsia="黑体"/>
          <w:b w:val="0"/>
          <w:color w:val="auto"/>
          <w:highlight w:val="none"/>
        </w:rPr>
      </w:pPr>
      <w:bookmarkStart w:id="74" w:name="_Toc21200"/>
      <w:bookmarkStart w:id="75" w:name="_Toc79163885"/>
      <w:bookmarkStart w:id="76" w:name="_Toc79163635"/>
      <w:bookmarkStart w:id="77" w:name="_Toc111208512"/>
      <w:r>
        <w:rPr>
          <w:rStyle w:val="37"/>
          <w:rFonts w:hint="eastAsia" w:ascii="黑体" w:hAnsi="黑体" w:eastAsia="黑体"/>
          <w:b w:val="0"/>
          <w:color w:val="auto"/>
          <w:highlight w:val="none"/>
        </w:rPr>
        <w:br w:type="page"/>
      </w:r>
    </w:p>
    <w:p>
      <w:pPr>
        <w:suppressAutoHyphens/>
        <w:bidi w:val="0"/>
        <w:spacing w:line="600" w:lineRule="exact"/>
        <w:jc w:val="center"/>
        <w:outlineLvl w:val="0"/>
        <w:rPr>
          <w:rFonts w:hint="eastAsia" w:ascii="思源黑体 CN Normal" w:hAnsi="思源黑体 CN Normal" w:eastAsia="思源黑体 CN Normal" w:cs="思源黑体 CN Normal"/>
          <w:b w:val="0"/>
          <w:bCs w:val="0"/>
        </w:rPr>
      </w:pPr>
      <w:r>
        <w:rPr>
          <w:rStyle w:val="37"/>
          <w:rFonts w:hint="eastAsia" w:ascii="黑体" w:hAnsi="黑体" w:eastAsia="黑体"/>
          <w:b w:val="0"/>
          <w:color w:val="auto"/>
          <w:highlight w:val="none"/>
        </w:rPr>
        <w:t>第五部分 附表</w:t>
      </w:r>
      <w:bookmarkEnd w:id="74"/>
      <w:bookmarkEnd w:id="75"/>
      <w:bookmarkEnd w:id="76"/>
      <w:bookmarkEnd w:id="77"/>
    </w:p>
    <w:p>
      <w:pPr>
        <w:pStyle w:val="6"/>
        <w:ind w:firstLine="640" w:firstLineChars="200"/>
        <w:rPr>
          <w:rFonts w:hint="eastAsia" w:ascii="仿宋" w:hAnsi="仿宋" w:eastAsia="仿宋" w:cs="仿宋"/>
          <w:b w:val="0"/>
          <w:bCs/>
          <w:color w:val="000000"/>
        </w:rPr>
      </w:pPr>
      <w:bookmarkStart w:id="78" w:name="_Toc16431"/>
      <w:r>
        <w:rPr>
          <w:rFonts w:hint="eastAsia" w:ascii="仿宋" w:hAnsi="仿宋" w:eastAsia="仿宋" w:cs="仿宋"/>
          <w:b w:val="0"/>
          <w:bCs/>
          <w:color w:val="000000"/>
        </w:rPr>
        <w:t>一、收入支出决算总表</w:t>
      </w:r>
      <w:bookmarkEnd w:id="78"/>
      <w:bookmarkStart w:id="91" w:name="_GoBack"/>
      <w:bookmarkEnd w:id="91"/>
    </w:p>
    <w:p>
      <w:pPr>
        <w:pStyle w:val="6"/>
        <w:ind w:firstLine="640" w:firstLineChars="200"/>
        <w:rPr>
          <w:rFonts w:hint="eastAsia" w:ascii="仿宋" w:hAnsi="仿宋" w:eastAsia="仿宋" w:cs="仿宋"/>
          <w:b w:val="0"/>
          <w:bCs/>
          <w:color w:val="000000"/>
        </w:rPr>
      </w:pPr>
      <w:bookmarkStart w:id="79" w:name="_Toc25389"/>
      <w:r>
        <w:rPr>
          <w:rFonts w:hint="eastAsia" w:ascii="仿宋" w:hAnsi="仿宋" w:eastAsia="仿宋" w:cs="仿宋"/>
          <w:b w:val="0"/>
          <w:bCs/>
          <w:color w:val="000000"/>
        </w:rPr>
        <w:t>二、收入决算表</w:t>
      </w:r>
      <w:bookmarkEnd w:id="79"/>
    </w:p>
    <w:p>
      <w:pPr>
        <w:pStyle w:val="6"/>
        <w:ind w:firstLine="640" w:firstLineChars="200"/>
        <w:rPr>
          <w:rFonts w:hint="eastAsia" w:ascii="仿宋" w:hAnsi="仿宋" w:eastAsia="仿宋" w:cs="仿宋"/>
          <w:b w:val="0"/>
          <w:bCs/>
          <w:color w:val="000000"/>
        </w:rPr>
      </w:pPr>
      <w:bookmarkStart w:id="80" w:name="_Toc10450"/>
      <w:r>
        <w:rPr>
          <w:rFonts w:hint="eastAsia" w:ascii="仿宋" w:hAnsi="仿宋" w:eastAsia="仿宋" w:cs="仿宋"/>
          <w:b w:val="0"/>
          <w:bCs/>
          <w:color w:val="000000"/>
        </w:rPr>
        <w:t>三、支出决算表</w:t>
      </w:r>
      <w:bookmarkEnd w:id="80"/>
    </w:p>
    <w:p>
      <w:pPr>
        <w:pStyle w:val="6"/>
        <w:ind w:firstLine="640" w:firstLineChars="200"/>
        <w:rPr>
          <w:rFonts w:hint="eastAsia" w:ascii="仿宋" w:hAnsi="仿宋" w:eastAsia="仿宋" w:cs="仿宋"/>
          <w:b w:val="0"/>
          <w:bCs/>
          <w:color w:val="000000"/>
        </w:rPr>
      </w:pPr>
      <w:bookmarkStart w:id="81" w:name="_Toc15415"/>
      <w:r>
        <w:rPr>
          <w:rFonts w:hint="eastAsia" w:ascii="仿宋" w:hAnsi="仿宋" w:eastAsia="仿宋" w:cs="仿宋"/>
          <w:b w:val="0"/>
          <w:bCs/>
          <w:color w:val="000000"/>
        </w:rPr>
        <w:t>四、财政拨款收入支出决算总表</w:t>
      </w:r>
      <w:bookmarkEnd w:id="81"/>
    </w:p>
    <w:p>
      <w:pPr>
        <w:pStyle w:val="6"/>
        <w:ind w:firstLine="640" w:firstLineChars="200"/>
        <w:rPr>
          <w:rFonts w:hint="eastAsia" w:ascii="仿宋" w:hAnsi="仿宋" w:eastAsia="仿宋" w:cs="仿宋"/>
          <w:b w:val="0"/>
          <w:bCs/>
          <w:color w:val="000000"/>
        </w:rPr>
      </w:pPr>
      <w:bookmarkStart w:id="82" w:name="_Toc17530"/>
      <w:r>
        <w:rPr>
          <w:rFonts w:hint="eastAsia" w:ascii="仿宋" w:hAnsi="仿宋" w:eastAsia="仿宋" w:cs="仿宋"/>
          <w:b w:val="0"/>
          <w:bCs/>
          <w:color w:val="000000"/>
        </w:rPr>
        <w:t>五、财政拨款支出决算明细表</w:t>
      </w:r>
      <w:bookmarkEnd w:id="82"/>
    </w:p>
    <w:p>
      <w:pPr>
        <w:pStyle w:val="6"/>
        <w:ind w:firstLine="640" w:firstLineChars="200"/>
        <w:rPr>
          <w:rFonts w:hint="eastAsia" w:ascii="仿宋" w:hAnsi="仿宋" w:eastAsia="仿宋" w:cs="仿宋"/>
          <w:b w:val="0"/>
          <w:bCs/>
          <w:color w:val="000000"/>
        </w:rPr>
      </w:pPr>
      <w:bookmarkStart w:id="83" w:name="_Toc22032"/>
      <w:r>
        <w:rPr>
          <w:rFonts w:hint="eastAsia" w:ascii="仿宋" w:hAnsi="仿宋" w:eastAsia="仿宋" w:cs="仿宋"/>
          <w:b w:val="0"/>
          <w:bCs/>
          <w:color w:val="000000"/>
        </w:rPr>
        <w:t>六、一般公共预算财政拨款支出决算表</w:t>
      </w:r>
      <w:bookmarkEnd w:id="83"/>
    </w:p>
    <w:p>
      <w:pPr>
        <w:pStyle w:val="6"/>
        <w:ind w:firstLine="640" w:firstLineChars="200"/>
        <w:rPr>
          <w:rFonts w:hint="eastAsia" w:ascii="仿宋" w:hAnsi="仿宋" w:eastAsia="仿宋" w:cs="仿宋"/>
          <w:b w:val="0"/>
          <w:bCs/>
          <w:color w:val="000000"/>
        </w:rPr>
      </w:pPr>
      <w:bookmarkStart w:id="84" w:name="_Toc3364"/>
      <w:r>
        <w:rPr>
          <w:rFonts w:hint="eastAsia" w:ascii="仿宋" w:hAnsi="仿宋" w:eastAsia="仿宋" w:cs="仿宋"/>
          <w:b w:val="0"/>
          <w:bCs/>
          <w:color w:val="000000"/>
        </w:rPr>
        <w:t>七、一般公共预算财政拨款支出决算明细表</w:t>
      </w:r>
      <w:bookmarkEnd w:id="84"/>
    </w:p>
    <w:p>
      <w:pPr>
        <w:pStyle w:val="6"/>
        <w:ind w:firstLine="640" w:firstLineChars="200"/>
        <w:rPr>
          <w:rFonts w:hint="eastAsia" w:ascii="仿宋" w:hAnsi="仿宋" w:eastAsia="仿宋" w:cs="仿宋"/>
          <w:b w:val="0"/>
          <w:bCs/>
          <w:color w:val="000000"/>
        </w:rPr>
      </w:pPr>
      <w:bookmarkStart w:id="85" w:name="_Toc9110"/>
      <w:r>
        <w:rPr>
          <w:rFonts w:hint="eastAsia" w:ascii="仿宋" w:hAnsi="仿宋" w:eastAsia="仿宋" w:cs="仿宋"/>
          <w:b w:val="0"/>
          <w:bCs/>
          <w:color w:val="000000"/>
        </w:rPr>
        <w:t>八、一般公共预算财政拨款基本支出决算表</w:t>
      </w:r>
      <w:bookmarkEnd w:id="85"/>
    </w:p>
    <w:p>
      <w:pPr>
        <w:pStyle w:val="6"/>
        <w:ind w:firstLine="640" w:firstLineChars="200"/>
        <w:rPr>
          <w:rFonts w:hint="eastAsia" w:ascii="仿宋" w:hAnsi="仿宋" w:eastAsia="仿宋" w:cs="仿宋"/>
          <w:b w:val="0"/>
          <w:bCs/>
          <w:color w:val="000000"/>
        </w:rPr>
      </w:pPr>
      <w:bookmarkStart w:id="86" w:name="_Toc28582"/>
      <w:r>
        <w:rPr>
          <w:rFonts w:hint="eastAsia" w:ascii="仿宋" w:hAnsi="仿宋" w:eastAsia="仿宋" w:cs="仿宋"/>
          <w:b w:val="0"/>
          <w:bCs/>
          <w:color w:val="000000"/>
        </w:rPr>
        <w:t>九、一般公共预算财政拨款项目支出决算表</w:t>
      </w:r>
      <w:bookmarkEnd w:id="86"/>
    </w:p>
    <w:p>
      <w:pPr>
        <w:pStyle w:val="6"/>
        <w:ind w:firstLine="640" w:firstLineChars="200"/>
        <w:rPr>
          <w:rFonts w:hint="eastAsia" w:ascii="仿宋" w:hAnsi="仿宋" w:eastAsia="仿宋" w:cs="仿宋"/>
          <w:b w:val="0"/>
          <w:bCs/>
          <w:color w:val="000000"/>
        </w:rPr>
      </w:pPr>
      <w:bookmarkStart w:id="87" w:name="_Toc22001"/>
      <w:r>
        <w:rPr>
          <w:rFonts w:hint="eastAsia" w:ascii="仿宋" w:hAnsi="仿宋" w:eastAsia="仿宋" w:cs="仿宋"/>
          <w:b w:val="0"/>
          <w:bCs/>
          <w:color w:val="000000"/>
        </w:rPr>
        <w:t>十、政府性基金预算财政拨款收入支出决算表</w:t>
      </w:r>
      <w:bookmarkEnd w:id="87"/>
    </w:p>
    <w:p>
      <w:pPr>
        <w:pStyle w:val="6"/>
        <w:ind w:firstLine="640" w:firstLineChars="200"/>
        <w:rPr>
          <w:rFonts w:hint="eastAsia" w:ascii="仿宋" w:hAnsi="仿宋" w:eastAsia="仿宋" w:cs="仿宋"/>
          <w:b w:val="0"/>
          <w:bCs/>
          <w:color w:val="000000"/>
        </w:rPr>
      </w:pPr>
      <w:bookmarkStart w:id="88" w:name="_Toc6538"/>
      <w:r>
        <w:rPr>
          <w:rFonts w:hint="eastAsia" w:ascii="仿宋" w:hAnsi="仿宋" w:eastAsia="仿宋" w:cs="仿宋"/>
          <w:b w:val="0"/>
          <w:bCs/>
          <w:color w:val="000000"/>
        </w:rPr>
        <w:t>十一、国有资本经营预算财政拨款收入支出决算表</w:t>
      </w:r>
      <w:bookmarkEnd w:id="88"/>
    </w:p>
    <w:p>
      <w:pPr>
        <w:pStyle w:val="6"/>
        <w:ind w:firstLine="640" w:firstLineChars="200"/>
        <w:rPr>
          <w:rFonts w:hint="eastAsia" w:ascii="仿宋" w:hAnsi="仿宋" w:eastAsia="仿宋" w:cs="仿宋"/>
          <w:b w:val="0"/>
          <w:bCs/>
          <w:color w:val="000000"/>
        </w:rPr>
      </w:pPr>
      <w:bookmarkStart w:id="89" w:name="_Toc10625"/>
      <w:r>
        <w:rPr>
          <w:rFonts w:hint="eastAsia" w:ascii="仿宋" w:hAnsi="仿宋" w:eastAsia="仿宋" w:cs="仿宋"/>
          <w:b w:val="0"/>
          <w:bCs/>
          <w:color w:val="000000"/>
        </w:rPr>
        <w:t>十二、国有资本经营预算财政拨款支出决算表</w:t>
      </w:r>
      <w:bookmarkEnd w:id="89"/>
    </w:p>
    <w:p>
      <w:pPr>
        <w:pStyle w:val="6"/>
        <w:ind w:firstLine="640" w:firstLineChars="200"/>
        <w:rPr>
          <w:rFonts w:hint="eastAsia" w:ascii="仿宋" w:hAnsi="仿宋" w:eastAsia="仿宋" w:cs="仿宋"/>
          <w:b w:val="0"/>
          <w:bCs/>
          <w:color w:val="000000"/>
        </w:rPr>
      </w:pPr>
      <w:bookmarkStart w:id="90" w:name="_Toc28356"/>
      <w:r>
        <w:rPr>
          <w:rFonts w:hint="eastAsia" w:ascii="仿宋" w:hAnsi="仿宋" w:eastAsia="仿宋" w:cs="仿宋"/>
          <w:b w:val="0"/>
          <w:bCs/>
          <w:color w:val="000000"/>
        </w:rPr>
        <w:t>十三、财政拨款“三公”经费支出决算表</w:t>
      </w:r>
      <w:bookmarkEnd w:id="90"/>
    </w:p>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C453623-FAD6-4791-B8DB-97AD16A4318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DA6C8363-EB86-4BF1-B010-1894186D4AC4}"/>
  </w:font>
  <w:font w:name="仿宋">
    <w:panose1 w:val="02010609060101010101"/>
    <w:charset w:val="86"/>
    <w:family w:val="modern"/>
    <w:pitch w:val="default"/>
    <w:sig w:usb0="800002BF" w:usb1="38CF7CFA" w:usb2="00000016" w:usb3="00000000" w:csb0="00040001" w:csb1="00000000"/>
    <w:embedRegular r:id="rId3" w:fontKey="{15270A5A-FCF7-4DA6-BD52-D45F08F8E90E}"/>
  </w:font>
  <w:font w:name="思源黑体 CN Normal">
    <w:altName w:val="黑体"/>
    <w:panose1 w:val="020B0400000000000000"/>
    <w:charset w:val="86"/>
    <w:family w:val="auto"/>
    <w:pitch w:val="default"/>
    <w:sig w:usb0="00000000" w:usb1="00000000" w:usb2="00000016" w:usb3="00000000" w:csb0="60060107" w:csb1="00000000"/>
    <w:embedRegular r:id="rId4" w:fontKey="{DCF7143F-1651-4EFF-90D0-C44AAF216E47}"/>
  </w:font>
  <w:font w:name="方正小标宋简体">
    <w:panose1 w:val="03000509000000000000"/>
    <w:charset w:val="86"/>
    <w:family w:val="auto"/>
    <w:pitch w:val="default"/>
    <w:sig w:usb0="00000001" w:usb1="080E0000" w:usb2="00000000" w:usb3="00000000" w:csb0="00040000" w:csb1="00000000"/>
    <w:embedRegular r:id="rId5" w:fontKey="{885E1EB7-420B-4E17-91FD-A0A397A41FBF}"/>
  </w:font>
  <w:font w:name="楷体">
    <w:panose1 w:val="02010609060101010101"/>
    <w:charset w:val="86"/>
    <w:family w:val="auto"/>
    <w:pitch w:val="default"/>
    <w:sig w:usb0="800002BF" w:usb1="38CF7CFA" w:usb2="00000016" w:usb3="00000000" w:csb0="00040001" w:csb1="00000000"/>
    <w:embedRegular r:id="rId6" w:fontKey="{99FAC5DA-87F6-4E4F-B0FA-3A6D989BC063}"/>
  </w:font>
  <w:font w:name="微软雅黑">
    <w:panose1 w:val="020B0503020204020204"/>
    <w:charset w:val="86"/>
    <w:family w:val="auto"/>
    <w:pitch w:val="default"/>
    <w:sig w:usb0="80000287" w:usb1="280F3C52" w:usb2="00000016" w:usb3="00000000" w:csb0="0004001F" w:csb1="00000000"/>
    <w:embedRegular r:id="rId7" w:fontKey="{FE9E9FCC-8199-4175-95B8-953D27A168F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4856"/>
                          </w:sdtPr>
                          <w:sdtContent>
                            <w:p>
                              <w:pPr>
                                <w:pStyle w:val="13"/>
                                <w:jc w:val="center"/>
                              </w:pPr>
                              <w:r>
                                <w:fldChar w:fldCharType="begin"/>
                              </w:r>
                              <w:r>
                                <w:instrText xml:space="preserve">PAGE   \* MERGEFORMAT</w:instrText>
                              </w:r>
                              <w:r>
                                <w:fldChar w:fldCharType="separate"/>
                              </w:r>
                              <w:r>
                                <w:rPr>
                                  <w:lang w:val="zh-CN"/>
                                </w:rPr>
                                <w:t>4</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sdt>
                    <w:sdtPr>
                      <w:id w:val="147464856"/>
                    </w:sdtPr>
                    <w:sdtContent>
                      <w:p>
                        <w:pPr>
                          <w:pStyle w:val="13"/>
                          <w:jc w:val="center"/>
                        </w:pPr>
                        <w:r>
                          <w:fldChar w:fldCharType="begin"/>
                        </w:r>
                        <w:r>
                          <w:instrText xml:space="preserve">PAGE   \* MERGEFORMAT</w:instrText>
                        </w:r>
                        <w:r>
                          <w:fldChar w:fldCharType="separate"/>
                        </w:r>
                        <w:r>
                          <w:rPr>
                            <w:lang w:val="zh-CN"/>
                          </w:rPr>
                          <w:t>4</w:t>
                        </w:r>
                        <w:r>
                          <w:fldChar w:fldCharType="end"/>
                        </w:r>
                      </w:p>
                    </w:sdtContent>
                  </w:sdt>
                  <w:p>
                    <w:pPr>
                      <w:pStyle w:val="2"/>
                    </w:pPr>
                  </w:p>
                </w:txbxContent>
              </v:textbox>
            </v:shape>
          </w:pict>
        </mc:Fallback>
      </mc:AlternateContent>
    </w:r>
  </w:p>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hmNjAzMWJlZjFkMmQwODUwMTJkYzE2ODFiYmFmYTcifQ=="/>
  </w:docVars>
  <w:rsids>
    <w:rsidRoot w:val="00F1361C"/>
    <w:rsid w:val="000000BC"/>
    <w:rsid w:val="00000665"/>
    <w:rsid w:val="00000B38"/>
    <w:rsid w:val="000015A2"/>
    <w:rsid w:val="00002628"/>
    <w:rsid w:val="00003E5B"/>
    <w:rsid w:val="00004806"/>
    <w:rsid w:val="00007EA6"/>
    <w:rsid w:val="00012FB7"/>
    <w:rsid w:val="00013357"/>
    <w:rsid w:val="00013C9E"/>
    <w:rsid w:val="00015450"/>
    <w:rsid w:val="000175E6"/>
    <w:rsid w:val="00017F98"/>
    <w:rsid w:val="00020F07"/>
    <w:rsid w:val="000222C6"/>
    <w:rsid w:val="00022FC0"/>
    <w:rsid w:val="000230B2"/>
    <w:rsid w:val="0002359B"/>
    <w:rsid w:val="00023DEB"/>
    <w:rsid w:val="00025226"/>
    <w:rsid w:val="0002549F"/>
    <w:rsid w:val="00025F1E"/>
    <w:rsid w:val="0002749D"/>
    <w:rsid w:val="0003013F"/>
    <w:rsid w:val="00031598"/>
    <w:rsid w:val="00031926"/>
    <w:rsid w:val="000326D5"/>
    <w:rsid w:val="00033414"/>
    <w:rsid w:val="00034ABC"/>
    <w:rsid w:val="00034D1D"/>
    <w:rsid w:val="00034D24"/>
    <w:rsid w:val="00035A69"/>
    <w:rsid w:val="000366B3"/>
    <w:rsid w:val="00036E57"/>
    <w:rsid w:val="00047195"/>
    <w:rsid w:val="00047C09"/>
    <w:rsid w:val="00052D93"/>
    <w:rsid w:val="000551CF"/>
    <w:rsid w:val="000571AC"/>
    <w:rsid w:val="00063AA8"/>
    <w:rsid w:val="0006487A"/>
    <w:rsid w:val="00065F8F"/>
    <w:rsid w:val="00066365"/>
    <w:rsid w:val="00066A65"/>
    <w:rsid w:val="00070C93"/>
    <w:rsid w:val="00070D58"/>
    <w:rsid w:val="00070F40"/>
    <w:rsid w:val="00071796"/>
    <w:rsid w:val="00072BEC"/>
    <w:rsid w:val="00073345"/>
    <w:rsid w:val="000768F2"/>
    <w:rsid w:val="00077C80"/>
    <w:rsid w:val="00081156"/>
    <w:rsid w:val="000815F6"/>
    <w:rsid w:val="00083B72"/>
    <w:rsid w:val="000846FF"/>
    <w:rsid w:val="0008503A"/>
    <w:rsid w:val="000851B4"/>
    <w:rsid w:val="000859F0"/>
    <w:rsid w:val="00087C06"/>
    <w:rsid w:val="00090134"/>
    <w:rsid w:val="00090DB7"/>
    <w:rsid w:val="0009184B"/>
    <w:rsid w:val="00091AAC"/>
    <w:rsid w:val="000921CB"/>
    <w:rsid w:val="000925CB"/>
    <w:rsid w:val="0009389E"/>
    <w:rsid w:val="0009593C"/>
    <w:rsid w:val="000A1370"/>
    <w:rsid w:val="000A17C4"/>
    <w:rsid w:val="000A37A2"/>
    <w:rsid w:val="000A500C"/>
    <w:rsid w:val="000B007F"/>
    <w:rsid w:val="000B047F"/>
    <w:rsid w:val="000B071C"/>
    <w:rsid w:val="000B1716"/>
    <w:rsid w:val="000B202D"/>
    <w:rsid w:val="000B26BE"/>
    <w:rsid w:val="000B2D44"/>
    <w:rsid w:val="000B2FD8"/>
    <w:rsid w:val="000B44F0"/>
    <w:rsid w:val="000B5923"/>
    <w:rsid w:val="000B5A48"/>
    <w:rsid w:val="000B6FF3"/>
    <w:rsid w:val="000C0A06"/>
    <w:rsid w:val="000C148A"/>
    <w:rsid w:val="000C2B6A"/>
    <w:rsid w:val="000C3467"/>
    <w:rsid w:val="000C3CA6"/>
    <w:rsid w:val="000C4E3D"/>
    <w:rsid w:val="000C7136"/>
    <w:rsid w:val="000D1267"/>
    <w:rsid w:val="000D17A8"/>
    <w:rsid w:val="000D1D50"/>
    <w:rsid w:val="000D304F"/>
    <w:rsid w:val="000D4033"/>
    <w:rsid w:val="000D5782"/>
    <w:rsid w:val="000D620F"/>
    <w:rsid w:val="000D74AA"/>
    <w:rsid w:val="000E3AC5"/>
    <w:rsid w:val="000E4C84"/>
    <w:rsid w:val="000E6613"/>
    <w:rsid w:val="000E6663"/>
    <w:rsid w:val="000E7119"/>
    <w:rsid w:val="000E75B2"/>
    <w:rsid w:val="000F0D1B"/>
    <w:rsid w:val="000F3E1D"/>
    <w:rsid w:val="000F7336"/>
    <w:rsid w:val="00101546"/>
    <w:rsid w:val="00106B75"/>
    <w:rsid w:val="0010727E"/>
    <w:rsid w:val="00107CCA"/>
    <w:rsid w:val="00110310"/>
    <w:rsid w:val="0011211B"/>
    <w:rsid w:val="00112787"/>
    <w:rsid w:val="00114E9B"/>
    <w:rsid w:val="0011649B"/>
    <w:rsid w:val="00116E5E"/>
    <w:rsid w:val="0012218E"/>
    <w:rsid w:val="0012398F"/>
    <w:rsid w:val="00124113"/>
    <w:rsid w:val="00124BFE"/>
    <w:rsid w:val="0012516D"/>
    <w:rsid w:val="00125224"/>
    <w:rsid w:val="00130F18"/>
    <w:rsid w:val="00133C7A"/>
    <w:rsid w:val="0013434B"/>
    <w:rsid w:val="00137E3C"/>
    <w:rsid w:val="001418EE"/>
    <w:rsid w:val="00142F42"/>
    <w:rsid w:val="00143AE1"/>
    <w:rsid w:val="00143C8F"/>
    <w:rsid w:val="001446FE"/>
    <w:rsid w:val="00144A59"/>
    <w:rsid w:val="00146A3D"/>
    <w:rsid w:val="0014729F"/>
    <w:rsid w:val="00147410"/>
    <w:rsid w:val="001506F6"/>
    <w:rsid w:val="00151128"/>
    <w:rsid w:val="0015213E"/>
    <w:rsid w:val="001544D9"/>
    <w:rsid w:val="00156D25"/>
    <w:rsid w:val="00156D5D"/>
    <w:rsid w:val="00157BAB"/>
    <w:rsid w:val="0016151A"/>
    <w:rsid w:val="00163B54"/>
    <w:rsid w:val="00163F03"/>
    <w:rsid w:val="001654D1"/>
    <w:rsid w:val="00166A14"/>
    <w:rsid w:val="00166F25"/>
    <w:rsid w:val="0016730C"/>
    <w:rsid w:val="00167FD7"/>
    <w:rsid w:val="0017190C"/>
    <w:rsid w:val="00174145"/>
    <w:rsid w:val="0018106D"/>
    <w:rsid w:val="0018125C"/>
    <w:rsid w:val="00181856"/>
    <w:rsid w:val="00183B64"/>
    <w:rsid w:val="00184B52"/>
    <w:rsid w:val="001877A7"/>
    <w:rsid w:val="00187CD2"/>
    <w:rsid w:val="00191536"/>
    <w:rsid w:val="00191B2C"/>
    <w:rsid w:val="001927B3"/>
    <w:rsid w:val="00193E73"/>
    <w:rsid w:val="00193FE2"/>
    <w:rsid w:val="001959D9"/>
    <w:rsid w:val="00195AB7"/>
    <w:rsid w:val="00196687"/>
    <w:rsid w:val="001A0107"/>
    <w:rsid w:val="001A0B9F"/>
    <w:rsid w:val="001A0EA2"/>
    <w:rsid w:val="001A1DBF"/>
    <w:rsid w:val="001A41F1"/>
    <w:rsid w:val="001A5CF3"/>
    <w:rsid w:val="001A63BB"/>
    <w:rsid w:val="001B1840"/>
    <w:rsid w:val="001B1FA9"/>
    <w:rsid w:val="001B2FB3"/>
    <w:rsid w:val="001B5F65"/>
    <w:rsid w:val="001B6640"/>
    <w:rsid w:val="001B7FF7"/>
    <w:rsid w:val="001C0962"/>
    <w:rsid w:val="001C1941"/>
    <w:rsid w:val="001C1A81"/>
    <w:rsid w:val="001C38A5"/>
    <w:rsid w:val="001C597C"/>
    <w:rsid w:val="001C6464"/>
    <w:rsid w:val="001C746B"/>
    <w:rsid w:val="001D14B6"/>
    <w:rsid w:val="001D342B"/>
    <w:rsid w:val="001D6C1E"/>
    <w:rsid w:val="001D7531"/>
    <w:rsid w:val="001E0A1B"/>
    <w:rsid w:val="001E1402"/>
    <w:rsid w:val="001E2922"/>
    <w:rsid w:val="001E3680"/>
    <w:rsid w:val="001E6926"/>
    <w:rsid w:val="001E737D"/>
    <w:rsid w:val="001F0592"/>
    <w:rsid w:val="001F0C89"/>
    <w:rsid w:val="001F7506"/>
    <w:rsid w:val="002006CD"/>
    <w:rsid w:val="0020075A"/>
    <w:rsid w:val="00202B36"/>
    <w:rsid w:val="00202C44"/>
    <w:rsid w:val="00202F80"/>
    <w:rsid w:val="002030A5"/>
    <w:rsid w:val="00204B7A"/>
    <w:rsid w:val="00206616"/>
    <w:rsid w:val="0020689D"/>
    <w:rsid w:val="00206B0E"/>
    <w:rsid w:val="00207949"/>
    <w:rsid w:val="0021101A"/>
    <w:rsid w:val="0021190F"/>
    <w:rsid w:val="0021334C"/>
    <w:rsid w:val="00216B50"/>
    <w:rsid w:val="00220536"/>
    <w:rsid w:val="00220C02"/>
    <w:rsid w:val="00224F1D"/>
    <w:rsid w:val="00225CB7"/>
    <w:rsid w:val="0023060C"/>
    <w:rsid w:val="00234E40"/>
    <w:rsid w:val="00235629"/>
    <w:rsid w:val="00237409"/>
    <w:rsid w:val="00237AE4"/>
    <w:rsid w:val="00240C43"/>
    <w:rsid w:val="00240C5D"/>
    <w:rsid w:val="00243589"/>
    <w:rsid w:val="002527B1"/>
    <w:rsid w:val="0025301B"/>
    <w:rsid w:val="00253FF8"/>
    <w:rsid w:val="00260A32"/>
    <w:rsid w:val="00260C38"/>
    <w:rsid w:val="00260F84"/>
    <w:rsid w:val="002616C0"/>
    <w:rsid w:val="002620C0"/>
    <w:rsid w:val="002662AA"/>
    <w:rsid w:val="00267E1C"/>
    <w:rsid w:val="00272FB2"/>
    <w:rsid w:val="0027313F"/>
    <w:rsid w:val="00273F8B"/>
    <w:rsid w:val="002740FA"/>
    <w:rsid w:val="0027692F"/>
    <w:rsid w:val="0027703A"/>
    <w:rsid w:val="00277BF4"/>
    <w:rsid w:val="002803BD"/>
    <w:rsid w:val="00280496"/>
    <w:rsid w:val="00283D63"/>
    <w:rsid w:val="00283E91"/>
    <w:rsid w:val="002856F9"/>
    <w:rsid w:val="002866CA"/>
    <w:rsid w:val="00286C21"/>
    <w:rsid w:val="002875BF"/>
    <w:rsid w:val="0029076F"/>
    <w:rsid w:val="0029094E"/>
    <w:rsid w:val="00291DC2"/>
    <w:rsid w:val="00292626"/>
    <w:rsid w:val="00292E6B"/>
    <w:rsid w:val="00295495"/>
    <w:rsid w:val="002A0D55"/>
    <w:rsid w:val="002A0E88"/>
    <w:rsid w:val="002A1940"/>
    <w:rsid w:val="002A3F4C"/>
    <w:rsid w:val="002A70D7"/>
    <w:rsid w:val="002A77B7"/>
    <w:rsid w:val="002A7AE1"/>
    <w:rsid w:val="002B133E"/>
    <w:rsid w:val="002B1B6D"/>
    <w:rsid w:val="002B2613"/>
    <w:rsid w:val="002B2C2A"/>
    <w:rsid w:val="002B2F51"/>
    <w:rsid w:val="002B44FC"/>
    <w:rsid w:val="002B5438"/>
    <w:rsid w:val="002B544A"/>
    <w:rsid w:val="002B5F40"/>
    <w:rsid w:val="002B79B7"/>
    <w:rsid w:val="002C00BF"/>
    <w:rsid w:val="002C0137"/>
    <w:rsid w:val="002C1004"/>
    <w:rsid w:val="002C1E97"/>
    <w:rsid w:val="002C4022"/>
    <w:rsid w:val="002C5275"/>
    <w:rsid w:val="002C6074"/>
    <w:rsid w:val="002D1F9E"/>
    <w:rsid w:val="002D30E8"/>
    <w:rsid w:val="002E0F9C"/>
    <w:rsid w:val="002E1F75"/>
    <w:rsid w:val="002E202A"/>
    <w:rsid w:val="002E5C3A"/>
    <w:rsid w:val="002E64D0"/>
    <w:rsid w:val="002F1818"/>
    <w:rsid w:val="002F1A28"/>
    <w:rsid w:val="002F2C84"/>
    <w:rsid w:val="002F335F"/>
    <w:rsid w:val="002F567B"/>
    <w:rsid w:val="002F66D8"/>
    <w:rsid w:val="002F7353"/>
    <w:rsid w:val="0030080A"/>
    <w:rsid w:val="0030298F"/>
    <w:rsid w:val="00302AF1"/>
    <w:rsid w:val="00305126"/>
    <w:rsid w:val="0030593B"/>
    <w:rsid w:val="00310306"/>
    <w:rsid w:val="0031156F"/>
    <w:rsid w:val="00317FD1"/>
    <w:rsid w:val="00321358"/>
    <w:rsid w:val="003216A9"/>
    <w:rsid w:val="00322D89"/>
    <w:rsid w:val="00325332"/>
    <w:rsid w:val="00325856"/>
    <w:rsid w:val="00325985"/>
    <w:rsid w:val="003278AA"/>
    <w:rsid w:val="00332726"/>
    <w:rsid w:val="0033309F"/>
    <w:rsid w:val="00335ED6"/>
    <w:rsid w:val="00337694"/>
    <w:rsid w:val="003431B7"/>
    <w:rsid w:val="0034381A"/>
    <w:rsid w:val="003440C6"/>
    <w:rsid w:val="00350C26"/>
    <w:rsid w:val="003515CF"/>
    <w:rsid w:val="00353569"/>
    <w:rsid w:val="00354D51"/>
    <w:rsid w:val="0035612F"/>
    <w:rsid w:val="00356A32"/>
    <w:rsid w:val="0035779A"/>
    <w:rsid w:val="00360394"/>
    <w:rsid w:val="0036392A"/>
    <w:rsid w:val="003663FE"/>
    <w:rsid w:val="0036688B"/>
    <w:rsid w:val="00366A86"/>
    <w:rsid w:val="00367683"/>
    <w:rsid w:val="00367B91"/>
    <w:rsid w:val="0037013F"/>
    <w:rsid w:val="00373FCE"/>
    <w:rsid w:val="00377A4C"/>
    <w:rsid w:val="003802FF"/>
    <w:rsid w:val="00380C92"/>
    <w:rsid w:val="00383877"/>
    <w:rsid w:val="00385025"/>
    <w:rsid w:val="00386455"/>
    <w:rsid w:val="00390D36"/>
    <w:rsid w:val="00390F3B"/>
    <w:rsid w:val="0039111A"/>
    <w:rsid w:val="003936B4"/>
    <w:rsid w:val="00393AFD"/>
    <w:rsid w:val="003A079E"/>
    <w:rsid w:val="003A10FA"/>
    <w:rsid w:val="003A163E"/>
    <w:rsid w:val="003A32EC"/>
    <w:rsid w:val="003A36AE"/>
    <w:rsid w:val="003A3ACA"/>
    <w:rsid w:val="003A4404"/>
    <w:rsid w:val="003A484F"/>
    <w:rsid w:val="003A4F96"/>
    <w:rsid w:val="003A5540"/>
    <w:rsid w:val="003B0BE0"/>
    <w:rsid w:val="003B0C1A"/>
    <w:rsid w:val="003B0C1B"/>
    <w:rsid w:val="003B5601"/>
    <w:rsid w:val="003B688C"/>
    <w:rsid w:val="003C0291"/>
    <w:rsid w:val="003C2ECB"/>
    <w:rsid w:val="003C350E"/>
    <w:rsid w:val="003C39AE"/>
    <w:rsid w:val="003C6D0D"/>
    <w:rsid w:val="003C76CC"/>
    <w:rsid w:val="003C7B60"/>
    <w:rsid w:val="003D0821"/>
    <w:rsid w:val="003D1FB2"/>
    <w:rsid w:val="003D2303"/>
    <w:rsid w:val="003D3CC9"/>
    <w:rsid w:val="003D4221"/>
    <w:rsid w:val="003D644D"/>
    <w:rsid w:val="003D66DA"/>
    <w:rsid w:val="003E10D3"/>
    <w:rsid w:val="003E1310"/>
    <w:rsid w:val="003E2E1C"/>
    <w:rsid w:val="003E5BD3"/>
    <w:rsid w:val="003E6348"/>
    <w:rsid w:val="003E6F55"/>
    <w:rsid w:val="003F133D"/>
    <w:rsid w:val="003F2794"/>
    <w:rsid w:val="003F339D"/>
    <w:rsid w:val="003F363F"/>
    <w:rsid w:val="003F3A2A"/>
    <w:rsid w:val="003F3DED"/>
    <w:rsid w:val="003F3E94"/>
    <w:rsid w:val="003F44B8"/>
    <w:rsid w:val="003F7CD6"/>
    <w:rsid w:val="00400549"/>
    <w:rsid w:val="00401C71"/>
    <w:rsid w:val="004026F9"/>
    <w:rsid w:val="00402FCE"/>
    <w:rsid w:val="00405639"/>
    <w:rsid w:val="00406254"/>
    <w:rsid w:val="004071E0"/>
    <w:rsid w:val="00407AD0"/>
    <w:rsid w:val="00410C16"/>
    <w:rsid w:val="00422023"/>
    <w:rsid w:val="004223DE"/>
    <w:rsid w:val="004234B2"/>
    <w:rsid w:val="00426FA8"/>
    <w:rsid w:val="00427162"/>
    <w:rsid w:val="0043341C"/>
    <w:rsid w:val="004343F3"/>
    <w:rsid w:val="00434489"/>
    <w:rsid w:val="0043475E"/>
    <w:rsid w:val="0043497B"/>
    <w:rsid w:val="00435137"/>
    <w:rsid w:val="00436E88"/>
    <w:rsid w:val="00437085"/>
    <w:rsid w:val="004370D1"/>
    <w:rsid w:val="00440872"/>
    <w:rsid w:val="00440A29"/>
    <w:rsid w:val="00441C18"/>
    <w:rsid w:val="004422EF"/>
    <w:rsid w:val="00443880"/>
    <w:rsid w:val="00444CE1"/>
    <w:rsid w:val="0044578E"/>
    <w:rsid w:val="0044581C"/>
    <w:rsid w:val="004464F4"/>
    <w:rsid w:val="00446FA9"/>
    <w:rsid w:val="00447035"/>
    <w:rsid w:val="00450BFF"/>
    <w:rsid w:val="00454FA9"/>
    <w:rsid w:val="004571F2"/>
    <w:rsid w:val="0045723A"/>
    <w:rsid w:val="00460A67"/>
    <w:rsid w:val="00461A98"/>
    <w:rsid w:val="00462B33"/>
    <w:rsid w:val="0046346E"/>
    <w:rsid w:val="004700E2"/>
    <w:rsid w:val="004708B9"/>
    <w:rsid w:val="00471401"/>
    <w:rsid w:val="00471CBB"/>
    <w:rsid w:val="00473F31"/>
    <w:rsid w:val="00474218"/>
    <w:rsid w:val="004750E8"/>
    <w:rsid w:val="00476F1B"/>
    <w:rsid w:val="0047729B"/>
    <w:rsid w:val="0048263A"/>
    <w:rsid w:val="0048368B"/>
    <w:rsid w:val="0048372E"/>
    <w:rsid w:val="00483F46"/>
    <w:rsid w:val="00484CD3"/>
    <w:rsid w:val="004857E4"/>
    <w:rsid w:val="00486073"/>
    <w:rsid w:val="0048694C"/>
    <w:rsid w:val="00486E3E"/>
    <w:rsid w:val="00487E5D"/>
    <w:rsid w:val="00491181"/>
    <w:rsid w:val="00492070"/>
    <w:rsid w:val="004941B6"/>
    <w:rsid w:val="00497E59"/>
    <w:rsid w:val="004A2A48"/>
    <w:rsid w:val="004A4A66"/>
    <w:rsid w:val="004A4B01"/>
    <w:rsid w:val="004A5576"/>
    <w:rsid w:val="004A6B85"/>
    <w:rsid w:val="004A711F"/>
    <w:rsid w:val="004A7B2B"/>
    <w:rsid w:val="004B01AE"/>
    <w:rsid w:val="004B199D"/>
    <w:rsid w:val="004B2279"/>
    <w:rsid w:val="004B25B9"/>
    <w:rsid w:val="004B3F00"/>
    <w:rsid w:val="004B4690"/>
    <w:rsid w:val="004B7108"/>
    <w:rsid w:val="004B778F"/>
    <w:rsid w:val="004B785F"/>
    <w:rsid w:val="004C01B1"/>
    <w:rsid w:val="004C062D"/>
    <w:rsid w:val="004C4638"/>
    <w:rsid w:val="004C5745"/>
    <w:rsid w:val="004C5DBD"/>
    <w:rsid w:val="004C62FA"/>
    <w:rsid w:val="004C6FB9"/>
    <w:rsid w:val="004D1DC6"/>
    <w:rsid w:val="004D31FB"/>
    <w:rsid w:val="004D4BB1"/>
    <w:rsid w:val="004D4D6E"/>
    <w:rsid w:val="004D4DA3"/>
    <w:rsid w:val="004D798C"/>
    <w:rsid w:val="004D7AEF"/>
    <w:rsid w:val="004E028C"/>
    <w:rsid w:val="004E0815"/>
    <w:rsid w:val="004E0A2D"/>
    <w:rsid w:val="004E206B"/>
    <w:rsid w:val="004E3DEC"/>
    <w:rsid w:val="004E67E0"/>
    <w:rsid w:val="004E6DF7"/>
    <w:rsid w:val="004F0FBD"/>
    <w:rsid w:val="00501436"/>
    <w:rsid w:val="00501B3E"/>
    <w:rsid w:val="00502053"/>
    <w:rsid w:val="005020BB"/>
    <w:rsid w:val="00505843"/>
    <w:rsid w:val="00505A47"/>
    <w:rsid w:val="0050679E"/>
    <w:rsid w:val="0051166F"/>
    <w:rsid w:val="0051173A"/>
    <w:rsid w:val="00512FDA"/>
    <w:rsid w:val="00513ED7"/>
    <w:rsid w:val="0051467D"/>
    <w:rsid w:val="00520DA0"/>
    <w:rsid w:val="005225FC"/>
    <w:rsid w:val="00524AC4"/>
    <w:rsid w:val="0052729E"/>
    <w:rsid w:val="0052733D"/>
    <w:rsid w:val="00530E19"/>
    <w:rsid w:val="00530F71"/>
    <w:rsid w:val="005322EB"/>
    <w:rsid w:val="0053459C"/>
    <w:rsid w:val="00550726"/>
    <w:rsid w:val="00550F95"/>
    <w:rsid w:val="0055106D"/>
    <w:rsid w:val="005559A4"/>
    <w:rsid w:val="0056304B"/>
    <w:rsid w:val="005651E3"/>
    <w:rsid w:val="00565D17"/>
    <w:rsid w:val="005664BB"/>
    <w:rsid w:val="00566C08"/>
    <w:rsid w:val="0056722F"/>
    <w:rsid w:val="00567B67"/>
    <w:rsid w:val="00570C62"/>
    <w:rsid w:val="00572EB1"/>
    <w:rsid w:val="00572EC9"/>
    <w:rsid w:val="00573576"/>
    <w:rsid w:val="0057481D"/>
    <w:rsid w:val="0057798B"/>
    <w:rsid w:val="00577A75"/>
    <w:rsid w:val="00577DF2"/>
    <w:rsid w:val="00580D35"/>
    <w:rsid w:val="0058486E"/>
    <w:rsid w:val="00584F2B"/>
    <w:rsid w:val="005935E9"/>
    <w:rsid w:val="005939BC"/>
    <w:rsid w:val="00593D4E"/>
    <w:rsid w:val="005975DB"/>
    <w:rsid w:val="00597919"/>
    <w:rsid w:val="005A0204"/>
    <w:rsid w:val="005A0CF8"/>
    <w:rsid w:val="005A324B"/>
    <w:rsid w:val="005B186A"/>
    <w:rsid w:val="005B553C"/>
    <w:rsid w:val="005B57DB"/>
    <w:rsid w:val="005B58F9"/>
    <w:rsid w:val="005B5ACB"/>
    <w:rsid w:val="005B76E6"/>
    <w:rsid w:val="005C0AF7"/>
    <w:rsid w:val="005C0B82"/>
    <w:rsid w:val="005C0D5C"/>
    <w:rsid w:val="005C4A4C"/>
    <w:rsid w:val="005C52C6"/>
    <w:rsid w:val="005C7204"/>
    <w:rsid w:val="005D1C8B"/>
    <w:rsid w:val="005D5CED"/>
    <w:rsid w:val="005D6054"/>
    <w:rsid w:val="005E1522"/>
    <w:rsid w:val="005E3365"/>
    <w:rsid w:val="005E5517"/>
    <w:rsid w:val="005F0705"/>
    <w:rsid w:val="005F0C83"/>
    <w:rsid w:val="005F1A4C"/>
    <w:rsid w:val="005F1F76"/>
    <w:rsid w:val="005F2C70"/>
    <w:rsid w:val="005F32B6"/>
    <w:rsid w:val="005F4162"/>
    <w:rsid w:val="005F44C7"/>
    <w:rsid w:val="005F632F"/>
    <w:rsid w:val="00600946"/>
    <w:rsid w:val="006044AC"/>
    <w:rsid w:val="00604551"/>
    <w:rsid w:val="00605688"/>
    <w:rsid w:val="006070AF"/>
    <w:rsid w:val="00607816"/>
    <w:rsid w:val="00607E6C"/>
    <w:rsid w:val="006101B1"/>
    <w:rsid w:val="00611AD3"/>
    <w:rsid w:val="00612209"/>
    <w:rsid w:val="00614423"/>
    <w:rsid w:val="00614E44"/>
    <w:rsid w:val="006155B0"/>
    <w:rsid w:val="006205F4"/>
    <w:rsid w:val="00620717"/>
    <w:rsid w:val="00622830"/>
    <w:rsid w:val="006256DB"/>
    <w:rsid w:val="00630AEF"/>
    <w:rsid w:val="00630BB3"/>
    <w:rsid w:val="006325F8"/>
    <w:rsid w:val="00633AE4"/>
    <w:rsid w:val="006348B1"/>
    <w:rsid w:val="00634C9A"/>
    <w:rsid w:val="00635FC7"/>
    <w:rsid w:val="00636040"/>
    <w:rsid w:val="00642529"/>
    <w:rsid w:val="0064301E"/>
    <w:rsid w:val="00643322"/>
    <w:rsid w:val="00643C0A"/>
    <w:rsid w:val="006440E4"/>
    <w:rsid w:val="00645301"/>
    <w:rsid w:val="00645F78"/>
    <w:rsid w:val="0064753B"/>
    <w:rsid w:val="00650D36"/>
    <w:rsid w:val="00650F17"/>
    <w:rsid w:val="006511E7"/>
    <w:rsid w:val="0065182B"/>
    <w:rsid w:val="00660339"/>
    <w:rsid w:val="00660F57"/>
    <w:rsid w:val="00661830"/>
    <w:rsid w:val="0066343B"/>
    <w:rsid w:val="00663BDD"/>
    <w:rsid w:val="00664777"/>
    <w:rsid w:val="00664ED7"/>
    <w:rsid w:val="0066615D"/>
    <w:rsid w:val="00666366"/>
    <w:rsid w:val="0066748A"/>
    <w:rsid w:val="0067155A"/>
    <w:rsid w:val="00671D25"/>
    <w:rsid w:val="00672345"/>
    <w:rsid w:val="00673381"/>
    <w:rsid w:val="006740AB"/>
    <w:rsid w:val="00674446"/>
    <w:rsid w:val="006748A4"/>
    <w:rsid w:val="006757D8"/>
    <w:rsid w:val="00680EF7"/>
    <w:rsid w:val="00683E73"/>
    <w:rsid w:val="0068590F"/>
    <w:rsid w:val="00686CF0"/>
    <w:rsid w:val="00687CAC"/>
    <w:rsid w:val="00691D82"/>
    <w:rsid w:val="006931FE"/>
    <w:rsid w:val="006947FC"/>
    <w:rsid w:val="006950FD"/>
    <w:rsid w:val="00695AD3"/>
    <w:rsid w:val="00696ACE"/>
    <w:rsid w:val="006A01D3"/>
    <w:rsid w:val="006A04FE"/>
    <w:rsid w:val="006A0C2C"/>
    <w:rsid w:val="006A0C51"/>
    <w:rsid w:val="006A1E7E"/>
    <w:rsid w:val="006A2BCD"/>
    <w:rsid w:val="006A3141"/>
    <w:rsid w:val="006A5E34"/>
    <w:rsid w:val="006A75B7"/>
    <w:rsid w:val="006B0ABA"/>
    <w:rsid w:val="006B2422"/>
    <w:rsid w:val="006B2B9A"/>
    <w:rsid w:val="006B2E2F"/>
    <w:rsid w:val="006B471C"/>
    <w:rsid w:val="006B4C59"/>
    <w:rsid w:val="006B533E"/>
    <w:rsid w:val="006C04D7"/>
    <w:rsid w:val="006C1937"/>
    <w:rsid w:val="006C397F"/>
    <w:rsid w:val="006C6427"/>
    <w:rsid w:val="006C76DB"/>
    <w:rsid w:val="006D1F0B"/>
    <w:rsid w:val="006D42C6"/>
    <w:rsid w:val="006E0081"/>
    <w:rsid w:val="006E0706"/>
    <w:rsid w:val="006E3700"/>
    <w:rsid w:val="006E6C66"/>
    <w:rsid w:val="006F020C"/>
    <w:rsid w:val="006F3DF7"/>
    <w:rsid w:val="006F7849"/>
    <w:rsid w:val="006F7CBD"/>
    <w:rsid w:val="0070094B"/>
    <w:rsid w:val="007040F2"/>
    <w:rsid w:val="00705B7C"/>
    <w:rsid w:val="00705E24"/>
    <w:rsid w:val="00707EEC"/>
    <w:rsid w:val="007115FE"/>
    <w:rsid w:val="007127B7"/>
    <w:rsid w:val="00713977"/>
    <w:rsid w:val="00714DBE"/>
    <w:rsid w:val="007220F2"/>
    <w:rsid w:val="007231D9"/>
    <w:rsid w:val="007244D2"/>
    <w:rsid w:val="00725B08"/>
    <w:rsid w:val="007355BA"/>
    <w:rsid w:val="0074019B"/>
    <w:rsid w:val="007403C2"/>
    <w:rsid w:val="007410FA"/>
    <w:rsid w:val="007416B6"/>
    <w:rsid w:val="007426C0"/>
    <w:rsid w:val="00746F48"/>
    <w:rsid w:val="0074730D"/>
    <w:rsid w:val="0075129E"/>
    <w:rsid w:val="00751951"/>
    <w:rsid w:val="00751EE9"/>
    <w:rsid w:val="007522D6"/>
    <w:rsid w:val="007525C3"/>
    <w:rsid w:val="007537B3"/>
    <w:rsid w:val="00753DC2"/>
    <w:rsid w:val="0075404D"/>
    <w:rsid w:val="0075503D"/>
    <w:rsid w:val="0076078E"/>
    <w:rsid w:val="00760D5E"/>
    <w:rsid w:val="0076182A"/>
    <w:rsid w:val="00763BC1"/>
    <w:rsid w:val="0076499D"/>
    <w:rsid w:val="007656DB"/>
    <w:rsid w:val="007676D8"/>
    <w:rsid w:val="00767A7D"/>
    <w:rsid w:val="00767B7E"/>
    <w:rsid w:val="00767BE6"/>
    <w:rsid w:val="00775A39"/>
    <w:rsid w:val="00776900"/>
    <w:rsid w:val="007770C3"/>
    <w:rsid w:val="00780AAA"/>
    <w:rsid w:val="00781060"/>
    <w:rsid w:val="0078143E"/>
    <w:rsid w:val="0078201F"/>
    <w:rsid w:val="007820E1"/>
    <w:rsid w:val="00784D24"/>
    <w:rsid w:val="00784D4C"/>
    <w:rsid w:val="00784E42"/>
    <w:rsid w:val="00785FBA"/>
    <w:rsid w:val="00786E4A"/>
    <w:rsid w:val="007875EB"/>
    <w:rsid w:val="00787E51"/>
    <w:rsid w:val="00792C26"/>
    <w:rsid w:val="0079426B"/>
    <w:rsid w:val="00794D8C"/>
    <w:rsid w:val="00794F74"/>
    <w:rsid w:val="0079655C"/>
    <w:rsid w:val="007A0619"/>
    <w:rsid w:val="007A762F"/>
    <w:rsid w:val="007B0CA2"/>
    <w:rsid w:val="007B5C15"/>
    <w:rsid w:val="007B6032"/>
    <w:rsid w:val="007B6B9B"/>
    <w:rsid w:val="007C014E"/>
    <w:rsid w:val="007C0C20"/>
    <w:rsid w:val="007C0E0A"/>
    <w:rsid w:val="007C2008"/>
    <w:rsid w:val="007C26C9"/>
    <w:rsid w:val="007C57E7"/>
    <w:rsid w:val="007C6362"/>
    <w:rsid w:val="007C70B5"/>
    <w:rsid w:val="007C72D0"/>
    <w:rsid w:val="007D028D"/>
    <w:rsid w:val="007D0AE2"/>
    <w:rsid w:val="007D0C80"/>
    <w:rsid w:val="007D312A"/>
    <w:rsid w:val="007D3F19"/>
    <w:rsid w:val="007D40BF"/>
    <w:rsid w:val="007D598F"/>
    <w:rsid w:val="007D7F29"/>
    <w:rsid w:val="007E0391"/>
    <w:rsid w:val="007E2118"/>
    <w:rsid w:val="007E23B0"/>
    <w:rsid w:val="007E30F0"/>
    <w:rsid w:val="007E4E9E"/>
    <w:rsid w:val="007E4F63"/>
    <w:rsid w:val="007E5C1C"/>
    <w:rsid w:val="007E6821"/>
    <w:rsid w:val="007E6A33"/>
    <w:rsid w:val="007E6D1B"/>
    <w:rsid w:val="007F0CD6"/>
    <w:rsid w:val="007F0EAA"/>
    <w:rsid w:val="007F1991"/>
    <w:rsid w:val="007F1E4C"/>
    <w:rsid w:val="007F2C2F"/>
    <w:rsid w:val="007F2D6D"/>
    <w:rsid w:val="007F55FC"/>
    <w:rsid w:val="007F5665"/>
    <w:rsid w:val="007F57B1"/>
    <w:rsid w:val="007F5B1E"/>
    <w:rsid w:val="007F703A"/>
    <w:rsid w:val="007F772D"/>
    <w:rsid w:val="007F78DE"/>
    <w:rsid w:val="00800112"/>
    <w:rsid w:val="0080112E"/>
    <w:rsid w:val="008014B3"/>
    <w:rsid w:val="008031B0"/>
    <w:rsid w:val="008068DA"/>
    <w:rsid w:val="00806B6F"/>
    <w:rsid w:val="00807797"/>
    <w:rsid w:val="0081195D"/>
    <w:rsid w:val="00811C29"/>
    <w:rsid w:val="00812255"/>
    <w:rsid w:val="00813AEF"/>
    <w:rsid w:val="00815AF8"/>
    <w:rsid w:val="008169F8"/>
    <w:rsid w:val="00820AF4"/>
    <w:rsid w:val="008212F9"/>
    <w:rsid w:val="008244FA"/>
    <w:rsid w:val="008248EC"/>
    <w:rsid w:val="00824C90"/>
    <w:rsid w:val="00824CEE"/>
    <w:rsid w:val="008253BB"/>
    <w:rsid w:val="008273C2"/>
    <w:rsid w:val="00830A33"/>
    <w:rsid w:val="00830F24"/>
    <w:rsid w:val="0083234B"/>
    <w:rsid w:val="00833D7A"/>
    <w:rsid w:val="008347A0"/>
    <w:rsid w:val="00835B31"/>
    <w:rsid w:val="00836025"/>
    <w:rsid w:val="0083706E"/>
    <w:rsid w:val="00840550"/>
    <w:rsid w:val="008423A5"/>
    <w:rsid w:val="00843431"/>
    <w:rsid w:val="00845501"/>
    <w:rsid w:val="008503A5"/>
    <w:rsid w:val="00850625"/>
    <w:rsid w:val="008511F3"/>
    <w:rsid w:val="00851894"/>
    <w:rsid w:val="0085265B"/>
    <w:rsid w:val="00852C5C"/>
    <w:rsid w:val="00853718"/>
    <w:rsid w:val="00855221"/>
    <w:rsid w:val="00855AF5"/>
    <w:rsid w:val="00855E16"/>
    <w:rsid w:val="00857B79"/>
    <w:rsid w:val="00860645"/>
    <w:rsid w:val="00860C44"/>
    <w:rsid w:val="0086131A"/>
    <w:rsid w:val="00862A9D"/>
    <w:rsid w:val="00863483"/>
    <w:rsid w:val="00863CF0"/>
    <w:rsid w:val="00863D72"/>
    <w:rsid w:val="00865F20"/>
    <w:rsid w:val="00867695"/>
    <w:rsid w:val="00870000"/>
    <w:rsid w:val="00870C33"/>
    <w:rsid w:val="00871F71"/>
    <w:rsid w:val="008722FB"/>
    <w:rsid w:val="00872F95"/>
    <w:rsid w:val="00873D8F"/>
    <w:rsid w:val="0087464B"/>
    <w:rsid w:val="00875814"/>
    <w:rsid w:val="00877427"/>
    <w:rsid w:val="0088122F"/>
    <w:rsid w:val="00885AF4"/>
    <w:rsid w:val="00886435"/>
    <w:rsid w:val="008875FA"/>
    <w:rsid w:val="00887A58"/>
    <w:rsid w:val="008918AA"/>
    <w:rsid w:val="008918C9"/>
    <w:rsid w:val="008920D1"/>
    <w:rsid w:val="008939CD"/>
    <w:rsid w:val="00893E7C"/>
    <w:rsid w:val="00895862"/>
    <w:rsid w:val="00896814"/>
    <w:rsid w:val="00897199"/>
    <w:rsid w:val="008A04BB"/>
    <w:rsid w:val="008A6293"/>
    <w:rsid w:val="008A6BC0"/>
    <w:rsid w:val="008A7CE3"/>
    <w:rsid w:val="008B045D"/>
    <w:rsid w:val="008B2B26"/>
    <w:rsid w:val="008B5614"/>
    <w:rsid w:val="008B6287"/>
    <w:rsid w:val="008B69A5"/>
    <w:rsid w:val="008B768C"/>
    <w:rsid w:val="008B7992"/>
    <w:rsid w:val="008C1D33"/>
    <w:rsid w:val="008C33D9"/>
    <w:rsid w:val="008C4DB1"/>
    <w:rsid w:val="008C4EAF"/>
    <w:rsid w:val="008C5176"/>
    <w:rsid w:val="008C7FD0"/>
    <w:rsid w:val="008D06D5"/>
    <w:rsid w:val="008D08E5"/>
    <w:rsid w:val="008D2C92"/>
    <w:rsid w:val="008D2DE2"/>
    <w:rsid w:val="008D55A6"/>
    <w:rsid w:val="008E0EF3"/>
    <w:rsid w:val="008E1DC6"/>
    <w:rsid w:val="008E1DE7"/>
    <w:rsid w:val="008E2847"/>
    <w:rsid w:val="008E380B"/>
    <w:rsid w:val="008E707C"/>
    <w:rsid w:val="008E7651"/>
    <w:rsid w:val="008F24AB"/>
    <w:rsid w:val="00900B08"/>
    <w:rsid w:val="00901E1C"/>
    <w:rsid w:val="00902155"/>
    <w:rsid w:val="00902BCF"/>
    <w:rsid w:val="00902FA3"/>
    <w:rsid w:val="009109D0"/>
    <w:rsid w:val="00910FAA"/>
    <w:rsid w:val="00912DEB"/>
    <w:rsid w:val="00913706"/>
    <w:rsid w:val="00913A29"/>
    <w:rsid w:val="00915BE4"/>
    <w:rsid w:val="009205F5"/>
    <w:rsid w:val="009215C3"/>
    <w:rsid w:val="00923564"/>
    <w:rsid w:val="0092392E"/>
    <w:rsid w:val="00923F58"/>
    <w:rsid w:val="00924FB0"/>
    <w:rsid w:val="00930109"/>
    <w:rsid w:val="00930E8F"/>
    <w:rsid w:val="009315F9"/>
    <w:rsid w:val="009337F3"/>
    <w:rsid w:val="009339C3"/>
    <w:rsid w:val="00934AB8"/>
    <w:rsid w:val="00935D57"/>
    <w:rsid w:val="00936283"/>
    <w:rsid w:val="00940B88"/>
    <w:rsid w:val="00940F73"/>
    <w:rsid w:val="0094526A"/>
    <w:rsid w:val="00945399"/>
    <w:rsid w:val="00945492"/>
    <w:rsid w:val="00945EEC"/>
    <w:rsid w:val="009461EE"/>
    <w:rsid w:val="00946945"/>
    <w:rsid w:val="00947929"/>
    <w:rsid w:val="00947BF1"/>
    <w:rsid w:val="009500E2"/>
    <w:rsid w:val="00951248"/>
    <w:rsid w:val="0095152F"/>
    <w:rsid w:val="009534A8"/>
    <w:rsid w:val="009540C0"/>
    <w:rsid w:val="00954C49"/>
    <w:rsid w:val="00955EAD"/>
    <w:rsid w:val="0095708C"/>
    <w:rsid w:val="00957098"/>
    <w:rsid w:val="00960F20"/>
    <w:rsid w:val="009620B2"/>
    <w:rsid w:val="00962131"/>
    <w:rsid w:val="00962556"/>
    <w:rsid w:val="00964305"/>
    <w:rsid w:val="0096477D"/>
    <w:rsid w:val="00964EBA"/>
    <w:rsid w:val="0097099F"/>
    <w:rsid w:val="009710DA"/>
    <w:rsid w:val="00971997"/>
    <w:rsid w:val="00971FFC"/>
    <w:rsid w:val="00972A49"/>
    <w:rsid w:val="00973726"/>
    <w:rsid w:val="00974188"/>
    <w:rsid w:val="0098033F"/>
    <w:rsid w:val="00985645"/>
    <w:rsid w:val="0098595E"/>
    <w:rsid w:val="00985C49"/>
    <w:rsid w:val="0098660A"/>
    <w:rsid w:val="009869AA"/>
    <w:rsid w:val="009931C3"/>
    <w:rsid w:val="00995CE3"/>
    <w:rsid w:val="009B2C43"/>
    <w:rsid w:val="009B4EAE"/>
    <w:rsid w:val="009B6C92"/>
    <w:rsid w:val="009B7573"/>
    <w:rsid w:val="009C0EF0"/>
    <w:rsid w:val="009C1B2D"/>
    <w:rsid w:val="009C22F4"/>
    <w:rsid w:val="009C2AE3"/>
    <w:rsid w:val="009C2E98"/>
    <w:rsid w:val="009C5896"/>
    <w:rsid w:val="009C6399"/>
    <w:rsid w:val="009D3447"/>
    <w:rsid w:val="009D3AA6"/>
    <w:rsid w:val="009D4711"/>
    <w:rsid w:val="009D5EF4"/>
    <w:rsid w:val="009E0018"/>
    <w:rsid w:val="009E2320"/>
    <w:rsid w:val="009E2C7B"/>
    <w:rsid w:val="009E576A"/>
    <w:rsid w:val="009E7FBF"/>
    <w:rsid w:val="009F1185"/>
    <w:rsid w:val="009F178D"/>
    <w:rsid w:val="009F18CD"/>
    <w:rsid w:val="009F2021"/>
    <w:rsid w:val="009F2A13"/>
    <w:rsid w:val="009F4A42"/>
    <w:rsid w:val="009F4D78"/>
    <w:rsid w:val="009F6A87"/>
    <w:rsid w:val="009F6B63"/>
    <w:rsid w:val="009F6F4A"/>
    <w:rsid w:val="00A02DD4"/>
    <w:rsid w:val="00A04EB0"/>
    <w:rsid w:val="00A05E7E"/>
    <w:rsid w:val="00A06741"/>
    <w:rsid w:val="00A06EF8"/>
    <w:rsid w:val="00A07DE7"/>
    <w:rsid w:val="00A07E24"/>
    <w:rsid w:val="00A1247B"/>
    <w:rsid w:val="00A13443"/>
    <w:rsid w:val="00A13CC1"/>
    <w:rsid w:val="00A15286"/>
    <w:rsid w:val="00A1571F"/>
    <w:rsid w:val="00A1637E"/>
    <w:rsid w:val="00A16684"/>
    <w:rsid w:val="00A16847"/>
    <w:rsid w:val="00A1745F"/>
    <w:rsid w:val="00A2301F"/>
    <w:rsid w:val="00A237D8"/>
    <w:rsid w:val="00A25634"/>
    <w:rsid w:val="00A268C4"/>
    <w:rsid w:val="00A27771"/>
    <w:rsid w:val="00A300FE"/>
    <w:rsid w:val="00A307CD"/>
    <w:rsid w:val="00A3233A"/>
    <w:rsid w:val="00A35068"/>
    <w:rsid w:val="00A3556D"/>
    <w:rsid w:val="00A35870"/>
    <w:rsid w:val="00A35FE0"/>
    <w:rsid w:val="00A40A00"/>
    <w:rsid w:val="00A4142F"/>
    <w:rsid w:val="00A41D4A"/>
    <w:rsid w:val="00A43522"/>
    <w:rsid w:val="00A4622C"/>
    <w:rsid w:val="00A462AA"/>
    <w:rsid w:val="00A46A63"/>
    <w:rsid w:val="00A47A0F"/>
    <w:rsid w:val="00A50F96"/>
    <w:rsid w:val="00A514F8"/>
    <w:rsid w:val="00A52260"/>
    <w:rsid w:val="00A53D20"/>
    <w:rsid w:val="00A54687"/>
    <w:rsid w:val="00A54CE0"/>
    <w:rsid w:val="00A55073"/>
    <w:rsid w:val="00A55447"/>
    <w:rsid w:val="00A55ED8"/>
    <w:rsid w:val="00A56DF2"/>
    <w:rsid w:val="00A56E1B"/>
    <w:rsid w:val="00A57F63"/>
    <w:rsid w:val="00A61738"/>
    <w:rsid w:val="00A62ECF"/>
    <w:rsid w:val="00A63814"/>
    <w:rsid w:val="00A64138"/>
    <w:rsid w:val="00A64421"/>
    <w:rsid w:val="00A659FC"/>
    <w:rsid w:val="00A65DE6"/>
    <w:rsid w:val="00A66D73"/>
    <w:rsid w:val="00A67AB5"/>
    <w:rsid w:val="00A70317"/>
    <w:rsid w:val="00A72FA8"/>
    <w:rsid w:val="00A76B3A"/>
    <w:rsid w:val="00A77CB7"/>
    <w:rsid w:val="00A804D8"/>
    <w:rsid w:val="00A85003"/>
    <w:rsid w:val="00A85A0C"/>
    <w:rsid w:val="00A91460"/>
    <w:rsid w:val="00A91760"/>
    <w:rsid w:val="00A93902"/>
    <w:rsid w:val="00A93B00"/>
    <w:rsid w:val="00A93C21"/>
    <w:rsid w:val="00A94004"/>
    <w:rsid w:val="00A95D33"/>
    <w:rsid w:val="00A96D42"/>
    <w:rsid w:val="00AA1212"/>
    <w:rsid w:val="00AA14EC"/>
    <w:rsid w:val="00AA2E83"/>
    <w:rsid w:val="00AA6693"/>
    <w:rsid w:val="00AA6D23"/>
    <w:rsid w:val="00AA7B07"/>
    <w:rsid w:val="00AB1A65"/>
    <w:rsid w:val="00AB26EC"/>
    <w:rsid w:val="00AB2A36"/>
    <w:rsid w:val="00AB5E60"/>
    <w:rsid w:val="00AB5E86"/>
    <w:rsid w:val="00AB6DD7"/>
    <w:rsid w:val="00AC20D9"/>
    <w:rsid w:val="00AC3237"/>
    <w:rsid w:val="00AC3A9E"/>
    <w:rsid w:val="00AC3C6A"/>
    <w:rsid w:val="00AC40DA"/>
    <w:rsid w:val="00AC6A20"/>
    <w:rsid w:val="00AD013F"/>
    <w:rsid w:val="00AD1561"/>
    <w:rsid w:val="00AD1E04"/>
    <w:rsid w:val="00AD4E89"/>
    <w:rsid w:val="00AD5090"/>
    <w:rsid w:val="00AD55F4"/>
    <w:rsid w:val="00AD5620"/>
    <w:rsid w:val="00AD654C"/>
    <w:rsid w:val="00AD712A"/>
    <w:rsid w:val="00AD7C1B"/>
    <w:rsid w:val="00AE16BA"/>
    <w:rsid w:val="00AE1B18"/>
    <w:rsid w:val="00AE1EBE"/>
    <w:rsid w:val="00AE3F47"/>
    <w:rsid w:val="00AE5217"/>
    <w:rsid w:val="00AE57E5"/>
    <w:rsid w:val="00AE5ACD"/>
    <w:rsid w:val="00AE7003"/>
    <w:rsid w:val="00AE78D4"/>
    <w:rsid w:val="00AF334F"/>
    <w:rsid w:val="00AF567D"/>
    <w:rsid w:val="00B03C9D"/>
    <w:rsid w:val="00B03D45"/>
    <w:rsid w:val="00B03DEF"/>
    <w:rsid w:val="00B04041"/>
    <w:rsid w:val="00B046DB"/>
    <w:rsid w:val="00B059FA"/>
    <w:rsid w:val="00B060AE"/>
    <w:rsid w:val="00B06286"/>
    <w:rsid w:val="00B06EEB"/>
    <w:rsid w:val="00B07376"/>
    <w:rsid w:val="00B10406"/>
    <w:rsid w:val="00B10517"/>
    <w:rsid w:val="00B1323D"/>
    <w:rsid w:val="00B1364D"/>
    <w:rsid w:val="00B13D51"/>
    <w:rsid w:val="00B13F34"/>
    <w:rsid w:val="00B14E76"/>
    <w:rsid w:val="00B15718"/>
    <w:rsid w:val="00B15757"/>
    <w:rsid w:val="00B161B8"/>
    <w:rsid w:val="00B2048C"/>
    <w:rsid w:val="00B22224"/>
    <w:rsid w:val="00B22E19"/>
    <w:rsid w:val="00B268D9"/>
    <w:rsid w:val="00B30B06"/>
    <w:rsid w:val="00B310B9"/>
    <w:rsid w:val="00B3183E"/>
    <w:rsid w:val="00B330FA"/>
    <w:rsid w:val="00B35211"/>
    <w:rsid w:val="00B35F3F"/>
    <w:rsid w:val="00B36CBB"/>
    <w:rsid w:val="00B370EB"/>
    <w:rsid w:val="00B40532"/>
    <w:rsid w:val="00B425E0"/>
    <w:rsid w:val="00B440AA"/>
    <w:rsid w:val="00B44B70"/>
    <w:rsid w:val="00B47B8F"/>
    <w:rsid w:val="00B50563"/>
    <w:rsid w:val="00B507B7"/>
    <w:rsid w:val="00B51BBE"/>
    <w:rsid w:val="00B53703"/>
    <w:rsid w:val="00B53C56"/>
    <w:rsid w:val="00B53E4F"/>
    <w:rsid w:val="00B54341"/>
    <w:rsid w:val="00B545A6"/>
    <w:rsid w:val="00B5556B"/>
    <w:rsid w:val="00B60A7E"/>
    <w:rsid w:val="00B6427E"/>
    <w:rsid w:val="00B67CE3"/>
    <w:rsid w:val="00B706F1"/>
    <w:rsid w:val="00B725E6"/>
    <w:rsid w:val="00B736DE"/>
    <w:rsid w:val="00B74FE7"/>
    <w:rsid w:val="00B753E0"/>
    <w:rsid w:val="00B7569F"/>
    <w:rsid w:val="00B75C09"/>
    <w:rsid w:val="00B76674"/>
    <w:rsid w:val="00B77EA6"/>
    <w:rsid w:val="00B80439"/>
    <w:rsid w:val="00B80BAB"/>
    <w:rsid w:val="00B81598"/>
    <w:rsid w:val="00B82F7D"/>
    <w:rsid w:val="00B839DA"/>
    <w:rsid w:val="00B83EE2"/>
    <w:rsid w:val="00B841F1"/>
    <w:rsid w:val="00B8480B"/>
    <w:rsid w:val="00B91D3E"/>
    <w:rsid w:val="00B92400"/>
    <w:rsid w:val="00B93AA8"/>
    <w:rsid w:val="00B944D6"/>
    <w:rsid w:val="00B96CD2"/>
    <w:rsid w:val="00BA054C"/>
    <w:rsid w:val="00BA0777"/>
    <w:rsid w:val="00BA0AED"/>
    <w:rsid w:val="00BA22CD"/>
    <w:rsid w:val="00BA3028"/>
    <w:rsid w:val="00BA3356"/>
    <w:rsid w:val="00BA49E7"/>
    <w:rsid w:val="00BA5298"/>
    <w:rsid w:val="00BB1990"/>
    <w:rsid w:val="00BB2D7E"/>
    <w:rsid w:val="00BB4C52"/>
    <w:rsid w:val="00BB4DF0"/>
    <w:rsid w:val="00BC0AE4"/>
    <w:rsid w:val="00BC1202"/>
    <w:rsid w:val="00BC1A97"/>
    <w:rsid w:val="00BC2731"/>
    <w:rsid w:val="00BC289F"/>
    <w:rsid w:val="00BC5361"/>
    <w:rsid w:val="00BC5460"/>
    <w:rsid w:val="00BC6B50"/>
    <w:rsid w:val="00BD0E25"/>
    <w:rsid w:val="00BD2458"/>
    <w:rsid w:val="00BD5121"/>
    <w:rsid w:val="00BD6D67"/>
    <w:rsid w:val="00BD6E57"/>
    <w:rsid w:val="00BE01DE"/>
    <w:rsid w:val="00BE218A"/>
    <w:rsid w:val="00BE39F0"/>
    <w:rsid w:val="00BE5FB5"/>
    <w:rsid w:val="00BE7259"/>
    <w:rsid w:val="00BF060C"/>
    <w:rsid w:val="00BF2962"/>
    <w:rsid w:val="00BF2E85"/>
    <w:rsid w:val="00BF5BD6"/>
    <w:rsid w:val="00BF6316"/>
    <w:rsid w:val="00BF718F"/>
    <w:rsid w:val="00C01DBE"/>
    <w:rsid w:val="00C03E31"/>
    <w:rsid w:val="00C05BAF"/>
    <w:rsid w:val="00C05CAD"/>
    <w:rsid w:val="00C05F29"/>
    <w:rsid w:val="00C06A2B"/>
    <w:rsid w:val="00C11626"/>
    <w:rsid w:val="00C137AD"/>
    <w:rsid w:val="00C13B26"/>
    <w:rsid w:val="00C1480D"/>
    <w:rsid w:val="00C1658B"/>
    <w:rsid w:val="00C23BFD"/>
    <w:rsid w:val="00C24603"/>
    <w:rsid w:val="00C259D0"/>
    <w:rsid w:val="00C30983"/>
    <w:rsid w:val="00C30D73"/>
    <w:rsid w:val="00C313B9"/>
    <w:rsid w:val="00C31B41"/>
    <w:rsid w:val="00C33276"/>
    <w:rsid w:val="00C33E72"/>
    <w:rsid w:val="00C3423D"/>
    <w:rsid w:val="00C342CE"/>
    <w:rsid w:val="00C34C84"/>
    <w:rsid w:val="00C34EED"/>
    <w:rsid w:val="00C354B2"/>
    <w:rsid w:val="00C35554"/>
    <w:rsid w:val="00C36831"/>
    <w:rsid w:val="00C4133E"/>
    <w:rsid w:val="00C41611"/>
    <w:rsid w:val="00C41EB1"/>
    <w:rsid w:val="00C426CE"/>
    <w:rsid w:val="00C42709"/>
    <w:rsid w:val="00C516E5"/>
    <w:rsid w:val="00C5216D"/>
    <w:rsid w:val="00C533CC"/>
    <w:rsid w:val="00C54531"/>
    <w:rsid w:val="00C5751C"/>
    <w:rsid w:val="00C61BFC"/>
    <w:rsid w:val="00C62B85"/>
    <w:rsid w:val="00C634C6"/>
    <w:rsid w:val="00C63DE6"/>
    <w:rsid w:val="00C65438"/>
    <w:rsid w:val="00C65FA1"/>
    <w:rsid w:val="00C663B4"/>
    <w:rsid w:val="00C66789"/>
    <w:rsid w:val="00C677E0"/>
    <w:rsid w:val="00C71C3C"/>
    <w:rsid w:val="00C73C9E"/>
    <w:rsid w:val="00C77033"/>
    <w:rsid w:val="00C77575"/>
    <w:rsid w:val="00C77955"/>
    <w:rsid w:val="00C77D11"/>
    <w:rsid w:val="00C80BE1"/>
    <w:rsid w:val="00C80E5E"/>
    <w:rsid w:val="00C87773"/>
    <w:rsid w:val="00C91BEF"/>
    <w:rsid w:val="00C91CBB"/>
    <w:rsid w:val="00C94460"/>
    <w:rsid w:val="00C94755"/>
    <w:rsid w:val="00C9494C"/>
    <w:rsid w:val="00C976D8"/>
    <w:rsid w:val="00C9779E"/>
    <w:rsid w:val="00CA1D7E"/>
    <w:rsid w:val="00CA4889"/>
    <w:rsid w:val="00CA6417"/>
    <w:rsid w:val="00CA7A47"/>
    <w:rsid w:val="00CA7CBE"/>
    <w:rsid w:val="00CB2258"/>
    <w:rsid w:val="00CB37D6"/>
    <w:rsid w:val="00CB5AA7"/>
    <w:rsid w:val="00CC09B6"/>
    <w:rsid w:val="00CC2ECC"/>
    <w:rsid w:val="00CC42AE"/>
    <w:rsid w:val="00CC5828"/>
    <w:rsid w:val="00CC666F"/>
    <w:rsid w:val="00CD0159"/>
    <w:rsid w:val="00CD1E3F"/>
    <w:rsid w:val="00CD2CD4"/>
    <w:rsid w:val="00CD2F8E"/>
    <w:rsid w:val="00CD33CA"/>
    <w:rsid w:val="00CD41F7"/>
    <w:rsid w:val="00CD7039"/>
    <w:rsid w:val="00CE07D1"/>
    <w:rsid w:val="00CE10F5"/>
    <w:rsid w:val="00CE245D"/>
    <w:rsid w:val="00CE298B"/>
    <w:rsid w:val="00CE41E9"/>
    <w:rsid w:val="00CE4476"/>
    <w:rsid w:val="00CE44F6"/>
    <w:rsid w:val="00CE49DA"/>
    <w:rsid w:val="00CE6166"/>
    <w:rsid w:val="00CE7B61"/>
    <w:rsid w:val="00CF0C95"/>
    <w:rsid w:val="00CF303D"/>
    <w:rsid w:val="00CF32A8"/>
    <w:rsid w:val="00CF47D0"/>
    <w:rsid w:val="00CF537A"/>
    <w:rsid w:val="00CF5A38"/>
    <w:rsid w:val="00D00095"/>
    <w:rsid w:val="00D007A3"/>
    <w:rsid w:val="00D00CD9"/>
    <w:rsid w:val="00D01872"/>
    <w:rsid w:val="00D01D1C"/>
    <w:rsid w:val="00D03F76"/>
    <w:rsid w:val="00D07457"/>
    <w:rsid w:val="00D120DF"/>
    <w:rsid w:val="00D12260"/>
    <w:rsid w:val="00D14981"/>
    <w:rsid w:val="00D17582"/>
    <w:rsid w:val="00D20620"/>
    <w:rsid w:val="00D21AB8"/>
    <w:rsid w:val="00D21B96"/>
    <w:rsid w:val="00D21FCA"/>
    <w:rsid w:val="00D23CC1"/>
    <w:rsid w:val="00D253CD"/>
    <w:rsid w:val="00D26091"/>
    <w:rsid w:val="00D26765"/>
    <w:rsid w:val="00D30031"/>
    <w:rsid w:val="00D34E7C"/>
    <w:rsid w:val="00D35489"/>
    <w:rsid w:val="00D41FB4"/>
    <w:rsid w:val="00D42D3C"/>
    <w:rsid w:val="00D43BB3"/>
    <w:rsid w:val="00D4531F"/>
    <w:rsid w:val="00D5056E"/>
    <w:rsid w:val="00D51276"/>
    <w:rsid w:val="00D577F9"/>
    <w:rsid w:val="00D6086D"/>
    <w:rsid w:val="00D60B63"/>
    <w:rsid w:val="00D6672E"/>
    <w:rsid w:val="00D66F3E"/>
    <w:rsid w:val="00D67949"/>
    <w:rsid w:val="00D70080"/>
    <w:rsid w:val="00D7035F"/>
    <w:rsid w:val="00D70D9E"/>
    <w:rsid w:val="00D7255A"/>
    <w:rsid w:val="00D729A5"/>
    <w:rsid w:val="00D7311E"/>
    <w:rsid w:val="00D74434"/>
    <w:rsid w:val="00D74948"/>
    <w:rsid w:val="00D75E52"/>
    <w:rsid w:val="00D769DB"/>
    <w:rsid w:val="00D8058B"/>
    <w:rsid w:val="00D811F1"/>
    <w:rsid w:val="00D81CF0"/>
    <w:rsid w:val="00D86259"/>
    <w:rsid w:val="00D87885"/>
    <w:rsid w:val="00D9128F"/>
    <w:rsid w:val="00D938FB"/>
    <w:rsid w:val="00D95A81"/>
    <w:rsid w:val="00DA2414"/>
    <w:rsid w:val="00DA2E7B"/>
    <w:rsid w:val="00DA376F"/>
    <w:rsid w:val="00DA4CF4"/>
    <w:rsid w:val="00DA517E"/>
    <w:rsid w:val="00DA64CE"/>
    <w:rsid w:val="00DA65AC"/>
    <w:rsid w:val="00DA73F4"/>
    <w:rsid w:val="00DB1913"/>
    <w:rsid w:val="00DB23A2"/>
    <w:rsid w:val="00DB31AE"/>
    <w:rsid w:val="00DB469B"/>
    <w:rsid w:val="00DB6217"/>
    <w:rsid w:val="00DB6D81"/>
    <w:rsid w:val="00DB7682"/>
    <w:rsid w:val="00DB774B"/>
    <w:rsid w:val="00DB7B27"/>
    <w:rsid w:val="00DB7ED3"/>
    <w:rsid w:val="00DC1D19"/>
    <w:rsid w:val="00DC29F0"/>
    <w:rsid w:val="00DC410D"/>
    <w:rsid w:val="00DC482F"/>
    <w:rsid w:val="00DC4E3B"/>
    <w:rsid w:val="00DC53AB"/>
    <w:rsid w:val="00DC68CA"/>
    <w:rsid w:val="00DC7CBA"/>
    <w:rsid w:val="00DD0F4D"/>
    <w:rsid w:val="00DD109B"/>
    <w:rsid w:val="00DD2D64"/>
    <w:rsid w:val="00DD73B7"/>
    <w:rsid w:val="00DE28E8"/>
    <w:rsid w:val="00DE57ED"/>
    <w:rsid w:val="00DE6D3D"/>
    <w:rsid w:val="00DF0369"/>
    <w:rsid w:val="00DF256A"/>
    <w:rsid w:val="00DF28BC"/>
    <w:rsid w:val="00DF2BBE"/>
    <w:rsid w:val="00DF34B9"/>
    <w:rsid w:val="00DF36DA"/>
    <w:rsid w:val="00DF4EE4"/>
    <w:rsid w:val="00DF69F2"/>
    <w:rsid w:val="00E00C0C"/>
    <w:rsid w:val="00E01053"/>
    <w:rsid w:val="00E032C4"/>
    <w:rsid w:val="00E03AB5"/>
    <w:rsid w:val="00E04FF6"/>
    <w:rsid w:val="00E07ACF"/>
    <w:rsid w:val="00E07C49"/>
    <w:rsid w:val="00E1142E"/>
    <w:rsid w:val="00E11EA9"/>
    <w:rsid w:val="00E13C23"/>
    <w:rsid w:val="00E17451"/>
    <w:rsid w:val="00E176E0"/>
    <w:rsid w:val="00E20F23"/>
    <w:rsid w:val="00E21189"/>
    <w:rsid w:val="00E22344"/>
    <w:rsid w:val="00E22D73"/>
    <w:rsid w:val="00E24A28"/>
    <w:rsid w:val="00E2598A"/>
    <w:rsid w:val="00E26D43"/>
    <w:rsid w:val="00E2719A"/>
    <w:rsid w:val="00E331A1"/>
    <w:rsid w:val="00E33202"/>
    <w:rsid w:val="00E336A9"/>
    <w:rsid w:val="00E339F9"/>
    <w:rsid w:val="00E34D61"/>
    <w:rsid w:val="00E352AD"/>
    <w:rsid w:val="00E35DF9"/>
    <w:rsid w:val="00E36162"/>
    <w:rsid w:val="00E4020E"/>
    <w:rsid w:val="00E41572"/>
    <w:rsid w:val="00E42E24"/>
    <w:rsid w:val="00E4326C"/>
    <w:rsid w:val="00E43716"/>
    <w:rsid w:val="00E43E83"/>
    <w:rsid w:val="00E4418C"/>
    <w:rsid w:val="00E442E7"/>
    <w:rsid w:val="00E47FEC"/>
    <w:rsid w:val="00E50624"/>
    <w:rsid w:val="00E50EC1"/>
    <w:rsid w:val="00E559C8"/>
    <w:rsid w:val="00E559F4"/>
    <w:rsid w:val="00E568DF"/>
    <w:rsid w:val="00E6091E"/>
    <w:rsid w:val="00E63E1C"/>
    <w:rsid w:val="00E64269"/>
    <w:rsid w:val="00E648BF"/>
    <w:rsid w:val="00E67B9B"/>
    <w:rsid w:val="00E70395"/>
    <w:rsid w:val="00E71182"/>
    <w:rsid w:val="00E7180C"/>
    <w:rsid w:val="00E71EE8"/>
    <w:rsid w:val="00E759C7"/>
    <w:rsid w:val="00E778AF"/>
    <w:rsid w:val="00E82267"/>
    <w:rsid w:val="00E82D19"/>
    <w:rsid w:val="00E8382C"/>
    <w:rsid w:val="00E84714"/>
    <w:rsid w:val="00E879E6"/>
    <w:rsid w:val="00E9375F"/>
    <w:rsid w:val="00E938AA"/>
    <w:rsid w:val="00E95984"/>
    <w:rsid w:val="00E96D03"/>
    <w:rsid w:val="00EA010F"/>
    <w:rsid w:val="00EA039B"/>
    <w:rsid w:val="00EA2455"/>
    <w:rsid w:val="00EA262D"/>
    <w:rsid w:val="00EA4AA3"/>
    <w:rsid w:val="00EA4BCA"/>
    <w:rsid w:val="00EA545A"/>
    <w:rsid w:val="00EA5E4F"/>
    <w:rsid w:val="00EB2461"/>
    <w:rsid w:val="00EC1C2C"/>
    <w:rsid w:val="00EC25B6"/>
    <w:rsid w:val="00EC38BD"/>
    <w:rsid w:val="00EC3F04"/>
    <w:rsid w:val="00ED1B63"/>
    <w:rsid w:val="00ED29E6"/>
    <w:rsid w:val="00ED29EA"/>
    <w:rsid w:val="00ED360C"/>
    <w:rsid w:val="00ED3C1F"/>
    <w:rsid w:val="00ED4085"/>
    <w:rsid w:val="00ED420E"/>
    <w:rsid w:val="00ED6AD8"/>
    <w:rsid w:val="00ED71DF"/>
    <w:rsid w:val="00EE0963"/>
    <w:rsid w:val="00EE1FC9"/>
    <w:rsid w:val="00EE24E3"/>
    <w:rsid w:val="00EE2F57"/>
    <w:rsid w:val="00EE6332"/>
    <w:rsid w:val="00EF132A"/>
    <w:rsid w:val="00EF4C34"/>
    <w:rsid w:val="00EF5291"/>
    <w:rsid w:val="00EF64E8"/>
    <w:rsid w:val="00EF659B"/>
    <w:rsid w:val="00EF77C6"/>
    <w:rsid w:val="00EF7BDE"/>
    <w:rsid w:val="00EF7CA7"/>
    <w:rsid w:val="00F022B4"/>
    <w:rsid w:val="00F0292C"/>
    <w:rsid w:val="00F05438"/>
    <w:rsid w:val="00F0746A"/>
    <w:rsid w:val="00F110A1"/>
    <w:rsid w:val="00F113D8"/>
    <w:rsid w:val="00F118C3"/>
    <w:rsid w:val="00F1361C"/>
    <w:rsid w:val="00F14902"/>
    <w:rsid w:val="00F160C7"/>
    <w:rsid w:val="00F16FDE"/>
    <w:rsid w:val="00F20320"/>
    <w:rsid w:val="00F20532"/>
    <w:rsid w:val="00F21001"/>
    <w:rsid w:val="00F228F9"/>
    <w:rsid w:val="00F248A8"/>
    <w:rsid w:val="00F24E3F"/>
    <w:rsid w:val="00F26D60"/>
    <w:rsid w:val="00F30138"/>
    <w:rsid w:val="00F301B6"/>
    <w:rsid w:val="00F31EA1"/>
    <w:rsid w:val="00F3294D"/>
    <w:rsid w:val="00F354A9"/>
    <w:rsid w:val="00F36D8F"/>
    <w:rsid w:val="00F3744E"/>
    <w:rsid w:val="00F40698"/>
    <w:rsid w:val="00F406E9"/>
    <w:rsid w:val="00F417B1"/>
    <w:rsid w:val="00F460AB"/>
    <w:rsid w:val="00F50AC5"/>
    <w:rsid w:val="00F53E68"/>
    <w:rsid w:val="00F5454E"/>
    <w:rsid w:val="00F559FA"/>
    <w:rsid w:val="00F57903"/>
    <w:rsid w:val="00F602DF"/>
    <w:rsid w:val="00F6390A"/>
    <w:rsid w:val="00F6529E"/>
    <w:rsid w:val="00F6641D"/>
    <w:rsid w:val="00F75CC0"/>
    <w:rsid w:val="00F75CCC"/>
    <w:rsid w:val="00F75F9D"/>
    <w:rsid w:val="00F81FD9"/>
    <w:rsid w:val="00F82490"/>
    <w:rsid w:val="00F8281D"/>
    <w:rsid w:val="00F835D4"/>
    <w:rsid w:val="00F841AA"/>
    <w:rsid w:val="00F845B5"/>
    <w:rsid w:val="00F86932"/>
    <w:rsid w:val="00F875DB"/>
    <w:rsid w:val="00F87E73"/>
    <w:rsid w:val="00F905A4"/>
    <w:rsid w:val="00F92C70"/>
    <w:rsid w:val="00F93633"/>
    <w:rsid w:val="00F93DF5"/>
    <w:rsid w:val="00FA0947"/>
    <w:rsid w:val="00FA23E8"/>
    <w:rsid w:val="00FA2F5B"/>
    <w:rsid w:val="00FA4421"/>
    <w:rsid w:val="00FA4B00"/>
    <w:rsid w:val="00FA525F"/>
    <w:rsid w:val="00FA77AD"/>
    <w:rsid w:val="00FB0BBA"/>
    <w:rsid w:val="00FB1FF4"/>
    <w:rsid w:val="00FB55E6"/>
    <w:rsid w:val="00FC124C"/>
    <w:rsid w:val="00FC1E02"/>
    <w:rsid w:val="00FC3048"/>
    <w:rsid w:val="00FC4660"/>
    <w:rsid w:val="00FC46BC"/>
    <w:rsid w:val="00FC7DEF"/>
    <w:rsid w:val="00FD020D"/>
    <w:rsid w:val="00FD3016"/>
    <w:rsid w:val="00FD3828"/>
    <w:rsid w:val="00FD3CC1"/>
    <w:rsid w:val="00FD5BFE"/>
    <w:rsid w:val="00FE17BC"/>
    <w:rsid w:val="00FE2AD1"/>
    <w:rsid w:val="00FE4DB0"/>
    <w:rsid w:val="00FE5493"/>
    <w:rsid w:val="00FE625C"/>
    <w:rsid w:val="00FF1E02"/>
    <w:rsid w:val="00FF30B4"/>
    <w:rsid w:val="00FF66E8"/>
    <w:rsid w:val="012F3CEB"/>
    <w:rsid w:val="01B354EA"/>
    <w:rsid w:val="01CF32DE"/>
    <w:rsid w:val="01D74DB7"/>
    <w:rsid w:val="01D86637"/>
    <w:rsid w:val="01F04616"/>
    <w:rsid w:val="037A757D"/>
    <w:rsid w:val="03F359AA"/>
    <w:rsid w:val="043A3897"/>
    <w:rsid w:val="045647CC"/>
    <w:rsid w:val="0463543B"/>
    <w:rsid w:val="048D6B52"/>
    <w:rsid w:val="04A56E6E"/>
    <w:rsid w:val="04D45254"/>
    <w:rsid w:val="04D550AF"/>
    <w:rsid w:val="051A6F96"/>
    <w:rsid w:val="05C25E8C"/>
    <w:rsid w:val="06951176"/>
    <w:rsid w:val="07001BE1"/>
    <w:rsid w:val="07267DE7"/>
    <w:rsid w:val="088F55D5"/>
    <w:rsid w:val="089C4B49"/>
    <w:rsid w:val="09081517"/>
    <w:rsid w:val="091B747D"/>
    <w:rsid w:val="092E626A"/>
    <w:rsid w:val="09A572B6"/>
    <w:rsid w:val="0A19737C"/>
    <w:rsid w:val="0B7218AA"/>
    <w:rsid w:val="0B99373B"/>
    <w:rsid w:val="0BA37CB5"/>
    <w:rsid w:val="0D0429D6"/>
    <w:rsid w:val="0D093B48"/>
    <w:rsid w:val="0D322E51"/>
    <w:rsid w:val="0D6C338E"/>
    <w:rsid w:val="0DB37F58"/>
    <w:rsid w:val="0DB742A8"/>
    <w:rsid w:val="0E6D2010"/>
    <w:rsid w:val="0EC00B7E"/>
    <w:rsid w:val="0F5E6610"/>
    <w:rsid w:val="0FB52B86"/>
    <w:rsid w:val="0FDB629D"/>
    <w:rsid w:val="0FFD0B0D"/>
    <w:rsid w:val="103747CF"/>
    <w:rsid w:val="103F4D68"/>
    <w:rsid w:val="10C055FF"/>
    <w:rsid w:val="116A6D7C"/>
    <w:rsid w:val="11761AF6"/>
    <w:rsid w:val="11851C0B"/>
    <w:rsid w:val="11D56DF6"/>
    <w:rsid w:val="11ED6591"/>
    <w:rsid w:val="11F85D8C"/>
    <w:rsid w:val="13367661"/>
    <w:rsid w:val="136F089E"/>
    <w:rsid w:val="13D81ACD"/>
    <w:rsid w:val="14D728AA"/>
    <w:rsid w:val="15F1786F"/>
    <w:rsid w:val="16105F47"/>
    <w:rsid w:val="1665477F"/>
    <w:rsid w:val="16BB723D"/>
    <w:rsid w:val="17283764"/>
    <w:rsid w:val="17BC7656"/>
    <w:rsid w:val="17EA348C"/>
    <w:rsid w:val="1840212F"/>
    <w:rsid w:val="184656CF"/>
    <w:rsid w:val="193C261A"/>
    <w:rsid w:val="19934117"/>
    <w:rsid w:val="19943114"/>
    <w:rsid w:val="19DE22C0"/>
    <w:rsid w:val="1AB026BC"/>
    <w:rsid w:val="1ABB32B6"/>
    <w:rsid w:val="1B787B60"/>
    <w:rsid w:val="1BF70747"/>
    <w:rsid w:val="1C06153F"/>
    <w:rsid w:val="1C986C96"/>
    <w:rsid w:val="1D7371C3"/>
    <w:rsid w:val="1DBF3340"/>
    <w:rsid w:val="1DDC2BB3"/>
    <w:rsid w:val="1E34479D"/>
    <w:rsid w:val="1EF81F78"/>
    <w:rsid w:val="1F620905"/>
    <w:rsid w:val="1FD12B34"/>
    <w:rsid w:val="201A6AB0"/>
    <w:rsid w:val="203B66A0"/>
    <w:rsid w:val="206D278F"/>
    <w:rsid w:val="211A679A"/>
    <w:rsid w:val="21253DA0"/>
    <w:rsid w:val="21A94BCD"/>
    <w:rsid w:val="22755B2E"/>
    <w:rsid w:val="22857975"/>
    <w:rsid w:val="23700C36"/>
    <w:rsid w:val="23844B7E"/>
    <w:rsid w:val="23902475"/>
    <w:rsid w:val="23FA0B3C"/>
    <w:rsid w:val="240371BF"/>
    <w:rsid w:val="2435534E"/>
    <w:rsid w:val="244017F7"/>
    <w:rsid w:val="24534F10"/>
    <w:rsid w:val="24DF6C66"/>
    <w:rsid w:val="253D03DB"/>
    <w:rsid w:val="253F66D1"/>
    <w:rsid w:val="25A20B86"/>
    <w:rsid w:val="25B1070F"/>
    <w:rsid w:val="25BC6564"/>
    <w:rsid w:val="25DD571A"/>
    <w:rsid w:val="265C1D1F"/>
    <w:rsid w:val="26BB36DB"/>
    <w:rsid w:val="271C5A93"/>
    <w:rsid w:val="276F1834"/>
    <w:rsid w:val="27B459F9"/>
    <w:rsid w:val="27C51E91"/>
    <w:rsid w:val="280173B2"/>
    <w:rsid w:val="28513369"/>
    <w:rsid w:val="28BF6D42"/>
    <w:rsid w:val="28C822A0"/>
    <w:rsid w:val="28FE016A"/>
    <w:rsid w:val="292E058E"/>
    <w:rsid w:val="29FD04D3"/>
    <w:rsid w:val="2C1E1BB4"/>
    <w:rsid w:val="2CAE1BBE"/>
    <w:rsid w:val="2CCF04B2"/>
    <w:rsid w:val="2DF079DB"/>
    <w:rsid w:val="2E4C04E0"/>
    <w:rsid w:val="2E67588F"/>
    <w:rsid w:val="2F803D16"/>
    <w:rsid w:val="2FF22B1D"/>
    <w:rsid w:val="30CB71E3"/>
    <w:rsid w:val="30E36C85"/>
    <w:rsid w:val="31810DA9"/>
    <w:rsid w:val="31903F88"/>
    <w:rsid w:val="319F7F4E"/>
    <w:rsid w:val="31B72CAD"/>
    <w:rsid w:val="32004B5E"/>
    <w:rsid w:val="323A1C2F"/>
    <w:rsid w:val="329448A6"/>
    <w:rsid w:val="32F45598"/>
    <w:rsid w:val="33204932"/>
    <w:rsid w:val="33447C07"/>
    <w:rsid w:val="33F67560"/>
    <w:rsid w:val="345D075E"/>
    <w:rsid w:val="35244754"/>
    <w:rsid w:val="361C390A"/>
    <w:rsid w:val="364D41F6"/>
    <w:rsid w:val="36FD0156"/>
    <w:rsid w:val="38207F4E"/>
    <w:rsid w:val="38F8371D"/>
    <w:rsid w:val="39226F5F"/>
    <w:rsid w:val="39902098"/>
    <w:rsid w:val="39FD5F33"/>
    <w:rsid w:val="3A3A0F35"/>
    <w:rsid w:val="3A4E1148"/>
    <w:rsid w:val="3AF15A98"/>
    <w:rsid w:val="3C8D2F9D"/>
    <w:rsid w:val="3CE0510E"/>
    <w:rsid w:val="3D0E3B71"/>
    <w:rsid w:val="3D1927CA"/>
    <w:rsid w:val="3D1E4B3E"/>
    <w:rsid w:val="3D6F2272"/>
    <w:rsid w:val="3D8344ED"/>
    <w:rsid w:val="3E03620E"/>
    <w:rsid w:val="3E343C22"/>
    <w:rsid w:val="3F512FA9"/>
    <w:rsid w:val="3F7C601F"/>
    <w:rsid w:val="3FAC4683"/>
    <w:rsid w:val="3FAF045A"/>
    <w:rsid w:val="3FEA5DFB"/>
    <w:rsid w:val="40035B02"/>
    <w:rsid w:val="401C35B7"/>
    <w:rsid w:val="405F16F6"/>
    <w:rsid w:val="40C02D8A"/>
    <w:rsid w:val="40EA7211"/>
    <w:rsid w:val="4119235A"/>
    <w:rsid w:val="413B5D46"/>
    <w:rsid w:val="41677310"/>
    <w:rsid w:val="422C2C46"/>
    <w:rsid w:val="4251506E"/>
    <w:rsid w:val="42B75819"/>
    <w:rsid w:val="43684120"/>
    <w:rsid w:val="444F07DA"/>
    <w:rsid w:val="44601E28"/>
    <w:rsid w:val="472E4611"/>
    <w:rsid w:val="475E72DC"/>
    <w:rsid w:val="47F514AF"/>
    <w:rsid w:val="4839282C"/>
    <w:rsid w:val="48FD75BD"/>
    <w:rsid w:val="49243056"/>
    <w:rsid w:val="494C4A06"/>
    <w:rsid w:val="4A113668"/>
    <w:rsid w:val="4A277A41"/>
    <w:rsid w:val="4A745623"/>
    <w:rsid w:val="4B187071"/>
    <w:rsid w:val="4B2B2DCB"/>
    <w:rsid w:val="4B6A5BC2"/>
    <w:rsid w:val="4B6D2BD3"/>
    <w:rsid w:val="4C7555EC"/>
    <w:rsid w:val="4D135D42"/>
    <w:rsid w:val="4D846266"/>
    <w:rsid w:val="4D8D78A2"/>
    <w:rsid w:val="4DF123A8"/>
    <w:rsid w:val="4E290981"/>
    <w:rsid w:val="4E832A53"/>
    <w:rsid w:val="4E9E44C2"/>
    <w:rsid w:val="4EBC1A30"/>
    <w:rsid w:val="4F395B30"/>
    <w:rsid w:val="4F3B530F"/>
    <w:rsid w:val="4F6F7A34"/>
    <w:rsid w:val="4FD74194"/>
    <w:rsid w:val="4FDA49F5"/>
    <w:rsid w:val="50AE413E"/>
    <w:rsid w:val="515110B9"/>
    <w:rsid w:val="51DF7A7D"/>
    <w:rsid w:val="51E1640E"/>
    <w:rsid w:val="51EE42CA"/>
    <w:rsid w:val="52195E38"/>
    <w:rsid w:val="52302EF2"/>
    <w:rsid w:val="526E48F5"/>
    <w:rsid w:val="52ED6284"/>
    <w:rsid w:val="5322283B"/>
    <w:rsid w:val="532B0C13"/>
    <w:rsid w:val="533D4F08"/>
    <w:rsid w:val="53BA6F17"/>
    <w:rsid w:val="53BE2B80"/>
    <w:rsid w:val="54136CE6"/>
    <w:rsid w:val="541505F1"/>
    <w:rsid w:val="542D2749"/>
    <w:rsid w:val="54992FD0"/>
    <w:rsid w:val="55872E29"/>
    <w:rsid w:val="55923320"/>
    <w:rsid w:val="56D0674C"/>
    <w:rsid w:val="57D23F06"/>
    <w:rsid w:val="58BA52C3"/>
    <w:rsid w:val="58BC5D23"/>
    <w:rsid w:val="59177DCC"/>
    <w:rsid w:val="59E040FC"/>
    <w:rsid w:val="59E11CD3"/>
    <w:rsid w:val="5A857BDE"/>
    <w:rsid w:val="5B243BC3"/>
    <w:rsid w:val="5B2A4567"/>
    <w:rsid w:val="5BE202EA"/>
    <w:rsid w:val="5C846B4A"/>
    <w:rsid w:val="5CAD7C22"/>
    <w:rsid w:val="5CE95B0C"/>
    <w:rsid w:val="5CFA7F1D"/>
    <w:rsid w:val="5D577E65"/>
    <w:rsid w:val="5D6F6B2F"/>
    <w:rsid w:val="5E2506F8"/>
    <w:rsid w:val="5E5E7F75"/>
    <w:rsid w:val="5EA316D6"/>
    <w:rsid w:val="5ECE1AC8"/>
    <w:rsid w:val="5EF556B7"/>
    <w:rsid w:val="5F3A07D2"/>
    <w:rsid w:val="5F593A88"/>
    <w:rsid w:val="5FE356D0"/>
    <w:rsid w:val="5FF901AE"/>
    <w:rsid w:val="60651EAC"/>
    <w:rsid w:val="60BB3927"/>
    <w:rsid w:val="6200749A"/>
    <w:rsid w:val="620F0B35"/>
    <w:rsid w:val="6240022D"/>
    <w:rsid w:val="62A42EE2"/>
    <w:rsid w:val="62BE686B"/>
    <w:rsid w:val="62F14F12"/>
    <w:rsid w:val="630D013F"/>
    <w:rsid w:val="63260A0C"/>
    <w:rsid w:val="63347FC4"/>
    <w:rsid w:val="63604CB9"/>
    <w:rsid w:val="64A36D0B"/>
    <w:rsid w:val="64C656C1"/>
    <w:rsid w:val="64F77166"/>
    <w:rsid w:val="65201386"/>
    <w:rsid w:val="657F4183"/>
    <w:rsid w:val="658466A7"/>
    <w:rsid w:val="6596487B"/>
    <w:rsid w:val="65DF63C9"/>
    <w:rsid w:val="65E950BC"/>
    <w:rsid w:val="662A7F2C"/>
    <w:rsid w:val="66627873"/>
    <w:rsid w:val="66D65FFA"/>
    <w:rsid w:val="67C24194"/>
    <w:rsid w:val="67EB36EB"/>
    <w:rsid w:val="68155564"/>
    <w:rsid w:val="68DA2DB6"/>
    <w:rsid w:val="693F42CF"/>
    <w:rsid w:val="69725134"/>
    <w:rsid w:val="6B4666B6"/>
    <w:rsid w:val="6BB306BC"/>
    <w:rsid w:val="6CC85DA9"/>
    <w:rsid w:val="6D2A5F93"/>
    <w:rsid w:val="6D8F2D6B"/>
    <w:rsid w:val="6D9608BA"/>
    <w:rsid w:val="6DB91990"/>
    <w:rsid w:val="6DC31436"/>
    <w:rsid w:val="6E6F4E2B"/>
    <w:rsid w:val="6ECB49CF"/>
    <w:rsid w:val="6ECB5A2B"/>
    <w:rsid w:val="6F4D197C"/>
    <w:rsid w:val="6F806E0F"/>
    <w:rsid w:val="70202A42"/>
    <w:rsid w:val="70ED3F4C"/>
    <w:rsid w:val="713316EB"/>
    <w:rsid w:val="72227D09"/>
    <w:rsid w:val="72E476B5"/>
    <w:rsid w:val="72F22338"/>
    <w:rsid w:val="73327580"/>
    <w:rsid w:val="733572FD"/>
    <w:rsid w:val="73BE3A62"/>
    <w:rsid w:val="746C7E4B"/>
    <w:rsid w:val="750E6C6B"/>
    <w:rsid w:val="755E374E"/>
    <w:rsid w:val="75884CEA"/>
    <w:rsid w:val="75B310E7"/>
    <w:rsid w:val="75B318F4"/>
    <w:rsid w:val="75F61299"/>
    <w:rsid w:val="761A4623"/>
    <w:rsid w:val="76377F56"/>
    <w:rsid w:val="764B35A7"/>
    <w:rsid w:val="769E6A57"/>
    <w:rsid w:val="76E82107"/>
    <w:rsid w:val="77B238DE"/>
    <w:rsid w:val="78A4106B"/>
    <w:rsid w:val="79975481"/>
    <w:rsid w:val="79B4511D"/>
    <w:rsid w:val="79C773E8"/>
    <w:rsid w:val="79F60BE5"/>
    <w:rsid w:val="7A1B4027"/>
    <w:rsid w:val="7A965738"/>
    <w:rsid w:val="7ABC1C9C"/>
    <w:rsid w:val="7B022DCE"/>
    <w:rsid w:val="7B272834"/>
    <w:rsid w:val="7B8F71DF"/>
    <w:rsid w:val="7C1568F9"/>
    <w:rsid w:val="7CB17BB3"/>
    <w:rsid w:val="7CB2612E"/>
    <w:rsid w:val="7CC25607"/>
    <w:rsid w:val="7DE859ED"/>
    <w:rsid w:val="7E4C610E"/>
    <w:rsid w:val="7ECA59B1"/>
    <w:rsid w:val="7F09108F"/>
    <w:rsid w:val="7FDC49A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nhideWhenUsed="0" w:uiPriority="0"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37"/>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Layout w:type="fixed"/>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Chars="200"/>
    </w:pPr>
    <w:rPr>
      <w:rFonts w:ascii="仿宋_GB2312"/>
      <w:szCs w:val="32"/>
    </w:rPr>
  </w:style>
  <w:style w:type="paragraph" w:styleId="8">
    <w:name w:val="Normal Indent"/>
    <w:basedOn w:val="1"/>
    <w:unhideWhenUsed/>
    <w:qFormat/>
    <w:uiPriority w:val="99"/>
    <w:pPr>
      <w:ind w:firstLine="680"/>
    </w:pPr>
  </w:style>
  <w:style w:type="paragraph" w:styleId="9">
    <w:name w:val="annotation text"/>
    <w:basedOn w:val="1"/>
    <w:semiHidden/>
    <w:unhideWhenUsed/>
    <w:qFormat/>
    <w:uiPriority w:val="99"/>
    <w:pPr>
      <w:jc w:val="left"/>
    </w:pPr>
  </w:style>
  <w:style w:type="paragraph" w:styleId="10">
    <w:name w:val="Body Text"/>
    <w:basedOn w:val="1"/>
    <w:link w:val="30"/>
    <w:qFormat/>
    <w:uiPriority w:val="99"/>
    <w:pPr>
      <w:spacing w:beforeLines="30"/>
    </w:pPr>
    <w:rPr>
      <w:rFonts w:ascii="仿宋_GB2312" w:eastAsia="仿宋_GB2312"/>
      <w:kern w:val="0"/>
      <w:sz w:val="30"/>
    </w:rPr>
  </w:style>
  <w:style w:type="paragraph" w:styleId="11">
    <w:name w:val="toc 3"/>
    <w:basedOn w:val="1"/>
    <w:next w:val="1"/>
    <w:unhideWhenUsed/>
    <w:qFormat/>
    <w:uiPriority w:val="39"/>
    <w:pPr>
      <w:tabs>
        <w:tab w:val="right" w:leader="dot" w:pos="8296"/>
      </w:tabs>
      <w:ind w:left="840" w:leftChars="400"/>
    </w:pPr>
  </w:style>
  <w:style w:type="paragraph" w:styleId="12">
    <w:name w:val="Balloon Text"/>
    <w:basedOn w:val="1"/>
    <w:link w:val="35"/>
    <w:semiHidden/>
    <w:unhideWhenUsed/>
    <w:qFormat/>
    <w:uiPriority w:val="99"/>
    <w:rPr>
      <w:sz w:val="18"/>
      <w:szCs w:val="18"/>
    </w:rPr>
  </w:style>
  <w:style w:type="paragraph" w:styleId="13">
    <w:name w:val="footer"/>
    <w:basedOn w:val="1"/>
    <w:link w:val="28"/>
    <w:qFormat/>
    <w:uiPriority w:val="99"/>
    <w:pPr>
      <w:tabs>
        <w:tab w:val="center" w:pos="4153"/>
        <w:tab w:val="right" w:pos="8306"/>
      </w:tabs>
      <w:snapToGrid w:val="0"/>
      <w:jc w:val="left"/>
    </w:pPr>
    <w:rPr>
      <w:rFonts w:ascii="Calibri" w:hAnsi="Calibri"/>
      <w:kern w:val="0"/>
      <w:sz w:val="18"/>
      <w:szCs w:val="18"/>
    </w:rPr>
  </w:style>
  <w:style w:type="paragraph" w:styleId="14">
    <w:name w:val="header"/>
    <w:basedOn w:val="1"/>
    <w:link w:val="26"/>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5">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6">
    <w:name w:val="table of figures"/>
    <w:basedOn w:val="1"/>
    <w:next w:val="1"/>
    <w:qFormat/>
    <w:uiPriority w:val="0"/>
    <w:pPr>
      <w:ind w:left="200" w:leftChars="200" w:hanging="200" w:hangingChars="200"/>
    </w:pPr>
  </w:style>
  <w:style w:type="paragraph" w:styleId="17">
    <w:name w:val="toc 2"/>
    <w:basedOn w:val="1"/>
    <w:next w:val="1"/>
    <w:unhideWhenUsed/>
    <w:qFormat/>
    <w:uiPriority w:val="39"/>
    <w:pPr>
      <w:tabs>
        <w:tab w:val="right" w:leader="dot" w:pos="8296"/>
      </w:tabs>
      <w:ind w:left="420" w:leftChars="200"/>
    </w:pPr>
  </w:style>
  <w:style w:type="paragraph" w:styleId="1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21">
    <w:name w:val="Strong"/>
    <w:basedOn w:val="20"/>
    <w:qFormat/>
    <w:uiPriority w:val="99"/>
    <w:rPr>
      <w:b/>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character" w:styleId="23">
    <w:name w:val="annotation reference"/>
    <w:basedOn w:val="20"/>
    <w:semiHidden/>
    <w:unhideWhenUsed/>
    <w:qFormat/>
    <w:uiPriority w:val="99"/>
    <w:rPr>
      <w:sz w:val="21"/>
      <w:szCs w:val="21"/>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25">
    <w:name w:val="Header Char"/>
    <w:basedOn w:val="20"/>
    <w:semiHidden/>
    <w:qFormat/>
    <w:uiPriority w:val="99"/>
    <w:rPr>
      <w:rFonts w:ascii="Times New Roman" w:hAnsi="Times New Roman"/>
      <w:sz w:val="18"/>
      <w:szCs w:val="18"/>
    </w:rPr>
  </w:style>
  <w:style w:type="character" w:customStyle="1" w:styleId="26">
    <w:name w:val="页眉 字符"/>
    <w:link w:val="14"/>
    <w:semiHidden/>
    <w:qFormat/>
    <w:locked/>
    <w:uiPriority w:val="99"/>
    <w:rPr>
      <w:sz w:val="18"/>
    </w:rPr>
  </w:style>
  <w:style w:type="character" w:customStyle="1" w:styleId="27">
    <w:name w:val="Footer Char"/>
    <w:basedOn w:val="20"/>
    <w:semiHidden/>
    <w:qFormat/>
    <w:uiPriority w:val="99"/>
    <w:rPr>
      <w:rFonts w:ascii="Times New Roman" w:hAnsi="Times New Roman"/>
      <w:sz w:val="18"/>
      <w:szCs w:val="18"/>
    </w:rPr>
  </w:style>
  <w:style w:type="character" w:customStyle="1" w:styleId="28">
    <w:name w:val="页脚 字符"/>
    <w:link w:val="13"/>
    <w:qFormat/>
    <w:locked/>
    <w:uiPriority w:val="99"/>
    <w:rPr>
      <w:sz w:val="18"/>
    </w:rPr>
  </w:style>
  <w:style w:type="character" w:customStyle="1" w:styleId="29">
    <w:name w:val="Body Text Char"/>
    <w:basedOn w:val="20"/>
    <w:semiHidden/>
    <w:qFormat/>
    <w:uiPriority w:val="99"/>
    <w:rPr>
      <w:rFonts w:ascii="Times New Roman" w:hAnsi="Times New Roman"/>
      <w:szCs w:val="24"/>
    </w:rPr>
  </w:style>
  <w:style w:type="character" w:customStyle="1" w:styleId="30">
    <w:name w:val="正文文本 字符"/>
    <w:link w:val="10"/>
    <w:qFormat/>
    <w:locked/>
    <w:uiPriority w:val="99"/>
    <w:rPr>
      <w:rFonts w:ascii="仿宋_GB2312" w:hAnsi="Times New Roman" w:eastAsia="仿宋_GB2312"/>
      <w:sz w:val="24"/>
    </w:rPr>
  </w:style>
  <w:style w:type="paragraph" w:styleId="31">
    <w:name w:val="List Paragraph"/>
    <w:basedOn w:val="1"/>
    <w:qFormat/>
    <w:uiPriority w:val="34"/>
    <w:pPr>
      <w:ind w:firstLine="420" w:firstLineChars="200"/>
    </w:pPr>
  </w:style>
  <w:style w:type="character" w:customStyle="1" w:styleId="32">
    <w:name w:val="标题 1 字符"/>
    <w:basedOn w:val="20"/>
    <w:link w:val="5"/>
    <w:qFormat/>
    <w:uiPriority w:val="9"/>
    <w:rPr>
      <w:rFonts w:ascii="Times New Roman" w:hAnsi="Times New Roman"/>
      <w:b/>
      <w:bCs/>
      <w:kern w:val="44"/>
      <w:sz w:val="44"/>
      <w:szCs w:val="44"/>
    </w:rPr>
  </w:style>
  <w:style w:type="character" w:customStyle="1" w:styleId="33">
    <w:name w:val="标题 2 字符"/>
    <w:basedOn w:val="20"/>
    <w:link w:val="6"/>
    <w:qFormat/>
    <w:uiPriority w:val="9"/>
    <w:rPr>
      <w:rFonts w:asciiTheme="majorHAnsi" w:hAnsiTheme="majorHAnsi" w:eastAsiaTheme="majorEastAsia" w:cstheme="majorBidi"/>
      <w:b/>
      <w:bCs/>
      <w:kern w:val="2"/>
      <w:sz w:val="32"/>
      <w:szCs w:val="32"/>
    </w:rPr>
  </w:style>
  <w:style w:type="paragraph" w:customStyle="1" w:styleId="34">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5">
    <w:name w:val="批注框文本 字符"/>
    <w:basedOn w:val="20"/>
    <w:link w:val="12"/>
    <w:semiHidden/>
    <w:qFormat/>
    <w:uiPriority w:val="99"/>
    <w:rPr>
      <w:rFonts w:ascii="Times New Roman" w:hAnsi="Times New Roman"/>
      <w:kern w:val="2"/>
      <w:sz w:val="18"/>
      <w:szCs w:val="18"/>
    </w:rPr>
  </w:style>
  <w:style w:type="character" w:customStyle="1" w:styleId="36">
    <w:name w:val="标题 3 字符"/>
    <w:basedOn w:val="20"/>
    <w:link w:val="7"/>
    <w:qFormat/>
    <w:uiPriority w:val="9"/>
    <w:rPr>
      <w:rFonts w:ascii="Times New Roman" w:hAnsi="Times New Roman"/>
      <w:b/>
      <w:bCs/>
      <w:kern w:val="2"/>
      <w:sz w:val="32"/>
      <w:szCs w:val="32"/>
    </w:rPr>
  </w:style>
  <w:style w:type="character" w:customStyle="1" w:styleId="37">
    <w:name w:val="标题 1 Char"/>
    <w:basedOn w:val="20"/>
    <w:link w:val="5"/>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收、支决算总计变动情况图</a:t>
            </a:r>
            <a:endParaRPr lang="en-US" sz="1100"/>
          </a:p>
        </c:rich>
      </c:tx>
      <c:layout/>
      <c:overlay val="0"/>
    </c:title>
    <c:autoTitleDeleted val="0"/>
    <c:plotArea>
      <c:layout>
        <c:manualLayout>
          <c:layoutTarget val="inner"/>
          <c:xMode val="edge"/>
          <c:yMode val="edge"/>
          <c:x val="0.0559816218099468"/>
          <c:y val="0.247865112907836"/>
          <c:w val="0.800713012477719"/>
          <c:h val="0.654027777777778"/>
        </c:manualLayout>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{3026,3111.04}</c:f>
              <c:numCache>
                <c:formatCode>General</c:formatCode>
                <c:ptCount val="2"/>
                <c:pt idx="0">
                  <c:v>3026</c:v>
                </c:pt>
                <c:pt idx="1">
                  <c:v>3111.04</c:v>
                </c:pt>
              </c:numCache>
            </c:numRef>
          </c:val>
        </c:ser>
        <c:dLbls>
          <c:showLegendKey val="0"/>
          <c:showVal val="1"/>
          <c:showCatName val="0"/>
          <c:showSerName val="0"/>
          <c:showPercent val="0"/>
          <c:showBubbleSize val="0"/>
        </c:dLbls>
        <c:gapWidth val="41"/>
        <c:axId val="261387392"/>
        <c:axId val="261388928"/>
      </c:barChart>
      <c:catAx>
        <c:axId val="261387392"/>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dk1">
                    <a:lumMod val="65000"/>
                    <a:lumOff val="35000"/>
                  </a:schemeClr>
                </a:solidFill>
                <a:effectLst/>
                <a:latin typeface="+mn-lt"/>
                <a:ea typeface="+mn-ea"/>
                <a:cs typeface="+mn-cs"/>
              </a:defRPr>
            </a:pPr>
          </a:p>
        </c:txPr>
        <c:crossAx val="261388928"/>
        <c:crosses val="autoZero"/>
        <c:auto val="1"/>
        <c:lblAlgn val="ctr"/>
        <c:lblOffset val="100"/>
        <c:noMultiLvlLbl val="0"/>
      </c:catAx>
      <c:valAx>
        <c:axId val="261388928"/>
        <c:scaling>
          <c:orientation val="minMax"/>
        </c:scaling>
        <c:delete val="1"/>
        <c:axPos val="l"/>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138739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收入决算结构图</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{"一般公共预算财政拨款收入","事业收入"}</c:f>
              <c:strCache>
                <c:ptCount val="2"/>
                <c:pt idx="0">
                  <c:v>一般公共预算财政拨款收入</c:v>
                </c:pt>
                <c:pt idx="1">
                  <c:v>事业收入</c:v>
                </c:pt>
              </c:strCache>
            </c:strRef>
          </c:cat>
          <c:val>
            <c:numRef>
              <c:f>{2259.46,851.58}</c:f>
              <c:numCache>
                <c:formatCode>General</c:formatCode>
                <c:ptCount val="2"/>
                <c:pt idx="0">
                  <c:v>2259.46</c:v>
                </c:pt>
                <c:pt idx="1">
                  <c:v>851.58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支出决算结构图</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{"基本支出","项目支出"}</c:f>
              <c:strCache>
                <c:ptCount val="2"/>
                <c:pt idx="0">
                  <c:v>基本支出</c:v>
                </c:pt>
                <c:pt idx="1">
                  <c:v>项目支出</c:v>
                </c:pt>
              </c:strCache>
            </c:strRef>
          </c:cat>
          <c:val>
            <c:numRef>
              <c:f>{1043.04,2068}</c:f>
              <c:numCache>
                <c:formatCode>General</c:formatCode>
                <c:ptCount val="2"/>
                <c:pt idx="0">
                  <c:v>1043.04</c:v>
                </c:pt>
                <c:pt idx="1">
                  <c:v>2068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2"/>
                </a:solidFill>
                <a:latin typeface="+mn-lt"/>
                <a:ea typeface="+mn-ea"/>
                <a:cs typeface="+mn-cs"/>
              </a:defRPr>
            </a:pPr>
            <a:r>
              <a:rPr lang="en-US" altLang="zh-CN"/>
              <a:t>财政拨款收、支决算总计变动情况</a:t>
            </a:r>
            <a:endParaRPr lang="en-US" altLang="zh-CN"/>
          </a:p>
        </c:rich>
      </c:tx>
      <c:layout/>
      <c:overlay val="0"/>
      <c:spPr>
        <a:noFill/>
        <a:ln>
          <a:noFill/>
        </a:ln>
        <a:effectLst/>
      </c:spPr>
    </c:title>
    <c:autoTitleDeleted val="0"/>
    <c:plotArea>
      <c:layout/>
      <c:barChart>
        <c:barDir val="col"/>
        <c:grouping val="clustered"/>
        <c:varyColors val="0"/>
        <c:ser>
          <c:idx val="1"/>
          <c:order val="0"/>
          <c:tx>
            <c:strRef>
              <c:f>收支总计</c:f>
              <c:strCache>
                <c:ptCount val="1"/>
                <c:pt idx="0">
                  <c:v>收支总计</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{"2024","2025"}</c:f>
              <c:strCache>
                <c:ptCount val="2"/>
                <c:pt idx="0">
                  <c:v>2024</c:v>
                </c:pt>
                <c:pt idx="1">
                  <c:v>2025</c:v>
                </c:pt>
              </c:strCache>
            </c:strRef>
          </c:cat>
          <c:val>
            <c:numRef>
              <c:f>{1981.05,2259.46}</c:f>
              <c:numCache>
                <c:formatCode>General</c:formatCode>
                <c:ptCount val="2"/>
                <c:pt idx="0">
                  <c:v>1981.05</c:v>
                </c:pt>
                <c:pt idx="1">
                  <c:v>2259.46</c:v>
                </c:pt>
              </c:numCache>
            </c:numRef>
          </c:val>
        </c:ser>
        <c:dLbls>
          <c:showLegendKey val="0"/>
          <c:showVal val="1"/>
          <c:showCatName val="0"/>
          <c:showSerName val="0"/>
          <c:showPercent val="0"/>
          <c:showBubbleSize val="0"/>
        </c:dLbls>
        <c:gapWidth val="100"/>
        <c:overlap val="-24"/>
        <c:axId val="263359104"/>
        <c:axId val="263373184"/>
      </c:barChart>
      <c:catAx>
        <c:axId val="263359104"/>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73184"/>
        <c:crosses val="autoZero"/>
        <c:auto val="1"/>
        <c:lblAlgn val="ctr"/>
        <c:lblOffset val="100"/>
        <c:noMultiLvlLbl val="0"/>
      </c:catAx>
      <c:valAx>
        <c:axId val="263373184"/>
        <c:scaling>
          <c:orientation val="minMax"/>
        </c:scaling>
        <c:delete val="0"/>
        <c:axPos val="l"/>
        <c:majorGridlines>
          <c:spPr>
            <a:ln w="9525" cap="flat" cmpd="sng" algn="ctr">
              <a:solidFill>
                <a:schemeClr val="tx2">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591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1">
                    <a:lumMod val="65000"/>
                    <a:lumOff val="35000"/>
                  </a:schemeClr>
                </a:solidFill>
                <a:latin typeface="+mn-lt"/>
                <a:ea typeface="+mn-ea"/>
                <a:cs typeface="+mn-cs"/>
              </a:defRPr>
            </a:pPr>
            <a:r>
              <a:rPr lang="zh-CN" altLang="en-US" sz="1200"/>
              <a:t>一般公共预算财政拨款支出</a:t>
            </a:r>
            <a:endParaRPr lang="zh-CN" altLang="en-US" sz="1200"/>
          </a:p>
        </c:rich>
      </c:tx>
      <c:layout/>
      <c:overlay val="0"/>
      <c:spPr>
        <a:noFill/>
        <a:ln>
          <a:noFill/>
        </a:ln>
        <a:effectLst/>
      </c:spPr>
    </c:title>
    <c:autoTitleDeleted val="0"/>
    <c:plotArea>
      <c:layout>
        <c:manualLayout>
          <c:layoutTarget val="inner"/>
          <c:xMode val="edge"/>
          <c:yMode val="edge"/>
          <c:x val="0.0736333103993069"/>
          <c:y val="0.199582873033408"/>
          <c:w val="0.767623678108199"/>
          <c:h val="0.708506514060342"/>
        </c:manualLayout>
      </c:layout>
      <c:barChart>
        <c:barDir val="col"/>
        <c:grouping val="clustered"/>
        <c:varyColors val="0"/>
        <c:ser>
          <c:idx val="1"/>
          <c:order val="0"/>
          <c:tx>
            <c:strRef>
              <c:f>2024</c:f>
              <c:strCache>
                <c:ptCount val="1"/>
                <c:pt idx="0">
                  <c:v>2024</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{1981.05}</c:f>
              <c:numCache>
                <c:formatCode>General</c:formatCode>
                <c:ptCount val="1"/>
                <c:pt idx="0">
                  <c:v>1981.05</c:v>
                </c:pt>
              </c:numCache>
            </c:numRef>
          </c:val>
        </c:ser>
        <c:ser>
          <c:idx val="2"/>
          <c:order val="1"/>
          <c:tx>
            <c:strRef>
              <c:f>2025</c:f>
              <c:strCache>
                <c:ptCount val="1"/>
                <c:pt idx="0">
                  <c:v>2025</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{2259.46}</c:f>
              <c:numCache>
                <c:formatCode>General</c:formatCode>
                <c:ptCount val="1"/>
                <c:pt idx="0">
                  <c:v>2259.46</c:v>
                </c:pt>
              </c:numCache>
            </c:numRef>
          </c:val>
        </c:ser>
        <c:dLbls>
          <c:showLegendKey val="0"/>
          <c:showVal val="1"/>
          <c:showCatName val="0"/>
          <c:showSerName val="0"/>
          <c:showPercent val="0"/>
          <c:showBubbleSize val="0"/>
        </c:dLbls>
        <c:gapWidth val="100"/>
        <c:overlap val="-24"/>
        <c:axId val="263440640"/>
        <c:axId val="263135232"/>
      </c:barChart>
      <c:catAx>
        <c:axId val="263440640"/>
        <c:scaling>
          <c:orientation val="minMax"/>
        </c:scaling>
        <c:delete val="1"/>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135232"/>
        <c:crosses val="autoZero"/>
        <c:auto val="1"/>
        <c:lblAlgn val="ctr"/>
        <c:lblOffset val="100"/>
        <c:noMultiLvlLbl val="0"/>
      </c:catAx>
      <c:valAx>
        <c:axId val="2631352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34406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一般公共预算财政拨款支出</a:t>
            </a:r>
            <a:endParaRPr lang="en-US" sz="1100"/>
          </a:p>
        </c:rich>
      </c:tx>
      <c:layout/>
      <c:overlay val="0"/>
    </c:title>
    <c:autoTitleDeleted val="0"/>
    <c:plotArea>
      <c:layout/>
      <c:pieChart>
        <c:varyColors val="1"/>
        <c:ser>
          <c:idx val="1"/>
          <c:order val="0"/>
          <c:explosion val="0"/>
          <c:dPt>
            <c:idx val="0"/>
            <c:bubble3D val="0"/>
          </c:dPt>
          <c:dPt>
            <c:idx val="1"/>
            <c:bubble3D val="0"/>
          </c:dPt>
          <c:dPt>
            <c:idx val="2"/>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{"社会保障和就业支出","卫生健康支出","住房保障支出"}</c:f>
              <c:strCache>
                <c:ptCount val="3"/>
                <c:pt idx="0">
                  <c:v>社会保障和就业支出</c:v>
                </c:pt>
                <c:pt idx="1">
                  <c:v>卫生健康支出</c:v>
                </c:pt>
                <c:pt idx="2">
                  <c:v>住房保障支出</c:v>
                </c:pt>
              </c:strCache>
            </c:strRef>
          </c:cat>
          <c:val>
            <c:numRef>
              <c:f>{162.58,2009.99,86.89}</c:f>
              <c:numCache>
                <c:formatCode>General</c:formatCode>
                <c:ptCount val="3"/>
                <c:pt idx="0">
                  <c:v>162.58</c:v>
                </c:pt>
                <c:pt idx="1">
                  <c:v>2009.99</c:v>
                </c:pt>
                <c:pt idx="2">
                  <c:v>86.89</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4FC5A5-8DE4-4565-B639-6D345C1D7E6D}">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57</Pages>
  <Words>15</Words>
  <Characters>18</Characters>
  <Lines>48</Lines>
  <Paragraphs>13</Paragraphs>
  <TotalTime>7</TotalTime>
  <ScaleCrop>false</ScaleCrop>
  <LinksUpToDate>false</LinksUpToDate>
  <CharactersWithSpaces>19</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2023-08-18T07:28:00Z</dcterms:created>
  <dc:creator>pjf</dc:creator>
  <cp:lastModifiedBy>Administrator</cp:lastModifiedBy>
  <cp:lastPrinted>2021-09-26T08:39:00Z</cp:lastPrinted>
  <dcterms:modified xsi:type="dcterms:W3CDTF">2026-10-13T02:40:57Z</dcterms:modified>
  <dc:title>四川省决算编制说明</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AE704E13CFF4408687CAE6A43C450F27_13</vt:lpwstr>
  </property>
  <property fmtid="{D5CDD505-2E9C-101B-9397-08002B2CF9AE}" pid="4" name="KSOTemplateDocerSaveRecord">
    <vt:lpwstr>eyJoZGlkIjoiMDE4OTdiZTFkZWU0MGIyMThjMzI3NTIyMWVlNTQwN2EiLCJ1c2VySWQiOiI2NDMzNDIwNjEifQ==</vt:lpwstr>
  </property>
</Properties>
</file>