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ocument.xml" ContentType="application/vnd.openxmlformats-officedocument.wordprocessingml.document.main+xml"/>
  <Override PartName="/word/drawings/drawing1.xml" ContentType="application/vnd.openxmlformats-officedocument.drawingml.chartshap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eastAsia" w:ascii="Times New Roman" w:hAnsi="Times New Roman" w:eastAsia="方正小标宋简体" w:cs="Times New Roman"/>
          <w:color w:val="auto"/>
          <w:kern w:val="2"/>
          <w:sz w:val="72"/>
          <w:szCs w:val="72"/>
          <w:highlight w:val="none"/>
          <w:lang w:val="en-US" w:eastAsia="zh-CN" w:bidi="ar-SA"/>
        </w:rPr>
      </w:pPr>
      <w:bookmarkStart w:id="0" w:name="_Toc15378441"/>
      <w:bookmarkStart w:id="1" w:name="_Toc15396475"/>
      <w:bookmarkStart w:id="2" w:name="_Toc15377425"/>
      <w:bookmarkStart w:id="3" w:name="_Toc15306267"/>
      <w:bookmarkStart w:id="4" w:name="_Toc15396597"/>
      <w:bookmarkStart w:id="5" w:name="_Toc15377193"/>
    </w:p>
    <w:p>
      <w:pPr>
        <w:pStyle w:val="2"/>
        <w:rPr>
          <w:rFonts w:hint="eastAsia" w:ascii="Times New Roman" w:hAnsi="Times New Roman" w:eastAsia="方正小标宋简体" w:cs="Times New Roman"/>
          <w:color w:val="auto"/>
          <w:kern w:val="2"/>
          <w:sz w:val="72"/>
          <w:szCs w:val="72"/>
          <w:highlight w:val="none"/>
          <w:lang w:val="en-US" w:eastAsia="zh-CN" w:bidi="ar-SA"/>
        </w:rPr>
      </w:pPr>
    </w:p>
    <w:p>
      <w:pPr>
        <w:pStyle w:val="2"/>
        <w:rPr>
          <w:rFonts w:hint="eastAsia" w:ascii="Times New Roman" w:hAnsi="Times New Roman" w:eastAsia="方正小标宋简体" w:cs="Times New Roman"/>
          <w:color w:val="auto"/>
          <w:kern w:val="2"/>
          <w:sz w:val="72"/>
          <w:szCs w:val="72"/>
          <w:highlight w:val="none"/>
          <w:lang w:val="en-US" w:eastAsia="zh-CN" w:bidi="ar-SA"/>
        </w:rPr>
      </w:pPr>
    </w:p>
    <w:p>
      <w:pPr>
        <w:pStyle w:val="2"/>
        <w:jc w:val="center"/>
        <w:rPr>
          <w:rFonts w:hint="eastAsia" w:ascii="Times New Roman" w:hAnsi="Times New Roman" w:eastAsia="方正小标宋简体" w:cs="Times New Roman"/>
          <w:color w:val="auto"/>
          <w:kern w:val="2"/>
          <w:sz w:val="72"/>
          <w:szCs w:val="72"/>
          <w:highlight w:val="none"/>
          <w:lang w:val="en-US" w:eastAsia="zh-CN" w:bidi="ar-SA"/>
        </w:rPr>
      </w:pPr>
      <w:r>
        <w:rPr>
          <w:rFonts w:hint="eastAsia" w:ascii="Times New Roman" w:hAnsi="Times New Roman" w:eastAsia="方正小标宋简体" w:cs="Times New Roman"/>
          <w:color w:val="auto"/>
          <w:kern w:val="2"/>
          <w:sz w:val="72"/>
          <w:szCs w:val="72"/>
          <w:highlight w:val="none"/>
          <w:lang w:val="en-US" w:eastAsia="zh-CN" w:bidi="ar-SA"/>
        </w:rPr>
        <w:t>202</w:t>
      </w:r>
      <w:r>
        <w:rPr>
          <w:rFonts w:hint="eastAsia" w:ascii="Times New Roman" w:eastAsia="方正小标宋简体" w:cs="Times New Roman"/>
          <w:color w:val="auto"/>
          <w:kern w:val="2"/>
          <w:sz w:val="72"/>
          <w:szCs w:val="72"/>
          <w:highlight w:val="none"/>
          <w:lang w:val="en-US" w:eastAsia="zh-CN" w:bidi="ar-SA"/>
        </w:rPr>
        <w:t>5</w:t>
      </w:r>
      <w:r>
        <w:rPr>
          <w:rFonts w:hint="eastAsia" w:ascii="Times New Roman" w:hAnsi="Times New Roman" w:eastAsia="方正小标宋简体" w:cs="Times New Roman"/>
          <w:color w:val="auto"/>
          <w:kern w:val="2"/>
          <w:sz w:val="72"/>
          <w:szCs w:val="72"/>
          <w:highlight w:val="none"/>
          <w:lang w:val="en-US" w:eastAsia="zh-CN" w:bidi="ar-SA"/>
        </w:rPr>
        <w:t>年度</w:t>
      </w:r>
    </w:p>
    <w:p>
      <w:pPr>
        <w:pStyle w:val="2"/>
        <w:jc w:val="center"/>
        <w:rPr>
          <w:rFonts w:hint="eastAsia" w:ascii="Times New Roman" w:eastAsia="方正小标宋简体" w:cs="Times New Roman"/>
          <w:color w:val="auto"/>
          <w:kern w:val="2"/>
          <w:sz w:val="72"/>
          <w:szCs w:val="72"/>
          <w:highlight w:val="none"/>
          <w:lang w:val="en-US" w:eastAsia="zh-CN" w:bidi="ar-SA"/>
        </w:rPr>
      </w:pPr>
      <w:r>
        <w:rPr>
          <w:rFonts w:hint="eastAsia" w:ascii="Times New Roman" w:eastAsia="方正小标宋简体" w:cs="Times New Roman"/>
          <w:color w:val="auto"/>
          <w:kern w:val="2"/>
          <w:sz w:val="72"/>
          <w:szCs w:val="72"/>
          <w:highlight w:val="none"/>
          <w:lang w:val="en-US" w:eastAsia="zh-CN" w:bidi="ar-SA"/>
        </w:rPr>
        <w:t>阿坝州红原县麦洼乡小学</w:t>
      </w:r>
    </w:p>
    <w:p>
      <w:pPr>
        <w:pStyle w:val="2"/>
        <w:jc w:val="center"/>
        <w:rPr>
          <w:rFonts w:hint="default" w:ascii="Times New Roman" w:hAnsi="Times New Roman" w:eastAsia="方正小标宋简体" w:cs="Times New Roman"/>
          <w:color w:val="auto"/>
          <w:kern w:val="2"/>
          <w:sz w:val="72"/>
          <w:szCs w:val="72"/>
          <w:highlight w:val="none"/>
          <w:lang w:val="en-US" w:eastAsia="zh-CN" w:bidi="ar-SA"/>
        </w:rPr>
      </w:pPr>
      <w:r>
        <w:rPr>
          <w:rFonts w:hint="eastAsia" w:ascii="Times New Roman" w:eastAsia="方正小标宋简体" w:cs="Times New Roman"/>
          <w:color w:val="auto"/>
          <w:kern w:val="2"/>
          <w:sz w:val="72"/>
          <w:szCs w:val="72"/>
          <w:highlight w:val="none"/>
          <w:lang w:val="en-US" w:eastAsia="zh-CN" w:bidi="ar-SA"/>
        </w:rPr>
        <w:t>单位</w:t>
      </w:r>
      <w:r>
        <w:rPr>
          <w:rFonts w:hint="eastAsia" w:ascii="Times New Roman" w:hAnsi="Times New Roman" w:eastAsia="方正小标宋简体" w:cs="Times New Roman"/>
          <w:color w:val="auto"/>
          <w:kern w:val="2"/>
          <w:sz w:val="72"/>
          <w:szCs w:val="72"/>
          <w:highlight w:val="none"/>
          <w:lang w:val="en-US" w:eastAsia="zh-CN" w:bidi="ar-SA"/>
        </w:rPr>
        <w:t>决算</w:t>
      </w:r>
      <w:bookmarkStart w:id="121" w:name="_GoBack"/>
      <w:bookmarkEnd w:id="121"/>
    </w:p>
    <w:p>
      <w:pPr>
        <w:pStyle w:val="19"/>
        <w:rPr>
          <w:rFonts w:ascii="Times New Roman" w:hAnsi="Times New Roman"/>
          <w:sz w:val="72"/>
          <w:szCs w:val="72"/>
        </w:rPr>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pStyle w:val="2"/>
        <w:spacing w:beforeLines="0"/>
        <w:jc w:val="center"/>
        <w:rPr>
          <w:color w:val="000000"/>
        </w:rPr>
      </w:pPr>
      <w:r>
        <w:rPr>
          <w:rFonts w:hint="eastAsia"/>
          <w:lang w:eastAsia="zh-CN"/>
        </w:rPr>
        <w:tab/>
      </w:r>
      <w:bookmarkStart w:id="6" w:name="_Hlk113547609"/>
      <w:r>
        <w:rPr>
          <w:rFonts w:hint="eastAsia" w:cs="仿宋_GB2312"/>
          <w:color w:val="000000"/>
          <w:sz w:val="32"/>
          <w:szCs w:val="32"/>
        </w:rPr>
        <w:t>已经保密审查、内容审定，同意对外公开</w:t>
      </w:r>
      <w:bookmarkEnd w:id="6"/>
    </w:p>
    <w:p>
      <w:pPr>
        <w:tabs>
          <w:tab w:val="left" w:pos="3144"/>
        </w:tabs>
        <w:bidi w:val="0"/>
        <w:jc w:val="left"/>
        <w:rPr>
          <w:rFonts w:hint="eastAsia" w:eastAsia="宋体"/>
          <w:lang w:eastAsia="zh-CN"/>
        </w:rPr>
        <w:sectPr>
          <w:headerReference r:id="rId3" w:type="default"/>
          <w:footerReference r:id="rId4" w:type="default"/>
          <w:pgSz w:w="11906" w:h="16838"/>
          <w:pgMar w:top="1440" w:right="1800" w:bottom="1440" w:left="1800" w:header="851" w:footer="992" w:gutter="0"/>
          <w:pgNumType w:fmt="numberInDash" w:start="1"/>
          <w:cols w:space="425" w:num="1"/>
          <w:titlePg/>
          <w:docGrid w:type="lines" w:linePitch="312" w:charSpace="0"/>
        </w:sectPr>
      </w:pPr>
    </w:p>
    <w:bookmarkEnd w:id="0"/>
    <w:bookmarkEnd w:id="1"/>
    <w:bookmarkEnd w:id="2"/>
    <w:bookmarkEnd w:id="3"/>
    <w:bookmarkEnd w:id="4"/>
    <w:bookmarkEnd w:id="5"/>
    <w:p>
      <w:pPr>
        <w:widowControl/>
        <w:jc w:val="center"/>
        <w:rPr>
          <w:rFonts w:ascii="Times New Roman" w:hAnsi="Times New Roman" w:eastAsia="黑体"/>
          <w:color w:val="auto"/>
          <w:sz w:val="48"/>
          <w:szCs w:val="48"/>
          <w:highlight w:val="none"/>
        </w:rPr>
      </w:pPr>
      <w:r>
        <w:rPr>
          <w:rFonts w:hint="eastAsia" w:ascii="Times New Roman" w:hAnsi="Times New Roman" w:eastAsia="黑体"/>
          <w:color w:val="auto"/>
          <w:sz w:val="48"/>
          <w:szCs w:val="48"/>
          <w:highlight w:val="none"/>
        </w:rPr>
        <w:t>目录</w:t>
      </w:r>
    </w:p>
    <w:p>
      <w:pPr>
        <w:widowControl/>
        <w:jc w:val="center"/>
        <w:rPr>
          <w:rFonts w:ascii="Times New Roman" w:hAnsi="Times New Roman" w:eastAsia="黑体" w:cstheme="minorBidi"/>
          <w:color w:val="auto"/>
          <w:sz w:val="28"/>
          <w:szCs w:val="28"/>
          <w:highlight w:val="none"/>
        </w:rPr>
      </w:pPr>
    </w:p>
    <w:p>
      <w:pPr>
        <w:pStyle w:val="12"/>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公开时间：20</w:t>
      </w:r>
      <w:r>
        <w:rPr>
          <w:rFonts w:hint="eastAsia" w:ascii="Times New Roman" w:hAnsi="Times New Roman" w:eastAsia="仿宋_GB2312" w:cs="仿宋_GB2312"/>
          <w:color w:val="auto"/>
          <w:sz w:val="32"/>
          <w:szCs w:val="32"/>
          <w:highlight w:val="none"/>
          <w:lang w:val="en-US" w:eastAsia="zh-CN"/>
        </w:rPr>
        <w:t>25</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val="en-US" w:eastAsia="zh-CN"/>
        </w:rPr>
        <w:t>10</w:t>
      </w:r>
      <w:r>
        <w:rPr>
          <w:rFonts w:hint="eastAsia" w:ascii="Times New Roman" w:hAnsi="Times New Roman" w:eastAsia="仿宋_GB2312" w:cs="仿宋_GB2312"/>
          <w:color w:val="auto"/>
          <w:sz w:val="32"/>
          <w:szCs w:val="32"/>
          <w:highlight w:val="none"/>
        </w:rPr>
        <w:t>月</w:t>
      </w:r>
      <w:r>
        <w:rPr>
          <w:rFonts w:hint="eastAsia" w:ascii="Times New Roman" w:hAnsi="Times New Roman" w:eastAsia="仿宋_GB2312" w:cs="仿宋_GB2312"/>
          <w:color w:val="auto"/>
          <w:sz w:val="32"/>
          <w:szCs w:val="32"/>
          <w:highlight w:val="none"/>
          <w:lang w:val="en-US" w:eastAsia="zh-CN"/>
        </w:rPr>
        <w:t>20</w:t>
      </w:r>
      <w:r>
        <w:rPr>
          <w:rFonts w:hint="eastAsia" w:ascii="Times New Roman" w:hAnsi="Times New Roman" w:eastAsia="仿宋_GB2312" w:cs="仿宋_GB2312"/>
          <w:color w:val="auto"/>
          <w:sz w:val="32"/>
          <w:szCs w:val="32"/>
          <w:highlight w:val="none"/>
        </w:rPr>
        <w:t>日</w:t>
      </w:r>
    </w:p>
    <w:p>
      <w:pPr>
        <w:jc w:val="both"/>
        <w:rPr>
          <w:rFonts w:ascii="Times New Roman" w:hAnsi="Times New Roman"/>
          <w:color w:val="auto"/>
          <w:sz w:val="24"/>
          <w:szCs w:val="24"/>
          <w:highlight w:val="none"/>
        </w:rPr>
      </w:pPr>
    </w:p>
    <w:p>
      <w:pPr>
        <w:pStyle w:val="36"/>
        <w:tabs>
          <w:tab w:val="right" w:leader="dot" w:pos="8306"/>
        </w:tabs>
        <w:ind w:left="0" w:leftChars="0" w:firstLine="0" w:firstLineChars="0"/>
        <w:jc w:val="both"/>
        <w:rPr>
          <w:sz w:val="24"/>
          <w:szCs w:val="24"/>
        </w:rPr>
      </w:pPr>
      <w:bookmarkStart w:id="7" w:name="_Toc15396599"/>
      <w:bookmarkStart w:id="8" w:name="_Toc15377196"/>
      <w:r>
        <w:rPr>
          <w:sz w:val="24"/>
          <w:szCs w:val="24"/>
        </w:rPr>
        <w:fldChar w:fldCharType="begin"/>
      </w:r>
      <w:r>
        <w:rPr>
          <w:sz w:val="24"/>
          <w:szCs w:val="24"/>
        </w:rPr>
        <w:instrText xml:space="preserve"> HYPERLINK \l "_Toc32767_WPSOffice_Level2" </w:instrText>
      </w:r>
      <w:r>
        <w:rPr>
          <w:sz w:val="24"/>
          <w:szCs w:val="24"/>
        </w:rPr>
        <w:fldChar w:fldCharType="separate"/>
      </w:r>
      <w:r>
        <w:rPr>
          <w:rFonts w:hint="eastAsia" w:ascii="黑体" w:hAnsi="黑体" w:eastAsia="黑体"/>
          <w:sz w:val="24"/>
          <w:szCs w:val="24"/>
        </w:rPr>
        <w:t>一、基本职能及主要工作</w:t>
      </w:r>
      <w:r>
        <w:rPr>
          <w:sz w:val="24"/>
          <w:szCs w:val="24"/>
        </w:rPr>
        <w:fldChar w:fldCharType="end"/>
      </w:r>
    </w:p>
    <w:p>
      <w:pPr>
        <w:pStyle w:val="37"/>
        <w:tabs>
          <w:tab w:val="right" w:leader="dot" w:pos="8306"/>
        </w:tabs>
        <w:ind w:left="0" w:leftChars="0" w:firstLine="240" w:firstLineChars="100"/>
        <w:jc w:val="both"/>
        <w:rPr>
          <w:sz w:val="24"/>
          <w:szCs w:val="24"/>
        </w:rPr>
      </w:pPr>
      <w:r>
        <w:rPr>
          <w:sz w:val="24"/>
          <w:szCs w:val="24"/>
        </w:rPr>
        <w:fldChar w:fldCharType="begin"/>
      </w:r>
      <w:r>
        <w:rPr>
          <w:sz w:val="24"/>
          <w:szCs w:val="24"/>
        </w:rPr>
        <w:instrText xml:space="preserve"> HYPERLINK \l "_Toc32767_WPSOffice_Level3" </w:instrText>
      </w:r>
      <w:r>
        <w:rPr>
          <w:sz w:val="24"/>
          <w:szCs w:val="24"/>
        </w:rPr>
        <w:fldChar w:fldCharType="separate"/>
      </w:r>
      <w:r>
        <w:rPr>
          <w:rFonts w:hint="eastAsia" w:ascii="仿宋" w:hAnsi="仿宋" w:eastAsia="仿宋"/>
          <w:sz w:val="24"/>
          <w:szCs w:val="24"/>
        </w:rPr>
        <w:t>（一）主要职能。</w:t>
      </w:r>
      <w:r>
        <w:rPr>
          <w:sz w:val="24"/>
          <w:szCs w:val="24"/>
        </w:rPr>
        <w:fldChar w:fldCharType="end"/>
      </w:r>
    </w:p>
    <w:p>
      <w:pPr>
        <w:pStyle w:val="37"/>
        <w:tabs>
          <w:tab w:val="right" w:leader="dot" w:pos="8306"/>
        </w:tabs>
        <w:ind w:left="0" w:leftChars="0" w:firstLine="240" w:firstLineChars="100"/>
        <w:jc w:val="both"/>
        <w:rPr>
          <w:sz w:val="24"/>
          <w:szCs w:val="24"/>
        </w:rPr>
      </w:pPr>
      <w:r>
        <w:rPr>
          <w:sz w:val="24"/>
          <w:szCs w:val="24"/>
        </w:rPr>
        <w:fldChar w:fldCharType="begin"/>
      </w:r>
      <w:r>
        <w:rPr>
          <w:sz w:val="24"/>
          <w:szCs w:val="24"/>
        </w:rPr>
        <w:instrText xml:space="preserve"> HYPERLINK \l "_Toc24006_WPSOffice_Level3" </w:instrText>
      </w:r>
      <w:r>
        <w:rPr>
          <w:sz w:val="24"/>
          <w:szCs w:val="24"/>
        </w:rPr>
        <w:fldChar w:fldCharType="separate"/>
      </w:r>
      <w:r>
        <w:rPr>
          <w:rFonts w:hint="eastAsia" w:ascii="仿宋" w:hAnsi="仿宋" w:eastAsia="仿宋"/>
          <w:sz w:val="24"/>
          <w:szCs w:val="24"/>
        </w:rPr>
        <w:t>（二）</w:t>
      </w:r>
      <w:r>
        <w:rPr>
          <w:rFonts w:ascii="仿宋" w:hAnsi="仿宋" w:eastAsia="仿宋"/>
          <w:sz w:val="24"/>
          <w:szCs w:val="24"/>
        </w:rPr>
        <w:t>2</w:t>
      </w:r>
      <w:r>
        <w:rPr>
          <w:rFonts w:hint="eastAsia" w:ascii="仿宋" w:hAnsi="仿宋" w:eastAsia="仿宋"/>
          <w:sz w:val="24"/>
          <w:szCs w:val="24"/>
        </w:rPr>
        <w:t>0</w:t>
      </w:r>
      <w:r>
        <w:rPr>
          <w:rFonts w:ascii="仿宋" w:hAnsi="仿宋" w:eastAsia="仿宋"/>
          <w:sz w:val="24"/>
          <w:szCs w:val="24"/>
        </w:rPr>
        <w:t>2</w:t>
      </w:r>
      <w:r>
        <w:rPr>
          <w:rFonts w:hint="eastAsia" w:ascii="仿宋" w:hAnsi="仿宋" w:eastAsia="仿宋"/>
          <w:sz w:val="24"/>
          <w:szCs w:val="24"/>
          <w:lang w:val="en-US" w:eastAsia="zh-CN"/>
        </w:rPr>
        <w:t>5</w:t>
      </w:r>
      <w:r>
        <w:rPr>
          <w:rFonts w:hint="eastAsia" w:ascii="仿宋" w:hAnsi="仿宋" w:eastAsia="仿宋"/>
          <w:sz w:val="24"/>
          <w:szCs w:val="24"/>
        </w:rPr>
        <w:t>年重点工作完成情况。</w:t>
      </w:r>
      <w:r>
        <w:rPr>
          <w:sz w:val="24"/>
          <w:szCs w:val="24"/>
        </w:rPr>
        <w:fldChar w:fldCharType="end"/>
      </w:r>
    </w:p>
    <w:p>
      <w:pPr>
        <w:pStyle w:val="36"/>
        <w:tabs>
          <w:tab w:val="right" w:leader="dot" w:pos="8306"/>
        </w:tabs>
        <w:ind w:left="420"/>
        <w:jc w:val="both"/>
        <w:rPr>
          <w:sz w:val="24"/>
          <w:szCs w:val="24"/>
        </w:rPr>
      </w:pPr>
      <w:r>
        <w:rPr>
          <w:sz w:val="24"/>
          <w:szCs w:val="24"/>
        </w:rPr>
        <w:fldChar w:fldCharType="begin"/>
      </w:r>
      <w:r>
        <w:rPr>
          <w:sz w:val="24"/>
          <w:szCs w:val="24"/>
        </w:rPr>
        <w:instrText xml:space="preserve"> HYPERLINK \l "_Toc24006_WPSOffice_Level2" </w:instrText>
      </w:r>
      <w:r>
        <w:rPr>
          <w:sz w:val="24"/>
          <w:szCs w:val="24"/>
        </w:rPr>
        <w:fldChar w:fldCharType="separate"/>
      </w:r>
      <w:r>
        <w:rPr>
          <w:rFonts w:hint="eastAsia" w:ascii="黑体" w:hAnsi="黑体" w:eastAsia="黑体"/>
          <w:sz w:val="24"/>
          <w:szCs w:val="24"/>
        </w:rPr>
        <w:t>二、机构设置</w:t>
      </w:r>
      <w:r>
        <w:rPr>
          <w:sz w:val="24"/>
          <w:szCs w:val="24"/>
        </w:rPr>
        <w:fldChar w:fldCharType="end"/>
      </w:r>
    </w:p>
    <w:p>
      <w:pPr>
        <w:pStyle w:val="35"/>
        <w:tabs>
          <w:tab w:val="right" w:leader="dot" w:pos="8306"/>
        </w:tabs>
        <w:jc w:val="both"/>
        <w:rPr>
          <w:sz w:val="24"/>
          <w:szCs w:val="24"/>
        </w:rPr>
      </w:pPr>
      <w:r>
        <w:rPr>
          <w:sz w:val="24"/>
          <w:szCs w:val="24"/>
        </w:rPr>
        <w:fldChar w:fldCharType="begin"/>
      </w:r>
      <w:r>
        <w:rPr>
          <w:sz w:val="24"/>
          <w:szCs w:val="24"/>
        </w:rPr>
        <w:instrText xml:space="preserve"> HYPERLINK \l "_Toc32767_WPSOffice_Level1" </w:instrText>
      </w:r>
      <w:r>
        <w:rPr>
          <w:sz w:val="24"/>
          <w:szCs w:val="24"/>
        </w:rPr>
        <w:fldChar w:fldCharType="separate"/>
      </w:r>
      <w:r>
        <w:rPr>
          <w:rFonts w:hint="eastAsia" w:ascii="黑体" w:hAnsi="黑体" w:eastAsia="黑体"/>
          <w:sz w:val="24"/>
          <w:szCs w:val="24"/>
        </w:rPr>
        <w:t xml:space="preserve">第二部分 </w:t>
      </w:r>
      <w:r>
        <w:rPr>
          <w:rFonts w:ascii="黑体" w:hAnsi="黑体" w:eastAsia="黑体"/>
          <w:sz w:val="24"/>
          <w:szCs w:val="24"/>
        </w:rPr>
        <w:t xml:space="preserve"> 202</w:t>
      </w:r>
      <w:r>
        <w:rPr>
          <w:rFonts w:hint="eastAsia" w:ascii="黑体" w:hAnsi="黑体" w:eastAsia="黑体"/>
          <w:sz w:val="24"/>
          <w:szCs w:val="24"/>
          <w:lang w:val="en-US" w:eastAsia="zh-CN"/>
        </w:rPr>
        <w:t>5</w:t>
      </w:r>
      <w:r>
        <w:rPr>
          <w:rFonts w:hint="eastAsia" w:ascii="黑体" w:hAnsi="黑体" w:eastAsia="黑体"/>
          <w:sz w:val="24"/>
          <w:szCs w:val="24"/>
        </w:rPr>
        <w:t>年度部门决算情况说明</w:t>
      </w:r>
      <w:r>
        <w:rPr>
          <w:sz w:val="24"/>
          <w:szCs w:val="24"/>
        </w:rPr>
        <w:fldChar w:fldCharType="end"/>
      </w:r>
    </w:p>
    <w:p>
      <w:pPr>
        <w:pStyle w:val="36"/>
        <w:tabs>
          <w:tab w:val="right" w:leader="dot" w:pos="8306"/>
        </w:tabs>
        <w:ind w:left="420"/>
        <w:jc w:val="both"/>
        <w:rPr>
          <w:sz w:val="24"/>
          <w:szCs w:val="24"/>
        </w:rPr>
      </w:pPr>
      <w:r>
        <w:rPr>
          <w:sz w:val="24"/>
          <w:szCs w:val="24"/>
        </w:rPr>
        <w:fldChar w:fldCharType="begin"/>
      </w:r>
      <w:r>
        <w:rPr>
          <w:sz w:val="24"/>
          <w:szCs w:val="24"/>
        </w:rPr>
        <w:instrText xml:space="preserve"> HYPERLINK \l "_Toc32398_WPSOffice_Level2" </w:instrText>
      </w:r>
      <w:r>
        <w:rPr>
          <w:sz w:val="24"/>
          <w:szCs w:val="24"/>
        </w:rPr>
        <w:fldChar w:fldCharType="separate"/>
      </w:r>
      <w:r>
        <w:rPr>
          <w:rFonts w:hint="eastAsia" w:ascii="黑体" w:hAnsi="黑体" w:eastAsia="黑体"/>
          <w:sz w:val="24"/>
          <w:szCs w:val="24"/>
        </w:rPr>
        <w:t>一、收入支出决算总体情况说明</w:t>
      </w:r>
      <w:r>
        <w:rPr>
          <w:sz w:val="24"/>
          <w:szCs w:val="24"/>
        </w:rPr>
        <w:fldChar w:fldCharType="end"/>
      </w:r>
    </w:p>
    <w:p>
      <w:pPr>
        <w:pStyle w:val="36"/>
        <w:tabs>
          <w:tab w:val="right" w:leader="dot" w:pos="8306"/>
        </w:tabs>
        <w:ind w:left="420"/>
        <w:jc w:val="both"/>
        <w:rPr>
          <w:sz w:val="24"/>
          <w:szCs w:val="24"/>
        </w:rPr>
      </w:pPr>
      <w:r>
        <w:rPr>
          <w:sz w:val="24"/>
          <w:szCs w:val="24"/>
        </w:rPr>
        <w:fldChar w:fldCharType="begin"/>
      </w:r>
      <w:r>
        <w:rPr>
          <w:sz w:val="24"/>
          <w:szCs w:val="24"/>
        </w:rPr>
        <w:instrText xml:space="preserve"> HYPERLINK \l "_Toc3982_WPSOffice_Level2" </w:instrText>
      </w:r>
      <w:r>
        <w:rPr>
          <w:sz w:val="24"/>
          <w:szCs w:val="24"/>
        </w:rPr>
        <w:fldChar w:fldCharType="separate"/>
      </w:r>
      <w:r>
        <w:rPr>
          <w:rFonts w:hint="eastAsia" w:ascii="黑体" w:hAnsi="黑体" w:eastAsia="黑体"/>
          <w:sz w:val="24"/>
          <w:szCs w:val="24"/>
        </w:rPr>
        <w:t>二、收入决算情况说明</w:t>
      </w:r>
      <w:r>
        <w:rPr>
          <w:sz w:val="24"/>
          <w:szCs w:val="24"/>
        </w:rPr>
        <w:fldChar w:fldCharType="end"/>
      </w:r>
    </w:p>
    <w:p>
      <w:pPr>
        <w:pStyle w:val="36"/>
        <w:tabs>
          <w:tab w:val="right" w:leader="dot" w:pos="8306"/>
        </w:tabs>
        <w:ind w:left="420"/>
        <w:jc w:val="both"/>
        <w:rPr>
          <w:sz w:val="24"/>
          <w:szCs w:val="24"/>
        </w:rPr>
      </w:pPr>
      <w:r>
        <w:rPr>
          <w:sz w:val="24"/>
          <w:szCs w:val="24"/>
        </w:rPr>
        <w:fldChar w:fldCharType="begin"/>
      </w:r>
      <w:r>
        <w:rPr>
          <w:sz w:val="24"/>
          <w:szCs w:val="24"/>
        </w:rPr>
        <w:instrText xml:space="preserve"> HYPERLINK \l "_Toc23921_WPSOffice_Level2" </w:instrText>
      </w:r>
      <w:r>
        <w:rPr>
          <w:sz w:val="24"/>
          <w:szCs w:val="24"/>
        </w:rPr>
        <w:fldChar w:fldCharType="separate"/>
      </w:r>
      <w:r>
        <w:rPr>
          <w:rFonts w:hint="eastAsia" w:ascii="黑体" w:hAnsi="黑体" w:eastAsia="黑体"/>
          <w:sz w:val="24"/>
          <w:szCs w:val="24"/>
        </w:rPr>
        <w:t>三、支出决算情况说明</w:t>
      </w:r>
      <w:r>
        <w:rPr>
          <w:sz w:val="24"/>
          <w:szCs w:val="24"/>
        </w:rPr>
        <w:fldChar w:fldCharType="end"/>
      </w:r>
    </w:p>
    <w:p>
      <w:pPr>
        <w:pStyle w:val="36"/>
        <w:tabs>
          <w:tab w:val="right" w:leader="dot" w:pos="8306"/>
        </w:tabs>
        <w:ind w:left="420"/>
        <w:jc w:val="both"/>
        <w:rPr>
          <w:sz w:val="24"/>
          <w:szCs w:val="24"/>
        </w:rPr>
      </w:pPr>
      <w:r>
        <w:rPr>
          <w:sz w:val="24"/>
          <w:szCs w:val="24"/>
        </w:rPr>
        <w:fldChar w:fldCharType="begin"/>
      </w:r>
      <w:r>
        <w:rPr>
          <w:sz w:val="24"/>
          <w:szCs w:val="24"/>
        </w:rPr>
        <w:instrText xml:space="preserve"> HYPERLINK \l "_Toc8275_WPSOffice_Level2" </w:instrText>
      </w:r>
      <w:r>
        <w:rPr>
          <w:sz w:val="24"/>
          <w:szCs w:val="24"/>
        </w:rPr>
        <w:fldChar w:fldCharType="separate"/>
      </w:r>
      <w:r>
        <w:rPr>
          <w:rFonts w:hint="eastAsia" w:ascii="黑体" w:hAnsi="黑体" w:eastAsia="黑体"/>
          <w:sz w:val="24"/>
          <w:szCs w:val="24"/>
        </w:rPr>
        <w:t>四、财政拨款收入支出决算总体情况说明</w:t>
      </w:r>
      <w:r>
        <w:rPr>
          <w:sz w:val="24"/>
          <w:szCs w:val="24"/>
        </w:rPr>
        <w:fldChar w:fldCharType="end"/>
      </w:r>
    </w:p>
    <w:p>
      <w:pPr>
        <w:pStyle w:val="36"/>
        <w:tabs>
          <w:tab w:val="right" w:leader="dot" w:pos="8306"/>
        </w:tabs>
        <w:ind w:left="420"/>
        <w:jc w:val="both"/>
        <w:rPr>
          <w:sz w:val="24"/>
          <w:szCs w:val="24"/>
        </w:rPr>
      </w:pPr>
      <w:r>
        <w:rPr>
          <w:sz w:val="24"/>
          <w:szCs w:val="24"/>
        </w:rPr>
        <w:fldChar w:fldCharType="begin"/>
      </w:r>
      <w:r>
        <w:rPr>
          <w:sz w:val="24"/>
          <w:szCs w:val="24"/>
        </w:rPr>
        <w:instrText xml:space="preserve"> HYPERLINK \l "_Toc1150_WPSOffice_Level2" </w:instrText>
      </w:r>
      <w:r>
        <w:rPr>
          <w:sz w:val="24"/>
          <w:szCs w:val="24"/>
        </w:rPr>
        <w:fldChar w:fldCharType="separate"/>
      </w:r>
      <w:r>
        <w:rPr>
          <w:rFonts w:hint="eastAsia" w:ascii="黑体" w:hAnsi="黑体" w:eastAsia="黑体"/>
          <w:sz w:val="24"/>
          <w:szCs w:val="24"/>
        </w:rPr>
        <w:t>五、一般公共预算财政拨款支出决算情况说明</w:t>
      </w:r>
      <w:r>
        <w:rPr>
          <w:sz w:val="24"/>
          <w:szCs w:val="24"/>
        </w:rPr>
        <w:fldChar w:fldCharType="end"/>
      </w:r>
    </w:p>
    <w:p>
      <w:pPr>
        <w:pStyle w:val="37"/>
        <w:tabs>
          <w:tab w:val="right" w:leader="dot" w:pos="8306"/>
        </w:tabs>
        <w:ind w:left="840"/>
        <w:jc w:val="both"/>
        <w:rPr>
          <w:sz w:val="24"/>
          <w:szCs w:val="24"/>
        </w:rPr>
      </w:pPr>
      <w:r>
        <w:rPr>
          <w:sz w:val="24"/>
          <w:szCs w:val="24"/>
        </w:rPr>
        <w:fldChar w:fldCharType="begin"/>
      </w:r>
      <w:r>
        <w:rPr>
          <w:sz w:val="24"/>
          <w:szCs w:val="24"/>
        </w:rPr>
        <w:instrText xml:space="preserve"> HYPERLINK \l "_Toc32398_WPSOffice_Level3" </w:instrText>
      </w:r>
      <w:r>
        <w:rPr>
          <w:sz w:val="24"/>
          <w:szCs w:val="24"/>
        </w:rPr>
        <w:fldChar w:fldCharType="separate"/>
      </w:r>
      <w:r>
        <w:rPr>
          <w:rFonts w:hint="eastAsia" w:ascii="仿宋" w:hAnsi="仿宋" w:eastAsia="仿宋"/>
          <w:sz w:val="24"/>
          <w:szCs w:val="24"/>
        </w:rPr>
        <w:t>（一）一般公共预算财政拨款支出决算总体情况</w:t>
      </w:r>
      <w:r>
        <w:rPr>
          <w:sz w:val="24"/>
          <w:szCs w:val="24"/>
        </w:rPr>
        <w:fldChar w:fldCharType="end"/>
      </w:r>
    </w:p>
    <w:p>
      <w:pPr>
        <w:pStyle w:val="37"/>
        <w:tabs>
          <w:tab w:val="right" w:leader="dot" w:pos="8306"/>
        </w:tabs>
        <w:ind w:left="840"/>
        <w:jc w:val="both"/>
        <w:rPr>
          <w:sz w:val="24"/>
          <w:szCs w:val="24"/>
        </w:rPr>
      </w:pPr>
      <w:r>
        <w:rPr>
          <w:sz w:val="24"/>
          <w:szCs w:val="24"/>
        </w:rPr>
        <w:fldChar w:fldCharType="begin"/>
      </w:r>
      <w:r>
        <w:rPr>
          <w:sz w:val="24"/>
          <w:szCs w:val="24"/>
        </w:rPr>
        <w:instrText xml:space="preserve"> HYPERLINK \l "_Toc3982_WPSOffice_Level3" </w:instrText>
      </w:r>
      <w:r>
        <w:rPr>
          <w:sz w:val="24"/>
          <w:szCs w:val="24"/>
        </w:rPr>
        <w:fldChar w:fldCharType="separate"/>
      </w:r>
      <w:r>
        <w:rPr>
          <w:rFonts w:hint="eastAsia" w:ascii="仿宋" w:hAnsi="仿宋" w:eastAsia="仿宋"/>
          <w:sz w:val="24"/>
          <w:szCs w:val="24"/>
        </w:rPr>
        <w:t>（二）一般公共预算财政拨款支出决算结构情况</w:t>
      </w:r>
      <w:r>
        <w:rPr>
          <w:sz w:val="24"/>
          <w:szCs w:val="24"/>
        </w:rPr>
        <w:fldChar w:fldCharType="end"/>
      </w:r>
    </w:p>
    <w:p>
      <w:pPr>
        <w:pStyle w:val="37"/>
        <w:tabs>
          <w:tab w:val="right" w:leader="dot" w:pos="8306"/>
        </w:tabs>
        <w:ind w:left="840"/>
        <w:jc w:val="both"/>
        <w:rPr>
          <w:sz w:val="24"/>
          <w:szCs w:val="24"/>
        </w:rPr>
      </w:pPr>
      <w:r>
        <w:rPr>
          <w:sz w:val="24"/>
          <w:szCs w:val="24"/>
        </w:rPr>
        <w:fldChar w:fldCharType="begin"/>
      </w:r>
      <w:r>
        <w:rPr>
          <w:sz w:val="24"/>
          <w:szCs w:val="24"/>
        </w:rPr>
        <w:instrText xml:space="preserve"> HYPERLINK \l "_Toc23921_WPSOffice_Level3" </w:instrText>
      </w:r>
      <w:r>
        <w:rPr>
          <w:sz w:val="24"/>
          <w:szCs w:val="24"/>
        </w:rPr>
        <w:fldChar w:fldCharType="separate"/>
      </w:r>
      <w:r>
        <w:rPr>
          <w:rFonts w:hint="eastAsia" w:ascii="仿宋" w:hAnsi="仿宋" w:eastAsia="仿宋"/>
          <w:sz w:val="24"/>
          <w:szCs w:val="24"/>
        </w:rPr>
        <w:t>（三）一般公共预算财政拨款支出决算具体情况</w:t>
      </w:r>
      <w:r>
        <w:rPr>
          <w:sz w:val="24"/>
          <w:szCs w:val="24"/>
        </w:rPr>
        <w:fldChar w:fldCharType="end"/>
      </w:r>
    </w:p>
    <w:p>
      <w:pPr>
        <w:pStyle w:val="36"/>
        <w:tabs>
          <w:tab w:val="right" w:leader="dot" w:pos="8306"/>
        </w:tabs>
        <w:ind w:left="420"/>
        <w:jc w:val="both"/>
        <w:rPr>
          <w:sz w:val="24"/>
          <w:szCs w:val="24"/>
        </w:rPr>
      </w:pPr>
      <w:r>
        <w:rPr>
          <w:sz w:val="24"/>
          <w:szCs w:val="24"/>
        </w:rPr>
        <w:fldChar w:fldCharType="begin"/>
      </w:r>
      <w:r>
        <w:rPr>
          <w:sz w:val="24"/>
          <w:szCs w:val="24"/>
        </w:rPr>
        <w:instrText xml:space="preserve"> HYPERLINK \l "_Toc31285_WPSOffice_Level2" </w:instrText>
      </w:r>
      <w:r>
        <w:rPr>
          <w:sz w:val="24"/>
          <w:szCs w:val="24"/>
        </w:rPr>
        <w:fldChar w:fldCharType="separate"/>
      </w:r>
      <w:r>
        <w:rPr>
          <w:rFonts w:hint="eastAsia" w:ascii="黑体" w:hAnsi="Times New Roman" w:eastAsia="黑体"/>
          <w:sz w:val="24"/>
          <w:szCs w:val="24"/>
        </w:rPr>
        <w:t>六、</w:t>
      </w:r>
      <w:r>
        <w:rPr>
          <w:rFonts w:hint="eastAsia" w:ascii="黑体" w:hAnsi="黑体" w:eastAsia="黑体"/>
          <w:sz w:val="24"/>
          <w:szCs w:val="24"/>
        </w:rPr>
        <w:t>一般公共预算财政拨款基本支出决算情况说明</w:t>
      </w:r>
      <w:r>
        <w:rPr>
          <w:sz w:val="24"/>
          <w:szCs w:val="24"/>
        </w:rPr>
        <w:fldChar w:fldCharType="end"/>
      </w:r>
    </w:p>
    <w:p>
      <w:pPr>
        <w:pStyle w:val="36"/>
        <w:tabs>
          <w:tab w:val="right" w:leader="dot" w:pos="8306"/>
        </w:tabs>
        <w:ind w:left="420"/>
        <w:jc w:val="both"/>
        <w:rPr>
          <w:sz w:val="24"/>
          <w:szCs w:val="24"/>
        </w:rPr>
      </w:pPr>
      <w:r>
        <w:rPr>
          <w:sz w:val="24"/>
          <w:szCs w:val="24"/>
        </w:rPr>
        <w:fldChar w:fldCharType="begin"/>
      </w:r>
      <w:r>
        <w:rPr>
          <w:sz w:val="24"/>
          <w:szCs w:val="24"/>
        </w:rPr>
        <w:instrText xml:space="preserve"> HYPERLINK \l "_Toc30807_WPSOffice_Level2" </w:instrText>
      </w:r>
      <w:r>
        <w:rPr>
          <w:sz w:val="24"/>
          <w:szCs w:val="24"/>
        </w:rPr>
        <w:fldChar w:fldCharType="separate"/>
      </w:r>
      <w:r>
        <w:rPr>
          <w:rFonts w:hint="eastAsia" w:ascii="黑体" w:hAnsi="Times New Roman" w:eastAsia="黑体"/>
          <w:sz w:val="24"/>
          <w:szCs w:val="24"/>
        </w:rPr>
        <w:t>七、</w:t>
      </w:r>
      <w:r>
        <w:rPr>
          <w:rFonts w:hint="eastAsia" w:ascii="黑体" w:hAnsi="黑体" w:eastAsia="黑体"/>
          <w:sz w:val="24"/>
          <w:szCs w:val="24"/>
        </w:rPr>
        <w:t>“三公”经费财政拨款支出决算情况说明</w:t>
      </w:r>
      <w:r>
        <w:rPr>
          <w:sz w:val="24"/>
          <w:szCs w:val="24"/>
        </w:rPr>
        <w:fldChar w:fldCharType="end"/>
      </w:r>
    </w:p>
    <w:p>
      <w:pPr>
        <w:pStyle w:val="37"/>
        <w:tabs>
          <w:tab w:val="right" w:leader="dot" w:pos="8306"/>
        </w:tabs>
        <w:ind w:left="840"/>
        <w:jc w:val="both"/>
        <w:rPr>
          <w:sz w:val="24"/>
          <w:szCs w:val="24"/>
        </w:rPr>
      </w:pPr>
      <w:r>
        <w:rPr>
          <w:sz w:val="24"/>
          <w:szCs w:val="24"/>
        </w:rPr>
        <w:fldChar w:fldCharType="begin"/>
      </w:r>
      <w:r>
        <w:rPr>
          <w:sz w:val="24"/>
          <w:szCs w:val="24"/>
        </w:rPr>
        <w:instrText xml:space="preserve"> HYPERLINK \l "_Toc8275_WPSOffice_Level3" </w:instrText>
      </w:r>
      <w:r>
        <w:rPr>
          <w:sz w:val="24"/>
          <w:szCs w:val="24"/>
        </w:rPr>
        <w:fldChar w:fldCharType="separate"/>
      </w:r>
      <w:r>
        <w:rPr>
          <w:rFonts w:hint="eastAsia" w:ascii="仿宋" w:hAnsi="仿宋" w:eastAsia="仿宋"/>
          <w:sz w:val="24"/>
          <w:szCs w:val="24"/>
        </w:rPr>
        <w:t>（一）“三公”经费财政拨款支出决算总体情况说明</w:t>
      </w:r>
      <w:r>
        <w:rPr>
          <w:sz w:val="24"/>
          <w:szCs w:val="24"/>
        </w:rPr>
        <w:fldChar w:fldCharType="end"/>
      </w:r>
    </w:p>
    <w:p>
      <w:pPr>
        <w:pStyle w:val="37"/>
        <w:tabs>
          <w:tab w:val="right" w:leader="dot" w:pos="8306"/>
        </w:tabs>
        <w:ind w:left="840"/>
        <w:jc w:val="both"/>
        <w:rPr>
          <w:sz w:val="24"/>
          <w:szCs w:val="24"/>
        </w:rPr>
      </w:pPr>
      <w:r>
        <w:rPr>
          <w:sz w:val="24"/>
          <w:szCs w:val="24"/>
        </w:rPr>
        <w:fldChar w:fldCharType="begin"/>
      </w:r>
      <w:r>
        <w:rPr>
          <w:sz w:val="24"/>
          <w:szCs w:val="24"/>
        </w:rPr>
        <w:instrText xml:space="preserve"> HYPERLINK \l "_Toc1150_WPSOffice_Level3" </w:instrText>
      </w:r>
      <w:r>
        <w:rPr>
          <w:sz w:val="24"/>
          <w:szCs w:val="24"/>
        </w:rPr>
        <w:fldChar w:fldCharType="separate"/>
      </w:r>
      <w:r>
        <w:rPr>
          <w:rFonts w:hint="eastAsia" w:ascii="仿宋" w:hAnsi="仿宋" w:eastAsia="仿宋"/>
          <w:sz w:val="24"/>
          <w:szCs w:val="24"/>
        </w:rPr>
        <w:t>（二）“三公”经费财政拨款支出决算具体情况说明</w:t>
      </w:r>
      <w:r>
        <w:rPr>
          <w:sz w:val="24"/>
          <w:szCs w:val="24"/>
        </w:rPr>
        <w:fldChar w:fldCharType="end"/>
      </w:r>
    </w:p>
    <w:p>
      <w:pPr>
        <w:pStyle w:val="36"/>
        <w:tabs>
          <w:tab w:val="right" w:leader="dot" w:pos="8306"/>
        </w:tabs>
        <w:ind w:left="420"/>
        <w:jc w:val="both"/>
        <w:rPr>
          <w:sz w:val="24"/>
          <w:szCs w:val="24"/>
        </w:rPr>
      </w:pPr>
      <w:r>
        <w:rPr>
          <w:sz w:val="24"/>
          <w:szCs w:val="24"/>
        </w:rPr>
        <w:fldChar w:fldCharType="begin"/>
      </w:r>
      <w:r>
        <w:rPr>
          <w:sz w:val="24"/>
          <w:szCs w:val="24"/>
        </w:rPr>
        <w:instrText xml:space="preserve"> HYPERLINK \l "_Toc20048_WPSOffice_Level2" </w:instrText>
      </w:r>
      <w:r>
        <w:rPr>
          <w:sz w:val="24"/>
          <w:szCs w:val="24"/>
        </w:rPr>
        <w:fldChar w:fldCharType="separate"/>
      </w:r>
      <w:r>
        <w:rPr>
          <w:rFonts w:hint="eastAsia" w:ascii="黑体" w:hAnsi="Times New Roman" w:eastAsia="黑体"/>
          <w:sz w:val="24"/>
          <w:szCs w:val="24"/>
        </w:rPr>
        <w:t>八、</w:t>
      </w:r>
      <w:r>
        <w:rPr>
          <w:rFonts w:hint="eastAsia" w:ascii="黑体" w:hAnsi="黑体" w:eastAsia="黑体"/>
          <w:sz w:val="24"/>
          <w:szCs w:val="24"/>
        </w:rPr>
        <w:t>政府性基金预算支出决算情况说明</w:t>
      </w:r>
      <w:r>
        <w:rPr>
          <w:sz w:val="24"/>
          <w:szCs w:val="24"/>
        </w:rPr>
        <w:fldChar w:fldCharType="end"/>
      </w:r>
    </w:p>
    <w:p>
      <w:pPr>
        <w:pStyle w:val="36"/>
        <w:tabs>
          <w:tab w:val="right" w:leader="dot" w:pos="8306"/>
        </w:tabs>
        <w:ind w:left="420"/>
        <w:jc w:val="both"/>
        <w:rPr>
          <w:sz w:val="24"/>
          <w:szCs w:val="24"/>
        </w:rPr>
      </w:pPr>
      <w:r>
        <w:rPr>
          <w:sz w:val="24"/>
          <w:szCs w:val="24"/>
        </w:rPr>
        <w:fldChar w:fldCharType="begin"/>
      </w:r>
      <w:r>
        <w:rPr>
          <w:sz w:val="24"/>
          <w:szCs w:val="24"/>
        </w:rPr>
        <w:instrText xml:space="preserve"> HYPERLINK \l "_Toc20666_WPSOffice_Level2" </w:instrText>
      </w:r>
      <w:r>
        <w:rPr>
          <w:sz w:val="24"/>
          <w:szCs w:val="24"/>
        </w:rPr>
        <w:fldChar w:fldCharType="separate"/>
      </w:r>
      <w:r>
        <w:rPr>
          <w:rFonts w:hint="eastAsia" w:ascii="黑体" w:hAnsi="黑体" w:eastAsia="黑体"/>
          <w:sz w:val="24"/>
          <w:szCs w:val="24"/>
        </w:rPr>
        <w:t>九、国有资本经营预算支出决算情况说明</w:t>
      </w:r>
      <w:r>
        <w:rPr>
          <w:sz w:val="24"/>
          <w:szCs w:val="24"/>
        </w:rPr>
        <w:fldChar w:fldCharType="end"/>
      </w:r>
    </w:p>
    <w:p>
      <w:pPr>
        <w:pStyle w:val="36"/>
        <w:tabs>
          <w:tab w:val="right" w:leader="dot" w:pos="8306"/>
        </w:tabs>
        <w:ind w:left="420"/>
        <w:jc w:val="both"/>
        <w:rPr>
          <w:sz w:val="24"/>
          <w:szCs w:val="24"/>
        </w:rPr>
      </w:pPr>
      <w:r>
        <w:rPr>
          <w:sz w:val="24"/>
          <w:szCs w:val="24"/>
        </w:rPr>
        <w:fldChar w:fldCharType="begin"/>
      </w:r>
      <w:r>
        <w:rPr>
          <w:sz w:val="24"/>
          <w:szCs w:val="24"/>
        </w:rPr>
        <w:instrText xml:space="preserve"> HYPERLINK \l "_Toc7216_WPSOffice_Level2" </w:instrText>
      </w:r>
      <w:r>
        <w:rPr>
          <w:sz w:val="24"/>
          <w:szCs w:val="24"/>
        </w:rPr>
        <w:fldChar w:fldCharType="separate"/>
      </w:r>
      <w:r>
        <w:rPr>
          <w:rFonts w:hint="eastAsia" w:ascii="黑体" w:hAnsi="黑体" w:eastAsia="黑体"/>
          <w:sz w:val="24"/>
          <w:szCs w:val="24"/>
        </w:rPr>
        <w:t>十、其他重要事项的情况说明</w:t>
      </w:r>
      <w:r>
        <w:rPr>
          <w:sz w:val="24"/>
          <w:szCs w:val="24"/>
        </w:rPr>
        <w:fldChar w:fldCharType="end"/>
      </w:r>
    </w:p>
    <w:p>
      <w:pPr>
        <w:pStyle w:val="37"/>
        <w:tabs>
          <w:tab w:val="right" w:leader="dot" w:pos="8306"/>
        </w:tabs>
        <w:ind w:left="840"/>
        <w:jc w:val="both"/>
        <w:rPr>
          <w:sz w:val="24"/>
          <w:szCs w:val="24"/>
        </w:rPr>
      </w:pPr>
      <w:r>
        <w:rPr>
          <w:sz w:val="24"/>
          <w:szCs w:val="24"/>
        </w:rPr>
        <w:fldChar w:fldCharType="begin"/>
      </w:r>
      <w:r>
        <w:rPr>
          <w:sz w:val="24"/>
          <w:szCs w:val="24"/>
        </w:rPr>
        <w:instrText xml:space="preserve"> HYPERLINK \l "_Toc31285_WPSOffice_Level3" </w:instrText>
      </w:r>
      <w:r>
        <w:rPr>
          <w:sz w:val="24"/>
          <w:szCs w:val="24"/>
        </w:rPr>
        <w:fldChar w:fldCharType="separate"/>
      </w:r>
      <w:r>
        <w:rPr>
          <w:rFonts w:hint="eastAsia" w:ascii="仿宋" w:hAnsi="仿宋" w:eastAsia="仿宋"/>
          <w:sz w:val="24"/>
          <w:szCs w:val="24"/>
        </w:rPr>
        <w:t>（一）机关运行经费支出情况</w:t>
      </w:r>
      <w:r>
        <w:rPr>
          <w:sz w:val="24"/>
          <w:szCs w:val="24"/>
        </w:rPr>
        <w:fldChar w:fldCharType="end"/>
      </w:r>
    </w:p>
    <w:p>
      <w:pPr>
        <w:pStyle w:val="37"/>
        <w:tabs>
          <w:tab w:val="right" w:leader="dot" w:pos="8306"/>
        </w:tabs>
        <w:ind w:left="840"/>
        <w:jc w:val="both"/>
        <w:rPr>
          <w:sz w:val="24"/>
          <w:szCs w:val="24"/>
        </w:rPr>
      </w:pPr>
      <w:r>
        <w:rPr>
          <w:sz w:val="24"/>
          <w:szCs w:val="24"/>
        </w:rPr>
        <w:fldChar w:fldCharType="begin"/>
      </w:r>
      <w:r>
        <w:rPr>
          <w:sz w:val="24"/>
          <w:szCs w:val="24"/>
        </w:rPr>
        <w:instrText xml:space="preserve"> HYPERLINK \l "_Toc30807_WPSOffice_Level3" </w:instrText>
      </w:r>
      <w:r>
        <w:rPr>
          <w:sz w:val="24"/>
          <w:szCs w:val="24"/>
        </w:rPr>
        <w:fldChar w:fldCharType="separate"/>
      </w:r>
      <w:r>
        <w:rPr>
          <w:rFonts w:hint="eastAsia" w:ascii="仿宋" w:hAnsi="仿宋" w:eastAsia="仿宋"/>
          <w:sz w:val="24"/>
          <w:szCs w:val="24"/>
        </w:rPr>
        <w:t>（二）政府采购支出情况</w:t>
      </w:r>
      <w:r>
        <w:rPr>
          <w:sz w:val="24"/>
          <w:szCs w:val="24"/>
        </w:rPr>
        <w:fldChar w:fldCharType="end"/>
      </w:r>
    </w:p>
    <w:p>
      <w:pPr>
        <w:pStyle w:val="37"/>
        <w:tabs>
          <w:tab w:val="right" w:leader="dot" w:pos="8306"/>
        </w:tabs>
        <w:ind w:left="840"/>
        <w:jc w:val="both"/>
        <w:rPr>
          <w:sz w:val="24"/>
          <w:szCs w:val="24"/>
        </w:rPr>
      </w:pPr>
      <w:r>
        <w:rPr>
          <w:sz w:val="24"/>
          <w:szCs w:val="24"/>
        </w:rPr>
        <w:fldChar w:fldCharType="begin"/>
      </w:r>
      <w:r>
        <w:rPr>
          <w:sz w:val="24"/>
          <w:szCs w:val="24"/>
        </w:rPr>
        <w:instrText xml:space="preserve"> HYPERLINK \l "_Toc20048_WPSOffice_Level3" </w:instrText>
      </w:r>
      <w:r>
        <w:rPr>
          <w:sz w:val="24"/>
          <w:szCs w:val="24"/>
        </w:rPr>
        <w:fldChar w:fldCharType="separate"/>
      </w:r>
      <w:r>
        <w:rPr>
          <w:rFonts w:hint="eastAsia" w:ascii="仿宋" w:hAnsi="仿宋" w:eastAsia="仿宋"/>
          <w:sz w:val="24"/>
          <w:szCs w:val="24"/>
        </w:rPr>
        <w:t>（三）国有资产占有使用情况</w:t>
      </w:r>
      <w:r>
        <w:rPr>
          <w:sz w:val="24"/>
          <w:szCs w:val="24"/>
        </w:rPr>
        <w:fldChar w:fldCharType="end"/>
      </w:r>
    </w:p>
    <w:p>
      <w:pPr>
        <w:pStyle w:val="37"/>
        <w:tabs>
          <w:tab w:val="right" w:leader="dot" w:pos="8306"/>
        </w:tabs>
        <w:ind w:left="840"/>
        <w:jc w:val="both"/>
        <w:rPr>
          <w:sz w:val="24"/>
          <w:szCs w:val="24"/>
        </w:rPr>
      </w:pPr>
      <w:r>
        <w:rPr>
          <w:sz w:val="24"/>
          <w:szCs w:val="24"/>
        </w:rPr>
        <w:fldChar w:fldCharType="begin"/>
      </w:r>
      <w:r>
        <w:rPr>
          <w:sz w:val="24"/>
          <w:szCs w:val="24"/>
        </w:rPr>
        <w:instrText xml:space="preserve"> HYPERLINK \l "_Toc20666_WPSOffice_Level3" </w:instrText>
      </w:r>
      <w:r>
        <w:rPr>
          <w:sz w:val="24"/>
          <w:szCs w:val="24"/>
        </w:rPr>
        <w:fldChar w:fldCharType="separate"/>
      </w:r>
      <w:r>
        <w:rPr>
          <w:rFonts w:hint="eastAsia" w:ascii="仿宋" w:hAnsi="仿宋" w:eastAsia="仿宋"/>
          <w:sz w:val="24"/>
          <w:szCs w:val="24"/>
        </w:rPr>
        <w:t>（四）预算绩效管理情况。</w:t>
      </w:r>
      <w:r>
        <w:rPr>
          <w:sz w:val="24"/>
          <w:szCs w:val="24"/>
        </w:rPr>
        <w:fldChar w:fldCharType="end"/>
      </w:r>
    </w:p>
    <w:p>
      <w:pPr>
        <w:pStyle w:val="35"/>
        <w:tabs>
          <w:tab w:val="right" w:leader="dot" w:pos="8306"/>
        </w:tabs>
        <w:jc w:val="both"/>
        <w:rPr>
          <w:sz w:val="24"/>
          <w:szCs w:val="24"/>
        </w:rPr>
      </w:pPr>
      <w:r>
        <w:rPr>
          <w:sz w:val="24"/>
          <w:szCs w:val="24"/>
        </w:rPr>
        <w:fldChar w:fldCharType="begin"/>
      </w:r>
      <w:r>
        <w:rPr>
          <w:sz w:val="24"/>
          <w:szCs w:val="24"/>
        </w:rPr>
        <w:instrText xml:space="preserve"> HYPERLINK \l "_Toc24006_WPSOffice_Level1" </w:instrText>
      </w:r>
      <w:r>
        <w:rPr>
          <w:sz w:val="24"/>
          <w:szCs w:val="24"/>
        </w:rPr>
        <w:fldChar w:fldCharType="separate"/>
      </w:r>
      <w:r>
        <w:rPr>
          <w:rFonts w:hint="eastAsia" w:ascii="黑体" w:hAnsi="黑体" w:eastAsia="黑体"/>
          <w:sz w:val="24"/>
          <w:szCs w:val="24"/>
        </w:rPr>
        <w:t>第三部分  名词解释</w:t>
      </w:r>
      <w:r>
        <w:rPr>
          <w:sz w:val="24"/>
          <w:szCs w:val="24"/>
        </w:rPr>
        <w:fldChar w:fldCharType="end"/>
      </w:r>
    </w:p>
    <w:p>
      <w:pPr>
        <w:pStyle w:val="35"/>
        <w:tabs>
          <w:tab w:val="right" w:leader="dot" w:pos="8306"/>
        </w:tabs>
        <w:jc w:val="both"/>
        <w:rPr>
          <w:sz w:val="24"/>
          <w:szCs w:val="24"/>
        </w:rPr>
      </w:pPr>
      <w:r>
        <w:rPr>
          <w:sz w:val="24"/>
          <w:szCs w:val="24"/>
        </w:rPr>
        <w:fldChar w:fldCharType="begin"/>
      </w:r>
      <w:r>
        <w:rPr>
          <w:sz w:val="24"/>
          <w:szCs w:val="24"/>
        </w:rPr>
        <w:instrText xml:space="preserve"> HYPERLINK \l "_Toc32398_WPSOffice_Level1" </w:instrText>
      </w:r>
      <w:r>
        <w:rPr>
          <w:sz w:val="24"/>
          <w:szCs w:val="24"/>
        </w:rPr>
        <w:fldChar w:fldCharType="separate"/>
      </w:r>
      <w:r>
        <w:rPr>
          <w:rFonts w:hint="eastAsia" w:ascii="黑体" w:hAnsi="黑体" w:eastAsia="黑体"/>
          <w:sz w:val="24"/>
          <w:szCs w:val="24"/>
        </w:rPr>
        <w:t>第四部分</w:t>
      </w:r>
      <w:r>
        <w:rPr>
          <w:rFonts w:ascii="黑体" w:hAnsi="黑体" w:eastAsia="黑体"/>
          <w:sz w:val="24"/>
          <w:szCs w:val="24"/>
        </w:rPr>
        <w:t xml:space="preserve"> </w:t>
      </w:r>
      <w:r>
        <w:rPr>
          <w:rFonts w:hint="eastAsia" w:ascii="黑体" w:hAnsi="黑体" w:eastAsia="黑体"/>
          <w:sz w:val="24"/>
          <w:szCs w:val="24"/>
        </w:rPr>
        <w:t>附件</w:t>
      </w:r>
      <w:r>
        <w:rPr>
          <w:sz w:val="24"/>
          <w:szCs w:val="24"/>
        </w:rPr>
        <w:fldChar w:fldCharType="end"/>
      </w:r>
    </w:p>
    <w:p>
      <w:pPr>
        <w:pStyle w:val="36"/>
        <w:tabs>
          <w:tab w:val="right" w:leader="dot" w:pos="8306"/>
        </w:tabs>
        <w:ind w:left="420"/>
        <w:jc w:val="both"/>
        <w:rPr>
          <w:sz w:val="24"/>
          <w:szCs w:val="24"/>
        </w:rPr>
      </w:pPr>
      <w:r>
        <w:rPr>
          <w:sz w:val="24"/>
          <w:szCs w:val="24"/>
        </w:rPr>
        <w:fldChar w:fldCharType="begin"/>
      </w:r>
      <w:r>
        <w:rPr>
          <w:sz w:val="24"/>
          <w:szCs w:val="24"/>
        </w:rPr>
        <w:instrText xml:space="preserve"> HYPERLINK \l "_Toc25251_WPSOffice_Level2" </w:instrText>
      </w:r>
      <w:r>
        <w:rPr>
          <w:sz w:val="24"/>
          <w:szCs w:val="24"/>
        </w:rPr>
        <w:fldChar w:fldCharType="separate"/>
      </w:r>
      <w:r>
        <w:rPr>
          <w:rFonts w:hint="eastAsia" w:ascii="方正小标宋简体" w:hAnsi="黑体" w:eastAsia="方正小标宋简体" w:cs="黑体"/>
          <w:sz w:val="24"/>
          <w:szCs w:val="24"/>
        </w:rPr>
        <w:t>红原县</w:t>
      </w:r>
      <w:r>
        <w:rPr>
          <w:rFonts w:hint="eastAsia" w:ascii="方正小标宋简体" w:hAnsi="黑体" w:eastAsia="方正小标宋简体" w:cs="黑体"/>
          <w:sz w:val="24"/>
          <w:szCs w:val="24"/>
          <w:lang w:val="en-US" w:eastAsia="zh-CN"/>
        </w:rPr>
        <w:t>麦洼乡</w:t>
      </w:r>
      <w:r>
        <w:rPr>
          <w:rFonts w:hint="eastAsia" w:ascii="方正小标宋简体" w:hAnsi="黑体" w:eastAsia="方正小标宋简体" w:cs="黑体"/>
          <w:sz w:val="24"/>
          <w:szCs w:val="24"/>
        </w:rPr>
        <w:t>小学</w:t>
      </w:r>
      <w:r>
        <w:rPr>
          <w:rFonts w:hint="eastAsia" w:ascii="方正小标宋简体" w:hAnsi="黑体" w:eastAsia="方正小标宋简体" w:cs="黑体"/>
          <w:sz w:val="24"/>
          <w:szCs w:val="24"/>
          <w:lang w:eastAsia="zh-CN"/>
        </w:rPr>
        <w:t>2025</w:t>
      </w:r>
      <w:r>
        <w:rPr>
          <w:rFonts w:hint="eastAsia" w:ascii="方正小标宋简体" w:hAnsi="黑体" w:eastAsia="方正小标宋简体" w:cs="黑体"/>
          <w:sz w:val="24"/>
          <w:szCs w:val="24"/>
        </w:rPr>
        <w:t>年</w:t>
      </w:r>
      <w:r>
        <w:rPr>
          <w:sz w:val="24"/>
          <w:szCs w:val="24"/>
        </w:rPr>
        <w:fldChar w:fldCharType="end"/>
      </w:r>
      <w:r>
        <w:rPr>
          <w:sz w:val="24"/>
          <w:szCs w:val="24"/>
        </w:rPr>
        <w:fldChar w:fldCharType="begin"/>
      </w:r>
      <w:r>
        <w:rPr>
          <w:sz w:val="24"/>
          <w:szCs w:val="24"/>
        </w:rPr>
        <w:instrText xml:space="preserve"> HYPERLINK \l "_Toc29178_WPSOffice_Level2" </w:instrText>
      </w:r>
      <w:r>
        <w:rPr>
          <w:sz w:val="24"/>
          <w:szCs w:val="24"/>
        </w:rPr>
        <w:fldChar w:fldCharType="separate"/>
      </w:r>
      <w:r>
        <w:rPr>
          <w:rFonts w:hint="eastAsia" w:ascii="方正小标宋简体" w:hAnsi="黑体" w:eastAsia="方正小标宋简体" w:cs="黑体"/>
          <w:sz w:val="24"/>
          <w:szCs w:val="24"/>
        </w:rPr>
        <w:t>部门整体支出绩效评价报告</w:t>
      </w:r>
      <w:r>
        <w:rPr>
          <w:sz w:val="24"/>
          <w:szCs w:val="24"/>
        </w:rPr>
        <w:fldChar w:fldCharType="end"/>
      </w:r>
    </w:p>
    <w:p>
      <w:pPr>
        <w:pStyle w:val="36"/>
        <w:tabs>
          <w:tab w:val="right" w:leader="dot" w:pos="8306"/>
        </w:tabs>
        <w:ind w:left="420"/>
        <w:jc w:val="both"/>
        <w:rPr>
          <w:sz w:val="24"/>
          <w:szCs w:val="24"/>
        </w:rPr>
      </w:pPr>
      <w:r>
        <w:rPr>
          <w:sz w:val="24"/>
          <w:szCs w:val="24"/>
        </w:rPr>
        <w:fldChar w:fldCharType="begin"/>
      </w:r>
      <w:r>
        <w:rPr>
          <w:sz w:val="24"/>
          <w:szCs w:val="24"/>
        </w:rPr>
        <w:instrText xml:space="preserve"> HYPERLINK \l "_Toc17495_WPSOffice_Level2" </w:instrText>
      </w:r>
      <w:r>
        <w:rPr>
          <w:sz w:val="24"/>
          <w:szCs w:val="24"/>
        </w:rPr>
        <w:fldChar w:fldCharType="separate"/>
      </w:r>
      <w:r>
        <w:rPr>
          <w:rFonts w:hint="eastAsia" w:ascii="黑体" w:hAnsi="宋体" w:eastAsia="黑体" w:cs="宋体"/>
          <w:sz w:val="24"/>
          <w:szCs w:val="24"/>
        </w:rPr>
        <w:t>一、 单位概况</w:t>
      </w:r>
      <w:r>
        <w:rPr>
          <w:sz w:val="24"/>
          <w:szCs w:val="24"/>
        </w:rPr>
        <w:fldChar w:fldCharType="end"/>
      </w:r>
    </w:p>
    <w:p>
      <w:pPr>
        <w:pStyle w:val="37"/>
        <w:tabs>
          <w:tab w:val="right" w:leader="dot" w:pos="8306"/>
        </w:tabs>
        <w:ind w:left="840"/>
        <w:jc w:val="both"/>
        <w:rPr>
          <w:sz w:val="24"/>
          <w:szCs w:val="24"/>
        </w:rPr>
      </w:pPr>
      <w:r>
        <w:rPr>
          <w:sz w:val="24"/>
          <w:szCs w:val="24"/>
        </w:rPr>
        <w:fldChar w:fldCharType="begin"/>
      </w:r>
      <w:r>
        <w:rPr>
          <w:sz w:val="24"/>
          <w:szCs w:val="24"/>
        </w:rPr>
        <w:instrText xml:space="preserve"> HYPERLINK \l "_Toc7216_WPSOffice_Level3" </w:instrText>
      </w:r>
      <w:r>
        <w:rPr>
          <w:sz w:val="24"/>
          <w:szCs w:val="24"/>
        </w:rPr>
        <w:fldChar w:fldCharType="separate"/>
      </w:r>
      <w:r>
        <w:rPr>
          <w:rFonts w:hint="eastAsia" w:ascii="仿宋_GB2312" w:hAnsi="宋体" w:eastAsia="仿宋_GB2312" w:cs="宋体"/>
          <w:sz w:val="24"/>
          <w:szCs w:val="24"/>
        </w:rPr>
        <w:t>（一）机构组成。</w:t>
      </w:r>
      <w:r>
        <w:rPr>
          <w:sz w:val="24"/>
          <w:szCs w:val="24"/>
        </w:rPr>
        <w:fldChar w:fldCharType="end"/>
      </w:r>
    </w:p>
    <w:p>
      <w:pPr>
        <w:pStyle w:val="37"/>
        <w:tabs>
          <w:tab w:val="right" w:leader="dot" w:pos="8306"/>
        </w:tabs>
        <w:ind w:left="840"/>
        <w:jc w:val="both"/>
        <w:rPr>
          <w:sz w:val="24"/>
          <w:szCs w:val="24"/>
        </w:rPr>
      </w:pPr>
      <w:r>
        <w:rPr>
          <w:sz w:val="24"/>
          <w:szCs w:val="24"/>
        </w:rPr>
        <w:fldChar w:fldCharType="begin"/>
      </w:r>
      <w:r>
        <w:rPr>
          <w:sz w:val="24"/>
          <w:szCs w:val="24"/>
        </w:rPr>
        <w:instrText xml:space="preserve"> HYPERLINK \l "_Toc25251_WPSOffice_Level3" </w:instrText>
      </w:r>
      <w:r>
        <w:rPr>
          <w:sz w:val="24"/>
          <w:szCs w:val="24"/>
        </w:rPr>
        <w:fldChar w:fldCharType="separate"/>
      </w:r>
      <w:r>
        <w:rPr>
          <w:rFonts w:hint="eastAsia" w:ascii="仿宋_GB2312" w:hAnsi="宋体" w:eastAsia="仿宋_GB2312" w:cs="宋体"/>
          <w:sz w:val="24"/>
          <w:szCs w:val="24"/>
        </w:rPr>
        <w:t>（二）机构职能。</w:t>
      </w:r>
      <w:r>
        <w:rPr>
          <w:sz w:val="24"/>
          <w:szCs w:val="24"/>
        </w:rPr>
        <w:fldChar w:fldCharType="end"/>
      </w:r>
    </w:p>
    <w:p>
      <w:pPr>
        <w:pStyle w:val="37"/>
        <w:tabs>
          <w:tab w:val="right" w:leader="dot" w:pos="8306"/>
        </w:tabs>
        <w:ind w:left="840"/>
        <w:jc w:val="both"/>
        <w:rPr>
          <w:sz w:val="24"/>
          <w:szCs w:val="24"/>
        </w:rPr>
      </w:pPr>
      <w:r>
        <w:rPr>
          <w:sz w:val="24"/>
          <w:szCs w:val="24"/>
        </w:rPr>
        <w:fldChar w:fldCharType="begin"/>
      </w:r>
      <w:r>
        <w:rPr>
          <w:sz w:val="24"/>
          <w:szCs w:val="24"/>
        </w:rPr>
        <w:instrText xml:space="preserve"> HYPERLINK \l "_Toc29178_WPSOffice_Level3" </w:instrText>
      </w:r>
      <w:r>
        <w:rPr>
          <w:sz w:val="24"/>
          <w:szCs w:val="24"/>
        </w:rPr>
        <w:fldChar w:fldCharType="separate"/>
      </w:r>
      <w:r>
        <w:rPr>
          <w:rFonts w:hint="eastAsia" w:ascii="仿宋_GB2312" w:hAnsi="宋体" w:eastAsia="仿宋_GB2312" w:cs="宋体"/>
          <w:sz w:val="24"/>
          <w:szCs w:val="24"/>
        </w:rPr>
        <w:t>（三）人员概况。</w:t>
      </w:r>
      <w:r>
        <w:rPr>
          <w:sz w:val="24"/>
          <w:szCs w:val="24"/>
        </w:rPr>
        <w:fldChar w:fldCharType="end"/>
      </w:r>
    </w:p>
    <w:p>
      <w:pPr>
        <w:pStyle w:val="36"/>
        <w:tabs>
          <w:tab w:val="right" w:leader="dot" w:pos="8306"/>
        </w:tabs>
        <w:ind w:left="420"/>
        <w:jc w:val="both"/>
        <w:rPr>
          <w:sz w:val="24"/>
          <w:szCs w:val="24"/>
        </w:rPr>
      </w:pPr>
      <w:r>
        <w:rPr>
          <w:sz w:val="24"/>
          <w:szCs w:val="24"/>
        </w:rPr>
        <w:fldChar w:fldCharType="begin"/>
      </w:r>
      <w:r>
        <w:rPr>
          <w:sz w:val="24"/>
          <w:szCs w:val="24"/>
        </w:rPr>
        <w:instrText xml:space="preserve"> HYPERLINK \l "_Toc4810_WPSOffice_Level2" </w:instrText>
      </w:r>
      <w:r>
        <w:rPr>
          <w:sz w:val="24"/>
          <w:szCs w:val="24"/>
        </w:rPr>
        <w:fldChar w:fldCharType="separate"/>
      </w:r>
      <w:r>
        <w:rPr>
          <w:rFonts w:hint="eastAsia" w:ascii="黑体" w:hAnsi="宋体" w:eastAsia="黑体" w:cs="宋体"/>
          <w:sz w:val="24"/>
          <w:szCs w:val="24"/>
        </w:rPr>
        <w:t>二、部门财政资金收支情况</w:t>
      </w:r>
      <w:r>
        <w:rPr>
          <w:sz w:val="24"/>
          <w:szCs w:val="24"/>
        </w:rPr>
        <w:fldChar w:fldCharType="end"/>
      </w:r>
    </w:p>
    <w:p>
      <w:pPr>
        <w:pStyle w:val="37"/>
        <w:tabs>
          <w:tab w:val="right" w:leader="dot" w:pos="8306"/>
        </w:tabs>
        <w:ind w:left="840"/>
        <w:jc w:val="both"/>
        <w:rPr>
          <w:sz w:val="24"/>
          <w:szCs w:val="24"/>
        </w:rPr>
      </w:pPr>
      <w:r>
        <w:rPr>
          <w:sz w:val="24"/>
          <w:szCs w:val="24"/>
        </w:rPr>
        <w:fldChar w:fldCharType="begin"/>
      </w:r>
      <w:r>
        <w:rPr>
          <w:sz w:val="24"/>
          <w:szCs w:val="24"/>
        </w:rPr>
        <w:instrText xml:space="preserve"> HYPERLINK \l "_Toc17495_WPSOffice_Level3" </w:instrText>
      </w:r>
      <w:r>
        <w:rPr>
          <w:sz w:val="24"/>
          <w:szCs w:val="24"/>
        </w:rPr>
        <w:fldChar w:fldCharType="separate"/>
      </w:r>
      <w:r>
        <w:rPr>
          <w:rFonts w:hint="eastAsia" w:ascii="仿宋_GB2312" w:hAnsi="宋体" w:eastAsia="仿宋_GB2312" w:cs="宋体"/>
          <w:sz w:val="24"/>
          <w:szCs w:val="24"/>
        </w:rPr>
        <w:t>（一）部门财政资金收入情况。</w:t>
      </w:r>
      <w:r>
        <w:rPr>
          <w:sz w:val="24"/>
          <w:szCs w:val="24"/>
        </w:rPr>
        <w:fldChar w:fldCharType="end"/>
      </w:r>
    </w:p>
    <w:p>
      <w:pPr>
        <w:pStyle w:val="37"/>
        <w:tabs>
          <w:tab w:val="right" w:leader="dot" w:pos="8306"/>
        </w:tabs>
        <w:ind w:left="840"/>
        <w:jc w:val="both"/>
        <w:rPr>
          <w:sz w:val="24"/>
          <w:szCs w:val="24"/>
        </w:rPr>
      </w:pPr>
      <w:r>
        <w:rPr>
          <w:sz w:val="24"/>
          <w:szCs w:val="24"/>
        </w:rPr>
        <w:fldChar w:fldCharType="begin"/>
      </w:r>
      <w:r>
        <w:rPr>
          <w:sz w:val="24"/>
          <w:szCs w:val="24"/>
        </w:rPr>
        <w:instrText xml:space="preserve"> HYPERLINK \l "_Toc4810_WPSOffice_Level3" </w:instrText>
      </w:r>
      <w:r>
        <w:rPr>
          <w:sz w:val="24"/>
          <w:szCs w:val="24"/>
        </w:rPr>
        <w:fldChar w:fldCharType="separate"/>
      </w:r>
      <w:r>
        <w:rPr>
          <w:rFonts w:hint="eastAsia" w:ascii="仿宋_GB2312" w:hAnsi="宋体" w:eastAsia="仿宋_GB2312" w:cs="宋体"/>
          <w:sz w:val="24"/>
          <w:szCs w:val="24"/>
        </w:rPr>
        <w:t>（二） 部门财政资金支出情况。</w:t>
      </w:r>
      <w:r>
        <w:rPr>
          <w:sz w:val="24"/>
          <w:szCs w:val="24"/>
        </w:rPr>
        <w:fldChar w:fldCharType="end"/>
      </w:r>
    </w:p>
    <w:p>
      <w:pPr>
        <w:pStyle w:val="36"/>
        <w:tabs>
          <w:tab w:val="right" w:leader="dot" w:pos="8306"/>
        </w:tabs>
        <w:ind w:left="420"/>
        <w:jc w:val="both"/>
        <w:rPr>
          <w:sz w:val="24"/>
          <w:szCs w:val="24"/>
        </w:rPr>
      </w:pPr>
      <w:r>
        <w:rPr>
          <w:sz w:val="24"/>
          <w:szCs w:val="24"/>
        </w:rPr>
        <w:fldChar w:fldCharType="begin"/>
      </w:r>
      <w:r>
        <w:rPr>
          <w:sz w:val="24"/>
          <w:szCs w:val="24"/>
        </w:rPr>
        <w:instrText xml:space="preserve"> HYPERLINK \l "_Toc17090_WPSOffice_Level2" </w:instrText>
      </w:r>
      <w:r>
        <w:rPr>
          <w:sz w:val="24"/>
          <w:szCs w:val="24"/>
        </w:rPr>
        <w:fldChar w:fldCharType="separate"/>
      </w:r>
      <w:r>
        <w:rPr>
          <w:rFonts w:hint="eastAsia" w:ascii="黑体" w:hAnsi="宋体" w:eastAsia="黑体" w:cs="宋体"/>
          <w:sz w:val="24"/>
          <w:szCs w:val="24"/>
        </w:rPr>
        <w:t>三、部门整体预算绩效管理情况</w:t>
      </w:r>
      <w:r>
        <w:rPr>
          <w:sz w:val="24"/>
          <w:szCs w:val="24"/>
        </w:rPr>
        <w:fldChar w:fldCharType="end"/>
      </w:r>
    </w:p>
    <w:p>
      <w:pPr>
        <w:pStyle w:val="37"/>
        <w:tabs>
          <w:tab w:val="right" w:leader="dot" w:pos="8306"/>
        </w:tabs>
        <w:ind w:left="840"/>
        <w:jc w:val="both"/>
        <w:rPr>
          <w:sz w:val="24"/>
          <w:szCs w:val="24"/>
        </w:rPr>
      </w:pPr>
      <w:r>
        <w:rPr>
          <w:sz w:val="24"/>
          <w:szCs w:val="24"/>
        </w:rPr>
        <w:fldChar w:fldCharType="begin"/>
      </w:r>
      <w:r>
        <w:rPr>
          <w:sz w:val="24"/>
          <w:szCs w:val="24"/>
        </w:rPr>
        <w:instrText xml:space="preserve"> HYPERLINK \l "_Toc17090_WPSOffice_Level3" </w:instrText>
      </w:r>
      <w:r>
        <w:rPr>
          <w:sz w:val="24"/>
          <w:szCs w:val="24"/>
        </w:rPr>
        <w:fldChar w:fldCharType="separate"/>
      </w:r>
      <w:r>
        <w:rPr>
          <w:rFonts w:hint="eastAsia" w:ascii="仿宋_GB2312" w:hAnsi="宋体" w:eastAsia="仿宋_GB2312" w:cs="宋体"/>
          <w:sz w:val="24"/>
          <w:szCs w:val="24"/>
        </w:rPr>
        <w:t>（一）部门预算管理。</w:t>
      </w:r>
      <w:r>
        <w:rPr>
          <w:sz w:val="24"/>
          <w:szCs w:val="24"/>
        </w:rPr>
        <w:fldChar w:fldCharType="end"/>
      </w:r>
    </w:p>
    <w:p>
      <w:pPr>
        <w:pStyle w:val="37"/>
        <w:tabs>
          <w:tab w:val="right" w:leader="dot" w:pos="8306"/>
        </w:tabs>
        <w:ind w:left="840"/>
        <w:jc w:val="both"/>
        <w:rPr>
          <w:sz w:val="24"/>
          <w:szCs w:val="24"/>
        </w:rPr>
      </w:pPr>
      <w:r>
        <w:rPr>
          <w:sz w:val="24"/>
          <w:szCs w:val="24"/>
        </w:rPr>
        <w:fldChar w:fldCharType="begin"/>
      </w:r>
      <w:r>
        <w:rPr>
          <w:sz w:val="24"/>
          <w:szCs w:val="24"/>
        </w:rPr>
        <w:instrText xml:space="preserve"> HYPERLINK \l "_Toc23830_WPSOffice_Level3" </w:instrText>
      </w:r>
      <w:r>
        <w:rPr>
          <w:sz w:val="24"/>
          <w:szCs w:val="24"/>
        </w:rPr>
        <w:fldChar w:fldCharType="separate"/>
      </w:r>
      <w:r>
        <w:rPr>
          <w:rFonts w:hint="eastAsia" w:ascii="仿宋" w:hAnsi="仿宋" w:eastAsia="仿宋"/>
          <w:sz w:val="24"/>
          <w:szCs w:val="24"/>
        </w:rPr>
        <w:t>（二）结果应用情况。</w:t>
      </w:r>
      <w:r>
        <w:rPr>
          <w:sz w:val="24"/>
          <w:szCs w:val="24"/>
        </w:rPr>
        <w:fldChar w:fldCharType="end"/>
      </w:r>
    </w:p>
    <w:p>
      <w:pPr>
        <w:pStyle w:val="36"/>
        <w:tabs>
          <w:tab w:val="right" w:leader="dot" w:pos="8306"/>
        </w:tabs>
        <w:ind w:left="420"/>
        <w:jc w:val="both"/>
        <w:rPr>
          <w:sz w:val="24"/>
          <w:szCs w:val="24"/>
        </w:rPr>
      </w:pPr>
      <w:r>
        <w:rPr>
          <w:sz w:val="24"/>
          <w:szCs w:val="24"/>
        </w:rPr>
        <w:fldChar w:fldCharType="begin"/>
      </w:r>
      <w:r>
        <w:rPr>
          <w:sz w:val="24"/>
          <w:szCs w:val="24"/>
        </w:rPr>
        <w:instrText xml:space="preserve"> HYPERLINK \l "_Toc23830_WPSOffice_Level2" </w:instrText>
      </w:r>
      <w:r>
        <w:rPr>
          <w:sz w:val="24"/>
          <w:szCs w:val="24"/>
        </w:rPr>
        <w:fldChar w:fldCharType="separate"/>
      </w:r>
      <w:r>
        <w:rPr>
          <w:rFonts w:hint="eastAsia" w:ascii="仿宋" w:hAnsi="仿宋" w:eastAsia="仿宋"/>
          <w:sz w:val="24"/>
          <w:szCs w:val="24"/>
        </w:rPr>
        <w:t>四、评价结论及建议</w:t>
      </w:r>
      <w:r>
        <w:rPr>
          <w:sz w:val="24"/>
          <w:szCs w:val="24"/>
        </w:rPr>
        <w:fldChar w:fldCharType="end"/>
      </w:r>
    </w:p>
    <w:p>
      <w:pPr>
        <w:pStyle w:val="37"/>
        <w:tabs>
          <w:tab w:val="right" w:leader="dot" w:pos="8306"/>
        </w:tabs>
        <w:ind w:left="840"/>
        <w:jc w:val="both"/>
        <w:rPr>
          <w:sz w:val="24"/>
          <w:szCs w:val="24"/>
        </w:rPr>
      </w:pPr>
      <w:r>
        <w:rPr>
          <w:sz w:val="24"/>
          <w:szCs w:val="24"/>
        </w:rPr>
        <w:fldChar w:fldCharType="begin"/>
      </w:r>
      <w:r>
        <w:rPr>
          <w:sz w:val="24"/>
          <w:szCs w:val="24"/>
        </w:rPr>
        <w:instrText xml:space="preserve"> HYPERLINK \l "_Toc23252_WPSOffice_Level3" </w:instrText>
      </w:r>
      <w:r>
        <w:rPr>
          <w:sz w:val="24"/>
          <w:szCs w:val="24"/>
        </w:rPr>
        <w:fldChar w:fldCharType="separate"/>
      </w:r>
      <w:r>
        <w:rPr>
          <w:rFonts w:hint="eastAsia" w:ascii="仿宋" w:hAnsi="仿宋" w:eastAsia="仿宋"/>
          <w:sz w:val="24"/>
          <w:szCs w:val="24"/>
        </w:rPr>
        <w:t>（一）评价结论。</w:t>
      </w:r>
      <w:r>
        <w:rPr>
          <w:sz w:val="24"/>
          <w:szCs w:val="24"/>
        </w:rPr>
        <w:fldChar w:fldCharType="end"/>
      </w:r>
    </w:p>
    <w:p>
      <w:pPr>
        <w:pStyle w:val="37"/>
        <w:tabs>
          <w:tab w:val="right" w:leader="dot" w:pos="8306"/>
        </w:tabs>
        <w:ind w:left="840"/>
        <w:jc w:val="both"/>
        <w:rPr>
          <w:sz w:val="24"/>
          <w:szCs w:val="24"/>
        </w:rPr>
      </w:pPr>
      <w:r>
        <w:rPr>
          <w:sz w:val="24"/>
          <w:szCs w:val="24"/>
        </w:rPr>
        <w:fldChar w:fldCharType="begin"/>
      </w:r>
      <w:r>
        <w:rPr>
          <w:sz w:val="24"/>
          <w:szCs w:val="24"/>
        </w:rPr>
        <w:instrText xml:space="preserve"> HYPERLINK \l "_Toc22809_WPSOffice_Level3" </w:instrText>
      </w:r>
      <w:r>
        <w:rPr>
          <w:sz w:val="24"/>
          <w:szCs w:val="24"/>
        </w:rPr>
        <w:fldChar w:fldCharType="separate"/>
      </w:r>
      <w:r>
        <w:rPr>
          <w:rFonts w:hint="eastAsia" w:ascii="仿宋" w:hAnsi="仿宋" w:eastAsia="仿宋"/>
          <w:sz w:val="24"/>
          <w:szCs w:val="24"/>
        </w:rPr>
        <w:t>（二）存在问题。</w:t>
      </w:r>
      <w:r>
        <w:rPr>
          <w:sz w:val="24"/>
          <w:szCs w:val="24"/>
        </w:rPr>
        <w:fldChar w:fldCharType="end"/>
      </w:r>
    </w:p>
    <w:p>
      <w:pPr>
        <w:pStyle w:val="35"/>
        <w:tabs>
          <w:tab w:val="right" w:leader="dot" w:pos="8306"/>
        </w:tabs>
        <w:jc w:val="both"/>
        <w:rPr>
          <w:sz w:val="24"/>
          <w:szCs w:val="24"/>
        </w:rPr>
      </w:pPr>
      <w:r>
        <w:rPr>
          <w:sz w:val="24"/>
          <w:szCs w:val="24"/>
        </w:rPr>
        <w:fldChar w:fldCharType="begin"/>
      </w:r>
      <w:r>
        <w:rPr>
          <w:sz w:val="24"/>
          <w:szCs w:val="24"/>
        </w:rPr>
        <w:instrText xml:space="preserve"> HYPERLINK \l "_Toc3982_WPSOffice_Level1" </w:instrText>
      </w:r>
      <w:r>
        <w:rPr>
          <w:sz w:val="24"/>
          <w:szCs w:val="24"/>
        </w:rPr>
        <w:fldChar w:fldCharType="separate"/>
      </w:r>
      <w:r>
        <w:rPr>
          <w:rFonts w:hint="eastAsia" w:ascii="仿宋" w:hAnsi="仿宋" w:eastAsia="仿宋"/>
          <w:sz w:val="24"/>
          <w:szCs w:val="24"/>
        </w:rPr>
        <w:t>第五部分 附表</w:t>
      </w:r>
      <w:r>
        <w:rPr>
          <w:sz w:val="24"/>
          <w:szCs w:val="24"/>
        </w:rPr>
        <w:fldChar w:fldCharType="end"/>
      </w:r>
    </w:p>
    <w:p>
      <w:pPr>
        <w:pStyle w:val="36"/>
        <w:tabs>
          <w:tab w:val="right" w:leader="dot" w:pos="8306"/>
        </w:tabs>
        <w:ind w:left="420"/>
        <w:jc w:val="both"/>
        <w:rPr>
          <w:sz w:val="24"/>
          <w:szCs w:val="24"/>
        </w:rPr>
      </w:pPr>
      <w:r>
        <w:rPr>
          <w:sz w:val="24"/>
          <w:szCs w:val="24"/>
        </w:rPr>
        <w:fldChar w:fldCharType="begin"/>
      </w:r>
      <w:r>
        <w:rPr>
          <w:sz w:val="24"/>
          <w:szCs w:val="24"/>
        </w:rPr>
        <w:instrText xml:space="preserve"> HYPERLINK \l "_Toc23252_WPSOffice_Level2" </w:instrText>
      </w:r>
      <w:r>
        <w:rPr>
          <w:sz w:val="24"/>
          <w:szCs w:val="24"/>
        </w:rPr>
        <w:fldChar w:fldCharType="separate"/>
      </w:r>
      <w:r>
        <w:rPr>
          <w:rFonts w:hint="eastAsia" w:ascii="仿宋" w:hAnsi="仿宋" w:eastAsia="仿宋"/>
          <w:sz w:val="24"/>
          <w:szCs w:val="24"/>
        </w:rPr>
        <w:t>一、收入支出决算总表</w:t>
      </w:r>
      <w:r>
        <w:rPr>
          <w:sz w:val="24"/>
          <w:szCs w:val="24"/>
        </w:rPr>
        <w:fldChar w:fldCharType="end"/>
      </w:r>
    </w:p>
    <w:p>
      <w:pPr>
        <w:pStyle w:val="36"/>
        <w:tabs>
          <w:tab w:val="right" w:leader="dot" w:pos="8306"/>
        </w:tabs>
        <w:ind w:left="420"/>
        <w:jc w:val="both"/>
        <w:rPr>
          <w:sz w:val="24"/>
          <w:szCs w:val="24"/>
        </w:rPr>
      </w:pPr>
      <w:r>
        <w:rPr>
          <w:sz w:val="24"/>
          <w:szCs w:val="24"/>
        </w:rPr>
        <w:fldChar w:fldCharType="begin"/>
      </w:r>
      <w:r>
        <w:rPr>
          <w:sz w:val="24"/>
          <w:szCs w:val="24"/>
        </w:rPr>
        <w:instrText xml:space="preserve"> HYPERLINK \l "_Toc22809_WPSOffice_Level2" </w:instrText>
      </w:r>
      <w:r>
        <w:rPr>
          <w:sz w:val="24"/>
          <w:szCs w:val="24"/>
        </w:rPr>
        <w:fldChar w:fldCharType="separate"/>
      </w:r>
      <w:r>
        <w:rPr>
          <w:rFonts w:hint="eastAsia" w:ascii="仿宋" w:hAnsi="仿宋" w:eastAsia="仿宋"/>
          <w:sz w:val="24"/>
          <w:szCs w:val="24"/>
        </w:rPr>
        <w:t>二、收入决算表</w:t>
      </w:r>
      <w:r>
        <w:rPr>
          <w:sz w:val="24"/>
          <w:szCs w:val="24"/>
        </w:rPr>
        <w:fldChar w:fldCharType="end"/>
      </w:r>
    </w:p>
    <w:p>
      <w:pPr>
        <w:pStyle w:val="36"/>
        <w:tabs>
          <w:tab w:val="right" w:leader="dot" w:pos="8306"/>
        </w:tabs>
        <w:ind w:left="420"/>
        <w:jc w:val="both"/>
        <w:rPr>
          <w:sz w:val="24"/>
          <w:szCs w:val="24"/>
        </w:rPr>
      </w:pPr>
      <w:r>
        <w:rPr>
          <w:sz w:val="24"/>
          <w:szCs w:val="24"/>
        </w:rPr>
        <w:fldChar w:fldCharType="begin"/>
      </w:r>
      <w:r>
        <w:rPr>
          <w:sz w:val="24"/>
          <w:szCs w:val="24"/>
        </w:rPr>
        <w:instrText xml:space="preserve"> HYPERLINK \l "_Toc7875_WPSOffice_Level2" </w:instrText>
      </w:r>
      <w:r>
        <w:rPr>
          <w:sz w:val="24"/>
          <w:szCs w:val="24"/>
        </w:rPr>
        <w:fldChar w:fldCharType="separate"/>
      </w:r>
      <w:r>
        <w:rPr>
          <w:rFonts w:hint="eastAsia" w:ascii="仿宋" w:hAnsi="仿宋" w:eastAsia="仿宋"/>
          <w:sz w:val="24"/>
          <w:szCs w:val="24"/>
        </w:rPr>
        <w:t>三、支出决算表</w:t>
      </w:r>
      <w:r>
        <w:rPr>
          <w:sz w:val="24"/>
          <w:szCs w:val="24"/>
        </w:rPr>
        <w:fldChar w:fldCharType="end"/>
      </w:r>
    </w:p>
    <w:p>
      <w:pPr>
        <w:pStyle w:val="36"/>
        <w:tabs>
          <w:tab w:val="right" w:leader="dot" w:pos="8306"/>
        </w:tabs>
        <w:ind w:left="420"/>
        <w:jc w:val="both"/>
        <w:rPr>
          <w:sz w:val="24"/>
          <w:szCs w:val="24"/>
        </w:rPr>
      </w:pPr>
      <w:r>
        <w:rPr>
          <w:sz w:val="24"/>
          <w:szCs w:val="24"/>
        </w:rPr>
        <w:fldChar w:fldCharType="begin"/>
      </w:r>
      <w:r>
        <w:rPr>
          <w:sz w:val="24"/>
          <w:szCs w:val="24"/>
        </w:rPr>
        <w:instrText xml:space="preserve"> HYPERLINK \l "_Toc22408_WPSOffice_Level2" </w:instrText>
      </w:r>
      <w:r>
        <w:rPr>
          <w:sz w:val="24"/>
          <w:szCs w:val="24"/>
        </w:rPr>
        <w:fldChar w:fldCharType="separate"/>
      </w:r>
      <w:r>
        <w:rPr>
          <w:rFonts w:hint="eastAsia" w:ascii="仿宋" w:hAnsi="仿宋" w:eastAsia="仿宋"/>
          <w:sz w:val="24"/>
          <w:szCs w:val="24"/>
        </w:rPr>
        <w:t>四、财政拨款收入支出决算总表</w:t>
      </w:r>
      <w:r>
        <w:rPr>
          <w:sz w:val="24"/>
          <w:szCs w:val="24"/>
        </w:rPr>
        <w:fldChar w:fldCharType="end"/>
      </w:r>
    </w:p>
    <w:p>
      <w:pPr>
        <w:pStyle w:val="36"/>
        <w:tabs>
          <w:tab w:val="right" w:leader="dot" w:pos="8306"/>
        </w:tabs>
        <w:ind w:left="420"/>
        <w:jc w:val="both"/>
        <w:rPr>
          <w:sz w:val="24"/>
          <w:szCs w:val="24"/>
        </w:rPr>
      </w:pPr>
      <w:r>
        <w:rPr>
          <w:sz w:val="24"/>
          <w:szCs w:val="24"/>
        </w:rPr>
        <w:fldChar w:fldCharType="begin"/>
      </w:r>
      <w:r>
        <w:rPr>
          <w:sz w:val="24"/>
          <w:szCs w:val="24"/>
        </w:rPr>
        <w:instrText xml:space="preserve"> HYPERLINK \l "_Toc28250_WPSOffice_Level2" </w:instrText>
      </w:r>
      <w:r>
        <w:rPr>
          <w:sz w:val="24"/>
          <w:szCs w:val="24"/>
        </w:rPr>
        <w:fldChar w:fldCharType="separate"/>
      </w:r>
      <w:r>
        <w:rPr>
          <w:rFonts w:hint="eastAsia" w:ascii="仿宋" w:hAnsi="仿宋" w:eastAsia="仿宋"/>
          <w:sz w:val="24"/>
          <w:szCs w:val="24"/>
        </w:rPr>
        <w:t>五、财政拨款支出决算明细表</w:t>
      </w:r>
      <w:r>
        <w:rPr>
          <w:sz w:val="24"/>
          <w:szCs w:val="24"/>
        </w:rPr>
        <w:fldChar w:fldCharType="end"/>
      </w:r>
    </w:p>
    <w:p>
      <w:pPr>
        <w:pStyle w:val="36"/>
        <w:tabs>
          <w:tab w:val="right" w:leader="dot" w:pos="8306"/>
        </w:tabs>
        <w:ind w:left="420"/>
        <w:jc w:val="both"/>
        <w:rPr>
          <w:sz w:val="24"/>
          <w:szCs w:val="24"/>
        </w:rPr>
      </w:pPr>
      <w:r>
        <w:rPr>
          <w:sz w:val="24"/>
          <w:szCs w:val="24"/>
        </w:rPr>
        <w:fldChar w:fldCharType="begin"/>
      </w:r>
      <w:r>
        <w:rPr>
          <w:sz w:val="24"/>
          <w:szCs w:val="24"/>
        </w:rPr>
        <w:instrText xml:space="preserve"> HYPERLINK \l "_Toc2864_WPSOffice_Level2" </w:instrText>
      </w:r>
      <w:r>
        <w:rPr>
          <w:sz w:val="24"/>
          <w:szCs w:val="24"/>
        </w:rPr>
        <w:fldChar w:fldCharType="separate"/>
      </w:r>
      <w:r>
        <w:rPr>
          <w:rFonts w:hint="eastAsia" w:ascii="仿宋" w:hAnsi="仿宋" w:eastAsia="仿宋"/>
          <w:sz w:val="24"/>
          <w:szCs w:val="24"/>
        </w:rPr>
        <w:t>六、一般公共预算财政拨款支出决算表</w:t>
      </w:r>
      <w:r>
        <w:rPr>
          <w:sz w:val="24"/>
          <w:szCs w:val="24"/>
        </w:rPr>
        <w:fldChar w:fldCharType="end"/>
      </w:r>
    </w:p>
    <w:p>
      <w:pPr>
        <w:pStyle w:val="36"/>
        <w:tabs>
          <w:tab w:val="right" w:leader="dot" w:pos="8306"/>
        </w:tabs>
        <w:ind w:left="420"/>
        <w:jc w:val="both"/>
        <w:rPr>
          <w:sz w:val="24"/>
          <w:szCs w:val="24"/>
        </w:rPr>
      </w:pPr>
      <w:r>
        <w:rPr>
          <w:sz w:val="24"/>
          <w:szCs w:val="24"/>
        </w:rPr>
        <w:fldChar w:fldCharType="begin"/>
      </w:r>
      <w:r>
        <w:rPr>
          <w:sz w:val="24"/>
          <w:szCs w:val="24"/>
        </w:rPr>
        <w:instrText xml:space="preserve"> HYPERLINK \l "_Toc25276_WPSOffice_Level2" </w:instrText>
      </w:r>
      <w:r>
        <w:rPr>
          <w:sz w:val="24"/>
          <w:szCs w:val="24"/>
        </w:rPr>
        <w:fldChar w:fldCharType="separate"/>
      </w:r>
      <w:r>
        <w:rPr>
          <w:rFonts w:hint="eastAsia" w:ascii="仿宋" w:hAnsi="仿宋" w:eastAsia="仿宋"/>
          <w:sz w:val="24"/>
          <w:szCs w:val="24"/>
        </w:rPr>
        <w:t>七、一般公共预算财政拨款支出决算明细表</w:t>
      </w:r>
      <w:r>
        <w:rPr>
          <w:sz w:val="24"/>
          <w:szCs w:val="24"/>
        </w:rPr>
        <w:fldChar w:fldCharType="end"/>
      </w:r>
    </w:p>
    <w:p>
      <w:pPr>
        <w:pStyle w:val="36"/>
        <w:tabs>
          <w:tab w:val="right" w:leader="dot" w:pos="8306"/>
        </w:tabs>
        <w:ind w:left="420"/>
        <w:jc w:val="both"/>
        <w:rPr>
          <w:sz w:val="24"/>
          <w:szCs w:val="24"/>
        </w:rPr>
      </w:pPr>
      <w:r>
        <w:rPr>
          <w:sz w:val="24"/>
          <w:szCs w:val="24"/>
        </w:rPr>
        <w:fldChar w:fldCharType="begin"/>
      </w:r>
      <w:r>
        <w:rPr>
          <w:sz w:val="24"/>
          <w:szCs w:val="24"/>
        </w:rPr>
        <w:instrText xml:space="preserve"> HYPERLINK \l "_Toc7202_WPSOffice_Level2" </w:instrText>
      </w:r>
      <w:r>
        <w:rPr>
          <w:sz w:val="24"/>
          <w:szCs w:val="24"/>
        </w:rPr>
        <w:fldChar w:fldCharType="separate"/>
      </w:r>
      <w:r>
        <w:rPr>
          <w:rFonts w:hint="eastAsia" w:ascii="仿宋" w:hAnsi="仿宋" w:eastAsia="仿宋"/>
          <w:sz w:val="24"/>
          <w:szCs w:val="24"/>
        </w:rPr>
        <w:t>八、一般公共预算财政拨款基本支出决算表</w:t>
      </w:r>
      <w:r>
        <w:rPr>
          <w:sz w:val="24"/>
          <w:szCs w:val="24"/>
        </w:rPr>
        <w:fldChar w:fldCharType="end"/>
      </w:r>
    </w:p>
    <w:p>
      <w:pPr>
        <w:pStyle w:val="36"/>
        <w:tabs>
          <w:tab w:val="right" w:leader="dot" w:pos="8306"/>
        </w:tabs>
        <w:ind w:left="420"/>
        <w:jc w:val="both"/>
        <w:rPr>
          <w:sz w:val="24"/>
          <w:szCs w:val="24"/>
        </w:rPr>
      </w:pPr>
      <w:r>
        <w:rPr>
          <w:sz w:val="24"/>
          <w:szCs w:val="24"/>
        </w:rPr>
        <w:fldChar w:fldCharType="begin"/>
      </w:r>
      <w:r>
        <w:rPr>
          <w:sz w:val="24"/>
          <w:szCs w:val="24"/>
        </w:rPr>
        <w:instrText xml:space="preserve"> HYPERLINK \l "_Toc4419_WPSOffice_Level2" </w:instrText>
      </w:r>
      <w:r>
        <w:rPr>
          <w:sz w:val="24"/>
          <w:szCs w:val="24"/>
        </w:rPr>
        <w:fldChar w:fldCharType="separate"/>
      </w:r>
      <w:r>
        <w:rPr>
          <w:rFonts w:hint="eastAsia" w:ascii="仿宋" w:hAnsi="仿宋" w:eastAsia="仿宋"/>
          <w:sz w:val="24"/>
          <w:szCs w:val="24"/>
        </w:rPr>
        <w:t>九、一般公共预算财政拨款项目支出决算表</w:t>
      </w:r>
      <w:r>
        <w:rPr>
          <w:sz w:val="24"/>
          <w:szCs w:val="24"/>
        </w:rPr>
        <w:fldChar w:fldCharType="end"/>
      </w:r>
    </w:p>
    <w:p>
      <w:pPr>
        <w:pStyle w:val="36"/>
        <w:tabs>
          <w:tab w:val="right" w:leader="dot" w:pos="8306"/>
        </w:tabs>
        <w:ind w:left="420"/>
        <w:jc w:val="both"/>
        <w:rPr>
          <w:sz w:val="24"/>
          <w:szCs w:val="24"/>
        </w:rPr>
      </w:pPr>
      <w:r>
        <w:rPr>
          <w:sz w:val="24"/>
          <w:szCs w:val="24"/>
        </w:rPr>
        <w:fldChar w:fldCharType="begin"/>
      </w:r>
      <w:r>
        <w:rPr>
          <w:sz w:val="24"/>
          <w:szCs w:val="24"/>
        </w:rPr>
        <w:instrText xml:space="preserve"> HYPERLINK \l "_Toc27030_WPSOffice_Level2" </w:instrText>
      </w:r>
      <w:r>
        <w:rPr>
          <w:sz w:val="24"/>
          <w:szCs w:val="24"/>
        </w:rPr>
        <w:fldChar w:fldCharType="separate"/>
      </w:r>
      <w:r>
        <w:rPr>
          <w:rFonts w:hint="eastAsia" w:ascii="仿宋" w:hAnsi="仿宋" w:eastAsia="仿宋"/>
          <w:sz w:val="24"/>
          <w:szCs w:val="24"/>
        </w:rPr>
        <w:t>十、一般公共预算财政拨款“三公”经费支出决算表</w:t>
      </w:r>
      <w:r>
        <w:rPr>
          <w:sz w:val="24"/>
          <w:szCs w:val="24"/>
        </w:rPr>
        <w:fldChar w:fldCharType="end"/>
      </w:r>
    </w:p>
    <w:p>
      <w:pPr>
        <w:pStyle w:val="36"/>
        <w:tabs>
          <w:tab w:val="right" w:leader="dot" w:pos="8306"/>
        </w:tabs>
        <w:ind w:left="420"/>
        <w:jc w:val="both"/>
        <w:rPr>
          <w:sz w:val="24"/>
          <w:szCs w:val="24"/>
        </w:rPr>
      </w:pPr>
      <w:r>
        <w:rPr>
          <w:sz w:val="24"/>
          <w:szCs w:val="24"/>
        </w:rPr>
        <w:fldChar w:fldCharType="begin"/>
      </w:r>
      <w:r>
        <w:rPr>
          <w:sz w:val="24"/>
          <w:szCs w:val="24"/>
        </w:rPr>
        <w:instrText xml:space="preserve"> HYPERLINK \l "_Toc9833_WPSOffice_Level2" </w:instrText>
      </w:r>
      <w:r>
        <w:rPr>
          <w:sz w:val="24"/>
          <w:szCs w:val="24"/>
        </w:rPr>
        <w:fldChar w:fldCharType="separate"/>
      </w:r>
      <w:r>
        <w:rPr>
          <w:rFonts w:hint="eastAsia" w:ascii="仿宋" w:hAnsi="仿宋" w:eastAsia="仿宋"/>
          <w:sz w:val="24"/>
          <w:szCs w:val="24"/>
        </w:rPr>
        <w:t>十一、政府性基金预算财政拨款收入支出决算表</w:t>
      </w:r>
      <w:r>
        <w:rPr>
          <w:sz w:val="24"/>
          <w:szCs w:val="24"/>
        </w:rPr>
        <w:fldChar w:fldCharType="end"/>
      </w:r>
    </w:p>
    <w:p>
      <w:pPr>
        <w:pStyle w:val="36"/>
        <w:tabs>
          <w:tab w:val="right" w:leader="dot" w:pos="8306"/>
        </w:tabs>
        <w:ind w:left="420"/>
        <w:jc w:val="both"/>
        <w:rPr>
          <w:sz w:val="24"/>
          <w:szCs w:val="24"/>
        </w:rPr>
      </w:pPr>
      <w:r>
        <w:rPr>
          <w:sz w:val="24"/>
          <w:szCs w:val="24"/>
        </w:rPr>
        <w:fldChar w:fldCharType="begin"/>
      </w:r>
      <w:r>
        <w:rPr>
          <w:sz w:val="24"/>
          <w:szCs w:val="24"/>
        </w:rPr>
        <w:instrText xml:space="preserve"> HYPERLINK \l "_Toc6074_WPSOffice_Level2" </w:instrText>
      </w:r>
      <w:r>
        <w:rPr>
          <w:sz w:val="24"/>
          <w:szCs w:val="24"/>
        </w:rPr>
        <w:fldChar w:fldCharType="separate"/>
      </w:r>
      <w:r>
        <w:rPr>
          <w:rFonts w:hint="eastAsia" w:ascii="仿宋" w:hAnsi="仿宋" w:eastAsia="仿宋"/>
          <w:sz w:val="24"/>
          <w:szCs w:val="24"/>
        </w:rPr>
        <w:t>十二、政府性基金预算财政拨款“三公”经费支出决算表</w:t>
      </w:r>
      <w:r>
        <w:rPr>
          <w:sz w:val="24"/>
          <w:szCs w:val="24"/>
        </w:rPr>
        <w:fldChar w:fldCharType="end"/>
      </w:r>
    </w:p>
    <w:p>
      <w:pPr>
        <w:pStyle w:val="36"/>
        <w:tabs>
          <w:tab w:val="right" w:leader="dot" w:pos="8306"/>
        </w:tabs>
        <w:ind w:left="420"/>
        <w:jc w:val="both"/>
        <w:rPr>
          <w:sz w:val="24"/>
          <w:szCs w:val="24"/>
        </w:rPr>
      </w:pPr>
      <w:r>
        <w:rPr>
          <w:sz w:val="24"/>
          <w:szCs w:val="24"/>
        </w:rPr>
        <w:fldChar w:fldCharType="begin"/>
      </w:r>
      <w:r>
        <w:rPr>
          <w:sz w:val="24"/>
          <w:szCs w:val="24"/>
        </w:rPr>
        <w:instrText xml:space="preserve"> HYPERLINK \l "_Toc8410_WPSOffice_Level2" </w:instrText>
      </w:r>
      <w:r>
        <w:rPr>
          <w:sz w:val="24"/>
          <w:szCs w:val="24"/>
        </w:rPr>
        <w:fldChar w:fldCharType="separate"/>
      </w:r>
      <w:r>
        <w:rPr>
          <w:rFonts w:hint="eastAsia" w:ascii="仿宋" w:hAnsi="仿宋" w:eastAsia="仿宋"/>
          <w:sz w:val="24"/>
          <w:szCs w:val="24"/>
        </w:rPr>
        <w:t>十三、国有资本经营预算财政拨款支出决算表</w:t>
      </w:r>
      <w:r>
        <w:rPr>
          <w:sz w:val="24"/>
          <w:szCs w:val="24"/>
        </w:rPr>
        <w:fldChar w:fldCharType="end"/>
      </w:r>
    </w:p>
    <w:p>
      <w:pPr>
        <w:pStyle w:val="3"/>
        <w:jc w:val="both"/>
        <w:rPr>
          <w:rFonts w:hint="eastAsia" w:ascii="黑体" w:hAnsi="黑体" w:eastAsia="黑体"/>
          <w:b w:val="0"/>
        </w:rPr>
      </w:pPr>
      <w:bookmarkStart w:id="9" w:name="_Toc30054_WPSOffice_Level1"/>
    </w:p>
    <w:p>
      <w:pPr>
        <w:pStyle w:val="3"/>
        <w:jc w:val="both"/>
        <w:rPr>
          <w:rFonts w:hint="eastAsia" w:ascii="黑体" w:hAnsi="黑体" w:eastAsia="黑体"/>
          <w:b w:val="0"/>
        </w:rPr>
      </w:pPr>
    </w:p>
    <w:p>
      <w:pPr>
        <w:rPr>
          <w:rFonts w:hint="eastAsia" w:ascii="黑体" w:hAnsi="黑体" w:eastAsia="黑体"/>
          <w:b w:val="0"/>
        </w:rPr>
      </w:pPr>
    </w:p>
    <w:p>
      <w:pPr>
        <w:pStyle w:val="2"/>
        <w:rPr>
          <w:rFonts w:hint="eastAsia" w:ascii="黑体" w:hAnsi="黑体" w:eastAsia="黑体"/>
          <w:b w:val="0"/>
        </w:rPr>
      </w:pPr>
    </w:p>
    <w:p>
      <w:pPr>
        <w:pStyle w:val="2"/>
        <w:rPr>
          <w:rFonts w:hint="eastAsia" w:ascii="黑体" w:hAnsi="黑体" w:eastAsia="黑体"/>
          <w:b w:val="0"/>
        </w:rPr>
      </w:pPr>
    </w:p>
    <w:p>
      <w:pPr>
        <w:pStyle w:val="3"/>
        <w:jc w:val="center"/>
        <w:rPr>
          <w:rFonts w:hint="eastAsia" w:ascii="Times New Roman" w:hAnsi="Times New Roman" w:eastAsia="方正小标宋简体" w:cs="方正小标宋简体"/>
          <w:b w:val="0"/>
          <w:color w:val="auto"/>
          <w:highlight w:val="none"/>
        </w:rPr>
      </w:pPr>
      <w:r>
        <w:rPr>
          <w:rFonts w:hint="eastAsia" w:ascii="黑体" w:hAnsi="黑体" w:eastAsia="黑体"/>
          <w:b w:val="0"/>
        </w:rPr>
        <w:t>第一部分</w:t>
      </w:r>
      <w:r>
        <w:rPr>
          <w:rFonts w:ascii="黑体" w:hAnsi="黑体" w:eastAsia="黑体"/>
          <w:b w:val="0"/>
        </w:rPr>
        <w:t xml:space="preserve"> </w:t>
      </w:r>
      <w:r>
        <w:rPr>
          <w:rStyle w:val="28"/>
          <w:rFonts w:hint="eastAsia" w:ascii="黑体" w:hAnsi="黑体" w:eastAsia="黑体"/>
          <w:b w:val="0"/>
          <w:bCs w:val="0"/>
        </w:rPr>
        <w:t>部门概况</w:t>
      </w:r>
      <w:bookmarkEnd w:id="9"/>
    </w:p>
    <w:bookmarkEnd w:id="7"/>
    <w:bookmarkEnd w:id="8"/>
    <w:p>
      <w:pPr>
        <w:pStyle w:val="4"/>
        <w:ind w:firstLine="640" w:firstLineChars="200"/>
        <w:rPr>
          <w:rStyle w:val="29"/>
          <w:rFonts w:ascii="黑体" w:hAnsi="黑体" w:eastAsia="黑体"/>
          <w:b w:val="0"/>
          <w:bCs w:val="0"/>
        </w:rPr>
      </w:pPr>
      <w:bookmarkStart w:id="10" w:name="_Toc15396600"/>
      <w:bookmarkStart w:id="11" w:name="_Toc79163852"/>
      <w:bookmarkStart w:id="12" w:name="_Toc15761_WPSOffice_Level2"/>
      <w:bookmarkStart w:id="13" w:name="_Toc15377197"/>
      <w:bookmarkStart w:id="14" w:name="_Toc32767_WPSOffice_Level2"/>
      <w:bookmarkStart w:id="15" w:name="_Toc79163602"/>
      <w:bookmarkStart w:id="16" w:name="_Toc15396602"/>
      <w:bookmarkStart w:id="17" w:name="_Toc15377204"/>
      <w:r>
        <w:rPr>
          <w:rFonts w:hint="eastAsia" w:ascii="黑体" w:hAnsi="黑体" w:eastAsia="黑体"/>
          <w:b w:val="0"/>
          <w:color w:val="000000"/>
        </w:rPr>
        <w:t>一、基</w:t>
      </w:r>
      <w:r>
        <w:rPr>
          <w:rStyle w:val="29"/>
          <w:rFonts w:hint="eastAsia" w:ascii="黑体" w:hAnsi="黑体" w:eastAsia="黑体"/>
          <w:b w:val="0"/>
          <w:bCs w:val="0"/>
        </w:rPr>
        <w:t>本职能及主要工作</w:t>
      </w:r>
      <w:bookmarkEnd w:id="10"/>
      <w:bookmarkEnd w:id="11"/>
      <w:bookmarkEnd w:id="12"/>
      <w:bookmarkEnd w:id="13"/>
      <w:bookmarkEnd w:id="14"/>
      <w:bookmarkEnd w:id="15"/>
      <w:bookmarkStart w:id="18" w:name="_Toc79163603"/>
      <w:bookmarkStart w:id="19" w:name="_Toc79163853"/>
      <w:bookmarkStart w:id="20" w:name="_Toc15377198"/>
      <w:bookmarkStart w:id="21" w:name="_Toc15378445"/>
    </w:p>
    <w:p>
      <w:pPr>
        <w:pStyle w:val="4"/>
        <w:ind w:firstLine="643" w:firstLineChars="200"/>
        <w:rPr>
          <w:rFonts w:ascii="仿宋" w:hAnsi="仿宋" w:eastAsia="仿宋"/>
          <w:color w:val="000000"/>
        </w:rPr>
      </w:pPr>
      <w:bookmarkStart w:id="22" w:name="_Toc32767_WPSOffice_Level3"/>
      <w:bookmarkStart w:id="23" w:name="_Toc15761_WPSOffice_Level3"/>
      <w:r>
        <w:rPr>
          <w:rFonts w:hint="eastAsia" w:ascii="仿宋" w:hAnsi="仿宋" w:eastAsia="仿宋"/>
          <w:color w:val="000000"/>
        </w:rPr>
        <w:t>（一）主要职能。</w:t>
      </w:r>
      <w:bookmarkEnd w:id="18"/>
      <w:bookmarkEnd w:id="19"/>
      <w:bookmarkEnd w:id="22"/>
      <w:bookmarkEnd w:id="23"/>
    </w:p>
    <w:bookmarkEnd w:id="20"/>
    <w:bookmarkEnd w:id="21"/>
    <w:p>
      <w:pPr>
        <w:widowControl/>
        <w:spacing w:before="192" w:after="144" w:line="18" w:lineRule="atLeast"/>
        <w:jc w:val="left"/>
        <w:rPr>
          <w:rFonts w:ascii="仿宋" w:hAnsi="仿宋" w:eastAsia="仿宋" w:cs="仿宋"/>
          <w:bCs/>
          <w:sz w:val="32"/>
          <w:szCs w:val="32"/>
        </w:rPr>
      </w:pPr>
      <w:bookmarkStart w:id="24" w:name="_Toc15378446"/>
      <w:bookmarkStart w:id="25" w:name="_Toc79163854"/>
      <w:bookmarkStart w:id="26" w:name="_Toc79163604"/>
      <w:bookmarkStart w:id="27" w:name="_Toc15377199"/>
      <w:r>
        <w:rPr>
          <w:rFonts w:hint="eastAsia" w:ascii="仿宋" w:hAnsi="仿宋" w:eastAsia="仿宋" w:cs="仿宋"/>
          <w:bCs/>
          <w:sz w:val="32"/>
          <w:szCs w:val="32"/>
        </w:rPr>
        <w:t xml:space="preserve">    小学教育是履行小学教育工作的职责，必须具备良好的职业道德，掌握系统的专业知识和专业技能。认真贯彻执行党的路线、方针和政策，坚持教书育人，服务育人，环境育人方针，关爱学生、尊重学生人格，</w:t>
      </w:r>
      <w:r>
        <w:rPr>
          <w:rFonts w:hint="eastAsia" w:ascii="仿宋" w:hAnsi="仿宋" w:eastAsia="仿宋" w:cs="仿宋"/>
          <w:sz w:val="32"/>
          <w:szCs w:val="32"/>
        </w:rPr>
        <w:t>培养学生高尚的思想道德情操，丰富的科学文化知识，良好的身体素质，促进学生全面发展。具有爱</w:t>
      </w:r>
      <w:r>
        <w:rPr>
          <w:rFonts w:hint="eastAsia" w:ascii="仿宋" w:hAnsi="仿宋" w:eastAsia="仿宋" w:cs="仿宋"/>
          <w:bCs/>
          <w:sz w:val="32"/>
          <w:szCs w:val="32"/>
        </w:rPr>
        <w:t>岗敬业的精神，加强对学生的思想品德教育，</w:t>
      </w:r>
      <w:r>
        <w:rPr>
          <w:rFonts w:hint="eastAsia" w:ascii="仿宋" w:hAnsi="仿宋" w:eastAsia="仿宋" w:cs="仿宋"/>
          <w:sz w:val="32"/>
          <w:szCs w:val="32"/>
        </w:rPr>
        <w:t>为学生在以后的学业生涯奠定基础，</w:t>
      </w:r>
      <w:r>
        <w:rPr>
          <w:rFonts w:hint="eastAsia" w:ascii="仿宋" w:hAnsi="仿宋" w:eastAsia="仿宋" w:cs="仿宋"/>
          <w:bCs/>
          <w:sz w:val="32"/>
          <w:szCs w:val="32"/>
        </w:rPr>
        <w:t>做小学生健康成长的指导者和引路人。</w:t>
      </w:r>
    </w:p>
    <w:p>
      <w:pPr>
        <w:pStyle w:val="2"/>
        <w:adjustRightInd w:val="0"/>
        <w:snapToGrid w:val="0"/>
        <w:spacing w:before="93" w:line="600" w:lineRule="exact"/>
        <w:ind w:firstLine="672" w:firstLineChars="210"/>
        <w:outlineLvl w:val="2"/>
        <w:rPr>
          <w:rFonts w:ascii="仿宋" w:hAnsi="仿宋" w:eastAsia="仿宋"/>
          <w:bCs/>
          <w:color w:val="000000"/>
          <w:sz w:val="32"/>
          <w:szCs w:val="32"/>
        </w:rPr>
      </w:pPr>
      <w:bookmarkStart w:id="28" w:name="_Toc24006_WPSOffice_Level3"/>
      <w:bookmarkStart w:id="29" w:name="_Toc19190_WPSOffice_Level3"/>
      <w:r>
        <w:rPr>
          <w:rFonts w:hint="eastAsia" w:ascii="仿宋" w:hAnsi="仿宋" w:eastAsia="仿宋"/>
          <w:bCs/>
          <w:color w:val="000000"/>
          <w:sz w:val="32"/>
          <w:szCs w:val="32"/>
        </w:rPr>
        <w:t>（二）</w:t>
      </w:r>
      <w:r>
        <w:rPr>
          <w:rFonts w:hint="eastAsia" w:ascii="仿宋" w:hAnsi="仿宋" w:eastAsia="仿宋"/>
          <w:bCs/>
          <w:color w:val="000000"/>
          <w:sz w:val="32"/>
          <w:szCs w:val="32"/>
          <w:lang w:eastAsia="zh-CN"/>
        </w:rPr>
        <w:t>2025</w:t>
      </w:r>
      <w:r>
        <w:rPr>
          <w:rFonts w:hint="eastAsia" w:ascii="仿宋" w:hAnsi="仿宋" w:eastAsia="仿宋"/>
          <w:bCs/>
          <w:color w:val="000000"/>
          <w:sz w:val="32"/>
          <w:szCs w:val="32"/>
        </w:rPr>
        <w:t>年重点工作完成情况。</w:t>
      </w:r>
      <w:bookmarkEnd w:id="24"/>
      <w:bookmarkEnd w:id="25"/>
      <w:bookmarkEnd w:id="26"/>
      <w:bookmarkEnd w:id="27"/>
      <w:bookmarkEnd w:id="28"/>
      <w:bookmarkEnd w:id="29"/>
    </w:p>
    <w:p>
      <w:pPr>
        <w:widowControl/>
        <w:spacing w:before="192" w:after="144" w:line="18" w:lineRule="atLeast"/>
        <w:ind w:firstLine="640" w:firstLineChars="200"/>
        <w:jc w:val="both"/>
        <w:rPr>
          <w:rFonts w:ascii="仿宋" w:hAnsi="仿宋" w:eastAsia="仿宋" w:cs="仿宋"/>
          <w:bCs/>
          <w:color w:val="000000"/>
          <w:sz w:val="32"/>
          <w:szCs w:val="32"/>
        </w:rPr>
      </w:pPr>
      <w:r>
        <w:rPr>
          <w:rFonts w:hint="eastAsia" w:ascii="仿宋" w:hAnsi="仿宋" w:eastAsia="仿宋" w:cs="仿宋"/>
          <w:bCs/>
          <w:color w:val="000000"/>
          <w:sz w:val="32"/>
          <w:szCs w:val="32"/>
        </w:rPr>
        <w:t>截止</w:t>
      </w:r>
      <w:r>
        <w:rPr>
          <w:rFonts w:hint="eastAsia" w:ascii="仿宋" w:hAnsi="仿宋" w:eastAsia="仿宋" w:cs="仿宋"/>
          <w:bCs/>
          <w:color w:val="000000"/>
          <w:sz w:val="32"/>
          <w:szCs w:val="32"/>
          <w:lang w:eastAsia="zh-CN"/>
        </w:rPr>
        <w:t>2025</w:t>
      </w:r>
      <w:r>
        <w:rPr>
          <w:rFonts w:hint="eastAsia" w:ascii="仿宋" w:hAnsi="仿宋" w:eastAsia="仿宋" w:cs="仿宋"/>
          <w:bCs/>
          <w:color w:val="000000"/>
          <w:sz w:val="32"/>
          <w:szCs w:val="32"/>
        </w:rPr>
        <w:t>年底，我校在校领导的带领下，各施其职，各尽其责，认真完成各项工作任务。</w:t>
      </w:r>
      <w:r>
        <w:rPr>
          <w:rFonts w:hint="eastAsia" w:ascii="仿宋" w:hAnsi="仿宋" w:eastAsia="仿宋" w:cs="仿宋"/>
          <w:sz w:val="32"/>
          <w:szCs w:val="32"/>
        </w:rPr>
        <w:t>认真贯彻执行上级财政制度和财经纪律，本着勤俭节约的原则，对学校各种资金的使用进行合理的分配和有效的核算控制，严格监督资金的有效使用。</w:t>
      </w:r>
      <w:r>
        <w:rPr>
          <w:rFonts w:hint="eastAsia" w:ascii="仿宋" w:hAnsi="仿宋" w:eastAsia="仿宋" w:cs="仿宋"/>
          <w:bCs/>
          <w:sz w:val="32"/>
          <w:szCs w:val="32"/>
        </w:rPr>
        <w:t>按照学校工作安排和学校领导要求，财务工作将继续深化管理，认真地做好各项工作。抓好开源节流，努力增加办学财力。坚持厉行节约，大力推进节约型校园建设，将资金用于刀刃上。不断深化财务工作，进一步加强财务内部控制制度。规范财务管理，认真做好</w:t>
      </w:r>
      <w:r>
        <w:rPr>
          <w:rFonts w:hint="eastAsia" w:ascii="仿宋" w:hAnsi="仿宋" w:eastAsia="仿宋" w:cs="仿宋"/>
          <w:sz w:val="32"/>
          <w:szCs w:val="32"/>
        </w:rPr>
        <w:t>会计凭证、帐薄，以保证学校财务计划和财务制度的正确贯彻执行。</w:t>
      </w:r>
      <w:r>
        <w:rPr>
          <w:rFonts w:hint="eastAsia" w:ascii="仿宋" w:hAnsi="仿宋" w:eastAsia="仿宋" w:cs="仿宋"/>
          <w:bCs/>
          <w:sz w:val="32"/>
          <w:szCs w:val="32"/>
        </w:rPr>
        <w:t>积极做好迎查工作。</w:t>
      </w:r>
    </w:p>
    <w:p>
      <w:pPr>
        <w:pStyle w:val="4"/>
        <w:ind w:firstLine="640" w:firstLineChars="200"/>
      </w:pPr>
      <w:bookmarkStart w:id="30" w:name="_Toc24006_WPSOffice_Level2"/>
      <w:bookmarkStart w:id="31" w:name="_Toc79163855"/>
      <w:bookmarkStart w:id="32" w:name="_Toc15396601"/>
      <w:bookmarkStart w:id="33" w:name="_Toc19190_WPSOffice_Level2"/>
      <w:bookmarkStart w:id="34" w:name="_Toc79163605"/>
      <w:bookmarkStart w:id="35" w:name="_Toc15377200"/>
      <w:r>
        <w:rPr>
          <w:rFonts w:hint="eastAsia" w:ascii="黑体" w:hAnsi="黑体" w:eastAsia="黑体"/>
          <w:b w:val="0"/>
          <w:color w:val="000000"/>
        </w:rPr>
        <w:t>二、机</w:t>
      </w:r>
      <w:r>
        <w:rPr>
          <w:rStyle w:val="29"/>
          <w:rFonts w:hint="eastAsia" w:ascii="黑体" w:hAnsi="黑体" w:eastAsia="黑体"/>
          <w:b w:val="0"/>
          <w:bCs w:val="0"/>
        </w:rPr>
        <w:t>构设置</w:t>
      </w:r>
      <w:bookmarkEnd w:id="30"/>
      <w:bookmarkEnd w:id="31"/>
      <w:bookmarkEnd w:id="32"/>
      <w:bookmarkEnd w:id="33"/>
      <w:bookmarkEnd w:id="34"/>
      <w:bookmarkEnd w:id="35"/>
    </w:p>
    <w:p>
      <w:pPr>
        <w:pStyle w:val="2"/>
        <w:adjustRightInd w:val="0"/>
        <w:snapToGrid w:val="0"/>
        <w:spacing w:before="93" w:line="58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我校属红原县教育局下属的二级单位，为独立核算财政全额拨款事业单位，执行的是政府会计制度，截止</w:t>
      </w:r>
      <w:r>
        <w:rPr>
          <w:rFonts w:hint="eastAsia" w:ascii="仿宋" w:hAnsi="仿宋" w:eastAsia="仿宋" w:cs="仿宋"/>
          <w:sz w:val="32"/>
          <w:szCs w:val="32"/>
          <w:lang w:eastAsia="zh-CN"/>
        </w:rPr>
        <w:t>2025</w:t>
      </w:r>
      <w:r>
        <w:rPr>
          <w:rFonts w:hint="eastAsia" w:ascii="仿宋" w:hAnsi="仿宋" w:eastAsia="仿宋" w:cs="仿宋"/>
          <w:sz w:val="32"/>
          <w:szCs w:val="32"/>
        </w:rPr>
        <w:t>年末，我校编制人数6</w:t>
      </w:r>
      <w:r>
        <w:rPr>
          <w:rFonts w:hint="eastAsia" w:ascii="仿宋" w:hAnsi="仿宋" w:eastAsia="仿宋" w:cs="仿宋"/>
          <w:sz w:val="32"/>
          <w:szCs w:val="32"/>
          <w:lang w:val="en-US" w:eastAsia="zh-CN"/>
        </w:rPr>
        <w:t>2</w:t>
      </w:r>
      <w:r>
        <w:rPr>
          <w:rFonts w:hint="eastAsia" w:ascii="仿宋" w:hAnsi="仿宋" w:eastAsia="仿宋" w:cs="仿宋"/>
          <w:sz w:val="32"/>
          <w:szCs w:val="32"/>
        </w:rPr>
        <w:t>人，在职教师</w:t>
      </w:r>
      <w:r>
        <w:rPr>
          <w:rFonts w:hint="eastAsia" w:ascii="仿宋" w:hAnsi="仿宋" w:eastAsia="仿宋" w:cs="仿宋"/>
          <w:sz w:val="32"/>
          <w:szCs w:val="32"/>
          <w:lang w:val="en-US"/>
        </w:rPr>
        <w:t>6</w:t>
      </w:r>
      <w:r>
        <w:rPr>
          <w:rFonts w:hint="eastAsia" w:ascii="仿宋" w:hAnsi="仿宋" w:eastAsia="仿宋" w:cs="仿宋"/>
          <w:sz w:val="32"/>
          <w:szCs w:val="32"/>
          <w:lang w:val="en-US" w:eastAsia="zh-CN"/>
        </w:rPr>
        <w:t>1</w:t>
      </w:r>
      <w:r>
        <w:rPr>
          <w:rFonts w:hint="eastAsia" w:ascii="仿宋" w:hAnsi="仿宋" w:eastAsia="仿宋" w:cs="仿宋"/>
          <w:sz w:val="32"/>
          <w:szCs w:val="32"/>
        </w:rPr>
        <w:t>人，财政供养人员共计</w:t>
      </w:r>
      <w:r>
        <w:rPr>
          <w:rFonts w:hint="eastAsia" w:ascii="仿宋" w:hAnsi="仿宋" w:eastAsia="仿宋" w:cs="仿宋"/>
          <w:sz w:val="32"/>
          <w:szCs w:val="32"/>
          <w:lang w:val="en-US"/>
        </w:rPr>
        <w:t>6</w:t>
      </w:r>
      <w:r>
        <w:rPr>
          <w:rFonts w:hint="eastAsia" w:ascii="仿宋" w:hAnsi="仿宋" w:eastAsia="仿宋" w:cs="仿宋"/>
          <w:sz w:val="32"/>
          <w:szCs w:val="32"/>
          <w:lang w:val="en-US" w:eastAsia="zh-CN"/>
        </w:rPr>
        <w:t>1</w:t>
      </w:r>
      <w:r>
        <w:rPr>
          <w:rFonts w:hint="eastAsia" w:ascii="仿宋" w:hAnsi="仿宋" w:eastAsia="仿宋" w:cs="仿宋"/>
          <w:sz w:val="32"/>
          <w:szCs w:val="32"/>
        </w:rPr>
        <w:t>人。</w:t>
      </w:r>
    </w:p>
    <w:p>
      <w:pPr>
        <w:pStyle w:val="2"/>
        <w:adjustRightInd w:val="0"/>
        <w:snapToGrid w:val="0"/>
        <w:spacing w:before="93" w:line="580" w:lineRule="exact"/>
        <w:jc w:val="center"/>
        <w:rPr>
          <w:rFonts w:hint="eastAsia" w:ascii="黑体" w:hAnsi="黑体" w:eastAsia="黑体" w:cs="黑体"/>
          <w:color w:val="auto"/>
          <w:sz w:val="44"/>
          <w:szCs w:val="44"/>
          <w:highlight w:val="none"/>
        </w:rPr>
      </w:pPr>
      <w:r>
        <w:rPr>
          <w:rFonts w:hint="eastAsia" w:ascii="黑体" w:hAnsi="黑体" w:eastAsia="黑体" w:cs="黑体"/>
          <w:b w:val="0"/>
          <w:color w:val="auto"/>
          <w:sz w:val="44"/>
          <w:szCs w:val="44"/>
          <w:highlight w:val="none"/>
        </w:rPr>
        <w:t>第二部分</w:t>
      </w:r>
      <w:r>
        <w:rPr>
          <w:rFonts w:hint="eastAsia" w:ascii="黑体" w:hAnsi="黑体" w:eastAsia="黑体" w:cs="黑体"/>
          <w:b w:val="0"/>
          <w:color w:val="auto"/>
          <w:sz w:val="44"/>
          <w:szCs w:val="44"/>
          <w:highlight w:val="none"/>
          <w:lang w:val="en-US" w:eastAsia="zh-CN"/>
        </w:rPr>
        <w:t xml:space="preserve"> </w:t>
      </w:r>
      <w:r>
        <w:rPr>
          <w:rFonts w:hint="eastAsia" w:ascii="黑体" w:hAnsi="黑体" w:eastAsia="黑体" w:cs="黑体"/>
          <w:b w:val="0"/>
          <w:color w:val="auto"/>
          <w:sz w:val="44"/>
          <w:szCs w:val="44"/>
          <w:highlight w:val="none"/>
        </w:rPr>
        <w:t xml:space="preserve"> </w:t>
      </w:r>
      <w:r>
        <w:rPr>
          <w:rFonts w:hint="eastAsia" w:ascii="黑体" w:hAnsi="黑体" w:eastAsia="黑体" w:cs="黑体"/>
          <w:b w:val="0"/>
          <w:color w:val="auto"/>
          <w:sz w:val="44"/>
          <w:szCs w:val="44"/>
          <w:highlight w:val="none"/>
          <w:lang w:val="en-US" w:eastAsia="zh-CN"/>
        </w:rPr>
        <w:t>2025年度</w:t>
      </w:r>
      <w:r>
        <w:rPr>
          <w:rFonts w:hint="eastAsia" w:ascii="黑体" w:hAnsi="黑体" w:eastAsia="黑体" w:cs="黑体"/>
          <w:b w:val="0"/>
          <w:color w:val="auto"/>
          <w:sz w:val="44"/>
          <w:szCs w:val="44"/>
          <w:highlight w:val="none"/>
        </w:rPr>
        <w:t>部门决算情况说明</w:t>
      </w:r>
      <w:bookmarkEnd w:id="16"/>
      <w:bookmarkEnd w:id="17"/>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29"/>
          <w:rFonts w:hint="eastAsia" w:ascii="Times New Roman" w:hAnsi="Times New Roman" w:eastAsia="黑体"/>
          <w:b w:val="0"/>
          <w:color w:val="auto"/>
          <w:highlight w:val="none"/>
        </w:rPr>
      </w:pPr>
      <w:bookmarkStart w:id="36" w:name="_Toc15377205"/>
      <w:bookmarkStart w:id="37" w:name="_Toc15396603"/>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29"/>
          <w:rFonts w:hint="eastAsia" w:ascii="Times New Roman" w:hAnsi="Times New Roman" w:eastAsia="黑体"/>
          <w:b w:val="0"/>
          <w:color w:val="auto"/>
          <w:highlight w:val="none"/>
        </w:rPr>
        <w:t>入支出决算总体情况说明</w:t>
      </w:r>
      <w:bookmarkEnd w:id="36"/>
      <w:bookmarkEnd w:id="37"/>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 w:cs="仿宋_GB2312"/>
          <w:color w:val="auto"/>
          <w:sz w:val="32"/>
          <w:szCs w:val="32"/>
          <w:highlight w:val="none"/>
          <w:lang w:val="en-US" w:eastAsia="zh-CN"/>
        </w:rPr>
      </w:pPr>
      <w:r>
        <w:rPr>
          <w:rFonts w:hint="eastAsia" w:eastAsia="仿宋_GB2312" w:cs="仿宋_GB2312"/>
          <w:color w:val="auto"/>
          <w:sz w:val="32"/>
          <w:szCs w:val="32"/>
          <w:highlight w:val="none"/>
          <w:lang w:eastAsia="zh-CN"/>
        </w:rPr>
        <w:t>2025</w:t>
      </w:r>
      <w:r>
        <w:rPr>
          <w:rFonts w:hint="eastAsia" w:ascii="Times New Roman" w:hAnsi="Times New Roman" w:eastAsia="仿宋_GB2312" w:cs="仿宋_GB2312"/>
          <w:color w:val="auto"/>
          <w:sz w:val="32"/>
          <w:szCs w:val="32"/>
          <w:highlight w:val="none"/>
          <w:lang w:eastAsia="zh-CN"/>
        </w:rPr>
        <w:t>年度收入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ascii="Times New Roman" w:hAnsi="Times New Roman" w:eastAsia="仿宋_GB2312" w:cs="仿宋_GB2312"/>
          <w:color w:val="auto"/>
          <w:sz w:val="32"/>
          <w:szCs w:val="32"/>
          <w:highlight w:val="none"/>
          <w:lang w:eastAsia="zh-CN"/>
        </w:rPr>
        <w:t>均为</w:t>
      </w:r>
      <w:r>
        <w:rPr>
          <w:rFonts w:hint="eastAsia" w:ascii="仿宋_GB2312" w:hAnsi="仿宋_GB2312" w:eastAsia="仿宋_GB2312" w:cs="仿宋_GB2312"/>
          <w:sz w:val="32"/>
          <w:szCs w:val="32"/>
          <w:lang w:val="en-US" w:eastAsia="zh-CN"/>
        </w:rPr>
        <w:t>1904.95</w:t>
      </w:r>
      <w:r>
        <w:rPr>
          <w:rFonts w:hint="eastAsia" w:ascii="Times New Roman" w:hAnsi="Times New Roman" w:eastAsia="仿宋_GB2312" w:cs="仿宋_GB2312"/>
          <w:color w:val="auto"/>
          <w:sz w:val="32"/>
          <w:szCs w:val="32"/>
          <w:highlight w:val="none"/>
        </w:rPr>
        <w:t>万元。与</w:t>
      </w:r>
      <w:r>
        <w:rPr>
          <w:rFonts w:hint="eastAsia" w:ascii="Times New Roman" w:hAnsi="Times New Roman" w:eastAsia="仿宋_GB2312" w:cs="仿宋_GB2312"/>
          <w:color w:val="auto"/>
          <w:sz w:val="32"/>
          <w:szCs w:val="32"/>
          <w:highlight w:val="none"/>
          <w:lang w:eastAsia="zh-CN"/>
        </w:rPr>
        <w:t>202</w:t>
      </w:r>
      <w:r>
        <w:rPr>
          <w:rFonts w:hint="eastAsia" w:eastAsia="仿宋_GB2312" w:cs="仿宋_GB2312"/>
          <w:color w:val="auto"/>
          <w:sz w:val="32"/>
          <w:szCs w:val="32"/>
          <w:highlight w:val="none"/>
          <w:lang w:val="en-US" w:eastAsia="zh-CN"/>
        </w:rPr>
        <w:t>4</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eastAsia="zh-CN"/>
        </w:rPr>
        <w:t>度</w:t>
      </w:r>
      <w:r>
        <w:rPr>
          <w:rFonts w:hint="eastAsia" w:ascii="仿宋" w:hAnsi="仿宋" w:eastAsia="仿宋" w:cs="仿宋"/>
          <w:sz w:val="32"/>
          <w:szCs w:val="32"/>
          <w:lang w:val="en-US" w:eastAsia="zh-CN"/>
        </w:rPr>
        <w:t>1559.59</w:t>
      </w:r>
      <w:r>
        <w:rPr>
          <w:rFonts w:hint="eastAsia" w:ascii="仿宋" w:hAnsi="仿宋" w:eastAsia="仿宋" w:cs="仿宋"/>
          <w:sz w:val="32"/>
          <w:szCs w:val="32"/>
        </w:rPr>
        <w:t>万元</w:t>
      </w:r>
      <w:r>
        <w:rPr>
          <w:rFonts w:hint="eastAsia" w:ascii="Times New Roman" w:hAnsi="Times New Roman" w:eastAsia="仿宋_GB2312" w:cs="仿宋_GB2312"/>
          <w:color w:val="auto"/>
          <w:sz w:val="32"/>
          <w:szCs w:val="32"/>
          <w:highlight w:val="none"/>
        </w:rPr>
        <w:t>相比，</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总计各增加</w:t>
      </w:r>
      <w:r>
        <w:rPr>
          <w:rFonts w:hint="eastAsia" w:eastAsia="仿宋_GB2312" w:cs="仿宋_GB2312"/>
          <w:color w:val="auto"/>
          <w:sz w:val="32"/>
          <w:szCs w:val="32"/>
          <w:highlight w:val="none"/>
          <w:lang w:val="en-US" w:eastAsia="zh-CN"/>
        </w:rPr>
        <w:t>345.36</w:t>
      </w:r>
      <w:r>
        <w:rPr>
          <w:rFonts w:hint="eastAsia" w:ascii="Times New Roman" w:hAnsi="Times New Roman" w:eastAsia="仿宋_GB2312" w:cs="仿宋_GB2312"/>
          <w:color w:val="auto"/>
          <w:sz w:val="32"/>
          <w:szCs w:val="32"/>
          <w:highlight w:val="none"/>
        </w:rPr>
        <w:t>万元，增长</w:t>
      </w:r>
      <w:r>
        <w:rPr>
          <w:rFonts w:hint="eastAsia" w:eastAsia="仿宋_GB2312" w:cs="仿宋_GB2312"/>
          <w:color w:val="auto"/>
          <w:sz w:val="32"/>
          <w:szCs w:val="32"/>
          <w:highlight w:val="none"/>
          <w:lang w:val="en-US" w:eastAsia="zh-CN"/>
        </w:rPr>
        <w:t>22.14</w:t>
      </w:r>
      <w:r>
        <w:rPr>
          <w:rFonts w:hint="eastAsia" w:ascii="Times New Roman" w:hAnsi="Times New Roman" w:eastAsia="仿宋_GB2312" w:cs="仿宋_GB2312"/>
          <w:color w:val="auto"/>
          <w:sz w:val="32"/>
          <w:szCs w:val="32"/>
          <w:highlight w:val="none"/>
        </w:rPr>
        <w:t>%。主要变动原因是</w:t>
      </w:r>
      <w:r>
        <w:rPr>
          <w:rFonts w:hint="eastAsia" w:ascii="仿宋" w:hAnsi="仿宋" w:eastAsia="仿宋" w:cs="仿宋"/>
          <w:color w:val="000000"/>
          <w:sz w:val="32"/>
          <w:szCs w:val="32"/>
        </w:rPr>
        <w:t>职工工资增涨，人员经费增加以及办公经费增加</w:t>
      </w:r>
      <w:r>
        <w:rPr>
          <w:rFonts w:hint="eastAsia" w:ascii="仿宋" w:hAnsi="仿宋" w:eastAsia="仿宋" w:cs="仿宋"/>
          <w:color w:val="000000"/>
          <w:sz w:val="32"/>
          <w:szCs w:val="32"/>
          <w:lang w:eastAsia="zh-CN"/>
        </w:rPr>
        <w:t>。</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（图1：</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决算总计变动情况图）（柱状图）</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imes New Roman" w:hAnsi="Times New Roman" w:eastAsia="仿宋_GB2312" w:cs="仿宋_GB2312"/>
          <w:color w:val="auto"/>
          <w:sz w:val="32"/>
          <w:szCs w:val="32"/>
          <w:highlight w:val="none"/>
        </w:rPr>
      </w:pPr>
      <w:r>
        <w:drawing>
          <wp:inline distT="0" distB="0" distL="114300" distR="114300">
            <wp:extent cx="5271135" cy="2519680"/>
            <wp:effectExtent l="4445" t="4445" r="7620" b="15875"/>
            <wp:docPr id="1138"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38" w:name="_Toc15377206"/>
      <w:bookmarkStart w:id="39" w:name="_Toc15396604"/>
      <w:r>
        <w:rPr>
          <w:rFonts w:hint="eastAsia" w:ascii="Times New Roman" w:hAnsi="Times New Roman" w:eastAsia="黑体"/>
          <w:color w:val="auto"/>
          <w:sz w:val="32"/>
          <w:szCs w:val="32"/>
          <w:highlight w:val="none"/>
          <w:lang w:eastAsia="zh-CN"/>
        </w:rPr>
        <w:t>二、收入决算情况说明</w:t>
      </w:r>
      <w:bookmarkEnd w:id="38"/>
      <w:bookmarkEnd w:id="39"/>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2025年度本年收入合计</w:t>
      </w:r>
      <w:r>
        <w:rPr>
          <w:rFonts w:hint="eastAsia" w:ascii="仿宋_GB2312" w:hAnsi="仿宋_GB2312" w:eastAsia="仿宋_GB2312" w:cs="仿宋_GB2312"/>
          <w:sz w:val="32"/>
          <w:szCs w:val="32"/>
          <w:lang w:val="en-US" w:eastAsia="zh-CN"/>
        </w:rPr>
        <w:t>1904.95</w:t>
      </w:r>
      <w:r>
        <w:rPr>
          <w:rFonts w:hint="eastAsia" w:ascii="仿宋_GB2312" w:hAnsi="仿宋_GB2312" w:eastAsia="仿宋_GB2312" w:cs="仿宋_GB2312"/>
          <w:sz w:val="32"/>
          <w:szCs w:val="32"/>
        </w:rPr>
        <w:t>万元，其中：一般公共预算财政拨款收入189</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.9</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lang w:val="en-US" w:eastAsia="zh-CN"/>
        </w:rPr>
        <w:t>99.58</w:t>
      </w:r>
      <w:r>
        <w:rPr>
          <w:rFonts w:hint="eastAsia" w:ascii="仿宋_GB2312" w:hAnsi="仿宋_GB2312"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lang w:val="en-US" w:eastAsia="zh-CN"/>
        </w:rPr>
        <w:t>8.05</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sz w:val="32"/>
          <w:szCs w:val="32"/>
          <w:lang w:val="en-US" w:eastAsia="zh-CN"/>
        </w:rPr>
        <w:t>.42</w:t>
      </w:r>
      <w:r>
        <w:rPr>
          <w:rFonts w:hint="eastAsia" w:ascii="仿宋_GB2312" w:hAnsi="仿宋_GB2312" w:eastAsia="仿宋_GB2312" w:cs="仿宋_GB2312"/>
          <w:color w:val="auto"/>
          <w:sz w:val="32"/>
          <w:szCs w:val="32"/>
          <w:highlight w:val="none"/>
          <w:lang w:eastAsia="zh-CN"/>
        </w:rPr>
        <w:t>%。</w:t>
      </w:r>
    </w:p>
    <w:p>
      <w:pPr>
        <w:ind w:firstLine="800" w:firstLineChars="250"/>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（图2：收入决算结构图）（饼状图）</w:t>
      </w:r>
    </w:p>
    <w:p>
      <w:pPr>
        <w:ind w:firstLine="525" w:firstLineChars="250"/>
        <w:rPr>
          <w:rFonts w:hint="eastAsia" w:ascii="Times New Roman" w:hAnsi="Times New Roman" w:eastAsia="仿宋_GB2312" w:cs="仿宋_GB2312"/>
          <w:color w:val="auto"/>
          <w:sz w:val="32"/>
          <w:szCs w:val="32"/>
          <w:highlight w:val="none"/>
          <w:lang w:eastAsia="zh-CN"/>
        </w:rPr>
      </w:pPr>
      <w:r>
        <w:drawing>
          <wp:inline distT="0" distB="0" distL="114300" distR="114300">
            <wp:extent cx="4799330" cy="2886075"/>
            <wp:effectExtent l="4445" t="5080" r="9525" b="4445"/>
            <wp:docPr id="1139"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29"/>
          <w:rFonts w:hint="eastAsia" w:ascii="Times New Roman" w:hAnsi="Times New Roman" w:eastAsia="黑体"/>
          <w:b w:val="0"/>
          <w:color w:val="auto"/>
          <w:highlight w:val="none"/>
        </w:rPr>
      </w:pPr>
      <w:bookmarkStart w:id="40" w:name="_Toc15396605"/>
      <w:bookmarkStart w:id="41" w:name="_Toc15377207"/>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29"/>
          <w:rFonts w:hint="eastAsia" w:ascii="Times New Roman" w:hAnsi="Times New Roman" w:eastAsia="黑体"/>
          <w:b w:val="0"/>
          <w:color w:val="auto"/>
          <w:highlight w:val="none"/>
        </w:rPr>
        <w:t>出决算情况说明</w:t>
      </w:r>
      <w:bookmarkEnd w:id="40"/>
      <w:bookmarkEnd w:id="41"/>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2025年度本年支出合计</w:t>
      </w:r>
      <w:r>
        <w:rPr>
          <w:rFonts w:hint="eastAsia" w:ascii="仿宋_GB2312" w:hAnsi="仿宋_GB2312" w:eastAsia="仿宋_GB2312" w:cs="仿宋_GB2312"/>
          <w:sz w:val="32"/>
          <w:szCs w:val="32"/>
          <w:lang w:val="en-US" w:eastAsia="zh-CN"/>
        </w:rPr>
        <w:t>1904.95</w:t>
      </w:r>
      <w:r>
        <w:rPr>
          <w:rFonts w:hint="eastAsia" w:ascii="仿宋_GB2312" w:hAnsi="仿宋_GB2312"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rPr>
        <w:t>1570.69</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color w:val="auto"/>
          <w:sz w:val="32"/>
          <w:szCs w:val="32"/>
          <w:highlight w:val="none"/>
          <w:lang w:val="en-US" w:eastAsia="zh-CN"/>
        </w:rPr>
        <w:t>82.45</w:t>
      </w:r>
      <w:r>
        <w:rPr>
          <w:rFonts w:hint="eastAsia" w:ascii="仿宋_GB2312" w:hAnsi="仿宋_GB2312"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334.26</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color w:val="auto"/>
          <w:sz w:val="32"/>
          <w:szCs w:val="32"/>
          <w:highlight w:val="none"/>
          <w:lang w:val="en-US" w:eastAsia="zh-CN"/>
        </w:rPr>
        <w:t>17.55</w:t>
      </w:r>
      <w:r>
        <w:rPr>
          <w:rFonts w:hint="eastAsia" w:ascii="仿宋_GB2312" w:hAnsi="仿宋_GB2312" w:eastAsia="仿宋_GB2312" w:cs="仿宋_GB2312"/>
          <w:color w:val="auto"/>
          <w:sz w:val="32"/>
          <w:szCs w:val="32"/>
          <w:highlight w:val="none"/>
          <w:lang w:eastAsia="zh-CN"/>
        </w:rPr>
        <w:t>%；。</w:t>
      </w:r>
    </w:p>
    <w:p>
      <w:pPr>
        <w:ind w:firstLine="800" w:firstLineChars="250"/>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（图3：支出决算结构图）（饼状图）</w:t>
      </w:r>
    </w:p>
    <w:p>
      <w:pPr>
        <w:ind w:firstLine="525" w:firstLineChars="250"/>
        <w:rPr>
          <w:rFonts w:hint="eastAsia" w:ascii="Times New Roman" w:hAnsi="Times New Roman" w:eastAsia="仿宋_GB2312" w:cs="仿宋_GB2312"/>
          <w:color w:val="auto"/>
          <w:sz w:val="32"/>
          <w:szCs w:val="32"/>
          <w:highlight w:val="none"/>
          <w:lang w:eastAsia="zh-CN"/>
        </w:rPr>
      </w:pPr>
      <w:r>
        <w:drawing>
          <wp:inline distT="0" distB="0" distL="114300" distR="114300">
            <wp:extent cx="5215255" cy="2910840"/>
            <wp:effectExtent l="4445" t="4445" r="12700" b="5715"/>
            <wp:docPr id="1140"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spacing w:line="600" w:lineRule="exact"/>
        <w:ind w:firstLine="640" w:firstLineChars="200"/>
        <w:outlineLvl w:val="1"/>
        <w:rPr>
          <w:rStyle w:val="29"/>
          <w:rFonts w:ascii="Times New Roman" w:hAnsi="Times New Roman" w:eastAsia="黑体"/>
          <w:b w:val="0"/>
          <w:color w:val="auto"/>
          <w:highlight w:val="none"/>
        </w:rPr>
      </w:pPr>
      <w:bookmarkStart w:id="42" w:name="_Toc15396606"/>
      <w:bookmarkStart w:id="43" w:name="_Toc15377208"/>
      <w:r>
        <w:rPr>
          <w:rFonts w:hint="eastAsia" w:ascii="Times New Roman" w:hAnsi="Times New Roman" w:eastAsia="黑体"/>
          <w:color w:val="auto"/>
          <w:sz w:val="32"/>
          <w:szCs w:val="32"/>
          <w:highlight w:val="none"/>
        </w:rPr>
        <w:t>四、财</w:t>
      </w:r>
      <w:r>
        <w:rPr>
          <w:rStyle w:val="29"/>
          <w:rFonts w:hint="eastAsia" w:ascii="Times New Roman" w:hAnsi="Times New Roman" w:eastAsia="黑体"/>
          <w:b w:val="0"/>
          <w:color w:val="auto"/>
          <w:highlight w:val="none"/>
        </w:rPr>
        <w:t>政拨款收入支出决算总体情况说明</w:t>
      </w:r>
      <w:bookmarkEnd w:id="42"/>
      <w:bookmarkEnd w:id="43"/>
    </w:p>
    <w:p>
      <w:pPr>
        <w:spacing w:line="600" w:lineRule="exact"/>
        <w:ind w:firstLine="640"/>
        <w:rPr>
          <w:rFonts w:hint="eastAsia" w:eastAsia="仿宋_GB2312" w:cs="仿宋_GB2312"/>
          <w:color w:val="auto"/>
          <w:sz w:val="32"/>
          <w:szCs w:val="32"/>
          <w:highlight w:val="none"/>
          <w:lang w:val="en-US" w:eastAsia="zh-CN"/>
        </w:rPr>
      </w:pPr>
      <w:r>
        <w:rPr>
          <w:rFonts w:hint="eastAsia" w:eastAsia="仿宋_GB2312" w:cs="仿宋_GB2312"/>
          <w:color w:val="auto"/>
          <w:kern w:val="2"/>
          <w:sz w:val="32"/>
          <w:szCs w:val="32"/>
          <w:highlight w:val="none"/>
          <w:lang w:val="en-US" w:eastAsia="zh-CN" w:bidi="ar-SA"/>
        </w:rPr>
        <w:t>2025</w:t>
      </w:r>
      <w:r>
        <w:rPr>
          <w:rFonts w:hint="eastAsia" w:ascii="Times New Roman" w:hAnsi="Times New Roman" w:eastAsia="仿宋_GB2312" w:cs="仿宋_GB2312"/>
          <w:color w:val="auto"/>
          <w:kern w:val="2"/>
          <w:sz w:val="32"/>
          <w:szCs w:val="32"/>
          <w:highlight w:val="none"/>
          <w:lang w:val="en-US" w:eastAsia="zh-CN" w:bidi="ar-SA"/>
        </w:rPr>
        <w:t>年度财政拨款收入、支出总计均为</w:t>
      </w:r>
      <w:r>
        <w:rPr>
          <w:rFonts w:hint="eastAsia" w:ascii="仿宋_GB2312" w:hAnsi="仿宋_GB2312" w:eastAsia="仿宋_GB2312" w:cs="仿宋_GB2312"/>
          <w:sz w:val="32"/>
          <w:szCs w:val="32"/>
          <w:lang w:val="en-US" w:eastAsia="zh-CN"/>
        </w:rPr>
        <w:t>1896.9</w:t>
      </w:r>
      <w:r>
        <w:rPr>
          <w:rFonts w:hint="eastAsia" w:ascii="Times New Roman" w:hAnsi="Times New Roman" w:eastAsia="仿宋_GB2312" w:cs="仿宋_GB2312"/>
          <w:color w:val="auto"/>
          <w:kern w:val="2"/>
          <w:sz w:val="32"/>
          <w:szCs w:val="32"/>
          <w:highlight w:val="none"/>
          <w:lang w:val="en-US" w:eastAsia="zh-CN" w:bidi="ar-SA"/>
        </w:rPr>
        <w:t>万元。与</w:t>
      </w:r>
      <w:r>
        <w:rPr>
          <w:rFonts w:hint="eastAsia" w:eastAsia="仿宋_GB2312" w:cs="仿宋_GB2312"/>
          <w:color w:val="auto"/>
          <w:kern w:val="2"/>
          <w:sz w:val="32"/>
          <w:szCs w:val="32"/>
          <w:highlight w:val="none"/>
          <w:lang w:val="en-US" w:eastAsia="zh-CN" w:bidi="ar-SA"/>
        </w:rPr>
        <w:t>2024</w:t>
      </w:r>
      <w:r>
        <w:rPr>
          <w:rFonts w:hint="eastAsia" w:ascii="Times New Roman" w:hAnsi="Times New Roman" w:eastAsia="仿宋_GB2312" w:cs="仿宋_GB2312"/>
          <w:color w:val="auto"/>
          <w:kern w:val="2"/>
          <w:sz w:val="32"/>
          <w:szCs w:val="32"/>
          <w:highlight w:val="none"/>
          <w:lang w:val="en-US" w:eastAsia="zh-CN" w:bidi="ar-SA"/>
        </w:rPr>
        <w:t>年度相比，财政拨款收入总计、支出总计各增加</w:t>
      </w:r>
      <w:r>
        <w:rPr>
          <w:rFonts w:hint="eastAsia" w:eastAsia="仿宋_GB2312" w:cs="仿宋_GB2312"/>
          <w:color w:val="auto"/>
          <w:sz w:val="32"/>
          <w:szCs w:val="32"/>
          <w:highlight w:val="none"/>
          <w:lang w:val="en-US" w:eastAsia="zh-CN"/>
        </w:rPr>
        <w:t>337</w:t>
      </w:r>
    </w:p>
    <w:p>
      <w:pPr>
        <w:spacing w:line="600" w:lineRule="exact"/>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sz w:val="32"/>
          <w:szCs w:val="32"/>
          <w:highlight w:val="none"/>
          <w:lang w:val="en-US" w:eastAsia="zh-CN"/>
        </w:rPr>
        <w:t>.31</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sz w:val="32"/>
          <w:szCs w:val="32"/>
          <w:highlight w:val="none"/>
          <w:lang w:val="en-US" w:eastAsia="zh-CN"/>
        </w:rPr>
        <w:t>21.63</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sz w:val="32"/>
          <w:szCs w:val="32"/>
          <w:highlight w:val="none"/>
        </w:rPr>
        <w:t>主要变动原因是</w:t>
      </w:r>
      <w:r>
        <w:rPr>
          <w:rFonts w:hint="eastAsia" w:ascii="仿宋" w:hAnsi="仿宋" w:eastAsia="仿宋" w:cs="仿宋"/>
          <w:color w:val="000000"/>
          <w:sz w:val="32"/>
          <w:szCs w:val="32"/>
        </w:rPr>
        <w:t>职工工资增涨，人员经费增加以及办公经费增加</w:t>
      </w:r>
      <w:r>
        <w:rPr>
          <w:rFonts w:hint="eastAsia" w:ascii="仿宋" w:hAnsi="仿宋" w:eastAsia="仿宋" w:cs="仿宋"/>
          <w:color w:val="000000"/>
          <w:sz w:val="32"/>
          <w:szCs w:val="32"/>
          <w:lang w:eastAsia="zh-CN"/>
        </w:rPr>
        <w:t>。</w:t>
      </w:r>
    </w:p>
    <w:p>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（图4：财政拨款收、支决算总计变动情况）（柱状图）</w:t>
      </w:r>
    </w:p>
    <w:p>
      <w:pPr>
        <w:pStyle w:val="2"/>
        <w:rPr>
          <w:rFonts w:hint="eastAsia"/>
          <w:lang w:val="en-US" w:eastAsia="zh-CN"/>
        </w:rPr>
      </w:pPr>
      <w:r>
        <w:drawing>
          <wp:inline distT="0" distB="0" distL="114300" distR="114300">
            <wp:extent cx="5273675" cy="3151505"/>
            <wp:effectExtent l="4445" t="4445" r="5080" b="635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pPr>
        <w:spacing w:line="600" w:lineRule="exact"/>
        <w:ind w:firstLine="640" w:firstLineChars="200"/>
        <w:outlineLvl w:val="1"/>
        <w:rPr>
          <w:rStyle w:val="29"/>
          <w:rFonts w:ascii="Times New Roman" w:hAnsi="Times New Roman" w:eastAsia="黑体"/>
          <w:b w:val="0"/>
          <w:color w:val="auto"/>
          <w:highlight w:val="none"/>
        </w:rPr>
      </w:pPr>
      <w:bookmarkStart w:id="44" w:name="_Toc15377209"/>
      <w:bookmarkStart w:id="45" w:name="_Toc15396607"/>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29"/>
          <w:rFonts w:hint="eastAsia" w:ascii="Times New Roman" w:hAnsi="Times New Roman" w:eastAsia="黑体"/>
          <w:b w:val="0"/>
          <w:color w:val="auto"/>
          <w:highlight w:val="none"/>
        </w:rPr>
        <w:t>般公共预算财政拨款支出决算情况说明</w:t>
      </w:r>
      <w:bookmarkEnd w:id="44"/>
      <w:bookmarkEnd w:id="45"/>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6"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46"/>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2025年度一般公共预算财政拨款支出</w:t>
      </w:r>
      <w:r>
        <w:rPr>
          <w:rFonts w:hint="eastAsia" w:ascii="仿宋_GB2312" w:hAnsi="仿宋_GB2312" w:eastAsia="仿宋_GB2312" w:cs="仿宋_GB2312"/>
          <w:sz w:val="32"/>
          <w:szCs w:val="32"/>
          <w:lang w:val="en-US" w:eastAsia="zh-CN"/>
        </w:rPr>
        <w:t>1892.9</w:t>
      </w:r>
      <w:r>
        <w:rPr>
          <w:rFonts w:hint="eastAsia" w:ascii="仿宋_GB2312" w:hAnsi="仿宋_GB2312"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lang w:val="en-US" w:eastAsia="zh-CN"/>
        </w:rPr>
        <w:t>99.37</w:t>
      </w:r>
      <w:r>
        <w:rPr>
          <w:rFonts w:hint="eastAsia" w:ascii="仿宋_GB2312" w:hAnsi="仿宋_GB2312" w:eastAsia="仿宋_GB2312" w:cs="仿宋_GB2312"/>
          <w:color w:val="auto"/>
          <w:kern w:val="2"/>
          <w:sz w:val="32"/>
          <w:szCs w:val="32"/>
          <w:highlight w:val="none"/>
          <w:lang w:val="en-US" w:eastAsia="zh-CN" w:bidi="ar-SA"/>
        </w:rPr>
        <w:t>%。与2024年度相比，一般公共预算财政拨款支出增加333.31万元，增长21.37%。</w:t>
      </w:r>
      <w:r>
        <w:rPr>
          <w:rFonts w:hint="eastAsia" w:ascii="Times New Roman" w:hAnsi="Times New Roman" w:eastAsia="仿宋_GB2312" w:cs="仿宋_GB2312"/>
          <w:color w:val="auto"/>
          <w:sz w:val="32"/>
          <w:szCs w:val="32"/>
          <w:highlight w:val="none"/>
        </w:rPr>
        <w:t>主要变动原因是</w:t>
      </w:r>
      <w:r>
        <w:rPr>
          <w:rFonts w:hint="eastAsia" w:ascii="仿宋" w:hAnsi="仿宋" w:eastAsia="仿宋" w:cs="仿宋"/>
          <w:color w:val="000000"/>
          <w:sz w:val="32"/>
          <w:szCs w:val="32"/>
        </w:rPr>
        <w:t>职工工资增涨，人员经费增加以及办公经费增加</w:t>
      </w:r>
      <w:r>
        <w:rPr>
          <w:rFonts w:hint="eastAsia" w:ascii="仿宋" w:hAnsi="仿宋" w:eastAsia="仿宋" w:cs="仿宋"/>
          <w:color w:val="000000"/>
          <w:sz w:val="32"/>
          <w:szCs w:val="32"/>
          <w:lang w:eastAsia="zh-CN"/>
        </w:rPr>
        <w:t>。</w:t>
      </w:r>
      <w:r>
        <w:rPr>
          <w:rFonts w:hint="eastAsia" w:ascii="Times New Roman" w:hAnsi="Times New Roman" w:eastAsia="仿宋_GB2312" w:cs="仿宋_GB2312"/>
          <w:color w:val="auto"/>
          <w:kern w:val="2"/>
          <w:sz w:val="32"/>
          <w:szCs w:val="32"/>
          <w:highlight w:val="none"/>
          <w:lang w:val="en-US" w:eastAsia="zh-CN" w:bidi="ar-SA"/>
        </w:rPr>
        <w:t>（图5：一般公共预算财政拨款支出决算变动情况）（柱状图）</w:t>
      </w:r>
    </w:p>
    <w:p>
      <w:pPr>
        <w:pStyle w:val="2"/>
        <w:rPr>
          <w:rFonts w:hint="eastAsia"/>
          <w:lang w:val="en-US" w:eastAsia="zh-CN"/>
        </w:rPr>
      </w:pPr>
      <w:r>
        <w:drawing>
          <wp:inline distT="0" distB="0" distL="114300" distR="114300">
            <wp:extent cx="5248910" cy="3048000"/>
            <wp:effectExtent l="4445" t="4445" r="17145" b="8255"/>
            <wp:docPr id="1141"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7" w:name="_Toc15377211"/>
      <w:r>
        <w:rPr>
          <w:rFonts w:hint="eastAsia" w:ascii="Times New Roman" w:hAnsi="Times New Roman" w:eastAsia="楷体_GB2312" w:cs="楷体_GB2312"/>
          <w:b/>
          <w:color w:val="auto"/>
          <w:sz w:val="32"/>
          <w:szCs w:val="32"/>
          <w:highlight w:val="none"/>
        </w:rPr>
        <w:t>（二）一般公共预算财政拨款支出决算结构情况</w:t>
      </w:r>
      <w:bookmarkEnd w:id="47"/>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w:t>
      </w:r>
      <w:r>
        <w:rPr>
          <w:rFonts w:hint="eastAsia" w:ascii="Times New Roman" w:hAnsi="Times New Roman" w:eastAsia="仿宋_GB2312" w:cs="仿宋_GB2312"/>
          <w:color w:val="auto"/>
          <w:kern w:val="2"/>
          <w:sz w:val="32"/>
          <w:szCs w:val="32"/>
          <w:highlight w:val="none"/>
          <w:lang w:val="en-US" w:eastAsia="zh-CN" w:bidi="ar-SA"/>
        </w:rPr>
        <w:t>年度一般公共预算财政拨款支出</w:t>
      </w:r>
      <w:r>
        <w:rPr>
          <w:rFonts w:hint="eastAsia" w:ascii="仿宋_GB2312" w:hAnsi="仿宋_GB2312" w:eastAsia="仿宋_GB2312" w:cs="仿宋_GB2312"/>
          <w:sz w:val="32"/>
          <w:szCs w:val="32"/>
        </w:rPr>
        <w:t>1892.9</w:t>
      </w:r>
      <w:r>
        <w:rPr>
          <w:rFonts w:hint="eastAsia" w:ascii="仿宋_GB2312" w:hAnsi="仿宋_GB2312"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，主要用于以下方面</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教育支出</w:t>
      </w:r>
      <w:r>
        <w:rPr>
          <w:rFonts w:hint="eastAsia" w:eastAsia="仿宋_GB2312" w:cs="仿宋_GB2312"/>
          <w:color w:val="auto"/>
          <w:kern w:val="2"/>
          <w:sz w:val="32"/>
          <w:szCs w:val="32"/>
          <w:highlight w:val="none"/>
          <w:lang w:val="en-US" w:eastAsia="zh-CN" w:bidi="ar-SA"/>
        </w:rPr>
        <w:t>1472.45</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77.79</w:t>
      </w:r>
      <w:r>
        <w:rPr>
          <w:rFonts w:hint="eastAsia" w:ascii="Times New Roman" w:hAnsi="Times New Roman" w:eastAsia="仿宋_GB2312" w:cs="仿宋_GB2312"/>
          <w:color w:val="auto"/>
          <w:kern w:val="2"/>
          <w:sz w:val="32"/>
          <w:szCs w:val="32"/>
          <w:highlight w:val="none"/>
          <w:lang w:val="en-US" w:eastAsia="zh-CN" w:bidi="ar-SA"/>
        </w:rPr>
        <w:t>%；社会保障和就业支出</w:t>
      </w:r>
      <w:r>
        <w:rPr>
          <w:rFonts w:hint="eastAsia" w:eastAsia="仿宋_GB2312" w:cs="仿宋_GB2312"/>
          <w:color w:val="auto"/>
          <w:kern w:val="2"/>
          <w:sz w:val="32"/>
          <w:szCs w:val="32"/>
          <w:highlight w:val="none"/>
          <w:lang w:val="en-US" w:eastAsia="zh-CN" w:bidi="ar-SA"/>
        </w:rPr>
        <w:t>217.01</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11.46</w:t>
      </w:r>
      <w:r>
        <w:rPr>
          <w:rFonts w:hint="eastAsia" w:ascii="Times New Roman" w:hAnsi="Times New Roman" w:eastAsia="仿宋_GB2312" w:cs="仿宋_GB2312"/>
          <w:color w:val="auto"/>
          <w:kern w:val="2"/>
          <w:sz w:val="32"/>
          <w:szCs w:val="32"/>
          <w:highlight w:val="none"/>
          <w:lang w:val="en-US" w:eastAsia="zh-CN" w:bidi="ar-SA"/>
        </w:rPr>
        <w:t>%；卫生健康支出</w:t>
      </w:r>
      <w:r>
        <w:rPr>
          <w:rFonts w:hint="eastAsia" w:eastAsia="仿宋_GB2312" w:cs="仿宋_GB2312"/>
          <w:color w:val="auto"/>
          <w:kern w:val="2"/>
          <w:sz w:val="32"/>
          <w:szCs w:val="32"/>
          <w:highlight w:val="none"/>
          <w:lang w:val="en-US" w:eastAsia="zh-CN" w:bidi="ar-SA"/>
        </w:rPr>
        <w:t>82.06</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4.34</w:t>
      </w:r>
      <w:r>
        <w:rPr>
          <w:rFonts w:hint="eastAsia" w:ascii="Times New Roman" w:hAnsi="Times New Roman" w:eastAsia="仿宋_GB2312" w:cs="仿宋_GB2312"/>
          <w:color w:val="auto"/>
          <w:kern w:val="2"/>
          <w:sz w:val="32"/>
          <w:szCs w:val="32"/>
          <w:highlight w:val="none"/>
          <w:lang w:val="en-US" w:eastAsia="zh-CN" w:bidi="ar-SA"/>
        </w:rPr>
        <w:t>%；住房保障支出</w:t>
      </w:r>
      <w:r>
        <w:rPr>
          <w:rFonts w:hint="eastAsia" w:eastAsia="仿宋_GB2312" w:cs="仿宋_GB2312"/>
          <w:color w:val="auto"/>
          <w:kern w:val="2"/>
          <w:sz w:val="32"/>
          <w:szCs w:val="32"/>
          <w:highlight w:val="none"/>
          <w:lang w:val="en-US" w:eastAsia="zh-CN" w:bidi="ar-SA"/>
        </w:rPr>
        <w:t>121.39</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6.41</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（图6：一般公共预算财政拨款支出决算结构）（饼状图）</w:t>
      </w:r>
    </w:p>
    <w:p>
      <w:pPr>
        <w:spacing w:line="600" w:lineRule="exact"/>
        <w:rPr>
          <w:rFonts w:hint="eastAsia" w:ascii="Times New Roman" w:hAnsi="Times New Roman" w:eastAsia="仿宋_GB2312" w:cs="仿宋_GB2312"/>
          <w:color w:val="auto"/>
          <w:kern w:val="2"/>
          <w:sz w:val="32"/>
          <w:szCs w:val="32"/>
          <w:highlight w:val="none"/>
          <w:lang w:val="en-US" w:eastAsia="zh-CN" w:bidi="ar-SA"/>
        </w:rPr>
      </w:pPr>
      <w:r>
        <w:drawing>
          <wp:anchor distT="0" distB="0" distL="114300" distR="114300" simplePos="0" relativeHeight="251659264" behindDoc="0" locked="0" layoutInCell="1" allowOverlap="1">
            <wp:simplePos x="0" y="0"/>
            <wp:positionH relativeFrom="column">
              <wp:posOffset>-314325</wp:posOffset>
            </wp:positionH>
            <wp:positionV relativeFrom="paragraph">
              <wp:posOffset>93345</wp:posOffset>
            </wp:positionV>
            <wp:extent cx="6212840" cy="3948430"/>
            <wp:effectExtent l="4445" t="5080" r="5715" b="8890"/>
            <wp:wrapTopAndBottom/>
            <wp:docPr id="1142"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8" w:name="_Toc15377212"/>
      <w:r>
        <w:rPr>
          <w:rFonts w:hint="eastAsia" w:ascii="Times New Roman" w:hAnsi="Times New Roman" w:eastAsia="楷体_GB2312" w:cs="楷体_GB2312"/>
          <w:b/>
          <w:color w:val="auto"/>
          <w:sz w:val="32"/>
          <w:szCs w:val="32"/>
          <w:highlight w:val="none"/>
        </w:rPr>
        <w:t>（三）一般公共预算财政拨款支出决算具体情况</w:t>
      </w:r>
      <w:bookmarkEnd w:id="48"/>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49" w:name="_Toc15377444"/>
      <w:bookmarkStart w:id="50" w:name="_Toc15377213"/>
      <w:bookmarkStart w:id="51" w:name="_Toc15378460"/>
      <w:r>
        <w:rPr>
          <w:rFonts w:hint="eastAsia" w:eastAsia="仿宋_GB2312" w:cs="仿宋_GB2312"/>
          <w:color w:val="auto"/>
          <w:kern w:val="2"/>
          <w:sz w:val="32"/>
          <w:szCs w:val="32"/>
          <w:highlight w:val="none"/>
          <w:lang w:val="en-US" w:eastAsia="zh-CN" w:bidi="ar-SA"/>
        </w:rPr>
        <w:t>2025</w:t>
      </w:r>
      <w:r>
        <w:rPr>
          <w:rFonts w:hint="eastAsia" w:ascii="Times New Roman" w:hAnsi="Times New Roman" w:eastAsia="仿宋_GB2312" w:cs="仿宋_GB2312"/>
          <w:color w:val="auto"/>
          <w:kern w:val="2"/>
          <w:sz w:val="32"/>
          <w:szCs w:val="32"/>
          <w:highlight w:val="none"/>
          <w:lang w:val="en-US" w:eastAsia="zh-CN" w:bidi="ar-SA"/>
        </w:rPr>
        <w:t>年度一般公共预算财政拨款支出决算数为</w:t>
      </w:r>
      <w:r>
        <w:rPr>
          <w:rFonts w:hint="eastAsia" w:ascii="仿宋_GB2312" w:hAnsi="仿宋_GB2312" w:eastAsia="仿宋_GB2312" w:cs="仿宋_GB2312"/>
          <w:sz w:val="32"/>
          <w:szCs w:val="32"/>
        </w:rPr>
        <w:t>1892.9</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%。其中：</w:t>
      </w:r>
      <w:bookmarkEnd w:id="49"/>
      <w:bookmarkEnd w:id="50"/>
      <w:bookmarkEnd w:id="51"/>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b w:val="0"/>
          <w:bCs w:val="0"/>
          <w:color w:val="auto"/>
          <w:kern w:val="2"/>
          <w:sz w:val="32"/>
          <w:szCs w:val="32"/>
          <w:highlight w:val="none"/>
          <w:lang w:val="en-US" w:eastAsia="zh-CN" w:bidi="ar-SA"/>
        </w:rPr>
        <w:t>1</w:t>
      </w:r>
      <w:r>
        <w:rPr>
          <w:rFonts w:hint="eastAsia" w:ascii="Times New Roman" w:hAnsi="Times New Roman" w:eastAsia="仿宋_GB2312" w:cs="仿宋_GB2312"/>
          <w:b w:val="0"/>
          <w:bCs w:val="0"/>
          <w:color w:val="auto"/>
          <w:kern w:val="2"/>
          <w:sz w:val="32"/>
          <w:szCs w:val="32"/>
          <w:highlight w:val="none"/>
          <w:lang w:val="en-US" w:eastAsia="zh-CN" w:bidi="ar-SA"/>
        </w:rPr>
        <w:t>.</w:t>
      </w:r>
      <w:r>
        <w:rPr>
          <w:rStyle w:val="17"/>
          <w:rFonts w:hint="eastAsia" w:ascii="仿宋" w:hAnsi="仿宋" w:eastAsia="仿宋"/>
          <w:b w:val="0"/>
          <w:bCs w:val="0"/>
          <w:color w:val="000000"/>
          <w:sz w:val="32"/>
          <w:szCs w:val="32"/>
        </w:rPr>
        <w:t>教育205</w:t>
      </w:r>
      <w:r>
        <w:rPr>
          <w:rStyle w:val="17"/>
          <w:rFonts w:hint="eastAsia" w:ascii="仿宋" w:hAnsi="仿宋" w:eastAsia="仿宋"/>
          <w:b w:val="0"/>
          <w:bCs w:val="0"/>
          <w:color w:val="000000"/>
          <w:sz w:val="32"/>
          <w:szCs w:val="32"/>
          <w:lang w:val="en-US" w:eastAsia="zh-CN"/>
        </w:rPr>
        <w:t>02</w:t>
      </w:r>
      <w:r>
        <w:rPr>
          <w:rStyle w:val="17"/>
          <w:rFonts w:hint="eastAsia" w:ascii="仿宋" w:hAnsi="仿宋" w:eastAsia="仿宋"/>
          <w:b w:val="0"/>
          <w:bCs w:val="0"/>
          <w:color w:val="000000"/>
          <w:sz w:val="32"/>
          <w:szCs w:val="32"/>
        </w:rPr>
        <w:t>支出决算数为</w:t>
      </w:r>
      <w:r>
        <w:rPr>
          <w:rFonts w:hint="eastAsia" w:eastAsia="仿宋_GB2312" w:cs="仿宋_GB2312"/>
          <w:b w:val="0"/>
          <w:bCs w:val="0"/>
          <w:color w:val="auto"/>
          <w:kern w:val="2"/>
          <w:sz w:val="32"/>
          <w:szCs w:val="32"/>
          <w:highlight w:val="none"/>
          <w:lang w:val="en-US" w:eastAsia="zh-CN" w:bidi="ar-SA"/>
        </w:rPr>
        <w:t>1472.45</w:t>
      </w:r>
      <w:r>
        <w:rPr>
          <w:rStyle w:val="17"/>
          <w:rFonts w:hint="eastAsia" w:ascii="仿宋" w:hAnsi="仿宋" w:eastAsia="仿宋"/>
          <w:b w:val="0"/>
          <w:bCs w:val="0"/>
          <w:color w:val="000000"/>
          <w:sz w:val="32"/>
          <w:szCs w:val="32"/>
        </w:rPr>
        <w:t>万元</w:t>
      </w:r>
      <w:r>
        <w:rPr>
          <w:rFonts w:hint="eastAsia" w:eastAsia="仿宋_GB2312" w:cs="仿宋_GB2312"/>
          <w:color w:val="auto"/>
          <w:kern w:val="2"/>
          <w:sz w:val="32"/>
          <w:szCs w:val="32"/>
          <w:highlight w:val="none"/>
          <w:lang w:val="en-US" w:eastAsia="zh-CN" w:bidi="ar-SA"/>
        </w:rPr>
        <w:t>，</w:t>
      </w:r>
      <w:r>
        <w:rPr>
          <w:rStyle w:val="17"/>
          <w:rFonts w:hint="eastAsia" w:ascii="仿宋" w:hAnsi="仿宋" w:eastAsia="仿宋"/>
          <w:b w:val="0"/>
          <w:bCs/>
          <w:color w:val="000000"/>
          <w:sz w:val="32"/>
          <w:szCs w:val="32"/>
        </w:rPr>
        <w:t>完成预算100</w:t>
      </w:r>
      <w:r>
        <w:rPr>
          <w:rStyle w:val="17"/>
          <w:rFonts w:ascii="仿宋" w:hAnsi="仿宋" w:eastAsia="仿宋"/>
          <w:b w:val="0"/>
          <w:bCs/>
          <w:color w:val="000000"/>
          <w:sz w:val="32"/>
          <w:szCs w:val="32"/>
        </w:rPr>
        <w:t>%</w:t>
      </w:r>
      <w:r>
        <w:rPr>
          <w:rStyle w:val="17"/>
          <w:rFonts w:hint="eastAsia" w:ascii="仿宋" w:hAnsi="仿宋" w:eastAsia="仿宋"/>
          <w:b w:val="0"/>
          <w:bCs/>
          <w:color w:val="000000"/>
          <w:sz w:val="32"/>
          <w:szCs w:val="32"/>
        </w:rPr>
        <w:t>。</w:t>
      </w:r>
      <w:r>
        <w:rPr>
          <w:rFonts w:hint="eastAsia" w:eastAsia="仿宋_GB2312" w:cs="仿宋_GB2312"/>
          <w:color w:val="auto"/>
          <w:kern w:val="2"/>
          <w:sz w:val="32"/>
          <w:szCs w:val="32"/>
          <w:highlight w:val="none"/>
          <w:lang w:val="en-US" w:eastAsia="zh-CN" w:bidi="ar-SA"/>
        </w:rPr>
        <w:t>其中：2050201</w:t>
      </w:r>
      <w:r>
        <w:rPr>
          <w:rFonts w:hint="eastAsia" w:ascii="Times New Roman" w:hAnsi="Times New Roman" w:eastAsia="仿宋_GB2312" w:cs="仿宋_GB2312"/>
          <w:color w:val="auto"/>
          <w:kern w:val="2"/>
          <w:sz w:val="32"/>
          <w:szCs w:val="32"/>
          <w:highlight w:val="none"/>
          <w:lang w:val="en-US" w:eastAsia="zh-CN" w:bidi="ar-SA"/>
        </w:rPr>
        <w:t>支出决算为65.59万元，完成预算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2050202</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1393.88</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2050299</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12.98</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Style w:val="17"/>
          <w:rFonts w:hint="eastAsia" w:ascii="仿宋" w:hAnsi="仿宋" w:eastAsia="仿宋"/>
          <w:b w:val="0"/>
          <w:bCs/>
          <w:color w:val="000000"/>
          <w:sz w:val="32"/>
          <w:szCs w:val="32"/>
        </w:rPr>
        <w:t>决算数与预算数持平。</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w:t>
      </w:r>
      <w:r>
        <w:rPr>
          <w:rFonts w:hint="eastAsia" w:ascii="Times New Roman" w:hAnsi="Times New Roman" w:eastAsia="仿宋_GB2312" w:cs="仿宋_GB2312"/>
          <w:color w:val="auto"/>
          <w:kern w:val="2"/>
          <w:sz w:val="32"/>
          <w:szCs w:val="32"/>
          <w:highlight w:val="none"/>
          <w:lang w:val="en-US" w:eastAsia="zh-CN" w:bidi="ar-SA"/>
        </w:rPr>
        <w:t>.社会保障和就业</w:t>
      </w:r>
      <w:r>
        <w:rPr>
          <w:rFonts w:hint="eastAsia" w:eastAsia="仿宋_GB2312" w:cs="仿宋_GB2312"/>
          <w:color w:val="auto"/>
          <w:kern w:val="2"/>
          <w:sz w:val="32"/>
          <w:szCs w:val="32"/>
          <w:highlight w:val="none"/>
          <w:lang w:val="en-US" w:eastAsia="zh-CN" w:bidi="ar-SA"/>
        </w:rPr>
        <w:t>20805</w:t>
      </w:r>
      <w:r>
        <w:rPr>
          <w:rStyle w:val="17"/>
          <w:rFonts w:hint="eastAsia" w:ascii="仿宋" w:hAnsi="仿宋" w:eastAsia="仿宋"/>
          <w:b w:val="0"/>
          <w:bCs w:val="0"/>
          <w:color w:val="000000"/>
          <w:sz w:val="32"/>
          <w:szCs w:val="32"/>
        </w:rPr>
        <w:t>支出决算数为</w:t>
      </w:r>
      <w:r>
        <w:rPr>
          <w:rStyle w:val="17"/>
          <w:rFonts w:hint="eastAsia" w:ascii="仿宋" w:hAnsi="仿宋" w:eastAsia="仿宋"/>
          <w:b w:val="0"/>
          <w:bCs w:val="0"/>
          <w:color w:val="000000"/>
          <w:sz w:val="32"/>
          <w:szCs w:val="32"/>
          <w:lang w:val="en-US" w:eastAsia="zh-CN"/>
        </w:rPr>
        <w:t>217.01</w:t>
      </w:r>
      <w:r>
        <w:rPr>
          <w:rStyle w:val="17"/>
          <w:rFonts w:hint="eastAsia" w:ascii="仿宋" w:hAnsi="仿宋" w:eastAsia="仿宋"/>
          <w:b w:val="0"/>
          <w:bCs w:val="0"/>
          <w:color w:val="000000"/>
          <w:sz w:val="32"/>
          <w:szCs w:val="32"/>
        </w:rPr>
        <w:t>万元</w:t>
      </w:r>
      <w:r>
        <w:rPr>
          <w:rFonts w:hint="eastAsia" w:eastAsia="仿宋_GB2312" w:cs="仿宋_GB2312"/>
          <w:color w:val="auto"/>
          <w:kern w:val="2"/>
          <w:sz w:val="32"/>
          <w:szCs w:val="32"/>
          <w:highlight w:val="none"/>
          <w:lang w:val="en-US" w:eastAsia="zh-CN" w:bidi="ar-SA"/>
        </w:rPr>
        <w:t>，</w:t>
      </w:r>
      <w:r>
        <w:rPr>
          <w:rStyle w:val="17"/>
          <w:rFonts w:hint="eastAsia" w:ascii="仿宋" w:hAnsi="仿宋" w:eastAsia="仿宋"/>
          <w:b w:val="0"/>
          <w:bCs/>
          <w:color w:val="000000"/>
          <w:sz w:val="32"/>
          <w:szCs w:val="32"/>
        </w:rPr>
        <w:t>完成预算100</w:t>
      </w:r>
      <w:r>
        <w:rPr>
          <w:rStyle w:val="17"/>
          <w:rFonts w:ascii="仿宋" w:hAnsi="仿宋" w:eastAsia="仿宋"/>
          <w:b w:val="0"/>
          <w:bCs/>
          <w:color w:val="000000"/>
          <w:sz w:val="32"/>
          <w:szCs w:val="32"/>
        </w:rPr>
        <w:t>%</w:t>
      </w:r>
      <w:r>
        <w:rPr>
          <w:rStyle w:val="17"/>
          <w:rFonts w:hint="eastAsia" w:ascii="仿宋" w:hAnsi="仿宋" w:eastAsia="仿宋"/>
          <w:b w:val="0"/>
          <w:bCs/>
          <w:color w:val="000000"/>
          <w:sz w:val="32"/>
          <w:szCs w:val="32"/>
        </w:rPr>
        <w:t>。其中2080505决算数为</w:t>
      </w:r>
      <w:r>
        <w:rPr>
          <w:rStyle w:val="17"/>
          <w:rFonts w:hint="eastAsia" w:ascii="仿宋" w:hAnsi="仿宋" w:eastAsia="仿宋"/>
          <w:b w:val="0"/>
          <w:bCs/>
          <w:color w:val="000000"/>
          <w:sz w:val="32"/>
          <w:szCs w:val="32"/>
          <w:lang w:val="en-US" w:eastAsia="zh-CN"/>
        </w:rPr>
        <w:t>147.44</w:t>
      </w:r>
      <w:r>
        <w:rPr>
          <w:rStyle w:val="17"/>
          <w:rFonts w:hint="eastAsia" w:ascii="仿宋" w:hAnsi="仿宋" w:eastAsia="仿宋"/>
          <w:b w:val="0"/>
          <w:bCs/>
          <w:color w:val="000000"/>
          <w:sz w:val="32"/>
          <w:szCs w:val="32"/>
        </w:rPr>
        <w:t>万元，完成预算100%；2080506决算数为</w:t>
      </w:r>
      <w:r>
        <w:rPr>
          <w:rStyle w:val="17"/>
          <w:rFonts w:hint="eastAsia" w:ascii="仿宋" w:hAnsi="仿宋" w:eastAsia="仿宋"/>
          <w:b w:val="0"/>
          <w:bCs/>
          <w:color w:val="000000"/>
          <w:sz w:val="32"/>
          <w:szCs w:val="32"/>
          <w:lang w:val="en-US" w:eastAsia="zh-CN"/>
        </w:rPr>
        <w:t>69.57</w:t>
      </w:r>
      <w:r>
        <w:rPr>
          <w:rStyle w:val="17"/>
          <w:rFonts w:hint="eastAsia" w:ascii="仿宋" w:hAnsi="仿宋" w:eastAsia="仿宋"/>
          <w:b w:val="0"/>
          <w:bCs/>
          <w:color w:val="000000"/>
          <w:sz w:val="32"/>
          <w:szCs w:val="32"/>
        </w:rPr>
        <w:t>万元，完成预算100%。决算数与预算数持平。</w:t>
      </w:r>
    </w:p>
    <w:p>
      <w:pPr>
        <w:spacing w:line="600" w:lineRule="exact"/>
        <w:ind w:firstLine="640" w:firstLineChars="200"/>
        <w:rPr>
          <w:rFonts w:ascii="仿宋" w:hAnsi="仿宋" w:eastAsia="仿宋"/>
          <w:b/>
          <w:color w:val="000000"/>
          <w:sz w:val="32"/>
          <w:szCs w:val="32"/>
        </w:rPr>
      </w:pPr>
      <w:r>
        <w:rPr>
          <w:rStyle w:val="17"/>
          <w:rFonts w:hint="eastAsia" w:ascii="仿宋" w:hAnsi="仿宋" w:eastAsia="仿宋"/>
          <w:b w:val="0"/>
          <w:bCs w:val="0"/>
          <w:color w:val="000000"/>
          <w:sz w:val="32"/>
          <w:szCs w:val="32"/>
        </w:rPr>
        <w:t>3</w:t>
      </w:r>
      <w:r>
        <w:rPr>
          <w:rStyle w:val="17"/>
          <w:rFonts w:ascii="仿宋" w:hAnsi="仿宋" w:eastAsia="仿宋"/>
          <w:b w:val="0"/>
          <w:bCs w:val="0"/>
          <w:color w:val="000000"/>
          <w:sz w:val="32"/>
          <w:szCs w:val="32"/>
        </w:rPr>
        <w:t>.</w:t>
      </w:r>
      <w:r>
        <w:rPr>
          <w:rFonts w:hint="eastAsia" w:ascii="仿宋" w:hAnsi="仿宋" w:eastAsia="仿宋"/>
          <w:b w:val="0"/>
          <w:bCs w:val="0"/>
          <w:color w:val="000000"/>
          <w:sz w:val="32"/>
          <w:szCs w:val="32"/>
        </w:rPr>
        <w:t>卫生健康</w:t>
      </w:r>
      <w:r>
        <w:rPr>
          <w:rStyle w:val="17"/>
          <w:rFonts w:hint="eastAsia" w:ascii="仿宋" w:hAnsi="仿宋" w:eastAsia="仿宋"/>
          <w:b w:val="0"/>
          <w:bCs w:val="0"/>
          <w:color w:val="000000"/>
          <w:sz w:val="32"/>
          <w:szCs w:val="32"/>
        </w:rPr>
        <w:t>210</w:t>
      </w:r>
      <w:r>
        <w:rPr>
          <w:rStyle w:val="17"/>
          <w:rFonts w:hint="eastAsia" w:ascii="仿宋" w:hAnsi="仿宋" w:eastAsia="仿宋"/>
          <w:b w:val="0"/>
          <w:bCs w:val="0"/>
          <w:color w:val="000000"/>
          <w:sz w:val="32"/>
          <w:szCs w:val="32"/>
          <w:lang w:val="en-US" w:eastAsia="zh-CN"/>
        </w:rPr>
        <w:t>11</w:t>
      </w:r>
      <w:r>
        <w:rPr>
          <w:rStyle w:val="17"/>
          <w:rFonts w:hint="eastAsia" w:ascii="仿宋" w:hAnsi="仿宋" w:eastAsia="仿宋"/>
          <w:b w:val="0"/>
          <w:bCs w:val="0"/>
          <w:color w:val="000000"/>
          <w:sz w:val="32"/>
          <w:szCs w:val="32"/>
        </w:rPr>
        <w:t>支出</w:t>
      </w:r>
      <w:r>
        <w:rPr>
          <w:rStyle w:val="17"/>
          <w:rFonts w:hint="eastAsia" w:ascii="仿宋" w:hAnsi="仿宋" w:eastAsia="仿宋"/>
          <w:b w:val="0"/>
          <w:bCs/>
          <w:color w:val="000000"/>
          <w:sz w:val="32"/>
          <w:szCs w:val="32"/>
        </w:rPr>
        <w:t>决算为82.06万元，完成预算100</w:t>
      </w:r>
      <w:r>
        <w:rPr>
          <w:rStyle w:val="17"/>
          <w:rFonts w:ascii="仿宋" w:hAnsi="仿宋" w:eastAsia="仿宋"/>
          <w:b w:val="0"/>
          <w:bCs/>
          <w:color w:val="000000"/>
          <w:sz w:val="32"/>
          <w:szCs w:val="32"/>
        </w:rPr>
        <w:t>%</w:t>
      </w:r>
      <w:r>
        <w:rPr>
          <w:rStyle w:val="17"/>
          <w:rFonts w:hint="eastAsia" w:ascii="仿宋" w:hAnsi="仿宋" w:eastAsia="仿宋"/>
          <w:b w:val="0"/>
          <w:bCs/>
          <w:color w:val="000000"/>
          <w:sz w:val="32"/>
          <w:szCs w:val="32"/>
        </w:rPr>
        <w:t>。其中2101102决算数为</w:t>
      </w:r>
      <w:r>
        <w:rPr>
          <w:rStyle w:val="17"/>
          <w:rFonts w:hint="eastAsia" w:ascii="仿宋" w:hAnsi="仿宋" w:eastAsia="仿宋"/>
          <w:b w:val="0"/>
          <w:bCs/>
          <w:color w:val="000000"/>
          <w:sz w:val="32"/>
          <w:szCs w:val="32"/>
          <w:lang w:val="en-US" w:eastAsia="zh-CN"/>
        </w:rPr>
        <w:t>69.96</w:t>
      </w:r>
      <w:r>
        <w:rPr>
          <w:rStyle w:val="17"/>
          <w:rFonts w:hint="eastAsia" w:ascii="仿宋" w:hAnsi="仿宋" w:eastAsia="仿宋"/>
          <w:b w:val="0"/>
          <w:bCs/>
          <w:color w:val="000000"/>
          <w:sz w:val="32"/>
          <w:szCs w:val="32"/>
        </w:rPr>
        <w:t>万元，完成预算100%；2101199决算数为</w:t>
      </w:r>
      <w:r>
        <w:rPr>
          <w:rStyle w:val="17"/>
          <w:rFonts w:hint="eastAsia" w:ascii="仿宋" w:hAnsi="仿宋" w:eastAsia="仿宋"/>
          <w:b w:val="0"/>
          <w:bCs/>
          <w:color w:val="000000"/>
          <w:sz w:val="32"/>
          <w:szCs w:val="32"/>
          <w:lang w:val="en-US" w:eastAsia="zh-CN"/>
        </w:rPr>
        <w:t>12.10</w:t>
      </w:r>
      <w:r>
        <w:rPr>
          <w:rStyle w:val="17"/>
          <w:rFonts w:hint="eastAsia" w:ascii="仿宋" w:hAnsi="仿宋" w:eastAsia="仿宋"/>
          <w:b w:val="0"/>
          <w:bCs/>
          <w:color w:val="000000"/>
          <w:sz w:val="32"/>
          <w:szCs w:val="32"/>
        </w:rPr>
        <w:t>万元，完成预算100%。决算数与预算数持平。</w:t>
      </w:r>
    </w:p>
    <w:p>
      <w:pPr>
        <w:spacing w:line="600" w:lineRule="exact"/>
        <w:ind w:firstLine="645"/>
        <w:rPr>
          <w:rFonts w:hint="eastAsia" w:ascii="Times New Roman" w:hAnsi="Times New Roman" w:eastAsia="仿宋_GB2312" w:cs="仿宋_GB2312"/>
          <w:color w:val="auto"/>
          <w:kern w:val="2"/>
          <w:sz w:val="32"/>
          <w:szCs w:val="32"/>
          <w:highlight w:val="none"/>
          <w:lang w:val="en-US" w:eastAsia="zh-CN" w:bidi="ar-SA"/>
        </w:rPr>
      </w:pPr>
      <w:r>
        <w:rPr>
          <w:rFonts w:hint="eastAsia" w:ascii="仿宋" w:hAnsi="仿宋" w:eastAsia="仿宋"/>
          <w:color w:val="000000"/>
          <w:sz w:val="32"/>
          <w:szCs w:val="32"/>
        </w:rPr>
        <w:t>4.住房保障支出2210201住房公积金支出决算数为121.39万元，完成预算100%。</w:t>
      </w:r>
    </w:p>
    <w:p>
      <w:pPr>
        <w:tabs>
          <w:tab w:val="right" w:pos="8306"/>
        </w:tabs>
        <w:spacing w:line="600" w:lineRule="exact"/>
        <w:ind w:firstLine="640"/>
        <w:outlineLvl w:val="1"/>
        <w:rPr>
          <w:rStyle w:val="29"/>
          <w:rFonts w:ascii="Times New Roman" w:hAnsi="Times New Roman"/>
          <w:color w:val="auto"/>
          <w:highlight w:val="none"/>
        </w:rPr>
      </w:pPr>
      <w:bookmarkStart w:id="52" w:name="_Toc15396608"/>
      <w:bookmarkStart w:id="53" w:name="_Toc15377214"/>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29"/>
          <w:rFonts w:hint="eastAsia" w:ascii="Times New Roman" w:hAnsi="Times New Roman" w:eastAsia="黑体"/>
          <w:b w:val="0"/>
          <w:color w:val="auto"/>
          <w:highlight w:val="none"/>
        </w:rPr>
        <w:t>般公共预算财政拨款基本支出决算情况说明</w:t>
      </w:r>
      <w:bookmarkEnd w:id="52"/>
      <w:bookmarkEnd w:id="53"/>
      <w:r>
        <w:rPr>
          <w:rStyle w:val="29"/>
          <w:rFonts w:ascii="Times New Roman" w:hAnsi="Times New Roman" w:eastAsia="黑体"/>
          <w:b w:val="0"/>
          <w:color w:val="auto"/>
          <w:highlight w:val="none"/>
        </w:rPr>
        <w:tab/>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w:t>
      </w:r>
      <w:r>
        <w:rPr>
          <w:rFonts w:hint="eastAsia" w:ascii="Times New Roman" w:hAnsi="Times New Roman" w:eastAsia="仿宋_GB2312" w:cs="仿宋_GB2312"/>
          <w:color w:val="auto"/>
          <w:kern w:val="2"/>
          <w:sz w:val="32"/>
          <w:szCs w:val="32"/>
          <w:highlight w:val="none"/>
          <w:lang w:val="en-US" w:eastAsia="zh-CN" w:bidi="ar-SA"/>
        </w:rPr>
        <w:t>年度一般公共预算财政拨款基本支出</w:t>
      </w:r>
      <w:r>
        <w:rPr>
          <w:rFonts w:hint="eastAsia" w:ascii="仿宋_GB2312" w:hAnsi="仿宋_GB2312" w:eastAsia="仿宋_GB2312" w:cs="仿宋_GB2312"/>
          <w:sz w:val="32"/>
          <w:szCs w:val="32"/>
          <w:lang w:val="en-US" w:eastAsia="zh-CN"/>
        </w:rPr>
        <w:t>1570.69</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元，其中：</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ascii="仿宋_GB2312" w:hAnsi="仿宋_GB2312" w:eastAsia="仿宋_GB2312" w:cs="仿宋_GB2312"/>
          <w:sz w:val="32"/>
          <w:szCs w:val="32"/>
          <w:lang w:val="en-US" w:eastAsia="zh-CN"/>
        </w:rPr>
        <w:t>1533.90</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元，主要包括：基本工资280.69</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、津贴补贴324.07</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、奖金292.46</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、绩效工资199.71</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、机关事业单位基本养老保险缴费147.44</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、职业年金缴费69.57</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、职工基本医疗保险缴费69.96</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、公务员医疗补助缴费12.1</w:t>
      </w:r>
      <w:r>
        <w:rPr>
          <w:rFonts w:hint="eastAsia" w:eastAsia="仿宋_GB2312" w:cs="仿宋_GB2312"/>
          <w:color w:val="auto"/>
          <w:kern w:val="2"/>
          <w:sz w:val="32"/>
          <w:szCs w:val="32"/>
          <w:highlight w:val="none"/>
          <w:lang w:val="en-US" w:eastAsia="zh-CN" w:bidi="ar-SA"/>
        </w:rPr>
        <w:t>0万元、其他社会保障缴费6.93万元、 住房公积金121.39万元、 医疗费9.6万元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ascii="Times New Roman" w:hAnsi="Times New Roman" w:eastAsia="仿宋_GB2312" w:cs="仿宋_GB2312"/>
          <w:color w:val="auto"/>
          <w:kern w:val="2"/>
          <w:sz w:val="32"/>
          <w:szCs w:val="32"/>
          <w:highlight w:val="none"/>
          <w:lang w:val="en-US" w:eastAsia="zh-CN" w:bidi="ar-SA"/>
        </w:rPr>
        <w:t>　　公用经费</w:t>
      </w:r>
      <w:r>
        <w:rPr>
          <w:rFonts w:hint="eastAsia" w:ascii="仿宋_GB2312" w:hAnsi="仿宋_GB2312" w:eastAsia="仿宋_GB2312" w:cs="仿宋_GB2312"/>
          <w:sz w:val="32"/>
          <w:szCs w:val="32"/>
        </w:rPr>
        <w:t>36.79</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元，主要包括：印刷费</w:t>
      </w:r>
      <w:r>
        <w:rPr>
          <w:rFonts w:hint="eastAsia" w:eastAsia="仿宋_GB2312" w:cs="仿宋_GB2312"/>
          <w:color w:val="auto"/>
          <w:kern w:val="2"/>
          <w:sz w:val="32"/>
          <w:szCs w:val="32"/>
          <w:highlight w:val="none"/>
          <w:lang w:val="en-US" w:eastAsia="zh-CN" w:bidi="ar-SA"/>
        </w:rPr>
        <w:t>8.79万元、</w:t>
      </w:r>
      <w:r>
        <w:rPr>
          <w:rFonts w:hint="eastAsia" w:ascii="Times New Roman" w:hAnsi="Times New Roman" w:eastAsia="仿宋_GB2312" w:cs="仿宋_GB2312"/>
          <w:color w:val="auto"/>
          <w:kern w:val="2"/>
          <w:sz w:val="32"/>
          <w:szCs w:val="32"/>
          <w:highlight w:val="none"/>
          <w:lang w:val="en-US" w:eastAsia="zh-CN" w:bidi="ar-SA"/>
        </w:rPr>
        <w:t>工会经费</w:t>
      </w:r>
      <w:r>
        <w:rPr>
          <w:rFonts w:hint="eastAsia" w:eastAsia="仿宋_GB2312" w:cs="仿宋_GB2312"/>
          <w:color w:val="auto"/>
          <w:kern w:val="2"/>
          <w:sz w:val="32"/>
          <w:szCs w:val="32"/>
          <w:highlight w:val="none"/>
          <w:lang w:val="en-US" w:eastAsia="zh-CN" w:bidi="ar-SA"/>
        </w:rPr>
        <w:t>11.41万元、福利费3.17万元、其他商品和服务支出13.43万元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spacing w:line="600" w:lineRule="exact"/>
        <w:ind w:firstLine="640"/>
        <w:outlineLvl w:val="1"/>
        <w:rPr>
          <w:rStyle w:val="29"/>
          <w:rFonts w:ascii="Times New Roman" w:hAnsi="Times New Roman" w:eastAsia="黑体"/>
          <w:b w:val="0"/>
          <w:color w:val="auto"/>
          <w:highlight w:val="none"/>
        </w:rPr>
      </w:pPr>
      <w:bookmarkStart w:id="54" w:name="_Toc15396609"/>
      <w:bookmarkStart w:id="55" w:name="_Toc15377215"/>
      <w:r>
        <w:rPr>
          <w:rFonts w:hint="eastAsia" w:ascii="Times New Roman" w:hAnsi="Times New Roman" w:eastAsia="黑体"/>
          <w:color w:val="auto"/>
          <w:sz w:val="32"/>
          <w:szCs w:val="32"/>
          <w:highlight w:val="none"/>
        </w:rPr>
        <w:t>七、</w:t>
      </w:r>
      <w:r>
        <w:rPr>
          <w:rStyle w:val="29"/>
          <w:rFonts w:hint="eastAsia" w:ascii="Times New Roman" w:hAnsi="Times New Roman" w:eastAsia="黑体"/>
          <w:b w:val="0"/>
          <w:color w:val="auto"/>
          <w:highlight w:val="none"/>
        </w:rPr>
        <w:t>财政拨款</w:t>
      </w:r>
      <w:r>
        <w:rPr>
          <w:rStyle w:val="29"/>
          <w:rFonts w:hint="eastAsia" w:ascii="Times New Roman" w:hAnsi="Times New Roman" w:eastAsia="黑体"/>
          <w:color w:val="auto"/>
          <w:highlight w:val="none"/>
        </w:rPr>
        <w:t>“</w:t>
      </w:r>
      <w:r>
        <w:rPr>
          <w:rStyle w:val="29"/>
          <w:rFonts w:hint="eastAsia" w:ascii="Times New Roman" w:hAnsi="Times New Roman" w:eastAsia="黑体"/>
          <w:b w:val="0"/>
          <w:color w:val="auto"/>
          <w:highlight w:val="none"/>
        </w:rPr>
        <w:t>三公”经费支出决算情况说明</w:t>
      </w:r>
      <w:bookmarkEnd w:id="54"/>
      <w:bookmarkEnd w:id="55"/>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56" w:name="_Toc15377216"/>
      <w:r>
        <w:rPr>
          <w:rFonts w:hint="eastAsia" w:ascii="Times New Roman" w:hAnsi="Times New Roman" w:eastAsia="楷体_GB2312" w:cs="楷体_GB2312"/>
          <w:b/>
          <w:color w:val="auto"/>
          <w:sz w:val="32"/>
          <w:szCs w:val="32"/>
          <w:highlight w:val="none"/>
        </w:rPr>
        <w:t>（一）“三公”经费财政拨款支出决算总体情况说明</w:t>
      </w:r>
      <w:bookmarkEnd w:id="56"/>
    </w:p>
    <w:p>
      <w:pPr>
        <w:spacing w:line="600" w:lineRule="exact"/>
        <w:ind w:firstLine="640"/>
        <w:rPr>
          <w:rFonts w:ascii="仿宋" w:hAnsi="仿宋" w:eastAsia="仿宋"/>
          <w:color w:val="000000"/>
          <w:sz w:val="32"/>
          <w:szCs w:val="32"/>
        </w:rPr>
      </w:pPr>
      <w:bookmarkStart w:id="57" w:name="_Toc15377218"/>
      <w:bookmarkStart w:id="58" w:name="_Toc15396610"/>
      <w:r>
        <w:rPr>
          <w:rFonts w:hint="eastAsia" w:ascii="仿宋" w:hAnsi="仿宋" w:eastAsia="仿宋"/>
          <w:color w:val="000000"/>
          <w:sz w:val="32"/>
          <w:szCs w:val="32"/>
          <w:lang w:eastAsia="zh-CN"/>
        </w:rPr>
        <w:t>2025</w:t>
      </w:r>
      <w:r>
        <w:rPr>
          <w:rFonts w:hint="eastAsia" w:ascii="仿宋" w:hAnsi="仿宋" w:eastAsia="仿宋"/>
          <w:color w:val="000000"/>
          <w:sz w:val="32"/>
          <w:szCs w:val="32"/>
        </w:rPr>
        <w:t>年“三公”经费财政拨款支出决算中，因公出国（境）费支出决算0万元，占0</w:t>
      </w:r>
      <w:r>
        <w:rPr>
          <w:rFonts w:ascii="仿宋" w:hAnsi="仿宋" w:eastAsia="仿宋"/>
          <w:color w:val="000000"/>
          <w:sz w:val="32"/>
          <w:szCs w:val="32"/>
        </w:rPr>
        <w:t>%</w:t>
      </w:r>
      <w:r>
        <w:rPr>
          <w:rFonts w:hint="eastAsia" w:ascii="仿宋" w:hAnsi="仿宋" w:eastAsia="仿宋"/>
          <w:color w:val="000000"/>
          <w:sz w:val="32"/>
          <w:szCs w:val="32"/>
        </w:rPr>
        <w:t>；公务用车购置及运行维护费支出决算0万元，占0</w:t>
      </w:r>
      <w:r>
        <w:rPr>
          <w:rFonts w:ascii="仿宋" w:hAnsi="仿宋" w:eastAsia="仿宋"/>
          <w:color w:val="000000"/>
          <w:sz w:val="32"/>
          <w:szCs w:val="32"/>
        </w:rPr>
        <w:t>%</w:t>
      </w:r>
      <w:r>
        <w:rPr>
          <w:rFonts w:hint="eastAsia" w:ascii="仿宋" w:hAnsi="仿宋" w:eastAsia="仿宋"/>
          <w:color w:val="000000"/>
          <w:sz w:val="32"/>
          <w:szCs w:val="32"/>
        </w:rPr>
        <w:t>；公务接待费支出决算0万元，占0</w:t>
      </w:r>
      <w:r>
        <w:rPr>
          <w:rFonts w:ascii="仿宋" w:hAnsi="仿宋" w:eastAsia="仿宋"/>
          <w:color w:val="000000"/>
          <w:sz w:val="32"/>
          <w:szCs w:val="32"/>
        </w:rPr>
        <w:t>%</w:t>
      </w:r>
      <w:r>
        <w:rPr>
          <w:rFonts w:hint="eastAsia" w:ascii="仿宋" w:hAnsi="仿宋" w:eastAsia="仿宋"/>
          <w:color w:val="000000"/>
          <w:sz w:val="32"/>
          <w:szCs w:val="32"/>
        </w:rPr>
        <w:t>。具体情况如下：</w:t>
      </w:r>
    </w:p>
    <w:p>
      <w:pPr>
        <w:numPr>
          <w:ilvl w:val="0"/>
          <w:numId w:val="0"/>
        </w:numPr>
        <w:spacing w:line="600" w:lineRule="exact"/>
        <w:ind w:firstLine="643" w:firstLineChars="200"/>
        <w:rPr>
          <w:rFonts w:ascii="仿宋_GB2312" w:eastAsia="仿宋_GB2312"/>
          <w:color w:val="000000"/>
          <w:sz w:val="32"/>
          <w:szCs w:val="32"/>
        </w:rPr>
      </w:pPr>
      <w:r>
        <w:rPr>
          <w:rFonts w:hint="eastAsia" w:ascii="仿宋_GB2312" w:eastAsia="仿宋_GB2312"/>
          <w:b/>
          <w:color w:val="000000"/>
          <w:sz w:val="32"/>
          <w:szCs w:val="32"/>
          <w:lang w:val="en-US" w:eastAsia="zh-CN"/>
        </w:rPr>
        <w:t>1.</w:t>
      </w:r>
      <w:r>
        <w:rPr>
          <w:rFonts w:hint="eastAsia" w:ascii="仿宋_GB2312" w:eastAsia="仿宋_GB2312"/>
          <w:b/>
          <w:color w:val="000000"/>
          <w:sz w:val="32"/>
          <w:szCs w:val="32"/>
        </w:rPr>
        <w:t>因公出国（境）经费支出</w:t>
      </w:r>
      <w:r>
        <w:rPr>
          <w:rFonts w:hint="eastAsia" w:ascii="仿宋_GB2312" w:eastAsia="仿宋_GB2312"/>
          <w:color w:val="000000"/>
          <w:sz w:val="32"/>
          <w:szCs w:val="32"/>
        </w:rPr>
        <w:t>0万元，</w:t>
      </w:r>
      <w:r>
        <w:rPr>
          <w:rStyle w:val="17"/>
          <w:rFonts w:hint="eastAsia" w:ascii="仿宋" w:hAnsi="仿宋" w:eastAsia="仿宋"/>
          <w:b w:val="0"/>
          <w:bCs/>
          <w:color w:val="000000"/>
          <w:sz w:val="32"/>
          <w:szCs w:val="32"/>
        </w:rPr>
        <w:t>完成预算0</w:t>
      </w:r>
      <w:r>
        <w:rPr>
          <w:rStyle w:val="17"/>
          <w:rFonts w:ascii="仿宋" w:hAnsi="仿宋" w:eastAsia="仿宋"/>
          <w:b w:val="0"/>
          <w:bCs/>
          <w:color w:val="000000"/>
          <w:sz w:val="32"/>
          <w:szCs w:val="32"/>
        </w:rPr>
        <w:t>%</w:t>
      </w:r>
      <w:r>
        <w:rPr>
          <w:rStyle w:val="17"/>
          <w:rFonts w:hint="eastAsia" w:ascii="仿宋" w:hAnsi="仿宋" w:eastAsia="仿宋"/>
          <w:b w:val="0"/>
          <w:bCs/>
          <w:color w:val="000000"/>
          <w:sz w:val="32"/>
          <w:szCs w:val="32"/>
        </w:rPr>
        <w:t>。</w:t>
      </w:r>
      <w:r>
        <w:rPr>
          <w:rFonts w:hint="eastAsia" w:ascii="仿宋_GB2312" w:eastAsia="仿宋_GB2312"/>
          <w:color w:val="000000"/>
          <w:sz w:val="32"/>
          <w:szCs w:val="32"/>
        </w:rPr>
        <w:t>全年安排因公出国（境）团组0次，出国（境）0人。因公出国（境）支出决算数与上年持平。</w:t>
      </w:r>
    </w:p>
    <w:p>
      <w:pPr>
        <w:numPr>
          <w:ilvl w:val="0"/>
          <w:numId w:val="0"/>
        </w:numPr>
        <w:spacing w:line="600" w:lineRule="exact"/>
        <w:ind w:firstLine="643" w:firstLineChars="200"/>
        <w:rPr>
          <w:rFonts w:ascii="仿宋_GB2312" w:eastAsia="仿宋_GB2312"/>
          <w:b/>
          <w:color w:val="000000"/>
          <w:sz w:val="32"/>
          <w:szCs w:val="32"/>
        </w:rPr>
      </w:pPr>
      <w:r>
        <w:rPr>
          <w:rFonts w:hint="eastAsia" w:ascii="仿宋_GB2312" w:eastAsia="仿宋_GB2312"/>
          <w:b/>
          <w:color w:val="000000"/>
          <w:sz w:val="32"/>
          <w:szCs w:val="32"/>
          <w:lang w:val="en-US" w:eastAsia="zh-CN"/>
        </w:rPr>
        <w:t>2.</w:t>
      </w:r>
      <w:r>
        <w:rPr>
          <w:rFonts w:hint="eastAsia" w:ascii="仿宋_GB2312" w:eastAsia="仿宋_GB2312"/>
          <w:b/>
          <w:color w:val="000000"/>
          <w:sz w:val="32"/>
          <w:szCs w:val="32"/>
        </w:rPr>
        <w:t>公务用车购置及运行维护费支出</w:t>
      </w:r>
      <w:r>
        <w:rPr>
          <w:rFonts w:hint="eastAsia" w:ascii="仿宋_GB2312" w:eastAsia="仿宋_GB2312"/>
          <w:color w:val="000000"/>
          <w:sz w:val="32"/>
          <w:szCs w:val="32"/>
        </w:rPr>
        <w:t>0万元</w:t>
      </w:r>
      <w:r>
        <w:rPr>
          <w:rFonts w:ascii="仿宋_GB2312" w:eastAsia="仿宋_GB2312"/>
          <w:color w:val="000000"/>
          <w:sz w:val="32"/>
          <w:szCs w:val="32"/>
        </w:rPr>
        <w:t>,</w:t>
      </w:r>
      <w:r>
        <w:rPr>
          <w:rStyle w:val="17"/>
          <w:rFonts w:hint="eastAsia" w:ascii="仿宋" w:hAnsi="仿宋" w:eastAsia="仿宋"/>
          <w:b w:val="0"/>
          <w:bCs/>
          <w:color w:val="000000"/>
          <w:sz w:val="32"/>
          <w:szCs w:val="32"/>
        </w:rPr>
        <w:t>完成预算0</w:t>
      </w:r>
      <w:r>
        <w:rPr>
          <w:rStyle w:val="17"/>
          <w:rFonts w:ascii="仿宋" w:hAnsi="仿宋" w:eastAsia="仿宋"/>
          <w:b w:val="0"/>
          <w:bCs/>
          <w:color w:val="000000"/>
          <w:sz w:val="32"/>
          <w:szCs w:val="32"/>
        </w:rPr>
        <w:t>%</w:t>
      </w:r>
      <w:r>
        <w:rPr>
          <w:rStyle w:val="17"/>
          <w:rFonts w:hint="eastAsia" w:ascii="仿宋" w:hAnsi="仿宋" w:eastAsia="仿宋"/>
          <w:b w:val="0"/>
          <w:bCs/>
          <w:color w:val="000000"/>
          <w:sz w:val="32"/>
          <w:szCs w:val="32"/>
        </w:rPr>
        <w:t>。</w:t>
      </w:r>
      <w:r>
        <w:rPr>
          <w:rFonts w:hint="eastAsia" w:ascii="仿宋_GB2312" w:eastAsia="仿宋_GB2312"/>
          <w:color w:val="000000"/>
          <w:sz w:val="32"/>
          <w:szCs w:val="32"/>
        </w:rPr>
        <w:t>公务用车购置及运行维护费支出决算数与上年持平。</w:t>
      </w:r>
    </w:p>
    <w:p>
      <w:pPr>
        <w:spacing w:line="600" w:lineRule="exact"/>
        <w:ind w:firstLine="643" w:firstLineChars="200"/>
        <w:rPr>
          <w:rFonts w:ascii="仿宋_GB2312" w:eastAsia="仿宋_GB2312"/>
          <w:b/>
          <w:color w:val="000000"/>
          <w:sz w:val="32"/>
          <w:szCs w:val="32"/>
        </w:rPr>
      </w:pPr>
      <w:r>
        <w:rPr>
          <w:rFonts w:hint="eastAsia" w:ascii="仿宋_GB2312" w:eastAsia="仿宋_GB2312"/>
          <w:b/>
          <w:color w:val="000000"/>
          <w:sz w:val="32"/>
          <w:szCs w:val="32"/>
        </w:rPr>
        <w:t>公务用车购置支出0</w:t>
      </w:r>
      <w:r>
        <w:rPr>
          <w:rFonts w:hint="eastAsia" w:ascii="仿宋_GB2312" w:eastAsia="仿宋_GB2312"/>
          <w:color w:val="000000"/>
          <w:sz w:val="32"/>
          <w:szCs w:val="32"/>
        </w:rPr>
        <w:t>万元。全年按规定更新购置公务用车0辆，其中：轿车0辆、金额0万元，越野车0辆、金额0万元，载客汽车0辆、金额0万元0。截至</w:t>
      </w:r>
      <w:r>
        <w:rPr>
          <w:rFonts w:hint="eastAsia" w:ascii="仿宋_GB2312" w:eastAsia="仿宋_GB2312"/>
          <w:color w:val="000000"/>
          <w:sz w:val="32"/>
          <w:szCs w:val="32"/>
          <w:lang w:eastAsia="zh-CN"/>
        </w:rPr>
        <w:t>2025</w:t>
      </w:r>
      <w:r>
        <w:rPr>
          <w:rFonts w:hint="eastAsia" w:ascii="仿宋_GB2312" w:eastAsia="仿宋_GB2312"/>
          <w:color w:val="000000"/>
          <w:sz w:val="32"/>
          <w:szCs w:val="32"/>
        </w:rPr>
        <w:t>年</w:t>
      </w:r>
      <w:r>
        <w:rPr>
          <w:rFonts w:ascii="仿宋_GB2312" w:eastAsia="仿宋_GB2312"/>
          <w:color w:val="000000"/>
          <w:sz w:val="32"/>
          <w:szCs w:val="32"/>
        </w:rPr>
        <w:t>12</w:t>
      </w:r>
      <w:r>
        <w:rPr>
          <w:rFonts w:hint="eastAsia" w:ascii="仿宋_GB2312" w:eastAsia="仿宋_GB2312"/>
          <w:color w:val="000000"/>
          <w:sz w:val="32"/>
          <w:szCs w:val="32"/>
        </w:rPr>
        <w:t>月底，单位共有公务用车0辆，其中：轿车0辆、越野车0辆、载客汽车0辆。</w:t>
      </w:r>
    </w:p>
    <w:p>
      <w:pPr>
        <w:spacing w:line="600" w:lineRule="exact"/>
        <w:ind w:firstLine="640"/>
        <w:rPr>
          <w:rFonts w:ascii="仿宋_GB2312" w:eastAsia="仿宋_GB2312"/>
          <w:color w:val="000000"/>
          <w:sz w:val="32"/>
          <w:szCs w:val="32"/>
        </w:rPr>
      </w:pPr>
      <w:r>
        <w:rPr>
          <w:rFonts w:hint="eastAsia" w:ascii="仿宋_GB2312" w:eastAsia="仿宋_GB2312"/>
          <w:b/>
          <w:color w:val="000000"/>
          <w:sz w:val="32"/>
          <w:szCs w:val="32"/>
        </w:rPr>
        <w:t>公务用车运行维护费支出</w:t>
      </w:r>
      <w:r>
        <w:rPr>
          <w:rFonts w:hint="eastAsia" w:ascii="仿宋_GB2312" w:eastAsia="仿宋_GB2312"/>
          <w:color w:val="000000"/>
          <w:sz w:val="32"/>
          <w:szCs w:val="32"/>
        </w:rPr>
        <w:t>0万元。</w:t>
      </w:r>
    </w:p>
    <w:p>
      <w:pPr>
        <w:spacing w:line="600" w:lineRule="exact"/>
        <w:ind w:firstLine="640"/>
        <w:rPr>
          <w:rFonts w:ascii="仿宋_GB2312" w:eastAsia="仿宋_GB2312"/>
          <w:color w:val="000000"/>
          <w:sz w:val="32"/>
          <w:szCs w:val="32"/>
        </w:rPr>
      </w:pPr>
      <w:r>
        <w:rPr>
          <w:rFonts w:ascii="仿宋_GB2312" w:eastAsia="仿宋_GB2312"/>
          <w:b/>
          <w:color w:val="000000"/>
          <w:sz w:val="32"/>
          <w:szCs w:val="32"/>
        </w:rPr>
        <w:t>3.</w:t>
      </w:r>
      <w:r>
        <w:rPr>
          <w:rFonts w:hint="eastAsia" w:ascii="仿宋_GB2312" w:eastAsia="仿宋_GB2312"/>
          <w:b/>
          <w:color w:val="000000"/>
          <w:sz w:val="32"/>
          <w:szCs w:val="32"/>
        </w:rPr>
        <w:t>公务接待费支出</w:t>
      </w:r>
      <w:r>
        <w:rPr>
          <w:rFonts w:hint="eastAsia" w:ascii="仿宋_GB2312" w:eastAsia="仿宋_GB2312"/>
          <w:color w:val="000000"/>
          <w:sz w:val="32"/>
          <w:szCs w:val="32"/>
        </w:rPr>
        <w:t>0万元。</w:t>
      </w:r>
    </w:p>
    <w:p>
      <w:pPr>
        <w:spacing w:line="600" w:lineRule="exact"/>
        <w:ind w:firstLine="640"/>
        <w:rPr>
          <w:rFonts w:ascii="仿宋_GB2312" w:eastAsia="仿宋_GB2312"/>
          <w:color w:val="000000"/>
          <w:sz w:val="32"/>
          <w:szCs w:val="32"/>
        </w:rPr>
      </w:pPr>
      <w:r>
        <w:rPr>
          <w:rFonts w:hint="eastAsia" w:ascii="仿宋" w:hAnsi="仿宋" w:eastAsia="仿宋"/>
          <w:b/>
          <w:color w:val="000000"/>
          <w:sz w:val="32"/>
          <w:szCs w:val="32"/>
        </w:rPr>
        <w:t>国内公务接待支出</w:t>
      </w:r>
      <w:r>
        <w:rPr>
          <w:rFonts w:hint="eastAsia" w:ascii="仿宋" w:hAnsi="仿宋" w:eastAsia="仿宋"/>
          <w:color w:val="000000"/>
          <w:sz w:val="32"/>
          <w:szCs w:val="32"/>
        </w:rPr>
        <w:t>0</w:t>
      </w:r>
      <w:r>
        <w:rPr>
          <w:rFonts w:hint="eastAsia" w:ascii="仿宋_GB2312" w:eastAsia="仿宋_GB2312"/>
          <w:color w:val="000000"/>
          <w:sz w:val="32"/>
          <w:szCs w:val="32"/>
        </w:rPr>
        <w:t>万元。</w:t>
      </w:r>
    </w:p>
    <w:p>
      <w:pPr>
        <w:spacing w:line="600" w:lineRule="exact"/>
        <w:ind w:firstLine="640"/>
        <w:outlineLvl w:val="1"/>
        <w:rPr>
          <w:rFonts w:ascii="仿宋_GB2312" w:eastAsia="仿宋_GB2312"/>
          <w:color w:val="000000"/>
          <w:sz w:val="32"/>
          <w:szCs w:val="32"/>
        </w:rPr>
      </w:pPr>
      <w:r>
        <w:rPr>
          <w:rFonts w:hint="eastAsia" w:ascii="仿宋" w:hAnsi="仿宋" w:eastAsia="仿宋"/>
          <w:b/>
          <w:color w:val="000000"/>
          <w:sz w:val="32"/>
          <w:szCs w:val="32"/>
        </w:rPr>
        <w:t>外事接待支出0</w:t>
      </w:r>
      <w:r>
        <w:rPr>
          <w:rFonts w:hint="eastAsia" w:ascii="仿宋_GB2312" w:eastAsia="仿宋_GB2312"/>
          <w:color w:val="000000"/>
          <w:sz w:val="32"/>
          <w:szCs w:val="32"/>
        </w:rPr>
        <w:t>万元，外事接待0批次，0人，共计支出0万元。</w:t>
      </w:r>
    </w:p>
    <w:p>
      <w:pPr>
        <w:spacing w:line="600" w:lineRule="exact"/>
        <w:ind w:firstLine="640"/>
        <w:outlineLvl w:val="1"/>
        <w:rPr>
          <w:rStyle w:val="29"/>
          <w:rFonts w:ascii="Times New Roman" w:hAnsi="Times New Roman" w:eastAsia="黑体"/>
          <w:color w:val="auto"/>
          <w:highlight w:val="none"/>
        </w:rPr>
      </w:pPr>
      <w:r>
        <w:rPr>
          <w:rFonts w:hint="eastAsia" w:ascii="Times New Roman" w:hAnsi="Times New Roman" w:eastAsia="黑体"/>
          <w:color w:val="auto"/>
          <w:sz w:val="32"/>
          <w:szCs w:val="32"/>
          <w:highlight w:val="none"/>
        </w:rPr>
        <w:t>八、</w:t>
      </w:r>
      <w:r>
        <w:rPr>
          <w:rStyle w:val="29"/>
          <w:rFonts w:hint="eastAsia" w:ascii="Times New Roman" w:hAnsi="Times New Roman" w:eastAsia="黑体"/>
          <w:b w:val="0"/>
          <w:color w:val="auto"/>
          <w:highlight w:val="none"/>
        </w:rPr>
        <w:t>政府性基金预算支出决算情况说明</w:t>
      </w:r>
      <w:bookmarkEnd w:id="57"/>
      <w:bookmarkEnd w:id="58"/>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eastAsia="仿宋_GB2312"/>
          <w:color w:val="000000"/>
          <w:sz w:val="32"/>
          <w:szCs w:val="32"/>
          <w:lang w:eastAsia="zh-CN"/>
        </w:rPr>
        <w:t>2025</w:t>
      </w:r>
      <w:r>
        <w:rPr>
          <w:rFonts w:hint="eastAsia" w:ascii="仿宋_GB2312" w:eastAsia="仿宋_GB2312"/>
          <w:color w:val="000000"/>
          <w:sz w:val="32"/>
          <w:szCs w:val="32"/>
        </w:rPr>
        <w:t>年政府性基金预算拨款支出</w:t>
      </w:r>
      <w:r>
        <w:rPr>
          <w:rFonts w:hint="eastAsia" w:ascii="仿宋_GB2312" w:eastAsia="仿宋_GB2312"/>
          <w:color w:val="000000"/>
          <w:sz w:val="32"/>
          <w:szCs w:val="32"/>
          <w:lang w:val="en-US" w:eastAsia="zh-CN"/>
        </w:rPr>
        <w:t>4</w:t>
      </w:r>
      <w:r>
        <w:rPr>
          <w:rFonts w:hint="eastAsia" w:ascii="仿宋_GB2312" w:eastAsia="仿宋_GB2312"/>
          <w:color w:val="000000"/>
          <w:sz w:val="32"/>
          <w:szCs w:val="32"/>
        </w:rPr>
        <w:t>万元。</w:t>
      </w:r>
    </w:p>
    <w:p>
      <w:pPr>
        <w:numPr>
          <w:ilvl w:val="0"/>
          <w:numId w:val="0"/>
        </w:numPr>
        <w:spacing w:line="600" w:lineRule="exact"/>
        <w:ind w:left="630" w:leftChars="0"/>
        <w:outlineLvl w:val="1"/>
        <w:rPr>
          <w:rStyle w:val="29"/>
          <w:rFonts w:ascii="Times New Roman" w:hAnsi="Times New Roman" w:eastAsia="黑体"/>
          <w:b w:val="0"/>
          <w:color w:val="auto"/>
          <w:highlight w:val="none"/>
        </w:rPr>
      </w:pPr>
      <w:bookmarkStart w:id="59" w:name="_Toc15377219"/>
      <w:bookmarkStart w:id="60" w:name="_Toc15396611"/>
      <w:r>
        <w:rPr>
          <w:rStyle w:val="29"/>
          <w:rFonts w:hint="eastAsia" w:ascii="Times New Roman" w:hAnsi="Times New Roman" w:eastAsia="黑体"/>
          <w:b w:val="0"/>
          <w:color w:val="auto"/>
          <w:highlight w:val="none"/>
          <w:lang w:eastAsia="zh-CN"/>
        </w:rPr>
        <w:t>九、</w:t>
      </w:r>
      <w:r>
        <w:rPr>
          <w:rStyle w:val="29"/>
          <w:rFonts w:hint="eastAsia" w:ascii="Times New Roman" w:hAnsi="Times New Roman" w:eastAsia="黑体"/>
          <w:b w:val="0"/>
          <w:color w:val="auto"/>
          <w:highlight w:val="none"/>
        </w:rPr>
        <w:t>国有资本经营预算支出决算情况说明</w:t>
      </w:r>
      <w:bookmarkEnd w:id="59"/>
      <w:bookmarkEnd w:id="60"/>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eastAsia="仿宋_GB2312"/>
          <w:color w:val="000000"/>
          <w:sz w:val="32"/>
          <w:szCs w:val="32"/>
          <w:lang w:eastAsia="zh-CN"/>
        </w:rPr>
        <w:t>2025</w:t>
      </w:r>
      <w:r>
        <w:rPr>
          <w:rFonts w:hint="eastAsia" w:ascii="仿宋_GB2312" w:eastAsia="仿宋_GB2312"/>
          <w:color w:val="000000"/>
          <w:sz w:val="32"/>
          <w:szCs w:val="32"/>
        </w:rPr>
        <w:t>年国有资本经营预算拨款支出0万元。</w:t>
      </w:r>
    </w:p>
    <w:p>
      <w:pPr>
        <w:numPr>
          <w:ilvl w:val="0"/>
          <w:numId w:val="0"/>
        </w:numPr>
        <w:spacing w:line="600" w:lineRule="exact"/>
        <w:ind w:left="630" w:leftChars="0"/>
        <w:outlineLvl w:val="1"/>
        <w:rPr>
          <w:rStyle w:val="29"/>
          <w:rFonts w:hint="eastAsia" w:ascii="Times New Roman" w:hAnsi="Times New Roman" w:eastAsia="黑体"/>
          <w:b w:val="0"/>
          <w:color w:val="auto"/>
          <w:highlight w:val="none"/>
        </w:rPr>
      </w:pPr>
      <w:bookmarkStart w:id="61" w:name="_Toc15377221"/>
      <w:bookmarkStart w:id="62" w:name="_Toc15396612"/>
      <w:r>
        <w:rPr>
          <w:rStyle w:val="29"/>
          <w:rFonts w:hint="eastAsia" w:ascii="Times New Roman" w:hAnsi="Times New Roman" w:eastAsia="黑体"/>
          <w:b w:val="0"/>
          <w:color w:val="auto"/>
          <w:highlight w:val="none"/>
          <w:lang w:eastAsia="zh-CN"/>
        </w:rPr>
        <w:t>十、</w:t>
      </w:r>
      <w:r>
        <w:rPr>
          <w:rStyle w:val="29"/>
          <w:rFonts w:hint="eastAsia" w:ascii="Times New Roman" w:hAnsi="Times New Roman" w:eastAsia="黑体"/>
          <w:b w:val="0"/>
          <w:color w:val="auto"/>
          <w:highlight w:val="none"/>
        </w:rPr>
        <w:t>其他重要事项的情况说明</w:t>
      </w:r>
      <w:bookmarkEnd w:id="61"/>
      <w:bookmarkEnd w:id="62"/>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63" w:name="_Toc15377222"/>
      <w:r>
        <w:rPr>
          <w:rFonts w:hint="eastAsia" w:ascii="Times New Roman" w:hAnsi="Times New Roman" w:eastAsia="楷体_GB2312" w:cs="楷体_GB2312"/>
          <w:b/>
          <w:color w:val="auto"/>
          <w:sz w:val="32"/>
          <w:szCs w:val="32"/>
          <w:highlight w:val="none"/>
        </w:rPr>
        <w:t>（一）机关运行经费支出情况</w:t>
      </w:r>
      <w:bookmarkEnd w:id="63"/>
    </w:p>
    <w:p>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eastAsia="仿宋_GB2312"/>
          <w:color w:val="000000"/>
          <w:sz w:val="32"/>
          <w:szCs w:val="32"/>
          <w:lang w:eastAsia="zh-CN"/>
        </w:rPr>
        <w:t>2025</w:t>
      </w:r>
      <w:r>
        <w:rPr>
          <w:rFonts w:hint="eastAsia" w:ascii="仿宋_GB2312" w:eastAsia="仿宋_GB2312"/>
          <w:color w:val="000000"/>
          <w:sz w:val="32"/>
          <w:szCs w:val="32"/>
        </w:rPr>
        <w:t>年，机关运行经费支出0万元。</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64" w:name="_Toc15377223"/>
      <w:r>
        <w:rPr>
          <w:rFonts w:hint="eastAsia" w:ascii="Times New Roman" w:hAnsi="Times New Roman" w:eastAsia="楷体_GB2312" w:cs="楷体_GB2312"/>
          <w:b/>
          <w:color w:val="auto"/>
          <w:sz w:val="32"/>
          <w:szCs w:val="32"/>
          <w:highlight w:val="none"/>
        </w:rPr>
        <w:t>（二）政府采购支出情况</w:t>
      </w:r>
      <w:bookmarkEnd w:id="64"/>
    </w:p>
    <w:p>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eastAsia="仿宋_GB2312"/>
          <w:color w:val="000000"/>
          <w:sz w:val="32"/>
          <w:szCs w:val="32"/>
          <w:lang w:eastAsia="zh-CN"/>
        </w:rPr>
        <w:t>2025</w:t>
      </w:r>
      <w:r>
        <w:rPr>
          <w:rFonts w:hint="eastAsia" w:ascii="仿宋_GB2312" w:eastAsia="仿宋_GB2312"/>
          <w:color w:val="000000"/>
          <w:sz w:val="32"/>
          <w:szCs w:val="32"/>
        </w:rPr>
        <w:t>年，政府采购支出总额0万元。</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65" w:name="_Toc15377224"/>
      <w:r>
        <w:rPr>
          <w:rFonts w:hint="eastAsia" w:ascii="Times New Roman" w:hAnsi="Times New Roman" w:eastAsia="楷体_GB2312" w:cs="楷体_GB2312"/>
          <w:b/>
          <w:color w:val="auto"/>
          <w:sz w:val="32"/>
          <w:szCs w:val="32"/>
          <w:highlight w:val="none"/>
        </w:rPr>
        <w:t>（三）国有资产占有使用情况</w:t>
      </w:r>
      <w:bookmarkEnd w:id="65"/>
    </w:p>
    <w:p>
      <w:pPr>
        <w:spacing w:line="360" w:lineRule="auto"/>
        <w:ind w:firstLine="800" w:firstLineChars="250"/>
        <w:jc w:val="left"/>
        <w:rPr>
          <w:rFonts w:ascii="仿宋_GB2312" w:eastAsia="仿宋_GB2312"/>
          <w:color w:val="000000"/>
          <w:sz w:val="32"/>
          <w:szCs w:val="32"/>
        </w:rPr>
      </w:pPr>
      <w:r>
        <w:rPr>
          <w:rFonts w:hint="eastAsia" w:ascii="仿宋_GB2312" w:eastAsia="仿宋_GB2312"/>
          <w:color w:val="000000"/>
          <w:sz w:val="32"/>
          <w:szCs w:val="32"/>
        </w:rPr>
        <w:t>截至</w:t>
      </w:r>
      <w:r>
        <w:rPr>
          <w:rFonts w:hint="eastAsia" w:ascii="仿宋_GB2312" w:eastAsia="仿宋_GB2312"/>
          <w:color w:val="000000"/>
          <w:sz w:val="32"/>
          <w:szCs w:val="32"/>
          <w:lang w:eastAsia="zh-CN"/>
        </w:rPr>
        <w:t>202</w:t>
      </w:r>
      <w:r>
        <w:rPr>
          <w:rFonts w:hint="eastAsia" w:ascii="仿宋_GB2312" w:eastAsia="仿宋_GB2312"/>
          <w:color w:val="000000"/>
          <w:sz w:val="32"/>
          <w:szCs w:val="32"/>
          <w:lang w:val="en-US" w:eastAsia="zh-CN"/>
        </w:rPr>
        <w:t>5</w:t>
      </w:r>
      <w:r>
        <w:rPr>
          <w:rFonts w:hint="eastAsia" w:ascii="仿宋_GB2312" w:eastAsia="仿宋_GB2312"/>
          <w:color w:val="000000"/>
          <w:sz w:val="32"/>
          <w:szCs w:val="32"/>
        </w:rPr>
        <w:t>年</w:t>
      </w:r>
      <w:r>
        <w:rPr>
          <w:rFonts w:ascii="仿宋_GB2312" w:eastAsia="仿宋_GB2312"/>
          <w:color w:val="000000"/>
          <w:sz w:val="32"/>
          <w:szCs w:val="32"/>
        </w:rPr>
        <w:t>12</w:t>
      </w:r>
      <w:r>
        <w:rPr>
          <w:rFonts w:hint="eastAsia" w:ascii="仿宋_GB2312" w:eastAsia="仿宋_GB2312"/>
          <w:color w:val="000000"/>
          <w:sz w:val="32"/>
          <w:szCs w:val="32"/>
        </w:rPr>
        <w:t>月</w:t>
      </w:r>
      <w:r>
        <w:rPr>
          <w:rFonts w:ascii="仿宋_GB2312" w:eastAsia="仿宋_GB2312"/>
          <w:color w:val="000000"/>
          <w:sz w:val="32"/>
          <w:szCs w:val="32"/>
        </w:rPr>
        <w:t>31</w:t>
      </w:r>
      <w:r>
        <w:rPr>
          <w:rFonts w:hint="eastAsia" w:ascii="仿宋_GB2312" w:eastAsia="仿宋_GB2312"/>
          <w:color w:val="000000"/>
          <w:sz w:val="32"/>
          <w:szCs w:val="32"/>
        </w:rPr>
        <w:t xml:space="preserve">日，截至 </w:t>
      </w:r>
      <w:r>
        <w:rPr>
          <w:rFonts w:hint="eastAsia" w:ascii="仿宋_GB2312" w:eastAsia="仿宋_GB2312"/>
          <w:color w:val="000000"/>
          <w:sz w:val="32"/>
          <w:szCs w:val="32"/>
          <w:lang w:eastAsia="zh-CN"/>
        </w:rPr>
        <w:t>202</w:t>
      </w:r>
      <w:r>
        <w:rPr>
          <w:rFonts w:hint="eastAsia" w:ascii="仿宋_GB2312" w:eastAsia="仿宋_GB2312"/>
          <w:color w:val="000000"/>
          <w:sz w:val="32"/>
          <w:szCs w:val="32"/>
          <w:lang w:val="en-US" w:eastAsia="zh-CN"/>
        </w:rPr>
        <w:t>5</w:t>
      </w:r>
      <w:r>
        <w:rPr>
          <w:rFonts w:hint="eastAsia" w:ascii="仿宋_GB2312" w:eastAsia="仿宋_GB2312"/>
          <w:color w:val="000000"/>
          <w:sz w:val="32"/>
          <w:szCs w:val="32"/>
        </w:rPr>
        <w:t>年 12月31 日， 我单位自用固定资产</w:t>
      </w:r>
      <w:r>
        <w:rPr>
          <w:rFonts w:hint="eastAsia" w:ascii="仿宋_GB2312" w:eastAsia="仿宋_GB2312"/>
          <w:color w:val="auto"/>
          <w:sz w:val="32"/>
          <w:szCs w:val="32"/>
        </w:rPr>
        <w:t xml:space="preserve"> </w:t>
      </w:r>
      <w:r>
        <w:rPr>
          <w:rFonts w:hint="eastAsia" w:ascii="仿宋_GB2312" w:eastAsia="仿宋_GB2312"/>
          <w:color w:val="auto"/>
          <w:sz w:val="32"/>
          <w:szCs w:val="32"/>
          <w:lang w:val="en-US" w:eastAsia="zh-CN"/>
        </w:rPr>
        <w:t>1350.32</w:t>
      </w:r>
      <w:r>
        <w:rPr>
          <w:rFonts w:hint="eastAsia" w:ascii="仿宋_GB2312" w:eastAsia="仿宋_GB2312"/>
          <w:color w:val="auto"/>
          <w:sz w:val="32"/>
          <w:szCs w:val="32"/>
        </w:rPr>
        <w:t>万元，占账面固定资产总额的 100.00 %， 其中 : 在用</w:t>
      </w:r>
      <w:r>
        <w:rPr>
          <w:rFonts w:hint="eastAsia" w:ascii="仿宋_GB2312" w:eastAsia="仿宋_GB2312"/>
          <w:color w:val="auto"/>
          <w:sz w:val="32"/>
          <w:szCs w:val="32"/>
          <w:lang w:val="en-US" w:eastAsia="zh-CN"/>
        </w:rPr>
        <w:t>1350.32</w:t>
      </w:r>
      <w:r>
        <w:rPr>
          <w:rFonts w:hint="eastAsia" w:ascii="仿宋_GB2312" w:eastAsia="仿宋_GB2312"/>
          <w:color w:val="auto"/>
          <w:sz w:val="32"/>
          <w:szCs w:val="32"/>
        </w:rPr>
        <w:t>万元，占账面固定资产总额的 100.00 % ；闲置 0 万元，占账面固</w:t>
      </w:r>
      <w:r>
        <w:rPr>
          <w:rFonts w:hint="eastAsia" w:ascii="仿宋_GB2312" w:eastAsia="仿宋_GB2312"/>
          <w:color w:val="000000"/>
          <w:sz w:val="32"/>
          <w:szCs w:val="32"/>
        </w:rPr>
        <w:t>定资产总额的 0.00 % ； 待处置（待报废、毁损等） 0 万元，占账面固定资产总额的 0.00 % 。自用无形资产 0 万元 ，占账面无形资产总额的 % ；其中 在用 0 万元，占账面无形资产总额的 % ；闲置 0 万元，占账面无形资产总额的 % ； 待处置（待报废、毁损等） 0 万元，占账面无形资产总额的 % 。</w:t>
      </w:r>
    </w:p>
    <w:p>
      <w:pPr>
        <w:autoSpaceDE w:val="0"/>
        <w:autoSpaceDN w:val="0"/>
        <w:adjustRightInd w:val="0"/>
        <w:spacing w:line="600" w:lineRule="exact"/>
        <w:ind w:firstLine="640" w:firstLineChars="200"/>
        <w:jc w:val="left"/>
        <w:rPr>
          <w:rFonts w:ascii="仿宋" w:hAnsi="仿宋" w:eastAsia="仿宋"/>
          <w:b/>
          <w:color w:val="FF0000"/>
          <w:sz w:val="32"/>
          <w:szCs w:val="32"/>
        </w:rPr>
      </w:pPr>
      <w:r>
        <w:rPr>
          <w:rFonts w:hint="eastAsia" w:ascii="仿宋_GB2312" w:eastAsia="仿宋_GB2312"/>
          <w:color w:val="000000"/>
          <w:sz w:val="32"/>
          <w:szCs w:val="32"/>
        </w:rPr>
        <w:t>共有车辆0辆。其中：主要领导干部用车0辆、机要通信用车0辆、应急保障用车0辆、其他用车0辆，单价</w:t>
      </w:r>
      <w:r>
        <w:rPr>
          <w:rFonts w:ascii="仿宋_GB2312" w:eastAsia="仿宋_GB2312"/>
          <w:color w:val="000000"/>
          <w:sz w:val="32"/>
          <w:szCs w:val="32"/>
        </w:rPr>
        <w:t>50</w:t>
      </w:r>
      <w:r>
        <w:rPr>
          <w:rFonts w:hint="eastAsia" w:ascii="仿宋_GB2312" w:eastAsia="仿宋_GB2312"/>
          <w:color w:val="000000"/>
          <w:sz w:val="32"/>
          <w:szCs w:val="32"/>
        </w:rPr>
        <w:t>万元以上通用设备0台（套），单价</w:t>
      </w:r>
      <w:r>
        <w:rPr>
          <w:rFonts w:ascii="仿宋_GB2312" w:eastAsia="仿宋_GB2312"/>
          <w:color w:val="000000"/>
          <w:sz w:val="32"/>
          <w:szCs w:val="32"/>
        </w:rPr>
        <w:t>100</w:t>
      </w:r>
      <w:r>
        <w:rPr>
          <w:rFonts w:hint="eastAsia" w:ascii="仿宋_GB2312" w:eastAsia="仿宋_GB2312"/>
          <w:color w:val="000000"/>
          <w:sz w:val="32"/>
          <w:szCs w:val="32"/>
        </w:rPr>
        <w:t>万元以上专用设备0台（套）。</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（四）预算绩效管理情况</w:t>
      </w:r>
    </w:p>
    <w:p>
      <w:pPr>
        <w:spacing w:line="560" w:lineRule="exact"/>
        <w:ind w:firstLine="800" w:firstLineChars="250"/>
        <w:rPr>
          <w:rFonts w:ascii="仿宋_GB2312" w:hAnsi="仿宋_GB2312" w:eastAsia="仿宋_GB2312" w:cs="仿宋_GB2312"/>
          <w:sz w:val="32"/>
          <w:szCs w:val="32"/>
        </w:rPr>
      </w:pPr>
      <w:r>
        <w:rPr>
          <w:rFonts w:hint="eastAsia" w:ascii="仿宋_GB2312" w:hAnsi="仿宋_GB2312" w:eastAsia="仿宋_GB2312" w:cs="仿宋_GB2312"/>
          <w:sz w:val="32"/>
          <w:szCs w:val="32"/>
        </w:rPr>
        <w:t>根据预算绩效管理要求，我单位在年初进行了预算编制，单位进一步提高预算绩效管理认识，强化以“绩效为中心、对支出结果负责、对社会公众负责”的理念，在绩效目标编制方面，针对绩效目标设置指向不清、预算和目标匹配不足，数量目标和质量目标量化不细，效益目标编制不完整等方面加以了改善。加强相关专业技术人员的业务培训，进一步提高预算绩效评价质量。</w:t>
      </w:r>
    </w:p>
    <w:p>
      <w:pPr>
        <w:spacing w:line="560" w:lineRule="exact"/>
        <w:ind w:firstLine="480" w:firstLineChars="150"/>
        <w:rPr>
          <w:rFonts w:ascii="仿宋_GB2312" w:hAnsi="仿宋_GB2312" w:eastAsia="仿宋_GB2312" w:cs="仿宋_GB2312"/>
          <w:sz w:val="32"/>
          <w:szCs w:val="32"/>
        </w:rPr>
      </w:pPr>
      <w:r>
        <w:rPr>
          <w:rFonts w:hint="eastAsia" w:ascii="仿宋_GB2312" w:hAnsi="仿宋_GB2312" w:eastAsia="仿宋_GB2312" w:cs="仿宋_GB2312"/>
          <w:sz w:val="32"/>
          <w:szCs w:val="32"/>
        </w:rPr>
        <w:t>对</w:t>
      </w:r>
      <w:r>
        <w:rPr>
          <w:rFonts w:hint="eastAsia" w:ascii="仿宋_GB2312" w:hAnsi="仿宋_GB2312" w:eastAsia="仿宋_GB2312" w:cs="仿宋_GB2312"/>
          <w:sz w:val="32"/>
          <w:szCs w:val="32"/>
          <w:lang w:eastAsia="zh-CN"/>
        </w:rPr>
        <w:t>2025</w:t>
      </w:r>
      <w:r>
        <w:rPr>
          <w:rFonts w:hint="eastAsia" w:ascii="仿宋_GB2312" w:hAnsi="仿宋_GB2312" w:eastAsia="仿宋_GB2312" w:cs="仿宋_GB2312"/>
          <w:sz w:val="32"/>
          <w:szCs w:val="32"/>
        </w:rPr>
        <w:t>年整体支出开展绩效自评，从评价情况来看，各项工作按要求逐步完成，相关管理制度健全，预算执行及活动开展及时有效，但依然存在不少问题：查漏补缺，对需要改进的地方积极反思，创新工作方式方法，不断完善。</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我单位无专项预算项目，因此未组织开展项目支出绩效评价。</w:t>
      </w:r>
    </w:p>
    <w:p>
      <w:pPr>
        <w:numPr>
          <w:ilvl w:val="0"/>
          <w:numId w:val="0"/>
        </w:numPr>
        <w:spacing w:line="600" w:lineRule="exact"/>
        <w:jc w:val="center"/>
        <w:outlineLvl w:val="0"/>
        <w:rPr>
          <w:rFonts w:hint="eastAsia" w:ascii="Times New Roman" w:hAnsi="Times New Roman" w:eastAsia="黑体"/>
          <w:color w:val="auto"/>
          <w:sz w:val="44"/>
          <w:szCs w:val="44"/>
          <w:highlight w:val="none"/>
        </w:rPr>
      </w:pPr>
      <w:bookmarkStart w:id="66" w:name="_Toc15377225"/>
      <w:bookmarkStart w:id="67" w:name="_Toc15396613"/>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66"/>
      <w:bookmarkEnd w:id="67"/>
    </w:p>
    <w:p>
      <w:pPr>
        <w:spacing w:line="600" w:lineRule="exact"/>
        <w:jc w:val="left"/>
        <w:rPr>
          <w:rFonts w:ascii="Times New Roman" w:hAnsi="Times New Roman"/>
          <w:b/>
          <w:color w:val="auto"/>
          <w:sz w:val="44"/>
          <w:szCs w:val="44"/>
          <w:highlight w:val="none"/>
        </w:rPr>
      </w:pPr>
    </w:p>
    <w:p>
      <w:pPr>
        <w:pStyle w:val="26"/>
        <w:spacing w:line="560" w:lineRule="exact"/>
        <w:ind w:firstLine="640" w:firstLineChars="200"/>
        <w:rPr>
          <w:rFonts w:ascii="仿宋_GB2312" w:eastAsia="仿宋_GB2312"/>
          <w:sz w:val="32"/>
          <w:szCs w:val="32"/>
        </w:rPr>
      </w:pPr>
      <w:bookmarkStart w:id="68" w:name="_Toc15396614"/>
      <w:bookmarkStart w:id="69" w:name="_Toc15377226"/>
      <w:r>
        <w:rPr>
          <w:rFonts w:ascii="仿宋_GB2312" w:eastAsia="仿宋_GB2312"/>
          <w:sz w:val="32"/>
          <w:szCs w:val="32"/>
        </w:rPr>
        <w:t>1.</w:t>
      </w:r>
      <w:r>
        <w:rPr>
          <w:rFonts w:hint="eastAsia" w:ascii="仿宋_GB2312" w:eastAsia="仿宋_GB2312"/>
          <w:sz w:val="32"/>
          <w:szCs w:val="32"/>
        </w:rPr>
        <w:t>财政拨款收入：指单位从同级财政部门取得的财政预算资金。</w:t>
      </w:r>
    </w:p>
    <w:p>
      <w:pPr>
        <w:pStyle w:val="26"/>
        <w:spacing w:line="560" w:lineRule="exact"/>
        <w:ind w:firstLine="640" w:firstLineChars="200"/>
        <w:rPr>
          <w:rFonts w:ascii="仿宋_GB2312" w:eastAsia="仿宋_GB2312"/>
          <w:sz w:val="32"/>
          <w:szCs w:val="32"/>
        </w:rPr>
      </w:pPr>
      <w:r>
        <w:rPr>
          <w:rFonts w:ascii="仿宋_GB2312" w:eastAsia="仿宋_GB2312"/>
          <w:sz w:val="32"/>
          <w:szCs w:val="32"/>
        </w:rPr>
        <w:t>2.</w:t>
      </w:r>
      <w:r>
        <w:rPr>
          <w:rFonts w:hint="eastAsia" w:ascii="仿宋_GB2312" w:eastAsia="仿宋_GB2312"/>
          <w:sz w:val="32"/>
          <w:szCs w:val="32"/>
        </w:rPr>
        <w:t>事业收入：指事业单位开展专业业务活动及辅助活动取得的收入。</w:t>
      </w:r>
    </w:p>
    <w:p>
      <w:pPr>
        <w:pStyle w:val="26"/>
        <w:spacing w:line="560" w:lineRule="exact"/>
        <w:ind w:firstLine="640" w:firstLineChars="200"/>
        <w:rPr>
          <w:rFonts w:ascii="仿宋_GB2312" w:eastAsia="仿宋_GB2312"/>
          <w:sz w:val="32"/>
          <w:szCs w:val="32"/>
        </w:rPr>
      </w:pPr>
      <w:r>
        <w:rPr>
          <w:rFonts w:ascii="仿宋_GB2312" w:eastAsia="仿宋_GB2312"/>
          <w:sz w:val="32"/>
          <w:szCs w:val="32"/>
        </w:rPr>
        <w:t>3.</w:t>
      </w:r>
      <w:r>
        <w:rPr>
          <w:rFonts w:hint="eastAsia" w:ascii="仿宋_GB2312" w:eastAsia="仿宋_GB2312"/>
          <w:sz w:val="32"/>
          <w:szCs w:val="32"/>
        </w:rPr>
        <w:t>经营收入：指事业单位在专业业务活动及其辅助活动之外开展非独立核算经营活动取得的收入。</w:t>
      </w:r>
    </w:p>
    <w:p>
      <w:pPr>
        <w:pStyle w:val="26"/>
        <w:spacing w:line="560" w:lineRule="exact"/>
        <w:ind w:firstLine="640" w:firstLineChars="200"/>
        <w:rPr>
          <w:rFonts w:ascii="仿宋_GB2312" w:eastAsia="仿宋_GB2312"/>
          <w:sz w:val="32"/>
          <w:szCs w:val="32"/>
        </w:rPr>
      </w:pPr>
      <w:r>
        <w:rPr>
          <w:rFonts w:ascii="仿宋_GB2312" w:eastAsia="仿宋_GB2312"/>
          <w:sz w:val="32"/>
          <w:szCs w:val="32"/>
        </w:rPr>
        <w:t>4.</w:t>
      </w:r>
      <w:r>
        <w:rPr>
          <w:rFonts w:hint="eastAsia" w:ascii="仿宋_GB2312" w:eastAsia="仿宋_GB2312"/>
          <w:sz w:val="32"/>
          <w:szCs w:val="32"/>
        </w:rPr>
        <w:t>其他收入：指单位取得的除上述收入以外的各项收入。主要是利息及捐赠收入等。</w:t>
      </w:r>
      <w:r>
        <w:rPr>
          <w:rFonts w:ascii="仿宋_GB2312" w:eastAsia="仿宋_GB2312"/>
          <w:sz w:val="32"/>
          <w:szCs w:val="32"/>
        </w:rPr>
        <w:t xml:space="preserve"> </w:t>
      </w:r>
    </w:p>
    <w:p>
      <w:pPr>
        <w:pStyle w:val="26"/>
        <w:spacing w:line="560" w:lineRule="exact"/>
        <w:ind w:firstLine="640" w:firstLineChars="200"/>
        <w:rPr>
          <w:rFonts w:ascii="仿宋_GB2312" w:eastAsia="仿宋_GB2312"/>
          <w:sz w:val="32"/>
          <w:szCs w:val="32"/>
        </w:rPr>
      </w:pPr>
      <w:r>
        <w:rPr>
          <w:rFonts w:ascii="仿宋_GB2312" w:eastAsia="仿宋_GB2312"/>
          <w:sz w:val="32"/>
          <w:szCs w:val="32"/>
        </w:rPr>
        <w:t>5.</w:t>
      </w:r>
      <w:r>
        <w:rPr>
          <w:rFonts w:hint="eastAsia" w:ascii="仿宋_GB2312" w:eastAsia="仿宋_GB2312"/>
          <w:sz w:val="32"/>
          <w:szCs w:val="32"/>
        </w:rPr>
        <w:t>使用非财政拨款结余：指事业单位使用以前年度积累的非财政拨款结余弥补当年收支差额的金额。</w:t>
      </w:r>
      <w:r>
        <w:rPr>
          <w:rFonts w:ascii="仿宋_GB2312" w:eastAsia="仿宋_GB2312"/>
          <w:sz w:val="32"/>
          <w:szCs w:val="32"/>
        </w:rPr>
        <w:t xml:space="preserve"> </w:t>
      </w:r>
    </w:p>
    <w:p>
      <w:pPr>
        <w:pStyle w:val="26"/>
        <w:spacing w:line="560" w:lineRule="exact"/>
        <w:ind w:firstLine="640" w:firstLineChars="200"/>
        <w:rPr>
          <w:rFonts w:ascii="仿宋_GB2312" w:eastAsia="仿宋_GB2312"/>
          <w:sz w:val="32"/>
          <w:szCs w:val="32"/>
        </w:rPr>
      </w:pPr>
      <w:r>
        <w:rPr>
          <w:rFonts w:ascii="仿宋_GB2312" w:eastAsia="仿宋_GB2312"/>
          <w:sz w:val="32"/>
          <w:szCs w:val="32"/>
        </w:rPr>
        <w:t>6.</w:t>
      </w:r>
      <w:r>
        <w:rPr>
          <w:rFonts w:hint="eastAsia" w:ascii="仿宋_GB2312" w:eastAsia="仿宋_GB2312"/>
          <w:sz w:val="32"/>
          <w:szCs w:val="32"/>
        </w:rPr>
        <w:t>年初结转和结余：指以前年度尚未完成、结转到本年按有关规定继续使用的资金。</w:t>
      </w:r>
      <w:r>
        <w:rPr>
          <w:rFonts w:ascii="仿宋_GB2312" w:eastAsia="仿宋_GB2312"/>
          <w:sz w:val="32"/>
          <w:szCs w:val="32"/>
        </w:rPr>
        <w:t xml:space="preserve"> </w:t>
      </w:r>
    </w:p>
    <w:p>
      <w:pPr>
        <w:pStyle w:val="26"/>
        <w:spacing w:line="560" w:lineRule="exact"/>
        <w:ind w:firstLine="640" w:firstLineChars="200"/>
        <w:rPr>
          <w:rFonts w:ascii="仿宋_GB2312" w:eastAsia="仿宋_GB2312"/>
          <w:sz w:val="32"/>
          <w:szCs w:val="32"/>
        </w:rPr>
      </w:pPr>
      <w:r>
        <w:rPr>
          <w:rFonts w:ascii="仿宋_GB2312" w:eastAsia="仿宋_GB2312"/>
          <w:sz w:val="32"/>
          <w:szCs w:val="32"/>
        </w:rPr>
        <w:t>7.</w:t>
      </w:r>
      <w:r>
        <w:rPr>
          <w:rFonts w:hint="eastAsia" w:ascii="仿宋_GB2312" w:eastAsia="仿宋_GB2312"/>
          <w:sz w:val="32"/>
          <w:szCs w:val="32"/>
        </w:rPr>
        <w:t>结余分配：指事业单位按照会计制度规定缴纳的所得税、提取的专用结余以及转入非财政拨款结余的金额等。</w:t>
      </w:r>
    </w:p>
    <w:p>
      <w:pPr>
        <w:pStyle w:val="26"/>
        <w:spacing w:line="560" w:lineRule="exact"/>
        <w:ind w:firstLine="640" w:firstLineChars="200"/>
        <w:rPr>
          <w:rFonts w:ascii="仿宋_GB2312" w:eastAsia="仿宋_GB2312"/>
          <w:sz w:val="32"/>
          <w:szCs w:val="32"/>
        </w:rPr>
      </w:pPr>
      <w:r>
        <w:rPr>
          <w:rFonts w:ascii="仿宋_GB2312" w:eastAsia="仿宋_GB2312"/>
          <w:sz w:val="32"/>
          <w:szCs w:val="32"/>
        </w:rPr>
        <w:t>8</w:t>
      </w:r>
      <w:r>
        <w:rPr>
          <w:rFonts w:hint="eastAsia" w:ascii="仿宋_GB2312" w:eastAsia="仿宋_GB2312"/>
          <w:sz w:val="32"/>
          <w:szCs w:val="32"/>
        </w:rPr>
        <w:t>、年末结转和结余：指单位按有关规定结转到下年或以后年度继续使用的资金。</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9</w:t>
      </w:r>
      <w:r>
        <w:rPr>
          <w:rFonts w:ascii="仿宋_GB2312" w:eastAsia="仿宋_GB2312"/>
          <w:color w:val="000000"/>
          <w:sz w:val="32"/>
          <w:szCs w:val="32"/>
        </w:rPr>
        <w:t>.</w:t>
      </w:r>
      <w:r>
        <w:rPr>
          <w:rFonts w:hint="eastAsia" w:ascii="仿宋_GB2312" w:eastAsia="仿宋_GB2312"/>
          <w:color w:val="000000"/>
          <w:sz w:val="32"/>
          <w:szCs w:val="32"/>
        </w:rPr>
        <w:t>教育2050202：指小学教育；2050299：指其他普通教育</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10</w:t>
      </w:r>
      <w:r>
        <w:rPr>
          <w:rFonts w:ascii="仿宋_GB2312" w:eastAsia="仿宋_GB2312"/>
          <w:color w:val="000000"/>
          <w:sz w:val="32"/>
          <w:szCs w:val="32"/>
        </w:rPr>
        <w:t>.</w:t>
      </w:r>
      <w:r>
        <w:rPr>
          <w:rFonts w:hint="eastAsia" w:ascii="仿宋_GB2312" w:eastAsia="仿宋_GB2312"/>
          <w:color w:val="000000"/>
          <w:sz w:val="32"/>
          <w:szCs w:val="32"/>
        </w:rPr>
        <w:t>社会保障和就业社会保障和就业2080505：指机关事业单位基本养老保险；2080506：指机关事业单位职业年金。</w:t>
      </w:r>
    </w:p>
    <w:p>
      <w:pPr>
        <w:ind w:firstLine="640" w:firstLineChars="200"/>
        <w:rPr>
          <w:rFonts w:ascii="仿宋_GB2312" w:eastAsia="仿宋_GB2312"/>
          <w:color w:val="000000"/>
          <w:sz w:val="32"/>
          <w:szCs w:val="32"/>
        </w:rPr>
      </w:pPr>
      <w:r>
        <w:rPr>
          <w:rFonts w:ascii="仿宋_GB2312" w:eastAsia="仿宋_GB2312"/>
          <w:color w:val="000000"/>
          <w:sz w:val="32"/>
          <w:szCs w:val="32"/>
        </w:rPr>
        <w:t>1</w:t>
      </w:r>
      <w:r>
        <w:rPr>
          <w:rFonts w:hint="eastAsia" w:ascii="仿宋_GB2312" w:eastAsia="仿宋_GB2312"/>
          <w:color w:val="000000"/>
          <w:sz w:val="32"/>
          <w:szCs w:val="32"/>
        </w:rPr>
        <w:t>1</w:t>
      </w:r>
      <w:r>
        <w:rPr>
          <w:rFonts w:ascii="仿宋_GB2312" w:eastAsia="仿宋_GB2312"/>
          <w:color w:val="000000"/>
          <w:sz w:val="32"/>
          <w:szCs w:val="32"/>
        </w:rPr>
        <w:t>.</w:t>
      </w:r>
      <w:r>
        <w:rPr>
          <w:rFonts w:hint="eastAsia" w:ascii="仿宋_GB2312" w:eastAsia="仿宋_GB2312"/>
          <w:color w:val="000000"/>
          <w:sz w:val="32"/>
          <w:szCs w:val="32"/>
        </w:rPr>
        <w:t>医疗卫生与计划生育2101102：指事业单位医疗；2101199：指其他行政事业单位医疗；</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12</w:t>
      </w:r>
      <w:r>
        <w:rPr>
          <w:rFonts w:ascii="仿宋_GB2312" w:eastAsia="仿宋_GB2312"/>
          <w:color w:val="000000"/>
          <w:sz w:val="32"/>
          <w:szCs w:val="32"/>
        </w:rPr>
        <w:t>.</w:t>
      </w:r>
      <w:r>
        <w:rPr>
          <w:rFonts w:hint="eastAsia" w:ascii="仿宋_GB2312" w:eastAsia="仿宋_GB2312"/>
          <w:color w:val="000000"/>
          <w:sz w:val="32"/>
          <w:szCs w:val="32"/>
        </w:rPr>
        <w:t>住房保障支出2210201：指住房公积金。</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13</w:t>
      </w:r>
      <w:r>
        <w:rPr>
          <w:rFonts w:ascii="仿宋_GB2312" w:eastAsia="仿宋_GB2312"/>
          <w:color w:val="000000"/>
          <w:sz w:val="32"/>
          <w:szCs w:val="32"/>
        </w:rPr>
        <w:t>.</w:t>
      </w:r>
      <w:r>
        <w:rPr>
          <w:rFonts w:hint="eastAsia" w:ascii="仿宋_GB2312" w:eastAsia="仿宋_GB2312"/>
          <w:color w:val="000000"/>
          <w:sz w:val="32"/>
          <w:szCs w:val="32"/>
        </w:rPr>
        <w:t>基本支出：指为保障机构正常运转、完成日常工作任务而发生的人员支出和公用支出。</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14</w:t>
      </w:r>
      <w:r>
        <w:rPr>
          <w:rFonts w:ascii="仿宋_GB2312" w:eastAsia="仿宋_GB2312"/>
          <w:color w:val="000000"/>
          <w:sz w:val="32"/>
          <w:szCs w:val="32"/>
        </w:rPr>
        <w:t>.</w:t>
      </w:r>
      <w:r>
        <w:rPr>
          <w:rFonts w:hint="eastAsia" w:ascii="仿宋_GB2312" w:eastAsia="仿宋_GB2312"/>
          <w:color w:val="000000"/>
          <w:sz w:val="32"/>
          <w:szCs w:val="32"/>
        </w:rPr>
        <w:t>项目支出：指在基本支出之外为完成特定行政任务和事业发展目标所发生的支出。</w:t>
      </w:r>
      <w:r>
        <w:rPr>
          <w:rFonts w:ascii="仿宋_GB2312" w:eastAsia="仿宋_GB2312"/>
          <w:color w:val="000000"/>
          <w:sz w:val="32"/>
          <w:szCs w:val="32"/>
        </w:rPr>
        <w:t xml:space="preserve"> </w:t>
      </w:r>
    </w:p>
    <w:p>
      <w:pPr>
        <w:pStyle w:val="26"/>
        <w:spacing w:line="560" w:lineRule="exact"/>
        <w:ind w:firstLine="640" w:firstLineChars="200"/>
        <w:rPr>
          <w:rFonts w:ascii="仿宋_GB2312" w:eastAsia="仿宋_GB2312"/>
          <w:sz w:val="32"/>
          <w:szCs w:val="32"/>
        </w:rPr>
      </w:pPr>
      <w:r>
        <w:rPr>
          <w:rFonts w:hint="eastAsia" w:ascii="仿宋_GB2312" w:eastAsia="仿宋_GB2312"/>
          <w:sz w:val="32"/>
          <w:szCs w:val="32"/>
        </w:rPr>
        <w:t>15</w:t>
      </w:r>
      <w:r>
        <w:rPr>
          <w:rFonts w:ascii="仿宋_GB2312" w:eastAsia="仿宋_GB2312"/>
          <w:sz w:val="32"/>
          <w:szCs w:val="32"/>
        </w:rPr>
        <w:t>.</w:t>
      </w:r>
      <w:r>
        <w:rPr>
          <w:rFonts w:hint="eastAsia" w:ascii="仿宋_GB2312" w:eastAsia="仿宋_GB2312"/>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26"/>
        <w:spacing w:line="560" w:lineRule="exact"/>
        <w:ind w:firstLine="640" w:firstLineChars="200"/>
        <w:rPr>
          <w:rFonts w:ascii="仿宋_GB2312" w:eastAsia="仿宋_GB2312"/>
          <w:sz w:val="32"/>
          <w:szCs w:val="32"/>
        </w:rPr>
      </w:pPr>
      <w:r>
        <w:rPr>
          <w:rFonts w:hint="eastAsia" w:ascii="仿宋_GB2312" w:eastAsia="仿宋_GB2312"/>
          <w:sz w:val="32"/>
          <w:szCs w:val="32"/>
        </w:rPr>
        <w:t>16</w:t>
      </w:r>
      <w:r>
        <w:rPr>
          <w:rFonts w:ascii="仿宋_GB2312" w:eastAsia="仿宋_GB2312"/>
          <w:sz w:val="32"/>
          <w:szCs w:val="32"/>
        </w:rPr>
        <w:t>.</w:t>
      </w:r>
      <w:r>
        <w:rPr>
          <w:rFonts w:hint="eastAsia" w:ascii="仿宋_GB2312" w:eastAsia="仿宋_GB2312"/>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bookmarkEnd w:id="68"/>
    <w:p>
      <w:pPr>
        <w:spacing w:line="600" w:lineRule="exact"/>
        <w:jc w:val="center"/>
        <w:outlineLvl w:val="0"/>
        <w:rPr>
          <w:rStyle w:val="28"/>
          <w:rFonts w:ascii="黑体" w:hAnsi="黑体" w:eastAsia="黑体"/>
          <w:b w:val="0"/>
        </w:rPr>
      </w:pPr>
      <w:bookmarkStart w:id="70" w:name="_Toc32398_WPSOffice_Level1"/>
      <w:bookmarkStart w:id="71" w:name="_Toc15196_WPSOffice_Level1"/>
      <w:bookmarkStart w:id="72" w:name="_Toc15396618"/>
      <w:r>
        <w:rPr>
          <w:rFonts w:hint="eastAsia" w:ascii="黑体" w:hAnsi="黑体" w:eastAsia="黑体"/>
          <w:color w:val="000000"/>
          <w:sz w:val="44"/>
          <w:szCs w:val="44"/>
        </w:rPr>
        <w:t>第</w:t>
      </w:r>
      <w:r>
        <w:rPr>
          <w:rStyle w:val="28"/>
          <w:rFonts w:hint="eastAsia" w:ascii="黑体" w:hAnsi="黑体" w:eastAsia="黑体"/>
          <w:b w:val="0"/>
        </w:rPr>
        <w:t>四部分</w:t>
      </w:r>
      <w:r>
        <w:rPr>
          <w:rStyle w:val="28"/>
          <w:rFonts w:ascii="黑体" w:hAnsi="黑体" w:eastAsia="黑体"/>
          <w:b w:val="0"/>
        </w:rPr>
        <w:t xml:space="preserve"> </w:t>
      </w:r>
      <w:r>
        <w:rPr>
          <w:rStyle w:val="28"/>
          <w:rFonts w:hint="eastAsia" w:ascii="黑体" w:hAnsi="黑体" w:eastAsia="黑体"/>
          <w:b w:val="0"/>
        </w:rPr>
        <w:t>附件</w:t>
      </w:r>
      <w:bookmarkEnd w:id="70"/>
      <w:bookmarkEnd w:id="71"/>
    </w:p>
    <w:p>
      <w:pPr>
        <w:spacing w:line="600" w:lineRule="exact"/>
        <w:jc w:val="left"/>
        <w:outlineLvl w:val="0"/>
        <w:rPr>
          <w:rFonts w:ascii="方正小标宋简体" w:hAnsi="方正小标宋简体" w:eastAsia="方正小标宋简体" w:cs="方正小标宋简体"/>
          <w:sz w:val="32"/>
          <w:szCs w:val="32"/>
        </w:rPr>
      </w:pPr>
      <w:bookmarkStart w:id="73" w:name="_Toc79163881"/>
      <w:bookmarkStart w:id="74" w:name="_Toc79163631"/>
      <w:r>
        <w:rPr>
          <w:rFonts w:hint="eastAsia" w:ascii="黑体" w:hAnsi="黑体" w:eastAsia="黑体" w:cs="黑体"/>
          <w:sz w:val="32"/>
          <w:szCs w:val="32"/>
        </w:rPr>
        <w:t>附件</w:t>
      </w:r>
      <w:r>
        <w:rPr>
          <w:rFonts w:ascii="黑体" w:hAnsi="黑体" w:eastAsia="黑体" w:cs="黑体"/>
          <w:sz w:val="32"/>
          <w:szCs w:val="32"/>
        </w:rPr>
        <w:t>1</w:t>
      </w:r>
      <w:bookmarkEnd w:id="73"/>
      <w:bookmarkEnd w:id="74"/>
    </w:p>
    <w:p>
      <w:pPr>
        <w:spacing w:line="600" w:lineRule="exact"/>
        <w:jc w:val="center"/>
        <w:outlineLvl w:val="0"/>
        <w:rPr>
          <w:rFonts w:ascii="方正小标宋简体" w:hAnsi="黑体" w:eastAsia="方正小标宋简体" w:cs="黑体"/>
          <w:sz w:val="44"/>
          <w:szCs w:val="44"/>
        </w:rPr>
      </w:pPr>
      <w:bookmarkStart w:id="75" w:name="_Toc79163632"/>
      <w:bookmarkStart w:id="76" w:name="_Toc79163882"/>
    </w:p>
    <w:p>
      <w:pPr>
        <w:spacing w:line="600" w:lineRule="exact"/>
        <w:jc w:val="center"/>
        <w:outlineLvl w:val="0"/>
        <w:rPr>
          <w:rFonts w:hint="eastAsia" w:ascii="方正小标宋简体" w:hAnsi="黑体" w:eastAsia="方正小标宋简体" w:cs="黑体"/>
          <w:sz w:val="44"/>
          <w:szCs w:val="44"/>
          <w:lang w:val="en-US" w:eastAsia="zh-CN"/>
        </w:rPr>
      </w:pPr>
      <w:bookmarkStart w:id="77" w:name="_Toc4504_WPSOffice_Level2"/>
      <w:bookmarkStart w:id="78" w:name="_Toc25251_WPSOffice_Level2"/>
      <w:r>
        <w:rPr>
          <w:rFonts w:hint="eastAsia" w:ascii="方正小标宋简体" w:hAnsi="黑体" w:eastAsia="方正小标宋简体" w:cs="黑体"/>
          <w:sz w:val="44"/>
          <w:szCs w:val="44"/>
          <w:lang w:val="en-US" w:eastAsia="zh-CN"/>
        </w:rPr>
        <w:t>红原县麦洼乡小学</w:t>
      </w:r>
    </w:p>
    <w:p>
      <w:pPr>
        <w:spacing w:line="600" w:lineRule="exact"/>
        <w:jc w:val="center"/>
        <w:outlineLvl w:val="0"/>
        <w:rPr>
          <w:rFonts w:ascii="方正小标宋简体" w:hAnsi="黑体" w:eastAsia="方正小标宋简体" w:cs="黑体"/>
          <w:sz w:val="44"/>
          <w:szCs w:val="44"/>
        </w:rPr>
      </w:pPr>
      <w:r>
        <w:rPr>
          <w:rFonts w:hint="eastAsia" w:ascii="方正小标宋简体" w:hAnsi="黑体" w:eastAsia="方正小标宋简体" w:cs="黑体"/>
          <w:sz w:val="44"/>
          <w:szCs w:val="44"/>
          <w:lang w:eastAsia="zh-CN"/>
        </w:rPr>
        <w:t>2024</w:t>
      </w:r>
      <w:r>
        <w:rPr>
          <w:rFonts w:hint="eastAsia" w:ascii="方正小标宋简体" w:hAnsi="黑体" w:eastAsia="方正小标宋简体" w:cs="黑体"/>
          <w:sz w:val="44"/>
          <w:szCs w:val="44"/>
        </w:rPr>
        <w:t>年</w:t>
      </w:r>
      <w:bookmarkEnd w:id="77"/>
      <w:bookmarkEnd w:id="78"/>
      <w:bookmarkStart w:id="79" w:name="_Toc10187_WPSOffice_Level2"/>
      <w:bookmarkStart w:id="80" w:name="_Toc29178_WPSOffice_Level2"/>
      <w:r>
        <w:rPr>
          <w:rFonts w:hint="eastAsia" w:ascii="方正小标宋简体" w:hAnsi="黑体" w:eastAsia="方正小标宋简体" w:cs="黑体"/>
          <w:sz w:val="44"/>
          <w:szCs w:val="44"/>
        </w:rPr>
        <w:t>部门整体支出绩效评价报告</w:t>
      </w:r>
      <w:bookmarkEnd w:id="75"/>
      <w:bookmarkEnd w:id="76"/>
      <w:bookmarkEnd w:id="79"/>
      <w:bookmarkEnd w:id="80"/>
    </w:p>
    <w:p>
      <w:pPr>
        <w:widowControl/>
        <w:numPr>
          <w:ilvl w:val="0"/>
          <w:numId w:val="1"/>
        </w:numPr>
        <w:adjustRightInd w:val="0"/>
        <w:snapToGrid w:val="0"/>
        <w:spacing w:line="580" w:lineRule="exact"/>
        <w:ind w:firstLine="320" w:firstLineChars="100"/>
        <w:contextualSpacing/>
        <w:jc w:val="left"/>
        <w:rPr>
          <w:rFonts w:ascii="黑体" w:hAnsi="宋体" w:eastAsia="黑体" w:cs="宋体"/>
          <w:color w:val="000000"/>
          <w:kern w:val="0"/>
          <w:sz w:val="32"/>
          <w:szCs w:val="32"/>
          <w:shd w:val="clear" w:color="auto" w:fill="FFFFFF"/>
          <w:lang w:val="zh-CN"/>
        </w:rPr>
      </w:pPr>
      <w:bookmarkStart w:id="81" w:name="_Toc12251_WPSOffice_Level2"/>
      <w:bookmarkStart w:id="82" w:name="_Toc17495_WPSOffice_Level2"/>
      <w:r>
        <w:rPr>
          <w:rFonts w:hint="eastAsia" w:ascii="黑体" w:hAnsi="宋体" w:eastAsia="黑体" w:cs="宋体"/>
          <w:color w:val="000000"/>
          <w:kern w:val="0"/>
          <w:sz w:val="32"/>
          <w:szCs w:val="32"/>
          <w:shd w:val="clear" w:color="auto" w:fill="FFFFFF"/>
          <w:lang w:val="zh-CN"/>
        </w:rPr>
        <w:t>单位概况</w:t>
      </w:r>
      <w:bookmarkEnd w:id="81"/>
      <w:bookmarkEnd w:id="82"/>
    </w:p>
    <w:p>
      <w:pPr>
        <w:widowControl/>
        <w:adjustRightInd w:val="0"/>
        <w:snapToGrid w:val="0"/>
        <w:spacing w:line="580" w:lineRule="exact"/>
        <w:ind w:firstLine="640" w:firstLineChars="200"/>
        <w:contextualSpacing/>
        <w:jc w:val="left"/>
        <w:rPr>
          <w:rFonts w:ascii="仿宋_GB2312" w:hAnsi="宋体" w:eastAsia="仿宋_GB2312" w:cs="宋体"/>
          <w:color w:val="000000"/>
          <w:kern w:val="0"/>
          <w:sz w:val="32"/>
          <w:szCs w:val="32"/>
          <w:shd w:val="clear" w:color="auto" w:fill="FFFFFF"/>
          <w:lang w:val="zh-CN"/>
        </w:rPr>
      </w:pPr>
      <w:bookmarkStart w:id="83" w:name="_Toc7216_WPSOffice_Level3"/>
      <w:bookmarkStart w:id="84" w:name="_Toc25384_WPSOffice_Level3"/>
      <w:r>
        <w:rPr>
          <w:rFonts w:hint="eastAsia" w:ascii="仿宋_GB2312" w:hAnsi="宋体" w:eastAsia="仿宋_GB2312" w:cs="宋体"/>
          <w:color w:val="000000"/>
          <w:kern w:val="0"/>
          <w:sz w:val="32"/>
          <w:szCs w:val="32"/>
          <w:shd w:val="clear" w:color="auto" w:fill="FFFFFF"/>
          <w:lang w:val="zh-CN"/>
        </w:rPr>
        <w:t>（一）机构组成。</w:t>
      </w:r>
      <w:bookmarkEnd w:id="83"/>
      <w:bookmarkEnd w:id="84"/>
    </w:p>
    <w:p>
      <w:pPr>
        <w:widowControl/>
        <w:adjustRightInd w:val="0"/>
        <w:snapToGrid w:val="0"/>
        <w:spacing w:line="580" w:lineRule="exact"/>
        <w:ind w:firstLine="640" w:firstLineChars="200"/>
        <w:contextualSpacing/>
        <w:jc w:val="left"/>
        <w:rPr>
          <w:rFonts w:ascii="仿宋" w:hAnsi="仿宋" w:eastAsia="仿宋" w:cs="仿宋"/>
          <w:color w:val="000000"/>
          <w:kern w:val="0"/>
          <w:sz w:val="32"/>
          <w:szCs w:val="32"/>
          <w:shd w:val="clear" w:color="auto" w:fill="FFFFFF"/>
          <w:lang w:val="zh-CN"/>
        </w:rPr>
      </w:pPr>
      <w:r>
        <w:rPr>
          <w:rFonts w:hint="eastAsia" w:ascii="仿宋" w:hAnsi="仿宋" w:eastAsia="仿宋" w:cs="仿宋"/>
          <w:sz w:val="32"/>
          <w:szCs w:val="32"/>
        </w:rPr>
        <w:t>我校属红原县教育局下属的二级单位，为独立核算财政全额拨款事业单位，执行的是政府会计制度。</w:t>
      </w:r>
    </w:p>
    <w:p>
      <w:pPr>
        <w:widowControl/>
        <w:adjustRightInd w:val="0"/>
        <w:snapToGrid w:val="0"/>
        <w:spacing w:line="580" w:lineRule="exact"/>
        <w:ind w:firstLine="640" w:firstLineChars="200"/>
        <w:contextualSpacing/>
        <w:jc w:val="left"/>
        <w:rPr>
          <w:rFonts w:ascii="仿宋_GB2312" w:hAnsi="宋体" w:eastAsia="仿宋_GB2312" w:cs="宋体"/>
          <w:color w:val="000000"/>
          <w:kern w:val="0"/>
          <w:sz w:val="32"/>
          <w:szCs w:val="32"/>
          <w:shd w:val="clear" w:color="auto" w:fill="FFFFFF"/>
          <w:lang w:val="zh-CN"/>
        </w:rPr>
      </w:pPr>
      <w:bookmarkStart w:id="85" w:name="_Toc4504_WPSOffice_Level3"/>
      <w:bookmarkStart w:id="86" w:name="_Toc25251_WPSOffice_Level3"/>
      <w:r>
        <w:rPr>
          <w:rFonts w:hint="eastAsia" w:ascii="仿宋_GB2312" w:hAnsi="宋体" w:eastAsia="仿宋_GB2312" w:cs="宋体"/>
          <w:color w:val="000000"/>
          <w:kern w:val="0"/>
          <w:sz w:val="32"/>
          <w:szCs w:val="32"/>
          <w:shd w:val="clear" w:color="auto" w:fill="FFFFFF"/>
          <w:lang w:val="zh-CN"/>
        </w:rPr>
        <w:t>（二）机构职能。</w:t>
      </w:r>
      <w:bookmarkEnd w:id="85"/>
      <w:bookmarkEnd w:id="86"/>
    </w:p>
    <w:p>
      <w:pPr>
        <w:snapToGrid w:val="0"/>
        <w:spacing w:line="520" w:lineRule="exact"/>
        <w:ind w:firstLine="960" w:firstLineChars="300"/>
        <w:rPr>
          <w:rFonts w:ascii="仿宋" w:hAnsi="仿宋" w:eastAsia="仿宋" w:cs="仿宋"/>
          <w:bCs/>
          <w:color w:val="000000"/>
          <w:sz w:val="32"/>
          <w:szCs w:val="32"/>
        </w:rPr>
      </w:pPr>
      <w:r>
        <w:rPr>
          <w:rFonts w:hint="eastAsia" w:ascii="仿宋" w:hAnsi="仿宋" w:eastAsia="仿宋" w:cs="仿宋"/>
          <w:bCs/>
          <w:sz w:val="32"/>
          <w:szCs w:val="32"/>
        </w:rPr>
        <w:t>小学教育是履行小学教育工作的职责，具备爱岗敬业的精神，加强对学生的思想品德教育，培养德智体全面发展的儿童，必须具备良好的职业道德，掌握系统的专业知识和专业技能。关爱学生、尊重学生人格，坚持教书育人，服务育人，环境育人方针，做小学生健康成长的指导者和引路人。</w:t>
      </w:r>
    </w:p>
    <w:p>
      <w:pPr>
        <w:widowControl/>
        <w:tabs>
          <w:tab w:val="left" w:pos="951"/>
        </w:tabs>
        <w:adjustRightInd w:val="0"/>
        <w:snapToGrid w:val="0"/>
        <w:spacing w:line="480" w:lineRule="exact"/>
        <w:ind w:firstLine="640" w:firstLineChars="200"/>
        <w:jc w:val="left"/>
        <w:rPr>
          <w:rFonts w:ascii="仿宋_GB2312" w:hAnsi="宋体" w:eastAsia="仿宋_GB2312" w:cs="宋体"/>
          <w:color w:val="000000"/>
          <w:kern w:val="0"/>
          <w:sz w:val="32"/>
          <w:szCs w:val="32"/>
          <w:shd w:val="clear" w:color="auto" w:fill="FFFFFF"/>
          <w:lang w:val="zh-CN"/>
        </w:rPr>
      </w:pPr>
      <w:bookmarkStart w:id="87" w:name="_Toc10187_WPSOffice_Level3"/>
      <w:bookmarkStart w:id="88" w:name="_Toc29178_WPSOffice_Level3"/>
      <w:r>
        <w:rPr>
          <w:rFonts w:hint="eastAsia" w:ascii="仿宋_GB2312" w:hAnsi="宋体" w:eastAsia="仿宋_GB2312" w:cs="宋体"/>
          <w:color w:val="000000"/>
          <w:kern w:val="0"/>
          <w:sz w:val="32"/>
          <w:szCs w:val="32"/>
          <w:shd w:val="clear" w:color="auto" w:fill="FFFFFF"/>
          <w:lang w:val="zh-CN"/>
        </w:rPr>
        <w:t>（三）人员概况。</w:t>
      </w:r>
      <w:bookmarkEnd w:id="87"/>
      <w:bookmarkEnd w:id="88"/>
    </w:p>
    <w:p>
      <w:pPr>
        <w:widowControl/>
        <w:adjustRightInd w:val="0"/>
        <w:snapToGrid w:val="0"/>
        <w:spacing w:line="480" w:lineRule="exact"/>
        <w:ind w:firstLine="640" w:firstLineChars="200"/>
        <w:jc w:val="left"/>
        <w:rPr>
          <w:rFonts w:ascii="仿宋" w:hAnsi="仿宋" w:eastAsia="仿宋" w:cs="仿宋"/>
          <w:color w:val="000000"/>
          <w:kern w:val="0"/>
          <w:sz w:val="32"/>
          <w:szCs w:val="32"/>
          <w:lang w:val="zh-CN"/>
        </w:rPr>
      </w:pPr>
      <w:r>
        <w:rPr>
          <w:rFonts w:hint="eastAsia" w:ascii="仿宋" w:hAnsi="仿宋" w:eastAsia="仿宋" w:cs="仿宋"/>
          <w:sz w:val="32"/>
          <w:szCs w:val="32"/>
        </w:rPr>
        <w:t>截止</w:t>
      </w:r>
      <w:r>
        <w:rPr>
          <w:rFonts w:hint="eastAsia" w:ascii="仿宋" w:hAnsi="仿宋" w:eastAsia="仿宋" w:cs="仿宋"/>
          <w:sz w:val="32"/>
          <w:szCs w:val="32"/>
          <w:lang w:eastAsia="zh-CN"/>
        </w:rPr>
        <w:t>2025</w:t>
      </w:r>
      <w:r>
        <w:rPr>
          <w:rFonts w:hint="eastAsia" w:ascii="仿宋" w:hAnsi="仿宋" w:eastAsia="仿宋" w:cs="仿宋"/>
          <w:sz w:val="32"/>
          <w:szCs w:val="32"/>
        </w:rPr>
        <w:t>年底，我校共有编制6</w:t>
      </w:r>
      <w:r>
        <w:rPr>
          <w:rFonts w:hint="eastAsia" w:ascii="仿宋" w:hAnsi="仿宋" w:eastAsia="仿宋" w:cs="仿宋"/>
          <w:sz w:val="32"/>
          <w:szCs w:val="32"/>
          <w:lang w:val="en-US" w:eastAsia="zh-CN"/>
        </w:rPr>
        <w:t>2</w:t>
      </w:r>
      <w:r>
        <w:rPr>
          <w:rFonts w:hint="eastAsia" w:ascii="仿宋" w:hAnsi="仿宋" w:eastAsia="仿宋" w:cs="仿宋"/>
          <w:sz w:val="32"/>
          <w:szCs w:val="32"/>
        </w:rPr>
        <w:t>人，在职教师</w:t>
      </w:r>
      <w:r>
        <w:rPr>
          <w:rFonts w:hint="eastAsia" w:ascii="仿宋" w:hAnsi="仿宋" w:eastAsia="仿宋" w:cs="仿宋"/>
          <w:sz w:val="32"/>
          <w:szCs w:val="32"/>
          <w:lang w:val="en-US" w:eastAsia="zh-CN"/>
        </w:rPr>
        <w:t>61</w:t>
      </w:r>
      <w:r>
        <w:rPr>
          <w:rFonts w:hint="eastAsia" w:ascii="仿宋" w:hAnsi="仿宋" w:eastAsia="仿宋" w:cs="仿宋"/>
          <w:sz w:val="32"/>
          <w:szCs w:val="32"/>
        </w:rPr>
        <w:t>人，财政供养人员共计6</w:t>
      </w:r>
      <w:r>
        <w:rPr>
          <w:rFonts w:hint="eastAsia" w:ascii="仿宋" w:hAnsi="仿宋" w:eastAsia="仿宋" w:cs="仿宋"/>
          <w:sz w:val="32"/>
          <w:szCs w:val="32"/>
          <w:lang w:val="en-US" w:eastAsia="zh-CN"/>
        </w:rPr>
        <w:t>1</w:t>
      </w:r>
      <w:r>
        <w:rPr>
          <w:rFonts w:hint="eastAsia" w:ascii="仿宋" w:hAnsi="仿宋" w:eastAsia="仿宋" w:cs="仿宋"/>
          <w:sz w:val="32"/>
          <w:szCs w:val="32"/>
        </w:rPr>
        <w:t>人。</w:t>
      </w:r>
    </w:p>
    <w:p>
      <w:pPr>
        <w:widowControl/>
        <w:adjustRightInd w:val="0"/>
        <w:snapToGrid w:val="0"/>
        <w:spacing w:line="580" w:lineRule="exact"/>
        <w:ind w:firstLine="640" w:firstLineChars="200"/>
        <w:contextualSpacing/>
        <w:jc w:val="left"/>
        <w:rPr>
          <w:rFonts w:ascii="黑体" w:hAnsi="宋体" w:eastAsia="黑体" w:cs="宋体"/>
          <w:color w:val="000000"/>
          <w:kern w:val="0"/>
          <w:sz w:val="32"/>
          <w:szCs w:val="32"/>
          <w:shd w:val="clear" w:color="auto" w:fill="FFFFFF"/>
        </w:rPr>
      </w:pPr>
      <w:bookmarkStart w:id="89" w:name="_Toc4810_WPSOffice_Level2"/>
      <w:bookmarkStart w:id="90" w:name="_Toc27167_WPSOffice_Level2"/>
      <w:r>
        <w:rPr>
          <w:rFonts w:hint="eastAsia" w:ascii="黑体" w:hAnsi="宋体" w:eastAsia="黑体" w:cs="宋体"/>
          <w:color w:val="000000"/>
          <w:kern w:val="0"/>
          <w:sz w:val="32"/>
          <w:szCs w:val="32"/>
          <w:shd w:val="clear" w:color="auto" w:fill="FFFFFF"/>
        </w:rPr>
        <w:t>二、部门财政资金收支情况</w:t>
      </w:r>
      <w:bookmarkEnd w:id="89"/>
      <w:bookmarkEnd w:id="90"/>
    </w:p>
    <w:p>
      <w:pPr>
        <w:widowControl/>
        <w:adjustRightInd w:val="0"/>
        <w:snapToGrid w:val="0"/>
        <w:spacing w:line="580" w:lineRule="exact"/>
        <w:ind w:firstLine="640" w:firstLineChars="200"/>
        <w:contextualSpacing/>
        <w:jc w:val="left"/>
        <w:rPr>
          <w:rFonts w:ascii="仿宋_GB2312" w:hAnsi="宋体" w:eastAsia="仿宋_GB2312" w:cs="宋体"/>
          <w:color w:val="000000"/>
          <w:kern w:val="0"/>
          <w:sz w:val="32"/>
          <w:szCs w:val="32"/>
          <w:shd w:val="clear" w:color="auto" w:fill="FFFFFF"/>
          <w:lang w:val="zh-CN"/>
        </w:rPr>
      </w:pPr>
      <w:bookmarkStart w:id="91" w:name="_Toc12251_WPSOffice_Level3"/>
      <w:bookmarkStart w:id="92" w:name="_Toc17495_WPSOffice_Level3"/>
      <w:r>
        <w:rPr>
          <w:rFonts w:hint="eastAsia" w:ascii="仿宋_GB2312" w:hAnsi="宋体" w:eastAsia="仿宋_GB2312" w:cs="宋体"/>
          <w:color w:val="000000"/>
          <w:kern w:val="0"/>
          <w:sz w:val="32"/>
          <w:szCs w:val="32"/>
          <w:shd w:val="clear" w:color="auto" w:fill="FFFFFF"/>
          <w:lang w:val="zh-CN"/>
        </w:rPr>
        <w:t>（一）部门财政资金收入情况。</w:t>
      </w:r>
      <w:bookmarkEnd w:id="91"/>
      <w:bookmarkEnd w:id="92"/>
    </w:p>
    <w:p>
      <w:pPr>
        <w:spacing w:line="600" w:lineRule="exact"/>
        <w:ind w:firstLine="640" w:firstLineChars="200"/>
        <w:outlineLvl w:val="1"/>
        <w:rPr>
          <w:rFonts w:ascii="仿宋" w:hAnsi="仿宋" w:eastAsia="仿宋" w:cs="仿宋"/>
          <w:color w:val="000000"/>
          <w:sz w:val="32"/>
          <w:szCs w:val="32"/>
        </w:rPr>
      </w:pPr>
      <w:r>
        <w:rPr>
          <w:rFonts w:hint="eastAsia" w:ascii="仿宋" w:hAnsi="仿宋" w:eastAsia="仿宋" w:cs="仿宋"/>
          <w:color w:val="000000"/>
          <w:kern w:val="0"/>
          <w:sz w:val="32"/>
          <w:szCs w:val="32"/>
        </w:rPr>
        <w:t>收入：</w:t>
      </w:r>
      <w:r>
        <w:rPr>
          <w:rFonts w:hint="eastAsia" w:ascii="仿宋" w:hAnsi="仿宋" w:eastAsia="仿宋" w:cs="仿宋"/>
          <w:color w:val="000000"/>
          <w:sz w:val="32"/>
          <w:szCs w:val="32"/>
          <w:lang w:eastAsia="zh-CN"/>
        </w:rPr>
        <w:t>2025</w:t>
      </w:r>
      <w:r>
        <w:rPr>
          <w:rFonts w:hint="eastAsia" w:ascii="仿宋" w:hAnsi="仿宋" w:eastAsia="仿宋" w:cs="仿宋"/>
          <w:color w:val="000000"/>
          <w:sz w:val="32"/>
          <w:szCs w:val="32"/>
        </w:rPr>
        <w:t>年收入总计</w:t>
      </w:r>
      <w:r>
        <w:rPr>
          <w:rFonts w:hint="eastAsia" w:ascii="仿宋" w:hAnsi="仿宋" w:eastAsia="仿宋" w:cs="仿宋"/>
          <w:color w:val="000000"/>
          <w:sz w:val="32"/>
          <w:szCs w:val="32"/>
          <w:lang w:val="en-US" w:eastAsia="zh-CN"/>
        </w:rPr>
        <w:t>1904.95</w:t>
      </w:r>
      <w:r>
        <w:rPr>
          <w:rFonts w:hint="eastAsia" w:ascii="仿宋" w:hAnsi="仿宋" w:eastAsia="仿宋" w:cs="仿宋"/>
          <w:color w:val="000000"/>
          <w:sz w:val="32"/>
          <w:szCs w:val="32"/>
        </w:rPr>
        <w:t>万元，其中</w:t>
      </w:r>
      <w:r>
        <w:rPr>
          <w:rFonts w:hint="eastAsia" w:ascii="仿宋" w:hAnsi="仿宋" w:eastAsia="仿宋" w:cs="仿宋"/>
          <w:color w:val="000000"/>
          <w:sz w:val="32"/>
          <w:szCs w:val="32"/>
          <w:lang w:val="en-US" w:eastAsia="zh-CN"/>
        </w:rPr>
        <w:t>;</w:t>
      </w:r>
      <w:r>
        <w:rPr>
          <w:rFonts w:hint="eastAsia" w:ascii="仿宋" w:hAnsi="仿宋" w:eastAsia="仿宋" w:cs="仿宋"/>
          <w:color w:val="000000"/>
          <w:sz w:val="32"/>
          <w:szCs w:val="32"/>
        </w:rPr>
        <w:t>财政拨款收入</w:t>
      </w:r>
      <w:r>
        <w:rPr>
          <w:rFonts w:hint="eastAsia" w:ascii="仿宋" w:hAnsi="仿宋" w:eastAsia="仿宋" w:cs="仿宋"/>
          <w:color w:val="000000"/>
          <w:sz w:val="32"/>
          <w:szCs w:val="32"/>
          <w:lang w:val="en-US" w:eastAsia="zh-CN"/>
        </w:rPr>
        <w:t>1896.9</w:t>
      </w:r>
      <w:r>
        <w:rPr>
          <w:rFonts w:hint="eastAsia" w:ascii="仿宋" w:hAnsi="仿宋" w:eastAsia="仿宋" w:cs="仿宋"/>
          <w:color w:val="000000"/>
          <w:sz w:val="32"/>
          <w:szCs w:val="32"/>
        </w:rPr>
        <w:t>万元</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t>其他收入</w:t>
      </w:r>
      <w:r>
        <w:rPr>
          <w:rFonts w:hint="eastAsia" w:ascii="仿宋" w:hAnsi="仿宋" w:eastAsia="仿宋" w:cs="仿宋"/>
          <w:color w:val="000000"/>
          <w:sz w:val="32"/>
          <w:szCs w:val="32"/>
          <w:lang w:val="en-US" w:eastAsia="zh-CN"/>
        </w:rPr>
        <w:t>8.05</w:t>
      </w:r>
      <w:r>
        <w:rPr>
          <w:rFonts w:hint="eastAsia" w:ascii="仿宋" w:hAnsi="仿宋" w:eastAsia="仿宋" w:cs="仿宋"/>
          <w:color w:val="000000"/>
          <w:sz w:val="32"/>
          <w:szCs w:val="32"/>
        </w:rPr>
        <w:t>万元。</w:t>
      </w:r>
    </w:p>
    <w:p>
      <w:pPr>
        <w:widowControl/>
        <w:numPr>
          <w:ilvl w:val="0"/>
          <w:numId w:val="2"/>
        </w:numPr>
        <w:adjustRightInd w:val="0"/>
        <w:snapToGrid w:val="0"/>
        <w:spacing w:line="580" w:lineRule="exact"/>
        <w:ind w:firstLine="640" w:firstLineChars="200"/>
        <w:contextualSpacing/>
        <w:jc w:val="left"/>
        <w:rPr>
          <w:rFonts w:ascii="仿宋_GB2312" w:hAnsi="宋体" w:eastAsia="仿宋_GB2312" w:cs="宋体"/>
          <w:color w:val="000000"/>
          <w:kern w:val="0"/>
          <w:sz w:val="32"/>
          <w:szCs w:val="32"/>
          <w:shd w:val="clear" w:color="auto" w:fill="FFFFFF"/>
          <w:lang w:val="zh-CN"/>
        </w:rPr>
      </w:pPr>
      <w:bookmarkStart w:id="93" w:name="_Toc27167_WPSOffice_Level3"/>
      <w:bookmarkStart w:id="94" w:name="_Toc4810_WPSOffice_Level3"/>
      <w:r>
        <w:rPr>
          <w:rFonts w:hint="eastAsia" w:ascii="仿宋_GB2312" w:hAnsi="宋体" w:eastAsia="仿宋_GB2312" w:cs="宋体"/>
          <w:color w:val="000000"/>
          <w:kern w:val="0"/>
          <w:sz w:val="32"/>
          <w:szCs w:val="32"/>
          <w:shd w:val="clear" w:color="auto" w:fill="FFFFFF"/>
          <w:lang w:val="zh-CN"/>
        </w:rPr>
        <w:t>部门财政资金支出情况。</w:t>
      </w:r>
      <w:bookmarkEnd w:id="93"/>
      <w:bookmarkEnd w:id="94"/>
    </w:p>
    <w:p>
      <w:pPr>
        <w:widowControl/>
        <w:adjustRightInd w:val="0"/>
        <w:snapToGrid w:val="0"/>
        <w:spacing w:line="580" w:lineRule="exact"/>
        <w:ind w:firstLine="640" w:firstLineChars="200"/>
        <w:contextualSpacing/>
        <w:jc w:val="left"/>
        <w:rPr>
          <w:rFonts w:ascii="仿宋_GB2312" w:hAnsi="宋体" w:eastAsia="仿宋_GB2312" w:cs="宋体"/>
          <w:color w:val="000000"/>
          <w:kern w:val="0"/>
          <w:sz w:val="32"/>
          <w:szCs w:val="32"/>
          <w:shd w:val="clear" w:color="auto" w:fill="FFFFFF"/>
          <w:lang w:val="zh-CN"/>
        </w:rPr>
      </w:pPr>
      <w:r>
        <w:rPr>
          <w:rFonts w:hint="eastAsia" w:ascii="仿宋" w:hAnsi="仿宋" w:eastAsia="仿宋" w:cs="仿宋"/>
          <w:color w:val="000000"/>
          <w:kern w:val="0"/>
          <w:sz w:val="32"/>
          <w:szCs w:val="32"/>
        </w:rPr>
        <w:t>支出：</w:t>
      </w:r>
      <w:r>
        <w:rPr>
          <w:rFonts w:hint="eastAsia" w:ascii="仿宋" w:hAnsi="仿宋" w:eastAsia="仿宋" w:cs="仿宋"/>
          <w:color w:val="000000"/>
          <w:sz w:val="32"/>
          <w:szCs w:val="32"/>
          <w:lang w:eastAsia="zh-CN"/>
        </w:rPr>
        <w:t>2025</w:t>
      </w:r>
      <w:r>
        <w:rPr>
          <w:rFonts w:hint="eastAsia" w:ascii="仿宋" w:hAnsi="仿宋" w:eastAsia="仿宋" w:cs="仿宋"/>
          <w:color w:val="000000"/>
          <w:sz w:val="32"/>
          <w:szCs w:val="32"/>
        </w:rPr>
        <w:t>年财政拨款总计支出</w:t>
      </w:r>
      <w:r>
        <w:rPr>
          <w:rFonts w:hint="eastAsia" w:ascii="仿宋" w:hAnsi="仿宋" w:eastAsia="仿宋" w:cs="仿宋"/>
          <w:color w:val="000000"/>
          <w:sz w:val="32"/>
          <w:szCs w:val="32"/>
          <w:lang w:val="en-US" w:eastAsia="zh-CN"/>
        </w:rPr>
        <w:t>1904.95</w:t>
      </w:r>
      <w:r>
        <w:rPr>
          <w:rFonts w:hint="eastAsia" w:ascii="仿宋" w:hAnsi="仿宋" w:eastAsia="仿宋" w:cs="仿宋"/>
          <w:color w:val="000000"/>
          <w:sz w:val="32"/>
          <w:szCs w:val="32"/>
        </w:rPr>
        <w:t>万元。其中：基本支出1570.69万元，项目支出</w:t>
      </w:r>
      <w:r>
        <w:rPr>
          <w:rFonts w:hint="eastAsia" w:ascii="仿宋" w:hAnsi="仿宋" w:eastAsia="仿宋" w:cs="仿宋"/>
          <w:color w:val="000000"/>
          <w:sz w:val="32"/>
          <w:szCs w:val="32"/>
          <w:lang w:val="en-US" w:eastAsia="zh-CN"/>
        </w:rPr>
        <w:t>334.26</w:t>
      </w:r>
      <w:r>
        <w:rPr>
          <w:rFonts w:hint="eastAsia" w:ascii="仿宋" w:hAnsi="仿宋" w:eastAsia="仿宋" w:cs="仿宋"/>
          <w:color w:val="000000"/>
          <w:sz w:val="32"/>
          <w:szCs w:val="32"/>
        </w:rPr>
        <w:t>万元。</w:t>
      </w:r>
    </w:p>
    <w:p>
      <w:pPr>
        <w:widowControl/>
        <w:adjustRightInd w:val="0"/>
        <w:snapToGrid w:val="0"/>
        <w:spacing w:line="580" w:lineRule="exact"/>
        <w:ind w:firstLine="640" w:firstLineChars="200"/>
        <w:contextualSpacing/>
        <w:jc w:val="left"/>
        <w:rPr>
          <w:rFonts w:ascii="黑体" w:hAnsi="宋体" w:eastAsia="黑体" w:cs="宋体"/>
          <w:color w:val="000000"/>
          <w:kern w:val="0"/>
          <w:sz w:val="32"/>
          <w:szCs w:val="32"/>
          <w:shd w:val="clear" w:color="auto" w:fill="FFFFFF"/>
        </w:rPr>
      </w:pPr>
      <w:bookmarkStart w:id="95" w:name="_Toc27818_WPSOffice_Level2"/>
      <w:bookmarkStart w:id="96" w:name="_Toc17090_WPSOffice_Level2"/>
      <w:r>
        <w:rPr>
          <w:rFonts w:hint="eastAsia" w:ascii="黑体" w:hAnsi="宋体" w:eastAsia="黑体" w:cs="宋体"/>
          <w:color w:val="000000"/>
          <w:kern w:val="0"/>
          <w:sz w:val="32"/>
          <w:szCs w:val="32"/>
          <w:shd w:val="clear" w:color="auto" w:fill="FFFFFF"/>
        </w:rPr>
        <w:t>三、部门整体预算绩效管理情况</w:t>
      </w:r>
      <w:bookmarkEnd w:id="95"/>
      <w:bookmarkEnd w:id="96"/>
    </w:p>
    <w:p>
      <w:pPr>
        <w:widowControl/>
        <w:adjustRightInd w:val="0"/>
        <w:snapToGrid w:val="0"/>
        <w:spacing w:line="580" w:lineRule="exact"/>
        <w:ind w:firstLine="640" w:firstLineChars="200"/>
        <w:contextualSpacing/>
        <w:jc w:val="left"/>
        <w:rPr>
          <w:rFonts w:ascii="仿宋_GB2312" w:hAnsi="宋体" w:eastAsia="仿宋_GB2312" w:cs="宋体"/>
          <w:color w:val="000000"/>
          <w:kern w:val="0"/>
          <w:sz w:val="32"/>
          <w:szCs w:val="32"/>
          <w:shd w:val="clear" w:color="auto" w:fill="FFFFFF"/>
          <w:lang w:val="zh-CN"/>
        </w:rPr>
      </w:pPr>
      <w:bookmarkStart w:id="97" w:name="_Toc27818_WPSOffice_Level3"/>
      <w:bookmarkStart w:id="98" w:name="_Toc17090_WPSOffice_Level3"/>
      <w:r>
        <w:rPr>
          <w:rFonts w:hint="eastAsia" w:ascii="仿宋_GB2312" w:hAnsi="宋体" w:eastAsia="仿宋_GB2312" w:cs="宋体"/>
          <w:color w:val="000000"/>
          <w:kern w:val="0"/>
          <w:sz w:val="32"/>
          <w:szCs w:val="32"/>
          <w:shd w:val="clear" w:color="auto" w:fill="FFFFFF"/>
          <w:lang w:val="zh-CN"/>
        </w:rPr>
        <w:t>（一）部门预算管理。</w:t>
      </w:r>
      <w:bookmarkEnd w:id="97"/>
      <w:bookmarkEnd w:id="98"/>
    </w:p>
    <w:p>
      <w:pPr>
        <w:spacing w:line="600" w:lineRule="exact"/>
        <w:ind w:firstLine="640" w:firstLineChars="200"/>
        <w:rPr>
          <w:rFonts w:ascii="仿宋" w:hAnsi="仿宋" w:eastAsia="仿宋" w:cs="仿宋"/>
          <w:color w:val="000000"/>
          <w:kern w:val="0"/>
          <w:sz w:val="32"/>
        </w:rPr>
      </w:pPr>
      <w:r>
        <w:rPr>
          <w:rFonts w:hint="eastAsia" w:ascii="仿宋" w:hAnsi="仿宋" w:eastAsia="仿宋" w:cs="仿宋"/>
          <w:color w:val="000000"/>
          <w:kern w:val="0"/>
          <w:sz w:val="32"/>
        </w:rPr>
        <w:t>1.预算编制情况</w:t>
      </w:r>
    </w:p>
    <w:p>
      <w:pPr>
        <w:spacing w:line="560" w:lineRule="exact"/>
        <w:ind w:firstLine="800" w:firstLineChars="250"/>
        <w:rPr>
          <w:rFonts w:ascii="仿宋" w:hAnsi="仿宋" w:eastAsia="仿宋" w:cs="仿宋"/>
          <w:color w:val="333333"/>
          <w:sz w:val="32"/>
          <w:szCs w:val="32"/>
          <w:shd w:val="clear" w:color="auto" w:fill="FFFFFF"/>
        </w:rPr>
      </w:pPr>
      <w:r>
        <w:rPr>
          <w:rFonts w:hint="eastAsia" w:ascii="仿宋" w:hAnsi="仿宋" w:eastAsia="仿宋" w:cs="仿宋"/>
          <w:sz w:val="32"/>
          <w:szCs w:val="32"/>
        </w:rPr>
        <w:t>我单位实行综合预算管理，形成以单位领导牵头、财务部门以及行政办公室密切配合的工作格局，保证预算编制质量。结合单位实际情况，科学合理安排支出，严格执行支出预算，加强对预算执行过程的控制和结果的反馈，对预算执行差异及时分析成因和影响，</w:t>
      </w:r>
      <w:r>
        <w:rPr>
          <w:rFonts w:hint="eastAsia" w:ascii="仿宋" w:hAnsi="仿宋" w:eastAsia="仿宋" w:cs="仿宋"/>
          <w:color w:val="333333"/>
          <w:sz w:val="32"/>
          <w:szCs w:val="32"/>
          <w:shd w:val="clear" w:color="auto" w:fill="FFFFFF"/>
        </w:rPr>
        <w:t>对财务管理进行规范化，同财政部门及时沟通学习，财政部门组织的各项工作积极参加并按时完成，认真如实填报，规范预算编制，严格预算审核，无任何违规记录。</w:t>
      </w:r>
    </w:p>
    <w:p>
      <w:pPr>
        <w:spacing w:line="600" w:lineRule="exact"/>
        <w:ind w:firstLine="640" w:firstLineChars="200"/>
        <w:rPr>
          <w:rFonts w:ascii="仿宋" w:hAnsi="仿宋" w:eastAsia="仿宋" w:cs="仿宋"/>
          <w:color w:val="000000"/>
          <w:kern w:val="0"/>
          <w:sz w:val="32"/>
        </w:rPr>
      </w:pPr>
      <w:r>
        <w:rPr>
          <w:rFonts w:hint="eastAsia" w:ascii="仿宋" w:hAnsi="仿宋" w:eastAsia="仿宋" w:cs="仿宋"/>
          <w:color w:val="000000"/>
          <w:kern w:val="0"/>
          <w:sz w:val="32"/>
        </w:rPr>
        <w:t>2.资金执行情况：</w:t>
      </w:r>
    </w:p>
    <w:p>
      <w:pPr>
        <w:spacing w:line="600" w:lineRule="exact"/>
        <w:ind w:firstLine="640" w:firstLineChars="200"/>
        <w:rPr>
          <w:rFonts w:ascii="仿宋" w:hAnsi="仿宋" w:eastAsia="仿宋" w:cs="仿宋"/>
          <w:color w:val="000000"/>
          <w:kern w:val="0"/>
          <w:sz w:val="32"/>
        </w:rPr>
      </w:pPr>
      <w:r>
        <w:rPr>
          <w:rFonts w:hint="eastAsia" w:ascii="仿宋" w:hAnsi="仿宋" w:eastAsia="仿宋" w:cs="仿宋"/>
          <w:color w:val="000000"/>
          <w:kern w:val="0"/>
          <w:sz w:val="32"/>
        </w:rPr>
        <w:t>我单位资金支出总额严格控制在预算总额内，集中财力保障内部平稳运转，与发展计划相协调，与财政财力相适应。</w:t>
      </w:r>
    </w:p>
    <w:p>
      <w:pPr>
        <w:widowControl/>
        <w:adjustRightInd w:val="0"/>
        <w:snapToGrid w:val="0"/>
        <w:spacing w:line="580" w:lineRule="exact"/>
        <w:ind w:firstLine="640" w:firstLineChars="200"/>
        <w:contextualSpacing/>
        <w:jc w:val="left"/>
        <w:rPr>
          <w:rFonts w:hint="eastAsia" w:ascii="仿宋" w:hAnsi="仿宋" w:eastAsia="仿宋"/>
          <w:color w:val="000000"/>
          <w:sz w:val="32"/>
          <w:szCs w:val="32"/>
        </w:rPr>
      </w:pPr>
      <w:r>
        <w:rPr>
          <w:rFonts w:hint="eastAsia" w:ascii="仿宋" w:hAnsi="仿宋" w:eastAsia="仿宋" w:cs="仿宋"/>
          <w:color w:val="000000"/>
          <w:sz w:val="32"/>
          <w:szCs w:val="32"/>
          <w:lang w:eastAsia="zh-CN"/>
        </w:rPr>
        <w:t>2025</w:t>
      </w:r>
      <w:r>
        <w:rPr>
          <w:rFonts w:hint="eastAsia" w:ascii="仿宋" w:hAnsi="仿宋" w:eastAsia="仿宋" w:cs="仿宋"/>
          <w:color w:val="000000"/>
          <w:sz w:val="32"/>
          <w:szCs w:val="32"/>
        </w:rPr>
        <w:t>年财政拨款总计支出</w:t>
      </w:r>
      <w:r>
        <w:rPr>
          <w:rFonts w:hint="eastAsia" w:ascii="仿宋" w:hAnsi="仿宋" w:eastAsia="仿宋" w:cs="仿宋"/>
          <w:color w:val="000000"/>
          <w:sz w:val="32"/>
          <w:szCs w:val="32"/>
          <w:lang w:val="en-US" w:eastAsia="zh-CN"/>
        </w:rPr>
        <w:t>1904.95</w:t>
      </w:r>
      <w:r>
        <w:rPr>
          <w:rFonts w:hint="eastAsia" w:ascii="仿宋" w:hAnsi="仿宋" w:eastAsia="仿宋" w:cs="仿宋"/>
          <w:color w:val="000000"/>
          <w:sz w:val="32"/>
          <w:szCs w:val="32"/>
        </w:rPr>
        <w:t>万元。其中：基本支出1570.69万元，项目支出</w:t>
      </w:r>
      <w:r>
        <w:rPr>
          <w:rFonts w:hint="eastAsia" w:ascii="仿宋" w:hAnsi="仿宋" w:eastAsia="仿宋" w:cs="仿宋"/>
          <w:color w:val="000000"/>
          <w:sz w:val="32"/>
          <w:szCs w:val="32"/>
          <w:lang w:val="en-US" w:eastAsia="zh-CN"/>
        </w:rPr>
        <w:t>334.26</w:t>
      </w:r>
      <w:r>
        <w:rPr>
          <w:rFonts w:hint="eastAsia" w:ascii="仿宋" w:hAnsi="仿宋" w:eastAsia="仿宋" w:cs="仿宋"/>
          <w:color w:val="000000"/>
          <w:sz w:val="32"/>
          <w:szCs w:val="32"/>
        </w:rPr>
        <w:t>万元。其中：</w:t>
      </w:r>
      <w:r>
        <w:rPr>
          <w:rFonts w:hint="eastAsia" w:ascii="仿宋" w:hAnsi="仿宋" w:eastAsia="仿宋"/>
          <w:color w:val="000000"/>
          <w:sz w:val="32"/>
          <w:szCs w:val="32"/>
        </w:rPr>
        <w:t>人员经费支出1533.9</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万元，公用经费支出36.79万元；</w:t>
      </w:r>
      <w:bookmarkStart w:id="99" w:name="_Toc5872_WPSOffice_Level3"/>
      <w:bookmarkStart w:id="100" w:name="_Toc23830_WPSOffice_Level3"/>
    </w:p>
    <w:p>
      <w:pPr>
        <w:widowControl/>
        <w:adjustRightInd w:val="0"/>
        <w:snapToGrid w:val="0"/>
        <w:spacing w:line="580" w:lineRule="exact"/>
        <w:ind w:firstLine="640" w:firstLineChars="200"/>
        <w:contextualSpacing/>
        <w:jc w:val="left"/>
        <w:rPr>
          <w:rFonts w:ascii="仿宋" w:hAnsi="仿宋" w:eastAsia="仿宋"/>
          <w:color w:val="000000"/>
          <w:sz w:val="32"/>
          <w:szCs w:val="32"/>
          <w:lang w:val="zh-CN"/>
        </w:rPr>
      </w:pPr>
      <w:r>
        <w:rPr>
          <w:rFonts w:hint="eastAsia" w:ascii="仿宋" w:hAnsi="仿宋" w:eastAsia="仿宋"/>
          <w:color w:val="000000"/>
          <w:sz w:val="32"/>
          <w:szCs w:val="32"/>
          <w:lang w:val="zh-CN"/>
        </w:rPr>
        <w:t>（二）结果应用情况。</w:t>
      </w:r>
      <w:bookmarkEnd w:id="99"/>
      <w:bookmarkEnd w:id="100"/>
    </w:p>
    <w:p>
      <w:pPr>
        <w:widowControl/>
        <w:adjustRightInd w:val="0"/>
        <w:snapToGrid w:val="0"/>
        <w:spacing w:line="580" w:lineRule="exact"/>
        <w:ind w:firstLine="640" w:firstLineChars="200"/>
        <w:contextualSpacing/>
        <w:jc w:val="left"/>
        <w:rPr>
          <w:rFonts w:ascii="仿宋" w:hAnsi="仿宋" w:eastAsia="仿宋"/>
          <w:color w:val="000000"/>
          <w:sz w:val="32"/>
          <w:szCs w:val="32"/>
        </w:rPr>
      </w:pPr>
      <w:r>
        <w:rPr>
          <w:rFonts w:hint="eastAsia" w:ascii="仿宋" w:hAnsi="仿宋" w:eastAsia="仿宋"/>
          <w:color w:val="000000"/>
          <w:sz w:val="32"/>
          <w:szCs w:val="32"/>
        </w:rPr>
        <w:t>1</w:t>
      </w:r>
      <w:r>
        <w:rPr>
          <w:rFonts w:hint="eastAsia" w:ascii="仿宋" w:hAnsi="仿宋" w:eastAsia="仿宋"/>
          <w:color w:val="000000"/>
          <w:sz w:val="32"/>
          <w:szCs w:val="32"/>
          <w:lang w:val="en-US" w:eastAsia="zh-CN"/>
        </w:rPr>
        <w:t>.</w:t>
      </w:r>
      <w:r>
        <w:rPr>
          <w:rFonts w:hint="eastAsia" w:ascii="仿宋" w:hAnsi="仿宋" w:eastAsia="仿宋"/>
          <w:color w:val="000000"/>
          <w:sz w:val="32"/>
          <w:szCs w:val="32"/>
        </w:rPr>
        <w:t>资产管理</w:t>
      </w:r>
    </w:p>
    <w:p>
      <w:pPr>
        <w:widowControl/>
        <w:adjustRightInd w:val="0"/>
        <w:snapToGrid w:val="0"/>
        <w:spacing w:line="580" w:lineRule="exact"/>
        <w:ind w:firstLine="640" w:firstLineChars="200"/>
        <w:contextualSpacing/>
        <w:jc w:val="left"/>
        <w:rPr>
          <w:rFonts w:ascii="仿宋" w:hAnsi="仿宋" w:eastAsia="仿宋"/>
          <w:color w:val="000000"/>
          <w:sz w:val="32"/>
          <w:szCs w:val="32"/>
        </w:rPr>
      </w:pPr>
      <w:r>
        <w:rPr>
          <w:rFonts w:hint="eastAsia" w:ascii="仿宋" w:hAnsi="仿宋" w:eastAsia="仿宋"/>
          <w:color w:val="000000"/>
          <w:sz w:val="32"/>
          <w:szCs w:val="32"/>
        </w:rPr>
        <w:t>一是加强会计核算工作。严格执行现行固定资产管理制度，对购入的固定资产、收到的捐赠资产等及时入账，并按照数量、金额登记明细账，编制固定资产卡片，确保账面上能真实、完整的反映单位的固定资产情况，并结合本单位的实际情况，完善固定资产管理制度。二是加强程序管理。对纳入政府采购目录范围内的资产采购，必须报政府采购中心进行政府采购；未纳入政府采购目录范围内的资产采购，采用其他形式采购。未纳入预算的固定资产，不得随意采购，确需急用，必须经相关部门批准。三是加强内部监督。定期或不定期的对固定资产进行抽查。检查固定资产的购置、领用、处置等程序是否合规，账实是否相符等，防止国有资产的流失。</w:t>
      </w:r>
    </w:p>
    <w:p>
      <w:pPr>
        <w:widowControl/>
        <w:adjustRightInd w:val="0"/>
        <w:snapToGrid w:val="0"/>
        <w:spacing w:line="580" w:lineRule="exact"/>
        <w:ind w:firstLine="640" w:firstLineChars="200"/>
        <w:contextualSpacing/>
        <w:jc w:val="left"/>
        <w:rPr>
          <w:rFonts w:ascii="仿宋" w:hAnsi="仿宋" w:eastAsia="仿宋"/>
          <w:color w:val="000000"/>
          <w:sz w:val="32"/>
          <w:szCs w:val="32"/>
        </w:rPr>
      </w:pPr>
      <w:r>
        <w:rPr>
          <w:rFonts w:hint="eastAsia" w:ascii="仿宋" w:hAnsi="仿宋" w:eastAsia="仿宋"/>
          <w:color w:val="000000"/>
          <w:sz w:val="32"/>
          <w:szCs w:val="32"/>
        </w:rPr>
        <w:t>2</w:t>
      </w:r>
      <w:r>
        <w:rPr>
          <w:rFonts w:hint="eastAsia" w:ascii="仿宋" w:hAnsi="仿宋" w:eastAsia="仿宋"/>
          <w:color w:val="000000"/>
          <w:sz w:val="32"/>
          <w:szCs w:val="32"/>
          <w:lang w:val="en-US" w:eastAsia="zh-CN"/>
        </w:rPr>
        <w:t>.</w:t>
      </w:r>
      <w:r>
        <w:rPr>
          <w:rFonts w:hint="eastAsia" w:ascii="仿宋" w:hAnsi="仿宋" w:eastAsia="仿宋"/>
          <w:color w:val="000000"/>
          <w:sz w:val="32"/>
          <w:szCs w:val="32"/>
        </w:rPr>
        <w:t>内控管理</w:t>
      </w:r>
    </w:p>
    <w:p>
      <w:pPr>
        <w:widowControl/>
        <w:adjustRightInd w:val="0"/>
        <w:snapToGrid w:val="0"/>
        <w:spacing w:line="580" w:lineRule="exact"/>
        <w:ind w:firstLine="640" w:firstLineChars="200"/>
        <w:contextualSpacing/>
        <w:jc w:val="left"/>
        <w:rPr>
          <w:rFonts w:ascii="仿宋" w:hAnsi="仿宋" w:eastAsia="仿宋"/>
          <w:color w:val="000000"/>
          <w:sz w:val="32"/>
          <w:szCs w:val="32"/>
        </w:rPr>
      </w:pPr>
      <w:r>
        <w:rPr>
          <w:rFonts w:hint="eastAsia" w:ascii="仿宋" w:hAnsi="仿宋" w:eastAsia="仿宋"/>
          <w:color w:val="000000"/>
          <w:sz w:val="32"/>
          <w:szCs w:val="32"/>
        </w:rPr>
        <w:t>加强财务内部控制制度。健全完善部门内控制度，全面梳理业务流程，明确业务环节，分析风险隐患，完善风险评估机制，制定风险应对策略;有效运用不相容岗位相互分离、内部授权审批控制、归口管理、预算控制、财产保护控制、会计控制、单据控制、信息内部公开等内部控制基本方法，加强对单位层面和业务层面的内部控制，实现内部控制体系全面、有效实施。建立单位内控监督约束机制，确保资金安全、合理、有效使用，最大限度发挥财政资金使用效益。</w:t>
      </w:r>
    </w:p>
    <w:p>
      <w:pPr>
        <w:widowControl/>
        <w:adjustRightInd w:val="0"/>
        <w:snapToGrid w:val="0"/>
        <w:spacing w:line="580" w:lineRule="exact"/>
        <w:ind w:firstLine="640" w:firstLineChars="200"/>
        <w:contextualSpacing/>
        <w:jc w:val="left"/>
        <w:rPr>
          <w:rFonts w:ascii="仿宋" w:hAnsi="仿宋" w:eastAsia="仿宋"/>
          <w:color w:val="000000"/>
          <w:sz w:val="32"/>
          <w:szCs w:val="32"/>
        </w:rPr>
      </w:pPr>
      <w:r>
        <w:rPr>
          <w:rFonts w:hint="eastAsia" w:ascii="仿宋" w:hAnsi="仿宋" w:eastAsia="仿宋"/>
          <w:color w:val="000000"/>
          <w:sz w:val="32"/>
          <w:szCs w:val="32"/>
          <w:lang w:val="en-US" w:eastAsia="zh-CN"/>
        </w:rPr>
        <w:t>3.</w:t>
      </w:r>
      <w:r>
        <w:rPr>
          <w:rFonts w:hint="eastAsia" w:ascii="仿宋" w:hAnsi="仿宋" w:eastAsia="仿宋"/>
          <w:color w:val="000000"/>
          <w:sz w:val="32"/>
          <w:szCs w:val="32"/>
        </w:rPr>
        <w:t>绩效管理</w:t>
      </w:r>
    </w:p>
    <w:p>
      <w:pPr>
        <w:widowControl/>
        <w:adjustRightInd w:val="0"/>
        <w:snapToGrid w:val="0"/>
        <w:spacing w:line="580" w:lineRule="exact"/>
        <w:ind w:firstLine="640" w:firstLineChars="200"/>
        <w:contextualSpacing/>
        <w:jc w:val="left"/>
        <w:rPr>
          <w:rFonts w:ascii="仿宋" w:hAnsi="仿宋" w:eastAsia="仿宋"/>
          <w:color w:val="000000"/>
          <w:sz w:val="32"/>
          <w:szCs w:val="32"/>
        </w:rPr>
      </w:pPr>
      <w:r>
        <w:rPr>
          <w:rFonts w:hint="eastAsia" w:ascii="仿宋" w:hAnsi="仿宋" w:eastAsia="仿宋"/>
          <w:color w:val="000000"/>
          <w:sz w:val="32"/>
          <w:szCs w:val="32"/>
        </w:rPr>
        <w:t>进一步提高预算绩效管理认识，强化以“绩效为中心、对支出结果负责、对社会公众负责”的理念，在绩效目标编制方面，针对绩效目标设置指向不清、预算和目标匹配不足，数量目标和质量目标量化不细，效益目标编制不完整等方面加以了改善。加强相关专业技术人员的业务培训，进一步提高预算绩效评价质量，加强预算绩效动态管理，严格管理管理收费票据，执行《事业单位财务规则》，严格管理国有资产，组织实施国有资产的清产核资，和登记，负责国有资产的统计和使用，加强财务检查监督工作。</w:t>
      </w:r>
    </w:p>
    <w:p>
      <w:pPr>
        <w:widowControl/>
        <w:adjustRightInd w:val="0"/>
        <w:snapToGrid w:val="0"/>
        <w:spacing w:line="580" w:lineRule="exact"/>
        <w:ind w:firstLine="640" w:firstLineChars="200"/>
        <w:contextualSpacing/>
        <w:jc w:val="left"/>
        <w:rPr>
          <w:rFonts w:ascii="仿宋" w:hAnsi="仿宋" w:eastAsia="仿宋"/>
          <w:color w:val="000000"/>
          <w:sz w:val="32"/>
          <w:szCs w:val="32"/>
        </w:rPr>
      </w:pPr>
      <w:r>
        <w:rPr>
          <w:rFonts w:hint="eastAsia" w:ascii="仿宋" w:hAnsi="仿宋" w:eastAsia="仿宋"/>
          <w:color w:val="000000"/>
          <w:sz w:val="32"/>
          <w:szCs w:val="32"/>
        </w:rPr>
        <w:t>4.信息公开</w:t>
      </w:r>
    </w:p>
    <w:p>
      <w:pPr>
        <w:widowControl/>
        <w:adjustRightInd w:val="0"/>
        <w:snapToGrid w:val="0"/>
        <w:spacing w:line="580" w:lineRule="exact"/>
        <w:ind w:firstLine="640" w:firstLineChars="200"/>
        <w:contextualSpacing/>
        <w:jc w:val="left"/>
        <w:rPr>
          <w:rFonts w:ascii="仿宋" w:hAnsi="仿宋" w:eastAsia="仿宋"/>
          <w:color w:val="000000"/>
          <w:sz w:val="32"/>
          <w:szCs w:val="32"/>
        </w:rPr>
      </w:pPr>
      <w:r>
        <w:rPr>
          <w:rFonts w:hint="eastAsia" w:ascii="仿宋" w:hAnsi="仿宋" w:eastAsia="仿宋"/>
          <w:color w:val="000000"/>
          <w:sz w:val="32"/>
          <w:szCs w:val="32"/>
          <w:lang w:eastAsia="zh-CN"/>
        </w:rPr>
        <w:t>2025</w:t>
      </w:r>
      <w:r>
        <w:rPr>
          <w:rFonts w:hint="eastAsia" w:ascii="仿宋" w:hAnsi="仿宋" w:eastAsia="仿宋"/>
          <w:color w:val="000000"/>
          <w:sz w:val="32"/>
          <w:szCs w:val="32"/>
        </w:rPr>
        <w:t>年，按照上级的要求，我校在信息公开办网站上进行了预决算公开。</w:t>
      </w:r>
    </w:p>
    <w:p>
      <w:pPr>
        <w:widowControl/>
        <w:adjustRightInd w:val="0"/>
        <w:snapToGrid w:val="0"/>
        <w:spacing w:line="580" w:lineRule="exact"/>
        <w:ind w:firstLine="640" w:firstLineChars="200"/>
        <w:contextualSpacing/>
        <w:jc w:val="left"/>
        <w:rPr>
          <w:rFonts w:ascii="仿宋" w:hAnsi="仿宋" w:eastAsia="仿宋"/>
          <w:color w:val="000000"/>
          <w:sz w:val="32"/>
          <w:szCs w:val="32"/>
        </w:rPr>
      </w:pPr>
      <w:r>
        <w:rPr>
          <w:rFonts w:hint="eastAsia" w:ascii="仿宋" w:hAnsi="仿宋" w:eastAsia="仿宋"/>
          <w:color w:val="000000"/>
          <w:sz w:val="32"/>
          <w:szCs w:val="32"/>
        </w:rPr>
        <w:t>5.财政监督</w:t>
      </w:r>
    </w:p>
    <w:p>
      <w:pPr>
        <w:widowControl/>
        <w:adjustRightInd w:val="0"/>
        <w:snapToGrid w:val="0"/>
        <w:spacing w:line="580" w:lineRule="exact"/>
        <w:ind w:firstLine="640" w:firstLineChars="200"/>
        <w:contextualSpacing/>
        <w:jc w:val="left"/>
        <w:rPr>
          <w:rFonts w:ascii="仿宋" w:hAnsi="仿宋" w:eastAsia="仿宋"/>
          <w:color w:val="000000"/>
          <w:sz w:val="32"/>
          <w:szCs w:val="32"/>
        </w:rPr>
      </w:pPr>
      <w:r>
        <w:rPr>
          <w:rFonts w:hint="eastAsia" w:ascii="仿宋" w:hAnsi="仿宋" w:eastAsia="仿宋"/>
          <w:color w:val="000000"/>
          <w:sz w:val="32"/>
          <w:szCs w:val="32"/>
        </w:rPr>
        <w:t>账实相符，定期与银行对账，及时编制财务报表。</w:t>
      </w:r>
    </w:p>
    <w:p>
      <w:pPr>
        <w:widowControl/>
        <w:adjustRightInd w:val="0"/>
        <w:snapToGrid w:val="0"/>
        <w:spacing w:line="580" w:lineRule="exact"/>
        <w:ind w:firstLine="640" w:firstLineChars="200"/>
        <w:contextualSpacing/>
        <w:jc w:val="left"/>
        <w:rPr>
          <w:rFonts w:ascii="仿宋" w:hAnsi="仿宋" w:eastAsia="仿宋"/>
          <w:color w:val="000000"/>
          <w:sz w:val="32"/>
          <w:szCs w:val="32"/>
        </w:rPr>
      </w:pPr>
      <w:bookmarkStart w:id="101" w:name="_Toc23830_WPSOffice_Level2"/>
      <w:bookmarkStart w:id="102" w:name="_Toc5872_WPSOffice_Level2"/>
      <w:r>
        <w:rPr>
          <w:rFonts w:hint="eastAsia" w:ascii="仿宋" w:hAnsi="仿宋" w:eastAsia="仿宋"/>
          <w:color w:val="000000"/>
          <w:sz w:val="32"/>
          <w:szCs w:val="32"/>
        </w:rPr>
        <w:t>四、评价结论及建议</w:t>
      </w:r>
      <w:bookmarkEnd w:id="101"/>
      <w:bookmarkEnd w:id="102"/>
    </w:p>
    <w:p>
      <w:pPr>
        <w:widowControl/>
        <w:adjustRightInd w:val="0"/>
        <w:snapToGrid w:val="0"/>
        <w:spacing w:line="580" w:lineRule="exact"/>
        <w:ind w:firstLine="640" w:firstLineChars="200"/>
        <w:contextualSpacing/>
        <w:jc w:val="left"/>
        <w:rPr>
          <w:rFonts w:ascii="仿宋" w:hAnsi="仿宋" w:eastAsia="仿宋"/>
          <w:color w:val="000000"/>
          <w:sz w:val="32"/>
          <w:szCs w:val="32"/>
          <w:lang w:val="zh-CN"/>
        </w:rPr>
      </w:pPr>
      <w:bookmarkStart w:id="103" w:name="_Toc28830_WPSOffice_Level3"/>
      <w:bookmarkStart w:id="104" w:name="_Toc23252_WPSOffice_Level3"/>
      <w:r>
        <w:rPr>
          <w:rFonts w:hint="eastAsia" w:ascii="仿宋" w:hAnsi="仿宋" w:eastAsia="仿宋"/>
          <w:color w:val="000000"/>
          <w:sz w:val="32"/>
          <w:szCs w:val="32"/>
          <w:lang w:val="zh-CN"/>
        </w:rPr>
        <w:t>（一）评价结论。</w:t>
      </w:r>
      <w:bookmarkEnd w:id="103"/>
      <w:bookmarkEnd w:id="104"/>
    </w:p>
    <w:p>
      <w:pPr>
        <w:widowControl/>
        <w:adjustRightInd w:val="0"/>
        <w:snapToGrid w:val="0"/>
        <w:spacing w:line="580" w:lineRule="exact"/>
        <w:ind w:firstLine="640" w:firstLineChars="200"/>
        <w:contextualSpacing/>
        <w:jc w:val="left"/>
        <w:rPr>
          <w:rFonts w:ascii="仿宋" w:hAnsi="仿宋" w:eastAsia="仿宋"/>
          <w:color w:val="000000"/>
          <w:sz w:val="32"/>
          <w:szCs w:val="32"/>
          <w:lang w:val="zh-CN"/>
        </w:rPr>
      </w:pPr>
      <w:r>
        <w:rPr>
          <w:rFonts w:hint="eastAsia" w:ascii="仿宋" w:hAnsi="仿宋" w:eastAsia="仿宋"/>
          <w:color w:val="000000"/>
          <w:sz w:val="32"/>
          <w:szCs w:val="32"/>
          <w:lang w:val="zh-CN"/>
        </w:rPr>
        <w:t>在结合社会实际情况下，实施绩效考核是一种新的管理体制。在上级部门的领导下，我校紧紧围绕年度目标任务，扎实做好各项工作，根据拟定的新的规章制度，加强监督，统筹落实各项任务，推动工作有条不紊的发展。</w:t>
      </w:r>
    </w:p>
    <w:p>
      <w:pPr>
        <w:widowControl/>
        <w:adjustRightInd w:val="0"/>
        <w:snapToGrid w:val="0"/>
        <w:spacing w:line="580" w:lineRule="exact"/>
        <w:ind w:firstLine="640" w:firstLineChars="200"/>
        <w:contextualSpacing/>
        <w:jc w:val="left"/>
        <w:rPr>
          <w:rFonts w:ascii="仿宋" w:hAnsi="仿宋" w:eastAsia="仿宋"/>
          <w:color w:val="000000"/>
          <w:sz w:val="32"/>
          <w:szCs w:val="32"/>
          <w:lang w:val="zh-CN"/>
        </w:rPr>
      </w:pPr>
      <w:bookmarkStart w:id="105" w:name="_Toc20359_WPSOffice_Level3"/>
      <w:bookmarkStart w:id="106" w:name="_Toc22809_WPSOffice_Level3"/>
      <w:r>
        <w:rPr>
          <w:rFonts w:hint="eastAsia" w:ascii="仿宋" w:hAnsi="仿宋" w:eastAsia="仿宋"/>
          <w:color w:val="000000"/>
          <w:sz w:val="32"/>
          <w:szCs w:val="32"/>
          <w:lang w:val="zh-CN"/>
        </w:rPr>
        <w:t>（二）存在问题。</w:t>
      </w:r>
      <w:bookmarkEnd w:id="105"/>
      <w:bookmarkEnd w:id="106"/>
    </w:p>
    <w:p>
      <w:pPr>
        <w:widowControl/>
        <w:adjustRightInd w:val="0"/>
        <w:snapToGrid w:val="0"/>
        <w:spacing w:line="580" w:lineRule="exact"/>
        <w:ind w:firstLine="640" w:firstLineChars="200"/>
        <w:contextualSpacing/>
        <w:jc w:val="left"/>
        <w:rPr>
          <w:rFonts w:ascii="仿宋" w:hAnsi="仿宋" w:eastAsia="仿宋"/>
          <w:color w:val="000000"/>
          <w:sz w:val="32"/>
          <w:szCs w:val="32"/>
        </w:rPr>
      </w:pPr>
      <w:r>
        <w:rPr>
          <w:rFonts w:hint="eastAsia" w:ascii="仿宋" w:hAnsi="仿宋" w:eastAsia="仿宋"/>
          <w:color w:val="000000"/>
          <w:sz w:val="32"/>
          <w:szCs w:val="32"/>
        </w:rPr>
        <w:t>查漏补缺，对需要改进的地方积极反思，创新工作方式方法，不断完善。</w:t>
      </w:r>
    </w:p>
    <w:p>
      <w:pPr>
        <w:widowControl/>
        <w:adjustRightInd w:val="0"/>
        <w:snapToGrid w:val="0"/>
        <w:spacing w:line="580" w:lineRule="exact"/>
        <w:ind w:firstLine="640" w:firstLineChars="200"/>
        <w:contextualSpacing/>
        <w:jc w:val="left"/>
        <w:rPr>
          <w:rFonts w:ascii="仿宋" w:hAnsi="仿宋" w:eastAsia="仿宋"/>
          <w:color w:val="000000"/>
          <w:sz w:val="32"/>
          <w:szCs w:val="32"/>
          <w:lang w:val="zh-CN"/>
        </w:rPr>
      </w:pPr>
      <w:bookmarkStart w:id="107" w:name="_Toc20126_WPSOffice_Level3"/>
      <w:r>
        <w:rPr>
          <w:rFonts w:hint="eastAsia" w:ascii="仿宋" w:hAnsi="仿宋" w:eastAsia="仿宋"/>
          <w:color w:val="000000"/>
          <w:sz w:val="32"/>
          <w:szCs w:val="32"/>
          <w:lang w:val="zh-CN"/>
        </w:rPr>
        <w:t>改进建议。</w:t>
      </w:r>
      <w:bookmarkEnd w:id="107"/>
    </w:p>
    <w:p>
      <w:pPr>
        <w:widowControl/>
        <w:adjustRightInd w:val="0"/>
        <w:snapToGrid w:val="0"/>
        <w:spacing w:line="580" w:lineRule="exact"/>
        <w:ind w:firstLine="640" w:firstLineChars="200"/>
        <w:contextualSpacing/>
        <w:jc w:val="left"/>
        <w:rPr>
          <w:rFonts w:ascii="仿宋" w:hAnsi="仿宋" w:eastAsia="仿宋"/>
          <w:color w:val="000000"/>
          <w:sz w:val="32"/>
          <w:szCs w:val="32"/>
          <w:lang w:val="zh-CN"/>
        </w:rPr>
      </w:pPr>
      <w:r>
        <w:rPr>
          <w:rFonts w:hint="eastAsia" w:ascii="仿宋" w:hAnsi="仿宋" w:eastAsia="仿宋"/>
          <w:color w:val="000000"/>
          <w:sz w:val="32"/>
          <w:szCs w:val="32"/>
        </w:rPr>
        <w:t>请主管部门指导和督促各单位根据在原有的评价建议拟定整改方案，明确整改步骤。对绩效评价工作流程进行指导和监督，督促其改进预算和管理工作。将评价信息结果公开，接受公众监督制约。</w:t>
      </w:r>
    </w:p>
    <w:p>
      <w:pPr>
        <w:widowControl/>
        <w:adjustRightInd w:val="0"/>
        <w:snapToGrid w:val="0"/>
        <w:spacing w:line="580" w:lineRule="exact"/>
        <w:ind w:firstLine="640" w:firstLineChars="200"/>
        <w:contextualSpacing/>
        <w:jc w:val="left"/>
        <w:rPr>
          <w:rFonts w:ascii="仿宋" w:hAnsi="仿宋" w:eastAsia="仿宋"/>
          <w:color w:val="000000"/>
          <w:sz w:val="32"/>
          <w:szCs w:val="32"/>
        </w:rPr>
      </w:pPr>
    </w:p>
    <w:p>
      <w:pPr>
        <w:widowControl/>
        <w:jc w:val="center"/>
        <w:rPr>
          <w:rFonts w:hint="eastAsia" w:ascii="Times New Roman" w:hAnsi="Times New Roman" w:eastAsia="仿宋"/>
          <w:b w:val="0"/>
          <w:color w:val="auto"/>
          <w:highlight w:val="none"/>
        </w:rPr>
      </w:pPr>
      <w:r>
        <w:rPr>
          <w:rFonts w:hint="eastAsia" w:ascii="Times New Roman" w:hAnsi="Times New Roman" w:eastAsia="黑体"/>
          <w:color w:val="auto"/>
          <w:sz w:val="44"/>
          <w:szCs w:val="44"/>
          <w:highlight w:val="none"/>
        </w:rPr>
        <w:t>第</w:t>
      </w:r>
      <w:r>
        <w:rPr>
          <w:rStyle w:val="28"/>
          <w:rFonts w:hint="eastAsia" w:ascii="Times New Roman" w:hAnsi="Times New Roman" w:eastAsia="黑体"/>
          <w:b w:val="0"/>
          <w:color w:val="auto"/>
          <w:highlight w:val="none"/>
        </w:rPr>
        <w:t>五部分 附表</w:t>
      </w:r>
      <w:bookmarkEnd w:id="69"/>
      <w:bookmarkEnd w:id="72"/>
      <w:bookmarkStart w:id="108" w:name="_Toc15396619"/>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108"/>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09" w:name="_Toc15396620"/>
      <w:r>
        <w:rPr>
          <w:rFonts w:hint="eastAsia" w:ascii="Times New Roman" w:hAnsi="Times New Roman" w:eastAsia="仿宋_GB2312" w:cs="仿宋_GB2312"/>
          <w:color w:val="auto"/>
          <w:sz w:val="32"/>
          <w:szCs w:val="32"/>
          <w:highlight w:val="none"/>
        </w:rPr>
        <w:t>二、收入决算表</w:t>
      </w:r>
      <w:bookmarkEnd w:id="109"/>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10" w:name="_Toc15396621"/>
      <w:r>
        <w:rPr>
          <w:rFonts w:hint="eastAsia" w:ascii="Times New Roman" w:hAnsi="Times New Roman" w:eastAsia="仿宋_GB2312" w:cs="仿宋_GB2312"/>
          <w:color w:val="auto"/>
          <w:sz w:val="32"/>
          <w:szCs w:val="32"/>
          <w:highlight w:val="none"/>
        </w:rPr>
        <w:t>三、支出决算表</w:t>
      </w:r>
      <w:bookmarkEnd w:id="110"/>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11" w:name="_Toc15396622"/>
      <w:r>
        <w:rPr>
          <w:rFonts w:hint="eastAsia" w:ascii="Times New Roman" w:hAnsi="Times New Roman" w:eastAsia="仿宋_GB2312" w:cs="仿宋_GB2312"/>
          <w:color w:val="auto"/>
          <w:sz w:val="32"/>
          <w:szCs w:val="32"/>
          <w:highlight w:val="none"/>
        </w:rPr>
        <w:t>四、财政拨款收入支出决算总表</w:t>
      </w:r>
      <w:bookmarkEnd w:id="111"/>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12" w:name="_Toc15396623"/>
      <w:r>
        <w:rPr>
          <w:rFonts w:hint="eastAsia" w:ascii="Times New Roman" w:hAnsi="Times New Roman" w:eastAsia="仿宋_GB2312" w:cs="仿宋_GB2312"/>
          <w:color w:val="auto"/>
          <w:sz w:val="32"/>
          <w:szCs w:val="32"/>
          <w:highlight w:val="none"/>
        </w:rPr>
        <w:t>五、财政拨款支出决算明细表</w:t>
      </w:r>
      <w:bookmarkEnd w:id="112"/>
      <w:bookmarkStart w:id="113" w:name="_Toc15396624"/>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113"/>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14" w:name="_Toc15396625"/>
      <w:r>
        <w:rPr>
          <w:rFonts w:hint="eastAsia" w:ascii="Times New Roman" w:hAnsi="Times New Roman" w:eastAsia="仿宋_GB2312" w:cs="仿宋_GB2312"/>
          <w:color w:val="auto"/>
          <w:sz w:val="32"/>
          <w:szCs w:val="32"/>
          <w:highlight w:val="none"/>
        </w:rPr>
        <w:t>七、一般公共预算财政拨款支出决算明细表</w:t>
      </w:r>
      <w:bookmarkEnd w:id="114"/>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15" w:name="_Toc15396626"/>
      <w:r>
        <w:rPr>
          <w:rFonts w:hint="eastAsia" w:ascii="Times New Roman" w:hAnsi="Times New Roman" w:eastAsia="仿宋_GB2312" w:cs="仿宋_GB2312"/>
          <w:color w:val="auto"/>
          <w:sz w:val="32"/>
          <w:szCs w:val="32"/>
          <w:highlight w:val="none"/>
        </w:rPr>
        <w:t>八、一般公共预算财政拨款基本支出决算表</w:t>
      </w:r>
      <w:bookmarkEnd w:id="115"/>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16" w:name="_Toc15396627"/>
      <w:r>
        <w:rPr>
          <w:rFonts w:hint="eastAsia" w:ascii="Times New Roman" w:hAnsi="Times New Roman" w:eastAsia="仿宋_GB2312" w:cs="仿宋_GB2312"/>
          <w:color w:val="auto"/>
          <w:sz w:val="32"/>
          <w:szCs w:val="32"/>
          <w:highlight w:val="none"/>
        </w:rPr>
        <w:t>九、一般公共预算财政拨款项目支出决算表</w:t>
      </w:r>
      <w:bookmarkEnd w:id="116"/>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17" w:name="_Toc15396628"/>
      <w:r>
        <w:rPr>
          <w:rFonts w:hint="eastAsia" w:ascii="Times New Roman" w:hAnsi="Times New Roman" w:eastAsia="仿宋_GB2312" w:cs="仿宋_GB2312"/>
          <w:color w:val="auto"/>
          <w:sz w:val="32"/>
          <w:szCs w:val="32"/>
          <w:highlight w:val="none"/>
        </w:rPr>
        <w:t>十、</w:t>
      </w:r>
      <w:bookmarkEnd w:id="117"/>
      <w:r>
        <w:rPr>
          <w:rFonts w:hint="eastAsia" w:ascii="Times New Roman" w:hAnsi="Times New Roman" w:eastAsia="仿宋_GB2312" w:cs="仿宋_GB2312"/>
          <w:color w:val="auto"/>
          <w:sz w:val="32"/>
          <w:szCs w:val="32"/>
          <w:highlight w:val="none"/>
        </w:rPr>
        <w:t>政府性基金预算财政拨款收入支出决算表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18" w:name="_Toc15396629"/>
      <w:r>
        <w:rPr>
          <w:rFonts w:hint="eastAsia" w:ascii="Times New Roman" w:hAnsi="Times New Roman" w:eastAsia="仿宋_GB2312" w:cs="仿宋_GB2312"/>
          <w:color w:val="auto"/>
          <w:sz w:val="32"/>
          <w:szCs w:val="32"/>
          <w:highlight w:val="none"/>
        </w:rPr>
        <w:t>十一、</w:t>
      </w:r>
      <w:bookmarkEnd w:id="118"/>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19" w:name="_Toc15396630"/>
      <w:r>
        <w:rPr>
          <w:rFonts w:hint="eastAsia" w:ascii="Times New Roman" w:hAnsi="Times New Roman" w:eastAsia="仿宋_GB2312" w:cs="仿宋_GB2312"/>
          <w:color w:val="auto"/>
          <w:sz w:val="32"/>
          <w:szCs w:val="32"/>
          <w:highlight w:val="none"/>
        </w:rPr>
        <w:t>十二、</w:t>
      </w:r>
      <w:bookmarkEnd w:id="119"/>
      <w:r>
        <w:rPr>
          <w:rFonts w:hint="eastAsia" w:ascii="Times New Roman" w:hAnsi="Times New Roman" w:eastAsia="仿宋_GB2312" w:cs="仿宋_GB2312"/>
          <w:color w:val="auto"/>
          <w:sz w:val="32"/>
          <w:szCs w:val="32"/>
          <w:highlight w:val="none"/>
          <w:lang w:eastAsia="zh-CN"/>
        </w:rPr>
        <w:t>国有资本经营预算财政拨款支出决算表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120" w:name="_Toc15396631"/>
      <w:r>
        <w:rPr>
          <w:rFonts w:hint="eastAsia" w:ascii="Times New Roman" w:hAnsi="Times New Roman" w:eastAsia="仿宋_GB2312" w:cs="仿宋_GB2312"/>
          <w:color w:val="auto"/>
          <w:sz w:val="32"/>
          <w:szCs w:val="32"/>
          <w:highlight w:val="none"/>
        </w:rPr>
        <w:t>十三、</w:t>
      </w:r>
      <w:bookmarkEnd w:id="120"/>
      <w:r>
        <w:rPr>
          <w:rFonts w:hint="eastAsia" w:ascii="Times New Roman" w:hAnsi="Times New Roman" w:eastAsia="仿宋_GB2312" w:cs="仿宋_GB2312"/>
          <w:color w:val="auto"/>
          <w:sz w:val="32"/>
          <w:szCs w:val="32"/>
          <w:highlight w:val="none"/>
          <w:lang w:eastAsia="zh-CN"/>
        </w:rPr>
        <w:t>财政拨款“三公”经费支出决算表</w:t>
      </w:r>
    </w:p>
    <w:p>
      <w:pPr>
        <w:rPr>
          <w:rFonts w:hint="eastAsia" w:ascii="Times New Roman" w:hAnsi="Times New Roman"/>
          <w:lang w:eastAsia="zh-CN"/>
        </w:rPr>
      </w:pPr>
    </w:p>
    <w:sectPr>
      <w:footerReference r:id="rId6" w:type="first"/>
      <w:footerReference r:id="rId5" w:type="default"/>
      <w:pgSz w:w="11906" w:h="16838"/>
      <w:pgMar w:top="1440" w:right="1800" w:bottom="1440" w:left="1800" w:header="851" w:footer="992" w:gutter="0"/>
      <w:pgNumType w:fmt="numberInDash"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方正小标宋简体">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p>
  <w:p>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18075"/>
    <w:multiLevelType w:val="singleLevel"/>
    <w:tmpl w:val="16118075"/>
    <w:lvl w:ilvl="0" w:tentative="0">
      <w:start w:val="2"/>
      <w:numFmt w:val="chineseCounting"/>
      <w:suff w:val="nothing"/>
      <w:lvlText w:val="（%1）"/>
      <w:lvlJc w:val="left"/>
      <w:rPr>
        <w:rFonts w:hint="eastAsia"/>
      </w:rPr>
    </w:lvl>
  </w:abstractNum>
  <w:abstractNum w:abstractNumId="1">
    <w:nsid w:val="7098C938"/>
    <w:multiLevelType w:val="singleLevel"/>
    <w:tmpl w:val="7098C938"/>
    <w:lvl w:ilvl="0" w:tentative="0">
      <w:start w:val="1"/>
      <w:numFmt w:val="chineseCounting"/>
      <w:suff w:val="space"/>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02CA"/>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2A5EC2"/>
    <w:rsid w:val="015975B8"/>
    <w:rsid w:val="022728FD"/>
    <w:rsid w:val="02FEBE30"/>
    <w:rsid w:val="03AE265E"/>
    <w:rsid w:val="04543492"/>
    <w:rsid w:val="04916F1E"/>
    <w:rsid w:val="061E35DE"/>
    <w:rsid w:val="066E0107"/>
    <w:rsid w:val="06B6492B"/>
    <w:rsid w:val="07996F6E"/>
    <w:rsid w:val="07DFD8BA"/>
    <w:rsid w:val="07F40498"/>
    <w:rsid w:val="09867E8F"/>
    <w:rsid w:val="09D05FD4"/>
    <w:rsid w:val="0A2032A3"/>
    <w:rsid w:val="0B7E6C6B"/>
    <w:rsid w:val="0C995743"/>
    <w:rsid w:val="0CA8290A"/>
    <w:rsid w:val="0CBF16C1"/>
    <w:rsid w:val="0D35B1ED"/>
    <w:rsid w:val="0DB553D3"/>
    <w:rsid w:val="0DCE1212"/>
    <w:rsid w:val="0E254B6B"/>
    <w:rsid w:val="0F98263C"/>
    <w:rsid w:val="0FF17F33"/>
    <w:rsid w:val="10130B2C"/>
    <w:rsid w:val="101860EC"/>
    <w:rsid w:val="101F47CC"/>
    <w:rsid w:val="107D6D99"/>
    <w:rsid w:val="10C055FF"/>
    <w:rsid w:val="11672B39"/>
    <w:rsid w:val="11694EBD"/>
    <w:rsid w:val="11772AA4"/>
    <w:rsid w:val="118107EC"/>
    <w:rsid w:val="11CA303C"/>
    <w:rsid w:val="12275114"/>
    <w:rsid w:val="12E24EE2"/>
    <w:rsid w:val="13D50BC4"/>
    <w:rsid w:val="14B17F78"/>
    <w:rsid w:val="156206A5"/>
    <w:rsid w:val="165E0673"/>
    <w:rsid w:val="16B831D5"/>
    <w:rsid w:val="16BB723D"/>
    <w:rsid w:val="173C6DF0"/>
    <w:rsid w:val="17E50567"/>
    <w:rsid w:val="186504BB"/>
    <w:rsid w:val="1914121B"/>
    <w:rsid w:val="19933CF7"/>
    <w:rsid w:val="19A445FC"/>
    <w:rsid w:val="19E0795D"/>
    <w:rsid w:val="1BE8440E"/>
    <w:rsid w:val="1D155CEE"/>
    <w:rsid w:val="1D1638FE"/>
    <w:rsid w:val="1E312DEB"/>
    <w:rsid w:val="1E740ACF"/>
    <w:rsid w:val="1ED063E3"/>
    <w:rsid w:val="1FF35744"/>
    <w:rsid w:val="1FF6BC77"/>
    <w:rsid w:val="20EB43C6"/>
    <w:rsid w:val="2186353C"/>
    <w:rsid w:val="235A75F8"/>
    <w:rsid w:val="23860B96"/>
    <w:rsid w:val="240371BF"/>
    <w:rsid w:val="24242CA7"/>
    <w:rsid w:val="244F3473"/>
    <w:rsid w:val="24C97D99"/>
    <w:rsid w:val="25793443"/>
    <w:rsid w:val="258424C5"/>
    <w:rsid w:val="25A718F0"/>
    <w:rsid w:val="25BB59F6"/>
    <w:rsid w:val="260F557C"/>
    <w:rsid w:val="26970054"/>
    <w:rsid w:val="281408E2"/>
    <w:rsid w:val="291B44AF"/>
    <w:rsid w:val="294066EC"/>
    <w:rsid w:val="299454F3"/>
    <w:rsid w:val="29DF0F3D"/>
    <w:rsid w:val="29FD04D3"/>
    <w:rsid w:val="2B380B20"/>
    <w:rsid w:val="2BFF7BC6"/>
    <w:rsid w:val="2C030D3E"/>
    <w:rsid w:val="2C8A61B5"/>
    <w:rsid w:val="2CA13945"/>
    <w:rsid w:val="2DF04E50"/>
    <w:rsid w:val="2DF51A73"/>
    <w:rsid w:val="2E586DFA"/>
    <w:rsid w:val="2E8A00DF"/>
    <w:rsid w:val="2EF67098"/>
    <w:rsid w:val="2F040D46"/>
    <w:rsid w:val="2F3E5EE4"/>
    <w:rsid w:val="2F6B035B"/>
    <w:rsid w:val="2FAE5751"/>
    <w:rsid w:val="2FB1A395"/>
    <w:rsid w:val="2FD9A7D8"/>
    <w:rsid w:val="2FDBF714"/>
    <w:rsid w:val="304E094E"/>
    <w:rsid w:val="30AB6865"/>
    <w:rsid w:val="31045E00"/>
    <w:rsid w:val="319F7F4E"/>
    <w:rsid w:val="32256487"/>
    <w:rsid w:val="32BD1EF1"/>
    <w:rsid w:val="3304709D"/>
    <w:rsid w:val="33731376"/>
    <w:rsid w:val="33A773CB"/>
    <w:rsid w:val="345F0C0E"/>
    <w:rsid w:val="349D6851"/>
    <w:rsid w:val="35391FBE"/>
    <w:rsid w:val="36AA5135"/>
    <w:rsid w:val="36BE0DA7"/>
    <w:rsid w:val="37093018"/>
    <w:rsid w:val="376B6AA6"/>
    <w:rsid w:val="376D39B2"/>
    <w:rsid w:val="37E16F03"/>
    <w:rsid w:val="37F53A3B"/>
    <w:rsid w:val="382342BD"/>
    <w:rsid w:val="389B6C89"/>
    <w:rsid w:val="38D469F0"/>
    <w:rsid w:val="39627CCD"/>
    <w:rsid w:val="397BAF1F"/>
    <w:rsid w:val="3AB79AF3"/>
    <w:rsid w:val="3AE834C0"/>
    <w:rsid w:val="3B7EF35A"/>
    <w:rsid w:val="3B9FDB6C"/>
    <w:rsid w:val="3BF5BC2F"/>
    <w:rsid w:val="3C0676CE"/>
    <w:rsid w:val="3C086B8B"/>
    <w:rsid w:val="3CEBA265"/>
    <w:rsid w:val="3D213F75"/>
    <w:rsid w:val="3D98207C"/>
    <w:rsid w:val="3DEE7CF3"/>
    <w:rsid w:val="3E5E705F"/>
    <w:rsid w:val="3E740A63"/>
    <w:rsid w:val="3E767F89"/>
    <w:rsid w:val="3E78745D"/>
    <w:rsid w:val="3EAF182F"/>
    <w:rsid w:val="3EE17838"/>
    <w:rsid w:val="3F55381A"/>
    <w:rsid w:val="3F7F7599"/>
    <w:rsid w:val="3FE07A5D"/>
    <w:rsid w:val="3FF4CAE0"/>
    <w:rsid w:val="3FF7B227"/>
    <w:rsid w:val="400D06F5"/>
    <w:rsid w:val="4106480E"/>
    <w:rsid w:val="41490FA1"/>
    <w:rsid w:val="41F235E8"/>
    <w:rsid w:val="42746716"/>
    <w:rsid w:val="438A39A6"/>
    <w:rsid w:val="44E268DA"/>
    <w:rsid w:val="450D13D7"/>
    <w:rsid w:val="45506656"/>
    <w:rsid w:val="45EC3A2B"/>
    <w:rsid w:val="466271B8"/>
    <w:rsid w:val="47781E40"/>
    <w:rsid w:val="47EE3A5A"/>
    <w:rsid w:val="486A6C7A"/>
    <w:rsid w:val="4A627F82"/>
    <w:rsid w:val="4B0E749A"/>
    <w:rsid w:val="4B2477C4"/>
    <w:rsid w:val="4B4F25DA"/>
    <w:rsid w:val="4B7D79C6"/>
    <w:rsid w:val="4BE068DB"/>
    <w:rsid w:val="4BE3360E"/>
    <w:rsid w:val="4C080E93"/>
    <w:rsid w:val="4D092D3D"/>
    <w:rsid w:val="4D577224"/>
    <w:rsid w:val="4DA8589A"/>
    <w:rsid w:val="4DBF1CEB"/>
    <w:rsid w:val="4DF0007C"/>
    <w:rsid w:val="4EAB630A"/>
    <w:rsid w:val="4ECE2238"/>
    <w:rsid w:val="4F833267"/>
    <w:rsid w:val="4FE9BD67"/>
    <w:rsid w:val="4FFB052F"/>
    <w:rsid w:val="50554E01"/>
    <w:rsid w:val="51F11680"/>
    <w:rsid w:val="520E4CBB"/>
    <w:rsid w:val="526273B5"/>
    <w:rsid w:val="537E6D0A"/>
    <w:rsid w:val="53B669E2"/>
    <w:rsid w:val="53F74C96"/>
    <w:rsid w:val="54C92A81"/>
    <w:rsid w:val="55170BA8"/>
    <w:rsid w:val="553218C9"/>
    <w:rsid w:val="567E1AA5"/>
    <w:rsid w:val="56E47B74"/>
    <w:rsid w:val="56EF6E93"/>
    <w:rsid w:val="57175D52"/>
    <w:rsid w:val="57B33005"/>
    <w:rsid w:val="57BD3DD4"/>
    <w:rsid w:val="57FB28B2"/>
    <w:rsid w:val="581A4428"/>
    <w:rsid w:val="5AF92295"/>
    <w:rsid w:val="5B195F24"/>
    <w:rsid w:val="5B250254"/>
    <w:rsid w:val="5BAB1612"/>
    <w:rsid w:val="5BDD79E6"/>
    <w:rsid w:val="5BF561CA"/>
    <w:rsid w:val="5BFF5DFC"/>
    <w:rsid w:val="5C692729"/>
    <w:rsid w:val="5CD71FC4"/>
    <w:rsid w:val="5D1F11B5"/>
    <w:rsid w:val="5D2E3846"/>
    <w:rsid w:val="5D695134"/>
    <w:rsid w:val="5D935EDD"/>
    <w:rsid w:val="5DAE1B18"/>
    <w:rsid w:val="5DE7D9E5"/>
    <w:rsid w:val="5ECEC941"/>
    <w:rsid w:val="5F481E68"/>
    <w:rsid w:val="5F544504"/>
    <w:rsid w:val="5FBF9FF3"/>
    <w:rsid w:val="5FCD4E2C"/>
    <w:rsid w:val="5FEF394A"/>
    <w:rsid w:val="5FF67715"/>
    <w:rsid w:val="608E53F7"/>
    <w:rsid w:val="60A056E7"/>
    <w:rsid w:val="62BF3928"/>
    <w:rsid w:val="63107694"/>
    <w:rsid w:val="63343EC4"/>
    <w:rsid w:val="63B3701E"/>
    <w:rsid w:val="647F5392"/>
    <w:rsid w:val="649D011F"/>
    <w:rsid w:val="65E66580"/>
    <w:rsid w:val="664B1D71"/>
    <w:rsid w:val="664B4E8E"/>
    <w:rsid w:val="66BB049A"/>
    <w:rsid w:val="66FF03BD"/>
    <w:rsid w:val="67277B67"/>
    <w:rsid w:val="67AA3209"/>
    <w:rsid w:val="68184B53"/>
    <w:rsid w:val="698D0931"/>
    <w:rsid w:val="6A7FE5F3"/>
    <w:rsid w:val="6ACA187C"/>
    <w:rsid w:val="6B053271"/>
    <w:rsid w:val="6BAB6F14"/>
    <w:rsid w:val="6BDD78B3"/>
    <w:rsid w:val="6C4A05C8"/>
    <w:rsid w:val="6C8742B8"/>
    <w:rsid w:val="6DBF5E93"/>
    <w:rsid w:val="6DC70D5C"/>
    <w:rsid w:val="6DFF077E"/>
    <w:rsid w:val="6E714EF0"/>
    <w:rsid w:val="6E7E3605"/>
    <w:rsid w:val="6E7FDCC7"/>
    <w:rsid w:val="6ED6A62E"/>
    <w:rsid w:val="6EE00B15"/>
    <w:rsid w:val="6F6FB3EB"/>
    <w:rsid w:val="6F8731EA"/>
    <w:rsid w:val="6FCE6052"/>
    <w:rsid w:val="6FD57C00"/>
    <w:rsid w:val="6FEFFFD8"/>
    <w:rsid w:val="6FF5CC65"/>
    <w:rsid w:val="6FFB47EC"/>
    <w:rsid w:val="6FFF034A"/>
    <w:rsid w:val="70484440"/>
    <w:rsid w:val="705E316E"/>
    <w:rsid w:val="70F52CD9"/>
    <w:rsid w:val="712A28F1"/>
    <w:rsid w:val="71303BF3"/>
    <w:rsid w:val="714040DC"/>
    <w:rsid w:val="715C0E4B"/>
    <w:rsid w:val="71992E7C"/>
    <w:rsid w:val="72233669"/>
    <w:rsid w:val="72734D90"/>
    <w:rsid w:val="73160E6D"/>
    <w:rsid w:val="7332FE48"/>
    <w:rsid w:val="73AB61DA"/>
    <w:rsid w:val="73AD73D5"/>
    <w:rsid w:val="73B6EB34"/>
    <w:rsid w:val="73FA497D"/>
    <w:rsid w:val="74423CF8"/>
    <w:rsid w:val="74442DF9"/>
    <w:rsid w:val="744731E5"/>
    <w:rsid w:val="74BBD01D"/>
    <w:rsid w:val="74ED5379"/>
    <w:rsid w:val="75C735CB"/>
    <w:rsid w:val="75D91BB6"/>
    <w:rsid w:val="75DEEEC2"/>
    <w:rsid w:val="75E32345"/>
    <w:rsid w:val="765A7969"/>
    <w:rsid w:val="76E3355F"/>
    <w:rsid w:val="76FF5125"/>
    <w:rsid w:val="776F6FFA"/>
    <w:rsid w:val="778769C8"/>
    <w:rsid w:val="77A75DCA"/>
    <w:rsid w:val="77DC22F5"/>
    <w:rsid w:val="78271F54"/>
    <w:rsid w:val="783E271A"/>
    <w:rsid w:val="78616DE9"/>
    <w:rsid w:val="78E875D7"/>
    <w:rsid w:val="79086DAD"/>
    <w:rsid w:val="791C0954"/>
    <w:rsid w:val="79B15996"/>
    <w:rsid w:val="79D7FD79"/>
    <w:rsid w:val="79EE5BA4"/>
    <w:rsid w:val="79FA4411"/>
    <w:rsid w:val="7A04295E"/>
    <w:rsid w:val="7A6E5401"/>
    <w:rsid w:val="7A894339"/>
    <w:rsid w:val="7AD284E8"/>
    <w:rsid w:val="7AFF7572"/>
    <w:rsid w:val="7B6C638A"/>
    <w:rsid w:val="7B6C7DFB"/>
    <w:rsid w:val="7BBFBED0"/>
    <w:rsid w:val="7BC3E394"/>
    <w:rsid w:val="7C1F3737"/>
    <w:rsid w:val="7C591CE4"/>
    <w:rsid w:val="7CBFC87B"/>
    <w:rsid w:val="7CFE0F48"/>
    <w:rsid w:val="7D272ABC"/>
    <w:rsid w:val="7D7EC23E"/>
    <w:rsid w:val="7E8ADEBF"/>
    <w:rsid w:val="7EEF11D3"/>
    <w:rsid w:val="7EFE4840"/>
    <w:rsid w:val="7F0971A6"/>
    <w:rsid w:val="7F1D62E7"/>
    <w:rsid w:val="7F3F679B"/>
    <w:rsid w:val="7F4FC4EF"/>
    <w:rsid w:val="7F5E4D54"/>
    <w:rsid w:val="7F6E0135"/>
    <w:rsid w:val="7F79F205"/>
    <w:rsid w:val="7FA30C79"/>
    <w:rsid w:val="7FA79C44"/>
    <w:rsid w:val="7FAF8ABF"/>
    <w:rsid w:val="7FB7269E"/>
    <w:rsid w:val="7FC96657"/>
    <w:rsid w:val="7FDA9588"/>
    <w:rsid w:val="7FDF220F"/>
    <w:rsid w:val="7FEDC5F7"/>
    <w:rsid w:val="7FEDD9DE"/>
    <w:rsid w:val="7FF5890D"/>
    <w:rsid w:val="7FF93490"/>
    <w:rsid w:val="99FF2014"/>
    <w:rsid w:val="A6DD0D7F"/>
    <w:rsid w:val="ACFF4FBB"/>
    <w:rsid w:val="ADC6F725"/>
    <w:rsid w:val="B7CF06AB"/>
    <w:rsid w:val="B7CFA926"/>
    <w:rsid w:val="B7F8786B"/>
    <w:rsid w:val="BABB6AA1"/>
    <w:rsid w:val="BB2F4199"/>
    <w:rsid w:val="BCFFB442"/>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E9BE81"/>
    <w:rsid w:val="DFFFA9E8"/>
    <w:rsid w:val="E5F4E9DC"/>
    <w:rsid w:val="E70FE695"/>
    <w:rsid w:val="EB2E368B"/>
    <w:rsid w:val="ECFED1BC"/>
    <w:rsid w:val="ED1D69BB"/>
    <w:rsid w:val="ED7FD312"/>
    <w:rsid w:val="EF2E1AC6"/>
    <w:rsid w:val="EF53993F"/>
    <w:rsid w:val="EF6FD633"/>
    <w:rsid w:val="EFBFB2F4"/>
    <w:rsid w:val="EFBFFA21"/>
    <w:rsid w:val="F2BEBCB8"/>
    <w:rsid w:val="F36FB518"/>
    <w:rsid w:val="F3DE1A04"/>
    <w:rsid w:val="F3F722E5"/>
    <w:rsid w:val="F4FBCD07"/>
    <w:rsid w:val="FA5F1E70"/>
    <w:rsid w:val="FA5FDB97"/>
    <w:rsid w:val="FB7F486A"/>
    <w:rsid w:val="FBFF5B2E"/>
    <w:rsid w:val="FD7FFE2B"/>
    <w:rsid w:val="FDEE196B"/>
    <w:rsid w:val="FDFE6575"/>
    <w:rsid w:val="FEDFDDC2"/>
    <w:rsid w:val="FEED32F6"/>
    <w:rsid w:val="FEF781DD"/>
    <w:rsid w:val="FF3F7E3F"/>
    <w:rsid w:val="FFBA12D7"/>
    <w:rsid w:val="FFCBD314"/>
    <w:rsid w:val="FFDFF91C"/>
    <w:rsid w:val="FFDFFAEE"/>
    <w:rsid w:val="FFEF6777"/>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8"/>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32"/>
    <w:unhideWhenUsed/>
    <w:qFormat/>
    <w:uiPriority w:val="9"/>
    <w:pPr>
      <w:keepNext/>
      <w:keepLines/>
      <w:spacing w:before="260" w:after="260" w:line="416" w:lineRule="auto"/>
      <w:outlineLvl w:val="2"/>
    </w:pPr>
    <w:rPr>
      <w:b/>
      <w:bCs/>
      <w:sz w:val="32"/>
      <w:szCs w:val="32"/>
    </w:rPr>
  </w:style>
  <w:style w:type="character" w:default="1" w:styleId="16">
    <w:name w:val="Default Paragraph Font"/>
    <w:unhideWhenUsed/>
    <w:qFormat/>
    <w:uiPriority w:val="1"/>
  </w:style>
  <w:style w:type="table" w:default="1" w:styleId="15">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link w:val="25"/>
    <w:qFormat/>
    <w:uiPriority w:val="99"/>
    <w:pPr>
      <w:spacing w:beforeLines="30"/>
    </w:pPr>
    <w:rPr>
      <w:rFonts w:ascii="仿宋_GB2312" w:eastAsia="仿宋_GB2312"/>
      <w:kern w:val="0"/>
      <w:sz w:val="30"/>
    </w:rPr>
  </w:style>
  <w:style w:type="paragraph" w:styleId="6">
    <w:name w:val="Body Text Indent"/>
    <w:basedOn w:val="1"/>
    <w:next w:val="7"/>
    <w:qFormat/>
    <w:uiPriority w:val="0"/>
    <w:pPr>
      <w:spacing w:after="120"/>
      <w:ind w:leftChars="200"/>
    </w:pPr>
    <w:rPr>
      <w:rFonts w:ascii="仿宋_GB2312"/>
      <w:szCs w:val="32"/>
    </w:rPr>
  </w:style>
  <w:style w:type="paragraph" w:styleId="7">
    <w:name w:val="Body Text First Indent 2"/>
    <w:basedOn w:val="6"/>
    <w:unhideWhenUsed/>
    <w:qFormat/>
    <w:uiPriority w:val="99"/>
    <w:pPr>
      <w:ind w:firstLine="420" w:firstLineChars="200"/>
    </w:p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1"/>
    <w:semiHidden/>
    <w:unhideWhenUsed/>
    <w:qFormat/>
    <w:uiPriority w:val="99"/>
    <w:rPr>
      <w:sz w:val="18"/>
      <w:szCs w:val="18"/>
    </w:rPr>
  </w:style>
  <w:style w:type="paragraph" w:styleId="10">
    <w:name w:val="footer"/>
    <w:basedOn w:val="1"/>
    <w:link w:val="23"/>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21"/>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footnote text"/>
    <w:basedOn w:val="1"/>
    <w:next w:val="7"/>
    <w:semiHidden/>
    <w:qFormat/>
    <w:uiPriority w:val="0"/>
    <w:pPr>
      <w:snapToGrid w:val="0"/>
      <w:jc w:val="left"/>
    </w:pPr>
    <w:rPr>
      <w:sz w:val="18"/>
      <w:szCs w:val="18"/>
    </w:rPr>
  </w:style>
  <w:style w:type="paragraph" w:styleId="14">
    <w:name w:val="toc 2"/>
    <w:basedOn w:val="1"/>
    <w:next w:val="1"/>
    <w:unhideWhenUsed/>
    <w:qFormat/>
    <w:uiPriority w:val="39"/>
    <w:pPr>
      <w:tabs>
        <w:tab w:val="right" w:leader="dot" w:pos="8296"/>
      </w:tabs>
      <w:ind w:left="420" w:leftChars="200"/>
    </w:pPr>
  </w:style>
  <w:style w:type="character" w:styleId="17">
    <w:name w:val="Strong"/>
    <w:basedOn w:val="16"/>
    <w:qFormat/>
    <w:uiPriority w:val="99"/>
    <w:rPr>
      <w:b/>
    </w:rPr>
  </w:style>
  <w:style w:type="character" w:styleId="18">
    <w:name w:val="Hyperlink"/>
    <w:basedOn w:val="16"/>
    <w:unhideWhenUsed/>
    <w:qFormat/>
    <w:uiPriority w:val="99"/>
    <w:rPr>
      <w:color w:val="0000FF" w:themeColor="hyperlink"/>
      <w:u w:val="single"/>
      <w14:textFill>
        <w14:solidFill>
          <w14:schemeClr w14:val="hlink"/>
        </w14:solidFill>
      </w14:textFill>
    </w:rPr>
  </w:style>
  <w:style w:type="paragraph" w:customStyle="1" w:styleId="19">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0">
    <w:name w:val="Header Char"/>
    <w:basedOn w:val="16"/>
    <w:semiHidden/>
    <w:qFormat/>
    <w:uiPriority w:val="99"/>
    <w:rPr>
      <w:rFonts w:ascii="Times New Roman" w:hAnsi="Times New Roman"/>
      <w:sz w:val="18"/>
      <w:szCs w:val="18"/>
    </w:rPr>
  </w:style>
  <w:style w:type="character" w:customStyle="1" w:styleId="21">
    <w:name w:val="页眉 Char"/>
    <w:link w:val="11"/>
    <w:semiHidden/>
    <w:qFormat/>
    <w:locked/>
    <w:uiPriority w:val="99"/>
    <w:rPr>
      <w:sz w:val="18"/>
    </w:rPr>
  </w:style>
  <w:style w:type="character" w:customStyle="1" w:styleId="22">
    <w:name w:val="Footer Char"/>
    <w:basedOn w:val="16"/>
    <w:semiHidden/>
    <w:qFormat/>
    <w:uiPriority w:val="99"/>
    <w:rPr>
      <w:rFonts w:ascii="Times New Roman" w:hAnsi="Times New Roman"/>
      <w:sz w:val="18"/>
      <w:szCs w:val="18"/>
    </w:rPr>
  </w:style>
  <w:style w:type="character" w:customStyle="1" w:styleId="23">
    <w:name w:val="页脚 Char"/>
    <w:link w:val="10"/>
    <w:qFormat/>
    <w:locked/>
    <w:uiPriority w:val="99"/>
    <w:rPr>
      <w:sz w:val="18"/>
    </w:rPr>
  </w:style>
  <w:style w:type="character" w:customStyle="1" w:styleId="24">
    <w:name w:val="Body Text Char"/>
    <w:basedOn w:val="16"/>
    <w:semiHidden/>
    <w:qFormat/>
    <w:uiPriority w:val="99"/>
    <w:rPr>
      <w:rFonts w:ascii="Times New Roman" w:hAnsi="Times New Roman"/>
      <w:szCs w:val="24"/>
    </w:rPr>
  </w:style>
  <w:style w:type="character" w:customStyle="1" w:styleId="25">
    <w:name w:val="正文文本 Char"/>
    <w:link w:val="2"/>
    <w:qFormat/>
    <w:locked/>
    <w:uiPriority w:val="99"/>
    <w:rPr>
      <w:rFonts w:ascii="仿宋_GB2312" w:hAnsi="Times New Roman" w:eastAsia="仿宋_GB2312"/>
      <w:sz w:val="24"/>
    </w:rPr>
  </w:style>
  <w:style w:type="paragraph" w:customStyle="1" w:styleId="26">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7">
    <w:name w:val="List Paragraph"/>
    <w:basedOn w:val="1"/>
    <w:qFormat/>
    <w:uiPriority w:val="34"/>
    <w:pPr>
      <w:ind w:firstLine="420" w:firstLineChars="200"/>
    </w:pPr>
  </w:style>
  <w:style w:type="character" w:customStyle="1" w:styleId="28">
    <w:name w:val="标题 1 Char"/>
    <w:basedOn w:val="16"/>
    <w:link w:val="3"/>
    <w:qFormat/>
    <w:uiPriority w:val="9"/>
    <w:rPr>
      <w:rFonts w:ascii="Times New Roman" w:hAnsi="Times New Roman"/>
      <w:b/>
      <w:bCs/>
      <w:kern w:val="44"/>
      <w:sz w:val="44"/>
      <w:szCs w:val="44"/>
    </w:rPr>
  </w:style>
  <w:style w:type="character" w:customStyle="1" w:styleId="29">
    <w:name w:val="标题 2 Char"/>
    <w:basedOn w:val="16"/>
    <w:link w:val="4"/>
    <w:qFormat/>
    <w:uiPriority w:val="9"/>
    <w:rPr>
      <w:rFonts w:asciiTheme="majorHAnsi" w:hAnsiTheme="majorHAnsi" w:eastAsiaTheme="majorEastAsia" w:cstheme="majorBidi"/>
      <w:b/>
      <w:bCs/>
      <w:kern w:val="2"/>
      <w:sz w:val="32"/>
      <w:szCs w:val="32"/>
    </w:rPr>
  </w:style>
  <w:style w:type="paragraph" w:customStyle="1" w:styleId="30">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1">
    <w:name w:val="批注框文本 Char"/>
    <w:basedOn w:val="16"/>
    <w:link w:val="9"/>
    <w:semiHidden/>
    <w:qFormat/>
    <w:uiPriority w:val="99"/>
    <w:rPr>
      <w:rFonts w:ascii="Times New Roman" w:hAnsi="Times New Roman"/>
      <w:kern w:val="2"/>
      <w:sz w:val="18"/>
      <w:szCs w:val="18"/>
    </w:rPr>
  </w:style>
  <w:style w:type="character" w:customStyle="1" w:styleId="32">
    <w:name w:val="标题 3 Char"/>
    <w:basedOn w:val="16"/>
    <w:link w:val="5"/>
    <w:qFormat/>
    <w:uiPriority w:val="9"/>
    <w:rPr>
      <w:rFonts w:ascii="Times New Roman" w:hAnsi="Times New Roman"/>
      <w:b/>
      <w:bCs/>
      <w:kern w:val="2"/>
      <w:sz w:val="32"/>
      <w:szCs w:val="32"/>
    </w:rPr>
  </w:style>
  <w:style w:type="paragraph" w:customStyle="1" w:styleId="33">
    <w:name w:val="TOC Heading"/>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4">
    <w:name w:val="四号正文"/>
    <w:basedOn w:val="1"/>
    <w:qFormat/>
    <w:uiPriority w:val="0"/>
    <w:pPr>
      <w:spacing w:line="360" w:lineRule="auto"/>
    </w:pPr>
    <w:rPr>
      <w:rFonts w:ascii="??" w:hAnsi="??" w:eastAsia="宋体"/>
      <w:color w:val="000000"/>
      <w:kern w:val="0"/>
      <w:sz w:val="28"/>
      <w:szCs w:val="21"/>
      <w:lang w:val="zh-CN" w:eastAsia="zh-CN"/>
    </w:rPr>
  </w:style>
  <w:style w:type="paragraph" w:customStyle="1" w:styleId="35">
    <w:name w:val="WPSOffice手动目录 1"/>
    <w:qFormat/>
    <w:uiPriority w:val="0"/>
    <w:rPr>
      <w:rFonts w:ascii="Calibri" w:hAnsi="Calibri" w:eastAsia="宋体" w:cs="Times New Roman"/>
      <w:lang w:val="en-US" w:eastAsia="zh-CN" w:bidi="ar-SA"/>
    </w:rPr>
  </w:style>
  <w:style w:type="paragraph" w:customStyle="1" w:styleId="36">
    <w:name w:val="WPSOffice手动目录 2"/>
    <w:qFormat/>
    <w:uiPriority w:val="0"/>
    <w:pPr>
      <w:ind w:left="200" w:leftChars="200"/>
    </w:pPr>
    <w:rPr>
      <w:rFonts w:ascii="Calibri" w:hAnsi="Calibri" w:eastAsia="宋体" w:cs="Times New Roman"/>
      <w:lang w:val="en-US" w:eastAsia="zh-CN" w:bidi="ar-SA"/>
    </w:rPr>
  </w:style>
  <w:style w:type="paragraph" w:customStyle="1" w:styleId="37">
    <w:name w:val="WPSOffice手动目录 3"/>
    <w:qFormat/>
    <w:uiPriority w:val="0"/>
    <w:pPr>
      <w:ind w:left="400" w:leftChars="400"/>
    </w:pPr>
    <w:rPr>
      <w:rFonts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hart" Target="charts/chart2.xml"/><Relationship Id="rId8" Type="http://schemas.openxmlformats.org/officeDocument/2006/relationships/chart" Target="charts/chart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chart" Target="charts/chart6.xml"/><Relationship Id="rId12" Type="http://schemas.openxmlformats.org/officeDocument/2006/relationships/chart" Target="charts/chart5.xml"/><Relationship Id="rId11" Type="http://schemas.openxmlformats.org/officeDocument/2006/relationships/chart" Target="charts/chart4.xml"/><Relationship Id="rId10" Type="http://schemas.openxmlformats.org/officeDocument/2006/relationships/chart" Target="charts/chart3.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F:\H&#39044;&#31639;&#20915;&#31639;\&#22270;&#34920;.xls"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F:\H&#39044;&#31639;&#20915;&#31639;\&#22270;&#34920;.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F:\H&#39044;&#31639;&#20915;&#31639;\&#22270;&#34920;.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F:\H&#39044;&#31639;&#20915;&#31639;\&#22270;&#34920;.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F:\H&#39044;&#31639;&#20915;&#31639;\&#22270;&#34920;.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F:\H&#39044;&#31639;&#20915;&#31639;\&#22270;&#3492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r>
              <a:t>收、支决算总计变动情况图</a:t>
            </a:r>
            <a:endParaRPr sz="1400" b="0" i="0" u="none" strike="noStrike" baseline="0">
              <a:solidFill>
                <a:srgbClr val="333333"/>
              </a:solidFill>
              <a:latin typeface="微软雅黑" panose="020B0503020204020204" charset="-122"/>
              <a:ea typeface="微软雅黑" panose="020B0503020204020204" charset="-122"/>
              <a:cs typeface="Arial" panose="020B0604020202020204" pitchFamily="2"/>
            </a:endParaRPr>
          </a:p>
        </c:rich>
      </c:tx>
      <c:layout>
        <c:manualLayout>
          <c:x val="0"/>
          <c:y val="-0.01075"/>
        </c:manualLayout>
      </c:layout>
      <c:overlay val="0"/>
    </c:title>
    <c:autoTitleDeleted val="0"/>
    <c:plotArea>
      <c:layout>
        <c:manualLayout>
          <c:layoutTarget val="inner"/>
          <c:xMode val="edge"/>
          <c:yMode val="edge"/>
          <c:x val="0.15075"/>
          <c:y val="0.199"/>
          <c:w val="0.83525"/>
          <c:h val="0.595"/>
        </c:manualLayout>
      </c:layout>
      <c:barChart>
        <c:barDir val="col"/>
        <c:grouping val="clustered"/>
        <c:varyColors val="0"/>
        <c:ser>
          <c:idx val="0"/>
          <c:order val="0"/>
          <c:tx>
            <c:strRef>
              <c:f>[图表.xls]Sheet1!$A$2</c:f>
              <c:strCache>
                <c:ptCount val="1"/>
                <c:pt idx="0">
                  <c:v>      本年收入合计</c:v>
                </c:pt>
              </c:strCache>
            </c:strRef>
          </c:tx>
          <c:spPr>
            <a:solidFill>
              <a:srgbClr val="5B9BD5">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solidFill>
                    <a:latin typeface="宋体" panose="02010600030101010101" charset="-122"/>
                    <a:ea typeface="宋体" panose="02010600030101010101" charset="-122"/>
                    <a:cs typeface="Arial" panose="020B0604020202020204" pitchFamily="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[图表.xls]Sheet1!$B$1:$C$1</c:f>
              <c:strCache>
                <c:ptCount val="2"/>
                <c:pt idx="0">
                  <c:v>2024年</c:v>
                </c:pt>
                <c:pt idx="1">
                  <c:v>2025年</c:v>
                </c:pt>
              </c:strCache>
            </c:strRef>
          </c:cat>
          <c:val>
            <c:numRef>
              <c:f>[图表.xls]Sheet1!$B$2:$C$2</c:f>
              <c:numCache>
                <c:formatCode>General</c:formatCode>
                <c:ptCount val="2"/>
                <c:pt idx="0">
                  <c:v>1559.59</c:v>
                </c:pt>
                <c:pt idx="1">
                  <c:v>1904.95</c:v>
                </c:pt>
              </c:numCache>
            </c:numRef>
          </c:val>
        </c:ser>
        <c:ser>
          <c:idx val="1"/>
          <c:order val="1"/>
          <c:tx>
            <c:strRef>
              <c:f>[图表.xls]Sheet1!$A$3</c:f>
              <c:strCache>
                <c:ptCount val="1"/>
                <c:pt idx="0">
                  <c:v>      本年支出合计</c:v>
                </c:pt>
              </c:strCache>
            </c:strRef>
          </c:tx>
          <c:spPr>
            <a:solidFill>
              <a:srgbClr val="ED7D31">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solidFill>
                    <a:latin typeface="宋体" panose="02010600030101010101" charset="-122"/>
                    <a:ea typeface="宋体" panose="02010600030101010101" charset="-122"/>
                    <a:cs typeface="Arial" panose="020B0604020202020204" pitchFamily="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[图表.xls]Sheet1!$B$1:$C$1</c:f>
              <c:strCache>
                <c:ptCount val="2"/>
                <c:pt idx="0">
                  <c:v>2024年</c:v>
                </c:pt>
                <c:pt idx="1">
                  <c:v>2025年</c:v>
                </c:pt>
              </c:strCache>
            </c:strRef>
          </c:cat>
          <c:val>
            <c:numRef>
              <c:f>[图表.xls]Sheet1!$B$3:$C$3</c:f>
              <c:numCache>
                <c:formatCode>General</c:formatCode>
                <c:ptCount val="2"/>
                <c:pt idx="0">
                  <c:v>1559.59</c:v>
                </c:pt>
                <c:pt idx="1">
                  <c:v>1904.95</c:v>
                </c:pt>
              </c:numCache>
            </c:numRef>
          </c:val>
        </c:ser>
        <c:dLbls>
          <c:showLegendKey val="0"/>
          <c:showVal val="0"/>
          <c:showCatName val="0"/>
          <c:showSerName val="0"/>
          <c:showPercent val="0"/>
          <c:showBubbleSize val="0"/>
        </c:dLbls>
        <c:gapWidth val="219"/>
        <c:overlap val="-10"/>
        <c:axId val="632963608"/>
        <c:axId val="344845546"/>
      </c:barChart>
      <c:catAx>
        <c:axId val="632963608"/>
        <c:scaling>
          <c:orientation val="minMax"/>
        </c:scaling>
        <c:delete val="0"/>
        <c:axPos val="b"/>
        <c:majorTickMark val="none"/>
        <c:minorTickMark val="none"/>
        <c:tickLblPos val="nextTo"/>
        <c:spPr>
          <a:ln w="3175" cap="flat" cmpd="sng" algn="ctr">
            <a:solidFill>
              <a:srgbClr val="F2F2F2">
                <a:alpha val="100000"/>
              </a:srgbClr>
            </a:solidFill>
            <a:prstDash val="solid"/>
            <a:round/>
          </a:ln>
        </c:spPr>
        <c:txPr>
          <a:bodyPr rot="0" spcFirstLastPara="0" vertOverflow="ellipsis" vert="horz" wrap="square" anchor="t" anchorCtr="0"/>
          <a:lstStyle/>
          <a:p>
            <a:pPr>
              <a:defRPr lang="zh-CN" sz="9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crossAx val="344845546"/>
        <c:crosses val="autoZero"/>
        <c:auto val="1"/>
        <c:lblAlgn val="ctr"/>
        <c:lblOffset val="100"/>
        <c:noMultiLvlLbl val="0"/>
      </c:catAx>
      <c:valAx>
        <c:axId val="344845546"/>
        <c:scaling>
          <c:orientation val="minMax"/>
        </c:scaling>
        <c:delete val="0"/>
        <c:axPos val="l"/>
        <c:majorGridlines>
          <c:spPr>
            <a:ln w="3175" cap="flat" cmpd="sng" algn="ctr">
              <a:solidFill>
                <a:srgbClr val="F2F2F2">
                  <a:alpha val="100000"/>
                </a:srgbClr>
              </a:solidFill>
              <a:prstDash val="solid"/>
              <a:round/>
            </a:ln>
          </c:spPr>
        </c:majorGridlines>
        <c:numFmt formatCode="General" sourceLinked="1"/>
        <c:majorTickMark val="none"/>
        <c:minorTickMark val="none"/>
        <c:tickLblPos val="nextTo"/>
        <c:spPr>
          <a:ln w="12700" cap="flat" cmpd="sng" algn="ctr">
            <a:noFill/>
            <a:prstDash val="solid"/>
            <a:round/>
          </a:ln>
        </c:spPr>
        <c:txPr>
          <a:bodyPr rot="0" spcFirstLastPara="0" vertOverflow="ellipsis" vert="horz" wrap="square" anchor="t" anchorCtr="0"/>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crossAx val="632963608"/>
        <c:crosses val="autoZero"/>
        <c:crossBetween val="between"/>
      </c:valAx>
      <c:spPr>
        <a:noFill/>
        <a:ln w="3175">
          <a:noFill/>
        </a:ln>
      </c:spPr>
    </c:plotArea>
    <c:legend>
      <c:legendPos val="r"/>
      <c:layout>
        <c:manualLayout>
          <c:xMode val="edge"/>
          <c:yMode val="edge"/>
          <c:x val="0.33475"/>
          <c:y val="0.8645"/>
          <c:w val="0.328"/>
          <c:h val="0.10175"/>
        </c:manualLayout>
      </c:layout>
      <c:overlay val="0"/>
      <c:spPr>
        <a:noFill/>
        <a:ln w="12700">
          <a:noFill/>
        </a:ln>
      </c:spPr>
      <c:txPr>
        <a:bodyPr rot="0" spcFirstLastPara="0" vertOverflow="ellipsis" vert="horz" wrap="square" anchor="ctr" anchorCtr="1"/>
        <a:lstStyle/>
        <a:p>
          <a:pPr>
            <a:defRPr lang="zh-CN" sz="85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legend>
    <c:plotVisOnly val="1"/>
    <c:dispBlanksAs val="gap"/>
    <c:showDLblsOverMax val="0"/>
  </c:chart>
  <c:spPr>
    <a:solidFill>
      <a:srgbClr val="FFFFFF">
        <a:alpha val="100000"/>
      </a:srgbClr>
    </a:solidFill>
    <a:ln w="3175" cap="flat" cmpd="sng" algn="ctr">
      <a:solidFill>
        <a:srgbClr val="FFFFFF">
          <a:alpha val="100000"/>
        </a:srgbClr>
      </a:solidFill>
      <a:prstDash val="solid"/>
      <a:round/>
    </a:ln>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rgbClr val="808080"/>
                </a:solidFill>
                <a:latin typeface="宋体" panose="02010600030101010101" charset="-122"/>
                <a:ea typeface="宋体" panose="02010600030101010101" charset="-122"/>
                <a:cs typeface="Arial" panose="020B0604020202020204" pitchFamily="2"/>
              </a:defRPr>
            </a:pPr>
            <a:r>
              <a:t>收入决算结构图</a:t>
            </a:r>
            <a:endParaRPr sz="1400" b="1" i="0" u="none" strike="noStrike" baseline="0">
              <a:solidFill>
                <a:srgbClr val="808080"/>
              </a:solidFill>
              <a:latin typeface="宋体" panose="02010600030101010101" charset="-122"/>
              <a:ea typeface="宋体" panose="02010600030101010101" charset="-122"/>
              <a:cs typeface="Arial" panose="020B0604020202020204" pitchFamily="2"/>
            </a:endParaRPr>
          </a:p>
        </c:rich>
      </c:tx>
      <c:layout>
        <c:manualLayout>
          <c:x val="-0.002"/>
          <c:y val="-0.01075"/>
        </c:manualLayout>
      </c:layout>
      <c:overlay val="0"/>
    </c:title>
    <c:autoTitleDeleted val="0"/>
    <c:plotArea>
      <c:layout>
        <c:manualLayout>
          <c:layoutTarget val="inner"/>
          <c:xMode val="edge"/>
          <c:yMode val="edge"/>
          <c:x val="0.11475"/>
          <c:y val="0.2055"/>
          <c:w val="0.4215"/>
          <c:h val="0.70375"/>
        </c:manualLayout>
      </c:layout>
      <c:pieChart>
        <c:varyColors val="1"/>
        <c:ser>
          <c:idx val="0"/>
          <c:order val="0"/>
          <c:spPr>
            <a:solidFill>
              <a:srgbClr val="5B9BD5">
                <a:alpha val="100000"/>
              </a:srgbClr>
            </a:solidFill>
            <a:ln w="3175">
              <a:noFill/>
            </a:ln>
          </c:spPr>
          <c:explosion val="0"/>
          <c:dPt>
            <c:idx val="0"/>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1"/>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2"/>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Lbls>
            <c:dLbl>
              <c:idx val="0"/>
              <c:layout>
                <c:manualLayout>
                  <c:x val="0.413115071233097"/>
                  <c:y val="-0.0308874202904955"/>
                </c:manualLayout>
              </c:layout>
              <c:tx>
                <c:rich>
                  <a:bodyPr rot="0" spcFirstLastPara="0" vertOverflow="ellipsis" vert="horz" wrap="square" lIns="38100" tIns="19050" rIns="38100" bIns="19050" anchor="ctr" anchorCtr="1"/>
                  <a:lstStyle/>
                  <a:p>
                    <a:pPr defTabSz="914400">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r>
                      <a:t>政拨款收入：1892.9</a:t>
                    </a:r>
                  </a:p>
                </c:rich>
              </c:tx>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extLst>
                <c:ext xmlns:c15="http://schemas.microsoft.com/office/drawing/2012/chart" uri="{CE6537A1-D6FC-4f65-9D91-7224C49458BB}">
                  <c15:layout>
                    <c:manualLayout>
                      <c:w val="0.274306528439339"/>
                      <c:h val="0.155775577557756"/>
                    </c:manualLayout>
                  </c15:layout>
                </c:ext>
              </c:extLst>
            </c:dLbl>
            <c:dLbl>
              <c:idx val="1"/>
              <c:layout>
                <c:manualLayout>
                  <c:x val="-0.17855861141279"/>
                  <c:y val="0.00885621654180317"/>
                </c:manualLayout>
              </c:layout>
              <c:tx>
                <c:rich>
                  <a:bodyPr rot="0" spcFirstLastPara="0" vertOverflow="ellipsis" vert="horz" wrap="square" lIns="38100" tIns="19050" rIns="38100" bIns="19050" anchor="ctr" anchorCtr="1"/>
                  <a:lstStyle/>
                  <a:p>
                    <a:pPr defTabSz="914400">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r>
                      <a:t>其他收入：8.05</a:t>
                    </a:r>
                  </a:p>
                </c:rich>
              </c:tx>
              <c:numFmt formatCode="General" sourceLinked="1"/>
              <c:spPr>
                <a:noFill/>
                <a:ln w="12700">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2"/>
              <c:delete val="1"/>
            </c:dLbl>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000000">
                          <a:alpha val="100000"/>
                        </a:srgbClr>
                      </a:solidFill>
                      <a:prstDash val="solid"/>
                      <a:round/>
                    </a:ln>
                  </c:spPr>
                </c15:leaderLines>
              </c:ext>
            </c:extLst>
          </c:dLbls>
          <c:cat>
            <c:strRef>
              <c:f>[图表.xls]Sheet1!$G$1:$H$1</c:f>
              <c:strCache>
                <c:ptCount val="2"/>
                <c:pt idx="0">
                  <c:v>财政拨款收入</c:v>
                </c:pt>
                <c:pt idx="1">
                  <c:v>其他收入</c:v>
                </c:pt>
              </c:strCache>
            </c:strRef>
          </c:cat>
          <c:val>
            <c:numRef>
              <c:f>[图表.xls]Sheet1!$G$2:$I$2</c:f>
              <c:numCache>
                <c:formatCode>General</c:formatCode>
                <c:ptCount val="3"/>
                <c:pt idx="0">
                  <c:v>1896.9</c:v>
                </c:pt>
                <c:pt idx="1">
                  <c:v>8.05</c:v>
                </c:pt>
                <c:pt idx="2">
                  <c:v>0</c:v>
                </c:pt>
              </c:numCache>
            </c:numRef>
          </c:val>
        </c:ser>
        <c:dLbls>
          <c:showLegendKey val="0"/>
          <c:showVal val="0"/>
          <c:showCatName val="0"/>
          <c:showSerName val="0"/>
          <c:showPercent val="0"/>
          <c:showBubbleSize val="0"/>
          <c:showLeaderLines val="1"/>
        </c:dLbls>
        <c:firstSliceAng val="0"/>
      </c:pieChart>
      <c:spPr>
        <a:noFill/>
        <a:ln w="3175">
          <a:noFill/>
        </a:ln>
      </c:spPr>
    </c:plotArea>
    <c:legend>
      <c:legendPos val="r"/>
      <c:legendEntry>
        <c:idx val="2"/>
        <c:delete val="1"/>
      </c:legendEntry>
      <c:layout>
        <c:manualLayout>
          <c:xMode val="edge"/>
          <c:yMode val="edge"/>
          <c:x val="0.590921826842253"/>
          <c:y val="0.4"/>
          <c:w val="0.404875315214346"/>
          <c:h val="0.271067106710671"/>
        </c:manualLayout>
      </c:layout>
      <c:overlay val="0"/>
      <c:spPr>
        <a:solidFill>
          <a:srgbClr val="FFFFFF">
            <a:alpha val="100000"/>
          </a:srgbClr>
        </a:solidFill>
        <a:ln w="12700">
          <a:noFill/>
        </a:ln>
      </c:spPr>
      <c:txPr>
        <a:bodyPr rot="0" spcFirstLastPara="0" vertOverflow="ellipsis" vert="horz" wrap="square" anchor="ctr" anchorCtr="1"/>
        <a:lstStyle/>
        <a:p>
          <a:pPr>
            <a:defRPr lang="zh-CN" sz="85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legend>
    <c:plotVisOnly val="1"/>
    <c:dispBlanksAs val="zero"/>
    <c:showDLblsOverMax val="0"/>
  </c:chart>
  <c:spPr>
    <a:ln w="3175" cap="flat" cmpd="sng" algn="ctr">
      <a:solidFill>
        <a:srgbClr val="C0C0C0">
          <a:alpha val="100000"/>
        </a:srgbClr>
      </a:solidFill>
      <a:prstDash val="solid"/>
      <a:round/>
    </a:ln>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rgbClr val="808080"/>
                </a:solidFill>
                <a:latin typeface="宋体" panose="02010600030101010101" charset="-122"/>
                <a:ea typeface="宋体" panose="02010600030101010101" charset="-122"/>
                <a:cs typeface="Arial" panose="020B0604020202020204" pitchFamily="2"/>
              </a:defRPr>
            </a:pPr>
            <a:r>
              <a:t>支出决算结构图</a:t>
            </a:r>
            <a:endParaRPr sz="1400" b="1" i="0" u="none" strike="noStrike" baseline="0">
              <a:solidFill>
                <a:srgbClr val="808080"/>
              </a:solidFill>
              <a:latin typeface="宋体" panose="02010600030101010101" charset="-122"/>
              <a:ea typeface="宋体" panose="02010600030101010101" charset="-122"/>
              <a:cs typeface="Arial" panose="020B0604020202020204" pitchFamily="2"/>
            </a:endParaRPr>
          </a:p>
        </c:rich>
      </c:tx>
      <c:layout>
        <c:manualLayout>
          <c:x val="-0.0015"/>
          <c:y val="-0.01075"/>
        </c:manualLayout>
      </c:layout>
      <c:overlay val="0"/>
    </c:title>
    <c:autoTitleDeleted val="0"/>
    <c:plotArea>
      <c:layout>
        <c:manualLayout>
          <c:layoutTarget val="inner"/>
          <c:xMode val="edge"/>
          <c:yMode val="edge"/>
          <c:x val="0.236358850625137"/>
          <c:y val="0.206832460732984"/>
          <c:w val="0.347637639833297"/>
          <c:h val="0.691483420593368"/>
        </c:manualLayout>
      </c:layout>
      <c:pieChart>
        <c:varyColors val="1"/>
        <c:ser>
          <c:idx val="0"/>
          <c:order val="0"/>
          <c:spPr>
            <a:solidFill>
              <a:srgbClr val="5B9BD5">
                <a:alpha val="100000"/>
              </a:srgbClr>
            </a:solidFill>
            <a:ln w="3175">
              <a:noFill/>
            </a:ln>
          </c:spPr>
          <c:explosion val="0"/>
          <c:dPt>
            <c:idx val="0"/>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1"/>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Lbls>
            <c:dLbl>
              <c:idx val="0"/>
              <c:layout>
                <c:manualLayout>
                  <c:x val="0.180763435647129"/>
                  <c:y val="-0.0128020511919896"/>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rgbClr val="000000"/>
                        </a:solidFill>
                        <a:latin typeface="宋体" panose="02010600030101010101" charset="-122"/>
                        <a:ea typeface="宋体" panose="02010600030101010101" charset="-122"/>
                        <a:cs typeface="宋体" panose="02010600030101010101" charset="-122"/>
                      </a:defRPr>
                    </a:pPr>
                    <a:r>
                      <a:t>基本支出：1,570.69</a:t>
                    </a:r>
                  </a:p>
                </c:rich>
              </c:tx>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000000"/>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16160085627896"/>
                  <c:y val="0.0426330458322"/>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rgbClr val="000000"/>
                        </a:solidFill>
                        <a:latin typeface="宋体" panose="02010600030101010101" charset="-122"/>
                        <a:ea typeface="宋体" panose="02010600030101010101" charset="-122"/>
                        <a:cs typeface="宋体" panose="02010600030101010101" charset="-122"/>
                      </a:defRPr>
                    </a:pPr>
                    <a:r>
                      <a:t>项目支出：334.26</a:t>
                    </a:r>
                  </a:p>
                </c:rich>
              </c:tx>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000000"/>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000000">
                          <a:alpha val="100000"/>
                        </a:srgbClr>
                      </a:solidFill>
                      <a:prstDash val="solid"/>
                      <a:round/>
                    </a:ln>
                  </c:spPr>
                </c15:leaderLines>
              </c:ext>
            </c:extLst>
          </c:dLbls>
          <c:cat>
            <c:strRef>
              <c:f>[图表.xls]Sheet1!$A$22:$B$22</c:f>
              <c:strCache>
                <c:ptCount val="2"/>
                <c:pt idx="0">
                  <c:v>基本支出</c:v>
                </c:pt>
                <c:pt idx="1">
                  <c:v>项目支出</c:v>
                </c:pt>
              </c:strCache>
            </c:strRef>
          </c:cat>
          <c:val>
            <c:numRef>
              <c:f>[图表.xls]Sheet1!$A$23:$B$23</c:f>
              <c:numCache>
                <c:formatCode>#,##0.00</c:formatCode>
                <c:ptCount val="2"/>
                <c:pt idx="0">
                  <c:v>1570.69</c:v>
                </c:pt>
                <c:pt idx="1" c:formatCode="General">
                  <c:v>334.26</c:v>
                </c:pt>
              </c:numCache>
            </c:numRef>
          </c:val>
        </c:ser>
        <c:dLbls>
          <c:showLegendKey val="0"/>
          <c:showVal val="0"/>
          <c:showCatName val="0"/>
          <c:showSerName val="0"/>
          <c:showPercent val="0"/>
          <c:showBubbleSize val="0"/>
          <c:showLeaderLines val="1"/>
        </c:dLbls>
        <c:firstSliceAng val="0"/>
      </c:pieChart>
      <c:spPr>
        <a:noFill/>
        <a:ln w="3175">
          <a:noFill/>
        </a:ln>
      </c:spPr>
    </c:plotArea>
    <c:legend>
      <c:legendPos val="r"/>
      <c:layout>
        <c:manualLayout>
          <c:xMode val="edge"/>
          <c:yMode val="edge"/>
          <c:x val="0.764095677806965"/>
          <c:y val="0.456806282722513"/>
          <c:w val="0.150363258951738"/>
          <c:h val="0.157286212914485"/>
        </c:manualLayout>
      </c:layout>
      <c:overlay val="0"/>
      <c:spPr>
        <a:solidFill>
          <a:srgbClr val="FFFFFF">
            <a:alpha val="100000"/>
          </a:srgbClr>
        </a:solidFill>
        <a:ln w="12700">
          <a:noFill/>
        </a:ln>
      </c:spPr>
      <c:txPr>
        <a:bodyPr rot="0" spcFirstLastPara="0" vertOverflow="ellipsis" vert="horz" wrap="square" anchor="ctr" anchorCtr="1"/>
        <a:lstStyle/>
        <a:p>
          <a:pPr>
            <a:defRPr lang="zh-CN" sz="85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legend>
    <c:plotVisOnly val="1"/>
    <c:dispBlanksAs val="zero"/>
    <c:showDLblsOverMax val="0"/>
  </c:chart>
  <c:spPr>
    <a:pattFill prst="dkDnDiag">
      <a:fgClr>
        <a:srgbClr val="FFFFFF">
          <a:alpha val="100000"/>
        </a:srgbClr>
      </a:fgClr>
      <a:bgClr>
        <a:srgbClr val="FFFFFF">
          <a:alpha val="100000"/>
        </a:srgbClr>
      </a:bgClr>
    </a:pattFill>
    <a:ln w="3175" cap="flat" cmpd="sng" algn="ctr">
      <a:solidFill>
        <a:srgbClr val="C0C0C0">
          <a:alpha val="100000"/>
        </a:srgbClr>
      </a:solidFill>
      <a:prstDash val="solid"/>
      <a:round/>
    </a:ln>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r>
              <a:t>财政拨款收、支决算总计变动情况</a:t>
            </a:r>
            <a:endParaRPr sz="1400" b="0" i="0" u="none" strike="noStrike" baseline="0">
              <a:solidFill>
                <a:srgbClr val="333333"/>
              </a:solidFill>
              <a:latin typeface="微软雅黑" panose="020B0503020204020204" charset="-122"/>
              <a:ea typeface="微软雅黑" panose="020B0503020204020204" charset="-122"/>
              <a:cs typeface="Arial" panose="020B0604020202020204" pitchFamily="2"/>
            </a:endParaRPr>
          </a:p>
        </c:rich>
      </c:tx>
      <c:layout>
        <c:manualLayout>
          <c:x val="0"/>
          <c:y val="-0.01425"/>
        </c:manualLayout>
      </c:layout>
      <c:overlay val="0"/>
    </c:title>
    <c:autoTitleDeleted val="0"/>
    <c:plotArea>
      <c:layout>
        <c:manualLayout>
          <c:layoutTarget val="inner"/>
          <c:xMode val="edge"/>
          <c:yMode val="edge"/>
          <c:x val="0.254590846047157"/>
          <c:y val="0.10517246414907"/>
          <c:w val="0.525159500693481"/>
          <c:h val="0.718019801980198"/>
        </c:manualLayout>
      </c:layout>
      <c:barChart>
        <c:barDir val="col"/>
        <c:grouping val="clustered"/>
        <c:varyColors val="0"/>
        <c:ser>
          <c:idx val="0"/>
          <c:order val="0"/>
          <c:tx>
            <c:strRef>
              <c:f>[图表.xls]Sheet1!$G$23</c:f>
              <c:strCache>
                <c:ptCount val="1"/>
                <c:pt idx="0">
                  <c:v>      本年财政拨款收入合计</c:v>
                </c:pt>
              </c:strCache>
            </c:strRef>
          </c:tx>
          <c:spPr>
            <a:solidFill>
              <a:srgbClr val="5B9BD5">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000000"/>
                    </a:solidFill>
                    <a:latin typeface="宋体" panose="02010600030101010101" charset="-122"/>
                    <a:ea typeface="宋体" panose="02010600030101010101" charset="-122"/>
                    <a:cs typeface="Arial" panose="020B0604020202020204" pitchFamily="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[图表.xls]Sheet1!$H$22:$I$22</c:f>
              <c:strCache>
                <c:ptCount val="2"/>
                <c:pt idx="0">
                  <c:v>2024年</c:v>
                </c:pt>
                <c:pt idx="1">
                  <c:v>2025年</c:v>
                </c:pt>
              </c:strCache>
            </c:strRef>
          </c:cat>
          <c:val>
            <c:numRef>
              <c:f>[图表.xls]Sheet1!$H$23:$I$23</c:f>
              <c:numCache>
                <c:formatCode>General</c:formatCode>
                <c:ptCount val="2"/>
                <c:pt idx="0">
                  <c:v>1559.59</c:v>
                </c:pt>
                <c:pt idx="1">
                  <c:v>1896.9</c:v>
                </c:pt>
              </c:numCache>
            </c:numRef>
          </c:val>
        </c:ser>
        <c:ser>
          <c:idx val="1"/>
          <c:order val="1"/>
          <c:tx>
            <c:strRef>
              <c:f>[图表.xls]Sheet1!$G$24</c:f>
              <c:strCache>
                <c:ptCount val="1"/>
                <c:pt idx="0">
                  <c:v>      本年财政拨款支出合计</c:v>
                </c:pt>
              </c:strCache>
            </c:strRef>
          </c:tx>
          <c:spPr>
            <a:solidFill>
              <a:srgbClr val="ED7D31">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000000"/>
                    </a:solidFill>
                    <a:latin typeface="宋体" panose="02010600030101010101" charset="-122"/>
                    <a:ea typeface="宋体" panose="02010600030101010101" charset="-122"/>
                    <a:cs typeface="Arial" panose="020B0604020202020204" pitchFamily="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[图表.xls]Sheet1!$H$22:$I$22</c:f>
              <c:strCache>
                <c:ptCount val="2"/>
                <c:pt idx="0">
                  <c:v>2024年</c:v>
                </c:pt>
                <c:pt idx="1">
                  <c:v>2025年</c:v>
                </c:pt>
              </c:strCache>
            </c:strRef>
          </c:cat>
          <c:val>
            <c:numRef>
              <c:f>[图表.xls]Sheet1!$H$24:$I$24</c:f>
              <c:numCache>
                <c:formatCode>General</c:formatCode>
                <c:ptCount val="2"/>
                <c:pt idx="0">
                  <c:v>1559.59</c:v>
                </c:pt>
                <c:pt idx="1">
                  <c:v>1896.9</c:v>
                </c:pt>
              </c:numCache>
            </c:numRef>
          </c:val>
        </c:ser>
        <c:dLbls>
          <c:showLegendKey val="0"/>
          <c:showVal val="0"/>
          <c:showCatName val="0"/>
          <c:showSerName val="0"/>
          <c:showPercent val="0"/>
          <c:showBubbleSize val="0"/>
        </c:dLbls>
        <c:gapWidth val="219"/>
        <c:overlap val="-10"/>
        <c:axId val="992055891"/>
        <c:axId val="160869281"/>
      </c:barChart>
      <c:catAx>
        <c:axId val="992055891"/>
        <c:scaling>
          <c:orientation val="minMax"/>
        </c:scaling>
        <c:delete val="0"/>
        <c:axPos val="b"/>
        <c:majorTickMark val="none"/>
        <c:minorTickMark val="none"/>
        <c:tickLblPos val="nextTo"/>
        <c:spPr>
          <a:ln w="3175" cap="flat" cmpd="sng" algn="ctr">
            <a:solidFill>
              <a:srgbClr val="000000">
                <a:alpha val="100000"/>
              </a:srgbClr>
            </a:solidFill>
            <a:prstDash val="solid"/>
            <a:round/>
          </a:ln>
        </c:spPr>
        <c:txPr>
          <a:bodyPr rot="0" spcFirstLastPara="0" vertOverflow="ellipsis" vert="horz" wrap="square" anchor="t" anchorCtr="0"/>
          <a:lstStyle/>
          <a:p>
            <a:pPr>
              <a:defRPr lang="zh-CN" sz="9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crossAx val="160869281"/>
        <c:crosses val="autoZero"/>
        <c:auto val="1"/>
        <c:lblAlgn val="ctr"/>
        <c:lblOffset val="100"/>
        <c:noMultiLvlLbl val="0"/>
      </c:catAx>
      <c:valAx>
        <c:axId val="160869281"/>
        <c:scaling>
          <c:orientation val="minMax"/>
        </c:scaling>
        <c:delete val="0"/>
        <c:axPos val="l"/>
        <c:majorGridlines>
          <c:spPr>
            <a:ln w="3175" cap="flat" cmpd="sng" algn="ctr">
              <a:solidFill>
                <a:srgbClr val="000000">
                  <a:alpha val="100000"/>
                </a:srgbClr>
              </a:solidFill>
              <a:prstDash val="solid"/>
              <a:round/>
            </a:ln>
          </c:spPr>
        </c:majorGridlines>
        <c:numFmt formatCode="General" sourceLinked="1"/>
        <c:majorTickMark val="none"/>
        <c:minorTickMark val="none"/>
        <c:tickLblPos val="nextTo"/>
        <c:spPr>
          <a:ln w="12700" cap="flat" cmpd="sng" algn="ctr">
            <a:noFill/>
            <a:prstDash val="solid"/>
            <a:round/>
          </a:ln>
        </c:spPr>
        <c:txPr>
          <a:bodyPr rot="0" spcFirstLastPara="0" vertOverflow="ellipsis" vert="horz" wrap="square" anchor="t" anchorCtr="0"/>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crossAx val="992055891"/>
        <c:crosses val="autoZero"/>
        <c:crossBetween val="between"/>
      </c:valAx>
      <c:spPr>
        <a:noFill/>
        <a:ln w="3175">
          <a:noFill/>
        </a:ln>
      </c:spPr>
    </c:plotArea>
    <c:legend>
      <c:legendPos val="r"/>
      <c:layout>
        <c:manualLayout>
          <c:xMode val="edge"/>
          <c:yMode val="edge"/>
          <c:x val="0.1895"/>
          <c:y val="0.8645"/>
          <c:w val="0.61925"/>
          <c:h val="0.10175"/>
        </c:manualLayout>
      </c:layout>
      <c:overlay val="0"/>
      <c:spPr>
        <a:noFill/>
        <a:ln w="12700">
          <a:noFill/>
        </a:ln>
      </c:spPr>
      <c:txPr>
        <a:bodyPr rot="0" spcFirstLastPara="0" vertOverflow="ellipsis" vert="horz" wrap="square" anchor="ctr" anchorCtr="1"/>
        <a:lstStyle/>
        <a:p>
          <a:pPr>
            <a:defRPr lang="zh-CN" sz="85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legend>
    <c:plotVisOnly val="1"/>
    <c:dispBlanksAs val="gap"/>
    <c:showDLblsOverMax val="0"/>
  </c:chart>
  <c:spPr>
    <a:solidFill>
      <a:srgbClr val="FFFFFF">
        <a:alpha val="100000"/>
      </a:srgbClr>
    </a:solidFill>
    <a:ln w="3175" cap="flat" cmpd="sng" algn="ctr">
      <a:solidFill>
        <a:srgbClr val="FFFFFF">
          <a:alpha val="100000"/>
        </a:srgbClr>
      </a:solidFill>
      <a:prstDash val="solid"/>
      <a:round/>
    </a:ln>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r>
              <a:t>一般公共预算财政拨款支出决算变动情况</a:t>
            </a:r>
            <a:endParaRPr sz="1400" b="0" i="0" u="none" strike="noStrike" baseline="0">
              <a:solidFill>
                <a:srgbClr val="333333"/>
              </a:solidFill>
              <a:latin typeface="微软雅黑" panose="020B0503020204020204" charset="-122"/>
              <a:ea typeface="微软雅黑" panose="020B0503020204020204" charset="-122"/>
              <a:cs typeface="Arial" panose="020B0604020202020204" pitchFamily="2"/>
            </a:endParaRPr>
          </a:p>
        </c:rich>
      </c:tx>
      <c:layout>
        <c:manualLayout>
          <c:x val="-0.00175"/>
          <c:y val="-0.01075"/>
        </c:manualLayout>
      </c:layout>
      <c:overlay val="0"/>
    </c:title>
    <c:autoTitleDeleted val="0"/>
    <c:plotArea>
      <c:layout>
        <c:manualLayout>
          <c:layoutTarget val="inner"/>
          <c:xMode val="edge"/>
          <c:yMode val="edge"/>
          <c:x val="0.121050084684249"/>
          <c:y val="0.170065789473684"/>
          <c:w val="0.854149528187757"/>
          <c:h val="0.621798245614035"/>
        </c:manualLayout>
      </c:layout>
      <c:barChart>
        <c:barDir val="col"/>
        <c:grouping val="clustered"/>
        <c:varyColors val="0"/>
        <c:ser>
          <c:idx val="0"/>
          <c:order val="0"/>
          <c:tx>
            <c:strRef>
              <c:f>[图表.xls]Sheet1!$A$44</c:f>
              <c:strCache>
                <c:ptCount val="1"/>
                <c:pt idx="0">
                  <c:v>一般公共预算财政拨款支出</c:v>
                </c:pt>
              </c:strCache>
            </c:strRef>
          </c:tx>
          <c:spPr>
            <a:solidFill>
              <a:srgbClr val="5B9BD5">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solidFill>
                    <a:latin typeface="宋体" panose="02010600030101010101" charset="-122"/>
                    <a:ea typeface="宋体" panose="02010600030101010101" charset="-122"/>
                    <a:cs typeface="Arial" panose="020B0604020202020204" pitchFamily="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[图表.xls]Sheet1!$B$43:$C$43</c:f>
              <c:strCache>
                <c:ptCount val="2"/>
                <c:pt idx="0">
                  <c:v>2024年</c:v>
                </c:pt>
                <c:pt idx="1">
                  <c:v>2025年</c:v>
                </c:pt>
              </c:strCache>
            </c:strRef>
          </c:cat>
          <c:val>
            <c:numRef>
              <c:f>[图表.xls]Sheet1!$B$44:$C$44</c:f>
              <c:numCache>
                <c:formatCode>General</c:formatCode>
                <c:ptCount val="2"/>
                <c:pt idx="0">
                  <c:v>1559.59</c:v>
                </c:pt>
                <c:pt idx="1">
                  <c:v>1892.9</c:v>
                </c:pt>
              </c:numCache>
            </c:numRef>
          </c:val>
        </c:ser>
        <c:dLbls>
          <c:showLegendKey val="0"/>
          <c:showVal val="0"/>
          <c:showCatName val="0"/>
          <c:showSerName val="0"/>
          <c:showPercent val="0"/>
          <c:showBubbleSize val="0"/>
        </c:dLbls>
        <c:gapWidth val="219"/>
        <c:overlap val="-10"/>
        <c:axId val="38567576"/>
        <c:axId val="481917110"/>
      </c:barChart>
      <c:catAx>
        <c:axId val="38567576"/>
        <c:scaling>
          <c:orientation val="minMax"/>
        </c:scaling>
        <c:delete val="0"/>
        <c:axPos val="b"/>
        <c:majorTickMark val="none"/>
        <c:minorTickMark val="none"/>
        <c:tickLblPos val="nextTo"/>
        <c:spPr>
          <a:ln w="3175" cap="flat" cmpd="sng" algn="ctr">
            <a:solidFill>
              <a:srgbClr val="000000">
                <a:alpha val="100000"/>
              </a:srgbClr>
            </a:solidFill>
            <a:prstDash val="solid"/>
            <a:round/>
          </a:ln>
        </c:spPr>
        <c:txPr>
          <a:bodyPr rot="0" spcFirstLastPara="0" vertOverflow="ellipsis" vert="horz" wrap="square" anchor="t" anchorCtr="0"/>
          <a:lstStyle/>
          <a:p>
            <a:pPr>
              <a:defRPr lang="zh-CN" sz="9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crossAx val="481917110"/>
        <c:crosses val="autoZero"/>
        <c:auto val="1"/>
        <c:lblAlgn val="ctr"/>
        <c:lblOffset val="100"/>
        <c:noMultiLvlLbl val="0"/>
      </c:catAx>
      <c:valAx>
        <c:axId val="481917110"/>
        <c:scaling>
          <c:orientation val="minMax"/>
        </c:scaling>
        <c:delete val="0"/>
        <c:axPos val="l"/>
        <c:majorGridlines>
          <c:spPr>
            <a:ln w="3175" cap="flat" cmpd="sng" algn="ctr">
              <a:solidFill>
                <a:srgbClr val="000000">
                  <a:alpha val="100000"/>
                </a:srgbClr>
              </a:solidFill>
              <a:prstDash val="solid"/>
              <a:round/>
            </a:ln>
          </c:spPr>
        </c:majorGridlines>
        <c:numFmt formatCode="General" sourceLinked="1"/>
        <c:majorTickMark val="none"/>
        <c:minorTickMark val="none"/>
        <c:tickLblPos val="nextTo"/>
        <c:spPr>
          <a:ln w="12700" cap="flat" cmpd="sng" algn="ctr">
            <a:noFill/>
            <a:prstDash val="solid"/>
            <a:round/>
          </a:ln>
        </c:spPr>
        <c:txPr>
          <a:bodyPr rot="0" spcFirstLastPara="0" vertOverflow="ellipsis" vert="horz" wrap="square" anchor="t" anchorCtr="0"/>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crossAx val="38567576"/>
        <c:crosses val="autoZero"/>
        <c:crossBetween val="between"/>
      </c:valAx>
      <c:spPr>
        <a:noFill/>
        <a:ln w="3175">
          <a:noFill/>
        </a:ln>
      </c:spPr>
    </c:plotArea>
    <c:legend>
      <c:legendPos val="r"/>
      <c:layout>
        <c:manualLayout>
          <c:xMode val="edge"/>
          <c:yMode val="edge"/>
          <c:x val="0.39875"/>
          <c:y val="0.723"/>
          <c:w val="0.30225"/>
          <c:h val="0.2675"/>
        </c:manualLayout>
      </c:layout>
      <c:overlay val="0"/>
      <c:spPr>
        <a:noFill/>
        <a:ln w="12700">
          <a:noFill/>
        </a:ln>
      </c:spPr>
      <c:txPr>
        <a:bodyPr rot="0" spcFirstLastPara="0" vertOverflow="ellipsis" vert="horz" wrap="square" anchor="ctr" anchorCtr="1"/>
        <a:lstStyle/>
        <a:p>
          <a:pPr>
            <a:defRPr lang="zh-CN" sz="85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legend>
    <c:plotVisOnly val="1"/>
    <c:dispBlanksAs val="gap"/>
    <c:showDLblsOverMax val="0"/>
  </c:chart>
  <c:spPr>
    <a:solidFill>
      <a:srgbClr val="FFFFFF">
        <a:alpha val="100000"/>
      </a:srgbClr>
    </a:solidFill>
    <a:ln w="3175" cap="flat" cmpd="sng" algn="ctr">
      <a:solidFill>
        <a:srgbClr val="FFFFFF">
          <a:alpha val="100000"/>
        </a:srgbClr>
      </a:solidFill>
      <a:prstDash val="solid"/>
      <a:round/>
    </a:ln>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rgbClr val="808080"/>
                </a:solidFill>
                <a:latin typeface="宋体" panose="02010600030101010101" charset="-122"/>
                <a:ea typeface="宋体" panose="02010600030101010101" charset="-122"/>
                <a:cs typeface="Arial" panose="020B0604020202020204" pitchFamily="2"/>
              </a:defRPr>
            </a:pPr>
            <a:r>
              <a:t>一般公共预算财政拨款支出决算结构</a:t>
            </a:r>
            <a:endParaRPr sz="1400" b="1" i="0" u="none" strike="noStrike" baseline="0">
              <a:solidFill>
                <a:srgbClr val="808080"/>
              </a:solidFill>
              <a:latin typeface="宋体" panose="02010600030101010101" charset="-122"/>
              <a:ea typeface="宋体" panose="02010600030101010101" charset="-122"/>
              <a:cs typeface="Arial" panose="020B0604020202020204" pitchFamily="2"/>
            </a:endParaRPr>
          </a:p>
        </c:rich>
      </c:tx>
      <c:layout>
        <c:manualLayout>
          <c:x val="-0.002"/>
          <c:y val="0.889"/>
        </c:manualLayout>
      </c:layout>
      <c:overlay val="0"/>
    </c:title>
    <c:autoTitleDeleted val="0"/>
    <c:plotArea>
      <c:layout/>
      <c:pieChart>
        <c:varyColors val="1"/>
        <c:ser>
          <c:idx val="0"/>
          <c:order val="0"/>
          <c:spPr>
            <a:solidFill>
              <a:srgbClr val="5B9BD5">
                <a:alpha val="100000"/>
              </a:srgbClr>
            </a:solidFill>
            <a:ln w="3175">
              <a:noFill/>
            </a:ln>
          </c:spPr>
          <c:explosion val="0"/>
          <c:dPt>
            <c:idx val="0"/>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1"/>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2"/>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3"/>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Lbls>
            <c:dLbl>
              <c:idx val="0"/>
              <c:layout>
                <c:manualLayout>
                  <c:x val="0.105450438617124"/>
                  <c:y val="-0.0248743171675862"/>
                </c:manualLayout>
              </c:layout>
              <c:tx>
                <c:rich>
                  <a:bodyPr rot="0" spcFirstLastPara="0" vertOverflow="ellipsis" vert="horz" wrap="square" lIns="38100" tIns="19050" rIns="38100" bIns="19050" anchor="ctr" anchorCtr="1"/>
                  <a:lstStyle/>
                  <a:p>
                    <a:pPr defTabSz="914400">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r>
                      <a:t>教育支出：1472.45</a:t>
                    </a:r>
                  </a:p>
                </c:rich>
              </c:tx>
              <c:numFmt formatCode="General" sourceLinked="1"/>
              <c:spPr>
                <a:noFill/>
                <a:ln w="12700">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extLst>
                <c:ext xmlns:c15="http://schemas.microsoft.com/office/drawing/2012/chart" uri="{CE6537A1-D6FC-4f65-9D91-7224C49458BB}">
                  <c15:layout>
                    <c:manualLayout>
                      <c:w val="0.180192150449714"/>
                      <c:h val="0.0613917698226832"/>
                    </c:manualLayout>
                  </c15:layout>
                </c:ext>
              </c:extLst>
            </c:dLbl>
            <c:dLbl>
              <c:idx val="1"/>
              <c:layout>
                <c:manualLayout>
                  <c:x val="-0.0622691292875989"/>
                  <c:y val="0.0471864358227161"/>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rgbClr val="000000"/>
                        </a:solidFill>
                        <a:latin typeface="宋体" panose="02010600030101010101" charset="-122"/>
                        <a:ea typeface="宋体" panose="02010600030101010101" charset="-122"/>
                        <a:cs typeface="宋体" panose="02010600030101010101" charset="-122"/>
                      </a:defRPr>
                    </a:pPr>
                    <a:r>
                      <a:t>社会保障和就业支出：217.01</a:t>
                    </a:r>
                  </a:p>
                </c:rich>
              </c:tx>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000000"/>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manualLayout>
                      <c:w val="0.132256745707277"/>
                      <c:h val="0.152893944463031"/>
                    </c:manualLayout>
                  </c15:layout>
                </c:ext>
              </c:extLst>
            </c:dLbl>
            <c:dLbl>
              <c:idx val="2"/>
              <c:layout>
                <c:manualLayout>
                  <c:x val="-0.114462107699565"/>
                  <c:y val="0.0398397182623823"/>
                </c:manualLayout>
              </c:layout>
              <c:tx>
                <c:rich>
                  <a:bodyPr rot="0" spcFirstLastPara="0" vertOverflow="ellipsis" vert="horz" wrap="square" lIns="38100" tIns="19050" rIns="38100" bIns="19050" anchor="ctr" anchorCtr="1"/>
                  <a:lstStyle/>
                  <a:p>
                    <a:pPr defTabSz="914400">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r>
                      <a:t>医疗卫生与计划生育支出：82.06</a:t>
                    </a:r>
                  </a:p>
                </c:rich>
              </c:tx>
              <c:numFmt formatCode="General" sourceLinked="1"/>
              <c:spPr>
                <a:noFill/>
                <a:ln w="12700">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0.0356837401749068"/>
                  <c:y val="-0.0281265329515699"/>
                </c:manualLayout>
              </c:layout>
              <c:tx>
                <c:rich>
                  <a:bodyPr rot="0" spcFirstLastPara="0" vertOverflow="ellipsis" vert="horz" wrap="square" lIns="38100" tIns="19050" rIns="38100" bIns="19050" anchor="ctr" anchorCtr="1"/>
                  <a:lstStyle/>
                  <a:p>
                    <a:pPr defTabSz="914400">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r>
                      <a:t>住房保障支出：121.39</a:t>
                    </a:r>
                  </a:p>
                </c:rich>
              </c:tx>
              <c:numFmt formatCode="General" sourceLinked="1"/>
              <c:spPr>
                <a:noFill/>
                <a:ln w="12700">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extLst>
                <c:ext xmlns:c15="http://schemas.microsoft.com/office/drawing/2012/chart" uri="{CE6537A1-D6FC-4f65-9D91-7224C49458BB}">
                  <c15:layout>
                    <c:manualLayout>
                      <c:w val="0.2573055028463"/>
                      <c:h val="0.10152703260421"/>
                    </c:manualLayout>
                  </c15:layout>
                </c:ext>
              </c:extLst>
            </c:dLbl>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000000">
                          <a:alpha val="100000"/>
                        </a:srgbClr>
                      </a:solidFill>
                      <a:prstDash val="solid"/>
                      <a:round/>
                    </a:ln>
                  </c:spPr>
                </c15:leaderLines>
              </c:ext>
            </c:extLst>
          </c:dLbls>
          <c:cat>
            <c:strRef>
              <c:f>[图表.xls]Sheet1!$A$64:$D$64</c:f>
              <c:strCache>
                <c:ptCount val="4"/>
                <c:pt idx="0">
                  <c:v>教育支出</c:v>
                </c:pt>
                <c:pt idx="1">
                  <c:v>社会保障和就业支出</c:v>
                </c:pt>
                <c:pt idx="2">
                  <c:v>医疗卫生与计划生育支出</c:v>
                </c:pt>
                <c:pt idx="3">
                  <c:v>住房保障支出</c:v>
                </c:pt>
              </c:strCache>
            </c:strRef>
          </c:cat>
          <c:val>
            <c:numRef>
              <c:f>[图表.xls]Sheet1!$A$65:$D$65</c:f>
              <c:numCache>
                <c:formatCode>General</c:formatCode>
                <c:ptCount val="4"/>
                <c:pt idx="0">
                  <c:v>1472.45</c:v>
                </c:pt>
                <c:pt idx="1">
                  <c:v>217.01</c:v>
                </c:pt>
                <c:pt idx="2">
                  <c:v>82.06</c:v>
                </c:pt>
                <c:pt idx="3">
                  <c:v>121.39</c:v>
                </c:pt>
              </c:numCache>
            </c:numRef>
          </c:val>
        </c:ser>
        <c:dLbls>
          <c:showLegendKey val="0"/>
          <c:showVal val="0"/>
          <c:showCatName val="0"/>
          <c:showSerName val="0"/>
          <c:showPercent val="0"/>
          <c:showBubbleSize val="0"/>
          <c:showLeaderLines val="1"/>
        </c:dLbls>
        <c:firstSliceAng val="0"/>
      </c:pieChart>
      <c:spPr>
        <a:noFill/>
        <a:ln w="3175">
          <a:noFill/>
        </a:ln>
      </c:spPr>
    </c:plotArea>
    <c:legend>
      <c:legendPos val="r"/>
      <c:layout>
        <c:manualLayout>
          <c:xMode val="edge"/>
          <c:yMode val="edge"/>
          <c:x val="0.631246046805819"/>
          <c:y val="0.262590719155487"/>
          <c:w val="0.313725490196078"/>
          <c:h val="0.464702001319551"/>
        </c:manualLayout>
      </c:layout>
      <c:overlay val="0"/>
      <c:spPr>
        <a:solidFill>
          <a:srgbClr val="FFFFFF">
            <a:alpha val="100000"/>
          </a:srgbClr>
        </a:solidFill>
        <a:ln w="12700">
          <a:noFill/>
        </a:ln>
      </c:spPr>
      <c:txPr>
        <a:bodyPr rot="0" spcFirstLastPara="0" vertOverflow="ellipsis" vert="horz" wrap="square" anchor="ctr" anchorCtr="1"/>
        <a:lstStyle/>
        <a:p>
          <a:pPr>
            <a:defRPr lang="zh-CN" sz="85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legend>
    <c:plotVisOnly val="1"/>
    <c:dispBlanksAs val="zero"/>
    <c:showDLblsOverMax val="0"/>
  </c:chart>
  <c:spPr>
    <a:pattFill prst="dkDnDiag">
      <a:fgClr>
        <a:srgbClr val="FFFFFF">
          <a:alpha val="100000"/>
        </a:srgbClr>
      </a:fgClr>
      <a:bgClr>
        <a:srgbClr val="FFFFFF">
          <a:alpha val="100000"/>
        </a:srgbClr>
      </a:bgClr>
    </a:pattFill>
    <a:ln w="3175" cap="flat" cmpd="sng" algn="ctr">
      <a:solidFill>
        <a:srgbClr val="C0C0C0">
          <a:alpha val="100000"/>
        </a:srgbClr>
      </a:solidFill>
      <a:prstDash val="solid"/>
      <a:round/>
    </a:ln>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0.616279069767442</cdr:x>
      <cdr:y>0.591639163916392</cdr:y>
    </cdr:from>
    <cdr:to>
      <cdr:x>0.953768562622583</cdr:x>
      <cdr:y>0.75027502750275</cdr:y>
    </cdr:to>
    <cdr:sp>
      <cdr:nvSpPr>
        <cdr:cNvPr id="2" name="矩形 1"/>
        <cdr:cNvSpPr/>
      </cdr:nvSpPr>
      <cdr:spPr xmlns:a="http://schemas.openxmlformats.org/drawingml/2006/main">
        <a:xfrm xmlns:a="http://schemas.openxmlformats.org/drawingml/2006/main">
          <a:off x="2793365" y="1707515"/>
          <a:ext cx="1529715" cy="457835"/>
        </a:xfrm>
        <a:prstGeom xmlns:a="http://schemas.openxmlformats.org/drawingml/2006/main" prst="rect">
          <a:avLst/>
        </a:prstGeom>
      </cdr:spPr>
      <cdr:txBody xmlns:a="http://schemas.openxmlformats.org/drawingml/2006/main">
        <a:bodyPr vert="horz" wrap="none" lIns="45720" tIns="45720" rIns="45720" bIns="45720" anchor="t" anchorCtr="0">
          <a:normAutofit/>
        </a:bodyPr>
        <a:p>
          <a:endParaRPr lang="zh-CN" altLang="en-US"/>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19</Pages>
  <Words>6509</Words>
  <Characters>7178</Characters>
  <Lines>61</Lines>
  <Paragraphs>17</Paragraphs>
  <TotalTime>7</TotalTime>
  <ScaleCrop>false</ScaleCrop>
  <LinksUpToDate>false</LinksUpToDate>
  <CharactersWithSpaces>7250</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2020-08-09T09:49:00Z</dcterms:created>
  <dc:creator>曹颖</dc:creator>
  <cp:lastModifiedBy>泡</cp:lastModifiedBy>
  <cp:lastPrinted>2025-08-06T17:34:00Z</cp:lastPrinted>
  <dcterms:modified xsi:type="dcterms:W3CDTF">2026-10-20T03:00:36Z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04787F2533EB45DC91BCDE4AB213247F</vt:lpwstr>
  </property>
  <property fmtid="{D5CDD505-2E9C-101B-9397-08002B2CF9AE}" pid="4" name="KSOTemplateDocerSaveRecord">
    <vt:lpwstr>eyJoZGlkIjoiNTU0ZmIwYTQ3NzlmZGUxZmU3Zjk0M2IyZTNmM2IxNjAiLCJ1c2VySWQiOiIzOTgxODI4MDMifQ==</vt:lpwstr>
  </property>
</Properties>
</file>