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7E6170">
      <w:pPr>
        <w:spacing w:line="600" w:lineRule="exact"/>
        <w:jc w:val="center"/>
        <w:outlineLvl w:val="0"/>
        <w:rPr>
          <w:rFonts w:ascii="方正小标宋简体" w:hAnsi="宋体" w:eastAsia="方正小标宋简体"/>
          <w:color w:val="000000"/>
          <w:sz w:val="72"/>
          <w:szCs w:val="72"/>
        </w:rPr>
      </w:pPr>
      <w:bookmarkStart w:id="0" w:name="_Toc15306267"/>
    </w:p>
    <w:p w14:paraId="0C8D824E">
      <w:pPr>
        <w:spacing w:line="600" w:lineRule="exact"/>
        <w:jc w:val="center"/>
        <w:outlineLvl w:val="0"/>
        <w:rPr>
          <w:rFonts w:ascii="方正小标宋简体" w:hAnsi="宋体" w:eastAsia="方正小标宋简体"/>
          <w:color w:val="000000"/>
          <w:sz w:val="72"/>
          <w:szCs w:val="72"/>
        </w:rPr>
      </w:pPr>
    </w:p>
    <w:p w14:paraId="00B24C31">
      <w:pPr>
        <w:spacing w:line="600" w:lineRule="exact"/>
        <w:jc w:val="center"/>
        <w:outlineLvl w:val="0"/>
        <w:rPr>
          <w:rFonts w:ascii="方正小标宋简体" w:hAnsi="宋体" w:eastAsia="方正小标宋简体"/>
          <w:color w:val="000000"/>
          <w:sz w:val="72"/>
          <w:szCs w:val="72"/>
        </w:rPr>
      </w:pPr>
    </w:p>
    <w:p w14:paraId="31D263CF">
      <w:pPr>
        <w:ind w:firstLine="2880" w:firstLineChars="400"/>
        <w:rPr>
          <w:rFonts w:ascii="黑体" w:hAnsi="黑体" w:eastAsia="黑体"/>
          <w:sz w:val="72"/>
          <w:szCs w:val="72"/>
        </w:rPr>
      </w:pPr>
      <w:bookmarkStart w:id="1" w:name="_Toc15377193"/>
      <w:bookmarkStart w:id="2" w:name="_Toc15377425"/>
      <w:bookmarkStart w:id="3" w:name="_Toc15396475"/>
      <w:bookmarkStart w:id="4" w:name="_Toc15378441"/>
      <w:bookmarkStart w:id="5" w:name="_Toc15396597"/>
    </w:p>
    <w:p w14:paraId="6051D71C">
      <w:pPr>
        <w:ind w:firstLine="2880" w:firstLineChars="400"/>
        <w:rPr>
          <w:rFonts w:ascii="黑体" w:hAnsi="黑体" w:eastAsia="黑体"/>
          <w:sz w:val="72"/>
          <w:szCs w:val="72"/>
        </w:rPr>
      </w:pPr>
      <w:r>
        <w:rPr>
          <w:rFonts w:ascii="黑体" w:hAnsi="黑体" w:eastAsia="黑体"/>
          <w:sz w:val="72"/>
          <w:szCs w:val="72"/>
        </w:rPr>
        <w:t>202</w:t>
      </w:r>
      <w:r>
        <w:rPr>
          <w:rFonts w:hint="eastAsia" w:ascii="黑体" w:hAnsi="黑体" w:eastAsia="黑体"/>
          <w:sz w:val="72"/>
          <w:szCs w:val="72"/>
          <w:lang w:val="en-US" w:eastAsia="zh-CN"/>
        </w:rPr>
        <w:t>5</w:t>
      </w:r>
      <w:r>
        <w:rPr>
          <w:rFonts w:hint="eastAsia" w:ascii="黑体" w:hAnsi="黑体" w:eastAsia="黑体"/>
          <w:sz w:val="72"/>
          <w:szCs w:val="72"/>
        </w:rPr>
        <w:t>年度</w:t>
      </w:r>
      <w:bookmarkEnd w:id="1"/>
      <w:bookmarkEnd w:id="2"/>
      <w:bookmarkEnd w:id="3"/>
      <w:bookmarkEnd w:id="4"/>
      <w:bookmarkEnd w:id="5"/>
      <w:bookmarkStart w:id="6" w:name="_Toc15396598"/>
      <w:bookmarkStart w:id="7" w:name="_Toc15377194"/>
      <w:bookmarkStart w:id="8" w:name="_Toc15377426"/>
      <w:bookmarkStart w:id="9" w:name="_Toc15378442"/>
      <w:bookmarkStart w:id="10" w:name="_Toc15396476"/>
    </w:p>
    <w:p w14:paraId="096702EE">
      <w:pPr>
        <w:ind w:left="2156" w:leftChars="684" w:hanging="720" w:hangingChars="100"/>
        <w:rPr>
          <w:rFonts w:ascii="方正小标宋简体" w:eastAsia="方正小标宋简体"/>
          <w:sz w:val="72"/>
          <w:szCs w:val="72"/>
        </w:rPr>
      </w:pPr>
      <w:r>
        <w:rPr>
          <w:rFonts w:hint="eastAsia" w:ascii="黑体" w:hAnsi="黑体" w:eastAsia="黑体"/>
          <w:sz w:val="72"/>
          <w:szCs w:val="72"/>
        </w:rPr>
        <w:t>四川省</w:t>
      </w:r>
      <w:r>
        <w:rPr>
          <w:rFonts w:hint="eastAsia" w:ascii="方正小标宋简体" w:eastAsia="方正小标宋简体"/>
          <w:sz w:val="72"/>
          <w:szCs w:val="72"/>
        </w:rPr>
        <w:t>阿坝州</w:t>
      </w:r>
      <w:bookmarkEnd w:id="0"/>
      <w:bookmarkStart w:id="11" w:name="_Toc15306268"/>
      <w:r>
        <w:rPr>
          <w:rFonts w:hint="eastAsia" w:ascii="方正小标宋简体" w:eastAsia="方正小标宋简体"/>
          <w:sz w:val="72"/>
          <w:szCs w:val="72"/>
        </w:rPr>
        <w:t>红原县城关小学部门决算</w:t>
      </w:r>
      <w:bookmarkEnd w:id="6"/>
      <w:bookmarkEnd w:id="7"/>
      <w:bookmarkEnd w:id="8"/>
      <w:bookmarkEnd w:id="9"/>
      <w:bookmarkEnd w:id="10"/>
      <w:bookmarkEnd w:id="11"/>
    </w:p>
    <w:p w14:paraId="3031AC7A">
      <w:pPr>
        <w:widowControl/>
        <w:jc w:val="center"/>
        <w:rPr>
          <w:rFonts w:ascii="方正小标宋简体" w:hAnsi="宋体" w:eastAsia="方正小标宋简体"/>
          <w:color w:val="000000"/>
          <w:sz w:val="36"/>
          <w:szCs w:val="36"/>
        </w:rPr>
      </w:pPr>
    </w:p>
    <w:p w14:paraId="25BC0F60">
      <w:pPr>
        <w:rPr>
          <w:rFonts w:ascii="方正小标宋简体" w:hAnsi="宋体" w:eastAsia="方正小标宋简体"/>
          <w:sz w:val="36"/>
          <w:szCs w:val="36"/>
        </w:rPr>
      </w:pPr>
    </w:p>
    <w:p w14:paraId="22CE2320">
      <w:pPr>
        <w:rPr>
          <w:rFonts w:ascii="方正小标宋简体" w:hAnsi="宋体" w:eastAsia="方正小标宋简体"/>
          <w:sz w:val="36"/>
          <w:szCs w:val="36"/>
        </w:rPr>
      </w:pPr>
    </w:p>
    <w:p w14:paraId="6119604C">
      <w:pPr>
        <w:rPr>
          <w:rFonts w:ascii="方正小标宋简体" w:hAnsi="宋体" w:eastAsia="方正小标宋简体"/>
          <w:sz w:val="36"/>
          <w:szCs w:val="36"/>
        </w:rPr>
      </w:pPr>
    </w:p>
    <w:p w14:paraId="4A4D28EA">
      <w:pPr>
        <w:rPr>
          <w:rFonts w:ascii="方正小标宋简体" w:hAnsi="宋体" w:eastAsia="方正小标宋简体"/>
          <w:sz w:val="36"/>
          <w:szCs w:val="36"/>
        </w:rPr>
      </w:pPr>
    </w:p>
    <w:p w14:paraId="3FF4426B">
      <w:pPr>
        <w:rPr>
          <w:rFonts w:ascii="方正小标宋简体" w:hAnsi="宋体" w:eastAsia="方正小标宋简体"/>
          <w:sz w:val="36"/>
          <w:szCs w:val="36"/>
        </w:rPr>
      </w:pPr>
    </w:p>
    <w:p w14:paraId="76481336">
      <w:pPr>
        <w:rPr>
          <w:rFonts w:ascii="方正小标宋简体" w:hAnsi="宋体" w:eastAsia="方正小标宋简体"/>
          <w:sz w:val="36"/>
          <w:szCs w:val="36"/>
        </w:rPr>
      </w:pPr>
    </w:p>
    <w:p w14:paraId="6398EF45">
      <w:pPr>
        <w:rPr>
          <w:rFonts w:ascii="方正小标宋简体" w:hAnsi="宋体" w:eastAsia="方正小标宋简体"/>
          <w:sz w:val="36"/>
          <w:szCs w:val="36"/>
        </w:rPr>
      </w:pPr>
    </w:p>
    <w:p w14:paraId="410C09C7">
      <w:pPr>
        <w:rPr>
          <w:rFonts w:ascii="方正小标宋简体" w:hAnsi="宋体" w:eastAsia="方正小标宋简体"/>
          <w:sz w:val="36"/>
          <w:szCs w:val="36"/>
        </w:rPr>
      </w:pPr>
    </w:p>
    <w:p w14:paraId="4B59B677">
      <w:pPr>
        <w:autoSpaceDE w:val="0"/>
        <w:autoSpaceDN w:val="0"/>
        <w:adjustRightInd w:val="0"/>
        <w:ind w:firstLine="640" w:firstLineChars="200"/>
        <w:jc w:val="left"/>
        <w:rPr>
          <w:rFonts w:ascii="宋体" w:hAnsi="宋体"/>
          <w:sz w:val="32"/>
          <w:szCs w:val="32"/>
        </w:rPr>
      </w:pPr>
      <w:r>
        <w:rPr>
          <w:rFonts w:hint="eastAsia" w:ascii="宋体" w:hAnsi="宋体" w:cs="仿宋_GB2312"/>
          <w:sz w:val="32"/>
          <w:szCs w:val="32"/>
        </w:rPr>
        <w:t>保密审查情况：已审查，内容审定</w:t>
      </w:r>
    </w:p>
    <w:p w14:paraId="09A8D686">
      <w:pPr>
        <w:autoSpaceDE w:val="0"/>
        <w:autoSpaceDN w:val="0"/>
        <w:adjustRightInd w:val="0"/>
        <w:ind w:left="420" w:leftChars="200"/>
        <w:jc w:val="left"/>
        <w:rPr>
          <w:rFonts w:ascii="宋体" w:hAnsi="宋体"/>
          <w:sz w:val="32"/>
          <w:szCs w:val="32"/>
        </w:rPr>
      </w:pPr>
      <w:r>
        <w:rPr>
          <w:rFonts w:hint="eastAsia" w:ascii="宋体" w:hAnsi="宋体" w:cs="仿宋_GB2312"/>
          <w:sz w:val="32"/>
          <w:szCs w:val="32"/>
        </w:rPr>
        <w:t>部门主要负责人审签情况：已审签，同意对外公开</w:t>
      </w:r>
    </w:p>
    <w:p w14:paraId="59D3F5BC">
      <w:pPr>
        <w:widowControl/>
        <w:jc w:val="center"/>
        <w:rPr>
          <w:rFonts w:ascii="方正小标宋简体" w:hAnsi="宋体" w:eastAsia="方正小标宋简体"/>
          <w:color w:val="000000"/>
          <w:sz w:val="36"/>
          <w:szCs w:val="36"/>
        </w:rPr>
      </w:pPr>
    </w:p>
    <w:p w14:paraId="33C6C517">
      <w:pPr>
        <w:widowControl/>
        <w:jc w:val="center"/>
        <w:rPr>
          <w:rFonts w:ascii="方正小标宋简体" w:hAnsi="宋体" w:eastAsia="方正小标宋简体"/>
          <w:sz w:val="36"/>
          <w:szCs w:val="36"/>
        </w:rPr>
      </w:pPr>
      <w:r>
        <w:rPr>
          <w:rFonts w:ascii="方正小标宋简体" w:hAnsi="宋体" w:eastAsia="方正小标宋简体"/>
          <w:sz w:val="36"/>
          <w:szCs w:val="36"/>
        </w:rPr>
        <w:br w:type="page"/>
      </w:r>
    </w:p>
    <w:sdt>
      <w:sdtPr>
        <w:rPr>
          <w:rFonts w:ascii="宋体" w:hAnsi="宋体"/>
          <w:kern w:val="0"/>
          <w:sz w:val="20"/>
          <w:szCs w:val="20"/>
        </w:rPr>
        <w:id w:val="147465785"/>
        <w:docPartObj>
          <w:docPartGallery w:val="Table of Contents"/>
          <w:docPartUnique/>
        </w:docPartObj>
      </w:sdtPr>
      <w:sdtEndPr>
        <w:rPr>
          <w:rFonts w:ascii="Calibri" w:hAnsi="Calibri"/>
          <w:kern w:val="0"/>
          <w:sz w:val="20"/>
          <w:szCs w:val="20"/>
        </w:rPr>
      </w:sdtEndPr>
      <w:sdtContent>
        <w:p w14:paraId="23DC3ACA">
          <w:pPr>
            <w:jc w:val="center"/>
            <w:rPr>
              <w:rFonts w:ascii="黑体" w:hAnsi="黑体" w:eastAsia="黑体" w:cs="黑体"/>
              <w:sz w:val="48"/>
              <w:szCs w:val="48"/>
            </w:rPr>
          </w:pPr>
          <w:bookmarkStart w:id="12" w:name="_Toc32767_WPSOffice_Type3"/>
          <w:r>
            <w:rPr>
              <w:rFonts w:hint="eastAsia" w:ascii="黑体" w:hAnsi="黑体" w:eastAsia="黑体" w:cs="黑体"/>
              <w:sz w:val="48"/>
              <w:szCs w:val="48"/>
            </w:rPr>
            <w:t>目录</w:t>
          </w:r>
        </w:p>
        <w:p w14:paraId="162BAED4">
          <w:pPr>
            <w:jc w:val="center"/>
            <w:rPr>
              <w:rFonts w:ascii="宋体" w:hAnsi="宋体"/>
            </w:rPr>
          </w:pPr>
        </w:p>
        <w:p w14:paraId="31027787">
          <w:pPr>
            <w:pStyle w:val="37"/>
            <w:tabs>
              <w:tab w:val="right" w:leader="dot" w:pos="8306"/>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公开时间：202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rPr>
            <w:t>日</w:t>
          </w:r>
        </w:p>
        <w:p w14:paraId="1E90C6F2">
          <w:pPr>
            <w:jc w:val="center"/>
            <w:rPr>
              <w:rFonts w:ascii="宋体" w:hAnsi="宋体"/>
            </w:rPr>
          </w:pPr>
        </w:p>
        <w:p w14:paraId="1B53C7C7">
          <w:pPr>
            <w:pStyle w:val="37"/>
            <w:tabs>
              <w:tab w:val="right" w:leader="dot" w:pos="8306"/>
            </w:tabs>
          </w:pPr>
          <w:r>
            <w:fldChar w:fldCharType="begin"/>
          </w:r>
          <w:r>
            <w:instrText xml:space="preserve"> HYPERLINK \l "_Toc30054_WPSOffice_Level1" </w:instrText>
          </w:r>
          <w:r>
            <w:fldChar w:fldCharType="separate"/>
          </w:r>
          <w:r>
            <w:rPr>
              <w:rFonts w:hint="eastAsia" w:ascii="黑体" w:hAnsi="黑体" w:eastAsia="黑体"/>
            </w:rPr>
            <w:t>第一部分</w:t>
          </w:r>
          <w:r>
            <w:rPr>
              <w:rFonts w:ascii="黑体" w:hAnsi="黑体" w:eastAsia="黑体"/>
            </w:rPr>
            <w:t xml:space="preserve"> </w:t>
          </w:r>
          <w:r>
            <w:rPr>
              <w:rFonts w:hint="eastAsia" w:ascii="黑体" w:hAnsi="黑体" w:eastAsia="黑体"/>
            </w:rPr>
            <w:t>部门概况</w:t>
          </w:r>
          <w:r>
            <w:tab/>
          </w:r>
          <w:bookmarkStart w:id="13" w:name="_Toc30054_WPSOffice_Level1Page"/>
          <w:r>
            <w:t>4</w:t>
          </w:r>
          <w:bookmarkEnd w:id="13"/>
          <w:r>
            <w:fldChar w:fldCharType="end"/>
          </w:r>
        </w:p>
        <w:p w14:paraId="24665E41">
          <w:pPr>
            <w:pStyle w:val="38"/>
            <w:tabs>
              <w:tab w:val="right" w:leader="dot" w:pos="8306"/>
            </w:tabs>
            <w:ind w:left="420"/>
          </w:pPr>
          <w:r>
            <w:fldChar w:fldCharType="begin"/>
          </w:r>
          <w:r>
            <w:instrText xml:space="preserve"> HYPERLINK \l "_Toc32767_WPSOffice_Level2" </w:instrText>
          </w:r>
          <w:r>
            <w:fldChar w:fldCharType="separate"/>
          </w:r>
          <w:r>
            <w:rPr>
              <w:rFonts w:hint="eastAsia" w:ascii="黑体" w:hAnsi="黑体" w:eastAsia="黑体"/>
            </w:rPr>
            <w:t>一、基本职能及主要工作</w:t>
          </w:r>
          <w:r>
            <w:tab/>
          </w:r>
          <w:bookmarkStart w:id="14" w:name="_Toc32767_WPSOffice_Level2Page"/>
          <w:r>
            <w:t>4</w:t>
          </w:r>
          <w:bookmarkEnd w:id="14"/>
          <w:r>
            <w:fldChar w:fldCharType="end"/>
          </w:r>
        </w:p>
        <w:p w14:paraId="1E0E77B4">
          <w:pPr>
            <w:pStyle w:val="39"/>
            <w:tabs>
              <w:tab w:val="right" w:leader="dot" w:pos="8306"/>
            </w:tabs>
            <w:ind w:left="840"/>
          </w:pPr>
          <w:r>
            <w:fldChar w:fldCharType="begin"/>
          </w:r>
          <w:r>
            <w:instrText xml:space="preserve"> HYPERLINK \l "_Toc32767_WPSOffice_Level3" </w:instrText>
          </w:r>
          <w:r>
            <w:fldChar w:fldCharType="separate"/>
          </w:r>
          <w:r>
            <w:rPr>
              <w:rFonts w:hint="eastAsia" w:ascii="仿宋" w:hAnsi="仿宋" w:eastAsia="仿宋"/>
            </w:rPr>
            <w:t>（一）主要职能。</w:t>
          </w:r>
          <w:r>
            <w:tab/>
          </w:r>
          <w:bookmarkStart w:id="15" w:name="_Toc32767_WPSOffice_Level3Page"/>
          <w:r>
            <w:t>4</w:t>
          </w:r>
          <w:bookmarkEnd w:id="15"/>
          <w:r>
            <w:fldChar w:fldCharType="end"/>
          </w:r>
        </w:p>
        <w:p w14:paraId="00CAFEE1">
          <w:pPr>
            <w:pStyle w:val="39"/>
            <w:tabs>
              <w:tab w:val="right" w:leader="dot" w:pos="8306"/>
            </w:tabs>
            <w:ind w:left="840"/>
          </w:pPr>
          <w:r>
            <w:fldChar w:fldCharType="begin"/>
          </w:r>
          <w:r>
            <w:instrText xml:space="preserve"> HYPERLINK \l "_Toc24006_WPSOffice_Level3" </w:instrText>
          </w:r>
          <w:r>
            <w:fldChar w:fldCharType="separate"/>
          </w:r>
          <w:r>
            <w:rPr>
              <w:rFonts w:hint="eastAsia" w:ascii="仿宋" w:hAnsi="仿宋" w:eastAsia="仿宋"/>
            </w:rPr>
            <w:t>（二）</w:t>
          </w:r>
          <w:r>
            <w:rPr>
              <w:rFonts w:ascii="仿宋" w:hAnsi="仿宋" w:eastAsia="仿宋"/>
            </w:rPr>
            <w:t>2</w:t>
          </w:r>
          <w:r>
            <w:rPr>
              <w:rFonts w:hint="eastAsia" w:ascii="仿宋" w:hAnsi="仿宋" w:eastAsia="仿宋"/>
            </w:rPr>
            <w:t>0</w:t>
          </w:r>
          <w:r>
            <w:rPr>
              <w:rFonts w:ascii="仿宋" w:hAnsi="仿宋" w:eastAsia="仿宋"/>
            </w:rPr>
            <w:t>2</w:t>
          </w:r>
          <w:r>
            <w:rPr>
              <w:rFonts w:hint="eastAsia" w:ascii="仿宋" w:hAnsi="仿宋" w:eastAsia="仿宋"/>
              <w:lang w:val="en-US" w:eastAsia="zh-CN"/>
            </w:rPr>
            <w:t>5</w:t>
          </w:r>
          <w:r>
            <w:rPr>
              <w:rFonts w:hint="eastAsia" w:ascii="仿宋" w:hAnsi="仿宋" w:eastAsia="仿宋"/>
            </w:rPr>
            <w:t>年重点工作完成情况。</w:t>
          </w:r>
          <w:r>
            <w:tab/>
          </w:r>
          <w:bookmarkStart w:id="16" w:name="_Toc24006_WPSOffice_Level3Page"/>
          <w:r>
            <w:t>5</w:t>
          </w:r>
          <w:bookmarkEnd w:id="16"/>
          <w:r>
            <w:fldChar w:fldCharType="end"/>
          </w:r>
        </w:p>
        <w:p w14:paraId="45276E83">
          <w:pPr>
            <w:pStyle w:val="38"/>
            <w:tabs>
              <w:tab w:val="right" w:leader="dot" w:pos="8306"/>
            </w:tabs>
            <w:ind w:left="420"/>
          </w:pPr>
          <w:r>
            <w:fldChar w:fldCharType="begin"/>
          </w:r>
          <w:r>
            <w:instrText xml:space="preserve"> HYPERLINK \l "_Toc24006_WPSOffice_Level2" </w:instrText>
          </w:r>
          <w:r>
            <w:fldChar w:fldCharType="separate"/>
          </w:r>
          <w:r>
            <w:rPr>
              <w:rFonts w:hint="eastAsia" w:ascii="黑体" w:hAnsi="黑体" w:eastAsia="黑体"/>
            </w:rPr>
            <w:t>二、机构设置</w:t>
          </w:r>
          <w:r>
            <w:tab/>
          </w:r>
          <w:bookmarkStart w:id="17" w:name="_Toc24006_WPSOffice_Level2Page"/>
          <w:r>
            <w:t>5</w:t>
          </w:r>
          <w:bookmarkEnd w:id="17"/>
          <w:r>
            <w:fldChar w:fldCharType="end"/>
          </w:r>
        </w:p>
        <w:p w14:paraId="54D5E007">
          <w:pPr>
            <w:pStyle w:val="37"/>
            <w:tabs>
              <w:tab w:val="right" w:leader="dot" w:pos="8306"/>
            </w:tabs>
          </w:pPr>
          <w:r>
            <w:fldChar w:fldCharType="begin"/>
          </w:r>
          <w:r>
            <w:instrText xml:space="preserve"> HYPERLINK \l "_Toc32767_WPSOffice_Level1" </w:instrText>
          </w:r>
          <w:r>
            <w:fldChar w:fldCharType="separate"/>
          </w:r>
          <w:r>
            <w:rPr>
              <w:rFonts w:hint="eastAsia" w:ascii="黑体" w:hAnsi="黑体" w:eastAsia="黑体"/>
            </w:rPr>
            <w:t xml:space="preserve">第二部分 </w:t>
          </w:r>
          <w:r>
            <w:rPr>
              <w:rFonts w:ascii="黑体" w:hAnsi="黑体" w:eastAsia="黑体"/>
            </w:rPr>
            <w:t xml:space="preserve"> 202</w:t>
          </w:r>
          <w:r>
            <w:rPr>
              <w:rFonts w:hint="eastAsia" w:ascii="黑体" w:hAnsi="黑体" w:eastAsia="黑体"/>
              <w:lang w:val="en-US" w:eastAsia="zh-CN"/>
            </w:rPr>
            <w:t>5</w:t>
          </w:r>
          <w:r>
            <w:rPr>
              <w:rFonts w:hint="eastAsia" w:ascii="黑体" w:hAnsi="黑体" w:eastAsia="黑体"/>
            </w:rPr>
            <w:t>年度部门决算情况说明</w:t>
          </w:r>
          <w:r>
            <w:tab/>
          </w:r>
          <w:bookmarkStart w:id="18" w:name="_Toc32767_WPSOffice_Level1Page"/>
          <w:r>
            <w:t>5</w:t>
          </w:r>
          <w:bookmarkEnd w:id="18"/>
          <w:r>
            <w:fldChar w:fldCharType="end"/>
          </w:r>
        </w:p>
        <w:p w14:paraId="29E6AA15">
          <w:pPr>
            <w:pStyle w:val="38"/>
            <w:tabs>
              <w:tab w:val="right" w:leader="dot" w:pos="8306"/>
            </w:tabs>
            <w:ind w:left="420"/>
          </w:pPr>
          <w:r>
            <w:fldChar w:fldCharType="begin"/>
          </w:r>
          <w:r>
            <w:instrText xml:space="preserve"> HYPERLINK \l "_Toc32398_WPSOffice_Level2" </w:instrText>
          </w:r>
          <w:r>
            <w:fldChar w:fldCharType="separate"/>
          </w:r>
          <w:r>
            <w:rPr>
              <w:rFonts w:hint="eastAsia" w:ascii="黑体" w:hAnsi="黑体" w:eastAsia="黑体"/>
            </w:rPr>
            <w:t>一、收入支出决算总体情况说明</w:t>
          </w:r>
          <w:r>
            <w:tab/>
          </w:r>
          <w:bookmarkStart w:id="19" w:name="_Toc32398_WPSOffice_Level2Page"/>
          <w:r>
            <w:t>5</w:t>
          </w:r>
          <w:bookmarkEnd w:id="19"/>
          <w:r>
            <w:fldChar w:fldCharType="end"/>
          </w:r>
        </w:p>
        <w:p w14:paraId="6634AF29">
          <w:pPr>
            <w:pStyle w:val="38"/>
            <w:tabs>
              <w:tab w:val="right" w:leader="dot" w:pos="8306"/>
            </w:tabs>
            <w:ind w:left="420"/>
          </w:pPr>
          <w:r>
            <w:fldChar w:fldCharType="begin"/>
          </w:r>
          <w:r>
            <w:instrText xml:space="preserve"> HYPERLINK \l "_Toc3982_WPSOffice_Level2" </w:instrText>
          </w:r>
          <w:r>
            <w:fldChar w:fldCharType="separate"/>
          </w:r>
          <w:r>
            <w:rPr>
              <w:rFonts w:hint="eastAsia" w:ascii="黑体" w:hAnsi="黑体" w:eastAsia="黑体"/>
            </w:rPr>
            <w:t>二、收入决算情况说明</w:t>
          </w:r>
          <w:r>
            <w:tab/>
          </w:r>
          <w:bookmarkStart w:id="20" w:name="_Toc3982_WPSOffice_Level2Page"/>
          <w:r>
            <w:t>6</w:t>
          </w:r>
          <w:bookmarkEnd w:id="20"/>
          <w:r>
            <w:fldChar w:fldCharType="end"/>
          </w:r>
        </w:p>
        <w:p w14:paraId="4D0AE988">
          <w:pPr>
            <w:pStyle w:val="38"/>
            <w:tabs>
              <w:tab w:val="right" w:leader="dot" w:pos="8306"/>
            </w:tabs>
            <w:ind w:left="420"/>
          </w:pPr>
          <w:r>
            <w:fldChar w:fldCharType="begin"/>
          </w:r>
          <w:r>
            <w:instrText xml:space="preserve"> HYPERLINK \l "_Toc23921_WPSOffice_Level2" </w:instrText>
          </w:r>
          <w:r>
            <w:fldChar w:fldCharType="separate"/>
          </w:r>
          <w:r>
            <w:rPr>
              <w:rFonts w:hint="eastAsia" w:ascii="黑体" w:hAnsi="黑体" w:eastAsia="黑体"/>
            </w:rPr>
            <w:t>三、支出决算情况说明</w:t>
          </w:r>
          <w:r>
            <w:tab/>
          </w:r>
          <w:bookmarkStart w:id="21" w:name="_Toc23921_WPSOffice_Level2Page"/>
          <w:r>
            <w:t>7</w:t>
          </w:r>
          <w:bookmarkEnd w:id="21"/>
          <w:r>
            <w:fldChar w:fldCharType="end"/>
          </w:r>
        </w:p>
        <w:p w14:paraId="49BED11E">
          <w:pPr>
            <w:pStyle w:val="38"/>
            <w:tabs>
              <w:tab w:val="right" w:leader="dot" w:pos="8306"/>
            </w:tabs>
            <w:ind w:left="420"/>
          </w:pPr>
          <w:r>
            <w:fldChar w:fldCharType="begin"/>
          </w:r>
          <w:r>
            <w:instrText xml:space="preserve"> HYPERLINK \l "_Toc8275_WPSOffice_Level2" </w:instrText>
          </w:r>
          <w:r>
            <w:fldChar w:fldCharType="separate"/>
          </w:r>
          <w:r>
            <w:rPr>
              <w:rFonts w:hint="eastAsia" w:ascii="黑体" w:hAnsi="黑体" w:eastAsia="黑体"/>
            </w:rPr>
            <w:t>四、财政拨款收入支出决算总体情况说明</w:t>
          </w:r>
          <w:r>
            <w:tab/>
          </w:r>
          <w:bookmarkStart w:id="22" w:name="_Toc8275_WPSOffice_Level2Page"/>
          <w:r>
            <w:t>8</w:t>
          </w:r>
          <w:bookmarkEnd w:id="22"/>
          <w:r>
            <w:fldChar w:fldCharType="end"/>
          </w:r>
        </w:p>
        <w:p w14:paraId="0E96D396">
          <w:pPr>
            <w:pStyle w:val="38"/>
            <w:tabs>
              <w:tab w:val="right" w:leader="dot" w:pos="8306"/>
            </w:tabs>
            <w:ind w:left="420"/>
          </w:pPr>
          <w:r>
            <w:fldChar w:fldCharType="begin"/>
          </w:r>
          <w:r>
            <w:instrText xml:space="preserve"> HYPERLINK \l "_Toc1150_WPSOffice_Level2" </w:instrText>
          </w:r>
          <w:r>
            <w:fldChar w:fldCharType="separate"/>
          </w:r>
          <w:r>
            <w:rPr>
              <w:rFonts w:hint="eastAsia" w:ascii="黑体" w:hAnsi="黑体" w:eastAsia="黑体"/>
            </w:rPr>
            <w:t>五、一般公共预算财政拨款支出决算情况说明</w:t>
          </w:r>
          <w:r>
            <w:tab/>
          </w:r>
          <w:bookmarkStart w:id="23" w:name="_Toc1150_WPSOffice_Level2Page"/>
          <w:r>
            <w:t>8</w:t>
          </w:r>
          <w:bookmarkEnd w:id="23"/>
          <w:r>
            <w:fldChar w:fldCharType="end"/>
          </w:r>
        </w:p>
        <w:p w14:paraId="104E8CC2">
          <w:pPr>
            <w:pStyle w:val="39"/>
            <w:tabs>
              <w:tab w:val="right" w:leader="dot" w:pos="8306"/>
            </w:tabs>
            <w:ind w:left="840"/>
          </w:pPr>
          <w:r>
            <w:fldChar w:fldCharType="begin"/>
          </w:r>
          <w:r>
            <w:instrText xml:space="preserve"> HYPERLINK \l "_Toc32398_WPSOffice_Level3" </w:instrText>
          </w:r>
          <w:r>
            <w:fldChar w:fldCharType="separate"/>
          </w:r>
          <w:r>
            <w:rPr>
              <w:rFonts w:hint="eastAsia" w:ascii="仿宋" w:hAnsi="仿宋" w:eastAsia="仿宋"/>
            </w:rPr>
            <w:t>（一）一般公共预算财政拨款支出决算总体情况</w:t>
          </w:r>
          <w:r>
            <w:tab/>
          </w:r>
          <w:bookmarkStart w:id="24" w:name="_Toc32398_WPSOffice_Level3Page"/>
          <w:r>
            <w:t>8</w:t>
          </w:r>
          <w:bookmarkEnd w:id="24"/>
          <w:r>
            <w:fldChar w:fldCharType="end"/>
          </w:r>
        </w:p>
        <w:p w14:paraId="2ED94833">
          <w:pPr>
            <w:pStyle w:val="39"/>
            <w:tabs>
              <w:tab w:val="right" w:leader="dot" w:pos="8306"/>
            </w:tabs>
            <w:ind w:left="840"/>
          </w:pPr>
          <w:r>
            <w:fldChar w:fldCharType="begin"/>
          </w:r>
          <w:r>
            <w:instrText xml:space="preserve"> HYPERLINK \l "_Toc3982_WPSOffice_Level3" </w:instrText>
          </w:r>
          <w:r>
            <w:fldChar w:fldCharType="separate"/>
          </w:r>
          <w:r>
            <w:rPr>
              <w:rFonts w:hint="eastAsia" w:ascii="仿宋" w:hAnsi="仿宋" w:eastAsia="仿宋"/>
            </w:rPr>
            <w:t>（二）一般公共预算财政拨款支出决算结构情况</w:t>
          </w:r>
          <w:r>
            <w:tab/>
          </w:r>
          <w:bookmarkStart w:id="25" w:name="_Toc3982_WPSOffice_Level3Page"/>
          <w:r>
            <w:t>9</w:t>
          </w:r>
          <w:bookmarkEnd w:id="25"/>
          <w:r>
            <w:fldChar w:fldCharType="end"/>
          </w:r>
        </w:p>
        <w:p w14:paraId="73A9E195">
          <w:pPr>
            <w:pStyle w:val="39"/>
            <w:tabs>
              <w:tab w:val="right" w:leader="dot" w:pos="8306"/>
            </w:tabs>
            <w:ind w:left="840"/>
          </w:pPr>
          <w:r>
            <w:fldChar w:fldCharType="begin"/>
          </w:r>
          <w:r>
            <w:instrText xml:space="preserve"> HYPERLINK \l "_Toc23921_WPSOffice_Level3" </w:instrText>
          </w:r>
          <w:r>
            <w:fldChar w:fldCharType="separate"/>
          </w:r>
          <w:r>
            <w:rPr>
              <w:rFonts w:hint="eastAsia" w:ascii="仿宋" w:hAnsi="仿宋" w:eastAsia="仿宋"/>
            </w:rPr>
            <w:t>（三）一般公共预算财政拨款支出决算具体情况</w:t>
          </w:r>
          <w:r>
            <w:tab/>
          </w:r>
          <w:bookmarkStart w:id="26" w:name="_Toc23921_WPSOffice_Level3Page"/>
          <w:r>
            <w:t>10</w:t>
          </w:r>
          <w:bookmarkEnd w:id="26"/>
          <w:r>
            <w:fldChar w:fldCharType="end"/>
          </w:r>
        </w:p>
        <w:p w14:paraId="2688EA26">
          <w:pPr>
            <w:pStyle w:val="38"/>
            <w:tabs>
              <w:tab w:val="right" w:leader="dot" w:pos="8306"/>
            </w:tabs>
            <w:ind w:left="420"/>
          </w:pPr>
          <w:r>
            <w:fldChar w:fldCharType="begin"/>
          </w:r>
          <w:r>
            <w:instrText xml:space="preserve"> HYPERLINK \l "_Toc31285_WPSOffice_Level2" </w:instrText>
          </w:r>
          <w:r>
            <w:fldChar w:fldCharType="separate"/>
          </w:r>
          <w:r>
            <w:rPr>
              <w:rFonts w:hint="eastAsia" w:ascii="黑体" w:hAnsi="Times New Roman" w:eastAsia="黑体"/>
            </w:rPr>
            <w:t>六、</w:t>
          </w:r>
          <w:r>
            <w:rPr>
              <w:rFonts w:hint="eastAsia" w:ascii="黑体" w:hAnsi="黑体" w:eastAsia="黑体"/>
            </w:rPr>
            <w:t>一般公共预算财政拨款基本支出决算情况说明</w:t>
          </w:r>
          <w:r>
            <w:tab/>
          </w:r>
          <w:bookmarkStart w:id="27" w:name="_Toc31285_WPSOffice_Level2Page"/>
          <w:r>
            <w:t>11</w:t>
          </w:r>
          <w:bookmarkEnd w:id="27"/>
          <w:r>
            <w:fldChar w:fldCharType="end"/>
          </w:r>
        </w:p>
        <w:p w14:paraId="2A1B28FF">
          <w:pPr>
            <w:pStyle w:val="38"/>
            <w:tabs>
              <w:tab w:val="right" w:leader="dot" w:pos="8306"/>
            </w:tabs>
            <w:ind w:left="420"/>
          </w:pPr>
          <w:r>
            <w:fldChar w:fldCharType="begin"/>
          </w:r>
          <w:r>
            <w:instrText xml:space="preserve"> HYPERLINK \l "_Toc30807_WPSOffice_Level2" </w:instrText>
          </w:r>
          <w:r>
            <w:fldChar w:fldCharType="separate"/>
          </w:r>
          <w:r>
            <w:rPr>
              <w:rFonts w:hint="eastAsia" w:ascii="黑体" w:hAnsi="Times New Roman" w:eastAsia="黑体"/>
            </w:rPr>
            <w:t>七、</w:t>
          </w:r>
          <w:r>
            <w:rPr>
              <w:rFonts w:hint="eastAsia" w:ascii="黑体" w:hAnsi="黑体" w:eastAsia="黑体"/>
            </w:rPr>
            <w:t>“三公”经费财政拨款支出决算情况说明</w:t>
          </w:r>
          <w:r>
            <w:tab/>
          </w:r>
          <w:bookmarkStart w:id="28" w:name="_Toc30807_WPSOffice_Level2Page"/>
          <w:r>
            <w:t>12</w:t>
          </w:r>
          <w:bookmarkEnd w:id="28"/>
          <w:r>
            <w:fldChar w:fldCharType="end"/>
          </w:r>
        </w:p>
        <w:p w14:paraId="6F433A99">
          <w:pPr>
            <w:pStyle w:val="39"/>
            <w:tabs>
              <w:tab w:val="right" w:leader="dot" w:pos="8306"/>
            </w:tabs>
            <w:ind w:left="840"/>
          </w:pPr>
          <w:r>
            <w:fldChar w:fldCharType="begin"/>
          </w:r>
          <w:r>
            <w:instrText xml:space="preserve"> HYPERLINK \l "_Toc8275_WPSOffice_Level3" </w:instrText>
          </w:r>
          <w:r>
            <w:fldChar w:fldCharType="separate"/>
          </w:r>
          <w:r>
            <w:rPr>
              <w:rFonts w:hint="eastAsia" w:ascii="仿宋" w:hAnsi="仿宋" w:eastAsia="仿宋"/>
            </w:rPr>
            <w:t>（一）“三公”经费财政拨款支出决算总体情况说明</w:t>
          </w:r>
          <w:r>
            <w:tab/>
          </w:r>
          <w:bookmarkStart w:id="29" w:name="_Toc8275_WPSOffice_Level3Page"/>
          <w:r>
            <w:t>12</w:t>
          </w:r>
          <w:bookmarkEnd w:id="29"/>
          <w:r>
            <w:fldChar w:fldCharType="end"/>
          </w:r>
        </w:p>
        <w:p w14:paraId="71F340C9">
          <w:pPr>
            <w:pStyle w:val="39"/>
            <w:tabs>
              <w:tab w:val="right" w:leader="dot" w:pos="8306"/>
            </w:tabs>
            <w:ind w:left="840"/>
          </w:pPr>
          <w:r>
            <w:fldChar w:fldCharType="begin"/>
          </w:r>
          <w:r>
            <w:instrText xml:space="preserve"> HYPERLINK \l "_Toc1150_WPSOffice_Level3" </w:instrText>
          </w:r>
          <w:r>
            <w:fldChar w:fldCharType="separate"/>
          </w:r>
          <w:r>
            <w:rPr>
              <w:rFonts w:hint="eastAsia" w:ascii="仿宋" w:hAnsi="仿宋" w:eastAsia="仿宋"/>
            </w:rPr>
            <w:t>（二）“三公”经费财政拨款支出决算具体情况说明</w:t>
          </w:r>
          <w:r>
            <w:tab/>
          </w:r>
          <w:bookmarkStart w:id="30" w:name="_Toc1150_WPSOffice_Level3Page"/>
          <w:r>
            <w:t>12</w:t>
          </w:r>
          <w:bookmarkEnd w:id="30"/>
          <w:r>
            <w:fldChar w:fldCharType="end"/>
          </w:r>
        </w:p>
        <w:p w14:paraId="2391EF96">
          <w:pPr>
            <w:pStyle w:val="38"/>
            <w:tabs>
              <w:tab w:val="right" w:leader="dot" w:pos="8306"/>
            </w:tabs>
            <w:ind w:left="420"/>
          </w:pPr>
          <w:r>
            <w:fldChar w:fldCharType="begin"/>
          </w:r>
          <w:r>
            <w:instrText xml:space="preserve"> HYPERLINK \l "_Toc20048_WPSOffice_Level2" </w:instrText>
          </w:r>
          <w:r>
            <w:fldChar w:fldCharType="separate"/>
          </w:r>
          <w:r>
            <w:rPr>
              <w:rFonts w:hint="eastAsia" w:ascii="黑体" w:hAnsi="Times New Roman" w:eastAsia="黑体"/>
            </w:rPr>
            <w:t>八、</w:t>
          </w:r>
          <w:r>
            <w:rPr>
              <w:rFonts w:hint="eastAsia" w:ascii="黑体" w:hAnsi="黑体" w:eastAsia="黑体"/>
            </w:rPr>
            <w:t>政府性基金预算支出决算情况说明</w:t>
          </w:r>
          <w:r>
            <w:tab/>
          </w:r>
          <w:bookmarkStart w:id="31" w:name="_Toc20048_WPSOffice_Level2Page"/>
          <w:r>
            <w:t>13</w:t>
          </w:r>
          <w:bookmarkEnd w:id="31"/>
          <w:r>
            <w:fldChar w:fldCharType="end"/>
          </w:r>
        </w:p>
        <w:p w14:paraId="3612ED5B">
          <w:pPr>
            <w:pStyle w:val="38"/>
            <w:tabs>
              <w:tab w:val="right" w:leader="dot" w:pos="8306"/>
            </w:tabs>
            <w:ind w:left="420"/>
          </w:pPr>
          <w:r>
            <w:fldChar w:fldCharType="begin"/>
          </w:r>
          <w:r>
            <w:instrText xml:space="preserve"> HYPERLINK \l "_Toc20666_WPSOffice_Level2" </w:instrText>
          </w:r>
          <w:r>
            <w:fldChar w:fldCharType="separate"/>
          </w:r>
          <w:r>
            <w:rPr>
              <w:rFonts w:hint="eastAsia" w:ascii="黑体" w:hAnsi="黑体" w:eastAsia="黑体"/>
            </w:rPr>
            <w:t>九、国有资本经营预算支出决算情况说明</w:t>
          </w:r>
          <w:r>
            <w:tab/>
          </w:r>
          <w:bookmarkStart w:id="32" w:name="_Toc20666_WPSOffice_Level2Page"/>
          <w:r>
            <w:t>13</w:t>
          </w:r>
          <w:bookmarkEnd w:id="32"/>
          <w:r>
            <w:fldChar w:fldCharType="end"/>
          </w:r>
        </w:p>
        <w:p w14:paraId="66587E2D">
          <w:pPr>
            <w:pStyle w:val="38"/>
            <w:tabs>
              <w:tab w:val="right" w:leader="dot" w:pos="8306"/>
            </w:tabs>
            <w:ind w:left="420"/>
          </w:pPr>
          <w:r>
            <w:fldChar w:fldCharType="begin"/>
          </w:r>
          <w:r>
            <w:instrText xml:space="preserve"> HYPERLINK \l "_Toc7216_WPSOffice_Level2" </w:instrText>
          </w:r>
          <w:r>
            <w:fldChar w:fldCharType="separate"/>
          </w:r>
          <w:r>
            <w:rPr>
              <w:rFonts w:hint="eastAsia" w:ascii="黑体" w:hAnsi="黑体" w:eastAsia="黑体"/>
            </w:rPr>
            <w:t>十、其他重要事项的情况说明</w:t>
          </w:r>
          <w:r>
            <w:tab/>
          </w:r>
          <w:bookmarkStart w:id="33" w:name="_Toc7216_WPSOffice_Level2Page"/>
          <w:r>
            <w:t>13</w:t>
          </w:r>
          <w:bookmarkEnd w:id="33"/>
          <w:r>
            <w:fldChar w:fldCharType="end"/>
          </w:r>
        </w:p>
        <w:p w14:paraId="1003B54D">
          <w:pPr>
            <w:pStyle w:val="39"/>
            <w:tabs>
              <w:tab w:val="right" w:leader="dot" w:pos="8306"/>
            </w:tabs>
            <w:ind w:left="840"/>
          </w:pPr>
          <w:r>
            <w:fldChar w:fldCharType="begin"/>
          </w:r>
          <w:r>
            <w:instrText xml:space="preserve"> HYPERLINK \l "_Toc31285_WPSOffice_Level3" </w:instrText>
          </w:r>
          <w:r>
            <w:fldChar w:fldCharType="separate"/>
          </w:r>
          <w:r>
            <w:rPr>
              <w:rFonts w:hint="eastAsia" w:ascii="仿宋" w:hAnsi="仿宋" w:eastAsia="仿宋"/>
            </w:rPr>
            <w:t>（一）机关运行经费支出情况</w:t>
          </w:r>
          <w:r>
            <w:tab/>
          </w:r>
          <w:bookmarkStart w:id="34" w:name="_Toc31285_WPSOffice_Level3Page"/>
          <w:r>
            <w:t>13</w:t>
          </w:r>
          <w:bookmarkEnd w:id="34"/>
          <w:r>
            <w:fldChar w:fldCharType="end"/>
          </w:r>
        </w:p>
        <w:p w14:paraId="10878F85">
          <w:pPr>
            <w:pStyle w:val="39"/>
            <w:tabs>
              <w:tab w:val="right" w:leader="dot" w:pos="8306"/>
            </w:tabs>
            <w:ind w:left="840"/>
          </w:pPr>
          <w:r>
            <w:fldChar w:fldCharType="begin"/>
          </w:r>
          <w:r>
            <w:instrText xml:space="preserve"> HYPERLINK \l "_Toc30807_WPSOffice_Level3" </w:instrText>
          </w:r>
          <w:r>
            <w:fldChar w:fldCharType="separate"/>
          </w:r>
          <w:r>
            <w:rPr>
              <w:rFonts w:hint="eastAsia" w:ascii="仿宋" w:hAnsi="仿宋" w:eastAsia="仿宋"/>
            </w:rPr>
            <w:t>（二）政府采购支出情况</w:t>
          </w:r>
          <w:r>
            <w:tab/>
          </w:r>
          <w:bookmarkStart w:id="35" w:name="_Toc30807_WPSOffice_Level3Page"/>
          <w:r>
            <w:t>13</w:t>
          </w:r>
          <w:bookmarkEnd w:id="35"/>
          <w:r>
            <w:fldChar w:fldCharType="end"/>
          </w:r>
        </w:p>
        <w:p w14:paraId="3B9FEACB">
          <w:pPr>
            <w:pStyle w:val="39"/>
            <w:tabs>
              <w:tab w:val="right" w:leader="dot" w:pos="8306"/>
            </w:tabs>
            <w:ind w:left="840"/>
          </w:pPr>
          <w:r>
            <w:fldChar w:fldCharType="begin"/>
          </w:r>
          <w:r>
            <w:instrText xml:space="preserve"> HYPERLINK \l "_Toc20048_WPSOffice_Level3" </w:instrText>
          </w:r>
          <w:r>
            <w:fldChar w:fldCharType="separate"/>
          </w:r>
          <w:r>
            <w:rPr>
              <w:rFonts w:hint="eastAsia" w:ascii="仿宋" w:hAnsi="仿宋" w:eastAsia="仿宋"/>
            </w:rPr>
            <w:t>（三）国有资产占有使用情况</w:t>
          </w:r>
          <w:r>
            <w:tab/>
          </w:r>
          <w:bookmarkStart w:id="36" w:name="_Toc20048_WPSOffice_Level3Page"/>
          <w:r>
            <w:t>13</w:t>
          </w:r>
          <w:bookmarkEnd w:id="36"/>
          <w:r>
            <w:fldChar w:fldCharType="end"/>
          </w:r>
        </w:p>
        <w:p w14:paraId="7CFB724D">
          <w:pPr>
            <w:pStyle w:val="39"/>
            <w:tabs>
              <w:tab w:val="right" w:leader="dot" w:pos="8306"/>
            </w:tabs>
            <w:ind w:left="840"/>
          </w:pPr>
          <w:r>
            <w:fldChar w:fldCharType="begin"/>
          </w:r>
          <w:r>
            <w:instrText xml:space="preserve"> HYPERLINK \l "_Toc20666_WPSOffice_Level3" </w:instrText>
          </w:r>
          <w:r>
            <w:fldChar w:fldCharType="separate"/>
          </w:r>
          <w:r>
            <w:rPr>
              <w:rFonts w:hint="eastAsia" w:ascii="仿宋" w:hAnsi="仿宋" w:eastAsia="仿宋"/>
            </w:rPr>
            <w:t>（四）预算绩效管理情况。</w:t>
          </w:r>
          <w:r>
            <w:tab/>
          </w:r>
          <w:bookmarkStart w:id="37" w:name="_Toc20666_WPSOffice_Level3Page"/>
          <w:r>
            <w:t>14</w:t>
          </w:r>
          <w:bookmarkEnd w:id="37"/>
          <w:r>
            <w:fldChar w:fldCharType="end"/>
          </w:r>
        </w:p>
        <w:p w14:paraId="6DD03298">
          <w:pPr>
            <w:pStyle w:val="37"/>
            <w:tabs>
              <w:tab w:val="right" w:leader="dot" w:pos="8306"/>
            </w:tabs>
          </w:pPr>
          <w:r>
            <w:fldChar w:fldCharType="begin"/>
          </w:r>
          <w:r>
            <w:instrText xml:space="preserve"> HYPERLINK \l "_Toc24006_WPSOffice_Level1" </w:instrText>
          </w:r>
          <w:r>
            <w:fldChar w:fldCharType="separate"/>
          </w:r>
          <w:r>
            <w:rPr>
              <w:rFonts w:hint="eastAsia" w:ascii="黑体" w:hAnsi="黑体" w:eastAsia="黑体"/>
            </w:rPr>
            <w:t>第三部分  名词解释</w:t>
          </w:r>
          <w:r>
            <w:tab/>
          </w:r>
          <w:bookmarkStart w:id="38" w:name="_Toc24006_WPSOffice_Level1Page"/>
          <w:r>
            <w:t>14</w:t>
          </w:r>
          <w:bookmarkEnd w:id="38"/>
          <w:r>
            <w:fldChar w:fldCharType="end"/>
          </w:r>
        </w:p>
        <w:p w14:paraId="55F5B064">
          <w:pPr>
            <w:pStyle w:val="37"/>
            <w:tabs>
              <w:tab w:val="right" w:leader="dot" w:pos="8306"/>
            </w:tabs>
          </w:pPr>
          <w:r>
            <w:fldChar w:fldCharType="begin"/>
          </w:r>
          <w:r>
            <w:instrText xml:space="preserve"> HYPERLINK \l "_Toc32398_WPSOffice_Level1" </w:instrText>
          </w:r>
          <w:r>
            <w:fldChar w:fldCharType="separate"/>
          </w:r>
          <w:r>
            <w:rPr>
              <w:rFonts w:hint="eastAsia" w:ascii="黑体" w:hAnsi="黑体" w:eastAsia="黑体"/>
            </w:rPr>
            <w:t>第四部分</w:t>
          </w:r>
          <w:r>
            <w:rPr>
              <w:rFonts w:ascii="黑体" w:hAnsi="黑体" w:eastAsia="黑体"/>
            </w:rPr>
            <w:t xml:space="preserve"> </w:t>
          </w:r>
          <w:r>
            <w:rPr>
              <w:rFonts w:hint="eastAsia" w:ascii="黑体" w:hAnsi="黑体" w:eastAsia="黑体"/>
            </w:rPr>
            <w:t>附件</w:t>
          </w:r>
          <w:r>
            <w:tab/>
          </w:r>
          <w:bookmarkStart w:id="39" w:name="_Toc32398_WPSOffice_Level1Page"/>
          <w:r>
            <w:t>16</w:t>
          </w:r>
          <w:bookmarkEnd w:id="39"/>
          <w:r>
            <w:fldChar w:fldCharType="end"/>
          </w:r>
        </w:p>
        <w:p w14:paraId="0AF70D72">
          <w:pPr>
            <w:pStyle w:val="38"/>
            <w:tabs>
              <w:tab w:val="right" w:leader="dot" w:pos="8306"/>
            </w:tabs>
            <w:ind w:left="420"/>
          </w:pPr>
          <w:r>
            <w:fldChar w:fldCharType="begin"/>
          </w:r>
          <w:r>
            <w:instrText xml:space="preserve"> HYPERLINK \l "_Toc25251_WPSOffice_Level2" </w:instrText>
          </w:r>
          <w:r>
            <w:fldChar w:fldCharType="separate"/>
          </w:r>
          <w:r>
            <w:rPr>
              <w:rFonts w:hint="eastAsia" w:ascii="方正小标宋简体" w:hAnsi="黑体" w:eastAsia="方正小标宋简体" w:cs="黑体"/>
            </w:rPr>
            <w:t>红原县城关小学</w:t>
          </w:r>
          <w:r>
            <w:rPr>
              <w:rFonts w:ascii="方正小标宋简体" w:hAnsi="黑体" w:eastAsia="方正小标宋简体" w:cs="黑体"/>
            </w:rPr>
            <w:t>202</w:t>
          </w:r>
          <w:r>
            <w:rPr>
              <w:rFonts w:hint="eastAsia" w:ascii="方正小标宋简体" w:hAnsi="黑体" w:eastAsia="方正小标宋简体" w:cs="黑体"/>
              <w:lang w:val="en-US" w:eastAsia="zh-CN"/>
            </w:rPr>
            <w:t>5</w:t>
          </w:r>
          <w:r>
            <w:rPr>
              <w:rFonts w:hint="eastAsia" w:ascii="方正小标宋简体" w:hAnsi="黑体" w:eastAsia="方正小标宋简体" w:cs="黑体"/>
            </w:rPr>
            <w:t>年</w:t>
          </w:r>
          <w:r>
            <w:tab/>
          </w:r>
          <w:bookmarkStart w:id="40" w:name="_Toc25251_WPSOffice_Level2Page"/>
          <w:r>
            <w:t>16</w:t>
          </w:r>
          <w:bookmarkEnd w:id="40"/>
          <w:r>
            <w:fldChar w:fldCharType="end"/>
          </w:r>
        </w:p>
        <w:p w14:paraId="79C9A581">
          <w:pPr>
            <w:pStyle w:val="38"/>
            <w:tabs>
              <w:tab w:val="right" w:leader="dot" w:pos="8306"/>
            </w:tabs>
            <w:ind w:left="420"/>
          </w:pPr>
          <w:r>
            <w:fldChar w:fldCharType="begin"/>
          </w:r>
          <w:r>
            <w:instrText xml:space="preserve"> HYPERLINK \l "_Toc29178_WPSOffice_Level2" </w:instrText>
          </w:r>
          <w:r>
            <w:fldChar w:fldCharType="separate"/>
          </w:r>
          <w:r>
            <w:rPr>
              <w:rFonts w:hint="eastAsia" w:ascii="方正小标宋简体" w:hAnsi="黑体" w:eastAsia="方正小标宋简体" w:cs="黑体"/>
            </w:rPr>
            <w:t>部门整体支出绩效评价报告</w:t>
          </w:r>
          <w:r>
            <w:tab/>
          </w:r>
          <w:bookmarkStart w:id="41" w:name="_Toc29178_WPSOffice_Level2Page"/>
          <w:r>
            <w:t>16</w:t>
          </w:r>
          <w:bookmarkEnd w:id="41"/>
          <w:r>
            <w:fldChar w:fldCharType="end"/>
          </w:r>
        </w:p>
        <w:p w14:paraId="06C28853">
          <w:pPr>
            <w:pStyle w:val="38"/>
            <w:tabs>
              <w:tab w:val="right" w:leader="dot" w:pos="8306"/>
            </w:tabs>
            <w:ind w:left="420"/>
          </w:pPr>
          <w:r>
            <w:fldChar w:fldCharType="begin"/>
          </w:r>
          <w:r>
            <w:instrText xml:space="preserve"> HYPERLINK \l "_Toc17495_WPSOffice_Level2" </w:instrText>
          </w:r>
          <w:r>
            <w:fldChar w:fldCharType="separate"/>
          </w:r>
          <w:r>
            <w:rPr>
              <w:rFonts w:hint="eastAsia" w:ascii="黑体" w:hAnsi="宋体" w:eastAsia="黑体" w:cs="宋体"/>
            </w:rPr>
            <w:t>一、 单位概况</w:t>
          </w:r>
          <w:r>
            <w:tab/>
          </w:r>
          <w:bookmarkStart w:id="42" w:name="_Toc17495_WPSOffice_Level2Page"/>
          <w:r>
            <w:t>16</w:t>
          </w:r>
          <w:bookmarkEnd w:id="42"/>
          <w:r>
            <w:fldChar w:fldCharType="end"/>
          </w:r>
        </w:p>
        <w:p w14:paraId="5564B8E0">
          <w:pPr>
            <w:pStyle w:val="39"/>
            <w:tabs>
              <w:tab w:val="right" w:leader="dot" w:pos="8306"/>
            </w:tabs>
            <w:ind w:left="840"/>
          </w:pPr>
          <w:r>
            <w:fldChar w:fldCharType="begin"/>
          </w:r>
          <w:r>
            <w:instrText xml:space="preserve"> HYPERLINK \l "_Toc7216_WPSOffice_Level3" </w:instrText>
          </w:r>
          <w:r>
            <w:fldChar w:fldCharType="separate"/>
          </w:r>
          <w:r>
            <w:rPr>
              <w:rFonts w:hint="eastAsia" w:ascii="仿宋_GB2312" w:hAnsi="宋体" w:eastAsia="仿宋_GB2312" w:cs="宋体"/>
            </w:rPr>
            <w:t>（一）机构组成。</w:t>
          </w:r>
          <w:r>
            <w:tab/>
          </w:r>
          <w:bookmarkStart w:id="43" w:name="_Toc7216_WPSOffice_Level3Page"/>
          <w:r>
            <w:t>17</w:t>
          </w:r>
          <w:bookmarkEnd w:id="43"/>
          <w:r>
            <w:fldChar w:fldCharType="end"/>
          </w:r>
        </w:p>
        <w:p w14:paraId="70BA0DE8">
          <w:pPr>
            <w:pStyle w:val="39"/>
            <w:tabs>
              <w:tab w:val="right" w:leader="dot" w:pos="8306"/>
            </w:tabs>
            <w:ind w:left="840"/>
          </w:pPr>
          <w:r>
            <w:fldChar w:fldCharType="begin"/>
          </w:r>
          <w:r>
            <w:instrText xml:space="preserve"> HYPERLINK \l "_Toc25251_WPSOffice_Level3" </w:instrText>
          </w:r>
          <w:r>
            <w:fldChar w:fldCharType="separate"/>
          </w:r>
          <w:r>
            <w:rPr>
              <w:rFonts w:hint="eastAsia" w:ascii="仿宋_GB2312" w:hAnsi="宋体" w:eastAsia="仿宋_GB2312" w:cs="宋体"/>
            </w:rPr>
            <w:t>（二）机构职能。</w:t>
          </w:r>
          <w:r>
            <w:tab/>
          </w:r>
          <w:bookmarkStart w:id="44" w:name="_Toc25251_WPSOffice_Level3Page"/>
          <w:r>
            <w:t>17</w:t>
          </w:r>
          <w:bookmarkEnd w:id="44"/>
          <w:r>
            <w:fldChar w:fldCharType="end"/>
          </w:r>
        </w:p>
        <w:p w14:paraId="4E361236">
          <w:pPr>
            <w:pStyle w:val="39"/>
            <w:tabs>
              <w:tab w:val="right" w:leader="dot" w:pos="8306"/>
            </w:tabs>
            <w:ind w:left="840"/>
          </w:pPr>
          <w:r>
            <w:fldChar w:fldCharType="begin"/>
          </w:r>
          <w:r>
            <w:instrText xml:space="preserve"> HYPERLINK \l "_Toc29178_WPSOffice_Level3" </w:instrText>
          </w:r>
          <w:r>
            <w:fldChar w:fldCharType="separate"/>
          </w:r>
          <w:r>
            <w:rPr>
              <w:rFonts w:hint="eastAsia" w:ascii="仿宋_GB2312" w:hAnsi="宋体" w:eastAsia="仿宋_GB2312" w:cs="宋体"/>
            </w:rPr>
            <w:t>（三）人员概况。</w:t>
          </w:r>
          <w:r>
            <w:tab/>
          </w:r>
          <w:bookmarkStart w:id="45" w:name="_Toc29178_WPSOffice_Level3Page"/>
          <w:r>
            <w:t>17</w:t>
          </w:r>
          <w:bookmarkEnd w:id="45"/>
          <w:r>
            <w:fldChar w:fldCharType="end"/>
          </w:r>
        </w:p>
        <w:p w14:paraId="7C838D19">
          <w:pPr>
            <w:pStyle w:val="38"/>
            <w:tabs>
              <w:tab w:val="right" w:leader="dot" w:pos="8306"/>
            </w:tabs>
            <w:ind w:left="420"/>
          </w:pPr>
          <w:r>
            <w:fldChar w:fldCharType="begin"/>
          </w:r>
          <w:r>
            <w:instrText xml:space="preserve"> HYPERLINK \l "_Toc4810_WPSOffice_Level2" </w:instrText>
          </w:r>
          <w:r>
            <w:fldChar w:fldCharType="separate"/>
          </w:r>
          <w:r>
            <w:rPr>
              <w:rFonts w:hint="eastAsia" w:ascii="黑体" w:hAnsi="宋体" w:eastAsia="黑体" w:cs="宋体"/>
            </w:rPr>
            <w:t>二、部门财政资金收支情况</w:t>
          </w:r>
          <w:r>
            <w:tab/>
          </w:r>
          <w:bookmarkStart w:id="46" w:name="_Toc4810_WPSOffice_Level2Page"/>
          <w:r>
            <w:t>17</w:t>
          </w:r>
          <w:bookmarkEnd w:id="46"/>
          <w:r>
            <w:fldChar w:fldCharType="end"/>
          </w:r>
        </w:p>
        <w:p w14:paraId="6036E326">
          <w:pPr>
            <w:pStyle w:val="39"/>
            <w:tabs>
              <w:tab w:val="right" w:leader="dot" w:pos="8306"/>
            </w:tabs>
            <w:ind w:left="840"/>
          </w:pPr>
          <w:r>
            <w:fldChar w:fldCharType="begin"/>
          </w:r>
          <w:r>
            <w:instrText xml:space="preserve"> HYPERLINK \l "_Toc17495_WPSOffice_Level3" </w:instrText>
          </w:r>
          <w:r>
            <w:fldChar w:fldCharType="separate"/>
          </w:r>
          <w:r>
            <w:rPr>
              <w:rFonts w:hint="eastAsia" w:ascii="仿宋_GB2312" w:hAnsi="宋体" w:eastAsia="仿宋_GB2312" w:cs="宋体"/>
            </w:rPr>
            <w:t>（一）部门财政资金收入情况。</w:t>
          </w:r>
          <w:r>
            <w:tab/>
          </w:r>
          <w:bookmarkStart w:id="47" w:name="_Toc17495_WPSOffice_Level3Page"/>
          <w:r>
            <w:t>17</w:t>
          </w:r>
          <w:bookmarkEnd w:id="47"/>
          <w:r>
            <w:fldChar w:fldCharType="end"/>
          </w:r>
        </w:p>
        <w:p w14:paraId="11E545E7">
          <w:pPr>
            <w:pStyle w:val="39"/>
            <w:tabs>
              <w:tab w:val="right" w:leader="dot" w:pos="8306"/>
            </w:tabs>
            <w:ind w:left="840"/>
          </w:pPr>
          <w:r>
            <w:fldChar w:fldCharType="begin"/>
          </w:r>
          <w:r>
            <w:instrText xml:space="preserve"> HYPERLINK \l "_Toc4810_WPSOffice_Level3" </w:instrText>
          </w:r>
          <w:r>
            <w:fldChar w:fldCharType="separate"/>
          </w:r>
          <w:r>
            <w:rPr>
              <w:rFonts w:hint="eastAsia" w:ascii="仿宋_GB2312" w:hAnsi="宋体" w:eastAsia="仿宋_GB2312" w:cs="宋体"/>
            </w:rPr>
            <w:t>（二） 部门财政资金支出情况。</w:t>
          </w:r>
          <w:r>
            <w:tab/>
          </w:r>
          <w:bookmarkStart w:id="48" w:name="_Toc4810_WPSOffice_Level3Page"/>
          <w:r>
            <w:t>17</w:t>
          </w:r>
          <w:bookmarkEnd w:id="48"/>
          <w:r>
            <w:fldChar w:fldCharType="end"/>
          </w:r>
        </w:p>
        <w:p w14:paraId="03FCFA99">
          <w:pPr>
            <w:pStyle w:val="38"/>
            <w:tabs>
              <w:tab w:val="right" w:leader="dot" w:pos="8306"/>
            </w:tabs>
            <w:ind w:left="420"/>
          </w:pPr>
          <w:r>
            <w:fldChar w:fldCharType="begin"/>
          </w:r>
          <w:r>
            <w:instrText xml:space="preserve"> HYPERLINK \l "_Toc17090_WPSOffice_Level2" </w:instrText>
          </w:r>
          <w:r>
            <w:fldChar w:fldCharType="separate"/>
          </w:r>
          <w:r>
            <w:rPr>
              <w:rFonts w:hint="eastAsia" w:ascii="黑体" w:hAnsi="宋体" w:eastAsia="黑体" w:cs="宋体"/>
            </w:rPr>
            <w:t>三、部门整体预算绩效管理情况</w:t>
          </w:r>
          <w:r>
            <w:tab/>
          </w:r>
          <w:bookmarkStart w:id="49" w:name="_Toc17090_WPSOffice_Level2Page"/>
          <w:r>
            <w:t>17</w:t>
          </w:r>
          <w:bookmarkEnd w:id="49"/>
          <w:r>
            <w:fldChar w:fldCharType="end"/>
          </w:r>
        </w:p>
        <w:p w14:paraId="5DB4473F">
          <w:pPr>
            <w:pStyle w:val="39"/>
            <w:tabs>
              <w:tab w:val="right" w:leader="dot" w:pos="8306"/>
            </w:tabs>
            <w:ind w:left="840"/>
          </w:pPr>
          <w:r>
            <w:fldChar w:fldCharType="begin"/>
          </w:r>
          <w:r>
            <w:instrText xml:space="preserve"> HYPERLINK \l "_Toc17090_WPSOffice_Level3" </w:instrText>
          </w:r>
          <w:r>
            <w:fldChar w:fldCharType="separate"/>
          </w:r>
          <w:r>
            <w:rPr>
              <w:rFonts w:hint="eastAsia" w:ascii="仿宋_GB2312" w:hAnsi="宋体" w:eastAsia="仿宋_GB2312" w:cs="宋体"/>
            </w:rPr>
            <w:t>（一）部门预算管理。</w:t>
          </w:r>
          <w:r>
            <w:tab/>
          </w:r>
          <w:bookmarkStart w:id="50" w:name="_Toc17090_WPSOffice_Level3Page"/>
          <w:r>
            <w:t>17</w:t>
          </w:r>
          <w:bookmarkEnd w:id="50"/>
          <w:r>
            <w:fldChar w:fldCharType="end"/>
          </w:r>
        </w:p>
        <w:p w14:paraId="6977B0CA">
          <w:pPr>
            <w:pStyle w:val="39"/>
            <w:tabs>
              <w:tab w:val="right" w:leader="dot" w:pos="8306"/>
            </w:tabs>
            <w:ind w:left="840"/>
          </w:pPr>
          <w:r>
            <w:fldChar w:fldCharType="begin"/>
          </w:r>
          <w:r>
            <w:instrText xml:space="preserve"> HYPERLINK \l "_Toc23830_WPSOffice_Level3" </w:instrText>
          </w:r>
          <w:r>
            <w:fldChar w:fldCharType="separate"/>
          </w:r>
          <w:r>
            <w:rPr>
              <w:rFonts w:hint="eastAsia" w:ascii="仿宋" w:hAnsi="仿宋" w:eastAsia="仿宋"/>
            </w:rPr>
            <w:t>（二）结果应用情况。</w:t>
          </w:r>
          <w:r>
            <w:tab/>
          </w:r>
          <w:bookmarkStart w:id="51" w:name="_Toc23830_WPSOffice_Level3Page"/>
          <w:r>
            <w:t>18</w:t>
          </w:r>
          <w:bookmarkEnd w:id="51"/>
          <w:r>
            <w:fldChar w:fldCharType="end"/>
          </w:r>
        </w:p>
        <w:p w14:paraId="1138DC1F">
          <w:pPr>
            <w:pStyle w:val="38"/>
            <w:tabs>
              <w:tab w:val="right" w:leader="dot" w:pos="8306"/>
            </w:tabs>
            <w:ind w:left="420"/>
          </w:pPr>
          <w:r>
            <w:fldChar w:fldCharType="begin"/>
          </w:r>
          <w:r>
            <w:instrText xml:space="preserve"> HYPERLINK \l "_Toc23830_WPSOffice_Level2" </w:instrText>
          </w:r>
          <w:r>
            <w:fldChar w:fldCharType="separate"/>
          </w:r>
          <w:r>
            <w:rPr>
              <w:rFonts w:hint="eastAsia" w:ascii="仿宋" w:hAnsi="仿宋" w:eastAsia="仿宋"/>
            </w:rPr>
            <w:t>四、评价结论及建议</w:t>
          </w:r>
          <w:r>
            <w:tab/>
          </w:r>
          <w:bookmarkStart w:id="52" w:name="_Toc23830_WPSOffice_Level2Page"/>
          <w:r>
            <w:t>20</w:t>
          </w:r>
          <w:bookmarkEnd w:id="52"/>
          <w:r>
            <w:fldChar w:fldCharType="end"/>
          </w:r>
        </w:p>
        <w:p w14:paraId="192B5A28">
          <w:pPr>
            <w:pStyle w:val="39"/>
            <w:tabs>
              <w:tab w:val="right" w:leader="dot" w:pos="8306"/>
            </w:tabs>
            <w:ind w:left="840"/>
          </w:pPr>
          <w:r>
            <w:fldChar w:fldCharType="begin"/>
          </w:r>
          <w:r>
            <w:instrText xml:space="preserve"> HYPERLINK \l "_Toc23252_WPSOffice_Level3" </w:instrText>
          </w:r>
          <w:r>
            <w:fldChar w:fldCharType="separate"/>
          </w:r>
          <w:r>
            <w:rPr>
              <w:rFonts w:hint="eastAsia" w:ascii="仿宋" w:hAnsi="仿宋" w:eastAsia="仿宋"/>
            </w:rPr>
            <w:t>（一）评价结论。</w:t>
          </w:r>
          <w:r>
            <w:tab/>
          </w:r>
          <w:bookmarkStart w:id="53" w:name="_Toc23252_WPSOffice_Level3Page"/>
          <w:r>
            <w:t>20</w:t>
          </w:r>
          <w:bookmarkEnd w:id="53"/>
          <w:r>
            <w:fldChar w:fldCharType="end"/>
          </w:r>
        </w:p>
        <w:p w14:paraId="13BEC254">
          <w:pPr>
            <w:pStyle w:val="39"/>
            <w:tabs>
              <w:tab w:val="right" w:leader="dot" w:pos="8306"/>
            </w:tabs>
            <w:ind w:left="840"/>
          </w:pPr>
          <w:r>
            <w:fldChar w:fldCharType="begin"/>
          </w:r>
          <w:r>
            <w:instrText xml:space="preserve"> HYPERLINK \l "_Toc22809_WPSOffice_Level3" </w:instrText>
          </w:r>
          <w:r>
            <w:fldChar w:fldCharType="separate"/>
          </w:r>
          <w:r>
            <w:rPr>
              <w:rFonts w:hint="eastAsia" w:ascii="仿宋" w:hAnsi="仿宋" w:eastAsia="仿宋"/>
            </w:rPr>
            <w:t>（二）存在问题。</w:t>
          </w:r>
          <w:r>
            <w:tab/>
          </w:r>
          <w:bookmarkStart w:id="54" w:name="_Toc22809_WPSOffice_Level3Page"/>
          <w:r>
            <w:t>20</w:t>
          </w:r>
          <w:bookmarkEnd w:id="54"/>
          <w:r>
            <w:fldChar w:fldCharType="end"/>
          </w:r>
        </w:p>
        <w:p w14:paraId="1470255B">
          <w:pPr>
            <w:pStyle w:val="37"/>
            <w:tabs>
              <w:tab w:val="right" w:leader="dot" w:pos="8306"/>
            </w:tabs>
          </w:pPr>
          <w:r>
            <w:fldChar w:fldCharType="begin"/>
          </w:r>
          <w:r>
            <w:instrText xml:space="preserve"> HYPERLINK \l "_Toc3982_WPSOffice_Level1" </w:instrText>
          </w:r>
          <w:r>
            <w:fldChar w:fldCharType="separate"/>
          </w:r>
          <w:r>
            <w:rPr>
              <w:rFonts w:hint="eastAsia" w:ascii="仿宋" w:hAnsi="仿宋" w:eastAsia="仿宋"/>
            </w:rPr>
            <w:t>第五部分 附表</w:t>
          </w:r>
          <w:r>
            <w:tab/>
          </w:r>
          <w:bookmarkStart w:id="55" w:name="_Toc3982_WPSOffice_Level1Page"/>
          <w:r>
            <w:t>20</w:t>
          </w:r>
          <w:bookmarkEnd w:id="55"/>
          <w:r>
            <w:fldChar w:fldCharType="end"/>
          </w:r>
        </w:p>
        <w:p w14:paraId="43DDCC68">
          <w:pPr>
            <w:pStyle w:val="38"/>
            <w:tabs>
              <w:tab w:val="right" w:leader="dot" w:pos="8306"/>
            </w:tabs>
            <w:ind w:left="420"/>
          </w:pPr>
          <w:r>
            <w:fldChar w:fldCharType="begin"/>
          </w:r>
          <w:r>
            <w:instrText xml:space="preserve"> HYPERLINK \l "_Toc23252_WPSOffice_Level2" </w:instrText>
          </w:r>
          <w:r>
            <w:fldChar w:fldCharType="separate"/>
          </w:r>
          <w:r>
            <w:rPr>
              <w:rFonts w:hint="eastAsia" w:ascii="仿宋" w:hAnsi="仿宋" w:eastAsia="仿宋"/>
            </w:rPr>
            <w:t>一、收入支出决算总表</w:t>
          </w:r>
          <w:r>
            <w:tab/>
          </w:r>
          <w:bookmarkStart w:id="56" w:name="_Toc23252_WPSOffice_Level2Page"/>
          <w:r>
            <w:t>20</w:t>
          </w:r>
          <w:bookmarkEnd w:id="56"/>
          <w:r>
            <w:fldChar w:fldCharType="end"/>
          </w:r>
        </w:p>
        <w:p w14:paraId="60BEF5D0">
          <w:pPr>
            <w:pStyle w:val="38"/>
            <w:tabs>
              <w:tab w:val="right" w:leader="dot" w:pos="8306"/>
            </w:tabs>
            <w:ind w:left="420"/>
          </w:pPr>
          <w:r>
            <w:fldChar w:fldCharType="begin"/>
          </w:r>
          <w:r>
            <w:instrText xml:space="preserve"> HYPERLINK \l "_Toc22809_WPSOffice_Level2" </w:instrText>
          </w:r>
          <w:r>
            <w:fldChar w:fldCharType="separate"/>
          </w:r>
          <w:r>
            <w:rPr>
              <w:rFonts w:hint="eastAsia" w:ascii="仿宋" w:hAnsi="仿宋" w:eastAsia="仿宋"/>
            </w:rPr>
            <w:t>二、收入决算表</w:t>
          </w:r>
          <w:r>
            <w:tab/>
          </w:r>
          <w:bookmarkStart w:id="57" w:name="_Toc22809_WPSOffice_Level2Page"/>
          <w:r>
            <w:t>20</w:t>
          </w:r>
          <w:bookmarkEnd w:id="57"/>
          <w:r>
            <w:fldChar w:fldCharType="end"/>
          </w:r>
        </w:p>
        <w:p w14:paraId="1C0EC33F">
          <w:pPr>
            <w:pStyle w:val="38"/>
            <w:tabs>
              <w:tab w:val="right" w:leader="dot" w:pos="8306"/>
            </w:tabs>
            <w:ind w:left="420"/>
          </w:pPr>
          <w:r>
            <w:fldChar w:fldCharType="begin"/>
          </w:r>
          <w:r>
            <w:instrText xml:space="preserve"> HYPERLINK \l "_Toc7875_WPSOffice_Level2" </w:instrText>
          </w:r>
          <w:r>
            <w:fldChar w:fldCharType="separate"/>
          </w:r>
          <w:r>
            <w:rPr>
              <w:rFonts w:hint="eastAsia" w:ascii="仿宋" w:hAnsi="仿宋" w:eastAsia="仿宋"/>
            </w:rPr>
            <w:t>三、支出决算表</w:t>
          </w:r>
          <w:r>
            <w:tab/>
          </w:r>
          <w:bookmarkStart w:id="58" w:name="_Toc7875_WPSOffice_Level2Page"/>
          <w:r>
            <w:t>20</w:t>
          </w:r>
          <w:bookmarkEnd w:id="58"/>
          <w:r>
            <w:fldChar w:fldCharType="end"/>
          </w:r>
        </w:p>
        <w:p w14:paraId="7E8E6EE8">
          <w:pPr>
            <w:pStyle w:val="38"/>
            <w:tabs>
              <w:tab w:val="right" w:leader="dot" w:pos="8306"/>
            </w:tabs>
            <w:ind w:left="420"/>
          </w:pPr>
          <w:r>
            <w:fldChar w:fldCharType="begin"/>
          </w:r>
          <w:r>
            <w:instrText xml:space="preserve"> HYPERLINK \l "_Toc22408_WPSOffice_Level2" </w:instrText>
          </w:r>
          <w:r>
            <w:fldChar w:fldCharType="separate"/>
          </w:r>
          <w:r>
            <w:rPr>
              <w:rFonts w:hint="eastAsia" w:ascii="仿宋" w:hAnsi="仿宋" w:eastAsia="仿宋"/>
            </w:rPr>
            <w:t>四、财政拨款收入支出决算总表</w:t>
          </w:r>
          <w:r>
            <w:tab/>
          </w:r>
          <w:bookmarkStart w:id="59" w:name="_Toc22408_WPSOffice_Level2Page"/>
          <w:r>
            <w:t>20</w:t>
          </w:r>
          <w:bookmarkEnd w:id="59"/>
          <w:r>
            <w:fldChar w:fldCharType="end"/>
          </w:r>
        </w:p>
        <w:p w14:paraId="416A357E">
          <w:pPr>
            <w:pStyle w:val="38"/>
            <w:tabs>
              <w:tab w:val="right" w:leader="dot" w:pos="8306"/>
            </w:tabs>
            <w:ind w:left="420"/>
          </w:pPr>
          <w:r>
            <w:fldChar w:fldCharType="begin"/>
          </w:r>
          <w:r>
            <w:instrText xml:space="preserve"> HYPERLINK \l "_Toc28250_WPSOffice_Level2" </w:instrText>
          </w:r>
          <w:r>
            <w:fldChar w:fldCharType="separate"/>
          </w:r>
          <w:r>
            <w:rPr>
              <w:rFonts w:hint="eastAsia" w:ascii="仿宋" w:hAnsi="仿宋" w:eastAsia="仿宋"/>
            </w:rPr>
            <w:t>五、财政拨款支出决算明细表</w:t>
          </w:r>
          <w:r>
            <w:tab/>
          </w:r>
          <w:bookmarkStart w:id="60" w:name="_Toc28250_WPSOffice_Level2Page"/>
          <w:r>
            <w:t>21</w:t>
          </w:r>
          <w:bookmarkEnd w:id="60"/>
          <w:r>
            <w:fldChar w:fldCharType="end"/>
          </w:r>
        </w:p>
        <w:p w14:paraId="015F0041">
          <w:pPr>
            <w:pStyle w:val="38"/>
            <w:tabs>
              <w:tab w:val="right" w:leader="dot" w:pos="8306"/>
            </w:tabs>
            <w:ind w:left="420"/>
          </w:pPr>
          <w:r>
            <w:fldChar w:fldCharType="begin"/>
          </w:r>
          <w:r>
            <w:instrText xml:space="preserve"> HYPERLINK \l "_Toc2864_WPSOffice_Level2" </w:instrText>
          </w:r>
          <w:r>
            <w:fldChar w:fldCharType="separate"/>
          </w:r>
          <w:r>
            <w:rPr>
              <w:rFonts w:hint="eastAsia" w:ascii="仿宋" w:hAnsi="仿宋" w:eastAsia="仿宋"/>
            </w:rPr>
            <w:t>六、一般公共预算财政拨款支出决算表</w:t>
          </w:r>
          <w:r>
            <w:tab/>
          </w:r>
          <w:bookmarkStart w:id="61" w:name="_Toc2864_WPSOffice_Level2Page"/>
          <w:r>
            <w:t>21</w:t>
          </w:r>
          <w:bookmarkEnd w:id="61"/>
          <w:r>
            <w:fldChar w:fldCharType="end"/>
          </w:r>
        </w:p>
        <w:p w14:paraId="2F1A6146">
          <w:pPr>
            <w:pStyle w:val="38"/>
            <w:tabs>
              <w:tab w:val="right" w:leader="dot" w:pos="8306"/>
            </w:tabs>
            <w:ind w:left="420"/>
          </w:pPr>
          <w:r>
            <w:fldChar w:fldCharType="begin"/>
          </w:r>
          <w:r>
            <w:instrText xml:space="preserve"> HYPERLINK \l "_Toc25276_WPSOffice_Level2" </w:instrText>
          </w:r>
          <w:r>
            <w:fldChar w:fldCharType="separate"/>
          </w:r>
          <w:r>
            <w:rPr>
              <w:rFonts w:hint="eastAsia" w:ascii="仿宋" w:hAnsi="仿宋" w:eastAsia="仿宋"/>
            </w:rPr>
            <w:t>七、一般公共预算财政拨款支出决算明细表</w:t>
          </w:r>
          <w:r>
            <w:tab/>
          </w:r>
          <w:bookmarkStart w:id="62" w:name="_Toc25276_WPSOffice_Level2Page"/>
          <w:r>
            <w:t>21</w:t>
          </w:r>
          <w:bookmarkEnd w:id="62"/>
          <w:r>
            <w:fldChar w:fldCharType="end"/>
          </w:r>
        </w:p>
        <w:p w14:paraId="39475D2D">
          <w:pPr>
            <w:pStyle w:val="38"/>
            <w:tabs>
              <w:tab w:val="right" w:leader="dot" w:pos="8306"/>
            </w:tabs>
            <w:ind w:left="420"/>
          </w:pPr>
          <w:r>
            <w:fldChar w:fldCharType="begin"/>
          </w:r>
          <w:r>
            <w:instrText xml:space="preserve"> HYPERLINK \l "_Toc7202_WPSOffice_Level2" </w:instrText>
          </w:r>
          <w:r>
            <w:fldChar w:fldCharType="separate"/>
          </w:r>
          <w:r>
            <w:rPr>
              <w:rFonts w:hint="eastAsia" w:ascii="仿宋" w:hAnsi="仿宋" w:eastAsia="仿宋"/>
            </w:rPr>
            <w:t>八、一般公共预算财政拨款基本支出决算表</w:t>
          </w:r>
          <w:r>
            <w:tab/>
          </w:r>
          <w:bookmarkStart w:id="63" w:name="_Toc7202_WPSOffice_Level2Page"/>
          <w:r>
            <w:t>21</w:t>
          </w:r>
          <w:bookmarkEnd w:id="63"/>
          <w:r>
            <w:fldChar w:fldCharType="end"/>
          </w:r>
        </w:p>
        <w:p w14:paraId="5509D803">
          <w:pPr>
            <w:pStyle w:val="38"/>
            <w:tabs>
              <w:tab w:val="right" w:leader="dot" w:pos="8306"/>
            </w:tabs>
            <w:ind w:left="420"/>
          </w:pPr>
          <w:r>
            <w:fldChar w:fldCharType="begin"/>
          </w:r>
          <w:r>
            <w:instrText xml:space="preserve"> HYPERLINK \l "_Toc4419_WPSOffice_Level2" </w:instrText>
          </w:r>
          <w:r>
            <w:fldChar w:fldCharType="separate"/>
          </w:r>
          <w:r>
            <w:rPr>
              <w:rFonts w:hint="eastAsia" w:ascii="仿宋" w:hAnsi="仿宋" w:eastAsia="仿宋"/>
            </w:rPr>
            <w:t>九、一般公共预算财政拨款项目支出决算表</w:t>
          </w:r>
          <w:r>
            <w:tab/>
          </w:r>
          <w:bookmarkStart w:id="64" w:name="_Toc4419_WPSOffice_Level2Page"/>
          <w:r>
            <w:t>21</w:t>
          </w:r>
          <w:bookmarkEnd w:id="64"/>
          <w:r>
            <w:fldChar w:fldCharType="end"/>
          </w:r>
        </w:p>
        <w:p w14:paraId="194D6E20">
          <w:pPr>
            <w:pStyle w:val="38"/>
            <w:tabs>
              <w:tab w:val="right" w:leader="dot" w:pos="8306"/>
            </w:tabs>
            <w:ind w:left="420"/>
          </w:pPr>
          <w:r>
            <w:fldChar w:fldCharType="begin"/>
          </w:r>
          <w:r>
            <w:instrText xml:space="preserve"> HYPERLINK \l "_Toc27030_WPSOffice_Level2" </w:instrText>
          </w:r>
          <w:r>
            <w:fldChar w:fldCharType="separate"/>
          </w:r>
          <w:r>
            <w:rPr>
              <w:rFonts w:hint="eastAsia" w:ascii="仿宋" w:hAnsi="仿宋" w:eastAsia="仿宋"/>
            </w:rPr>
            <w:t>十、一般公共预算财政拨款“三公”经费支出决算表</w:t>
          </w:r>
          <w:r>
            <w:tab/>
          </w:r>
          <w:bookmarkStart w:id="65" w:name="_Toc27030_WPSOffice_Level2Page"/>
          <w:r>
            <w:t>21</w:t>
          </w:r>
          <w:bookmarkEnd w:id="65"/>
          <w:r>
            <w:fldChar w:fldCharType="end"/>
          </w:r>
        </w:p>
        <w:p w14:paraId="66696B17">
          <w:pPr>
            <w:pStyle w:val="38"/>
            <w:tabs>
              <w:tab w:val="right" w:leader="dot" w:pos="8306"/>
            </w:tabs>
            <w:ind w:left="420"/>
          </w:pPr>
          <w:r>
            <w:fldChar w:fldCharType="begin"/>
          </w:r>
          <w:r>
            <w:instrText xml:space="preserve"> HYPERLINK \l "_Toc9833_WPSOffice_Level2" </w:instrText>
          </w:r>
          <w:r>
            <w:fldChar w:fldCharType="separate"/>
          </w:r>
          <w:r>
            <w:rPr>
              <w:rFonts w:hint="eastAsia" w:ascii="仿宋" w:hAnsi="仿宋" w:eastAsia="仿宋"/>
            </w:rPr>
            <w:t>十一、政府性基金预算财政拨款收入支出决算表</w:t>
          </w:r>
          <w:r>
            <w:tab/>
          </w:r>
          <w:bookmarkStart w:id="66" w:name="_Toc9833_WPSOffice_Level2Page"/>
          <w:r>
            <w:t>21</w:t>
          </w:r>
          <w:bookmarkEnd w:id="66"/>
          <w:r>
            <w:fldChar w:fldCharType="end"/>
          </w:r>
        </w:p>
        <w:p w14:paraId="4CFC9370">
          <w:pPr>
            <w:pStyle w:val="38"/>
            <w:tabs>
              <w:tab w:val="right" w:leader="dot" w:pos="8306"/>
            </w:tabs>
            <w:ind w:left="420"/>
          </w:pPr>
          <w:r>
            <w:fldChar w:fldCharType="begin"/>
          </w:r>
          <w:r>
            <w:instrText xml:space="preserve"> HYPERLINK \l "_Toc6074_WPSOffice_Level2" </w:instrText>
          </w:r>
          <w:r>
            <w:fldChar w:fldCharType="separate"/>
          </w:r>
          <w:r>
            <w:rPr>
              <w:rFonts w:hint="eastAsia" w:ascii="仿宋" w:hAnsi="仿宋" w:eastAsia="仿宋"/>
            </w:rPr>
            <w:t>十二、政府性基金预算财政拨款“三公”经费支出决算表</w:t>
          </w:r>
          <w:r>
            <w:tab/>
          </w:r>
          <w:bookmarkStart w:id="67" w:name="_Toc6074_WPSOffice_Level2Page"/>
          <w:r>
            <w:t>21</w:t>
          </w:r>
          <w:bookmarkEnd w:id="67"/>
          <w:r>
            <w:fldChar w:fldCharType="end"/>
          </w:r>
        </w:p>
        <w:p w14:paraId="18363BA8">
          <w:pPr>
            <w:pStyle w:val="38"/>
            <w:tabs>
              <w:tab w:val="right" w:leader="dot" w:pos="8306"/>
            </w:tabs>
            <w:ind w:left="420"/>
          </w:pPr>
          <w:r>
            <w:fldChar w:fldCharType="begin"/>
          </w:r>
          <w:r>
            <w:instrText xml:space="preserve"> HYPERLINK \l "_Toc8410_WPSOffice_Level2" </w:instrText>
          </w:r>
          <w:r>
            <w:fldChar w:fldCharType="separate"/>
          </w:r>
          <w:r>
            <w:rPr>
              <w:rFonts w:hint="eastAsia" w:ascii="仿宋" w:hAnsi="仿宋" w:eastAsia="仿宋"/>
            </w:rPr>
            <w:t>十三、国有资本经营预算财政拨款支出决算表</w:t>
          </w:r>
          <w:r>
            <w:tab/>
          </w:r>
          <w:bookmarkStart w:id="68" w:name="_Toc8410_WPSOffice_Level2Page"/>
          <w:r>
            <w:t>21</w:t>
          </w:r>
          <w:bookmarkEnd w:id="68"/>
          <w:r>
            <w:fldChar w:fldCharType="end"/>
          </w:r>
        </w:p>
      </w:sdtContent>
    </w:sdt>
    <w:bookmarkEnd w:id="12"/>
    <w:p w14:paraId="07A8347D">
      <w:pPr>
        <w:widowControl/>
        <w:spacing w:line="440" w:lineRule="exact"/>
        <w:jc w:val="left"/>
        <w:rPr>
          <w:rFonts w:ascii="仿宋" w:hAnsi="仿宋" w:eastAsia="仿宋"/>
          <w:b/>
          <w:sz w:val="24"/>
        </w:rPr>
      </w:pPr>
    </w:p>
    <w:p w14:paraId="5BA42888">
      <w:pPr>
        <w:pStyle w:val="2"/>
        <w:jc w:val="center"/>
        <w:rPr>
          <w:rFonts w:ascii="黑体" w:hAnsi="黑体" w:eastAsia="黑体"/>
          <w:b w:val="0"/>
        </w:rPr>
      </w:pPr>
      <w:bookmarkStart w:id="69" w:name="_Toc247_WPSOffice_Level1"/>
      <w:bookmarkStart w:id="70" w:name="_Toc79163601"/>
      <w:bookmarkStart w:id="71" w:name="_Toc79163851"/>
    </w:p>
    <w:p w14:paraId="2A3A7D34">
      <w:pPr>
        <w:pStyle w:val="2"/>
        <w:jc w:val="center"/>
        <w:rPr>
          <w:rFonts w:ascii="黑体" w:hAnsi="黑体" w:eastAsia="黑体"/>
          <w:b w:val="0"/>
        </w:rPr>
      </w:pPr>
    </w:p>
    <w:p w14:paraId="223305EA">
      <w:pPr>
        <w:pStyle w:val="2"/>
        <w:rPr>
          <w:rFonts w:ascii="黑体" w:hAnsi="黑体" w:eastAsia="黑体"/>
          <w:b w:val="0"/>
        </w:rPr>
      </w:pPr>
    </w:p>
    <w:p w14:paraId="457E4B12">
      <w:pPr>
        <w:pStyle w:val="2"/>
        <w:rPr>
          <w:rFonts w:ascii="黑体" w:hAnsi="黑体" w:eastAsia="黑体"/>
          <w:b w:val="0"/>
        </w:rPr>
      </w:pPr>
    </w:p>
    <w:p w14:paraId="72C909B2">
      <w:pPr>
        <w:pStyle w:val="2"/>
        <w:ind w:firstLine="1760" w:firstLineChars="400"/>
        <w:rPr>
          <w:rFonts w:ascii="黑体" w:hAnsi="黑体" w:eastAsia="黑体"/>
          <w:b w:val="0"/>
        </w:rPr>
      </w:pPr>
    </w:p>
    <w:p w14:paraId="4997E35F">
      <w:pPr>
        <w:pStyle w:val="2"/>
        <w:ind w:firstLine="1760" w:firstLineChars="400"/>
        <w:rPr>
          <w:rStyle w:val="22"/>
          <w:rFonts w:ascii="黑体" w:hAnsi="黑体" w:eastAsia="黑体"/>
          <w:b/>
          <w:bCs w:val="0"/>
        </w:rPr>
      </w:pPr>
      <w:bookmarkStart w:id="72" w:name="_Toc30054_WPSOffice_Level1"/>
      <w:r>
        <w:rPr>
          <w:rFonts w:hint="eastAsia" w:ascii="黑体" w:hAnsi="黑体" w:eastAsia="黑体"/>
          <w:b w:val="0"/>
        </w:rPr>
        <w:t>第一部分</w:t>
      </w:r>
      <w:r>
        <w:rPr>
          <w:rFonts w:ascii="黑体" w:hAnsi="黑体" w:eastAsia="黑体"/>
          <w:b w:val="0"/>
        </w:rPr>
        <w:t xml:space="preserve"> </w:t>
      </w:r>
      <w:r>
        <w:rPr>
          <w:rStyle w:val="22"/>
          <w:rFonts w:hint="eastAsia" w:ascii="黑体" w:hAnsi="黑体" w:eastAsia="黑体"/>
          <w:b w:val="0"/>
          <w:bCs w:val="0"/>
        </w:rPr>
        <w:t>部门概况</w:t>
      </w:r>
      <w:bookmarkEnd w:id="69"/>
      <w:bookmarkEnd w:id="70"/>
      <w:bookmarkEnd w:id="71"/>
      <w:bookmarkEnd w:id="72"/>
    </w:p>
    <w:p w14:paraId="25DFF468">
      <w:pPr>
        <w:pStyle w:val="3"/>
        <w:rPr>
          <w:rStyle w:val="23"/>
          <w:rFonts w:ascii="黑体" w:hAnsi="黑体" w:eastAsia="黑体"/>
          <w:b w:val="0"/>
          <w:bCs w:val="0"/>
        </w:rPr>
      </w:pPr>
      <w:bookmarkStart w:id="73" w:name="_Toc15761_WPSOffice_Level2"/>
      <w:bookmarkStart w:id="74" w:name="_Toc32767_WPSOffice_Level2"/>
      <w:bookmarkStart w:id="75" w:name="_Toc79163602"/>
      <w:bookmarkStart w:id="76" w:name="_Toc79163852"/>
      <w:bookmarkStart w:id="77" w:name="_Toc15377197"/>
      <w:bookmarkStart w:id="78" w:name="_Toc15396600"/>
      <w:r>
        <w:rPr>
          <w:rFonts w:hint="eastAsia" w:ascii="黑体" w:hAnsi="黑体" w:eastAsia="黑体"/>
          <w:b w:val="0"/>
          <w:color w:val="000000"/>
        </w:rPr>
        <w:t>一、基</w:t>
      </w:r>
      <w:r>
        <w:rPr>
          <w:rStyle w:val="23"/>
          <w:rFonts w:hint="eastAsia" w:ascii="黑体" w:hAnsi="黑体" w:eastAsia="黑体"/>
          <w:b w:val="0"/>
          <w:bCs w:val="0"/>
        </w:rPr>
        <w:t>本职能及主要工作</w:t>
      </w:r>
      <w:bookmarkEnd w:id="73"/>
      <w:bookmarkEnd w:id="74"/>
      <w:bookmarkEnd w:id="75"/>
      <w:bookmarkEnd w:id="76"/>
      <w:bookmarkEnd w:id="77"/>
      <w:bookmarkEnd w:id="78"/>
      <w:bookmarkStart w:id="79" w:name="_Toc79163853"/>
      <w:bookmarkStart w:id="80" w:name="_Toc79163603"/>
      <w:bookmarkStart w:id="81" w:name="_Toc15377198"/>
      <w:bookmarkStart w:id="82" w:name="_Toc15378445"/>
    </w:p>
    <w:p w14:paraId="16011392">
      <w:pPr>
        <w:pStyle w:val="3"/>
        <w:rPr>
          <w:rFonts w:ascii="仿宋" w:hAnsi="仿宋" w:eastAsia="仿宋"/>
          <w:color w:val="000000"/>
        </w:rPr>
      </w:pPr>
      <w:bookmarkStart w:id="83" w:name="_Toc15761_WPSOffice_Level3"/>
      <w:bookmarkStart w:id="84" w:name="_Toc32767_WPSOffice_Level3"/>
      <w:r>
        <w:rPr>
          <w:rFonts w:hint="eastAsia" w:ascii="仿宋" w:hAnsi="仿宋" w:eastAsia="仿宋"/>
          <w:color w:val="000000"/>
        </w:rPr>
        <w:t>（一）主要职能。</w:t>
      </w:r>
      <w:bookmarkEnd w:id="79"/>
      <w:bookmarkEnd w:id="80"/>
      <w:bookmarkEnd w:id="83"/>
      <w:bookmarkEnd w:id="84"/>
    </w:p>
    <w:bookmarkEnd w:id="81"/>
    <w:bookmarkEnd w:id="82"/>
    <w:p w14:paraId="02F97507">
      <w:pPr>
        <w:widowControl/>
        <w:spacing w:before="192" w:after="144" w:line="18" w:lineRule="atLeast"/>
        <w:jc w:val="left"/>
        <w:rPr>
          <w:rFonts w:ascii="仿宋" w:hAnsi="仿宋" w:eastAsia="仿宋" w:cs="仿宋"/>
          <w:bCs/>
          <w:sz w:val="32"/>
          <w:szCs w:val="32"/>
        </w:rPr>
      </w:pPr>
      <w:bookmarkStart w:id="85" w:name="_Toc15377199"/>
      <w:bookmarkStart w:id="86" w:name="_Toc79163854"/>
      <w:bookmarkStart w:id="87" w:name="_Toc15378446"/>
      <w:bookmarkStart w:id="88" w:name="_Toc79163604"/>
      <w:r>
        <w:rPr>
          <w:rFonts w:hint="eastAsia" w:ascii="仿宋" w:hAnsi="仿宋" w:eastAsia="仿宋" w:cs="仿宋"/>
          <w:bCs/>
          <w:sz w:val="32"/>
          <w:szCs w:val="32"/>
        </w:rPr>
        <w:t xml:space="preserve">    小学教育是履行小学教育工作的职责，必须具备良好的职业道德，掌握系统的专业知识和专业技能。认真贯彻执行党的路线、方针和政策，坚持教书育人，服务育人，环境育人方针，关爱学生、尊重学生人格，</w:t>
      </w:r>
      <w:r>
        <w:rPr>
          <w:rFonts w:hint="eastAsia" w:ascii="仿宋" w:hAnsi="仿宋" w:eastAsia="仿宋" w:cs="仿宋"/>
          <w:sz w:val="32"/>
          <w:szCs w:val="32"/>
        </w:rPr>
        <w:t>培养学生高尚的思想道德情操，丰富的科学文化知识，良好的身体素质，促进学生全面发展。具有爱</w:t>
      </w:r>
      <w:r>
        <w:rPr>
          <w:rFonts w:hint="eastAsia" w:ascii="仿宋" w:hAnsi="仿宋" w:eastAsia="仿宋" w:cs="仿宋"/>
          <w:bCs/>
          <w:sz w:val="32"/>
          <w:szCs w:val="32"/>
        </w:rPr>
        <w:t>岗敬业的精神，加强对学生的思想品德教育，</w:t>
      </w:r>
      <w:r>
        <w:rPr>
          <w:rFonts w:hint="eastAsia" w:ascii="仿宋" w:hAnsi="仿宋" w:eastAsia="仿宋" w:cs="仿宋"/>
          <w:sz w:val="32"/>
          <w:szCs w:val="32"/>
        </w:rPr>
        <w:t>为学生在以后的学业生涯奠定基础，</w:t>
      </w:r>
      <w:r>
        <w:rPr>
          <w:rFonts w:hint="eastAsia" w:ascii="仿宋" w:hAnsi="仿宋" w:eastAsia="仿宋" w:cs="仿宋"/>
          <w:bCs/>
          <w:sz w:val="32"/>
          <w:szCs w:val="32"/>
        </w:rPr>
        <w:t>做小学生健康成长的指导者和引路人。</w:t>
      </w:r>
    </w:p>
    <w:p w14:paraId="6064AD6D">
      <w:pPr>
        <w:pStyle w:val="6"/>
        <w:adjustRightInd w:val="0"/>
        <w:snapToGrid w:val="0"/>
        <w:spacing w:before="93" w:line="600" w:lineRule="exact"/>
        <w:ind w:firstLine="672" w:firstLineChars="210"/>
        <w:outlineLvl w:val="2"/>
        <w:rPr>
          <w:rFonts w:ascii="仿宋" w:hAnsi="仿宋" w:eastAsia="仿宋"/>
          <w:bCs/>
          <w:color w:val="000000"/>
          <w:sz w:val="32"/>
          <w:szCs w:val="32"/>
        </w:rPr>
      </w:pPr>
      <w:bookmarkStart w:id="89" w:name="_Toc24006_WPSOffice_Level3"/>
      <w:bookmarkStart w:id="90" w:name="_Toc19190_WPSOffice_Level3"/>
      <w:r>
        <w:rPr>
          <w:rFonts w:hint="eastAsia" w:ascii="仿宋" w:hAnsi="仿宋" w:eastAsia="仿宋"/>
          <w:bCs/>
          <w:color w:val="000000"/>
          <w:sz w:val="32"/>
          <w:szCs w:val="32"/>
        </w:rPr>
        <w:t>（二）</w:t>
      </w:r>
      <w:r>
        <w:rPr>
          <w:rFonts w:ascii="仿宋" w:hAnsi="仿宋" w:eastAsia="仿宋"/>
          <w:bCs/>
          <w:color w:val="000000"/>
          <w:sz w:val="32"/>
          <w:szCs w:val="32"/>
        </w:rPr>
        <w:t>2</w:t>
      </w:r>
      <w:r>
        <w:rPr>
          <w:rFonts w:hint="eastAsia" w:ascii="仿宋" w:hAnsi="仿宋" w:eastAsia="仿宋"/>
          <w:bCs/>
          <w:color w:val="000000"/>
          <w:sz w:val="32"/>
          <w:szCs w:val="32"/>
          <w:lang w:val="en-US"/>
        </w:rPr>
        <w:t>0</w:t>
      </w:r>
      <w:r>
        <w:rPr>
          <w:rFonts w:ascii="仿宋" w:hAnsi="仿宋" w:eastAsia="仿宋"/>
          <w:bCs/>
          <w:color w:val="000000"/>
          <w:sz w:val="32"/>
          <w:szCs w:val="32"/>
        </w:rPr>
        <w:t>2</w:t>
      </w:r>
      <w:r>
        <w:rPr>
          <w:rFonts w:hint="eastAsia" w:ascii="仿宋" w:hAnsi="仿宋" w:eastAsia="仿宋"/>
          <w:bCs/>
          <w:color w:val="000000"/>
          <w:sz w:val="32"/>
          <w:szCs w:val="32"/>
          <w:lang w:val="en-US" w:eastAsia="zh-CN"/>
        </w:rPr>
        <w:t>5</w:t>
      </w:r>
      <w:r>
        <w:rPr>
          <w:rFonts w:hint="eastAsia" w:ascii="仿宋" w:hAnsi="仿宋" w:eastAsia="仿宋"/>
          <w:bCs/>
          <w:color w:val="000000"/>
          <w:sz w:val="32"/>
          <w:szCs w:val="32"/>
        </w:rPr>
        <w:t>年重点工作完成情况。</w:t>
      </w:r>
      <w:bookmarkEnd w:id="85"/>
      <w:bookmarkEnd w:id="86"/>
      <w:bookmarkEnd w:id="87"/>
      <w:bookmarkEnd w:id="88"/>
      <w:bookmarkEnd w:id="89"/>
      <w:bookmarkEnd w:id="90"/>
    </w:p>
    <w:p w14:paraId="408A0379">
      <w:pPr>
        <w:widowControl/>
        <w:spacing w:before="192" w:after="144" w:line="18" w:lineRule="atLeast"/>
        <w:ind w:firstLine="640" w:firstLineChars="200"/>
        <w:jc w:val="left"/>
        <w:rPr>
          <w:rFonts w:ascii="仿宋" w:hAnsi="仿宋" w:eastAsia="仿宋" w:cs="仿宋"/>
          <w:bCs/>
          <w:color w:val="000000"/>
          <w:sz w:val="32"/>
          <w:szCs w:val="32"/>
        </w:rPr>
      </w:pPr>
      <w:r>
        <w:rPr>
          <w:rFonts w:hint="eastAsia" w:ascii="仿宋" w:hAnsi="仿宋" w:eastAsia="仿宋" w:cs="仿宋"/>
          <w:bCs/>
          <w:color w:val="000000"/>
          <w:sz w:val="32"/>
          <w:szCs w:val="32"/>
        </w:rPr>
        <w:t>截止202</w:t>
      </w:r>
      <w:r>
        <w:rPr>
          <w:rFonts w:hint="eastAsia" w:ascii="仿宋" w:hAnsi="仿宋" w:eastAsia="仿宋" w:cs="仿宋"/>
          <w:bCs/>
          <w:color w:val="000000"/>
          <w:sz w:val="32"/>
          <w:szCs w:val="32"/>
          <w:lang w:val="en-US" w:eastAsia="zh-CN"/>
        </w:rPr>
        <w:t>5</w:t>
      </w:r>
      <w:r>
        <w:rPr>
          <w:rFonts w:hint="eastAsia" w:ascii="仿宋" w:hAnsi="仿宋" w:eastAsia="仿宋" w:cs="仿宋"/>
          <w:bCs/>
          <w:color w:val="000000"/>
          <w:sz w:val="32"/>
          <w:szCs w:val="32"/>
        </w:rPr>
        <w:t>年底，我校在校领导的带领下，各施其职，各尽其责，认真完成各项工作任务。</w:t>
      </w:r>
      <w:r>
        <w:rPr>
          <w:rFonts w:hint="eastAsia" w:ascii="仿宋" w:hAnsi="仿宋" w:eastAsia="仿宋" w:cs="仿宋"/>
          <w:sz w:val="32"/>
          <w:szCs w:val="32"/>
        </w:rPr>
        <w:t>认真贯彻执行上级财政制度和财经纪律，本着勤俭节约的原则，对学校各种资金的使用进行合理的分配和有效的核算控制，严格监督资金的有效使用。</w:t>
      </w:r>
      <w:r>
        <w:rPr>
          <w:rFonts w:hint="eastAsia" w:ascii="仿宋" w:hAnsi="仿宋" w:eastAsia="仿宋" w:cs="仿宋"/>
          <w:bCs/>
          <w:sz w:val="32"/>
          <w:szCs w:val="32"/>
        </w:rPr>
        <w:t>按照学校工作安排和学校领导要求，财务工作将继续深化管理，认真地做好各项工作。抓好开源节流，努力增加办学财力。坚持厉行节约，大力推进节约型校园建设，将资金用于刀刃上。不断深化财务工作，进一步加强财务内部控制制度。规范财务管理，认真做好</w:t>
      </w:r>
      <w:r>
        <w:rPr>
          <w:rFonts w:hint="eastAsia" w:ascii="仿宋" w:hAnsi="仿宋" w:eastAsia="仿宋" w:cs="仿宋"/>
          <w:sz w:val="32"/>
          <w:szCs w:val="32"/>
        </w:rPr>
        <w:t>会计凭证、帐薄，以保证学校财务计划和财务制度的正确贯彻执行。</w:t>
      </w:r>
      <w:r>
        <w:rPr>
          <w:rFonts w:hint="eastAsia" w:ascii="仿宋" w:hAnsi="仿宋" w:eastAsia="仿宋" w:cs="仿宋"/>
          <w:bCs/>
          <w:sz w:val="32"/>
          <w:szCs w:val="32"/>
        </w:rPr>
        <w:t>积极做好迎查工作。</w:t>
      </w:r>
    </w:p>
    <w:p w14:paraId="69932CDB">
      <w:pPr>
        <w:pStyle w:val="3"/>
      </w:pPr>
      <w:bookmarkStart w:id="91" w:name="_Toc15377200"/>
      <w:bookmarkStart w:id="92" w:name="_Toc24006_WPSOffice_Level2"/>
      <w:bookmarkStart w:id="93" w:name="_Toc15396601"/>
      <w:bookmarkStart w:id="94" w:name="_Toc79163855"/>
      <w:bookmarkStart w:id="95" w:name="_Toc19190_WPSOffice_Level2"/>
      <w:bookmarkStart w:id="96" w:name="_Toc79163605"/>
      <w:r>
        <w:rPr>
          <w:rFonts w:hint="eastAsia" w:ascii="黑体" w:hAnsi="黑体" w:eastAsia="黑体"/>
          <w:b w:val="0"/>
          <w:color w:val="000000"/>
        </w:rPr>
        <w:t>二、机</w:t>
      </w:r>
      <w:r>
        <w:rPr>
          <w:rStyle w:val="23"/>
          <w:rFonts w:hint="eastAsia" w:ascii="黑体" w:hAnsi="黑体" w:eastAsia="黑体"/>
          <w:b w:val="0"/>
          <w:bCs w:val="0"/>
        </w:rPr>
        <w:t>构设置</w:t>
      </w:r>
      <w:bookmarkEnd w:id="91"/>
      <w:bookmarkEnd w:id="92"/>
      <w:bookmarkEnd w:id="93"/>
      <w:bookmarkEnd w:id="94"/>
      <w:bookmarkEnd w:id="95"/>
      <w:bookmarkEnd w:id="96"/>
    </w:p>
    <w:p w14:paraId="4D481388">
      <w:pPr>
        <w:pStyle w:val="6"/>
        <w:adjustRightInd w:val="0"/>
        <w:snapToGrid w:val="0"/>
        <w:spacing w:before="93" w:line="580" w:lineRule="exact"/>
        <w:ind w:firstLine="640" w:firstLineChars="200"/>
        <w:rPr>
          <w:rFonts w:ascii="仿宋" w:hAnsi="仿宋" w:eastAsia="仿宋" w:cs="仿宋"/>
          <w:sz w:val="32"/>
          <w:szCs w:val="32"/>
        </w:rPr>
      </w:pPr>
      <w:r>
        <w:rPr>
          <w:rFonts w:hint="eastAsia" w:ascii="仿宋" w:hAnsi="仿宋" w:eastAsia="仿宋" w:cs="仿宋"/>
          <w:sz w:val="32"/>
          <w:szCs w:val="32"/>
        </w:rPr>
        <w:t>我校属红原县教育局下属的二级单位，为独立核算财政全额拨款事业单位，执行的是政府会计制度，截止20</w:t>
      </w:r>
      <w:r>
        <w:rPr>
          <w:rFonts w:hint="eastAsia" w:ascii="仿宋" w:hAnsi="仿宋" w:eastAsia="仿宋" w:cs="仿宋"/>
          <w:sz w:val="32"/>
          <w:szCs w:val="32"/>
          <w:lang w:val="en-US"/>
        </w:rPr>
        <w:t>2</w:t>
      </w:r>
      <w:r>
        <w:rPr>
          <w:rFonts w:hint="eastAsia" w:ascii="仿宋" w:hAnsi="仿宋" w:eastAsia="仿宋" w:cs="仿宋"/>
          <w:sz w:val="32"/>
          <w:szCs w:val="32"/>
          <w:lang w:val="en-US" w:eastAsia="zh-CN"/>
        </w:rPr>
        <w:t>5</w:t>
      </w:r>
      <w:r>
        <w:rPr>
          <w:rFonts w:hint="eastAsia" w:ascii="仿宋" w:hAnsi="仿宋" w:eastAsia="仿宋" w:cs="仿宋"/>
          <w:sz w:val="32"/>
          <w:szCs w:val="32"/>
        </w:rPr>
        <w:t>年末，我校编制人数6</w:t>
      </w:r>
      <w:r>
        <w:rPr>
          <w:rFonts w:hint="eastAsia" w:ascii="仿宋" w:hAnsi="仿宋" w:eastAsia="仿宋" w:cs="仿宋"/>
          <w:sz w:val="32"/>
          <w:szCs w:val="32"/>
          <w:lang w:val="en-US" w:eastAsia="zh-CN"/>
        </w:rPr>
        <w:t>7</w:t>
      </w:r>
      <w:r>
        <w:rPr>
          <w:rFonts w:hint="eastAsia" w:ascii="仿宋" w:hAnsi="仿宋" w:eastAsia="仿宋" w:cs="仿宋"/>
          <w:sz w:val="32"/>
          <w:szCs w:val="32"/>
        </w:rPr>
        <w:t>人，在职教师</w:t>
      </w:r>
      <w:r>
        <w:rPr>
          <w:rFonts w:hint="eastAsia" w:ascii="仿宋" w:hAnsi="仿宋" w:eastAsia="仿宋" w:cs="仿宋"/>
          <w:sz w:val="32"/>
          <w:szCs w:val="32"/>
          <w:lang w:val="en-US"/>
        </w:rPr>
        <w:t>6</w:t>
      </w:r>
      <w:r>
        <w:rPr>
          <w:rFonts w:hint="eastAsia" w:ascii="仿宋" w:hAnsi="仿宋" w:eastAsia="仿宋" w:cs="仿宋"/>
          <w:sz w:val="32"/>
          <w:szCs w:val="32"/>
          <w:lang w:val="en-US" w:eastAsia="zh-CN"/>
        </w:rPr>
        <w:t>6</w:t>
      </w:r>
      <w:r>
        <w:rPr>
          <w:rFonts w:hint="eastAsia" w:ascii="仿宋" w:hAnsi="仿宋" w:eastAsia="仿宋" w:cs="仿宋"/>
          <w:sz w:val="32"/>
          <w:szCs w:val="32"/>
        </w:rPr>
        <w:t>人，退休教师</w:t>
      </w:r>
      <w:r>
        <w:rPr>
          <w:rFonts w:hint="eastAsia" w:ascii="仿宋" w:hAnsi="仿宋" w:eastAsia="仿宋" w:cs="仿宋"/>
          <w:sz w:val="32"/>
          <w:szCs w:val="32"/>
          <w:lang w:val="en-US" w:eastAsia="zh-CN"/>
        </w:rPr>
        <w:t>62</w:t>
      </w:r>
      <w:r>
        <w:rPr>
          <w:rFonts w:hint="eastAsia" w:ascii="仿宋" w:hAnsi="仿宋" w:eastAsia="仿宋" w:cs="仿宋"/>
          <w:sz w:val="32"/>
          <w:szCs w:val="32"/>
        </w:rPr>
        <w:t>人，财政供养人员共计</w:t>
      </w:r>
      <w:r>
        <w:rPr>
          <w:rFonts w:hint="eastAsia" w:ascii="仿宋" w:hAnsi="仿宋" w:eastAsia="仿宋" w:cs="仿宋"/>
          <w:sz w:val="32"/>
          <w:szCs w:val="32"/>
          <w:lang w:val="en-US"/>
        </w:rPr>
        <w:t>6</w:t>
      </w:r>
      <w:r>
        <w:rPr>
          <w:rFonts w:hint="eastAsia" w:ascii="仿宋" w:hAnsi="仿宋" w:eastAsia="仿宋" w:cs="仿宋"/>
          <w:sz w:val="32"/>
          <w:szCs w:val="32"/>
          <w:lang w:val="en-US" w:eastAsia="zh-CN"/>
        </w:rPr>
        <w:t>6</w:t>
      </w:r>
      <w:r>
        <w:rPr>
          <w:rFonts w:hint="eastAsia" w:ascii="仿宋" w:hAnsi="仿宋" w:eastAsia="仿宋" w:cs="仿宋"/>
          <w:sz w:val="32"/>
          <w:szCs w:val="32"/>
        </w:rPr>
        <w:t>人。</w:t>
      </w:r>
    </w:p>
    <w:p w14:paraId="393B38BB">
      <w:pPr>
        <w:widowControl/>
        <w:jc w:val="left"/>
        <w:rPr>
          <w:rFonts w:ascii="黑体" w:hAnsi="黑体" w:eastAsia="黑体"/>
          <w:color w:val="000000"/>
        </w:rPr>
      </w:pPr>
      <w:bookmarkStart w:id="97" w:name="_Toc15396602"/>
      <w:bookmarkStart w:id="98" w:name="_Toc79163609"/>
      <w:bookmarkStart w:id="99" w:name="_Toc15377204"/>
      <w:bookmarkStart w:id="100" w:name="_Toc79163859"/>
    </w:p>
    <w:p w14:paraId="3CA667CA">
      <w:pPr>
        <w:widowControl/>
        <w:ind w:firstLine="440" w:firstLineChars="100"/>
        <w:jc w:val="left"/>
        <w:rPr>
          <w:rStyle w:val="22"/>
          <w:rFonts w:ascii="黑体" w:hAnsi="黑体" w:eastAsia="黑体"/>
          <w:b w:val="0"/>
          <w:bCs w:val="0"/>
        </w:rPr>
      </w:pPr>
      <w:bookmarkStart w:id="101" w:name="_Toc15761_WPSOffice_Level1"/>
      <w:bookmarkStart w:id="102" w:name="_Toc32767_WPSOffice_Level1"/>
      <w:r>
        <w:rPr>
          <w:rFonts w:hint="eastAsia" w:ascii="黑体" w:hAnsi="黑体" w:eastAsia="黑体"/>
          <w:color w:val="000000"/>
          <w:sz w:val="44"/>
          <w:szCs w:val="44"/>
        </w:rPr>
        <w:t xml:space="preserve">第二部分 </w:t>
      </w:r>
      <w:r>
        <w:rPr>
          <w:rFonts w:ascii="黑体" w:hAnsi="黑体" w:eastAsia="黑体"/>
          <w:color w:val="000000"/>
        </w:rPr>
        <w:t xml:space="preserve"> </w:t>
      </w:r>
      <w:r>
        <w:rPr>
          <w:rStyle w:val="22"/>
          <w:rFonts w:ascii="黑体" w:hAnsi="黑体" w:eastAsia="黑体"/>
          <w:b w:val="0"/>
          <w:bCs w:val="0"/>
        </w:rPr>
        <w:t>202</w:t>
      </w:r>
      <w:r>
        <w:rPr>
          <w:rStyle w:val="22"/>
          <w:rFonts w:hint="eastAsia" w:ascii="黑体" w:hAnsi="黑体" w:eastAsia="黑体"/>
          <w:b w:val="0"/>
          <w:bCs w:val="0"/>
          <w:lang w:val="en-US" w:eastAsia="zh-CN"/>
        </w:rPr>
        <w:t>5</w:t>
      </w:r>
      <w:r>
        <w:rPr>
          <w:rStyle w:val="22"/>
          <w:rFonts w:hint="eastAsia" w:ascii="黑体" w:hAnsi="黑体" w:eastAsia="黑体"/>
          <w:b w:val="0"/>
          <w:bCs w:val="0"/>
        </w:rPr>
        <w:t>年度部门决算情况说明</w:t>
      </w:r>
      <w:bookmarkEnd w:id="97"/>
      <w:bookmarkEnd w:id="98"/>
      <w:bookmarkEnd w:id="99"/>
      <w:bookmarkEnd w:id="100"/>
      <w:bookmarkEnd w:id="101"/>
      <w:bookmarkEnd w:id="102"/>
    </w:p>
    <w:p w14:paraId="0F8D349B"/>
    <w:p w14:paraId="36E73DD9">
      <w:pPr>
        <w:pStyle w:val="33"/>
        <w:spacing w:line="600" w:lineRule="exact"/>
        <w:ind w:firstLineChars="0"/>
        <w:outlineLvl w:val="1"/>
        <w:rPr>
          <w:rStyle w:val="23"/>
          <w:rFonts w:ascii="黑体" w:hAnsi="黑体" w:eastAsia="黑体"/>
          <w:b w:val="0"/>
          <w:color w:val="auto"/>
        </w:rPr>
      </w:pPr>
      <w:bookmarkStart w:id="103" w:name="_Toc15196_WPSOffice_Level2"/>
      <w:bookmarkStart w:id="104" w:name="_Toc15377205"/>
      <w:bookmarkStart w:id="105" w:name="_Toc79163610"/>
      <w:bookmarkStart w:id="106" w:name="_Toc79163860"/>
      <w:bookmarkStart w:id="107" w:name="_Toc32398_WPSOffice_Level2"/>
      <w:bookmarkStart w:id="108" w:name="_Toc15396603"/>
      <w:r>
        <w:rPr>
          <w:rFonts w:hint="eastAsia" w:ascii="黑体" w:hAnsi="黑体" w:eastAsia="黑体"/>
          <w:color w:val="auto"/>
          <w:sz w:val="32"/>
          <w:szCs w:val="32"/>
        </w:rPr>
        <w:t>一、收</w:t>
      </w:r>
      <w:r>
        <w:rPr>
          <w:rStyle w:val="23"/>
          <w:rFonts w:hint="eastAsia" w:ascii="黑体" w:hAnsi="黑体" w:eastAsia="黑体"/>
          <w:b w:val="0"/>
          <w:color w:val="auto"/>
        </w:rPr>
        <w:t>入支出决算总体情况说明</w:t>
      </w:r>
      <w:bookmarkEnd w:id="103"/>
      <w:bookmarkEnd w:id="104"/>
      <w:bookmarkEnd w:id="105"/>
      <w:bookmarkEnd w:id="106"/>
      <w:bookmarkEnd w:id="107"/>
      <w:bookmarkEnd w:id="108"/>
    </w:p>
    <w:p w14:paraId="706D5D6B">
      <w:pPr>
        <w:spacing w:line="600" w:lineRule="exact"/>
        <w:ind w:firstLine="640" w:firstLineChars="200"/>
        <w:rPr>
          <w:rFonts w:ascii="仿宋" w:hAnsi="仿宋" w:eastAsia="仿宋" w:cs="仿宋"/>
          <w:color w:val="auto"/>
          <w:sz w:val="32"/>
          <w:szCs w:val="32"/>
        </w:rPr>
      </w:pPr>
      <w:r>
        <w:rPr>
          <w:rFonts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年度收入总计</w:t>
      </w:r>
      <w:r>
        <w:rPr>
          <w:rFonts w:hint="eastAsia" w:ascii="仿宋" w:hAnsi="仿宋" w:eastAsia="仿宋"/>
          <w:color w:val="auto"/>
          <w:sz w:val="32"/>
          <w:szCs w:val="32"/>
          <w:lang w:val="en-US" w:eastAsia="zh-CN"/>
        </w:rPr>
        <w:t>2121.48</w:t>
      </w:r>
      <w:r>
        <w:rPr>
          <w:rFonts w:hint="eastAsia" w:ascii="仿宋" w:hAnsi="仿宋" w:eastAsia="仿宋"/>
          <w:color w:val="auto"/>
          <w:sz w:val="32"/>
          <w:szCs w:val="32"/>
        </w:rPr>
        <w:t>万元，支出总计</w:t>
      </w:r>
      <w:r>
        <w:rPr>
          <w:rFonts w:hint="eastAsia" w:ascii="仿宋" w:hAnsi="仿宋" w:eastAsia="仿宋"/>
          <w:color w:val="auto"/>
          <w:sz w:val="32"/>
          <w:szCs w:val="32"/>
          <w:lang w:val="en-US" w:eastAsia="zh-CN"/>
        </w:rPr>
        <w:t>2121.48</w:t>
      </w:r>
      <w:r>
        <w:rPr>
          <w:rFonts w:hint="eastAsia" w:ascii="仿宋" w:hAnsi="仿宋" w:eastAsia="仿宋"/>
          <w:color w:val="auto"/>
          <w:sz w:val="32"/>
          <w:szCs w:val="32"/>
        </w:rPr>
        <w:t>万元。与上年相比，收入合计</w:t>
      </w:r>
      <w:r>
        <w:rPr>
          <w:rFonts w:hint="eastAsia" w:ascii="仿宋" w:hAnsi="仿宋" w:eastAsia="仿宋"/>
          <w:color w:val="auto"/>
          <w:sz w:val="32"/>
          <w:szCs w:val="32"/>
          <w:lang w:val="en-US" w:eastAsia="zh-CN"/>
        </w:rPr>
        <w:t>增加113.96</w:t>
      </w:r>
      <w:r>
        <w:rPr>
          <w:rFonts w:hint="eastAsia" w:ascii="仿宋" w:hAnsi="仿宋" w:eastAsia="仿宋"/>
          <w:color w:val="auto"/>
          <w:sz w:val="32"/>
          <w:szCs w:val="32"/>
        </w:rPr>
        <w:t>万元，</w:t>
      </w:r>
      <w:r>
        <w:rPr>
          <w:rFonts w:hint="eastAsia" w:ascii="仿宋" w:hAnsi="仿宋" w:eastAsia="仿宋"/>
          <w:color w:val="auto"/>
          <w:sz w:val="32"/>
          <w:szCs w:val="32"/>
          <w:lang w:val="en-US" w:eastAsia="zh-CN"/>
        </w:rPr>
        <w:t>增加5.37</w:t>
      </w:r>
      <w:r>
        <w:rPr>
          <w:rFonts w:hint="eastAsia" w:ascii="仿宋" w:hAnsi="仿宋" w:eastAsia="仿宋"/>
          <w:color w:val="auto"/>
          <w:sz w:val="32"/>
          <w:szCs w:val="32"/>
        </w:rPr>
        <w:t>%支出合计</w:t>
      </w:r>
      <w:r>
        <w:rPr>
          <w:rFonts w:hint="eastAsia" w:ascii="仿宋" w:hAnsi="仿宋" w:eastAsia="仿宋"/>
          <w:color w:val="auto"/>
          <w:sz w:val="32"/>
          <w:szCs w:val="32"/>
          <w:lang w:val="en-US" w:eastAsia="zh-CN"/>
        </w:rPr>
        <w:t>增加113.96</w:t>
      </w:r>
      <w:r>
        <w:rPr>
          <w:rFonts w:hint="eastAsia" w:ascii="仿宋" w:hAnsi="仿宋" w:eastAsia="仿宋"/>
          <w:color w:val="auto"/>
          <w:sz w:val="32"/>
          <w:szCs w:val="32"/>
        </w:rPr>
        <w:t>万元，</w:t>
      </w:r>
      <w:r>
        <w:rPr>
          <w:rFonts w:hint="eastAsia" w:ascii="仿宋" w:hAnsi="仿宋" w:eastAsia="仿宋"/>
          <w:color w:val="auto"/>
          <w:sz w:val="32"/>
          <w:szCs w:val="32"/>
          <w:lang w:val="en-US" w:eastAsia="zh-CN"/>
        </w:rPr>
        <w:t>增加5.37</w:t>
      </w:r>
      <w:r>
        <w:rPr>
          <w:rFonts w:ascii="仿宋" w:hAnsi="仿宋" w:eastAsia="仿宋"/>
          <w:color w:val="auto"/>
          <w:sz w:val="32"/>
          <w:szCs w:val="32"/>
        </w:rPr>
        <w:t>%</w:t>
      </w:r>
      <w:r>
        <w:rPr>
          <w:rFonts w:hint="eastAsia" w:ascii="仿宋" w:hAnsi="仿宋" w:eastAsia="仿宋"/>
          <w:color w:val="auto"/>
          <w:sz w:val="32"/>
          <w:szCs w:val="32"/>
        </w:rPr>
        <w:t>。主要变动原因是</w:t>
      </w:r>
      <w:r>
        <w:rPr>
          <w:rFonts w:hint="eastAsia" w:ascii="仿宋" w:hAnsi="仿宋" w:eastAsia="仿宋" w:cs="仿宋"/>
          <w:color w:val="auto"/>
          <w:sz w:val="32"/>
          <w:szCs w:val="32"/>
        </w:rPr>
        <w:t>职工工资</w:t>
      </w:r>
      <w:r>
        <w:rPr>
          <w:rFonts w:hint="eastAsia" w:ascii="仿宋" w:hAnsi="仿宋" w:eastAsia="仿宋" w:cs="仿宋"/>
          <w:color w:val="auto"/>
          <w:sz w:val="32"/>
          <w:szCs w:val="32"/>
          <w:lang w:val="en-US" w:eastAsia="zh-CN"/>
        </w:rPr>
        <w:t>减少</w:t>
      </w:r>
      <w:r>
        <w:rPr>
          <w:rFonts w:hint="eastAsia" w:ascii="仿宋" w:hAnsi="仿宋" w:eastAsia="仿宋" w:cs="仿宋"/>
          <w:color w:val="auto"/>
          <w:sz w:val="32"/>
          <w:szCs w:val="32"/>
        </w:rPr>
        <w:t>，人员经费</w:t>
      </w:r>
      <w:r>
        <w:rPr>
          <w:rFonts w:hint="eastAsia" w:ascii="仿宋" w:hAnsi="仿宋" w:eastAsia="仿宋" w:cs="仿宋"/>
          <w:color w:val="auto"/>
          <w:sz w:val="32"/>
          <w:szCs w:val="32"/>
          <w:lang w:val="en-US" w:eastAsia="zh-CN"/>
        </w:rPr>
        <w:t>减少</w:t>
      </w:r>
      <w:r>
        <w:rPr>
          <w:rFonts w:hint="eastAsia" w:ascii="仿宋" w:hAnsi="仿宋" w:eastAsia="仿宋" w:cs="仿宋"/>
          <w:color w:val="auto"/>
          <w:sz w:val="32"/>
          <w:szCs w:val="32"/>
        </w:rPr>
        <w:t>以及办公经费</w:t>
      </w:r>
      <w:r>
        <w:rPr>
          <w:rFonts w:hint="eastAsia" w:ascii="仿宋" w:hAnsi="仿宋" w:eastAsia="仿宋" w:cs="仿宋"/>
          <w:color w:val="auto"/>
          <w:sz w:val="32"/>
          <w:szCs w:val="32"/>
          <w:lang w:val="en-US" w:eastAsia="zh-CN"/>
        </w:rPr>
        <w:t>减少</w:t>
      </w:r>
      <w:r>
        <w:rPr>
          <w:rFonts w:hint="eastAsia" w:ascii="仿宋" w:hAnsi="仿宋" w:eastAsia="仿宋" w:cs="仿宋"/>
          <w:color w:val="auto"/>
          <w:sz w:val="32"/>
          <w:szCs w:val="32"/>
        </w:rPr>
        <w:t>。</w:t>
      </w:r>
    </w:p>
    <w:p w14:paraId="720BB358">
      <w:pPr>
        <w:spacing w:line="600" w:lineRule="exact"/>
        <w:ind w:firstLine="640" w:firstLineChars="200"/>
        <w:rPr>
          <w:rFonts w:ascii="仿宋" w:hAnsi="仿宋" w:eastAsia="仿宋"/>
          <w:color w:val="auto"/>
          <w:sz w:val="32"/>
          <w:szCs w:val="32"/>
        </w:rPr>
      </w:pPr>
      <w:r>
        <w:rPr>
          <w:rFonts w:hint="eastAsia" w:ascii="仿宋" w:hAnsi="仿宋" w:eastAsia="仿宋"/>
          <w:color w:val="auto"/>
          <w:sz w:val="32"/>
          <w:szCs w:val="32"/>
        </w:rPr>
        <w:t>（图</w:t>
      </w:r>
      <w:r>
        <w:rPr>
          <w:rFonts w:ascii="仿宋" w:hAnsi="仿宋" w:eastAsia="仿宋"/>
          <w:color w:val="auto"/>
          <w:sz w:val="32"/>
          <w:szCs w:val="32"/>
        </w:rPr>
        <w:t>1</w:t>
      </w:r>
      <w:r>
        <w:rPr>
          <w:rFonts w:hint="eastAsia" w:ascii="仿宋" w:hAnsi="仿宋" w:eastAsia="仿宋"/>
          <w:color w:val="auto"/>
          <w:sz w:val="32"/>
          <w:szCs w:val="32"/>
        </w:rPr>
        <w:t>：收、支决算总计变动情况图）（柱状图）</w:t>
      </w:r>
    </w:p>
    <w:p w14:paraId="190E1156">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59264" behindDoc="0" locked="0" layoutInCell="1" allowOverlap="1">
            <wp:simplePos x="0" y="0"/>
            <wp:positionH relativeFrom="column">
              <wp:posOffset>544195</wp:posOffset>
            </wp:positionH>
            <wp:positionV relativeFrom="paragraph">
              <wp:posOffset>23495</wp:posOffset>
            </wp:positionV>
            <wp:extent cx="4739005" cy="3124200"/>
            <wp:effectExtent l="4445" t="4445" r="19050" b="14605"/>
            <wp:wrapNone/>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5FA454E2">
      <w:pPr>
        <w:spacing w:line="600" w:lineRule="exact"/>
        <w:ind w:firstLine="640" w:firstLineChars="200"/>
        <w:rPr>
          <w:rFonts w:ascii="仿宋" w:hAnsi="仿宋" w:eastAsia="仿宋"/>
          <w:color w:val="000000"/>
          <w:sz w:val="32"/>
          <w:szCs w:val="32"/>
        </w:rPr>
      </w:pPr>
    </w:p>
    <w:p w14:paraId="7BF718B1">
      <w:pPr>
        <w:spacing w:line="600" w:lineRule="exact"/>
        <w:ind w:firstLine="640" w:firstLineChars="200"/>
        <w:rPr>
          <w:rFonts w:ascii="仿宋" w:hAnsi="仿宋" w:eastAsia="仿宋"/>
          <w:color w:val="000000"/>
          <w:sz w:val="32"/>
          <w:szCs w:val="32"/>
        </w:rPr>
      </w:pPr>
    </w:p>
    <w:p w14:paraId="7303EC1C">
      <w:pPr>
        <w:spacing w:line="600" w:lineRule="exact"/>
        <w:ind w:firstLine="640" w:firstLineChars="200"/>
        <w:rPr>
          <w:rFonts w:ascii="仿宋" w:hAnsi="仿宋" w:eastAsia="仿宋"/>
          <w:color w:val="000000"/>
          <w:sz w:val="32"/>
          <w:szCs w:val="32"/>
        </w:rPr>
      </w:pPr>
    </w:p>
    <w:p w14:paraId="0BE0D94C">
      <w:pPr>
        <w:spacing w:line="600" w:lineRule="exact"/>
        <w:ind w:firstLine="640" w:firstLineChars="200"/>
        <w:rPr>
          <w:rFonts w:ascii="仿宋" w:hAnsi="仿宋" w:eastAsia="仿宋"/>
          <w:color w:val="000000"/>
          <w:sz w:val="32"/>
          <w:szCs w:val="32"/>
        </w:rPr>
      </w:pPr>
    </w:p>
    <w:p w14:paraId="6737239C">
      <w:pPr>
        <w:spacing w:line="600" w:lineRule="exact"/>
        <w:ind w:firstLine="640" w:firstLineChars="200"/>
        <w:rPr>
          <w:rFonts w:ascii="仿宋" w:hAnsi="仿宋" w:eastAsia="仿宋"/>
          <w:color w:val="000000"/>
          <w:sz w:val="32"/>
          <w:szCs w:val="32"/>
        </w:rPr>
      </w:pPr>
    </w:p>
    <w:p w14:paraId="083478B8">
      <w:pPr>
        <w:pStyle w:val="33"/>
        <w:spacing w:line="600" w:lineRule="exact"/>
        <w:ind w:firstLine="320" w:firstLineChars="100"/>
        <w:outlineLvl w:val="1"/>
        <w:rPr>
          <w:rFonts w:ascii="黑体" w:hAnsi="黑体" w:eastAsia="黑体"/>
          <w:color w:val="000000"/>
          <w:sz w:val="32"/>
          <w:szCs w:val="32"/>
        </w:rPr>
      </w:pPr>
      <w:bookmarkStart w:id="109" w:name="_Toc15396604"/>
      <w:bookmarkStart w:id="110" w:name="_Toc15377206"/>
      <w:bookmarkStart w:id="111" w:name="_Toc79163861"/>
      <w:bookmarkStart w:id="112" w:name="_Toc10718_WPSOffice_Level2"/>
      <w:bookmarkStart w:id="113" w:name="_Toc79163611"/>
    </w:p>
    <w:p w14:paraId="6D30057C">
      <w:pPr>
        <w:pStyle w:val="33"/>
        <w:spacing w:line="600" w:lineRule="exact"/>
        <w:ind w:firstLine="320" w:firstLineChars="100"/>
        <w:outlineLvl w:val="1"/>
        <w:rPr>
          <w:rFonts w:ascii="黑体" w:hAnsi="黑体" w:eastAsia="黑体"/>
          <w:color w:val="000000"/>
          <w:sz w:val="32"/>
          <w:szCs w:val="32"/>
        </w:rPr>
      </w:pPr>
    </w:p>
    <w:p w14:paraId="2E8E5384">
      <w:pPr>
        <w:pStyle w:val="33"/>
        <w:spacing w:line="600" w:lineRule="exact"/>
        <w:ind w:firstLine="320" w:firstLineChars="100"/>
        <w:outlineLvl w:val="1"/>
        <w:rPr>
          <w:rFonts w:ascii="黑体" w:hAnsi="黑体" w:eastAsia="黑体"/>
          <w:color w:val="000000"/>
          <w:sz w:val="32"/>
          <w:szCs w:val="32"/>
        </w:rPr>
      </w:pPr>
    </w:p>
    <w:p w14:paraId="7CDCB7E6">
      <w:pPr>
        <w:pStyle w:val="33"/>
        <w:spacing w:line="600" w:lineRule="exact"/>
        <w:ind w:firstLine="320" w:firstLineChars="100"/>
        <w:outlineLvl w:val="1"/>
        <w:rPr>
          <w:rStyle w:val="23"/>
          <w:rFonts w:ascii="黑体" w:hAnsi="黑体" w:eastAsia="黑体"/>
          <w:b w:val="0"/>
        </w:rPr>
      </w:pPr>
      <w:bookmarkStart w:id="114" w:name="_Toc3982_WPSOffice_Level2"/>
      <w:r>
        <w:rPr>
          <w:rFonts w:hint="eastAsia" w:ascii="黑体" w:hAnsi="黑体" w:eastAsia="黑体"/>
          <w:color w:val="000000"/>
          <w:sz w:val="32"/>
          <w:szCs w:val="32"/>
        </w:rPr>
        <w:t>二、收</w:t>
      </w:r>
      <w:r>
        <w:rPr>
          <w:rStyle w:val="23"/>
          <w:rFonts w:hint="eastAsia" w:ascii="黑体" w:hAnsi="黑体" w:eastAsia="黑体"/>
          <w:b w:val="0"/>
        </w:rPr>
        <w:t>入决算情况说明</w:t>
      </w:r>
      <w:bookmarkEnd w:id="109"/>
      <w:bookmarkEnd w:id="110"/>
      <w:bookmarkEnd w:id="111"/>
      <w:bookmarkEnd w:id="112"/>
      <w:bookmarkEnd w:id="113"/>
      <w:bookmarkEnd w:id="114"/>
    </w:p>
    <w:p w14:paraId="2CF98304">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年本年收入合计</w:t>
      </w:r>
      <w:r>
        <w:rPr>
          <w:rFonts w:hint="eastAsia" w:ascii="仿宋" w:hAnsi="仿宋" w:eastAsia="仿宋"/>
          <w:color w:val="000000"/>
          <w:sz w:val="32"/>
          <w:szCs w:val="32"/>
          <w:lang w:val="en-US" w:eastAsia="zh-CN"/>
        </w:rPr>
        <w:t>2121.48</w:t>
      </w:r>
      <w:r>
        <w:rPr>
          <w:rFonts w:hint="eastAsia" w:ascii="仿宋" w:hAnsi="仿宋" w:eastAsia="仿宋"/>
          <w:color w:val="000000"/>
          <w:sz w:val="32"/>
          <w:szCs w:val="32"/>
        </w:rPr>
        <w:t>万元，其中：一般公共预算财政拨款收入</w:t>
      </w:r>
      <w:r>
        <w:rPr>
          <w:rFonts w:hint="eastAsia" w:ascii="仿宋" w:hAnsi="仿宋" w:eastAsia="仿宋"/>
          <w:color w:val="000000"/>
          <w:sz w:val="32"/>
          <w:szCs w:val="32"/>
          <w:lang w:val="en-US" w:eastAsia="zh-CN"/>
        </w:rPr>
        <w:t>2038.4</w:t>
      </w:r>
      <w:r>
        <w:rPr>
          <w:rFonts w:hint="eastAsia" w:ascii="仿宋" w:hAnsi="仿宋" w:eastAsia="仿宋"/>
          <w:color w:val="000000"/>
          <w:sz w:val="32"/>
          <w:szCs w:val="32"/>
        </w:rPr>
        <w:t>万元，占总收入的</w:t>
      </w:r>
      <w:r>
        <w:rPr>
          <w:rFonts w:hint="eastAsia" w:ascii="仿宋" w:hAnsi="仿宋" w:eastAsia="仿宋"/>
          <w:color w:val="000000"/>
          <w:sz w:val="32"/>
          <w:szCs w:val="32"/>
          <w:lang w:val="en-US" w:eastAsia="zh-CN"/>
        </w:rPr>
        <w:t>96.08</w:t>
      </w:r>
      <w:r>
        <w:rPr>
          <w:rFonts w:ascii="仿宋" w:hAnsi="仿宋" w:eastAsia="仿宋"/>
          <w:color w:val="000000"/>
          <w:sz w:val="32"/>
          <w:szCs w:val="32"/>
        </w:rPr>
        <w:t>%</w:t>
      </w:r>
      <w:r>
        <w:rPr>
          <w:rFonts w:hint="eastAsia" w:ascii="仿宋" w:hAnsi="仿宋" w:eastAsia="仿宋"/>
          <w:color w:val="000000"/>
          <w:sz w:val="32"/>
          <w:szCs w:val="32"/>
        </w:rPr>
        <w:t>；政府性基金预算财政拨款收入0万元，占0</w:t>
      </w:r>
      <w:r>
        <w:rPr>
          <w:rFonts w:ascii="仿宋" w:hAnsi="仿宋" w:eastAsia="仿宋"/>
          <w:color w:val="000000"/>
          <w:sz w:val="32"/>
          <w:szCs w:val="32"/>
        </w:rPr>
        <w:t>%</w:t>
      </w:r>
      <w:r>
        <w:rPr>
          <w:rFonts w:hint="eastAsia" w:ascii="仿宋" w:hAnsi="仿宋" w:eastAsia="仿宋"/>
          <w:color w:val="000000"/>
          <w:sz w:val="32"/>
          <w:szCs w:val="32"/>
        </w:rPr>
        <w:t>；上级补助收入0万元，占0</w:t>
      </w:r>
      <w:r>
        <w:rPr>
          <w:rFonts w:ascii="仿宋" w:hAnsi="仿宋" w:eastAsia="仿宋"/>
          <w:color w:val="000000"/>
          <w:sz w:val="32"/>
          <w:szCs w:val="32"/>
        </w:rPr>
        <w:t>%</w:t>
      </w:r>
      <w:r>
        <w:rPr>
          <w:rFonts w:hint="eastAsia" w:ascii="仿宋" w:hAnsi="仿宋" w:eastAsia="仿宋"/>
          <w:color w:val="000000"/>
          <w:sz w:val="32"/>
          <w:szCs w:val="32"/>
        </w:rPr>
        <w:t>；事业收入0万元，占0</w:t>
      </w:r>
      <w:r>
        <w:rPr>
          <w:rFonts w:ascii="仿宋" w:hAnsi="仿宋" w:eastAsia="仿宋"/>
          <w:color w:val="000000"/>
          <w:sz w:val="32"/>
          <w:szCs w:val="32"/>
        </w:rPr>
        <w:t>%</w:t>
      </w:r>
      <w:r>
        <w:rPr>
          <w:rFonts w:hint="eastAsia" w:ascii="仿宋" w:hAnsi="仿宋" w:eastAsia="仿宋"/>
          <w:color w:val="000000"/>
          <w:sz w:val="32"/>
          <w:szCs w:val="32"/>
        </w:rPr>
        <w:t>；经营收入0万元，占0</w:t>
      </w:r>
      <w:r>
        <w:rPr>
          <w:rFonts w:ascii="仿宋" w:hAnsi="仿宋" w:eastAsia="仿宋"/>
          <w:color w:val="000000"/>
          <w:sz w:val="32"/>
          <w:szCs w:val="32"/>
        </w:rPr>
        <w:t>%</w:t>
      </w:r>
      <w:r>
        <w:rPr>
          <w:rFonts w:hint="eastAsia" w:ascii="仿宋" w:hAnsi="仿宋" w:eastAsia="仿宋"/>
          <w:color w:val="000000"/>
          <w:sz w:val="32"/>
          <w:szCs w:val="32"/>
        </w:rPr>
        <w:t>；附属单位上缴收入0万元，占0</w:t>
      </w:r>
      <w:r>
        <w:rPr>
          <w:rFonts w:ascii="仿宋" w:hAnsi="仿宋" w:eastAsia="仿宋"/>
          <w:color w:val="000000"/>
          <w:sz w:val="32"/>
          <w:szCs w:val="32"/>
        </w:rPr>
        <w:t>%</w:t>
      </w:r>
      <w:r>
        <w:rPr>
          <w:rFonts w:hint="eastAsia" w:ascii="仿宋" w:hAnsi="仿宋" w:eastAsia="仿宋"/>
          <w:color w:val="000000"/>
          <w:sz w:val="32"/>
          <w:szCs w:val="32"/>
        </w:rPr>
        <w:t>；其他收入</w:t>
      </w:r>
      <w:r>
        <w:rPr>
          <w:rFonts w:hint="eastAsia" w:ascii="仿宋" w:hAnsi="仿宋" w:eastAsia="仿宋"/>
          <w:color w:val="000000"/>
          <w:sz w:val="32"/>
          <w:szCs w:val="32"/>
          <w:lang w:val="en-US" w:eastAsia="zh-CN"/>
        </w:rPr>
        <w:t>83.07</w:t>
      </w:r>
      <w:r>
        <w:rPr>
          <w:rFonts w:hint="eastAsia" w:ascii="仿宋" w:hAnsi="仿宋" w:eastAsia="仿宋"/>
          <w:color w:val="000000"/>
          <w:sz w:val="32"/>
          <w:szCs w:val="32"/>
        </w:rPr>
        <w:t>万元，占总收入的</w:t>
      </w:r>
      <w:r>
        <w:rPr>
          <w:rFonts w:hint="eastAsia" w:ascii="仿宋" w:hAnsi="仿宋" w:eastAsia="仿宋"/>
          <w:color w:val="000000"/>
          <w:sz w:val="32"/>
          <w:szCs w:val="32"/>
          <w:lang w:val="en-US" w:eastAsia="zh-CN"/>
        </w:rPr>
        <w:t>3.91</w:t>
      </w:r>
      <w:r>
        <w:rPr>
          <w:rFonts w:ascii="仿宋" w:hAnsi="仿宋" w:eastAsia="仿宋"/>
          <w:color w:val="000000"/>
          <w:sz w:val="32"/>
          <w:szCs w:val="32"/>
        </w:rPr>
        <w:t>%</w:t>
      </w:r>
      <w:r>
        <w:rPr>
          <w:rFonts w:hint="eastAsia" w:ascii="仿宋" w:hAnsi="仿宋" w:eastAsia="仿宋"/>
          <w:color w:val="000000"/>
          <w:sz w:val="32"/>
          <w:szCs w:val="32"/>
        </w:rPr>
        <w:t>。</w:t>
      </w:r>
    </w:p>
    <w:p w14:paraId="7E3CC5CE">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2</w:t>
      </w:r>
      <w:r>
        <w:rPr>
          <w:rFonts w:hint="eastAsia" w:ascii="仿宋" w:hAnsi="仿宋" w:eastAsia="仿宋"/>
          <w:color w:val="000000"/>
          <w:sz w:val="32"/>
          <w:szCs w:val="32"/>
        </w:rPr>
        <w:t>：收入决算结构图）（饼状图）</w:t>
      </w:r>
    </w:p>
    <w:p w14:paraId="04C239B5">
      <w:pPr>
        <w:spacing w:line="600" w:lineRule="exact"/>
        <w:ind w:firstLine="640" w:firstLineChars="200"/>
        <w:rPr>
          <w:rFonts w:ascii="仿宋" w:hAnsi="仿宋" w:eastAsia="仿宋"/>
          <w:color w:val="000000"/>
          <w:sz w:val="32"/>
          <w:szCs w:val="32"/>
        </w:rPr>
      </w:pPr>
    </w:p>
    <w:p w14:paraId="79F7ACBF">
      <w:pPr>
        <w:spacing w:line="600" w:lineRule="exact"/>
        <w:ind w:firstLine="640" w:firstLineChars="200"/>
        <w:rPr>
          <w:rFonts w:ascii="仿宋" w:hAnsi="仿宋" w:eastAsia="仿宋"/>
          <w:color w:val="000000"/>
          <w:sz w:val="32"/>
          <w:szCs w:val="32"/>
        </w:rPr>
      </w:pPr>
    </w:p>
    <w:p w14:paraId="2AFD7EB5">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0288" behindDoc="0" locked="0" layoutInCell="1" allowOverlap="1">
            <wp:simplePos x="0" y="0"/>
            <wp:positionH relativeFrom="column">
              <wp:posOffset>572770</wp:posOffset>
            </wp:positionH>
            <wp:positionV relativeFrom="paragraph">
              <wp:posOffset>307340</wp:posOffset>
            </wp:positionV>
            <wp:extent cx="5089525" cy="2890520"/>
            <wp:effectExtent l="4445" t="4445" r="11430" b="19685"/>
            <wp:wrapNone/>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48037C57">
      <w:pPr>
        <w:spacing w:line="600" w:lineRule="exact"/>
        <w:ind w:firstLine="640" w:firstLineChars="200"/>
        <w:rPr>
          <w:rFonts w:ascii="仿宋" w:hAnsi="仿宋" w:eastAsia="仿宋"/>
          <w:color w:val="000000"/>
          <w:sz w:val="32"/>
          <w:szCs w:val="32"/>
        </w:rPr>
      </w:pPr>
    </w:p>
    <w:p w14:paraId="3D9D98C9">
      <w:pPr>
        <w:spacing w:line="600" w:lineRule="exact"/>
        <w:ind w:firstLine="640" w:firstLineChars="200"/>
        <w:rPr>
          <w:rFonts w:ascii="仿宋" w:hAnsi="仿宋" w:eastAsia="仿宋"/>
          <w:color w:val="000000"/>
          <w:sz w:val="32"/>
          <w:szCs w:val="32"/>
        </w:rPr>
      </w:pPr>
    </w:p>
    <w:p w14:paraId="6BEAB8E2">
      <w:pPr>
        <w:spacing w:line="600" w:lineRule="exact"/>
        <w:ind w:firstLine="640" w:firstLineChars="200"/>
        <w:rPr>
          <w:rFonts w:ascii="仿宋" w:hAnsi="仿宋" w:eastAsia="仿宋"/>
          <w:color w:val="000000"/>
          <w:sz w:val="32"/>
          <w:szCs w:val="32"/>
        </w:rPr>
      </w:pPr>
    </w:p>
    <w:p w14:paraId="24DFB41A">
      <w:pPr>
        <w:spacing w:line="600" w:lineRule="exact"/>
        <w:ind w:firstLine="640" w:firstLineChars="200"/>
        <w:rPr>
          <w:rFonts w:ascii="仿宋" w:hAnsi="仿宋" w:eastAsia="仿宋"/>
          <w:color w:val="000000"/>
          <w:sz w:val="32"/>
          <w:szCs w:val="32"/>
        </w:rPr>
      </w:pPr>
    </w:p>
    <w:p w14:paraId="6A04F37B">
      <w:pPr>
        <w:spacing w:line="600" w:lineRule="exact"/>
        <w:ind w:firstLine="640" w:firstLineChars="200"/>
        <w:rPr>
          <w:rFonts w:ascii="仿宋" w:hAnsi="仿宋" w:eastAsia="仿宋"/>
          <w:color w:val="000000"/>
          <w:sz w:val="32"/>
          <w:szCs w:val="32"/>
        </w:rPr>
      </w:pPr>
    </w:p>
    <w:p w14:paraId="419F3F75">
      <w:pPr>
        <w:spacing w:line="600" w:lineRule="exact"/>
        <w:ind w:firstLine="640" w:firstLineChars="200"/>
        <w:rPr>
          <w:rFonts w:ascii="仿宋" w:hAnsi="仿宋" w:eastAsia="仿宋"/>
          <w:color w:val="000000"/>
          <w:sz w:val="32"/>
          <w:szCs w:val="32"/>
        </w:rPr>
      </w:pPr>
    </w:p>
    <w:p w14:paraId="3F49A82E">
      <w:pPr>
        <w:spacing w:line="600" w:lineRule="exact"/>
        <w:ind w:firstLine="640" w:firstLineChars="200"/>
        <w:rPr>
          <w:rFonts w:ascii="仿宋" w:hAnsi="仿宋" w:eastAsia="仿宋"/>
          <w:color w:val="000000"/>
          <w:sz w:val="32"/>
          <w:szCs w:val="32"/>
        </w:rPr>
      </w:pPr>
    </w:p>
    <w:p w14:paraId="2F9FF62D">
      <w:pPr>
        <w:spacing w:line="600" w:lineRule="exact"/>
        <w:ind w:firstLine="640" w:firstLineChars="200"/>
        <w:rPr>
          <w:rFonts w:ascii="仿宋" w:hAnsi="仿宋" w:eastAsia="仿宋"/>
          <w:color w:val="000000"/>
          <w:sz w:val="32"/>
          <w:szCs w:val="32"/>
        </w:rPr>
      </w:pPr>
    </w:p>
    <w:p w14:paraId="13376CB0">
      <w:pPr>
        <w:spacing w:line="600" w:lineRule="exact"/>
        <w:ind w:firstLine="640" w:firstLineChars="200"/>
        <w:rPr>
          <w:rFonts w:ascii="仿宋" w:hAnsi="仿宋" w:eastAsia="仿宋"/>
          <w:color w:val="000000"/>
          <w:sz w:val="32"/>
          <w:szCs w:val="32"/>
        </w:rPr>
      </w:pPr>
    </w:p>
    <w:p w14:paraId="689BA1B7">
      <w:pPr>
        <w:pStyle w:val="33"/>
        <w:spacing w:line="600" w:lineRule="exact"/>
        <w:ind w:firstLine="0" w:firstLineChars="0"/>
        <w:outlineLvl w:val="1"/>
        <w:rPr>
          <w:rStyle w:val="23"/>
          <w:rFonts w:ascii="黑体" w:hAnsi="黑体" w:eastAsia="黑体"/>
          <w:b w:val="0"/>
          <w:color w:val="auto"/>
        </w:rPr>
      </w:pPr>
      <w:bookmarkStart w:id="115" w:name="_Toc15396605"/>
      <w:bookmarkStart w:id="116" w:name="_Toc79163862"/>
      <w:bookmarkStart w:id="117" w:name="_Toc79163612"/>
      <w:bookmarkStart w:id="118" w:name="_Toc15377207"/>
      <w:bookmarkStart w:id="119" w:name="_Toc17127_WPSOffice_Level2"/>
      <w:bookmarkStart w:id="120" w:name="_Toc23921_WPSOffice_Level2"/>
      <w:r>
        <w:rPr>
          <w:rFonts w:hint="eastAsia" w:ascii="黑体" w:hAnsi="黑体" w:eastAsia="黑体"/>
          <w:color w:val="auto"/>
          <w:sz w:val="32"/>
          <w:szCs w:val="32"/>
        </w:rPr>
        <w:t>三、支</w:t>
      </w:r>
      <w:r>
        <w:rPr>
          <w:rStyle w:val="23"/>
          <w:rFonts w:hint="eastAsia" w:ascii="黑体" w:hAnsi="黑体" w:eastAsia="黑体"/>
          <w:b w:val="0"/>
          <w:color w:val="auto"/>
        </w:rPr>
        <w:t>出决算情况说明</w:t>
      </w:r>
      <w:bookmarkEnd w:id="115"/>
      <w:bookmarkEnd w:id="116"/>
      <w:bookmarkEnd w:id="117"/>
      <w:bookmarkEnd w:id="118"/>
      <w:bookmarkEnd w:id="119"/>
      <w:bookmarkEnd w:id="120"/>
    </w:p>
    <w:p w14:paraId="51275511">
      <w:pPr>
        <w:spacing w:line="600"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年本年支出合计</w:t>
      </w:r>
      <w:r>
        <w:rPr>
          <w:rFonts w:hint="eastAsia" w:ascii="仿宋" w:hAnsi="仿宋" w:eastAsia="仿宋"/>
          <w:color w:val="000000"/>
          <w:sz w:val="32"/>
          <w:szCs w:val="32"/>
          <w:lang w:val="en-US" w:eastAsia="zh-CN"/>
        </w:rPr>
        <w:t>2121.48</w:t>
      </w:r>
      <w:r>
        <w:rPr>
          <w:rFonts w:hint="eastAsia" w:ascii="仿宋" w:hAnsi="仿宋" w:eastAsia="仿宋"/>
          <w:color w:val="000000"/>
          <w:sz w:val="32"/>
          <w:szCs w:val="32"/>
        </w:rPr>
        <w:t>万元，其中：基本支出</w:t>
      </w:r>
      <w:r>
        <w:rPr>
          <w:rFonts w:hint="eastAsia" w:ascii="仿宋" w:hAnsi="仿宋" w:eastAsia="仿宋"/>
          <w:color w:val="000000"/>
          <w:sz w:val="32"/>
          <w:szCs w:val="32"/>
          <w:lang w:val="en-US" w:eastAsia="zh-CN"/>
        </w:rPr>
        <w:t>1912.71</w:t>
      </w:r>
      <w:r>
        <w:rPr>
          <w:rFonts w:hint="eastAsia" w:ascii="仿宋" w:hAnsi="仿宋" w:eastAsia="仿宋"/>
          <w:color w:val="000000"/>
          <w:sz w:val="32"/>
          <w:szCs w:val="32"/>
        </w:rPr>
        <w:t>万元，占支出合计的</w:t>
      </w:r>
      <w:r>
        <w:rPr>
          <w:rFonts w:hint="eastAsia" w:ascii="仿宋" w:hAnsi="仿宋" w:eastAsia="仿宋"/>
          <w:color w:val="000000"/>
          <w:sz w:val="32"/>
          <w:szCs w:val="32"/>
          <w:lang w:val="en-US" w:eastAsia="zh-CN"/>
        </w:rPr>
        <w:t>90.15</w:t>
      </w:r>
      <w:r>
        <w:rPr>
          <w:rFonts w:hint="eastAsia" w:ascii="仿宋" w:hAnsi="仿宋" w:eastAsia="仿宋"/>
          <w:color w:val="000000"/>
          <w:sz w:val="32"/>
          <w:szCs w:val="32"/>
        </w:rPr>
        <w:t>%；项目支出</w:t>
      </w:r>
      <w:r>
        <w:rPr>
          <w:rFonts w:hint="eastAsia" w:ascii="仿宋" w:hAnsi="仿宋" w:eastAsia="仿宋"/>
          <w:color w:val="000000"/>
          <w:sz w:val="32"/>
          <w:szCs w:val="32"/>
          <w:lang w:val="en-US" w:eastAsia="zh-CN"/>
        </w:rPr>
        <w:t>208.76</w:t>
      </w:r>
      <w:r>
        <w:rPr>
          <w:rFonts w:hint="eastAsia" w:ascii="仿宋" w:hAnsi="仿宋" w:eastAsia="仿宋"/>
          <w:color w:val="000000"/>
          <w:sz w:val="32"/>
          <w:szCs w:val="32"/>
        </w:rPr>
        <w:t>万元，占支出合计的</w:t>
      </w:r>
      <w:r>
        <w:rPr>
          <w:rFonts w:hint="eastAsia" w:ascii="仿宋" w:hAnsi="仿宋" w:eastAsia="仿宋"/>
          <w:color w:val="000000"/>
          <w:sz w:val="32"/>
          <w:szCs w:val="32"/>
          <w:lang w:val="en-US" w:eastAsia="zh-CN"/>
        </w:rPr>
        <w:t>9.84</w:t>
      </w:r>
      <w:r>
        <w:rPr>
          <w:rFonts w:hint="eastAsia" w:ascii="仿宋" w:hAnsi="仿宋" w:eastAsia="仿宋"/>
          <w:color w:val="000000"/>
          <w:sz w:val="32"/>
          <w:szCs w:val="32"/>
        </w:rPr>
        <w:t>%；上缴上级支出0万元，占0%；经营支出0万元，占0%；对附属单位补助支出0万元，占0%。</w:t>
      </w:r>
    </w:p>
    <w:p w14:paraId="1C9FB273">
      <w:pPr>
        <w:spacing w:line="600" w:lineRule="exact"/>
        <w:ind w:firstLine="640" w:firstLineChars="200"/>
        <w:rPr>
          <w:rFonts w:hint="eastAsia" w:ascii="仿宋" w:hAnsi="仿宋" w:eastAsia="仿宋"/>
          <w:color w:val="000000"/>
          <w:sz w:val="32"/>
          <w:szCs w:val="32"/>
        </w:rPr>
      </w:pPr>
    </w:p>
    <w:p w14:paraId="5AB115F4">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3</w:t>
      </w:r>
      <w:r>
        <w:rPr>
          <w:rFonts w:hint="eastAsia" w:ascii="仿宋" w:hAnsi="仿宋" w:eastAsia="仿宋"/>
          <w:color w:val="000000"/>
          <w:sz w:val="32"/>
          <w:szCs w:val="32"/>
        </w:rPr>
        <w:t>：支出决算结构图）（饼状图）</w:t>
      </w:r>
    </w:p>
    <w:p w14:paraId="27142A87">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drawing>
          <wp:anchor distT="0" distB="0" distL="114300" distR="114300" simplePos="0" relativeHeight="251661312" behindDoc="0" locked="0" layoutInCell="1" allowOverlap="1">
            <wp:simplePos x="0" y="0"/>
            <wp:positionH relativeFrom="column">
              <wp:posOffset>541020</wp:posOffset>
            </wp:positionH>
            <wp:positionV relativeFrom="paragraph">
              <wp:posOffset>104140</wp:posOffset>
            </wp:positionV>
            <wp:extent cx="5020945" cy="2715895"/>
            <wp:effectExtent l="4445" t="4445" r="22860" b="22860"/>
            <wp:wrapNone/>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08054EB7">
      <w:pPr>
        <w:spacing w:line="600" w:lineRule="exact"/>
        <w:ind w:firstLine="640" w:firstLineChars="200"/>
        <w:rPr>
          <w:rFonts w:ascii="仿宋" w:hAnsi="仿宋" w:eastAsia="仿宋"/>
          <w:color w:val="000000"/>
          <w:sz w:val="32"/>
          <w:szCs w:val="32"/>
        </w:rPr>
      </w:pPr>
    </w:p>
    <w:p w14:paraId="175837D4">
      <w:pPr>
        <w:spacing w:line="600" w:lineRule="exact"/>
        <w:ind w:firstLine="640" w:firstLineChars="200"/>
        <w:rPr>
          <w:rFonts w:ascii="仿宋" w:hAnsi="仿宋" w:eastAsia="仿宋"/>
          <w:color w:val="000000"/>
          <w:sz w:val="32"/>
          <w:szCs w:val="32"/>
        </w:rPr>
      </w:pPr>
    </w:p>
    <w:p w14:paraId="1EEECE18">
      <w:pPr>
        <w:spacing w:line="600" w:lineRule="exact"/>
        <w:ind w:firstLine="640" w:firstLineChars="200"/>
        <w:rPr>
          <w:rFonts w:ascii="仿宋" w:hAnsi="仿宋" w:eastAsia="仿宋"/>
          <w:color w:val="000000"/>
          <w:sz w:val="32"/>
          <w:szCs w:val="32"/>
        </w:rPr>
      </w:pPr>
    </w:p>
    <w:p w14:paraId="728C630F">
      <w:pPr>
        <w:spacing w:line="600" w:lineRule="exact"/>
        <w:ind w:firstLine="640" w:firstLineChars="200"/>
        <w:rPr>
          <w:rFonts w:ascii="仿宋" w:hAnsi="仿宋" w:eastAsia="仿宋"/>
          <w:color w:val="000000"/>
          <w:sz w:val="32"/>
          <w:szCs w:val="32"/>
        </w:rPr>
      </w:pPr>
    </w:p>
    <w:p w14:paraId="4EC3B12F">
      <w:pPr>
        <w:spacing w:line="600" w:lineRule="exact"/>
        <w:ind w:firstLine="640" w:firstLineChars="200"/>
        <w:rPr>
          <w:rFonts w:ascii="仿宋" w:hAnsi="仿宋" w:eastAsia="仿宋"/>
          <w:color w:val="000000"/>
          <w:sz w:val="32"/>
          <w:szCs w:val="32"/>
        </w:rPr>
      </w:pPr>
    </w:p>
    <w:p w14:paraId="3A263158">
      <w:pPr>
        <w:spacing w:line="600" w:lineRule="exact"/>
        <w:outlineLvl w:val="1"/>
        <w:rPr>
          <w:rStyle w:val="23"/>
          <w:rFonts w:ascii="黑体" w:hAnsi="黑体" w:eastAsia="黑体"/>
          <w:b w:val="0"/>
        </w:rPr>
      </w:pPr>
      <w:bookmarkStart w:id="121" w:name="_Toc79163863"/>
      <w:bookmarkStart w:id="122" w:name="_Toc15377208"/>
      <w:bookmarkStart w:id="123" w:name="_Toc15396606"/>
      <w:bookmarkStart w:id="124" w:name="_Toc79163613"/>
      <w:bookmarkStart w:id="125" w:name="_Toc8275_WPSOffice_Level2"/>
      <w:bookmarkStart w:id="126" w:name="_Toc7947_WPSOffice_Level2"/>
      <w:r>
        <w:rPr>
          <w:rFonts w:hint="eastAsia" w:ascii="黑体" w:hAnsi="黑体" w:eastAsia="黑体"/>
          <w:color w:val="000000"/>
          <w:sz w:val="32"/>
          <w:szCs w:val="32"/>
        </w:rPr>
        <w:t>四、财</w:t>
      </w:r>
      <w:r>
        <w:rPr>
          <w:rStyle w:val="23"/>
          <w:rFonts w:hint="eastAsia" w:ascii="黑体" w:hAnsi="黑体" w:eastAsia="黑体"/>
          <w:b w:val="0"/>
        </w:rPr>
        <w:t>政拨款收入支出决算总体情况说明</w:t>
      </w:r>
      <w:bookmarkEnd w:id="121"/>
      <w:bookmarkEnd w:id="122"/>
      <w:bookmarkEnd w:id="123"/>
      <w:bookmarkEnd w:id="124"/>
      <w:bookmarkEnd w:id="125"/>
      <w:bookmarkEnd w:id="126"/>
    </w:p>
    <w:p w14:paraId="3651945D">
      <w:pPr>
        <w:spacing w:line="600" w:lineRule="exact"/>
        <w:ind w:firstLine="640"/>
        <w:rPr>
          <w:rFonts w:ascii="仿宋" w:hAnsi="仿宋" w:eastAsia="仿宋"/>
          <w:color w:val="000000"/>
          <w:sz w:val="32"/>
          <w:szCs w:val="32"/>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年财政拨款收入总计</w:t>
      </w:r>
      <w:r>
        <w:rPr>
          <w:rFonts w:hint="eastAsia" w:ascii="仿宋" w:hAnsi="仿宋" w:eastAsia="仿宋"/>
          <w:color w:val="000000"/>
          <w:sz w:val="32"/>
          <w:szCs w:val="32"/>
          <w:lang w:val="en-US" w:eastAsia="zh-CN"/>
        </w:rPr>
        <w:t>2038.4</w:t>
      </w:r>
      <w:r>
        <w:rPr>
          <w:rFonts w:hint="eastAsia" w:ascii="仿宋" w:hAnsi="仿宋" w:eastAsia="仿宋"/>
          <w:color w:val="000000"/>
          <w:sz w:val="32"/>
          <w:szCs w:val="32"/>
        </w:rPr>
        <w:t>万元，支出</w:t>
      </w:r>
      <w:r>
        <w:rPr>
          <w:rFonts w:hint="eastAsia" w:ascii="仿宋" w:hAnsi="仿宋" w:eastAsia="仿宋"/>
          <w:color w:val="000000"/>
          <w:sz w:val="32"/>
          <w:szCs w:val="32"/>
          <w:lang w:val="en-US" w:eastAsia="zh-CN"/>
        </w:rPr>
        <w:t>2038.4</w:t>
      </w:r>
      <w:r>
        <w:rPr>
          <w:rFonts w:hint="eastAsia" w:ascii="仿宋" w:hAnsi="仿宋" w:eastAsia="仿宋"/>
          <w:color w:val="000000"/>
          <w:sz w:val="32"/>
          <w:szCs w:val="32"/>
        </w:rPr>
        <w:t>万元，财政拨款收入</w:t>
      </w:r>
      <w:r>
        <w:rPr>
          <w:rFonts w:hint="eastAsia" w:ascii="仿宋" w:hAnsi="仿宋" w:eastAsia="仿宋"/>
          <w:color w:val="000000"/>
          <w:sz w:val="32"/>
          <w:szCs w:val="32"/>
          <w:lang w:val="en-US" w:eastAsia="zh-CN"/>
        </w:rPr>
        <w:t>增加135.01</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6.62</w:t>
      </w:r>
      <w:r>
        <w:rPr>
          <w:rFonts w:hint="eastAsia" w:ascii="仿宋" w:hAnsi="仿宋" w:eastAsia="仿宋"/>
          <w:color w:val="000000"/>
          <w:sz w:val="32"/>
          <w:szCs w:val="32"/>
        </w:rPr>
        <w:t>%；财政拨款支出</w:t>
      </w:r>
      <w:r>
        <w:rPr>
          <w:rFonts w:hint="eastAsia" w:ascii="仿宋" w:hAnsi="仿宋" w:eastAsia="仿宋"/>
          <w:color w:val="000000"/>
          <w:sz w:val="32"/>
          <w:szCs w:val="32"/>
          <w:lang w:val="en-US" w:eastAsia="zh-CN"/>
        </w:rPr>
        <w:t>增加135.01</w:t>
      </w:r>
      <w:r>
        <w:rPr>
          <w:rFonts w:hint="eastAsia" w:ascii="仿宋" w:hAnsi="仿宋" w:eastAsia="仿宋"/>
          <w:color w:val="000000"/>
          <w:sz w:val="32"/>
          <w:szCs w:val="32"/>
        </w:rPr>
        <w:t>万元，</w:t>
      </w:r>
      <w:r>
        <w:rPr>
          <w:rFonts w:hint="eastAsia" w:ascii="仿宋" w:hAnsi="仿宋" w:eastAsia="仿宋"/>
          <w:color w:val="000000"/>
          <w:sz w:val="32"/>
          <w:szCs w:val="32"/>
          <w:lang w:val="en-US" w:eastAsia="zh-CN"/>
        </w:rPr>
        <w:t>增长6.62</w:t>
      </w:r>
      <w:r>
        <w:rPr>
          <w:rFonts w:hint="eastAsia" w:ascii="仿宋" w:hAnsi="仿宋" w:eastAsia="仿宋"/>
          <w:color w:val="000000"/>
          <w:sz w:val="32"/>
          <w:szCs w:val="32"/>
        </w:rPr>
        <w:t>%。主要变动原因是</w:t>
      </w:r>
      <w:r>
        <w:rPr>
          <w:rFonts w:hint="eastAsia" w:ascii="仿宋" w:hAnsi="仿宋" w:eastAsia="仿宋" w:cs="仿宋"/>
          <w:color w:val="000000"/>
          <w:sz w:val="32"/>
          <w:szCs w:val="32"/>
        </w:rPr>
        <w:t>教育运行经费支出增加。</w:t>
      </w:r>
    </w:p>
    <w:p w14:paraId="6F0D30AD">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4</w:t>
      </w:r>
      <w:r>
        <w:rPr>
          <w:rFonts w:hint="eastAsia" w:ascii="仿宋" w:hAnsi="仿宋" w:eastAsia="仿宋"/>
          <w:color w:val="000000"/>
          <w:sz w:val="32"/>
          <w:szCs w:val="32"/>
        </w:rPr>
        <w:t>：财政拨款收、支决算总计变动情况）（柱状图）</w:t>
      </w:r>
    </w:p>
    <w:p w14:paraId="1E1914CF">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2336" behindDoc="0" locked="0" layoutInCell="1" allowOverlap="1">
            <wp:simplePos x="0" y="0"/>
            <wp:positionH relativeFrom="column">
              <wp:posOffset>525145</wp:posOffset>
            </wp:positionH>
            <wp:positionV relativeFrom="paragraph">
              <wp:posOffset>161925</wp:posOffset>
            </wp:positionV>
            <wp:extent cx="5241925" cy="3610610"/>
            <wp:effectExtent l="4445" t="4445" r="11430" b="23495"/>
            <wp:wrapNone/>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126A468D">
      <w:pPr>
        <w:spacing w:line="600" w:lineRule="exact"/>
        <w:ind w:firstLine="640" w:firstLineChars="200"/>
        <w:rPr>
          <w:rFonts w:ascii="仿宋" w:hAnsi="仿宋" w:eastAsia="仿宋"/>
          <w:color w:val="000000"/>
          <w:sz w:val="32"/>
          <w:szCs w:val="32"/>
        </w:rPr>
      </w:pPr>
    </w:p>
    <w:p w14:paraId="1C55C736">
      <w:pPr>
        <w:spacing w:line="600" w:lineRule="exact"/>
        <w:ind w:firstLine="640" w:firstLineChars="200"/>
        <w:rPr>
          <w:rFonts w:ascii="仿宋" w:hAnsi="仿宋" w:eastAsia="仿宋"/>
          <w:color w:val="000000"/>
          <w:sz w:val="32"/>
          <w:szCs w:val="32"/>
        </w:rPr>
      </w:pPr>
    </w:p>
    <w:p w14:paraId="65D4C94E">
      <w:pPr>
        <w:spacing w:line="600" w:lineRule="exact"/>
        <w:ind w:firstLine="640" w:firstLineChars="200"/>
        <w:rPr>
          <w:rFonts w:ascii="仿宋" w:hAnsi="仿宋" w:eastAsia="仿宋"/>
          <w:color w:val="000000"/>
          <w:sz w:val="32"/>
          <w:szCs w:val="32"/>
        </w:rPr>
      </w:pPr>
    </w:p>
    <w:p w14:paraId="31E84C93">
      <w:pPr>
        <w:spacing w:line="600" w:lineRule="exact"/>
        <w:ind w:firstLine="640" w:firstLineChars="200"/>
        <w:rPr>
          <w:rFonts w:ascii="仿宋" w:hAnsi="仿宋" w:eastAsia="仿宋"/>
          <w:color w:val="000000"/>
          <w:sz w:val="32"/>
          <w:szCs w:val="32"/>
        </w:rPr>
      </w:pPr>
    </w:p>
    <w:p w14:paraId="01CC821B">
      <w:pPr>
        <w:spacing w:line="600" w:lineRule="exact"/>
        <w:ind w:firstLine="640" w:firstLineChars="200"/>
        <w:rPr>
          <w:rFonts w:ascii="仿宋" w:hAnsi="仿宋" w:eastAsia="仿宋"/>
          <w:color w:val="000000"/>
          <w:sz w:val="32"/>
          <w:szCs w:val="32"/>
        </w:rPr>
      </w:pPr>
    </w:p>
    <w:p w14:paraId="0AE07F3D">
      <w:pPr>
        <w:spacing w:line="600" w:lineRule="exact"/>
        <w:ind w:firstLine="640" w:firstLineChars="200"/>
        <w:rPr>
          <w:rFonts w:ascii="仿宋" w:hAnsi="仿宋" w:eastAsia="仿宋"/>
          <w:color w:val="000000"/>
          <w:sz w:val="32"/>
          <w:szCs w:val="32"/>
        </w:rPr>
      </w:pPr>
    </w:p>
    <w:p w14:paraId="279AC1E5">
      <w:pPr>
        <w:spacing w:line="600" w:lineRule="exact"/>
        <w:ind w:firstLine="640" w:firstLineChars="200"/>
        <w:rPr>
          <w:rFonts w:ascii="仿宋" w:hAnsi="仿宋" w:eastAsia="仿宋"/>
          <w:color w:val="000000"/>
          <w:sz w:val="32"/>
          <w:szCs w:val="32"/>
        </w:rPr>
      </w:pPr>
    </w:p>
    <w:p w14:paraId="6CEC681A">
      <w:pPr>
        <w:spacing w:line="600" w:lineRule="exact"/>
        <w:ind w:firstLine="320" w:firstLineChars="100"/>
        <w:outlineLvl w:val="1"/>
        <w:rPr>
          <w:rFonts w:ascii="黑体" w:hAnsi="黑体" w:eastAsia="黑体"/>
          <w:color w:val="000000"/>
          <w:sz w:val="32"/>
          <w:szCs w:val="32"/>
        </w:rPr>
      </w:pPr>
      <w:bookmarkStart w:id="127" w:name="_Toc15396607"/>
      <w:bookmarkStart w:id="128" w:name="_Toc22035_WPSOffice_Level2"/>
      <w:bookmarkStart w:id="129" w:name="_Toc15377209"/>
      <w:bookmarkStart w:id="130" w:name="_Toc79163864"/>
      <w:bookmarkStart w:id="131" w:name="_Toc79163614"/>
    </w:p>
    <w:p w14:paraId="1C3F19E3">
      <w:pPr>
        <w:spacing w:line="600" w:lineRule="exact"/>
        <w:ind w:firstLine="320" w:firstLineChars="100"/>
        <w:outlineLvl w:val="1"/>
        <w:rPr>
          <w:rFonts w:ascii="黑体" w:hAnsi="黑体" w:eastAsia="黑体"/>
          <w:color w:val="000000"/>
          <w:sz w:val="32"/>
          <w:szCs w:val="32"/>
        </w:rPr>
      </w:pPr>
    </w:p>
    <w:p w14:paraId="3B6F7A29">
      <w:pPr>
        <w:spacing w:line="600" w:lineRule="exact"/>
        <w:ind w:firstLine="320" w:firstLineChars="100"/>
        <w:outlineLvl w:val="1"/>
        <w:rPr>
          <w:rStyle w:val="23"/>
          <w:rFonts w:ascii="黑体" w:hAnsi="黑体" w:eastAsia="黑体"/>
          <w:b w:val="0"/>
        </w:rPr>
      </w:pPr>
      <w:bookmarkStart w:id="132" w:name="_Toc1150_WPSOffice_Level2"/>
      <w:r>
        <w:rPr>
          <w:rFonts w:hint="eastAsia" w:ascii="黑体" w:hAnsi="黑体" w:eastAsia="黑体"/>
          <w:sz w:val="32"/>
          <w:szCs w:val="32"/>
        </w:rPr>
        <w:t>五、</w:t>
      </w:r>
      <w:r>
        <w:rPr>
          <w:rFonts w:hint="eastAsia" w:ascii="黑体" w:hAnsi="黑体" w:eastAsia="黑体"/>
          <w:b/>
          <w:sz w:val="32"/>
          <w:szCs w:val="32"/>
        </w:rPr>
        <w:t>一</w:t>
      </w:r>
      <w:r>
        <w:rPr>
          <w:rStyle w:val="23"/>
          <w:rFonts w:hint="eastAsia" w:ascii="黑体" w:hAnsi="黑体" w:eastAsia="黑体"/>
          <w:b w:val="0"/>
        </w:rPr>
        <w:t>般公共预算财政拨款支出决算情况说明</w:t>
      </w:r>
      <w:bookmarkEnd w:id="127"/>
      <w:bookmarkEnd w:id="128"/>
      <w:bookmarkEnd w:id="129"/>
      <w:bookmarkEnd w:id="130"/>
      <w:bookmarkEnd w:id="131"/>
      <w:bookmarkEnd w:id="132"/>
    </w:p>
    <w:p w14:paraId="0CF679E8">
      <w:pPr>
        <w:spacing w:line="600" w:lineRule="exact"/>
        <w:ind w:firstLine="643" w:firstLineChars="200"/>
        <w:outlineLvl w:val="2"/>
        <w:rPr>
          <w:rFonts w:ascii="仿宋" w:hAnsi="仿宋" w:eastAsia="仿宋"/>
          <w:b/>
          <w:sz w:val="32"/>
          <w:szCs w:val="32"/>
        </w:rPr>
      </w:pPr>
      <w:bookmarkStart w:id="133" w:name="_Toc32398_WPSOffice_Level3"/>
      <w:bookmarkStart w:id="134" w:name="_Toc79163615"/>
      <w:bookmarkStart w:id="135" w:name="_Toc15196_WPSOffice_Level3"/>
      <w:bookmarkStart w:id="136" w:name="_Toc15377210"/>
      <w:bookmarkStart w:id="137" w:name="_Toc79163865"/>
      <w:r>
        <w:rPr>
          <w:rFonts w:hint="eastAsia" w:ascii="仿宋" w:hAnsi="仿宋" w:eastAsia="仿宋"/>
          <w:b/>
          <w:sz w:val="32"/>
          <w:szCs w:val="32"/>
        </w:rPr>
        <w:t>（一）一般公共预算财政拨款支出决算总体情况</w:t>
      </w:r>
      <w:bookmarkEnd w:id="133"/>
      <w:bookmarkEnd w:id="134"/>
      <w:bookmarkEnd w:id="135"/>
      <w:bookmarkEnd w:id="136"/>
      <w:bookmarkEnd w:id="137"/>
    </w:p>
    <w:p w14:paraId="4B4C11C5">
      <w:pPr>
        <w:spacing w:line="600" w:lineRule="exact"/>
        <w:ind w:firstLine="640" w:firstLineChars="200"/>
        <w:rPr>
          <w:rFonts w:ascii="仿宋" w:hAnsi="仿宋" w:eastAsia="仿宋"/>
          <w:color w:val="000000"/>
          <w:sz w:val="32"/>
          <w:szCs w:val="32"/>
        </w:rPr>
      </w:pPr>
      <w:r>
        <w:rPr>
          <w:rFonts w:ascii="仿宋" w:hAnsi="仿宋" w:eastAsia="仿宋"/>
          <w:sz w:val="32"/>
          <w:szCs w:val="32"/>
        </w:rPr>
        <w:t>20</w:t>
      </w:r>
      <w:r>
        <w:rPr>
          <w:rFonts w:hint="eastAsia" w:ascii="仿宋" w:hAnsi="仿宋" w:eastAsia="仿宋"/>
          <w:sz w:val="32"/>
          <w:szCs w:val="32"/>
        </w:rPr>
        <w:t>2</w:t>
      </w:r>
      <w:r>
        <w:rPr>
          <w:rFonts w:hint="eastAsia" w:ascii="仿宋" w:hAnsi="仿宋" w:eastAsia="仿宋"/>
          <w:sz w:val="32"/>
          <w:szCs w:val="32"/>
          <w:lang w:val="en-US" w:eastAsia="zh-CN"/>
        </w:rPr>
        <w:t>5</w:t>
      </w:r>
      <w:r>
        <w:rPr>
          <w:rFonts w:hint="eastAsia" w:ascii="仿宋" w:hAnsi="仿宋" w:eastAsia="仿宋"/>
          <w:sz w:val="32"/>
          <w:szCs w:val="32"/>
        </w:rPr>
        <w:t>年一般公共预算财政拨款支出</w:t>
      </w:r>
      <w:r>
        <w:rPr>
          <w:rFonts w:hint="eastAsia" w:ascii="仿宋" w:hAnsi="仿宋" w:eastAsia="仿宋"/>
          <w:sz w:val="32"/>
          <w:szCs w:val="32"/>
          <w:lang w:val="en-US" w:eastAsia="zh-CN"/>
        </w:rPr>
        <w:t>2038.4</w:t>
      </w:r>
      <w:r>
        <w:rPr>
          <w:rFonts w:hint="eastAsia" w:ascii="仿宋" w:hAnsi="仿宋" w:eastAsia="仿宋"/>
          <w:sz w:val="32"/>
          <w:szCs w:val="32"/>
        </w:rPr>
        <w:t>万元，其中：基本支出</w:t>
      </w:r>
      <w:r>
        <w:rPr>
          <w:rFonts w:hint="eastAsia" w:ascii="仿宋" w:hAnsi="仿宋" w:eastAsia="仿宋"/>
          <w:sz w:val="32"/>
          <w:szCs w:val="32"/>
          <w:lang w:val="en-US" w:eastAsia="zh-CN"/>
        </w:rPr>
        <w:t>1912.71</w:t>
      </w:r>
      <w:r>
        <w:rPr>
          <w:rFonts w:hint="eastAsia" w:ascii="仿宋" w:hAnsi="仿宋" w:eastAsia="仿宋"/>
          <w:color w:val="000000"/>
          <w:sz w:val="32"/>
          <w:szCs w:val="32"/>
        </w:rPr>
        <w:t>万元，占本年支出合计的</w:t>
      </w:r>
      <w:r>
        <w:rPr>
          <w:rFonts w:hint="eastAsia" w:ascii="仿宋" w:hAnsi="仿宋" w:eastAsia="仿宋"/>
          <w:color w:val="000000"/>
          <w:sz w:val="32"/>
          <w:szCs w:val="32"/>
          <w:lang w:val="en-US" w:eastAsia="zh-CN"/>
        </w:rPr>
        <w:t>93.83</w:t>
      </w:r>
      <w:r>
        <w:rPr>
          <w:rFonts w:ascii="仿宋" w:hAnsi="仿宋" w:eastAsia="仿宋"/>
          <w:color w:val="000000"/>
          <w:sz w:val="32"/>
          <w:szCs w:val="32"/>
        </w:rPr>
        <w:t>%</w:t>
      </w:r>
      <w:r>
        <w:rPr>
          <w:rFonts w:hint="eastAsia" w:ascii="仿宋" w:hAnsi="仿宋" w:eastAsia="仿宋"/>
          <w:color w:val="000000"/>
          <w:sz w:val="32"/>
          <w:szCs w:val="32"/>
        </w:rPr>
        <w:t>；项目支出</w:t>
      </w:r>
      <w:r>
        <w:rPr>
          <w:rFonts w:hint="eastAsia" w:ascii="仿宋" w:hAnsi="仿宋" w:eastAsia="仿宋"/>
          <w:color w:val="000000"/>
          <w:sz w:val="32"/>
          <w:szCs w:val="32"/>
          <w:lang w:val="en-US" w:eastAsia="zh-CN"/>
        </w:rPr>
        <w:t>208.76</w:t>
      </w:r>
      <w:r>
        <w:rPr>
          <w:rFonts w:hint="eastAsia" w:ascii="仿宋" w:hAnsi="仿宋" w:eastAsia="仿宋"/>
          <w:color w:val="000000"/>
          <w:sz w:val="32"/>
          <w:szCs w:val="32"/>
        </w:rPr>
        <w:t>万元，占本年支出合计的</w:t>
      </w:r>
      <w:r>
        <w:rPr>
          <w:rFonts w:hint="eastAsia" w:ascii="仿宋" w:hAnsi="仿宋" w:eastAsia="仿宋"/>
          <w:color w:val="000000"/>
          <w:sz w:val="32"/>
          <w:szCs w:val="32"/>
          <w:lang w:val="en-US" w:eastAsia="zh-CN"/>
        </w:rPr>
        <w:t>10.24</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年相比，一般公共预算财政拨款</w:t>
      </w:r>
      <w:r>
        <w:rPr>
          <w:rFonts w:hint="eastAsia" w:ascii="仿宋" w:hAnsi="仿宋" w:eastAsia="仿宋"/>
          <w:color w:val="000000"/>
          <w:sz w:val="32"/>
          <w:szCs w:val="32"/>
          <w:lang w:val="en-US" w:eastAsia="zh-CN"/>
        </w:rPr>
        <w:t>增加135.01</w:t>
      </w:r>
      <w:r>
        <w:rPr>
          <w:rFonts w:hint="eastAsia" w:ascii="仿宋" w:hAnsi="仿宋" w:eastAsia="仿宋"/>
          <w:color w:val="000000"/>
          <w:sz w:val="32"/>
          <w:szCs w:val="32"/>
        </w:rPr>
        <w:t>万元，</w:t>
      </w:r>
      <w:r>
        <w:rPr>
          <w:rFonts w:hint="eastAsia" w:ascii="仿宋" w:hAnsi="仿宋" w:eastAsia="仿宋"/>
          <w:color w:val="auto"/>
          <w:sz w:val="32"/>
          <w:szCs w:val="32"/>
          <w:lang w:val="en-US" w:eastAsia="zh-CN"/>
        </w:rPr>
        <w:t>增长6.62</w:t>
      </w:r>
      <w:r>
        <w:rPr>
          <w:rFonts w:ascii="仿宋" w:hAnsi="仿宋" w:eastAsia="仿宋"/>
          <w:color w:val="auto"/>
          <w:sz w:val="32"/>
          <w:szCs w:val="32"/>
        </w:rPr>
        <w:t>%</w:t>
      </w:r>
      <w:r>
        <w:rPr>
          <w:rFonts w:hint="eastAsia" w:ascii="仿宋" w:hAnsi="仿宋" w:eastAsia="仿宋"/>
          <w:color w:val="auto"/>
          <w:sz w:val="32"/>
          <w:szCs w:val="32"/>
        </w:rPr>
        <w:t>。其中基本支出比上年增加</w:t>
      </w:r>
      <w:r>
        <w:rPr>
          <w:rFonts w:hint="eastAsia" w:ascii="仿宋" w:hAnsi="仿宋" w:eastAsia="仿宋"/>
          <w:color w:val="auto"/>
          <w:sz w:val="32"/>
          <w:szCs w:val="32"/>
          <w:lang w:val="en-US" w:eastAsia="zh-CN"/>
        </w:rPr>
        <w:t>94.03</w:t>
      </w:r>
      <w:r>
        <w:rPr>
          <w:rFonts w:hint="eastAsia" w:ascii="仿宋" w:hAnsi="仿宋" w:eastAsia="仿宋"/>
          <w:color w:val="auto"/>
          <w:sz w:val="32"/>
          <w:szCs w:val="32"/>
        </w:rPr>
        <w:t>万元，增长</w:t>
      </w:r>
      <w:r>
        <w:rPr>
          <w:rFonts w:hint="eastAsia" w:ascii="仿宋" w:hAnsi="仿宋" w:eastAsia="仿宋"/>
          <w:color w:val="auto"/>
          <w:sz w:val="32"/>
          <w:szCs w:val="32"/>
          <w:lang w:val="en-US" w:eastAsia="zh-CN"/>
        </w:rPr>
        <w:t>4.91</w:t>
      </w:r>
      <w:r>
        <w:rPr>
          <w:rFonts w:hint="eastAsia" w:ascii="仿宋" w:hAnsi="仿宋" w:eastAsia="仿宋"/>
          <w:color w:val="auto"/>
          <w:sz w:val="32"/>
          <w:szCs w:val="32"/>
        </w:rPr>
        <w:t>%；项目支出比</w:t>
      </w:r>
      <w:r>
        <w:rPr>
          <w:rFonts w:hint="eastAsia" w:ascii="仿宋" w:hAnsi="仿宋" w:eastAsia="仿宋"/>
          <w:color w:val="000000"/>
          <w:sz w:val="32"/>
          <w:szCs w:val="32"/>
        </w:rPr>
        <w:t>上年</w:t>
      </w:r>
      <w:r>
        <w:rPr>
          <w:rFonts w:hint="eastAsia" w:ascii="仿宋" w:hAnsi="仿宋" w:eastAsia="仿宋"/>
          <w:color w:val="000000"/>
          <w:sz w:val="32"/>
          <w:szCs w:val="32"/>
          <w:lang w:val="en-US" w:eastAsia="zh-CN"/>
        </w:rPr>
        <w:t>增加19.93</w:t>
      </w:r>
      <w:r>
        <w:rPr>
          <w:rFonts w:hint="eastAsia" w:ascii="仿宋" w:hAnsi="仿宋" w:eastAsia="仿宋"/>
          <w:color w:val="000000"/>
          <w:sz w:val="32"/>
          <w:szCs w:val="32"/>
        </w:rPr>
        <w:t>元，</w:t>
      </w:r>
      <w:r>
        <w:rPr>
          <w:rFonts w:hint="eastAsia" w:ascii="仿宋" w:hAnsi="仿宋" w:eastAsia="仿宋"/>
          <w:color w:val="000000"/>
          <w:sz w:val="32"/>
          <w:szCs w:val="32"/>
          <w:lang w:val="en-US" w:eastAsia="zh-CN"/>
        </w:rPr>
        <w:t>增幅9.54</w:t>
      </w:r>
      <w:r>
        <w:rPr>
          <w:rFonts w:hint="eastAsia" w:ascii="仿宋" w:hAnsi="仿宋" w:eastAsia="仿宋"/>
          <w:color w:val="000000"/>
          <w:sz w:val="32"/>
          <w:szCs w:val="32"/>
        </w:rPr>
        <w:t>% ；主要变动原因是职工</w:t>
      </w:r>
      <w:r>
        <w:rPr>
          <w:rFonts w:hint="eastAsia" w:ascii="仿宋" w:hAnsi="仿宋" w:eastAsia="仿宋" w:cs="仿宋"/>
          <w:color w:val="000000"/>
          <w:sz w:val="32"/>
          <w:szCs w:val="32"/>
        </w:rPr>
        <w:t>工资增涨，人员经费增加项目经费减少。</w:t>
      </w:r>
    </w:p>
    <w:p w14:paraId="52769C3B">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5</w:t>
      </w:r>
      <w:r>
        <w:rPr>
          <w:rFonts w:hint="eastAsia" w:ascii="仿宋" w:hAnsi="仿宋" w:eastAsia="仿宋"/>
          <w:color w:val="000000"/>
          <w:sz w:val="32"/>
          <w:szCs w:val="32"/>
        </w:rPr>
        <w:t>：一般公共预算财政拨款支出决算变动情况）（柱状图）</w:t>
      </w:r>
    </w:p>
    <w:p w14:paraId="0BA5EB2E">
      <w:pPr>
        <w:spacing w:line="600" w:lineRule="exact"/>
        <w:ind w:firstLine="640" w:firstLineChars="200"/>
        <w:rPr>
          <w:rFonts w:ascii="仿宋" w:hAnsi="仿宋" w:eastAsia="仿宋"/>
          <w:color w:val="000000"/>
          <w:sz w:val="32"/>
          <w:szCs w:val="32"/>
        </w:rPr>
      </w:pPr>
    </w:p>
    <w:p w14:paraId="787353CB">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3360" behindDoc="0" locked="0" layoutInCell="1" allowOverlap="1">
            <wp:simplePos x="0" y="0"/>
            <wp:positionH relativeFrom="column">
              <wp:posOffset>210185</wp:posOffset>
            </wp:positionH>
            <wp:positionV relativeFrom="paragraph">
              <wp:posOffset>76200</wp:posOffset>
            </wp:positionV>
            <wp:extent cx="5494655" cy="3674110"/>
            <wp:effectExtent l="5080" t="4445" r="5715" b="17145"/>
            <wp:wrapNone/>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1613CFCD">
      <w:pPr>
        <w:spacing w:line="600" w:lineRule="exact"/>
        <w:ind w:firstLine="640" w:firstLineChars="200"/>
        <w:rPr>
          <w:rFonts w:ascii="仿宋" w:hAnsi="仿宋" w:eastAsia="仿宋"/>
          <w:color w:val="000000"/>
          <w:sz w:val="32"/>
          <w:szCs w:val="32"/>
        </w:rPr>
      </w:pPr>
    </w:p>
    <w:p w14:paraId="2915836D">
      <w:pPr>
        <w:spacing w:line="600" w:lineRule="exact"/>
        <w:ind w:firstLine="640" w:firstLineChars="200"/>
        <w:rPr>
          <w:rFonts w:ascii="仿宋" w:hAnsi="仿宋" w:eastAsia="仿宋"/>
          <w:color w:val="000000"/>
          <w:sz w:val="32"/>
          <w:szCs w:val="32"/>
        </w:rPr>
      </w:pPr>
    </w:p>
    <w:p w14:paraId="4FC6D187">
      <w:pPr>
        <w:spacing w:line="600" w:lineRule="exact"/>
        <w:ind w:firstLine="640" w:firstLineChars="200"/>
        <w:rPr>
          <w:rFonts w:ascii="仿宋" w:hAnsi="仿宋" w:eastAsia="仿宋"/>
          <w:color w:val="000000"/>
          <w:sz w:val="32"/>
          <w:szCs w:val="32"/>
        </w:rPr>
      </w:pPr>
    </w:p>
    <w:p w14:paraId="6E6AFA4E">
      <w:pPr>
        <w:spacing w:line="600" w:lineRule="exact"/>
        <w:ind w:firstLine="640" w:firstLineChars="200"/>
        <w:rPr>
          <w:rFonts w:ascii="仿宋" w:hAnsi="仿宋" w:eastAsia="仿宋"/>
          <w:color w:val="000000"/>
          <w:sz w:val="32"/>
          <w:szCs w:val="32"/>
        </w:rPr>
      </w:pPr>
    </w:p>
    <w:p w14:paraId="3D325BB1">
      <w:pPr>
        <w:spacing w:line="600" w:lineRule="exact"/>
        <w:ind w:firstLine="640" w:firstLineChars="200"/>
        <w:rPr>
          <w:rFonts w:ascii="仿宋" w:hAnsi="仿宋" w:eastAsia="仿宋"/>
          <w:color w:val="000000"/>
          <w:sz w:val="32"/>
          <w:szCs w:val="32"/>
        </w:rPr>
      </w:pPr>
    </w:p>
    <w:p w14:paraId="1A027E33">
      <w:pPr>
        <w:spacing w:line="600" w:lineRule="exact"/>
        <w:ind w:firstLine="640" w:firstLineChars="200"/>
        <w:rPr>
          <w:rFonts w:ascii="仿宋" w:hAnsi="仿宋" w:eastAsia="仿宋"/>
          <w:color w:val="000000"/>
          <w:sz w:val="32"/>
          <w:szCs w:val="32"/>
        </w:rPr>
      </w:pPr>
    </w:p>
    <w:p w14:paraId="2447FF20">
      <w:pPr>
        <w:spacing w:line="600" w:lineRule="exact"/>
        <w:outlineLvl w:val="2"/>
        <w:rPr>
          <w:rFonts w:ascii="仿宋" w:hAnsi="仿宋" w:eastAsia="仿宋"/>
          <w:b/>
          <w:color w:val="000000"/>
          <w:sz w:val="32"/>
          <w:szCs w:val="32"/>
        </w:rPr>
      </w:pPr>
      <w:bookmarkStart w:id="138" w:name="_Toc79163616"/>
      <w:bookmarkStart w:id="139" w:name="_Toc10718_WPSOffice_Level3"/>
      <w:bookmarkStart w:id="140" w:name="_Toc79163866"/>
      <w:bookmarkStart w:id="141" w:name="_Toc15377211"/>
    </w:p>
    <w:p w14:paraId="7014111D">
      <w:pPr>
        <w:spacing w:line="600" w:lineRule="exact"/>
        <w:outlineLvl w:val="2"/>
        <w:rPr>
          <w:rFonts w:ascii="仿宋" w:hAnsi="仿宋" w:eastAsia="仿宋"/>
          <w:b/>
          <w:color w:val="000000"/>
          <w:sz w:val="32"/>
          <w:szCs w:val="32"/>
        </w:rPr>
      </w:pPr>
    </w:p>
    <w:p w14:paraId="240CE535">
      <w:pPr>
        <w:spacing w:line="600" w:lineRule="exact"/>
        <w:outlineLvl w:val="2"/>
        <w:rPr>
          <w:rFonts w:ascii="仿宋" w:hAnsi="仿宋" w:eastAsia="仿宋"/>
          <w:b/>
          <w:color w:val="000000"/>
          <w:sz w:val="32"/>
          <w:szCs w:val="32"/>
        </w:rPr>
      </w:pPr>
    </w:p>
    <w:p w14:paraId="4F964631">
      <w:pPr>
        <w:spacing w:line="600" w:lineRule="exact"/>
        <w:outlineLvl w:val="2"/>
        <w:rPr>
          <w:rFonts w:ascii="仿宋" w:hAnsi="仿宋" w:eastAsia="仿宋"/>
          <w:b/>
          <w:color w:val="000000"/>
          <w:sz w:val="32"/>
          <w:szCs w:val="32"/>
        </w:rPr>
      </w:pPr>
      <w:bookmarkStart w:id="142" w:name="_Toc3982_WPSOffice_Level3"/>
      <w:r>
        <w:rPr>
          <w:rFonts w:hint="eastAsia" w:ascii="仿宋" w:hAnsi="仿宋" w:eastAsia="仿宋"/>
          <w:b/>
          <w:color w:val="000000"/>
          <w:sz w:val="32"/>
          <w:szCs w:val="32"/>
        </w:rPr>
        <w:t>（二）一般公共预算财政拨款支出决算结构情况</w:t>
      </w:r>
      <w:bookmarkEnd w:id="138"/>
      <w:bookmarkEnd w:id="139"/>
      <w:bookmarkEnd w:id="140"/>
      <w:bookmarkEnd w:id="141"/>
      <w:bookmarkEnd w:id="142"/>
    </w:p>
    <w:p w14:paraId="7F5CB48E">
      <w:pPr>
        <w:spacing w:line="600" w:lineRule="exact"/>
        <w:ind w:firstLine="640"/>
        <w:rPr>
          <w:rFonts w:ascii="仿宋" w:hAnsi="仿宋" w:eastAsia="仿宋"/>
          <w:color w:val="auto"/>
          <w:sz w:val="32"/>
          <w:szCs w:val="32"/>
        </w:rPr>
      </w:pPr>
      <w:r>
        <w:rPr>
          <w:rFonts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年一般公共预算财政拨款支出</w:t>
      </w:r>
      <w:r>
        <w:rPr>
          <w:rFonts w:hint="eastAsia" w:ascii="仿宋" w:hAnsi="仿宋" w:eastAsia="仿宋"/>
          <w:color w:val="auto"/>
          <w:sz w:val="32"/>
          <w:szCs w:val="32"/>
          <w:lang w:val="en-US" w:eastAsia="zh-CN"/>
        </w:rPr>
        <w:t>2038.4</w:t>
      </w:r>
      <w:r>
        <w:rPr>
          <w:rFonts w:hint="eastAsia" w:ascii="仿宋" w:hAnsi="仿宋" w:eastAsia="仿宋"/>
          <w:color w:val="auto"/>
          <w:sz w:val="32"/>
          <w:szCs w:val="32"/>
        </w:rPr>
        <w:t>万元，主要用于以下方面</w:t>
      </w:r>
      <w:r>
        <w:rPr>
          <w:rFonts w:ascii="仿宋" w:hAnsi="仿宋" w:eastAsia="仿宋"/>
          <w:color w:val="auto"/>
          <w:sz w:val="32"/>
          <w:szCs w:val="32"/>
        </w:rPr>
        <w:t>:</w:t>
      </w:r>
    </w:p>
    <w:p w14:paraId="06B6AA50">
      <w:pPr>
        <w:spacing w:line="600" w:lineRule="exact"/>
        <w:ind w:firstLine="640"/>
        <w:rPr>
          <w:rFonts w:ascii="仿宋" w:hAnsi="仿宋" w:eastAsia="仿宋"/>
          <w:b/>
          <w:color w:val="000000"/>
          <w:sz w:val="32"/>
          <w:szCs w:val="32"/>
        </w:rPr>
      </w:pPr>
      <w:r>
        <w:rPr>
          <w:rFonts w:hint="eastAsia" w:ascii="仿宋" w:hAnsi="仿宋" w:eastAsia="仿宋"/>
          <w:b/>
          <w:color w:val="000000"/>
          <w:sz w:val="32"/>
          <w:szCs w:val="32"/>
        </w:rPr>
        <w:t>一般公共服务（类）</w:t>
      </w:r>
      <w:r>
        <w:rPr>
          <w:rFonts w:hint="eastAsia" w:ascii="仿宋" w:hAnsi="仿宋" w:eastAsia="仿宋"/>
          <w:color w:val="000000"/>
          <w:sz w:val="32"/>
          <w:szCs w:val="32"/>
        </w:rPr>
        <w:t>支出0万元，占0</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color w:val="000000"/>
          <w:sz w:val="32"/>
          <w:szCs w:val="32"/>
        </w:rPr>
        <w:t>教育支出（类）</w:t>
      </w:r>
      <w:r>
        <w:rPr>
          <w:rFonts w:hint="eastAsia" w:ascii="仿宋" w:hAnsi="仿宋" w:eastAsia="仿宋"/>
          <w:color w:val="000000"/>
          <w:sz w:val="32"/>
          <w:szCs w:val="32"/>
          <w:lang w:val="en-US" w:eastAsia="zh-CN"/>
        </w:rPr>
        <w:t>1627.38</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79.83</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color w:val="000000"/>
          <w:sz w:val="32"/>
          <w:szCs w:val="32"/>
        </w:rPr>
        <w:t>科学技术（类）</w:t>
      </w:r>
      <w:r>
        <w:rPr>
          <w:rFonts w:hint="eastAsia" w:ascii="仿宋" w:hAnsi="仿宋" w:eastAsia="仿宋"/>
          <w:color w:val="000000"/>
          <w:sz w:val="32"/>
          <w:szCs w:val="32"/>
        </w:rPr>
        <w:t>支出0万元，占0</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bCs/>
          <w:color w:val="000000"/>
          <w:sz w:val="32"/>
          <w:szCs w:val="32"/>
        </w:rPr>
        <w:t>文化旅游体育与传媒（类）支出0万元，占0</w:t>
      </w:r>
      <w:r>
        <w:rPr>
          <w:rFonts w:ascii="仿宋" w:hAnsi="仿宋" w:eastAsia="仿宋"/>
          <w:b/>
          <w:bCs/>
          <w:color w:val="000000"/>
          <w:sz w:val="32"/>
          <w:szCs w:val="32"/>
        </w:rPr>
        <w:t>%</w:t>
      </w:r>
      <w:r>
        <w:rPr>
          <w:rFonts w:hint="eastAsia" w:ascii="仿宋" w:hAnsi="仿宋" w:eastAsia="仿宋"/>
          <w:color w:val="000000"/>
          <w:sz w:val="32"/>
          <w:szCs w:val="32"/>
        </w:rPr>
        <w:t>；</w:t>
      </w:r>
      <w:r>
        <w:rPr>
          <w:rFonts w:hint="eastAsia" w:ascii="仿宋" w:hAnsi="仿宋" w:eastAsia="仿宋"/>
          <w:b/>
          <w:color w:val="000000"/>
          <w:sz w:val="32"/>
          <w:szCs w:val="32"/>
        </w:rPr>
        <w:t>社会保障和就业（类）</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254.45</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12.48</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bCs/>
          <w:color w:val="000000"/>
          <w:sz w:val="32"/>
          <w:szCs w:val="32"/>
        </w:rPr>
        <w:t>卫生健康支出</w:t>
      </w:r>
      <w:r>
        <w:rPr>
          <w:rFonts w:hint="eastAsia" w:ascii="仿宋" w:hAnsi="仿宋" w:eastAsia="仿宋"/>
          <w:b/>
          <w:bCs/>
          <w:color w:val="000000"/>
          <w:sz w:val="32"/>
          <w:szCs w:val="32"/>
          <w:lang w:val="en-US" w:eastAsia="zh-CN"/>
        </w:rPr>
        <w:t>103.18</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5.06</w:t>
      </w:r>
      <w:r>
        <w:rPr>
          <w:rFonts w:ascii="仿宋" w:hAnsi="仿宋" w:eastAsia="仿宋"/>
          <w:color w:val="000000"/>
          <w:sz w:val="32"/>
          <w:szCs w:val="32"/>
        </w:rPr>
        <w:t>%</w:t>
      </w:r>
      <w:r>
        <w:rPr>
          <w:rFonts w:hint="eastAsia" w:ascii="仿宋" w:hAnsi="仿宋" w:eastAsia="仿宋"/>
          <w:color w:val="000000"/>
          <w:sz w:val="32"/>
          <w:szCs w:val="32"/>
        </w:rPr>
        <w:t>；住房保障支出</w:t>
      </w:r>
      <w:r>
        <w:rPr>
          <w:rFonts w:hint="eastAsia" w:ascii="仿宋" w:hAnsi="仿宋" w:eastAsia="仿宋"/>
          <w:color w:val="000000"/>
          <w:sz w:val="32"/>
          <w:szCs w:val="32"/>
          <w:lang w:val="en-US" w:eastAsia="zh-CN"/>
        </w:rPr>
        <w:t>136.45</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6.69</w:t>
      </w:r>
      <w:r>
        <w:rPr>
          <w:rFonts w:ascii="仿宋" w:hAnsi="仿宋" w:eastAsia="仿宋"/>
          <w:color w:val="000000"/>
          <w:sz w:val="32"/>
          <w:szCs w:val="32"/>
        </w:rPr>
        <w:t>%</w:t>
      </w:r>
      <w:r>
        <w:rPr>
          <w:rFonts w:hint="eastAsia" w:ascii="仿宋" w:hAnsi="仿宋" w:eastAsia="仿宋"/>
          <w:color w:val="000000"/>
          <w:sz w:val="32"/>
          <w:szCs w:val="32"/>
        </w:rPr>
        <w:t>。</w:t>
      </w:r>
    </w:p>
    <w:p w14:paraId="1EC9681B">
      <w:pPr>
        <w:spacing w:line="600" w:lineRule="exact"/>
        <w:ind w:firstLine="320" w:firstLineChars="1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6</w:t>
      </w:r>
      <w:r>
        <w:rPr>
          <w:rFonts w:hint="eastAsia" w:ascii="仿宋" w:hAnsi="仿宋" w:eastAsia="仿宋"/>
          <w:color w:val="000000"/>
          <w:sz w:val="32"/>
          <w:szCs w:val="32"/>
        </w:rPr>
        <w:t>：一般公共预算财政拨款支出决算结构）（饼状图）</w:t>
      </w:r>
    </w:p>
    <w:p w14:paraId="0F870A77">
      <w:pPr>
        <w:spacing w:line="600" w:lineRule="exact"/>
        <w:ind w:firstLine="320" w:firstLineChars="1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4384" behindDoc="0" locked="0" layoutInCell="1" allowOverlap="1">
            <wp:simplePos x="0" y="0"/>
            <wp:positionH relativeFrom="column">
              <wp:posOffset>531495</wp:posOffset>
            </wp:positionH>
            <wp:positionV relativeFrom="paragraph">
              <wp:posOffset>95885</wp:posOffset>
            </wp:positionV>
            <wp:extent cx="5118100" cy="3335655"/>
            <wp:effectExtent l="4445" t="4445" r="20955" b="12700"/>
            <wp:wrapNone/>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004D2B91">
      <w:pPr>
        <w:spacing w:line="600" w:lineRule="exact"/>
        <w:ind w:firstLine="320" w:firstLineChars="100"/>
        <w:rPr>
          <w:rFonts w:ascii="仿宋" w:hAnsi="仿宋" w:eastAsia="仿宋"/>
          <w:color w:val="000000"/>
          <w:sz w:val="32"/>
          <w:szCs w:val="32"/>
        </w:rPr>
      </w:pPr>
    </w:p>
    <w:p w14:paraId="5B5DE150">
      <w:pPr>
        <w:spacing w:line="600" w:lineRule="exact"/>
        <w:ind w:firstLine="320" w:firstLineChars="100"/>
        <w:rPr>
          <w:rFonts w:ascii="仿宋" w:hAnsi="仿宋" w:eastAsia="仿宋"/>
          <w:color w:val="000000"/>
          <w:sz w:val="32"/>
          <w:szCs w:val="32"/>
        </w:rPr>
      </w:pPr>
    </w:p>
    <w:p w14:paraId="01678822">
      <w:pPr>
        <w:spacing w:line="600" w:lineRule="exact"/>
        <w:ind w:firstLine="320" w:firstLineChars="100"/>
        <w:rPr>
          <w:rFonts w:ascii="仿宋" w:hAnsi="仿宋" w:eastAsia="仿宋"/>
          <w:color w:val="000000"/>
          <w:sz w:val="32"/>
          <w:szCs w:val="32"/>
        </w:rPr>
      </w:pPr>
    </w:p>
    <w:p w14:paraId="7C77ED34">
      <w:pPr>
        <w:spacing w:line="600" w:lineRule="exact"/>
        <w:ind w:firstLine="320" w:firstLineChars="100"/>
        <w:rPr>
          <w:rFonts w:ascii="仿宋" w:hAnsi="仿宋" w:eastAsia="仿宋"/>
          <w:color w:val="000000"/>
          <w:sz w:val="32"/>
          <w:szCs w:val="32"/>
        </w:rPr>
      </w:pPr>
    </w:p>
    <w:p w14:paraId="04D6971C">
      <w:pPr>
        <w:spacing w:line="600" w:lineRule="exact"/>
        <w:ind w:firstLine="320" w:firstLineChars="100"/>
        <w:rPr>
          <w:rFonts w:ascii="仿宋" w:hAnsi="仿宋" w:eastAsia="仿宋"/>
          <w:color w:val="000000"/>
          <w:sz w:val="32"/>
          <w:szCs w:val="32"/>
        </w:rPr>
      </w:pPr>
    </w:p>
    <w:p w14:paraId="602D339E">
      <w:pPr>
        <w:spacing w:line="600" w:lineRule="exact"/>
        <w:ind w:firstLine="320" w:firstLineChars="100"/>
        <w:rPr>
          <w:rFonts w:ascii="仿宋" w:hAnsi="仿宋" w:eastAsia="仿宋"/>
          <w:color w:val="000000"/>
          <w:sz w:val="32"/>
          <w:szCs w:val="32"/>
        </w:rPr>
      </w:pPr>
    </w:p>
    <w:p w14:paraId="10A78B9F">
      <w:pPr>
        <w:spacing w:line="600" w:lineRule="exact"/>
        <w:outlineLvl w:val="2"/>
        <w:rPr>
          <w:rFonts w:ascii="仿宋" w:hAnsi="仿宋" w:eastAsia="仿宋"/>
          <w:b/>
          <w:color w:val="000000"/>
          <w:sz w:val="32"/>
          <w:szCs w:val="32"/>
        </w:rPr>
      </w:pPr>
      <w:bookmarkStart w:id="143" w:name="_Toc15377212"/>
      <w:bookmarkStart w:id="144" w:name="_Toc79163867"/>
      <w:bookmarkStart w:id="145" w:name="_Toc79163617"/>
      <w:bookmarkStart w:id="146" w:name="_Toc17127_WPSOffice_Level3"/>
    </w:p>
    <w:p w14:paraId="6324F4D9">
      <w:pPr>
        <w:spacing w:line="600" w:lineRule="exact"/>
        <w:outlineLvl w:val="2"/>
        <w:rPr>
          <w:rFonts w:ascii="仿宋" w:hAnsi="仿宋" w:eastAsia="仿宋"/>
          <w:b/>
          <w:color w:val="000000"/>
          <w:sz w:val="32"/>
          <w:szCs w:val="32"/>
        </w:rPr>
      </w:pPr>
    </w:p>
    <w:p w14:paraId="1F204089">
      <w:pPr>
        <w:spacing w:line="600" w:lineRule="exact"/>
        <w:outlineLvl w:val="2"/>
        <w:rPr>
          <w:rFonts w:ascii="仿宋" w:hAnsi="仿宋" w:eastAsia="仿宋"/>
          <w:b/>
          <w:color w:val="000000"/>
          <w:sz w:val="32"/>
          <w:szCs w:val="32"/>
        </w:rPr>
      </w:pPr>
      <w:bookmarkStart w:id="147" w:name="_Toc23921_WPSOffice_Level3"/>
      <w:r>
        <w:rPr>
          <w:rFonts w:hint="eastAsia" w:ascii="仿宋" w:hAnsi="仿宋" w:eastAsia="仿宋"/>
          <w:b/>
          <w:color w:val="000000"/>
          <w:sz w:val="32"/>
          <w:szCs w:val="32"/>
        </w:rPr>
        <w:t>（三）一般公共预算财政拨款支出决算具体情况</w:t>
      </w:r>
      <w:bookmarkEnd w:id="143"/>
      <w:bookmarkEnd w:id="144"/>
      <w:bookmarkEnd w:id="145"/>
      <w:bookmarkEnd w:id="146"/>
      <w:bookmarkEnd w:id="147"/>
    </w:p>
    <w:p w14:paraId="23EB1FC2">
      <w:pPr>
        <w:spacing w:line="600" w:lineRule="exact"/>
        <w:ind w:firstLine="643" w:firstLineChars="200"/>
        <w:rPr>
          <w:rFonts w:ascii="仿宋_GB2312" w:eastAsia="仿宋_GB2312"/>
          <w:b/>
          <w:bCs/>
          <w:sz w:val="32"/>
          <w:szCs w:val="32"/>
        </w:rPr>
      </w:pPr>
      <w:bookmarkStart w:id="148" w:name="_Toc15377444"/>
      <w:bookmarkStart w:id="149" w:name="_Toc15377213"/>
      <w:bookmarkStart w:id="150" w:name="_Toc15378460"/>
      <w:r>
        <w:rPr>
          <w:rFonts w:ascii="仿宋_GB2312" w:eastAsia="仿宋_GB2312"/>
          <w:b/>
          <w:bCs/>
          <w:sz w:val="32"/>
          <w:szCs w:val="32"/>
        </w:rPr>
        <w:t>202</w:t>
      </w:r>
      <w:r>
        <w:rPr>
          <w:rFonts w:hint="eastAsia" w:ascii="仿宋_GB2312" w:eastAsia="仿宋_GB2312"/>
          <w:b/>
          <w:bCs/>
          <w:sz w:val="32"/>
          <w:szCs w:val="32"/>
          <w:lang w:val="en-US" w:eastAsia="zh-CN"/>
        </w:rPr>
        <w:t>5</w:t>
      </w:r>
      <w:r>
        <w:rPr>
          <w:rFonts w:hint="eastAsia" w:ascii="仿宋_GB2312" w:eastAsia="仿宋_GB2312"/>
          <w:b/>
          <w:bCs/>
          <w:sz w:val="32"/>
          <w:szCs w:val="32"/>
        </w:rPr>
        <w:t>年一般公共预算支出决算数为</w:t>
      </w:r>
      <w:r>
        <w:rPr>
          <w:rFonts w:hint="eastAsia" w:ascii="仿宋_GB2312" w:eastAsia="仿宋_GB2312"/>
          <w:b/>
          <w:bCs/>
          <w:sz w:val="32"/>
          <w:szCs w:val="32"/>
          <w:lang w:val="en-US" w:eastAsia="zh-CN"/>
        </w:rPr>
        <w:t>2038.4</w:t>
      </w:r>
      <w:r>
        <w:rPr>
          <w:rFonts w:hint="eastAsia" w:ascii="仿宋_GB2312" w:eastAsia="仿宋_GB2312"/>
          <w:b/>
          <w:bCs/>
          <w:sz w:val="32"/>
          <w:szCs w:val="32"/>
        </w:rPr>
        <w:t>完成预算100</w:t>
      </w:r>
      <w:r>
        <w:rPr>
          <w:rFonts w:ascii="仿宋_GB2312" w:eastAsia="仿宋_GB2312"/>
          <w:b/>
          <w:bCs/>
          <w:sz w:val="32"/>
          <w:szCs w:val="32"/>
        </w:rPr>
        <w:t>%</w:t>
      </w:r>
      <w:r>
        <w:rPr>
          <w:rFonts w:hint="eastAsia" w:ascii="仿宋_GB2312" w:eastAsia="仿宋_GB2312"/>
          <w:b/>
          <w:bCs/>
          <w:sz w:val="32"/>
          <w:szCs w:val="32"/>
        </w:rPr>
        <w:t>。其中：</w:t>
      </w:r>
      <w:bookmarkEnd w:id="148"/>
      <w:bookmarkEnd w:id="149"/>
      <w:bookmarkEnd w:id="150"/>
    </w:p>
    <w:p w14:paraId="4E4B44A2">
      <w:pPr>
        <w:spacing w:line="600" w:lineRule="exact"/>
        <w:ind w:firstLine="643" w:firstLineChars="200"/>
        <w:rPr>
          <w:rStyle w:val="20"/>
          <w:rFonts w:ascii="仿宋" w:hAnsi="仿宋" w:eastAsia="仿宋"/>
          <w:b w:val="0"/>
          <w:bCs/>
          <w:color w:val="000000"/>
          <w:sz w:val="32"/>
          <w:szCs w:val="32"/>
        </w:rPr>
      </w:pPr>
      <w:r>
        <w:rPr>
          <w:rStyle w:val="20"/>
          <w:rFonts w:hint="eastAsia" w:ascii="仿宋" w:hAnsi="仿宋" w:eastAsia="仿宋"/>
          <w:bCs/>
          <w:color w:val="000000"/>
          <w:sz w:val="32"/>
          <w:szCs w:val="32"/>
        </w:rPr>
        <w:t>1</w:t>
      </w:r>
      <w:r>
        <w:rPr>
          <w:rStyle w:val="20"/>
          <w:rFonts w:ascii="仿宋" w:hAnsi="仿宋" w:eastAsia="仿宋"/>
          <w:bCs/>
          <w:color w:val="000000"/>
          <w:sz w:val="32"/>
          <w:szCs w:val="32"/>
        </w:rPr>
        <w:t>.</w:t>
      </w:r>
      <w:r>
        <w:rPr>
          <w:rStyle w:val="20"/>
          <w:rFonts w:hint="eastAsia" w:ascii="仿宋" w:hAnsi="仿宋" w:eastAsia="仿宋"/>
          <w:bCs/>
          <w:color w:val="000000"/>
          <w:sz w:val="32"/>
          <w:szCs w:val="32"/>
        </w:rPr>
        <w:t>教育20502支出决算数为</w:t>
      </w:r>
      <w:r>
        <w:rPr>
          <w:rFonts w:hint="eastAsia" w:ascii="仿宋" w:hAnsi="仿宋" w:eastAsia="仿宋"/>
          <w:color w:val="000000"/>
          <w:sz w:val="32"/>
          <w:szCs w:val="32"/>
          <w:lang w:val="en-US" w:eastAsia="zh-CN"/>
        </w:rPr>
        <w:t>1627.38</w:t>
      </w:r>
      <w:r>
        <w:rPr>
          <w:rStyle w:val="20"/>
          <w:rFonts w:hint="eastAsia" w:ascii="仿宋" w:hAnsi="仿宋" w:eastAsia="仿宋"/>
          <w:bCs/>
          <w:color w:val="000000"/>
          <w:sz w:val="32"/>
          <w:szCs w:val="32"/>
        </w:rPr>
        <w:t>万元，其中：2050202</w:t>
      </w:r>
      <w:r>
        <w:rPr>
          <w:rStyle w:val="20"/>
          <w:rFonts w:ascii="仿宋" w:hAnsi="仿宋" w:eastAsia="仿宋"/>
          <w:bCs/>
          <w:color w:val="000000"/>
          <w:sz w:val="32"/>
          <w:szCs w:val="32"/>
        </w:rPr>
        <w:t>:</w:t>
      </w:r>
      <w:r>
        <w:rPr>
          <w:rStyle w:val="20"/>
          <w:rFonts w:ascii="仿宋" w:hAnsi="仿宋" w:eastAsia="仿宋"/>
          <w:b w:val="0"/>
          <w:bCs/>
          <w:color w:val="000000"/>
          <w:sz w:val="32"/>
          <w:szCs w:val="32"/>
        </w:rPr>
        <w:t xml:space="preserve"> </w:t>
      </w:r>
      <w:r>
        <w:rPr>
          <w:rStyle w:val="20"/>
          <w:rFonts w:hint="eastAsia" w:ascii="仿宋" w:hAnsi="仿宋" w:eastAsia="仿宋"/>
          <w:b w:val="0"/>
          <w:bCs/>
          <w:color w:val="000000"/>
          <w:sz w:val="32"/>
          <w:szCs w:val="32"/>
        </w:rPr>
        <w:t>支出决算为</w:t>
      </w:r>
      <w:r>
        <w:rPr>
          <w:rStyle w:val="20"/>
          <w:rFonts w:hint="eastAsia" w:ascii="仿宋" w:hAnsi="仿宋" w:eastAsia="仿宋"/>
          <w:b w:val="0"/>
          <w:bCs/>
          <w:color w:val="000000"/>
          <w:sz w:val="32"/>
          <w:szCs w:val="32"/>
          <w:lang w:val="en-US" w:eastAsia="zh-CN"/>
        </w:rPr>
        <w:t>1546.63</w:t>
      </w:r>
      <w:r>
        <w:rPr>
          <w:rStyle w:val="20"/>
          <w:rFonts w:hint="eastAsia" w:ascii="仿宋" w:hAnsi="仿宋" w:eastAsia="仿宋"/>
          <w:b w:val="0"/>
          <w:bCs/>
          <w:color w:val="000000"/>
          <w:sz w:val="32"/>
          <w:szCs w:val="32"/>
        </w:rPr>
        <w:t>万元，完成预算100</w:t>
      </w:r>
      <w:r>
        <w:rPr>
          <w:rStyle w:val="20"/>
          <w:rFonts w:ascii="仿宋" w:hAnsi="仿宋" w:eastAsia="仿宋"/>
          <w:b w:val="0"/>
          <w:bCs/>
          <w:color w:val="000000"/>
          <w:sz w:val="32"/>
          <w:szCs w:val="32"/>
        </w:rPr>
        <w:t>%</w:t>
      </w:r>
      <w:r>
        <w:rPr>
          <w:rStyle w:val="20"/>
          <w:rFonts w:hint="eastAsia" w:ascii="仿宋" w:hAnsi="仿宋" w:eastAsia="仿宋"/>
          <w:b w:val="0"/>
          <w:bCs/>
          <w:color w:val="000000"/>
          <w:sz w:val="32"/>
          <w:szCs w:val="32"/>
        </w:rPr>
        <w:t>；2050299：支出决算数为</w:t>
      </w:r>
      <w:r>
        <w:rPr>
          <w:rStyle w:val="20"/>
          <w:rFonts w:hint="eastAsia" w:ascii="仿宋" w:hAnsi="仿宋" w:eastAsia="仿宋"/>
          <w:b w:val="0"/>
          <w:bCs/>
          <w:color w:val="000000"/>
          <w:sz w:val="32"/>
          <w:szCs w:val="32"/>
          <w:lang w:val="en-US" w:eastAsia="zh-CN"/>
        </w:rPr>
        <w:t>78.79</w:t>
      </w:r>
      <w:r>
        <w:rPr>
          <w:rStyle w:val="20"/>
          <w:rFonts w:hint="eastAsia" w:ascii="仿宋" w:hAnsi="仿宋" w:eastAsia="仿宋"/>
          <w:b w:val="0"/>
          <w:bCs/>
          <w:color w:val="000000"/>
          <w:sz w:val="32"/>
          <w:szCs w:val="32"/>
        </w:rPr>
        <w:t>万元，完成预算100%。决算数与预算数持平。</w:t>
      </w:r>
    </w:p>
    <w:p w14:paraId="2C3295FA">
      <w:pPr>
        <w:spacing w:line="600" w:lineRule="exact"/>
        <w:ind w:firstLine="643" w:firstLineChars="200"/>
        <w:rPr>
          <w:rFonts w:ascii="仿宋" w:hAnsi="仿宋" w:eastAsia="仿宋"/>
          <w:b/>
          <w:color w:val="000000"/>
          <w:sz w:val="32"/>
          <w:szCs w:val="32"/>
        </w:rPr>
      </w:pPr>
      <w:r>
        <w:rPr>
          <w:rStyle w:val="20"/>
          <w:rFonts w:hint="eastAsia" w:ascii="仿宋" w:hAnsi="仿宋" w:eastAsia="仿宋"/>
          <w:bCs/>
          <w:color w:val="000000"/>
          <w:sz w:val="32"/>
          <w:szCs w:val="32"/>
        </w:rPr>
        <w:t>2.社会保障和就业208</w:t>
      </w:r>
      <w:r>
        <w:rPr>
          <w:rStyle w:val="20"/>
          <w:rFonts w:ascii="仿宋" w:hAnsi="仿宋" w:eastAsia="仿宋"/>
          <w:b w:val="0"/>
          <w:bCs/>
          <w:color w:val="000000"/>
          <w:sz w:val="32"/>
          <w:szCs w:val="32"/>
        </w:rPr>
        <w:t xml:space="preserve"> </w:t>
      </w:r>
      <w:r>
        <w:rPr>
          <w:rStyle w:val="20"/>
          <w:rFonts w:hint="eastAsia" w:ascii="仿宋" w:hAnsi="仿宋" w:eastAsia="仿宋"/>
          <w:b w:val="0"/>
          <w:bCs/>
          <w:color w:val="000000"/>
          <w:sz w:val="32"/>
          <w:szCs w:val="32"/>
        </w:rPr>
        <w:t>支出决算数为</w:t>
      </w:r>
      <w:r>
        <w:rPr>
          <w:rStyle w:val="20"/>
          <w:rFonts w:hint="eastAsia" w:ascii="仿宋" w:hAnsi="仿宋" w:eastAsia="仿宋"/>
          <w:b w:val="0"/>
          <w:bCs/>
          <w:color w:val="000000"/>
          <w:sz w:val="32"/>
          <w:szCs w:val="32"/>
          <w:lang w:val="en-US" w:eastAsia="zh-CN"/>
        </w:rPr>
        <w:t>254.45</w:t>
      </w:r>
      <w:r>
        <w:rPr>
          <w:rStyle w:val="20"/>
          <w:rFonts w:hint="eastAsia" w:ascii="仿宋" w:hAnsi="仿宋" w:eastAsia="仿宋"/>
          <w:b w:val="0"/>
          <w:bCs/>
          <w:color w:val="000000"/>
          <w:sz w:val="32"/>
          <w:szCs w:val="32"/>
        </w:rPr>
        <w:t>万元，完成预算100</w:t>
      </w:r>
      <w:r>
        <w:rPr>
          <w:rStyle w:val="20"/>
          <w:rFonts w:ascii="仿宋" w:hAnsi="仿宋" w:eastAsia="仿宋"/>
          <w:b w:val="0"/>
          <w:bCs/>
          <w:color w:val="000000"/>
          <w:sz w:val="32"/>
          <w:szCs w:val="32"/>
        </w:rPr>
        <w:t>%</w:t>
      </w:r>
      <w:r>
        <w:rPr>
          <w:rStyle w:val="20"/>
          <w:rFonts w:hint="eastAsia" w:ascii="仿宋" w:hAnsi="仿宋" w:eastAsia="仿宋"/>
          <w:b w:val="0"/>
          <w:bCs/>
          <w:color w:val="000000"/>
          <w:sz w:val="32"/>
          <w:szCs w:val="32"/>
        </w:rPr>
        <w:t>。其中2080505决算数为</w:t>
      </w:r>
      <w:r>
        <w:rPr>
          <w:rStyle w:val="20"/>
          <w:rFonts w:hint="eastAsia" w:ascii="仿宋" w:hAnsi="仿宋" w:eastAsia="仿宋"/>
          <w:b w:val="0"/>
          <w:bCs/>
          <w:color w:val="000000"/>
          <w:sz w:val="32"/>
          <w:szCs w:val="32"/>
          <w:lang w:val="en-US" w:eastAsia="zh-CN"/>
        </w:rPr>
        <w:t>169.63</w:t>
      </w:r>
      <w:r>
        <w:rPr>
          <w:rStyle w:val="20"/>
          <w:rFonts w:hint="eastAsia" w:ascii="仿宋" w:hAnsi="仿宋" w:eastAsia="仿宋"/>
          <w:b w:val="0"/>
          <w:bCs/>
          <w:color w:val="000000"/>
          <w:sz w:val="32"/>
          <w:szCs w:val="32"/>
        </w:rPr>
        <w:t>万元，完成预算100%；2080506决算数为</w:t>
      </w:r>
      <w:r>
        <w:rPr>
          <w:rStyle w:val="20"/>
          <w:rFonts w:hint="eastAsia" w:ascii="仿宋" w:hAnsi="仿宋" w:eastAsia="仿宋"/>
          <w:b w:val="0"/>
          <w:bCs/>
          <w:color w:val="000000"/>
          <w:sz w:val="32"/>
          <w:szCs w:val="32"/>
          <w:lang w:val="en-US" w:eastAsia="zh-CN"/>
        </w:rPr>
        <w:t>84.81</w:t>
      </w:r>
      <w:r>
        <w:rPr>
          <w:rStyle w:val="20"/>
          <w:rFonts w:hint="eastAsia" w:ascii="仿宋" w:hAnsi="仿宋" w:eastAsia="仿宋"/>
          <w:b w:val="0"/>
          <w:bCs/>
          <w:color w:val="000000"/>
          <w:sz w:val="32"/>
          <w:szCs w:val="32"/>
        </w:rPr>
        <w:t>万元，完成预算100%。决算数与预算数持平。</w:t>
      </w:r>
    </w:p>
    <w:p w14:paraId="22551AC1">
      <w:pPr>
        <w:spacing w:line="600" w:lineRule="exact"/>
        <w:ind w:firstLine="643" w:firstLineChars="200"/>
        <w:rPr>
          <w:rFonts w:ascii="仿宋" w:hAnsi="仿宋" w:eastAsia="仿宋"/>
          <w:b/>
          <w:color w:val="000000"/>
          <w:sz w:val="32"/>
          <w:szCs w:val="32"/>
        </w:rPr>
      </w:pPr>
      <w:r>
        <w:rPr>
          <w:rStyle w:val="20"/>
          <w:rFonts w:hint="eastAsia" w:ascii="仿宋" w:hAnsi="仿宋" w:eastAsia="仿宋"/>
          <w:bCs/>
          <w:color w:val="000000"/>
          <w:sz w:val="32"/>
          <w:szCs w:val="32"/>
        </w:rPr>
        <w:t>3</w:t>
      </w:r>
      <w:r>
        <w:rPr>
          <w:rStyle w:val="20"/>
          <w:rFonts w:ascii="仿宋" w:hAnsi="仿宋" w:eastAsia="仿宋"/>
          <w:bCs/>
          <w:color w:val="000000"/>
          <w:sz w:val="32"/>
          <w:szCs w:val="32"/>
        </w:rPr>
        <w:t>.</w:t>
      </w:r>
      <w:r>
        <w:rPr>
          <w:rFonts w:hint="eastAsia" w:ascii="仿宋" w:hAnsi="仿宋" w:eastAsia="仿宋"/>
          <w:b/>
          <w:bCs/>
          <w:color w:val="000000"/>
          <w:sz w:val="32"/>
          <w:szCs w:val="32"/>
        </w:rPr>
        <w:t>卫生健康</w:t>
      </w:r>
      <w:r>
        <w:rPr>
          <w:rStyle w:val="20"/>
          <w:rFonts w:hint="eastAsia" w:ascii="仿宋" w:hAnsi="仿宋" w:eastAsia="仿宋"/>
          <w:bCs/>
          <w:color w:val="000000"/>
          <w:sz w:val="32"/>
          <w:szCs w:val="32"/>
        </w:rPr>
        <w:t>210</w:t>
      </w:r>
      <w:r>
        <w:rPr>
          <w:rStyle w:val="20"/>
          <w:rFonts w:hint="eastAsia" w:ascii="仿宋" w:hAnsi="仿宋" w:eastAsia="仿宋"/>
          <w:b w:val="0"/>
          <w:bCs/>
          <w:color w:val="000000"/>
          <w:sz w:val="32"/>
          <w:szCs w:val="32"/>
        </w:rPr>
        <w:t>支出决算为</w:t>
      </w:r>
      <w:r>
        <w:rPr>
          <w:rStyle w:val="20"/>
          <w:rFonts w:hint="eastAsia" w:ascii="仿宋" w:hAnsi="仿宋" w:eastAsia="仿宋"/>
          <w:b w:val="0"/>
          <w:bCs/>
          <w:color w:val="000000"/>
          <w:sz w:val="32"/>
          <w:szCs w:val="32"/>
          <w:lang w:val="en-US" w:eastAsia="zh-CN"/>
        </w:rPr>
        <w:t>103.18</w:t>
      </w:r>
      <w:r>
        <w:rPr>
          <w:rStyle w:val="20"/>
          <w:rFonts w:hint="eastAsia" w:ascii="仿宋" w:hAnsi="仿宋" w:eastAsia="仿宋"/>
          <w:b w:val="0"/>
          <w:bCs/>
          <w:color w:val="000000"/>
          <w:sz w:val="32"/>
          <w:szCs w:val="32"/>
        </w:rPr>
        <w:t>万元，其中2101102决算数为</w:t>
      </w:r>
      <w:r>
        <w:rPr>
          <w:rStyle w:val="20"/>
          <w:rFonts w:hint="eastAsia" w:ascii="仿宋" w:hAnsi="仿宋" w:eastAsia="仿宋"/>
          <w:b w:val="0"/>
          <w:bCs/>
          <w:color w:val="000000"/>
          <w:sz w:val="32"/>
          <w:szCs w:val="32"/>
          <w:lang w:val="en-US" w:eastAsia="zh-CN"/>
        </w:rPr>
        <w:t>80.29</w:t>
      </w:r>
      <w:r>
        <w:rPr>
          <w:rStyle w:val="20"/>
          <w:rFonts w:hint="eastAsia" w:ascii="仿宋" w:hAnsi="仿宋" w:eastAsia="仿宋"/>
          <w:b w:val="0"/>
          <w:bCs/>
          <w:color w:val="000000"/>
          <w:sz w:val="32"/>
          <w:szCs w:val="32"/>
        </w:rPr>
        <w:t>万元，完成预算100%；2101199决算数为</w:t>
      </w:r>
      <w:r>
        <w:rPr>
          <w:rStyle w:val="20"/>
          <w:rFonts w:hint="eastAsia" w:ascii="仿宋" w:hAnsi="仿宋" w:eastAsia="仿宋"/>
          <w:b w:val="0"/>
          <w:bCs/>
          <w:color w:val="000000"/>
          <w:sz w:val="32"/>
          <w:szCs w:val="32"/>
          <w:lang w:val="en-US" w:eastAsia="zh-CN"/>
        </w:rPr>
        <w:t>22.88</w:t>
      </w:r>
      <w:r>
        <w:rPr>
          <w:rStyle w:val="20"/>
          <w:rFonts w:hint="eastAsia" w:ascii="仿宋" w:hAnsi="仿宋" w:eastAsia="仿宋"/>
          <w:b w:val="0"/>
          <w:bCs/>
          <w:color w:val="000000"/>
          <w:sz w:val="32"/>
          <w:szCs w:val="32"/>
        </w:rPr>
        <w:t>万元，完成预算100%。决算数与预算数持平。</w:t>
      </w:r>
    </w:p>
    <w:p w14:paraId="0EE99E6F">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4.住房保障支出2210201住房公积金支出决算数为</w:t>
      </w:r>
      <w:r>
        <w:rPr>
          <w:rFonts w:hint="eastAsia" w:ascii="仿宋" w:hAnsi="仿宋" w:eastAsia="仿宋"/>
          <w:color w:val="000000"/>
          <w:sz w:val="32"/>
          <w:szCs w:val="32"/>
          <w:lang w:val="en-US" w:eastAsia="zh-CN"/>
        </w:rPr>
        <w:t>136.45</w:t>
      </w:r>
      <w:r>
        <w:rPr>
          <w:rFonts w:hint="eastAsia" w:ascii="仿宋" w:hAnsi="仿宋" w:eastAsia="仿宋"/>
          <w:color w:val="000000"/>
          <w:sz w:val="32"/>
          <w:szCs w:val="32"/>
        </w:rPr>
        <w:t>万元，完成预算100%。</w:t>
      </w:r>
    </w:p>
    <w:p w14:paraId="7B41080C">
      <w:pPr>
        <w:spacing w:line="600" w:lineRule="exact"/>
        <w:ind w:firstLine="645"/>
        <w:rPr>
          <w:rFonts w:ascii="仿宋" w:hAnsi="仿宋" w:eastAsia="仿宋"/>
          <w:color w:val="000000"/>
          <w:sz w:val="32"/>
          <w:szCs w:val="32"/>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年一般公共预算财政拨款支出</w:t>
      </w:r>
      <w:r>
        <w:rPr>
          <w:rFonts w:hint="eastAsia" w:ascii="仿宋" w:hAnsi="仿宋" w:eastAsia="仿宋"/>
          <w:color w:val="000000"/>
          <w:sz w:val="32"/>
          <w:szCs w:val="32"/>
          <w:lang w:val="en-US" w:eastAsia="zh-CN"/>
        </w:rPr>
        <w:t>2038.4</w:t>
      </w:r>
      <w:r>
        <w:rPr>
          <w:rFonts w:hint="eastAsia" w:ascii="仿宋" w:hAnsi="仿宋" w:eastAsia="仿宋"/>
          <w:color w:val="000000"/>
          <w:sz w:val="32"/>
          <w:szCs w:val="32"/>
        </w:rPr>
        <w:t>万元，其中：</w:t>
      </w:r>
    </w:p>
    <w:p w14:paraId="47868EA1">
      <w:pPr>
        <w:rPr>
          <w:rFonts w:ascii="仿宋" w:hAnsi="仿宋" w:eastAsia="仿宋"/>
          <w:color w:val="auto"/>
          <w:sz w:val="32"/>
          <w:szCs w:val="32"/>
        </w:rPr>
      </w:pPr>
      <w:r>
        <w:rPr>
          <w:rFonts w:hint="eastAsia" w:ascii="仿宋" w:hAnsi="仿宋" w:eastAsia="仿宋"/>
          <w:color w:val="000000"/>
          <w:sz w:val="32"/>
          <w:szCs w:val="32"/>
        </w:rPr>
        <w:t>工资福利支出</w:t>
      </w:r>
      <w:r>
        <w:rPr>
          <w:rFonts w:hint="eastAsia" w:ascii="仿宋" w:hAnsi="仿宋" w:eastAsia="仿宋"/>
          <w:color w:val="000000"/>
          <w:sz w:val="32"/>
          <w:szCs w:val="32"/>
          <w:lang w:val="en-US" w:eastAsia="zh-CN"/>
        </w:rPr>
        <w:t>1723.09</w:t>
      </w:r>
      <w:r>
        <w:rPr>
          <w:rFonts w:hint="eastAsia" w:ascii="仿宋" w:hAnsi="仿宋" w:eastAsia="仿宋"/>
          <w:color w:val="000000"/>
          <w:sz w:val="32"/>
          <w:szCs w:val="32"/>
        </w:rPr>
        <w:t>万元</w:t>
      </w:r>
      <w:r>
        <w:rPr>
          <w:rFonts w:hint="eastAsia" w:ascii="仿宋" w:hAnsi="仿宋" w:eastAsia="仿宋"/>
          <w:color w:val="auto"/>
          <w:sz w:val="32"/>
          <w:szCs w:val="32"/>
        </w:rPr>
        <w:t>，主要包括：基本工资</w:t>
      </w:r>
      <w:r>
        <w:rPr>
          <w:rFonts w:hint="eastAsia" w:ascii="仿宋" w:hAnsi="仿宋" w:eastAsia="仿宋"/>
          <w:color w:val="auto"/>
          <w:sz w:val="32"/>
          <w:szCs w:val="32"/>
          <w:lang w:val="en-US" w:eastAsia="zh-CN"/>
        </w:rPr>
        <w:t>381.79</w:t>
      </w:r>
      <w:r>
        <w:rPr>
          <w:rFonts w:hint="eastAsia" w:ascii="仿宋" w:hAnsi="仿宋" w:eastAsia="仿宋"/>
          <w:color w:val="auto"/>
          <w:sz w:val="32"/>
          <w:szCs w:val="32"/>
        </w:rPr>
        <w:t>万元、津贴补贴</w:t>
      </w:r>
      <w:r>
        <w:rPr>
          <w:rFonts w:hint="eastAsia" w:ascii="仿宋" w:hAnsi="仿宋" w:eastAsia="仿宋"/>
          <w:color w:val="auto"/>
          <w:sz w:val="32"/>
          <w:szCs w:val="32"/>
          <w:lang w:val="en-US" w:eastAsia="zh-CN"/>
        </w:rPr>
        <w:t>267.69</w:t>
      </w:r>
      <w:r>
        <w:rPr>
          <w:rFonts w:hint="eastAsia" w:ascii="仿宋" w:hAnsi="仿宋" w:eastAsia="仿宋"/>
          <w:color w:val="auto"/>
          <w:sz w:val="32"/>
          <w:szCs w:val="32"/>
        </w:rPr>
        <w:t>万元、绩效工资</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万元、机关事业单位基本养老保险缴费</w:t>
      </w:r>
      <w:r>
        <w:rPr>
          <w:rFonts w:hint="eastAsia" w:ascii="仿宋" w:hAnsi="仿宋" w:eastAsia="仿宋"/>
          <w:color w:val="auto"/>
          <w:sz w:val="32"/>
          <w:szCs w:val="32"/>
          <w:lang w:val="en-US" w:eastAsia="zh-CN"/>
        </w:rPr>
        <w:t>169.63</w:t>
      </w:r>
      <w:r>
        <w:rPr>
          <w:rFonts w:hint="eastAsia" w:ascii="仿宋" w:hAnsi="仿宋" w:eastAsia="仿宋"/>
          <w:color w:val="auto"/>
          <w:sz w:val="32"/>
          <w:szCs w:val="32"/>
        </w:rPr>
        <w:t>万元、职业年金缴费</w:t>
      </w:r>
      <w:r>
        <w:rPr>
          <w:rFonts w:hint="eastAsia" w:ascii="仿宋" w:hAnsi="仿宋" w:eastAsia="仿宋"/>
          <w:color w:val="auto"/>
          <w:sz w:val="32"/>
          <w:szCs w:val="32"/>
          <w:lang w:val="en-US" w:eastAsia="zh-CN"/>
        </w:rPr>
        <w:t>84.81</w:t>
      </w:r>
      <w:r>
        <w:rPr>
          <w:rFonts w:hint="eastAsia" w:ascii="仿宋" w:hAnsi="仿宋" w:eastAsia="仿宋"/>
          <w:color w:val="auto"/>
          <w:sz w:val="32"/>
          <w:szCs w:val="32"/>
        </w:rPr>
        <w:t>万元、其他社会保障缴费</w:t>
      </w:r>
      <w:r>
        <w:rPr>
          <w:rFonts w:hint="eastAsia" w:ascii="仿宋" w:hAnsi="仿宋" w:eastAsia="仿宋"/>
          <w:color w:val="auto"/>
          <w:sz w:val="32"/>
          <w:szCs w:val="32"/>
          <w:lang w:val="en-US" w:eastAsia="zh-CN"/>
        </w:rPr>
        <w:t>8.17</w:t>
      </w:r>
      <w:r>
        <w:rPr>
          <w:rFonts w:hint="eastAsia" w:ascii="仿宋" w:hAnsi="仿宋" w:eastAsia="仿宋"/>
          <w:color w:val="auto"/>
          <w:sz w:val="32"/>
          <w:szCs w:val="32"/>
        </w:rPr>
        <w:t>万元、职工基本医疗保险费</w:t>
      </w:r>
      <w:r>
        <w:rPr>
          <w:rFonts w:hint="eastAsia" w:ascii="仿宋" w:hAnsi="仿宋" w:eastAsia="仿宋"/>
          <w:color w:val="auto"/>
          <w:sz w:val="32"/>
          <w:szCs w:val="32"/>
          <w:lang w:val="en-US" w:eastAsia="zh-CN"/>
        </w:rPr>
        <w:t>80.29</w:t>
      </w:r>
      <w:r>
        <w:rPr>
          <w:rFonts w:hint="eastAsia" w:ascii="仿宋" w:hAnsi="仿宋" w:eastAsia="仿宋"/>
          <w:color w:val="auto"/>
          <w:sz w:val="32"/>
          <w:szCs w:val="32"/>
        </w:rPr>
        <w:t>万元、医疗费</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万元、公务员医疗补助费</w:t>
      </w:r>
      <w:r>
        <w:rPr>
          <w:rFonts w:hint="eastAsia" w:ascii="仿宋" w:hAnsi="仿宋" w:eastAsia="仿宋"/>
          <w:color w:val="auto"/>
          <w:sz w:val="32"/>
          <w:szCs w:val="32"/>
          <w:lang w:val="en-US" w:eastAsia="zh-CN"/>
        </w:rPr>
        <w:t>22.88</w:t>
      </w:r>
      <w:r>
        <w:rPr>
          <w:rFonts w:hint="eastAsia" w:ascii="仿宋" w:hAnsi="仿宋" w:eastAsia="仿宋"/>
          <w:color w:val="auto"/>
          <w:sz w:val="32"/>
          <w:szCs w:val="32"/>
        </w:rPr>
        <w:t>万元、奖金</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万元；住房公积金</w:t>
      </w:r>
      <w:r>
        <w:rPr>
          <w:rFonts w:hint="eastAsia" w:ascii="仿宋" w:hAnsi="仿宋" w:eastAsia="仿宋"/>
          <w:color w:val="auto"/>
          <w:sz w:val="32"/>
          <w:szCs w:val="32"/>
          <w:lang w:val="en-US" w:eastAsia="zh-CN"/>
        </w:rPr>
        <w:t>136.45</w:t>
      </w:r>
      <w:r>
        <w:rPr>
          <w:rFonts w:hint="eastAsia" w:ascii="仿宋" w:hAnsi="仿宋" w:eastAsia="仿宋"/>
          <w:color w:val="auto"/>
          <w:sz w:val="32"/>
          <w:szCs w:val="32"/>
        </w:rPr>
        <w:t>万元。；</w:t>
      </w:r>
    </w:p>
    <w:p w14:paraId="2C72D732">
      <w:pPr>
        <w:ind w:firstLine="645"/>
        <w:rPr>
          <w:rFonts w:ascii="仿宋" w:hAnsi="仿宋" w:eastAsia="仿宋"/>
          <w:color w:val="auto"/>
          <w:sz w:val="32"/>
          <w:szCs w:val="32"/>
        </w:rPr>
      </w:pPr>
      <w:r>
        <w:rPr>
          <w:rFonts w:hint="eastAsia" w:ascii="仿宋" w:hAnsi="仿宋" w:eastAsia="仿宋"/>
          <w:color w:val="auto"/>
          <w:sz w:val="32"/>
          <w:szCs w:val="32"/>
        </w:rPr>
        <w:t>商品和服务支出</w:t>
      </w:r>
      <w:r>
        <w:rPr>
          <w:rFonts w:hint="eastAsia" w:ascii="仿宋" w:hAnsi="仿宋" w:eastAsia="仿宋"/>
          <w:color w:val="auto"/>
          <w:sz w:val="32"/>
          <w:szCs w:val="32"/>
          <w:lang w:val="en-US" w:eastAsia="zh-CN"/>
        </w:rPr>
        <w:t>196.41</w:t>
      </w:r>
      <w:r>
        <w:rPr>
          <w:rFonts w:hint="eastAsia" w:ascii="仿宋" w:hAnsi="仿宋" w:eastAsia="仿宋"/>
          <w:color w:val="auto"/>
          <w:sz w:val="32"/>
          <w:szCs w:val="32"/>
        </w:rPr>
        <w:t>万元，主要包括：办公费</w:t>
      </w:r>
      <w:r>
        <w:rPr>
          <w:rFonts w:hint="eastAsia" w:ascii="仿宋" w:hAnsi="仿宋" w:eastAsia="仿宋"/>
          <w:color w:val="auto"/>
          <w:sz w:val="32"/>
          <w:szCs w:val="32"/>
          <w:lang w:val="en-US" w:eastAsia="zh-CN"/>
        </w:rPr>
        <w:t>35.06</w:t>
      </w:r>
      <w:r>
        <w:rPr>
          <w:rFonts w:hint="eastAsia" w:ascii="仿宋" w:hAnsi="仿宋" w:eastAsia="仿宋"/>
          <w:color w:val="auto"/>
          <w:sz w:val="32"/>
          <w:szCs w:val="32"/>
        </w:rPr>
        <w:t>万元、印刷费</w:t>
      </w:r>
      <w:r>
        <w:rPr>
          <w:rFonts w:hint="eastAsia" w:ascii="仿宋" w:hAnsi="仿宋" w:eastAsia="仿宋"/>
          <w:color w:val="auto"/>
          <w:sz w:val="32"/>
          <w:szCs w:val="32"/>
          <w:lang w:val="en-US" w:eastAsia="zh-CN"/>
        </w:rPr>
        <w:t>15.98</w:t>
      </w:r>
      <w:r>
        <w:rPr>
          <w:rFonts w:hint="eastAsia" w:ascii="仿宋" w:hAnsi="仿宋" w:eastAsia="仿宋"/>
          <w:color w:val="auto"/>
          <w:sz w:val="32"/>
          <w:szCs w:val="32"/>
        </w:rPr>
        <w:t>万元；电费</w:t>
      </w:r>
      <w:r>
        <w:rPr>
          <w:rFonts w:hint="eastAsia" w:ascii="仿宋" w:hAnsi="仿宋" w:eastAsia="仿宋"/>
          <w:color w:val="auto"/>
          <w:sz w:val="32"/>
          <w:szCs w:val="32"/>
          <w:lang w:val="en-US" w:eastAsia="zh-CN"/>
        </w:rPr>
        <w:t>11.68</w:t>
      </w:r>
      <w:r>
        <w:rPr>
          <w:rFonts w:hint="eastAsia" w:ascii="仿宋" w:hAnsi="仿宋" w:eastAsia="仿宋"/>
          <w:color w:val="auto"/>
          <w:sz w:val="32"/>
          <w:szCs w:val="32"/>
        </w:rPr>
        <w:t>元；差旅费</w:t>
      </w:r>
      <w:r>
        <w:rPr>
          <w:rFonts w:hint="eastAsia" w:ascii="仿宋" w:hAnsi="仿宋" w:eastAsia="仿宋"/>
          <w:color w:val="auto"/>
          <w:sz w:val="32"/>
          <w:szCs w:val="32"/>
          <w:lang w:val="en-US" w:eastAsia="zh-CN"/>
        </w:rPr>
        <w:t>11.48</w:t>
      </w:r>
      <w:r>
        <w:rPr>
          <w:rFonts w:hint="eastAsia" w:ascii="仿宋" w:hAnsi="仿宋" w:eastAsia="仿宋"/>
          <w:color w:val="auto"/>
          <w:sz w:val="32"/>
          <w:szCs w:val="32"/>
        </w:rPr>
        <w:t>万元；维修（护）费</w:t>
      </w:r>
      <w:r>
        <w:rPr>
          <w:rFonts w:hint="eastAsia" w:ascii="仿宋" w:hAnsi="仿宋" w:eastAsia="仿宋"/>
          <w:color w:val="auto"/>
          <w:sz w:val="32"/>
          <w:szCs w:val="32"/>
          <w:lang w:val="en-US" w:eastAsia="zh-CN"/>
        </w:rPr>
        <w:t>45.01</w:t>
      </w:r>
      <w:r>
        <w:rPr>
          <w:rFonts w:hint="eastAsia" w:ascii="仿宋" w:hAnsi="仿宋" w:eastAsia="仿宋"/>
          <w:color w:val="auto"/>
          <w:sz w:val="32"/>
          <w:szCs w:val="32"/>
        </w:rPr>
        <w:t>万元。培训费</w:t>
      </w:r>
      <w:r>
        <w:rPr>
          <w:rFonts w:hint="eastAsia" w:ascii="仿宋" w:hAnsi="仿宋" w:eastAsia="仿宋"/>
          <w:color w:val="auto"/>
          <w:sz w:val="32"/>
          <w:szCs w:val="32"/>
          <w:lang w:val="en-US" w:eastAsia="zh-CN"/>
        </w:rPr>
        <w:t>1.01</w:t>
      </w:r>
      <w:r>
        <w:rPr>
          <w:rFonts w:hint="eastAsia" w:ascii="仿宋" w:hAnsi="仿宋" w:eastAsia="仿宋"/>
          <w:color w:val="auto"/>
          <w:sz w:val="32"/>
          <w:szCs w:val="32"/>
        </w:rPr>
        <w:t>万元；对个人和家庭的补助支出</w:t>
      </w:r>
      <w:r>
        <w:rPr>
          <w:rFonts w:hint="eastAsia" w:ascii="仿宋" w:hAnsi="仿宋" w:eastAsia="仿宋"/>
          <w:color w:val="auto"/>
          <w:sz w:val="32"/>
          <w:szCs w:val="32"/>
          <w:lang w:val="en-US" w:eastAsia="zh-CN"/>
        </w:rPr>
        <w:t>174.83</w:t>
      </w:r>
      <w:r>
        <w:rPr>
          <w:rFonts w:hint="eastAsia" w:ascii="仿宋" w:hAnsi="仿宋" w:eastAsia="仿宋"/>
          <w:color w:val="auto"/>
          <w:sz w:val="32"/>
          <w:szCs w:val="32"/>
        </w:rPr>
        <w:t>万元；主要包括生活补助</w:t>
      </w:r>
      <w:r>
        <w:rPr>
          <w:rFonts w:hint="eastAsia" w:ascii="仿宋" w:hAnsi="仿宋" w:eastAsia="仿宋"/>
          <w:color w:val="auto"/>
          <w:sz w:val="32"/>
          <w:szCs w:val="32"/>
          <w:lang w:val="en-US" w:eastAsia="zh-CN"/>
        </w:rPr>
        <w:t>167.4</w:t>
      </w:r>
      <w:r>
        <w:rPr>
          <w:rFonts w:hint="eastAsia" w:ascii="仿宋" w:hAnsi="仿宋" w:eastAsia="仿宋"/>
          <w:color w:val="auto"/>
          <w:sz w:val="32"/>
          <w:szCs w:val="32"/>
        </w:rPr>
        <w:t>万元、助学金</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万元、奖励金</w:t>
      </w:r>
      <w:r>
        <w:rPr>
          <w:rFonts w:hint="eastAsia" w:ascii="仿宋" w:hAnsi="仿宋" w:eastAsia="仿宋"/>
          <w:color w:val="auto"/>
          <w:sz w:val="32"/>
          <w:szCs w:val="32"/>
          <w:lang w:val="en-US" w:eastAsia="zh-CN"/>
        </w:rPr>
        <w:t>0.04</w:t>
      </w:r>
      <w:r>
        <w:rPr>
          <w:rFonts w:hint="eastAsia" w:ascii="仿宋" w:hAnsi="仿宋" w:eastAsia="仿宋"/>
          <w:color w:val="auto"/>
          <w:sz w:val="32"/>
          <w:szCs w:val="32"/>
        </w:rPr>
        <w:t>万元。</w:t>
      </w:r>
    </w:p>
    <w:p w14:paraId="7B5D846C">
      <w:pPr>
        <w:tabs>
          <w:tab w:val="right" w:pos="8306"/>
        </w:tabs>
        <w:spacing w:line="600" w:lineRule="exact"/>
        <w:ind w:firstLine="320" w:firstLineChars="100"/>
        <w:outlineLvl w:val="1"/>
        <w:rPr>
          <w:rStyle w:val="23"/>
        </w:rPr>
      </w:pPr>
      <w:bookmarkStart w:id="151" w:name="_Toc15377214"/>
      <w:bookmarkStart w:id="152" w:name="_Toc79163868"/>
      <w:bookmarkStart w:id="153" w:name="_Toc31285_WPSOffice_Level2"/>
      <w:bookmarkStart w:id="154" w:name="_Toc15396608"/>
      <w:bookmarkStart w:id="155" w:name="_Toc19215_WPSOffice_Level2"/>
      <w:bookmarkStart w:id="156" w:name="_Toc7916361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3"/>
          <w:rFonts w:hint="eastAsia" w:ascii="黑体" w:hAnsi="黑体" w:eastAsia="黑体"/>
          <w:b w:val="0"/>
        </w:rPr>
        <w:t>般公共预算财政拨款基本支出决算情况说明</w:t>
      </w:r>
      <w:bookmarkEnd w:id="151"/>
      <w:bookmarkEnd w:id="152"/>
      <w:bookmarkEnd w:id="153"/>
      <w:bookmarkEnd w:id="154"/>
      <w:bookmarkEnd w:id="155"/>
      <w:bookmarkEnd w:id="156"/>
      <w:r>
        <w:rPr>
          <w:rStyle w:val="23"/>
          <w:rFonts w:ascii="黑体" w:hAnsi="黑体" w:eastAsia="黑体"/>
          <w:b w:val="0"/>
        </w:rPr>
        <w:tab/>
      </w:r>
    </w:p>
    <w:p w14:paraId="28F506D3">
      <w:pPr>
        <w:spacing w:line="600" w:lineRule="exact"/>
        <w:ind w:firstLine="645"/>
        <w:rPr>
          <w:rFonts w:ascii="仿宋" w:hAnsi="仿宋" w:eastAsia="仿宋"/>
          <w:color w:val="auto"/>
          <w:sz w:val="32"/>
          <w:szCs w:val="32"/>
        </w:rPr>
      </w:pPr>
      <w:r>
        <w:rPr>
          <w:rFonts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年一般公共预算财政拨款基本支出</w:t>
      </w:r>
      <w:r>
        <w:rPr>
          <w:rFonts w:hint="eastAsia" w:ascii="仿宋" w:hAnsi="仿宋" w:eastAsia="仿宋"/>
          <w:color w:val="auto"/>
          <w:sz w:val="32"/>
          <w:szCs w:val="32"/>
          <w:lang w:val="en-US" w:eastAsia="zh-CN"/>
        </w:rPr>
        <w:t>2038.4</w:t>
      </w:r>
      <w:r>
        <w:rPr>
          <w:rFonts w:hint="eastAsia" w:ascii="仿宋" w:hAnsi="仿宋" w:eastAsia="仿宋"/>
          <w:color w:val="auto"/>
          <w:sz w:val="32"/>
          <w:szCs w:val="32"/>
        </w:rPr>
        <w:t>万元，其中包括：教育支出</w:t>
      </w:r>
      <w:r>
        <w:rPr>
          <w:rFonts w:hint="eastAsia" w:ascii="仿宋" w:hAnsi="仿宋" w:eastAsia="仿宋"/>
          <w:color w:val="auto"/>
          <w:sz w:val="32"/>
          <w:szCs w:val="32"/>
          <w:lang w:val="en-US" w:eastAsia="zh-CN"/>
        </w:rPr>
        <w:t>1627.38</w:t>
      </w:r>
      <w:r>
        <w:rPr>
          <w:rFonts w:hint="eastAsia" w:ascii="仿宋" w:hAnsi="仿宋" w:eastAsia="仿宋"/>
          <w:color w:val="auto"/>
          <w:sz w:val="32"/>
          <w:szCs w:val="32"/>
        </w:rPr>
        <w:t>万元；社会保障就业支出</w:t>
      </w:r>
      <w:r>
        <w:rPr>
          <w:rFonts w:hint="eastAsia" w:ascii="仿宋" w:hAnsi="仿宋" w:eastAsia="仿宋"/>
          <w:color w:val="auto"/>
          <w:sz w:val="32"/>
          <w:szCs w:val="32"/>
          <w:lang w:val="en-US" w:eastAsia="zh-CN"/>
        </w:rPr>
        <w:t>254.45</w:t>
      </w:r>
      <w:r>
        <w:rPr>
          <w:rFonts w:hint="eastAsia" w:ascii="仿宋" w:hAnsi="仿宋" w:eastAsia="仿宋"/>
          <w:color w:val="auto"/>
          <w:sz w:val="32"/>
          <w:szCs w:val="32"/>
        </w:rPr>
        <w:t>万元：其中包括机关事业单位基本养老保险缴费</w:t>
      </w:r>
      <w:r>
        <w:rPr>
          <w:rFonts w:hint="eastAsia" w:ascii="仿宋" w:hAnsi="仿宋" w:eastAsia="仿宋"/>
          <w:color w:val="auto"/>
          <w:sz w:val="32"/>
          <w:szCs w:val="32"/>
          <w:lang w:val="en-US" w:eastAsia="zh-CN"/>
        </w:rPr>
        <w:t>169.63</w:t>
      </w:r>
      <w:r>
        <w:rPr>
          <w:rFonts w:hint="eastAsia" w:ascii="仿宋" w:hAnsi="仿宋" w:eastAsia="仿宋"/>
          <w:color w:val="auto"/>
          <w:sz w:val="32"/>
          <w:szCs w:val="32"/>
        </w:rPr>
        <w:t>万元、职业年金缴费</w:t>
      </w:r>
      <w:r>
        <w:rPr>
          <w:rFonts w:hint="eastAsia" w:ascii="仿宋" w:hAnsi="仿宋" w:eastAsia="仿宋"/>
          <w:color w:val="auto"/>
          <w:sz w:val="32"/>
          <w:szCs w:val="32"/>
          <w:lang w:val="en-US" w:eastAsia="zh-CN"/>
        </w:rPr>
        <w:t>84.81</w:t>
      </w:r>
      <w:r>
        <w:rPr>
          <w:rFonts w:hint="eastAsia" w:ascii="仿宋" w:hAnsi="仿宋" w:eastAsia="仿宋"/>
          <w:color w:val="auto"/>
          <w:sz w:val="32"/>
          <w:szCs w:val="32"/>
        </w:rPr>
        <w:t>万元。卫生健康支出</w:t>
      </w:r>
      <w:r>
        <w:rPr>
          <w:rFonts w:hint="eastAsia" w:ascii="仿宋" w:hAnsi="仿宋" w:eastAsia="仿宋"/>
          <w:color w:val="auto"/>
          <w:sz w:val="32"/>
          <w:szCs w:val="32"/>
          <w:lang w:val="en-US" w:eastAsia="zh-CN"/>
        </w:rPr>
        <w:t>103.18</w:t>
      </w:r>
      <w:r>
        <w:rPr>
          <w:rFonts w:hint="eastAsia" w:ascii="仿宋" w:hAnsi="仿宋" w:eastAsia="仿宋"/>
          <w:color w:val="auto"/>
          <w:sz w:val="32"/>
          <w:szCs w:val="32"/>
        </w:rPr>
        <w:t>万元：其中包括事业单位医疗缴费</w:t>
      </w:r>
      <w:r>
        <w:rPr>
          <w:rFonts w:hint="eastAsia" w:ascii="仿宋" w:hAnsi="仿宋" w:eastAsia="仿宋"/>
          <w:color w:val="auto"/>
          <w:sz w:val="32"/>
          <w:szCs w:val="32"/>
          <w:lang w:val="en-US" w:eastAsia="zh-CN"/>
        </w:rPr>
        <w:t>80.29</w:t>
      </w:r>
      <w:r>
        <w:rPr>
          <w:rFonts w:hint="eastAsia" w:ascii="仿宋" w:hAnsi="仿宋" w:eastAsia="仿宋"/>
          <w:color w:val="auto"/>
          <w:sz w:val="32"/>
          <w:szCs w:val="32"/>
        </w:rPr>
        <w:t>万元、其他行政事业单位医疗支出</w:t>
      </w:r>
      <w:r>
        <w:rPr>
          <w:rFonts w:hint="eastAsia" w:ascii="仿宋" w:hAnsi="仿宋" w:eastAsia="仿宋"/>
          <w:color w:val="auto"/>
          <w:sz w:val="32"/>
          <w:szCs w:val="32"/>
          <w:lang w:val="en-US" w:eastAsia="zh-CN"/>
        </w:rPr>
        <w:t>22.88</w:t>
      </w:r>
      <w:r>
        <w:rPr>
          <w:rFonts w:hint="eastAsia" w:ascii="仿宋" w:hAnsi="仿宋" w:eastAsia="仿宋"/>
          <w:color w:val="auto"/>
          <w:sz w:val="32"/>
          <w:szCs w:val="32"/>
        </w:rPr>
        <w:t>万元。住房公积金支出</w:t>
      </w:r>
      <w:r>
        <w:rPr>
          <w:rFonts w:hint="eastAsia" w:ascii="仿宋" w:hAnsi="仿宋" w:eastAsia="仿宋"/>
          <w:color w:val="auto"/>
          <w:sz w:val="32"/>
          <w:szCs w:val="32"/>
          <w:lang w:val="en-US" w:eastAsia="zh-CN"/>
        </w:rPr>
        <w:t>136.45</w:t>
      </w:r>
      <w:r>
        <w:rPr>
          <w:rFonts w:hint="eastAsia" w:ascii="仿宋" w:hAnsi="仿宋" w:eastAsia="仿宋"/>
          <w:color w:val="auto"/>
          <w:sz w:val="32"/>
          <w:szCs w:val="32"/>
        </w:rPr>
        <w:t>万元。；</w:t>
      </w:r>
    </w:p>
    <w:p w14:paraId="5F874577">
      <w:pPr>
        <w:ind w:firstLine="645"/>
        <w:rPr>
          <w:rFonts w:ascii="仿宋" w:hAnsi="仿宋" w:eastAsia="仿宋"/>
          <w:color w:val="auto"/>
          <w:sz w:val="32"/>
          <w:szCs w:val="32"/>
        </w:rPr>
      </w:pPr>
      <w:r>
        <w:rPr>
          <w:rFonts w:hint="eastAsia" w:ascii="仿宋" w:hAnsi="仿宋" w:eastAsia="仿宋"/>
          <w:color w:val="auto"/>
          <w:sz w:val="32"/>
          <w:szCs w:val="32"/>
        </w:rPr>
        <w:t>商品和服务支出</w:t>
      </w:r>
      <w:r>
        <w:rPr>
          <w:rFonts w:hint="eastAsia" w:ascii="仿宋" w:hAnsi="仿宋" w:eastAsia="仿宋"/>
          <w:color w:val="auto"/>
          <w:sz w:val="32"/>
          <w:szCs w:val="32"/>
          <w:lang w:val="en-US" w:eastAsia="zh-CN"/>
        </w:rPr>
        <w:t>196.41</w:t>
      </w:r>
      <w:r>
        <w:rPr>
          <w:rFonts w:hint="eastAsia" w:ascii="仿宋" w:hAnsi="仿宋" w:eastAsia="仿宋"/>
          <w:color w:val="auto"/>
          <w:sz w:val="32"/>
          <w:szCs w:val="32"/>
        </w:rPr>
        <w:t>万元，主要包括：办公费</w:t>
      </w:r>
      <w:r>
        <w:rPr>
          <w:rFonts w:hint="eastAsia" w:ascii="仿宋" w:hAnsi="仿宋" w:eastAsia="仿宋"/>
          <w:color w:val="auto"/>
          <w:sz w:val="32"/>
          <w:szCs w:val="32"/>
          <w:lang w:val="en-US" w:eastAsia="zh-CN"/>
        </w:rPr>
        <w:t>35.06</w:t>
      </w:r>
      <w:r>
        <w:rPr>
          <w:rFonts w:hint="eastAsia" w:ascii="仿宋" w:hAnsi="仿宋" w:eastAsia="仿宋"/>
          <w:color w:val="auto"/>
          <w:sz w:val="32"/>
          <w:szCs w:val="32"/>
        </w:rPr>
        <w:t>万元、工会经费</w:t>
      </w:r>
      <w:r>
        <w:rPr>
          <w:rFonts w:hint="eastAsia" w:ascii="仿宋" w:hAnsi="仿宋" w:eastAsia="仿宋"/>
          <w:color w:val="auto"/>
          <w:sz w:val="32"/>
          <w:szCs w:val="32"/>
          <w:lang w:val="en-US" w:eastAsia="zh-CN"/>
        </w:rPr>
        <w:t>12.15</w:t>
      </w:r>
      <w:r>
        <w:rPr>
          <w:rFonts w:hint="eastAsia" w:ascii="仿宋" w:hAnsi="仿宋" w:eastAsia="仿宋"/>
          <w:color w:val="auto"/>
          <w:sz w:val="32"/>
          <w:szCs w:val="32"/>
        </w:rPr>
        <w:t>万元</w:t>
      </w:r>
      <w:r>
        <w:rPr>
          <w:rFonts w:hint="eastAsia" w:ascii="仿宋" w:hAnsi="仿宋" w:eastAsia="仿宋"/>
          <w:color w:val="auto"/>
          <w:sz w:val="32"/>
          <w:szCs w:val="32"/>
        </w:rPr>
        <w:t>；对个人和家庭的补助支出</w:t>
      </w:r>
      <w:r>
        <w:rPr>
          <w:rFonts w:hint="eastAsia" w:ascii="仿宋" w:hAnsi="仿宋" w:eastAsia="仿宋"/>
          <w:color w:val="auto"/>
          <w:sz w:val="32"/>
          <w:szCs w:val="32"/>
          <w:lang w:val="en-US" w:eastAsia="zh-CN"/>
        </w:rPr>
        <w:t>174.83</w:t>
      </w:r>
      <w:r>
        <w:rPr>
          <w:rFonts w:hint="eastAsia" w:ascii="仿宋" w:hAnsi="仿宋" w:eastAsia="仿宋"/>
          <w:color w:val="auto"/>
          <w:sz w:val="32"/>
          <w:szCs w:val="32"/>
        </w:rPr>
        <w:t>万元；主要包括生活补助</w:t>
      </w:r>
      <w:r>
        <w:rPr>
          <w:rFonts w:hint="eastAsia" w:ascii="仿宋" w:hAnsi="仿宋" w:eastAsia="仿宋"/>
          <w:color w:val="auto"/>
          <w:sz w:val="32"/>
          <w:szCs w:val="32"/>
          <w:lang w:val="en-US" w:eastAsia="zh-CN"/>
        </w:rPr>
        <w:t>167.4</w:t>
      </w:r>
      <w:r>
        <w:rPr>
          <w:rFonts w:hint="eastAsia" w:ascii="仿宋" w:hAnsi="仿宋" w:eastAsia="仿宋"/>
          <w:color w:val="auto"/>
          <w:sz w:val="32"/>
          <w:szCs w:val="32"/>
        </w:rPr>
        <w:t>万元、奖励金</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w:t>
      </w:r>
    </w:p>
    <w:p w14:paraId="0571BE51">
      <w:pPr>
        <w:spacing w:line="600" w:lineRule="exact"/>
        <w:ind w:firstLine="320" w:firstLineChars="100"/>
        <w:outlineLvl w:val="1"/>
        <w:rPr>
          <w:rStyle w:val="23"/>
          <w:rFonts w:ascii="黑体" w:hAnsi="黑体" w:eastAsia="黑体"/>
          <w:b w:val="0"/>
          <w:color w:val="auto"/>
        </w:rPr>
      </w:pPr>
      <w:bookmarkStart w:id="157" w:name="_Toc15377215"/>
      <w:bookmarkStart w:id="158" w:name="_Toc79163869"/>
      <w:bookmarkStart w:id="159" w:name="_Toc26771_WPSOffice_Level2"/>
      <w:bookmarkStart w:id="160" w:name="_Toc15396609"/>
      <w:bookmarkStart w:id="161" w:name="_Toc30807_WPSOffice_Level2"/>
      <w:bookmarkStart w:id="162" w:name="_Toc79163619"/>
      <w:r>
        <w:rPr>
          <w:rFonts w:hint="eastAsia" w:ascii="黑体" w:eastAsia="黑体"/>
          <w:color w:val="auto"/>
          <w:sz w:val="32"/>
          <w:szCs w:val="32"/>
        </w:rPr>
        <w:t>七、</w:t>
      </w:r>
      <w:r>
        <w:rPr>
          <w:rStyle w:val="23"/>
          <w:rFonts w:hint="eastAsia" w:ascii="黑体" w:hAnsi="黑体" w:eastAsia="黑体"/>
          <w:color w:val="auto"/>
        </w:rPr>
        <w:t>“</w:t>
      </w:r>
      <w:r>
        <w:rPr>
          <w:rStyle w:val="23"/>
          <w:rFonts w:hint="eastAsia" w:ascii="黑体" w:hAnsi="黑体" w:eastAsia="黑体"/>
          <w:b w:val="0"/>
          <w:color w:val="auto"/>
        </w:rPr>
        <w:t>三公”经费财政拨款支出决算情况说明</w:t>
      </w:r>
      <w:bookmarkEnd w:id="157"/>
      <w:bookmarkEnd w:id="158"/>
      <w:bookmarkEnd w:id="159"/>
      <w:bookmarkEnd w:id="160"/>
      <w:bookmarkEnd w:id="161"/>
      <w:bookmarkEnd w:id="162"/>
    </w:p>
    <w:p w14:paraId="4562D2E3">
      <w:pPr>
        <w:spacing w:line="600" w:lineRule="exact"/>
        <w:ind w:firstLine="640"/>
        <w:outlineLvl w:val="2"/>
        <w:rPr>
          <w:rFonts w:ascii="仿宋" w:hAnsi="仿宋" w:eastAsia="仿宋"/>
          <w:b/>
          <w:color w:val="auto"/>
          <w:sz w:val="32"/>
          <w:szCs w:val="32"/>
        </w:rPr>
      </w:pPr>
      <w:bookmarkStart w:id="163" w:name="_Toc8275_WPSOffice_Level3"/>
      <w:bookmarkStart w:id="164" w:name="_Toc15377216"/>
      <w:bookmarkStart w:id="165" w:name="_Toc79163620"/>
      <w:bookmarkStart w:id="166" w:name="_Toc79163870"/>
      <w:bookmarkStart w:id="167" w:name="_Toc7947_WPSOffice_Level3"/>
      <w:r>
        <w:rPr>
          <w:rFonts w:hint="eastAsia" w:ascii="仿宋" w:hAnsi="仿宋" w:eastAsia="仿宋"/>
          <w:b/>
          <w:color w:val="auto"/>
          <w:sz w:val="32"/>
          <w:szCs w:val="32"/>
        </w:rPr>
        <w:t>（一）“三公”经费财政拨款支出决算总体情况说明</w:t>
      </w:r>
      <w:bookmarkEnd w:id="163"/>
      <w:bookmarkEnd w:id="164"/>
      <w:bookmarkEnd w:id="165"/>
      <w:bookmarkEnd w:id="166"/>
      <w:bookmarkEnd w:id="167"/>
    </w:p>
    <w:p w14:paraId="68D6FD19">
      <w:pPr>
        <w:spacing w:line="600" w:lineRule="exact"/>
        <w:ind w:firstLine="640"/>
        <w:rPr>
          <w:rFonts w:ascii="仿宋" w:hAnsi="仿宋" w:eastAsia="仿宋"/>
          <w:color w:val="auto"/>
          <w:sz w:val="32"/>
          <w:szCs w:val="32"/>
        </w:rPr>
      </w:pPr>
      <w:r>
        <w:rPr>
          <w:rFonts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年“三公”经费财政拨款支出决算为0万元，完成预算0</w:t>
      </w:r>
      <w:r>
        <w:rPr>
          <w:rFonts w:ascii="仿宋" w:hAnsi="仿宋" w:eastAsia="仿宋"/>
          <w:color w:val="auto"/>
          <w:sz w:val="32"/>
          <w:szCs w:val="32"/>
        </w:rPr>
        <w:t>%</w:t>
      </w:r>
      <w:r>
        <w:rPr>
          <w:rFonts w:hint="eastAsia" w:ascii="仿宋" w:hAnsi="仿宋" w:eastAsia="仿宋"/>
          <w:color w:val="auto"/>
          <w:sz w:val="32"/>
          <w:szCs w:val="32"/>
        </w:rPr>
        <w:t>，预算数持平。</w:t>
      </w:r>
    </w:p>
    <w:p w14:paraId="30045374">
      <w:pPr>
        <w:spacing w:line="600" w:lineRule="exact"/>
        <w:ind w:firstLine="640"/>
        <w:outlineLvl w:val="2"/>
        <w:rPr>
          <w:rFonts w:ascii="仿宋" w:hAnsi="仿宋" w:eastAsia="仿宋"/>
          <w:b/>
          <w:color w:val="auto"/>
          <w:sz w:val="32"/>
          <w:szCs w:val="32"/>
        </w:rPr>
      </w:pPr>
      <w:bookmarkStart w:id="168" w:name="_Toc22035_WPSOffice_Level3"/>
      <w:bookmarkStart w:id="169" w:name="_Toc79163871"/>
      <w:bookmarkStart w:id="170" w:name="_Toc1150_WPSOffice_Level3"/>
      <w:bookmarkStart w:id="171" w:name="_Toc15377217"/>
      <w:bookmarkStart w:id="172" w:name="_Toc79163621"/>
      <w:r>
        <w:rPr>
          <w:rFonts w:hint="eastAsia" w:ascii="仿宋" w:hAnsi="仿宋" w:eastAsia="仿宋"/>
          <w:b/>
          <w:color w:val="auto"/>
          <w:sz w:val="32"/>
          <w:szCs w:val="32"/>
        </w:rPr>
        <w:t>（二）“三公”经费财政拨款支出决算具体情况说明</w:t>
      </w:r>
      <w:bookmarkEnd w:id="168"/>
      <w:bookmarkEnd w:id="169"/>
      <w:bookmarkEnd w:id="170"/>
      <w:bookmarkEnd w:id="171"/>
      <w:bookmarkEnd w:id="172"/>
    </w:p>
    <w:p w14:paraId="66BA0EC2">
      <w:pPr>
        <w:spacing w:line="600" w:lineRule="exact"/>
        <w:ind w:firstLine="640"/>
        <w:rPr>
          <w:rFonts w:ascii="仿宋" w:hAnsi="仿宋" w:eastAsia="仿宋"/>
          <w:color w:val="auto"/>
          <w:sz w:val="32"/>
          <w:szCs w:val="32"/>
        </w:rPr>
      </w:pPr>
      <w:r>
        <w:rPr>
          <w:rFonts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年“三公”经费财政拨款支出决算中，因公出国（境）费支出决算0万元，占0</w:t>
      </w:r>
      <w:r>
        <w:rPr>
          <w:rFonts w:ascii="仿宋" w:hAnsi="仿宋" w:eastAsia="仿宋"/>
          <w:color w:val="auto"/>
          <w:sz w:val="32"/>
          <w:szCs w:val="32"/>
        </w:rPr>
        <w:t>%</w:t>
      </w:r>
      <w:r>
        <w:rPr>
          <w:rFonts w:hint="eastAsia" w:ascii="仿宋" w:hAnsi="仿宋" w:eastAsia="仿宋"/>
          <w:color w:val="auto"/>
          <w:sz w:val="32"/>
          <w:szCs w:val="32"/>
        </w:rPr>
        <w:t>；公务用车购置及运行维护费支出决算0万元，占0</w:t>
      </w:r>
      <w:r>
        <w:rPr>
          <w:rFonts w:ascii="仿宋" w:hAnsi="仿宋" w:eastAsia="仿宋"/>
          <w:color w:val="auto"/>
          <w:sz w:val="32"/>
          <w:szCs w:val="32"/>
        </w:rPr>
        <w:t>%</w:t>
      </w:r>
      <w:r>
        <w:rPr>
          <w:rFonts w:hint="eastAsia" w:ascii="仿宋" w:hAnsi="仿宋" w:eastAsia="仿宋"/>
          <w:color w:val="auto"/>
          <w:sz w:val="32"/>
          <w:szCs w:val="32"/>
        </w:rPr>
        <w:t>；公务接待费支出决算0万元，占0</w:t>
      </w:r>
      <w:r>
        <w:rPr>
          <w:rFonts w:ascii="仿宋" w:hAnsi="仿宋" w:eastAsia="仿宋"/>
          <w:color w:val="auto"/>
          <w:sz w:val="32"/>
          <w:szCs w:val="32"/>
        </w:rPr>
        <w:t>%</w:t>
      </w:r>
      <w:r>
        <w:rPr>
          <w:rFonts w:hint="eastAsia" w:ascii="仿宋" w:hAnsi="仿宋" w:eastAsia="仿宋"/>
          <w:color w:val="auto"/>
          <w:sz w:val="32"/>
          <w:szCs w:val="32"/>
        </w:rPr>
        <w:t>。具体情况如下：</w:t>
      </w:r>
    </w:p>
    <w:p w14:paraId="596C9C89">
      <w:pPr>
        <w:spacing w:line="600" w:lineRule="exact"/>
        <w:ind w:firstLine="640"/>
        <w:rPr>
          <w:rFonts w:ascii="仿宋" w:hAnsi="仿宋" w:eastAsia="仿宋"/>
          <w:color w:val="auto"/>
          <w:sz w:val="32"/>
          <w:szCs w:val="32"/>
        </w:rPr>
      </w:pPr>
      <w:r>
        <w:rPr>
          <w:rFonts w:hint="eastAsia" w:ascii="仿宋" w:hAnsi="仿宋" w:eastAsia="仿宋"/>
          <w:color w:val="auto"/>
          <w:sz w:val="32"/>
          <w:szCs w:val="32"/>
        </w:rPr>
        <w:t>（图</w:t>
      </w:r>
      <w:r>
        <w:rPr>
          <w:rFonts w:ascii="仿宋" w:hAnsi="仿宋" w:eastAsia="仿宋"/>
          <w:color w:val="auto"/>
          <w:sz w:val="32"/>
          <w:szCs w:val="32"/>
        </w:rPr>
        <w:t>7</w:t>
      </w:r>
      <w:r>
        <w:rPr>
          <w:rFonts w:hint="eastAsia" w:ascii="仿宋" w:hAnsi="仿宋" w:eastAsia="仿宋"/>
          <w:color w:val="auto"/>
          <w:sz w:val="32"/>
          <w:szCs w:val="32"/>
        </w:rPr>
        <w:t>：“三公”经费财政拨款支出结构）（饼状图）</w:t>
      </w:r>
    </w:p>
    <w:p w14:paraId="1FA866A9">
      <w:pPr>
        <w:numPr>
          <w:ilvl w:val="0"/>
          <w:numId w:val="1"/>
        </w:numPr>
        <w:spacing w:line="600" w:lineRule="exact"/>
        <w:ind w:firstLine="640"/>
        <w:rPr>
          <w:rFonts w:hint="eastAsia" w:ascii="仿宋" w:hAnsi="仿宋" w:eastAsia="仿宋"/>
          <w:color w:val="auto"/>
          <w:sz w:val="32"/>
          <w:szCs w:val="32"/>
        </w:rPr>
      </w:pPr>
      <w:r>
        <w:rPr>
          <w:rFonts w:hint="eastAsia" w:ascii="仿宋_GB2312" w:eastAsia="仿宋_GB2312"/>
          <w:b/>
          <w:color w:val="auto"/>
          <w:sz w:val="32"/>
          <w:szCs w:val="32"/>
        </w:rPr>
        <w:t>因公出国（境）经费支出</w:t>
      </w:r>
      <w:r>
        <w:rPr>
          <w:rFonts w:hint="eastAsia" w:ascii="仿宋" w:hAnsi="仿宋" w:eastAsia="仿宋"/>
          <w:color w:val="auto"/>
          <w:sz w:val="32"/>
          <w:szCs w:val="32"/>
        </w:rPr>
        <w:t>0万元，完成预算0%。全年安排因公出国（境）团组0次，出国（境）0人。因公出国（境）支出决算数与上年持平。</w:t>
      </w:r>
    </w:p>
    <w:p w14:paraId="6EA6D78C">
      <w:pPr>
        <w:numPr>
          <w:ilvl w:val="0"/>
          <w:numId w:val="1"/>
        </w:numPr>
        <w:spacing w:line="600" w:lineRule="exact"/>
        <w:ind w:firstLine="640"/>
        <w:rPr>
          <w:rFonts w:ascii="仿宋_GB2312" w:eastAsia="仿宋_GB2312"/>
          <w:b/>
          <w:color w:val="000000"/>
          <w:sz w:val="32"/>
          <w:szCs w:val="32"/>
        </w:rPr>
      </w:pPr>
      <w:r>
        <w:rPr>
          <w:rFonts w:hint="eastAsia" w:ascii="仿宋_GB2312" w:eastAsia="仿宋_GB2312"/>
          <w:b/>
          <w:color w:val="000000"/>
          <w:sz w:val="32"/>
          <w:szCs w:val="32"/>
        </w:rPr>
        <w:t>公务用车购置及运行维护费支出</w:t>
      </w:r>
      <w:r>
        <w:rPr>
          <w:rFonts w:hint="eastAsia" w:ascii="仿宋" w:hAnsi="仿宋" w:eastAsia="仿宋"/>
          <w:color w:val="auto"/>
          <w:sz w:val="32"/>
          <w:szCs w:val="32"/>
        </w:rPr>
        <w:t>0万元,完成预算0%。公务用车购置及运行维护费支出决算数与上年持平。</w:t>
      </w:r>
    </w:p>
    <w:p w14:paraId="41B5B25C">
      <w:pPr>
        <w:spacing w:line="600" w:lineRule="exact"/>
        <w:ind w:firstLine="643" w:firstLineChars="200"/>
        <w:rPr>
          <w:rFonts w:hint="eastAsia" w:ascii="仿宋" w:hAnsi="仿宋" w:eastAsia="仿宋"/>
          <w:color w:val="auto"/>
          <w:sz w:val="32"/>
          <w:szCs w:val="32"/>
        </w:rPr>
      </w:pPr>
      <w:r>
        <w:rPr>
          <w:rFonts w:hint="eastAsia" w:ascii="仿宋_GB2312" w:eastAsia="仿宋_GB2312"/>
          <w:b/>
          <w:color w:val="000000"/>
          <w:sz w:val="32"/>
          <w:szCs w:val="32"/>
        </w:rPr>
        <w:t>公务用车购置支出</w:t>
      </w:r>
      <w:r>
        <w:rPr>
          <w:rFonts w:hint="eastAsia" w:ascii="仿宋" w:hAnsi="仿宋" w:eastAsia="仿宋"/>
          <w:color w:val="auto"/>
          <w:sz w:val="32"/>
          <w:szCs w:val="32"/>
        </w:rPr>
        <w:t>0万元。全年按规定更新购置公务用车0辆，其中：轿车0辆、金额0万元，越野车0辆、金额0万元，载客汽车0辆、金额0万元0。截至202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年12月底，单位共有公务用车0辆，其中：轿车0辆、越野车0辆、载客汽车0辆。</w:t>
      </w:r>
    </w:p>
    <w:p w14:paraId="5DB9869F">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 w:hAnsi="仿宋" w:eastAsia="仿宋"/>
          <w:color w:val="auto"/>
          <w:sz w:val="32"/>
          <w:szCs w:val="32"/>
        </w:rPr>
        <w:t>0万元</w:t>
      </w:r>
      <w:r>
        <w:rPr>
          <w:rFonts w:hint="eastAsia" w:ascii="仿宋_GB2312" w:eastAsia="仿宋_GB2312"/>
          <w:color w:val="000000"/>
          <w:sz w:val="32"/>
          <w:szCs w:val="32"/>
        </w:rPr>
        <w:t>。</w:t>
      </w:r>
    </w:p>
    <w:p w14:paraId="5A4FF89B">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 w:hAnsi="仿宋" w:eastAsia="仿宋"/>
          <w:color w:val="auto"/>
          <w:sz w:val="32"/>
          <w:szCs w:val="32"/>
        </w:rPr>
        <w:t>0万元。</w:t>
      </w:r>
    </w:p>
    <w:p w14:paraId="76FB4DFC">
      <w:pPr>
        <w:spacing w:line="600" w:lineRule="exact"/>
        <w:ind w:firstLine="640"/>
        <w:rPr>
          <w:rFonts w:ascii="仿宋_GB2312" w:eastAsia="仿宋_GB2312"/>
          <w:color w:val="000000"/>
          <w:sz w:val="32"/>
          <w:szCs w:val="32"/>
        </w:rPr>
      </w:pPr>
      <w:r>
        <w:rPr>
          <w:rFonts w:hint="eastAsia" w:ascii="仿宋" w:hAnsi="仿宋" w:eastAsia="仿宋"/>
          <w:b/>
          <w:color w:val="000000"/>
          <w:sz w:val="32"/>
          <w:szCs w:val="32"/>
        </w:rPr>
        <w:t>国内公务接待支出</w:t>
      </w:r>
      <w:r>
        <w:rPr>
          <w:rFonts w:hint="eastAsia" w:ascii="仿宋" w:hAnsi="仿宋" w:eastAsia="仿宋"/>
          <w:color w:val="000000"/>
          <w:sz w:val="32"/>
          <w:szCs w:val="32"/>
        </w:rPr>
        <w:t>0</w:t>
      </w:r>
      <w:r>
        <w:rPr>
          <w:rFonts w:hint="eastAsia" w:ascii="仿宋_GB2312" w:eastAsia="仿宋_GB2312"/>
          <w:color w:val="000000"/>
          <w:sz w:val="32"/>
          <w:szCs w:val="32"/>
        </w:rPr>
        <w:t>万元。</w:t>
      </w:r>
    </w:p>
    <w:p w14:paraId="1B2B3211">
      <w:pPr>
        <w:spacing w:line="600" w:lineRule="exact"/>
        <w:ind w:firstLine="640"/>
        <w:outlineLvl w:val="1"/>
        <w:rPr>
          <w:rFonts w:hint="eastAsia" w:ascii="仿宋" w:hAnsi="仿宋" w:eastAsia="仿宋"/>
          <w:color w:val="auto"/>
          <w:sz w:val="32"/>
          <w:szCs w:val="32"/>
        </w:rPr>
      </w:pPr>
      <w:r>
        <w:rPr>
          <w:rFonts w:hint="eastAsia" w:ascii="仿宋" w:hAnsi="仿宋" w:eastAsia="仿宋"/>
          <w:b/>
          <w:color w:val="000000"/>
          <w:sz w:val="32"/>
          <w:szCs w:val="32"/>
        </w:rPr>
        <w:t>外事接待支出</w:t>
      </w:r>
      <w:r>
        <w:rPr>
          <w:rFonts w:hint="eastAsia" w:ascii="仿宋" w:hAnsi="仿宋" w:eastAsia="仿宋"/>
          <w:color w:val="auto"/>
          <w:sz w:val="32"/>
          <w:szCs w:val="32"/>
        </w:rPr>
        <w:t>0万元，外事接待0批次，0人，共计支出0万元</w:t>
      </w:r>
      <w:bookmarkStart w:id="173" w:name="_Toc79163872"/>
      <w:bookmarkStart w:id="174" w:name="_Toc15396610"/>
      <w:bookmarkStart w:id="175" w:name="_Toc79163622"/>
      <w:bookmarkStart w:id="176" w:name="_Toc15377218"/>
      <w:r>
        <w:rPr>
          <w:rFonts w:hint="eastAsia" w:ascii="仿宋" w:hAnsi="仿宋" w:eastAsia="仿宋"/>
          <w:color w:val="auto"/>
          <w:sz w:val="32"/>
          <w:szCs w:val="32"/>
        </w:rPr>
        <w:t>。</w:t>
      </w:r>
    </w:p>
    <w:p w14:paraId="5A68040D">
      <w:pPr>
        <w:spacing w:line="600" w:lineRule="exact"/>
        <w:ind w:firstLine="640"/>
        <w:outlineLvl w:val="1"/>
        <w:rPr>
          <w:rStyle w:val="23"/>
          <w:rFonts w:ascii="黑体" w:hAnsi="黑体" w:eastAsia="黑体"/>
        </w:rPr>
      </w:pPr>
      <w:bookmarkStart w:id="177" w:name="_Toc31378_WPSOffice_Level2"/>
      <w:bookmarkStart w:id="178" w:name="_Toc20048_WPSOffice_Level2"/>
      <w:r>
        <w:rPr>
          <w:rFonts w:hint="eastAsia" w:ascii="黑体" w:eastAsia="黑体"/>
          <w:color w:val="000000"/>
          <w:sz w:val="32"/>
          <w:szCs w:val="32"/>
        </w:rPr>
        <w:t>八、</w:t>
      </w:r>
      <w:r>
        <w:rPr>
          <w:rStyle w:val="23"/>
          <w:rFonts w:hint="eastAsia" w:ascii="黑体" w:hAnsi="黑体" w:eastAsia="黑体"/>
          <w:b w:val="0"/>
        </w:rPr>
        <w:t>政府性基金预算支出决算情况说明</w:t>
      </w:r>
      <w:bookmarkEnd w:id="173"/>
      <w:bookmarkEnd w:id="174"/>
      <w:bookmarkEnd w:id="175"/>
      <w:bookmarkEnd w:id="176"/>
      <w:bookmarkEnd w:id="177"/>
      <w:bookmarkEnd w:id="178"/>
    </w:p>
    <w:p w14:paraId="1808CD94">
      <w:pPr>
        <w:spacing w:line="600" w:lineRule="exact"/>
        <w:ind w:firstLine="640"/>
        <w:outlineLvl w:val="1"/>
        <w:rPr>
          <w:rFonts w:hint="eastAsia" w:ascii="仿宋" w:hAnsi="仿宋" w:eastAsia="仿宋"/>
          <w:color w:val="auto"/>
          <w:sz w:val="32"/>
          <w:szCs w:val="32"/>
        </w:rPr>
      </w:pPr>
      <w:r>
        <w:rPr>
          <w:rFonts w:hint="eastAsia"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年政府性基金预算拨款支出0万元。</w:t>
      </w:r>
    </w:p>
    <w:p w14:paraId="15AF1676">
      <w:pPr>
        <w:spacing w:line="600" w:lineRule="exact"/>
        <w:ind w:firstLine="320" w:firstLineChars="100"/>
        <w:outlineLvl w:val="1"/>
        <w:rPr>
          <w:rStyle w:val="23"/>
          <w:rFonts w:ascii="黑体" w:hAnsi="黑体" w:eastAsia="黑体"/>
          <w:b w:val="0"/>
        </w:rPr>
      </w:pPr>
      <w:bookmarkStart w:id="179" w:name="_Toc79163873"/>
      <w:bookmarkStart w:id="180" w:name="_Toc15396611"/>
      <w:bookmarkStart w:id="181" w:name="_Toc20666_WPSOffice_Level2"/>
      <w:bookmarkStart w:id="182" w:name="_Toc15377219"/>
      <w:bookmarkStart w:id="183" w:name="_Toc9509_WPSOffice_Level2"/>
      <w:bookmarkStart w:id="184" w:name="_Toc79163623"/>
      <w:r>
        <w:rPr>
          <w:rStyle w:val="23"/>
          <w:rFonts w:hint="eastAsia" w:ascii="黑体" w:hAnsi="黑体" w:eastAsia="黑体"/>
          <w:b w:val="0"/>
        </w:rPr>
        <w:t>九、国有资本经营预算支出决算情况说明</w:t>
      </w:r>
      <w:bookmarkEnd w:id="179"/>
      <w:bookmarkEnd w:id="180"/>
      <w:bookmarkEnd w:id="181"/>
      <w:bookmarkEnd w:id="182"/>
      <w:bookmarkEnd w:id="183"/>
      <w:bookmarkEnd w:id="184"/>
    </w:p>
    <w:p w14:paraId="5BBE8464">
      <w:pPr>
        <w:spacing w:line="600" w:lineRule="exact"/>
        <w:ind w:firstLine="640"/>
        <w:outlineLvl w:val="1"/>
        <w:rPr>
          <w:rFonts w:hint="eastAsia" w:ascii="仿宋" w:hAnsi="仿宋" w:eastAsia="仿宋"/>
          <w:color w:val="auto"/>
          <w:sz w:val="32"/>
          <w:szCs w:val="32"/>
        </w:rPr>
      </w:pPr>
      <w:r>
        <w:rPr>
          <w:rFonts w:hint="eastAsia"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年国有资本经营预算拨款支出0万元。</w:t>
      </w:r>
    </w:p>
    <w:p w14:paraId="4309E3A4">
      <w:pPr>
        <w:spacing w:line="600" w:lineRule="exact"/>
        <w:ind w:firstLine="640" w:firstLineChars="200"/>
        <w:outlineLvl w:val="1"/>
        <w:rPr>
          <w:rStyle w:val="23"/>
          <w:rFonts w:ascii="黑体" w:hAnsi="黑体" w:eastAsia="黑体"/>
        </w:rPr>
      </w:pPr>
      <w:bookmarkStart w:id="185" w:name="_Toc25384_WPSOffice_Level2"/>
      <w:bookmarkStart w:id="186" w:name="_Toc15396612"/>
      <w:bookmarkStart w:id="187" w:name="_Toc79163874"/>
      <w:bookmarkStart w:id="188" w:name="_Toc79163624"/>
      <w:bookmarkStart w:id="189" w:name="_Toc15377221"/>
      <w:bookmarkStart w:id="190" w:name="_Toc7216_WPSOffice_Level2"/>
      <w:r>
        <w:rPr>
          <w:rFonts w:hint="eastAsia" w:ascii="黑体" w:hAnsi="黑体" w:eastAsia="黑体"/>
          <w:color w:val="000000"/>
          <w:sz w:val="32"/>
          <w:szCs w:val="32"/>
        </w:rPr>
        <w:t>十</w:t>
      </w:r>
      <w:r>
        <w:rPr>
          <w:rStyle w:val="23"/>
          <w:rFonts w:hint="eastAsia" w:ascii="黑体" w:hAnsi="黑体" w:eastAsia="黑体"/>
        </w:rPr>
        <w:t>、</w:t>
      </w:r>
      <w:r>
        <w:rPr>
          <w:rStyle w:val="23"/>
          <w:rFonts w:hint="eastAsia" w:ascii="黑体" w:hAnsi="黑体" w:eastAsia="黑体"/>
          <w:b w:val="0"/>
        </w:rPr>
        <w:t>其他重要事项的情况说明</w:t>
      </w:r>
      <w:bookmarkEnd w:id="185"/>
      <w:bookmarkEnd w:id="186"/>
      <w:bookmarkEnd w:id="187"/>
      <w:bookmarkEnd w:id="188"/>
      <w:bookmarkEnd w:id="189"/>
      <w:bookmarkEnd w:id="190"/>
    </w:p>
    <w:p w14:paraId="7CEE9D29">
      <w:pPr>
        <w:spacing w:line="600" w:lineRule="exact"/>
        <w:ind w:firstLine="643" w:firstLineChars="200"/>
        <w:outlineLvl w:val="2"/>
        <w:rPr>
          <w:rFonts w:ascii="仿宋" w:hAnsi="仿宋" w:eastAsia="仿宋"/>
          <w:color w:val="000000"/>
          <w:sz w:val="32"/>
          <w:szCs w:val="32"/>
        </w:rPr>
      </w:pPr>
      <w:bookmarkStart w:id="191" w:name="_Toc79163625"/>
      <w:bookmarkStart w:id="192" w:name="_Toc19215_WPSOffice_Level3"/>
      <w:bookmarkStart w:id="193" w:name="_Toc79163875"/>
      <w:bookmarkStart w:id="194" w:name="_Toc31285_WPSOffice_Level3"/>
      <w:bookmarkStart w:id="195" w:name="_Toc15377222"/>
      <w:r>
        <w:rPr>
          <w:rFonts w:hint="eastAsia" w:ascii="仿宋" w:hAnsi="仿宋" w:eastAsia="仿宋"/>
          <w:b/>
          <w:color w:val="000000"/>
          <w:sz w:val="32"/>
          <w:szCs w:val="32"/>
        </w:rPr>
        <w:t>（一）机关运行经费支出情况</w:t>
      </w:r>
      <w:bookmarkEnd w:id="191"/>
      <w:bookmarkEnd w:id="192"/>
      <w:bookmarkEnd w:id="193"/>
      <w:bookmarkEnd w:id="194"/>
      <w:bookmarkEnd w:id="195"/>
    </w:p>
    <w:p w14:paraId="33094B5E">
      <w:pPr>
        <w:spacing w:line="600" w:lineRule="exact"/>
        <w:ind w:firstLine="640"/>
        <w:outlineLvl w:val="1"/>
        <w:rPr>
          <w:rFonts w:hint="eastAsia" w:ascii="仿宋" w:hAnsi="仿宋" w:eastAsia="仿宋"/>
          <w:color w:val="auto"/>
          <w:sz w:val="32"/>
          <w:szCs w:val="32"/>
        </w:rPr>
      </w:pPr>
      <w:r>
        <w:rPr>
          <w:rFonts w:hint="eastAsia"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年，机关运行经费支出0万元。</w:t>
      </w:r>
    </w:p>
    <w:p w14:paraId="565138F1">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196" w:name="_Toc79163876"/>
      <w:bookmarkStart w:id="197" w:name="_Toc26771_WPSOffice_Level3"/>
      <w:bookmarkStart w:id="198" w:name="_Toc79163626"/>
      <w:bookmarkStart w:id="199" w:name="_Toc30807_WPSOffice_Level3"/>
      <w:bookmarkStart w:id="200" w:name="_Toc15377223"/>
      <w:r>
        <w:rPr>
          <w:rFonts w:hint="eastAsia" w:ascii="仿宋" w:hAnsi="仿宋" w:eastAsia="仿宋"/>
          <w:b/>
          <w:color w:val="000000"/>
          <w:sz w:val="32"/>
          <w:szCs w:val="32"/>
        </w:rPr>
        <w:t>（二）政府采购支出情况</w:t>
      </w:r>
      <w:bookmarkEnd w:id="196"/>
      <w:bookmarkEnd w:id="197"/>
      <w:bookmarkEnd w:id="198"/>
      <w:bookmarkEnd w:id="199"/>
      <w:bookmarkEnd w:id="200"/>
    </w:p>
    <w:p w14:paraId="05E93F5E">
      <w:pPr>
        <w:spacing w:line="600" w:lineRule="exact"/>
        <w:ind w:firstLine="640"/>
        <w:outlineLvl w:val="1"/>
        <w:rPr>
          <w:rFonts w:hint="eastAsia" w:ascii="仿宋" w:hAnsi="仿宋" w:eastAsia="仿宋"/>
          <w:color w:val="auto"/>
          <w:sz w:val="32"/>
          <w:szCs w:val="32"/>
        </w:rPr>
      </w:pPr>
      <w:r>
        <w:rPr>
          <w:rFonts w:hint="eastAsia"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年，政府采购支出总额0万元。</w:t>
      </w:r>
    </w:p>
    <w:p w14:paraId="63CEA1EF">
      <w:pPr>
        <w:autoSpaceDE w:val="0"/>
        <w:autoSpaceDN w:val="0"/>
        <w:adjustRightInd w:val="0"/>
        <w:spacing w:line="600" w:lineRule="exact"/>
        <w:ind w:firstLine="643" w:firstLineChars="200"/>
        <w:jc w:val="left"/>
        <w:outlineLvl w:val="2"/>
        <w:rPr>
          <w:rFonts w:hint="eastAsia" w:ascii="仿宋" w:hAnsi="仿宋" w:eastAsia="仿宋"/>
          <w:b/>
          <w:color w:val="000000"/>
          <w:sz w:val="32"/>
          <w:szCs w:val="32"/>
        </w:rPr>
      </w:pPr>
      <w:bookmarkStart w:id="201" w:name="_Toc15377224"/>
      <w:bookmarkStart w:id="202" w:name="_Toc79163877"/>
      <w:bookmarkStart w:id="203" w:name="_Toc20048_WPSOffice_Level3"/>
      <w:bookmarkStart w:id="204" w:name="_Toc79163627"/>
      <w:bookmarkStart w:id="205" w:name="_Toc31378_WPSOffice_Level3"/>
      <w:r>
        <w:rPr>
          <w:rFonts w:hint="eastAsia" w:ascii="仿宋" w:hAnsi="仿宋" w:eastAsia="仿宋"/>
          <w:b/>
          <w:color w:val="000000"/>
          <w:sz w:val="32"/>
          <w:szCs w:val="32"/>
        </w:rPr>
        <w:t>（</w:t>
      </w:r>
      <w:r>
        <w:rPr>
          <w:rFonts w:hint="eastAsia" w:ascii="仿宋" w:hAnsi="仿宋" w:eastAsia="仿宋"/>
          <w:b/>
          <w:color w:val="000000"/>
          <w:sz w:val="32"/>
          <w:szCs w:val="32"/>
        </w:rPr>
        <w:t>三）国有资产占有使用情况</w:t>
      </w:r>
      <w:bookmarkEnd w:id="201"/>
      <w:bookmarkEnd w:id="202"/>
      <w:bookmarkEnd w:id="203"/>
      <w:bookmarkEnd w:id="204"/>
      <w:bookmarkEnd w:id="205"/>
    </w:p>
    <w:p w14:paraId="76CE71E3">
      <w:pPr>
        <w:spacing w:line="600" w:lineRule="exact"/>
        <w:ind w:firstLine="640"/>
        <w:outlineLvl w:val="1"/>
        <w:rPr>
          <w:rFonts w:hint="eastAsia" w:ascii="仿宋" w:hAnsi="仿宋" w:eastAsia="仿宋"/>
          <w:color w:val="auto"/>
          <w:sz w:val="32"/>
          <w:szCs w:val="32"/>
        </w:rPr>
      </w:pPr>
      <w:r>
        <w:rPr>
          <w:rFonts w:hint="eastAsia" w:ascii="仿宋" w:hAnsi="仿宋" w:eastAsia="仿宋"/>
          <w:color w:val="auto"/>
          <w:sz w:val="32"/>
          <w:szCs w:val="32"/>
        </w:rPr>
        <w:t>截至 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 xml:space="preserve">年 12月31 日， 我单位自用固定资产 </w:t>
      </w:r>
      <w:r>
        <w:rPr>
          <w:rFonts w:hint="eastAsia" w:ascii="仿宋" w:hAnsi="仿宋" w:eastAsia="仿宋"/>
          <w:color w:val="auto"/>
          <w:sz w:val="32"/>
          <w:szCs w:val="32"/>
          <w:lang w:val="en-US" w:eastAsia="zh-CN"/>
        </w:rPr>
        <w:t>2610.81</w:t>
      </w:r>
      <w:r>
        <w:rPr>
          <w:rFonts w:hint="eastAsia" w:ascii="仿宋" w:hAnsi="仿宋" w:eastAsia="仿宋"/>
          <w:color w:val="auto"/>
          <w:sz w:val="32"/>
          <w:szCs w:val="32"/>
        </w:rPr>
        <w:t>万元，占账面固定资产</w:t>
      </w:r>
      <w:bookmarkStart w:id="327" w:name="_GoBack"/>
      <w:bookmarkEnd w:id="327"/>
      <w:r>
        <w:rPr>
          <w:rFonts w:hint="eastAsia" w:ascii="仿宋" w:hAnsi="仿宋" w:eastAsia="仿宋"/>
          <w:color w:val="auto"/>
          <w:sz w:val="32"/>
          <w:szCs w:val="32"/>
        </w:rPr>
        <w:t>总额的 100.00 %， 其中 : 在用</w:t>
      </w:r>
      <w:r>
        <w:rPr>
          <w:rFonts w:hint="eastAsia" w:ascii="仿宋" w:hAnsi="仿宋" w:eastAsia="仿宋"/>
          <w:color w:val="auto"/>
          <w:sz w:val="32"/>
          <w:szCs w:val="32"/>
          <w:lang w:val="en-US" w:eastAsia="zh-CN"/>
        </w:rPr>
        <w:t>2610.81</w:t>
      </w:r>
      <w:r>
        <w:rPr>
          <w:rFonts w:hint="eastAsia" w:ascii="仿宋" w:hAnsi="仿宋" w:eastAsia="仿宋"/>
          <w:color w:val="auto"/>
          <w:sz w:val="32"/>
          <w:szCs w:val="32"/>
        </w:rPr>
        <w:t>万元，占账面固定资产总额的 100.00 % ；闲置 0 万元，占账面固定资产总额的 0.00 % ； 待处置（待报废、毁损等） 0 万元，占账面固定资产总额的 0.00 % 。自用无形资产 0 万元 ，占账面无形资产总额的 % ；其中 在用 0 万元，占账面无形资产总额的 % ；闲置 0 万元，占账面无形资产总额的% ； 待处置（待报废、毁损等） 0 万元，占账面无形资产总额的% 。</w:t>
      </w:r>
    </w:p>
    <w:p w14:paraId="58DE4C78">
      <w:pPr>
        <w:spacing w:line="600" w:lineRule="exact"/>
        <w:ind w:firstLine="640"/>
        <w:outlineLvl w:val="1"/>
        <w:rPr>
          <w:rFonts w:hint="eastAsia" w:ascii="仿宋" w:hAnsi="仿宋" w:eastAsia="仿宋"/>
          <w:color w:val="auto"/>
          <w:sz w:val="32"/>
          <w:szCs w:val="32"/>
        </w:rPr>
      </w:pPr>
      <w:r>
        <w:rPr>
          <w:rFonts w:hint="eastAsia" w:ascii="仿宋" w:hAnsi="仿宋" w:eastAsia="仿宋"/>
          <w:color w:val="auto"/>
          <w:sz w:val="32"/>
          <w:szCs w:val="32"/>
        </w:rPr>
        <w:t>共有车辆0辆。其中：主要领导干部用车0辆、机要通信用车0辆、应急保障用车0辆、其他用车0辆，单价50万元以上通用设备0台（套），单价100万元以上专用设备0台（套）。</w:t>
      </w:r>
    </w:p>
    <w:p w14:paraId="03D6ECD6">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206" w:name="_Toc79163628"/>
      <w:bookmarkStart w:id="207" w:name="_Toc20666_WPSOffice_Level3"/>
      <w:bookmarkStart w:id="208" w:name="_Toc9509_WPSOffice_Level3"/>
      <w:bookmarkStart w:id="209" w:name="_Toc79163878"/>
      <w:r>
        <w:rPr>
          <w:rFonts w:hint="eastAsia" w:ascii="仿宋" w:hAnsi="仿宋" w:eastAsia="仿宋"/>
          <w:b/>
          <w:color w:val="000000"/>
          <w:sz w:val="32"/>
          <w:szCs w:val="32"/>
        </w:rPr>
        <w:t>（四）预算绩效管理情况。</w:t>
      </w:r>
      <w:bookmarkEnd w:id="206"/>
      <w:bookmarkEnd w:id="207"/>
      <w:bookmarkEnd w:id="208"/>
      <w:bookmarkEnd w:id="209"/>
    </w:p>
    <w:p w14:paraId="3B77D904">
      <w:pPr>
        <w:spacing w:line="600" w:lineRule="exact"/>
        <w:ind w:firstLine="640"/>
        <w:outlineLvl w:val="1"/>
        <w:rPr>
          <w:rFonts w:hint="eastAsia" w:ascii="仿宋" w:hAnsi="仿宋" w:eastAsia="仿宋"/>
          <w:color w:val="auto"/>
          <w:sz w:val="32"/>
          <w:szCs w:val="32"/>
        </w:rPr>
      </w:pPr>
      <w:r>
        <w:rPr>
          <w:rFonts w:hint="eastAsia" w:ascii="仿宋" w:hAnsi="仿宋" w:eastAsia="仿宋"/>
          <w:color w:val="auto"/>
          <w:sz w:val="32"/>
          <w:szCs w:val="32"/>
        </w:rPr>
        <w:t>根据预算绩效管理要求，我单位在年初进行了预算编制，单位进一步提高预算绩效管理认识，强化以“绩效为中心、对支出结果负责、对社会公众负责”的理念，在绩效目标编制方面，针对绩效目标设置指向不清、预算和目标匹配不足，数量目标和质量目标量化不细，效益目标编制不完整等方面加以了改善。加强相关专业技术人员的业务培训，进一步提高预算绩效评价质量。</w:t>
      </w:r>
    </w:p>
    <w:p w14:paraId="57627E72">
      <w:pPr>
        <w:spacing w:line="600" w:lineRule="exact"/>
        <w:ind w:firstLine="640"/>
        <w:outlineLvl w:val="1"/>
        <w:rPr>
          <w:rFonts w:hint="eastAsia" w:ascii="仿宋" w:hAnsi="仿宋" w:eastAsia="仿宋"/>
          <w:color w:val="auto"/>
          <w:sz w:val="32"/>
          <w:szCs w:val="32"/>
        </w:rPr>
      </w:pPr>
      <w:r>
        <w:rPr>
          <w:rFonts w:hint="eastAsia" w:ascii="仿宋" w:hAnsi="仿宋" w:eastAsia="仿宋"/>
          <w:color w:val="auto"/>
          <w:sz w:val="32"/>
          <w:szCs w:val="32"/>
        </w:rPr>
        <w:t>对202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整体支出开展绩效自评，从评价情况来看，各项工作按要求逐步完成，相关管理制度健全，预算执行及活动开展及时有效，但依然存在不少问题：查漏补缺，对需要改进的地方积极反思，创新工作方式方法，不断完善。</w:t>
      </w:r>
    </w:p>
    <w:p w14:paraId="79D8CF36">
      <w:pPr>
        <w:spacing w:line="600" w:lineRule="exact"/>
        <w:ind w:firstLine="640"/>
        <w:outlineLvl w:val="1"/>
        <w:rPr>
          <w:rFonts w:hint="eastAsia" w:ascii="仿宋" w:hAnsi="仿宋" w:eastAsia="仿宋"/>
          <w:color w:val="auto"/>
          <w:sz w:val="32"/>
          <w:szCs w:val="32"/>
        </w:rPr>
      </w:pPr>
      <w:r>
        <w:rPr>
          <w:rFonts w:hint="eastAsia" w:ascii="仿宋" w:hAnsi="仿宋" w:eastAsia="仿宋"/>
          <w:color w:val="auto"/>
          <w:sz w:val="32"/>
          <w:szCs w:val="32"/>
        </w:rPr>
        <w:t>我单位无专项预算项目，因此未组织开展项目支出绩效评价。</w:t>
      </w:r>
    </w:p>
    <w:p w14:paraId="537EB18C">
      <w:pPr>
        <w:spacing w:line="580" w:lineRule="exact"/>
        <w:ind w:firstLine="640" w:firstLineChars="200"/>
        <w:rPr>
          <w:rFonts w:ascii="仿宋_GB2312" w:hAnsi="仿宋_GB2312" w:eastAsia="仿宋_GB2312" w:cs="仿宋_GB2312"/>
          <w:sz w:val="32"/>
          <w:szCs w:val="32"/>
        </w:rPr>
      </w:pPr>
    </w:p>
    <w:p w14:paraId="1817FB73">
      <w:pPr>
        <w:spacing w:line="580" w:lineRule="exact"/>
        <w:ind w:firstLine="640" w:firstLineChars="200"/>
        <w:rPr>
          <w:rFonts w:ascii="仿宋_GB2312" w:hAnsi="仿宋_GB2312" w:eastAsia="仿宋_GB2312" w:cs="仿宋_GB2312"/>
          <w:sz w:val="32"/>
          <w:szCs w:val="32"/>
        </w:rPr>
      </w:pPr>
    </w:p>
    <w:p w14:paraId="357123D7">
      <w:pPr>
        <w:spacing w:line="600" w:lineRule="exact"/>
        <w:ind w:firstLine="2200" w:firstLineChars="500"/>
        <w:outlineLvl w:val="0"/>
        <w:rPr>
          <w:rStyle w:val="22"/>
          <w:rFonts w:ascii="黑体" w:hAnsi="黑体" w:eastAsia="黑体"/>
          <w:b w:val="0"/>
        </w:rPr>
      </w:pPr>
      <w:bookmarkStart w:id="210" w:name="_Toc19190_WPSOffice_Level1"/>
      <w:bookmarkStart w:id="211" w:name="_Toc79163629"/>
      <w:bookmarkStart w:id="212" w:name="_Toc24006_WPSOffice_Level1"/>
      <w:bookmarkStart w:id="213" w:name="_Toc15396613"/>
      <w:bookmarkStart w:id="214" w:name="_Toc79163879"/>
      <w:bookmarkStart w:id="215" w:name="_Toc15377225"/>
      <w:r>
        <w:rPr>
          <w:rFonts w:hint="eastAsia" w:ascii="黑体" w:hAnsi="黑体" w:eastAsia="黑体"/>
          <w:color w:val="000000"/>
          <w:sz w:val="44"/>
          <w:szCs w:val="44"/>
        </w:rPr>
        <w:t>第三部分  名</w:t>
      </w:r>
      <w:r>
        <w:rPr>
          <w:rStyle w:val="22"/>
          <w:rFonts w:hint="eastAsia" w:ascii="黑体" w:hAnsi="黑体" w:eastAsia="黑体"/>
          <w:b w:val="0"/>
        </w:rPr>
        <w:t>词解释</w:t>
      </w:r>
      <w:bookmarkEnd w:id="210"/>
      <w:bookmarkEnd w:id="211"/>
      <w:bookmarkEnd w:id="212"/>
      <w:bookmarkEnd w:id="213"/>
      <w:bookmarkEnd w:id="214"/>
      <w:bookmarkEnd w:id="215"/>
    </w:p>
    <w:p w14:paraId="51E201DA">
      <w:pPr>
        <w:spacing w:line="600" w:lineRule="exact"/>
        <w:jc w:val="left"/>
        <w:rPr>
          <w:rFonts w:ascii="宋体"/>
          <w:b/>
          <w:color w:val="000000"/>
          <w:sz w:val="44"/>
          <w:szCs w:val="44"/>
        </w:rPr>
      </w:pPr>
    </w:p>
    <w:p w14:paraId="268AC618">
      <w:pPr>
        <w:pStyle w:val="32"/>
        <w:spacing w:line="560" w:lineRule="exact"/>
        <w:ind w:firstLine="640" w:firstLineChars="200"/>
        <w:jc w:val="both"/>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1.财政拨款收入：指单位从同级财政部门取得的财政预算资金。</w:t>
      </w:r>
    </w:p>
    <w:p w14:paraId="08F27D09">
      <w:pPr>
        <w:pStyle w:val="32"/>
        <w:spacing w:line="560" w:lineRule="exact"/>
        <w:ind w:firstLine="640" w:firstLineChars="200"/>
        <w:jc w:val="left"/>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2.事业收入：指事业单位开展专业业务活动及辅助活动取得的收入。</w:t>
      </w:r>
    </w:p>
    <w:p w14:paraId="799C99FC">
      <w:pPr>
        <w:pStyle w:val="32"/>
        <w:spacing w:line="560" w:lineRule="exact"/>
        <w:ind w:firstLine="640" w:firstLineChars="200"/>
        <w:jc w:val="left"/>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3.经营收入：指事业单位在专业业务活动及其辅助活动之外开展非独立核算经营活动取得的收入。</w:t>
      </w:r>
    </w:p>
    <w:p w14:paraId="1A8642C3">
      <w:pPr>
        <w:pStyle w:val="32"/>
        <w:spacing w:line="560" w:lineRule="exact"/>
        <w:ind w:firstLine="640" w:firstLineChars="200"/>
        <w:jc w:val="left"/>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 xml:space="preserve">4.其他收入：指单位取得的除上述收入以外的各项收入。主要是利息及捐赠收入等。 </w:t>
      </w:r>
    </w:p>
    <w:p w14:paraId="51856D89">
      <w:pPr>
        <w:pStyle w:val="32"/>
        <w:spacing w:line="560" w:lineRule="exact"/>
        <w:ind w:firstLine="640" w:firstLineChars="200"/>
        <w:jc w:val="left"/>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 xml:space="preserve">5.使用非财政拨款结余：指事业单位使用以前年度积累的非财政拨款结余弥补当年收支差额的金额。 </w:t>
      </w:r>
    </w:p>
    <w:p w14:paraId="792419B8">
      <w:pPr>
        <w:pStyle w:val="32"/>
        <w:spacing w:line="560" w:lineRule="exact"/>
        <w:ind w:firstLine="640" w:firstLineChars="200"/>
        <w:jc w:val="left"/>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 xml:space="preserve">6.年初结转和结余：指以前年度尚未完成、结转到本年按有关规定继续使用的资金。 </w:t>
      </w:r>
    </w:p>
    <w:p w14:paraId="507D3FC0">
      <w:pPr>
        <w:pStyle w:val="32"/>
        <w:spacing w:line="560" w:lineRule="exact"/>
        <w:ind w:firstLine="640" w:firstLineChars="200"/>
        <w:jc w:val="left"/>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7.结余分配：指事业单位按照会计制度规定缴纳的所得税、提取的专用结余以及转入非财政拨款结余的金额等。</w:t>
      </w:r>
    </w:p>
    <w:p w14:paraId="7260FF28">
      <w:pPr>
        <w:pStyle w:val="32"/>
        <w:spacing w:line="560" w:lineRule="exact"/>
        <w:ind w:firstLine="640" w:firstLineChars="200"/>
        <w:jc w:val="left"/>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8、年末结转和结余：指单位按有关规定结转到下年或以后年度继续使用的资金。</w:t>
      </w:r>
    </w:p>
    <w:p w14:paraId="51467822">
      <w:pPr>
        <w:ind w:firstLine="640" w:firstLineChars="200"/>
        <w:jc w:val="left"/>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9.教育2050202：指小学教育；2050299：指其他普通教育</w:t>
      </w:r>
    </w:p>
    <w:p w14:paraId="707C1AEA">
      <w:pPr>
        <w:ind w:firstLine="640" w:firstLineChars="200"/>
        <w:jc w:val="left"/>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10.社会保障和就业社会保障和就业2080505：指机关事业单位基本养老保险；2080506：指机关事业单位职业年金。</w:t>
      </w:r>
    </w:p>
    <w:p w14:paraId="13426B89">
      <w:pPr>
        <w:ind w:firstLine="640" w:firstLineChars="200"/>
        <w:jc w:val="left"/>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11.医疗卫生与计划生育2101102：指事业单位医疗；2101199：指其他行政事业单位医疗；</w:t>
      </w:r>
    </w:p>
    <w:p w14:paraId="43CEE71E">
      <w:pPr>
        <w:ind w:firstLine="640" w:firstLineChars="200"/>
        <w:jc w:val="left"/>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12.住房保障支出2210201：指住房公积金。</w:t>
      </w:r>
    </w:p>
    <w:p w14:paraId="354C53F4">
      <w:pPr>
        <w:ind w:firstLine="640" w:firstLineChars="200"/>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13.基本支出：指为保障机构正常运转、完成日常工作任务而发生的人员支出和公用支出。</w:t>
      </w:r>
    </w:p>
    <w:p w14:paraId="270A8397">
      <w:pPr>
        <w:ind w:firstLine="640" w:firstLineChars="200"/>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 xml:space="preserve">14.项目支出：指在基本支出之外为完成特定行政任务和事业发展目标所发生的支出。 </w:t>
      </w:r>
    </w:p>
    <w:p w14:paraId="311047A6">
      <w:pPr>
        <w:pStyle w:val="32"/>
        <w:spacing w:line="560" w:lineRule="exact"/>
        <w:ind w:firstLine="640" w:firstLineChars="200"/>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15.“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48DF3040">
      <w:pPr>
        <w:pStyle w:val="32"/>
        <w:spacing w:line="560" w:lineRule="exact"/>
        <w:ind w:firstLine="640" w:firstLineChars="200"/>
        <w:rPr>
          <w:rFonts w:hint="eastAsia" w:ascii="仿宋" w:hAnsi="仿宋" w:eastAsia="仿宋" w:cs="Times New Roman"/>
          <w:color w:val="auto"/>
          <w:kern w:val="2"/>
          <w:sz w:val="32"/>
          <w:szCs w:val="32"/>
          <w:lang w:val="en-US" w:eastAsia="zh-CN" w:bidi="ar-SA"/>
        </w:rPr>
      </w:pPr>
      <w:r>
        <w:rPr>
          <w:rFonts w:hint="eastAsia" w:ascii="仿宋" w:hAnsi="仿宋" w:eastAsia="仿宋" w:cs="Times New Roman"/>
          <w:color w:val="auto"/>
          <w:kern w:val="2"/>
          <w:sz w:val="32"/>
          <w:szCs w:val="32"/>
          <w:lang w:val="en-US" w:eastAsia="zh-CN" w:bidi="ar-SA"/>
        </w:rPr>
        <w:t>16.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320C17EB">
      <w:pPr>
        <w:spacing w:line="600" w:lineRule="exact"/>
        <w:outlineLvl w:val="0"/>
        <w:rPr>
          <w:rFonts w:ascii="黑体" w:hAnsi="黑体" w:eastAsia="黑体"/>
          <w:color w:val="000000"/>
          <w:sz w:val="44"/>
          <w:szCs w:val="44"/>
        </w:rPr>
      </w:pPr>
      <w:bookmarkStart w:id="216" w:name="_Toc15396614"/>
      <w:bookmarkStart w:id="217" w:name="_Toc79163630"/>
      <w:bookmarkStart w:id="218" w:name="_Toc79163880"/>
      <w:bookmarkStart w:id="219" w:name="_Toc15377226"/>
    </w:p>
    <w:p w14:paraId="7AC6F2C9">
      <w:pPr>
        <w:spacing w:line="600" w:lineRule="exact"/>
        <w:ind w:firstLine="2640" w:firstLineChars="600"/>
        <w:outlineLvl w:val="0"/>
        <w:rPr>
          <w:rStyle w:val="22"/>
          <w:rFonts w:ascii="黑体" w:hAnsi="黑体" w:eastAsia="黑体"/>
          <w:b w:val="0"/>
        </w:rPr>
      </w:pPr>
      <w:bookmarkStart w:id="220" w:name="_Toc32398_WPSOffice_Level1"/>
      <w:bookmarkStart w:id="221" w:name="_Toc15196_WPSOffice_Level1"/>
      <w:r>
        <w:rPr>
          <w:rFonts w:hint="eastAsia" w:ascii="黑体" w:hAnsi="黑体" w:eastAsia="黑体"/>
          <w:color w:val="000000"/>
          <w:sz w:val="44"/>
          <w:szCs w:val="44"/>
        </w:rPr>
        <w:t>第</w:t>
      </w:r>
      <w:r>
        <w:rPr>
          <w:rStyle w:val="22"/>
          <w:rFonts w:hint="eastAsia" w:ascii="黑体" w:hAnsi="黑体" w:eastAsia="黑体"/>
          <w:b w:val="0"/>
        </w:rPr>
        <w:t>四部分</w:t>
      </w:r>
      <w:r>
        <w:rPr>
          <w:rStyle w:val="22"/>
          <w:rFonts w:ascii="黑体" w:hAnsi="黑体" w:eastAsia="黑体"/>
          <w:b w:val="0"/>
        </w:rPr>
        <w:t xml:space="preserve"> </w:t>
      </w:r>
      <w:r>
        <w:rPr>
          <w:rStyle w:val="22"/>
          <w:rFonts w:hint="eastAsia" w:ascii="黑体" w:hAnsi="黑体" w:eastAsia="黑体"/>
          <w:b w:val="0"/>
        </w:rPr>
        <w:t>附件</w:t>
      </w:r>
      <w:bookmarkEnd w:id="216"/>
      <w:bookmarkEnd w:id="217"/>
      <w:bookmarkEnd w:id="218"/>
      <w:bookmarkEnd w:id="220"/>
      <w:bookmarkEnd w:id="221"/>
    </w:p>
    <w:p w14:paraId="4A2F0EC6">
      <w:pPr>
        <w:spacing w:line="600" w:lineRule="exact"/>
        <w:jc w:val="left"/>
        <w:outlineLvl w:val="0"/>
        <w:rPr>
          <w:rFonts w:ascii="方正小标宋简体" w:hAnsi="方正小标宋简体" w:eastAsia="方正小标宋简体" w:cs="方正小标宋简体"/>
          <w:sz w:val="32"/>
          <w:szCs w:val="32"/>
        </w:rPr>
      </w:pPr>
      <w:bookmarkStart w:id="222" w:name="_Toc79163881"/>
      <w:bookmarkStart w:id="223" w:name="_Toc79163631"/>
      <w:r>
        <w:rPr>
          <w:rFonts w:hint="eastAsia" w:ascii="黑体" w:hAnsi="黑体" w:eastAsia="黑体" w:cs="黑体"/>
          <w:sz w:val="32"/>
          <w:szCs w:val="32"/>
        </w:rPr>
        <w:t>附件</w:t>
      </w:r>
      <w:r>
        <w:rPr>
          <w:rFonts w:ascii="黑体" w:hAnsi="黑体" w:eastAsia="黑体" w:cs="黑体"/>
          <w:sz w:val="32"/>
          <w:szCs w:val="32"/>
        </w:rPr>
        <w:t>1</w:t>
      </w:r>
      <w:bookmarkEnd w:id="222"/>
      <w:bookmarkEnd w:id="223"/>
    </w:p>
    <w:p w14:paraId="0DB773FB">
      <w:pPr>
        <w:spacing w:line="600" w:lineRule="exact"/>
        <w:outlineLvl w:val="0"/>
        <w:rPr>
          <w:rFonts w:ascii="方正小标宋简体" w:hAnsi="黑体" w:eastAsia="方正小标宋简体" w:cs="黑体"/>
          <w:sz w:val="44"/>
          <w:szCs w:val="44"/>
        </w:rPr>
      </w:pPr>
      <w:bookmarkStart w:id="224" w:name="_Toc79163632"/>
      <w:bookmarkStart w:id="225" w:name="_Toc79163882"/>
    </w:p>
    <w:p w14:paraId="2EE6718D">
      <w:pPr>
        <w:spacing w:line="600" w:lineRule="exact"/>
        <w:ind w:firstLine="1760" w:firstLineChars="400"/>
        <w:outlineLvl w:val="0"/>
        <w:rPr>
          <w:rFonts w:ascii="方正小标宋简体" w:hAnsi="黑体" w:eastAsia="方正小标宋简体" w:cs="黑体"/>
          <w:sz w:val="44"/>
          <w:szCs w:val="44"/>
        </w:rPr>
      </w:pPr>
      <w:bookmarkStart w:id="226" w:name="_Toc25251_WPSOffice_Level2"/>
      <w:bookmarkStart w:id="227" w:name="_Toc4504_WPSOffice_Level2"/>
      <w:r>
        <w:rPr>
          <w:rFonts w:hint="eastAsia" w:ascii="方正小标宋简体" w:hAnsi="黑体" w:eastAsia="方正小标宋简体" w:cs="黑体"/>
          <w:sz w:val="44"/>
          <w:szCs w:val="44"/>
        </w:rPr>
        <w:t>红原县城关小学</w:t>
      </w:r>
      <w:r>
        <w:rPr>
          <w:rFonts w:ascii="方正小标宋简体" w:hAnsi="黑体" w:eastAsia="方正小标宋简体" w:cs="黑体"/>
          <w:sz w:val="44"/>
          <w:szCs w:val="44"/>
        </w:rPr>
        <w:t>202</w:t>
      </w:r>
      <w:r>
        <w:rPr>
          <w:rFonts w:hint="eastAsia" w:ascii="方正小标宋简体" w:hAnsi="黑体" w:eastAsia="方正小标宋简体" w:cs="黑体"/>
          <w:sz w:val="44"/>
          <w:szCs w:val="44"/>
          <w:lang w:val="en-US" w:eastAsia="zh-CN"/>
        </w:rPr>
        <w:t>5</w:t>
      </w:r>
      <w:r>
        <w:rPr>
          <w:rFonts w:hint="eastAsia" w:ascii="方正小标宋简体" w:hAnsi="黑体" w:eastAsia="方正小标宋简体" w:cs="黑体"/>
          <w:sz w:val="44"/>
          <w:szCs w:val="44"/>
        </w:rPr>
        <w:t>年</w:t>
      </w:r>
      <w:bookmarkEnd w:id="226"/>
      <w:bookmarkEnd w:id="227"/>
    </w:p>
    <w:p w14:paraId="2EC92563">
      <w:pPr>
        <w:spacing w:line="600" w:lineRule="exact"/>
        <w:ind w:firstLine="1320" w:firstLineChars="300"/>
        <w:outlineLvl w:val="0"/>
        <w:rPr>
          <w:rFonts w:ascii="方正小标宋简体" w:hAnsi="黑体" w:eastAsia="方正小标宋简体" w:cs="黑体"/>
          <w:sz w:val="44"/>
          <w:szCs w:val="44"/>
        </w:rPr>
      </w:pPr>
      <w:bookmarkStart w:id="228" w:name="_Toc10187_WPSOffice_Level2"/>
      <w:bookmarkStart w:id="229" w:name="_Toc29178_WPSOffice_Level2"/>
      <w:r>
        <w:rPr>
          <w:rFonts w:hint="eastAsia" w:ascii="方正小标宋简体" w:hAnsi="黑体" w:eastAsia="方正小标宋简体" w:cs="黑体"/>
          <w:sz w:val="44"/>
          <w:szCs w:val="44"/>
        </w:rPr>
        <w:t>部门整体支出绩效评价报告</w:t>
      </w:r>
      <w:bookmarkEnd w:id="224"/>
      <w:bookmarkEnd w:id="225"/>
      <w:bookmarkEnd w:id="228"/>
      <w:bookmarkEnd w:id="229"/>
    </w:p>
    <w:p w14:paraId="3A04B0B7">
      <w:pPr>
        <w:widowControl/>
        <w:numPr>
          <w:ilvl w:val="0"/>
          <w:numId w:val="2"/>
        </w:numPr>
        <w:adjustRightInd w:val="0"/>
        <w:snapToGrid w:val="0"/>
        <w:spacing w:line="580" w:lineRule="exact"/>
        <w:ind w:firstLine="320" w:firstLineChars="100"/>
        <w:contextualSpacing/>
        <w:jc w:val="left"/>
        <w:rPr>
          <w:rFonts w:ascii="黑体" w:hAnsi="宋体" w:eastAsia="黑体" w:cs="宋体"/>
          <w:color w:val="000000"/>
          <w:kern w:val="0"/>
          <w:sz w:val="32"/>
          <w:szCs w:val="32"/>
          <w:shd w:val="clear" w:color="auto" w:fill="FFFFFF"/>
          <w:lang w:val="zh-CN"/>
        </w:rPr>
      </w:pPr>
      <w:bookmarkStart w:id="230" w:name="_Toc17495_WPSOffice_Level2"/>
      <w:bookmarkStart w:id="231" w:name="_Toc12251_WPSOffice_Level2"/>
      <w:r>
        <w:rPr>
          <w:rFonts w:hint="eastAsia" w:ascii="黑体" w:hAnsi="宋体" w:eastAsia="黑体" w:cs="宋体"/>
          <w:color w:val="000000"/>
          <w:kern w:val="0"/>
          <w:sz w:val="32"/>
          <w:szCs w:val="32"/>
          <w:shd w:val="clear" w:color="auto" w:fill="FFFFFF"/>
          <w:lang w:val="zh-CN"/>
        </w:rPr>
        <w:t>单位概况</w:t>
      </w:r>
      <w:bookmarkEnd w:id="230"/>
      <w:bookmarkEnd w:id="231"/>
    </w:p>
    <w:p w14:paraId="0FB98E13">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bookmarkStart w:id="232" w:name="_Toc7216_WPSOffice_Level3"/>
      <w:bookmarkStart w:id="233" w:name="_Toc25384_WPSOffice_Level3"/>
      <w:r>
        <w:rPr>
          <w:rFonts w:hint="eastAsia" w:ascii="仿宋_GB2312" w:hAnsi="宋体" w:eastAsia="仿宋_GB2312" w:cs="宋体"/>
          <w:color w:val="000000"/>
          <w:kern w:val="0"/>
          <w:sz w:val="32"/>
          <w:szCs w:val="32"/>
          <w:shd w:val="clear" w:color="auto" w:fill="FFFFFF"/>
          <w:lang w:val="zh-CN"/>
        </w:rPr>
        <w:t>（一）机构组成。</w:t>
      </w:r>
      <w:bookmarkEnd w:id="232"/>
      <w:bookmarkEnd w:id="233"/>
    </w:p>
    <w:p w14:paraId="29F39D37">
      <w:pPr>
        <w:widowControl/>
        <w:adjustRightInd w:val="0"/>
        <w:snapToGrid w:val="0"/>
        <w:spacing w:line="580" w:lineRule="exact"/>
        <w:ind w:firstLine="640" w:firstLineChars="200"/>
        <w:contextualSpacing/>
        <w:jc w:val="left"/>
        <w:rPr>
          <w:rFonts w:ascii="仿宋" w:hAnsi="仿宋" w:eastAsia="仿宋" w:cs="仿宋"/>
          <w:color w:val="000000"/>
          <w:kern w:val="0"/>
          <w:sz w:val="32"/>
          <w:szCs w:val="32"/>
          <w:shd w:val="clear" w:color="auto" w:fill="FFFFFF"/>
          <w:lang w:val="zh-CN"/>
        </w:rPr>
      </w:pPr>
      <w:r>
        <w:rPr>
          <w:rFonts w:hint="eastAsia" w:ascii="仿宋" w:hAnsi="仿宋" w:eastAsia="仿宋" w:cs="仿宋"/>
          <w:sz w:val="32"/>
          <w:szCs w:val="32"/>
        </w:rPr>
        <w:t>我校属红原县教育局下属的二级单位，为独立核算财政全额拨款事业单位，执行的是政府会计制度。</w:t>
      </w:r>
    </w:p>
    <w:p w14:paraId="57C3664A">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bookmarkStart w:id="234" w:name="_Toc4504_WPSOffice_Level3"/>
      <w:bookmarkStart w:id="235" w:name="_Toc25251_WPSOffice_Level3"/>
      <w:r>
        <w:rPr>
          <w:rFonts w:hint="eastAsia" w:ascii="仿宋_GB2312" w:hAnsi="宋体" w:eastAsia="仿宋_GB2312" w:cs="宋体"/>
          <w:color w:val="000000"/>
          <w:kern w:val="0"/>
          <w:sz w:val="32"/>
          <w:szCs w:val="32"/>
          <w:shd w:val="clear" w:color="auto" w:fill="FFFFFF"/>
          <w:lang w:val="zh-CN"/>
        </w:rPr>
        <w:t>（二）机构职能。</w:t>
      </w:r>
      <w:bookmarkEnd w:id="234"/>
      <w:bookmarkEnd w:id="235"/>
    </w:p>
    <w:p w14:paraId="52C5575D">
      <w:pPr>
        <w:snapToGrid w:val="0"/>
        <w:spacing w:line="520" w:lineRule="exact"/>
        <w:ind w:firstLine="960" w:firstLineChars="300"/>
        <w:rPr>
          <w:rFonts w:ascii="仿宋" w:hAnsi="仿宋" w:eastAsia="仿宋" w:cs="仿宋"/>
          <w:bCs/>
          <w:color w:val="000000"/>
          <w:sz w:val="32"/>
          <w:szCs w:val="32"/>
        </w:rPr>
      </w:pPr>
      <w:r>
        <w:rPr>
          <w:rFonts w:hint="eastAsia" w:ascii="仿宋" w:hAnsi="仿宋" w:eastAsia="仿宋" w:cs="仿宋"/>
          <w:bCs/>
          <w:sz w:val="32"/>
          <w:szCs w:val="32"/>
        </w:rPr>
        <w:t>小学教育是履行小学教育工作的职责，具备爱岗敬业的精神，加强对学生的思想品德教育，培养德智体全面发展的儿童，必须具备良好的职业道德，掌握系统的专业知识和专业技能。关爱学生、尊重学生人格，坚持教书育人，服务育人，环境育人方针，做小学生健康成长的指导者和引路人。</w:t>
      </w:r>
    </w:p>
    <w:p w14:paraId="2A1445AA">
      <w:pPr>
        <w:widowControl/>
        <w:tabs>
          <w:tab w:val="left" w:pos="951"/>
        </w:tabs>
        <w:adjustRightInd w:val="0"/>
        <w:snapToGrid w:val="0"/>
        <w:spacing w:line="480" w:lineRule="exact"/>
        <w:ind w:firstLine="640" w:firstLineChars="200"/>
        <w:jc w:val="left"/>
        <w:rPr>
          <w:rFonts w:ascii="仿宋_GB2312" w:hAnsi="宋体" w:eastAsia="仿宋_GB2312" w:cs="宋体"/>
          <w:color w:val="000000"/>
          <w:kern w:val="0"/>
          <w:sz w:val="32"/>
          <w:szCs w:val="32"/>
          <w:shd w:val="clear" w:color="auto" w:fill="FFFFFF"/>
          <w:lang w:val="zh-CN"/>
        </w:rPr>
      </w:pPr>
      <w:bookmarkStart w:id="236" w:name="_Toc10187_WPSOffice_Level3"/>
      <w:bookmarkStart w:id="237" w:name="_Toc29178_WPSOffice_Level3"/>
      <w:r>
        <w:rPr>
          <w:rFonts w:hint="eastAsia" w:ascii="仿宋_GB2312" w:hAnsi="宋体" w:eastAsia="仿宋_GB2312" w:cs="宋体"/>
          <w:color w:val="000000"/>
          <w:kern w:val="0"/>
          <w:sz w:val="32"/>
          <w:szCs w:val="32"/>
          <w:shd w:val="clear" w:color="auto" w:fill="FFFFFF"/>
          <w:lang w:val="zh-CN"/>
        </w:rPr>
        <w:t>（三）人员概况。</w:t>
      </w:r>
      <w:bookmarkEnd w:id="236"/>
      <w:bookmarkEnd w:id="237"/>
    </w:p>
    <w:p w14:paraId="362C4A29">
      <w:pPr>
        <w:widowControl/>
        <w:adjustRightInd w:val="0"/>
        <w:snapToGrid w:val="0"/>
        <w:spacing w:line="480" w:lineRule="exact"/>
        <w:ind w:firstLine="640" w:firstLineChars="200"/>
        <w:jc w:val="left"/>
        <w:rPr>
          <w:rFonts w:ascii="仿宋" w:hAnsi="仿宋" w:eastAsia="仿宋" w:cs="仿宋"/>
          <w:color w:val="000000"/>
          <w:kern w:val="0"/>
          <w:sz w:val="32"/>
          <w:szCs w:val="32"/>
          <w:lang w:val="zh-CN"/>
        </w:rPr>
      </w:pPr>
      <w:r>
        <w:rPr>
          <w:rFonts w:hint="eastAsia" w:ascii="仿宋" w:hAnsi="仿宋" w:eastAsia="仿宋" w:cs="仿宋"/>
          <w:sz w:val="32"/>
          <w:szCs w:val="32"/>
        </w:rPr>
        <w:t>截止202</w:t>
      </w:r>
      <w:r>
        <w:rPr>
          <w:rFonts w:hint="eastAsia" w:ascii="仿宋" w:hAnsi="仿宋" w:eastAsia="仿宋" w:cs="仿宋"/>
          <w:sz w:val="32"/>
          <w:szCs w:val="32"/>
          <w:lang w:val="en-US" w:eastAsia="zh-CN"/>
        </w:rPr>
        <w:t>5</w:t>
      </w:r>
      <w:r>
        <w:rPr>
          <w:rFonts w:hint="eastAsia" w:ascii="仿宋" w:hAnsi="仿宋" w:eastAsia="仿宋" w:cs="仿宋"/>
          <w:sz w:val="32"/>
          <w:szCs w:val="32"/>
        </w:rPr>
        <w:t>年底，我校共有编制6</w:t>
      </w:r>
      <w:r>
        <w:rPr>
          <w:rFonts w:hint="eastAsia" w:ascii="仿宋" w:hAnsi="仿宋" w:eastAsia="仿宋" w:cs="仿宋"/>
          <w:sz w:val="32"/>
          <w:szCs w:val="32"/>
          <w:lang w:val="en-US" w:eastAsia="zh-CN"/>
        </w:rPr>
        <w:t>7</w:t>
      </w:r>
      <w:r>
        <w:rPr>
          <w:rFonts w:hint="eastAsia" w:ascii="仿宋" w:hAnsi="仿宋" w:eastAsia="仿宋" w:cs="仿宋"/>
          <w:sz w:val="32"/>
          <w:szCs w:val="32"/>
        </w:rPr>
        <w:t>人，在职教师</w:t>
      </w:r>
      <w:r>
        <w:rPr>
          <w:rFonts w:hint="eastAsia" w:ascii="仿宋" w:hAnsi="仿宋" w:eastAsia="仿宋" w:cs="仿宋"/>
          <w:sz w:val="32"/>
          <w:szCs w:val="32"/>
          <w:lang w:val="en-US" w:eastAsia="zh-CN"/>
        </w:rPr>
        <w:t>66</w:t>
      </w:r>
      <w:r>
        <w:rPr>
          <w:rFonts w:hint="eastAsia" w:ascii="仿宋" w:hAnsi="仿宋" w:eastAsia="仿宋" w:cs="仿宋"/>
          <w:sz w:val="32"/>
          <w:szCs w:val="32"/>
        </w:rPr>
        <w:t>人，退休教师</w:t>
      </w:r>
      <w:r>
        <w:rPr>
          <w:rFonts w:hint="eastAsia" w:ascii="仿宋" w:hAnsi="仿宋" w:eastAsia="仿宋" w:cs="仿宋"/>
          <w:sz w:val="32"/>
          <w:szCs w:val="32"/>
          <w:lang w:val="en-US" w:eastAsia="zh-CN"/>
        </w:rPr>
        <w:t>62</w:t>
      </w:r>
      <w:r>
        <w:rPr>
          <w:rFonts w:hint="eastAsia" w:ascii="仿宋" w:hAnsi="仿宋" w:eastAsia="仿宋" w:cs="仿宋"/>
          <w:sz w:val="32"/>
          <w:szCs w:val="32"/>
        </w:rPr>
        <w:t>人，财政供养人员共计6</w:t>
      </w:r>
      <w:r>
        <w:rPr>
          <w:rFonts w:hint="eastAsia" w:ascii="仿宋" w:hAnsi="仿宋" w:eastAsia="仿宋" w:cs="仿宋"/>
          <w:sz w:val="32"/>
          <w:szCs w:val="32"/>
          <w:lang w:val="en-US" w:eastAsia="zh-CN"/>
        </w:rPr>
        <w:t>6</w:t>
      </w:r>
      <w:r>
        <w:rPr>
          <w:rFonts w:hint="eastAsia" w:ascii="仿宋" w:hAnsi="仿宋" w:eastAsia="仿宋" w:cs="仿宋"/>
          <w:sz w:val="32"/>
          <w:szCs w:val="32"/>
        </w:rPr>
        <w:t>人。</w:t>
      </w:r>
    </w:p>
    <w:p w14:paraId="5022F9FC">
      <w:pPr>
        <w:widowControl/>
        <w:adjustRightInd w:val="0"/>
        <w:snapToGrid w:val="0"/>
        <w:spacing w:line="580" w:lineRule="exact"/>
        <w:ind w:firstLine="640" w:firstLineChars="200"/>
        <w:contextualSpacing/>
        <w:jc w:val="left"/>
        <w:rPr>
          <w:rFonts w:ascii="黑体" w:hAnsi="宋体" w:eastAsia="黑体" w:cs="宋体"/>
          <w:color w:val="000000"/>
          <w:kern w:val="0"/>
          <w:sz w:val="32"/>
          <w:szCs w:val="32"/>
          <w:shd w:val="clear" w:color="auto" w:fill="FFFFFF"/>
        </w:rPr>
      </w:pPr>
      <w:bookmarkStart w:id="238" w:name="_Toc4810_WPSOffice_Level2"/>
      <w:bookmarkStart w:id="239" w:name="_Toc27167_WPSOffice_Level2"/>
      <w:r>
        <w:rPr>
          <w:rFonts w:hint="eastAsia" w:ascii="黑体" w:hAnsi="宋体" w:eastAsia="黑体" w:cs="宋体"/>
          <w:color w:val="000000"/>
          <w:kern w:val="0"/>
          <w:sz w:val="32"/>
          <w:szCs w:val="32"/>
          <w:shd w:val="clear" w:color="auto" w:fill="FFFFFF"/>
        </w:rPr>
        <w:t>二、部门财政资金收支情况</w:t>
      </w:r>
      <w:bookmarkEnd w:id="238"/>
      <w:bookmarkEnd w:id="239"/>
    </w:p>
    <w:p w14:paraId="0B32C413">
      <w:pPr>
        <w:widowControl/>
        <w:adjustRightInd w:val="0"/>
        <w:snapToGrid w:val="0"/>
        <w:spacing w:line="580" w:lineRule="exact"/>
        <w:ind w:firstLine="640" w:firstLineChars="200"/>
        <w:contextualSpacing/>
        <w:jc w:val="left"/>
        <w:rPr>
          <w:rFonts w:hint="eastAsia" w:ascii="黑体" w:hAnsi="宋体" w:eastAsia="黑体" w:cs="宋体"/>
          <w:color w:val="000000"/>
          <w:kern w:val="0"/>
          <w:sz w:val="32"/>
          <w:szCs w:val="32"/>
          <w:shd w:val="clear" w:color="auto" w:fill="FFFFFF"/>
          <w:lang w:val="zh-CN"/>
        </w:rPr>
      </w:pPr>
      <w:bookmarkStart w:id="240" w:name="_Toc12251_WPSOffice_Level3"/>
      <w:bookmarkStart w:id="241" w:name="_Toc17495_WPSOffice_Level3"/>
      <w:r>
        <w:rPr>
          <w:rFonts w:hint="eastAsia" w:ascii="黑体" w:hAnsi="宋体" w:eastAsia="黑体" w:cs="宋体"/>
          <w:color w:val="000000"/>
          <w:kern w:val="0"/>
          <w:sz w:val="32"/>
          <w:szCs w:val="32"/>
          <w:shd w:val="clear" w:color="auto" w:fill="FFFFFF"/>
          <w:lang w:val="zh-CN"/>
        </w:rPr>
        <w:t>（一）部门财政资金收入情况。</w:t>
      </w:r>
      <w:bookmarkEnd w:id="240"/>
      <w:bookmarkEnd w:id="241"/>
    </w:p>
    <w:p w14:paraId="63A04339">
      <w:pPr>
        <w:spacing w:line="600" w:lineRule="exact"/>
        <w:ind w:firstLine="640" w:firstLineChars="200"/>
        <w:outlineLvl w:val="1"/>
        <w:rPr>
          <w:rFonts w:ascii="仿宋" w:hAnsi="仿宋" w:eastAsia="仿宋" w:cs="仿宋"/>
          <w:color w:val="000000"/>
          <w:sz w:val="32"/>
          <w:szCs w:val="32"/>
        </w:rPr>
      </w:pPr>
      <w:r>
        <w:rPr>
          <w:rFonts w:hint="eastAsia" w:ascii="仿宋" w:hAnsi="仿宋" w:eastAsia="仿宋" w:cs="仿宋"/>
          <w:color w:val="000000"/>
          <w:kern w:val="0"/>
          <w:sz w:val="32"/>
          <w:szCs w:val="32"/>
        </w:rPr>
        <w:t>收入：</w:t>
      </w:r>
      <w:r>
        <w:rPr>
          <w:rFonts w:hint="eastAsia" w:ascii="仿宋" w:hAnsi="仿宋" w:eastAsia="仿宋" w:cs="仿宋"/>
          <w:color w:val="000000"/>
          <w:sz w:val="32"/>
          <w:szCs w:val="32"/>
        </w:rPr>
        <w:t>202</w:t>
      </w:r>
      <w:r>
        <w:rPr>
          <w:rFonts w:hint="eastAsia" w:ascii="仿宋" w:hAnsi="仿宋" w:eastAsia="仿宋" w:cs="仿宋"/>
          <w:color w:val="000000"/>
          <w:sz w:val="32"/>
          <w:szCs w:val="32"/>
          <w:lang w:val="en-US" w:eastAsia="zh-CN"/>
        </w:rPr>
        <w:t>5</w:t>
      </w:r>
      <w:r>
        <w:rPr>
          <w:rFonts w:hint="eastAsia" w:ascii="仿宋" w:hAnsi="仿宋" w:eastAsia="仿宋" w:cs="仿宋"/>
          <w:color w:val="000000"/>
          <w:sz w:val="32"/>
          <w:szCs w:val="32"/>
        </w:rPr>
        <w:t>年收入总计</w:t>
      </w:r>
      <w:r>
        <w:rPr>
          <w:rFonts w:hint="eastAsia" w:ascii="仿宋" w:hAnsi="仿宋" w:eastAsia="仿宋" w:cs="仿宋"/>
          <w:color w:val="000000"/>
          <w:sz w:val="32"/>
          <w:szCs w:val="32"/>
          <w:lang w:val="en-US" w:eastAsia="zh-CN"/>
        </w:rPr>
        <w:t>2121.48</w:t>
      </w:r>
      <w:r>
        <w:rPr>
          <w:rFonts w:hint="eastAsia" w:ascii="仿宋" w:hAnsi="仿宋" w:eastAsia="仿宋" w:cs="仿宋"/>
          <w:color w:val="000000"/>
          <w:sz w:val="32"/>
          <w:szCs w:val="32"/>
        </w:rPr>
        <w:t>万元，其中一般公共预算财政拨款收入</w:t>
      </w:r>
      <w:r>
        <w:rPr>
          <w:rFonts w:hint="eastAsia" w:ascii="仿宋" w:hAnsi="仿宋" w:eastAsia="仿宋" w:cs="仿宋"/>
          <w:color w:val="000000"/>
          <w:sz w:val="32"/>
          <w:szCs w:val="32"/>
          <w:lang w:val="en-US" w:eastAsia="zh-CN"/>
        </w:rPr>
        <w:t>2038.4</w:t>
      </w:r>
      <w:r>
        <w:rPr>
          <w:rFonts w:hint="eastAsia" w:ascii="仿宋" w:hAnsi="仿宋" w:eastAsia="仿宋" w:cs="仿宋"/>
          <w:color w:val="000000"/>
          <w:sz w:val="32"/>
          <w:szCs w:val="32"/>
        </w:rPr>
        <w:t>万元，其他收入</w:t>
      </w:r>
      <w:r>
        <w:rPr>
          <w:rFonts w:hint="eastAsia" w:ascii="仿宋" w:hAnsi="仿宋" w:eastAsia="仿宋" w:cs="仿宋"/>
          <w:color w:val="000000"/>
          <w:sz w:val="32"/>
          <w:szCs w:val="32"/>
          <w:lang w:val="en-US" w:eastAsia="zh-CN"/>
        </w:rPr>
        <w:t>83.07</w:t>
      </w:r>
      <w:r>
        <w:rPr>
          <w:rFonts w:hint="eastAsia" w:ascii="仿宋" w:hAnsi="仿宋" w:eastAsia="仿宋" w:cs="仿宋"/>
          <w:color w:val="000000"/>
          <w:sz w:val="32"/>
          <w:szCs w:val="32"/>
        </w:rPr>
        <w:t>万元。</w:t>
      </w:r>
    </w:p>
    <w:p w14:paraId="35282F0D">
      <w:pPr>
        <w:widowControl/>
        <w:numPr>
          <w:ilvl w:val="0"/>
          <w:numId w:val="3"/>
        </w:numPr>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bookmarkStart w:id="242" w:name="_Toc27167_WPSOffice_Level3"/>
      <w:bookmarkStart w:id="243" w:name="_Toc4810_WPSOffice_Level3"/>
      <w:r>
        <w:rPr>
          <w:rFonts w:hint="eastAsia" w:ascii="黑体" w:hAnsi="宋体" w:eastAsia="黑体" w:cs="宋体"/>
          <w:color w:val="000000"/>
          <w:kern w:val="0"/>
          <w:sz w:val="32"/>
          <w:szCs w:val="32"/>
          <w:shd w:val="clear" w:color="auto" w:fill="FFFFFF"/>
          <w:lang w:val="zh-CN"/>
        </w:rPr>
        <w:t>部门财政资金支出情况。</w:t>
      </w:r>
      <w:bookmarkEnd w:id="242"/>
      <w:bookmarkEnd w:id="243"/>
    </w:p>
    <w:p w14:paraId="459808C8">
      <w:pPr>
        <w:widowControl/>
        <w:adjustRightInd w:val="0"/>
        <w:snapToGrid w:val="0"/>
        <w:spacing w:line="580" w:lineRule="exact"/>
        <w:ind w:firstLine="640" w:firstLineChars="200"/>
        <w:contextualSpacing/>
        <w:jc w:val="left"/>
        <w:rPr>
          <w:rFonts w:ascii="仿宋_GB2312" w:hAnsi="宋体" w:eastAsia="仿宋_GB2312" w:cs="宋体"/>
          <w:color w:val="000000"/>
          <w:kern w:val="0"/>
          <w:sz w:val="32"/>
          <w:szCs w:val="32"/>
          <w:shd w:val="clear" w:color="auto" w:fill="FFFFFF"/>
          <w:lang w:val="zh-CN"/>
        </w:rPr>
      </w:pPr>
      <w:r>
        <w:rPr>
          <w:rFonts w:hint="eastAsia" w:ascii="仿宋" w:hAnsi="仿宋" w:eastAsia="仿宋" w:cs="仿宋"/>
          <w:color w:val="000000"/>
          <w:kern w:val="0"/>
          <w:sz w:val="32"/>
          <w:szCs w:val="32"/>
        </w:rPr>
        <w:t>支出：</w:t>
      </w:r>
      <w:r>
        <w:rPr>
          <w:rFonts w:hint="eastAsia" w:ascii="仿宋" w:hAnsi="仿宋" w:eastAsia="仿宋" w:cs="仿宋"/>
          <w:color w:val="000000"/>
          <w:sz w:val="32"/>
          <w:szCs w:val="32"/>
        </w:rPr>
        <w:t>202</w:t>
      </w:r>
      <w:r>
        <w:rPr>
          <w:rFonts w:hint="eastAsia" w:ascii="仿宋" w:hAnsi="仿宋" w:eastAsia="仿宋" w:cs="仿宋"/>
          <w:color w:val="000000"/>
          <w:sz w:val="32"/>
          <w:szCs w:val="32"/>
          <w:lang w:val="en-US" w:eastAsia="zh-CN"/>
        </w:rPr>
        <w:t>5</w:t>
      </w:r>
      <w:r>
        <w:rPr>
          <w:rFonts w:hint="eastAsia" w:ascii="仿宋" w:hAnsi="仿宋" w:eastAsia="仿宋" w:cs="仿宋"/>
          <w:color w:val="000000"/>
          <w:sz w:val="32"/>
          <w:szCs w:val="32"/>
        </w:rPr>
        <w:t>年财政拨款总计支出</w:t>
      </w:r>
      <w:r>
        <w:rPr>
          <w:rFonts w:hint="eastAsia" w:ascii="仿宋" w:hAnsi="仿宋" w:eastAsia="仿宋" w:cs="仿宋"/>
          <w:color w:val="000000"/>
          <w:sz w:val="32"/>
          <w:szCs w:val="32"/>
          <w:lang w:val="en-US" w:eastAsia="zh-CN"/>
        </w:rPr>
        <w:t>2121.48</w:t>
      </w:r>
      <w:r>
        <w:rPr>
          <w:rFonts w:hint="eastAsia" w:ascii="仿宋" w:hAnsi="仿宋" w:eastAsia="仿宋" w:cs="仿宋"/>
          <w:color w:val="000000"/>
          <w:sz w:val="32"/>
          <w:szCs w:val="32"/>
        </w:rPr>
        <w:t>万元。其中：基本支出</w:t>
      </w:r>
      <w:r>
        <w:rPr>
          <w:rFonts w:hint="eastAsia" w:ascii="仿宋" w:hAnsi="仿宋" w:eastAsia="仿宋" w:cs="仿宋"/>
          <w:color w:val="000000"/>
          <w:sz w:val="32"/>
          <w:szCs w:val="32"/>
          <w:lang w:val="en-US" w:eastAsia="zh-CN"/>
        </w:rPr>
        <w:t>1912.71</w:t>
      </w:r>
      <w:r>
        <w:rPr>
          <w:rFonts w:hint="eastAsia" w:ascii="仿宋" w:hAnsi="仿宋" w:eastAsia="仿宋" w:cs="仿宋"/>
          <w:color w:val="000000"/>
          <w:sz w:val="32"/>
          <w:szCs w:val="32"/>
        </w:rPr>
        <w:t>万元，项目支出</w:t>
      </w:r>
      <w:r>
        <w:rPr>
          <w:rFonts w:hint="eastAsia" w:ascii="仿宋" w:hAnsi="仿宋" w:eastAsia="仿宋" w:cs="仿宋"/>
          <w:color w:val="000000"/>
          <w:sz w:val="32"/>
          <w:szCs w:val="32"/>
          <w:lang w:val="en-US" w:eastAsia="zh-CN"/>
        </w:rPr>
        <w:t>208.76</w:t>
      </w:r>
      <w:r>
        <w:rPr>
          <w:rFonts w:hint="eastAsia" w:ascii="仿宋" w:hAnsi="仿宋" w:eastAsia="仿宋" w:cs="仿宋"/>
          <w:color w:val="000000"/>
          <w:sz w:val="32"/>
          <w:szCs w:val="32"/>
        </w:rPr>
        <w:t>万元。</w:t>
      </w:r>
    </w:p>
    <w:p w14:paraId="12EF9FC3">
      <w:pPr>
        <w:widowControl/>
        <w:adjustRightInd w:val="0"/>
        <w:snapToGrid w:val="0"/>
        <w:spacing w:line="580" w:lineRule="exact"/>
        <w:ind w:firstLine="640" w:firstLineChars="200"/>
        <w:contextualSpacing/>
        <w:jc w:val="left"/>
        <w:rPr>
          <w:rFonts w:ascii="黑体" w:hAnsi="宋体" w:eastAsia="黑体" w:cs="宋体"/>
          <w:color w:val="000000"/>
          <w:kern w:val="0"/>
          <w:sz w:val="32"/>
          <w:szCs w:val="32"/>
          <w:shd w:val="clear" w:color="auto" w:fill="FFFFFF"/>
        </w:rPr>
      </w:pPr>
      <w:bookmarkStart w:id="244" w:name="_Toc17090_WPSOffice_Level2"/>
      <w:bookmarkStart w:id="245" w:name="_Toc27818_WPSOffice_Level2"/>
      <w:r>
        <w:rPr>
          <w:rFonts w:hint="eastAsia" w:ascii="黑体" w:hAnsi="宋体" w:eastAsia="黑体" w:cs="宋体"/>
          <w:color w:val="000000"/>
          <w:kern w:val="0"/>
          <w:sz w:val="32"/>
          <w:szCs w:val="32"/>
          <w:shd w:val="clear" w:color="auto" w:fill="FFFFFF"/>
        </w:rPr>
        <w:t>三、部门整体预算绩效管理情况</w:t>
      </w:r>
      <w:bookmarkEnd w:id="244"/>
      <w:bookmarkEnd w:id="245"/>
    </w:p>
    <w:p w14:paraId="6CE3A375">
      <w:pPr>
        <w:widowControl/>
        <w:adjustRightInd w:val="0"/>
        <w:snapToGrid w:val="0"/>
        <w:spacing w:line="580" w:lineRule="exact"/>
        <w:ind w:firstLine="640" w:firstLineChars="200"/>
        <w:contextualSpacing/>
        <w:jc w:val="left"/>
        <w:rPr>
          <w:rFonts w:hint="eastAsia" w:ascii="黑体" w:hAnsi="宋体" w:eastAsia="黑体" w:cs="宋体"/>
          <w:color w:val="000000"/>
          <w:kern w:val="0"/>
          <w:sz w:val="32"/>
          <w:szCs w:val="32"/>
          <w:shd w:val="clear" w:color="auto" w:fill="FFFFFF"/>
          <w:lang w:val="zh-CN"/>
        </w:rPr>
      </w:pPr>
      <w:bookmarkStart w:id="246" w:name="_Toc27818_WPSOffice_Level3"/>
      <w:bookmarkStart w:id="247" w:name="_Toc17090_WPSOffice_Level3"/>
      <w:r>
        <w:rPr>
          <w:rFonts w:hint="eastAsia" w:ascii="黑体" w:hAnsi="宋体" w:eastAsia="黑体" w:cs="宋体"/>
          <w:color w:val="000000"/>
          <w:kern w:val="0"/>
          <w:sz w:val="32"/>
          <w:szCs w:val="32"/>
          <w:shd w:val="clear" w:color="auto" w:fill="FFFFFF"/>
          <w:lang w:val="zh-CN"/>
        </w:rPr>
        <w:t>（一）部门预算管理。</w:t>
      </w:r>
      <w:bookmarkEnd w:id="246"/>
      <w:bookmarkEnd w:id="247"/>
    </w:p>
    <w:p w14:paraId="1E725812">
      <w:pPr>
        <w:spacing w:line="600" w:lineRule="exact"/>
        <w:ind w:firstLine="320" w:firstLineChars="100"/>
        <w:rPr>
          <w:rFonts w:ascii="仿宋" w:hAnsi="仿宋" w:eastAsia="仿宋" w:cs="仿宋"/>
          <w:color w:val="000000"/>
          <w:kern w:val="0"/>
          <w:sz w:val="32"/>
        </w:rPr>
      </w:pPr>
      <w:r>
        <w:rPr>
          <w:rFonts w:hint="eastAsia" w:ascii="仿宋" w:hAnsi="仿宋" w:eastAsia="仿宋" w:cs="仿宋"/>
          <w:color w:val="000000"/>
          <w:kern w:val="0"/>
          <w:sz w:val="32"/>
        </w:rPr>
        <w:t>1.预算编制情况</w:t>
      </w:r>
    </w:p>
    <w:p w14:paraId="4E6FC4C6">
      <w:pPr>
        <w:spacing w:line="560" w:lineRule="exact"/>
        <w:ind w:firstLine="800" w:firstLineChars="250"/>
        <w:rPr>
          <w:rFonts w:ascii="仿宋" w:hAnsi="仿宋" w:eastAsia="仿宋" w:cs="仿宋"/>
          <w:color w:val="333333"/>
          <w:sz w:val="32"/>
          <w:szCs w:val="32"/>
          <w:shd w:val="clear" w:color="auto" w:fill="FFFFFF"/>
        </w:rPr>
      </w:pPr>
      <w:r>
        <w:rPr>
          <w:rFonts w:hint="eastAsia" w:ascii="仿宋" w:hAnsi="仿宋" w:eastAsia="仿宋" w:cs="仿宋"/>
          <w:sz w:val="32"/>
          <w:szCs w:val="32"/>
        </w:rPr>
        <w:t>我单位实行综合预算管理，形成以单位领导牵头、财务部门以及行政办公室密切配合的工作格局，保证预算编制质量。结合单位实际情况，科学合理安排支出，严格执行支出预算，加强对预算执行过程的控制和结果的反馈，对预算执行差异及时分析成因和影响，</w:t>
      </w:r>
      <w:r>
        <w:rPr>
          <w:rFonts w:hint="eastAsia" w:ascii="仿宋" w:hAnsi="仿宋" w:eastAsia="仿宋" w:cs="仿宋"/>
          <w:color w:val="333333"/>
          <w:sz w:val="32"/>
          <w:szCs w:val="32"/>
          <w:shd w:val="clear" w:color="auto" w:fill="FFFFFF"/>
        </w:rPr>
        <w:t>对财务管理进行规范化，同财政部门及时沟通学习，财政部门组织的各项工作积极参加并按时完成，认真如实填报，规范预算编制，严格预算审核，无任何违规记录。</w:t>
      </w:r>
    </w:p>
    <w:p w14:paraId="6ED59F99">
      <w:pPr>
        <w:spacing w:line="600" w:lineRule="exact"/>
        <w:ind w:firstLine="320" w:firstLineChars="100"/>
        <w:rPr>
          <w:rFonts w:ascii="仿宋" w:hAnsi="仿宋" w:eastAsia="仿宋" w:cs="仿宋"/>
          <w:color w:val="000000"/>
          <w:kern w:val="0"/>
          <w:sz w:val="32"/>
        </w:rPr>
      </w:pPr>
      <w:r>
        <w:rPr>
          <w:rFonts w:hint="eastAsia" w:ascii="仿宋" w:hAnsi="仿宋" w:eastAsia="仿宋" w:cs="仿宋"/>
          <w:color w:val="000000"/>
          <w:kern w:val="0"/>
          <w:sz w:val="32"/>
        </w:rPr>
        <w:t>2.资金执行情况：</w:t>
      </w:r>
    </w:p>
    <w:p w14:paraId="4090B8DE">
      <w:pPr>
        <w:spacing w:line="600" w:lineRule="exact"/>
        <w:ind w:firstLine="640" w:firstLineChars="200"/>
        <w:rPr>
          <w:rFonts w:ascii="仿宋" w:hAnsi="仿宋" w:eastAsia="仿宋" w:cs="仿宋"/>
          <w:color w:val="000000"/>
          <w:kern w:val="0"/>
          <w:sz w:val="32"/>
        </w:rPr>
      </w:pPr>
      <w:r>
        <w:rPr>
          <w:rFonts w:hint="eastAsia" w:ascii="仿宋" w:hAnsi="仿宋" w:eastAsia="仿宋" w:cs="仿宋"/>
          <w:color w:val="000000"/>
          <w:kern w:val="0"/>
          <w:sz w:val="32"/>
        </w:rPr>
        <w:t>我单位资金支出总额严格控制在预算总额内，集中财力保障内部平稳运转，与发展计划相协调，与财政财力相适应。</w:t>
      </w:r>
    </w:p>
    <w:p w14:paraId="6D525183">
      <w:pPr>
        <w:widowControl/>
        <w:adjustRightInd w:val="0"/>
        <w:snapToGrid w:val="0"/>
        <w:spacing w:line="580" w:lineRule="exact"/>
        <w:ind w:firstLine="640" w:firstLineChars="200"/>
        <w:contextualSpacing/>
        <w:jc w:val="left"/>
        <w:rPr>
          <w:rFonts w:ascii="仿宋" w:hAnsi="仿宋" w:eastAsia="仿宋"/>
          <w:b/>
          <w:color w:val="FF0000"/>
          <w:sz w:val="32"/>
          <w:szCs w:val="32"/>
        </w:rPr>
      </w:pPr>
      <w:r>
        <w:rPr>
          <w:rFonts w:hint="eastAsia" w:ascii="仿宋" w:hAnsi="仿宋" w:eastAsia="仿宋" w:cs="仿宋"/>
          <w:color w:val="000000"/>
          <w:sz w:val="32"/>
          <w:szCs w:val="32"/>
        </w:rPr>
        <w:t>202</w:t>
      </w:r>
      <w:r>
        <w:rPr>
          <w:rFonts w:hint="eastAsia" w:ascii="仿宋" w:hAnsi="仿宋" w:eastAsia="仿宋" w:cs="仿宋"/>
          <w:color w:val="000000"/>
          <w:sz w:val="32"/>
          <w:szCs w:val="32"/>
          <w:lang w:val="en-US" w:eastAsia="zh-CN"/>
        </w:rPr>
        <w:t>5</w:t>
      </w:r>
      <w:r>
        <w:rPr>
          <w:rFonts w:hint="eastAsia" w:ascii="仿宋" w:hAnsi="仿宋" w:eastAsia="仿宋" w:cs="仿宋"/>
          <w:color w:val="000000"/>
          <w:sz w:val="32"/>
          <w:szCs w:val="32"/>
        </w:rPr>
        <w:t>年财政拨款合计支出</w:t>
      </w:r>
      <w:r>
        <w:rPr>
          <w:rFonts w:hint="eastAsia" w:ascii="仿宋" w:hAnsi="仿宋" w:eastAsia="仿宋" w:cs="仿宋"/>
          <w:color w:val="000000"/>
          <w:sz w:val="32"/>
          <w:szCs w:val="32"/>
          <w:lang w:val="en-US" w:eastAsia="zh-CN"/>
        </w:rPr>
        <w:t>2038.4</w:t>
      </w:r>
      <w:r>
        <w:rPr>
          <w:rFonts w:hint="eastAsia" w:ascii="仿宋" w:hAnsi="仿宋" w:eastAsia="仿宋" w:cs="仿宋"/>
          <w:color w:val="000000"/>
          <w:sz w:val="32"/>
          <w:szCs w:val="32"/>
        </w:rPr>
        <w:t>元，其中：基本支出</w:t>
      </w:r>
      <w:r>
        <w:rPr>
          <w:rFonts w:hint="eastAsia" w:ascii="仿宋" w:hAnsi="仿宋" w:eastAsia="仿宋" w:cs="仿宋"/>
          <w:color w:val="000000"/>
          <w:sz w:val="32"/>
          <w:szCs w:val="32"/>
          <w:lang w:val="en-US" w:eastAsia="zh-CN"/>
        </w:rPr>
        <w:t>1912.71</w:t>
      </w:r>
      <w:r>
        <w:rPr>
          <w:rFonts w:hint="eastAsia" w:ascii="仿宋" w:hAnsi="仿宋" w:eastAsia="仿宋" w:cs="仿宋"/>
          <w:color w:val="000000"/>
          <w:sz w:val="32"/>
          <w:szCs w:val="32"/>
        </w:rPr>
        <w:t>万元，项目支出</w:t>
      </w:r>
      <w:r>
        <w:rPr>
          <w:rFonts w:hint="eastAsia" w:ascii="仿宋" w:hAnsi="仿宋" w:eastAsia="仿宋" w:cs="仿宋"/>
          <w:color w:val="000000"/>
          <w:sz w:val="32"/>
          <w:szCs w:val="32"/>
          <w:lang w:val="en-US" w:eastAsia="zh-CN"/>
        </w:rPr>
        <w:t>208.76</w:t>
      </w:r>
      <w:r>
        <w:rPr>
          <w:rFonts w:hint="eastAsia" w:ascii="仿宋" w:hAnsi="仿宋" w:eastAsia="仿宋" w:cs="仿宋"/>
          <w:color w:val="000000"/>
          <w:sz w:val="32"/>
          <w:szCs w:val="32"/>
        </w:rPr>
        <w:t>万元。其中：</w:t>
      </w:r>
      <w:r>
        <w:rPr>
          <w:rFonts w:hint="eastAsia" w:ascii="仿宋" w:hAnsi="仿宋" w:eastAsia="仿宋"/>
          <w:color w:val="000000"/>
          <w:sz w:val="32"/>
          <w:szCs w:val="32"/>
        </w:rPr>
        <w:t>人员经费支出</w:t>
      </w:r>
      <w:r>
        <w:rPr>
          <w:rFonts w:hint="eastAsia" w:ascii="仿宋" w:hAnsi="仿宋" w:eastAsia="仿宋"/>
          <w:color w:val="000000"/>
          <w:sz w:val="32"/>
          <w:szCs w:val="32"/>
          <w:lang w:val="en-US" w:eastAsia="zh-CN"/>
        </w:rPr>
        <w:t>1851.16</w:t>
      </w:r>
      <w:r>
        <w:rPr>
          <w:rFonts w:hint="eastAsia" w:ascii="仿宋" w:hAnsi="仿宋" w:eastAsia="仿宋"/>
          <w:color w:val="000000"/>
          <w:sz w:val="32"/>
          <w:szCs w:val="32"/>
        </w:rPr>
        <w:t>万元，公用经费支出</w:t>
      </w:r>
      <w:r>
        <w:rPr>
          <w:rFonts w:hint="eastAsia" w:ascii="仿宋" w:hAnsi="仿宋" w:eastAsia="仿宋"/>
          <w:color w:val="000000"/>
          <w:sz w:val="32"/>
          <w:szCs w:val="32"/>
          <w:lang w:val="en-US" w:eastAsia="zh-CN"/>
        </w:rPr>
        <w:t>61.55</w:t>
      </w:r>
      <w:r>
        <w:rPr>
          <w:rFonts w:hint="eastAsia" w:ascii="仿宋" w:hAnsi="仿宋" w:eastAsia="仿宋"/>
          <w:color w:val="000000"/>
          <w:sz w:val="32"/>
          <w:szCs w:val="32"/>
        </w:rPr>
        <w:t>万元；主要包括：工资福利支出</w:t>
      </w:r>
      <w:r>
        <w:rPr>
          <w:rFonts w:hint="eastAsia" w:ascii="仿宋" w:hAnsi="仿宋" w:eastAsia="仿宋"/>
          <w:color w:val="000000"/>
          <w:sz w:val="32"/>
          <w:szCs w:val="32"/>
          <w:lang w:val="en-US" w:eastAsia="zh-CN"/>
        </w:rPr>
        <w:t>1723.09</w:t>
      </w:r>
      <w:r>
        <w:rPr>
          <w:rFonts w:hint="eastAsia" w:ascii="仿宋" w:hAnsi="仿宋" w:eastAsia="仿宋"/>
          <w:color w:val="000000"/>
          <w:sz w:val="32"/>
          <w:szCs w:val="32"/>
        </w:rPr>
        <w:t>万元，对个人和家庭补助支出</w:t>
      </w:r>
      <w:r>
        <w:rPr>
          <w:rFonts w:hint="eastAsia" w:ascii="仿宋" w:hAnsi="仿宋" w:eastAsia="仿宋"/>
          <w:color w:val="000000"/>
          <w:sz w:val="32"/>
          <w:szCs w:val="32"/>
          <w:lang w:val="en-US" w:eastAsia="zh-CN"/>
        </w:rPr>
        <w:t>174.83</w:t>
      </w:r>
      <w:r>
        <w:rPr>
          <w:rFonts w:hint="eastAsia" w:ascii="仿宋" w:hAnsi="仿宋" w:eastAsia="仿宋"/>
          <w:color w:val="000000"/>
          <w:sz w:val="32"/>
          <w:szCs w:val="32"/>
        </w:rPr>
        <w:t>万元，商品和服务支出</w:t>
      </w:r>
      <w:r>
        <w:rPr>
          <w:rFonts w:hint="eastAsia" w:ascii="仿宋" w:hAnsi="仿宋" w:eastAsia="仿宋"/>
          <w:color w:val="000000"/>
          <w:sz w:val="32"/>
          <w:szCs w:val="32"/>
          <w:lang w:val="en-US" w:eastAsia="zh-CN"/>
        </w:rPr>
        <w:t>196.41万元</w:t>
      </w:r>
      <w:r>
        <w:rPr>
          <w:rFonts w:hint="eastAsia" w:ascii="仿宋" w:hAnsi="仿宋" w:eastAsia="仿宋"/>
          <w:color w:val="000000"/>
          <w:sz w:val="32"/>
          <w:szCs w:val="32"/>
        </w:rPr>
        <w:t>。</w:t>
      </w:r>
    </w:p>
    <w:p w14:paraId="0259E24D">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bookmarkStart w:id="248" w:name="_Toc23830_WPSOffice_Level3"/>
      <w:bookmarkStart w:id="249" w:name="_Toc5872_WPSOffice_Level3"/>
      <w:r>
        <w:rPr>
          <w:rFonts w:hint="eastAsia" w:ascii="仿宋" w:hAnsi="仿宋" w:eastAsia="仿宋"/>
          <w:color w:val="000000"/>
          <w:sz w:val="32"/>
          <w:szCs w:val="32"/>
          <w:lang w:val="zh-CN"/>
        </w:rPr>
        <w:t>（二）结果应用情况。</w:t>
      </w:r>
      <w:bookmarkEnd w:id="248"/>
      <w:bookmarkEnd w:id="249"/>
    </w:p>
    <w:p w14:paraId="51B3295E">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1、资产管理</w:t>
      </w:r>
    </w:p>
    <w:p w14:paraId="3FA9020D">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一是加强会计核算工作。严格执行现行固定资产管理制度，对购入的固定资产、收到的捐赠资产等及时入账，并按照数量、金额登记明细账，编制固定资产卡片，确保账面上能真实、完整的反映单位的固定资产情况，并结合本单位的实际情况，完善固定资产管理制度。二是加强程序管理。对纳入政府采购目录范围内的资产采购，必须报政府采购中心进行政府采购；未纳入政府采购目录范围内的资产采购，采用其他形式采购。未纳入预算的固定资产，不得随意采购，确需急用，必须经相关部门批准。三是加强内部监督。定期或不定期的对固定资产进行抽查。检查固定资产的购置、领用、处置等程序是否合规，账实是否相符等，防止国有资产的流失。</w:t>
      </w:r>
    </w:p>
    <w:p w14:paraId="39C2ED60">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2、内控管理</w:t>
      </w:r>
    </w:p>
    <w:p w14:paraId="21ABD892">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加强财务内部控制制度。健全完善部门内控制度，全面梳理业务流程，明确业务环节，分析风险隐患，完善风险评估机制，制定风险应对策略;有效运用不相容岗位相互分离、内部授权审批控制、归口管理、预算控制、财产保护控制、会计控制、单据控制、信息内部公开等内部控制基本方法，加强对单位层面和业务层面的内部控制，实现内部控制体系全面、有效实施。建立单位内控监督约束机制，确保资金安全、合理、有效使用，最大限度发挥财政资金使用效益。</w:t>
      </w:r>
    </w:p>
    <w:p w14:paraId="44B47E93">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绩效管理</w:t>
      </w:r>
    </w:p>
    <w:p w14:paraId="037BDAEA">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进一步提高预算绩效管理认识，强化以“绩效为中心、对支出结果负责、对社会公众负责”的理念，在绩效目标编制方面，针对绩效目标设置指向不清、预算和目标匹配不足，数量目标和质量目标量化不细，效益目标编制不完整等方面加以了改善。加强相关专业技术人员的业务培训，进一步提高预算绩效评价质量，加强预算绩效动态管理，严格管理管理收费票据，执行《事业单位财务规则》，严格管理国有资产，组织实施国有资产的清产核资，和登记，负责国有资产的统计和使用，加强财务检查监督工作。</w:t>
      </w:r>
    </w:p>
    <w:p w14:paraId="0C771412">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4.信息公开</w:t>
      </w:r>
    </w:p>
    <w:p w14:paraId="2030A539">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年，按照上级的要求，我校在信息公开办网站上进行了预决算公开。</w:t>
      </w:r>
    </w:p>
    <w:p w14:paraId="6BD8F931">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5.财政监督</w:t>
      </w:r>
    </w:p>
    <w:p w14:paraId="51284F36">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账实相符，定期与银行对账，及时编制财务报表。</w:t>
      </w:r>
    </w:p>
    <w:p w14:paraId="6F2DF658">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250" w:name="_Toc5872_WPSOffice_Level2"/>
      <w:bookmarkStart w:id="251" w:name="_Toc23830_WPSOffice_Level2"/>
      <w:r>
        <w:rPr>
          <w:rFonts w:hint="eastAsia" w:ascii="仿宋" w:hAnsi="仿宋" w:eastAsia="仿宋"/>
          <w:color w:val="000000"/>
          <w:sz w:val="32"/>
          <w:szCs w:val="32"/>
        </w:rPr>
        <w:t>四、评价结论及建议</w:t>
      </w:r>
      <w:bookmarkEnd w:id="250"/>
      <w:bookmarkEnd w:id="251"/>
    </w:p>
    <w:p w14:paraId="355C16E7">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bookmarkStart w:id="252" w:name="_Toc23252_WPSOffice_Level3"/>
      <w:bookmarkStart w:id="253" w:name="_Toc28830_WPSOffice_Level3"/>
      <w:r>
        <w:rPr>
          <w:rFonts w:hint="eastAsia" w:ascii="仿宋" w:hAnsi="仿宋" w:eastAsia="仿宋"/>
          <w:color w:val="000000"/>
          <w:sz w:val="32"/>
          <w:szCs w:val="32"/>
          <w:lang w:val="zh-CN"/>
        </w:rPr>
        <w:t>（一）评价结论。</w:t>
      </w:r>
      <w:bookmarkEnd w:id="252"/>
      <w:bookmarkEnd w:id="253"/>
    </w:p>
    <w:p w14:paraId="1F2AB402">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r>
        <w:rPr>
          <w:rFonts w:hint="eastAsia" w:ascii="仿宋" w:hAnsi="仿宋" w:eastAsia="仿宋"/>
          <w:color w:val="000000"/>
          <w:sz w:val="32"/>
          <w:szCs w:val="32"/>
          <w:lang w:val="zh-CN"/>
        </w:rPr>
        <w:t>在结合社会实际情况下，实施绩效考核是一种新的管理体制。在上级部门的领导下，我校紧紧围绕年度目标任务，扎实做好各项工作，根据拟定的新的规章制度，加强监督，统筹落实各项任务，推动工作有条不紊的发展。</w:t>
      </w:r>
    </w:p>
    <w:p w14:paraId="613B62C1">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bookmarkStart w:id="254" w:name="_Toc20359_WPSOffice_Level3"/>
      <w:bookmarkStart w:id="255" w:name="_Toc22809_WPSOffice_Level3"/>
      <w:r>
        <w:rPr>
          <w:rFonts w:hint="eastAsia" w:ascii="仿宋" w:hAnsi="仿宋" w:eastAsia="仿宋"/>
          <w:color w:val="000000"/>
          <w:sz w:val="32"/>
          <w:szCs w:val="32"/>
          <w:lang w:val="zh-CN"/>
        </w:rPr>
        <w:t>（二）存在问题。</w:t>
      </w:r>
      <w:bookmarkEnd w:id="254"/>
      <w:bookmarkEnd w:id="255"/>
    </w:p>
    <w:p w14:paraId="00119228">
      <w:pPr>
        <w:widowControl/>
        <w:adjustRightInd w:val="0"/>
        <w:snapToGrid w:val="0"/>
        <w:spacing w:line="580" w:lineRule="exact"/>
        <w:ind w:firstLine="640" w:firstLineChars="200"/>
        <w:contextualSpacing/>
        <w:jc w:val="left"/>
        <w:rPr>
          <w:rFonts w:ascii="仿宋" w:hAnsi="仿宋" w:eastAsia="仿宋"/>
          <w:color w:val="000000"/>
          <w:sz w:val="32"/>
          <w:szCs w:val="32"/>
        </w:rPr>
      </w:pPr>
      <w:r>
        <w:rPr>
          <w:rFonts w:hint="eastAsia" w:ascii="仿宋" w:hAnsi="仿宋" w:eastAsia="仿宋"/>
          <w:color w:val="000000"/>
          <w:sz w:val="32"/>
          <w:szCs w:val="32"/>
        </w:rPr>
        <w:t>查漏补缺，对需要改进的地方积极反思，创新工作方式方法，不断完善。</w:t>
      </w:r>
    </w:p>
    <w:p w14:paraId="73DE5DDC">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bookmarkStart w:id="256" w:name="_Toc20126_WPSOffice_Level3"/>
      <w:r>
        <w:rPr>
          <w:rFonts w:hint="eastAsia" w:ascii="仿宋" w:hAnsi="仿宋" w:eastAsia="仿宋"/>
          <w:color w:val="000000"/>
          <w:sz w:val="32"/>
          <w:szCs w:val="32"/>
          <w:lang w:val="zh-CN"/>
        </w:rPr>
        <w:t>改进建议。</w:t>
      </w:r>
      <w:bookmarkEnd w:id="256"/>
    </w:p>
    <w:p w14:paraId="35AF0D65">
      <w:pPr>
        <w:widowControl/>
        <w:adjustRightInd w:val="0"/>
        <w:snapToGrid w:val="0"/>
        <w:spacing w:line="580" w:lineRule="exact"/>
        <w:ind w:firstLine="640" w:firstLineChars="200"/>
        <w:contextualSpacing/>
        <w:jc w:val="left"/>
        <w:rPr>
          <w:rFonts w:ascii="仿宋" w:hAnsi="仿宋" w:eastAsia="仿宋"/>
          <w:color w:val="000000"/>
          <w:sz w:val="32"/>
          <w:szCs w:val="32"/>
          <w:lang w:val="zh-CN"/>
        </w:rPr>
      </w:pPr>
      <w:r>
        <w:rPr>
          <w:rFonts w:hint="eastAsia" w:ascii="仿宋" w:hAnsi="仿宋" w:eastAsia="仿宋"/>
          <w:color w:val="000000"/>
          <w:sz w:val="32"/>
          <w:szCs w:val="32"/>
        </w:rPr>
        <w:t>请主管部门指导和督促各单位根据在原有的评价建议拟定整改方案，明确整改步骤。对绩效评价工作流程进行指导和监督，督促其改进预算和管理工作。将评价信息结果公开，接受公众监督制约。</w:t>
      </w:r>
    </w:p>
    <w:p w14:paraId="4939E46D">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257" w:name="_Toc79163635"/>
      <w:bookmarkStart w:id="258" w:name="_Toc15396618"/>
      <w:bookmarkStart w:id="259" w:name="_Toc79163885"/>
    </w:p>
    <w:p w14:paraId="0652DEB0">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260" w:name="_Toc3982_WPSOffice_Level1"/>
      <w:bookmarkStart w:id="261" w:name="_Toc10718_WPSOffice_Level1"/>
      <w:r>
        <w:rPr>
          <w:rFonts w:hint="eastAsia" w:ascii="仿宋" w:hAnsi="仿宋" w:eastAsia="仿宋"/>
          <w:color w:val="000000"/>
          <w:sz w:val="32"/>
          <w:szCs w:val="32"/>
        </w:rPr>
        <w:t>第五部分 附表</w:t>
      </w:r>
      <w:bookmarkEnd w:id="219"/>
      <w:bookmarkEnd w:id="257"/>
      <w:bookmarkEnd w:id="258"/>
      <w:bookmarkEnd w:id="259"/>
      <w:bookmarkEnd w:id="260"/>
      <w:bookmarkEnd w:id="261"/>
    </w:p>
    <w:p w14:paraId="054D223D">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262" w:name="_Toc23252_WPSOffice_Level2"/>
      <w:bookmarkStart w:id="263" w:name="_Toc79163636"/>
      <w:bookmarkStart w:id="264" w:name="_Toc79163886"/>
      <w:bookmarkStart w:id="265" w:name="_Toc28830_WPSOffice_Level2"/>
      <w:bookmarkStart w:id="266" w:name="_Toc15396619"/>
      <w:r>
        <w:rPr>
          <w:rFonts w:hint="eastAsia" w:ascii="仿宋" w:hAnsi="仿宋" w:eastAsia="仿宋"/>
          <w:color w:val="000000"/>
          <w:sz w:val="32"/>
          <w:szCs w:val="32"/>
        </w:rPr>
        <w:t>一、收入支出决算总表</w:t>
      </w:r>
      <w:bookmarkEnd w:id="262"/>
      <w:bookmarkEnd w:id="263"/>
      <w:bookmarkEnd w:id="264"/>
      <w:bookmarkEnd w:id="265"/>
      <w:bookmarkEnd w:id="266"/>
    </w:p>
    <w:p w14:paraId="40005969">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267" w:name="_Toc22809_WPSOffice_Level2"/>
      <w:bookmarkStart w:id="268" w:name="_Toc79163887"/>
      <w:bookmarkStart w:id="269" w:name="_Toc20359_WPSOffice_Level2"/>
      <w:bookmarkStart w:id="270" w:name="_Toc15396620"/>
      <w:bookmarkStart w:id="271" w:name="_Toc79163637"/>
      <w:r>
        <w:rPr>
          <w:rFonts w:hint="eastAsia" w:ascii="仿宋" w:hAnsi="仿宋" w:eastAsia="仿宋"/>
          <w:color w:val="000000"/>
          <w:sz w:val="32"/>
          <w:szCs w:val="32"/>
        </w:rPr>
        <w:t>二、收入决算表</w:t>
      </w:r>
      <w:bookmarkEnd w:id="267"/>
      <w:bookmarkEnd w:id="268"/>
      <w:bookmarkEnd w:id="269"/>
      <w:bookmarkEnd w:id="270"/>
      <w:bookmarkEnd w:id="271"/>
    </w:p>
    <w:p w14:paraId="1A32EE32">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272" w:name="_Toc15396621"/>
      <w:bookmarkStart w:id="273" w:name="_Toc20126_WPSOffice_Level2"/>
      <w:bookmarkStart w:id="274" w:name="_Toc79163888"/>
      <w:bookmarkStart w:id="275" w:name="_Toc7875_WPSOffice_Level2"/>
      <w:bookmarkStart w:id="276" w:name="_Toc79163638"/>
      <w:r>
        <w:rPr>
          <w:rFonts w:hint="eastAsia" w:ascii="仿宋" w:hAnsi="仿宋" w:eastAsia="仿宋"/>
          <w:color w:val="000000"/>
          <w:sz w:val="32"/>
          <w:szCs w:val="32"/>
        </w:rPr>
        <w:t>三、支出决算表</w:t>
      </w:r>
      <w:bookmarkEnd w:id="272"/>
      <w:bookmarkEnd w:id="273"/>
      <w:bookmarkEnd w:id="274"/>
      <w:bookmarkEnd w:id="275"/>
      <w:bookmarkEnd w:id="276"/>
    </w:p>
    <w:p w14:paraId="72C8B009">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277" w:name="_Toc7887_WPSOffice_Level2"/>
      <w:bookmarkStart w:id="278" w:name="_Toc22408_WPSOffice_Level2"/>
      <w:bookmarkStart w:id="279" w:name="_Toc79163639"/>
      <w:bookmarkStart w:id="280" w:name="_Toc15396622"/>
      <w:bookmarkStart w:id="281" w:name="_Toc79163889"/>
      <w:r>
        <w:rPr>
          <w:rFonts w:hint="eastAsia" w:ascii="仿宋" w:hAnsi="仿宋" w:eastAsia="仿宋"/>
          <w:color w:val="000000"/>
          <w:sz w:val="32"/>
          <w:szCs w:val="32"/>
        </w:rPr>
        <w:t>四、财政拨款收入支出决算总表</w:t>
      </w:r>
      <w:bookmarkEnd w:id="277"/>
      <w:bookmarkEnd w:id="278"/>
      <w:bookmarkEnd w:id="279"/>
      <w:bookmarkEnd w:id="280"/>
      <w:bookmarkEnd w:id="281"/>
    </w:p>
    <w:p w14:paraId="288B14C3">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282" w:name="_Toc8972_WPSOffice_Level2"/>
      <w:bookmarkStart w:id="283" w:name="_Toc15396623"/>
      <w:bookmarkStart w:id="284" w:name="_Toc79163890"/>
      <w:bookmarkStart w:id="285" w:name="_Toc28250_WPSOffice_Level2"/>
      <w:bookmarkStart w:id="286" w:name="_Toc79163640"/>
      <w:r>
        <w:rPr>
          <w:rFonts w:hint="eastAsia" w:ascii="仿宋" w:hAnsi="仿宋" w:eastAsia="仿宋"/>
          <w:color w:val="000000"/>
          <w:sz w:val="32"/>
          <w:szCs w:val="32"/>
        </w:rPr>
        <w:t>五、财政拨款支出决算明细表</w:t>
      </w:r>
      <w:bookmarkEnd w:id="282"/>
      <w:bookmarkEnd w:id="283"/>
      <w:bookmarkEnd w:id="284"/>
      <w:bookmarkEnd w:id="285"/>
      <w:bookmarkEnd w:id="286"/>
      <w:bookmarkStart w:id="287" w:name="_Toc15396624"/>
    </w:p>
    <w:p w14:paraId="02644F2F">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288" w:name="_Toc2864_WPSOffice_Level2"/>
      <w:bookmarkStart w:id="289" w:name="_Toc24663_WPSOffice_Level2"/>
      <w:bookmarkStart w:id="290" w:name="_Toc79163641"/>
      <w:bookmarkStart w:id="291" w:name="_Toc79163891"/>
      <w:r>
        <w:rPr>
          <w:rFonts w:hint="eastAsia" w:ascii="仿宋" w:hAnsi="仿宋" w:eastAsia="仿宋"/>
          <w:color w:val="000000"/>
          <w:sz w:val="32"/>
          <w:szCs w:val="32"/>
        </w:rPr>
        <w:t>六、一般公共预算财政拨款支出决算表</w:t>
      </w:r>
      <w:bookmarkEnd w:id="287"/>
      <w:bookmarkEnd w:id="288"/>
      <w:bookmarkEnd w:id="289"/>
      <w:bookmarkEnd w:id="290"/>
      <w:bookmarkEnd w:id="291"/>
    </w:p>
    <w:p w14:paraId="6245E3A8">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292" w:name="_Toc79163642"/>
      <w:bookmarkStart w:id="293" w:name="_Toc4384_WPSOffice_Level2"/>
      <w:bookmarkStart w:id="294" w:name="_Toc79163892"/>
      <w:bookmarkStart w:id="295" w:name="_Toc15396625"/>
      <w:bookmarkStart w:id="296" w:name="_Toc25276_WPSOffice_Level2"/>
      <w:r>
        <w:rPr>
          <w:rFonts w:hint="eastAsia" w:ascii="仿宋" w:hAnsi="仿宋" w:eastAsia="仿宋"/>
          <w:color w:val="000000"/>
          <w:sz w:val="32"/>
          <w:szCs w:val="32"/>
        </w:rPr>
        <w:t>七、一般公共预算财政拨款支出决算明细表</w:t>
      </w:r>
      <w:bookmarkEnd w:id="292"/>
      <w:bookmarkEnd w:id="293"/>
      <w:bookmarkEnd w:id="294"/>
      <w:bookmarkEnd w:id="295"/>
      <w:bookmarkEnd w:id="296"/>
    </w:p>
    <w:p w14:paraId="1FD875DC">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297" w:name="_Toc7202_WPSOffice_Level2"/>
      <w:bookmarkStart w:id="298" w:name="_Toc12472_WPSOffice_Level2"/>
      <w:bookmarkStart w:id="299" w:name="_Toc15396626"/>
      <w:bookmarkStart w:id="300" w:name="_Toc79163893"/>
      <w:bookmarkStart w:id="301" w:name="_Toc79163643"/>
      <w:r>
        <w:rPr>
          <w:rFonts w:hint="eastAsia" w:ascii="仿宋" w:hAnsi="仿宋" w:eastAsia="仿宋"/>
          <w:color w:val="000000"/>
          <w:sz w:val="32"/>
          <w:szCs w:val="32"/>
        </w:rPr>
        <w:t>八、一般公共预算财政拨款基本支出决算表</w:t>
      </w:r>
      <w:bookmarkEnd w:id="297"/>
      <w:bookmarkEnd w:id="298"/>
      <w:bookmarkEnd w:id="299"/>
      <w:bookmarkEnd w:id="300"/>
      <w:bookmarkEnd w:id="301"/>
    </w:p>
    <w:p w14:paraId="251DC4F4">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302" w:name="_Toc79163644"/>
      <w:bookmarkStart w:id="303" w:name="_Toc15396627"/>
      <w:bookmarkStart w:id="304" w:name="_Toc14411_WPSOffice_Level2"/>
      <w:bookmarkStart w:id="305" w:name="_Toc4419_WPSOffice_Level2"/>
      <w:bookmarkStart w:id="306" w:name="_Toc79163894"/>
      <w:r>
        <w:rPr>
          <w:rFonts w:hint="eastAsia" w:ascii="仿宋" w:hAnsi="仿宋" w:eastAsia="仿宋"/>
          <w:color w:val="000000"/>
          <w:sz w:val="32"/>
          <w:szCs w:val="32"/>
        </w:rPr>
        <w:t>九、一般公共预算财政拨款项目支出决算表</w:t>
      </w:r>
      <w:bookmarkEnd w:id="302"/>
      <w:bookmarkEnd w:id="303"/>
      <w:bookmarkEnd w:id="304"/>
      <w:bookmarkEnd w:id="305"/>
      <w:bookmarkEnd w:id="306"/>
    </w:p>
    <w:p w14:paraId="6BBF0D59">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307" w:name="_Toc79163645"/>
      <w:bookmarkStart w:id="308" w:name="_Toc27030_WPSOffice_Level2"/>
      <w:bookmarkStart w:id="309" w:name="_Toc79163895"/>
      <w:bookmarkStart w:id="310" w:name="_Toc14829_WPSOffice_Level2"/>
      <w:bookmarkStart w:id="311" w:name="_Toc15396628"/>
      <w:r>
        <w:rPr>
          <w:rFonts w:hint="eastAsia" w:ascii="仿宋" w:hAnsi="仿宋" w:eastAsia="仿宋"/>
          <w:color w:val="000000"/>
          <w:sz w:val="32"/>
          <w:szCs w:val="32"/>
        </w:rPr>
        <w:t>十、一般公共预算财政拨款“三公”经费支出决算表</w:t>
      </w:r>
      <w:bookmarkEnd w:id="307"/>
      <w:bookmarkEnd w:id="308"/>
      <w:bookmarkEnd w:id="309"/>
      <w:bookmarkEnd w:id="310"/>
      <w:bookmarkEnd w:id="311"/>
    </w:p>
    <w:p w14:paraId="182A44A8">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312" w:name="_Toc79163896"/>
      <w:bookmarkStart w:id="313" w:name="_Toc9833_WPSOffice_Level2"/>
      <w:bookmarkStart w:id="314" w:name="_Toc15396629"/>
      <w:bookmarkStart w:id="315" w:name="_Toc79163646"/>
      <w:bookmarkStart w:id="316" w:name="_Toc18852_WPSOffice_Level2"/>
      <w:r>
        <w:rPr>
          <w:rFonts w:hint="eastAsia" w:ascii="仿宋" w:hAnsi="仿宋" w:eastAsia="仿宋"/>
          <w:color w:val="000000"/>
          <w:sz w:val="32"/>
          <w:szCs w:val="32"/>
        </w:rPr>
        <w:t>十一、政府性基金预算财政拨款收入支出决算表</w:t>
      </w:r>
      <w:bookmarkEnd w:id="312"/>
      <w:bookmarkEnd w:id="313"/>
      <w:bookmarkEnd w:id="314"/>
      <w:bookmarkEnd w:id="315"/>
      <w:bookmarkEnd w:id="316"/>
    </w:p>
    <w:p w14:paraId="0F58D627">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317" w:name="_Toc15396630"/>
      <w:bookmarkStart w:id="318" w:name="_Toc921_WPSOffice_Level2"/>
      <w:bookmarkStart w:id="319" w:name="_Toc79163647"/>
      <w:bookmarkStart w:id="320" w:name="_Toc79163897"/>
      <w:bookmarkStart w:id="321" w:name="_Toc6074_WPSOffice_Level2"/>
      <w:r>
        <w:rPr>
          <w:rFonts w:hint="eastAsia" w:ascii="仿宋" w:hAnsi="仿宋" w:eastAsia="仿宋"/>
          <w:color w:val="000000"/>
          <w:sz w:val="32"/>
          <w:szCs w:val="32"/>
        </w:rPr>
        <w:t>十二、政府性基金预算财政拨款“三公”经费支出决算表</w:t>
      </w:r>
      <w:bookmarkEnd w:id="317"/>
      <w:bookmarkEnd w:id="318"/>
      <w:bookmarkEnd w:id="319"/>
      <w:bookmarkEnd w:id="320"/>
      <w:bookmarkEnd w:id="321"/>
    </w:p>
    <w:p w14:paraId="03891C67">
      <w:pPr>
        <w:widowControl/>
        <w:adjustRightInd w:val="0"/>
        <w:snapToGrid w:val="0"/>
        <w:spacing w:line="580" w:lineRule="exact"/>
        <w:ind w:firstLine="640" w:firstLineChars="200"/>
        <w:contextualSpacing/>
        <w:jc w:val="left"/>
        <w:rPr>
          <w:rFonts w:ascii="仿宋" w:hAnsi="仿宋" w:eastAsia="仿宋"/>
          <w:color w:val="000000"/>
          <w:sz w:val="32"/>
          <w:szCs w:val="32"/>
        </w:rPr>
      </w:pPr>
      <w:bookmarkStart w:id="322" w:name="_Toc79163898"/>
      <w:bookmarkStart w:id="323" w:name="_Toc79163648"/>
      <w:bookmarkStart w:id="324" w:name="_Toc26013_WPSOffice_Level2"/>
      <w:bookmarkStart w:id="325" w:name="_Toc8410_WPSOffice_Level2"/>
      <w:bookmarkStart w:id="326" w:name="_Toc15396631"/>
      <w:r>
        <w:rPr>
          <w:rFonts w:hint="eastAsia" w:ascii="仿宋" w:hAnsi="仿宋" w:eastAsia="仿宋"/>
          <w:color w:val="000000"/>
          <w:sz w:val="32"/>
          <w:szCs w:val="32"/>
        </w:rPr>
        <w:t>十三、国有资本经营预算财政拨款支出决算表</w:t>
      </w:r>
      <w:bookmarkEnd w:id="322"/>
      <w:bookmarkEnd w:id="323"/>
      <w:bookmarkEnd w:id="324"/>
      <w:bookmarkEnd w:id="325"/>
      <w:bookmarkEnd w:id="326"/>
    </w:p>
    <w:p w14:paraId="21AAADB3">
      <w:pPr>
        <w:widowControl/>
        <w:adjustRightInd w:val="0"/>
        <w:snapToGrid w:val="0"/>
        <w:spacing w:line="580" w:lineRule="exact"/>
        <w:ind w:firstLine="640" w:firstLineChars="200"/>
        <w:contextualSpacing/>
        <w:jc w:val="left"/>
        <w:rPr>
          <w:rFonts w:ascii="仿宋" w:hAnsi="仿宋" w:eastAsia="仿宋"/>
          <w:color w:val="000000"/>
          <w:sz w:val="32"/>
          <w:szCs w:val="32"/>
        </w:rPr>
      </w:pP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5914E">
    <w:pPr>
      <w:pStyle w:val="11"/>
      <w:jc w:val="center"/>
    </w:pPr>
    <w:r>
      <w:fldChar w:fldCharType="begin"/>
    </w:r>
    <w:r>
      <w:instrText xml:space="preserve">PAGE   \* MERGEFORMAT</w:instrText>
    </w:r>
    <w:r>
      <w:fldChar w:fldCharType="separate"/>
    </w:r>
    <w:r>
      <w:t>9</w:t>
    </w:r>
    <w:r>
      <w:fldChar w:fldCharType="end"/>
    </w:r>
  </w:p>
  <w:p w14:paraId="7DCF1595">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0A4B7">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87166A"/>
    <w:multiLevelType w:val="singleLevel"/>
    <w:tmpl w:val="C787166A"/>
    <w:lvl w:ilvl="0" w:tentative="0">
      <w:start w:val="1"/>
      <w:numFmt w:val="decimal"/>
      <w:lvlText w:val="%1."/>
      <w:lvlJc w:val="left"/>
      <w:pPr>
        <w:tabs>
          <w:tab w:val="left" w:pos="312"/>
        </w:tabs>
      </w:pPr>
    </w:lvl>
  </w:abstractNum>
  <w:abstractNum w:abstractNumId="1">
    <w:nsid w:val="16118075"/>
    <w:multiLevelType w:val="singleLevel"/>
    <w:tmpl w:val="16118075"/>
    <w:lvl w:ilvl="0" w:tentative="0">
      <w:start w:val="2"/>
      <w:numFmt w:val="chineseCounting"/>
      <w:suff w:val="nothing"/>
      <w:lvlText w:val="（%1）"/>
      <w:lvlJc w:val="left"/>
      <w:rPr>
        <w:rFonts w:hint="eastAsia"/>
      </w:rPr>
    </w:lvl>
  </w:abstractNum>
  <w:abstractNum w:abstractNumId="2">
    <w:nsid w:val="7098C938"/>
    <w:multiLevelType w:val="singleLevel"/>
    <w:tmpl w:val="7098C938"/>
    <w:lvl w:ilvl="0" w:tentative="0">
      <w:start w:val="1"/>
      <w:numFmt w:val="chineseCounting"/>
      <w:suff w:val="space"/>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1361C"/>
    <w:rsid w:val="00006EC1"/>
    <w:rsid w:val="000222C6"/>
    <w:rsid w:val="00023FA9"/>
    <w:rsid w:val="0002549F"/>
    <w:rsid w:val="000468DB"/>
    <w:rsid w:val="0006487A"/>
    <w:rsid w:val="00065F8F"/>
    <w:rsid w:val="00066DBC"/>
    <w:rsid w:val="00070A43"/>
    <w:rsid w:val="00073E34"/>
    <w:rsid w:val="000768F2"/>
    <w:rsid w:val="00076CA8"/>
    <w:rsid w:val="0009184B"/>
    <w:rsid w:val="00094236"/>
    <w:rsid w:val="0009593C"/>
    <w:rsid w:val="00097322"/>
    <w:rsid w:val="000A37E6"/>
    <w:rsid w:val="000A6A92"/>
    <w:rsid w:val="000B047F"/>
    <w:rsid w:val="000B0B0F"/>
    <w:rsid w:val="000B1445"/>
    <w:rsid w:val="000B5923"/>
    <w:rsid w:val="000B5A48"/>
    <w:rsid w:val="000B6FF3"/>
    <w:rsid w:val="000C3467"/>
    <w:rsid w:val="000C3CA6"/>
    <w:rsid w:val="000D1267"/>
    <w:rsid w:val="000D1D50"/>
    <w:rsid w:val="000D5782"/>
    <w:rsid w:val="000E6613"/>
    <w:rsid w:val="000E7119"/>
    <w:rsid w:val="000F48F4"/>
    <w:rsid w:val="00113D75"/>
    <w:rsid w:val="00114E9B"/>
    <w:rsid w:val="00115301"/>
    <w:rsid w:val="001259A0"/>
    <w:rsid w:val="001301B5"/>
    <w:rsid w:val="001319E1"/>
    <w:rsid w:val="00142216"/>
    <w:rsid w:val="00144D6A"/>
    <w:rsid w:val="0014729F"/>
    <w:rsid w:val="0015283E"/>
    <w:rsid w:val="00152994"/>
    <w:rsid w:val="00153821"/>
    <w:rsid w:val="00157BAB"/>
    <w:rsid w:val="001654D1"/>
    <w:rsid w:val="00170744"/>
    <w:rsid w:val="00174518"/>
    <w:rsid w:val="0018106D"/>
    <w:rsid w:val="001877A7"/>
    <w:rsid w:val="00191536"/>
    <w:rsid w:val="00196687"/>
    <w:rsid w:val="001C0962"/>
    <w:rsid w:val="001C4616"/>
    <w:rsid w:val="001D7531"/>
    <w:rsid w:val="001E11FC"/>
    <w:rsid w:val="001E6EBC"/>
    <w:rsid w:val="001E737D"/>
    <w:rsid w:val="001F0592"/>
    <w:rsid w:val="001F7228"/>
    <w:rsid w:val="001F7506"/>
    <w:rsid w:val="002006CD"/>
    <w:rsid w:val="00202B36"/>
    <w:rsid w:val="00204B7A"/>
    <w:rsid w:val="00204CDE"/>
    <w:rsid w:val="002052FF"/>
    <w:rsid w:val="0021101A"/>
    <w:rsid w:val="00212DEC"/>
    <w:rsid w:val="002177A2"/>
    <w:rsid w:val="00220536"/>
    <w:rsid w:val="00235629"/>
    <w:rsid w:val="002467A8"/>
    <w:rsid w:val="00256262"/>
    <w:rsid w:val="00260C38"/>
    <w:rsid w:val="002616C0"/>
    <w:rsid w:val="002635A7"/>
    <w:rsid w:val="00265372"/>
    <w:rsid w:val="002662AA"/>
    <w:rsid w:val="0027224D"/>
    <w:rsid w:val="00272EEF"/>
    <w:rsid w:val="00280496"/>
    <w:rsid w:val="00294DC9"/>
    <w:rsid w:val="00295495"/>
    <w:rsid w:val="002A31DE"/>
    <w:rsid w:val="002B2001"/>
    <w:rsid w:val="002B2613"/>
    <w:rsid w:val="002B2FF7"/>
    <w:rsid w:val="002C43DC"/>
    <w:rsid w:val="002C77C5"/>
    <w:rsid w:val="002D6D05"/>
    <w:rsid w:val="002F1818"/>
    <w:rsid w:val="002F567B"/>
    <w:rsid w:val="00302523"/>
    <w:rsid w:val="003216A9"/>
    <w:rsid w:val="003226D6"/>
    <w:rsid w:val="00335A74"/>
    <w:rsid w:val="003551C6"/>
    <w:rsid w:val="00362FB1"/>
    <w:rsid w:val="0036561B"/>
    <w:rsid w:val="0037013F"/>
    <w:rsid w:val="00380C92"/>
    <w:rsid w:val="003A484F"/>
    <w:rsid w:val="003A4883"/>
    <w:rsid w:val="003B0BE0"/>
    <w:rsid w:val="003B0C1B"/>
    <w:rsid w:val="003B688C"/>
    <w:rsid w:val="003C0291"/>
    <w:rsid w:val="003C39AE"/>
    <w:rsid w:val="003C4CD0"/>
    <w:rsid w:val="003C5780"/>
    <w:rsid w:val="003C7B60"/>
    <w:rsid w:val="003D0C0F"/>
    <w:rsid w:val="003D1FB2"/>
    <w:rsid w:val="003D66DA"/>
    <w:rsid w:val="003E1310"/>
    <w:rsid w:val="003E6F55"/>
    <w:rsid w:val="003E6FE4"/>
    <w:rsid w:val="00406254"/>
    <w:rsid w:val="00407091"/>
    <w:rsid w:val="0041110D"/>
    <w:rsid w:val="004223DE"/>
    <w:rsid w:val="00430912"/>
    <w:rsid w:val="00434489"/>
    <w:rsid w:val="00437085"/>
    <w:rsid w:val="00443880"/>
    <w:rsid w:val="00445607"/>
    <w:rsid w:val="004464F4"/>
    <w:rsid w:val="00471401"/>
    <w:rsid w:val="004714F4"/>
    <w:rsid w:val="00473F31"/>
    <w:rsid w:val="0048263A"/>
    <w:rsid w:val="00487E5D"/>
    <w:rsid w:val="004A2167"/>
    <w:rsid w:val="004A711F"/>
    <w:rsid w:val="004B199D"/>
    <w:rsid w:val="004B4690"/>
    <w:rsid w:val="004D5479"/>
    <w:rsid w:val="004E0A2D"/>
    <w:rsid w:val="004E206B"/>
    <w:rsid w:val="004E6DF7"/>
    <w:rsid w:val="004F0FBD"/>
    <w:rsid w:val="00505A47"/>
    <w:rsid w:val="005121CB"/>
    <w:rsid w:val="00512FDA"/>
    <w:rsid w:val="00517657"/>
    <w:rsid w:val="00520DA0"/>
    <w:rsid w:val="00523420"/>
    <w:rsid w:val="00523B7C"/>
    <w:rsid w:val="005269A7"/>
    <w:rsid w:val="005269D7"/>
    <w:rsid w:val="005664BB"/>
    <w:rsid w:val="00566FFA"/>
    <w:rsid w:val="0057481D"/>
    <w:rsid w:val="0058486E"/>
    <w:rsid w:val="00585B33"/>
    <w:rsid w:val="0059014D"/>
    <w:rsid w:val="00593453"/>
    <w:rsid w:val="005B5C64"/>
    <w:rsid w:val="005C41FD"/>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3586F"/>
    <w:rsid w:val="00635DE2"/>
    <w:rsid w:val="006367D1"/>
    <w:rsid w:val="006410C8"/>
    <w:rsid w:val="00642CC7"/>
    <w:rsid w:val="006440E4"/>
    <w:rsid w:val="00645F81"/>
    <w:rsid w:val="0066343B"/>
    <w:rsid w:val="00664777"/>
    <w:rsid w:val="0066507C"/>
    <w:rsid w:val="00666091"/>
    <w:rsid w:val="00674182"/>
    <w:rsid w:val="006748A4"/>
    <w:rsid w:val="0067722F"/>
    <w:rsid w:val="00681A31"/>
    <w:rsid w:val="00683E73"/>
    <w:rsid w:val="006A3141"/>
    <w:rsid w:val="006A5E34"/>
    <w:rsid w:val="006B2422"/>
    <w:rsid w:val="006B2B9A"/>
    <w:rsid w:val="006B6F1B"/>
    <w:rsid w:val="006C1937"/>
    <w:rsid w:val="006D0E3D"/>
    <w:rsid w:val="006D7D57"/>
    <w:rsid w:val="006D7E52"/>
    <w:rsid w:val="006E0B75"/>
    <w:rsid w:val="006F020C"/>
    <w:rsid w:val="007124CE"/>
    <w:rsid w:val="007127B7"/>
    <w:rsid w:val="0071798E"/>
    <w:rsid w:val="007416B6"/>
    <w:rsid w:val="00746F48"/>
    <w:rsid w:val="007509B5"/>
    <w:rsid w:val="0075404D"/>
    <w:rsid w:val="0075798E"/>
    <w:rsid w:val="0076182A"/>
    <w:rsid w:val="00763D5A"/>
    <w:rsid w:val="00767B7E"/>
    <w:rsid w:val="007770C3"/>
    <w:rsid w:val="00784D24"/>
    <w:rsid w:val="00785FBA"/>
    <w:rsid w:val="00786E4A"/>
    <w:rsid w:val="007875EB"/>
    <w:rsid w:val="0079426B"/>
    <w:rsid w:val="007B7C25"/>
    <w:rsid w:val="007D1682"/>
    <w:rsid w:val="007D312A"/>
    <w:rsid w:val="007D368E"/>
    <w:rsid w:val="007D3F19"/>
    <w:rsid w:val="007E23B0"/>
    <w:rsid w:val="007E23E5"/>
    <w:rsid w:val="007F1991"/>
    <w:rsid w:val="007F2C2F"/>
    <w:rsid w:val="007F55FC"/>
    <w:rsid w:val="007F5665"/>
    <w:rsid w:val="00800112"/>
    <w:rsid w:val="00807601"/>
    <w:rsid w:val="00813348"/>
    <w:rsid w:val="00820E41"/>
    <w:rsid w:val="008253BB"/>
    <w:rsid w:val="0083706E"/>
    <w:rsid w:val="008408F6"/>
    <w:rsid w:val="008423A5"/>
    <w:rsid w:val="00844962"/>
    <w:rsid w:val="00850625"/>
    <w:rsid w:val="00852C57"/>
    <w:rsid w:val="00853718"/>
    <w:rsid w:val="00855221"/>
    <w:rsid w:val="00860645"/>
    <w:rsid w:val="008610EF"/>
    <w:rsid w:val="00863B59"/>
    <w:rsid w:val="00871F71"/>
    <w:rsid w:val="00872FD8"/>
    <w:rsid w:val="00885AF4"/>
    <w:rsid w:val="00892315"/>
    <w:rsid w:val="00892977"/>
    <w:rsid w:val="008932D3"/>
    <w:rsid w:val="008939CD"/>
    <w:rsid w:val="008B768C"/>
    <w:rsid w:val="008C4DB1"/>
    <w:rsid w:val="008C4EAF"/>
    <w:rsid w:val="008C5176"/>
    <w:rsid w:val="008C7FD0"/>
    <w:rsid w:val="008E1DE7"/>
    <w:rsid w:val="008E707C"/>
    <w:rsid w:val="008F78A6"/>
    <w:rsid w:val="00900B08"/>
    <w:rsid w:val="00902155"/>
    <w:rsid w:val="00902FA3"/>
    <w:rsid w:val="00923564"/>
    <w:rsid w:val="0092392E"/>
    <w:rsid w:val="009315F9"/>
    <w:rsid w:val="00933499"/>
    <w:rsid w:val="009334D8"/>
    <w:rsid w:val="00935C98"/>
    <w:rsid w:val="00946945"/>
    <w:rsid w:val="00951248"/>
    <w:rsid w:val="0095152F"/>
    <w:rsid w:val="00954C49"/>
    <w:rsid w:val="00955E37"/>
    <w:rsid w:val="00956429"/>
    <w:rsid w:val="00962656"/>
    <w:rsid w:val="0097099F"/>
    <w:rsid w:val="00971997"/>
    <w:rsid w:val="00971FFC"/>
    <w:rsid w:val="00974938"/>
    <w:rsid w:val="0097752F"/>
    <w:rsid w:val="0098660A"/>
    <w:rsid w:val="009931C3"/>
    <w:rsid w:val="009938D0"/>
    <w:rsid w:val="009B2C43"/>
    <w:rsid w:val="009B4EAE"/>
    <w:rsid w:val="009B6E6E"/>
    <w:rsid w:val="009B7573"/>
    <w:rsid w:val="009C22F4"/>
    <w:rsid w:val="009C2A4B"/>
    <w:rsid w:val="009C2E98"/>
    <w:rsid w:val="009D3447"/>
    <w:rsid w:val="009D4711"/>
    <w:rsid w:val="009E26C2"/>
    <w:rsid w:val="009F1185"/>
    <w:rsid w:val="009F18CD"/>
    <w:rsid w:val="009F2A13"/>
    <w:rsid w:val="009F7527"/>
    <w:rsid w:val="00A04EB0"/>
    <w:rsid w:val="00A13CC1"/>
    <w:rsid w:val="00A16847"/>
    <w:rsid w:val="00A237D8"/>
    <w:rsid w:val="00A268C4"/>
    <w:rsid w:val="00A307CD"/>
    <w:rsid w:val="00A331C8"/>
    <w:rsid w:val="00A33A71"/>
    <w:rsid w:val="00A40615"/>
    <w:rsid w:val="00A40A00"/>
    <w:rsid w:val="00A4142F"/>
    <w:rsid w:val="00A422EB"/>
    <w:rsid w:val="00A45BB7"/>
    <w:rsid w:val="00A478EE"/>
    <w:rsid w:val="00A56DF2"/>
    <w:rsid w:val="00A56E6E"/>
    <w:rsid w:val="00A67AB5"/>
    <w:rsid w:val="00A733B2"/>
    <w:rsid w:val="00A741C2"/>
    <w:rsid w:val="00A91760"/>
    <w:rsid w:val="00A93B00"/>
    <w:rsid w:val="00A93C21"/>
    <w:rsid w:val="00AB4B62"/>
    <w:rsid w:val="00AB64C9"/>
    <w:rsid w:val="00AC3C6A"/>
    <w:rsid w:val="00AD2C92"/>
    <w:rsid w:val="00AD5620"/>
    <w:rsid w:val="00AD656B"/>
    <w:rsid w:val="00AD7C1B"/>
    <w:rsid w:val="00AE16BA"/>
    <w:rsid w:val="00AE1EBE"/>
    <w:rsid w:val="00AE74E6"/>
    <w:rsid w:val="00AF5854"/>
    <w:rsid w:val="00AF797C"/>
    <w:rsid w:val="00B011E4"/>
    <w:rsid w:val="00B03C9D"/>
    <w:rsid w:val="00B0575A"/>
    <w:rsid w:val="00B060AE"/>
    <w:rsid w:val="00B10517"/>
    <w:rsid w:val="00B14E76"/>
    <w:rsid w:val="00B161B8"/>
    <w:rsid w:val="00B2048C"/>
    <w:rsid w:val="00B310B9"/>
    <w:rsid w:val="00B35F3F"/>
    <w:rsid w:val="00B36CBB"/>
    <w:rsid w:val="00B425E0"/>
    <w:rsid w:val="00B440AA"/>
    <w:rsid w:val="00B44B70"/>
    <w:rsid w:val="00B45227"/>
    <w:rsid w:val="00B53C56"/>
    <w:rsid w:val="00B57DAF"/>
    <w:rsid w:val="00B77EA6"/>
    <w:rsid w:val="00B81598"/>
    <w:rsid w:val="00B841F1"/>
    <w:rsid w:val="00B90E4E"/>
    <w:rsid w:val="00B93479"/>
    <w:rsid w:val="00B944D6"/>
    <w:rsid w:val="00B965DC"/>
    <w:rsid w:val="00BB4DF0"/>
    <w:rsid w:val="00BC289F"/>
    <w:rsid w:val="00BC2D50"/>
    <w:rsid w:val="00BC5361"/>
    <w:rsid w:val="00BC5460"/>
    <w:rsid w:val="00BC6B50"/>
    <w:rsid w:val="00BD0E25"/>
    <w:rsid w:val="00BD730F"/>
    <w:rsid w:val="00BF5BD6"/>
    <w:rsid w:val="00C03E31"/>
    <w:rsid w:val="00C3063B"/>
    <w:rsid w:val="00C33E72"/>
    <w:rsid w:val="00C354B2"/>
    <w:rsid w:val="00C35554"/>
    <w:rsid w:val="00C42709"/>
    <w:rsid w:val="00C44C4E"/>
    <w:rsid w:val="00C533CC"/>
    <w:rsid w:val="00C5751C"/>
    <w:rsid w:val="00C61BFC"/>
    <w:rsid w:val="00C62B85"/>
    <w:rsid w:val="00C65438"/>
    <w:rsid w:val="00C87FD8"/>
    <w:rsid w:val="00C91381"/>
    <w:rsid w:val="00C91CBB"/>
    <w:rsid w:val="00CA6DA0"/>
    <w:rsid w:val="00CB4E70"/>
    <w:rsid w:val="00CC09B6"/>
    <w:rsid w:val="00CC666F"/>
    <w:rsid w:val="00CD1E3F"/>
    <w:rsid w:val="00CE44F6"/>
    <w:rsid w:val="00CE49DA"/>
    <w:rsid w:val="00CE5C31"/>
    <w:rsid w:val="00CE7B61"/>
    <w:rsid w:val="00CF483A"/>
    <w:rsid w:val="00D00095"/>
    <w:rsid w:val="00D114F0"/>
    <w:rsid w:val="00D20620"/>
    <w:rsid w:val="00D254F7"/>
    <w:rsid w:val="00D26091"/>
    <w:rsid w:val="00D2685C"/>
    <w:rsid w:val="00D34E7C"/>
    <w:rsid w:val="00D35489"/>
    <w:rsid w:val="00D36AFE"/>
    <w:rsid w:val="00D46E4D"/>
    <w:rsid w:val="00D51276"/>
    <w:rsid w:val="00D65CEE"/>
    <w:rsid w:val="00D7035F"/>
    <w:rsid w:val="00D704B4"/>
    <w:rsid w:val="00D80689"/>
    <w:rsid w:val="00D964D6"/>
    <w:rsid w:val="00DA634F"/>
    <w:rsid w:val="00DA65AC"/>
    <w:rsid w:val="00DA7382"/>
    <w:rsid w:val="00DB1913"/>
    <w:rsid w:val="00DB6D94"/>
    <w:rsid w:val="00DC2414"/>
    <w:rsid w:val="00DC410D"/>
    <w:rsid w:val="00DC58BE"/>
    <w:rsid w:val="00DC5A81"/>
    <w:rsid w:val="00DC68CA"/>
    <w:rsid w:val="00DC74B0"/>
    <w:rsid w:val="00DC7CBA"/>
    <w:rsid w:val="00DD73B7"/>
    <w:rsid w:val="00DF28BC"/>
    <w:rsid w:val="00DF34B9"/>
    <w:rsid w:val="00E01053"/>
    <w:rsid w:val="00E030E2"/>
    <w:rsid w:val="00E05630"/>
    <w:rsid w:val="00E07ACF"/>
    <w:rsid w:val="00E20B94"/>
    <w:rsid w:val="00E32CAD"/>
    <w:rsid w:val="00E331A1"/>
    <w:rsid w:val="00E33202"/>
    <w:rsid w:val="00E336A9"/>
    <w:rsid w:val="00E472B1"/>
    <w:rsid w:val="00E50624"/>
    <w:rsid w:val="00E568DF"/>
    <w:rsid w:val="00E64269"/>
    <w:rsid w:val="00E70582"/>
    <w:rsid w:val="00E70975"/>
    <w:rsid w:val="00E82267"/>
    <w:rsid w:val="00E853CE"/>
    <w:rsid w:val="00E867B6"/>
    <w:rsid w:val="00E96307"/>
    <w:rsid w:val="00EA010F"/>
    <w:rsid w:val="00EB37F7"/>
    <w:rsid w:val="00ED1B63"/>
    <w:rsid w:val="00ED3C1F"/>
    <w:rsid w:val="00ED4085"/>
    <w:rsid w:val="00ED420E"/>
    <w:rsid w:val="00ED6FBE"/>
    <w:rsid w:val="00EE2F57"/>
    <w:rsid w:val="00EE3F10"/>
    <w:rsid w:val="00EF4C34"/>
    <w:rsid w:val="00EF60EF"/>
    <w:rsid w:val="00EF77C6"/>
    <w:rsid w:val="00F05438"/>
    <w:rsid w:val="00F07A1A"/>
    <w:rsid w:val="00F1361C"/>
    <w:rsid w:val="00F156F0"/>
    <w:rsid w:val="00F160C7"/>
    <w:rsid w:val="00F2408F"/>
    <w:rsid w:val="00F240E9"/>
    <w:rsid w:val="00F36D8F"/>
    <w:rsid w:val="00F417B1"/>
    <w:rsid w:val="00F45853"/>
    <w:rsid w:val="00F602DF"/>
    <w:rsid w:val="00F67211"/>
    <w:rsid w:val="00F72DE6"/>
    <w:rsid w:val="00F754A1"/>
    <w:rsid w:val="00F81FD9"/>
    <w:rsid w:val="00F841AA"/>
    <w:rsid w:val="00F84A94"/>
    <w:rsid w:val="00F87E96"/>
    <w:rsid w:val="00F956F4"/>
    <w:rsid w:val="00FA23E8"/>
    <w:rsid w:val="00FB05D3"/>
    <w:rsid w:val="00FB651D"/>
    <w:rsid w:val="00FD3CC1"/>
    <w:rsid w:val="00FE1299"/>
    <w:rsid w:val="00FF1E02"/>
    <w:rsid w:val="00FF30B4"/>
    <w:rsid w:val="01657C13"/>
    <w:rsid w:val="01A00C4B"/>
    <w:rsid w:val="01B110AA"/>
    <w:rsid w:val="01D6466C"/>
    <w:rsid w:val="02003F25"/>
    <w:rsid w:val="021561FD"/>
    <w:rsid w:val="02DE7C7D"/>
    <w:rsid w:val="0301396B"/>
    <w:rsid w:val="046F6954"/>
    <w:rsid w:val="04773540"/>
    <w:rsid w:val="052528BC"/>
    <w:rsid w:val="052851DF"/>
    <w:rsid w:val="054E00CC"/>
    <w:rsid w:val="05852631"/>
    <w:rsid w:val="059B2792"/>
    <w:rsid w:val="07035F04"/>
    <w:rsid w:val="076B4F66"/>
    <w:rsid w:val="07A768F8"/>
    <w:rsid w:val="07B3210A"/>
    <w:rsid w:val="0800732B"/>
    <w:rsid w:val="096E151E"/>
    <w:rsid w:val="09BC05EC"/>
    <w:rsid w:val="09EF451D"/>
    <w:rsid w:val="0A2032A3"/>
    <w:rsid w:val="0A2A37A7"/>
    <w:rsid w:val="0A580440"/>
    <w:rsid w:val="0A5B0F4D"/>
    <w:rsid w:val="0AA07F0D"/>
    <w:rsid w:val="0AA55524"/>
    <w:rsid w:val="0AB12F85"/>
    <w:rsid w:val="0B332B30"/>
    <w:rsid w:val="0B4C599F"/>
    <w:rsid w:val="0B9E444D"/>
    <w:rsid w:val="0BE65DF4"/>
    <w:rsid w:val="0C767178"/>
    <w:rsid w:val="0C8573BB"/>
    <w:rsid w:val="0C857BE9"/>
    <w:rsid w:val="0CB86B08"/>
    <w:rsid w:val="0CB87B01"/>
    <w:rsid w:val="0CE71E24"/>
    <w:rsid w:val="0D093B48"/>
    <w:rsid w:val="0D183D8B"/>
    <w:rsid w:val="0D5C636E"/>
    <w:rsid w:val="0D64630F"/>
    <w:rsid w:val="0E496A93"/>
    <w:rsid w:val="0ED54258"/>
    <w:rsid w:val="0EF425D6"/>
    <w:rsid w:val="0F1A64E0"/>
    <w:rsid w:val="0FA75F90"/>
    <w:rsid w:val="0FB029A1"/>
    <w:rsid w:val="0FF46D31"/>
    <w:rsid w:val="10C055FF"/>
    <w:rsid w:val="10F90377"/>
    <w:rsid w:val="1118788E"/>
    <w:rsid w:val="118107EC"/>
    <w:rsid w:val="12345296"/>
    <w:rsid w:val="12BE53D5"/>
    <w:rsid w:val="12E11EAA"/>
    <w:rsid w:val="12EF1A32"/>
    <w:rsid w:val="12F232D0"/>
    <w:rsid w:val="1340228E"/>
    <w:rsid w:val="13F05A62"/>
    <w:rsid w:val="13F90BB1"/>
    <w:rsid w:val="14CD7B51"/>
    <w:rsid w:val="14FF6E5C"/>
    <w:rsid w:val="15164650"/>
    <w:rsid w:val="15806971"/>
    <w:rsid w:val="160B17E7"/>
    <w:rsid w:val="163F682C"/>
    <w:rsid w:val="16754DC7"/>
    <w:rsid w:val="16BB723D"/>
    <w:rsid w:val="16D8421D"/>
    <w:rsid w:val="173C4B1A"/>
    <w:rsid w:val="17D2722C"/>
    <w:rsid w:val="17E21B65"/>
    <w:rsid w:val="18082818"/>
    <w:rsid w:val="18087696"/>
    <w:rsid w:val="1901601B"/>
    <w:rsid w:val="19235D9E"/>
    <w:rsid w:val="1A2D60DA"/>
    <w:rsid w:val="1A5501C1"/>
    <w:rsid w:val="1A606D71"/>
    <w:rsid w:val="1A9F3D3E"/>
    <w:rsid w:val="1AA02AF5"/>
    <w:rsid w:val="1AAA7380"/>
    <w:rsid w:val="1B0167A6"/>
    <w:rsid w:val="1B98219D"/>
    <w:rsid w:val="1CA468B2"/>
    <w:rsid w:val="1CF00880"/>
    <w:rsid w:val="1D155CEE"/>
    <w:rsid w:val="1D5801D4"/>
    <w:rsid w:val="1DFE4C51"/>
    <w:rsid w:val="1FF70178"/>
    <w:rsid w:val="20323B69"/>
    <w:rsid w:val="20EB001C"/>
    <w:rsid w:val="214967B1"/>
    <w:rsid w:val="218203E2"/>
    <w:rsid w:val="219043E0"/>
    <w:rsid w:val="21F506E7"/>
    <w:rsid w:val="2217240B"/>
    <w:rsid w:val="227E248B"/>
    <w:rsid w:val="22BB36DF"/>
    <w:rsid w:val="22C2681B"/>
    <w:rsid w:val="237623F7"/>
    <w:rsid w:val="240371BF"/>
    <w:rsid w:val="24480FA2"/>
    <w:rsid w:val="244A4D1A"/>
    <w:rsid w:val="24877D1C"/>
    <w:rsid w:val="24E0742D"/>
    <w:rsid w:val="2513335E"/>
    <w:rsid w:val="25357778"/>
    <w:rsid w:val="255F47F5"/>
    <w:rsid w:val="25D6438C"/>
    <w:rsid w:val="27235015"/>
    <w:rsid w:val="2729330D"/>
    <w:rsid w:val="27715DD6"/>
    <w:rsid w:val="277D6BD0"/>
    <w:rsid w:val="27962024"/>
    <w:rsid w:val="27A74232"/>
    <w:rsid w:val="27AC5CEC"/>
    <w:rsid w:val="27C2106B"/>
    <w:rsid w:val="281C4C20"/>
    <w:rsid w:val="28204972"/>
    <w:rsid w:val="2840722A"/>
    <w:rsid w:val="289E5635"/>
    <w:rsid w:val="28DD38CB"/>
    <w:rsid w:val="29FD04D3"/>
    <w:rsid w:val="2A1B5D0D"/>
    <w:rsid w:val="2A7B2D7E"/>
    <w:rsid w:val="2B207D52"/>
    <w:rsid w:val="2B3D7387"/>
    <w:rsid w:val="2B6F0527"/>
    <w:rsid w:val="2C3562B0"/>
    <w:rsid w:val="2CCB2A47"/>
    <w:rsid w:val="2D354E9E"/>
    <w:rsid w:val="2D4A18E7"/>
    <w:rsid w:val="2D9D235F"/>
    <w:rsid w:val="2DA76006"/>
    <w:rsid w:val="2DAD1E76"/>
    <w:rsid w:val="2E2E1209"/>
    <w:rsid w:val="2F7E520B"/>
    <w:rsid w:val="2F884949"/>
    <w:rsid w:val="303D1BD7"/>
    <w:rsid w:val="304A60A2"/>
    <w:rsid w:val="30536D05"/>
    <w:rsid w:val="30EF050E"/>
    <w:rsid w:val="319B4E07"/>
    <w:rsid w:val="319F7F4E"/>
    <w:rsid w:val="31FD2680"/>
    <w:rsid w:val="324F5BF1"/>
    <w:rsid w:val="326F5717"/>
    <w:rsid w:val="327F64D7"/>
    <w:rsid w:val="32D3412D"/>
    <w:rsid w:val="332D7CE1"/>
    <w:rsid w:val="333C7F24"/>
    <w:rsid w:val="33AD100F"/>
    <w:rsid w:val="33B411FF"/>
    <w:rsid w:val="33E32A95"/>
    <w:rsid w:val="360F7B72"/>
    <w:rsid w:val="36125819"/>
    <w:rsid w:val="362D075D"/>
    <w:rsid w:val="364D190D"/>
    <w:rsid w:val="36BB5948"/>
    <w:rsid w:val="36DB3EF8"/>
    <w:rsid w:val="36E1294E"/>
    <w:rsid w:val="37403D5B"/>
    <w:rsid w:val="378105FB"/>
    <w:rsid w:val="384B29B7"/>
    <w:rsid w:val="394C4C39"/>
    <w:rsid w:val="39780D99"/>
    <w:rsid w:val="3A667F7C"/>
    <w:rsid w:val="3A7C5814"/>
    <w:rsid w:val="3AA0523C"/>
    <w:rsid w:val="3B2A73AD"/>
    <w:rsid w:val="3BA0301A"/>
    <w:rsid w:val="3C1852A6"/>
    <w:rsid w:val="3C507839"/>
    <w:rsid w:val="3CD236A7"/>
    <w:rsid w:val="3CDF226A"/>
    <w:rsid w:val="3CE31410"/>
    <w:rsid w:val="3D251A29"/>
    <w:rsid w:val="3D4D5822"/>
    <w:rsid w:val="3DBF3C2B"/>
    <w:rsid w:val="3E9924C6"/>
    <w:rsid w:val="3F00274D"/>
    <w:rsid w:val="3F5D7BA0"/>
    <w:rsid w:val="3F746C97"/>
    <w:rsid w:val="3F8E7D59"/>
    <w:rsid w:val="40534AFF"/>
    <w:rsid w:val="41A0599E"/>
    <w:rsid w:val="42E25341"/>
    <w:rsid w:val="43145374"/>
    <w:rsid w:val="438701E4"/>
    <w:rsid w:val="43996CCD"/>
    <w:rsid w:val="43C31F9B"/>
    <w:rsid w:val="43F96E2C"/>
    <w:rsid w:val="4456696C"/>
    <w:rsid w:val="448E4357"/>
    <w:rsid w:val="44BF2529"/>
    <w:rsid w:val="45592BB7"/>
    <w:rsid w:val="46451783"/>
    <w:rsid w:val="46AA0D46"/>
    <w:rsid w:val="46FA422F"/>
    <w:rsid w:val="47AC5F7F"/>
    <w:rsid w:val="47C85DD2"/>
    <w:rsid w:val="482A083B"/>
    <w:rsid w:val="48515DC8"/>
    <w:rsid w:val="48B620CF"/>
    <w:rsid w:val="49792CCC"/>
    <w:rsid w:val="499E1D46"/>
    <w:rsid w:val="49CF169A"/>
    <w:rsid w:val="49EB5DA8"/>
    <w:rsid w:val="4A3500DC"/>
    <w:rsid w:val="4A45195C"/>
    <w:rsid w:val="4AAB6635"/>
    <w:rsid w:val="4ABA40F8"/>
    <w:rsid w:val="4B0C7423"/>
    <w:rsid w:val="4B3D0885"/>
    <w:rsid w:val="4CA010CC"/>
    <w:rsid w:val="4D3F476D"/>
    <w:rsid w:val="4D4B7289"/>
    <w:rsid w:val="4DE35714"/>
    <w:rsid w:val="4E3150E2"/>
    <w:rsid w:val="4EC372F3"/>
    <w:rsid w:val="4ECE2238"/>
    <w:rsid w:val="4F9D5D96"/>
    <w:rsid w:val="4FEC63D6"/>
    <w:rsid w:val="50281B04"/>
    <w:rsid w:val="50AC4B83"/>
    <w:rsid w:val="50C01D3C"/>
    <w:rsid w:val="51707B49"/>
    <w:rsid w:val="519B6306"/>
    <w:rsid w:val="51A3407A"/>
    <w:rsid w:val="51AC406F"/>
    <w:rsid w:val="51B64EEE"/>
    <w:rsid w:val="520B5239"/>
    <w:rsid w:val="525E3EB1"/>
    <w:rsid w:val="527032EE"/>
    <w:rsid w:val="52A82A88"/>
    <w:rsid w:val="530D6ED1"/>
    <w:rsid w:val="5328694E"/>
    <w:rsid w:val="53966D85"/>
    <w:rsid w:val="539F032F"/>
    <w:rsid w:val="53D50784"/>
    <w:rsid w:val="54011738"/>
    <w:rsid w:val="54485228"/>
    <w:rsid w:val="548A4B3B"/>
    <w:rsid w:val="54A92AE8"/>
    <w:rsid w:val="54AD25D8"/>
    <w:rsid w:val="550D62A1"/>
    <w:rsid w:val="56BF65F2"/>
    <w:rsid w:val="57E52089"/>
    <w:rsid w:val="58023C76"/>
    <w:rsid w:val="5889510A"/>
    <w:rsid w:val="589C4E3D"/>
    <w:rsid w:val="594B5EC4"/>
    <w:rsid w:val="599C2C1B"/>
    <w:rsid w:val="59BB292D"/>
    <w:rsid w:val="5A3410A5"/>
    <w:rsid w:val="5B180C09"/>
    <w:rsid w:val="5B503CBD"/>
    <w:rsid w:val="5B8B0E98"/>
    <w:rsid w:val="5BD34E87"/>
    <w:rsid w:val="5C5A1297"/>
    <w:rsid w:val="5C5B2A01"/>
    <w:rsid w:val="5C634A43"/>
    <w:rsid w:val="5C82259C"/>
    <w:rsid w:val="5CAE5749"/>
    <w:rsid w:val="5CF74D38"/>
    <w:rsid w:val="5D99194B"/>
    <w:rsid w:val="5DB302A6"/>
    <w:rsid w:val="5E0F7E5F"/>
    <w:rsid w:val="5EDC2437"/>
    <w:rsid w:val="5F4D6E91"/>
    <w:rsid w:val="5F6E0BB6"/>
    <w:rsid w:val="5F92134D"/>
    <w:rsid w:val="601F5FC5"/>
    <w:rsid w:val="60BB7E2A"/>
    <w:rsid w:val="60BE45D8"/>
    <w:rsid w:val="61131A15"/>
    <w:rsid w:val="61C144C7"/>
    <w:rsid w:val="61DE2022"/>
    <w:rsid w:val="61FC0A46"/>
    <w:rsid w:val="628B15D4"/>
    <w:rsid w:val="62DA681F"/>
    <w:rsid w:val="62F12229"/>
    <w:rsid w:val="63356522"/>
    <w:rsid w:val="636476C4"/>
    <w:rsid w:val="63DC6A36"/>
    <w:rsid w:val="63DD52E8"/>
    <w:rsid w:val="645A795A"/>
    <w:rsid w:val="64A532CB"/>
    <w:rsid w:val="64A55079"/>
    <w:rsid w:val="6500184A"/>
    <w:rsid w:val="65207E54"/>
    <w:rsid w:val="65516FAF"/>
    <w:rsid w:val="656E6CA1"/>
    <w:rsid w:val="657D06F7"/>
    <w:rsid w:val="66442670"/>
    <w:rsid w:val="666351EC"/>
    <w:rsid w:val="66D439F4"/>
    <w:rsid w:val="672524A2"/>
    <w:rsid w:val="673D5A3D"/>
    <w:rsid w:val="67C46BC1"/>
    <w:rsid w:val="67C9107F"/>
    <w:rsid w:val="67DA7730"/>
    <w:rsid w:val="68BE495C"/>
    <w:rsid w:val="68E55DFF"/>
    <w:rsid w:val="696F20FA"/>
    <w:rsid w:val="69801C11"/>
    <w:rsid w:val="69FD3262"/>
    <w:rsid w:val="6A106A72"/>
    <w:rsid w:val="6A943D76"/>
    <w:rsid w:val="6B6C68F1"/>
    <w:rsid w:val="6C4A05C8"/>
    <w:rsid w:val="6CE8644B"/>
    <w:rsid w:val="6D833458"/>
    <w:rsid w:val="6DE20F12"/>
    <w:rsid w:val="6DE807B2"/>
    <w:rsid w:val="6E6C6C08"/>
    <w:rsid w:val="6EC627BC"/>
    <w:rsid w:val="6EFF7A7C"/>
    <w:rsid w:val="6F287EEA"/>
    <w:rsid w:val="6F3911E0"/>
    <w:rsid w:val="6F4A519B"/>
    <w:rsid w:val="6F68072E"/>
    <w:rsid w:val="6F994C00"/>
    <w:rsid w:val="701720BE"/>
    <w:rsid w:val="704E4817"/>
    <w:rsid w:val="706933FF"/>
    <w:rsid w:val="70FA499F"/>
    <w:rsid w:val="7105266B"/>
    <w:rsid w:val="71107D1F"/>
    <w:rsid w:val="719170B1"/>
    <w:rsid w:val="72734D90"/>
    <w:rsid w:val="72822E9E"/>
    <w:rsid w:val="731A30D6"/>
    <w:rsid w:val="741E2752"/>
    <w:rsid w:val="74442EB9"/>
    <w:rsid w:val="745B5755"/>
    <w:rsid w:val="74B74B14"/>
    <w:rsid w:val="766C1CFB"/>
    <w:rsid w:val="76727621"/>
    <w:rsid w:val="76A46562"/>
    <w:rsid w:val="77132317"/>
    <w:rsid w:val="77CE4490"/>
    <w:rsid w:val="78104AA8"/>
    <w:rsid w:val="788D6B3B"/>
    <w:rsid w:val="78E421BD"/>
    <w:rsid w:val="79DC10E6"/>
    <w:rsid w:val="7AA8546C"/>
    <w:rsid w:val="7B2B6F0D"/>
    <w:rsid w:val="7B7D515A"/>
    <w:rsid w:val="7BE97AEA"/>
    <w:rsid w:val="7C10151B"/>
    <w:rsid w:val="7C330D65"/>
    <w:rsid w:val="7C3A20F4"/>
    <w:rsid w:val="7C651506"/>
    <w:rsid w:val="7CFC55FB"/>
    <w:rsid w:val="7D124E1E"/>
    <w:rsid w:val="7D8A0E59"/>
    <w:rsid w:val="7D9A527C"/>
    <w:rsid w:val="7DC0487A"/>
    <w:rsid w:val="7E0B4343"/>
    <w:rsid w:val="7E17055B"/>
    <w:rsid w:val="7E3239CA"/>
    <w:rsid w:val="7E633B84"/>
    <w:rsid w:val="7EBE7ABE"/>
    <w:rsid w:val="7F606315"/>
    <w:rsid w:val="7F6E0A32"/>
    <w:rsid w:val="7F6F2049"/>
    <w:rsid w:val="7F8A1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3"/>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24"/>
    <w:qFormat/>
    <w:uiPriority w:val="9"/>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1260"/>
      <w:jc w:val="left"/>
    </w:pPr>
    <w:rPr>
      <w:rFonts w:asciiTheme="minorHAnsi" w:eastAsiaTheme="minorHAnsi"/>
      <w:sz w:val="18"/>
      <w:szCs w:val="18"/>
    </w:rPr>
  </w:style>
  <w:style w:type="paragraph" w:styleId="6">
    <w:name w:val="Body Text"/>
    <w:basedOn w:val="1"/>
    <w:link w:val="31"/>
    <w:qFormat/>
    <w:uiPriority w:val="99"/>
    <w:pPr>
      <w:spacing w:beforeLines="30"/>
    </w:pPr>
    <w:rPr>
      <w:rFonts w:ascii="仿宋_GB2312" w:eastAsia="仿宋_GB2312"/>
      <w:kern w:val="0"/>
      <w:sz w:val="24"/>
      <w:szCs w:val="20"/>
      <w:lang w:val="zh-CN"/>
    </w:rPr>
  </w:style>
  <w:style w:type="paragraph" w:styleId="7">
    <w:name w:val="toc 5"/>
    <w:basedOn w:val="1"/>
    <w:next w:val="1"/>
    <w:unhideWhenUsed/>
    <w:qFormat/>
    <w:uiPriority w:val="39"/>
    <w:pPr>
      <w:ind w:left="840"/>
      <w:jc w:val="left"/>
    </w:pPr>
    <w:rPr>
      <w:rFonts w:asciiTheme="minorHAnsi" w:eastAsiaTheme="minorHAnsi"/>
      <w:sz w:val="18"/>
      <w:szCs w:val="18"/>
    </w:rPr>
  </w:style>
  <w:style w:type="paragraph" w:styleId="8">
    <w:name w:val="toc 3"/>
    <w:basedOn w:val="1"/>
    <w:next w:val="1"/>
    <w:unhideWhenUsed/>
    <w:qFormat/>
    <w:uiPriority w:val="39"/>
    <w:pPr>
      <w:ind w:left="420"/>
      <w:jc w:val="left"/>
    </w:pPr>
    <w:rPr>
      <w:rFonts w:asciiTheme="minorHAnsi" w:eastAsiaTheme="minorHAnsi"/>
      <w:i/>
      <w:iCs/>
      <w:sz w:val="20"/>
      <w:szCs w:val="20"/>
    </w:rPr>
  </w:style>
  <w:style w:type="paragraph" w:styleId="9">
    <w:name w:val="toc 8"/>
    <w:basedOn w:val="1"/>
    <w:next w:val="1"/>
    <w:unhideWhenUsed/>
    <w:qFormat/>
    <w:uiPriority w:val="39"/>
    <w:pPr>
      <w:ind w:left="1470"/>
      <w:jc w:val="left"/>
    </w:pPr>
    <w:rPr>
      <w:rFonts w:asciiTheme="minorHAnsi" w:eastAsiaTheme="minorHAnsi"/>
      <w:sz w:val="18"/>
      <w:szCs w:val="18"/>
    </w:rPr>
  </w:style>
  <w:style w:type="paragraph" w:styleId="10">
    <w:name w:val="Balloon Text"/>
    <w:basedOn w:val="1"/>
    <w:link w:val="26"/>
    <w:semiHidden/>
    <w:unhideWhenUsed/>
    <w:qFormat/>
    <w:uiPriority w:val="99"/>
    <w:rPr>
      <w:sz w:val="18"/>
      <w:szCs w:val="18"/>
    </w:rPr>
  </w:style>
  <w:style w:type="paragraph" w:styleId="11">
    <w:name w:val="footer"/>
    <w:basedOn w:val="1"/>
    <w:link w:val="30"/>
    <w:qFormat/>
    <w:uiPriority w:val="99"/>
    <w:pPr>
      <w:tabs>
        <w:tab w:val="center" w:pos="4153"/>
        <w:tab w:val="right" w:pos="8306"/>
      </w:tabs>
      <w:snapToGrid w:val="0"/>
      <w:jc w:val="left"/>
    </w:pPr>
    <w:rPr>
      <w:rFonts w:ascii="Calibri" w:hAnsi="Calibri"/>
      <w:kern w:val="0"/>
      <w:sz w:val="18"/>
      <w:szCs w:val="20"/>
      <w:lang w:val="zh-CN"/>
    </w:rPr>
  </w:style>
  <w:style w:type="paragraph" w:styleId="12">
    <w:name w:val="header"/>
    <w:basedOn w:val="1"/>
    <w:link w:val="29"/>
    <w:semiHidden/>
    <w:qFormat/>
    <w:uiPriority w:val="99"/>
    <w:pPr>
      <w:pBdr>
        <w:bottom w:val="single" w:color="auto" w:sz="6" w:space="1"/>
      </w:pBdr>
      <w:tabs>
        <w:tab w:val="center" w:pos="4153"/>
        <w:tab w:val="right" w:pos="8306"/>
      </w:tabs>
      <w:snapToGrid w:val="0"/>
      <w:jc w:val="center"/>
    </w:pPr>
    <w:rPr>
      <w:rFonts w:ascii="Calibri" w:hAnsi="Calibri"/>
      <w:kern w:val="0"/>
      <w:sz w:val="18"/>
      <w:szCs w:val="20"/>
      <w:lang w:val="zh-CN"/>
    </w:rPr>
  </w:style>
  <w:style w:type="paragraph" w:styleId="13">
    <w:name w:val="toc 1"/>
    <w:basedOn w:val="1"/>
    <w:next w:val="1"/>
    <w:unhideWhenUsed/>
    <w:qFormat/>
    <w:uiPriority w:val="39"/>
    <w:pPr>
      <w:spacing w:before="120" w:after="120"/>
      <w:jc w:val="left"/>
    </w:pPr>
    <w:rPr>
      <w:rFonts w:asciiTheme="minorHAnsi" w:eastAsiaTheme="minorHAnsi"/>
      <w:b/>
      <w:bCs/>
      <w:caps/>
      <w:sz w:val="20"/>
      <w:szCs w:val="20"/>
    </w:rPr>
  </w:style>
  <w:style w:type="paragraph" w:styleId="14">
    <w:name w:val="toc 4"/>
    <w:basedOn w:val="1"/>
    <w:next w:val="1"/>
    <w:unhideWhenUsed/>
    <w:qFormat/>
    <w:uiPriority w:val="39"/>
    <w:pPr>
      <w:ind w:left="630"/>
      <w:jc w:val="left"/>
    </w:pPr>
    <w:rPr>
      <w:rFonts w:asciiTheme="minorHAnsi" w:eastAsiaTheme="minorHAnsi"/>
      <w:sz w:val="18"/>
      <w:szCs w:val="18"/>
    </w:rPr>
  </w:style>
  <w:style w:type="paragraph" w:styleId="15">
    <w:name w:val="toc 6"/>
    <w:basedOn w:val="1"/>
    <w:next w:val="1"/>
    <w:unhideWhenUsed/>
    <w:qFormat/>
    <w:uiPriority w:val="39"/>
    <w:pPr>
      <w:ind w:left="1050"/>
      <w:jc w:val="left"/>
    </w:pPr>
    <w:rPr>
      <w:rFonts w:asciiTheme="minorHAnsi" w:eastAsiaTheme="minorHAnsi"/>
      <w:sz w:val="18"/>
      <w:szCs w:val="18"/>
    </w:rPr>
  </w:style>
  <w:style w:type="paragraph" w:styleId="16">
    <w:name w:val="toc 2"/>
    <w:basedOn w:val="1"/>
    <w:next w:val="1"/>
    <w:unhideWhenUsed/>
    <w:qFormat/>
    <w:uiPriority w:val="39"/>
    <w:pPr>
      <w:ind w:left="210"/>
      <w:jc w:val="left"/>
    </w:pPr>
    <w:rPr>
      <w:rFonts w:asciiTheme="minorHAnsi" w:eastAsiaTheme="minorHAnsi"/>
      <w:smallCaps/>
      <w:sz w:val="20"/>
      <w:szCs w:val="20"/>
    </w:rPr>
  </w:style>
  <w:style w:type="paragraph" w:styleId="17">
    <w:name w:val="toc 9"/>
    <w:basedOn w:val="1"/>
    <w:next w:val="1"/>
    <w:unhideWhenUsed/>
    <w:qFormat/>
    <w:uiPriority w:val="39"/>
    <w:pPr>
      <w:ind w:left="1680"/>
      <w:jc w:val="left"/>
    </w:pPr>
    <w:rPr>
      <w:rFonts w:asciiTheme="minorHAnsi" w:eastAsiaTheme="minorHAnsi"/>
      <w:sz w:val="18"/>
      <w:szCs w:val="18"/>
    </w:rPr>
  </w:style>
  <w:style w:type="character" w:styleId="20">
    <w:name w:val="Strong"/>
    <w:basedOn w:val="19"/>
    <w:qFormat/>
    <w:uiPriority w:val="99"/>
    <w:rPr>
      <w:rFonts w:cs="Times New Roman"/>
      <w:b/>
    </w:rPr>
  </w:style>
  <w:style w:type="character" w:styleId="21">
    <w:name w:val="Hyperlink"/>
    <w:basedOn w:val="19"/>
    <w:unhideWhenUsed/>
    <w:qFormat/>
    <w:uiPriority w:val="99"/>
    <w:rPr>
      <w:rFonts w:cs="Times New Roman"/>
      <w:color w:val="0000FF"/>
      <w:u w:val="single"/>
    </w:rPr>
  </w:style>
  <w:style w:type="character" w:customStyle="1" w:styleId="22">
    <w:name w:val="标题 1 Char"/>
    <w:basedOn w:val="19"/>
    <w:link w:val="2"/>
    <w:qFormat/>
    <w:locked/>
    <w:uiPriority w:val="9"/>
    <w:rPr>
      <w:rFonts w:ascii="Times New Roman" w:hAnsi="Times New Roman" w:cs="Times New Roman"/>
      <w:b/>
      <w:bCs/>
      <w:kern w:val="44"/>
      <w:sz w:val="44"/>
      <w:szCs w:val="44"/>
    </w:rPr>
  </w:style>
  <w:style w:type="character" w:customStyle="1" w:styleId="23">
    <w:name w:val="标题 2 Char"/>
    <w:basedOn w:val="19"/>
    <w:link w:val="3"/>
    <w:qFormat/>
    <w:locked/>
    <w:uiPriority w:val="9"/>
    <w:rPr>
      <w:rFonts w:ascii="Cambria" w:hAnsi="Cambria" w:eastAsia="宋体" w:cs="Times New Roman"/>
      <w:b/>
      <w:bCs/>
      <w:kern w:val="2"/>
      <w:sz w:val="32"/>
      <w:szCs w:val="32"/>
    </w:rPr>
  </w:style>
  <w:style w:type="character" w:customStyle="1" w:styleId="24">
    <w:name w:val="标题 3 Char"/>
    <w:basedOn w:val="19"/>
    <w:link w:val="4"/>
    <w:qFormat/>
    <w:locked/>
    <w:uiPriority w:val="9"/>
    <w:rPr>
      <w:rFonts w:ascii="Times New Roman" w:hAnsi="Times New Roman" w:cs="Times New Roman"/>
      <w:b/>
      <w:bCs/>
      <w:kern w:val="2"/>
      <w:sz w:val="32"/>
      <w:szCs w:val="32"/>
    </w:rPr>
  </w:style>
  <w:style w:type="character" w:customStyle="1" w:styleId="25">
    <w:name w:val="Body Text Char"/>
    <w:basedOn w:val="19"/>
    <w:semiHidden/>
    <w:qFormat/>
    <w:uiPriority w:val="99"/>
    <w:rPr>
      <w:rFonts w:ascii="Times New Roman" w:hAnsi="Times New Roman" w:cs="Times New Roman"/>
      <w:sz w:val="24"/>
      <w:szCs w:val="24"/>
    </w:rPr>
  </w:style>
  <w:style w:type="character" w:customStyle="1" w:styleId="26">
    <w:name w:val="批注框文本 Char"/>
    <w:basedOn w:val="19"/>
    <w:link w:val="10"/>
    <w:semiHidden/>
    <w:qFormat/>
    <w:locked/>
    <w:uiPriority w:val="99"/>
    <w:rPr>
      <w:rFonts w:ascii="Times New Roman" w:hAnsi="Times New Roman" w:cs="Times New Roman"/>
      <w:kern w:val="2"/>
      <w:sz w:val="18"/>
      <w:szCs w:val="18"/>
    </w:rPr>
  </w:style>
  <w:style w:type="character" w:customStyle="1" w:styleId="27">
    <w:name w:val="Footer Char"/>
    <w:basedOn w:val="19"/>
    <w:semiHidden/>
    <w:qFormat/>
    <w:uiPriority w:val="99"/>
    <w:rPr>
      <w:rFonts w:ascii="Times New Roman" w:hAnsi="Times New Roman" w:cs="Times New Roman"/>
      <w:sz w:val="18"/>
      <w:szCs w:val="18"/>
    </w:rPr>
  </w:style>
  <w:style w:type="character" w:customStyle="1" w:styleId="28">
    <w:name w:val="Header Char"/>
    <w:basedOn w:val="19"/>
    <w:semiHidden/>
    <w:qFormat/>
    <w:uiPriority w:val="99"/>
    <w:rPr>
      <w:rFonts w:ascii="Times New Roman" w:hAnsi="Times New Roman" w:cs="Times New Roman"/>
      <w:sz w:val="18"/>
      <w:szCs w:val="18"/>
    </w:rPr>
  </w:style>
  <w:style w:type="character" w:customStyle="1" w:styleId="29">
    <w:name w:val="页眉 Char"/>
    <w:link w:val="12"/>
    <w:semiHidden/>
    <w:qFormat/>
    <w:locked/>
    <w:uiPriority w:val="99"/>
    <w:rPr>
      <w:sz w:val="18"/>
    </w:rPr>
  </w:style>
  <w:style w:type="character" w:customStyle="1" w:styleId="30">
    <w:name w:val="页脚 Char"/>
    <w:link w:val="11"/>
    <w:qFormat/>
    <w:locked/>
    <w:uiPriority w:val="99"/>
    <w:rPr>
      <w:sz w:val="18"/>
    </w:rPr>
  </w:style>
  <w:style w:type="character" w:customStyle="1" w:styleId="31">
    <w:name w:val="正文文本 Char"/>
    <w:link w:val="6"/>
    <w:qFormat/>
    <w:locked/>
    <w:uiPriority w:val="99"/>
    <w:rPr>
      <w:rFonts w:ascii="仿宋_GB2312" w:hAnsi="Times New Roman" w:eastAsia="仿宋_GB2312"/>
      <w:sz w:val="24"/>
    </w:rPr>
  </w:style>
  <w:style w:type="paragraph" w:customStyle="1" w:styleId="32">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33">
    <w:name w:val="列表段落1"/>
    <w:basedOn w:val="1"/>
    <w:qFormat/>
    <w:uiPriority w:val="34"/>
    <w:pPr>
      <w:ind w:firstLine="420" w:firstLineChars="200"/>
    </w:pPr>
  </w:style>
  <w:style w:type="paragraph" w:customStyle="1" w:styleId="34">
    <w:name w:val="TOC 标题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5">
    <w:name w:val="TOC Heading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6">
    <w:name w:val="TOC 标题2"/>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496" w:themeColor="accent1" w:themeShade="BF"/>
      <w:kern w:val="0"/>
      <w:sz w:val="32"/>
      <w:szCs w:val="32"/>
    </w:rPr>
  </w:style>
  <w:style w:type="paragraph" w:customStyle="1" w:styleId="37">
    <w:name w:val="WPSOffice手动目录 1"/>
    <w:qFormat/>
    <w:uiPriority w:val="0"/>
    <w:rPr>
      <w:rFonts w:ascii="Calibri" w:hAnsi="Calibri" w:eastAsia="宋体" w:cs="Times New Roman"/>
      <w:lang w:val="en-US" w:eastAsia="zh-CN" w:bidi="ar-SA"/>
    </w:rPr>
  </w:style>
  <w:style w:type="paragraph" w:customStyle="1" w:styleId="38">
    <w:name w:val="WPSOffice手动目录 2"/>
    <w:qFormat/>
    <w:uiPriority w:val="0"/>
    <w:pPr>
      <w:ind w:left="200" w:leftChars="200"/>
    </w:pPr>
    <w:rPr>
      <w:rFonts w:ascii="Calibri" w:hAnsi="Calibri" w:eastAsia="宋体" w:cs="Times New Roman"/>
      <w:lang w:val="en-US" w:eastAsia="zh-CN" w:bidi="ar-SA"/>
    </w:rPr>
  </w:style>
  <w:style w:type="paragraph" w:customStyle="1" w:styleId="39">
    <w:name w:val="WPSOffice手动目录 3"/>
    <w:qFormat/>
    <w:uiPriority w:val="0"/>
    <w:pPr>
      <w:ind w:left="400" w:leftChars="400"/>
    </w:pPr>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embeddings/oleObject4.bin"/></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embeddings/oleObject3.bin"/></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embeddings/oleObject5.bin"/></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embeddings/oleObject6.bin"/></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90526597882889"/>
          <c:y val="0.0508130081300813"/>
          <c:w val="0.884014471392201"/>
          <c:h val="0.765325203252033"/>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2007.52</c:v>
                </c:pt>
                <c:pt idx="1">
                  <c:v>2121.48</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2007.52</c:v>
                </c:pt>
                <c:pt idx="1">
                  <c:v>2121.48</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125831808"/>
        <c:axId val="125849984"/>
      </c:barChart>
      <c:catAx>
        <c:axId val="12583180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5849984"/>
        <c:crosses val="autoZero"/>
        <c:auto val="1"/>
        <c:lblAlgn val="ctr"/>
        <c:lblOffset val="100"/>
        <c:noMultiLvlLbl val="0"/>
      </c:catAx>
      <c:valAx>
        <c:axId val="125849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583180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32c06bd-ee4e-4324-9342-edb7960ea15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287286063569682"/>
          <c:y val="0.0350784788791741"/>
          <c:w val="0.961980440097799"/>
          <c:h val="0.828926577478142"/>
        </c:manualLayout>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Sheet1!$A$2:$A$3</c:f>
              <c:strCache>
                <c:ptCount val="2"/>
                <c:pt idx="0">
                  <c:v>一般公共预算财政拨款收入</c:v>
                </c:pt>
                <c:pt idx="1">
                  <c:v>其他收入</c:v>
                </c:pt>
              </c:strCache>
            </c:strRef>
          </c:cat>
          <c:val>
            <c:numRef>
              <c:f>Sheet1!$B$2:$B$3</c:f>
              <c:numCache>
                <c:formatCode>General</c:formatCode>
                <c:ptCount val="2"/>
                <c:pt idx="0">
                  <c:v>2038.4</c:v>
                </c:pt>
                <c:pt idx="1">
                  <c:v>83.07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df060ef4-e701-4a75-936b-2f125e78c8c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Sheet1!$C$1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Sheet1!$B$2:$B$3</c:f>
              <c:strCache>
                <c:ptCount val="2"/>
                <c:pt idx="0">
                  <c:v>基本支出</c:v>
                </c:pt>
                <c:pt idx="1">
                  <c:v>项目支出</c:v>
                </c:pt>
              </c:strCache>
            </c:strRef>
          </c:cat>
          <c:val>
            <c:numRef>
              <c:f>Sheet1!$C$2:$C$3</c:f>
              <c:numCache>
                <c:formatCode>General</c:formatCode>
                <c:ptCount val="2"/>
                <c:pt idx="0">
                  <c:v>1912.71</c:v>
                </c:pt>
                <c:pt idx="1">
                  <c:v>208.76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b02c4862-a1f9-4af9-ab39-c84c06cab3a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财政拨款收入</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1903.39</c:v>
                </c:pt>
                <c:pt idx="1">
                  <c:v>2038.4</c:v>
                </c:pt>
              </c:numCache>
            </c:numRef>
          </c:val>
        </c:ser>
        <c:ser>
          <c:idx val="1"/>
          <c:order val="1"/>
          <c:tx>
            <c:strRef>
              <c:f>Sheet1!$C$1</c:f>
              <c:strCache>
                <c:ptCount val="1"/>
                <c:pt idx="0">
                  <c:v>财政拨款支出</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1903.39</c:v>
                </c:pt>
                <c:pt idx="1">
                  <c:v>2038.4</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126044416"/>
        <c:axId val="126054400"/>
      </c:barChart>
      <c:catAx>
        <c:axId val="12604441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6054400"/>
        <c:crosses val="autoZero"/>
        <c:auto val="1"/>
        <c:lblAlgn val="ctr"/>
        <c:lblOffset val="100"/>
        <c:noMultiLvlLbl val="0"/>
      </c:catAx>
      <c:valAx>
        <c:axId val="126054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604441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e3c5c98-e069-4da2-936e-977a141c6c0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87914873670973"/>
          <c:y val="0.148951994851995"/>
          <c:w val="0.898675"/>
          <c:h val="0.816733333333333"/>
        </c:manualLayout>
      </c:layout>
      <c:barChart>
        <c:barDir val="col"/>
        <c:grouping val="clustered"/>
        <c:varyColors val="0"/>
        <c:ser>
          <c:idx val="0"/>
          <c:order val="0"/>
          <c:tx>
            <c:strRef>
              <c:f>Sheet1!$B$1</c:f>
              <c:strCache>
                <c:ptCount val="1"/>
                <c:pt idx="0">
                  <c:v>一般公共预算财政拨款支出</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1903.39</c:v>
                </c:pt>
                <c:pt idx="1">
                  <c:v>2038.4</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126083840"/>
        <c:axId val="126085376"/>
      </c:barChart>
      <c:catAx>
        <c:axId val="12608384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6085376"/>
        <c:crosses val="autoZero"/>
        <c:auto val="1"/>
        <c:lblAlgn val="ctr"/>
        <c:lblOffset val="100"/>
        <c:noMultiLvlLbl val="0"/>
      </c:catAx>
      <c:valAx>
        <c:axId val="126085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608384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1e3e8aa-5240-4d6d-8342-7dd68747a93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教育支出</c:v>
                </c:pt>
                <c:pt idx="1">
                  <c:v>社会保障和就业支出</c:v>
                </c:pt>
                <c:pt idx="2">
                  <c:v>卫生健康支出</c:v>
                </c:pt>
                <c:pt idx="3">
                  <c:v>住房保障支出</c:v>
                </c:pt>
              </c:strCache>
            </c:strRef>
          </c:cat>
          <c:val>
            <c:numRef>
              <c:f>Sheet1!$B$2:$B$5</c:f>
              <c:numCache>
                <c:formatCode>General</c:formatCode>
                <c:ptCount val="4"/>
                <c:pt idx="0">
                  <c:v>1627.38</c:v>
                </c:pt>
                <c:pt idx="1">
                  <c:v>254.45</c:v>
                </c:pt>
                <c:pt idx="2">
                  <c:v>103.18</c:v>
                </c:pt>
                <c:pt idx="3">
                  <c:v>136.45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f8397a04-cbdb-47f6-ae0b-6927305bfd9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6C378-E38D-4B05-B3D7-A1F59832D516}">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21</Pages>
  <Words>7182</Words>
  <Characters>8009</Characters>
  <Lines>31</Lines>
  <Paragraphs>21</Paragraphs>
  <TotalTime>941</TotalTime>
  <ScaleCrop>false</ScaleCrop>
  <LinksUpToDate>false</LinksUpToDate>
  <CharactersWithSpaces>8248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2021-08-06T09:38:00Z</dcterms:created>
  <dc:creator>曹颖</dc:creator>
  <cp:lastModifiedBy>安心草</cp:lastModifiedBy>
  <cp:lastPrinted>2021-11-29T06:36:00Z</cp:lastPrinted>
  <dcterms:modified xsi:type="dcterms:W3CDTF">2026-10-12T07:27:33Z</dcterms:modified>
  <dc:title>阿坝州部门决算说明</dc:title>
  <cp:revision>111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66A23F3702A74868AD94045ECFBE78B1</vt:lpwstr>
  </property>
  <property fmtid="{D5CDD505-2E9C-101B-9397-08002B2CF9AE}" pid="4" name="KSOTemplateDocerSaveRecord">
    <vt:lpwstr>eyJoZGlkIjoiMDE0NzgyMGRiMWQyZjM0ZjMxMTA0NTMyNjhiOWU3YjQiLCJ1c2VySWQiOiIzMjQ5NDk3MjAifQ==</vt:lpwstr>
  </property>
</Properties>
</file>