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4CA568">
      <w:pPr>
        <w:pStyle w:val="17"/>
        <w:keepNext w:val="0"/>
        <w:keepLines w:val="0"/>
        <w:widowControl/>
        <w:suppressLineNumbers w:val="0"/>
        <w:spacing w:before="0" w:beforeAutospacing="0"/>
        <w:ind w:left="0"/>
        <w:jc w:val="center"/>
        <w:rPr>
          <w:sz w:val="42"/>
          <w:szCs w:val="42"/>
          <w:shd w:val="clear" w:fill="FFFFFF"/>
        </w:rPr>
      </w:pPr>
    </w:p>
    <w:p w14:paraId="073FDD5D">
      <w:pPr>
        <w:pStyle w:val="17"/>
        <w:keepNext w:val="0"/>
        <w:keepLines w:val="0"/>
        <w:widowControl/>
        <w:suppressLineNumbers w:val="0"/>
        <w:spacing w:before="0" w:beforeAutospacing="0"/>
        <w:ind w:left="0"/>
        <w:jc w:val="center"/>
        <w:rPr>
          <w:sz w:val="42"/>
          <w:szCs w:val="42"/>
          <w:shd w:val="clear" w:fill="FFFFFF"/>
        </w:rPr>
      </w:pPr>
    </w:p>
    <w:p w14:paraId="7BD46CFC">
      <w:pPr>
        <w:pStyle w:val="17"/>
        <w:keepNext w:val="0"/>
        <w:keepLines w:val="0"/>
        <w:widowControl/>
        <w:suppressLineNumbers w:val="0"/>
        <w:spacing w:before="0" w:beforeAutospacing="0"/>
        <w:ind w:left="0"/>
        <w:jc w:val="center"/>
        <w:rPr>
          <w:sz w:val="42"/>
          <w:szCs w:val="42"/>
          <w:shd w:val="clear" w:fill="FFFFFF"/>
        </w:rPr>
      </w:pPr>
    </w:p>
    <w:p w14:paraId="212A7FDB">
      <w:pPr>
        <w:pStyle w:val="17"/>
        <w:keepNext w:val="0"/>
        <w:keepLines w:val="0"/>
        <w:widowControl/>
        <w:suppressLineNumbers w:val="0"/>
        <w:spacing w:before="0" w:beforeAutospacing="0"/>
        <w:ind w:left="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60"/>
          <w:szCs w:val="60"/>
          <w:shd w:val="clear" w:fill="FFFFFF"/>
        </w:rPr>
        <w:t>202</w:t>
      </w:r>
      <w:r>
        <w:rPr>
          <w:rFonts w:hint="eastAsia" w:ascii="方正小标宋简体" w:hAnsi="方正小标宋简体" w:eastAsia="方正小标宋简体" w:cs="方正小标宋简体"/>
          <w:sz w:val="60"/>
          <w:szCs w:val="60"/>
          <w:shd w:val="clear" w:fill="FFFFFF"/>
          <w:lang w:val="en-US" w:eastAsia="zh-CN"/>
        </w:rPr>
        <w:t>5</w:t>
      </w:r>
      <w:r>
        <w:rPr>
          <w:rFonts w:hint="eastAsia" w:ascii="方正小标宋简体" w:hAnsi="方正小标宋简体" w:eastAsia="方正小标宋简体" w:cs="方正小标宋简体"/>
          <w:sz w:val="60"/>
          <w:szCs w:val="60"/>
          <w:shd w:val="clear" w:fill="FFFFFF"/>
        </w:rPr>
        <w:t>年度</w:t>
      </w:r>
    </w:p>
    <w:p w14:paraId="1CDFF292">
      <w:pPr>
        <w:pStyle w:val="17"/>
        <w:keepNext w:val="0"/>
        <w:keepLines w:val="0"/>
        <w:widowControl/>
        <w:suppressLineNumbers w:val="0"/>
        <w:spacing w:before="0" w:beforeAutospacing="0"/>
        <w:ind w:left="0"/>
        <w:jc w:val="center"/>
        <w:rPr>
          <w:rFonts w:hint="eastAsia" w:ascii="方正小标宋简体" w:hAnsi="方正小标宋简体" w:eastAsia="方正小标宋简体" w:cs="方正小标宋简体"/>
          <w:sz w:val="60"/>
          <w:szCs w:val="60"/>
          <w:shd w:val="clear" w:fill="FFFFFF"/>
        </w:rPr>
      </w:pPr>
      <w:r>
        <w:rPr>
          <w:rFonts w:hint="eastAsia" w:ascii="方正小标宋简体" w:hAnsi="方正小标宋简体" w:eastAsia="方正小标宋简体" w:cs="方正小标宋简体"/>
          <w:sz w:val="60"/>
          <w:szCs w:val="60"/>
          <w:shd w:val="clear" w:fill="FFFFFF"/>
        </w:rPr>
        <w:t>阿坝州红原县色地镇人民政府</w:t>
      </w:r>
    </w:p>
    <w:p w14:paraId="75425309">
      <w:pPr>
        <w:pStyle w:val="17"/>
        <w:keepNext w:val="0"/>
        <w:keepLines w:val="0"/>
        <w:widowControl/>
        <w:suppressLineNumbers w:val="0"/>
        <w:spacing w:before="0" w:beforeAutospacing="0"/>
        <w:ind w:left="0"/>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60"/>
          <w:szCs w:val="60"/>
          <w:shd w:val="clear" w:fill="FFFFFF"/>
        </w:rPr>
        <w:t>部门决算</w:t>
      </w:r>
      <w:r>
        <w:rPr>
          <w:rFonts w:hint="eastAsia" w:ascii="方正小标宋简体" w:hAnsi="方正小标宋简体" w:eastAsia="方正小标宋简体" w:cs="方正小标宋简体"/>
          <w:sz w:val="60"/>
          <w:szCs w:val="60"/>
          <w:shd w:val="clear" w:fill="FFFFFF"/>
          <w:lang w:eastAsia="zh-CN"/>
        </w:rPr>
        <w:t>编制说明</w:t>
      </w:r>
    </w:p>
    <w:p w14:paraId="19FCACD1">
      <w:pPr>
        <w:pStyle w:val="17"/>
        <w:keepNext w:val="0"/>
        <w:keepLines w:val="0"/>
        <w:widowControl/>
        <w:suppressLineNumbers w:val="0"/>
        <w:spacing w:before="0" w:beforeAutospacing="0"/>
        <w:ind w:left="0"/>
        <w:jc w:val="center"/>
      </w:pPr>
      <w:r>
        <w:rPr>
          <w:shd w:val="clear" w:fill="FFFFFF"/>
        </w:rPr>
        <w:t> </w:t>
      </w:r>
    </w:p>
    <w:p w14:paraId="2203C551">
      <w:pPr>
        <w:pStyle w:val="17"/>
        <w:keepNext w:val="0"/>
        <w:keepLines w:val="0"/>
        <w:widowControl/>
        <w:suppressLineNumbers w:val="0"/>
        <w:spacing w:before="0" w:beforeAutospacing="0"/>
        <w:ind w:left="0"/>
        <w:jc w:val="center"/>
      </w:pPr>
      <w:r>
        <w:rPr>
          <w:shd w:val="clear" w:fill="FFFFFF"/>
        </w:rPr>
        <w:t> </w:t>
      </w:r>
    </w:p>
    <w:p w14:paraId="3C77C333">
      <w:pPr>
        <w:pStyle w:val="17"/>
        <w:keepNext w:val="0"/>
        <w:keepLines w:val="0"/>
        <w:widowControl/>
        <w:suppressLineNumbers w:val="0"/>
        <w:spacing w:before="0" w:beforeAutospacing="0"/>
        <w:ind w:left="0"/>
        <w:jc w:val="center"/>
      </w:pPr>
      <w:r>
        <w:rPr>
          <w:shd w:val="clear" w:fill="FFFFFF"/>
        </w:rPr>
        <w:t> </w:t>
      </w:r>
    </w:p>
    <w:p w14:paraId="48F92969">
      <w:pPr>
        <w:pStyle w:val="17"/>
        <w:keepNext w:val="0"/>
        <w:keepLines w:val="0"/>
        <w:widowControl/>
        <w:suppressLineNumbers w:val="0"/>
        <w:spacing w:before="0" w:beforeAutospacing="0"/>
        <w:ind w:left="0"/>
        <w:jc w:val="center"/>
      </w:pPr>
      <w:r>
        <w:rPr>
          <w:shd w:val="clear" w:fill="FFFFFF"/>
        </w:rPr>
        <w:t> </w:t>
      </w:r>
    </w:p>
    <w:p w14:paraId="43EB2F4E">
      <w:pPr>
        <w:pStyle w:val="17"/>
        <w:keepNext w:val="0"/>
        <w:keepLines w:val="0"/>
        <w:widowControl/>
        <w:suppressLineNumbers w:val="0"/>
        <w:spacing w:before="0" w:beforeAutospacing="0"/>
        <w:ind w:left="0"/>
        <w:jc w:val="center"/>
      </w:pPr>
      <w:r>
        <w:rPr>
          <w:shd w:val="clear" w:fill="FFFFFF"/>
        </w:rPr>
        <w:t>  </w:t>
      </w:r>
    </w:p>
    <w:p w14:paraId="5F19D8C3">
      <w:pPr>
        <w:pStyle w:val="17"/>
        <w:keepNext w:val="0"/>
        <w:keepLines w:val="0"/>
        <w:widowControl/>
        <w:suppressLineNumbers w:val="0"/>
        <w:spacing w:before="0" w:beforeAutospacing="0"/>
        <w:ind w:left="0"/>
        <w:jc w:val="center"/>
      </w:pPr>
      <w:r>
        <w:rPr>
          <w:shd w:val="clear" w:fill="FFFFFF"/>
        </w:rPr>
        <w:t> </w:t>
      </w:r>
    </w:p>
    <w:p w14:paraId="3857C076">
      <w:pPr>
        <w:pStyle w:val="17"/>
        <w:keepNext w:val="0"/>
        <w:keepLines w:val="0"/>
        <w:widowControl/>
        <w:suppressLineNumbers w:val="0"/>
        <w:spacing w:before="0" w:beforeAutospacing="0"/>
        <w:ind w:left="0"/>
        <w:jc w:val="center"/>
      </w:pPr>
      <w:r>
        <w:rPr>
          <w:rFonts w:hint="eastAsia" w:ascii="方正小标宋简体" w:hAnsi="方正小标宋简体" w:eastAsia="方正小标宋简体" w:cs="方正小标宋简体"/>
          <w:sz w:val="32"/>
          <w:szCs w:val="32"/>
          <w:shd w:val="clear" w:fill="FFFFFF"/>
        </w:rPr>
        <w:t>已经保密审查、内容审定，同意对外公开</w:t>
      </w:r>
    </w:p>
    <w:p w14:paraId="54798381">
      <w:pPr>
        <w:pStyle w:val="17"/>
        <w:keepNext w:val="0"/>
        <w:keepLines w:val="0"/>
        <w:widowControl/>
        <w:suppressLineNumbers w:val="0"/>
        <w:spacing w:before="0" w:beforeAutospacing="0"/>
        <w:ind w:left="0"/>
        <w:jc w:val="center"/>
      </w:pPr>
    </w:p>
    <w:p w14:paraId="3221F8B8">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Fonts w:hint="eastAsia" w:ascii="方正小标宋简体" w:hAnsi="方正小标宋简体" w:eastAsia="方正小标宋简体" w:cs="方正小标宋简体"/>
          <w:sz w:val="44"/>
          <w:szCs w:val="44"/>
          <w:shd w:val="clear" w:fill="FFFFFF"/>
        </w:rPr>
        <w:sectPr>
          <w:footerReference r:id="rId3" w:type="default"/>
          <w:footerReference r:id="rId4" w:type="even"/>
          <w:pgSz w:w="11915" w:h="16851"/>
          <w:pgMar w:top="1440" w:right="1800" w:bottom="1440" w:left="1800" w:header="851" w:footer="992" w:gutter="0"/>
          <w:pgNumType w:fmt="decimal"/>
          <w:cols w:space="0" w:num="1"/>
          <w:docGrid w:type="lines" w:linePitch="312" w:charSpace="0"/>
        </w:sectPr>
      </w:pPr>
    </w:p>
    <w:p w14:paraId="2F00520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pPr>
      <w:r>
        <w:rPr>
          <w:rFonts w:hint="eastAsia" w:ascii="方正小标宋简体" w:hAnsi="方正小标宋简体" w:eastAsia="方正小标宋简体" w:cs="方正小标宋简体"/>
          <w:sz w:val="44"/>
          <w:szCs w:val="44"/>
          <w:shd w:val="clear" w:fill="FFFFFF"/>
        </w:rPr>
        <w:t>目</w:t>
      </w:r>
      <w:r>
        <w:rPr>
          <w:rFonts w:hint="eastAsia" w:ascii="方正小标宋简体" w:hAnsi="方正小标宋简体" w:eastAsia="方正小标宋简体" w:cs="方正小标宋简体"/>
          <w:sz w:val="44"/>
          <w:szCs w:val="44"/>
          <w:shd w:val="clear" w:fill="FFFFFF"/>
          <w:lang w:val="en-US" w:eastAsia="zh-CN"/>
        </w:rPr>
        <w:t xml:space="preserve">  </w:t>
      </w:r>
      <w:r>
        <w:rPr>
          <w:rFonts w:hint="eastAsia" w:ascii="方正小标宋简体" w:hAnsi="方正小标宋简体" w:eastAsia="方正小标宋简体" w:cs="方正小标宋简体"/>
          <w:sz w:val="44"/>
          <w:szCs w:val="44"/>
          <w:shd w:val="clear" w:fill="FFFFFF"/>
        </w:rPr>
        <w:t>录</w:t>
      </w:r>
      <w:r>
        <w:rPr>
          <w:shd w:val="clear" w:fill="FFFFFF"/>
        </w:rPr>
        <w:t> </w:t>
      </w:r>
    </w:p>
    <w:p w14:paraId="4A4F3B7F">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Fonts w:hint="eastAsia" w:ascii="仿宋_GB2312" w:hAnsi="仿宋_GB2312" w:eastAsia="仿宋_GB2312" w:cs="仿宋_GB2312"/>
          <w:sz w:val="32"/>
          <w:szCs w:val="32"/>
          <w:shd w:val="clear" w:fill="FFFFFF"/>
        </w:rPr>
      </w:pPr>
    </w:p>
    <w:p w14:paraId="7262AA8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Fonts w:hint="eastAsia" w:ascii="仿宋_GB2312" w:hAnsi="仿宋_GB2312" w:eastAsia="仿宋_GB2312" w:cs="仿宋_GB2312"/>
          <w:sz w:val="32"/>
          <w:szCs w:val="32"/>
          <w:shd w:val="clear" w:fill="FFFFFF"/>
        </w:rPr>
      </w:pPr>
      <w:r>
        <w:rPr>
          <w:rFonts w:hint="eastAsia" w:ascii="仿宋_GB2312" w:hAnsi="仿宋_GB2312" w:eastAsia="仿宋_GB2312" w:cs="仿宋_GB2312"/>
          <w:sz w:val="32"/>
          <w:szCs w:val="32"/>
          <w:shd w:val="clear" w:fill="FFFFFF"/>
        </w:rPr>
        <w:t>公开时间：202</w:t>
      </w:r>
      <w:r>
        <w:rPr>
          <w:rFonts w:hint="eastAsia" w:ascii="仿宋_GB2312" w:hAnsi="仿宋_GB2312" w:eastAsia="仿宋_GB2312" w:cs="仿宋_GB2312"/>
          <w:sz w:val="32"/>
          <w:szCs w:val="32"/>
          <w:shd w:val="clear" w:fill="FFFFFF"/>
          <w:lang w:val="en-US" w:eastAsia="zh-CN"/>
        </w:rPr>
        <w:t>6</w:t>
      </w:r>
      <w:r>
        <w:rPr>
          <w:rFonts w:hint="eastAsia" w:ascii="仿宋_GB2312" w:hAnsi="仿宋_GB2312" w:eastAsia="仿宋_GB2312" w:cs="仿宋_GB2312"/>
          <w:sz w:val="32"/>
          <w:szCs w:val="32"/>
          <w:shd w:val="clear" w:fill="FFFFFF"/>
        </w:rPr>
        <w:t>年</w:t>
      </w:r>
      <w:r>
        <w:rPr>
          <w:rFonts w:hint="eastAsia" w:ascii="仿宋_GB2312" w:hAnsi="仿宋_GB2312" w:eastAsia="仿宋_GB2312" w:cs="仿宋_GB2312"/>
          <w:sz w:val="32"/>
          <w:szCs w:val="32"/>
          <w:shd w:val="clear" w:fill="FFFFFF"/>
          <w:lang w:val="en-US" w:eastAsia="zh-CN"/>
        </w:rPr>
        <w:t>10</w:t>
      </w:r>
      <w:r>
        <w:rPr>
          <w:rFonts w:hint="eastAsia" w:ascii="仿宋_GB2312" w:hAnsi="仿宋_GB2312" w:eastAsia="仿宋_GB2312" w:cs="仿宋_GB2312"/>
          <w:sz w:val="32"/>
          <w:szCs w:val="32"/>
          <w:shd w:val="clear" w:fill="FFFFFF"/>
        </w:rPr>
        <w:t>月</w:t>
      </w:r>
      <w:r>
        <w:rPr>
          <w:rFonts w:hint="eastAsia" w:ascii="仿宋_GB2312" w:hAnsi="仿宋_GB2312" w:eastAsia="仿宋_GB2312" w:cs="仿宋_GB2312"/>
          <w:sz w:val="32"/>
          <w:szCs w:val="32"/>
          <w:shd w:val="clear" w:fill="FFFFFF"/>
          <w:lang w:val="en-US" w:eastAsia="zh-CN"/>
        </w:rPr>
        <w:t>23</w:t>
      </w:r>
      <w:r>
        <w:rPr>
          <w:rFonts w:hint="eastAsia" w:ascii="仿宋_GB2312" w:hAnsi="仿宋_GB2312" w:eastAsia="仿宋_GB2312" w:cs="仿宋_GB2312"/>
          <w:sz w:val="32"/>
          <w:szCs w:val="32"/>
          <w:shd w:val="clear" w:fill="FFFFFF"/>
        </w:rPr>
        <w:t>日</w:t>
      </w:r>
    </w:p>
    <w:p w14:paraId="1AB07C7D">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left"/>
        <w:textAlignment w:val="auto"/>
        <w:rPr>
          <w:rFonts w:hint="eastAsia" w:ascii="仿宋_GB2312" w:hAnsi="仿宋_GB2312" w:eastAsia="仿宋_GB2312" w:cs="仿宋_GB2312"/>
          <w:sz w:val="32"/>
          <w:szCs w:val="32"/>
          <w:shd w:val="clear" w:fill="FFFFFF"/>
        </w:rPr>
      </w:pPr>
    </w:p>
    <w:sdt>
      <w:sdtPr>
        <w:rPr>
          <w:rFonts w:ascii="宋体" w:hAnsi="宋体" w:eastAsia="宋体" w:cstheme="minorEastAsia"/>
          <w:kern w:val="0"/>
          <w:sz w:val="21"/>
          <w:szCs w:val="24"/>
          <w:lang w:val="en-US" w:eastAsia="zh-CN" w:bidi="ar"/>
        </w:rPr>
        <w:id w:val="147472736"/>
        <w15:color w:val="DBDBDB"/>
        <w:docPartObj>
          <w:docPartGallery w:val="Table of Contents"/>
          <w:docPartUnique/>
        </w:docPartObj>
      </w:sdtPr>
      <w:sdtEndPr>
        <w:rPr>
          <w:rFonts w:asciiTheme="minorEastAsia" w:hAnsiTheme="minorEastAsia" w:eastAsiaTheme="minorEastAsia" w:cstheme="minorEastAsia"/>
          <w:kern w:val="0"/>
          <w:sz w:val="24"/>
          <w:szCs w:val="24"/>
          <w:lang w:val="en-US" w:eastAsia="zh-CN" w:bidi="ar"/>
        </w:rPr>
      </w:sdtEndPr>
      <w:sdtContent>
        <w:p w14:paraId="3F60825D">
          <w:pPr>
            <w:spacing w:before="0" w:beforeLines="0" w:after="0" w:afterLines="0" w:line="240" w:lineRule="auto"/>
            <w:ind w:left="0" w:leftChars="0" w:right="0" w:rightChars="0" w:firstLine="0" w:firstLineChars="0"/>
            <w:jc w:val="center"/>
          </w:pPr>
        </w:p>
        <w:p w14:paraId="30742287">
          <w:pPr>
            <w:pStyle w:val="14"/>
            <w:tabs>
              <w:tab w:val="right" w:leader="dot" w:pos="8315"/>
            </w:tabs>
          </w:pPr>
          <w:r>
            <w:fldChar w:fldCharType="begin"/>
          </w:r>
          <w:r>
            <w:instrText xml:space="preserve">TOC \o "1-2" \h \u </w:instrText>
          </w:r>
          <w:r>
            <w:fldChar w:fldCharType="separate"/>
          </w:r>
          <w:r>
            <w:fldChar w:fldCharType="begin"/>
          </w:r>
          <w:r>
            <w:instrText xml:space="preserve"> HYPERLINK \l _Toc24440 </w:instrText>
          </w:r>
          <w:r>
            <w:fldChar w:fldCharType="separate"/>
          </w:r>
          <w:r>
            <w:rPr>
              <w:rFonts w:hint="eastAsia" w:ascii="方正小标宋简体" w:hAnsi="方正小标宋简体" w:eastAsia="方正小标宋简体" w:cs="方正小标宋简体"/>
              <w:bCs w:val="0"/>
              <w:szCs w:val="44"/>
              <w:shd w:val="clear" w:fill="FFFFFF"/>
            </w:rPr>
            <w:t>第一部分 部门概况</w:t>
          </w:r>
          <w:r>
            <w:tab/>
          </w:r>
          <w:r>
            <w:fldChar w:fldCharType="begin"/>
          </w:r>
          <w:r>
            <w:instrText xml:space="preserve"> PAGEREF _Toc24440 \h </w:instrText>
          </w:r>
          <w:r>
            <w:fldChar w:fldCharType="separate"/>
          </w:r>
          <w:r>
            <w:t>1</w:t>
          </w:r>
          <w:r>
            <w:fldChar w:fldCharType="end"/>
          </w:r>
          <w:r>
            <w:fldChar w:fldCharType="end"/>
          </w:r>
        </w:p>
        <w:p w14:paraId="118AF756">
          <w:pPr>
            <w:pStyle w:val="15"/>
            <w:tabs>
              <w:tab w:val="right" w:leader="dot" w:pos="8315"/>
            </w:tabs>
          </w:pPr>
          <w:r>
            <w:fldChar w:fldCharType="begin"/>
          </w:r>
          <w:r>
            <w:instrText xml:space="preserve"> HYPERLINK \l _Toc27115 </w:instrText>
          </w:r>
          <w:r>
            <w:fldChar w:fldCharType="separate"/>
          </w:r>
          <w:r>
            <w:rPr>
              <w:rFonts w:hint="eastAsia" w:ascii="黑体" w:hAnsi="黑体" w:eastAsia="黑体" w:cs="黑体"/>
              <w:szCs w:val="32"/>
              <w:shd w:val="clear" w:fill="FFFFFF"/>
            </w:rPr>
            <w:t>一、基本职能及主要工作</w:t>
          </w:r>
          <w:r>
            <w:tab/>
          </w:r>
          <w:r>
            <w:fldChar w:fldCharType="begin"/>
          </w:r>
          <w:r>
            <w:instrText xml:space="preserve"> PAGEREF _Toc27115 \h </w:instrText>
          </w:r>
          <w:r>
            <w:fldChar w:fldCharType="separate"/>
          </w:r>
          <w:r>
            <w:t>1</w:t>
          </w:r>
          <w:r>
            <w:fldChar w:fldCharType="end"/>
          </w:r>
          <w:r>
            <w:fldChar w:fldCharType="end"/>
          </w:r>
        </w:p>
        <w:p w14:paraId="7666C114">
          <w:pPr>
            <w:pStyle w:val="15"/>
            <w:tabs>
              <w:tab w:val="right" w:leader="dot" w:pos="8315"/>
            </w:tabs>
            <w:ind w:firstLine="480" w:firstLineChars="200"/>
          </w:pPr>
          <w:r>
            <w:fldChar w:fldCharType="begin"/>
          </w:r>
          <w:r>
            <w:instrText xml:space="preserve"> HYPERLINK \l _Toc8122 </w:instrText>
          </w:r>
          <w:r>
            <w:fldChar w:fldCharType="separate"/>
          </w:r>
          <w:r>
            <w:rPr>
              <w:rFonts w:hint="eastAsia" w:ascii="楷体" w:hAnsi="楷体" w:eastAsia="楷体" w:cs="楷体"/>
              <w:bCs/>
              <w:szCs w:val="32"/>
              <w:shd w:val="clear" w:fill="FFFFFF"/>
            </w:rPr>
            <w:t>（一）主要职能</w:t>
          </w:r>
          <w:r>
            <w:tab/>
          </w:r>
          <w:r>
            <w:fldChar w:fldCharType="begin"/>
          </w:r>
          <w:r>
            <w:instrText xml:space="preserve"> PAGEREF _Toc8122 \h </w:instrText>
          </w:r>
          <w:r>
            <w:fldChar w:fldCharType="separate"/>
          </w:r>
          <w:r>
            <w:t>1</w:t>
          </w:r>
          <w:r>
            <w:fldChar w:fldCharType="end"/>
          </w:r>
          <w:r>
            <w:fldChar w:fldCharType="end"/>
          </w:r>
        </w:p>
        <w:p w14:paraId="6C8F5D81">
          <w:pPr>
            <w:pStyle w:val="15"/>
            <w:tabs>
              <w:tab w:val="right" w:leader="dot" w:pos="8315"/>
            </w:tabs>
            <w:ind w:firstLine="480" w:firstLineChars="200"/>
          </w:pPr>
          <w:r>
            <w:fldChar w:fldCharType="begin"/>
          </w:r>
          <w:r>
            <w:instrText xml:space="preserve"> HYPERLINK \l _Toc19268 </w:instrText>
          </w:r>
          <w:r>
            <w:fldChar w:fldCharType="separate"/>
          </w:r>
          <w:r>
            <w:rPr>
              <w:rFonts w:hint="eastAsia" w:ascii="楷体" w:hAnsi="楷体" w:eastAsia="楷体" w:cs="楷体"/>
              <w:bCs/>
              <w:szCs w:val="32"/>
              <w:shd w:val="clear" w:fill="FFFFFF"/>
            </w:rPr>
            <w:t>（二）202</w:t>
          </w:r>
          <w:r>
            <w:rPr>
              <w:rFonts w:hint="eastAsia" w:ascii="楷体" w:hAnsi="楷体" w:eastAsia="楷体" w:cs="楷体"/>
              <w:bCs/>
              <w:szCs w:val="32"/>
              <w:shd w:val="clear" w:fill="FFFFFF"/>
              <w:lang w:val="en-US" w:eastAsia="zh-CN"/>
            </w:rPr>
            <w:t>5</w:t>
          </w:r>
          <w:r>
            <w:rPr>
              <w:rFonts w:hint="eastAsia" w:ascii="楷体" w:hAnsi="楷体" w:eastAsia="楷体" w:cs="楷体"/>
              <w:bCs/>
              <w:szCs w:val="32"/>
              <w:shd w:val="clear" w:fill="FFFFFF"/>
            </w:rPr>
            <w:t>年重点工作完成情况</w:t>
          </w:r>
          <w:r>
            <w:tab/>
          </w:r>
          <w:r>
            <w:fldChar w:fldCharType="begin"/>
          </w:r>
          <w:r>
            <w:instrText xml:space="preserve"> PAGEREF _Toc19268 \h </w:instrText>
          </w:r>
          <w:r>
            <w:fldChar w:fldCharType="separate"/>
          </w:r>
          <w:r>
            <w:t>1</w:t>
          </w:r>
          <w:r>
            <w:fldChar w:fldCharType="end"/>
          </w:r>
          <w:r>
            <w:fldChar w:fldCharType="end"/>
          </w:r>
        </w:p>
        <w:p w14:paraId="290361EA">
          <w:pPr>
            <w:pStyle w:val="14"/>
            <w:tabs>
              <w:tab w:val="right" w:leader="dot" w:pos="8315"/>
            </w:tabs>
            <w:ind w:firstLine="480" w:firstLineChars="200"/>
          </w:pPr>
          <w:r>
            <w:fldChar w:fldCharType="begin"/>
          </w:r>
          <w:r>
            <w:instrText xml:space="preserve"> HYPERLINK \l _Toc15474 </w:instrText>
          </w:r>
          <w:r>
            <w:fldChar w:fldCharType="separate"/>
          </w:r>
          <w:r>
            <w:rPr>
              <w:rFonts w:hint="eastAsia" w:ascii="黑体" w:hAnsi="黑体" w:eastAsia="黑体" w:cs="黑体"/>
              <w:bCs/>
              <w:kern w:val="2"/>
              <w:szCs w:val="32"/>
              <w:lang w:val="en-US" w:eastAsia="zh-CN" w:bidi="ar-SA"/>
            </w:rPr>
            <w:t>二、取得成效</w:t>
          </w:r>
          <w:r>
            <w:tab/>
          </w:r>
          <w:r>
            <w:rPr>
              <w:rFonts w:hint="eastAsia"/>
              <w:lang w:val="en-US" w:eastAsia="zh-CN"/>
            </w:rPr>
            <w:t>4</w:t>
          </w:r>
          <w:r>
            <w:fldChar w:fldCharType="end"/>
          </w:r>
        </w:p>
        <w:p w14:paraId="7C52E5ED">
          <w:pPr>
            <w:pStyle w:val="15"/>
            <w:tabs>
              <w:tab w:val="right" w:leader="dot" w:pos="8315"/>
            </w:tabs>
          </w:pPr>
          <w:r>
            <w:fldChar w:fldCharType="begin"/>
          </w:r>
          <w:r>
            <w:instrText xml:space="preserve"> HYPERLINK \l _Toc15734 </w:instrText>
          </w:r>
          <w:r>
            <w:fldChar w:fldCharType="separate"/>
          </w:r>
          <w:r>
            <w:rPr>
              <w:rFonts w:hint="eastAsia" w:ascii="黑体" w:hAnsi="黑体" w:eastAsia="黑体" w:cs="黑体"/>
              <w:szCs w:val="32"/>
              <w:shd w:val="clear" w:fill="FFFFFF"/>
              <w:lang w:val="en-US" w:eastAsia="zh-CN"/>
            </w:rPr>
            <w:t>三</w:t>
          </w:r>
          <w:r>
            <w:rPr>
              <w:rFonts w:hint="eastAsia" w:ascii="黑体" w:hAnsi="黑体" w:eastAsia="黑体" w:cs="黑体"/>
              <w:szCs w:val="32"/>
              <w:shd w:val="clear" w:fill="FFFFFF"/>
            </w:rPr>
            <w:t>、机构设置</w:t>
          </w:r>
          <w:r>
            <w:tab/>
          </w:r>
          <w:r>
            <w:rPr>
              <w:rFonts w:hint="eastAsia"/>
              <w:lang w:val="en-US" w:eastAsia="zh-CN"/>
            </w:rPr>
            <w:t>9</w:t>
          </w:r>
          <w:r>
            <w:fldChar w:fldCharType="end"/>
          </w:r>
        </w:p>
        <w:p w14:paraId="289B007A">
          <w:pPr>
            <w:pStyle w:val="14"/>
            <w:tabs>
              <w:tab w:val="right" w:leader="dot" w:pos="8315"/>
            </w:tabs>
            <w:rPr>
              <w:rFonts w:hint="default" w:eastAsiaTheme="minorEastAsia"/>
              <w:shd w:val="clear" w:fill="FFFFFF"/>
              <w:lang w:val="en-US" w:eastAsia="zh-CN"/>
            </w:rPr>
          </w:pPr>
          <w:r>
            <w:fldChar w:fldCharType="begin"/>
          </w:r>
          <w:r>
            <w:instrText xml:space="preserve"> HYPERLINK \l _Toc27889 </w:instrText>
          </w:r>
          <w:r>
            <w:fldChar w:fldCharType="separate"/>
          </w:r>
          <w:r>
            <w:rPr>
              <w:rFonts w:hint="eastAsia" w:ascii="方正小标宋简体" w:hAnsi="方正小标宋简体" w:eastAsia="方正小标宋简体" w:cs="方正小标宋简体"/>
              <w:bCs w:val="0"/>
              <w:kern w:val="44"/>
              <w:szCs w:val="48"/>
              <w:shd w:val="clear" w:fill="FFFFFF"/>
              <w:lang w:val="en-US" w:eastAsia="zh-CN" w:bidi="ar"/>
            </w:rPr>
            <w:t>第二部分 2025年度部门决算情况说明</w:t>
          </w:r>
          <w:r>
            <w:rPr>
              <w:rFonts w:hint="eastAsia"/>
              <w:shd w:val="clear" w:fill="FFFFFF"/>
              <w:lang w:val="en-US" w:eastAsia="zh-CN"/>
            </w:rPr>
            <w:t xml:space="preserve"> </w:t>
          </w:r>
          <w:r>
            <w:tab/>
          </w:r>
          <w:r>
            <w:rPr>
              <w:rFonts w:hint="eastAsia"/>
              <w:lang w:val="en-US" w:eastAsia="zh-CN"/>
            </w:rPr>
            <w:t>9</w:t>
          </w:r>
        </w:p>
        <w:p w14:paraId="6FADABFA">
          <w:pPr>
            <w:pStyle w:val="14"/>
            <w:tabs>
              <w:tab w:val="right" w:leader="dot" w:pos="8315"/>
            </w:tabs>
            <w:ind w:firstLine="480" w:firstLineChars="200"/>
          </w:pPr>
          <w:r>
            <w:rPr>
              <w:rFonts w:hint="eastAsia" w:ascii="黑体" w:hAnsi="黑体" w:eastAsia="黑体" w:cs="黑体"/>
              <w:szCs w:val="30"/>
              <w:shd w:val="clear" w:fill="FFFFFF"/>
            </w:rPr>
            <w:t>一、收入支出决算总体情况说明</w:t>
          </w:r>
          <w:r>
            <w:tab/>
          </w:r>
          <w:r>
            <w:fldChar w:fldCharType="begin"/>
          </w:r>
          <w:r>
            <w:instrText xml:space="preserve"> PAGEREF _Toc27889 \h </w:instrText>
          </w:r>
          <w:r>
            <w:fldChar w:fldCharType="separate"/>
          </w:r>
          <w:r>
            <w:t>9</w:t>
          </w:r>
          <w:r>
            <w:fldChar w:fldCharType="end"/>
          </w:r>
          <w:r>
            <w:fldChar w:fldCharType="end"/>
          </w:r>
        </w:p>
        <w:p w14:paraId="2CA351A2">
          <w:pPr>
            <w:pStyle w:val="14"/>
            <w:tabs>
              <w:tab w:val="right" w:leader="dot" w:pos="8315"/>
            </w:tabs>
            <w:ind w:firstLine="480" w:firstLineChars="200"/>
            <w:rPr>
              <w:rFonts w:hint="eastAsia" w:eastAsiaTheme="minorEastAsia"/>
              <w:lang w:val="en-US" w:eastAsia="zh-CN"/>
            </w:rPr>
          </w:pPr>
          <w:r>
            <w:fldChar w:fldCharType="begin"/>
          </w:r>
          <w:r>
            <w:instrText xml:space="preserve"> HYPERLINK \l _Toc30304 </w:instrText>
          </w:r>
          <w:r>
            <w:fldChar w:fldCharType="separate"/>
          </w:r>
          <w:r>
            <w:rPr>
              <w:rFonts w:hint="eastAsia" w:ascii="黑体" w:hAnsi="黑体" w:eastAsia="黑体" w:cs="黑体"/>
              <w:szCs w:val="30"/>
              <w:shd w:val="clear" w:fill="FFFFFF"/>
            </w:rPr>
            <w:t>二、收入决算情况说明</w:t>
          </w:r>
          <w:r>
            <w:tab/>
          </w:r>
          <w:r>
            <w:rPr>
              <w:rFonts w:hint="eastAsia"/>
              <w:lang w:val="en-US" w:eastAsia="zh-CN"/>
            </w:rPr>
            <w:t>1</w:t>
          </w:r>
          <w:r>
            <w:fldChar w:fldCharType="end"/>
          </w:r>
          <w:r>
            <w:rPr>
              <w:rFonts w:hint="eastAsia"/>
              <w:lang w:val="en-US" w:eastAsia="zh-CN"/>
            </w:rPr>
            <w:t>0</w:t>
          </w:r>
        </w:p>
        <w:p w14:paraId="7D8365A9">
          <w:pPr>
            <w:pStyle w:val="14"/>
            <w:tabs>
              <w:tab w:val="right" w:leader="dot" w:pos="8315"/>
            </w:tabs>
            <w:ind w:firstLine="480" w:firstLineChars="200"/>
          </w:pPr>
          <w:r>
            <w:fldChar w:fldCharType="begin"/>
          </w:r>
          <w:r>
            <w:instrText xml:space="preserve"> HYPERLINK \l _Toc17441 </w:instrText>
          </w:r>
          <w:r>
            <w:fldChar w:fldCharType="separate"/>
          </w:r>
          <w:r>
            <w:rPr>
              <w:rFonts w:hint="eastAsia" w:ascii="黑体" w:hAnsi="黑体" w:eastAsia="黑体" w:cs="黑体"/>
              <w:szCs w:val="32"/>
              <w:shd w:val="clear" w:fill="FFFFFF"/>
            </w:rPr>
            <w:t>三、支出决算情况说明</w:t>
          </w:r>
          <w:r>
            <w:tab/>
          </w:r>
          <w:r>
            <w:fldChar w:fldCharType="begin"/>
          </w:r>
          <w:r>
            <w:instrText xml:space="preserve"> PAGEREF _Toc17441 \h </w:instrText>
          </w:r>
          <w:r>
            <w:fldChar w:fldCharType="separate"/>
          </w:r>
          <w:r>
            <w:t>12</w:t>
          </w:r>
          <w:r>
            <w:fldChar w:fldCharType="end"/>
          </w:r>
          <w:r>
            <w:fldChar w:fldCharType="end"/>
          </w:r>
        </w:p>
        <w:p w14:paraId="16003B8F">
          <w:pPr>
            <w:pStyle w:val="14"/>
            <w:tabs>
              <w:tab w:val="right" w:leader="dot" w:pos="8315"/>
            </w:tabs>
            <w:ind w:firstLine="480" w:firstLineChars="200"/>
          </w:pPr>
          <w:r>
            <w:fldChar w:fldCharType="begin"/>
          </w:r>
          <w:r>
            <w:instrText xml:space="preserve"> HYPERLINK \l _Toc18339 </w:instrText>
          </w:r>
          <w:r>
            <w:fldChar w:fldCharType="separate"/>
          </w:r>
          <w:r>
            <w:rPr>
              <w:rFonts w:hint="eastAsia" w:ascii="黑体" w:hAnsi="黑体" w:eastAsia="黑体" w:cs="黑体"/>
              <w:szCs w:val="32"/>
              <w:shd w:val="clear" w:fill="FFFFFF"/>
            </w:rPr>
            <w:t>四、财政拨款收入支出决算总体情况说明</w:t>
          </w:r>
          <w:r>
            <w:tab/>
          </w:r>
          <w:r>
            <w:fldChar w:fldCharType="begin"/>
          </w:r>
          <w:r>
            <w:instrText xml:space="preserve"> PAGEREF _Toc18339 \h </w:instrText>
          </w:r>
          <w:r>
            <w:fldChar w:fldCharType="separate"/>
          </w:r>
          <w:r>
            <w:t>16</w:t>
          </w:r>
          <w:r>
            <w:fldChar w:fldCharType="end"/>
          </w:r>
          <w:r>
            <w:fldChar w:fldCharType="end"/>
          </w:r>
        </w:p>
        <w:p w14:paraId="2D9F7005">
          <w:pPr>
            <w:pStyle w:val="14"/>
            <w:tabs>
              <w:tab w:val="right" w:leader="dot" w:pos="8315"/>
            </w:tabs>
            <w:ind w:firstLine="480" w:firstLineChars="200"/>
          </w:pPr>
          <w:r>
            <w:fldChar w:fldCharType="begin"/>
          </w:r>
          <w:r>
            <w:instrText xml:space="preserve"> HYPERLINK \l _Toc13820 </w:instrText>
          </w:r>
          <w:r>
            <w:fldChar w:fldCharType="separate"/>
          </w:r>
          <w:r>
            <w:rPr>
              <w:rFonts w:hint="eastAsia" w:ascii="黑体" w:hAnsi="黑体" w:eastAsia="黑体" w:cs="黑体"/>
              <w:szCs w:val="32"/>
              <w:shd w:val="clear" w:fill="FFFFFF"/>
            </w:rPr>
            <w:t>五、一般公共预算财政拨款支出决算情况说明</w:t>
          </w:r>
          <w:r>
            <w:tab/>
          </w:r>
          <w:r>
            <w:fldChar w:fldCharType="begin"/>
          </w:r>
          <w:r>
            <w:instrText xml:space="preserve"> PAGEREF _Toc13820 \h </w:instrText>
          </w:r>
          <w:r>
            <w:fldChar w:fldCharType="separate"/>
          </w:r>
          <w:r>
            <w:t>19</w:t>
          </w:r>
          <w:r>
            <w:fldChar w:fldCharType="end"/>
          </w:r>
          <w:r>
            <w:fldChar w:fldCharType="end"/>
          </w:r>
        </w:p>
        <w:p w14:paraId="053B611D">
          <w:pPr>
            <w:pStyle w:val="15"/>
            <w:tabs>
              <w:tab w:val="right" w:leader="dot" w:pos="8315"/>
            </w:tabs>
            <w:ind w:firstLine="480" w:firstLineChars="200"/>
          </w:pPr>
          <w:r>
            <w:fldChar w:fldCharType="begin"/>
          </w:r>
          <w:r>
            <w:instrText xml:space="preserve"> HYPERLINK \l _Toc711 </w:instrText>
          </w:r>
          <w:r>
            <w:fldChar w:fldCharType="separate"/>
          </w:r>
          <w:r>
            <w:rPr>
              <w:rFonts w:hint="eastAsia" w:ascii="仿宋_GB2312" w:hAnsi="仿宋_GB2312" w:eastAsia="仿宋_GB2312" w:cs="仿宋_GB2312"/>
              <w:szCs w:val="32"/>
              <w:shd w:val="clear" w:fill="FFFFFF"/>
            </w:rPr>
            <w:t>（一）一般公共预算财政拨款支出决算总体情况</w:t>
          </w:r>
          <w:r>
            <w:tab/>
          </w:r>
          <w:r>
            <w:fldChar w:fldCharType="begin"/>
          </w:r>
          <w:r>
            <w:instrText xml:space="preserve"> PAGEREF _Toc711 \h </w:instrText>
          </w:r>
          <w:r>
            <w:fldChar w:fldCharType="separate"/>
          </w:r>
          <w:r>
            <w:t>19</w:t>
          </w:r>
          <w:r>
            <w:fldChar w:fldCharType="end"/>
          </w:r>
          <w:r>
            <w:fldChar w:fldCharType="end"/>
          </w:r>
        </w:p>
        <w:p w14:paraId="6A787AA0">
          <w:pPr>
            <w:pStyle w:val="15"/>
            <w:tabs>
              <w:tab w:val="right" w:leader="dot" w:pos="8315"/>
            </w:tabs>
            <w:ind w:firstLine="480" w:firstLineChars="200"/>
          </w:pPr>
          <w:r>
            <w:fldChar w:fldCharType="begin"/>
          </w:r>
          <w:r>
            <w:instrText xml:space="preserve"> HYPERLINK \l _Toc3476 </w:instrText>
          </w:r>
          <w:r>
            <w:fldChar w:fldCharType="separate"/>
          </w:r>
          <w:r>
            <w:rPr>
              <w:rFonts w:hint="eastAsia" w:ascii="仿宋_GB2312" w:hAnsi="仿宋_GB2312" w:eastAsia="仿宋_GB2312" w:cs="仿宋_GB2312"/>
              <w:bCs/>
              <w:szCs w:val="32"/>
              <w:shd w:val="clear" w:fill="FFFFFF"/>
            </w:rPr>
            <w:t>（二）一般公共预算财政拨款支出决算结构情况</w:t>
          </w:r>
          <w:r>
            <w:tab/>
          </w:r>
          <w:r>
            <w:fldChar w:fldCharType="begin"/>
          </w:r>
          <w:r>
            <w:instrText xml:space="preserve"> PAGEREF _Toc3476 \h </w:instrText>
          </w:r>
          <w:r>
            <w:fldChar w:fldCharType="separate"/>
          </w:r>
          <w:r>
            <w:t>19</w:t>
          </w:r>
          <w:r>
            <w:fldChar w:fldCharType="end"/>
          </w:r>
          <w:r>
            <w:fldChar w:fldCharType="end"/>
          </w:r>
        </w:p>
        <w:p w14:paraId="235E3501">
          <w:pPr>
            <w:pStyle w:val="14"/>
            <w:tabs>
              <w:tab w:val="right" w:leader="dot" w:pos="8315"/>
            </w:tabs>
            <w:ind w:firstLine="480" w:firstLineChars="200"/>
          </w:pPr>
          <w:r>
            <w:fldChar w:fldCharType="begin"/>
          </w:r>
          <w:r>
            <w:instrText xml:space="preserve"> HYPERLINK \l _Toc12182 </w:instrText>
          </w:r>
          <w:r>
            <w:fldChar w:fldCharType="separate"/>
          </w:r>
          <w:r>
            <w:rPr>
              <w:rFonts w:hint="eastAsia" w:ascii="黑体" w:hAnsi="黑体" w:eastAsia="黑体" w:cs="黑体"/>
              <w:bCs/>
              <w:szCs w:val="32"/>
              <w:shd w:val="clear" w:fill="FFFFFF"/>
              <w:lang w:val="en-US" w:eastAsia="zh-CN"/>
            </w:rPr>
            <w:t>六、</w:t>
          </w:r>
          <w:r>
            <w:rPr>
              <w:rFonts w:hint="eastAsia" w:ascii="黑体" w:hAnsi="黑体" w:eastAsia="黑体" w:cs="黑体"/>
              <w:bCs/>
              <w:szCs w:val="32"/>
              <w:shd w:val="clear" w:fill="FFFFFF"/>
            </w:rPr>
            <w:t>一般公共预算财政拨款基本支出决算情况说明   </w:t>
          </w:r>
          <w:r>
            <w:tab/>
          </w:r>
          <w:r>
            <w:fldChar w:fldCharType="begin"/>
          </w:r>
          <w:r>
            <w:instrText xml:space="preserve"> PAGEREF _Toc12182 \h </w:instrText>
          </w:r>
          <w:r>
            <w:fldChar w:fldCharType="separate"/>
          </w:r>
          <w:r>
            <w:t>2</w:t>
          </w:r>
          <w:r>
            <w:rPr>
              <w:rFonts w:hint="eastAsia"/>
              <w:lang w:val="en-US" w:eastAsia="zh-CN"/>
            </w:rPr>
            <w:t>3</w:t>
          </w:r>
          <w:r>
            <w:fldChar w:fldCharType="end"/>
          </w:r>
          <w:r>
            <w:fldChar w:fldCharType="end"/>
          </w:r>
        </w:p>
        <w:p w14:paraId="436B62A7">
          <w:pPr>
            <w:pStyle w:val="14"/>
            <w:tabs>
              <w:tab w:val="right" w:leader="dot" w:pos="8315"/>
            </w:tabs>
            <w:ind w:firstLine="480" w:firstLineChars="200"/>
          </w:pPr>
          <w:r>
            <w:fldChar w:fldCharType="begin"/>
          </w:r>
          <w:r>
            <w:instrText xml:space="preserve"> HYPERLINK \l _Toc129 </w:instrText>
          </w:r>
          <w:r>
            <w:fldChar w:fldCharType="separate"/>
          </w:r>
          <w:r>
            <w:rPr>
              <w:rFonts w:hint="eastAsia" w:ascii="黑体" w:hAnsi="黑体" w:eastAsia="黑体" w:cs="黑体"/>
              <w:szCs w:val="32"/>
              <w:shd w:val="clear" w:fill="FFFFFF"/>
              <w:lang w:val="en-US" w:eastAsia="zh-CN"/>
            </w:rPr>
            <w:t>七</w:t>
          </w:r>
          <w:r>
            <w:rPr>
              <w:rFonts w:hint="eastAsia" w:ascii="黑体" w:hAnsi="黑体" w:eastAsia="黑体" w:cs="黑体"/>
              <w:szCs w:val="32"/>
              <w:shd w:val="clear" w:fill="FFFFFF"/>
            </w:rPr>
            <w:t>、“三公”经费财政拨款支出决算情况说明</w:t>
          </w:r>
          <w:r>
            <w:tab/>
          </w:r>
          <w:r>
            <w:fldChar w:fldCharType="begin"/>
          </w:r>
          <w:r>
            <w:instrText xml:space="preserve"> PAGEREF _Toc129 \h </w:instrText>
          </w:r>
          <w:r>
            <w:fldChar w:fldCharType="separate"/>
          </w:r>
          <w:r>
            <w:t>2</w:t>
          </w:r>
          <w:r>
            <w:rPr>
              <w:rFonts w:hint="eastAsia"/>
              <w:lang w:val="en-US" w:eastAsia="zh-CN"/>
            </w:rPr>
            <w:t>4</w:t>
          </w:r>
          <w:r>
            <w:fldChar w:fldCharType="end"/>
          </w:r>
          <w:r>
            <w:fldChar w:fldCharType="end"/>
          </w:r>
        </w:p>
        <w:p w14:paraId="6DD37DB3">
          <w:pPr>
            <w:pStyle w:val="15"/>
            <w:tabs>
              <w:tab w:val="right" w:leader="dot" w:pos="8315"/>
            </w:tabs>
            <w:ind w:firstLine="480" w:firstLineChars="200"/>
          </w:pPr>
          <w:r>
            <w:fldChar w:fldCharType="begin"/>
          </w:r>
          <w:r>
            <w:instrText xml:space="preserve"> HYPERLINK \l _Toc11864 </w:instrText>
          </w:r>
          <w:r>
            <w:fldChar w:fldCharType="separate"/>
          </w:r>
          <w:r>
            <w:rPr>
              <w:rFonts w:hint="eastAsia" w:ascii="仿宋_GB2312" w:hAnsi="仿宋_GB2312" w:eastAsia="仿宋_GB2312" w:cs="仿宋_GB2312"/>
              <w:szCs w:val="32"/>
              <w:shd w:val="clear" w:fill="FFFFFF"/>
            </w:rPr>
            <w:t>（一）“三公”经费财政拨款支出决算总体情况说明</w:t>
          </w:r>
          <w:r>
            <w:tab/>
          </w:r>
          <w:r>
            <w:fldChar w:fldCharType="begin"/>
          </w:r>
          <w:r>
            <w:instrText xml:space="preserve"> PAGEREF _Toc11864 \h </w:instrText>
          </w:r>
          <w:r>
            <w:fldChar w:fldCharType="separate"/>
          </w:r>
          <w:r>
            <w:t>2</w:t>
          </w:r>
          <w:r>
            <w:rPr>
              <w:rFonts w:hint="eastAsia"/>
              <w:lang w:val="en-US" w:eastAsia="zh-CN"/>
            </w:rPr>
            <w:t>4</w:t>
          </w:r>
          <w:r>
            <w:fldChar w:fldCharType="end"/>
          </w:r>
          <w:r>
            <w:fldChar w:fldCharType="end"/>
          </w:r>
        </w:p>
        <w:p w14:paraId="517A569A">
          <w:pPr>
            <w:pStyle w:val="15"/>
            <w:tabs>
              <w:tab w:val="right" w:leader="dot" w:pos="8315"/>
            </w:tabs>
            <w:ind w:firstLine="480" w:firstLineChars="200"/>
          </w:pPr>
          <w:r>
            <w:fldChar w:fldCharType="begin"/>
          </w:r>
          <w:r>
            <w:instrText xml:space="preserve"> HYPERLINK \l _Toc12987 </w:instrText>
          </w:r>
          <w:r>
            <w:fldChar w:fldCharType="separate"/>
          </w:r>
          <w:r>
            <w:rPr>
              <w:rFonts w:hint="eastAsia" w:ascii="仿宋_GB2312" w:hAnsi="仿宋_GB2312" w:eastAsia="仿宋_GB2312" w:cs="仿宋_GB2312"/>
              <w:szCs w:val="32"/>
              <w:shd w:val="clear" w:fill="FFFFFF"/>
            </w:rPr>
            <w:t>（二）“三公”经费财政拨款支出决算具体情况说明</w:t>
          </w:r>
          <w:r>
            <w:tab/>
          </w:r>
          <w:r>
            <w:fldChar w:fldCharType="begin"/>
          </w:r>
          <w:r>
            <w:instrText xml:space="preserve"> PAGEREF _Toc12987 \h </w:instrText>
          </w:r>
          <w:r>
            <w:fldChar w:fldCharType="separate"/>
          </w:r>
          <w:r>
            <w:t>2</w:t>
          </w:r>
          <w:r>
            <w:rPr>
              <w:rFonts w:hint="eastAsia"/>
              <w:lang w:val="en-US" w:eastAsia="zh-CN"/>
            </w:rPr>
            <w:t>4</w:t>
          </w:r>
          <w:r>
            <w:fldChar w:fldCharType="end"/>
          </w:r>
          <w:r>
            <w:fldChar w:fldCharType="end"/>
          </w:r>
        </w:p>
        <w:p w14:paraId="163CFBC9">
          <w:pPr>
            <w:pStyle w:val="14"/>
            <w:tabs>
              <w:tab w:val="right" w:leader="dot" w:pos="8315"/>
            </w:tabs>
            <w:ind w:firstLine="480" w:firstLineChars="200"/>
          </w:pPr>
          <w:r>
            <w:fldChar w:fldCharType="begin"/>
          </w:r>
          <w:r>
            <w:instrText xml:space="preserve"> HYPERLINK \l _Toc27853 </w:instrText>
          </w:r>
          <w:r>
            <w:fldChar w:fldCharType="separate"/>
          </w:r>
          <w:r>
            <w:rPr>
              <w:rFonts w:hint="eastAsia" w:ascii="黑体" w:hAnsi="黑体" w:eastAsia="黑体" w:cs="黑体"/>
              <w:szCs w:val="32"/>
              <w:shd w:val="clear" w:fill="FFFFFF"/>
            </w:rPr>
            <w:t>八、政府性基金预算支出决算情况说明</w:t>
          </w:r>
          <w:r>
            <w:tab/>
          </w:r>
          <w:r>
            <w:fldChar w:fldCharType="begin"/>
          </w:r>
          <w:r>
            <w:instrText xml:space="preserve"> PAGEREF _Toc27853 \h </w:instrText>
          </w:r>
          <w:r>
            <w:fldChar w:fldCharType="separate"/>
          </w:r>
          <w:r>
            <w:t>2</w:t>
          </w:r>
          <w:r>
            <w:rPr>
              <w:rFonts w:hint="eastAsia"/>
              <w:lang w:val="en-US" w:eastAsia="zh-CN"/>
            </w:rPr>
            <w:t>5</w:t>
          </w:r>
          <w:r>
            <w:fldChar w:fldCharType="end"/>
          </w:r>
          <w:r>
            <w:fldChar w:fldCharType="end"/>
          </w:r>
        </w:p>
        <w:p w14:paraId="170AAD86">
          <w:pPr>
            <w:pStyle w:val="14"/>
            <w:tabs>
              <w:tab w:val="right" w:leader="dot" w:pos="8315"/>
            </w:tabs>
            <w:ind w:firstLine="480" w:firstLineChars="200"/>
          </w:pPr>
          <w:r>
            <w:fldChar w:fldCharType="begin"/>
          </w:r>
          <w:r>
            <w:instrText xml:space="preserve"> HYPERLINK \l _Toc22042 </w:instrText>
          </w:r>
          <w:r>
            <w:fldChar w:fldCharType="separate"/>
          </w:r>
          <w:r>
            <w:rPr>
              <w:rFonts w:hint="eastAsia" w:ascii="黑体" w:hAnsi="黑体" w:eastAsia="黑体" w:cs="黑体"/>
              <w:szCs w:val="32"/>
              <w:shd w:val="clear" w:fill="FFFFFF"/>
            </w:rPr>
            <w:t>九、国有资本经营预算支出决算情况说明</w:t>
          </w:r>
          <w:r>
            <w:tab/>
          </w:r>
          <w:r>
            <w:fldChar w:fldCharType="begin"/>
          </w:r>
          <w:r>
            <w:instrText xml:space="preserve"> PAGEREF _Toc22042 \h </w:instrText>
          </w:r>
          <w:r>
            <w:fldChar w:fldCharType="separate"/>
          </w:r>
          <w:r>
            <w:t>2</w:t>
          </w:r>
          <w:r>
            <w:rPr>
              <w:rFonts w:hint="eastAsia"/>
              <w:lang w:val="en-US" w:eastAsia="zh-CN"/>
            </w:rPr>
            <w:t>5</w:t>
          </w:r>
          <w:r>
            <w:fldChar w:fldCharType="end"/>
          </w:r>
          <w:r>
            <w:fldChar w:fldCharType="end"/>
          </w:r>
        </w:p>
        <w:p w14:paraId="351FDC13">
          <w:pPr>
            <w:pStyle w:val="14"/>
            <w:tabs>
              <w:tab w:val="right" w:leader="dot" w:pos="8315"/>
            </w:tabs>
            <w:rPr>
              <w:rFonts w:hint="eastAsia" w:eastAsiaTheme="minorEastAsia"/>
              <w:lang w:val="en-US" w:eastAsia="zh-CN"/>
            </w:rPr>
          </w:pPr>
          <w:r>
            <w:fldChar w:fldCharType="begin"/>
          </w:r>
          <w:r>
            <w:instrText xml:space="preserve"> HYPERLINK \l _Toc19480 </w:instrText>
          </w:r>
          <w:r>
            <w:fldChar w:fldCharType="separate"/>
          </w:r>
          <w:r>
            <w:rPr>
              <w:rFonts w:hint="eastAsia" w:ascii="方正小标宋简体" w:hAnsi="方正小标宋简体" w:eastAsia="方正小标宋简体" w:cs="方正小标宋简体"/>
              <w:bCs/>
              <w:szCs w:val="44"/>
              <w:shd w:val="clear" w:fill="FFFFFF"/>
            </w:rPr>
            <w:t>第三部分 名词解释</w:t>
          </w:r>
          <w:r>
            <w:tab/>
          </w:r>
          <w:r>
            <w:rPr>
              <w:rFonts w:hint="eastAsia"/>
              <w:lang w:val="en-US" w:eastAsia="zh-CN"/>
            </w:rPr>
            <w:t>2</w:t>
          </w:r>
          <w:r>
            <w:fldChar w:fldCharType="end"/>
          </w:r>
          <w:r>
            <w:rPr>
              <w:rFonts w:hint="eastAsia"/>
              <w:lang w:val="en-US" w:eastAsia="zh-CN"/>
            </w:rPr>
            <w:t>7</w:t>
          </w:r>
        </w:p>
        <w:p w14:paraId="7A52D3D0">
          <w:pPr>
            <w:pStyle w:val="14"/>
            <w:tabs>
              <w:tab w:val="right" w:leader="dot" w:pos="8315"/>
            </w:tabs>
            <w:rPr>
              <w:rFonts w:hint="eastAsia" w:eastAsiaTheme="minorEastAsia"/>
              <w:lang w:val="en-US" w:eastAsia="zh-CN"/>
            </w:rPr>
          </w:pPr>
          <w:r>
            <w:fldChar w:fldCharType="begin"/>
          </w:r>
          <w:r>
            <w:instrText xml:space="preserve"> HYPERLINK \l _Toc11038 </w:instrText>
          </w:r>
          <w:r>
            <w:fldChar w:fldCharType="separate"/>
          </w:r>
          <w:r>
            <w:rPr>
              <w:rFonts w:hint="eastAsia" w:ascii="方正小标宋简体" w:hAnsi="方正小标宋简体" w:eastAsia="方正小标宋简体" w:cs="方正小标宋简体"/>
              <w:bCs/>
              <w:szCs w:val="44"/>
              <w:shd w:val="clear" w:fill="FFFFFF"/>
            </w:rPr>
            <w:t>第</w:t>
          </w:r>
          <w:r>
            <w:rPr>
              <w:rFonts w:hint="eastAsia" w:ascii="方正小标宋简体" w:hAnsi="方正小标宋简体" w:eastAsia="方正小标宋简体" w:cs="方正小标宋简体"/>
              <w:bCs/>
              <w:szCs w:val="44"/>
              <w:shd w:val="clear" w:fill="FFFFFF"/>
              <w:lang w:eastAsia="zh-CN"/>
            </w:rPr>
            <w:t>四</w:t>
          </w:r>
          <w:r>
            <w:rPr>
              <w:rFonts w:hint="eastAsia" w:ascii="方正小标宋简体" w:hAnsi="方正小标宋简体" w:eastAsia="方正小标宋简体" w:cs="方正小标宋简体"/>
              <w:bCs/>
              <w:szCs w:val="44"/>
              <w:shd w:val="clear" w:fill="FFFFFF"/>
            </w:rPr>
            <w:t>部分 附表</w:t>
          </w:r>
          <w:r>
            <w:tab/>
          </w:r>
          <w:r>
            <w:rPr>
              <w:rFonts w:hint="eastAsia"/>
              <w:lang w:val="en-US" w:eastAsia="zh-CN"/>
            </w:rPr>
            <w:t>3</w:t>
          </w:r>
          <w:r>
            <w:fldChar w:fldCharType="end"/>
          </w:r>
          <w:r>
            <w:rPr>
              <w:rFonts w:hint="eastAsia"/>
              <w:lang w:val="en-US" w:eastAsia="zh-CN"/>
            </w:rPr>
            <w:t>4</w:t>
          </w:r>
        </w:p>
        <w:p w14:paraId="15B5ACBE">
          <w:pPr>
            <w:pStyle w:val="15"/>
            <w:tabs>
              <w:tab w:val="right" w:leader="dot" w:pos="8315"/>
            </w:tabs>
            <w:rPr>
              <w:rFonts w:hint="eastAsia" w:eastAsiaTheme="minorEastAsia"/>
              <w:lang w:val="en-US" w:eastAsia="zh-CN"/>
            </w:rPr>
          </w:pPr>
          <w:r>
            <w:fldChar w:fldCharType="begin"/>
          </w:r>
          <w:r>
            <w:instrText xml:space="preserve"> HYPERLINK \l _Toc1792 </w:instrText>
          </w:r>
          <w:r>
            <w:fldChar w:fldCharType="separate"/>
          </w:r>
          <w:r>
            <w:rPr>
              <w:rFonts w:hint="eastAsia" w:ascii="仿宋_GB2312" w:hAnsi="仿宋_GB2312" w:eastAsia="仿宋_GB2312" w:cs="仿宋_GB2312"/>
              <w:bCs w:val="0"/>
              <w:shd w:val="clear" w:fill="FFFFFF"/>
            </w:rPr>
            <w:t>一、收入支出决算总表</w:t>
          </w:r>
          <w:r>
            <w:tab/>
          </w:r>
          <w:r>
            <w:rPr>
              <w:rFonts w:hint="eastAsia"/>
              <w:lang w:val="en-US" w:eastAsia="zh-CN"/>
            </w:rPr>
            <w:t>3</w:t>
          </w:r>
          <w:r>
            <w:fldChar w:fldCharType="end"/>
          </w:r>
          <w:r>
            <w:rPr>
              <w:rFonts w:hint="eastAsia"/>
              <w:lang w:val="en-US" w:eastAsia="zh-CN"/>
            </w:rPr>
            <w:t>4</w:t>
          </w:r>
        </w:p>
        <w:p w14:paraId="5C7B3DF6">
          <w:pPr>
            <w:pStyle w:val="15"/>
            <w:tabs>
              <w:tab w:val="right" w:leader="dot" w:pos="8315"/>
            </w:tabs>
            <w:rPr>
              <w:rFonts w:hint="eastAsia" w:eastAsiaTheme="minorEastAsia"/>
              <w:lang w:val="en-US" w:eastAsia="zh-CN"/>
            </w:rPr>
          </w:pPr>
          <w:r>
            <w:fldChar w:fldCharType="begin"/>
          </w:r>
          <w:r>
            <w:instrText xml:space="preserve"> HYPERLINK \l _Toc5289 </w:instrText>
          </w:r>
          <w:r>
            <w:fldChar w:fldCharType="separate"/>
          </w:r>
          <w:r>
            <w:rPr>
              <w:rFonts w:hint="eastAsia" w:ascii="仿宋_GB2312" w:hAnsi="仿宋_GB2312" w:eastAsia="仿宋_GB2312" w:cs="仿宋_GB2312"/>
              <w:bCs w:val="0"/>
              <w:shd w:val="clear" w:fill="FFFFFF"/>
            </w:rPr>
            <w:t>二、收入决算表</w:t>
          </w:r>
          <w:r>
            <w:tab/>
          </w:r>
          <w:r>
            <w:rPr>
              <w:rFonts w:hint="eastAsia"/>
              <w:lang w:val="en-US" w:eastAsia="zh-CN"/>
            </w:rPr>
            <w:t>3</w:t>
          </w:r>
          <w:r>
            <w:fldChar w:fldCharType="end"/>
          </w:r>
          <w:r>
            <w:rPr>
              <w:rFonts w:hint="eastAsia"/>
              <w:lang w:val="en-US" w:eastAsia="zh-CN"/>
            </w:rPr>
            <w:t>4</w:t>
          </w:r>
        </w:p>
        <w:p w14:paraId="53310196">
          <w:pPr>
            <w:pStyle w:val="15"/>
            <w:tabs>
              <w:tab w:val="right" w:leader="dot" w:pos="8315"/>
            </w:tabs>
            <w:rPr>
              <w:rFonts w:hint="eastAsia" w:eastAsiaTheme="minorEastAsia"/>
              <w:lang w:val="en-US" w:eastAsia="zh-CN"/>
            </w:rPr>
          </w:pPr>
          <w:r>
            <w:fldChar w:fldCharType="begin"/>
          </w:r>
          <w:r>
            <w:instrText xml:space="preserve"> HYPERLINK \l _Toc9007 </w:instrText>
          </w:r>
          <w:r>
            <w:fldChar w:fldCharType="separate"/>
          </w:r>
          <w:r>
            <w:rPr>
              <w:rFonts w:hint="eastAsia" w:ascii="仿宋_GB2312" w:hAnsi="仿宋_GB2312" w:eastAsia="仿宋_GB2312" w:cs="仿宋_GB2312"/>
              <w:bCs w:val="0"/>
              <w:shd w:val="clear" w:fill="FFFFFF"/>
            </w:rPr>
            <w:t>三、支出决算表</w:t>
          </w:r>
          <w:r>
            <w:tab/>
          </w:r>
          <w:r>
            <w:rPr>
              <w:rFonts w:hint="eastAsia"/>
              <w:lang w:val="en-US" w:eastAsia="zh-CN"/>
            </w:rPr>
            <w:t>3</w:t>
          </w:r>
          <w:r>
            <w:fldChar w:fldCharType="end"/>
          </w:r>
          <w:r>
            <w:rPr>
              <w:rFonts w:hint="eastAsia"/>
              <w:lang w:val="en-US" w:eastAsia="zh-CN"/>
            </w:rPr>
            <w:t>4</w:t>
          </w:r>
        </w:p>
        <w:p w14:paraId="1A6D60BD">
          <w:pPr>
            <w:pStyle w:val="15"/>
            <w:tabs>
              <w:tab w:val="right" w:leader="dot" w:pos="8315"/>
            </w:tabs>
            <w:rPr>
              <w:rFonts w:hint="eastAsia" w:eastAsiaTheme="minorEastAsia"/>
              <w:lang w:val="en-US" w:eastAsia="zh-CN"/>
            </w:rPr>
          </w:pPr>
          <w:r>
            <w:fldChar w:fldCharType="begin"/>
          </w:r>
          <w:r>
            <w:instrText xml:space="preserve"> HYPERLINK \l _Toc16078 </w:instrText>
          </w:r>
          <w:r>
            <w:fldChar w:fldCharType="separate"/>
          </w:r>
          <w:r>
            <w:rPr>
              <w:rFonts w:hint="eastAsia" w:ascii="仿宋_GB2312" w:hAnsi="仿宋_GB2312" w:eastAsia="仿宋_GB2312" w:cs="仿宋_GB2312"/>
              <w:bCs w:val="0"/>
              <w:shd w:val="clear" w:fill="FFFFFF"/>
            </w:rPr>
            <w:t>四、财政拨款收入支出决算总表</w:t>
          </w:r>
          <w:r>
            <w:tab/>
          </w:r>
          <w:r>
            <w:rPr>
              <w:rFonts w:hint="eastAsia"/>
              <w:lang w:val="en-US" w:eastAsia="zh-CN"/>
            </w:rPr>
            <w:t>3</w:t>
          </w:r>
          <w:r>
            <w:fldChar w:fldCharType="end"/>
          </w:r>
          <w:r>
            <w:rPr>
              <w:rFonts w:hint="eastAsia"/>
              <w:lang w:val="en-US" w:eastAsia="zh-CN"/>
            </w:rPr>
            <w:t>4</w:t>
          </w:r>
        </w:p>
        <w:p w14:paraId="4C094863">
          <w:pPr>
            <w:pStyle w:val="15"/>
            <w:tabs>
              <w:tab w:val="right" w:leader="dot" w:pos="8315"/>
            </w:tabs>
            <w:rPr>
              <w:rFonts w:hint="eastAsia" w:eastAsiaTheme="minorEastAsia"/>
              <w:lang w:val="en-US" w:eastAsia="zh-CN"/>
            </w:rPr>
          </w:pPr>
          <w:r>
            <w:fldChar w:fldCharType="begin"/>
          </w:r>
          <w:r>
            <w:instrText xml:space="preserve"> HYPERLINK \l _Toc3404 </w:instrText>
          </w:r>
          <w:r>
            <w:fldChar w:fldCharType="separate"/>
          </w:r>
          <w:r>
            <w:rPr>
              <w:rFonts w:hint="eastAsia" w:ascii="仿宋_GB2312" w:hAnsi="仿宋_GB2312" w:eastAsia="仿宋_GB2312" w:cs="仿宋_GB2312"/>
              <w:bCs w:val="0"/>
              <w:shd w:val="clear" w:fill="FFFFFF"/>
            </w:rPr>
            <w:t>五、财政拨款支出决算明细表</w:t>
          </w:r>
          <w:r>
            <w:tab/>
          </w:r>
          <w:r>
            <w:rPr>
              <w:rFonts w:hint="eastAsia"/>
              <w:lang w:val="en-US" w:eastAsia="zh-CN"/>
            </w:rPr>
            <w:t>3</w:t>
          </w:r>
          <w:r>
            <w:fldChar w:fldCharType="end"/>
          </w:r>
          <w:r>
            <w:rPr>
              <w:rFonts w:hint="eastAsia"/>
              <w:lang w:val="en-US" w:eastAsia="zh-CN"/>
            </w:rPr>
            <w:t>4</w:t>
          </w:r>
        </w:p>
        <w:p w14:paraId="4E378EB6">
          <w:pPr>
            <w:pStyle w:val="15"/>
            <w:tabs>
              <w:tab w:val="right" w:leader="dot" w:pos="8315"/>
            </w:tabs>
            <w:rPr>
              <w:rFonts w:hint="eastAsia" w:eastAsiaTheme="minorEastAsia"/>
              <w:lang w:val="en-US" w:eastAsia="zh-CN"/>
            </w:rPr>
          </w:pPr>
          <w:r>
            <w:fldChar w:fldCharType="begin"/>
          </w:r>
          <w:r>
            <w:instrText xml:space="preserve"> HYPERLINK \l _Toc6380 </w:instrText>
          </w:r>
          <w:r>
            <w:fldChar w:fldCharType="separate"/>
          </w:r>
          <w:r>
            <w:rPr>
              <w:rFonts w:hint="eastAsia" w:ascii="仿宋_GB2312" w:hAnsi="仿宋_GB2312" w:eastAsia="仿宋_GB2312" w:cs="仿宋_GB2312"/>
              <w:bCs w:val="0"/>
              <w:shd w:val="clear" w:fill="FFFFFF"/>
            </w:rPr>
            <w:t>六、一般公共预算财政拨款支出决算表</w:t>
          </w:r>
          <w:r>
            <w:tab/>
          </w:r>
          <w:r>
            <w:rPr>
              <w:rFonts w:hint="eastAsia"/>
              <w:lang w:val="en-US" w:eastAsia="zh-CN"/>
            </w:rPr>
            <w:t>3</w:t>
          </w:r>
          <w:r>
            <w:fldChar w:fldCharType="end"/>
          </w:r>
          <w:r>
            <w:rPr>
              <w:rFonts w:hint="eastAsia"/>
              <w:lang w:val="en-US" w:eastAsia="zh-CN"/>
            </w:rPr>
            <w:t>4</w:t>
          </w:r>
        </w:p>
        <w:p w14:paraId="701298C7">
          <w:pPr>
            <w:pStyle w:val="15"/>
            <w:tabs>
              <w:tab w:val="right" w:leader="dot" w:pos="8315"/>
            </w:tabs>
            <w:rPr>
              <w:rFonts w:hint="eastAsia" w:eastAsiaTheme="minorEastAsia"/>
              <w:lang w:val="en-US" w:eastAsia="zh-CN"/>
            </w:rPr>
          </w:pPr>
          <w:r>
            <w:fldChar w:fldCharType="begin"/>
          </w:r>
          <w:r>
            <w:instrText xml:space="preserve"> HYPERLINK \l _Toc16179 </w:instrText>
          </w:r>
          <w:r>
            <w:fldChar w:fldCharType="separate"/>
          </w:r>
          <w:r>
            <w:rPr>
              <w:rFonts w:hint="eastAsia" w:ascii="仿宋_GB2312" w:hAnsi="仿宋_GB2312" w:eastAsia="仿宋_GB2312" w:cs="仿宋_GB2312"/>
              <w:bCs w:val="0"/>
              <w:shd w:val="clear" w:fill="FFFFFF"/>
            </w:rPr>
            <w:t>七、一般公共预算财政拨款支出决算明细表</w:t>
          </w:r>
          <w:r>
            <w:tab/>
          </w:r>
          <w:r>
            <w:rPr>
              <w:rFonts w:hint="eastAsia"/>
              <w:lang w:val="en-US" w:eastAsia="zh-CN"/>
            </w:rPr>
            <w:t>3</w:t>
          </w:r>
          <w:r>
            <w:fldChar w:fldCharType="end"/>
          </w:r>
          <w:r>
            <w:rPr>
              <w:rFonts w:hint="eastAsia"/>
              <w:lang w:val="en-US" w:eastAsia="zh-CN"/>
            </w:rPr>
            <w:t>4</w:t>
          </w:r>
        </w:p>
        <w:p w14:paraId="3F27DFF9">
          <w:pPr>
            <w:pStyle w:val="15"/>
            <w:tabs>
              <w:tab w:val="right" w:leader="dot" w:pos="8315"/>
            </w:tabs>
            <w:rPr>
              <w:rFonts w:hint="eastAsia" w:eastAsiaTheme="minorEastAsia"/>
              <w:lang w:val="en-US" w:eastAsia="zh-CN"/>
            </w:rPr>
          </w:pPr>
          <w:r>
            <w:fldChar w:fldCharType="begin"/>
          </w:r>
          <w:r>
            <w:instrText xml:space="preserve"> HYPERLINK \l _Toc9628 </w:instrText>
          </w:r>
          <w:r>
            <w:fldChar w:fldCharType="separate"/>
          </w:r>
          <w:r>
            <w:rPr>
              <w:rFonts w:hint="eastAsia" w:ascii="仿宋_GB2312" w:hAnsi="仿宋_GB2312" w:eastAsia="仿宋_GB2312" w:cs="仿宋_GB2312"/>
              <w:bCs w:val="0"/>
              <w:shd w:val="clear" w:fill="FFFFFF"/>
            </w:rPr>
            <w:t>八、一般公共预算财政拨款基本支出决算表</w:t>
          </w:r>
          <w:r>
            <w:tab/>
          </w:r>
          <w:r>
            <w:rPr>
              <w:rFonts w:hint="eastAsia"/>
              <w:lang w:val="en-US" w:eastAsia="zh-CN"/>
            </w:rPr>
            <w:t>3</w:t>
          </w:r>
          <w:r>
            <w:fldChar w:fldCharType="end"/>
          </w:r>
          <w:r>
            <w:rPr>
              <w:rFonts w:hint="eastAsia"/>
              <w:lang w:val="en-US" w:eastAsia="zh-CN"/>
            </w:rPr>
            <w:t>4</w:t>
          </w:r>
        </w:p>
        <w:p w14:paraId="3C9FCC33">
          <w:pPr>
            <w:pStyle w:val="15"/>
            <w:tabs>
              <w:tab w:val="right" w:leader="dot" w:pos="8315"/>
            </w:tabs>
            <w:rPr>
              <w:rFonts w:hint="eastAsia" w:eastAsiaTheme="minorEastAsia"/>
              <w:lang w:val="en-US" w:eastAsia="zh-CN"/>
            </w:rPr>
          </w:pPr>
          <w:r>
            <w:fldChar w:fldCharType="begin"/>
          </w:r>
          <w:r>
            <w:instrText xml:space="preserve"> HYPERLINK \l _Toc2193 </w:instrText>
          </w:r>
          <w:r>
            <w:fldChar w:fldCharType="separate"/>
          </w:r>
          <w:r>
            <w:rPr>
              <w:rFonts w:hint="eastAsia" w:ascii="仿宋_GB2312" w:hAnsi="仿宋_GB2312" w:eastAsia="仿宋_GB2312" w:cs="仿宋_GB2312"/>
              <w:bCs w:val="0"/>
              <w:shd w:val="clear" w:fill="FFFFFF"/>
            </w:rPr>
            <w:t>九、一般公共预算财政拨款项目支出决算表</w:t>
          </w:r>
          <w:r>
            <w:tab/>
          </w:r>
          <w:r>
            <w:rPr>
              <w:rFonts w:hint="eastAsia"/>
              <w:lang w:val="en-US" w:eastAsia="zh-CN"/>
            </w:rPr>
            <w:t>3</w:t>
          </w:r>
          <w:r>
            <w:fldChar w:fldCharType="end"/>
          </w:r>
          <w:r>
            <w:rPr>
              <w:rFonts w:hint="eastAsia"/>
              <w:lang w:val="en-US" w:eastAsia="zh-CN"/>
            </w:rPr>
            <w:t>4</w:t>
          </w:r>
        </w:p>
        <w:p w14:paraId="1BA549BF">
          <w:pPr>
            <w:pStyle w:val="15"/>
            <w:tabs>
              <w:tab w:val="right" w:leader="dot" w:pos="8315"/>
            </w:tabs>
            <w:rPr>
              <w:rFonts w:hint="eastAsia" w:eastAsiaTheme="minorEastAsia"/>
              <w:lang w:val="en-US" w:eastAsia="zh-CN"/>
            </w:rPr>
          </w:pPr>
          <w:r>
            <w:fldChar w:fldCharType="begin"/>
          </w:r>
          <w:r>
            <w:instrText xml:space="preserve"> HYPERLINK \l _Toc30545 </w:instrText>
          </w:r>
          <w:r>
            <w:fldChar w:fldCharType="separate"/>
          </w:r>
          <w:r>
            <w:rPr>
              <w:rFonts w:hint="eastAsia" w:ascii="仿宋_GB2312" w:hAnsi="仿宋_GB2312" w:eastAsia="仿宋_GB2312" w:cs="仿宋_GB2312"/>
              <w:bCs w:val="0"/>
              <w:shd w:val="clear" w:fill="FFFFFF"/>
            </w:rPr>
            <w:t>十、政府性基金预算财政拨款收入支出决算表</w:t>
          </w:r>
          <w:r>
            <w:tab/>
          </w:r>
          <w:r>
            <w:rPr>
              <w:rFonts w:hint="eastAsia"/>
              <w:lang w:val="en-US" w:eastAsia="zh-CN"/>
            </w:rPr>
            <w:t>3</w:t>
          </w:r>
          <w:r>
            <w:fldChar w:fldCharType="end"/>
          </w:r>
          <w:r>
            <w:rPr>
              <w:rFonts w:hint="eastAsia"/>
              <w:lang w:val="en-US" w:eastAsia="zh-CN"/>
            </w:rPr>
            <w:t>4</w:t>
          </w:r>
        </w:p>
        <w:p w14:paraId="78705060">
          <w:pPr>
            <w:pStyle w:val="15"/>
            <w:tabs>
              <w:tab w:val="right" w:leader="dot" w:pos="8315"/>
            </w:tabs>
            <w:rPr>
              <w:rFonts w:hint="eastAsia" w:eastAsiaTheme="minorEastAsia"/>
              <w:lang w:val="en-US" w:eastAsia="zh-CN"/>
            </w:rPr>
          </w:pPr>
          <w:r>
            <w:fldChar w:fldCharType="begin"/>
          </w:r>
          <w:r>
            <w:instrText xml:space="preserve"> HYPERLINK \l _Toc5545 </w:instrText>
          </w:r>
          <w:r>
            <w:fldChar w:fldCharType="separate"/>
          </w:r>
          <w:r>
            <w:rPr>
              <w:rFonts w:hint="eastAsia" w:ascii="仿宋_GB2312" w:hAnsi="仿宋_GB2312" w:eastAsia="仿宋_GB2312" w:cs="仿宋_GB2312"/>
              <w:bCs w:val="0"/>
              <w:shd w:val="clear" w:fill="FFFFFF"/>
            </w:rPr>
            <w:t>十一、国有资本经营预算财政拨款收入支出决算表</w:t>
          </w:r>
          <w:r>
            <w:tab/>
          </w:r>
          <w:r>
            <w:rPr>
              <w:rFonts w:hint="eastAsia"/>
              <w:lang w:val="en-US" w:eastAsia="zh-CN"/>
            </w:rPr>
            <w:t>3</w:t>
          </w:r>
          <w:r>
            <w:fldChar w:fldCharType="end"/>
          </w:r>
          <w:r>
            <w:rPr>
              <w:rFonts w:hint="eastAsia"/>
              <w:lang w:val="en-US" w:eastAsia="zh-CN"/>
            </w:rPr>
            <w:t>4</w:t>
          </w:r>
        </w:p>
        <w:p w14:paraId="2D21D033">
          <w:pPr>
            <w:pStyle w:val="15"/>
            <w:tabs>
              <w:tab w:val="right" w:leader="dot" w:pos="8315"/>
            </w:tabs>
            <w:rPr>
              <w:rFonts w:hint="eastAsia" w:eastAsiaTheme="minorEastAsia"/>
              <w:lang w:val="en-US" w:eastAsia="zh-CN"/>
            </w:rPr>
          </w:pPr>
          <w:r>
            <w:fldChar w:fldCharType="begin"/>
          </w:r>
          <w:r>
            <w:instrText xml:space="preserve"> HYPERLINK \l _Toc9866 </w:instrText>
          </w:r>
          <w:r>
            <w:fldChar w:fldCharType="separate"/>
          </w:r>
          <w:r>
            <w:rPr>
              <w:rFonts w:hint="eastAsia" w:ascii="仿宋_GB2312" w:hAnsi="仿宋_GB2312" w:eastAsia="仿宋_GB2312" w:cs="仿宋_GB2312"/>
              <w:bCs w:val="0"/>
              <w:shd w:val="clear" w:fill="FFFFFF"/>
            </w:rPr>
            <w:t>十二、国有资本经营预算财政拨款支出决算表</w:t>
          </w:r>
          <w:r>
            <w:tab/>
          </w:r>
          <w:r>
            <w:rPr>
              <w:rFonts w:hint="eastAsia"/>
              <w:lang w:val="en-US" w:eastAsia="zh-CN"/>
            </w:rPr>
            <w:t>3</w:t>
          </w:r>
          <w:r>
            <w:fldChar w:fldCharType="end"/>
          </w:r>
          <w:r>
            <w:rPr>
              <w:rFonts w:hint="eastAsia"/>
              <w:lang w:val="en-US" w:eastAsia="zh-CN"/>
            </w:rPr>
            <w:t>4</w:t>
          </w:r>
        </w:p>
        <w:p w14:paraId="247794FA">
          <w:pPr>
            <w:pStyle w:val="15"/>
            <w:tabs>
              <w:tab w:val="right" w:leader="dot" w:pos="8315"/>
            </w:tabs>
            <w:rPr>
              <w:rFonts w:hint="eastAsia" w:eastAsiaTheme="minorEastAsia"/>
              <w:lang w:val="en-US" w:eastAsia="zh-CN"/>
            </w:rPr>
          </w:pPr>
          <w:r>
            <w:fldChar w:fldCharType="begin"/>
          </w:r>
          <w:r>
            <w:instrText xml:space="preserve"> HYPERLINK \l _Toc27929 </w:instrText>
          </w:r>
          <w:r>
            <w:fldChar w:fldCharType="separate"/>
          </w:r>
          <w:r>
            <w:rPr>
              <w:rFonts w:hint="eastAsia" w:ascii="仿宋_GB2312" w:hAnsi="仿宋_GB2312" w:eastAsia="仿宋_GB2312" w:cs="仿宋_GB2312"/>
              <w:bCs w:val="0"/>
              <w:shd w:val="clear" w:fill="FFFFFF"/>
            </w:rPr>
            <w:t>十三、财政拨款“三公”经费支出决算表</w:t>
          </w:r>
          <w:r>
            <w:tab/>
          </w:r>
          <w:r>
            <w:rPr>
              <w:rFonts w:hint="eastAsia"/>
              <w:lang w:val="en-US" w:eastAsia="zh-CN"/>
            </w:rPr>
            <w:t>3</w:t>
          </w:r>
          <w:r>
            <w:fldChar w:fldCharType="end"/>
          </w:r>
          <w:r>
            <w:rPr>
              <w:rFonts w:hint="eastAsia"/>
              <w:lang w:val="en-US" w:eastAsia="zh-CN"/>
            </w:rPr>
            <w:t>4</w:t>
          </w:r>
        </w:p>
        <w:p w14:paraId="113C7AA0">
          <w:pPr>
            <w:pStyle w:val="11"/>
            <w:ind w:left="0" w:leftChars="0" w:firstLine="0" w:firstLineChars="0"/>
            <w:rPr>
              <w:rFonts w:hint="eastAsia" w:ascii="方正小标宋简体" w:hAnsi="方正小标宋简体" w:eastAsia="方正小标宋简体" w:cs="方正小标宋简体"/>
              <w:b w:val="0"/>
              <w:bCs w:val="0"/>
              <w:sz w:val="44"/>
              <w:szCs w:val="44"/>
              <w:shd w:val="clear" w:fill="FFFFFF"/>
            </w:rPr>
            <w:sectPr>
              <w:footerReference r:id="rId5" w:type="default"/>
              <w:pgSz w:w="11915" w:h="16851"/>
              <w:pgMar w:top="1440" w:right="1800" w:bottom="1440" w:left="1800" w:header="851" w:footer="992" w:gutter="0"/>
              <w:pgNumType w:fmt="decimal" w:start="1"/>
              <w:cols w:space="0" w:num="1"/>
              <w:docGrid w:type="lines" w:linePitch="312" w:charSpace="0"/>
            </w:sectPr>
          </w:pPr>
          <w:r>
            <w:fldChar w:fldCharType="end"/>
          </w:r>
          <w:bookmarkStart w:id="36" w:name="_GoBack"/>
          <w:bookmarkEnd w:id="36"/>
        </w:p>
      </w:sdtContent>
    </w:sdt>
    <w:p w14:paraId="13ED82A8">
      <w:pPr>
        <w:pStyle w:val="3"/>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2640" w:firstLineChars="600"/>
        <w:jc w:val="both"/>
        <w:textAlignment w:val="auto"/>
        <w:rPr>
          <w:rFonts w:hint="eastAsia" w:ascii="方正小标宋简体" w:hAnsi="方正小标宋简体" w:eastAsia="方正小标宋简体" w:cs="方正小标宋简体"/>
          <w:b w:val="0"/>
          <w:bCs w:val="0"/>
          <w:sz w:val="44"/>
          <w:szCs w:val="44"/>
        </w:rPr>
      </w:pPr>
      <w:bookmarkStart w:id="0" w:name="_Toc24440"/>
      <w:r>
        <w:rPr>
          <w:rFonts w:hint="eastAsia" w:ascii="方正小标宋简体" w:hAnsi="方正小标宋简体" w:eastAsia="方正小标宋简体" w:cs="方正小标宋简体"/>
          <w:b w:val="0"/>
          <w:bCs w:val="0"/>
          <w:sz w:val="44"/>
          <w:szCs w:val="44"/>
          <w:shd w:val="clear" w:fill="FFFFFF"/>
        </w:rPr>
        <w:t>第一部分 部门概况</w:t>
      </w:r>
      <w:bookmarkEnd w:id="0"/>
    </w:p>
    <w:p w14:paraId="5814847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left"/>
        <w:textAlignment w:val="auto"/>
      </w:pPr>
      <w:r>
        <w:rPr>
          <w:shd w:val="clear" w:fill="FFFFFF"/>
        </w:rPr>
        <w:t> </w:t>
      </w:r>
    </w:p>
    <w:p w14:paraId="1084866E">
      <w:pPr>
        <w:pStyle w:val="4"/>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firstLine="643" w:firstLineChars="200"/>
        <w:jc w:val="left"/>
        <w:textAlignment w:val="auto"/>
        <w:outlineLvl w:val="0"/>
        <w:rPr>
          <w:rFonts w:hint="eastAsia" w:ascii="黑体" w:hAnsi="黑体" w:eastAsia="黑体" w:cs="黑体"/>
          <w:sz w:val="32"/>
          <w:szCs w:val="32"/>
        </w:rPr>
      </w:pPr>
      <w:bookmarkStart w:id="1" w:name="_Toc27115"/>
      <w:r>
        <w:rPr>
          <w:rFonts w:hint="eastAsia" w:ascii="黑体" w:hAnsi="黑体" w:eastAsia="黑体" w:cs="黑体"/>
          <w:sz w:val="32"/>
          <w:szCs w:val="32"/>
          <w:shd w:val="clear" w:fill="FFFFFF"/>
        </w:rPr>
        <w:t>一、基本职能及主要工作</w:t>
      </w:r>
      <w:bookmarkEnd w:id="1"/>
    </w:p>
    <w:p w14:paraId="596023F5">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1"/>
        <w:rPr>
          <w:rFonts w:hint="eastAsia" w:ascii="楷体" w:hAnsi="楷体" w:eastAsia="楷体" w:cs="楷体"/>
          <w:b/>
          <w:bCs/>
          <w:sz w:val="32"/>
          <w:szCs w:val="32"/>
          <w:shd w:val="clear" w:fill="FFFFFF"/>
        </w:rPr>
      </w:pPr>
      <w:bookmarkStart w:id="2" w:name="_Toc8122"/>
      <w:r>
        <w:rPr>
          <w:rFonts w:hint="eastAsia" w:ascii="楷体" w:hAnsi="楷体" w:eastAsia="楷体" w:cs="楷体"/>
          <w:b/>
          <w:bCs/>
          <w:sz w:val="32"/>
          <w:szCs w:val="32"/>
          <w:shd w:val="clear" w:fill="FFFFFF"/>
        </w:rPr>
        <w:t>（一）主要职能。</w:t>
      </w:r>
      <w:bookmarkEnd w:id="2"/>
    </w:p>
    <w:p w14:paraId="545AB3C3">
      <w:pPr>
        <w:pStyle w:val="17"/>
        <w:keepNext w:val="0"/>
        <w:keepLines w:val="0"/>
        <w:pageBreakBefore w:val="0"/>
        <w:widowControl/>
        <w:suppressLineNumbers w:val="0"/>
        <w:kinsoku/>
        <w:wordWrap/>
        <w:overflowPunct/>
        <w:topLinePunct w:val="0"/>
        <w:autoSpaceDE w:val="0"/>
        <w:autoSpaceDN/>
        <w:bidi w:val="0"/>
        <w:adjustRightInd/>
        <w:snapToGrid w:val="0"/>
        <w:spacing w:before="93" w:beforeAutospacing="0" w:afterAutospacing="0" w:line="560" w:lineRule="exact"/>
        <w:ind w:left="0" w:right="0" w:firstLine="640"/>
        <w:jc w:val="both"/>
        <w:textAlignment w:val="auto"/>
        <w:rPr>
          <w:rFonts w:hint="eastAsia" w:ascii="仿宋_GB2312" w:hAnsi="仿宋_GB2312" w:eastAsia="仿宋_GB2312" w:cs="仿宋_GB2312"/>
          <w:sz w:val="32"/>
          <w:szCs w:val="32"/>
          <w:shd w:val="clear" w:fill="FFFFFF"/>
        </w:rPr>
      </w:pPr>
      <w:r>
        <w:rPr>
          <w:rFonts w:hint="eastAsia" w:ascii="仿宋_GB2312" w:hAnsi="仿宋" w:eastAsia="仿宋_GB2312" w:cs="仿宋_GB2312"/>
          <w:sz w:val="32"/>
          <w:szCs w:val="32"/>
        </w:rPr>
        <w:t>宣传和贯彻执行党的路线方针政策和党中央、上级党组织及本镇党员代表大会（党员大会）的决议；（</w:t>
      </w:r>
      <w:r>
        <w:rPr>
          <w:rFonts w:hint="eastAsia" w:ascii="仿宋" w:hAnsi="仿宋" w:eastAsia="仿宋" w:cs="仿宋"/>
          <w:sz w:val="32"/>
          <w:szCs w:val="32"/>
        </w:rPr>
        <w:t>2）讨论和决定本镇经济建设、政治建设、文化建设、社会建设、生态文明建设和党的建设以及乡村振兴中重大问题。需由镇政权机关或者集体经济组织决定的重要事项，经镇党委研究讨论后，由镇政权机关或者集体经济组织依照法律和有关规定作出决定；（3）领导镇政权机关、群团组织和其他各类组织，加强指导和规范，支持和保证这些机关和组织依照国家法律法规以及各自章程履行职责；（4）加强镇党委自身建设和村党组织建设，以及其他隶属镇党委的党组织建设，抓好发展党员工作，加强党员队伍建设。维护和执行党的纪律，监督党员干部和其他任何工作人员严格遵守国家法律法规；（5）按照干部管理权限，负责对干部的教育、培训、选拔、考核和监督工作。协助管理上级有关部门驻镇单位的干部。做好人才服务和引进工作；（6）领导本镇的基层治理，加强社会主义民主法治建设和精神文明建设，加强社会治安综合治理，做好生态环保、美丽乡村建设、民生保障、脱贫致富、民族宗教等工作（7）完成上级党委、政府交办的其他工作任务。</w:t>
      </w:r>
    </w:p>
    <w:p w14:paraId="769B5369">
      <w:pPr>
        <w:pStyle w:val="17"/>
        <w:keepNext w:val="0"/>
        <w:keepLines w:val="0"/>
        <w:pageBreakBefore w:val="0"/>
        <w:widowControl w:val="0"/>
        <w:suppressLineNumbers w:val="0"/>
        <w:kinsoku/>
        <w:wordWrap/>
        <w:overflowPunct/>
        <w:topLinePunct w:val="0"/>
        <w:bidi w:val="0"/>
        <w:adjustRightInd/>
        <w:snapToGrid/>
        <w:spacing w:before="0" w:beforeAutospacing="0" w:after="0" w:afterAutospacing="0" w:line="560" w:lineRule="exact"/>
        <w:ind w:left="0" w:leftChars="0" w:right="0" w:rightChars="0" w:firstLine="643" w:firstLineChars="200"/>
        <w:jc w:val="left"/>
        <w:textAlignment w:val="auto"/>
        <w:outlineLvl w:val="1"/>
        <w:rPr>
          <w:rFonts w:hint="eastAsia" w:ascii="楷体" w:hAnsi="楷体" w:eastAsia="楷体" w:cs="楷体"/>
          <w:b/>
          <w:bCs/>
          <w:sz w:val="32"/>
          <w:szCs w:val="32"/>
          <w:shd w:val="clear" w:fill="FFFFFF"/>
        </w:rPr>
      </w:pPr>
      <w:bookmarkStart w:id="3" w:name="_Toc19268"/>
      <w:r>
        <w:rPr>
          <w:rFonts w:hint="eastAsia" w:ascii="楷体" w:hAnsi="楷体" w:eastAsia="楷体" w:cs="楷体"/>
          <w:b/>
          <w:bCs/>
          <w:sz w:val="32"/>
          <w:szCs w:val="32"/>
          <w:shd w:val="clear" w:fill="FFFFFF"/>
        </w:rPr>
        <w:t>（二）202</w:t>
      </w:r>
      <w:r>
        <w:rPr>
          <w:rFonts w:hint="eastAsia" w:ascii="楷体" w:hAnsi="楷体" w:eastAsia="楷体" w:cs="楷体"/>
          <w:b/>
          <w:bCs/>
          <w:sz w:val="32"/>
          <w:szCs w:val="32"/>
          <w:shd w:val="clear" w:fill="FFFFFF"/>
          <w:lang w:val="en-US" w:eastAsia="zh-CN"/>
        </w:rPr>
        <w:t>5</w:t>
      </w:r>
      <w:r>
        <w:rPr>
          <w:rFonts w:hint="eastAsia" w:ascii="楷体" w:hAnsi="楷体" w:eastAsia="楷体" w:cs="楷体"/>
          <w:b/>
          <w:bCs/>
          <w:sz w:val="32"/>
          <w:szCs w:val="32"/>
          <w:shd w:val="clear" w:fill="FFFFFF"/>
        </w:rPr>
        <w:t>年重点工作完成情况</w:t>
      </w:r>
      <w:bookmarkEnd w:id="3"/>
    </w:p>
    <w:p w14:paraId="49242A47">
      <w:pPr>
        <w:pStyle w:val="17"/>
        <w:keepNext w:val="0"/>
        <w:keepLines w:val="0"/>
        <w:pageBreakBefore w:val="0"/>
        <w:widowControl/>
        <w:suppressLineNumbers w:val="0"/>
        <w:overflowPunct/>
        <w:autoSpaceDE w:val="0"/>
        <w:autoSpaceDN/>
        <w:bidi w:val="0"/>
        <w:spacing w:before="0" w:beforeAutospacing="0" w:after="0" w:afterAutospacing="0" w:line="560" w:lineRule="exact"/>
        <w:ind w:left="0" w:right="0" w:firstLine="640"/>
        <w:jc w:val="both"/>
        <w:rPr>
          <w:rFonts w:hint="default" w:ascii="Calibri" w:hAnsi="Calibri" w:cs="Calibri"/>
          <w:sz w:val="21"/>
          <w:szCs w:val="21"/>
        </w:rPr>
      </w:pPr>
      <w:r>
        <w:rPr>
          <w:rFonts w:hint="eastAsia" w:ascii="仿宋" w:hAnsi="仿宋" w:eastAsia="仿宋" w:cs="仿宋"/>
          <w:b w:val="0"/>
          <w:spacing w:val="0"/>
          <w:sz w:val="32"/>
          <w:szCs w:val="32"/>
        </w:rPr>
        <w:t>2025年，我们将以习近平新时代中国特色社会主义思想为指导，认真学习贯彻落实党的二十大、二十届历次全会精神和省委、州委、县委决策部署，特别是县委十三届五次全会提出的“169”高质量发展目标。以必胜的信心、坚定的决心、务实的作风，以钉钉子的精神，一件事情接着一件事情办，一年接着一年干，齐心协力推进全镇高质量发展目标建设。努力让群众的生活质量一年更比一年好，努力让群众的获得感成色更足、幸福感更可持续、安全感更有保障。</w:t>
      </w:r>
    </w:p>
    <w:p w14:paraId="1D28A2A1">
      <w:pPr>
        <w:pStyle w:val="17"/>
        <w:keepNext w:val="0"/>
        <w:keepLines w:val="0"/>
        <w:pageBreakBefore w:val="0"/>
        <w:widowControl/>
        <w:suppressLineNumbers w:val="0"/>
        <w:overflowPunct/>
        <w:autoSpaceDE w:val="0"/>
        <w:autoSpaceDN/>
        <w:bidi w:val="0"/>
        <w:spacing w:before="0" w:beforeAutospacing="0" w:after="0" w:afterAutospacing="0" w:line="560" w:lineRule="exact"/>
        <w:ind w:left="0" w:right="0" w:firstLine="643"/>
        <w:jc w:val="both"/>
        <w:rPr>
          <w:rFonts w:hint="default" w:ascii="Calibri" w:hAnsi="Calibri" w:cs="Calibri"/>
          <w:sz w:val="21"/>
          <w:szCs w:val="21"/>
        </w:rPr>
      </w:pPr>
      <w:r>
        <w:rPr>
          <w:rFonts w:hint="eastAsia" w:ascii="方正楷体_GBK" w:hAnsi="方正楷体_GBK" w:eastAsia="方正楷体_GBK" w:cs="方正楷体_GBK"/>
          <w:b/>
          <w:sz w:val="32"/>
          <w:szCs w:val="32"/>
          <w:lang w:val="en-US" w:eastAsia="zh-CN"/>
        </w:rPr>
        <w:t>1.</w:t>
      </w:r>
      <w:r>
        <w:rPr>
          <w:rFonts w:ascii="方正楷体_GBK" w:hAnsi="方正楷体_GBK" w:eastAsia="方正楷体_GBK" w:cs="方正楷体_GBK"/>
          <w:b/>
          <w:sz w:val="32"/>
          <w:szCs w:val="32"/>
        </w:rPr>
        <w:t>推动产业升级，培育经济动能。</w:t>
      </w:r>
      <w:r>
        <w:rPr>
          <w:rFonts w:hint="eastAsia" w:ascii="仿宋_GB2312" w:hAnsi="仿宋" w:eastAsia="仿宋_GB2312" w:cs="仿宋_GB2312"/>
          <w:b w:val="0"/>
          <w:spacing w:val="0"/>
          <w:sz w:val="32"/>
          <w:szCs w:val="32"/>
        </w:rPr>
        <w:t>做强特色农业。深入实施畜牧业</w:t>
      </w:r>
      <w:r>
        <w:rPr>
          <w:rFonts w:hint="eastAsia" w:ascii="仿宋" w:hAnsi="仿宋" w:eastAsia="仿宋" w:cs="仿宋"/>
          <w:b w:val="0"/>
          <w:spacing w:val="0"/>
          <w:sz w:val="32"/>
          <w:szCs w:val="32"/>
        </w:rPr>
        <w:t>“强”，旅游业“火”中草药“</w:t>
      </w:r>
      <w:r>
        <w:rPr>
          <w:rFonts w:hint="eastAsia" w:ascii="仿宋_GB2312" w:hAnsi="仿宋" w:eastAsia="仿宋_GB2312" w:cs="仿宋_GB2312"/>
          <w:b w:val="0"/>
          <w:spacing w:val="0"/>
          <w:sz w:val="32"/>
          <w:szCs w:val="32"/>
        </w:rPr>
        <w:t>优</w:t>
      </w:r>
      <w:r>
        <w:rPr>
          <w:rFonts w:hint="eastAsia" w:ascii="仿宋" w:hAnsi="仿宋" w:eastAsia="仿宋" w:cs="仿宋"/>
          <w:b w:val="0"/>
          <w:spacing w:val="0"/>
          <w:sz w:val="32"/>
          <w:szCs w:val="32"/>
        </w:rPr>
        <w:t>”，物流业“畅”</w:t>
      </w:r>
      <w:r>
        <w:rPr>
          <w:rFonts w:hint="eastAsia" w:ascii="仿宋_GB2312" w:hAnsi="仿宋" w:eastAsia="仿宋_GB2312" w:cs="仿宋_GB2312"/>
          <w:b w:val="0"/>
          <w:spacing w:val="0"/>
          <w:sz w:val="32"/>
          <w:szCs w:val="32"/>
        </w:rPr>
        <w:t>等特色产业。推广</w:t>
      </w:r>
      <w:r>
        <w:rPr>
          <w:rFonts w:hint="eastAsia" w:ascii="仿宋" w:hAnsi="仿宋" w:eastAsia="仿宋" w:cs="仿宋"/>
          <w:b w:val="0"/>
          <w:spacing w:val="0"/>
          <w:sz w:val="32"/>
          <w:szCs w:val="32"/>
        </w:rPr>
        <w:t>“</w:t>
      </w:r>
      <w:r>
        <w:rPr>
          <w:rFonts w:hint="eastAsia" w:ascii="仿宋_GB2312" w:hAnsi="仿宋" w:eastAsia="仿宋_GB2312" w:cs="仿宋_GB2312"/>
          <w:b w:val="0"/>
          <w:spacing w:val="0"/>
          <w:sz w:val="32"/>
          <w:szCs w:val="32"/>
        </w:rPr>
        <w:t>龙头企业</w:t>
      </w:r>
      <w:r>
        <w:rPr>
          <w:rFonts w:hint="eastAsia" w:ascii="仿宋" w:hAnsi="仿宋" w:eastAsia="仿宋" w:cs="仿宋"/>
          <w:b w:val="0"/>
          <w:spacing w:val="0"/>
          <w:sz w:val="32"/>
          <w:szCs w:val="32"/>
        </w:rPr>
        <w:t>+合作社+</w:t>
      </w:r>
      <w:r>
        <w:rPr>
          <w:rFonts w:hint="eastAsia" w:ascii="仿宋_GB2312" w:hAnsi="仿宋" w:eastAsia="仿宋_GB2312" w:cs="仿宋_GB2312"/>
          <w:b w:val="0"/>
          <w:spacing w:val="0"/>
          <w:sz w:val="32"/>
          <w:szCs w:val="32"/>
        </w:rPr>
        <w:t>养殖户</w:t>
      </w:r>
      <w:r>
        <w:rPr>
          <w:rFonts w:hint="eastAsia" w:ascii="仿宋" w:hAnsi="仿宋" w:eastAsia="仿宋" w:cs="仿宋"/>
          <w:b w:val="0"/>
          <w:spacing w:val="0"/>
          <w:sz w:val="32"/>
          <w:szCs w:val="32"/>
        </w:rPr>
        <w:t>”的</w:t>
      </w:r>
      <w:r>
        <w:rPr>
          <w:rFonts w:hint="eastAsia" w:ascii="仿宋_GB2312" w:hAnsi="仿宋" w:eastAsia="仿宋_GB2312" w:cs="仿宋_GB2312"/>
          <w:b w:val="0"/>
          <w:spacing w:val="0"/>
          <w:sz w:val="32"/>
          <w:szCs w:val="32"/>
        </w:rPr>
        <w:t>高原牦牛育肥养殖模式，提高畜牧业组织化程度。以全域旅游为抓手，做强做大日西村金色鱼钩文化旅游发展基地，整合文化、旅游资源，打造特色文旅融合品牌。围绕农特产品基础设施能力提升项目，打响色地的川贝、羌活、手掌参等名贵优质中药材标签，走出色地群众致富路。依托西成铁路、川红高速等交通项目建设，大力发展现代物流、电子商务等新兴服务业，提升服务业在经济结构中的比重。</w:t>
      </w:r>
    </w:p>
    <w:p w14:paraId="480F5A0D">
      <w:pPr>
        <w:pStyle w:val="17"/>
        <w:keepNext w:val="0"/>
        <w:keepLines w:val="0"/>
        <w:pageBreakBefore w:val="0"/>
        <w:widowControl/>
        <w:suppressLineNumbers w:val="0"/>
        <w:overflowPunct/>
        <w:autoSpaceDE w:val="0"/>
        <w:autoSpaceDN/>
        <w:bidi w:val="0"/>
        <w:spacing w:before="0" w:beforeAutospacing="0" w:after="0" w:afterAutospacing="0" w:line="560" w:lineRule="exact"/>
        <w:ind w:left="0" w:right="0" w:firstLine="643"/>
        <w:jc w:val="both"/>
        <w:rPr>
          <w:rFonts w:hint="default" w:ascii="Calibri" w:hAnsi="Calibri" w:cs="Calibri"/>
          <w:sz w:val="21"/>
          <w:szCs w:val="21"/>
        </w:rPr>
      </w:pPr>
      <w:r>
        <w:rPr>
          <w:rFonts w:hint="eastAsia" w:ascii="方正楷体_GBK" w:hAnsi="方正楷体_GBK" w:eastAsia="方正楷体_GBK" w:cs="方正楷体_GBK"/>
          <w:b/>
          <w:sz w:val="32"/>
          <w:szCs w:val="32"/>
          <w:lang w:val="en-US" w:eastAsia="zh-CN"/>
        </w:rPr>
        <w:t>2.</w:t>
      </w:r>
      <w:r>
        <w:rPr>
          <w:rFonts w:hint="eastAsia" w:ascii="方正楷体_GBK" w:hAnsi="方正楷体_GBK" w:eastAsia="方正楷体_GBK" w:cs="方正楷体_GBK"/>
          <w:b/>
          <w:sz w:val="32"/>
          <w:szCs w:val="32"/>
        </w:rPr>
        <w:t>统筹城乡发展，建设美丽家园。</w:t>
      </w:r>
      <w:r>
        <w:rPr>
          <w:rFonts w:hint="eastAsia" w:ascii="仿宋_GB2312" w:hAnsi="仿宋" w:eastAsia="仿宋_GB2312" w:cs="仿宋_GB2312"/>
          <w:b w:val="0"/>
          <w:spacing w:val="0"/>
          <w:sz w:val="32"/>
          <w:szCs w:val="32"/>
        </w:rPr>
        <w:t>坚持一张蓝图绘到底，推动镇域经济商业圈功能与品质提升工程，进一步规范店招店牌，美化绿化绿植。加快补齐基础设施短板，聚焦乡村振兴发展，按照</w:t>
      </w:r>
      <w:r>
        <w:rPr>
          <w:rFonts w:hint="eastAsia" w:ascii="仿宋" w:hAnsi="仿宋" w:eastAsia="仿宋" w:cs="仿宋"/>
          <w:b w:val="0"/>
          <w:spacing w:val="0"/>
          <w:sz w:val="32"/>
          <w:szCs w:val="32"/>
        </w:rPr>
        <w:t>“一村</w:t>
      </w:r>
      <w:r>
        <w:rPr>
          <w:rFonts w:hint="eastAsia" w:ascii="仿宋_GB2312" w:hAnsi="仿宋" w:eastAsia="仿宋_GB2312" w:cs="仿宋_GB2312"/>
          <w:b w:val="0"/>
          <w:spacing w:val="0"/>
          <w:sz w:val="32"/>
          <w:szCs w:val="32"/>
        </w:rPr>
        <w:t>一业</w:t>
      </w:r>
      <w:r>
        <w:rPr>
          <w:rFonts w:hint="eastAsia" w:ascii="仿宋" w:hAnsi="仿宋" w:eastAsia="仿宋" w:cs="仿宋"/>
          <w:b w:val="0"/>
          <w:spacing w:val="0"/>
          <w:sz w:val="32"/>
          <w:szCs w:val="32"/>
        </w:rPr>
        <w:t>”</w:t>
      </w:r>
      <w:r>
        <w:rPr>
          <w:rFonts w:hint="eastAsia" w:ascii="仿宋_GB2312" w:hAnsi="仿宋" w:eastAsia="仿宋_GB2312" w:cs="仿宋_GB2312"/>
          <w:b w:val="0"/>
          <w:spacing w:val="0"/>
          <w:sz w:val="32"/>
          <w:szCs w:val="32"/>
        </w:rPr>
        <w:t>发展思路，扎实推进全镇聚人气、聚活力、聚商气的浓厚氛围。</w:t>
      </w:r>
    </w:p>
    <w:p w14:paraId="56DCF343">
      <w:pPr>
        <w:pStyle w:val="17"/>
        <w:keepNext w:val="0"/>
        <w:keepLines w:val="0"/>
        <w:pageBreakBefore w:val="0"/>
        <w:widowControl/>
        <w:suppressLineNumbers w:val="0"/>
        <w:overflowPunct/>
        <w:autoSpaceDE w:val="0"/>
        <w:autoSpaceDN/>
        <w:bidi w:val="0"/>
        <w:spacing w:before="0" w:beforeAutospacing="0" w:after="0" w:afterAutospacing="0" w:line="560" w:lineRule="exact"/>
        <w:ind w:left="0" w:right="0" w:firstLine="643"/>
        <w:jc w:val="both"/>
        <w:rPr>
          <w:rFonts w:hint="default" w:ascii="Calibri" w:hAnsi="Calibri" w:cs="Calibri"/>
          <w:sz w:val="21"/>
          <w:szCs w:val="21"/>
        </w:rPr>
      </w:pPr>
      <w:r>
        <w:rPr>
          <w:rFonts w:hint="eastAsia" w:ascii="方正楷体_GBK" w:hAnsi="方正楷体_GBK" w:eastAsia="方正楷体_GBK" w:cs="方正楷体_GBK"/>
          <w:b/>
          <w:sz w:val="32"/>
          <w:szCs w:val="32"/>
          <w:lang w:val="en-US" w:eastAsia="zh-CN"/>
        </w:rPr>
        <w:t>3.</w:t>
      </w:r>
      <w:r>
        <w:rPr>
          <w:rFonts w:hint="eastAsia" w:ascii="方正楷体_GBK" w:hAnsi="方正楷体_GBK" w:eastAsia="方正楷体_GBK" w:cs="方正楷体_GBK"/>
          <w:b/>
          <w:sz w:val="32"/>
          <w:szCs w:val="32"/>
        </w:rPr>
        <w:t>保障改善民生，提高民生温度。</w:t>
      </w:r>
      <w:r>
        <w:rPr>
          <w:rFonts w:hint="eastAsia" w:ascii="仿宋_GB2312" w:hAnsi="仿宋" w:eastAsia="仿宋_GB2312" w:cs="仿宋_GB2312"/>
          <w:sz w:val="32"/>
          <w:szCs w:val="32"/>
        </w:rPr>
        <w:t>坚持把保障改善民生放在重要位置，落实好惠民政策，办理好民生实事，精准落实基本住房安全、饮水安全、医疗保险、大病保险、医疗救助政策，确保各类优抚资金发放准确、规范，全面完成年度征兵工作目标任务。健全完善利益联结机制，通过联农带农帮助群众就地就近就业，带动群众致富。培育发展家庭牧场、牧家乐等新型畜牧业生产主体。持续提升综合性文化服务，满足群众多样化文化需求。</w:t>
      </w:r>
    </w:p>
    <w:p w14:paraId="1184E06E">
      <w:pPr>
        <w:pStyle w:val="17"/>
        <w:keepNext w:val="0"/>
        <w:keepLines w:val="0"/>
        <w:pageBreakBefore w:val="0"/>
        <w:widowControl/>
        <w:suppressLineNumbers w:val="0"/>
        <w:overflowPunct/>
        <w:autoSpaceDE w:val="0"/>
        <w:autoSpaceDN/>
        <w:bidi w:val="0"/>
        <w:spacing w:before="0" w:beforeAutospacing="0" w:after="0" w:afterAutospacing="0" w:line="560" w:lineRule="exact"/>
        <w:ind w:left="0" w:right="0" w:firstLine="643"/>
        <w:jc w:val="both"/>
        <w:rPr>
          <w:rFonts w:hint="default" w:ascii="Calibri" w:hAnsi="Calibri" w:cs="Calibri"/>
          <w:sz w:val="21"/>
          <w:szCs w:val="21"/>
        </w:rPr>
      </w:pPr>
      <w:r>
        <w:rPr>
          <w:rFonts w:hint="eastAsia" w:ascii="方正楷体_GBK" w:hAnsi="方正楷体_GBK" w:eastAsia="方正楷体_GBK" w:cs="方正楷体_GBK"/>
          <w:b/>
          <w:sz w:val="32"/>
          <w:szCs w:val="32"/>
          <w:lang w:val="en-US" w:eastAsia="zh-CN"/>
        </w:rPr>
        <w:t>4.</w:t>
      </w:r>
      <w:r>
        <w:rPr>
          <w:rFonts w:hint="eastAsia" w:ascii="方正楷体_GBK" w:hAnsi="方正楷体_GBK" w:eastAsia="方正楷体_GBK" w:cs="方正楷体_GBK"/>
          <w:b/>
          <w:sz w:val="32"/>
          <w:szCs w:val="32"/>
        </w:rPr>
        <w:t>创新社会治理，构建和谐环境。</w:t>
      </w:r>
      <w:r>
        <w:rPr>
          <w:rFonts w:hint="eastAsia" w:ascii="仿宋_GB2312" w:hAnsi="仿宋" w:eastAsia="仿宋_GB2312" w:cs="仿宋_GB2312"/>
          <w:sz w:val="32"/>
          <w:szCs w:val="32"/>
        </w:rPr>
        <w:t>切实加强党的领导，选优配强村</w:t>
      </w:r>
      <w:r>
        <w:rPr>
          <w:rFonts w:hint="eastAsia" w:ascii="仿宋" w:hAnsi="仿宋" w:eastAsia="仿宋" w:cs="仿宋"/>
          <w:sz w:val="32"/>
          <w:szCs w:val="32"/>
        </w:rPr>
        <w:t>“</w:t>
      </w:r>
      <w:r>
        <w:rPr>
          <w:rFonts w:hint="eastAsia" w:ascii="仿宋_GB2312" w:hAnsi="仿宋" w:eastAsia="仿宋_GB2312" w:cs="仿宋_GB2312"/>
          <w:sz w:val="32"/>
          <w:szCs w:val="32"/>
        </w:rPr>
        <w:t>两委</w:t>
      </w:r>
      <w:r>
        <w:rPr>
          <w:rFonts w:hint="eastAsia" w:ascii="仿宋" w:hAnsi="仿宋" w:eastAsia="仿宋" w:cs="仿宋"/>
          <w:sz w:val="32"/>
          <w:szCs w:val="32"/>
        </w:rPr>
        <w:t>”</w:t>
      </w:r>
      <w:r>
        <w:rPr>
          <w:rFonts w:hint="eastAsia" w:ascii="仿宋_GB2312" w:hAnsi="仿宋" w:eastAsia="仿宋_GB2312" w:cs="仿宋_GB2312"/>
          <w:sz w:val="32"/>
          <w:szCs w:val="32"/>
        </w:rPr>
        <w:t>班子成员。深化平安建设，常态化开展扫黑除恶，完善村民自治机制，实化微网实格管理体系，健全村民治理平台，推进村务公开，完善村规民约，创新治理方式，提升群众参与度。按照</w:t>
      </w:r>
      <w:r>
        <w:rPr>
          <w:rFonts w:hint="eastAsia" w:ascii="仿宋" w:hAnsi="仿宋" w:eastAsia="仿宋" w:cs="仿宋"/>
          <w:sz w:val="32"/>
          <w:szCs w:val="32"/>
        </w:rPr>
        <w:t>“</w:t>
      </w:r>
      <w:r>
        <w:rPr>
          <w:rFonts w:hint="eastAsia" w:ascii="仿宋_GB2312" w:hAnsi="仿宋" w:eastAsia="仿宋_GB2312" w:cs="仿宋_GB2312"/>
          <w:sz w:val="32"/>
          <w:szCs w:val="32"/>
        </w:rPr>
        <w:t>多灾种、大应急</w:t>
      </w:r>
      <w:r>
        <w:rPr>
          <w:rFonts w:hint="eastAsia" w:ascii="仿宋" w:hAnsi="仿宋" w:eastAsia="仿宋" w:cs="仿宋"/>
          <w:sz w:val="32"/>
          <w:szCs w:val="32"/>
        </w:rPr>
        <w:t>”</w:t>
      </w:r>
      <w:r>
        <w:rPr>
          <w:rFonts w:hint="eastAsia" w:ascii="仿宋_GB2312" w:hAnsi="仿宋" w:eastAsia="仿宋_GB2312" w:cs="仿宋_GB2312"/>
          <w:sz w:val="32"/>
          <w:szCs w:val="32"/>
        </w:rPr>
        <w:t>的工作思路，扎实做好生态安全、安全生产、森林草原防灭火、干部群众自身安全等工作，坚持以高水平安全保障高质量发展。</w:t>
      </w:r>
    </w:p>
    <w:p w14:paraId="5F60F407">
      <w:pPr>
        <w:pStyle w:val="17"/>
        <w:keepNext w:val="0"/>
        <w:keepLines w:val="0"/>
        <w:pageBreakBefore w:val="0"/>
        <w:widowControl/>
        <w:suppressLineNumbers w:val="0"/>
        <w:overflowPunct/>
        <w:autoSpaceDE w:val="0"/>
        <w:autoSpaceDN/>
        <w:bidi w:val="0"/>
        <w:spacing w:before="0" w:beforeAutospacing="0" w:after="0" w:afterAutospacing="0" w:line="560" w:lineRule="exact"/>
        <w:ind w:left="0" w:right="0" w:firstLine="643"/>
        <w:jc w:val="both"/>
        <w:rPr>
          <w:rFonts w:hint="eastAsia" w:ascii="仿宋_GB2312" w:hAnsi="仿宋_GB2312" w:eastAsia="仿宋_GB2312" w:cs="仿宋_GB2312"/>
          <w:b/>
          <w:bCs/>
          <w:color w:val="auto"/>
          <w:sz w:val="32"/>
          <w:szCs w:val="32"/>
          <w:u w:val="none"/>
          <w:lang w:val="en-US" w:eastAsia="zh-CN"/>
        </w:rPr>
      </w:pPr>
      <w:r>
        <w:rPr>
          <w:rFonts w:hint="eastAsia" w:ascii="方正楷体_GBK" w:hAnsi="方正楷体_GBK" w:eastAsia="方正楷体_GBK" w:cs="方正楷体_GBK"/>
          <w:b/>
          <w:sz w:val="32"/>
          <w:szCs w:val="32"/>
          <w:lang w:val="en-US" w:eastAsia="zh-CN"/>
        </w:rPr>
        <w:t>5.</w:t>
      </w:r>
      <w:r>
        <w:rPr>
          <w:rFonts w:hint="eastAsia" w:ascii="方正楷体_GBK" w:hAnsi="方正楷体_GBK" w:eastAsia="方正楷体_GBK" w:cs="方正楷体_GBK"/>
          <w:b/>
          <w:sz w:val="32"/>
          <w:szCs w:val="32"/>
        </w:rPr>
        <w:t>坚持党的领导，强化自身建设。</w:t>
      </w:r>
      <w:r>
        <w:rPr>
          <w:rFonts w:hint="eastAsia" w:ascii="仿宋_GB2312" w:hAnsi="仿宋" w:eastAsia="仿宋_GB2312" w:cs="仿宋_GB2312"/>
          <w:b w:val="0"/>
          <w:sz w:val="32"/>
          <w:szCs w:val="32"/>
        </w:rPr>
        <w:t>自觉把党的领导贯彻到政府工作的各方面、全过程，不折不扣落实习近平总书记重要指示精神和党中央大政方针政策，坚定不移落实上级和镇党委的工作部署。深化法治政府建设，加强政务公开和政府信息公开，坚持科学民主决策，健全依法行政、依规办事、专家论证、风险评估等机制，不断提高决策水平。坚持为民宗旨，紧扣人民群众新需求、新期盼，用心用情为群众办好事、办实事。牢牢守住抓落实这条</w:t>
      </w:r>
      <w:r>
        <w:rPr>
          <w:rFonts w:hint="eastAsia" w:ascii="仿宋" w:hAnsi="仿宋" w:eastAsia="仿宋" w:cs="仿宋"/>
          <w:b w:val="0"/>
          <w:sz w:val="32"/>
          <w:szCs w:val="32"/>
        </w:rPr>
        <w:t>“生命线”，发扬钉钉子精神，不断增强服务群众、化解风险、推动高质量发展的本领，让人民生活更有品质、更加幸福。</w:t>
      </w:r>
    </w:p>
    <w:p w14:paraId="2EC773D9">
      <w:pPr>
        <w:pStyle w:val="17"/>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643" w:firstLineChars="0"/>
        <w:jc w:val="both"/>
        <w:textAlignment w:val="auto"/>
        <w:outlineLvl w:val="0"/>
        <w:rPr>
          <w:rFonts w:hint="eastAsia" w:ascii="黑体" w:hAnsi="黑体" w:eastAsia="黑体" w:cs="黑体"/>
          <w:b/>
          <w:bCs/>
          <w:color w:val="auto"/>
          <w:kern w:val="2"/>
          <w:sz w:val="32"/>
          <w:szCs w:val="32"/>
          <w:u w:val="none"/>
          <w:lang w:val="en-US" w:eastAsia="zh-CN" w:bidi="ar-SA"/>
        </w:rPr>
      </w:pPr>
      <w:bookmarkStart w:id="4" w:name="_Toc15474"/>
      <w:r>
        <w:rPr>
          <w:rFonts w:hint="eastAsia" w:ascii="黑体" w:hAnsi="黑体" w:eastAsia="黑体" w:cs="黑体"/>
          <w:b/>
          <w:bCs/>
          <w:color w:val="auto"/>
          <w:kern w:val="2"/>
          <w:sz w:val="32"/>
          <w:szCs w:val="32"/>
          <w:u w:val="none"/>
          <w:lang w:val="en-US" w:eastAsia="zh-CN" w:bidi="ar-SA"/>
        </w:rPr>
        <w:t>二、取得成效</w:t>
      </w:r>
      <w:bookmarkEnd w:id="4"/>
    </w:p>
    <w:p w14:paraId="7763B4AD">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楷体" w:hAnsi="楷体" w:eastAsia="楷体" w:cs="楷体"/>
          <w:b/>
          <w:bCs/>
          <w:sz w:val="32"/>
          <w:szCs w:val="32"/>
          <w:shd w:val="clear" w:fill="FFFFFF"/>
          <w:lang w:eastAsia="zh-CN"/>
        </w:rPr>
      </w:pPr>
      <w:bookmarkStart w:id="5" w:name="OLE_LINK2"/>
      <w:r>
        <w:rPr>
          <w:rFonts w:hint="eastAsia" w:ascii="楷体" w:hAnsi="楷体" w:eastAsia="楷体" w:cs="楷体"/>
          <w:b/>
          <w:bCs/>
          <w:sz w:val="32"/>
          <w:szCs w:val="32"/>
          <w:shd w:val="clear" w:fill="FFFFFF"/>
          <w:lang w:eastAsia="zh-CN"/>
        </w:rPr>
        <w:t>（一）</w:t>
      </w:r>
      <w:r>
        <w:rPr>
          <w:rFonts w:hint="eastAsia" w:ascii="楷体" w:hAnsi="楷体" w:eastAsia="楷体" w:cs="楷体"/>
          <w:b/>
          <w:bCs/>
          <w:sz w:val="32"/>
          <w:szCs w:val="32"/>
          <w:shd w:val="clear" w:fill="FFFFFF"/>
        </w:rPr>
        <w:t>聚焦高质量发展，经济运行稳中提质</w:t>
      </w:r>
      <w:r>
        <w:rPr>
          <w:rFonts w:hint="eastAsia" w:ascii="楷体" w:hAnsi="楷体" w:eastAsia="楷体" w:cs="楷体"/>
          <w:b/>
          <w:bCs/>
          <w:sz w:val="32"/>
          <w:szCs w:val="32"/>
          <w:shd w:val="clear" w:fill="FFFFFF"/>
          <w:lang w:eastAsia="zh-CN"/>
        </w:rPr>
        <w:t>。</w:t>
      </w:r>
    </w:p>
    <w:bookmarkEnd w:id="5"/>
    <w:p w14:paraId="6878BFFA">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right="0" w:rightChars="0" w:firstLine="640" w:firstLineChars="200"/>
        <w:jc w:val="both"/>
        <w:textAlignment w:val="auto"/>
        <w:rPr>
          <w:rFonts w:hint="default" w:ascii="仿宋" w:hAnsi="仿宋" w:eastAsia="仿宋" w:cs="仿宋"/>
          <w:i w:val="0"/>
          <w:iCs w:val="0"/>
          <w:caps w:val="0"/>
          <w:color w:val="auto"/>
          <w:spacing w:val="0"/>
          <w:kern w:val="0"/>
          <w:sz w:val="32"/>
          <w:szCs w:val="32"/>
          <w:u w:val="none"/>
          <w:lang w:val="en-US" w:eastAsia="zh-CN" w:bidi="ar"/>
        </w:rPr>
      </w:pPr>
      <w:r>
        <w:rPr>
          <w:rFonts w:hint="eastAsia" w:ascii="仿宋" w:hAnsi="仿宋" w:eastAsia="仿宋" w:cs="仿宋"/>
          <w:i w:val="0"/>
          <w:iCs w:val="0"/>
          <w:caps w:val="0"/>
          <w:color w:val="auto"/>
          <w:spacing w:val="0"/>
          <w:kern w:val="0"/>
          <w:sz w:val="32"/>
          <w:szCs w:val="32"/>
          <w:u w:val="none"/>
          <w:lang w:val="en-US" w:eastAsia="zh-CN" w:bidi="ar"/>
        </w:rPr>
        <w:t>我们始终坚持发展第一要务，全力以赴拼经济、搞建设、抓发展。</w:t>
      </w:r>
      <w:r>
        <w:rPr>
          <w:rFonts w:hint="eastAsia" w:ascii="仿宋" w:hAnsi="仿宋" w:eastAsia="仿宋" w:cs="仿宋"/>
          <w:b/>
          <w:bCs/>
          <w:i w:val="0"/>
          <w:iCs w:val="0"/>
          <w:caps w:val="0"/>
          <w:color w:val="auto"/>
          <w:spacing w:val="0"/>
          <w:kern w:val="0"/>
          <w:sz w:val="32"/>
          <w:szCs w:val="32"/>
          <w:u w:val="none"/>
          <w:lang w:val="en-US" w:eastAsia="zh-CN" w:bidi="ar"/>
        </w:rPr>
        <w:t>一是综合经济实力稳步提升。</w:t>
      </w:r>
      <w:r>
        <w:rPr>
          <w:rFonts w:hint="eastAsia" w:ascii="仿宋" w:hAnsi="仿宋" w:eastAsia="仿宋" w:cs="仿宋"/>
          <w:i w:val="0"/>
          <w:iCs w:val="0"/>
          <w:caps w:val="0"/>
          <w:color w:val="auto"/>
          <w:spacing w:val="0"/>
          <w:kern w:val="0"/>
          <w:sz w:val="32"/>
          <w:szCs w:val="32"/>
          <w:u w:val="none"/>
          <w:lang w:val="en-US" w:eastAsia="zh-CN" w:bidi="ar"/>
        </w:rPr>
        <w:t>全镇全年实现农牧业及关联产业总收入17145.98万元，同比2024年增长8%。农村居民人均可支配收入达到2.1万元，同比2024年增长7%，人民群众的生活品质感和发展认同感持续增强。</w:t>
      </w:r>
      <w:r>
        <w:rPr>
          <w:rFonts w:hint="eastAsia" w:ascii="仿宋" w:hAnsi="仿宋" w:eastAsia="仿宋" w:cs="仿宋"/>
          <w:b/>
          <w:bCs/>
          <w:i w:val="0"/>
          <w:iCs w:val="0"/>
          <w:caps w:val="0"/>
          <w:color w:val="auto"/>
          <w:spacing w:val="0"/>
          <w:kern w:val="0"/>
          <w:sz w:val="32"/>
          <w:szCs w:val="32"/>
          <w:u w:val="none"/>
          <w:lang w:val="en-US" w:eastAsia="zh-CN" w:bidi="ar"/>
        </w:rPr>
        <w:t>二是特色产业发展势头强劲。</w:t>
      </w:r>
      <w:bookmarkStart w:id="6" w:name="OLE_LINK1"/>
      <w:r>
        <w:rPr>
          <w:rFonts w:hint="eastAsia" w:ascii="仿宋" w:hAnsi="仿宋" w:eastAsia="仿宋" w:cs="仿宋"/>
          <w:i w:val="0"/>
          <w:iCs w:val="0"/>
          <w:caps w:val="0"/>
          <w:color w:val="auto"/>
          <w:spacing w:val="0"/>
          <w:kern w:val="0"/>
          <w:sz w:val="32"/>
          <w:szCs w:val="32"/>
          <w:u w:val="none"/>
          <w:lang w:val="en-US" w:eastAsia="zh-CN" w:bidi="ar"/>
        </w:rPr>
        <w:t>立足资源禀赋，着力构建以现代畜牧业为基础、文旅融合为引擎、集体经济为纽带的特色产业发展新格局</w:t>
      </w:r>
      <w:bookmarkEnd w:id="6"/>
      <w:r>
        <w:rPr>
          <w:rFonts w:hint="eastAsia" w:ascii="仿宋" w:hAnsi="仿宋" w:eastAsia="仿宋" w:cs="仿宋"/>
          <w:i w:val="0"/>
          <w:iCs w:val="0"/>
          <w:caps w:val="0"/>
          <w:color w:val="auto"/>
          <w:spacing w:val="0"/>
          <w:kern w:val="0"/>
          <w:sz w:val="32"/>
          <w:szCs w:val="32"/>
          <w:u w:val="none"/>
          <w:lang w:val="en-US" w:eastAsia="zh-CN" w:bidi="ar"/>
        </w:rPr>
        <w:t>。我们严格落实动物疫病防控，开展产地检疫、疫病防治出诊巡诊800余次，今年牲畜出栏达2.1万头，较2024年增长2.3%，畜产品质量和效益稳步提升；开展旅游志愿服务300余次，游客服务超800人次，实现了游客旅游投诉办结率达100%，围绕镰刀坝红色草原核心资源常态化开展旅游市场综合整治，牧家乐、骑马点规范化达标率100%，全年接待游客数量同比上年增长1.4%，旅游关联收入实现较快增长；通过盘活闲置资产、规范机具租赁、参与商贸综合体管理等多种途径，村集体经济活力迸发。全年集体经济总收入突破200万元，较2024年三个村集体经济收入均实现稳步增长，收益分配机制持续优化，用于困难群众慰问、优秀学生奖励、公共设施维护和再生产投入的比例更加合理，有效激发了内生动力。</w:t>
      </w:r>
      <w:r>
        <w:rPr>
          <w:rFonts w:hint="eastAsia" w:ascii="仿宋" w:hAnsi="仿宋" w:eastAsia="仿宋" w:cs="仿宋"/>
          <w:b/>
          <w:bCs/>
          <w:i w:val="0"/>
          <w:iCs w:val="0"/>
          <w:caps w:val="0"/>
          <w:color w:val="auto"/>
          <w:spacing w:val="0"/>
          <w:kern w:val="0"/>
          <w:sz w:val="32"/>
          <w:szCs w:val="32"/>
          <w:u w:val="none"/>
          <w:lang w:val="en-US" w:eastAsia="zh-CN" w:bidi="ar"/>
        </w:rPr>
        <w:t>三是就业创业渠道持续拓宽。</w:t>
      </w:r>
      <w:r>
        <w:rPr>
          <w:rFonts w:hint="eastAsia" w:ascii="仿宋" w:hAnsi="仿宋" w:eastAsia="仿宋" w:cs="仿宋"/>
          <w:i w:val="0"/>
          <w:iCs w:val="0"/>
          <w:caps w:val="0"/>
          <w:color w:val="auto"/>
          <w:spacing w:val="0"/>
          <w:kern w:val="0"/>
          <w:sz w:val="32"/>
          <w:szCs w:val="32"/>
          <w:u w:val="none"/>
          <w:lang w:val="en-US" w:eastAsia="zh-CN" w:bidi="ar"/>
        </w:rPr>
        <w:t>组织开展烹饪、旅游服务、电商等实用技能培训4期，培训农牧民100余人次，其中脱贫户和监测户63人次。通过重点项目吸纳、公益性岗位安置、技能培训赋能等多措并举，全年新增稳定就业300余人，全镇失业率控制在较低水平。</w:t>
      </w:r>
    </w:p>
    <w:p w14:paraId="1364EDCA">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黑体" w:hAnsi="黑体" w:eastAsia="黑体" w:cs="黑体"/>
          <w:b/>
          <w:bCs/>
          <w:i w:val="0"/>
          <w:iCs w:val="0"/>
          <w:caps w:val="0"/>
          <w:color w:val="auto"/>
          <w:spacing w:val="0"/>
          <w:kern w:val="0"/>
          <w:sz w:val="32"/>
          <w:szCs w:val="32"/>
          <w:u w:val="none"/>
          <w:lang w:val="en-US" w:eastAsia="zh-CN" w:bidi="ar"/>
        </w:rPr>
      </w:pPr>
      <w:r>
        <w:rPr>
          <w:rFonts w:hint="eastAsia" w:ascii="楷体" w:hAnsi="楷体" w:eastAsia="楷体" w:cs="楷体"/>
          <w:b/>
          <w:bCs/>
          <w:sz w:val="32"/>
          <w:szCs w:val="32"/>
          <w:shd w:val="clear" w:fill="FFFFFF"/>
          <w:lang w:val="en-US" w:eastAsia="zh-CN"/>
        </w:rPr>
        <w:t>（二）聚焦高水平建设，乡村振兴步伐坚实。</w:t>
      </w:r>
    </w:p>
    <w:p w14:paraId="3840C398">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right="0" w:rightChars="0" w:firstLine="640" w:firstLineChars="200"/>
        <w:jc w:val="both"/>
        <w:textAlignment w:val="auto"/>
        <w:rPr>
          <w:rFonts w:hint="eastAsia" w:ascii="仿宋" w:hAnsi="仿宋" w:eastAsia="仿宋" w:cs="仿宋"/>
          <w:i w:val="0"/>
          <w:iCs w:val="0"/>
          <w:caps w:val="0"/>
          <w:color w:val="auto"/>
          <w:spacing w:val="0"/>
          <w:kern w:val="0"/>
          <w:sz w:val="32"/>
          <w:szCs w:val="32"/>
          <w:u w:val="none"/>
          <w:lang w:val="en-US" w:eastAsia="zh-CN" w:bidi="ar"/>
        </w:rPr>
      </w:pPr>
      <w:r>
        <w:rPr>
          <w:rFonts w:hint="eastAsia" w:ascii="仿宋" w:hAnsi="仿宋" w:eastAsia="仿宋" w:cs="仿宋"/>
          <w:i w:val="0"/>
          <w:iCs w:val="0"/>
          <w:caps w:val="0"/>
          <w:color w:val="auto"/>
          <w:spacing w:val="0"/>
          <w:kern w:val="0"/>
          <w:sz w:val="32"/>
          <w:szCs w:val="32"/>
          <w:u w:val="none"/>
          <w:lang w:val="en-US" w:eastAsia="zh-CN" w:bidi="ar"/>
        </w:rPr>
        <w:t>我们严格按照坚决守住不发生规模性返贫的底线要求，锚定“脱短板、兴产业、惠民生、促团结”目标，聚焦脱贫攻坚重点领域和乡村振兴关键环节，扎实推进乡村发展。</w:t>
      </w:r>
      <w:r>
        <w:rPr>
          <w:rFonts w:hint="eastAsia" w:ascii="仿宋" w:hAnsi="仿宋" w:eastAsia="仿宋" w:cs="仿宋"/>
          <w:b/>
          <w:bCs/>
          <w:i w:val="0"/>
          <w:iCs w:val="0"/>
          <w:caps w:val="0"/>
          <w:color w:val="auto"/>
          <w:spacing w:val="0"/>
          <w:kern w:val="0"/>
          <w:sz w:val="32"/>
          <w:szCs w:val="32"/>
          <w:u w:val="none"/>
          <w:lang w:val="en-US" w:eastAsia="zh-CN" w:bidi="ar"/>
        </w:rPr>
        <w:t>一是防返贫监测帮扶体系更加健全。</w:t>
      </w:r>
      <w:r>
        <w:rPr>
          <w:rFonts w:hint="eastAsia" w:ascii="仿宋" w:hAnsi="仿宋" w:eastAsia="仿宋" w:cs="仿宋"/>
          <w:i w:val="0"/>
          <w:iCs w:val="0"/>
          <w:caps w:val="0"/>
          <w:color w:val="auto"/>
          <w:spacing w:val="0"/>
          <w:kern w:val="0"/>
          <w:sz w:val="32"/>
          <w:szCs w:val="32"/>
          <w:u w:val="none"/>
          <w:lang w:val="en-US" w:eastAsia="zh-CN" w:bidi="ar"/>
        </w:rPr>
        <w:t>严格落实“四个不摘”要求，全年组织镇村组干部、驻村干部、帮扶责任人等力量254人次，开展集中排查1次，实现全覆盖走访，确保不漏一户、不落一人。对发现的返贫风险线索，纳入监测5户，精准制定帮扶措施，风险消除率达75.6%。脱贫人口务工规模上涨至448人，较上年增长33.3%，有效保障了脱贫群众持续稳定增收。</w:t>
      </w:r>
      <w:r>
        <w:rPr>
          <w:rFonts w:hint="eastAsia" w:ascii="仿宋" w:hAnsi="仿宋" w:eastAsia="仿宋" w:cs="仿宋"/>
          <w:b/>
          <w:bCs/>
          <w:i w:val="0"/>
          <w:iCs w:val="0"/>
          <w:caps w:val="0"/>
          <w:color w:val="auto"/>
          <w:spacing w:val="0"/>
          <w:kern w:val="0"/>
          <w:sz w:val="32"/>
          <w:szCs w:val="32"/>
          <w:u w:val="none"/>
          <w:lang w:val="en-US" w:eastAsia="zh-CN" w:bidi="ar"/>
        </w:rPr>
        <w:t>二是乡村建设行动扎实有效。</w:t>
      </w:r>
      <w:r>
        <w:rPr>
          <w:rFonts w:hint="eastAsia" w:ascii="仿宋" w:hAnsi="仿宋" w:eastAsia="仿宋" w:cs="仿宋"/>
          <w:i w:val="0"/>
          <w:iCs w:val="0"/>
          <w:caps w:val="0"/>
          <w:color w:val="auto"/>
          <w:spacing w:val="0"/>
          <w:kern w:val="0"/>
          <w:sz w:val="32"/>
          <w:szCs w:val="32"/>
          <w:u w:val="none"/>
          <w:lang w:val="en-US" w:eastAsia="zh-CN" w:bidi="ar"/>
        </w:rPr>
        <w:t>投资1423.8万元，新建3层共1722m²的农产品交易中心，改扩建日西村金色之地旅游基地农特产品销售点、产业用房330m²，增强集体经济“造血”功能。采购安装定居点路灯202盏，新建远牧生产点板涵桥15个，采用以工代赈的形式对90公里牧道维修，补齐生活基础设施短板。对全镇217户脱贫户、37户监测户实施产业到户补助项目，分别在三个村建设集中防疫巷道圈口12个，补助到户建设防疫巷道圈口100个，进一步夯实畜牧业发展基础，筑牢增收底线。</w:t>
      </w:r>
      <w:r>
        <w:rPr>
          <w:rFonts w:hint="eastAsia" w:ascii="仿宋" w:hAnsi="仿宋" w:eastAsia="仿宋" w:cs="仿宋"/>
          <w:b/>
          <w:bCs/>
          <w:i w:val="0"/>
          <w:iCs w:val="0"/>
          <w:caps w:val="0"/>
          <w:color w:val="auto"/>
          <w:spacing w:val="0"/>
          <w:kern w:val="0"/>
          <w:sz w:val="32"/>
          <w:szCs w:val="32"/>
          <w:u w:val="none"/>
          <w:lang w:val="en-US" w:eastAsia="zh-CN" w:bidi="ar"/>
        </w:rPr>
        <w:t>三是乡村治理效能不断提升。</w:t>
      </w:r>
      <w:r>
        <w:rPr>
          <w:rFonts w:hint="eastAsia" w:ascii="仿宋" w:hAnsi="仿宋" w:eastAsia="仿宋" w:cs="仿宋"/>
          <w:i w:val="0"/>
          <w:iCs w:val="0"/>
          <w:caps w:val="0"/>
          <w:color w:val="auto"/>
          <w:spacing w:val="0"/>
          <w:kern w:val="0"/>
          <w:sz w:val="32"/>
          <w:szCs w:val="32"/>
          <w:u w:val="none"/>
          <w:lang w:val="en-US" w:eastAsia="zh-CN" w:bidi="ar"/>
        </w:rPr>
        <w:t>深化“党建引领+网格化治理”模式，优化调整网格设置，配强3名网格员并开展业务培训6次，“一户一档”信息动态更新率达100%。成功化解各类矛盾纠纷8起，调解成功率100%。创新边界治理，与友邻乡镇召开联防联治会议1次，协同解决边界放牧、资源管理等历史遗留问题，区域和谐稳定基础更加牢固。</w:t>
      </w:r>
    </w:p>
    <w:p w14:paraId="25791E22">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right="0" w:rightChars="0" w:firstLine="643" w:firstLineChars="200"/>
        <w:jc w:val="both"/>
        <w:textAlignment w:val="auto"/>
        <w:rPr>
          <w:rFonts w:hint="eastAsia" w:ascii="楷体" w:hAnsi="楷体" w:eastAsia="楷体" w:cs="楷体"/>
          <w:b/>
          <w:bCs/>
          <w:sz w:val="32"/>
          <w:szCs w:val="32"/>
          <w:shd w:val="clear" w:fill="FFFFFF"/>
          <w:lang w:val="en-US" w:eastAsia="zh-CN"/>
        </w:rPr>
      </w:pPr>
      <w:r>
        <w:rPr>
          <w:rFonts w:hint="eastAsia" w:ascii="楷体" w:hAnsi="楷体" w:eastAsia="楷体" w:cs="楷体"/>
          <w:b/>
          <w:bCs/>
          <w:sz w:val="32"/>
          <w:szCs w:val="32"/>
          <w:shd w:val="clear" w:fill="FFFFFF"/>
          <w:lang w:val="en-US" w:eastAsia="zh-CN"/>
        </w:rPr>
        <w:t>（三）聚焦高颜值生态，环境屏障持续筑牢。</w:t>
      </w:r>
    </w:p>
    <w:p w14:paraId="24477DFF">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right="0" w:rightChars="0" w:firstLine="640" w:firstLineChars="200"/>
        <w:jc w:val="both"/>
        <w:textAlignment w:val="auto"/>
        <w:rPr>
          <w:rFonts w:hint="eastAsia" w:ascii="仿宋" w:hAnsi="仿宋" w:eastAsia="仿宋" w:cs="仿宋"/>
          <w:i w:val="0"/>
          <w:iCs w:val="0"/>
          <w:caps w:val="0"/>
          <w:color w:val="auto"/>
          <w:spacing w:val="0"/>
          <w:kern w:val="0"/>
          <w:sz w:val="32"/>
          <w:szCs w:val="32"/>
          <w:u w:val="none"/>
          <w:lang w:val="en-US" w:eastAsia="zh-CN" w:bidi="ar"/>
        </w:rPr>
      </w:pPr>
      <w:r>
        <w:rPr>
          <w:rFonts w:hint="eastAsia" w:ascii="仿宋" w:hAnsi="仿宋" w:eastAsia="仿宋" w:cs="仿宋"/>
          <w:i w:val="0"/>
          <w:iCs w:val="0"/>
          <w:caps w:val="0"/>
          <w:color w:val="auto"/>
          <w:spacing w:val="0"/>
          <w:kern w:val="0"/>
          <w:sz w:val="32"/>
          <w:szCs w:val="32"/>
          <w:u w:val="none"/>
          <w:lang w:val="en-US" w:eastAsia="zh-CN" w:bidi="ar"/>
        </w:rPr>
        <w:t>我们立足若尔盖国家公园生态区位和高原草原资源禀赋，以筑牢黄河上游生态屏障为核心，统筹推进草原保护、环境整治、污染防控、项目监管等重点工作，全镇生态环境质量持续向好。</w:t>
      </w:r>
      <w:r>
        <w:rPr>
          <w:rFonts w:hint="eastAsia" w:ascii="仿宋" w:hAnsi="仿宋" w:eastAsia="仿宋" w:cs="仿宋"/>
          <w:b/>
          <w:bCs/>
          <w:i w:val="0"/>
          <w:iCs w:val="0"/>
          <w:caps w:val="0"/>
          <w:color w:val="auto"/>
          <w:spacing w:val="0"/>
          <w:kern w:val="0"/>
          <w:sz w:val="32"/>
          <w:szCs w:val="32"/>
          <w:u w:val="none"/>
          <w:lang w:val="en-US" w:eastAsia="zh-CN" w:bidi="ar"/>
        </w:rPr>
        <w:t>一是生态保护机制持续完善。</w:t>
      </w:r>
      <w:r>
        <w:rPr>
          <w:rFonts w:hint="eastAsia" w:ascii="仿宋" w:hAnsi="仿宋" w:eastAsia="仿宋" w:cs="仿宋"/>
          <w:i w:val="0"/>
          <w:iCs w:val="0"/>
          <w:caps w:val="0"/>
          <w:color w:val="auto"/>
          <w:spacing w:val="0"/>
          <w:kern w:val="0"/>
          <w:sz w:val="32"/>
          <w:szCs w:val="32"/>
          <w:u w:val="none"/>
          <w:lang w:val="en-US" w:eastAsia="zh-CN" w:bidi="ar"/>
        </w:rPr>
        <w:t>严格落实“党政同责、一岗双责”，健全“党委统领+支部组织+党员率带+群众参与”的生态保护机制。与施工单位、工商户签订环境保护责任书34份，将生态保护要求写入村规民约并严格执行。</w:t>
      </w:r>
      <w:r>
        <w:rPr>
          <w:rFonts w:hint="eastAsia" w:ascii="仿宋" w:hAnsi="仿宋" w:eastAsia="仿宋" w:cs="仿宋"/>
          <w:b/>
          <w:bCs/>
          <w:i w:val="0"/>
          <w:iCs w:val="0"/>
          <w:caps w:val="0"/>
          <w:color w:val="auto"/>
          <w:spacing w:val="0"/>
          <w:kern w:val="0"/>
          <w:sz w:val="32"/>
          <w:szCs w:val="32"/>
          <w:u w:val="none"/>
          <w:lang w:val="en-US" w:eastAsia="zh-CN" w:bidi="ar"/>
        </w:rPr>
        <w:t>二是环境综合治理成效显著。</w:t>
      </w:r>
      <w:r>
        <w:rPr>
          <w:rFonts w:hint="eastAsia" w:ascii="仿宋" w:hAnsi="仿宋" w:eastAsia="仿宋" w:cs="仿宋"/>
          <w:i w:val="0"/>
          <w:iCs w:val="0"/>
          <w:caps w:val="0"/>
          <w:color w:val="auto"/>
          <w:spacing w:val="0"/>
          <w:kern w:val="0"/>
          <w:sz w:val="32"/>
          <w:szCs w:val="32"/>
          <w:u w:val="none"/>
          <w:lang w:val="en-US" w:eastAsia="zh-CN" w:bidi="ar"/>
        </w:rPr>
        <w:t>镇村两级河长累计巡河300余次，组织河道清淤、垃圾清理等整治行动14次，清理各类垃圾13吨，主要河道水质稳定达标。严厉打击环保违法行为，开展草煤泥炭盗挖、乱占乱圈草地巡查19次，查处相关行为2起，生态破坏行为得到有效遏制。</w:t>
      </w:r>
      <w:r>
        <w:rPr>
          <w:rFonts w:hint="eastAsia" w:ascii="仿宋" w:hAnsi="仿宋" w:eastAsia="仿宋" w:cs="仿宋"/>
          <w:b/>
          <w:bCs/>
          <w:i w:val="0"/>
          <w:iCs w:val="0"/>
          <w:caps w:val="0"/>
          <w:color w:val="auto"/>
          <w:spacing w:val="0"/>
          <w:kern w:val="0"/>
          <w:sz w:val="32"/>
          <w:szCs w:val="32"/>
          <w:u w:val="none"/>
          <w:lang w:val="en-US" w:eastAsia="zh-CN" w:bidi="ar"/>
        </w:rPr>
        <w:t>三是绿色发展方式加快形成。</w:t>
      </w:r>
      <w:r>
        <w:rPr>
          <w:rFonts w:hint="eastAsia" w:ascii="仿宋" w:hAnsi="仿宋" w:eastAsia="仿宋" w:cs="仿宋"/>
          <w:i w:val="0"/>
          <w:iCs w:val="0"/>
          <w:caps w:val="0"/>
          <w:color w:val="auto"/>
          <w:spacing w:val="0"/>
          <w:kern w:val="0"/>
          <w:sz w:val="32"/>
          <w:szCs w:val="32"/>
          <w:u w:val="none"/>
          <w:lang w:val="en-US" w:eastAsia="zh-CN" w:bidi="ar"/>
        </w:rPr>
        <w:t>严格落实禁牧休牧轮牧和长江黄河禁渔制度，促进草原休养生息。推广人草畜平衡发展模式，引导牧民转变生产生活方式。结合生态、湿地补偿机制，发放资金1174万元，鼓励群众参与生态管护，实现生态保护与增收致富双促进。</w:t>
      </w:r>
    </w:p>
    <w:p w14:paraId="3C636489">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楷体" w:hAnsi="楷体" w:eastAsia="楷体" w:cs="楷体"/>
          <w:b/>
          <w:bCs/>
          <w:sz w:val="32"/>
          <w:szCs w:val="32"/>
          <w:shd w:val="clear" w:fill="FFFFFF"/>
          <w:lang w:val="en-US" w:eastAsia="zh-CN"/>
        </w:rPr>
      </w:pPr>
      <w:r>
        <w:rPr>
          <w:rFonts w:hint="eastAsia" w:ascii="楷体" w:hAnsi="楷体" w:eastAsia="楷体" w:cs="楷体"/>
          <w:b/>
          <w:bCs/>
          <w:sz w:val="32"/>
          <w:szCs w:val="32"/>
          <w:shd w:val="clear" w:fill="FFFFFF"/>
          <w:lang w:val="en-US" w:eastAsia="zh-CN"/>
        </w:rPr>
        <w:t>（四）聚焦高品质民生，幸福指数稳步提升。</w:t>
      </w:r>
    </w:p>
    <w:p w14:paraId="384F34BA">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right="0" w:rightChars="0" w:firstLine="640" w:firstLineChars="200"/>
        <w:jc w:val="both"/>
        <w:textAlignment w:val="auto"/>
        <w:rPr>
          <w:rFonts w:hint="eastAsia" w:ascii="仿宋" w:hAnsi="仿宋" w:eastAsia="仿宋" w:cs="仿宋"/>
          <w:i w:val="0"/>
          <w:iCs w:val="0"/>
          <w:caps w:val="0"/>
          <w:color w:val="auto"/>
          <w:spacing w:val="0"/>
          <w:kern w:val="0"/>
          <w:sz w:val="32"/>
          <w:szCs w:val="32"/>
          <w:u w:val="none"/>
          <w:lang w:val="en-US" w:eastAsia="zh-CN" w:bidi="ar"/>
        </w:rPr>
      </w:pPr>
      <w:r>
        <w:rPr>
          <w:rFonts w:hint="eastAsia" w:ascii="仿宋" w:hAnsi="仿宋" w:eastAsia="仿宋" w:cs="仿宋"/>
          <w:i w:val="0"/>
          <w:iCs w:val="0"/>
          <w:caps w:val="0"/>
          <w:color w:val="auto"/>
          <w:spacing w:val="0"/>
          <w:kern w:val="0"/>
          <w:sz w:val="32"/>
          <w:szCs w:val="32"/>
          <w:u w:val="none"/>
          <w:lang w:val="en-US" w:eastAsia="zh-CN" w:bidi="ar"/>
        </w:rPr>
        <w:t>我们始终坚持以人民为中心的发展思想，持续加大民生投入，着力解决群众急难愁盼问题，民生福祉达到新水平。</w:t>
      </w:r>
      <w:r>
        <w:rPr>
          <w:rFonts w:hint="eastAsia" w:ascii="仿宋" w:hAnsi="仿宋" w:eastAsia="仿宋" w:cs="仿宋"/>
          <w:b/>
          <w:bCs/>
          <w:i w:val="0"/>
          <w:iCs w:val="0"/>
          <w:caps w:val="0"/>
          <w:color w:val="auto"/>
          <w:spacing w:val="0"/>
          <w:kern w:val="0"/>
          <w:sz w:val="32"/>
          <w:szCs w:val="32"/>
          <w:u w:val="none"/>
          <w:lang w:val="en-US" w:eastAsia="zh-CN" w:bidi="ar"/>
        </w:rPr>
        <w:t>一是教育事业优先发展。</w:t>
      </w:r>
      <w:r>
        <w:rPr>
          <w:rFonts w:hint="eastAsia" w:ascii="仿宋" w:hAnsi="仿宋" w:eastAsia="仿宋" w:cs="仿宋"/>
          <w:i w:val="0"/>
          <w:iCs w:val="0"/>
          <w:caps w:val="0"/>
          <w:color w:val="auto"/>
          <w:spacing w:val="0"/>
          <w:kern w:val="0"/>
          <w:sz w:val="32"/>
          <w:szCs w:val="32"/>
          <w:u w:val="none"/>
          <w:lang w:val="en-US" w:eastAsia="zh-CN" w:bidi="ar"/>
        </w:rPr>
        <w:t>压实控辍保学责任，召开专题会议20次，入户动员430余次，义务教育阶段适龄儿童入学率、巩固率均保持100%。落实教育资助政策，为305人次困难学生申请“雨露计划”、教育救助等助学资金。</w:t>
      </w:r>
      <w:r>
        <w:rPr>
          <w:rFonts w:hint="eastAsia" w:ascii="仿宋" w:hAnsi="仿宋" w:eastAsia="仿宋" w:cs="仿宋"/>
          <w:b/>
          <w:bCs/>
          <w:i w:val="0"/>
          <w:iCs w:val="0"/>
          <w:caps w:val="0"/>
          <w:color w:val="auto"/>
          <w:spacing w:val="0"/>
          <w:kern w:val="0"/>
          <w:sz w:val="32"/>
          <w:szCs w:val="32"/>
          <w:u w:val="none"/>
          <w:lang w:val="en-US" w:eastAsia="zh-CN" w:bidi="ar"/>
        </w:rPr>
        <w:t>二是社会保障体系扎牢。</w:t>
      </w:r>
      <w:r>
        <w:rPr>
          <w:rFonts w:hint="eastAsia" w:ascii="仿宋" w:hAnsi="仿宋" w:eastAsia="仿宋" w:cs="仿宋"/>
          <w:i w:val="0"/>
          <w:iCs w:val="0"/>
          <w:caps w:val="0"/>
          <w:color w:val="auto"/>
          <w:spacing w:val="0"/>
          <w:kern w:val="0"/>
          <w:sz w:val="32"/>
          <w:szCs w:val="32"/>
          <w:u w:val="none"/>
          <w:lang w:val="en-US" w:eastAsia="zh-CN" w:bidi="ar"/>
        </w:rPr>
        <w:t>医疗保障方面，通过群众大会、入户走访等方式，全覆盖宣传医保政策，2025年按时完成医疗参保目标任务。养老保险方面，城乡居民社会养老保险累计参保3390人，较2024年增长116.3%。为552名60岁以上老人完成生存认证，为15名逝者家属及时办理养老保险注销及抚恤金发放手续，发放金额2.25万元。社会救助方面，发放最低生活保障金341.1255万元，惠及6180人次；发放高龄津贴、特困供养金、孤儿及事实无人抚养儿童基本生活补贴、残疾人补贴等各类救助资金共计583.592万元；为5名困难群众申请临时救助基金52.2万元，慰问困难留守老人18人，较上年度各项帮扶救助力度明显加大。</w:t>
      </w:r>
      <w:r>
        <w:rPr>
          <w:rFonts w:hint="eastAsia" w:ascii="仿宋" w:hAnsi="仿宋" w:eastAsia="仿宋" w:cs="仿宋"/>
          <w:b/>
          <w:bCs/>
          <w:i w:val="0"/>
          <w:iCs w:val="0"/>
          <w:caps w:val="0"/>
          <w:color w:val="auto"/>
          <w:spacing w:val="0"/>
          <w:kern w:val="0"/>
          <w:sz w:val="32"/>
          <w:szCs w:val="32"/>
          <w:u w:val="none"/>
          <w:lang w:val="en-US" w:eastAsia="zh-CN" w:bidi="ar"/>
        </w:rPr>
        <w:t>三是公共安全基础夯实。</w:t>
      </w:r>
      <w:r>
        <w:rPr>
          <w:rFonts w:hint="eastAsia" w:ascii="仿宋" w:hAnsi="仿宋" w:eastAsia="仿宋" w:cs="仿宋"/>
          <w:i w:val="0"/>
          <w:iCs w:val="0"/>
          <w:caps w:val="0"/>
          <w:color w:val="auto"/>
          <w:spacing w:val="0"/>
          <w:kern w:val="0"/>
          <w:sz w:val="32"/>
          <w:szCs w:val="32"/>
          <w:u w:val="none"/>
          <w:lang w:val="en-US" w:eastAsia="zh-CN" w:bidi="ar"/>
        </w:rPr>
        <w:t>严格落实安全生产责任制，召开安全生产各类会议49次，开展森林草原防灭火、防汛、地质灾害、消防、道路交通、食品药品安全等隐患排查整治行动66余次，发现并整改隐患108处，整改率100%。组织开展综合应急演练6次，提升应急处置能力，全年未发生重大安全生产事故。</w:t>
      </w:r>
    </w:p>
    <w:p w14:paraId="2BD05B6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楷体" w:hAnsi="楷体" w:eastAsia="楷体" w:cs="楷体"/>
          <w:b/>
          <w:bCs/>
          <w:sz w:val="32"/>
          <w:szCs w:val="32"/>
          <w:shd w:val="clear" w:fill="FFFFFF"/>
          <w:lang w:val="en-US" w:eastAsia="zh-CN"/>
        </w:rPr>
      </w:pPr>
      <w:r>
        <w:rPr>
          <w:rFonts w:hint="eastAsia" w:ascii="楷体" w:hAnsi="楷体" w:eastAsia="楷体" w:cs="楷体"/>
          <w:b/>
          <w:bCs/>
          <w:sz w:val="32"/>
          <w:szCs w:val="32"/>
          <w:shd w:val="clear" w:fill="FFFFFF"/>
          <w:lang w:val="en-US" w:eastAsia="zh-CN"/>
        </w:rPr>
        <w:t>（五）聚焦高效能治理，社会大局和谐稳定。</w:t>
      </w:r>
    </w:p>
    <w:p w14:paraId="4608474A">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right="0" w:rightChars="0" w:firstLine="640" w:firstLineChars="200"/>
        <w:jc w:val="both"/>
        <w:textAlignment w:val="auto"/>
        <w:rPr>
          <w:rFonts w:hint="eastAsia" w:ascii="仿宋" w:hAnsi="仿宋" w:eastAsia="仿宋" w:cs="仿宋"/>
          <w:i w:val="0"/>
          <w:iCs w:val="0"/>
          <w:caps w:val="0"/>
          <w:color w:val="auto"/>
          <w:spacing w:val="0"/>
          <w:kern w:val="0"/>
          <w:sz w:val="32"/>
          <w:szCs w:val="32"/>
          <w:u w:val="none"/>
          <w:lang w:val="en-US" w:eastAsia="zh-CN" w:bidi="ar"/>
        </w:rPr>
      </w:pPr>
      <w:r>
        <w:rPr>
          <w:rFonts w:hint="eastAsia" w:ascii="仿宋" w:hAnsi="仿宋" w:eastAsia="仿宋" w:cs="仿宋"/>
          <w:i w:val="0"/>
          <w:iCs w:val="0"/>
          <w:caps w:val="0"/>
          <w:color w:val="auto"/>
          <w:spacing w:val="0"/>
          <w:kern w:val="0"/>
          <w:sz w:val="32"/>
          <w:szCs w:val="32"/>
          <w:u w:val="none"/>
          <w:lang w:val="en-US" w:eastAsia="zh-CN" w:bidi="ar"/>
        </w:rPr>
        <w:t>我们统筹发展和安全，有效防范化解各类风险隐患，平安色地建设向更高水平迈进。</w:t>
      </w:r>
      <w:r>
        <w:rPr>
          <w:rFonts w:hint="eastAsia" w:ascii="仿宋" w:hAnsi="仿宋" w:eastAsia="仿宋" w:cs="仿宋"/>
          <w:b/>
          <w:bCs/>
          <w:i w:val="0"/>
          <w:iCs w:val="0"/>
          <w:caps w:val="0"/>
          <w:color w:val="auto"/>
          <w:spacing w:val="0"/>
          <w:kern w:val="0"/>
          <w:sz w:val="32"/>
          <w:szCs w:val="32"/>
          <w:u w:val="none"/>
          <w:lang w:val="en-US" w:eastAsia="zh-CN" w:bidi="ar"/>
        </w:rPr>
        <w:t>一是法治建设深入推进。</w:t>
      </w:r>
      <w:r>
        <w:rPr>
          <w:rFonts w:hint="eastAsia" w:ascii="仿宋" w:hAnsi="仿宋" w:eastAsia="仿宋" w:cs="仿宋"/>
          <w:i w:val="0"/>
          <w:iCs w:val="0"/>
          <w:caps w:val="0"/>
          <w:color w:val="auto"/>
          <w:spacing w:val="0"/>
          <w:kern w:val="0"/>
          <w:sz w:val="32"/>
          <w:szCs w:val="32"/>
          <w:u w:val="none"/>
          <w:lang w:val="en-US" w:eastAsia="zh-CN" w:bidi="ar"/>
        </w:rPr>
        <w:t>开展“法律进乡村”、“法律进校园”等普法宣传活动15次，培养“法律明白人”46名，群众法治意识逐步增强。规范行政执法行为，提升依法行政水平。</w:t>
      </w:r>
      <w:r>
        <w:rPr>
          <w:rFonts w:hint="eastAsia" w:ascii="仿宋" w:hAnsi="仿宋" w:eastAsia="仿宋" w:cs="仿宋"/>
          <w:b/>
          <w:bCs/>
          <w:i w:val="0"/>
          <w:iCs w:val="0"/>
          <w:caps w:val="0"/>
          <w:color w:val="auto"/>
          <w:spacing w:val="0"/>
          <w:kern w:val="0"/>
          <w:sz w:val="32"/>
          <w:szCs w:val="32"/>
          <w:u w:val="none"/>
          <w:lang w:val="en-US" w:eastAsia="zh-CN" w:bidi="ar"/>
        </w:rPr>
        <w:t>二是平安基石持续巩固。</w:t>
      </w:r>
      <w:r>
        <w:rPr>
          <w:rFonts w:hint="eastAsia" w:ascii="仿宋" w:hAnsi="仿宋" w:eastAsia="仿宋" w:cs="仿宋"/>
          <w:i w:val="0"/>
          <w:iCs w:val="0"/>
          <w:caps w:val="0"/>
          <w:color w:val="auto"/>
          <w:spacing w:val="0"/>
          <w:kern w:val="0"/>
          <w:sz w:val="32"/>
          <w:szCs w:val="32"/>
          <w:u w:val="none"/>
          <w:lang w:val="en-US" w:eastAsia="zh-CN" w:bidi="ar"/>
        </w:rPr>
        <w:t>深化“1241”社会治理模式，加强社会治安综合治理。每日开展社会面巡逻巡查，提高见警率、管事率。严厉打击各类违法犯罪活动，治安案件发案率同比下降10%。加强对重点人员、重点场所、重点物品的管理，社会大局保持和谐稳定。</w:t>
      </w:r>
      <w:r>
        <w:rPr>
          <w:rFonts w:hint="eastAsia" w:ascii="仿宋" w:hAnsi="仿宋" w:eastAsia="仿宋" w:cs="仿宋"/>
          <w:b/>
          <w:bCs/>
          <w:i w:val="0"/>
          <w:iCs w:val="0"/>
          <w:caps w:val="0"/>
          <w:color w:val="auto"/>
          <w:spacing w:val="0"/>
          <w:kern w:val="0"/>
          <w:sz w:val="32"/>
          <w:szCs w:val="32"/>
          <w:u w:val="none"/>
          <w:lang w:val="en-US" w:eastAsia="zh-CN" w:bidi="ar"/>
        </w:rPr>
        <w:t>三是风险防控有力有效。</w:t>
      </w:r>
      <w:r>
        <w:rPr>
          <w:rFonts w:hint="eastAsia" w:ascii="仿宋" w:hAnsi="仿宋" w:eastAsia="仿宋" w:cs="仿宋"/>
          <w:i w:val="0"/>
          <w:iCs w:val="0"/>
          <w:caps w:val="0"/>
          <w:color w:val="auto"/>
          <w:spacing w:val="0"/>
          <w:kern w:val="0"/>
          <w:sz w:val="32"/>
          <w:szCs w:val="32"/>
          <w:u w:val="none"/>
          <w:lang w:val="en-US" w:eastAsia="zh-CN" w:bidi="ar"/>
        </w:rPr>
        <w:t>健全重大风险防范化解机制，对经济、社会、生态等领域风险进行动态排查、精准研判、有效处置，做到了守土有责、守土尽责。</w:t>
      </w:r>
    </w:p>
    <w:p w14:paraId="6C4A4747">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left="0" w:leftChars="0" w:right="0" w:rightChars="0" w:firstLine="643" w:firstLineChars="200"/>
        <w:jc w:val="both"/>
        <w:textAlignment w:val="auto"/>
        <w:rPr>
          <w:rFonts w:hint="eastAsia" w:ascii="黑体" w:hAnsi="黑体" w:eastAsia="黑体" w:cs="黑体"/>
          <w:b/>
          <w:bCs/>
          <w:i w:val="0"/>
          <w:iCs w:val="0"/>
          <w:caps w:val="0"/>
          <w:color w:val="auto"/>
          <w:spacing w:val="0"/>
          <w:kern w:val="0"/>
          <w:sz w:val="32"/>
          <w:szCs w:val="32"/>
          <w:u w:val="none"/>
          <w:lang w:val="en-US" w:eastAsia="zh-CN" w:bidi="ar"/>
        </w:rPr>
      </w:pPr>
      <w:r>
        <w:rPr>
          <w:rFonts w:hint="eastAsia" w:ascii="楷体" w:hAnsi="楷体" w:eastAsia="楷体" w:cs="楷体"/>
          <w:b/>
          <w:bCs/>
          <w:sz w:val="32"/>
          <w:szCs w:val="32"/>
          <w:shd w:val="clear" w:fill="FFFFFF"/>
          <w:lang w:val="en-US" w:eastAsia="zh-CN"/>
        </w:rPr>
        <w:t>（六）聚焦高标准履职，政府效能持续提升。</w:t>
      </w:r>
    </w:p>
    <w:p w14:paraId="60194F18">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Autospacing="0" w:afterAutospacing="0" w:line="576" w:lineRule="exact"/>
        <w:ind w:right="0" w:righ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 w:hAnsi="仿宋" w:eastAsia="仿宋" w:cs="仿宋"/>
          <w:i w:val="0"/>
          <w:iCs w:val="0"/>
          <w:caps w:val="0"/>
          <w:color w:val="auto"/>
          <w:spacing w:val="0"/>
          <w:kern w:val="0"/>
          <w:sz w:val="32"/>
          <w:szCs w:val="32"/>
          <w:u w:val="none"/>
          <w:lang w:val="en-US" w:eastAsia="zh-CN" w:bidi="ar"/>
        </w:rPr>
        <w:t>我们始终坚持党的全面领导，不断加强政府自身建设，努力打造人民满意的服务型政府。</w:t>
      </w:r>
      <w:r>
        <w:rPr>
          <w:rFonts w:hint="eastAsia" w:ascii="仿宋" w:hAnsi="仿宋" w:eastAsia="仿宋" w:cs="仿宋"/>
          <w:b/>
          <w:bCs/>
          <w:i w:val="0"/>
          <w:iCs w:val="0"/>
          <w:caps w:val="0"/>
          <w:color w:val="auto"/>
          <w:spacing w:val="0"/>
          <w:kern w:val="0"/>
          <w:sz w:val="32"/>
          <w:szCs w:val="32"/>
          <w:u w:val="none"/>
          <w:lang w:val="en-US" w:eastAsia="zh-CN" w:bidi="ar"/>
        </w:rPr>
        <w:t>一是政治建设摆在首位。</w:t>
      </w:r>
      <w:r>
        <w:rPr>
          <w:rFonts w:hint="eastAsia" w:ascii="仿宋" w:hAnsi="仿宋" w:eastAsia="仿宋" w:cs="仿宋"/>
          <w:i w:val="0"/>
          <w:iCs w:val="0"/>
          <w:caps w:val="0"/>
          <w:color w:val="auto"/>
          <w:spacing w:val="0"/>
          <w:kern w:val="0"/>
          <w:sz w:val="32"/>
          <w:szCs w:val="32"/>
          <w:u w:val="none"/>
          <w:lang w:val="en-US" w:eastAsia="zh-CN" w:bidi="ar"/>
        </w:rPr>
        <w:t>深入学习贯彻习近平新时代中国特色社会主义思想，深刻领悟“两个确立”的决定性意义，增强“四个意识”、坚定“四个自信”、做到“两个维护”，确保中央、省、州、县和镇党委决策部署能落地生根。</w:t>
      </w:r>
      <w:r>
        <w:rPr>
          <w:rFonts w:hint="eastAsia" w:ascii="仿宋" w:hAnsi="仿宋" w:eastAsia="仿宋" w:cs="仿宋"/>
          <w:b/>
          <w:bCs/>
          <w:i w:val="0"/>
          <w:iCs w:val="0"/>
          <w:caps w:val="0"/>
          <w:color w:val="auto"/>
          <w:spacing w:val="0"/>
          <w:kern w:val="0"/>
          <w:sz w:val="32"/>
          <w:szCs w:val="32"/>
          <w:u w:val="none"/>
          <w:lang w:val="en-US" w:eastAsia="zh-CN" w:bidi="ar"/>
        </w:rPr>
        <w:t>二是廉政建设纵深推进。</w:t>
      </w:r>
      <w:r>
        <w:rPr>
          <w:rFonts w:hint="eastAsia" w:ascii="仿宋" w:hAnsi="仿宋" w:eastAsia="仿宋" w:cs="仿宋"/>
          <w:i w:val="0"/>
          <w:iCs w:val="0"/>
          <w:caps w:val="0"/>
          <w:color w:val="auto"/>
          <w:spacing w:val="0"/>
          <w:kern w:val="0"/>
          <w:sz w:val="32"/>
          <w:szCs w:val="32"/>
          <w:u w:val="none"/>
          <w:lang w:val="en-US" w:eastAsia="zh-CN" w:bidi="ar"/>
        </w:rPr>
        <w:t>扎实开展深入贯彻“中央八项规定精神”学习教育，严格落实党风廉政建设责任制，召开廉政专题会议11次，开展警示教育活动25次，讲授廉政党课2次。强化对资金使用、项目建设、行政审批等重点领域的监管，运用监督执纪“四种形态”，抓早抓小，防微杜渐。扎实开展“有事找纪检”工作，畅通群众诉求渠道，解决群众反映问题554个。</w:t>
      </w:r>
      <w:r>
        <w:rPr>
          <w:rFonts w:hint="eastAsia" w:ascii="仿宋" w:hAnsi="仿宋" w:eastAsia="仿宋" w:cs="仿宋"/>
          <w:b/>
          <w:bCs/>
          <w:i w:val="0"/>
          <w:iCs w:val="0"/>
          <w:caps w:val="0"/>
          <w:color w:val="auto"/>
          <w:spacing w:val="0"/>
          <w:kern w:val="0"/>
          <w:sz w:val="32"/>
          <w:szCs w:val="32"/>
          <w:u w:val="none"/>
          <w:lang w:val="en-US" w:eastAsia="zh-CN" w:bidi="ar"/>
        </w:rPr>
        <w:t>三是工作作风持续改进。</w:t>
      </w:r>
      <w:r>
        <w:rPr>
          <w:rFonts w:hint="eastAsia" w:ascii="仿宋" w:hAnsi="仿宋" w:eastAsia="仿宋" w:cs="仿宋"/>
          <w:i w:val="0"/>
          <w:iCs w:val="0"/>
          <w:caps w:val="0"/>
          <w:color w:val="auto"/>
          <w:spacing w:val="0"/>
          <w:kern w:val="0"/>
          <w:sz w:val="32"/>
          <w:szCs w:val="32"/>
          <w:u w:val="none"/>
          <w:lang w:val="en-US" w:eastAsia="zh-CN" w:bidi="ar"/>
        </w:rPr>
        <w:t>结合干部纪律作风整顿，大力整治“慵懒散浮拖”等不良现象。镇纪委开展专项督查8次，对工作推进不力的单位和个人进行谈话提醒，确保各项工作部署落到实处、取得实效。</w:t>
      </w:r>
    </w:p>
    <w:p w14:paraId="17539E34">
      <w:pPr>
        <w:pStyle w:val="4"/>
        <w:keepNext w:val="0"/>
        <w:keepLines w:val="0"/>
        <w:pageBreakBefore w:val="0"/>
        <w:widowControl w:val="0"/>
        <w:suppressLineNumbers w:val="0"/>
        <w:kinsoku/>
        <w:wordWrap/>
        <w:overflowPunct/>
        <w:topLinePunct w:val="0"/>
        <w:bidi w:val="0"/>
        <w:adjustRightInd/>
        <w:snapToGrid/>
        <w:spacing w:before="0" w:beforeAutospacing="0" w:after="0" w:afterAutospacing="0" w:line="560" w:lineRule="exact"/>
        <w:ind w:left="0" w:leftChars="0" w:firstLine="643" w:firstLineChars="200"/>
        <w:jc w:val="left"/>
        <w:textAlignment w:val="auto"/>
        <w:outlineLvl w:val="0"/>
        <w:rPr>
          <w:rFonts w:hint="eastAsia" w:ascii="黑体" w:hAnsi="黑体" w:eastAsia="黑体" w:cs="黑体"/>
          <w:sz w:val="32"/>
          <w:szCs w:val="32"/>
        </w:rPr>
      </w:pPr>
      <w:bookmarkStart w:id="7" w:name="_Toc15734"/>
      <w:r>
        <w:rPr>
          <w:rFonts w:hint="eastAsia" w:ascii="黑体" w:hAnsi="黑体" w:eastAsia="黑体" w:cs="黑体"/>
          <w:sz w:val="32"/>
          <w:szCs w:val="32"/>
          <w:shd w:val="clear" w:fill="FFFFFF"/>
          <w:lang w:val="en-US" w:eastAsia="zh-CN"/>
        </w:rPr>
        <w:t>三</w:t>
      </w:r>
      <w:r>
        <w:rPr>
          <w:rFonts w:hint="eastAsia" w:ascii="黑体" w:hAnsi="黑体" w:eastAsia="黑体" w:cs="黑体"/>
          <w:sz w:val="32"/>
          <w:szCs w:val="32"/>
          <w:shd w:val="clear" w:fill="FFFFFF"/>
        </w:rPr>
        <w:t>、机构设置</w:t>
      </w:r>
      <w:bookmarkEnd w:id="7"/>
    </w:p>
    <w:p w14:paraId="1EEA2495">
      <w:pPr>
        <w:keepNext w:val="0"/>
        <w:keepLines w:val="0"/>
        <w:pageBreakBefore w:val="0"/>
        <w:widowControl w:val="0"/>
        <w:kinsoku w:val="0"/>
        <w:wordWrap w:val="0"/>
        <w:overflowPunct/>
        <w:topLinePunct/>
        <w:autoSpaceDE w:val="0"/>
        <w:autoSpaceDN w:val="0"/>
        <w:bidi w:val="0"/>
        <w:adjustRightInd w:val="0"/>
        <w:snapToGrid w:val="0"/>
        <w:spacing w:afterAutospacing="0" w:line="576" w:lineRule="exact"/>
        <w:ind w:firstLine="640" w:firstLineChars="200"/>
        <w:jc w:val="both"/>
        <w:textAlignment w:val="auto"/>
        <w:rPr>
          <w:rFonts w:hint="eastAsia" w:ascii="仿宋_GB2312" w:eastAsia="仿宋_GB2312"/>
          <w:sz w:val="32"/>
          <w:szCs w:val="32"/>
          <w:highlight w:val="none"/>
        </w:rPr>
      </w:pPr>
      <w:r>
        <w:rPr>
          <w:rFonts w:hint="eastAsia" w:ascii="仿宋_GB2312" w:eastAsia="仿宋_GB2312"/>
          <w:bCs/>
          <w:kern w:val="0"/>
          <w:sz w:val="32"/>
          <w:szCs w:val="32"/>
          <w:lang w:eastAsia="zh-CN"/>
        </w:rPr>
        <w:t>本部门</w:t>
      </w:r>
      <w:r>
        <w:rPr>
          <w:rFonts w:hint="eastAsia" w:ascii="仿宋_GB2312" w:eastAsia="仿宋_GB2312"/>
          <w:bCs/>
          <w:kern w:val="0"/>
          <w:sz w:val="32"/>
          <w:szCs w:val="32"/>
        </w:rPr>
        <w:t>本年度纳入本套决算编制范围的独立编制机构数共2个，比上年增加0个，独立核算机构数共2个，比上年增加0个</w:t>
      </w:r>
      <w:r>
        <w:rPr>
          <w:rFonts w:hint="eastAsia" w:ascii="仿宋_GB2312" w:eastAsia="仿宋_GB2312"/>
          <w:bCs/>
          <w:kern w:val="0"/>
          <w:sz w:val="32"/>
          <w:szCs w:val="32"/>
          <w:lang w:eastAsia="zh-CN"/>
        </w:rPr>
        <w:t>。</w:t>
      </w:r>
      <w:r>
        <w:rPr>
          <w:rFonts w:hint="eastAsia" w:ascii="仿宋_GB2312" w:hAnsi="宋体" w:eastAsia="仿宋_GB2312" w:cs="仿宋_GB2312"/>
          <w:kern w:val="0"/>
          <w:sz w:val="32"/>
          <w:szCs w:val="32"/>
          <w:shd w:val="clear" w:color="auto" w:fill="FFFFFF"/>
          <w:lang w:val="en-US" w:eastAsia="zh-CN" w:bidi="ar"/>
        </w:rPr>
        <w:t>本单位本年度年末实有人数为33人，比上年增加2人；变动情况及原因为2025年有人员调动、新进、退休。年末实有其他人数为0人，比上年增加0人。年末遗属人员2人，比上年相比无变动。</w:t>
      </w:r>
    </w:p>
    <w:p w14:paraId="79F98626">
      <w:pPr>
        <w:keepNext w:val="0"/>
        <w:keepLines w:val="0"/>
        <w:pageBreakBefore w:val="0"/>
        <w:widowControl w:val="0"/>
        <w:kinsoku w:val="0"/>
        <w:wordWrap w:val="0"/>
        <w:overflowPunct/>
        <w:topLinePunct/>
        <w:autoSpaceDE w:val="0"/>
        <w:autoSpaceDN w:val="0"/>
        <w:bidi w:val="0"/>
        <w:adjustRightInd/>
        <w:snapToGrid/>
        <w:spacing w:afterAutospacing="0" w:line="560" w:lineRule="exact"/>
        <w:ind w:firstLine="640" w:firstLineChars="200"/>
        <w:jc w:val="both"/>
        <w:textAlignment w:val="auto"/>
        <w:rPr>
          <w:rFonts w:hint="eastAsia" w:ascii="仿宋_GB2312" w:hAnsi="仿宋_GB2312" w:eastAsia="仿宋_GB2312" w:cs="仿宋_GB2312"/>
          <w:sz w:val="32"/>
          <w:szCs w:val="32"/>
        </w:rPr>
      </w:pPr>
    </w:p>
    <w:p w14:paraId="1FC98E11">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960" w:leftChars="0" w:right="0" w:rightChars="0" w:hanging="960" w:hangingChars="200"/>
        <w:jc w:val="center"/>
        <w:textAlignment w:val="auto"/>
        <w:outlineLvl w:val="0"/>
        <w:rPr>
          <w:rFonts w:hint="eastAsia"/>
          <w:shd w:val="clear" w:fill="FFFFFF"/>
          <w:lang w:val="en-US" w:eastAsia="zh-CN"/>
        </w:rPr>
      </w:pPr>
      <w:bookmarkStart w:id="8" w:name="_Toc27889"/>
      <w:r>
        <w:rPr>
          <w:rFonts w:hint="eastAsia" w:ascii="方正小标宋简体" w:hAnsi="方正小标宋简体" w:eastAsia="方正小标宋简体" w:cs="方正小标宋简体"/>
          <w:b w:val="0"/>
          <w:bCs w:val="0"/>
          <w:kern w:val="44"/>
          <w:sz w:val="48"/>
          <w:szCs w:val="48"/>
          <w:shd w:val="clear" w:fill="FFFFFF"/>
          <w:lang w:val="en-US" w:eastAsia="zh-CN" w:bidi="ar"/>
        </w:rPr>
        <w:t>第二部分 2025年度部门决算情况说明</w:t>
      </w:r>
    </w:p>
    <w:p w14:paraId="5167D9B9">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600" w:leftChars="0" w:right="0" w:rightChars="0" w:hanging="600" w:hangingChars="200"/>
        <w:jc w:val="left"/>
        <w:textAlignment w:val="auto"/>
        <w:outlineLvl w:val="0"/>
        <w:rPr>
          <w:rFonts w:hint="eastAsia" w:ascii="黑体" w:hAnsi="黑体" w:eastAsia="黑体" w:cs="黑体"/>
          <w:sz w:val="30"/>
          <w:szCs w:val="30"/>
          <w:shd w:val="clear" w:fill="FFFFFF"/>
        </w:rPr>
      </w:pPr>
    </w:p>
    <w:p w14:paraId="70889135">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600" w:leftChars="250" w:right="0" w:rightChars="0" w:firstLine="0" w:firstLineChars="0"/>
        <w:jc w:val="left"/>
        <w:textAlignment w:val="auto"/>
        <w:outlineLvl w:val="0"/>
        <w:rPr>
          <w:rFonts w:hint="eastAsia" w:ascii="黑体" w:hAnsi="黑体" w:eastAsia="黑体" w:cs="黑体"/>
          <w:sz w:val="30"/>
          <w:szCs w:val="30"/>
          <w:shd w:val="clear" w:fill="FFFFFF"/>
        </w:rPr>
      </w:pPr>
      <w:r>
        <w:rPr>
          <w:rFonts w:hint="eastAsia" w:ascii="黑体" w:hAnsi="黑体" w:eastAsia="黑体" w:cs="黑体"/>
          <w:sz w:val="30"/>
          <w:szCs w:val="30"/>
          <w:shd w:val="clear" w:fill="FFFFFF"/>
        </w:rPr>
        <w:t>一、收入支出决算总体情况说明</w:t>
      </w:r>
      <w:bookmarkEnd w:id="8"/>
    </w:p>
    <w:p w14:paraId="2E23E72D">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color w:val="auto"/>
          <w:sz w:val="32"/>
          <w:szCs w:val="32"/>
          <w:shd w:val="clear" w:fill="FFFFFF"/>
        </w:rPr>
        <w:t>202</w:t>
      </w:r>
      <w:r>
        <w:rPr>
          <w:rFonts w:hint="eastAsia" w:ascii="仿宋_GB2312" w:hAnsi="仿宋_GB2312" w:eastAsia="仿宋_GB2312" w:cs="仿宋_GB2312"/>
          <w:color w:val="auto"/>
          <w:sz w:val="32"/>
          <w:szCs w:val="32"/>
          <w:shd w:val="clear" w:fill="FFFFFF"/>
          <w:lang w:val="en-US" w:eastAsia="zh-CN"/>
        </w:rPr>
        <w:t>5</w:t>
      </w:r>
      <w:r>
        <w:rPr>
          <w:rFonts w:hint="eastAsia" w:ascii="仿宋_GB2312" w:hAnsi="仿宋_GB2312" w:eastAsia="仿宋_GB2312" w:cs="仿宋_GB2312"/>
          <w:color w:val="auto"/>
          <w:sz w:val="32"/>
          <w:szCs w:val="32"/>
          <w:shd w:val="clear" w:fill="FFFFFF"/>
        </w:rPr>
        <w:t>年度</w:t>
      </w:r>
      <w:r>
        <w:rPr>
          <w:rFonts w:hint="eastAsia" w:ascii="仿宋_GB2312" w:hAnsi="仿宋_GB2312" w:eastAsia="仿宋_GB2312" w:cs="仿宋_GB2312"/>
          <w:color w:val="auto"/>
          <w:sz w:val="32"/>
          <w:szCs w:val="32"/>
          <w:shd w:val="clear" w:fill="FFFFFF"/>
          <w:lang w:eastAsia="zh-CN"/>
        </w:rPr>
        <w:t>决算</w:t>
      </w:r>
      <w:r>
        <w:rPr>
          <w:rFonts w:hint="eastAsia" w:ascii="仿宋_GB2312" w:hAnsi="仿宋_GB2312" w:eastAsia="仿宋_GB2312" w:cs="仿宋_GB2312"/>
          <w:color w:val="auto"/>
          <w:sz w:val="32"/>
          <w:szCs w:val="32"/>
          <w:shd w:val="clear" w:fill="FFFFFF"/>
          <w:lang w:val="en-US" w:eastAsia="zh-CN"/>
        </w:rPr>
        <w:t>收、支</w:t>
      </w:r>
      <w:r>
        <w:rPr>
          <w:rFonts w:hint="eastAsia" w:ascii="仿宋_GB2312" w:hAnsi="仿宋_GB2312" w:eastAsia="仿宋_GB2312" w:cs="仿宋_GB2312"/>
          <w:color w:val="auto"/>
          <w:sz w:val="32"/>
          <w:szCs w:val="32"/>
          <w:shd w:val="clear" w:fill="FFFFFF"/>
        </w:rPr>
        <w:t>总计</w:t>
      </w:r>
      <w:r>
        <w:rPr>
          <w:rFonts w:hint="eastAsia" w:ascii="仿宋_GB2312" w:hAnsi="仿宋_GB2312" w:eastAsia="仿宋_GB2312" w:cs="仿宋_GB2312"/>
          <w:color w:val="auto"/>
          <w:sz w:val="32"/>
          <w:szCs w:val="32"/>
          <w:shd w:val="clear" w:fill="FFFFFF"/>
          <w:lang w:val="en-US" w:eastAsia="zh-CN"/>
        </w:rPr>
        <w:t>2669.97</w:t>
      </w:r>
      <w:r>
        <w:rPr>
          <w:rFonts w:hint="eastAsia" w:ascii="仿宋_GB2312" w:hAnsi="仿宋_GB2312" w:eastAsia="仿宋_GB2312" w:cs="仿宋_GB2312"/>
          <w:color w:val="auto"/>
          <w:sz w:val="32"/>
          <w:szCs w:val="32"/>
          <w:shd w:val="clear" w:fill="FFFFFF"/>
        </w:rPr>
        <w:t>万元</w:t>
      </w:r>
      <w:r>
        <w:rPr>
          <w:rFonts w:hint="eastAsia" w:ascii="仿宋_GB2312" w:hAnsi="仿宋_GB2312" w:eastAsia="仿宋_GB2312" w:cs="仿宋_GB2312"/>
          <w:color w:val="auto"/>
          <w:sz w:val="32"/>
          <w:szCs w:val="32"/>
          <w:shd w:val="clear" w:fill="FFFFFF"/>
          <w:lang w:eastAsia="zh-CN"/>
        </w:rPr>
        <w:t>，</w:t>
      </w:r>
      <w:r>
        <w:rPr>
          <w:rFonts w:hint="eastAsia" w:ascii="仿宋_GB2312" w:hAnsi="仿宋_GB2312" w:eastAsia="仿宋_GB2312" w:cs="仿宋_GB2312"/>
          <w:color w:val="auto"/>
          <w:sz w:val="32"/>
          <w:szCs w:val="32"/>
          <w:shd w:val="clear" w:fill="FFFFFF"/>
          <w:lang w:val="en-US" w:eastAsia="zh-CN"/>
        </w:rPr>
        <w:t>与2024年度相比，收、支</w:t>
      </w:r>
      <w:r>
        <w:rPr>
          <w:rFonts w:hint="eastAsia" w:ascii="仿宋_GB2312" w:hAnsi="仿宋_GB2312" w:eastAsia="仿宋_GB2312" w:cs="仿宋_GB2312"/>
          <w:color w:val="auto"/>
          <w:sz w:val="32"/>
          <w:szCs w:val="32"/>
          <w:shd w:val="clear" w:fill="FFFFFF"/>
        </w:rPr>
        <w:t>总计</w:t>
      </w:r>
      <w:r>
        <w:rPr>
          <w:rFonts w:hint="eastAsia" w:ascii="仿宋_GB2312" w:hAnsi="仿宋_GB2312" w:eastAsia="仿宋_GB2312" w:cs="仿宋_GB2312"/>
          <w:color w:val="auto"/>
          <w:sz w:val="32"/>
          <w:szCs w:val="32"/>
          <w:shd w:val="clear" w:fill="FFFFFF"/>
          <w:lang w:val="en-US" w:eastAsia="zh-CN"/>
        </w:rPr>
        <w:t>均减少700.38万元，减少20.78%，</w:t>
      </w:r>
      <w:r>
        <w:rPr>
          <w:rFonts w:hint="eastAsia" w:ascii="仿宋_GB2312" w:hAnsi="仿宋_GB2312" w:eastAsia="仿宋_GB2312" w:cs="仿宋_GB2312"/>
          <w:kern w:val="0"/>
          <w:sz w:val="32"/>
          <w:szCs w:val="32"/>
          <w:shd w:val="clear" w:fill="FFFFFF"/>
          <w:lang w:val="en-US" w:eastAsia="zh-CN" w:bidi="ar"/>
        </w:rPr>
        <w:t>主要原因为项目减少，厉行节约。</w:t>
      </w:r>
    </w:p>
    <w:p w14:paraId="22DC461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Fonts w:hint="eastAsia" w:ascii="黑体" w:hAnsi="黑体" w:eastAsia="黑体" w:cs="黑体"/>
          <w:sz w:val="30"/>
          <w:szCs w:val="30"/>
          <w:shd w:val="clear" w:fill="FFFFFF"/>
        </w:rPr>
      </w:pPr>
      <w:r>
        <w:rPr>
          <w:rFonts w:hint="eastAsia" w:ascii="仿宋_GB2312" w:hAnsi="仿宋_GB2312" w:eastAsia="仿宋_GB2312" w:cs="仿宋_GB2312"/>
          <w:sz w:val="32"/>
          <w:szCs w:val="32"/>
          <w:shd w:val="clear" w:fill="FFFFFF"/>
        </w:rPr>
        <w:t>（图1：收、支决算总计变动情况图）（柱状图）</w:t>
      </w:r>
    </w:p>
    <w:p w14:paraId="26FC4844">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480" w:firstLineChars="200"/>
        <w:jc w:val="left"/>
        <w:textAlignment w:val="auto"/>
        <w:rPr>
          <w:rFonts w:hint="eastAsia" w:ascii="黑体" w:hAnsi="黑体" w:eastAsia="黑体" w:cs="黑体"/>
          <w:sz w:val="30"/>
          <w:szCs w:val="30"/>
          <w:shd w:val="clear" w:fill="FFFFFF"/>
        </w:rPr>
      </w:pPr>
      <w:r>
        <w:drawing>
          <wp:anchor distT="0" distB="0" distL="114300" distR="114300" simplePos="0" relativeHeight="251663360" behindDoc="0" locked="0" layoutInCell="1" allowOverlap="1">
            <wp:simplePos x="0" y="0"/>
            <wp:positionH relativeFrom="column">
              <wp:posOffset>653415</wp:posOffset>
            </wp:positionH>
            <wp:positionV relativeFrom="paragraph">
              <wp:posOffset>22225</wp:posOffset>
            </wp:positionV>
            <wp:extent cx="3853815" cy="2381250"/>
            <wp:effectExtent l="4445" t="5080" r="8890" b="13970"/>
            <wp:wrapNone/>
            <wp:docPr id="103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3E0B2BBA">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00" w:firstLineChars="200"/>
        <w:jc w:val="left"/>
        <w:textAlignment w:val="auto"/>
        <w:rPr>
          <w:rFonts w:hint="eastAsia" w:ascii="黑体" w:hAnsi="黑体" w:eastAsia="黑体" w:cs="黑体"/>
          <w:sz w:val="30"/>
          <w:szCs w:val="30"/>
          <w:shd w:val="clear" w:fill="FFFFFF"/>
        </w:rPr>
      </w:pPr>
    </w:p>
    <w:p w14:paraId="48485BEB">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00" w:firstLineChars="200"/>
        <w:jc w:val="left"/>
        <w:textAlignment w:val="auto"/>
        <w:rPr>
          <w:rFonts w:hint="eastAsia" w:ascii="黑体" w:hAnsi="黑体" w:eastAsia="黑体" w:cs="黑体"/>
          <w:sz w:val="30"/>
          <w:szCs w:val="30"/>
          <w:shd w:val="clear" w:fill="FFFFFF"/>
        </w:rPr>
      </w:pPr>
    </w:p>
    <w:p w14:paraId="1EA830DC">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00" w:firstLineChars="200"/>
        <w:jc w:val="left"/>
        <w:textAlignment w:val="auto"/>
        <w:rPr>
          <w:rFonts w:hint="eastAsia" w:ascii="黑体" w:hAnsi="黑体" w:eastAsia="黑体" w:cs="黑体"/>
          <w:sz w:val="30"/>
          <w:szCs w:val="30"/>
          <w:shd w:val="clear" w:fill="FFFFFF"/>
        </w:rPr>
      </w:pPr>
    </w:p>
    <w:p w14:paraId="354FD772">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jc w:val="left"/>
        <w:textAlignment w:val="auto"/>
        <w:rPr>
          <w:rFonts w:hint="default" w:ascii="黑体" w:hAnsi="黑体" w:eastAsia="黑体" w:cs="黑体"/>
          <w:sz w:val="30"/>
          <w:szCs w:val="30"/>
          <w:shd w:val="clear" w:fill="FFFFFF"/>
          <w:lang w:val="en-US"/>
        </w:rPr>
      </w:pPr>
      <w:r>
        <w:rPr>
          <w:sz w:val="30"/>
        </w:rPr>
        <mc:AlternateContent>
          <mc:Choice Requires="wps">
            <w:drawing>
              <wp:anchor distT="0" distB="0" distL="114300" distR="114300" simplePos="0" relativeHeight="251661312" behindDoc="0" locked="0" layoutInCell="1" allowOverlap="1">
                <wp:simplePos x="0" y="0"/>
                <wp:positionH relativeFrom="column">
                  <wp:posOffset>2592070</wp:posOffset>
                </wp:positionH>
                <wp:positionV relativeFrom="paragraph">
                  <wp:posOffset>87630</wp:posOffset>
                </wp:positionV>
                <wp:extent cx="544830" cy="248920"/>
                <wp:effectExtent l="0" t="0" r="7620" b="17780"/>
                <wp:wrapNone/>
                <wp:docPr id="9" name="文本框 9"/>
                <wp:cNvGraphicFramePr/>
                <a:graphic xmlns:a="http://schemas.openxmlformats.org/drawingml/2006/main">
                  <a:graphicData uri="http://schemas.microsoft.com/office/word/2010/wordprocessingShape">
                    <wps:wsp>
                      <wps:cNvSpPr txBox="1"/>
                      <wps:spPr>
                        <a:xfrm>
                          <a:off x="3333115" y="6436360"/>
                          <a:ext cx="544830" cy="24892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B09A5A2">
                            <w:pP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4.1pt;margin-top:6.9pt;height:19.6pt;width:42.9pt;z-index:251661312;mso-width-relative:page;mso-height-relative:page;" fillcolor="#FFFFFF [3201]" filled="t" stroked="f" coordsize="21600,21600" o:gfxdata="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iNu0lNQA&#10;AAAJAQAADwAAAAAAAAABACAAAAAiAAAAZHJzL2Rvd25yZXYueG1sUEsBAhQAFAAAAAgAh07iQKob&#10;XF9cAgAAmgQAAA4AAAAAAAAAAQAgAAAAIwEAAGRycy9lMm9Eb2MueG1sUEsFBgAAAAAGAAYAWQEA&#10;APEFAAAAAA==&#10;">
                <v:fill on="t" focussize="0,0"/>
                <v:stroke on="f" weight="0.5pt"/>
                <v:imagedata o:title=""/>
                <o:lock v:ext="edit" aspectratio="f"/>
                <v:textbox>
                  <w:txbxContent>
                    <w:p w14:paraId="6B09A5A2">
                      <w:pPr>
                        <w:rPr>
                          <w:rFonts w:hint="default"/>
                          <w:lang w:val="en-US" w:eastAsia="zh-CN"/>
                        </w:rPr>
                      </w:pPr>
                    </w:p>
                  </w:txbxContent>
                </v:textbox>
              </v:shape>
            </w:pict>
          </mc:Fallback>
        </mc:AlternateContent>
      </w:r>
      <w:r>
        <w:rPr>
          <w:rFonts w:hint="eastAsia" w:ascii="黑体" w:hAnsi="黑体" w:eastAsia="黑体" w:cs="黑体"/>
          <w:sz w:val="30"/>
          <w:szCs w:val="30"/>
          <w:shd w:val="clear" w:fill="FFFFFF"/>
          <w:lang w:val="en-US" w:eastAsia="zh-CN"/>
        </w:rPr>
        <w:t xml:space="preserve">       </w:t>
      </w:r>
    </w:p>
    <w:p w14:paraId="31B8296F">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firstLine="600" w:firstLineChars="200"/>
        <w:jc w:val="left"/>
        <w:textAlignment w:val="auto"/>
        <w:rPr>
          <w:rFonts w:hint="eastAsia" w:ascii="黑体" w:hAnsi="黑体" w:eastAsia="黑体" w:cs="黑体"/>
          <w:sz w:val="30"/>
          <w:szCs w:val="30"/>
          <w:shd w:val="clear" w:fill="FFFFFF"/>
        </w:rPr>
      </w:pPr>
    </w:p>
    <w:p w14:paraId="732761E1">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jc w:val="left"/>
        <w:textAlignment w:val="auto"/>
        <w:rPr>
          <w:rFonts w:hint="eastAsia" w:ascii="黑体" w:hAnsi="黑体" w:eastAsia="黑体" w:cs="黑体"/>
          <w:sz w:val="30"/>
          <w:szCs w:val="30"/>
          <w:shd w:val="clear" w:fill="FFFFFF"/>
        </w:rPr>
      </w:pPr>
    </w:p>
    <w:p w14:paraId="563D9636">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00" w:firstLineChars="200"/>
        <w:jc w:val="left"/>
        <w:textAlignment w:val="auto"/>
        <w:outlineLvl w:val="0"/>
        <w:rPr>
          <w:rFonts w:hint="eastAsia" w:ascii="黑体" w:hAnsi="黑体" w:eastAsia="黑体" w:cs="黑体"/>
          <w:sz w:val="30"/>
          <w:szCs w:val="30"/>
          <w:shd w:val="clear" w:fill="FFFFFF"/>
        </w:rPr>
      </w:pPr>
      <w:bookmarkStart w:id="9" w:name="_Toc30304"/>
      <w:r>
        <w:rPr>
          <w:rFonts w:hint="eastAsia" w:ascii="黑体" w:hAnsi="黑体" w:eastAsia="黑体" w:cs="黑体"/>
          <w:sz w:val="30"/>
          <w:szCs w:val="30"/>
          <w:shd w:val="clear" w:fill="FFFFFF"/>
        </w:rPr>
        <w:t>二、收入决算情况说明</w:t>
      </w:r>
      <w:bookmarkEnd w:id="9"/>
    </w:p>
    <w:p w14:paraId="5D948222">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00" w:firstLineChars="200"/>
        <w:jc w:val="left"/>
        <w:textAlignment w:val="auto"/>
        <w:rPr>
          <w:rFonts w:hint="eastAsia" w:ascii="仿宋_GB2312" w:hAnsi="仿宋_GB2312" w:eastAsia="仿宋_GB2312" w:cs="仿宋_GB2312"/>
          <w:sz w:val="30"/>
          <w:szCs w:val="30"/>
          <w:shd w:val="clear" w:fill="FFFFFF"/>
        </w:rPr>
      </w:pPr>
      <w:r>
        <w:rPr>
          <w:rFonts w:hint="eastAsia" w:ascii="仿宋_GB2312" w:hAnsi="仿宋_GB2312" w:eastAsia="仿宋_GB2312" w:cs="仿宋_GB2312"/>
          <w:sz w:val="30"/>
          <w:szCs w:val="30"/>
          <w:shd w:val="clear" w:fill="FFFFFF"/>
        </w:rPr>
        <w:t>202</w:t>
      </w:r>
      <w:r>
        <w:rPr>
          <w:rFonts w:hint="eastAsia" w:ascii="仿宋_GB2312" w:hAnsi="仿宋_GB2312" w:eastAsia="仿宋_GB2312" w:cs="仿宋_GB2312"/>
          <w:sz w:val="30"/>
          <w:szCs w:val="30"/>
          <w:shd w:val="clear" w:fill="FFFFFF"/>
          <w:lang w:val="en-US" w:eastAsia="zh-CN"/>
        </w:rPr>
        <w:t>5</w:t>
      </w:r>
      <w:r>
        <w:rPr>
          <w:rFonts w:hint="eastAsia" w:ascii="仿宋_GB2312" w:hAnsi="仿宋_GB2312" w:eastAsia="仿宋_GB2312" w:cs="仿宋_GB2312"/>
          <w:sz w:val="30"/>
          <w:szCs w:val="30"/>
          <w:shd w:val="clear" w:fill="FFFFFF"/>
        </w:rPr>
        <w:t>年本年收入合计</w:t>
      </w:r>
      <w:r>
        <w:rPr>
          <w:rFonts w:hint="eastAsia" w:ascii="仿宋_GB2312" w:hAnsi="仿宋_GB2312" w:eastAsia="仿宋_GB2312" w:cs="仿宋_GB2312"/>
          <w:sz w:val="30"/>
          <w:szCs w:val="30"/>
          <w:shd w:val="clear" w:fill="FFFFFF"/>
          <w:lang w:val="en-US" w:eastAsia="zh-CN"/>
        </w:rPr>
        <w:t>2669.97</w:t>
      </w:r>
      <w:r>
        <w:rPr>
          <w:rFonts w:hint="eastAsia" w:ascii="仿宋_GB2312" w:hAnsi="仿宋_GB2312" w:eastAsia="仿宋_GB2312" w:cs="仿宋_GB2312"/>
          <w:sz w:val="30"/>
          <w:szCs w:val="30"/>
          <w:shd w:val="clear" w:fill="FFFFFF"/>
        </w:rPr>
        <w:t>万元，其中：一般公共预算财政拨款收入</w:t>
      </w:r>
      <w:r>
        <w:rPr>
          <w:rFonts w:hint="eastAsia" w:ascii="仿宋_GB2312" w:hAnsi="仿宋_GB2312" w:eastAsia="仿宋_GB2312" w:cs="仿宋_GB2312"/>
          <w:sz w:val="30"/>
          <w:szCs w:val="30"/>
          <w:shd w:val="clear" w:fill="FFFFFF"/>
          <w:lang w:val="en-US" w:eastAsia="zh-CN"/>
        </w:rPr>
        <w:t>2669.97</w:t>
      </w:r>
      <w:r>
        <w:rPr>
          <w:rFonts w:hint="eastAsia" w:ascii="仿宋_GB2312" w:hAnsi="仿宋_GB2312" w:eastAsia="仿宋_GB2312" w:cs="仿宋_GB2312"/>
          <w:sz w:val="30"/>
          <w:szCs w:val="30"/>
          <w:shd w:val="clear" w:fill="FFFFFF"/>
        </w:rPr>
        <w:t>万元，占</w:t>
      </w:r>
      <w:r>
        <w:rPr>
          <w:rFonts w:hint="eastAsia" w:ascii="仿宋_GB2312" w:hAnsi="仿宋_GB2312" w:eastAsia="仿宋_GB2312" w:cs="仿宋_GB2312"/>
          <w:sz w:val="30"/>
          <w:szCs w:val="30"/>
          <w:shd w:val="clear" w:fill="FFFFFF"/>
          <w:lang w:val="en-US" w:eastAsia="zh-CN"/>
        </w:rPr>
        <w:t>100.00</w:t>
      </w:r>
      <w:r>
        <w:rPr>
          <w:rFonts w:hint="eastAsia" w:ascii="仿宋_GB2312" w:hAnsi="仿宋_GB2312" w:eastAsia="仿宋_GB2312" w:cs="仿宋_GB2312"/>
          <w:sz w:val="30"/>
          <w:szCs w:val="30"/>
          <w:shd w:val="clear" w:fill="FFFFFF"/>
        </w:rPr>
        <w:t>%；政府性基金预算财政拨款收入0.00万元，占0.00%；国有资本经营预算财政拨款收入0.00万元，占0.00%；上级补助收入0.00万元，占0.00%；事业收入0.00万元，占0.00%%；经营收入0.00万元，占0.00%%；附属单位上缴收入0.00万元，占0.00%；其他收入</w:t>
      </w:r>
      <w:r>
        <w:rPr>
          <w:rFonts w:hint="eastAsia" w:ascii="仿宋_GB2312" w:hAnsi="仿宋_GB2312" w:eastAsia="仿宋_GB2312" w:cs="仿宋_GB2312"/>
          <w:sz w:val="30"/>
          <w:szCs w:val="30"/>
          <w:shd w:val="clear" w:fill="FFFFFF"/>
          <w:lang w:val="en-US" w:eastAsia="zh-CN"/>
        </w:rPr>
        <w:t>0.00</w:t>
      </w:r>
      <w:r>
        <w:rPr>
          <w:rFonts w:hint="eastAsia" w:ascii="仿宋_GB2312" w:hAnsi="仿宋_GB2312" w:eastAsia="仿宋_GB2312" w:cs="仿宋_GB2312"/>
          <w:sz w:val="30"/>
          <w:szCs w:val="30"/>
          <w:shd w:val="clear" w:fill="FFFFFF"/>
        </w:rPr>
        <w:t>万元，占0.0</w:t>
      </w:r>
      <w:r>
        <w:rPr>
          <w:rFonts w:hint="eastAsia" w:ascii="仿宋_GB2312" w:hAnsi="仿宋_GB2312" w:eastAsia="仿宋_GB2312" w:cs="仿宋_GB2312"/>
          <w:sz w:val="30"/>
          <w:szCs w:val="30"/>
          <w:shd w:val="clear" w:fill="FFFFFF"/>
          <w:lang w:val="en-US" w:eastAsia="zh-CN"/>
        </w:rPr>
        <w:t>0</w:t>
      </w:r>
      <w:r>
        <w:rPr>
          <w:rFonts w:hint="eastAsia" w:ascii="仿宋_GB2312" w:hAnsi="仿宋_GB2312" w:eastAsia="仿宋_GB2312" w:cs="仿宋_GB2312"/>
          <w:sz w:val="30"/>
          <w:szCs w:val="30"/>
          <w:shd w:val="clear" w:fill="FFFFFF"/>
        </w:rPr>
        <w:t>%。</w:t>
      </w:r>
    </w:p>
    <w:p w14:paraId="58454CFC">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00" w:firstLineChars="200"/>
        <w:jc w:val="left"/>
        <w:textAlignment w:val="auto"/>
        <w:rPr>
          <w:rFonts w:hint="eastAsia" w:ascii="仿宋_GB2312" w:hAnsi="仿宋_GB2312" w:eastAsia="仿宋_GB2312" w:cs="仿宋_GB2312"/>
          <w:sz w:val="30"/>
          <w:szCs w:val="30"/>
          <w:shd w:val="clear" w:fill="FFFFFF"/>
        </w:rPr>
      </w:pPr>
      <w:r>
        <w:rPr>
          <w:sz w:val="30"/>
        </w:rPr>
        <mc:AlternateContent>
          <mc:Choice Requires="wps">
            <w:drawing>
              <wp:anchor distT="0" distB="0" distL="114300" distR="114300" simplePos="0" relativeHeight="251662336" behindDoc="0" locked="0" layoutInCell="1" allowOverlap="1">
                <wp:simplePos x="0" y="0"/>
                <wp:positionH relativeFrom="column">
                  <wp:posOffset>2063750</wp:posOffset>
                </wp:positionH>
                <wp:positionV relativeFrom="paragraph">
                  <wp:posOffset>264795</wp:posOffset>
                </wp:positionV>
                <wp:extent cx="1370330" cy="272415"/>
                <wp:effectExtent l="0" t="0" r="1270" b="13335"/>
                <wp:wrapNone/>
                <wp:docPr id="11" name="文本框 11"/>
                <wp:cNvGraphicFramePr/>
                <a:graphic xmlns:a="http://schemas.openxmlformats.org/drawingml/2006/main">
                  <a:graphicData uri="http://schemas.microsoft.com/office/word/2010/wordprocessingShape">
                    <wps:wsp>
                      <wps:cNvSpPr txBox="1"/>
                      <wps:spPr>
                        <a:xfrm>
                          <a:off x="0" y="0"/>
                          <a:ext cx="1370330" cy="27241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2443600">
                            <w:pPr>
                              <w:rPr>
                                <w:rFonts w:hint="eastAsia"/>
                                <w:sz w:val="18"/>
                                <w:szCs w:val="18"/>
                                <w:lang w:val="en-US" w:eastAsia="zh-CN"/>
                              </w:rPr>
                            </w:pPr>
                            <w:r>
                              <w:rPr>
                                <w:rFonts w:hint="eastAsia"/>
                                <w:sz w:val="18"/>
                                <w:szCs w:val="18"/>
                                <w:lang w:val="en-US" w:eastAsia="zh-CN"/>
                              </w:rPr>
                              <w:t>一般公共预算财政拨款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2.5pt;margin-top:20.85pt;height:21.45pt;width:107.9pt;z-index:251662336;mso-width-relative:page;mso-height-relative:page;" fillcolor="#FFFFFF [3201]" filled="t" stroked="f" coordsize="21600,21600" o:gfxdata="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616iMNUAAAAJAQAADwAAAAAA&#10;AAABACAAAAAiAAAAZHJzL2Rvd25yZXYueG1sUEsBAhQAFAAAAAgAh07iQDmX0C5PAgAAkQQAAA4A&#10;AAAAAAAAAQAgAAAAJAEAAGRycy9lMm9Eb2MueG1sUEsFBgAAAAAGAAYAWQEAAOUFAAAAAA==&#10;">
                <v:fill on="t" focussize="0,0"/>
                <v:stroke on="f" weight="0.5pt"/>
                <v:imagedata o:title=""/>
                <o:lock v:ext="edit" aspectratio="f"/>
                <v:textbox>
                  <w:txbxContent>
                    <w:p w14:paraId="22443600">
                      <w:pPr>
                        <w:rPr>
                          <w:rFonts w:hint="eastAsia"/>
                          <w:sz w:val="18"/>
                          <w:szCs w:val="18"/>
                          <w:lang w:val="en-US" w:eastAsia="zh-CN"/>
                        </w:rPr>
                      </w:pPr>
                      <w:r>
                        <w:rPr>
                          <w:rFonts w:hint="eastAsia"/>
                          <w:sz w:val="18"/>
                          <w:szCs w:val="18"/>
                          <w:lang w:val="en-US" w:eastAsia="zh-CN"/>
                        </w:rPr>
                        <w:t>一般公共预算财政拨款</w:t>
                      </w:r>
                    </w:p>
                  </w:txbxContent>
                </v:textbox>
              </v:shape>
            </w:pict>
          </mc:Fallback>
        </mc:AlternateContent>
      </w:r>
      <w:r>
        <w:drawing>
          <wp:anchor distT="0" distB="0" distL="114300" distR="114300" simplePos="0" relativeHeight="251660288" behindDoc="0" locked="0" layoutInCell="1" allowOverlap="1">
            <wp:simplePos x="0" y="0"/>
            <wp:positionH relativeFrom="column">
              <wp:posOffset>805815</wp:posOffset>
            </wp:positionH>
            <wp:positionV relativeFrom="paragraph">
              <wp:posOffset>3810</wp:posOffset>
            </wp:positionV>
            <wp:extent cx="3844925" cy="2322830"/>
            <wp:effectExtent l="4445" t="4445" r="17780" b="15875"/>
            <wp:wrapNone/>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50511B72">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00" w:firstLineChars="200"/>
        <w:jc w:val="left"/>
        <w:textAlignment w:val="auto"/>
        <w:rPr>
          <w:rFonts w:hint="eastAsia" w:ascii="仿宋_GB2312" w:hAnsi="仿宋_GB2312" w:eastAsia="仿宋_GB2312" w:cs="仿宋_GB2312"/>
          <w:sz w:val="30"/>
          <w:szCs w:val="30"/>
          <w:shd w:val="clear" w:fill="FFFFFF"/>
        </w:rPr>
      </w:pPr>
    </w:p>
    <w:p w14:paraId="3036E8E0">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jc w:val="left"/>
        <w:textAlignment w:val="auto"/>
        <w:rPr>
          <w:rFonts w:hint="eastAsia" w:ascii="仿宋_GB2312" w:hAnsi="仿宋_GB2312" w:eastAsia="仿宋_GB2312" w:cs="仿宋_GB2312"/>
          <w:sz w:val="30"/>
          <w:szCs w:val="30"/>
          <w:shd w:val="clear" w:fill="FFFFFF"/>
        </w:rPr>
      </w:pPr>
    </w:p>
    <w:p w14:paraId="4DA4A8C8">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00" w:firstLineChars="200"/>
        <w:jc w:val="left"/>
        <w:textAlignment w:val="auto"/>
        <w:rPr>
          <w:rFonts w:hint="eastAsia" w:ascii="仿宋_GB2312" w:hAnsi="仿宋_GB2312" w:eastAsia="仿宋_GB2312" w:cs="仿宋_GB2312"/>
          <w:sz w:val="30"/>
          <w:szCs w:val="30"/>
          <w:shd w:val="clear" w:fill="FFFFFF"/>
        </w:rPr>
      </w:pPr>
    </w:p>
    <w:p w14:paraId="362C18EB">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00" w:firstLineChars="200"/>
        <w:jc w:val="left"/>
        <w:textAlignment w:val="auto"/>
        <w:rPr>
          <w:rFonts w:hint="eastAsia" w:ascii="仿宋_GB2312" w:hAnsi="仿宋_GB2312" w:eastAsia="仿宋_GB2312" w:cs="仿宋_GB2312"/>
          <w:sz w:val="30"/>
          <w:szCs w:val="30"/>
          <w:shd w:val="clear" w:fill="FFFFFF"/>
        </w:rPr>
      </w:pPr>
    </w:p>
    <w:p w14:paraId="6EF1C4F7">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00" w:firstLineChars="200"/>
        <w:jc w:val="left"/>
        <w:textAlignment w:val="auto"/>
        <w:rPr>
          <w:rFonts w:hint="eastAsia" w:ascii="仿宋_GB2312" w:hAnsi="仿宋_GB2312" w:eastAsia="仿宋_GB2312" w:cs="仿宋_GB2312"/>
          <w:sz w:val="30"/>
          <w:szCs w:val="30"/>
          <w:shd w:val="clear" w:fill="FFFFFF"/>
        </w:rPr>
        <w:sectPr>
          <w:footerReference r:id="rId6" w:type="default"/>
          <w:footerReference r:id="rId7" w:type="even"/>
          <w:pgSz w:w="11915" w:h="16851"/>
          <w:pgMar w:top="1440" w:right="1800" w:bottom="1440" w:left="1800" w:header="851" w:footer="992" w:gutter="0"/>
          <w:pgNumType w:fmt="decimal" w:start="1"/>
          <w:cols w:space="0" w:num="1"/>
          <w:docGrid w:type="lines" w:linePitch="312" w:charSpace="0"/>
        </w:sectPr>
      </w:pPr>
    </w:p>
    <w:tbl>
      <w:tblPr>
        <w:tblStyle w:val="18"/>
        <w:tblW w:w="138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497"/>
        <w:gridCol w:w="1319"/>
        <w:gridCol w:w="1952"/>
        <w:gridCol w:w="3379"/>
        <w:gridCol w:w="1645"/>
        <w:gridCol w:w="2107"/>
      </w:tblGrid>
      <w:tr w14:paraId="08592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13899" w:type="dxa"/>
            <w:gridSpan w:val="6"/>
            <w:tcBorders>
              <w:top w:val="nil"/>
              <w:left w:val="nil"/>
              <w:bottom w:val="nil"/>
              <w:right w:val="nil"/>
            </w:tcBorders>
            <w:shd w:val="clear" w:color="auto" w:fill="auto"/>
            <w:noWrap/>
            <w:vAlign w:val="center"/>
          </w:tcPr>
          <w:p w14:paraId="1A8D44F8">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bookmarkStart w:id="10" w:name="_Toc17441"/>
            <w:r>
              <w:rPr>
                <w:rFonts w:hint="eastAsia" w:ascii="宋体" w:hAnsi="宋体" w:eastAsia="宋体" w:cs="宋体"/>
                <w:i w:val="0"/>
                <w:iCs w:val="0"/>
                <w:color w:val="000000"/>
                <w:kern w:val="0"/>
                <w:sz w:val="32"/>
                <w:szCs w:val="32"/>
                <w:u w:val="none"/>
                <w:lang w:val="en-US" w:eastAsia="zh-CN" w:bidi="ar"/>
              </w:rPr>
              <w:t>收入支出决算总表</w:t>
            </w:r>
          </w:p>
        </w:tc>
      </w:tr>
      <w:tr w14:paraId="499A0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497" w:type="dxa"/>
            <w:tcBorders>
              <w:top w:val="nil"/>
              <w:left w:val="nil"/>
              <w:bottom w:val="nil"/>
              <w:right w:val="nil"/>
            </w:tcBorders>
            <w:shd w:val="clear" w:color="auto" w:fill="auto"/>
            <w:noWrap/>
            <w:vAlign w:val="center"/>
          </w:tcPr>
          <w:p w14:paraId="5079AABD">
            <w:pPr>
              <w:rPr>
                <w:rFonts w:hint="eastAsia" w:ascii="宋体" w:hAnsi="宋体" w:eastAsia="宋体" w:cs="宋体"/>
                <w:i w:val="0"/>
                <w:iCs w:val="0"/>
                <w:color w:val="000000"/>
                <w:sz w:val="22"/>
                <w:szCs w:val="22"/>
                <w:u w:val="none"/>
              </w:rPr>
            </w:pPr>
          </w:p>
        </w:tc>
        <w:tc>
          <w:tcPr>
            <w:tcW w:w="1319" w:type="dxa"/>
            <w:tcBorders>
              <w:top w:val="nil"/>
              <w:left w:val="nil"/>
              <w:bottom w:val="nil"/>
              <w:right w:val="nil"/>
            </w:tcBorders>
            <w:shd w:val="clear" w:color="auto" w:fill="auto"/>
            <w:noWrap/>
            <w:vAlign w:val="center"/>
          </w:tcPr>
          <w:p w14:paraId="13CED900">
            <w:pPr>
              <w:rPr>
                <w:rFonts w:hint="eastAsia" w:ascii="宋体" w:hAnsi="宋体" w:eastAsia="宋体" w:cs="宋体"/>
                <w:i w:val="0"/>
                <w:iCs w:val="0"/>
                <w:color w:val="000000"/>
                <w:sz w:val="22"/>
                <w:szCs w:val="22"/>
                <w:u w:val="none"/>
              </w:rPr>
            </w:pPr>
          </w:p>
        </w:tc>
        <w:tc>
          <w:tcPr>
            <w:tcW w:w="1952" w:type="dxa"/>
            <w:tcBorders>
              <w:top w:val="nil"/>
              <w:left w:val="nil"/>
              <w:bottom w:val="nil"/>
              <w:right w:val="nil"/>
            </w:tcBorders>
            <w:shd w:val="clear" w:color="auto" w:fill="auto"/>
            <w:noWrap/>
            <w:vAlign w:val="center"/>
          </w:tcPr>
          <w:p w14:paraId="50522E96">
            <w:pPr>
              <w:rPr>
                <w:rFonts w:hint="eastAsia" w:ascii="宋体" w:hAnsi="宋体" w:eastAsia="宋体" w:cs="宋体"/>
                <w:i w:val="0"/>
                <w:iCs w:val="0"/>
                <w:color w:val="000000"/>
                <w:sz w:val="22"/>
                <w:szCs w:val="22"/>
                <w:u w:val="none"/>
              </w:rPr>
            </w:pPr>
          </w:p>
        </w:tc>
        <w:tc>
          <w:tcPr>
            <w:tcW w:w="3379" w:type="dxa"/>
            <w:tcBorders>
              <w:top w:val="nil"/>
              <w:left w:val="nil"/>
              <w:bottom w:val="nil"/>
              <w:right w:val="nil"/>
            </w:tcBorders>
            <w:shd w:val="clear" w:color="auto" w:fill="auto"/>
            <w:noWrap/>
            <w:vAlign w:val="center"/>
          </w:tcPr>
          <w:p w14:paraId="59A28E4F">
            <w:pPr>
              <w:rPr>
                <w:rFonts w:hint="eastAsia" w:ascii="宋体" w:hAnsi="宋体" w:eastAsia="宋体" w:cs="宋体"/>
                <w:i w:val="0"/>
                <w:iCs w:val="0"/>
                <w:color w:val="000000"/>
                <w:sz w:val="22"/>
                <w:szCs w:val="22"/>
                <w:u w:val="none"/>
              </w:rPr>
            </w:pPr>
          </w:p>
        </w:tc>
        <w:tc>
          <w:tcPr>
            <w:tcW w:w="1645" w:type="dxa"/>
            <w:tcBorders>
              <w:top w:val="nil"/>
              <w:left w:val="nil"/>
              <w:bottom w:val="nil"/>
              <w:right w:val="nil"/>
            </w:tcBorders>
            <w:shd w:val="clear" w:color="auto" w:fill="auto"/>
            <w:noWrap/>
            <w:vAlign w:val="center"/>
          </w:tcPr>
          <w:p w14:paraId="417B5BFF">
            <w:pPr>
              <w:rPr>
                <w:rFonts w:hint="eastAsia" w:ascii="宋体" w:hAnsi="宋体" w:eastAsia="宋体" w:cs="宋体"/>
                <w:i w:val="0"/>
                <w:iCs w:val="0"/>
                <w:color w:val="000000"/>
                <w:sz w:val="22"/>
                <w:szCs w:val="22"/>
                <w:u w:val="none"/>
              </w:rPr>
            </w:pPr>
          </w:p>
        </w:tc>
        <w:tc>
          <w:tcPr>
            <w:tcW w:w="2107" w:type="dxa"/>
            <w:tcBorders>
              <w:top w:val="nil"/>
              <w:left w:val="nil"/>
              <w:bottom w:val="nil"/>
              <w:right w:val="nil"/>
            </w:tcBorders>
            <w:shd w:val="clear" w:color="auto" w:fill="auto"/>
            <w:noWrap/>
            <w:vAlign w:val="center"/>
          </w:tcPr>
          <w:p w14:paraId="6DDA4E1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财决公开01表</w:t>
            </w:r>
          </w:p>
        </w:tc>
      </w:tr>
      <w:tr w14:paraId="2FCD3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816" w:type="dxa"/>
            <w:gridSpan w:val="2"/>
            <w:tcBorders>
              <w:top w:val="nil"/>
              <w:left w:val="nil"/>
              <w:bottom w:val="nil"/>
              <w:right w:val="nil"/>
            </w:tcBorders>
            <w:shd w:val="clear" w:color="auto" w:fill="auto"/>
            <w:noWrap/>
            <w:vAlign w:val="bottom"/>
          </w:tcPr>
          <w:p w14:paraId="6C5DA957">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单位名称：红原县色地镇人民政府</w:t>
            </w:r>
          </w:p>
        </w:tc>
        <w:tc>
          <w:tcPr>
            <w:tcW w:w="5331" w:type="dxa"/>
            <w:gridSpan w:val="2"/>
            <w:tcBorders>
              <w:top w:val="nil"/>
              <w:left w:val="nil"/>
              <w:bottom w:val="nil"/>
              <w:right w:val="nil"/>
            </w:tcBorders>
            <w:shd w:val="clear" w:color="auto" w:fill="auto"/>
            <w:noWrap/>
            <w:vAlign w:val="center"/>
          </w:tcPr>
          <w:p w14:paraId="15C44D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2025年度</w:t>
            </w:r>
          </w:p>
        </w:tc>
        <w:tc>
          <w:tcPr>
            <w:tcW w:w="1645" w:type="dxa"/>
            <w:tcBorders>
              <w:top w:val="nil"/>
              <w:left w:val="nil"/>
              <w:bottom w:val="nil"/>
              <w:right w:val="nil"/>
            </w:tcBorders>
            <w:shd w:val="clear" w:color="auto" w:fill="auto"/>
            <w:noWrap/>
            <w:vAlign w:val="bottom"/>
          </w:tcPr>
          <w:p w14:paraId="6FC51F85">
            <w:pPr>
              <w:rPr>
                <w:rFonts w:hint="eastAsia" w:ascii="宋体" w:hAnsi="宋体" w:eastAsia="宋体" w:cs="宋体"/>
                <w:i w:val="0"/>
                <w:iCs w:val="0"/>
                <w:color w:val="000000"/>
                <w:sz w:val="20"/>
                <w:szCs w:val="20"/>
                <w:u w:val="none"/>
              </w:rPr>
            </w:pPr>
          </w:p>
        </w:tc>
        <w:tc>
          <w:tcPr>
            <w:tcW w:w="2107" w:type="dxa"/>
            <w:tcBorders>
              <w:top w:val="nil"/>
              <w:left w:val="nil"/>
              <w:bottom w:val="nil"/>
              <w:right w:val="nil"/>
            </w:tcBorders>
            <w:shd w:val="clear" w:color="auto" w:fill="auto"/>
            <w:noWrap/>
            <w:vAlign w:val="center"/>
          </w:tcPr>
          <w:p w14:paraId="38A711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单位:万元</w:t>
            </w:r>
          </w:p>
        </w:tc>
      </w:tr>
      <w:tr w14:paraId="7A466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jc w:val="center"/>
        </w:trPr>
        <w:tc>
          <w:tcPr>
            <w:tcW w:w="6768" w:type="dxa"/>
            <w:gridSpan w:val="3"/>
            <w:tcBorders>
              <w:top w:val="single" w:color="000000" w:sz="4" w:space="0"/>
              <w:left w:val="single" w:color="000000" w:sz="4" w:space="0"/>
              <w:bottom w:val="single" w:color="000000" w:sz="4" w:space="0"/>
              <w:right w:val="single" w:color="000000" w:sz="4" w:space="0"/>
            </w:tcBorders>
            <w:shd w:val="clear" w:color="auto" w:fill="C0C0C0"/>
            <w:vAlign w:val="center"/>
          </w:tcPr>
          <w:p w14:paraId="059A0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收入</w:t>
            </w:r>
          </w:p>
        </w:tc>
        <w:tc>
          <w:tcPr>
            <w:tcW w:w="7131" w:type="dxa"/>
            <w:gridSpan w:val="3"/>
            <w:tcBorders>
              <w:top w:val="single" w:color="000000" w:sz="4" w:space="0"/>
              <w:left w:val="single" w:color="000000" w:sz="4" w:space="0"/>
              <w:bottom w:val="single" w:color="000000" w:sz="4" w:space="0"/>
              <w:right w:val="single" w:color="000000" w:sz="4" w:space="0"/>
            </w:tcBorders>
            <w:shd w:val="clear" w:color="auto" w:fill="C0C0C0"/>
            <w:vAlign w:val="center"/>
          </w:tcPr>
          <w:p w14:paraId="59313F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w:t>
            </w:r>
          </w:p>
        </w:tc>
      </w:tr>
      <w:tr w14:paraId="28EEB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27D409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1319" w:type="dxa"/>
            <w:vMerge w:val="restart"/>
            <w:tcBorders>
              <w:top w:val="single" w:color="000000" w:sz="4" w:space="0"/>
              <w:left w:val="single" w:color="000000" w:sz="4" w:space="0"/>
              <w:bottom w:val="single" w:color="000000" w:sz="4" w:space="0"/>
              <w:right w:val="single" w:color="000000" w:sz="4" w:space="0"/>
            </w:tcBorders>
            <w:shd w:val="clear" w:color="auto" w:fill="C0C0C0"/>
            <w:vAlign w:val="center"/>
          </w:tcPr>
          <w:p w14:paraId="4F9D84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行次</w:t>
            </w:r>
          </w:p>
        </w:tc>
        <w:tc>
          <w:tcPr>
            <w:tcW w:w="1952"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1B5393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决算数</w:t>
            </w:r>
          </w:p>
        </w:tc>
        <w:tc>
          <w:tcPr>
            <w:tcW w:w="3379"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6B5312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1645" w:type="dxa"/>
            <w:vMerge w:val="restart"/>
            <w:tcBorders>
              <w:top w:val="single" w:color="000000" w:sz="4" w:space="0"/>
              <w:left w:val="single" w:color="000000" w:sz="4" w:space="0"/>
              <w:bottom w:val="single" w:color="000000" w:sz="4" w:space="0"/>
              <w:right w:val="single" w:color="000000" w:sz="4" w:space="0"/>
            </w:tcBorders>
            <w:shd w:val="clear" w:color="auto" w:fill="C0C0C0"/>
            <w:vAlign w:val="center"/>
          </w:tcPr>
          <w:p w14:paraId="5CF56B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行次</w:t>
            </w:r>
          </w:p>
        </w:tc>
        <w:tc>
          <w:tcPr>
            <w:tcW w:w="2107"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4402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决算数</w:t>
            </w:r>
          </w:p>
        </w:tc>
      </w:tr>
      <w:tr w14:paraId="008E1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294B5E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1319" w:type="dxa"/>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21243D52">
            <w:pPr>
              <w:jc w:val="center"/>
              <w:rPr>
                <w:rFonts w:hint="eastAsia" w:ascii="宋体" w:hAnsi="宋体" w:eastAsia="宋体" w:cs="宋体"/>
                <w:i w:val="0"/>
                <w:iCs w:val="0"/>
                <w:color w:val="000000"/>
                <w:sz w:val="22"/>
                <w:szCs w:val="22"/>
                <w:u w:val="none"/>
              </w:rPr>
            </w:pPr>
          </w:p>
        </w:tc>
        <w:tc>
          <w:tcPr>
            <w:tcW w:w="1952"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6C0A6F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379"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71E587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1645" w:type="dxa"/>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123693D1">
            <w:pPr>
              <w:jc w:val="center"/>
              <w:rPr>
                <w:rFonts w:hint="eastAsia" w:ascii="宋体" w:hAnsi="宋体" w:eastAsia="宋体" w:cs="宋体"/>
                <w:i w:val="0"/>
                <w:iCs w:val="0"/>
                <w:color w:val="000000"/>
                <w:sz w:val="22"/>
                <w:szCs w:val="22"/>
                <w:u w:val="none"/>
              </w:rPr>
            </w:pPr>
          </w:p>
        </w:tc>
        <w:tc>
          <w:tcPr>
            <w:tcW w:w="2107"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3D5238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01721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8D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一、一般公共预算财政拨款收入</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CB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6F2DB1">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647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一、一般公共服务支出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565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267D8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806.07</w:t>
            </w:r>
          </w:p>
        </w:tc>
      </w:tr>
      <w:tr w14:paraId="4F82E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0BA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二、政府性基金预算财政拨款收入</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55D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0094F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200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二、外交支出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C99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BE8538">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351A5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85B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三、国有资本经营预算财政拨款收入</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DA7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498830">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F86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三、国防支出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A58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AE2DAC">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r>
      <w:tr w14:paraId="11C74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A0E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四、上级补助收入</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3E6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BC9AFB">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1D0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四、公共安全支出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258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35606C">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0AC01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3E0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五、事业收入</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749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A3FFAA">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B53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五、教育支出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867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9C8F4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6BCBB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B9F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六、经营收入</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4D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F28F6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942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六、科学技术支出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F06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06973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412F3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F1F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七、附属单位上缴收入</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F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9C454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8290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七、文化旅游体育与传媒支出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339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86E50B">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5.16</w:t>
            </w:r>
          </w:p>
        </w:tc>
      </w:tr>
      <w:tr w14:paraId="33D6C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D7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八、其他收入</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DA5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FF5181">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2F1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八、社会保障和就业支出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B4F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76C33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111.32</w:t>
            </w:r>
          </w:p>
        </w:tc>
      </w:tr>
      <w:tr w14:paraId="3CE63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ECCB9">
            <w:pPr>
              <w:jc w:val="left"/>
              <w:rPr>
                <w:rFonts w:hint="eastAsia" w:ascii="宋体" w:hAnsi="宋体" w:eastAsia="宋体" w:cs="宋体"/>
                <w:b/>
                <w:bCs/>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2CB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44A3C">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D0A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九、卫生健康支出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6BB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7658A0">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44.75</w:t>
            </w:r>
          </w:p>
        </w:tc>
      </w:tr>
      <w:tr w14:paraId="75EAD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BF388">
            <w:pPr>
              <w:jc w:val="left"/>
              <w:rPr>
                <w:rFonts w:hint="eastAsia" w:ascii="宋体" w:hAnsi="宋体" w:eastAsia="宋体" w:cs="宋体"/>
                <w:b/>
                <w:bCs/>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88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BD37">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89B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十、节能环保支出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9F5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34E2C0">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2E2B2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43C1D">
            <w:pPr>
              <w:rPr>
                <w:rFonts w:hint="eastAsia" w:ascii="宋体" w:hAnsi="宋体" w:eastAsia="宋体" w:cs="宋体"/>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0A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CA0F8">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3CB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十一、城乡社区支出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970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634B0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8.96</w:t>
            </w:r>
          </w:p>
        </w:tc>
      </w:tr>
      <w:tr w14:paraId="09122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C3E3E">
            <w:pPr>
              <w:jc w:val="left"/>
              <w:rPr>
                <w:rFonts w:hint="eastAsia" w:ascii="宋体" w:hAnsi="宋体" w:eastAsia="宋体" w:cs="宋体"/>
                <w:b/>
                <w:bCs/>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282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F6DAA">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AF2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十二、农林水支出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6D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27621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1,426.51</w:t>
            </w:r>
          </w:p>
        </w:tc>
      </w:tr>
      <w:tr w14:paraId="4329D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5D764">
            <w:pPr>
              <w:rPr>
                <w:rFonts w:hint="eastAsia" w:ascii="宋体" w:hAnsi="宋体" w:eastAsia="宋体" w:cs="宋体"/>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7E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CA9F4">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D90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十三、交通运输支出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7D3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2F388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50B9A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7BF5A">
            <w:pPr>
              <w:rPr>
                <w:rFonts w:hint="eastAsia" w:ascii="宋体" w:hAnsi="宋体" w:eastAsia="宋体" w:cs="宋体"/>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A49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5ADF4">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FB4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十四、资源勘探工业信息等支出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427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D6E08C">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08345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721BC">
            <w:pPr>
              <w:rPr>
                <w:rFonts w:hint="eastAsia" w:ascii="宋体" w:hAnsi="宋体" w:eastAsia="宋体" w:cs="宋体"/>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9FD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ADFD2">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027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十五、商业服务业等支出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07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579EF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198.00</w:t>
            </w:r>
          </w:p>
        </w:tc>
      </w:tr>
      <w:tr w14:paraId="53A47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032FC">
            <w:pPr>
              <w:rPr>
                <w:rFonts w:hint="eastAsia" w:ascii="宋体" w:hAnsi="宋体" w:eastAsia="宋体" w:cs="宋体"/>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5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7BFEB">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F22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十六、金融支出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04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B7242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68A93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5EA7E">
            <w:pPr>
              <w:jc w:val="left"/>
              <w:rPr>
                <w:rFonts w:hint="eastAsia" w:ascii="宋体" w:hAnsi="宋体" w:eastAsia="宋体" w:cs="宋体"/>
                <w:b/>
                <w:bCs/>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1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2E7E8">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ED5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十七、援助其他地区支出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EAC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E260C2">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358BD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DF85C">
            <w:pPr>
              <w:jc w:val="left"/>
              <w:rPr>
                <w:rFonts w:hint="eastAsia" w:ascii="宋体" w:hAnsi="宋体" w:eastAsia="宋体" w:cs="宋体"/>
                <w:b/>
                <w:bCs/>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884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4E6DF">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B08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十八、自然资源海洋气象等支出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268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C96DB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55866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07EB2">
            <w:pPr>
              <w:rPr>
                <w:rFonts w:hint="eastAsia" w:ascii="宋体" w:hAnsi="宋体" w:eastAsia="宋体" w:cs="宋体"/>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A10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87F85">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6E7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十九、住房保障支出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08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78F323">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65.70</w:t>
            </w:r>
          </w:p>
        </w:tc>
      </w:tr>
      <w:tr w14:paraId="01D9E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67482">
            <w:pPr>
              <w:jc w:val="left"/>
              <w:rPr>
                <w:rFonts w:hint="eastAsia" w:ascii="宋体" w:hAnsi="宋体" w:eastAsia="宋体" w:cs="宋体"/>
                <w:b/>
                <w:bCs/>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4A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F52AC">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2A0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二十、粮油物资储备支出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4D3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66043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2E75D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1F613">
            <w:pPr>
              <w:rPr>
                <w:rFonts w:hint="eastAsia" w:ascii="宋体" w:hAnsi="宋体" w:eastAsia="宋体" w:cs="宋体"/>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4C6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B0672">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498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二十一、国有资本经营预算支出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7A0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D48E02">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64FEE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F2A44">
            <w:pPr>
              <w:rPr>
                <w:rFonts w:hint="eastAsia" w:ascii="宋体" w:hAnsi="宋体" w:eastAsia="宋体" w:cs="宋体"/>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D39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EE644">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47B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二十二、灾害防治及应急管理支出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39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3D27D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0.50</w:t>
            </w:r>
          </w:p>
        </w:tc>
      </w:tr>
      <w:tr w14:paraId="6BE33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968A7">
            <w:pPr>
              <w:rPr>
                <w:rFonts w:hint="eastAsia" w:ascii="宋体" w:hAnsi="宋体" w:eastAsia="宋体" w:cs="宋体"/>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400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777BB">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DF0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二十三、其他支出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B90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44C1F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74326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BC269">
            <w:pPr>
              <w:rPr>
                <w:rFonts w:hint="eastAsia" w:ascii="宋体" w:hAnsi="宋体" w:eastAsia="宋体" w:cs="宋体"/>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DCC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EC626">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E78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二十四、债务还本支出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E41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BF2E5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792E2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5D33F">
            <w:pPr>
              <w:jc w:val="left"/>
              <w:rPr>
                <w:rFonts w:hint="eastAsia" w:ascii="宋体" w:hAnsi="宋体" w:eastAsia="宋体" w:cs="宋体"/>
                <w:b/>
                <w:bCs/>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9B7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A43EE">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A46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二十五、债务付息支出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15F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9DC07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27046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1358">
            <w:pPr>
              <w:jc w:val="left"/>
              <w:rPr>
                <w:rFonts w:hint="eastAsia" w:ascii="宋体" w:hAnsi="宋体" w:eastAsia="宋体" w:cs="宋体"/>
                <w:b/>
                <w:bCs/>
                <w:i w:val="0"/>
                <w:iCs w:val="0"/>
                <w:color w:val="000000"/>
                <w:sz w:val="18"/>
                <w:szCs w:val="18"/>
                <w:u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EC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3F9FE">
            <w:pPr>
              <w:jc w:val="right"/>
              <w:rPr>
                <w:rFonts w:hint="eastAsia" w:ascii="宋体" w:hAnsi="宋体" w:eastAsia="宋体" w:cs="宋体"/>
                <w:i w:val="0"/>
                <w:iCs w:val="0"/>
                <w:color w:val="000000"/>
                <w:sz w:val="22"/>
                <w:szCs w:val="22"/>
                <w:u w:val="none"/>
              </w:rPr>
            </w:pP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89C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二十六、抗疫特别国债安排的支出</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E5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0A8FE4">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7E978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F8D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本年收入合计</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6B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7F6A5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3E7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本年支出合计</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43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D9FB5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r>
      <w:tr w14:paraId="30856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88C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使用非财政拨款结余（含专用结余）</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444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3A3606">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55A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结余分配</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1D8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C70C6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31111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82A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年初结转和结余</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2DD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16D9A2">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BEE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年末结转和结余</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5CD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3988C4">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0FDBE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3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32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总计</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CFA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9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942EA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3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069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总计</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96F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21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E6E583">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r>
      <w:tr w14:paraId="68E5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13899" w:type="dxa"/>
            <w:gridSpan w:val="6"/>
            <w:tcBorders>
              <w:top w:val="nil"/>
              <w:left w:val="nil"/>
              <w:bottom w:val="nil"/>
              <w:right w:val="nil"/>
            </w:tcBorders>
            <w:shd w:val="clear" w:color="auto" w:fill="auto"/>
            <w:vAlign w:val="center"/>
          </w:tcPr>
          <w:p w14:paraId="7DB4C5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注：1.本表反映部门本年度的总收支和年末结转结余情况。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2.本套报表金额单位转换时可能存在尾数误差。</w:t>
            </w:r>
          </w:p>
        </w:tc>
      </w:tr>
    </w:tbl>
    <w:p w14:paraId="42168A4D">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left"/>
        <w:textAlignment w:val="auto"/>
        <w:outlineLvl w:val="0"/>
        <w:rPr>
          <w:rFonts w:hint="eastAsia" w:ascii="黑体" w:hAnsi="黑体" w:eastAsia="黑体" w:cs="黑体"/>
          <w:sz w:val="32"/>
          <w:szCs w:val="32"/>
        </w:rPr>
      </w:pPr>
      <w:r>
        <w:rPr>
          <w:rFonts w:hint="eastAsia" w:ascii="黑体" w:hAnsi="黑体" w:eastAsia="黑体" w:cs="黑体"/>
          <w:sz w:val="32"/>
          <w:szCs w:val="32"/>
          <w:shd w:val="clear" w:fill="FFFFFF"/>
        </w:rPr>
        <w:t>三、支出决算情况说明</w:t>
      </w:r>
      <w:bookmarkEnd w:id="10"/>
    </w:p>
    <w:p w14:paraId="53E5A251">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rPr>
      </w:pPr>
      <w:r>
        <w:rPr>
          <w:rFonts w:hint="eastAsia" w:ascii="仿宋_GB2312" w:hAnsi="仿宋_GB2312" w:eastAsia="仿宋_GB2312" w:cs="仿宋_GB2312"/>
          <w:sz w:val="32"/>
          <w:szCs w:val="32"/>
          <w:shd w:val="clear" w:fill="FFFFFF"/>
        </w:rPr>
        <w:t>202</w:t>
      </w:r>
      <w:r>
        <w:rPr>
          <w:rFonts w:hint="eastAsia" w:ascii="仿宋_GB2312" w:hAnsi="仿宋_GB2312" w:eastAsia="仿宋_GB2312" w:cs="仿宋_GB2312"/>
          <w:sz w:val="32"/>
          <w:szCs w:val="32"/>
          <w:shd w:val="clear" w:fill="FFFFFF"/>
          <w:lang w:val="en-US" w:eastAsia="zh-CN"/>
        </w:rPr>
        <w:t>5</w:t>
      </w:r>
      <w:r>
        <w:rPr>
          <w:rFonts w:hint="eastAsia" w:ascii="仿宋_GB2312" w:hAnsi="仿宋_GB2312" w:eastAsia="仿宋_GB2312" w:cs="仿宋_GB2312"/>
          <w:sz w:val="32"/>
          <w:szCs w:val="32"/>
          <w:shd w:val="clear" w:fill="FFFFFF"/>
        </w:rPr>
        <w:t>年本年支出合计</w:t>
      </w:r>
      <w:r>
        <w:rPr>
          <w:rFonts w:hint="eastAsia" w:ascii="仿宋_GB2312" w:hAnsi="仿宋_GB2312" w:eastAsia="仿宋_GB2312" w:cs="仿宋_GB2312"/>
          <w:sz w:val="32"/>
          <w:szCs w:val="32"/>
          <w:shd w:val="clear" w:fill="FFFFFF"/>
          <w:lang w:val="en-US" w:eastAsia="zh-CN"/>
        </w:rPr>
        <w:t>2669.97</w:t>
      </w:r>
      <w:r>
        <w:rPr>
          <w:rFonts w:hint="eastAsia" w:ascii="仿宋_GB2312" w:hAnsi="仿宋_GB2312" w:eastAsia="仿宋_GB2312" w:cs="仿宋_GB2312"/>
          <w:sz w:val="32"/>
          <w:szCs w:val="32"/>
          <w:shd w:val="clear" w:fill="FFFFFF"/>
        </w:rPr>
        <w:t>万元，其中：基本支出</w:t>
      </w:r>
      <w:r>
        <w:rPr>
          <w:rFonts w:hint="eastAsia" w:ascii="仿宋_GB2312" w:hAnsi="仿宋_GB2312" w:eastAsia="仿宋_GB2312" w:cs="仿宋_GB2312"/>
          <w:sz w:val="32"/>
          <w:szCs w:val="32"/>
          <w:shd w:val="clear" w:fill="FFFFFF"/>
          <w:lang w:val="en-US" w:eastAsia="zh-CN"/>
        </w:rPr>
        <w:t>1069.72</w:t>
      </w:r>
      <w:r>
        <w:rPr>
          <w:rFonts w:hint="eastAsia" w:ascii="仿宋_GB2312" w:hAnsi="仿宋_GB2312" w:eastAsia="仿宋_GB2312" w:cs="仿宋_GB2312"/>
          <w:sz w:val="32"/>
          <w:szCs w:val="32"/>
          <w:shd w:val="clear" w:fill="FFFFFF"/>
        </w:rPr>
        <w:t>万元，占</w:t>
      </w:r>
      <w:r>
        <w:rPr>
          <w:rFonts w:hint="eastAsia" w:ascii="仿宋_GB2312" w:hAnsi="仿宋_GB2312" w:eastAsia="仿宋_GB2312" w:cs="仿宋_GB2312"/>
          <w:sz w:val="32"/>
          <w:szCs w:val="32"/>
          <w:shd w:val="clear" w:fill="FFFFFF"/>
          <w:lang w:val="en-US" w:eastAsia="zh-CN"/>
        </w:rPr>
        <w:t>40.06</w:t>
      </w:r>
      <w:r>
        <w:rPr>
          <w:rFonts w:hint="eastAsia" w:ascii="仿宋_GB2312" w:hAnsi="仿宋_GB2312" w:eastAsia="仿宋_GB2312" w:cs="仿宋_GB2312"/>
          <w:sz w:val="32"/>
          <w:szCs w:val="32"/>
          <w:shd w:val="clear" w:fill="FFFFFF"/>
        </w:rPr>
        <w:t>%；项目支出1600.26万元，占</w:t>
      </w:r>
      <w:r>
        <w:rPr>
          <w:rFonts w:hint="eastAsia" w:ascii="仿宋_GB2312" w:hAnsi="仿宋_GB2312" w:eastAsia="仿宋_GB2312" w:cs="仿宋_GB2312"/>
          <w:sz w:val="32"/>
          <w:szCs w:val="32"/>
          <w:shd w:val="clear" w:fill="FFFFFF"/>
          <w:lang w:val="en-US" w:eastAsia="zh-CN"/>
        </w:rPr>
        <w:t>59.94</w:t>
      </w:r>
      <w:r>
        <w:rPr>
          <w:rFonts w:hint="eastAsia" w:ascii="仿宋_GB2312" w:hAnsi="仿宋_GB2312" w:eastAsia="仿宋_GB2312" w:cs="仿宋_GB2312"/>
          <w:sz w:val="32"/>
          <w:szCs w:val="32"/>
          <w:shd w:val="clear" w:fill="FFFFFF"/>
        </w:rPr>
        <w:t>%；上缴上级支出0.00万元，占0.00%；经营支出0.00万元，占 0.00%；对附属单位补助支出0.00万元，占0.00%。</w:t>
      </w:r>
    </w:p>
    <w:p w14:paraId="5BA23C83">
      <w:pPr>
        <w:pStyle w:val="17"/>
        <w:keepNext w:val="0"/>
        <w:keepLines w:val="0"/>
        <w:pageBreakBefore w:val="0"/>
        <w:widowControl/>
        <w:suppressLineNumbers w:val="0"/>
        <w:overflowPunct/>
        <w:bidi w:val="0"/>
        <w:spacing w:before="0" w:beforeAutospacing="0" w:afterAutospacing="0" w:line="560" w:lineRule="exact"/>
        <w:jc w:val="left"/>
        <w:rPr>
          <w:shd w:val="clear" w:fill="FFFFFF"/>
        </w:rPr>
      </w:pPr>
    </w:p>
    <w:tbl>
      <w:tblPr>
        <w:tblStyle w:val="18"/>
        <w:tblW w:w="141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6"/>
        <w:gridCol w:w="436"/>
        <w:gridCol w:w="436"/>
        <w:gridCol w:w="3274"/>
        <w:gridCol w:w="1644"/>
        <w:gridCol w:w="1639"/>
        <w:gridCol w:w="1500"/>
        <w:gridCol w:w="1644"/>
        <w:gridCol w:w="1518"/>
        <w:gridCol w:w="1590"/>
      </w:tblGrid>
      <w:tr w14:paraId="68259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jc w:val="center"/>
        </w:trPr>
        <w:tc>
          <w:tcPr>
            <w:tcW w:w="14117" w:type="dxa"/>
            <w:gridSpan w:val="10"/>
            <w:tcBorders>
              <w:top w:val="nil"/>
              <w:left w:val="nil"/>
              <w:bottom w:val="nil"/>
              <w:right w:val="nil"/>
            </w:tcBorders>
            <w:shd w:val="clear" w:color="auto" w:fill="auto"/>
            <w:noWrap/>
            <w:vAlign w:val="center"/>
          </w:tcPr>
          <w:p w14:paraId="6A97ACCB">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支出决算表</w:t>
            </w:r>
          </w:p>
        </w:tc>
      </w:tr>
      <w:tr w14:paraId="40001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36" w:type="dxa"/>
            <w:tcBorders>
              <w:top w:val="nil"/>
              <w:left w:val="nil"/>
              <w:bottom w:val="nil"/>
              <w:right w:val="nil"/>
            </w:tcBorders>
            <w:shd w:val="clear" w:color="auto" w:fill="auto"/>
            <w:noWrap/>
            <w:vAlign w:val="center"/>
          </w:tcPr>
          <w:p w14:paraId="3C411BCC">
            <w:pPr>
              <w:rPr>
                <w:rFonts w:hint="eastAsia" w:ascii="宋体" w:hAnsi="宋体" w:eastAsia="宋体" w:cs="宋体"/>
                <w:i w:val="0"/>
                <w:iCs w:val="0"/>
                <w:color w:val="000000"/>
                <w:sz w:val="22"/>
                <w:szCs w:val="22"/>
                <w:u w:val="none"/>
              </w:rPr>
            </w:pPr>
          </w:p>
        </w:tc>
        <w:tc>
          <w:tcPr>
            <w:tcW w:w="436" w:type="dxa"/>
            <w:tcBorders>
              <w:top w:val="nil"/>
              <w:left w:val="nil"/>
              <w:bottom w:val="nil"/>
              <w:right w:val="nil"/>
            </w:tcBorders>
            <w:shd w:val="clear" w:color="auto" w:fill="auto"/>
            <w:noWrap/>
            <w:vAlign w:val="center"/>
          </w:tcPr>
          <w:p w14:paraId="0CCF5201">
            <w:pPr>
              <w:rPr>
                <w:rFonts w:hint="eastAsia" w:ascii="宋体" w:hAnsi="宋体" w:eastAsia="宋体" w:cs="宋体"/>
                <w:i w:val="0"/>
                <w:iCs w:val="0"/>
                <w:color w:val="000000"/>
                <w:sz w:val="22"/>
                <w:szCs w:val="22"/>
                <w:u w:val="none"/>
              </w:rPr>
            </w:pPr>
          </w:p>
        </w:tc>
        <w:tc>
          <w:tcPr>
            <w:tcW w:w="436" w:type="dxa"/>
            <w:tcBorders>
              <w:top w:val="nil"/>
              <w:left w:val="nil"/>
              <w:bottom w:val="nil"/>
              <w:right w:val="nil"/>
            </w:tcBorders>
            <w:shd w:val="clear" w:color="auto" w:fill="auto"/>
            <w:noWrap/>
            <w:vAlign w:val="center"/>
          </w:tcPr>
          <w:p w14:paraId="17B93C82">
            <w:pPr>
              <w:rPr>
                <w:rFonts w:hint="eastAsia" w:ascii="宋体" w:hAnsi="宋体" w:eastAsia="宋体" w:cs="宋体"/>
                <w:i w:val="0"/>
                <w:iCs w:val="0"/>
                <w:color w:val="000000"/>
                <w:sz w:val="22"/>
                <w:szCs w:val="22"/>
                <w:u w:val="none"/>
              </w:rPr>
            </w:pPr>
          </w:p>
        </w:tc>
        <w:tc>
          <w:tcPr>
            <w:tcW w:w="3274" w:type="dxa"/>
            <w:tcBorders>
              <w:top w:val="nil"/>
              <w:left w:val="nil"/>
              <w:bottom w:val="nil"/>
              <w:right w:val="nil"/>
            </w:tcBorders>
            <w:shd w:val="clear" w:color="auto" w:fill="auto"/>
            <w:noWrap/>
            <w:vAlign w:val="center"/>
          </w:tcPr>
          <w:p w14:paraId="76050DD9">
            <w:pPr>
              <w:rPr>
                <w:rFonts w:hint="eastAsia" w:ascii="宋体" w:hAnsi="宋体" w:eastAsia="宋体" w:cs="宋体"/>
                <w:i w:val="0"/>
                <w:iCs w:val="0"/>
                <w:color w:val="000000"/>
                <w:sz w:val="22"/>
                <w:szCs w:val="22"/>
                <w:u w:val="none"/>
              </w:rPr>
            </w:pPr>
          </w:p>
        </w:tc>
        <w:tc>
          <w:tcPr>
            <w:tcW w:w="1644" w:type="dxa"/>
            <w:tcBorders>
              <w:top w:val="nil"/>
              <w:left w:val="nil"/>
              <w:bottom w:val="nil"/>
              <w:right w:val="nil"/>
            </w:tcBorders>
            <w:shd w:val="clear" w:color="auto" w:fill="auto"/>
            <w:noWrap/>
            <w:vAlign w:val="center"/>
          </w:tcPr>
          <w:p w14:paraId="25C60F9B">
            <w:pPr>
              <w:rPr>
                <w:rFonts w:hint="eastAsia" w:ascii="宋体" w:hAnsi="宋体" w:eastAsia="宋体" w:cs="宋体"/>
                <w:i w:val="0"/>
                <w:iCs w:val="0"/>
                <w:color w:val="000000"/>
                <w:sz w:val="22"/>
                <w:szCs w:val="22"/>
                <w:u w:val="none"/>
              </w:rPr>
            </w:pPr>
          </w:p>
        </w:tc>
        <w:tc>
          <w:tcPr>
            <w:tcW w:w="1639" w:type="dxa"/>
            <w:tcBorders>
              <w:top w:val="nil"/>
              <w:left w:val="nil"/>
              <w:bottom w:val="nil"/>
              <w:right w:val="nil"/>
            </w:tcBorders>
            <w:shd w:val="clear" w:color="auto" w:fill="auto"/>
            <w:noWrap/>
            <w:vAlign w:val="center"/>
          </w:tcPr>
          <w:p w14:paraId="0033B8B1">
            <w:pPr>
              <w:rPr>
                <w:rFonts w:hint="eastAsia" w:ascii="宋体" w:hAnsi="宋体" w:eastAsia="宋体" w:cs="宋体"/>
                <w:i w:val="0"/>
                <w:iCs w:val="0"/>
                <w:color w:val="000000"/>
                <w:sz w:val="22"/>
                <w:szCs w:val="22"/>
                <w:u w:val="none"/>
              </w:rPr>
            </w:pPr>
          </w:p>
        </w:tc>
        <w:tc>
          <w:tcPr>
            <w:tcW w:w="1500" w:type="dxa"/>
            <w:tcBorders>
              <w:top w:val="nil"/>
              <w:left w:val="nil"/>
              <w:bottom w:val="nil"/>
              <w:right w:val="nil"/>
            </w:tcBorders>
            <w:shd w:val="clear" w:color="auto" w:fill="auto"/>
            <w:noWrap/>
            <w:vAlign w:val="center"/>
          </w:tcPr>
          <w:p w14:paraId="37B39925">
            <w:pPr>
              <w:rPr>
                <w:rFonts w:hint="eastAsia" w:ascii="宋体" w:hAnsi="宋体" w:eastAsia="宋体" w:cs="宋体"/>
                <w:i w:val="0"/>
                <w:iCs w:val="0"/>
                <w:color w:val="000000"/>
                <w:sz w:val="22"/>
                <w:szCs w:val="22"/>
                <w:u w:val="none"/>
              </w:rPr>
            </w:pPr>
          </w:p>
        </w:tc>
        <w:tc>
          <w:tcPr>
            <w:tcW w:w="1644" w:type="dxa"/>
            <w:tcBorders>
              <w:top w:val="nil"/>
              <w:left w:val="nil"/>
              <w:bottom w:val="nil"/>
              <w:right w:val="nil"/>
            </w:tcBorders>
            <w:shd w:val="clear" w:color="auto" w:fill="auto"/>
            <w:noWrap/>
            <w:vAlign w:val="center"/>
          </w:tcPr>
          <w:p w14:paraId="5EFF4CF9">
            <w:pPr>
              <w:rPr>
                <w:rFonts w:hint="eastAsia" w:ascii="宋体" w:hAnsi="宋体" w:eastAsia="宋体" w:cs="宋体"/>
                <w:i w:val="0"/>
                <w:iCs w:val="0"/>
                <w:color w:val="000000"/>
                <w:sz w:val="22"/>
                <w:szCs w:val="22"/>
                <w:u w:val="none"/>
              </w:rPr>
            </w:pPr>
          </w:p>
        </w:tc>
        <w:tc>
          <w:tcPr>
            <w:tcW w:w="1518" w:type="dxa"/>
            <w:tcBorders>
              <w:top w:val="nil"/>
              <w:left w:val="nil"/>
              <w:bottom w:val="nil"/>
              <w:right w:val="nil"/>
            </w:tcBorders>
            <w:shd w:val="clear" w:color="auto" w:fill="auto"/>
            <w:noWrap/>
            <w:vAlign w:val="center"/>
          </w:tcPr>
          <w:p w14:paraId="567080D2">
            <w:pPr>
              <w:rPr>
                <w:rFonts w:hint="eastAsia" w:ascii="宋体" w:hAnsi="宋体" w:eastAsia="宋体" w:cs="宋体"/>
                <w:i w:val="0"/>
                <w:iCs w:val="0"/>
                <w:color w:val="000000"/>
                <w:sz w:val="22"/>
                <w:szCs w:val="22"/>
                <w:u w:val="none"/>
              </w:rPr>
            </w:pPr>
          </w:p>
        </w:tc>
        <w:tc>
          <w:tcPr>
            <w:tcW w:w="1590" w:type="dxa"/>
            <w:tcBorders>
              <w:top w:val="nil"/>
              <w:left w:val="nil"/>
              <w:bottom w:val="nil"/>
              <w:right w:val="nil"/>
            </w:tcBorders>
            <w:shd w:val="clear" w:color="auto" w:fill="auto"/>
            <w:noWrap/>
            <w:vAlign w:val="center"/>
          </w:tcPr>
          <w:p w14:paraId="39035E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财决公开03表</w:t>
            </w:r>
          </w:p>
        </w:tc>
      </w:tr>
      <w:tr w14:paraId="419E0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582" w:type="dxa"/>
            <w:gridSpan w:val="4"/>
            <w:tcBorders>
              <w:top w:val="nil"/>
              <w:left w:val="nil"/>
              <w:bottom w:val="nil"/>
              <w:right w:val="nil"/>
            </w:tcBorders>
            <w:shd w:val="clear" w:color="auto" w:fill="auto"/>
            <w:noWrap/>
            <w:vAlign w:val="center"/>
          </w:tcPr>
          <w:p w14:paraId="106249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单位名称：红原县色地镇人民政府</w:t>
            </w:r>
          </w:p>
        </w:tc>
        <w:tc>
          <w:tcPr>
            <w:tcW w:w="1644" w:type="dxa"/>
            <w:tcBorders>
              <w:top w:val="nil"/>
              <w:left w:val="nil"/>
              <w:bottom w:val="nil"/>
              <w:right w:val="nil"/>
            </w:tcBorders>
            <w:shd w:val="clear" w:color="auto" w:fill="auto"/>
            <w:noWrap/>
            <w:vAlign w:val="bottom"/>
          </w:tcPr>
          <w:p w14:paraId="2809D6C2">
            <w:pPr>
              <w:rPr>
                <w:rFonts w:hint="eastAsia" w:ascii="宋体" w:hAnsi="宋体" w:eastAsia="宋体" w:cs="宋体"/>
                <w:i w:val="0"/>
                <w:iCs w:val="0"/>
                <w:color w:val="000000"/>
                <w:sz w:val="20"/>
                <w:szCs w:val="20"/>
                <w:u w:val="none"/>
              </w:rPr>
            </w:pPr>
          </w:p>
        </w:tc>
        <w:tc>
          <w:tcPr>
            <w:tcW w:w="3139" w:type="dxa"/>
            <w:gridSpan w:val="2"/>
            <w:tcBorders>
              <w:top w:val="nil"/>
              <w:left w:val="nil"/>
              <w:bottom w:val="nil"/>
              <w:right w:val="nil"/>
            </w:tcBorders>
            <w:shd w:val="clear" w:color="auto" w:fill="auto"/>
            <w:noWrap/>
            <w:vAlign w:val="bottom"/>
          </w:tcPr>
          <w:p w14:paraId="5F5716E7">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2025年度</w:t>
            </w:r>
          </w:p>
        </w:tc>
        <w:tc>
          <w:tcPr>
            <w:tcW w:w="1644" w:type="dxa"/>
            <w:tcBorders>
              <w:top w:val="nil"/>
              <w:left w:val="nil"/>
              <w:bottom w:val="nil"/>
              <w:right w:val="nil"/>
            </w:tcBorders>
            <w:shd w:val="clear" w:color="auto" w:fill="auto"/>
            <w:noWrap/>
            <w:vAlign w:val="bottom"/>
          </w:tcPr>
          <w:p w14:paraId="09B41DF2">
            <w:pPr>
              <w:rPr>
                <w:rFonts w:hint="eastAsia" w:ascii="宋体" w:hAnsi="宋体" w:eastAsia="宋体" w:cs="宋体"/>
                <w:i w:val="0"/>
                <w:iCs w:val="0"/>
                <w:color w:val="000000"/>
                <w:sz w:val="20"/>
                <w:szCs w:val="20"/>
                <w:u w:val="none"/>
              </w:rPr>
            </w:pPr>
          </w:p>
        </w:tc>
        <w:tc>
          <w:tcPr>
            <w:tcW w:w="1518" w:type="dxa"/>
            <w:tcBorders>
              <w:top w:val="nil"/>
              <w:left w:val="nil"/>
              <w:bottom w:val="nil"/>
              <w:right w:val="nil"/>
            </w:tcBorders>
            <w:shd w:val="clear" w:color="auto" w:fill="auto"/>
            <w:noWrap/>
            <w:vAlign w:val="bottom"/>
          </w:tcPr>
          <w:p w14:paraId="2BA6E8A9">
            <w:pPr>
              <w:rPr>
                <w:rFonts w:hint="eastAsia" w:ascii="宋体" w:hAnsi="宋体" w:eastAsia="宋体" w:cs="宋体"/>
                <w:i w:val="0"/>
                <w:iCs w:val="0"/>
                <w:color w:val="000000"/>
                <w:sz w:val="20"/>
                <w:szCs w:val="20"/>
                <w:u w:val="none"/>
              </w:rPr>
            </w:pPr>
          </w:p>
        </w:tc>
        <w:tc>
          <w:tcPr>
            <w:tcW w:w="1590" w:type="dxa"/>
            <w:tcBorders>
              <w:top w:val="nil"/>
              <w:left w:val="nil"/>
              <w:bottom w:val="nil"/>
              <w:right w:val="nil"/>
            </w:tcBorders>
            <w:shd w:val="clear" w:color="auto" w:fill="auto"/>
            <w:noWrap/>
            <w:vAlign w:val="center"/>
          </w:tcPr>
          <w:p w14:paraId="1E28C04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单位:万元</w:t>
            </w:r>
          </w:p>
        </w:tc>
      </w:tr>
      <w:tr w14:paraId="3D468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jc w:val="center"/>
        </w:trPr>
        <w:tc>
          <w:tcPr>
            <w:tcW w:w="1308" w:type="dxa"/>
            <w:gridSpan w:val="3"/>
            <w:vMerge w:val="restart"/>
            <w:tcBorders>
              <w:top w:val="single" w:color="000000" w:sz="4" w:space="0"/>
              <w:left w:val="single" w:color="000000" w:sz="4" w:space="0"/>
              <w:bottom w:val="single" w:color="000000" w:sz="4" w:space="0"/>
              <w:right w:val="single" w:color="000000" w:sz="4" w:space="0"/>
            </w:tcBorders>
            <w:shd w:val="clear" w:color="auto" w:fill="C0C0C0"/>
            <w:vAlign w:val="center"/>
          </w:tcPr>
          <w:p w14:paraId="2FFB14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支出功能分类科目编码</w:t>
            </w:r>
          </w:p>
        </w:tc>
        <w:tc>
          <w:tcPr>
            <w:tcW w:w="3274" w:type="dxa"/>
            <w:vMerge w:val="restart"/>
            <w:tcBorders>
              <w:top w:val="single" w:color="000000" w:sz="4" w:space="0"/>
              <w:left w:val="single" w:color="000000" w:sz="4" w:space="0"/>
              <w:bottom w:val="single" w:color="000000" w:sz="4" w:space="0"/>
              <w:right w:val="single" w:color="000000" w:sz="4" w:space="0"/>
            </w:tcBorders>
            <w:shd w:val="clear" w:color="auto" w:fill="C0C0C0"/>
            <w:vAlign w:val="center"/>
          </w:tcPr>
          <w:p w14:paraId="38A7C2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科目名称</w:t>
            </w:r>
          </w:p>
        </w:tc>
        <w:tc>
          <w:tcPr>
            <w:tcW w:w="1644" w:type="dxa"/>
            <w:vMerge w:val="restart"/>
            <w:tcBorders>
              <w:top w:val="single" w:color="000000" w:sz="4" w:space="0"/>
              <w:left w:val="single" w:color="000000" w:sz="4" w:space="0"/>
              <w:bottom w:val="single" w:color="000000" w:sz="4" w:space="0"/>
              <w:right w:val="single" w:color="000000" w:sz="4" w:space="0"/>
            </w:tcBorders>
            <w:shd w:val="clear" w:color="auto" w:fill="C0C0C0"/>
            <w:vAlign w:val="center"/>
          </w:tcPr>
          <w:p w14:paraId="236489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本年支出合计</w:t>
            </w:r>
          </w:p>
        </w:tc>
        <w:tc>
          <w:tcPr>
            <w:tcW w:w="1639" w:type="dxa"/>
            <w:vMerge w:val="restart"/>
            <w:tcBorders>
              <w:top w:val="single" w:color="000000" w:sz="4" w:space="0"/>
              <w:left w:val="single" w:color="000000" w:sz="4" w:space="0"/>
              <w:bottom w:val="single" w:color="000000" w:sz="4" w:space="0"/>
              <w:right w:val="single" w:color="000000" w:sz="4" w:space="0"/>
            </w:tcBorders>
            <w:shd w:val="clear" w:color="auto" w:fill="C0C0C0"/>
            <w:vAlign w:val="center"/>
          </w:tcPr>
          <w:p w14:paraId="02DC0E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基本支出</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C0C0C0"/>
            <w:vAlign w:val="center"/>
          </w:tcPr>
          <w:p w14:paraId="3C33D9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项目支出</w:t>
            </w:r>
          </w:p>
        </w:tc>
        <w:tc>
          <w:tcPr>
            <w:tcW w:w="1644" w:type="dxa"/>
            <w:vMerge w:val="restart"/>
            <w:tcBorders>
              <w:top w:val="single" w:color="000000" w:sz="4" w:space="0"/>
              <w:left w:val="single" w:color="000000" w:sz="4" w:space="0"/>
              <w:bottom w:val="single" w:color="000000" w:sz="4" w:space="0"/>
              <w:right w:val="single" w:color="000000" w:sz="4" w:space="0"/>
            </w:tcBorders>
            <w:shd w:val="clear" w:color="auto" w:fill="C0C0C0"/>
            <w:vAlign w:val="center"/>
          </w:tcPr>
          <w:p w14:paraId="16D52A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上缴上级支出</w:t>
            </w:r>
          </w:p>
        </w:tc>
        <w:tc>
          <w:tcPr>
            <w:tcW w:w="1518" w:type="dxa"/>
            <w:vMerge w:val="restart"/>
            <w:tcBorders>
              <w:top w:val="single" w:color="000000" w:sz="4" w:space="0"/>
              <w:left w:val="single" w:color="000000" w:sz="4" w:space="0"/>
              <w:bottom w:val="single" w:color="000000" w:sz="4" w:space="0"/>
              <w:right w:val="single" w:color="000000" w:sz="4" w:space="0"/>
            </w:tcBorders>
            <w:shd w:val="clear" w:color="auto" w:fill="C0C0C0"/>
            <w:vAlign w:val="center"/>
          </w:tcPr>
          <w:p w14:paraId="416879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经营支出</w:t>
            </w: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C0C0C0"/>
            <w:vAlign w:val="center"/>
          </w:tcPr>
          <w:p w14:paraId="36392B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对附属单位补助支出</w:t>
            </w:r>
          </w:p>
        </w:tc>
      </w:tr>
      <w:tr w14:paraId="5253A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jc w:val="center"/>
        </w:trPr>
        <w:tc>
          <w:tcPr>
            <w:tcW w:w="1308" w:type="dxa"/>
            <w:gridSpan w:val="3"/>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2FF5308D">
            <w:pPr>
              <w:jc w:val="center"/>
              <w:rPr>
                <w:rFonts w:hint="eastAsia" w:ascii="宋体" w:hAnsi="宋体" w:eastAsia="宋体" w:cs="宋体"/>
                <w:i w:val="0"/>
                <w:iCs w:val="0"/>
                <w:color w:val="000000"/>
                <w:sz w:val="22"/>
                <w:szCs w:val="22"/>
                <w:u w:val="none"/>
              </w:rPr>
            </w:pPr>
          </w:p>
        </w:tc>
        <w:tc>
          <w:tcPr>
            <w:tcW w:w="3274" w:type="dxa"/>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2053CBBF">
            <w:pPr>
              <w:jc w:val="center"/>
              <w:rPr>
                <w:rFonts w:hint="eastAsia" w:ascii="宋体" w:hAnsi="宋体" w:eastAsia="宋体" w:cs="宋体"/>
                <w:i w:val="0"/>
                <w:iCs w:val="0"/>
                <w:color w:val="000000"/>
                <w:sz w:val="22"/>
                <w:szCs w:val="22"/>
                <w:u w:val="none"/>
              </w:rPr>
            </w:pPr>
          </w:p>
        </w:tc>
        <w:tc>
          <w:tcPr>
            <w:tcW w:w="1644" w:type="dxa"/>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5B957DAE">
            <w:pPr>
              <w:jc w:val="center"/>
              <w:rPr>
                <w:rFonts w:hint="eastAsia" w:ascii="宋体" w:hAnsi="宋体" w:eastAsia="宋体" w:cs="宋体"/>
                <w:i w:val="0"/>
                <w:iCs w:val="0"/>
                <w:color w:val="000000"/>
                <w:sz w:val="22"/>
                <w:szCs w:val="22"/>
                <w:u w:val="none"/>
              </w:rPr>
            </w:pPr>
          </w:p>
        </w:tc>
        <w:tc>
          <w:tcPr>
            <w:tcW w:w="1639" w:type="dxa"/>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4AA36B5E">
            <w:pPr>
              <w:jc w:val="center"/>
              <w:rPr>
                <w:rFonts w:hint="eastAsia" w:ascii="宋体" w:hAnsi="宋体" w:eastAsia="宋体" w:cs="宋体"/>
                <w:i w:val="0"/>
                <w:iCs w:val="0"/>
                <w:color w:val="000000"/>
                <w:sz w:val="22"/>
                <w:szCs w:val="22"/>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69167B27">
            <w:pPr>
              <w:jc w:val="center"/>
              <w:rPr>
                <w:rFonts w:hint="eastAsia" w:ascii="宋体" w:hAnsi="宋体" w:eastAsia="宋体" w:cs="宋体"/>
                <w:i w:val="0"/>
                <w:iCs w:val="0"/>
                <w:color w:val="000000"/>
                <w:sz w:val="22"/>
                <w:szCs w:val="22"/>
                <w:u w:val="none"/>
              </w:rPr>
            </w:pPr>
          </w:p>
        </w:tc>
        <w:tc>
          <w:tcPr>
            <w:tcW w:w="1644" w:type="dxa"/>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31108EE5">
            <w:pPr>
              <w:jc w:val="center"/>
              <w:rPr>
                <w:rFonts w:hint="eastAsia" w:ascii="宋体" w:hAnsi="宋体" w:eastAsia="宋体" w:cs="宋体"/>
                <w:i w:val="0"/>
                <w:iCs w:val="0"/>
                <w:color w:val="000000"/>
                <w:sz w:val="22"/>
                <w:szCs w:val="22"/>
                <w:u w:val="none"/>
              </w:rPr>
            </w:pPr>
          </w:p>
        </w:tc>
        <w:tc>
          <w:tcPr>
            <w:tcW w:w="1518" w:type="dxa"/>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0D840740">
            <w:pPr>
              <w:jc w:val="center"/>
              <w:rPr>
                <w:rFonts w:hint="eastAsia" w:ascii="宋体" w:hAnsi="宋体" w:eastAsia="宋体" w:cs="宋体"/>
                <w:i w:val="0"/>
                <w:iCs w:val="0"/>
                <w:color w:val="000000"/>
                <w:sz w:val="22"/>
                <w:szCs w:val="22"/>
                <w:u w:val="none"/>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34AB5D75">
            <w:pPr>
              <w:jc w:val="center"/>
              <w:rPr>
                <w:rFonts w:hint="eastAsia" w:ascii="宋体" w:hAnsi="宋体" w:eastAsia="宋体" w:cs="宋体"/>
                <w:i w:val="0"/>
                <w:iCs w:val="0"/>
                <w:color w:val="000000"/>
                <w:sz w:val="22"/>
                <w:szCs w:val="22"/>
                <w:u w:val="none"/>
              </w:rPr>
            </w:pPr>
          </w:p>
        </w:tc>
      </w:tr>
      <w:tr w14:paraId="24C0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jc w:val="center"/>
        </w:trPr>
        <w:tc>
          <w:tcPr>
            <w:tcW w:w="1308" w:type="dxa"/>
            <w:gridSpan w:val="3"/>
            <w:vMerge w:val="continue"/>
            <w:tcBorders>
              <w:top w:val="single" w:color="000000" w:sz="4" w:space="0"/>
              <w:left w:val="single" w:color="000000" w:sz="4" w:space="0"/>
              <w:bottom w:val="single" w:color="000000" w:sz="4" w:space="0"/>
              <w:right w:val="single" w:color="000000" w:sz="4" w:space="0"/>
            </w:tcBorders>
            <w:shd w:val="clear" w:color="auto" w:fill="C0C0C0"/>
            <w:vAlign w:val="center"/>
          </w:tcPr>
          <w:p w14:paraId="5A85DBCB">
            <w:pPr>
              <w:jc w:val="center"/>
              <w:rPr>
                <w:rFonts w:hint="eastAsia" w:ascii="宋体" w:hAnsi="宋体" w:eastAsia="宋体" w:cs="宋体"/>
                <w:i w:val="0"/>
                <w:iCs w:val="0"/>
                <w:color w:val="000000"/>
                <w:sz w:val="22"/>
                <w:szCs w:val="22"/>
                <w:u w:val="none"/>
              </w:rPr>
            </w:pPr>
          </w:p>
        </w:tc>
        <w:tc>
          <w:tcPr>
            <w:tcW w:w="3274"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3DFD9F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1644"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2ABA1D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39"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58D125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74495B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4"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7DBEB2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518"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49332F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9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7010C4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50037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E27D2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类</w:t>
            </w:r>
          </w:p>
        </w:tc>
        <w:tc>
          <w:tcPr>
            <w:tcW w:w="436"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6939AE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款</w:t>
            </w:r>
          </w:p>
        </w:tc>
        <w:tc>
          <w:tcPr>
            <w:tcW w:w="436"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5DDCAE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274"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49D94E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80E4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FD29D6">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1,069.72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81524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1,600.26</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729FB0">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5DBC91">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A1DA36">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4B229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B1E1">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08F35">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一般公共服务支出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CB5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806.07</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B236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712.63</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A663B">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93.45</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BE7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1914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C0B7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795BE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435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20101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629F0">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人大事务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2C60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4.57</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AD6B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6F46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4.57</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80BB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F1B6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9469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62A28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840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2010104</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7D3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人大会议</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01B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6FA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232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4A7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B07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B2F4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FF80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1D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2010107</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382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人大代表履职能力提升</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728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586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C81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5D5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293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8DA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B854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005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2010108</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B68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代表工作</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C3F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402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DA0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AD3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D81C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459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B92C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A58F2">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20102</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282F7">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政协事务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9C72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31F9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C5F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B95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B8B0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A9F6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5BA06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1E7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2010202</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69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一般行政管理事务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B6C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435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20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5EC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6F3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9172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3D4C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6E8CF">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20103</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801F4">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政府办公厅（室）及相关机构事务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E543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773.28</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6267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712.63</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C2AA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60.65</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1953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6A6F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75BB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69A03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D1E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2010301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8853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行政运行</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C08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504.21</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672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504.21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5B0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FD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126A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9AF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4830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909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2010302</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ED4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一般行政管理事务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833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60.65</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5CE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61F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60.65</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CBE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7E6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AF64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BDF7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64B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2010350</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4E5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事业运行</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1A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208.42</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A0B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208.42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DF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DF4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7D9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64F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4276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F1D7">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20129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DE06B">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群众团体事务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176C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0FC7B">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235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9D65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214B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E12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20EA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660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2012999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997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其他群众团体事务支出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5C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ADD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846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0037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14B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FA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D281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3A5DC">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20139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94581">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社会工作事务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4CD1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25.22</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0800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F69A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25.22</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8D93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096F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1892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50691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B00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2013904</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87A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专项业务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234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AF4A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510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EDB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F28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A26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0A2F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7D1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2013999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70D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其他社会工作事务支出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C562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24.42</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BE7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D27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24.42</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FE5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4C7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EF6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3BEB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EFC6C">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203</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34E71">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国防支出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7455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9962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4817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2B8B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2A39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8780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3E89F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38529">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20306</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281FD">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国防动员</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B7FA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FFB9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55C4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A9CA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353D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8625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20E2D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4A7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2030607</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F53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民兵</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677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4E2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26E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CC6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79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FD0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37A9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2195A">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207</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77E2A">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文化旅游体育与传媒支出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FE4A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5.16</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2E94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ECC3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5.16</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08B8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C1EF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96C0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05B8D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0CFC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20701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B64AA">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文化和旅游</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1931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5.16</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C3CF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91FF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5.16</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4EFF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5BD7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B173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4BAD3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CAD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2070104</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8A9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图书馆</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69B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9FE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FEC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11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DF13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83B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13C6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5FA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2070109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445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群众文化</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585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0.84</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C12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665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0.84</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680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34B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1F7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1379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25C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2070199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5A7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其他文化和旅游支出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36B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0.72</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0879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746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0.72</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756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600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A3E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8BA8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867F0">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208</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BEE86">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社会保障和就业支出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C32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111.32</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F42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111.02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B31D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0.30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E9B3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2384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1352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3EDF6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2D052">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20805</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B0A2A">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行政事业单位养老支出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6984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111.02</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3600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111.02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E48C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6556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D90A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54BE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0DC84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50D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2080505</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DFF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机关事业单位基本养老保险缴费支出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DA0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74.02</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650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74.02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836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D53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DA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A71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88E5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AB0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2080506</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D36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机关事业单位职业年金缴费支出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231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37.01</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88C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37.01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7D9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37A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F4F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C7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11C0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E9EB1">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20811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739D8">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残疾人事业</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5695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0.30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BD8E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78FCB">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0.30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9841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C7EF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8ACE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76177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209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2081199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DFC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其他残疾人事业支出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F55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CBC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649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135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845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10D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2F15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49ED7">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210</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48E02">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卫生健康支出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EE34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44.75</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D64B">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44.75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E734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D33E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D823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0C0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75F3E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9FF6A">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21011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70C10">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行政事业单位医疗</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51B4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44.75</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3A4D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44.75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2B21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5169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63CB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6767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63151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45D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2101101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E45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行政单位医疗</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1D5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25.86</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959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25.86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14D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C98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06D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269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72FC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8AF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2101102</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F5E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事业单位医疗</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FCBA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12.15</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04A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6E6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9F35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7CF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625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AE4D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4D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2101103</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44F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公务员医疗补助</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250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4.75</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A9A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BB0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64B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098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66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D5E4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2B5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2101199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2E2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其他行政事业单位医疗支出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DD0E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1.98</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A9D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1.98</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A9A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DD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6B65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85C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853E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2B380">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212</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FBB6">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城乡社区支出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ED0B">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8.96</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51B0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3115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8.96</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825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6847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A953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1F7D9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B4EE9">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21205</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232F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城乡社区环境卫生</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95A7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8.96</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3C57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23593">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8.96</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6E87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CAAB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ED61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0C64E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71A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2120501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286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城乡社区环境卫生</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59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8.96</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EF02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415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8.96</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088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B4D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B22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737C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00E53">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213</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54954">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农林水支出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0518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1,426.51</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AD2E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135.61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EC1B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1,290.89</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3093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48E8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3523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21F7D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134AA">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21301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1C693">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农业农村</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AFF8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36.39</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3F58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4.17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821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32.23</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2551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7C4C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15B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730E8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F75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2130152</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F88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对高校毕业生到基层任职补助</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B95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4.17</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728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1A8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D03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66C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4F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A2DB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CB1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2130199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01A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其他农业农村支出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8B1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32.23</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5F5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AC1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32.23</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017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3E8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B39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AF16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A2A6">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21302</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56288">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林业和草原</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CE5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2.16</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347D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2BFD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2.16</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2C34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30B0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5230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5B768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F88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2130299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7E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其他林业和草原支出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EF70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AB5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EC93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64B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457E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526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700F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8CAD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21305</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3D0C9">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巩固脱贫攻坚成果衔接乡村振兴</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EF47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1,218.54</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6C69B">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224E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1,218.54</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6C6E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3E8B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29A5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0836B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CCA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2130504</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CDA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农村基础设施建设</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D047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496.97</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A069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DB6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496.97</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745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264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BD6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7BF0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D31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2130505</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00A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生产发展</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AC9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434.03</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8E5F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9F0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434.03</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148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832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072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71B3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71B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2130599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DD4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其他巩固脱贫攻坚成果衔接乡村振兴支出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7E1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287.54</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3F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42F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287.54</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10D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9F6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15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D78B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162FC">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21307</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2591B">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农村综合改革</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DA2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169.41</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CBAA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131.45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2E65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37.96</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39D3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9382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811E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452E6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715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2130705</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E4B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对村民委员会和村党支部的补助</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03A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169.41</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A83D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131.45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834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37.96</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2F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C1BD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F7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9E8C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32D98">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216</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C7274">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商业服务业等支出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5C6F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198.00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FAC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6070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198.00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E344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00A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6330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51AD3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84FF0">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21699</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DA1B4">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其他商业服务业等支出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53B9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198.00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CBB2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9B50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198.00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7AF78">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8115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2CCC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4C2D7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00D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2169901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64F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服务业基础设施建设</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2B0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198.00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59A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836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198.00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450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C9B4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8FA2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5ED8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52AE5">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221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A8F2">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住房保障支出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48D4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65.70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CA5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65.70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889E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2CA6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D9C4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11D2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696EC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E6D3F">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22102</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0D562">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住房改革支出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856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65.70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1F8AD">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65.70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57F6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0398B">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17F1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4282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7C6B2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168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2210201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884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住房公积金</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35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CCC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36D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00A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AC3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028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57C5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C13A7">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224</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5D845">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灾害防治及应急管理支出</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2CD2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0.50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04ADF">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79F9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0.50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5825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B85CA">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39614">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7EC34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E8CCB">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22401</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19378">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应急管理事务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2298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0.50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5BDA7">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52725">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0.50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12C9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5B7AB">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89CFE">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0.00</w:t>
            </w:r>
          </w:p>
        </w:tc>
      </w:tr>
      <w:tr w14:paraId="1D427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EFE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2240106</w:t>
            </w:r>
          </w:p>
        </w:tc>
        <w:tc>
          <w:tcPr>
            <w:tcW w:w="3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B01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安全监管</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FAA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0.50</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39E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5207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0.50</w:t>
            </w:r>
          </w:p>
        </w:tc>
        <w:tc>
          <w:tcPr>
            <w:tcW w:w="1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7F7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EC4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25F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467C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 w:hRule="atLeast"/>
          <w:jc w:val="center"/>
        </w:trPr>
        <w:tc>
          <w:tcPr>
            <w:tcW w:w="14117" w:type="dxa"/>
            <w:gridSpan w:val="10"/>
            <w:tcBorders>
              <w:top w:val="nil"/>
              <w:left w:val="nil"/>
              <w:bottom w:val="nil"/>
              <w:right w:val="nil"/>
            </w:tcBorders>
            <w:shd w:val="clear" w:color="auto" w:fill="auto"/>
            <w:noWrap/>
            <w:vAlign w:val="center"/>
          </w:tcPr>
          <w:p w14:paraId="752496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注：本表反映部门本年度各项支出情况。</w:t>
            </w:r>
          </w:p>
        </w:tc>
      </w:tr>
    </w:tbl>
    <w:p w14:paraId="43DDB109">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jc w:val="left"/>
        <w:textAlignment w:val="auto"/>
        <w:rPr>
          <w:rFonts w:hint="eastAsia" w:ascii="黑体" w:hAnsi="黑体" w:eastAsia="黑体" w:cs="黑体"/>
          <w:sz w:val="32"/>
          <w:szCs w:val="32"/>
          <w:shd w:val="clear" w:fill="FFFFFF"/>
        </w:rPr>
        <w:sectPr>
          <w:pgSz w:w="16838" w:h="11906" w:orient="landscape"/>
          <w:pgMar w:top="1800" w:right="1440" w:bottom="1800" w:left="1440" w:header="851" w:footer="992" w:gutter="0"/>
          <w:pgNumType w:fmt="decimal"/>
          <w:cols w:space="0" w:num="1"/>
          <w:docGrid w:type="lines" w:linePitch="312" w:charSpace="0"/>
        </w:sectPr>
      </w:pPr>
    </w:p>
    <w:p w14:paraId="185AB2FD">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outlineLvl w:val="0"/>
        <w:rPr>
          <w:rFonts w:hint="eastAsia" w:ascii="黑体" w:hAnsi="黑体" w:eastAsia="黑体" w:cs="黑体"/>
          <w:sz w:val="32"/>
          <w:szCs w:val="32"/>
        </w:rPr>
      </w:pPr>
      <w:bookmarkStart w:id="11" w:name="_Toc18339"/>
      <w:r>
        <w:rPr>
          <w:rFonts w:hint="eastAsia" w:ascii="黑体" w:hAnsi="黑体" w:eastAsia="黑体" w:cs="黑体"/>
          <w:sz w:val="32"/>
          <w:szCs w:val="32"/>
          <w:shd w:val="clear" w:fill="FFFFFF"/>
        </w:rPr>
        <w:t>四、财政拨款收入支出决算总体情况说明</w:t>
      </w:r>
      <w:bookmarkEnd w:id="11"/>
    </w:p>
    <w:p w14:paraId="05E63BCC">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黑体" w:hAnsi="宋体" w:eastAsia="黑体" w:cs="黑体"/>
          <w:i w:val="0"/>
          <w:iCs w:val="0"/>
          <w:color w:val="000000"/>
          <w:kern w:val="0"/>
          <w:sz w:val="44"/>
          <w:szCs w:val="44"/>
          <w:u w:val="none"/>
          <w:lang w:val="en-US" w:eastAsia="zh-CN" w:bidi="ar"/>
        </w:rPr>
      </w:pPr>
      <w:r>
        <w:rPr>
          <w:rFonts w:hint="eastAsia" w:ascii="仿宋_GB2312" w:hAnsi="仿宋_GB2312" w:eastAsia="仿宋_GB2312" w:cs="仿宋_GB2312"/>
          <w:sz w:val="32"/>
          <w:szCs w:val="32"/>
          <w:shd w:val="clear" w:fill="FFFFFF"/>
        </w:rPr>
        <w:t>202</w:t>
      </w:r>
      <w:r>
        <w:rPr>
          <w:rFonts w:hint="eastAsia" w:ascii="仿宋_GB2312" w:hAnsi="仿宋_GB2312" w:eastAsia="仿宋_GB2312" w:cs="仿宋_GB2312"/>
          <w:sz w:val="32"/>
          <w:szCs w:val="32"/>
          <w:shd w:val="clear" w:fill="FFFFFF"/>
          <w:lang w:val="en-US" w:eastAsia="zh-CN"/>
        </w:rPr>
        <w:t>5</w:t>
      </w:r>
      <w:r>
        <w:rPr>
          <w:rFonts w:hint="eastAsia" w:ascii="仿宋_GB2312" w:hAnsi="仿宋_GB2312" w:eastAsia="仿宋_GB2312" w:cs="仿宋_GB2312"/>
          <w:sz w:val="32"/>
          <w:szCs w:val="32"/>
          <w:shd w:val="clear" w:fill="FFFFFF"/>
        </w:rPr>
        <w:t>年度</w:t>
      </w:r>
      <w:r>
        <w:rPr>
          <w:rFonts w:hint="eastAsia" w:ascii="仿宋_GB2312" w:hAnsi="仿宋_GB2312" w:eastAsia="仿宋_GB2312" w:cs="仿宋_GB2312"/>
          <w:sz w:val="32"/>
          <w:szCs w:val="32"/>
          <w:shd w:val="clear" w:fill="FFFFFF"/>
          <w:lang w:eastAsia="zh-CN"/>
        </w:rPr>
        <w:t>决算</w:t>
      </w:r>
      <w:r>
        <w:rPr>
          <w:rFonts w:hint="eastAsia" w:ascii="仿宋_GB2312" w:hAnsi="仿宋_GB2312" w:eastAsia="仿宋_GB2312" w:cs="仿宋_GB2312"/>
          <w:sz w:val="32"/>
          <w:szCs w:val="32"/>
          <w:shd w:val="clear" w:fill="FFFFFF"/>
          <w:lang w:val="en-US" w:eastAsia="zh-CN"/>
        </w:rPr>
        <w:t>收入</w:t>
      </w:r>
      <w:r>
        <w:rPr>
          <w:rFonts w:hint="eastAsia" w:ascii="仿宋_GB2312" w:hAnsi="仿宋_GB2312" w:eastAsia="仿宋_GB2312" w:cs="仿宋_GB2312"/>
          <w:sz w:val="32"/>
          <w:szCs w:val="32"/>
          <w:shd w:val="clear" w:fill="FFFFFF"/>
        </w:rPr>
        <w:t>总计</w:t>
      </w:r>
      <w:r>
        <w:rPr>
          <w:rFonts w:hint="eastAsia" w:ascii="仿宋_GB2312" w:hAnsi="仿宋_GB2312" w:eastAsia="仿宋_GB2312" w:cs="仿宋_GB2312"/>
          <w:sz w:val="32"/>
          <w:szCs w:val="32"/>
          <w:shd w:val="clear" w:fill="FFFFFF"/>
          <w:lang w:val="en-US" w:eastAsia="zh-CN"/>
        </w:rPr>
        <w:t>2669.97</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2023年度决算收入3369.59万元，比去年减少699.62万元，2025年度决算支出总计2669.97万元，2024年度决算支出总计3369.59万元，比去年减少699.62</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p>
    <w:p w14:paraId="17A8EA41">
      <w:pPr>
        <w:pStyle w:val="2"/>
        <w:jc w:val="center"/>
        <w:rPr>
          <w:rFonts w:hint="eastAsia"/>
          <w:lang w:val="en-US" w:eastAsia="zh-CN"/>
        </w:rPr>
        <w:sectPr>
          <w:pgSz w:w="11906" w:h="16838"/>
          <w:pgMar w:top="1440" w:right="1800" w:bottom="1440" w:left="1800" w:header="851" w:footer="992" w:gutter="0"/>
          <w:pgNumType w:fmt="decimal"/>
          <w:cols w:space="0" w:num="1"/>
          <w:docGrid w:type="lines" w:linePitch="312" w:charSpace="0"/>
        </w:sectPr>
      </w:pPr>
      <w:r>
        <w:drawing>
          <wp:inline distT="0" distB="0" distL="114300" distR="114300">
            <wp:extent cx="4128770" cy="3778885"/>
            <wp:effectExtent l="4445" t="4445" r="19685" b="762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Style w:val="18"/>
        <w:tblW w:w="140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793"/>
        <w:gridCol w:w="703"/>
        <w:gridCol w:w="1229"/>
        <w:gridCol w:w="2801"/>
        <w:gridCol w:w="741"/>
        <w:gridCol w:w="1211"/>
        <w:gridCol w:w="1464"/>
        <w:gridCol w:w="1554"/>
        <w:gridCol w:w="1573"/>
      </w:tblGrid>
      <w:tr w14:paraId="4C381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14069" w:type="dxa"/>
            <w:gridSpan w:val="9"/>
            <w:tcBorders>
              <w:top w:val="nil"/>
              <w:left w:val="nil"/>
              <w:bottom w:val="nil"/>
              <w:right w:val="nil"/>
            </w:tcBorders>
            <w:shd w:val="clear" w:color="auto" w:fill="auto"/>
            <w:noWrap/>
            <w:vAlign w:val="center"/>
          </w:tcPr>
          <w:p w14:paraId="4ED15CA9">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财政拨款收入支出决算总表</w:t>
            </w:r>
          </w:p>
        </w:tc>
      </w:tr>
      <w:tr w14:paraId="7F127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793" w:type="dxa"/>
            <w:tcBorders>
              <w:top w:val="nil"/>
              <w:left w:val="nil"/>
              <w:bottom w:val="nil"/>
              <w:right w:val="nil"/>
            </w:tcBorders>
            <w:shd w:val="clear" w:color="auto" w:fill="auto"/>
            <w:noWrap/>
            <w:vAlign w:val="center"/>
          </w:tcPr>
          <w:p w14:paraId="2500F106">
            <w:pPr>
              <w:rPr>
                <w:rFonts w:hint="eastAsia" w:ascii="宋体" w:hAnsi="宋体" w:eastAsia="宋体" w:cs="宋体"/>
                <w:i w:val="0"/>
                <w:iCs w:val="0"/>
                <w:color w:val="000000"/>
                <w:sz w:val="22"/>
                <w:szCs w:val="22"/>
                <w:u w:val="none"/>
              </w:rPr>
            </w:pPr>
          </w:p>
        </w:tc>
        <w:tc>
          <w:tcPr>
            <w:tcW w:w="703" w:type="dxa"/>
            <w:tcBorders>
              <w:top w:val="nil"/>
              <w:left w:val="nil"/>
              <w:bottom w:val="nil"/>
              <w:right w:val="nil"/>
            </w:tcBorders>
            <w:shd w:val="clear" w:color="auto" w:fill="auto"/>
            <w:noWrap/>
            <w:vAlign w:val="center"/>
          </w:tcPr>
          <w:p w14:paraId="4B76C462">
            <w:pPr>
              <w:rPr>
                <w:rFonts w:hint="eastAsia" w:ascii="宋体" w:hAnsi="宋体" w:eastAsia="宋体" w:cs="宋体"/>
                <w:i w:val="0"/>
                <w:iCs w:val="0"/>
                <w:color w:val="000000"/>
                <w:sz w:val="22"/>
                <w:szCs w:val="22"/>
                <w:u w:val="none"/>
              </w:rPr>
            </w:pPr>
          </w:p>
        </w:tc>
        <w:tc>
          <w:tcPr>
            <w:tcW w:w="1229" w:type="dxa"/>
            <w:tcBorders>
              <w:top w:val="nil"/>
              <w:left w:val="nil"/>
              <w:bottom w:val="nil"/>
              <w:right w:val="nil"/>
            </w:tcBorders>
            <w:shd w:val="clear" w:color="auto" w:fill="auto"/>
            <w:noWrap/>
            <w:vAlign w:val="center"/>
          </w:tcPr>
          <w:p w14:paraId="10C94DF7">
            <w:pPr>
              <w:rPr>
                <w:rFonts w:hint="eastAsia" w:ascii="宋体" w:hAnsi="宋体" w:eastAsia="宋体" w:cs="宋体"/>
                <w:i w:val="0"/>
                <w:iCs w:val="0"/>
                <w:color w:val="000000"/>
                <w:sz w:val="22"/>
                <w:szCs w:val="22"/>
                <w:u w:val="none"/>
              </w:rPr>
            </w:pPr>
          </w:p>
        </w:tc>
        <w:tc>
          <w:tcPr>
            <w:tcW w:w="2801" w:type="dxa"/>
            <w:tcBorders>
              <w:top w:val="nil"/>
              <w:left w:val="nil"/>
              <w:bottom w:val="nil"/>
              <w:right w:val="nil"/>
            </w:tcBorders>
            <w:shd w:val="clear" w:color="auto" w:fill="auto"/>
            <w:noWrap/>
            <w:vAlign w:val="center"/>
          </w:tcPr>
          <w:p w14:paraId="36B12E19">
            <w:pPr>
              <w:rPr>
                <w:rFonts w:hint="eastAsia" w:ascii="宋体" w:hAnsi="宋体" w:eastAsia="宋体" w:cs="宋体"/>
                <w:i w:val="0"/>
                <w:iCs w:val="0"/>
                <w:color w:val="000000"/>
                <w:sz w:val="22"/>
                <w:szCs w:val="22"/>
                <w:u w:val="none"/>
              </w:rPr>
            </w:pPr>
          </w:p>
        </w:tc>
        <w:tc>
          <w:tcPr>
            <w:tcW w:w="741" w:type="dxa"/>
            <w:tcBorders>
              <w:top w:val="nil"/>
              <w:left w:val="nil"/>
              <w:bottom w:val="nil"/>
              <w:right w:val="nil"/>
            </w:tcBorders>
            <w:shd w:val="clear" w:color="auto" w:fill="auto"/>
            <w:noWrap/>
            <w:vAlign w:val="center"/>
          </w:tcPr>
          <w:p w14:paraId="2FCDBF0E">
            <w:pPr>
              <w:rPr>
                <w:rFonts w:hint="eastAsia" w:ascii="宋体" w:hAnsi="宋体" w:eastAsia="宋体" w:cs="宋体"/>
                <w:i w:val="0"/>
                <w:iCs w:val="0"/>
                <w:color w:val="000000"/>
                <w:sz w:val="22"/>
                <w:szCs w:val="22"/>
                <w:u w:val="none"/>
              </w:rPr>
            </w:pPr>
          </w:p>
        </w:tc>
        <w:tc>
          <w:tcPr>
            <w:tcW w:w="1211" w:type="dxa"/>
            <w:tcBorders>
              <w:top w:val="nil"/>
              <w:left w:val="nil"/>
              <w:bottom w:val="nil"/>
              <w:right w:val="nil"/>
            </w:tcBorders>
            <w:shd w:val="clear" w:color="auto" w:fill="auto"/>
            <w:noWrap/>
            <w:vAlign w:val="center"/>
          </w:tcPr>
          <w:p w14:paraId="394907DD">
            <w:pPr>
              <w:rPr>
                <w:rFonts w:hint="eastAsia" w:ascii="宋体" w:hAnsi="宋体" w:eastAsia="宋体" w:cs="宋体"/>
                <w:i w:val="0"/>
                <w:iCs w:val="0"/>
                <w:color w:val="000000"/>
                <w:sz w:val="22"/>
                <w:szCs w:val="22"/>
                <w:u w:val="none"/>
              </w:rPr>
            </w:pPr>
          </w:p>
        </w:tc>
        <w:tc>
          <w:tcPr>
            <w:tcW w:w="1464" w:type="dxa"/>
            <w:tcBorders>
              <w:top w:val="nil"/>
              <w:left w:val="nil"/>
              <w:bottom w:val="nil"/>
              <w:right w:val="nil"/>
            </w:tcBorders>
            <w:shd w:val="clear" w:color="auto" w:fill="auto"/>
            <w:noWrap/>
            <w:vAlign w:val="center"/>
          </w:tcPr>
          <w:p w14:paraId="7C1E0CFD">
            <w:pPr>
              <w:rPr>
                <w:rFonts w:hint="eastAsia" w:ascii="宋体" w:hAnsi="宋体" w:eastAsia="宋体" w:cs="宋体"/>
                <w:i w:val="0"/>
                <w:iCs w:val="0"/>
                <w:color w:val="000000"/>
                <w:sz w:val="22"/>
                <w:szCs w:val="22"/>
                <w:u w:val="none"/>
              </w:rPr>
            </w:pPr>
          </w:p>
        </w:tc>
        <w:tc>
          <w:tcPr>
            <w:tcW w:w="1554" w:type="dxa"/>
            <w:tcBorders>
              <w:top w:val="nil"/>
              <w:left w:val="nil"/>
              <w:bottom w:val="nil"/>
              <w:right w:val="nil"/>
            </w:tcBorders>
            <w:shd w:val="clear" w:color="auto" w:fill="auto"/>
            <w:noWrap/>
            <w:vAlign w:val="center"/>
          </w:tcPr>
          <w:p w14:paraId="55127EA2">
            <w:pPr>
              <w:rPr>
                <w:rFonts w:hint="eastAsia" w:ascii="宋体" w:hAnsi="宋体" w:eastAsia="宋体" w:cs="宋体"/>
                <w:i w:val="0"/>
                <w:iCs w:val="0"/>
                <w:color w:val="000000"/>
                <w:sz w:val="22"/>
                <w:szCs w:val="22"/>
                <w:u w:val="none"/>
              </w:rPr>
            </w:pPr>
          </w:p>
        </w:tc>
        <w:tc>
          <w:tcPr>
            <w:tcW w:w="1573" w:type="dxa"/>
            <w:tcBorders>
              <w:top w:val="nil"/>
              <w:left w:val="nil"/>
              <w:bottom w:val="nil"/>
              <w:right w:val="nil"/>
            </w:tcBorders>
            <w:shd w:val="clear" w:color="auto" w:fill="auto"/>
            <w:noWrap/>
            <w:vAlign w:val="center"/>
          </w:tcPr>
          <w:p w14:paraId="099CB9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财决公开04表</w:t>
            </w:r>
          </w:p>
        </w:tc>
      </w:tr>
      <w:tr w14:paraId="55DBF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725" w:type="dxa"/>
            <w:gridSpan w:val="3"/>
            <w:tcBorders>
              <w:top w:val="nil"/>
              <w:left w:val="nil"/>
              <w:bottom w:val="nil"/>
              <w:right w:val="nil"/>
            </w:tcBorders>
            <w:shd w:val="clear" w:color="auto" w:fill="auto"/>
            <w:noWrap/>
            <w:vAlign w:val="center"/>
          </w:tcPr>
          <w:p w14:paraId="54B9F1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单位名称：红原县色地镇人民政府</w:t>
            </w:r>
          </w:p>
        </w:tc>
        <w:tc>
          <w:tcPr>
            <w:tcW w:w="4753" w:type="dxa"/>
            <w:gridSpan w:val="3"/>
            <w:tcBorders>
              <w:top w:val="nil"/>
              <w:left w:val="nil"/>
              <w:bottom w:val="nil"/>
              <w:right w:val="nil"/>
            </w:tcBorders>
            <w:shd w:val="clear" w:color="auto" w:fill="auto"/>
            <w:noWrap/>
            <w:vAlign w:val="bottom"/>
          </w:tcPr>
          <w:p w14:paraId="5C06E82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2025年度</w:t>
            </w:r>
          </w:p>
        </w:tc>
        <w:tc>
          <w:tcPr>
            <w:tcW w:w="1464" w:type="dxa"/>
            <w:tcBorders>
              <w:top w:val="nil"/>
              <w:left w:val="nil"/>
              <w:bottom w:val="nil"/>
              <w:right w:val="nil"/>
            </w:tcBorders>
            <w:shd w:val="clear" w:color="auto" w:fill="auto"/>
            <w:noWrap/>
            <w:vAlign w:val="bottom"/>
          </w:tcPr>
          <w:p w14:paraId="35AD8446">
            <w:pPr>
              <w:rPr>
                <w:rFonts w:hint="eastAsia" w:ascii="宋体" w:hAnsi="宋体" w:eastAsia="宋体" w:cs="宋体"/>
                <w:i w:val="0"/>
                <w:iCs w:val="0"/>
                <w:color w:val="000000"/>
                <w:sz w:val="20"/>
                <w:szCs w:val="20"/>
                <w:u w:val="none"/>
              </w:rPr>
            </w:pPr>
          </w:p>
        </w:tc>
        <w:tc>
          <w:tcPr>
            <w:tcW w:w="1554" w:type="dxa"/>
            <w:tcBorders>
              <w:top w:val="nil"/>
              <w:left w:val="nil"/>
              <w:bottom w:val="nil"/>
              <w:right w:val="nil"/>
            </w:tcBorders>
            <w:shd w:val="clear" w:color="auto" w:fill="auto"/>
            <w:noWrap/>
            <w:vAlign w:val="bottom"/>
          </w:tcPr>
          <w:p w14:paraId="5954D7E2">
            <w:pPr>
              <w:rPr>
                <w:rFonts w:hint="eastAsia" w:ascii="宋体" w:hAnsi="宋体" w:eastAsia="宋体" w:cs="宋体"/>
                <w:i w:val="0"/>
                <w:iCs w:val="0"/>
                <w:color w:val="000000"/>
                <w:sz w:val="20"/>
                <w:szCs w:val="20"/>
                <w:u w:val="none"/>
              </w:rPr>
            </w:pPr>
          </w:p>
        </w:tc>
        <w:tc>
          <w:tcPr>
            <w:tcW w:w="1573" w:type="dxa"/>
            <w:tcBorders>
              <w:top w:val="nil"/>
              <w:left w:val="nil"/>
              <w:bottom w:val="nil"/>
              <w:right w:val="nil"/>
            </w:tcBorders>
            <w:shd w:val="clear" w:color="auto" w:fill="auto"/>
            <w:noWrap/>
            <w:vAlign w:val="center"/>
          </w:tcPr>
          <w:p w14:paraId="2360FB8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单位:万元</w:t>
            </w:r>
          </w:p>
        </w:tc>
      </w:tr>
      <w:tr w14:paraId="1E36D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jc w:val="center"/>
        </w:trPr>
        <w:tc>
          <w:tcPr>
            <w:tcW w:w="4725" w:type="dxa"/>
            <w:gridSpan w:val="3"/>
            <w:tcBorders>
              <w:top w:val="single" w:color="000000" w:sz="4" w:space="0"/>
              <w:left w:val="single" w:color="000000" w:sz="4" w:space="0"/>
              <w:bottom w:val="single" w:color="000000" w:sz="4" w:space="0"/>
              <w:right w:val="single" w:color="000000" w:sz="4" w:space="0"/>
            </w:tcBorders>
            <w:shd w:val="clear" w:color="auto" w:fill="C0C0C0"/>
            <w:vAlign w:val="center"/>
          </w:tcPr>
          <w:p w14:paraId="3BF26B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收入</w:t>
            </w:r>
          </w:p>
        </w:tc>
        <w:tc>
          <w:tcPr>
            <w:tcW w:w="9344" w:type="dxa"/>
            <w:gridSpan w:val="6"/>
            <w:tcBorders>
              <w:top w:val="single" w:color="000000" w:sz="4" w:space="0"/>
              <w:left w:val="single" w:color="000000" w:sz="4" w:space="0"/>
              <w:bottom w:val="single" w:color="000000" w:sz="4" w:space="0"/>
              <w:right w:val="single" w:color="000000" w:sz="4" w:space="0"/>
            </w:tcBorders>
            <w:shd w:val="clear" w:color="auto" w:fill="C0C0C0"/>
            <w:vAlign w:val="center"/>
          </w:tcPr>
          <w:p w14:paraId="50DAE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支出</w:t>
            </w:r>
          </w:p>
        </w:tc>
      </w:tr>
      <w:tr w14:paraId="62C12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0D284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70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56532D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行次</w:t>
            </w:r>
          </w:p>
        </w:tc>
        <w:tc>
          <w:tcPr>
            <w:tcW w:w="1229"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66411C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w:t>
            </w:r>
          </w:p>
        </w:tc>
        <w:tc>
          <w:tcPr>
            <w:tcW w:w="2801"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9C914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741"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244EEC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行次</w:t>
            </w:r>
          </w:p>
        </w:tc>
        <w:tc>
          <w:tcPr>
            <w:tcW w:w="1211"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3CAF1A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464"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7F4F63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一般公共预算财政拨款</w:t>
            </w:r>
          </w:p>
        </w:tc>
        <w:tc>
          <w:tcPr>
            <w:tcW w:w="1554"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57D810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政府性基金预算财政拨款</w:t>
            </w:r>
          </w:p>
        </w:tc>
        <w:tc>
          <w:tcPr>
            <w:tcW w:w="157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1D3F8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国有资本经营预算财政拨款</w:t>
            </w:r>
          </w:p>
        </w:tc>
      </w:tr>
      <w:tr w14:paraId="41146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38890B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70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7063E2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w:t>
            </w:r>
          </w:p>
        </w:tc>
        <w:tc>
          <w:tcPr>
            <w:tcW w:w="1229"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4732C6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801"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38939B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栏次</w:t>
            </w:r>
          </w:p>
        </w:tc>
        <w:tc>
          <w:tcPr>
            <w:tcW w:w="741"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4289F3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w:t>
            </w:r>
          </w:p>
        </w:tc>
        <w:tc>
          <w:tcPr>
            <w:tcW w:w="1211"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75A119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64"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2CB7F5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554"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E2797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57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4740E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647D5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28E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一、一般公共预算财政拨款</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4F1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9DE138">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51F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一、一般公共服务支出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9C2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FC163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806.07</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28FFA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806.07</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5EDCCA">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A490B">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5302A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044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二、政府性基金预算财政拨款</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7D7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04C521">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22F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二、外交支出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074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CDDB2A">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56263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53694B">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7521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0C257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E22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三、国有资本经营预算财政拨款</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8D7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A7EE4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A8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三、国防支出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77B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B55ED0">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4FC6D3">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31DB5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9A4C61">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3583A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D1D1">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B4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504F4D5">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4B3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四、公共安全支出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ABC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1929D3">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0136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A2370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7707DC">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2D821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ED324">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592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AD85F50">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A4B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五、教育支出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EFE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3527CB">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09B746">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BF2DFB">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688D7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63FB5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40E8">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1C3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E4E5">
            <w:pPr>
              <w:rPr>
                <w:rFonts w:hint="eastAsia" w:ascii="宋体" w:hAnsi="宋体" w:eastAsia="宋体" w:cs="宋体"/>
                <w:i w:val="0"/>
                <w:iCs w:val="0"/>
                <w:color w:val="000000"/>
                <w:sz w:val="18"/>
                <w:szCs w:val="18"/>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1B9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六、科学技术支出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CF0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77D901">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8AB784">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A1F88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91840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2A004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BA2EB">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254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E9631">
            <w:pPr>
              <w:rPr>
                <w:rFonts w:hint="eastAsia" w:ascii="宋体" w:hAnsi="宋体" w:eastAsia="宋体" w:cs="宋体"/>
                <w:i w:val="0"/>
                <w:iCs w:val="0"/>
                <w:color w:val="000000"/>
                <w:sz w:val="18"/>
                <w:szCs w:val="18"/>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FBE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七、文化旅游体育与传媒支出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EBA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A809F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5.16</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CE01A8">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5.16</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D0573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392DF0">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7A32D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23F19">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BB0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994BD6C">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EC0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八、社会保障和就业支出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66C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9E86CC">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111.32</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CA5A5C">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111.32</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A06E26">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BDC911">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16F12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6520">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DE2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27083F8">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8F0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九、卫生健康支出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B0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FFD96B">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44.75</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8224FC">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44.75</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1290F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9AD8F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2F5CD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05D8E">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384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726A684">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989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十、节能环保支出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841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1F000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49E7DA">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F0E4A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6957C8">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4BFC1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2D86F">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DBC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B4B34BC">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E4A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十一、城乡社区支出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260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104EC3">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8.96</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1EA710">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8.96</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A4E56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E0B84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01EE0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EE431">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E3B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E9FB658">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B44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十二、农林水支出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417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22C87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1,426.51</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77DE7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1,426.51</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A0C9E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07CD08">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1C57F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0530B">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241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4BA0AAA">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40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十三、交通运输支出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193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2EAF8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0FB04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81473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F57126">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58D3A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C4A42">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05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D72A907">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5EC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十四、资源勘探工业信息等支出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B5C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0104A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64441">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C4291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FF2EBA">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39495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D42B1">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A1B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0BE6CCE">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CDB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十五、商业服务业等支出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3F1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82DFCA">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7125B8">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6FC18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97052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22AAF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F60F">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92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08A80F9">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75E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十六、金融支出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F89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CB20D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B01AA4">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5FE54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73FC60">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2FDD9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C3987">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FC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676E05D">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5DB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十七、援助其他地区支出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0AF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A20E2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C85E88">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8100B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B5E160">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10C54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82969">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D67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1576478">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9D8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十八、自然资源海洋气象等支出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C12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B18DD2">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A514C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0D6B4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8E5AE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1FFE6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BA1A2">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6C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C14B274">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B3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十九、住房保障支出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A5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B729F3">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65.70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9D4871">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65.70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4CF2C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17640B">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6EDBF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1BD28">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F6C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3155C45">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64E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二十、粮油物资储备支出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96C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FD1948">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3361F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BF6EF6">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77E340">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08130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03A82">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61C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711EE8A">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1E2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二十一、国有资本经营预算支出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266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CA7758">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5740AA">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0AA3C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539B5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70E0C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EB55C">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6CD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AB2DFD0">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70B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二十二、灾害防治及应急管理支出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FA1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38632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240EE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58774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10F86C">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51847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4C81B">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AF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EBAB8D4">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D50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二十三、其他支出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336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78FF5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342FE4">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68B633">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6B156B">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0D6A2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3D4D2">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4F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6A365BE">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932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二十四、债务还本支出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15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84CDB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7BC3C8">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95131A">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918A2C">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618BD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B93EF">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2F0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8EA41AE">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E2E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二十五、债务付息支出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E14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3842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11E3C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83D6C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8DD126">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1B2D1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47AA6">
            <w:pPr>
              <w:rPr>
                <w:rFonts w:hint="eastAsia" w:ascii="宋体" w:hAnsi="宋体" w:eastAsia="宋体" w:cs="宋体"/>
                <w:i w:val="0"/>
                <w:iCs w:val="0"/>
                <w:color w:val="000000"/>
                <w:sz w:val="18"/>
                <w:szCs w:val="18"/>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4F9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229"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B43BD3D">
            <w:pPr>
              <w:jc w:val="right"/>
              <w:rPr>
                <w:rFonts w:hint="eastAsia" w:ascii="宋体" w:hAnsi="宋体" w:eastAsia="宋体" w:cs="宋体"/>
                <w:i w:val="0"/>
                <w:iCs w:val="0"/>
                <w:color w:val="000000"/>
                <w:sz w:val="22"/>
                <w:szCs w:val="22"/>
                <w:u w:val="none"/>
              </w:rPr>
            </w:pP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DD0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二十六、抗疫特别国债安排的支出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2F8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9C14EC">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63F2C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00DF4A">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A5C2B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06DCE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20B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本年收入合计</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6D8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5C0C5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044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本年支出合计</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19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3C62E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1C764A">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5267D4">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67AEA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21FD6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7E7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年初财政拨款结转和结余</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4E5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66235F">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767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年末财政拨款结转和结余</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D8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3643D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284DD3">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CD56C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600C9E">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60434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2D9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一般公共预算财政拨款</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BAF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A70C3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0E623">
            <w:pPr>
              <w:rPr>
                <w:rFonts w:hint="eastAsia" w:ascii="宋体" w:hAnsi="宋体" w:eastAsia="宋体" w:cs="宋体"/>
                <w:i w:val="0"/>
                <w:iCs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38C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1211"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456FA2B">
            <w:pPr>
              <w:jc w:val="right"/>
              <w:rPr>
                <w:rFonts w:hint="eastAsia" w:ascii="宋体" w:hAnsi="宋体" w:eastAsia="宋体" w:cs="宋体"/>
                <w:i w:val="0"/>
                <w:iCs w:val="0"/>
                <w:color w:val="000000"/>
                <w:sz w:val="18"/>
                <w:szCs w:val="18"/>
                <w:u w:val="none"/>
              </w:rPr>
            </w:pPr>
          </w:p>
        </w:tc>
        <w:tc>
          <w:tcPr>
            <w:tcW w:w="146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1931AFE">
            <w:pPr>
              <w:jc w:val="right"/>
              <w:rPr>
                <w:rFonts w:hint="eastAsia" w:ascii="宋体" w:hAnsi="宋体" w:eastAsia="宋体" w:cs="宋体"/>
                <w:i w:val="0"/>
                <w:iCs w:val="0"/>
                <w:color w:val="000000"/>
                <w:sz w:val="22"/>
                <w:szCs w:val="22"/>
                <w:u w:val="none"/>
              </w:rPr>
            </w:pPr>
          </w:p>
        </w:tc>
        <w:tc>
          <w:tcPr>
            <w:tcW w:w="155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0736EC1">
            <w:pPr>
              <w:jc w:val="right"/>
              <w:rPr>
                <w:rFonts w:hint="eastAsia" w:ascii="宋体" w:hAnsi="宋体" w:eastAsia="宋体" w:cs="宋体"/>
                <w:i w:val="0"/>
                <w:iCs w:val="0"/>
                <w:color w:val="000000"/>
                <w:sz w:val="22"/>
                <w:szCs w:val="22"/>
                <w:u w:val="none"/>
              </w:rPr>
            </w:pPr>
          </w:p>
        </w:tc>
        <w:tc>
          <w:tcPr>
            <w:tcW w:w="1573"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7C4A515">
            <w:pPr>
              <w:jc w:val="right"/>
              <w:rPr>
                <w:rFonts w:hint="eastAsia" w:ascii="宋体" w:hAnsi="宋体" w:eastAsia="宋体" w:cs="宋体"/>
                <w:i w:val="0"/>
                <w:iCs w:val="0"/>
                <w:color w:val="000000"/>
                <w:sz w:val="22"/>
                <w:szCs w:val="22"/>
                <w:u w:val="none"/>
              </w:rPr>
            </w:pPr>
          </w:p>
        </w:tc>
      </w:tr>
      <w:tr w14:paraId="41304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163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政府性基金预算财政拨款</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C98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5BD1A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B99C6">
            <w:pPr>
              <w:rPr>
                <w:rFonts w:hint="eastAsia" w:ascii="宋体" w:hAnsi="宋体" w:eastAsia="宋体" w:cs="宋体"/>
                <w:i w:val="0"/>
                <w:iCs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609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1211"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8C76CDD">
            <w:pPr>
              <w:jc w:val="right"/>
              <w:rPr>
                <w:rFonts w:hint="eastAsia" w:ascii="宋体" w:hAnsi="宋体" w:eastAsia="宋体" w:cs="宋体"/>
                <w:i w:val="0"/>
                <w:iCs w:val="0"/>
                <w:color w:val="000000"/>
                <w:sz w:val="18"/>
                <w:szCs w:val="18"/>
                <w:u w:val="none"/>
              </w:rPr>
            </w:pPr>
          </w:p>
        </w:tc>
        <w:tc>
          <w:tcPr>
            <w:tcW w:w="146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5DE266E">
            <w:pPr>
              <w:jc w:val="right"/>
              <w:rPr>
                <w:rFonts w:hint="eastAsia" w:ascii="宋体" w:hAnsi="宋体" w:eastAsia="宋体" w:cs="宋体"/>
                <w:i w:val="0"/>
                <w:iCs w:val="0"/>
                <w:color w:val="000000"/>
                <w:sz w:val="22"/>
                <w:szCs w:val="22"/>
                <w:u w:val="none"/>
              </w:rPr>
            </w:pPr>
          </w:p>
        </w:tc>
        <w:tc>
          <w:tcPr>
            <w:tcW w:w="155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809109B">
            <w:pPr>
              <w:jc w:val="right"/>
              <w:rPr>
                <w:rFonts w:hint="eastAsia" w:ascii="宋体" w:hAnsi="宋体" w:eastAsia="宋体" w:cs="宋体"/>
                <w:i w:val="0"/>
                <w:iCs w:val="0"/>
                <w:color w:val="000000"/>
                <w:sz w:val="22"/>
                <w:szCs w:val="22"/>
                <w:u w:val="none"/>
              </w:rPr>
            </w:pPr>
          </w:p>
        </w:tc>
        <w:tc>
          <w:tcPr>
            <w:tcW w:w="1573"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6E2D6A0">
            <w:pPr>
              <w:jc w:val="right"/>
              <w:rPr>
                <w:rFonts w:hint="eastAsia" w:ascii="宋体" w:hAnsi="宋体" w:eastAsia="宋体" w:cs="宋体"/>
                <w:i w:val="0"/>
                <w:iCs w:val="0"/>
                <w:color w:val="000000"/>
                <w:sz w:val="22"/>
                <w:szCs w:val="22"/>
                <w:u w:val="none"/>
              </w:rPr>
            </w:pPr>
          </w:p>
        </w:tc>
      </w:tr>
      <w:tr w14:paraId="3061C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849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国有资本经营预算财政拨款</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60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48932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6E11B">
            <w:pPr>
              <w:rPr>
                <w:rFonts w:hint="eastAsia" w:ascii="宋体" w:hAnsi="宋体" w:eastAsia="宋体" w:cs="宋体"/>
                <w:i w:val="0"/>
                <w:iCs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92F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1211"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C5CD49D">
            <w:pPr>
              <w:jc w:val="right"/>
              <w:rPr>
                <w:rFonts w:hint="eastAsia" w:ascii="宋体" w:hAnsi="宋体" w:eastAsia="宋体" w:cs="宋体"/>
                <w:i w:val="0"/>
                <w:iCs w:val="0"/>
                <w:color w:val="000000"/>
                <w:sz w:val="18"/>
                <w:szCs w:val="18"/>
                <w:u w:val="none"/>
              </w:rPr>
            </w:pPr>
          </w:p>
        </w:tc>
        <w:tc>
          <w:tcPr>
            <w:tcW w:w="146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C716DC8">
            <w:pPr>
              <w:jc w:val="right"/>
              <w:rPr>
                <w:rFonts w:hint="eastAsia" w:ascii="宋体" w:hAnsi="宋体" w:eastAsia="宋体" w:cs="宋体"/>
                <w:i w:val="0"/>
                <w:iCs w:val="0"/>
                <w:color w:val="000000"/>
                <w:sz w:val="22"/>
                <w:szCs w:val="22"/>
                <w:u w:val="none"/>
              </w:rPr>
            </w:pPr>
          </w:p>
        </w:tc>
        <w:tc>
          <w:tcPr>
            <w:tcW w:w="155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410BFF4">
            <w:pPr>
              <w:jc w:val="right"/>
              <w:rPr>
                <w:rFonts w:hint="eastAsia" w:ascii="宋体" w:hAnsi="宋体" w:eastAsia="宋体" w:cs="宋体"/>
                <w:i w:val="0"/>
                <w:iCs w:val="0"/>
                <w:color w:val="000000"/>
                <w:sz w:val="22"/>
                <w:szCs w:val="22"/>
                <w:u w:val="none"/>
              </w:rPr>
            </w:pPr>
          </w:p>
        </w:tc>
        <w:tc>
          <w:tcPr>
            <w:tcW w:w="1573"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8967E58">
            <w:pPr>
              <w:jc w:val="right"/>
              <w:rPr>
                <w:rFonts w:hint="eastAsia" w:ascii="宋体" w:hAnsi="宋体" w:eastAsia="宋体" w:cs="宋体"/>
                <w:i w:val="0"/>
                <w:iCs w:val="0"/>
                <w:color w:val="000000"/>
                <w:sz w:val="22"/>
                <w:szCs w:val="22"/>
                <w:u w:val="none"/>
              </w:rPr>
            </w:pPr>
          </w:p>
        </w:tc>
      </w:tr>
      <w:tr w14:paraId="07784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5AF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总计</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D6F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AE93B2">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745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总计</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7CB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1A4063">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3CCB2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2,669.97</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A12713">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906967">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0.00</w:t>
            </w:r>
          </w:p>
        </w:tc>
      </w:tr>
      <w:tr w14:paraId="02560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jc w:val="center"/>
        </w:trPr>
        <w:tc>
          <w:tcPr>
            <w:tcW w:w="14069" w:type="dxa"/>
            <w:gridSpan w:val="9"/>
            <w:tcBorders>
              <w:top w:val="nil"/>
              <w:left w:val="nil"/>
              <w:bottom w:val="nil"/>
              <w:right w:val="nil"/>
            </w:tcBorders>
            <w:shd w:val="clear" w:color="auto" w:fill="auto"/>
            <w:vAlign w:val="center"/>
          </w:tcPr>
          <w:p w14:paraId="1F89156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注：本表反映部门本年度一般公共预算财政拨款、政府性基金预算财政拨款和国有资本经营预算财政拨款的总收支和年末结转结余情况。</w:t>
            </w:r>
          </w:p>
        </w:tc>
      </w:tr>
    </w:tbl>
    <w:p w14:paraId="06EFDAA4">
      <w:pPr>
        <w:pStyle w:val="17"/>
        <w:keepNext w:val="0"/>
        <w:keepLines w:val="0"/>
        <w:pageBreakBefore w:val="0"/>
        <w:widowControl/>
        <w:suppressLineNumbers w:val="0"/>
        <w:overflowPunct/>
        <w:bidi w:val="0"/>
        <w:spacing w:before="0" w:beforeAutospacing="0" w:afterAutospacing="0" w:line="560" w:lineRule="exact"/>
        <w:ind w:left="0"/>
        <w:jc w:val="left"/>
        <w:rPr>
          <w:shd w:val="clear" w:fill="FFFFFF"/>
        </w:rPr>
        <w:sectPr>
          <w:pgSz w:w="16838" w:h="11906" w:orient="landscape"/>
          <w:pgMar w:top="1800" w:right="1440" w:bottom="1800" w:left="1440" w:header="851" w:footer="992" w:gutter="0"/>
          <w:pgNumType w:fmt="decimal"/>
          <w:cols w:space="0" w:num="1"/>
          <w:docGrid w:type="lines" w:linePitch="312" w:charSpace="0"/>
        </w:sectPr>
      </w:pPr>
    </w:p>
    <w:p w14:paraId="2583910D">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outlineLvl w:val="0"/>
        <w:rPr>
          <w:rFonts w:hint="eastAsia" w:ascii="黑体" w:hAnsi="黑体" w:eastAsia="黑体" w:cs="黑体"/>
          <w:sz w:val="32"/>
          <w:szCs w:val="32"/>
        </w:rPr>
      </w:pPr>
      <w:bookmarkStart w:id="12" w:name="_Toc13820"/>
      <w:r>
        <w:rPr>
          <w:rFonts w:hint="eastAsia" w:ascii="黑体" w:hAnsi="黑体" w:eastAsia="黑体" w:cs="黑体"/>
          <w:sz w:val="32"/>
          <w:szCs w:val="32"/>
          <w:shd w:val="clear" w:fill="FFFFFF"/>
        </w:rPr>
        <w:t>五、</w:t>
      </w:r>
      <w:r>
        <w:rPr>
          <w:rStyle w:val="20"/>
          <w:rFonts w:hint="eastAsia" w:ascii="黑体" w:hAnsi="黑体" w:eastAsia="黑体" w:cs="黑体"/>
          <w:sz w:val="32"/>
          <w:szCs w:val="32"/>
          <w:shd w:val="clear" w:fill="FFFFFF"/>
        </w:rPr>
        <w:t>一</w:t>
      </w:r>
      <w:r>
        <w:rPr>
          <w:rFonts w:hint="eastAsia" w:ascii="黑体" w:hAnsi="黑体" w:eastAsia="黑体" w:cs="黑体"/>
          <w:sz w:val="32"/>
          <w:szCs w:val="32"/>
          <w:shd w:val="clear" w:fill="FFFFFF"/>
        </w:rPr>
        <w:t>般公共预算财政拨款支出决算情况说明</w:t>
      </w:r>
      <w:bookmarkEnd w:id="12"/>
    </w:p>
    <w:p w14:paraId="2A4D3795">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left"/>
        <w:textAlignment w:val="auto"/>
        <w:outlineLvl w:val="1"/>
        <w:rPr>
          <w:rFonts w:hint="eastAsia" w:ascii="仿宋_GB2312" w:hAnsi="仿宋_GB2312" w:eastAsia="仿宋_GB2312" w:cs="仿宋_GB2312"/>
          <w:sz w:val="32"/>
          <w:szCs w:val="32"/>
          <w:shd w:val="clear" w:fill="FFFFFF"/>
        </w:rPr>
      </w:pPr>
      <w:bookmarkStart w:id="13" w:name="_Toc711"/>
      <w:r>
        <w:rPr>
          <w:rStyle w:val="20"/>
          <w:rFonts w:hint="eastAsia" w:ascii="仿宋_GB2312" w:hAnsi="仿宋_GB2312" w:eastAsia="仿宋_GB2312" w:cs="仿宋_GB2312"/>
          <w:sz w:val="32"/>
          <w:szCs w:val="32"/>
          <w:shd w:val="clear" w:fill="FFFFFF"/>
        </w:rPr>
        <w:t>（一）一般公共预算财政拨款支出决算总体情况</w:t>
      </w:r>
      <w:bookmarkEnd w:id="13"/>
    </w:p>
    <w:p w14:paraId="0047D8B1">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rPr>
      </w:pPr>
      <w:r>
        <w:rPr>
          <w:rFonts w:hint="eastAsia" w:ascii="仿宋_GB2312" w:hAnsi="仿宋_GB2312" w:eastAsia="仿宋_GB2312" w:cs="仿宋_GB2312"/>
          <w:sz w:val="32"/>
          <w:szCs w:val="32"/>
          <w:shd w:val="clear" w:fill="FFFFFF"/>
          <w:lang w:val="en-US" w:eastAsia="zh-CN"/>
        </w:rPr>
        <w:t>2025年度决算支出总计2669.97万元，2024年度决算支出总计3369.59万元，比去年减少699.62</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p>
    <w:p w14:paraId="0B5DE32B">
      <w:pPr>
        <w:pStyle w:val="17"/>
        <w:keepNext w:val="0"/>
        <w:keepLines w:val="0"/>
        <w:pageBreakBefore w:val="0"/>
        <w:widowControl/>
        <w:suppressLineNumbers w:val="0"/>
        <w:overflowPunct/>
        <w:bidi w:val="0"/>
        <w:spacing w:before="0" w:beforeAutospacing="0" w:afterAutospacing="0" w:line="560" w:lineRule="exact"/>
        <w:ind w:left="0"/>
        <w:jc w:val="left"/>
        <w:rPr>
          <w:shd w:val="clear" w:fill="FFFFFF"/>
        </w:rPr>
      </w:pPr>
      <w:r>
        <w:drawing>
          <wp:anchor distT="0" distB="0" distL="114300" distR="114300" simplePos="0" relativeHeight="251664384" behindDoc="0" locked="0" layoutInCell="1" allowOverlap="1">
            <wp:simplePos x="0" y="0"/>
            <wp:positionH relativeFrom="column">
              <wp:posOffset>532130</wp:posOffset>
            </wp:positionH>
            <wp:positionV relativeFrom="paragraph">
              <wp:posOffset>81280</wp:posOffset>
            </wp:positionV>
            <wp:extent cx="4314825" cy="3457575"/>
            <wp:effectExtent l="4445" t="4445" r="5080" b="5080"/>
            <wp:wrapNone/>
            <wp:docPr id="104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771FADF5">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left"/>
        <w:textAlignment w:val="auto"/>
        <w:outlineLvl w:val="1"/>
        <w:rPr>
          <w:rFonts w:hint="eastAsia" w:ascii="仿宋_GB2312" w:hAnsi="仿宋_GB2312" w:eastAsia="仿宋_GB2312" w:cs="仿宋_GB2312"/>
          <w:b/>
          <w:bCs/>
          <w:sz w:val="32"/>
          <w:szCs w:val="32"/>
          <w:shd w:val="clear" w:fill="FFFFFF"/>
        </w:rPr>
      </w:pPr>
      <w:bookmarkStart w:id="14" w:name="_Toc3476"/>
    </w:p>
    <w:p w14:paraId="7358C051">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left"/>
        <w:textAlignment w:val="auto"/>
        <w:outlineLvl w:val="1"/>
        <w:rPr>
          <w:rFonts w:hint="eastAsia" w:ascii="仿宋_GB2312" w:hAnsi="仿宋_GB2312" w:eastAsia="仿宋_GB2312" w:cs="仿宋_GB2312"/>
          <w:b/>
          <w:bCs/>
          <w:sz w:val="32"/>
          <w:szCs w:val="32"/>
          <w:shd w:val="clear" w:fill="FFFFFF"/>
        </w:rPr>
      </w:pPr>
    </w:p>
    <w:p w14:paraId="7906356D">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left"/>
        <w:textAlignment w:val="auto"/>
        <w:outlineLvl w:val="1"/>
        <w:rPr>
          <w:rFonts w:hint="eastAsia" w:ascii="仿宋_GB2312" w:hAnsi="仿宋_GB2312" w:eastAsia="仿宋_GB2312" w:cs="仿宋_GB2312"/>
          <w:b/>
          <w:bCs/>
          <w:sz w:val="32"/>
          <w:szCs w:val="32"/>
          <w:shd w:val="clear" w:fill="FFFFFF"/>
        </w:rPr>
      </w:pPr>
    </w:p>
    <w:p w14:paraId="6A27B374">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left"/>
        <w:textAlignment w:val="auto"/>
        <w:outlineLvl w:val="1"/>
        <w:rPr>
          <w:rFonts w:hint="eastAsia" w:ascii="仿宋_GB2312" w:hAnsi="仿宋_GB2312" w:eastAsia="仿宋_GB2312" w:cs="仿宋_GB2312"/>
          <w:b/>
          <w:bCs/>
          <w:sz w:val="32"/>
          <w:szCs w:val="32"/>
          <w:shd w:val="clear" w:fill="FFFFFF"/>
        </w:rPr>
      </w:pPr>
    </w:p>
    <w:p w14:paraId="5A507CF9">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left"/>
        <w:textAlignment w:val="auto"/>
        <w:outlineLvl w:val="1"/>
        <w:rPr>
          <w:rFonts w:hint="eastAsia" w:ascii="仿宋_GB2312" w:hAnsi="仿宋_GB2312" w:eastAsia="仿宋_GB2312" w:cs="仿宋_GB2312"/>
          <w:b/>
          <w:bCs/>
          <w:sz w:val="32"/>
          <w:szCs w:val="32"/>
          <w:shd w:val="clear" w:fill="FFFFFF"/>
        </w:rPr>
      </w:pPr>
    </w:p>
    <w:p w14:paraId="2B06F0B4">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left"/>
        <w:textAlignment w:val="auto"/>
        <w:outlineLvl w:val="1"/>
        <w:rPr>
          <w:rFonts w:hint="eastAsia" w:ascii="仿宋_GB2312" w:hAnsi="仿宋_GB2312" w:eastAsia="仿宋_GB2312" w:cs="仿宋_GB2312"/>
          <w:b/>
          <w:bCs/>
          <w:sz w:val="32"/>
          <w:szCs w:val="32"/>
          <w:shd w:val="clear" w:fill="FFFFFF"/>
        </w:rPr>
      </w:pPr>
    </w:p>
    <w:p w14:paraId="4780088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right="0" w:rightChars="0"/>
        <w:jc w:val="left"/>
        <w:textAlignment w:val="auto"/>
        <w:outlineLvl w:val="1"/>
        <w:rPr>
          <w:rFonts w:hint="eastAsia" w:ascii="仿宋_GB2312" w:hAnsi="仿宋_GB2312" w:eastAsia="仿宋_GB2312" w:cs="仿宋_GB2312"/>
          <w:b/>
          <w:bCs/>
          <w:sz w:val="32"/>
          <w:szCs w:val="32"/>
          <w:shd w:val="clear" w:fill="FFFFFF"/>
        </w:rPr>
      </w:pPr>
    </w:p>
    <w:p w14:paraId="6AE63D4B">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left"/>
        <w:textAlignment w:val="auto"/>
        <w:outlineLvl w:val="1"/>
        <w:rPr>
          <w:rFonts w:hint="eastAsia" w:ascii="仿宋_GB2312" w:hAnsi="仿宋_GB2312" w:eastAsia="仿宋_GB2312" w:cs="仿宋_GB2312"/>
          <w:b/>
          <w:bCs/>
          <w:sz w:val="32"/>
          <w:szCs w:val="32"/>
          <w:shd w:val="clear" w:fill="FFFFFF"/>
        </w:rPr>
      </w:pPr>
    </w:p>
    <w:p w14:paraId="7A80B4D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left"/>
        <w:textAlignment w:val="auto"/>
        <w:outlineLvl w:val="1"/>
        <w:rPr>
          <w:rFonts w:hint="eastAsia" w:ascii="仿宋_GB2312" w:hAnsi="仿宋_GB2312" w:eastAsia="仿宋_GB2312" w:cs="仿宋_GB2312"/>
          <w:b/>
          <w:bCs/>
          <w:sz w:val="32"/>
          <w:szCs w:val="32"/>
          <w:shd w:val="clear" w:fill="FFFFFF"/>
        </w:rPr>
      </w:pPr>
    </w:p>
    <w:p w14:paraId="7E9D72CD">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left"/>
        <w:textAlignment w:val="auto"/>
        <w:outlineLvl w:val="1"/>
        <w:rPr>
          <w:rFonts w:hint="eastAsia" w:ascii="仿宋_GB2312" w:hAnsi="仿宋_GB2312" w:eastAsia="仿宋_GB2312" w:cs="仿宋_GB2312"/>
          <w:b/>
          <w:bCs/>
          <w:sz w:val="32"/>
          <w:szCs w:val="32"/>
          <w:shd w:val="clear" w:fill="FFFFFF"/>
        </w:rPr>
      </w:pPr>
      <w:r>
        <w:rPr>
          <w:rFonts w:hint="eastAsia" w:ascii="仿宋_GB2312" w:hAnsi="仿宋_GB2312" w:eastAsia="仿宋_GB2312" w:cs="仿宋_GB2312"/>
          <w:b/>
          <w:bCs/>
          <w:sz w:val="32"/>
          <w:szCs w:val="32"/>
          <w:shd w:val="clear" w:fill="FFFFFF"/>
        </w:rPr>
        <w:t>（二）一般公共预算财政拨款支出决算结构情况</w:t>
      </w:r>
      <w:bookmarkEnd w:id="14"/>
    </w:p>
    <w:p w14:paraId="45D7785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eastAsia" w:ascii="仿宋_GB2312" w:hAnsi="仿宋_GB2312" w:eastAsia="仿宋_GB2312" w:cs="仿宋_GB2312"/>
          <w:sz w:val="32"/>
          <w:szCs w:val="32"/>
          <w:shd w:val="clear" w:fill="FFFFFF"/>
        </w:rPr>
      </w:pPr>
      <w:r>
        <w:rPr>
          <w:rFonts w:hint="eastAsia" w:ascii="仿宋_GB2312" w:hAnsi="仿宋_GB2312" w:eastAsia="仿宋_GB2312" w:cs="仿宋_GB2312"/>
          <w:sz w:val="32"/>
          <w:szCs w:val="32"/>
          <w:shd w:val="clear" w:fill="FFFFFF"/>
        </w:rPr>
        <w:t>202</w:t>
      </w:r>
      <w:r>
        <w:rPr>
          <w:rFonts w:hint="eastAsia" w:ascii="仿宋_GB2312" w:hAnsi="仿宋_GB2312" w:eastAsia="仿宋_GB2312" w:cs="仿宋_GB2312"/>
          <w:sz w:val="32"/>
          <w:szCs w:val="32"/>
          <w:shd w:val="clear" w:fill="FFFFFF"/>
          <w:lang w:val="en-US" w:eastAsia="zh-CN"/>
        </w:rPr>
        <w:t>5</w:t>
      </w:r>
      <w:r>
        <w:rPr>
          <w:rFonts w:hint="eastAsia" w:ascii="仿宋_GB2312" w:hAnsi="仿宋_GB2312" w:eastAsia="仿宋_GB2312" w:cs="仿宋_GB2312"/>
          <w:sz w:val="32"/>
          <w:szCs w:val="32"/>
          <w:shd w:val="clear" w:fill="FFFFFF"/>
        </w:rPr>
        <w:t>年一般公共预算财政拨款支出</w:t>
      </w:r>
      <w:r>
        <w:rPr>
          <w:rFonts w:hint="eastAsia" w:ascii="仿宋_GB2312" w:hAnsi="仿宋_GB2312" w:eastAsia="仿宋_GB2312" w:cs="仿宋_GB2312"/>
          <w:sz w:val="32"/>
          <w:szCs w:val="32"/>
          <w:shd w:val="clear" w:fill="FFFFFF"/>
          <w:lang w:val="en-US" w:eastAsia="zh-CN"/>
        </w:rPr>
        <w:t>2669.97</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val="en-US" w:eastAsia="zh-CN"/>
        </w:rPr>
        <w:t>完成预算100%。其中</w:t>
      </w:r>
      <w:r>
        <w:rPr>
          <w:rFonts w:hint="eastAsia" w:ascii="仿宋_GB2312" w:hAnsi="仿宋_GB2312" w:eastAsia="仿宋_GB2312" w:cs="仿宋_GB2312"/>
          <w:sz w:val="32"/>
          <w:szCs w:val="32"/>
          <w:shd w:val="clear" w:fill="FFFFFF"/>
        </w:rPr>
        <w:t>:</w:t>
      </w:r>
    </w:p>
    <w:p w14:paraId="6002AB90">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kern w:val="0"/>
          <w:sz w:val="32"/>
          <w:szCs w:val="32"/>
          <w:shd w:val="clear" w:fill="FFFFFF"/>
          <w:lang w:val="en-US" w:eastAsia="zh-CN" w:bidi="ar"/>
        </w:rPr>
        <w:t>1.</w:t>
      </w:r>
      <w:r>
        <w:rPr>
          <w:rFonts w:hint="eastAsia" w:ascii="仿宋_GB2312" w:hAnsi="仿宋_GB2312" w:eastAsia="仿宋_GB2312" w:cs="仿宋_GB2312"/>
          <w:sz w:val="32"/>
          <w:szCs w:val="32"/>
          <w:shd w:val="clear" w:fill="FFFFFF"/>
        </w:rPr>
        <w:t>一般公共服务（类）人大事务</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款</w:t>
      </w:r>
      <w:r>
        <w:rPr>
          <w:rFonts w:hint="eastAsia" w:ascii="仿宋_GB2312" w:hAnsi="仿宋_GB2312" w:eastAsia="仿宋_GB2312" w:cs="仿宋_GB2312"/>
          <w:sz w:val="32"/>
          <w:szCs w:val="32"/>
          <w:shd w:val="clear" w:fill="FFFFFF"/>
          <w:lang w:eastAsia="zh-CN"/>
        </w:rPr>
        <w:t>）：</w:t>
      </w:r>
    </w:p>
    <w:p w14:paraId="6F23F6A7">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1</w:t>
      </w:r>
      <w:r>
        <w:rPr>
          <w:rFonts w:hint="eastAsia" w:ascii="仿宋_GB2312" w:hAnsi="仿宋_GB2312" w:eastAsia="仿宋_GB2312" w:cs="仿宋_GB2312"/>
          <w:sz w:val="32"/>
          <w:szCs w:val="32"/>
          <w:shd w:val="clear" w:fill="FFFFFF"/>
          <w:lang w:eastAsia="zh-CN"/>
        </w:rPr>
        <w:t>）人大会议（</w:t>
      </w:r>
      <w:r>
        <w:rPr>
          <w:rFonts w:hint="eastAsia" w:ascii="仿宋_GB2312" w:hAnsi="仿宋_GB2312" w:eastAsia="仿宋_GB2312" w:cs="仿宋_GB2312"/>
          <w:sz w:val="32"/>
          <w:szCs w:val="32"/>
          <w:shd w:val="clear" w:fill="FFFFFF"/>
          <w:lang w:val="en-US" w:eastAsia="zh-CN"/>
        </w:rPr>
        <w:t>项</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决算为2.5</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399EB658">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（2）人大代表履职能力提升（项）：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决算为1</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1FA6F921">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（3）代表工作（项）：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决算为1.07</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039A6B96">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kern w:val="0"/>
          <w:sz w:val="32"/>
          <w:szCs w:val="32"/>
          <w:shd w:val="clear" w:fill="FFFFFF"/>
          <w:lang w:val="en-US" w:eastAsia="zh-CN" w:bidi="ar"/>
        </w:rPr>
        <w:t>2.</w:t>
      </w:r>
      <w:r>
        <w:rPr>
          <w:rFonts w:hint="eastAsia" w:ascii="仿宋_GB2312" w:hAnsi="仿宋_GB2312" w:eastAsia="仿宋_GB2312" w:cs="仿宋_GB2312"/>
          <w:sz w:val="32"/>
          <w:szCs w:val="32"/>
          <w:shd w:val="clear" w:fill="FFFFFF"/>
        </w:rPr>
        <w:t>一般公共服务（类）政协事务</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款</w:t>
      </w:r>
      <w:r>
        <w:rPr>
          <w:rFonts w:hint="eastAsia" w:ascii="仿宋_GB2312" w:hAnsi="仿宋_GB2312" w:eastAsia="仿宋_GB2312" w:cs="仿宋_GB2312"/>
          <w:sz w:val="32"/>
          <w:szCs w:val="32"/>
          <w:shd w:val="clear" w:fill="FFFFFF"/>
          <w:lang w:eastAsia="zh-CN"/>
        </w:rPr>
        <w:t>）一般行政管理事务</w:t>
      </w:r>
      <w:r>
        <w:rPr>
          <w:rFonts w:hint="eastAsia" w:ascii="仿宋_GB2312" w:hAnsi="仿宋_GB2312" w:eastAsia="仿宋_GB2312" w:cs="仿宋_GB2312"/>
          <w:sz w:val="32"/>
          <w:szCs w:val="32"/>
          <w:shd w:val="clear" w:fill="FFFFFF"/>
          <w:lang w:val="en-US" w:eastAsia="zh-CN"/>
        </w:rPr>
        <w:t>（项）：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决算为1</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383F43D4">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3.</w:t>
      </w:r>
      <w:r>
        <w:rPr>
          <w:rFonts w:hint="eastAsia" w:ascii="仿宋_GB2312" w:hAnsi="仿宋_GB2312" w:eastAsia="仿宋_GB2312" w:cs="仿宋_GB2312"/>
          <w:sz w:val="32"/>
          <w:szCs w:val="32"/>
          <w:shd w:val="clear" w:fill="FFFFFF"/>
        </w:rPr>
        <w:t>一般公共服务（类）</w:t>
      </w:r>
      <w:r>
        <w:rPr>
          <w:rFonts w:hint="eastAsia" w:ascii="仿宋_GB2312" w:hAnsi="仿宋_GB2312" w:eastAsia="仿宋_GB2312" w:cs="仿宋_GB2312"/>
          <w:sz w:val="32"/>
          <w:szCs w:val="32"/>
          <w:shd w:val="clear" w:fill="FFFFFF"/>
          <w:lang w:val="en-US" w:eastAsia="zh-CN"/>
        </w:rPr>
        <w:t>政府办公厅（室）及相关机构事务</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款</w:t>
      </w:r>
      <w:r>
        <w:rPr>
          <w:rFonts w:hint="eastAsia" w:ascii="仿宋_GB2312" w:hAnsi="仿宋_GB2312" w:eastAsia="仿宋_GB2312" w:cs="仿宋_GB2312"/>
          <w:sz w:val="32"/>
          <w:szCs w:val="32"/>
          <w:shd w:val="clear" w:fill="FFFFFF"/>
          <w:lang w:eastAsia="zh-CN"/>
        </w:rPr>
        <w:t>）：</w:t>
      </w:r>
    </w:p>
    <w:p w14:paraId="0EDD6B7A">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rPr>
          <w:rFonts w:hint="default" w:ascii="仿宋_GB2312" w:hAnsi="仿宋_GB2312" w:eastAsia="仿宋_GB2312" w:cs="仿宋_GB2312"/>
          <w:kern w:val="0"/>
          <w:sz w:val="32"/>
          <w:szCs w:val="32"/>
          <w:shd w:val="clear" w:fill="FFFFFF"/>
          <w:lang w:val="en-US" w:eastAsia="zh-CN" w:bidi="ar"/>
        </w:rPr>
      </w:pPr>
      <w:r>
        <w:rPr>
          <w:rFonts w:hint="eastAsia" w:ascii="仿宋_GB2312" w:hAnsi="仿宋_GB2312" w:eastAsia="仿宋_GB2312" w:cs="仿宋_GB2312"/>
          <w:kern w:val="0"/>
          <w:sz w:val="32"/>
          <w:szCs w:val="32"/>
          <w:shd w:val="clear" w:fill="FFFFFF"/>
          <w:lang w:val="en-US" w:eastAsia="zh-CN" w:bidi="ar"/>
        </w:rPr>
        <w:t>（1）行政运行（项）：支出决算为504.21万元，</w:t>
      </w:r>
      <w:r>
        <w:rPr>
          <w:rFonts w:hint="eastAsia" w:ascii="仿宋_GB2312" w:hAnsi="仿宋_GB2312" w:eastAsia="仿宋_GB2312" w:cs="仿宋_GB2312"/>
          <w:sz w:val="32"/>
          <w:szCs w:val="32"/>
          <w:shd w:val="clear" w:fill="FFFFFF"/>
          <w:lang w:val="en-US" w:eastAsia="zh-CN"/>
        </w:rPr>
        <w:t>完成预算100%。</w:t>
      </w:r>
    </w:p>
    <w:p w14:paraId="183F260B">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kern w:val="0"/>
          <w:sz w:val="32"/>
          <w:szCs w:val="32"/>
          <w:shd w:val="clear" w:fill="FFFFFF"/>
          <w:lang w:val="en-US" w:eastAsia="zh-CN" w:bidi="ar"/>
        </w:rPr>
        <w:t>（2）</w:t>
      </w:r>
      <w:r>
        <w:rPr>
          <w:rFonts w:hint="eastAsia" w:ascii="仿宋_GB2312" w:hAnsi="仿宋_GB2312" w:eastAsia="仿宋_GB2312" w:cs="仿宋_GB2312"/>
          <w:sz w:val="32"/>
          <w:szCs w:val="32"/>
          <w:shd w:val="clear" w:fill="FFFFFF"/>
          <w:lang w:val="en-US" w:eastAsia="zh-CN"/>
        </w:rPr>
        <w:t>一般行政管理事务（项）：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决算为60.65</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1576138C">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（3）事业运行（项）：支出决算为208.42万元，完成预算100%。</w:t>
      </w:r>
    </w:p>
    <w:p w14:paraId="715EC263">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4.</w:t>
      </w:r>
      <w:r>
        <w:rPr>
          <w:rFonts w:hint="eastAsia" w:ascii="仿宋_GB2312" w:hAnsi="仿宋_GB2312" w:eastAsia="仿宋_GB2312" w:cs="仿宋_GB2312"/>
          <w:sz w:val="32"/>
          <w:szCs w:val="32"/>
          <w:shd w:val="clear" w:fill="FFFFFF"/>
        </w:rPr>
        <w:t>一般公共服务（类）</w:t>
      </w:r>
      <w:r>
        <w:rPr>
          <w:rFonts w:hint="eastAsia" w:ascii="仿宋_GB2312" w:hAnsi="仿宋_GB2312" w:eastAsia="仿宋_GB2312" w:cs="仿宋_GB2312"/>
          <w:sz w:val="32"/>
          <w:szCs w:val="32"/>
          <w:shd w:val="clear" w:fill="FFFFFF"/>
          <w:lang w:val="en-US" w:eastAsia="zh-CN"/>
        </w:rPr>
        <w:t>群众团体事务（款）其他群众团体事务支出（项）：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决算为2</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326B358B">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5.</w:t>
      </w:r>
      <w:r>
        <w:rPr>
          <w:rFonts w:hint="eastAsia" w:ascii="仿宋_GB2312" w:hAnsi="仿宋_GB2312" w:eastAsia="仿宋_GB2312" w:cs="仿宋_GB2312"/>
          <w:sz w:val="32"/>
          <w:szCs w:val="32"/>
          <w:shd w:val="clear" w:fill="FFFFFF"/>
        </w:rPr>
        <w:t>一般公共服务（类）社会工作事务</w:t>
      </w:r>
      <w:r>
        <w:rPr>
          <w:rFonts w:hint="eastAsia" w:ascii="仿宋_GB2312" w:hAnsi="仿宋_GB2312" w:eastAsia="仿宋_GB2312" w:cs="仿宋_GB2312"/>
          <w:sz w:val="32"/>
          <w:szCs w:val="32"/>
          <w:shd w:val="clear" w:fill="FFFFFF"/>
          <w:lang w:eastAsia="zh-CN"/>
        </w:rPr>
        <w:t>（款）：</w:t>
      </w:r>
    </w:p>
    <w:p w14:paraId="2B641AC4">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1</w:t>
      </w:r>
      <w:r>
        <w:rPr>
          <w:rFonts w:hint="eastAsia" w:ascii="仿宋_GB2312" w:hAnsi="仿宋_GB2312" w:eastAsia="仿宋_GB2312" w:cs="仿宋_GB2312"/>
          <w:sz w:val="32"/>
          <w:szCs w:val="32"/>
          <w:shd w:val="clear" w:fill="FFFFFF"/>
          <w:lang w:eastAsia="zh-CN"/>
        </w:rPr>
        <w:t>）专项业务（项）：</w:t>
      </w:r>
      <w:r>
        <w:rPr>
          <w:rFonts w:hint="eastAsia" w:ascii="仿宋_GB2312" w:hAnsi="仿宋_GB2312" w:eastAsia="仿宋_GB2312" w:cs="仿宋_GB2312"/>
          <w:sz w:val="32"/>
          <w:szCs w:val="32"/>
          <w:shd w:val="clear" w:fill="FFFFFF"/>
          <w:lang w:val="en-US" w:eastAsia="zh-CN"/>
        </w:rPr>
        <w:t>支出决算为0.80万元，完成预算100%。</w:t>
      </w:r>
    </w:p>
    <w:p w14:paraId="3B7484D0">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（2）其他社会工作事务支出（项）：支出决算为24.42万元，完成预算100%。</w:t>
      </w:r>
    </w:p>
    <w:p w14:paraId="2DFF0B63">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6.国防支出</w:t>
      </w:r>
      <w:r>
        <w:rPr>
          <w:rFonts w:hint="eastAsia" w:ascii="仿宋_GB2312" w:hAnsi="仿宋_GB2312" w:eastAsia="仿宋_GB2312" w:cs="仿宋_GB2312"/>
          <w:sz w:val="32"/>
          <w:szCs w:val="32"/>
          <w:shd w:val="clear" w:fill="FFFFFF"/>
        </w:rPr>
        <w:t>（类）国防动员</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款</w:t>
      </w:r>
      <w:r>
        <w:rPr>
          <w:rFonts w:hint="eastAsia" w:ascii="仿宋_GB2312" w:hAnsi="仿宋_GB2312" w:eastAsia="仿宋_GB2312" w:cs="仿宋_GB2312"/>
          <w:sz w:val="32"/>
          <w:szCs w:val="32"/>
          <w:shd w:val="clear" w:fill="FFFFFF"/>
          <w:lang w:eastAsia="zh-CN"/>
        </w:rPr>
        <w:t>）民兵</w:t>
      </w:r>
      <w:r>
        <w:rPr>
          <w:rFonts w:hint="eastAsia" w:ascii="仿宋_GB2312" w:hAnsi="仿宋_GB2312" w:eastAsia="仿宋_GB2312" w:cs="仿宋_GB2312"/>
          <w:sz w:val="32"/>
          <w:szCs w:val="32"/>
          <w:shd w:val="clear" w:fill="FFFFFF"/>
          <w:lang w:val="en-US" w:eastAsia="zh-CN"/>
        </w:rPr>
        <w:t>（项）：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决算为3</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49120E36">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7.文化旅游体育与传媒支出</w:t>
      </w:r>
      <w:r>
        <w:rPr>
          <w:rFonts w:hint="eastAsia" w:ascii="仿宋_GB2312" w:hAnsi="仿宋_GB2312" w:eastAsia="仿宋_GB2312" w:cs="仿宋_GB2312"/>
          <w:sz w:val="32"/>
          <w:szCs w:val="32"/>
          <w:shd w:val="clear" w:fill="FFFFFF"/>
        </w:rPr>
        <w:t>（类）文化和旅游</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款</w:t>
      </w:r>
      <w:r>
        <w:rPr>
          <w:rFonts w:hint="eastAsia" w:ascii="仿宋_GB2312" w:hAnsi="仿宋_GB2312" w:eastAsia="仿宋_GB2312" w:cs="仿宋_GB2312"/>
          <w:sz w:val="32"/>
          <w:szCs w:val="32"/>
          <w:shd w:val="clear" w:fill="FFFFFF"/>
          <w:lang w:eastAsia="zh-CN"/>
        </w:rPr>
        <w:t>）：</w:t>
      </w:r>
    </w:p>
    <w:p w14:paraId="6DC81C84">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（1）图书馆（项）：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决算为3.60</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1B51DCA3">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（2）群众文化（项）：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决算为0.84</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2F21E0D6">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（3）其他文化和旅游支出（项）：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决算为0.72</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13A8F8D9">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8.社会保障和就业支出</w:t>
      </w:r>
      <w:r>
        <w:rPr>
          <w:rFonts w:hint="eastAsia" w:ascii="仿宋_GB2312" w:hAnsi="仿宋_GB2312" w:eastAsia="仿宋_GB2312" w:cs="仿宋_GB2312"/>
          <w:sz w:val="32"/>
          <w:szCs w:val="32"/>
          <w:shd w:val="clear" w:fill="FFFFFF"/>
        </w:rPr>
        <w:t>（类）行政事业单位养老支出</w:t>
      </w:r>
      <w:r>
        <w:rPr>
          <w:rFonts w:hint="eastAsia" w:ascii="仿宋_GB2312" w:hAnsi="仿宋_GB2312" w:eastAsia="仿宋_GB2312" w:cs="仿宋_GB2312"/>
          <w:sz w:val="32"/>
          <w:szCs w:val="32"/>
          <w:shd w:val="clear" w:fill="FFFFFF"/>
          <w:lang w:eastAsia="zh-CN"/>
        </w:rPr>
        <w:t>（款）：</w:t>
      </w:r>
    </w:p>
    <w:p w14:paraId="6D261DB4">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1</w:t>
      </w:r>
      <w:r>
        <w:rPr>
          <w:rFonts w:hint="eastAsia" w:ascii="仿宋_GB2312" w:hAnsi="仿宋_GB2312" w:eastAsia="仿宋_GB2312" w:cs="仿宋_GB2312"/>
          <w:sz w:val="32"/>
          <w:szCs w:val="32"/>
          <w:shd w:val="clear" w:fill="FFFFFF"/>
          <w:lang w:eastAsia="zh-CN"/>
        </w:rPr>
        <w:t>）机关事业单位基本养老保险缴费支出（项）：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决算为74.02</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1AD3F65D">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2</w:t>
      </w:r>
      <w:r>
        <w:rPr>
          <w:rFonts w:hint="eastAsia" w:ascii="仿宋_GB2312" w:hAnsi="仿宋_GB2312" w:eastAsia="仿宋_GB2312" w:cs="仿宋_GB2312"/>
          <w:sz w:val="32"/>
          <w:szCs w:val="32"/>
          <w:shd w:val="clear" w:fill="FFFFFF"/>
          <w:lang w:eastAsia="zh-CN"/>
        </w:rPr>
        <w:t>）机关事业单位职业年金缴费支出（项）：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决算为37.01</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2A479074">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9.社会保障和就业支出</w:t>
      </w:r>
      <w:r>
        <w:rPr>
          <w:rFonts w:hint="eastAsia" w:ascii="仿宋_GB2312" w:hAnsi="仿宋_GB2312" w:eastAsia="仿宋_GB2312" w:cs="仿宋_GB2312"/>
          <w:sz w:val="32"/>
          <w:szCs w:val="32"/>
          <w:shd w:val="clear" w:fill="FFFFFF"/>
        </w:rPr>
        <w:t>（类）残疾人事业</w:t>
      </w:r>
      <w:r>
        <w:rPr>
          <w:rFonts w:hint="eastAsia" w:ascii="仿宋_GB2312" w:hAnsi="仿宋_GB2312" w:eastAsia="仿宋_GB2312" w:cs="仿宋_GB2312"/>
          <w:sz w:val="32"/>
          <w:szCs w:val="32"/>
          <w:shd w:val="clear" w:fill="FFFFFF"/>
          <w:lang w:eastAsia="zh-CN"/>
        </w:rPr>
        <w:t>（款）其他残疾人事业支出（款）：</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决算为0.30</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33E1526F">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10.卫生健康支出（类）行政事业单位医疗（款）：</w:t>
      </w:r>
    </w:p>
    <w:p w14:paraId="1DF3F8BD">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（1）行政单位医疗（项）：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决算为25.86</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2607557C">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（2）事业单位医疗（项）：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决算为12.15</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170DDD6E">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（3）公务员医疗补助（项）：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决算为4.75</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598FB6B7">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（4）其他行政事业单位医疗支出（项）：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决算为1.98</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70089D52">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11.城乡社区支出</w:t>
      </w:r>
      <w:r>
        <w:rPr>
          <w:rFonts w:hint="eastAsia" w:ascii="仿宋_GB2312" w:hAnsi="仿宋_GB2312" w:eastAsia="仿宋_GB2312" w:cs="仿宋_GB2312"/>
          <w:sz w:val="32"/>
          <w:szCs w:val="32"/>
          <w:shd w:val="clear" w:fill="FFFFFF"/>
        </w:rPr>
        <w:t>（类）城乡社区环境卫生</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款</w:t>
      </w:r>
      <w:r>
        <w:rPr>
          <w:rFonts w:hint="eastAsia" w:ascii="仿宋_GB2312" w:hAnsi="仿宋_GB2312" w:eastAsia="仿宋_GB2312" w:cs="仿宋_GB2312"/>
          <w:sz w:val="32"/>
          <w:szCs w:val="32"/>
          <w:shd w:val="clear" w:fill="FFFFFF"/>
          <w:lang w:eastAsia="zh-CN"/>
        </w:rPr>
        <w:t>）城乡社区环境卫生</w:t>
      </w:r>
      <w:r>
        <w:rPr>
          <w:rFonts w:hint="eastAsia" w:ascii="仿宋_GB2312" w:hAnsi="仿宋_GB2312" w:eastAsia="仿宋_GB2312" w:cs="仿宋_GB2312"/>
          <w:sz w:val="32"/>
          <w:szCs w:val="32"/>
          <w:shd w:val="clear" w:fill="FFFFFF"/>
          <w:lang w:val="en-US" w:eastAsia="zh-CN"/>
        </w:rPr>
        <w:t>（项）：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决算为8.96</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58B6BA08">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12.农林水支出（类）农业农村（款）：</w:t>
      </w:r>
    </w:p>
    <w:p w14:paraId="7D241921">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（1）对高校毕业生到基层任职补助（项）：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决算为4.17</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7AC53C11">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（2）其他农业农村支出（项）：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决算为32.23</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76984E9E">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13.农林水支出</w:t>
      </w:r>
      <w:r>
        <w:rPr>
          <w:rFonts w:hint="eastAsia" w:ascii="仿宋_GB2312" w:hAnsi="仿宋_GB2312" w:eastAsia="仿宋_GB2312" w:cs="仿宋_GB2312"/>
          <w:sz w:val="32"/>
          <w:szCs w:val="32"/>
          <w:shd w:val="clear" w:fill="FFFFFF"/>
        </w:rPr>
        <w:t>（类）林业和草原</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款</w:t>
      </w:r>
      <w:r>
        <w:rPr>
          <w:rFonts w:hint="eastAsia" w:ascii="仿宋_GB2312" w:hAnsi="仿宋_GB2312" w:eastAsia="仿宋_GB2312" w:cs="仿宋_GB2312"/>
          <w:sz w:val="32"/>
          <w:szCs w:val="32"/>
          <w:shd w:val="clear" w:fill="FFFFFF"/>
          <w:lang w:eastAsia="zh-CN"/>
        </w:rPr>
        <w:t>）其他林业和草原支出</w:t>
      </w:r>
      <w:r>
        <w:rPr>
          <w:rFonts w:hint="eastAsia" w:ascii="仿宋_GB2312" w:hAnsi="仿宋_GB2312" w:eastAsia="仿宋_GB2312" w:cs="仿宋_GB2312"/>
          <w:sz w:val="32"/>
          <w:szCs w:val="32"/>
          <w:shd w:val="clear" w:fill="FFFFFF"/>
          <w:lang w:val="en-US" w:eastAsia="zh-CN"/>
        </w:rPr>
        <w:t>（项）：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决算为2.16</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5340D53C">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14.农林水支出</w:t>
      </w:r>
      <w:r>
        <w:rPr>
          <w:rFonts w:hint="eastAsia" w:ascii="仿宋_GB2312" w:hAnsi="仿宋_GB2312" w:eastAsia="仿宋_GB2312" w:cs="仿宋_GB2312"/>
          <w:sz w:val="32"/>
          <w:szCs w:val="32"/>
          <w:shd w:val="clear" w:fill="FFFFFF"/>
        </w:rPr>
        <w:t>（类）</w:t>
      </w:r>
      <w:r>
        <w:rPr>
          <w:rFonts w:hint="eastAsia" w:ascii="仿宋_GB2312" w:hAnsi="仿宋_GB2312" w:eastAsia="仿宋_GB2312" w:cs="仿宋_GB2312"/>
          <w:sz w:val="32"/>
          <w:szCs w:val="32"/>
          <w:shd w:val="clear" w:fill="FFFFFF"/>
          <w:lang w:val="en-US" w:eastAsia="zh-CN"/>
        </w:rPr>
        <w:t>巩固脱贫攻坚成果衔接乡村振兴</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款</w:t>
      </w:r>
      <w:r>
        <w:rPr>
          <w:rFonts w:hint="eastAsia" w:ascii="仿宋_GB2312" w:hAnsi="仿宋_GB2312" w:eastAsia="仿宋_GB2312" w:cs="仿宋_GB2312"/>
          <w:sz w:val="32"/>
          <w:szCs w:val="32"/>
          <w:shd w:val="clear" w:fill="FFFFFF"/>
          <w:lang w:eastAsia="zh-CN"/>
        </w:rPr>
        <w:t>）</w:t>
      </w:r>
    </w:p>
    <w:p w14:paraId="792DDA50">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1</w:t>
      </w:r>
      <w:r>
        <w:rPr>
          <w:rFonts w:hint="eastAsia" w:ascii="仿宋_GB2312" w:hAnsi="仿宋_GB2312" w:eastAsia="仿宋_GB2312" w:cs="仿宋_GB2312"/>
          <w:sz w:val="32"/>
          <w:szCs w:val="32"/>
          <w:shd w:val="clear" w:fill="FFFFFF"/>
          <w:lang w:eastAsia="zh-CN"/>
        </w:rPr>
        <w:t>）农村基础设施建设</w:t>
      </w:r>
      <w:r>
        <w:rPr>
          <w:rFonts w:hint="eastAsia" w:ascii="仿宋_GB2312" w:hAnsi="仿宋_GB2312" w:eastAsia="仿宋_GB2312" w:cs="仿宋_GB2312"/>
          <w:sz w:val="32"/>
          <w:szCs w:val="32"/>
          <w:shd w:val="clear" w:fill="FFFFFF"/>
          <w:lang w:val="en-US" w:eastAsia="zh-CN"/>
        </w:rPr>
        <w:t>（项）：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决算为496.97</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160E36C4">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（2）生产发展（项）：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决算为434.03</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5D9407B5">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（3）其他巩固脱贫攻坚成果衔接乡村振兴支出（项）：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决算为287.54</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5D32C565">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15.农林水支出</w:t>
      </w:r>
      <w:r>
        <w:rPr>
          <w:rFonts w:hint="eastAsia" w:ascii="仿宋_GB2312" w:hAnsi="仿宋_GB2312" w:eastAsia="仿宋_GB2312" w:cs="仿宋_GB2312"/>
          <w:sz w:val="32"/>
          <w:szCs w:val="32"/>
          <w:shd w:val="clear" w:fill="FFFFFF"/>
        </w:rPr>
        <w:t>（类）</w:t>
      </w:r>
      <w:r>
        <w:rPr>
          <w:rFonts w:hint="eastAsia" w:ascii="仿宋_GB2312" w:hAnsi="仿宋_GB2312" w:eastAsia="仿宋_GB2312" w:cs="仿宋_GB2312"/>
          <w:sz w:val="32"/>
          <w:szCs w:val="32"/>
          <w:shd w:val="clear" w:fill="FFFFFF"/>
          <w:lang w:val="en-US" w:eastAsia="zh-CN"/>
        </w:rPr>
        <w:t>农村综合改革</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款</w:t>
      </w:r>
      <w:r>
        <w:rPr>
          <w:rFonts w:hint="eastAsia" w:ascii="仿宋_GB2312" w:hAnsi="仿宋_GB2312" w:eastAsia="仿宋_GB2312" w:cs="仿宋_GB2312"/>
          <w:sz w:val="32"/>
          <w:szCs w:val="32"/>
          <w:shd w:val="clear" w:fill="FFFFFF"/>
          <w:lang w:eastAsia="zh-CN"/>
        </w:rPr>
        <w:t>）对村民委员会和村党支部的补助</w:t>
      </w:r>
      <w:r>
        <w:rPr>
          <w:rFonts w:hint="eastAsia" w:ascii="仿宋_GB2312" w:hAnsi="仿宋_GB2312" w:eastAsia="仿宋_GB2312" w:cs="仿宋_GB2312"/>
          <w:sz w:val="32"/>
          <w:szCs w:val="32"/>
          <w:shd w:val="clear" w:fill="FFFFFF"/>
          <w:lang w:val="en-US" w:eastAsia="zh-CN"/>
        </w:rPr>
        <w:t>（项）：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决算为169.41</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71068E1B">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16.商业服务业等支出（类）其他商业服务业等支出（款）服务业基础设施建设（项）：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决算为198.00</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195D58D2">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17.住房保障支出（类）住房改革支出（款）住房公积金（项）：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决算为65.70</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p>
    <w:p w14:paraId="15A9338B">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pPr>
      <w:r>
        <w:rPr>
          <w:rFonts w:hint="eastAsia" w:ascii="仿宋_GB2312" w:hAnsi="仿宋_GB2312" w:eastAsia="仿宋_GB2312" w:cs="仿宋_GB2312"/>
          <w:sz w:val="32"/>
          <w:szCs w:val="32"/>
          <w:shd w:val="clear" w:fill="FFFFFF"/>
          <w:lang w:val="en-US" w:eastAsia="zh-CN"/>
        </w:rPr>
        <w:t>18.灾害防治及应急管理支出</w:t>
      </w:r>
      <w:r>
        <w:rPr>
          <w:rFonts w:hint="eastAsia" w:ascii="仿宋_GB2312" w:hAnsi="仿宋_GB2312" w:eastAsia="仿宋_GB2312" w:cs="仿宋_GB2312"/>
          <w:sz w:val="32"/>
          <w:szCs w:val="32"/>
          <w:shd w:val="clear" w:fill="FFFFFF"/>
        </w:rPr>
        <w:t>（类）</w:t>
      </w:r>
      <w:r>
        <w:rPr>
          <w:rFonts w:hint="eastAsia" w:ascii="仿宋_GB2312" w:hAnsi="仿宋_GB2312" w:eastAsia="仿宋_GB2312" w:cs="仿宋_GB2312"/>
          <w:sz w:val="32"/>
          <w:szCs w:val="32"/>
          <w:shd w:val="clear" w:fill="FFFFFF"/>
          <w:lang w:val="en-US" w:eastAsia="zh-CN"/>
        </w:rPr>
        <w:t>应急管理事务</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款</w:t>
      </w:r>
      <w:r>
        <w:rPr>
          <w:rFonts w:hint="eastAsia" w:ascii="仿宋_GB2312" w:hAnsi="仿宋_GB2312" w:eastAsia="仿宋_GB2312" w:cs="仿宋_GB2312"/>
          <w:sz w:val="32"/>
          <w:szCs w:val="32"/>
          <w:shd w:val="clear" w:fill="FFFFFF"/>
          <w:lang w:eastAsia="zh-CN"/>
        </w:rPr>
        <w:t>）安全监管</w:t>
      </w:r>
      <w:r>
        <w:rPr>
          <w:rFonts w:hint="eastAsia" w:ascii="仿宋_GB2312" w:hAnsi="仿宋_GB2312" w:eastAsia="仿宋_GB2312" w:cs="仿宋_GB2312"/>
          <w:sz w:val="32"/>
          <w:szCs w:val="32"/>
          <w:shd w:val="clear" w:fill="FFFFFF"/>
          <w:lang w:val="en-US" w:eastAsia="zh-CN"/>
        </w:rPr>
        <w:t>（项）：</w:t>
      </w:r>
      <w:r>
        <w:rPr>
          <w:rFonts w:hint="eastAsia" w:ascii="仿宋_GB2312" w:hAnsi="仿宋_GB2312" w:eastAsia="仿宋_GB2312" w:cs="仿宋_GB2312"/>
          <w:sz w:val="32"/>
          <w:szCs w:val="32"/>
          <w:shd w:val="clear" w:fill="FFFFFF"/>
        </w:rPr>
        <w:t>支出</w:t>
      </w:r>
      <w:r>
        <w:rPr>
          <w:rFonts w:hint="eastAsia" w:ascii="仿宋_GB2312" w:hAnsi="仿宋_GB2312" w:eastAsia="仿宋_GB2312" w:cs="仿宋_GB2312"/>
          <w:sz w:val="32"/>
          <w:szCs w:val="32"/>
          <w:shd w:val="clear" w:fill="FFFFFF"/>
          <w:lang w:val="en-US" w:eastAsia="zh-CN"/>
        </w:rPr>
        <w:t>决算为0.50</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完成预算100%。</w:t>
      </w:r>
      <w:r>
        <w:rPr>
          <w:shd w:val="clear" w:fill="FFFFFF"/>
        </w:rPr>
        <w:t> </w:t>
      </w:r>
    </w:p>
    <w:p w14:paraId="0388E2EC">
      <w:pPr>
        <w:pStyle w:val="17"/>
        <w:keepNext w:val="0"/>
        <w:keepLines w:val="0"/>
        <w:pageBreakBefore w:val="0"/>
        <w:widowControl/>
        <w:suppressLineNumbers w:val="0"/>
        <w:overflowPunct/>
        <w:bidi w:val="0"/>
        <w:spacing w:before="0" w:beforeAutospacing="0" w:afterAutospacing="0" w:line="560" w:lineRule="exact"/>
        <w:ind w:left="0" w:firstLine="1928" w:firstLineChars="600"/>
        <w:jc w:val="left"/>
        <w:rPr>
          <w:rStyle w:val="20"/>
          <w:rFonts w:hint="default" w:eastAsiaTheme="minorEastAsia"/>
          <w:shd w:val="clear" w:fill="FFFFFF"/>
          <w:lang w:val="en-US" w:eastAsia="zh-CN"/>
        </w:rPr>
      </w:pPr>
      <w:r>
        <w:rPr>
          <w:rFonts w:hint="eastAsia" w:ascii="仿宋_GB2312" w:hAnsi="仿宋_GB2312" w:eastAsia="仿宋_GB2312" w:cs="仿宋_GB2312"/>
          <w:b/>
          <w:bCs/>
          <w:sz w:val="32"/>
          <w:szCs w:val="32"/>
          <w:shd w:val="clear" w:fill="FFFFFF"/>
        </w:rPr>
        <w:t>一般公共预算财政拨款支出决算</w:t>
      </w:r>
    </w:p>
    <w:p w14:paraId="7ED10368">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r>
        <w:drawing>
          <wp:anchor distT="0" distB="0" distL="114300" distR="114300" simplePos="0" relativeHeight="251665408" behindDoc="0" locked="0" layoutInCell="1" allowOverlap="1">
            <wp:simplePos x="0" y="0"/>
            <wp:positionH relativeFrom="column">
              <wp:posOffset>38735</wp:posOffset>
            </wp:positionH>
            <wp:positionV relativeFrom="paragraph">
              <wp:posOffset>44450</wp:posOffset>
            </wp:positionV>
            <wp:extent cx="5256530" cy="3103245"/>
            <wp:effectExtent l="4445" t="4445" r="15875" b="16510"/>
            <wp:wrapNone/>
            <wp:docPr id="8"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6C5EC92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p>
    <w:p w14:paraId="51DF461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p>
    <w:p w14:paraId="3921AF1B">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p>
    <w:p w14:paraId="0AF06B37">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p>
    <w:p w14:paraId="2A2A77E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p>
    <w:p w14:paraId="208C5B21">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p>
    <w:p w14:paraId="2837E690">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p>
    <w:p w14:paraId="1E081C9C">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p>
    <w:p w14:paraId="1D33017C">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r>
        <w:rPr>
          <w:rStyle w:val="20"/>
          <w:rFonts w:hint="eastAsia" w:ascii="仿宋_GB2312" w:hAnsi="仿宋_GB2312" w:eastAsia="仿宋_GB2312" w:cs="仿宋_GB2312"/>
          <w:sz w:val="32"/>
          <w:szCs w:val="32"/>
          <w:shd w:val="clear" w:fill="FFFFFF"/>
        </w:rPr>
        <w:t>（注：数据来源于财决0</w:t>
      </w:r>
      <w:r>
        <w:rPr>
          <w:rStyle w:val="20"/>
          <w:rFonts w:hint="eastAsia" w:ascii="仿宋_GB2312" w:hAnsi="仿宋_GB2312" w:eastAsia="仿宋_GB2312" w:cs="仿宋_GB2312"/>
          <w:sz w:val="32"/>
          <w:szCs w:val="32"/>
          <w:shd w:val="clear" w:fill="FFFFFF"/>
          <w:lang w:val="en-US" w:eastAsia="zh-CN"/>
        </w:rPr>
        <w:t>7</w:t>
      </w:r>
      <w:r>
        <w:rPr>
          <w:rStyle w:val="20"/>
          <w:rFonts w:hint="eastAsia" w:ascii="仿宋_GB2312" w:hAnsi="仿宋_GB2312" w:eastAsia="仿宋_GB2312" w:cs="仿宋_GB2312"/>
          <w:sz w:val="32"/>
          <w:szCs w:val="32"/>
          <w:shd w:val="clear" w:fill="FFFFFF"/>
        </w:rPr>
        <w:t>表，仅罗列本部门涉及的全部功能分类科目，至项级。上述“预算”口径为全年预算数。增减变动原因为决算数和全年预算数比较，与预算数持平可以不写原因。）</w:t>
      </w:r>
    </w:p>
    <w:p w14:paraId="56644E23">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both"/>
        <w:textAlignment w:val="auto"/>
        <w:outlineLvl w:val="0"/>
        <w:rPr>
          <w:rFonts w:hint="eastAsia" w:ascii="黑体" w:hAnsi="黑体" w:eastAsia="黑体" w:cs="黑体"/>
          <w:b w:val="0"/>
          <w:bCs/>
          <w:sz w:val="32"/>
          <w:szCs w:val="32"/>
          <w:shd w:val="clear" w:fill="FFFFFF"/>
        </w:rPr>
      </w:pPr>
      <w:bookmarkStart w:id="15" w:name="_Toc12182"/>
      <w:r>
        <w:rPr>
          <w:rStyle w:val="20"/>
          <w:rFonts w:hint="eastAsia" w:ascii="黑体" w:hAnsi="黑体" w:eastAsia="黑体" w:cs="黑体"/>
          <w:b w:val="0"/>
          <w:bCs/>
          <w:sz w:val="32"/>
          <w:szCs w:val="32"/>
          <w:shd w:val="clear" w:fill="FFFFFF"/>
          <w:lang w:val="en-US" w:eastAsia="zh-CN"/>
        </w:rPr>
        <w:t>六、</w:t>
      </w:r>
      <w:r>
        <w:rPr>
          <w:rStyle w:val="20"/>
          <w:rFonts w:hint="eastAsia" w:ascii="黑体" w:hAnsi="黑体" w:eastAsia="黑体" w:cs="黑体"/>
          <w:b w:val="0"/>
          <w:bCs/>
          <w:sz w:val="32"/>
          <w:szCs w:val="32"/>
          <w:shd w:val="clear" w:fill="FFFFFF"/>
        </w:rPr>
        <w:t>一</w:t>
      </w:r>
      <w:r>
        <w:rPr>
          <w:rFonts w:hint="eastAsia" w:ascii="黑体" w:hAnsi="黑体" w:eastAsia="黑体" w:cs="黑体"/>
          <w:b w:val="0"/>
          <w:bCs/>
          <w:sz w:val="32"/>
          <w:szCs w:val="32"/>
          <w:shd w:val="clear" w:fill="FFFFFF"/>
        </w:rPr>
        <w:t>般公共预算财政拨款基本支出决算情况说明   </w:t>
      </w:r>
      <w:bookmarkEnd w:id="15"/>
    </w:p>
    <w:p w14:paraId="1A0A3704">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202</w:t>
      </w:r>
      <w:r>
        <w:rPr>
          <w:rFonts w:hint="eastAsia" w:ascii="仿宋_GB2312" w:hAnsi="仿宋_GB2312" w:eastAsia="仿宋_GB2312" w:cs="仿宋_GB2312"/>
          <w:sz w:val="32"/>
          <w:szCs w:val="32"/>
          <w:shd w:val="clear" w:fill="FFFFFF"/>
          <w:lang w:val="en-US" w:eastAsia="zh-CN"/>
        </w:rPr>
        <w:t>5</w:t>
      </w:r>
      <w:r>
        <w:rPr>
          <w:rFonts w:hint="eastAsia" w:ascii="仿宋_GB2312" w:hAnsi="仿宋_GB2312" w:eastAsia="仿宋_GB2312" w:cs="仿宋_GB2312"/>
          <w:sz w:val="32"/>
          <w:szCs w:val="32"/>
          <w:shd w:val="clear" w:fill="FFFFFF"/>
        </w:rPr>
        <w:t>年一般公共预算财政拨款基本支出1,0</w:t>
      </w:r>
      <w:r>
        <w:rPr>
          <w:rFonts w:hint="eastAsia" w:ascii="仿宋_GB2312" w:hAnsi="仿宋_GB2312" w:eastAsia="仿宋_GB2312" w:cs="仿宋_GB2312"/>
          <w:sz w:val="32"/>
          <w:szCs w:val="32"/>
          <w:shd w:val="clear" w:fill="FFFFFF"/>
          <w:lang w:val="en-US" w:eastAsia="zh-CN"/>
        </w:rPr>
        <w:t>69.71</w:t>
      </w:r>
      <w:r>
        <w:rPr>
          <w:rFonts w:hint="eastAsia" w:ascii="仿宋_GB2312" w:hAnsi="仿宋_GB2312" w:eastAsia="仿宋_GB2312" w:cs="仿宋_GB2312"/>
          <w:sz w:val="32"/>
          <w:szCs w:val="32"/>
          <w:shd w:val="clear" w:fill="FFFFFF"/>
        </w:rPr>
        <w:t>万元，其中：</w:t>
      </w:r>
    </w:p>
    <w:p w14:paraId="59357441">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rPr>
        <w:t>人员经费</w:t>
      </w:r>
      <w:r>
        <w:rPr>
          <w:rFonts w:hint="eastAsia" w:ascii="仿宋_GB2312" w:hAnsi="仿宋_GB2312" w:eastAsia="仿宋_GB2312" w:cs="仿宋_GB2312"/>
          <w:sz w:val="32"/>
          <w:szCs w:val="32"/>
          <w:shd w:val="clear" w:fill="FFFFFF"/>
          <w:lang w:val="en-US" w:eastAsia="zh-CN"/>
        </w:rPr>
        <w:t>981.95</w:t>
      </w:r>
      <w:r>
        <w:rPr>
          <w:rFonts w:hint="eastAsia" w:ascii="仿宋_GB2312" w:hAnsi="仿宋_GB2312" w:eastAsia="仿宋_GB2312" w:cs="仿宋_GB2312"/>
          <w:sz w:val="32"/>
          <w:szCs w:val="32"/>
          <w:shd w:val="clear" w:fill="FFFFFF"/>
        </w:rPr>
        <w:t>万元，主要包括：基本工资</w:t>
      </w:r>
      <w:r>
        <w:rPr>
          <w:rFonts w:hint="eastAsia" w:ascii="仿宋_GB2312" w:hAnsi="仿宋_GB2312" w:eastAsia="仿宋_GB2312" w:cs="仿宋_GB2312"/>
          <w:sz w:val="32"/>
          <w:szCs w:val="32"/>
          <w:shd w:val="clear" w:fill="FFFFFF"/>
          <w:lang w:val="en-US" w:eastAsia="zh-CN"/>
        </w:rPr>
        <w:t>138.85万元</w:t>
      </w:r>
      <w:r>
        <w:rPr>
          <w:rFonts w:hint="eastAsia" w:ascii="仿宋_GB2312" w:hAnsi="仿宋_GB2312" w:eastAsia="仿宋_GB2312" w:cs="仿宋_GB2312"/>
          <w:sz w:val="32"/>
          <w:szCs w:val="32"/>
          <w:shd w:val="clear" w:fill="FFFFFF"/>
        </w:rPr>
        <w:t>、津贴补贴</w:t>
      </w:r>
      <w:r>
        <w:rPr>
          <w:rFonts w:hint="eastAsia" w:ascii="仿宋_GB2312" w:hAnsi="仿宋_GB2312" w:eastAsia="仿宋_GB2312" w:cs="仿宋_GB2312"/>
          <w:sz w:val="32"/>
          <w:szCs w:val="32"/>
          <w:shd w:val="clear" w:fill="FFFFFF"/>
          <w:lang w:val="en-US" w:eastAsia="zh-CN"/>
        </w:rPr>
        <w:t>242.14万元</w:t>
      </w:r>
      <w:r>
        <w:rPr>
          <w:rFonts w:hint="eastAsia" w:ascii="仿宋_GB2312" w:hAnsi="仿宋_GB2312" w:eastAsia="仿宋_GB2312" w:cs="仿宋_GB2312"/>
          <w:sz w:val="32"/>
          <w:szCs w:val="32"/>
          <w:shd w:val="clear" w:fill="FFFFFF"/>
        </w:rPr>
        <w:t>、奖金</w:t>
      </w:r>
      <w:r>
        <w:rPr>
          <w:rFonts w:hint="eastAsia" w:ascii="仿宋_GB2312" w:hAnsi="仿宋_GB2312" w:eastAsia="仿宋_GB2312" w:cs="仿宋_GB2312"/>
          <w:sz w:val="32"/>
          <w:szCs w:val="32"/>
          <w:shd w:val="clear" w:fill="FFFFFF"/>
          <w:lang w:val="en-US" w:eastAsia="zh-CN"/>
        </w:rPr>
        <w:t>108.18万元</w:t>
      </w:r>
      <w:r>
        <w:rPr>
          <w:rFonts w:hint="eastAsia" w:ascii="仿宋_GB2312" w:hAnsi="仿宋_GB2312" w:eastAsia="仿宋_GB2312" w:cs="仿宋_GB2312"/>
          <w:sz w:val="32"/>
          <w:szCs w:val="32"/>
          <w:shd w:val="clear" w:fill="FFFFFF"/>
        </w:rPr>
        <w:t>、绩效工资</w:t>
      </w:r>
      <w:r>
        <w:rPr>
          <w:rFonts w:hint="eastAsia" w:ascii="仿宋_GB2312" w:hAnsi="仿宋_GB2312" w:eastAsia="仿宋_GB2312" w:cs="仿宋_GB2312"/>
          <w:sz w:val="32"/>
          <w:szCs w:val="32"/>
          <w:shd w:val="clear" w:fill="FFFFFF"/>
          <w:lang w:val="en-US" w:eastAsia="zh-CN"/>
        </w:rPr>
        <w:t>29.54万元</w:t>
      </w:r>
      <w:r>
        <w:rPr>
          <w:rFonts w:hint="eastAsia" w:ascii="仿宋_GB2312" w:hAnsi="仿宋_GB2312" w:eastAsia="仿宋_GB2312" w:cs="仿宋_GB2312"/>
          <w:sz w:val="32"/>
          <w:szCs w:val="32"/>
          <w:shd w:val="clear" w:fill="FFFFFF"/>
        </w:rPr>
        <w:t>、机关事业单位基本养老保险缴费</w:t>
      </w:r>
      <w:r>
        <w:rPr>
          <w:rFonts w:hint="eastAsia" w:ascii="仿宋_GB2312" w:hAnsi="仿宋_GB2312" w:eastAsia="仿宋_GB2312" w:cs="仿宋_GB2312"/>
          <w:sz w:val="32"/>
          <w:szCs w:val="32"/>
          <w:shd w:val="clear" w:fill="FFFFFF"/>
          <w:lang w:val="en-US" w:eastAsia="zh-CN"/>
        </w:rPr>
        <w:t>74.02万元</w:t>
      </w:r>
      <w:r>
        <w:rPr>
          <w:rFonts w:hint="eastAsia" w:ascii="仿宋_GB2312" w:hAnsi="仿宋_GB2312" w:eastAsia="仿宋_GB2312" w:cs="仿宋_GB2312"/>
          <w:sz w:val="32"/>
          <w:szCs w:val="32"/>
          <w:shd w:val="clear" w:fill="FFFFFF"/>
        </w:rPr>
        <w:t>、职业年金缴费</w:t>
      </w:r>
      <w:r>
        <w:rPr>
          <w:rFonts w:hint="eastAsia" w:ascii="仿宋_GB2312" w:hAnsi="仿宋_GB2312" w:eastAsia="仿宋_GB2312" w:cs="仿宋_GB2312"/>
          <w:sz w:val="32"/>
          <w:szCs w:val="32"/>
          <w:shd w:val="clear" w:fill="FFFFFF"/>
          <w:lang w:val="en-US" w:eastAsia="zh-CN"/>
        </w:rPr>
        <w:t>37.01万元</w:t>
      </w:r>
      <w:r>
        <w:rPr>
          <w:rFonts w:hint="eastAsia" w:ascii="仿宋_GB2312" w:hAnsi="仿宋_GB2312" w:eastAsia="仿宋_GB2312" w:cs="仿宋_GB2312"/>
          <w:sz w:val="32"/>
          <w:szCs w:val="32"/>
          <w:shd w:val="clear" w:fill="FFFFFF"/>
        </w:rPr>
        <w:t>、</w:t>
      </w:r>
      <w:r>
        <w:rPr>
          <w:rFonts w:hint="eastAsia" w:ascii="仿宋_GB2312" w:hAnsi="仿宋_GB2312" w:eastAsia="仿宋_GB2312" w:cs="仿宋_GB2312"/>
          <w:sz w:val="32"/>
          <w:szCs w:val="32"/>
          <w:shd w:val="clear" w:fill="FFFFFF"/>
          <w:lang w:val="en-US" w:eastAsia="zh-CN"/>
        </w:rPr>
        <w:t>职工基本医疗保险缴费38.01万元，公务员医疗补助缴费6.73万元，</w:t>
      </w:r>
      <w:r>
        <w:rPr>
          <w:rFonts w:hint="eastAsia" w:ascii="仿宋_GB2312" w:hAnsi="仿宋_GB2312" w:eastAsia="仿宋_GB2312" w:cs="仿宋_GB2312"/>
          <w:sz w:val="32"/>
          <w:szCs w:val="32"/>
          <w:shd w:val="clear" w:fill="FFFFFF"/>
        </w:rPr>
        <w:t>其他社会保障缴费</w:t>
      </w:r>
      <w:r>
        <w:rPr>
          <w:rFonts w:hint="eastAsia" w:ascii="仿宋_GB2312" w:hAnsi="仿宋_GB2312" w:eastAsia="仿宋_GB2312" w:cs="仿宋_GB2312"/>
          <w:sz w:val="32"/>
          <w:szCs w:val="32"/>
          <w:shd w:val="clear" w:fill="FFFFFF"/>
          <w:lang w:val="en-US" w:eastAsia="zh-CN"/>
        </w:rPr>
        <w:t>1.68万元</w:t>
      </w:r>
      <w:r>
        <w:rPr>
          <w:rFonts w:hint="eastAsia" w:ascii="仿宋_GB2312" w:hAnsi="仿宋_GB2312" w:eastAsia="仿宋_GB2312" w:cs="仿宋_GB2312"/>
          <w:sz w:val="32"/>
          <w:szCs w:val="32"/>
          <w:shd w:val="clear" w:fill="FFFFFF"/>
        </w:rPr>
        <w:t>、住房公积金</w:t>
      </w:r>
      <w:r>
        <w:rPr>
          <w:rFonts w:hint="eastAsia" w:ascii="仿宋_GB2312" w:hAnsi="仿宋_GB2312" w:eastAsia="仿宋_GB2312" w:cs="仿宋_GB2312"/>
          <w:sz w:val="32"/>
          <w:szCs w:val="32"/>
          <w:shd w:val="clear" w:fill="FFFFFF"/>
          <w:lang w:val="en-US" w:eastAsia="zh-CN"/>
        </w:rPr>
        <w:t>65.70万元、医疗费5.73万元、  其他工资福利支出89.47万元、</w:t>
      </w:r>
      <w:r>
        <w:rPr>
          <w:rFonts w:hint="eastAsia" w:ascii="仿宋_GB2312" w:hAnsi="仿宋_GB2312" w:eastAsia="仿宋_GB2312" w:cs="仿宋_GB2312"/>
          <w:sz w:val="32"/>
          <w:szCs w:val="32"/>
          <w:shd w:val="clear" w:fill="FFFFFF"/>
        </w:rPr>
        <w:t>生活补助</w:t>
      </w:r>
      <w:r>
        <w:rPr>
          <w:rFonts w:hint="eastAsia" w:ascii="仿宋_GB2312" w:hAnsi="仿宋_GB2312" w:eastAsia="仿宋_GB2312" w:cs="仿宋_GB2312"/>
          <w:sz w:val="32"/>
          <w:szCs w:val="32"/>
          <w:shd w:val="clear" w:fill="FFFFFF"/>
          <w:lang w:val="en-US" w:eastAsia="zh-CN"/>
        </w:rPr>
        <w:t>144.12万元</w:t>
      </w:r>
      <w:r>
        <w:rPr>
          <w:rFonts w:hint="eastAsia" w:ascii="仿宋_GB2312" w:hAnsi="仿宋_GB2312" w:eastAsia="仿宋_GB2312" w:cs="仿宋_GB2312"/>
          <w:sz w:val="32"/>
          <w:szCs w:val="32"/>
          <w:shd w:val="clear" w:fill="FFFFFF"/>
        </w:rPr>
        <w:t>、医疗费补助</w:t>
      </w:r>
      <w:r>
        <w:rPr>
          <w:rFonts w:hint="eastAsia" w:ascii="仿宋_GB2312" w:hAnsi="仿宋_GB2312" w:eastAsia="仿宋_GB2312" w:cs="仿宋_GB2312"/>
          <w:sz w:val="32"/>
          <w:szCs w:val="32"/>
          <w:shd w:val="clear" w:fill="FFFFFF"/>
          <w:lang w:val="en-US" w:eastAsia="zh-CN"/>
        </w:rPr>
        <w:t>0.76万元</w:t>
      </w:r>
      <w:r>
        <w:rPr>
          <w:rFonts w:hint="eastAsia" w:ascii="仿宋_GB2312" w:hAnsi="仿宋_GB2312" w:eastAsia="仿宋_GB2312" w:cs="仿宋_GB2312"/>
          <w:sz w:val="32"/>
          <w:szCs w:val="32"/>
          <w:shd w:val="clear" w:fill="FFFFFF"/>
        </w:rPr>
        <w:t>、奖励金</w:t>
      </w:r>
      <w:r>
        <w:rPr>
          <w:rFonts w:hint="eastAsia" w:ascii="仿宋_GB2312" w:hAnsi="仿宋_GB2312" w:eastAsia="仿宋_GB2312" w:cs="仿宋_GB2312"/>
          <w:sz w:val="32"/>
          <w:szCs w:val="32"/>
          <w:shd w:val="clear" w:fill="FFFFFF"/>
          <w:lang w:val="en-US" w:eastAsia="zh-CN"/>
        </w:rPr>
        <w:t>0.01万元。</w:t>
      </w:r>
    </w:p>
    <w:p w14:paraId="7A18E007">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both"/>
        <w:textAlignment w:val="auto"/>
        <w:rPr>
          <w:rStyle w:val="20"/>
          <w:rFonts w:hint="eastAsia" w:ascii="仿宋_GB2312" w:hAnsi="仿宋_GB2312" w:eastAsia="仿宋_GB2312" w:cs="仿宋_GB2312"/>
          <w:sz w:val="32"/>
          <w:szCs w:val="32"/>
          <w:shd w:val="clear" w:fill="FFFFFF"/>
        </w:rPr>
      </w:pPr>
      <w:r>
        <w:rPr>
          <w:rFonts w:hint="eastAsia" w:ascii="仿宋_GB2312" w:hAnsi="仿宋_GB2312" w:eastAsia="仿宋_GB2312" w:cs="仿宋_GB2312"/>
          <w:sz w:val="32"/>
          <w:szCs w:val="32"/>
          <w:shd w:val="clear" w:fill="FFFFFF"/>
        </w:rPr>
        <w:t>　　公用经费</w:t>
      </w:r>
      <w:r>
        <w:rPr>
          <w:rFonts w:hint="eastAsia" w:ascii="仿宋_GB2312" w:hAnsi="仿宋_GB2312" w:eastAsia="仿宋_GB2312" w:cs="仿宋_GB2312"/>
          <w:sz w:val="32"/>
          <w:szCs w:val="32"/>
          <w:shd w:val="clear" w:fill="FFFFFF"/>
          <w:lang w:val="en-US" w:eastAsia="zh-CN"/>
        </w:rPr>
        <w:t>87.76</w:t>
      </w:r>
      <w:r>
        <w:rPr>
          <w:rFonts w:hint="eastAsia" w:ascii="仿宋_GB2312" w:hAnsi="仿宋_GB2312" w:eastAsia="仿宋_GB2312" w:cs="仿宋_GB2312"/>
          <w:sz w:val="32"/>
          <w:szCs w:val="32"/>
          <w:shd w:val="clear" w:fill="FFFFFF"/>
        </w:rPr>
        <w:t>万元，主要包括：办公费</w:t>
      </w:r>
      <w:r>
        <w:rPr>
          <w:rFonts w:hint="eastAsia" w:ascii="仿宋_GB2312" w:hAnsi="仿宋_GB2312" w:eastAsia="仿宋_GB2312" w:cs="仿宋_GB2312"/>
          <w:sz w:val="32"/>
          <w:szCs w:val="32"/>
          <w:shd w:val="clear" w:fill="FFFFFF"/>
          <w:lang w:val="en-US" w:eastAsia="zh-CN"/>
        </w:rPr>
        <w:t>12.30万元</w:t>
      </w:r>
      <w:r>
        <w:rPr>
          <w:rFonts w:hint="eastAsia" w:ascii="仿宋_GB2312" w:hAnsi="仿宋_GB2312" w:eastAsia="仿宋_GB2312" w:cs="仿宋_GB2312"/>
          <w:sz w:val="32"/>
          <w:szCs w:val="32"/>
          <w:shd w:val="clear" w:fill="FFFFFF"/>
        </w:rPr>
        <w:t>、印刷费</w:t>
      </w:r>
      <w:r>
        <w:rPr>
          <w:rFonts w:hint="eastAsia" w:ascii="仿宋_GB2312" w:hAnsi="仿宋_GB2312" w:eastAsia="仿宋_GB2312" w:cs="仿宋_GB2312"/>
          <w:sz w:val="32"/>
          <w:szCs w:val="32"/>
          <w:shd w:val="clear" w:fill="FFFFFF"/>
          <w:lang w:val="en-US" w:eastAsia="zh-CN"/>
        </w:rPr>
        <w:t>13.07万元</w:t>
      </w:r>
      <w:r>
        <w:rPr>
          <w:rFonts w:hint="eastAsia" w:ascii="仿宋_GB2312" w:hAnsi="仿宋_GB2312" w:eastAsia="仿宋_GB2312" w:cs="仿宋_GB2312"/>
          <w:sz w:val="32"/>
          <w:szCs w:val="32"/>
          <w:shd w:val="clear" w:fill="FFFFFF"/>
        </w:rPr>
        <w:t>、</w:t>
      </w:r>
      <w:r>
        <w:rPr>
          <w:rFonts w:hint="eastAsia" w:ascii="仿宋_GB2312" w:hAnsi="仿宋_GB2312" w:eastAsia="仿宋_GB2312" w:cs="仿宋_GB2312"/>
          <w:sz w:val="32"/>
          <w:szCs w:val="32"/>
          <w:shd w:val="clear" w:fill="FFFFFF"/>
          <w:lang w:eastAsia="zh-CN"/>
        </w:rPr>
        <w:t>水费</w:t>
      </w:r>
      <w:r>
        <w:rPr>
          <w:rFonts w:hint="eastAsia" w:ascii="仿宋_GB2312" w:hAnsi="仿宋_GB2312" w:eastAsia="仿宋_GB2312" w:cs="仿宋_GB2312"/>
          <w:sz w:val="32"/>
          <w:szCs w:val="32"/>
          <w:shd w:val="clear" w:fill="FFFFFF"/>
          <w:lang w:val="en-US" w:eastAsia="zh-CN"/>
        </w:rPr>
        <w:t>1.00万元</w:t>
      </w:r>
      <w:r>
        <w:rPr>
          <w:rFonts w:hint="eastAsia" w:ascii="仿宋_GB2312" w:hAnsi="仿宋_GB2312" w:eastAsia="仿宋_GB2312" w:cs="仿宋_GB2312"/>
          <w:sz w:val="32"/>
          <w:szCs w:val="32"/>
          <w:shd w:val="clear" w:fill="FFFFFF"/>
        </w:rPr>
        <w:t>、电费</w:t>
      </w:r>
      <w:r>
        <w:rPr>
          <w:rFonts w:hint="eastAsia" w:ascii="仿宋_GB2312" w:hAnsi="仿宋_GB2312" w:eastAsia="仿宋_GB2312" w:cs="仿宋_GB2312"/>
          <w:sz w:val="32"/>
          <w:szCs w:val="32"/>
          <w:shd w:val="clear" w:fill="FFFFFF"/>
          <w:lang w:val="en-US" w:eastAsia="zh-CN"/>
        </w:rPr>
        <w:t>9.08万元</w:t>
      </w:r>
      <w:r>
        <w:rPr>
          <w:rFonts w:hint="eastAsia" w:ascii="仿宋_GB2312" w:hAnsi="仿宋_GB2312" w:eastAsia="仿宋_GB2312" w:cs="仿宋_GB2312"/>
          <w:sz w:val="32"/>
          <w:szCs w:val="32"/>
          <w:shd w:val="clear" w:fill="FFFFFF"/>
        </w:rPr>
        <w:t>、邮电费</w:t>
      </w:r>
      <w:r>
        <w:rPr>
          <w:rFonts w:hint="eastAsia" w:ascii="仿宋_GB2312" w:hAnsi="仿宋_GB2312" w:eastAsia="仿宋_GB2312" w:cs="仿宋_GB2312"/>
          <w:sz w:val="32"/>
          <w:szCs w:val="32"/>
          <w:shd w:val="clear" w:fill="FFFFFF"/>
          <w:lang w:val="en-US" w:eastAsia="zh-CN"/>
        </w:rPr>
        <w:t>5.97万元</w:t>
      </w:r>
      <w:r>
        <w:rPr>
          <w:rFonts w:hint="eastAsia" w:ascii="仿宋_GB2312" w:hAnsi="仿宋_GB2312" w:eastAsia="仿宋_GB2312" w:cs="仿宋_GB2312"/>
          <w:sz w:val="32"/>
          <w:szCs w:val="32"/>
          <w:shd w:val="clear" w:fill="FFFFFF"/>
        </w:rPr>
        <w:t>、取暖费</w:t>
      </w:r>
      <w:r>
        <w:rPr>
          <w:rFonts w:hint="eastAsia" w:ascii="仿宋_GB2312" w:hAnsi="仿宋_GB2312" w:eastAsia="仿宋_GB2312" w:cs="仿宋_GB2312"/>
          <w:sz w:val="32"/>
          <w:szCs w:val="32"/>
          <w:shd w:val="clear" w:fill="FFFFFF"/>
          <w:lang w:val="en-US" w:eastAsia="zh-CN"/>
        </w:rPr>
        <w:t>9.80万元</w:t>
      </w:r>
      <w:r>
        <w:rPr>
          <w:rFonts w:hint="eastAsia" w:ascii="仿宋_GB2312" w:hAnsi="仿宋_GB2312" w:eastAsia="仿宋_GB2312" w:cs="仿宋_GB2312"/>
          <w:sz w:val="32"/>
          <w:szCs w:val="32"/>
          <w:shd w:val="clear" w:fill="FFFFFF"/>
        </w:rPr>
        <w:t>、差旅费</w:t>
      </w:r>
      <w:r>
        <w:rPr>
          <w:rFonts w:hint="eastAsia" w:ascii="仿宋_GB2312" w:hAnsi="仿宋_GB2312" w:eastAsia="仿宋_GB2312" w:cs="仿宋_GB2312"/>
          <w:sz w:val="32"/>
          <w:szCs w:val="32"/>
          <w:shd w:val="clear" w:fill="FFFFFF"/>
          <w:lang w:val="en-US" w:eastAsia="zh-CN"/>
        </w:rPr>
        <w:t>2.68万元</w:t>
      </w:r>
      <w:r>
        <w:rPr>
          <w:rFonts w:hint="eastAsia" w:ascii="仿宋_GB2312" w:hAnsi="仿宋_GB2312" w:eastAsia="仿宋_GB2312" w:cs="仿宋_GB2312"/>
          <w:sz w:val="32"/>
          <w:szCs w:val="32"/>
          <w:shd w:val="clear" w:fill="FFFFFF"/>
        </w:rPr>
        <w:t>、维修（护）费</w:t>
      </w:r>
      <w:r>
        <w:rPr>
          <w:rFonts w:hint="eastAsia" w:ascii="仿宋_GB2312" w:hAnsi="仿宋_GB2312" w:eastAsia="仿宋_GB2312" w:cs="仿宋_GB2312"/>
          <w:sz w:val="32"/>
          <w:szCs w:val="32"/>
          <w:shd w:val="clear" w:fill="FFFFFF"/>
          <w:lang w:val="en-US" w:eastAsia="zh-CN"/>
        </w:rPr>
        <w:t>2.66万元</w:t>
      </w:r>
      <w:r>
        <w:rPr>
          <w:rFonts w:hint="eastAsia" w:ascii="仿宋_GB2312" w:hAnsi="仿宋_GB2312" w:eastAsia="仿宋_GB2312" w:cs="仿宋_GB2312"/>
          <w:sz w:val="32"/>
          <w:szCs w:val="32"/>
          <w:shd w:val="clear" w:fill="FFFFFF"/>
        </w:rPr>
        <w:t>、培训费</w:t>
      </w:r>
      <w:r>
        <w:rPr>
          <w:rFonts w:hint="eastAsia" w:ascii="仿宋_GB2312" w:hAnsi="仿宋_GB2312" w:eastAsia="仿宋_GB2312" w:cs="仿宋_GB2312"/>
          <w:sz w:val="32"/>
          <w:szCs w:val="32"/>
          <w:shd w:val="clear" w:fill="FFFFFF"/>
          <w:lang w:val="en-US" w:eastAsia="zh-CN"/>
        </w:rPr>
        <w:t>0.37万元</w:t>
      </w:r>
      <w:r>
        <w:rPr>
          <w:rFonts w:hint="eastAsia" w:ascii="仿宋_GB2312" w:hAnsi="仿宋_GB2312" w:eastAsia="仿宋_GB2312" w:cs="仿宋_GB2312"/>
          <w:sz w:val="32"/>
          <w:szCs w:val="32"/>
          <w:shd w:val="clear" w:fill="FFFFFF"/>
        </w:rPr>
        <w:t>、委托业务费</w:t>
      </w:r>
      <w:r>
        <w:rPr>
          <w:rFonts w:hint="eastAsia" w:ascii="仿宋_GB2312" w:hAnsi="仿宋_GB2312" w:eastAsia="仿宋_GB2312" w:cs="仿宋_GB2312"/>
          <w:sz w:val="32"/>
          <w:szCs w:val="32"/>
          <w:shd w:val="clear" w:fill="FFFFFF"/>
          <w:lang w:val="en-US" w:eastAsia="zh-CN"/>
        </w:rPr>
        <w:t>1.47万元</w:t>
      </w:r>
      <w:r>
        <w:rPr>
          <w:rFonts w:hint="eastAsia" w:ascii="仿宋_GB2312" w:hAnsi="仿宋_GB2312" w:eastAsia="仿宋_GB2312" w:cs="仿宋_GB2312"/>
          <w:sz w:val="32"/>
          <w:szCs w:val="32"/>
          <w:shd w:val="clear" w:fill="FFFFFF"/>
        </w:rPr>
        <w:t>、工会经费</w:t>
      </w:r>
      <w:r>
        <w:rPr>
          <w:rFonts w:hint="eastAsia" w:ascii="仿宋_GB2312" w:hAnsi="仿宋_GB2312" w:eastAsia="仿宋_GB2312" w:cs="仿宋_GB2312"/>
          <w:sz w:val="32"/>
          <w:szCs w:val="32"/>
          <w:shd w:val="clear" w:fill="FFFFFF"/>
          <w:lang w:val="en-US" w:eastAsia="zh-CN"/>
        </w:rPr>
        <w:t>5.81万元</w:t>
      </w:r>
      <w:r>
        <w:rPr>
          <w:rFonts w:hint="eastAsia" w:ascii="仿宋_GB2312" w:hAnsi="仿宋_GB2312" w:eastAsia="仿宋_GB2312" w:cs="仿宋_GB2312"/>
          <w:sz w:val="32"/>
          <w:szCs w:val="32"/>
          <w:shd w:val="clear" w:fill="FFFFFF"/>
        </w:rPr>
        <w:t>、福利费</w:t>
      </w:r>
      <w:r>
        <w:rPr>
          <w:rFonts w:hint="eastAsia" w:ascii="仿宋_GB2312" w:hAnsi="仿宋_GB2312" w:eastAsia="仿宋_GB2312" w:cs="仿宋_GB2312"/>
          <w:sz w:val="32"/>
          <w:szCs w:val="32"/>
          <w:shd w:val="clear" w:fill="FFFFFF"/>
          <w:lang w:val="en-US" w:eastAsia="zh-CN"/>
        </w:rPr>
        <w:t>12.10万元</w:t>
      </w:r>
      <w:r>
        <w:rPr>
          <w:rFonts w:hint="eastAsia" w:ascii="仿宋_GB2312" w:hAnsi="仿宋_GB2312" w:eastAsia="仿宋_GB2312" w:cs="仿宋_GB2312"/>
          <w:sz w:val="32"/>
          <w:szCs w:val="32"/>
          <w:shd w:val="clear" w:fill="FFFFFF"/>
        </w:rPr>
        <w:t>、公务用车运行维护费</w:t>
      </w:r>
      <w:r>
        <w:rPr>
          <w:rFonts w:hint="eastAsia" w:ascii="仿宋_GB2312" w:hAnsi="仿宋_GB2312" w:eastAsia="仿宋_GB2312" w:cs="仿宋_GB2312"/>
          <w:sz w:val="32"/>
          <w:szCs w:val="32"/>
          <w:shd w:val="clear" w:fill="FFFFFF"/>
          <w:lang w:val="en-US" w:eastAsia="zh-CN"/>
        </w:rPr>
        <w:t>10.91万元</w:t>
      </w:r>
      <w:r>
        <w:rPr>
          <w:rFonts w:hint="eastAsia" w:ascii="仿宋_GB2312" w:hAnsi="仿宋_GB2312" w:eastAsia="仿宋_GB2312" w:cs="仿宋_GB2312"/>
          <w:sz w:val="32"/>
          <w:szCs w:val="32"/>
          <w:shd w:val="clear" w:fill="FFFFFF"/>
        </w:rPr>
        <w:t>、其他商品和服务支出</w:t>
      </w:r>
      <w:r>
        <w:rPr>
          <w:rFonts w:hint="eastAsia" w:ascii="仿宋_GB2312" w:hAnsi="仿宋_GB2312" w:eastAsia="仿宋_GB2312" w:cs="仿宋_GB2312"/>
          <w:sz w:val="32"/>
          <w:szCs w:val="32"/>
          <w:shd w:val="clear" w:fill="FFFFFF"/>
          <w:lang w:val="en-US" w:eastAsia="zh-CN"/>
        </w:rPr>
        <w:t>0.55万元</w:t>
      </w:r>
      <w:r>
        <w:rPr>
          <w:rFonts w:hint="eastAsia" w:ascii="仿宋_GB2312" w:hAnsi="仿宋_GB2312" w:eastAsia="仿宋_GB2312" w:cs="仿宋_GB2312"/>
          <w:sz w:val="32"/>
          <w:szCs w:val="32"/>
          <w:shd w:val="clear" w:fill="FFFFFF"/>
        </w:rPr>
        <w:t>。</w:t>
      </w:r>
    </w:p>
    <w:p w14:paraId="6D71098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both"/>
        <w:textAlignment w:val="auto"/>
        <w:outlineLvl w:val="0"/>
        <w:rPr>
          <w:rFonts w:hint="eastAsia" w:ascii="黑体" w:hAnsi="黑体" w:eastAsia="黑体" w:cs="黑体"/>
          <w:sz w:val="32"/>
          <w:szCs w:val="32"/>
        </w:rPr>
      </w:pPr>
      <w:bookmarkStart w:id="16" w:name="_Toc129"/>
      <w:r>
        <w:rPr>
          <w:rFonts w:hint="eastAsia" w:ascii="黑体" w:hAnsi="黑体" w:eastAsia="黑体" w:cs="黑体"/>
          <w:sz w:val="32"/>
          <w:szCs w:val="32"/>
          <w:shd w:val="clear" w:fill="FFFFFF"/>
          <w:lang w:val="en-US" w:eastAsia="zh-CN"/>
        </w:rPr>
        <w:t>七</w:t>
      </w:r>
      <w:r>
        <w:rPr>
          <w:rFonts w:hint="eastAsia" w:ascii="黑体" w:hAnsi="黑体" w:eastAsia="黑体" w:cs="黑体"/>
          <w:sz w:val="32"/>
          <w:szCs w:val="32"/>
          <w:shd w:val="clear" w:fill="FFFFFF"/>
        </w:rPr>
        <w:t>、“三公”经费财政拨款支出决算情况说明</w:t>
      </w:r>
      <w:bookmarkEnd w:id="16"/>
    </w:p>
    <w:p w14:paraId="51A760B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both"/>
        <w:textAlignment w:val="auto"/>
        <w:outlineLvl w:val="1"/>
        <w:rPr>
          <w:rFonts w:hint="eastAsia" w:ascii="仿宋_GB2312" w:hAnsi="仿宋_GB2312" w:eastAsia="仿宋_GB2312" w:cs="仿宋_GB2312"/>
          <w:sz w:val="32"/>
          <w:szCs w:val="32"/>
        </w:rPr>
      </w:pPr>
      <w:bookmarkStart w:id="17" w:name="_Toc11864"/>
      <w:r>
        <w:rPr>
          <w:rStyle w:val="20"/>
          <w:rFonts w:hint="eastAsia" w:ascii="仿宋_GB2312" w:hAnsi="仿宋_GB2312" w:eastAsia="仿宋_GB2312" w:cs="仿宋_GB2312"/>
          <w:sz w:val="32"/>
          <w:szCs w:val="32"/>
          <w:shd w:val="clear" w:fill="FFFFFF"/>
        </w:rPr>
        <w:t>（一）“三公”经费财政拨款支出决算总体情况说明</w:t>
      </w:r>
      <w:bookmarkEnd w:id="17"/>
    </w:p>
    <w:p w14:paraId="5DFB5D00">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shd w:val="clear" w:fill="FFFFFF"/>
        </w:rPr>
        <w:t>202</w:t>
      </w:r>
      <w:r>
        <w:rPr>
          <w:rFonts w:hint="eastAsia" w:ascii="仿宋_GB2312" w:hAnsi="仿宋_GB2312" w:eastAsia="仿宋_GB2312" w:cs="仿宋_GB2312"/>
          <w:sz w:val="32"/>
          <w:szCs w:val="32"/>
          <w:shd w:val="clear" w:fill="FFFFFF"/>
          <w:lang w:val="en-US" w:eastAsia="zh-CN"/>
        </w:rPr>
        <w:t>5</w:t>
      </w:r>
      <w:r>
        <w:rPr>
          <w:rFonts w:hint="eastAsia" w:ascii="仿宋_GB2312" w:hAnsi="仿宋_GB2312" w:eastAsia="仿宋_GB2312" w:cs="仿宋_GB2312"/>
          <w:sz w:val="32"/>
          <w:szCs w:val="32"/>
          <w:shd w:val="clear" w:fill="FFFFFF"/>
        </w:rPr>
        <w:t>年“三公”经费财政拨款支出决算为1</w:t>
      </w:r>
      <w:r>
        <w:rPr>
          <w:rFonts w:hint="eastAsia" w:ascii="仿宋_GB2312" w:hAnsi="仿宋_GB2312" w:eastAsia="仿宋_GB2312" w:cs="仿宋_GB2312"/>
          <w:sz w:val="32"/>
          <w:szCs w:val="32"/>
          <w:shd w:val="clear" w:fill="FFFFFF"/>
          <w:lang w:val="en-US" w:eastAsia="zh-CN"/>
        </w:rPr>
        <w:t>0.91</w:t>
      </w:r>
      <w:r>
        <w:rPr>
          <w:rFonts w:hint="eastAsia" w:ascii="仿宋_GB2312" w:hAnsi="仿宋_GB2312" w:eastAsia="仿宋_GB2312" w:cs="仿宋_GB2312"/>
          <w:sz w:val="32"/>
          <w:szCs w:val="32"/>
          <w:shd w:val="clear" w:fill="FFFFFF"/>
        </w:rPr>
        <w:t>万元，完成预算</w:t>
      </w:r>
      <w:r>
        <w:rPr>
          <w:rFonts w:hint="eastAsia" w:ascii="仿宋_GB2312" w:hAnsi="仿宋_GB2312" w:eastAsia="仿宋_GB2312" w:cs="仿宋_GB2312"/>
          <w:sz w:val="32"/>
          <w:szCs w:val="32"/>
          <w:shd w:val="clear" w:fill="FFFFFF"/>
          <w:lang w:val="en-US" w:eastAsia="zh-CN"/>
        </w:rPr>
        <w:t>74.52</w:t>
      </w:r>
      <w:r>
        <w:rPr>
          <w:rFonts w:hint="eastAsia" w:ascii="仿宋_GB2312" w:hAnsi="仿宋_GB2312" w:eastAsia="仿宋_GB2312" w:cs="仿宋_GB2312"/>
          <w:sz w:val="32"/>
          <w:szCs w:val="32"/>
          <w:shd w:val="clear" w:fill="FFFFFF"/>
        </w:rPr>
        <w:t>%，决算数</w:t>
      </w:r>
      <w:r>
        <w:rPr>
          <w:rFonts w:hint="eastAsia" w:ascii="仿宋_GB2312" w:hAnsi="仿宋_GB2312" w:eastAsia="仿宋_GB2312" w:cs="仿宋_GB2312"/>
          <w:sz w:val="32"/>
          <w:szCs w:val="32"/>
          <w:shd w:val="clear" w:fill="FFFFFF"/>
          <w:lang w:eastAsia="zh-CN"/>
        </w:rPr>
        <w:t>小于</w:t>
      </w:r>
      <w:r>
        <w:rPr>
          <w:rFonts w:hint="eastAsia" w:ascii="仿宋_GB2312" w:hAnsi="仿宋_GB2312" w:eastAsia="仿宋_GB2312" w:cs="仿宋_GB2312"/>
          <w:sz w:val="32"/>
          <w:szCs w:val="32"/>
          <w:shd w:val="clear" w:fill="FFFFFF"/>
        </w:rPr>
        <w:t>预算数</w:t>
      </w:r>
      <w:r>
        <w:rPr>
          <w:rFonts w:hint="eastAsia" w:ascii="仿宋_GB2312" w:hAnsi="仿宋_GB2312" w:eastAsia="仿宋_GB2312" w:cs="仿宋_GB2312"/>
          <w:sz w:val="32"/>
          <w:szCs w:val="32"/>
          <w:shd w:val="clear" w:fill="FFFFFF"/>
          <w:lang w:eastAsia="zh-CN"/>
        </w:rPr>
        <w:t>，原因为厉行节约，规范公务用车的使用。</w:t>
      </w:r>
    </w:p>
    <w:p w14:paraId="18E5DF6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3" w:firstLineChars="200"/>
        <w:jc w:val="both"/>
        <w:textAlignment w:val="auto"/>
        <w:rPr>
          <w:rFonts w:hint="eastAsia" w:ascii="仿宋_GB2312" w:hAnsi="仿宋_GB2312" w:eastAsia="仿宋_GB2312" w:cs="仿宋_GB2312"/>
          <w:sz w:val="32"/>
          <w:szCs w:val="32"/>
        </w:rPr>
      </w:pPr>
      <w:r>
        <w:rPr>
          <w:rStyle w:val="20"/>
          <w:rFonts w:hint="eastAsia" w:ascii="仿宋_GB2312" w:hAnsi="仿宋_GB2312" w:eastAsia="仿宋_GB2312" w:cs="仿宋_GB2312"/>
          <w:sz w:val="32"/>
          <w:szCs w:val="32"/>
          <w:shd w:val="clear" w:fill="FFFFFF"/>
        </w:rPr>
        <w:t>（注：上述“预算”口径为全年预算数，包括一般公共预算和政府性基金预算财政拨款支出决算情况。）</w:t>
      </w:r>
    </w:p>
    <w:p w14:paraId="4B1A2F3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3" w:firstLineChars="200"/>
        <w:jc w:val="both"/>
        <w:textAlignment w:val="auto"/>
        <w:outlineLvl w:val="1"/>
        <w:rPr>
          <w:rFonts w:hint="eastAsia" w:ascii="仿宋_GB2312" w:hAnsi="仿宋_GB2312" w:eastAsia="仿宋_GB2312" w:cs="仿宋_GB2312"/>
          <w:sz w:val="32"/>
          <w:szCs w:val="32"/>
        </w:rPr>
      </w:pPr>
      <w:bookmarkStart w:id="18" w:name="_Toc12987"/>
      <w:r>
        <w:rPr>
          <w:rStyle w:val="20"/>
          <w:rFonts w:hint="eastAsia" w:ascii="仿宋_GB2312" w:hAnsi="仿宋_GB2312" w:eastAsia="仿宋_GB2312" w:cs="仿宋_GB2312"/>
          <w:sz w:val="32"/>
          <w:szCs w:val="32"/>
          <w:shd w:val="clear" w:fill="FFFFFF"/>
        </w:rPr>
        <w:t>（二）“三公”经费财政拨款支出决算具体情况说明</w:t>
      </w:r>
      <w:bookmarkEnd w:id="18"/>
    </w:p>
    <w:p w14:paraId="3F0E7D67">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202</w:t>
      </w:r>
      <w:r>
        <w:rPr>
          <w:rFonts w:hint="eastAsia" w:ascii="仿宋_GB2312" w:hAnsi="仿宋_GB2312" w:eastAsia="仿宋_GB2312" w:cs="仿宋_GB2312"/>
          <w:sz w:val="32"/>
          <w:szCs w:val="32"/>
          <w:shd w:val="clear" w:fill="FFFFFF"/>
          <w:lang w:val="en-US" w:eastAsia="zh-CN"/>
        </w:rPr>
        <w:t>5</w:t>
      </w:r>
      <w:r>
        <w:rPr>
          <w:rFonts w:hint="eastAsia" w:ascii="仿宋_GB2312" w:hAnsi="仿宋_GB2312" w:eastAsia="仿宋_GB2312" w:cs="仿宋_GB2312"/>
          <w:sz w:val="32"/>
          <w:szCs w:val="32"/>
          <w:shd w:val="clear" w:fill="FFFFFF"/>
        </w:rPr>
        <w:t>年“三公”经费财政拨款支出决算中，因公出国（境）费支出决算0.00万元，占0.00%；公务用车购置及运行维护费支出决算</w:t>
      </w:r>
      <w:r>
        <w:rPr>
          <w:rFonts w:hint="eastAsia" w:ascii="仿宋_GB2312" w:hAnsi="仿宋_GB2312" w:eastAsia="仿宋_GB2312" w:cs="仿宋_GB2312"/>
          <w:sz w:val="32"/>
          <w:szCs w:val="32"/>
          <w:shd w:val="clear" w:fill="FFFFFF"/>
          <w:lang w:val="en-US" w:eastAsia="zh-CN"/>
        </w:rPr>
        <w:t>10.91</w:t>
      </w:r>
      <w:r>
        <w:rPr>
          <w:rFonts w:hint="eastAsia" w:ascii="仿宋_GB2312" w:hAnsi="仿宋_GB2312" w:eastAsia="仿宋_GB2312" w:cs="仿宋_GB2312"/>
          <w:sz w:val="32"/>
          <w:szCs w:val="32"/>
          <w:shd w:val="clear" w:fill="FFFFFF"/>
        </w:rPr>
        <w:t>万元，占100.00%；公务接待费支出决算0.00万元，占0.00%。具体情况如下：</w:t>
      </w:r>
    </w:p>
    <w:p w14:paraId="3065EA7B">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right="0" w:rightChars="0" w:firstLine="643" w:firstLineChars="200"/>
        <w:jc w:val="both"/>
        <w:textAlignment w:val="auto"/>
        <w:rPr>
          <w:rFonts w:hint="eastAsia" w:ascii="仿宋_GB2312" w:hAnsi="仿宋_GB2312" w:eastAsia="仿宋_GB2312" w:cs="仿宋_GB2312"/>
          <w:sz w:val="32"/>
          <w:szCs w:val="32"/>
          <w:shd w:val="clear" w:fill="FFFFFF"/>
        </w:rPr>
      </w:pPr>
      <w:r>
        <w:rPr>
          <w:rStyle w:val="20"/>
          <w:rFonts w:hint="eastAsia" w:ascii="仿宋_GB2312" w:hAnsi="仿宋_GB2312" w:eastAsia="仿宋_GB2312" w:cs="仿宋_GB2312"/>
          <w:sz w:val="32"/>
          <w:szCs w:val="32"/>
          <w:shd w:val="clear" w:fill="FFFFFF"/>
          <w:lang w:val="en-US" w:eastAsia="zh-CN"/>
        </w:rPr>
        <w:t>1.</w:t>
      </w:r>
      <w:r>
        <w:rPr>
          <w:rStyle w:val="20"/>
          <w:rFonts w:hint="eastAsia" w:ascii="仿宋_GB2312" w:hAnsi="仿宋_GB2312" w:eastAsia="仿宋_GB2312" w:cs="仿宋_GB2312"/>
          <w:sz w:val="32"/>
          <w:szCs w:val="32"/>
          <w:shd w:val="clear" w:fill="FFFFFF"/>
        </w:rPr>
        <w:t>因公出国（境）经费支出</w:t>
      </w:r>
      <w:r>
        <w:rPr>
          <w:rFonts w:hint="eastAsia" w:ascii="仿宋_GB2312" w:hAnsi="仿宋_GB2312" w:eastAsia="仿宋_GB2312" w:cs="仿宋_GB2312"/>
          <w:sz w:val="32"/>
          <w:szCs w:val="32"/>
          <w:shd w:val="clear" w:fill="FFFFFF"/>
        </w:rPr>
        <w:t>0.00万元，</w:t>
      </w:r>
      <w:r>
        <w:rPr>
          <w:rStyle w:val="20"/>
          <w:rFonts w:hint="eastAsia" w:ascii="仿宋_GB2312" w:hAnsi="仿宋_GB2312" w:eastAsia="仿宋_GB2312" w:cs="仿宋_GB2312"/>
          <w:sz w:val="32"/>
          <w:szCs w:val="32"/>
          <w:shd w:val="clear" w:fill="FFFFFF"/>
        </w:rPr>
        <w:t>完成预算0.00%。</w:t>
      </w:r>
      <w:r>
        <w:rPr>
          <w:rFonts w:hint="eastAsia" w:ascii="仿宋_GB2312" w:hAnsi="仿宋_GB2312" w:eastAsia="仿宋_GB2312" w:cs="仿宋_GB2312"/>
          <w:sz w:val="32"/>
          <w:szCs w:val="32"/>
          <w:shd w:val="clear" w:fill="FFFFFF"/>
        </w:rPr>
        <w:t>全年安排因公出国（境）团组0次，出国（境）0人。因公出国（境）支出决算比202</w:t>
      </w:r>
      <w:r>
        <w:rPr>
          <w:rFonts w:hint="eastAsia" w:ascii="仿宋_GB2312" w:hAnsi="仿宋_GB2312" w:eastAsia="仿宋_GB2312" w:cs="仿宋_GB2312"/>
          <w:sz w:val="32"/>
          <w:szCs w:val="32"/>
          <w:shd w:val="clear" w:fill="FFFFFF"/>
          <w:lang w:val="en-US" w:eastAsia="zh-CN"/>
        </w:rPr>
        <w:t>4</w:t>
      </w:r>
      <w:r>
        <w:rPr>
          <w:rFonts w:hint="eastAsia" w:ascii="仿宋_GB2312" w:hAnsi="仿宋_GB2312" w:eastAsia="仿宋_GB2312" w:cs="仿宋_GB2312"/>
          <w:sz w:val="32"/>
          <w:szCs w:val="32"/>
          <w:shd w:val="clear" w:fill="FFFFFF"/>
        </w:rPr>
        <w:t>年增加0.00万元，增长0.00%。</w:t>
      </w:r>
    </w:p>
    <w:p w14:paraId="04F710C2">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Chars="0" w:right="0" w:rightChars="0" w:firstLine="643" w:firstLineChars="200"/>
        <w:jc w:val="both"/>
        <w:textAlignment w:val="auto"/>
        <w:rPr>
          <w:rFonts w:hint="eastAsia" w:ascii="仿宋_GB2312" w:hAnsi="仿宋_GB2312" w:eastAsia="仿宋_GB2312" w:cs="仿宋_GB2312"/>
          <w:sz w:val="32"/>
          <w:szCs w:val="32"/>
          <w:shd w:val="clear" w:fill="FFFFFF"/>
        </w:rPr>
      </w:pPr>
      <w:r>
        <w:rPr>
          <w:rStyle w:val="20"/>
          <w:rFonts w:hint="eastAsia" w:ascii="仿宋_GB2312" w:hAnsi="仿宋_GB2312" w:eastAsia="仿宋_GB2312" w:cs="仿宋_GB2312"/>
          <w:sz w:val="32"/>
          <w:szCs w:val="32"/>
          <w:shd w:val="clear" w:fill="FFFFFF"/>
          <w:lang w:val="en-US" w:eastAsia="zh-CN"/>
        </w:rPr>
        <w:t>2.</w:t>
      </w:r>
      <w:r>
        <w:rPr>
          <w:rStyle w:val="20"/>
          <w:rFonts w:hint="eastAsia" w:ascii="仿宋_GB2312" w:hAnsi="仿宋_GB2312" w:eastAsia="仿宋_GB2312" w:cs="仿宋_GB2312"/>
          <w:sz w:val="32"/>
          <w:szCs w:val="32"/>
          <w:shd w:val="clear" w:fill="FFFFFF"/>
        </w:rPr>
        <w:t>公务用车购置及运行维护费支出</w:t>
      </w:r>
      <w:r>
        <w:rPr>
          <w:rStyle w:val="20"/>
          <w:rFonts w:hint="eastAsia" w:ascii="仿宋_GB2312" w:hAnsi="仿宋_GB2312" w:eastAsia="仿宋_GB2312" w:cs="仿宋_GB2312"/>
          <w:sz w:val="32"/>
          <w:szCs w:val="32"/>
          <w:shd w:val="clear" w:fill="FFFFFF"/>
          <w:lang w:val="en-US" w:eastAsia="zh-CN"/>
        </w:rPr>
        <w:t>10.91</w:t>
      </w:r>
      <w:r>
        <w:rPr>
          <w:rFonts w:hint="eastAsia" w:ascii="仿宋_GB2312" w:hAnsi="仿宋_GB2312" w:eastAsia="仿宋_GB2312" w:cs="仿宋_GB2312"/>
          <w:sz w:val="32"/>
          <w:szCs w:val="32"/>
          <w:shd w:val="clear" w:fill="FFFFFF"/>
        </w:rPr>
        <w:t>万元,</w:t>
      </w:r>
      <w:r>
        <w:rPr>
          <w:rStyle w:val="20"/>
          <w:rFonts w:hint="eastAsia" w:ascii="仿宋_GB2312" w:hAnsi="仿宋_GB2312" w:eastAsia="仿宋_GB2312" w:cs="仿宋_GB2312"/>
          <w:sz w:val="32"/>
          <w:szCs w:val="32"/>
          <w:shd w:val="clear" w:fill="FFFFFF"/>
        </w:rPr>
        <w:t>完成预算100.00%。</w:t>
      </w:r>
      <w:r>
        <w:rPr>
          <w:rFonts w:hint="eastAsia" w:ascii="仿宋_GB2312" w:hAnsi="仿宋_GB2312" w:eastAsia="仿宋_GB2312" w:cs="仿宋_GB2312"/>
          <w:sz w:val="32"/>
          <w:szCs w:val="32"/>
          <w:shd w:val="clear" w:fill="FFFFFF"/>
        </w:rPr>
        <w:t>公务用车购置及运行维护费支出决算比202</w:t>
      </w:r>
      <w:r>
        <w:rPr>
          <w:rFonts w:hint="eastAsia" w:ascii="仿宋_GB2312" w:hAnsi="仿宋_GB2312" w:eastAsia="仿宋_GB2312" w:cs="仿宋_GB2312"/>
          <w:sz w:val="32"/>
          <w:szCs w:val="32"/>
          <w:shd w:val="clear" w:fill="FFFFFF"/>
          <w:lang w:val="en-US" w:eastAsia="zh-CN"/>
        </w:rPr>
        <w:t>4</w:t>
      </w:r>
      <w:r>
        <w:rPr>
          <w:rFonts w:hint="eastAsia" w:ascii="仿宋_GB2312" w:hAnsi="仿宋_GB2312" w:eastAsia="仿宋_GB2312" w:cs="仿宋_GB2312"/>
          <w:sz w:val="32"/>
          <w:szCs w:val="32"/>
          <w:shd w:val="clear" w:fill="FFFFFF"/>
        </w:rPr>
        <w:t>年</w:t>
      </w:r>
      <w:r>
        <w:rPr>
          <w:rFonts w:hint="eastAsia" w:ascii="仿宋_GB2312" w:hAnsi="仿宋_GB2312" w:eastAsia="仿宋_GB2312" w:cs="仿宋_GB2312"/>
          <w:sz w:val="32"/>
          <w:szCs w:val="32"/>
          <w:shd w:val="clear" w:fill="FFFFFF"/>
          <w:lang w:eastAsia="zh-CN"/>
        </w:rPr>
        <w:t>减少</w:t>
      </w:r>
      <w:r>
        <w:rPr>
          <w:rFonts w:hint="eastAsia" w:ascii="仿宋_GB2312" w:hAnsi="仿宋_GB2312" w:eastAsia="仿宋_GB2312" w:cs="仿宋_GB2312"/>
          <w:sz w:val="32"/>
          <w:szCs w:val="32"/>
          <w:shd w:val="clear" w:fill="FFFFFF"/>
          <w:lang w:val="en-US" w:eastAsia="zh-CN"/>
        </w:rPr>
        <w:t>7.05</w:t>
      </w:r>
      <w:r>
        <w:rPr>
          <w:rFonts w:hint="eastAsia" w:ascii="仿宋_GB2312" w:hAnsi="仿宋_GB2312" w:eastAsia="仿宋_GB2312" w:cs="仿宋_GB2312"/>
          <w:sz w:val="32"/>
          <w:szCs w:val="32"/>
          <w:shd w:val="clear" w:fill="FFFFFF"/>
        </w:rPr>
        <w:t>万元，</w:t>
      </w:r>
      <w:r>
        <w:rPr>
          <w:rFonts w:hint="eastAsia" w:ascii="仿宋_GB2312" w:hAnsi="仿宋_GB2312" w:eastAsia="仿宋_GB2312" w:cs="仿宋_GB2312"/>
          <w:sz w:val="32"/>
          <w:szCs w:val="32"/>
          <w:shd w:val="clear" w:fill="FFFFFF"/>
          <w:lang w:eastAsia="zh-CN"/>
        </w:rPr>
        <w:t>减少</w:t>
      </w:r>
      <w:r>
        <w:rPr>
          <w:rFonts w:hint="eastAsia" w:ascii="仿宋_GB2312" w:hAnsi="仿宋_GB2312" w:eastAsia="仿宋_GB2312" w:cs="仿宋_GB2312"/>
          <w:sz w:val="32"/>
          <w:szCs w:val="32"/>
          <w:shd w:val="clear" w:fill="FFFFFF"/>
          <w:lang w:val="en-US" w:eastAsia="zh-CN"/>
        </w:rPr>
        <w:t>39.25</w:t>
      </w:r>
      <w:r>
        <w:rPr>
          <w:rFonts w:hint="eastAsia" w:ascii="仿宋_GB2312" w:hAnsi="仿宋_GB2312" w:eastAsia="仿宋_GB2312" w:cs="仿宋_GB2312"/>
          <w:sz w:val="32"/>
          <w:szCs w:val="32"/>
          <w:shd w:val="clear" w:fill="FFFFFF"/>
        </w:rPr>
        <w:t>%。</w:t>
      </w:r>
    </w:p>
    <w:p w14:paraId="6FE0E710">
      <w:pPr>
        <w:pStyle w:val="17"/>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Autospacing="0" w:line="560" w:lineRule="exact"/>
        <w:ind w:leftChars="0" w:right="0" w:rightChars="0" w:firstLine="643" w:firstLineChars="200"/>
        <w:jc w:val="both"/>
        <w:textAlignment w:val="auto"/>
        <w:rPr>
          <w:rFonts w:hint="eastAsia" w:ascii="仿宋_GB2312" w:hAnsi="仿宋_GB2312" w:eastAsia="仿宋_GB2312" w:cs="仿宋_GB2312"/>
          <w:sz w:val="32"/>
          <w:szCs w:val="32"/>
          <w:shd w:val="clear" w:fill="FFFFFF"/>
          <w:lang w:eastAsia="zh-CN"/>
        </w:rPr>
      </w:pPr>
      <w:r>
        <w:rPr>
          <w:rStyle w:val="20"/>
          <w:rFonts w:hint="eastAsia" w:ascii="仿宋_GB2312" w:hAnsi="仿宋_GB2312" w:eastAsia="仿宋_GB2312" w:cs="仿宋_GB2312"/>
          <w:sz w:val="32"/>
          <w:szCs w:val="32"/>
          <w:shd w:val="clear" w:fill="FFFFFF"/>
        </w:rPr>
        <w:t>公务用车购置支出</w:t>
      </w:r>
      <w:r>
        <w:rPr>
          <w:rFonts w:hint="eastAsia" w:ascii="仿宋_GB2312" w:hAnsi="仿宋_GB2312" w:eastAsia="仿宋_GB2312" w:cs="仿宋_GB2312"/>
          <w:sz w:val="32"/>
          <w:szCs w:val="32"/>
          <w:shd w:val="clear" w:fill="FFFFFF"/>
        </w:rPr>
        <w:t>0.00万元。全年按规定更新购置公务用车0辆</w:t>
      </w:r>
      <w:r>
        <w:rPr>
          <w:rFonts w:hint="eastAsia" w:ascii="仿宋_GB2312" w:hAnsi="仿宋_GB2312" w:eastAsia="仿宋_GB2312" w:cs="仿宋_GB2312"/>
          <w:sz w:val="32"/>
          <w:szCs w:val="32"/>
          <w:shd w:val="clear" w:fill="FFFFFF"/>
          <w:lang w:eastAsia="zh-CN"/>
        </w:rPr>
        <w:t>。</w:t>
      </w:r>
    </w:p>
    <w:p w14:paraId="36EDAE2C">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3" w:firstLineChars="200"/>
        <w:jc w:val="both"/>
        <w:textAlignment w:val="auto"/>
        <w:rPr>
          <w:rFonts w:hint="eastAsia" w:ascii="仿宋_GB2312" w:hAnsi="仿宋_GB2312" w:eastAsia="仿宋_GB2312" w:cs="仿宋_GB2312"/>
          <w:sz w:val="32"/>
          <w:szCs w:val="32"/>
        </w:rPr>
      </w:pPr>
      <w:r>
        <w:rPr>
          <w:rStyle w:val="20"/>
          <w:rFonts w:hint="eastAsia" w:ascii="仿宋_GB2312" w:hAnsi="仿宋_GB2312" w:eastAsia="仿宋_GB2312" w:cs="仿宋_GB2312"/>
          <w:sz w:val="32"/>
          <w:szCs w:val="32"/>
          <w:shd w:val="clear" w:fill="FFFFFF"/>
        </w:rPr>
        <w:t>公务用车运行维护费支出</w:t>
      </w:r>
      <w:r>
        <w:rPr>
          <w:rFonts w:hint="eastAsia" w:ascii="仿宋_GB2312" w:hAnsi="仿宋_GB2312" w:eastAsia="仿宋_GB2312" w:cs="仿宋_GB2312"/>
          <w:sz w:val="32"/>
          <w:szCs w:val="32"/>
          <w:shd w:val="clear" w:fill="FFFFFF"/>
          <w:lang w:val="en-US" w:eastAsia="zh-CN"/>
        </w:rPr>
        <w:t>10.91</w:t>
      </w:r>
      <w:r>
        <w:rPr>
          <w:rFonts w:hint="eastAsia" w:ascii="仿宋_GB2312" w:hAnsi="仿宋_GB2312" w:eastAsia="仿宋_GB2312" w:cs="仿宋_GB2312"/>
          <w:sz w:val="32"/>
          <w:szCs w:val="32"/>
          <w:shd w:val="clear" w:fill="FFFFFF"/>
        </w:rPr>
        <w:t>万元。主要用</w:t>
      </w:r>
      <w:r>
        <w:rPr>
          <w:rFonts w:hint="eastAsia" w:ascii="仿宋_GB2312" w:hAnsi="仿宋_GB2312" w:eastAsia="仿宋_GB2312" w:cs="仿宋_GB2312"/>
          <w:sz w:val="32"/>
          <w:szCs w:val="32"/>
          <w:shd w:val="clear" w:fill="FFFFFF"/>
          <w:lang w:eastAsia="zh-CN"/>
        </w:rPr>
        <w:t>于上县开会，入户，到远牧点</w:t>
      </w:r>
      <w:r>
        <w:rPr>
          <w:rFonts w:hint="eastAsia" w:ascii="仿宋_GB2312" w:hAnsi="仿宋_GB2312" w:eastAsia="仿宋_GB2312" w:cs="仿宋_GB2312"/>
          <w:sz w:val="32"/>
          <w:szCs w:val="32"/>
          <w:shd w:val="clear" w:fill="FFFFFF"/>
        </w:rPr>
        <w:t>等</w:t>
      </w:r>
      <w:r>
        <w:rPr>
          <w:rFonts w:hint="eastAsia" w:ascii="仿宋_GB2312" w:hAnsi="仿宋_GB2312" w:eastAsia="仿宋_GB2312" w:cs="仿宋_GB2312"/>
          <w:sz w:val="32"/>
          <w:szCs w:val="32"/>
          <w:shd w:val="clear" w:fill="FFFFFF"/>
          <w:lang w:eastAsia="zh-CN"/>
        </w:rPr>
        <w:t>开展工作需要</w:t>
      </w:r>
      <w:r>
        <w:rPr>
          <w:rFonts w:hint="eastAsia" w:ascii="仿宋_GB2312" w:hAnsi="仿宋_GB2312" w:eastAsia="仿宋_GB2312" w:cs="仿宋_GB2312"/>
          <w:sz w:val="32"/>
          <w:szCs w:val="32"/>
          <w:shd w:val="clear" w:fill="FFFFFF"/>
        </w:rPr>
        <w:t>的公务用车燃料费、维修费、过路过桥费、保险费等支出。</w:t>
      </w:r>
    </w:p>
    <w:p w14:paraId="6B6D5765">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3" w:firstLineChars="200"/>
        <w:jc w:val="both"/>
        <w:textAlignment w:val="auto"/>
        <w:rPr>
          <w:rFonts w:hint="eastAsia" w:ascii="仿宋_GB2312" w:hAnsi="仿宋_GB2312" w:eastAsia="仿宋_GB2312" w:cs="仿宋_GB2312"/>
          <w:sz w:val="32"/>
          <w:szCs w:val="32"/>
        </w:rPr>
      </w:pPr>
      <w:r>
        <w:rPr>
          <w:rStyle w:val="20"/>
          <w:rFonts w:hint="eastAsia" w:ascii="仿宋_GB2312" w:hAnsi="仿宋_GB2312" w:eastAsia="仿宋_GB2312" w:cs="仿宋_GB2312"/>
          <w:sz w:val="32"/>
          <w:szCs w:val="32"/>
          <w:shd w:val="clear" w:fill="FFFFFF"/>
          <w:lang w:val="en-US" w:eastAsia="zh-CN"/>
        </w:rPr>
        <w:t>3</w:t>
      </w:r>
      <w:r>
        <w:rPr>
          <w:rStyle w:val="20"/>
          <w:rFonts w:hint="eastAsia" w:ascii="仿宋_GB2312" w:hAnsi="仿宋_GB2312" w:eastAsia="仿宋_GB2312" w:cs="仿宋_GB2312"/>
          <w:sz w:val="32"/>
          <w:szCs w:val="32"/>
          <w:shd w:val="clear" w:fill="FFFFFF"/>
        </w:rPr>
        <w:t>.公务接待费支出</w:t>
      </w:r>
      <w:r>
        <w:rPr>
          <w:rFonts w:hint="eastAsia" w:ascii="仿宋_GB2312" w:hAnsi="仿宋_GB2312" w:eastAsia="仿宋_GB2312" w:cs="仿宋_GB2312"/>
          <w:sz w:val="32"/>
          <w:szCs w:val="32"/>
          <w:shd w:val="clear" w:fill="FFFFFF"/>
        </w:rPr>
        <w:t>0.00万元，</w:t>
      </w:r>
      <w:r>
        <w:rPr>
          <w:rStyle w:val="20"/>
          <w:rFonts w:hint="eastAsia" w:ascii="仿宋_GB2312" w:hAnsi="仿宋_GB2312" w:eastAsia="仿宋_GB2312" w:cs="仿宋_GB2312"/>
          <w:sz w:val="32"/>
          <w:szCs w:val="32"/>
          <w:shd w:val="clear" w:fill="FFFFFF"/>
        </w:rPr>
        <w:t>完成预算100%。</w:t>
      </w:r>
      <w:r>
        <w:rPr>
          <w:rFonts w:hint="eastAsia" w:ascii="仿宋_GB2312" w:hAnsi="仿宋_GB2312" w:eastAsia="仿宋_GB2312" w:cs="仿宋_GB2312"/>
          <w:sz w:val="32"/>
          <w:szCs w:val="32"/>
          <w:shd w:val="clear" w:fill="FFFFFF"/>
        </w:rPr>
        <w:t>公务接待费支出决算比202</w:t>
      </w:r>
      <w:r>
        <w:rPr>
          <w:rFonts w:hint="eastAsia" w:ascii="仿宋_GB2312" w:hAnsi="仿宋_GB2312" w:eastAsia="仿宋_GB2312" w:cs="仿宋_GB2312"/>
          <w:sz w:val="32"/>
          <w:szCs w:val="32"/>
          <w:shd w:val="clear" w:fill="FFFFFF"/>
          <w:lang w:val="en-US" w:eastAsia="zh-CN"/>
        </w:rPr>
        <w:t>4</w:t>
      </w:r>
      <w:r>
        <w:rPr>
          <w:rFonts w:hint="eastAsia" w:ascii="仿宋_GB2312" w:hAnsi="仿宋_GB2312" w:eastAsia="仿宋_GB2312" w:cs="仿宋_GB2312"/>
          <w:sz w:val="32"/>
          <w:szCs w:val="32"/>
          <w:shd w:val="clear" w:fill="FFFFFF"/>
        </w:rPr>
        <w:t>年增加0.00万元，增长0.00%。</w:t>
      </w:r>
    </w:p>
    <w:p w14:paraId="1805E98F">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3" w:firstLineChars="200"/>
        <w:jc w:val="both"/>
        <w:textAlignment w:val="auto"/>
        <w:rPr>
          <w:shd w:val="clear" w:fill="FFFFFF"/>
        </w:rPr>
      </w:pPr>
      <w:r>
        <w:rPr>
          <w:rStyle w:val="20"/>
          <w:rFonts w:hint="eastAsia" w:ascii="仿宋_GB2312" w:hAnsi="仿宋_GB2312" w:eastAsia="仿宋_GB2312" w:cs="仿宋_GB2312"/>
          <w:sz w:val="32"/>
          <w:szCs w:val="32"/>
          <w:shd w:val="clear" w:fill="FFFFFF"/>
        </w:rPr>
        <w:t>国内公务接待支出</w:t>
      </w:r>
      <w:r>
        <w:rPr>
          <w:rFonts w:hint="eastAsia" w:ascii="仿宋_GB2312" w:hAnsi="仿宋_GB2312" w:eastAsia="仿宋_GB2312" w:cs="仿宋_GB2312"/>
          <w:sz w:val="32"/>
          <w:szCs w:val="32"/>
          <w:shd w:val="clear" w:fill="FFFFFF"/>
        </w:rPr>
        <w:t>0.00万元</w:t>
      </w:r>
      <w:r>
        <w:rPr>
          <w:rFonts w:hint="eastAsia" w:ascii="仿宋_GB2312" w:hAnsi="仿宋_GB2312" w:eastAsia="仿宋_GB2312" w:cs="仿宋_GB2312"/>
          <w:sz w:val="32"/>
          <w:szCs w:val="32"/>
          <w:shd w:val="clear" w:fill="FFFFFF"/>
          <w:lang w:eastAsia="zh-CN"/>
        </w:rPr>
        <w:t>。</w:t>
      </w:r>
      <w:r>
        <w:rPr>
          <w:rStyle w:val="20"/>
          <w:rFonts w:hint="eastAsia" w:ascii="仿宋_GB2312" w:hAnsi="仿宋_GB2312" w:eastAsia="仿宋_GB2312" w:cs="仿宋_GB2312"/>
          <w:sz w:val="32"/>
          <w:szCs w:val="32"/>
          <w:shd w:val="clear" w:fill="FFFFFF"/>
        </w:rPr>
        <w:t>外事接待支出</w:t>
      </w:r>
      <w:r>
        <w:rPr>
          <w:rFonts w:hint="eastAsia" w:ascii="仿宋_GB2312" w:hAnsi="仿宋_GB2312" w:eastAsia="仿宋_GB2312" w:cs="仿宋_GB2312"/>
          <w:sz w:val="32"/>
          <w:szCs w:val="32"/>
          <w:shd w:val="clear" w:fill="FFFFFF"/>
        </w:rPr>
        <w:t>0.00万元</w:t>
      </w:r>
      <w:r>
        <w:rPr>
          <w:rFonts w:hint="eastAsia" w:ascii="仿宋_GB2312" w:hAnsi="仿宋_GB2312" w:eastAsia="仿宋_GB2312" w:cs="仿宋_GB2312"/>
          <w:sz w:val="32"/>
          <w:szCs w:val="32"/>
          <w:shd w:val="clear" w:fill="FFFFFF"/>
          <w:lang w:eastAsia="zh-CN"/>
        </w:rPr>
        <w:t>。</w:t>
      </w:r>
      <w:r>
        <w:rPr>
          <w:shd w:val="clear" w:fill="FFFFFF"/>
        </w:rPr>
        <w:t> </w:t>
      </w:r>
    </w:p>
    <w:p w14:paraId="094109D7">
      <w:pPr>
        <w:pStyle w:val="17"/>
        <w:keepNext w:val="0"/>
        <w:keepLines w:val="0"/>
        <w:pageBreakBefore w:val="0"/>
        <w:widowControl/>
        <w:suppressLineNumbers w:val="0"/>
        <w:overflowPunct/>
        <w:bidi w:val="0"/>
        <w:spacing w:before="0" w:beforeAutospacing="0" w:afterAutospacing="0" w:line="560" w:lineRule="exact"/>
        <w:ind w:left="0"/>
        <w:jc w:val="left"/>
        <w:rPr>
          <w:shd w:val="clear" w:fill="FFFFFF"/>
        </w:rPr>
      </w:pPr>
      <w:r>
        <w:drawing>
          <wp:anchor distT="0" distB="0" distL="114300" distR="114300" simplePos="0" relativeHeight="251666432" behindDoc="0" locked="0" layoutInCell="1" allowOverlap="1">
            <wp:simplePos x="0" y="0"/>
            <wp:positionH relativeFrom="column">
              <wp:posOffset>61595</wp:posOffset>
            </wp:positionH>
            <wp:positionV relativeFrom="paragraph">
              <wp:posOffset>5715</wp:posOffset>
            </wp:positionV>
            <wp:extent cx="5186045" cy="3113405"/>
            <wp:effectExtent l="4445" t="4445" r="10160" b="6350"/>
            <wp:wrapNone/>
            <wp:docPr id="7"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1AC827C7">
      <w:pPr>
        <w:pStyle w:val="17"/>
        <w:keepNext w:val="0"/>
        <w:keepLines w:val="0"/>
        <w:pageBreakBefore w:val="0"/>
        <w:widowControl/>
        <w:suppressLineNumbers w:val="0"/>
        <w:overflowPunct/>
        <w:bidi w:val="0"/>
        <w:spacing w:before="0" w:beforeAutospacing="0" w:afterAutospacing="0" w:line="560" w:lineRule="exact"/>
        <w:ind w:left="0"/>
        <w:jc w:val="left"/>
        <w:rPr>
          <w:shd w:val="clear" w:fill="FFFFFF"/>
        </w:rPr>
      </w:pPr>
    </w:p>
    <w:p w14:paraId="2C5840F6">
      <w:pPr>
        <w:pStyle w:val="17"/>
        <w:keepNext w:val="0"/>
        <w:keepLines w:val="0"/>
        <w:pageBreakBefore w:val="0"/>
        <w:widowControl/>
        <w:suppressLineNumbers w:val="0"/>
        <w:overflowPunct/>
        <w:bidi w:val="0"/>
        <w:spacing w:before="0" w:beforeAutospacing="0" w:afterAutospacing="0" w:line="560" w:lineRule="exact"/>
        <w:ind w:left="0"/>
        <w:jc w:val="left"/>
        <w:rPr>
          <w:shd w:val="clear" w:fill="FFFFFF"/>
        </w:rPr>
      </w:pPr>
    </w:p>
    <w:p w14:paraId="76FDF225">
      <w:pPr>
        <w:pStyle w:val="17"/>
        <w:keepNext w:val="0"/>
        <w:keepLines w:val="0"/>
        <w:pageBreakBefore w:val="0"/>
        <w:widowControl/>
        <w:suppressLineNumbers w:val="0"/>
        <w:overflowPunct/>
        <w:bidi w:val="0"/>
        <w:spacing w:before="0" w:beforeAutospacing="0" w:afterAutospacing="0" w:line="560" w:lineRule="exact"/>
        <w:ind w:left="0"/>
        <w:jc w:val="left"/>
        <w:rPr>
          <w:shd w:val="clear" w:fill="FFFFFF"/>
        </w:rPr>
      </w:pPr>
    </w:p>
    <w:p w14:paraId="22F7714C">
      <w:pPr>
        <w:pStyle w:val="17"/>
        <w:keepNext w:val="0"/>
        <w:keepLines w:val="0"/>
        <w:pageBreakBefore w:val="0"/>
        <w:widowControl/>
        <w:suppressLineNumbers w:val="0"/>
        <w:overflowPunct/>
        <w:bidi w:val="0"/>
        <w:spacing w:before="0" w:beforeAutospacing="0" w:afterAutospacing="0" w:line="560" w:lineRule="exact"/>
        <w:ind w:left="0"/>
        <w:jc w:val="left"/>
        <w:rPr>
          <w:shd w:val="clear" w:fill="FFFFFF"/>
        </w:rPr>
      </w:pPr>
    </w:p>
    <w:p w14:paraId="2DA19096">
      <w:pPr>
        <w:pStyle w:val="17"/>
        <w:keepNext w:val="0"/>
        <w:keepLines w:val="0"/>
        <w:pageBreakBefore w:val="0"/>
        <w:widowControl/>
        <w:suppressLineNumbers w:val="0"/>
        <w:overflowPunct/>
        <w:bidi w:val="0"/>
        <w:spacing w:before="0" w:beforeAutospacing="0" w:afterAutospacing="0" w:line="560" w:lineRule="exact"/>
        <w:ind w:left="0"/>
        <w:jc w:val="left"/>
        <w:rPr>
          <w:shd w:val="clear" w:fill="FFFFFF"/>
        </w:rPr>
      </w:pPr>
    </w:p>
    <w:p w14:paraId="094D29F4">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outlineLvl w:val="0"/>
        <w:rPr>
          <w:rFonts w:hint="eastAsia" w:ascii="黑体" w:hAnsi="黑体" w:eastAsia="黑体" w:cs="黑体"/>
          <w:sz w:val="32"/>
          <w:szCs w:val="32"/>
          <w:shd w:val="clear" w:fill="FFFFFF"/>
        </w:rPr>
      </w:pPr>
      <w:bookmarkStart w:id="19" w:name="_Toc27853"/>
    </w:p>
    <w:p w14:paraId="6719F00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outlineLvl w:val="0"/>
        <w:rPr>
          <w:rFonts w:hint="eastAsia" w:ascii="黑体" w:hAnsi="黑体" w:eastAsia="黑体" w:cs="黑体"/>
          <w:sz w:val="32"/>
          <w:szCs w:val="32"/>
          <w:shd w:val="clear" w:fill="FFFFFF"/>
        </w:rPr>
      </w:pPr>
    </w:p>
    <w:p w14:paraId="77D74E25">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right="0" w:rightChars="0"/>
        <w:jc w:val="left"/>
        <w:textAlignment w:val="auto"/>
        <w:outlineLvl w:val="0"/>
        <w:rPr>
          <w:rFonts w:hint="eastAsia" w:ascii="黑体" w:hAnsi="黑体" w:eastAsia="黑体" w:cs="黑体"/>
          <w:sz w:val="32"/>
          <w:szCs w:val="32"/>
          <w:shd w:val="clear" w:fill="FFFFFF"/>
        </w:rPr>
      </w:pPr>
    </w:p>
    <w:p w14:paraId="7D59BA1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outlineLvl w:val="0"/>
        <w:rPr>
          <w:rFonts w:hint="eastAsia" w:ascii="黑体" w:hAnsi="黑体" w:eastAsia="黑体" w:cs="黑体"/>
          <w:sz w:val="32"/>
          <w:szCs w:val="32"/>
        </w:rPr>
      </w:pPr>
      <w:r>
        <w:rPr>
          <w:rFonts w:hint="eastAsia" w:ascii="黑体" w:hAnsi="黑体" w:eastAsia="黑体" w:cs="黑体"/>
          <w:sz w:val="32"/>
          <w:szCs w:val="32"/>
          <w:shd w:val="clear" w:fill="FFFFFF"/>
        </w:rPr>
        <w:t>八、政府性基金预算支出决算情况说明</w:t>
      </w:r>
      <w:bookmarkEnd w:id="19"/>
    </w:p>
    <w:p w14:paraId="3EA58790">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202</w:t>
      </w:r>
      <w:r>
        <w:rPr>
          <w:rFonts w:hint="eastAsia" w:ascii="仿宋_GB2312" w:hAnsi="仿宋_GB2312" w:eastAsia="仿宋_GB2312" w:cs="仿宋_GB2312"/>
          <w:sz w:val="32"/>
          <w:szCs w:val="32"/>
          <w:shd w:val="clear" w:fill="FFFFFF"/>
          <w:lang w:val="en-US" w:eastAsia="zh-CN"/>
        </w:rPr>
        <w:t>5</w:t>
      </w:r>
      <w:r>
        <w:rPr>
          <w:rFonts w:hint="eastAsia" w:ascii="仿宋_GB2312" w:hAnsi="仿宋_GB2312" w:eastAsia="仿宋_GB2312" w:cs="仿宋_GB2312"/>
          <w:sz w:val="32"/>
          <w:szCs w:val="32"/>
          <w:shd w:val="clear" w:fill="FFFFFF"/>
        </w:rPr>
        <w:t>年政府性基金预算财政拨款支出0.00万元。</w:t>
      </w:r>
    </w:p>
    <w:p w14:paraId="30C17534">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firstLine="640" w:firstLineChars="200"/>
        <w:jc w:val="left"/>
        <w:textAlignment w:val="auto"/>
        <w:outlineLvl w:val="0"/>
        <w:rPr>
          <w:rFonts w:hint="eastAsia" w:ascii="黑体" w:hAnsi="黑体" w:eastAsia="黑体" w:cs="黑体"/>
          <w:sz w:val="32"/>
          <w:szCs w:val="32"/>
        </w:rPr>
      </w:pPr>
      <w:bookmarkStart w:id="20" w:name="_Toc22042"/>
      <w:r>
        <w:rPr>
          <w:rFonts w:hint="eastAsia" w:ascii="黑体" w:hAnsi="黑体" w:eastAsia="黑体" w:cs="黑体"/>
          <w:sz w:val="32"/>
          <w:szCs w:val="32"/>
          <w:shd w:val="clear" w:fill="FFFFFF"/>
        </w:rPr>
        <w:t>九、国有资本经营预算支出决算情况说明</w:t>
      </w:r>
      <w:bookmarkEnd w:id="20"/>
    </w:p>
    <w:p w14:paraId="2F8C484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rPr>
      </w:pPr>
      <w:r>
        <w:rPr>
          <w:rFonts w:hint="eastAsia" w:ascii="仿宋_GB2312" w:hAnsi="仿宋_GB2312" w:eastAsia="仿宋_GB2312" w:cs="仿宋_GB2312"/>
          <w:sz w:val="32"/>
          <w:szCs w:val="32"/>
          <w:shd w:val="clear" w:fill="FFFFFF"/>
        </w:rPr>
        <w:t>202</w:t>
      </w:r>
      <w:r>
        <w:rPr>
          <w:rFonts w:hint="eastAsia" w:ascii="仿宋_GB2312" w:hAnsi="仿宋_GB2312" w:eastAsia="仿宋_GB2312" w:cs="仿宋_GB2312"/>
          <w:sz w:val="32"/>
          <w:szCs w:val="32"/>
          <w:shd w:val="clear" w:fill="FFFFFF"/>
          <w:lang w:val="en-US" w:eastAsia="zh-CN"/>
        </w:rPr>
        <w:t>5</w:t>
      </w:r>
      <w:r>
        <w:rPr>
          <w:rFonts w:hint="eastAsia" w:ascii="仿宋_GB2312" w:hAnsi="仿宋_GB2312" w:eastAsia="仿宋_GB2312" w:cs="仿宋_GB2312"/>
          <w:sz w:val="32"/>
          <w:szCs w:val="32"/>
          <w:shd w:val="clear" w:fill="FFFFFF"/>
        </w:rPr>
        <w:t>年国有资本经营预算财政拨款支出0.00万元。</w:t>
      </w:r>
    </w:p>
    <w:p w14:paraId="7E742112">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rPr>
      </w:pPr>
    </w:p>
    <w:p w14:paraId="0A84EDD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 </w:t>
      </w:r>
    </w:p>
    <w:p w14:paraId="1D49B69B">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仿宋_GB2312" w:hAnsi="仿宋_GB2312" w:eastAsia="仿宋_GB2312" w:cs="仿宋_GB2312"/>
          <w:sz w:val="32"/>
          <w:szCs w:val="32"/>
          <w:shd w:val="clear" w:fill="FFFFFF"/>
        </w:rPr>
      </w:pPr>
    </w:p>
    <w:p w14:paraId="34798F6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仿宋_GB2312" w:hAnsi="仿宋_GB2312" w:eastAsia="仿宋_GB2312" w:cs="仿宋_GB2312"/>
          <w:sz w:val="32"/>
          <w:szCs w:val="32"/>
          <w:shd w:val="clear" w:fill="FFFFFF"/>
        </w:rPr>
      </w:pPr>
    </w:p>
    <w:p w14:paraId="34CC029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仿宋_GB2312" w:hAnsi="仿宋_GB2312" w:eastAsia="仿宋_GB2312" w:cs="仿宋_GB2312"/>
          <w:sz w:val="32"/>
          <w:szCs w:val="32"/>
          <w:shd w:val="clear" w:fill="FFFFFF"/>
        </w:rPr>
      </w:pPr>
    </w:p>
    <w:p w14:paraId="2C0D1B21">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仿宋_GB2312" w:hAnsi="仿宋_GB2312" w:eastAsia="仿宋_GB2312" w:cs="仿宋_GB2312"/>
          <w:sz w:val="32"/>
          <w:szCs w:val="32"/>
          <w:shd w:val="clear" w:fill="FFFFFF"/>
        </w:rPr>
      </w:pPr>
    </w:p>
    <w:p w14:paraId="79B4FF4C">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仿宋_GB2312" w:hAnsi="仿宋_GB2312" w:eastAsia="仿宋_GB2312" w:cs="仿宋_GB2312"/>
          <w:sz w:val="32"/>
          <w:szCs w:val="32"/>
          <w:shd w:val="clear" w:fill="FFFFFF"/>
        </w:rPr>
      </w:pPr>
    </w:p>
    <w:p w14:paraId="04C7C84B">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仿宋_GB2312" w:hAnsi="仿宋_GB2312" w:eastAsia="仿宋_GB2312" w:cs="仿宋_GB2312"/>
          <w:sz w:val="32"/>
          <w:szCs w:val="32"/>
          <w:shd w:val="clear" w:fill="FFFFFF"/>
        </w:rPr>
      </w:pPr>
    </w:p>
    <w:p w14:paraId="7606E674">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仿宋_GB2312" w:hAnsi="仿宋_GB2312" w:eastAsia="仿宋_GB2312" w:cs="仿宋_GB2312"/>
          <w:sz w:val="32"/>
          <w:szCs w:val="32"/>
          <w:shd w:val="clear" w:fill="FFFFFF"/>
        </w:rPr>
      </w:pPr>
    </w:p>
    <w:p w14:paraId="61CF061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仿宋_GB2312" w:hAnsi="仿宋_GB2312" w:eastAsia="仿宋_GB2312" w:cs="仿宋_GB2312"/>
          <w:sz w:val="32"/>
          <w:szCs w:val="32"/>
          <w:shd w:val="clear" w:fill="FFFFFF"/>
        </w:rPr>
      </w:pPr>
    </w:p>
    <w:p w14:paraId="698BFF9C">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73008092">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4BFAE1C2">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1B531124">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79CF2F6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22546AFB">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46A14FB9">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687AB691">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1E45FC35">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39DE32E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607F882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1CF4ADF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3A916AA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center"/>
        <w:textAlignment w:val="auto"/>
        <w:rPr>
          <w:rStyle w:val="20"/>
          <w:rFonts w:hint="eastAsia" w:ascii="方正小标宋简体" w:hAnsi="方正小标宋简体" w:eastAsia="方正小标宋简体" w:cs="方正小标宋简体"/>
          <w:b w:val="0"/>
          <w:bCs/>
          <w:sz w:val="44"/>
          <w:szCs w:val="44"/>
          <w:shd w:val="clear" w:fill="FFFFFF"/>
        </w:rPr>
      </w:pPr>
    </w:p>
    <w:p w14:paraId="61BA719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leftChars="0" w:right="0" w:rightChars="0"/>
        <w:jc w:val="center"/>
        <w:textAlignment w:val="auto"/>
        <w:outlineLvl w:val="0"/>
        <w:rPr>
          <w:rFonts w:hint="eastAsia" w:ascii="方正小标宋简体" w:hAnsi="方正小标宋简体" w:eastAsia="方正小标宋简体" w:cs="方正小标宋简体"/>
          <w:b w:val="0"/>
          <w:bCs/>
          <w:sz w:val="44"/>
          <w:szCs w:val="44"/>
        </w:rPr>
      </w:pPr>
      <w:bookmarkStart w:id="21" w:name="_Toc19480"/>
      <w:r>
        <w:rPr>
          <w:rStyle w:val="20"/>
          <w:rFonts w:hint="eastAsia" w:ascii="方正小标宋简体" w:hAnsi="方正小标宋简体" w:eastAsia="方正小标宋简体" w:cs="方正小标宋简体"/>
          <w:b w:val="0"/>
          <w:bCs/>
          <w:sz w:val="44"/>
          <w:szCs w:val="44"/>
          <w:shd w:val="clear" w:fill="FFFFFF"/>
        </w:rPr>
        <w:t>第三部分 名词解释</w:t>
      </w:r>
      <w:bookmarkEnd w:id="21"/>
    </w:p>
    <w:p w14:paraId="708E4455">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 </w:t>
      </w:r>
    </w:p>
    <w:p w14:paraId="2840271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1.财政拨款收入：指单位从同级财政部门取得的财政预算资金。</w:t>
      </w:r>
    </w:p>
    <w:p w14:paraId="456759F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rPr>
      </w:pPr>
      <w:r>
        <w:rPr>
          <w:rFonts w:hint="eastAsia" w:ascii="仿宋_GB2312" w:hAnsi="仿宋_GB2312" w:eastAsia="仿宋_GB2312" w:cs="仿宋_GB2312"/>
          <w:sz w:val="32"/>
          <w:szCs w:val="32"/>
          <w:shd w:val="clear" w:fill="FFFFFF"/>
        </w:rPr>
        <w:t>2.事业收入：指事业单位开展专业业务活动及辅助活动取得的收入。</w:t>
      </w:r>
    </w:p>
    <w:p w14:paraId="036A7092">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rPr>
      </w:pPr>
      <w:r>
        <w:rPr>
          <w:rFonts w:hint="eastAsia" w:ascii="仿宋_GB2312" w:hAnsi="仿宋_GB2312" w:eastAsia="仿宋_GB2312" w:cs="仿宋_GB2312"/>
          <w:sz w:val="32"/>
          <w:szCs w:val="32"/>
          <w:shd w:val="clear" w:fill="FFFFFF"/>
        </w:rPr>
        <w:t>3.经营收入：指事业单位在专业业务活动及其辅助活动之外开展非独立核算经营活动取得的收入。</w:t>
      </w:r>
    </w:p>
    <w:p w14:paraId="409CC3BC">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4.其他收入：指单位取得的除上述收入以外的各项收入。</w:t>
      </w:r>
    </w:p>
    <w:p w14:paraId="2A3AB121">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5.使用非财政拨款结余：指事业单位使用以前年度积累的非财政拨款结余弥补当年收支差额的金额。</w:t>
      </w:r>
    </w:p>
    <w:p w14:paraId="17580478">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6.年初结转和结余：指以前年度尚未完成、结转到本年按有关规定继续使用的资金。</w:t>
      </w:r>
    </w:p>
    <w:p w14:paraId="6DE360CF">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7.结余分配：指事业单位按照会计制度规定缴纳的所得税、提取的专用结余以及转入非财政拨款结余的金额等。</w:t>
      </w:r>
    </w:p>
    <w:p w14:paraId="5B34EACF">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8、年末结转和结余：指单位按有关规定结转到下年或以后年度继续使用的资金。</w:t>
      </w:r>
    </w:p>
    <w:p w14:paraId="173ACA69">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rPr>
        <w:t>9.一般公共服务</w:t>
      </w:r>
      <w:r>
        <w:rPr>
          <w:rFonts w:hint="eastAsia" w:ascii="仿宋_GB2312" w:hAnsi="仿宋_GB2312" w:eastAsia="仿宋_GB2312" w:cs="仿宋_GB2312"/>
          <w:sz w:val="32"/>
          <w:szCs w:val="32"/>
          <w:shd w:val="clear" w:fill="FFFFFF"/>
          <w:lang w:eastAsia="zh-CN"/>
        </w:rPr>
        <w:t>支出</w:t>
      </w:r>
      <w:r>
        <w:rPr>
          <w:rFonts w:hint="eastAsia" w:ascii="仿宋_GB2312" w:hAnsi="仿宋_GB2312" w:eastAsia="仿宋_GB2312" w:cs="仿宋_GB2312"/>
          <w:sz w:val="32"/>
          <w:szCs w:val="32"/>
          <w:shd w:val="clear" w:fill="FFFFFF"/>
          <w:lang w:val="en-US" w:eastAsia="zh-CN"/>
        </w:rPr>
        <w:t>201</w:t>
      </w:r>
      <w:r>
        <w:rPr>
          <w:rFonts w:hint="eastAsia" w:ascii="仿宋_GB2312" w:hAnsi="仿宋_GB2312" w:eastAsia="仿宋_GB2312" w:cs="仿宋_GB2312"/>
          <w:sz w:val="32"/>
          <w:szCs w:val="32"/>
          <w:shd w:val="clear" w:fill="FFFFFF"/>
        </w:rPr>
        <w:t>（类）人大事务</w:t>
      </w:r>
      <w:r>
        <w:rPr>
          <w:rFonts w:hint="eastAsia" w:ascii="仿宋_GB2312" w:hAnsi="仿宋_GB2312" w:eastAsia="仿宋_GB2312" w:cs="仿宋_GB2312"/>
          <w:sz w:val="32"/>
          <w:szCs w:val="32"/>
          <w:shd w:val="clear" w:fill="FFFFFF"/>
          <w:lang w:val="en-US" w:eastAsia="zh-CN"/>
        </w:rPr>
        <w:t>20101</w:t>
      </w:r>
      <w:r>
        <w:rPr>
          <w:rFonts w:hint="eastAsia" w:ascii="仿宋_GB2312" w:hAnsi="仿宋_GB2312" w:eastAsia="仿宋_GB2312" w:cs="仿宋_GB2312"/>
          <w:sz w:val="32"/>
          <w:szCs w:val="32"/>
          <w:shd w:val="clear" w:fill="FFFFFF"/>
        </w:rPr>
        <w:t>（款）人大会议</w:t>
      </w:r>
      <w:r>
        <w:rPr>
          <w:rFonts w:hint="eastAsia" w:ascii="仿宋_GB2312" w:hAnsi="仿宋_GB2312" w:eastAsia="仿宋_GB2312" w:cs="仿宋_GB2312"/>
          <w:sz w:val="32"/>
          <w:szCs w:val="32"/>
          <w:shd w:val="clear" w:fill="FFFFFF"/>
          <w:lang w:val="en-US" w:eastAsia="zh-CN"/>
        </w:rPr>
        <w:t>2010104</w:t>
      </w:r>
      <w:r>
        <w:rPr>
          <w:rFonts w:hint="eastAsia" w:ascii="仿宋_GB2312" w:hAnsi="仿宋_GB2312" w:eastAsia="仿宋_GB2312" w:cs="仿宋_GB2312"/>
          <w:sz w:val="32"/>
          <w:szCs w:val="32"/>
          <w:shd w:val="clear" w:fill="FFFFFF"/>
        </w:rPr>
        <w:t>（项）：指</w:t>
      </w:r>
      <w:r>
        <w:rPr>
          <w:rFonts w:hint="eastAsia" w:ascii="仿宋_GB2312" w:hAnsi="仿宋_GB2312" w:eastAsia="仿宋_GB2312" w:cs="仿宋_GB2312"/>
          <w:sz w:val="32"/>
          <w:szCs w:val="32"/>
          <w:shd w:val="clear" w:fill="FFFFFF"/>
          <w:lang w:eastAsia="zh-CN"/>
        </w:rPr>
        <w:t>人大召开人民代表大会等专门会议发生的各项支出</w:t>
      </w:r>
      <w:r>
        <w:rPr>
          <w:rFonts w:hint="eastAsia" w:ascii="仿宋_GB2312" w:hAnsi="仿宋_GB2312" w:eastAsia="仿宋_GB2312" w:cs="仿宋_GB2312"/>
          <w:sz w:val="32"/>
          <w:szCs w:val="32"/>
          <w:shd w:val="clear" w:fill="FFFFFF"/>
        </w:rPr>
        <w:t>。</w:t>
      </w:r>
    </w:p>
    <w:p w14:paraId="6303CB7D">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rPr>
        <w:t>10.一般公共服务</w:t>
      </w:r>
      <w:r>
        <w:rPr>
          <w:rFonts w:hint="eastAsia" w:ascii="仿宋_GB2312" w:hAnsi="仿宋_GB2312" w:eastAsia="仿宋_GB2312" w:cs="仿宋_GB2312"/>
          <w:sz w:val="32"/>
          <w:szCs w:val="32"/>
          <w:shd w:val="clear" w:fill="FFFFFF"/>
          <w:lang w:eastAsia="zh-CN"/>
        </w:rPr>
        <w:t>支出</w:t>
      </w:r>
      <w:r>
        <w:rPr>
          <w:rFonts w:hint="eastAsia" w:ascii="仿宋_GB2312" w:hAnsi="仿宋_GB2312" w:eastAsia="仿宋_GB2312" w:cs="仿宋_GB2312"/>
          <w:sz w:val="32"/>
          <w:szCs w:val="32"/>
          <w:shd w:val="clear" w:fill="FFFFFF"/>
          <w:lang w:val="en-US" w:eastAsia="zh-CN"/>
        </w:rPr>
        <w:t>201</w:t>
      </w:r>
      <w:r>
        <w:rPr>
          <w:rFonts w:hint="eastAsia" w:ascii="仿宋_GB2312" w:hAnsi="仿宋_GB2312" w:eastAsia="仿宋_GB2312" w:cs="仿宋_GB2312"/>
          <w:sz w:val="32"/>
          <w:szCs w:val="32"/>
          <w:shd w:val="clear" w:fill="FFFFFF"/>
        </w:rPr>
        <w:t>（类）人大事务</w:t>
      </w:r>
      <w:r>
        <w:rPr>
          <w:rFonts w:hint="eastAsia" w:ascii="仿宋_GB2312" w:hAnsi="仿宋_GB2312" w:eastAsia="仿宋_GB2312" w:cs="仿宋_GB2312"/>
          <w:sz w:val="32"/>
          <w:szCs w:val="32"/>
          <w:shd w:val="clear" w:fill="FFFFFF"/>
          <w:lang w:val="en-US" w:eastAsia="zh-CN"/>
        </w:rPr>
        <w:t>20101</w:t>
      </w:r>
      <w:r>
        <w:rPr>
          <w:rFonts w:hint="eastAsia" w:ascii="仿宋_GB2312" w:hAnsi="仿宋_GB2312" w:eastAsia="仿宋_GB2312" w:cs="仿宋_GB2312"/>
          <w:sz w:val="32"/>
          <w:szCs w:val="32"/>
          <w:shd w:val="clear" w:fill="FFFFFF"/>
        </w:rPr>
        <w:t>（款）人大代表履职能力提升2010107</w:t>
      </w:r>
      <w:r>
        <w:rPr>
          <w:rFonts w:hint="eastAsia" w:ascii="仿宋_GB2312" w:hAnsi="仿宋_GB2312" w:eastAsia="仿宋_GB2312" w:cs="仿宋_GB2312"/>
          <w:sz w:val="32"/>
          <w:szCs w:val="32"/>
          <w:shd w:val="clear" w:fill="FFFFFF"/>
          <w:lang w:eastAsia="zh-CN"/>
        </w:rPr>
        <w:t>（项）：指大人为提高代表履职能力所发生的各项支出。</w:t>
      </w:r>
    </w:p>
    <w:p w14:paraId="424681E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rPr>
      </w:pPr>
    </w:p>
    <w:p w14:paraId="1D2C9103">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11.</w:t>
      </w:r>
      <w:r>
        <w:rPr>
          <w:rFonts w:hint="eastAsia" w:ascii="仿宋_GB2312" w:hAnsi="仿宋_GB2312" w:eastAsia="仿宋_GB2312" w:cs="仿宋_GB2312"/>
          <w:sz w:val="32"/>
          <w:szCs w:val="32"/>
          <w:shd w:val="clear" w:fill="FFFFFF"/>
        </w:rPr>
        <w:t>一般公共服务</w:t>
      </w:r>
      <w:r>
        <w:rPr>
          <w:rFonts w:hint="eastAsia" w:ascii="仿宋_GB2312" w:hAnsi="仿宋_GB2312" w:eastAsia="仿宋_GB2312" w:cs="仿宋_GB2312"/>
          <w:sz w:val="32"/>
          <w:szCs w:val="32"/>
          <w:shd w:val="clear" w:fill="FFFFFF"/>
          <w:lang w:eastAsia="zh-CN"/>
        </w:rPr>
        <w:t>支出</w:t>
      </w:r>
      <w:r>
        <w:rPr>
          <w:rFonts w:hint="eastAsia" w:ascii="仿宋_GB2312" w:hAnsi="仿宋_GB2312" w:eastAsia="仿宋_GB2312" w:cs="仿宋_GB2312"/>
          <w:sz w:val="32"/>
          <w:szCs w:val="32"/>
          <w:shd w:val="clear" w:fill="FFFFFF"/>
          <w:lang w:val="en-US" w:eastAsia="zh-CN"/>
        </w:rPr>
        <w:t>201</w:t>
      </w:r>
      <w:r>
        <w:rPr>
          <w:rFonts w:hint="eastAsia" w:ascii="仿宋_GB2312" w:hAnsi="仿宋_GB2312" w:eastAsia="仿宋_GB2312" w:cs="仿宋_GB2312"/>
          <w:sz w:val="32"/>
          <w:szCs w:val="32"/>
          <w:shd w:val="clear" w:fill="FFFFFF"/>
        </w:rPr>
        <w:t>（类）人大事务</w:t>
      </w:r>
      <w:r>
        <w:rPr>
          <w:rFonts w:hint="eastAsia" w:ascii="仿宋_GB2312" w:hAnsi="仿宋_GB2312" w:eastAsia="仿宋_GB2312" w:cs="仿宋_GB2312"/>
          <w:sz w:val="32"/>
          <w:szCs w:val="32"/>
          <w:shd w:val="clear" w:fill="FFFFFF"/>
          <w:lang w:val="en-US" w:eastAsia="zh-CN"/>
        </w:rPr>
        <w:t>20101</w:t>
      </w:r>
      <w:r>
        <w:rPr>
          <w:rFonts w:hint="eastAsia" w:ascii="仿宋_GB2312" w:hAnsi="仿宋_GB2312" w:eastAsia="仿宋_GB2312" w:cs="仿宋_GB2312"/>
          <w:sz w:val="32"/>
          <w:szCs w:val="32"/>
          <w:shd w:val="clear" w:fill="FFFFFF"/>
        </w:rPr>
        <w:t>（款）代表工作2010108</w:t>
      </w:r>
      <w:r>
        <w:rPr>
          <w:rFonts w:hint="eastAsia" w:ascii="仿宋_GB2312" w:hAnsi="仿宋_GB2312" w:eastAsia="仿宋_GB2312" w:cs="仿宋_GB2312"/>
          <w:sz w:val="32"/>
          <w:szCs w:val="32"/>
          <w:shd w:val="clear" w:fill="FFFFFF"/>
          <w:lang w:eastAsia="zh-CN"/>
        </w:rPr>
        <w:t>（项）：指人大代表开展各类视察等方面的支出。</w:t>
      </w:r>
    </w:p>
    <w:p w14:paraId="0BC11BB2">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12.</w:t>
      </w:r>
      <w:r>
        <w:rPr>
          <w:rFonts w:hint="eastAsia" w:ascii="仿宋_GB2312" w:hAnsi="仿宋_GB2312" w:eastAsia="仿宋_GB2312" w:cs="仿宋_GB2312"/>
          <w:sz w:val="32"/>
          <w:szCs w:val="32"/>
          <w:shd w:val="clear" w:fill="FFFFFF"/>
        </w:rPr>
        <w:t>一般公共服务</w:t>
      </w:r>
      <w:r>
        <w:rPr>
          <w:rFonts w:hint="eastAsia" w:ascii="仿宋_GB2312" w:hAnsi="仿宋_GB2312" w:eastAsia="仿宋_GB2312" w:cs="仿宋_GB2312"/>
          <w:sz w:val="32"/>
          <w:szCs w:val="32"/>
          <w:shd w:val="clear" w:fill="FFFFFF"/>
          <w:lang w:eastAsia="zh-CN"/>
        </w:rPr>
        <w:t>支出</w:t>
      </w:r>
      <w:r>
        <w:rPr>
          <w:rFonts w:hint="eastAsia" w:ascii="仿宋_GB2312" w:hAnsi="仿宋_GB2312" w:eastAsia="仿宋_GB2312" w:cs="仿宋_GB2312"/>
          <w:sz w:val="32"/>
          <w:szCs w:val="32"/>
          <w:shd w:val="clear" w:fill="FFFFFF"/>
          <w:lang w:val="en-US" w:eastAsia="zh-CN"/>
        </w:rPr>
        <w:t>201</w:t>
      </w:r>
      <w:r>
        <w:rPr>
          <w:rFonts w:hint="eastAsia" w:ascii="仿宋_GB2312" w:hAnsi="仿宋_GB2312" w:eastAsia="仿宋_GB2312" w:cs="仿宋_GB2312"/>
          <w:sz w:val="32"/>
          <w:szCs w:val="32"/>
          <w:shd w:val="clear" w:fill="FFFFFF"/>
        </w:rPr>
        <w:t>（类）</w:t>
      </w:r>
      <w:r>
        <w:rPr>
          <w:rFonts w:hint="eastAsia" w:ascii="仿宋_GB2312" w:hAnsi="仿宋_GB2312" w:eastAsia="仿宋_GB2312" w:cs="仿宋_GB2312"/>
          <w:sz w:val="32"/>
          <w:szCs w:val="32"/>
          <w:shd w:val="clear" w:fill="FFFFFF"/>
          <w:lang w:val="en-US" w:eastAsia="zh-CN"/>
        </w:rPr>
        <w:t>政协事务20102（款）一般行政管理事务2010202（项）：指行政单位（包括实行公务员管理的事业单位）未单独设置项级科目的其他项目支出。</w:t>
      </w:r>
    </w:p>
    <w:p w14:paraId="7B59275B">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13.</w:t>
      </w:r>
      <w:r>
        <w:rPr>
          <w:rFonts w:hint="eastAsia" w:ascii="仿宋_GB2312" w:hAnsi="仿宋_GB2312" w:eastAsia="仿宋_GB2312" w:cs="仿宋_GB2312"/>
          <w:sz w:val="32"/>
          <w:szCs w:val="32"/>
          <w:shd w:val="clear" w:fill="FFFFFF"/>
        </w:rPr>
        <w:t>一般公共服务</w:t>
      </w:r>
      <w:r>
        <w:rPr>
          <w:rFonts w:hint="eastAsia" w:ascii="仿宋_GB2312" w:hAnsi="仿宋_GB2312" w:eastAsia="仿宋_GB2312" w:cs="仿宋_GB2312"/>
          <w:sz w:val="32"/>
          <w:szCs w:val="32"/>
          <w:shd w:val="clear" w:fill="FFFFFF"/>
          <w:lang w:eastAsia="zh-CN"/>
        </w:rPr>
        <w:t>支出</w:t>
      </w:r>
      <w:r>
        <w:rPr>
          <w:rFonts w:hint="eastAsia" w:ascii="仿宋_GB2312" w:hAnsi="仿宋_GB2312" w:eastAsia="仿宋_GB2312" w:cs="仿宋_GB2312"/>
          <w:sz w:val="32"/>
          <w:szCs w:val="32"/>
          <w:shd w:val="clear" w:fill="FFFFFF"/>
          <w:lang w:val="en-US" w:eastAsia="zh-CN"/>
        </w:rPr>
        <w:t>201</w:t>
      </w:r>
      <w:r>
        <w:rPr>
          <w:rFonts w:hint="eastAsia" w:ascii="仿宋_GB2312" w:hAnsi="仿宋_GB2312" w:eastAsia="仿宋_GB2312" w:cs="仿宋_GB2312"/>
          <w:sz w:val="32"/>
          <w:szCs w:val="32"/>
          <w:shd w:val="clear" w:fill="FFFFFF"/>
        </w:rPr>
        <w:t>（类）</w:t>
      </w:r>
      <w:r>
        <w:rPr>
          <w:rFonts w:hint="eastAsia" w:ascii="仿宋_GB2312" w:hAnsi="仿宋_GB2312" w:eastAsia="仿宋_GB2312" w:cs="仿宋_GB2312"/>
          <w:sz w:val="32"/>
          <w:szCs w:val="32"/>
          <w:shd w:val="clear" w:fill="FFFFFF"/>
          <w:lang w:val="en-US" w:eastAsia="zh-CN"/>
        </w:rPr>
        <w:t>政府办公厅（室）及相关机构事务20103（款）行政运行2010301（项）：指行政单位（包括实行公务员管理的事业单位）的基本支出。</w:t>
      </w:r>
    </w:p>
    <w:p w14:paraId="588535E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14.</w:t>
      </w:r>
      <w:r>
        <w:rPr>
          <w:rFonts w:hint="eastAsia" w:ascii="仿宋_GB2312" w:hAnsi="仿宋_GB2312" w:eastAsia="仿宋_GB2312" w:cs="仿宋_GB2312"/>
          <w:sz w:val="32"/>
          <w:szCs w:val="32"/>
          <w:shd w:val="clear" w:fill="FFFFFF"/>
        </w:rPr>
        <w:t>一般公共服务</w:t>
      </w:r>
      <w:r>
        <w:rPr>
          <w:rFonts w:hint="eastAsia" w:ascii="仿宋_GB2312" w:hAnsi="仿宋_GB2312" w:eastAsia="仿宋_GB2312" w:cs="仿宋_GB2312"/>
          <w:sz w:val="32"/>
          <w:szCs w:val="32"/>
          <w:shd w:val="clear" w:fill="FFFFFF"/>
          <w:lang w:eastAsia="zh-CN"/>
        </w:rPr>
        <w:t>支出</w:t>
      </w:r>
      <w:r>
        <w:rPr>
          <w:rFonts w:hint="eastAsia" w:ascii="仿宋_GB2312" w:hAnsi="仿宋_GB2312" w:eastAsia="仿宋_GB2312" w:cs="仿宋_GB2312"/>
          <w:sz w:val="32"/>
          <w:szCs w:val="32"/>
          <w:shd w:val="clear" w:fill="FFFFFF"/>
          <w:lang w:val="en-US" w:eastAsia="zh-CN"/>
        </w:rPr>
        <w:t>201</w:t>
      </w:r>
      <w:r>
        <w:rPr>
          <w:rFonts w:hint="eastAsia" w:ascii="仿宋_GB2312" w:hAnsi="仿宋_GB2312" w:eastAsia="仿宋_GB2312" w:cs="仿宋_GB2312"/>
          <w:sz w:val="32"/>
          <w:szCs w:val="32"/>
          <w:shd w:val="clear" w:fill="FFFFFF"/>
        </w:rPr>
        <w:t>（类）</w:t>
      </w:r>
      <w:r>
        <w:rPr>
          <w:rFonts w:hint="eastAsia" w:ascii="仿宋_GB2312" w:hAnsi="仿宋_GB2312" w:eastAsia="仿宋_GB2312" w:cs="仿宋_GB2312"/>
          <w:sz w:val="32"/>
          <w:szCs w:val="32"/>
          <w:shd w:val="clear" w:fill="FFFFFF"/>
          <w:lang w:val="en-US" w:eastAsia="zh-CN"/>
        </w:rPr>
        <w:t>政府办公厅（室）及相关机构事务20103（款）一般行政管理事务2010302（项）：指行政单位（包括实行公务员管理的事业单位）未单独设置项级科目的其他项目支出。</w:t>
      </w:r>
    </w:p>
    <w:p w14:paraId="7AA6F77B">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15.</w:t>
      </w:r>
      <w:r>
        <w:rPr>
          <w:rFonts w:hint="eastAsia" w:ascii="仿宋_GB2312" w:hAnsi="仿宋_GB2312" w:eastAsia="仿宋_GB2312" w:cs="仿宋_GB2312"/>
          <w:sz w:val="32"/>
          <w:szCs w:val="32"/>
          <w:shd w:val="clear" w:fill="FFFFFF"/>
        </w:rPr>
        <w:t>一般公共服务</w:t>
      </w:r>
      <w:r>
        <w:rPr>
          <w:rFonts w:hint="eastAsia" w:ascii="仿宋_GB2312" w:hAnsi="仿宋_GB2312" w:eastAsia="仿宋_GB2312" w:cs="仿宋_GB2312"/>
          <w:sz w:val="32"/>
          <w:szCs w:val="32"/>
          <w:shd w:val="clear" w:fill="FFFFFF"/>
          <w:lang w:eastAsia="zh-CN"/>
        </w:rPr>
        <w:t>支出</w:t>
      </w:r>
      <w:r>
        <w:rPr>
          <w:rFonts w:hint="eastAsia" w:ascii="仿宋_GB2312" w:hAnsi="仿宋_GB2312" w:eastAsia="仿宋_GB2312" w:cs="仿宋_GB2312"/>
          <w:sz w:val="32"/>
          <w:szCs w:val="32"/>
          <w:shd w:val="clear" w:fill="FFFFFF"/>
          <w:lang w:val="en-US" w:eastAsia="zh-CN"/>
        </w:rPr>
        <w:t>201</w:t>
      </w:r>
      <w:r>
        <w:rPr>
          <w:rFonts w:hint="eastAsia" w:ascii="仿宋_GB2312" w:hAnsi="仿宋_GB2312" w:eastAsia="仿宋_GB2312" w:cs="仿宋_GB2312"/>
          <w:sz w:val="32"/>
          <w:szCs w:val="32"/>
          <w:shd w:val="clear" w:fill="FFFFFF"/>
        </w:rPr>
        <w:t>（类）</w:t>
      </w:r>
      <w:r>
        <w:rPr>
          <w:rFonts w:hint="eastAsia" w:ascii="仿宋_GB2312" w:hAnsi="仿宋_GB2312" w:eastAsia="仿宋_GB2312" w:cs="仿宋_GB2312"/>
          <w:sz w:val="32"/>
          <w:szCs w:val="32"/>
          <w:shd w:val="clear" w:fill="FFFFFF"/>
          <w:lang w:val="en-US" w:eastAsia="zh-CN"/>
        </w:rPr>
        <w:t>政府办公厅（室）及相关机构事务20103（款）事业运行2010350（项）：指事业单位的基本支出，不包括行政单位（包括实行公务员管理的事业单位）后勤服务中心、医务室等附属事业单位。</w:t>
      </w:r>
    </w:p>
    <w:p w14:paraId="67C8A0E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16.</w:t>
      </w:r>
      <w:r>
        <w:rPr>
          <w:rFonts w:hint="eastAsia" w:ascii="仿宋_GB2312" w:hAnsi="仿宋_GB2312" w:eastAsia="仿宋_GB2312" w:cs="仿宋_GB2312"/>
          <w:sz w:val="32"/>
          <w:szCs w:val="32"/>
          <w:shd w:val="clear" w:fill="FFFFFF"/>
        </w:rPr>
        <w:t>一般公共服务</w:t>
      </w:r>
      <w:r>
        <w:rPr>
          <w:rFonts w:hint="eastAsia" w:ascii="仿宋_GB2312" w:hAnsi="仿宋_GB2312" w:eastAsia="仿宋_GB2312" w:cs="仿宋_GB2312"/>
          <w:sz w:val="32"/>
          <w:szCs w:val="32"/>
          <w:shd w:val="clear" w:fill="FFFFFF"/>
          <w:lang w:eastAsia="zh-CN"/>
        </w:rPr>
        <w:t>支出</w:t>
      </w:r>
      <w:r>
        <w:rPr>
          <w:rFonts w:hint="eastAsia" w:ascii="仿宋_GB2312" w:hAnsi="仿宋_GB2312" w:eastAsia="仿宋_GB2312" w:cs="仿宋_GB2312"/>
          <w:sz w:val="32"/>
          <w:szCs w:val="32"/>
          <w:shd w:val="clear" w:fill="FFFFFF"/>
          <w:lang w:val="en-US" w:eastAsia="zh-CN"/>
        </w:rPr>
        <w:t>201</w:t>
      </w:r>
      <w:r>
        <w:rPr>
          <w:rFonts w:hint="eastAsia" w:ascii="仿宋_GB2312" w:hAnsi="仿宋_GB2312" w:eastAsia="仿宋_GB2312" w:cs="仿宋_GB2312"/>
          <w:sz w:val="32"/>
          <w:szCs w:val="32"/>
          <w:shd w:val="clear" w:fill="FFFFFF"/>
        </w:rPr>
        <w:t>（类）群众团体事务20129</w:t>
      </w:r>
      <w:r>
        <w:rPr>
          <w:rFonts w:hint="eastAsia" w:ascii="仿宋_GB2312" w:hAnsi="仿宋_GB2312" w:eastAsia="仿宋_GB2312" w:cs="仿宋_GB2312"/>
          <w:sz w:val="32"/>
          <w:szCs w:val="32"/>
          <w:shd w:val="clear" w:fill="FFFFFF"/>
          <w:lang w:eastAsia="zh-CN"/>
        </w:rPr>
        <w:t>（款）其他群众团体事务支出2012999（项）：指除行政运行、一般行政管理事务、机关服务、工会事务、事业运行以外其他用于群众团体事务方面的支出。</w:t>
      </w:r>
    </w:p>
    <w:p w14:paraId="0D2839D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17.</w:t>
      </w:r>
      <w:r>
        <w:rPr>
          <w:rFonts w:hint="eastAsia" w:ascii="仿宋_GB2312" w:hAnsi="仿宋_GB2312" w:eastAsia="仿宋_GB2312" w:cs="仿宋_GB2312"/>
          <w:sz w:val="32"/>
          <w:szCs w:val="32"/>
          <w:shd w:val="clear" w:fill="FFFFFF"/>
        </w:rPr>
        <w:t>一般公共服务</w:t>
      </w:r>
      <w:r>
        <w:rPr>
          <w:rFonts w:hint="eastAsia" w:ascii="仿宋_GB2312" w:hAnsi="仿宋_GB2312" w:eastAsia="仿宋_GB2312" w:cs="仿宋_GB2312"/>
          <w:sz w:val="32"/>
          <w:szCs w:val="32"/>
          <w:shd w:val="clear" w:fill="FFFFFF"/>
          <w:lang w:eastAsia="zh-CN"/>
        </w:rPr>
        <w:t>支出</w:t>
      </w:r>
      <w:r>
        <w:rPr>
          <w:rFonts w:hint="eastAsia" w:ascii="仿宋_GB2312" w:hAnsi="仿宋_GB2312" w:eastAsia="仿宋_GB2312" w:cs="仿宋_GB2312"/>
          <w:sz w:val="32"/>
          <w:szCs w:val="32"/>
          <w:shd w:val="clear" w:fill="FFFFFF"/>
          <w:lang w:val="en-US" w:eastAsia="zh-CN"/>
        </w:rPr>
        <w:t>201</w:t>
      </w:r>
      <w:r>
        <w:rPr>
          <w:rFonts w:hint="eastAsia" w:ascii="仿宋_GB2312" w:hAnsi="仿宋_GB2312" w:eastAsia="仿宋_GB2312" w:cs="仿宋_GB2312"/>
          <w:sz w:val="32"/>
          <w:szCs w:val="32"/>
          <w:shd w:val="clear" w:fill="FFFFFF"/>
        </w:rPr>
        <w:t>（类）社会工作事务20139</w:t>
      </w:r>
      <w:r>
        <w:rPr>
          <w:rFonts w:hint="eastAsia" w:ascii="仿宋_GB2312" w:hAnsi="仿宋_GB2312" w:eastAsia="仿宋_GB2312" w:cs="仿宋_GB2312"/>
          <w:sz w:val="32"/>
          <w:szCs w:val="32"/>
          <w:shd w:val="clear" w:fill="FFFFFF"/>
          <w:lang w:eastAsia="zh-CN"/>
        </w:rPr>
        <w:t>（款）</w:t>
      </w:r>
      <w:r>
        <w:rPr>
          <w:rFonts w:hint="eastAsia" w:ascii="仿宋_GB2312" w:hAnsi="仿宋_GB2312" w:eastAsia="仿宋_GB2312" w:cs="仿宋_GB2312"/>
          <w:sz w:val="32"/>
          <w:szCs w:val="32"/>
          <w:shd w:val="clear" w:fill="FFFFFF"/>
        </w:rPr>
        <w:t>专项业务2013904</w:t>
      </w:r>
      <w:r>
        <w:rPr>
          <w:rFonts w:hint="eastAsia" w:ascii="仿宋_GB2312" w:hAnsi="仿宋_GB2312" w:eastAsia="仿宋_GB2312" w:cs="仿宋_GB2312"/>
          <w:sz w:val="32"/>
          <w:szCs w:val="32"/>
          <w:shd w:val="clear" w:fill="FFFFFF"/>
          <w:lang w:eastAsia="zh-CN"/>
        </w:rPr>
        <w:t>（项）：指社会工作部门开展专项业务活动的支出。</w:t>
      </w:r>
    </w:p>
    <w:p w14:paraId="0CE7506F">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default"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18.</w:t>
      </w:r>
      <w:r>
        <w:rPr>
          <w:rFonts w:hint="eastAsia" w:ascii="仿宋_GB2312" w:hAnsi="仿宋_GB2312" w:eastAsia="仿宋_GB2312" w:cs="仿宋_GB2312"/>
          <w:sz w:val="32"/>
          <w:szCs w:val="32"/>
          <w:shd w:val="clear" w:fill="FFFFFF"/>
        </w:rPr>
        <w:t>一般公共服务</w:t>
      </w:r>
      <w:r>
        <w:rPr>
          <w:rFonts w:hint="eastAsia" w:ascii="仿宋_GB2312" w:hAnsi="仿宋_GB2312" w:eastAsia="仿宋_GB2312" w:cs="仿宋_GB2312"/>
          <w:sz w:val="32"/>
          <w:szCs w:val="32"/>
          <w:shd w:val="clear" w:fill="FFFFFF"/>
          <w:lang w:eastAsia="zh-CN"/>
        </w:rPr>
        <w:t>支出</w:t>
      </w:r>
      <w:r>
        <w:rPr>
          <w:rFonts w:hint="eastAsia" w:ascii="仿宋_GB2312" w:hAnsi="仿宋_GB2312" w:eastAsia="仿宋_GB2312" w:cs="仿宋_GB2312"/>
          <w:sz w:val="32"/>
          <w:szCs w:val="32"/>
          <w:shd w:val="clear" w:fill="FFFFFF"/>
          <w:lang w:val="en-US" w:eastAsia="zh-CN"/>
        </w:rPr>
        <w:t>201</w:t>
      </w:r>
      <w:r>
        <w:rPr>
          <w:rFonts w:hint="eastAsia" w:ascii="仿宋_GB2312" w:hAnsi="仿宋_GB2312" w:eastAsia="仿宋_GB2312" w:cs="仿宋_GB2312"/>
          <w:sz w:val="32"/>
          <w:szCs w:val="32"/>
          <w:shd w:val="clear" w:fill="FFFFFF"/>
        </w:rPr>
        <w:t>（类）社会工作事务20139</w:t>
      </w:r>
      <w:r>
        <w:rPr>
          <w:rFonts w:hint="eastAsia" w:ascii="仿宋_GB2312" w:hAnsi="仿宋_GB2312" w:eastAsia="仿宋_GB2312" w:cs="仿宋_GB2312"/>
          <w:sz w:val="32"/>
          <w:szCs w:val="32"/>
          <w:shd w:val="clear" w:fill="FFFFFF"/>
          <w:lang w:eastAsia="zh-CN"/>
        </w:rPr>
        <w:t>（款）其他社会工作事务支出2013999（项）：指除行政运行、一般行政管理事务、机关服务、专项业务、事业运行以外其他用于社会工作事务的支出。</w:t>
      </w:r>
    </w:p>
    <w:p w14:paraId="07B00EFB">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rPr>
      </w:pPr>
      <w:r>
        <w:rPr>
          <w:rFonts w:hint="eastAsia" w:ascii="仿宋_GB2312" w:hAnsi="仿宋_GB2312" w:eastAsia="仿宋_GB2312" w:cs="仿宋_GB2312"/>
          <w:sz w:val="32"/>
          <w:szCs w:val="32"/>
          <w:shd w:val="clear" w:fill="FFFFFF"/>
          <w:lang w:val="en-US" w:eastAsia="zh-CN"/>
        </w:rPr>
        <w:t>19.国防支出203</w:t>
      </w:r>
      <w:r>
        <w:rPr>
          <w:rFonts w:hint="eastAsia" w:ascii="仿宋_GB2312" w:hAnsi="仿宋_GB2312" w:eastAsia="仿宋_GB2312" w:cs="仿宋_GB2312"/>
          <w:sz w:val="32"/>
          <w:szCs w:val="32"/>
          <w:shd w:val="clear" w:fill="FFFFFF"/>
        </w:rPr>
        <w:t>（类）国防动员20306（款）民兵2030607（项）：指</w:t>
      </w:r>
      <w:r>
        <w:rPr>
          <w:rFonts w:hint="eastAsia" w:ascii="仿宋_GB2312" w:hAnsi="仿宋_GB2312" w:eastAsia="仿宋_GB2312" w:cs="仿宋_GB2312"/>
          <w:sz w:val="32"/>
          <w:szCs w:val="32"/>
          <w:shd w:val="clear" w:fill="FFFFFF"/>
          <w:lang w:eastAsia="zh-CN"/>
        </w:rPr>
        <w:t>用于民兵建设与管理等方面的支出</w:t>
      </w:r>
      <w:r>
        <w:rPr>
          <w:rFonts w:hint="eastAsia" w:ascii="仿宋_GB2312" w:hAnsi="仿宋_GB2312" w:eastAsia="仿宋_GB2312" w:cs="仿宋_GB2312"/>
          <w:sz w:val="32"/>
          <w:szCs w:val="32"/>
          <w:shd w:val="clear" w:fill="FFFFFF"/>
        </w:rPr>
        <w:t>。</w:t>
      </w:r>
    </w:p>
    <w:p w14:paraId="59A19E8C">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20.文化旅游体育与传媒支出207（类）文化和旅游20701（款）图书馆2070104（项）：指图书馆的支出。</w:t>
      </w:r>
    </w:p>
    <w:p w14:paraId="607F4908">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21.文化旅游体育与传媒支出207（类）文化和旅游20701（款）群众文化2070109（项）：指群众文化方面的支出，包括基层文化馆（站）、群众艺术馆支出等。</w:t>
      </w:r>
    </w:p>
    <w:p w14:paraId="3AFBF9F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22.文化旅游体育与传媒支出207（类）文化和旅游20701（款）其他文化和旅游支出2070199（项）：指其他用于文化和旅游方面的支出。</w:t>
      </w:r>
    </w:p>
    <w:p w14:paraId="12C12444">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23</w:t>
      </w:r>
      <w:r>
        <w:rPr>
          <w:rFonts w:hint="eastAsia" w:ascii="仿宋_GB2312" w:hAnsi="仿宋_GB2312" w:eastAsia="仿宋_GB2312" w:cs="仿宋_GB2312"/>
          <w:sz w:val="32"/>
          <w:szCs w:val="32"/>
          <w:shd w:val="clear" w:fill="FFFFFF"/>
        </w:rPr>
        <w:t>.社会保障和就业支出</w:t>
      </w:r>
      <w:r>
        <w:rPr>
          <w:rFonts w:hint="eastAsia" w:ascii="仿宋_GB2312" w:hAnsi="仿宋_GB2312" w:eastAsia="仿宋_GB2312" w:cs="仿宋_GB2312"/>
          <w:sz w:val="32"/>
          <w:szCs w:val="32"/>
          <w:shd w:val="clear" w:fill="FFFFFF"/>
          <w:lang w:val="en-US" w:eastAsia="zh-CN"/>
        </w:rPr>
        <w:t>208</w:t>
      </w:r>
      <w:r>
        <w:rPr>
          <w:rFonts w:hint="eastAsia" w:ascii="仿宋_GB2312" w:hAnsi="仿宋_GB2312" w:eastAsia="仿宋_GB2312" w:cs="仿宋_GB2312"/>
          <w:sz w:val="32"/>
          <w:szCs w:val="32"/>
          <w:shd w:val="clear" w:fill="FFFFFF"/>
        </w:rPr>
        <w:t>（类）行政事业单位养老支出</w:t>
      </w:r>
      <w:r>
        <w:rPr>
          <w:rFonts w:hint="eastAsia" w:ascii="仿宋_GB2312" w:hAnsi="仿宋_GB2312" w:eastAsia="仿宋_GB2312" w:cs="仿宋_GB2312"/>
          <w:sz w:val="32"/>
          <w:szCs w:val="32"/>
          <w:shd w:val="clear" w:fill="FFFFFF"/>
          <w:lang w:val="en-US" w:eastAsia="zh-CN"/>
        </w:rPr>
        <w:t>20805</w:t>
      </w:r>
      <w:r>
        <w:rPr>
          <w:rFonts w:hint="eastAsia" w:ascii="仿宋_GB2312" w:hAnsi="仿宋_GB2312" w:eastAsia="仿宋_GB2312" w:cs="仿宋_GB2312"/>
          <w:sz w:val="32"/>
          <w:szCs w:val="32"/>
          <w:shd w:val="clear" w:fill="FFFFFF"/>
        </w:rPr>
        <w:t>（款）机关事业单位基本养老保险缴费支出2080505（项）：指</w:t>
      </w:r>
      <w:r>
        <w:rPr>
          <w:rFonts w:hint="eastAsia" w:ascii="仿宋_GB2312" w:hAnsi="仿宋_GB2312" w:eastAsia="仿宋_GB2312" w:cs="仿宋_GB2312"/>
          <w:sz w:val="32"/>
          <w:szCs w:val="32"/>
          <w:shd w:val="clear" w:fill="FFFFFF"/>
          <w:lang w:eastAsia="zh-CN"/>
        </w:rPr>
        <w:t>机关事业单位实施养老保险制度由单位缴纳的基本养老保险费支出</w:t>
      </w:r>
      <w:r>
        <w:rPr>
          <w:rFonts w:hint="eastAsia" w:ascii="仿宋_GB2312" w:hAnsi="仿宋_GB2312" w:eastAsia="仿宋_GB2312" w:cs="仿宋_GB2312"/>
          <w:sz w:val="32"/>
          <w:szCs w:val="32"/>
          <w:shd w:val="clear" w:fill="FFFFFF"/>
        </w:rPr>
        <w:t>。</w:t>
      </w:r>
    </w:p>
    <w:p w14:paraId="0409364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24.</w:t>
      </w:r>
      <w:r>
        <w:rPr>
          <w:rFonts w:hint="eastAsia" w:ascii="仿宋_GB2312" w:hAnsi="仿宋_GB2312" w:eastAsia="仿宋_GB2312" w:cs="仿宋_GB2312"/>
          <w:sz w:val="32"/>
          <w:szCs w:val="32"/>
          <w:shd w:val="clear" w:fill="FFFFFF"/>
        </w:rPr>
        <w:t>社会保障和就业支出</w:t>
      </w:r>
      <w:r>
        <w:rPr>
          <w:rFonts w:hint="eastAsia" w:ascii="仿宋_GB2312" w:hAnsi="仿宋_GB2312" w:eastAsia="仿宋_GB2312" w:cs="仿宋_GB2312"/>
          <w:sz w:val="32"/>
          <w:szCs w:val="32"/>
          <w:shd w:val="clear" w:fill="FFFFFF"/>
          <w:lang w:val="en-US" w:eastAsia="zh-CN"/>
        </w:rPr>
        <w:t>208</w:t>
      </w:r>
      <w:r>
        <w:rPr>
          <w:rFonts w:hint="eastAsia" w:ascii="仿宋_GB2312" w:hAnsi="仿宋_GB2312" w:eastAsia="仿宋_GB2312" w:cs="仿宋_GB2312"/>
          <w:sz w:val="32"/>
          <w:szCs w:val="32"/>
          <w:shd w:val="clear" w:fill="FFFFFF"/>
        </w:rPr>
        <w:t>（类）行政事业单位养老支出</w:t>
      </w:r>
      <w:r>
        <w:rPr>
          <w:rFonts w:hint="eastAsia" w:ascii="仿宋_GB2312" w:hAnsi="仿宋_GB2312" w:eastAsia="仿宋_GB2312" w:cs="仿宋_GB2312"/>
          <w:sz w:val="32"/>
          <w:szCs w:val="32"/>
          <w:shd w:val="clear" w:fill="FFFFFF"/>
          <w:lang w:val="en-US" w:eastAsia="zh-CN"/>
        </w:rPr>
        <w:t>20805</w:t>
      </w:r>
      <w:r>
        <w:rPr>
          <w:rFonts w:hint="eastAsia" w:ascii="仿宋_GB2312" w:hAnsi="仿宋_GB2312" w:eastAsia="仿宋_GB2312" w:cs="仿宋_GB2312"/>
          <w:sz w:val="32"/>
          <w:szCs w:val="32"/>
          <w:shd w:val="clear" w:fill="FFFFFF"/>
        </w:rPr>
        <w:t>（款）机关事业单位职业年金缴费支出2080506</w:t>
      </w:r>
      <w:r>
        <w:rPr>
          <w:rFonts w:hint="eastAsia" w:ascii="仿宋_GB2312" w:hAnsi="仿宋_GB2312" w:eastAsia="仿宋_GB2312" w:cs="仿宋_GB2312"/>
          <w:sz w:val="32"/>
          <w:szCs w:val="32"/>
          <w:shd w:val="clear" w:fill="FFFFFF"/>
          <w:lang w:eastAsia="zh-CN"/>
        </w:rPr>
        <w:t>（项）：指机关事业单位实施养老保险制度由单位缴纳的职业年金支出（含职业年金补记支出）。</w:t>
      </w:r>
    </w:p>
    <w:p w14:paraId="57B78F12">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25.</w:t>
      </w:r>
      <w:r>
        <w:rPr>
          <w:rFonts w:hint="eastAsia" w:ascii="仿宋_GB2312" w:hAnsi="仿宋_GB2312" w:eastAsia="仿宋_GB2312" w:cs="仿宋_GB2312"/>
          <w:sz w:val="32"/>
          <w:szCs w:val="32"/>
          <w:shd w:val="clear" w:fill="FFFFFF"/>
        </w:rPr>
        <w:t>社会保障和就业支出</w:t>
      </w:r>
      <w:r>
        <w:rPr>
          <w:rFonts w:hint="eastAsia" w:ascii="仿宋_GB2312" w:hAnsi="仿宋_GB2312" w:eastAsia="仿宋_GB2312" w:cs="仿宋_GB2312"/>
          <w:sz w:val="32"/>
          <w:szCs w:val="32"/>
          <w:shd w:val="clear" w:fill="FFFFFF"/>
          <w:lang w:val="en-US" w:eastAsia="zh-CN"/>
        </w:rPr>
        <w:t>208</w:t>
      </w:r>
      <w:r>
        <w:rPr>
          <w:rFonts w:hint="eastAsia" w:ascii="仿宋_GB2312" w:hAnsi="仿宋_GB2312" w:eastAsia="仿宋_GB2312" w:cs="仿宋_GB2312"/>
          <w:sz w:val="32"/>
          <w:szCs w:val="32"/>
          <w:shd w:val="clear" w:fill="FFFFFF"/>
        </w:rPr>
        <w:t>（类）残疾人事业20811</w:t>
      </w:r>
      <w:r>
        <w:rPr>
          <w:rFonts w:hint="eastAsia" w:ascii="仿宋_GB2312" w:hAnsi="仿宋_GB2312" w:eastAsia="仿宋_GB2312" w:cs="仿宋_GB2312"/>
          <w:sz w:val="32"/>
          <w:szCs w:val="32"/>
          <w:shd w:val="clear" w:fill="FFFFFF"/>
          <w:lang w:eastAsia="zh-CN"/>
        </w:rPr>
        <w:t>（款）其他残疾人事业支出2081199（项）：指其他用于残疾人事业方面的支出。</w:t>
      </w:r>
    </w:p>
    <w:p w14:paraId="37465A52">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26</w:t>
      </w:r>
      <w:r>
        <w:rPr>
          <w:rFonts w:hint="eastAsia" w:ascii="仿宋_GB2312" w:hAnsi="仿宋_GB2312" w:eastAsia="仿宋_GB2312" w:cs="仿宋_GB2312"/>
          <w:sz w:val="32"/>
          <w:szCs w:val="32"/>
          <w:shd w:val="clear" w:fill="FFFFFF"/>
        </w:rPr>
        <w:t>.卫生健康支出210（类）行政事业单位医疗21011（款）行政单位医疗2101101（项）：指</w:t>
      </w:r>
      <w:r>
        <w:rPr>
          <w:rFonts w:hint="eastAsia" w:ascii="仿宋_GB2312" w:hAnsi="仿宋_GB2312" w:eastAsia="仿宋_GB2312" w:cs="仿宋_GB2312"/>
          <w:sz w:val="32"/>
          <w:szCs w:val="32"/>
          <w:shd w:val="clear" w:fill="FFFFFF"/>
          <w:lang w:eastAsia="zh-CN"/>
        </w:rPr>
        <w:t>财政部门安排的</w:t>
      </w:r>
      <w:r>
        <w:rPr>
          <w:rFonts w:hint="eastAsia" w:ascii="仿宋_GB2312" w:hAnsi="仿宋_GB2312" w:eastAsia="仿宋_GB2312" w:cs="仿宋_GB2312"/>
          <w:sz w:val="32"/>
          <w:szCs w:val="32"/>
          <w:shd w:val="clear" w:fill="FFFFFF"/>
          <w:lang w:val="en-US" w:eastAsia="zh-CN"/>
        </w:rPr>
        <w:t>行政单位（包括实行公务员管理的事业单位）基本医疗保险缴费经费，未参加医疗保险的行政单位的公费医疗经费，按国家规定享受离休人员、红军老战士待遇人员的医疗经费</w:t>
      </w:r>
      <w:r>
        <w:rPr>
          <w:rFonts w:hint="eastAsia" w:ascii="仿宋_GB2312" w:hAnsi="仿宋_GB2312" w:eastAsia="仿宋_GB2312" w:cs="仿宋_GB2312"/>
          <w:sz w:val="32"/>
          <w:szCs w:val="32"/>
          <w:shd w:val="clear" w:fill="FFFFFF"/>
        </w:rPr>
        <w:t>。</w:t>
      </w:r>
    </w:p>
    <w:p w14:paraId="3D5CB8BF">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27.</w:t>
      </w:r>
      <w:r>
        <w:rPr>
          <w:rFonts w:hint="eastAsia" w:ascii="仿宋_GB2312" w:hAnsi="仿宋_GB2312" w:eastAsia="仿宋_GB2312" w:cs="仿宋_GB2312"/>
          <w:sz w:val="32"/>
          <w:szCs w:val="32"/>
          <w:shd w:val="clear" w:fill="FFFFFF"/>
        </w:rPr>
        <w:t>卫生健康支出210（类）行政事业单位医疗21011（款）事业单位医疗2101102</w:t>
      </w:r>
      <w:r>
        <w:rPr>
          <w:rFonts w:hint="eastAsia" w:ascii="仿宋_GB2312" w:hAnsi="仿宋_GB2312" w:eastAsia="仿宋_GB2312" w:cs="仿宋_GB2312"/>
          <w:sz w:val="32"/>
          <w:szCs w:val="32"/>
          <w:shd w:val="clear" w:fill="FFFFFF"/>
          <w:lang w:eastAsia="zh-CN"/>
        </w:rPr>
        <w:t>（项）：指财政部门安排的事业单位基本医疗保险缴费经费，未参加医疗保险的事业单位的公费医疗经费，</w:t>
      </w:r>
      <w:r>
        <w:rPr>
          <w:rFonts w:hint="eastAsia" w:ascii="仿宋_GB2312" w:hAnsi="仿宋_GB2312" w:eastAsia="仿宋_GB2312" w:cs="仿宋_GB2312"/>
          <w:sz w:val="32"/>
          <w:szCs w:val="32"/>
          <w:shd w:val="clear" w:fill="FFFFFF"/>
          <w:lang w:val="en-US" w:eastAsia="zh-CN"/>
        </w:rPr>
        <w:t>按国家规定享受离休人员待遇人员的医疗经费</w:t>
      </w:r>
      <w:r>
        <w:rPr>
          <w:rFonts w:hint="eastAsia" w:ascii="仿宋_GB2312" w:hAnsi="仿宋_GB2312" w:eastAsia="仿宋_GB2312" w:cs="仿宋_GB2312"/>
          <w:sz w:val="32"/>
          <w:szCs w:val="32"/>
          <w:shd w:val="clear" w:fill="FFFFFF"/>
        </w:rPr>
        <w:t>。</w:t>
      </w:r>
    </w:p>
    <w:p w14:paraId="1DFBBEA4">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28.</w:t>
      </w:r>
      <w:r>
        <w:rPr>
          <w:rFonts w:hint="eastAsia" w:ascii="仿宋_GB2312" w:hAnsi="仿宋_GB2312" w:eastAsia="仿宋_GB2312" w:cs="仿宋_GB2312"/>
          <w:sz w:val="32"/>
          <w:szCs w:val="32"/>
          <w:shd w:val="clear" w:fill="FFFFFF"/>
        </w:rPr>
        <w:t>卫生健康支出210（类）行政事业单位医疗21011（款）公务员医疗补助2101103</w:t>
      </w:r>
      <w:r>
        <w:rPr>
          <w:rFonts w:hint="eastAsia" w:ascii="仿宋_GB2312" w:hAnsi="仿宋_GB2312" w:eastAsia="仿宋_GB2312" w:cs="仿宋_GB2312"/>
          <w:sz w:val="32"/>
          <w:szCs w:val="32"/>
          <w:shd w:val="clear" w:fill="FFFFFF"/>
          <w:lang w:eastAsia="zh-CN"/>
        </w:rPr>
        <w:t>（项）：指财政部门安排的公务员医疗补助经费。</w:t>
      </w:r>
    </w:p>
    <w:p w14:paraId="2950B70C">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29.</w:t>
      </w:r>
      <w:r>
        <w:rPr>
          <w:rFonts w:hint="eastAsia" w:ascii="仿宋_GB2312" w:hAnsi="仿宋_GB2312" w:eastAsia="仿宋_GB2312" w:cs="仿宋_GB2312"/>
          <w:sz w:val="32"/>
          <w:szCs w:val="32"/>
          <w:shd w:val="clear" w:fill="FFFFFF"/>
        </w:rPr>
        <w:t>卫生健康支出210（类）行政事业单位医疗21011（款）</w:t>
      </w:r>
      <w:r>
        <w:rPr>
          <w:rFonts w:hint="eastAsia" w:ascii="仿宋_GB2312" w:hAnsi="仿宋_GB2312" w:eastAsia="仿宋_GB2312" w:cs="仿宋_GB2312"/>
          <w:sz w:val="32"/>
          <w:szCs w:val="32"/>
          <w:shd w:val="clear" w:fill="FFFFFF"/>
          <w:lang w:val="en-US" w:eastAsia="zh-CN"/>
        </w:rPr>
        <w:t>其他行政事业单位医疗支出2101199（项）：指其他用用于行政事业单位医疗方面的支出。</w:t>
      </w:r>
    </w:p>
    <w:p w14:paraId="2D276B39">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30</w:t>
      </w:r>
      <w:r>
        <w:rPr>
          <w:rFonts w:hint="eastAsia" w:ascii="仿宋_GB2312" w:hAnsi="仿宋_GB2312" w:eastAsia="仿宋_GB2312" w:cs="仿宋_GB2312"/>
          <w:sz w:val="32"/>
          <w:szCs w:val="32"/>
          <w:shd w:val="clear" w:fill="FFFFFF"/>
        </w:rPr>
        <w:t>.城乡社区212（类）城乡社区环境卫生21205（款）城乡社区环境卫生2120501（项）：指</w:t>
      </w:r>
      <w:r>
        <w:rPr>
          <w:rFonts w:hint="eastAsia" w:ascii="仿宋_GB2312" w:hAnsi="仿宋_GB2312" w:eastAsia="仿宋_GB2312" w:cs="仿宋_GB2312"/>
          <w:sz w:val="32"/>
          <w:szCs w:val="32"/>
          <w:shd w:val="clear" w:fill="FFFFFF"/>
          <w:lang w:eastAsia="zh-CN"/>
        </w:rPr>
        <w:t>城乡社区街道清扫、垃圾清运与处理、公厕建设与维护、园林绿化等方面的支出</w:t>
      </w:r>
      <w:r>
        <w:rPr>
          <w:rFonts w:hint="eastAsia" w:ascii="仿宋_GB2312" w:hAnsi="仿宋_GB2312" w:eastAsia="仿宋_GB2312" w:cs="仿宋_GB2312"/>
          <w:sz w:val="32"/>
          <w:szCs w:val="32"/>
          <w:shd w:val="clear" w:fill="FFFFFF"/>
        </w:rPr>
        <w:t>。</w:t>
      </w:r>
    </w:p>
    <w:p w14:paraId="446E9471">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31</w:t>
      </w:r>
      <w:r>
        <w:rPr>
          <w:rFonts w:hint="eastAsia" w:ascii="仿宋_GB2312" w:hAnsi="仿宋_GB2312" w:eastAsia="仿宋_GB2312" w:cs="仿宋_GB2312"/>
          <w:sz w:val="32"/>
          <w:szCs w:val="32"/>
          <w:shd w:val="clear" w:fill="FFFFFF"/>
        </w:rPr>
        <w:t>.农林水</w:t>
      </w:r>
      <w:r>
        <w:rPr>
          <w:rFonts w:hint="eastAsia" w:ascii="仿宋_GB2312" w:hAnsi="仿宋_GB2312" w:eastAsia="仿宋_GB2312" w:cs="仿宋_GB2312"/>
          <w:sz w:val="32"/>
          <w:szCs w:val="32"/>
          <w:shd w:val="clear" w:fill="FFFFFF"/>
          <w:lang w:eastAsia="zh-CN"/>
        </w:rPr>
        <w:t>支出213</w:t>
      </w:r>
      <w:r>
        <w:rPr>
          <w:rFonts w:hint="eastAsia" w:ascii="仿宋_GB2312" w:hAnsi="仿宋_GB2312" w:eastAsia="仿宋_GB2312" w:cs="仿宋_GB2312"/>
          <w:sz w:val="32"/>
          <w:szCs w:val="32"/>
          <w:shd w:val="clear" w:fill="FFFFFF"/>
        </w:rPr>
        <w:t>（类）农业农村21301（款）对高校毕业生到基层任职补助2130152（项）：指</w:t>
      </w:r>
      <w:r>
        <w:rPr>
          <w:rFonts w:hint="eastAsia" w:ascii="仿宋_GB2312" w:hAnsi="仿宋_GB2312" w:eastAsia="仿宋_GB2312" w:cs="仿宋_GB2312"/>
          <w:sz w:val="32"/>
          <w:szCs w:val="32"/>
          <w:shd w:val="clear" w:fill="FFFFFF"/>
          <w:lang w:eastAsia="zh-CN"/>
        </w:rPr>
        <w:t>按规定对高校毕业生到基层任职的补助支出</w:t>
      </w:r>
      <w:r>
        <w:rPr>
          <w:rFonts w:hint="eastAsia" w:ascii="仿宋_GB2312" w:hAnsi="仿宋_GB2312" w:eastAsia="仿宋_GB2312" w:cs="仿宋_GB2312"/>
          <w:sz w:val="32"/>
          <w:szCs w:val="32"/>
          <w:shd w:val="clear" w:fill="FFFFFF"/>
        </w:rPr>
        <w:t>。</w:t>
      </w:r>
    </w:p>
    <w:p w14:paraId="33E7995F">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32.</w:t>
      </w:r>
      <w:r>
        <w:rPr>
          <w:rFonts w:hint="eastAsia" w:ascii="仿宋_GB2312" w:hAnsi="仿宋_GB2312" w:eastAsia="仿宋_GB2312" w:cs="仿宋_GB2312"/>
          <w:sz w:val="32"/>
          <w:szCs w:val="32"/>
          <w:shd w:val="clear" w:fill="FFFFFF"/>
        </w:rPr>
        <w:t>农林水</w:t>
      </w:r>
      <w:r>
        <w:rPr>
          <w:rFonts w:hint="eastAsia" w:ascii="仿宋_GB2312" w:hAnsi="仿宋_GB2312" w:eastAsia="仿宋_GB2312" w:cs="仿宋_GB2312"/>
          <w:sz w:val="32"/>
          <w:szCs w:val="32"/>
          <w:shd w:val="clear" w:fill="FFFFFF"/>
          <w:lang w:eastAsia="zh-CN"/>
        </w:rPr>
        <w:t>支出213</w:t>
      </w:r>
      <w:r>
        <w:rPr>
          <w:rFonts w:hint="eastAsia" w:ascii="仿宋_GB2312" w:hAnsi="仿宋_GB2312" w:eastAsia="仿宋_GB2312" w:cs="仿宋_GB2312"/>
          <w:sz w:val="32"/>
          <w:szCs w:val="32"/>
          <w:shd w:val="clear" w:fill="FFFFFF"/>
        </w:rPr>
        <w:t>（类）农业农村21301（款）其他农业农村支出2130199</w:t>
      </w:r>
      <w:r>
        <w:rPr>
          <w:rFonts w:hint="eastAsia" w:ascii="仿宋_GB2312" w:hAnsi="仿宋_GB2312" w:eastAsia="仿宋_GB2312" w:cs="仿宋_GB2312"/>
          <w:sz w:val="32"/>
          <w:szCs w:val="32"/>
          <w:shd w:val="clear" w:fill="FFFFFF"/>
          <w:lang w:eastAsia="zh-CN"/>
        </w:rPr>
        <w:t>（项）：指其他用于农业农村方面的支出。</w:t>
      </w:r>
    </w:p>
    <w:p w14:paraId="27DC8F67">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eastAsia="zh-CN"/>
        </w:rPr>
      </w:pPr>
      <w:r>
        <w:rPr>
          <w:rFonts w:hint="eastAsia" w:ascii="仿宋_GB2312" w:hAnsi="仿宋_GB2312" w:eastAsia="仿宋_GB2312" w:cs="仿宋_GB2312"/>
          <w:sz w:val="32"/>
          <w:szCs w:val="32"/>
          <w:shd w:val="clear" w:fill="FFFFFF"/>
          <w:lang w:val="en-US" w:eastAsia="zh-CN"/>
        </w:rPr>
        <w:t>33.</w:t>
      </w:r>
      <w:r>
        <w:rPr>
          <w:rFonts w:hint="eastAsia" w:ascii="仿宋_GB2312" w:hAnsi="仿宋_GB2312" w:eastAsia="仿宋_GB2312" w:cs="仿宋_GB2312"/>
          <w:sz w:val="32"/>
          <w:szCs w:val="32"/>
          <w:shd w:val="clear" w:fill="FFFFFF"/>
        </w:rPr>
        <w:t>农林水</w:t>
      </w:r>
      <w:r>
        <w:rPr>
          <w:rFonts w:hint="eastAsia" w:ascii="仿宋_GB2312" w:hAnsi="仿宋_GB2312" w:eastAsia="仿宋_GB2312" w:cs="仿宋_GB2312"/>
          <w:sz w:val="32"/>
          <w:szCs w:val="32"/>
          <w:shd w:val="clear" w:fill="FFFFFF"/>
          <w:lang w:eastAsia="zh-CN"/>
        </w:rPr>
        <w:t>支出213</w:t>
      </w:r>
      <w:r>
        <w:rPr>
          <w:rFonts w:hint="eastAsia" w:ascii="仿宋_GB2312" w:hAnsi="仿宋_GB2312" w:eastAsia="仿宋_GB2312" w:cs="仿宋_GB2312"/>
          <w:sz w:val="32"/>
          <w:szCs w:val="32"/>
          <w:shd w:val="clear" w:fill="FFFFFF"/>
        </w:rPr>
        <w:t>（类）林业和草原21302</w:t>
      </w:r>
      <w:r>
        <w:rPr>
          <w:rFonts w:hint="eastAsia" w:ascii="仿宋_GB2312" w:hAnsi="仿宋_GB2312" w:eastAsia="仿宋_GB2312" w:cs="仿宋_GB2312"/>
          <w:sz w:val="32"/>
          <w:szCs w:val="32"/>
          <w:shd w:val="clear" w:fill="FFFFFF"/>
          <w:lang w:eastAsia="zh-CN"/>
        </w:rPr>
        <w:t>（款）</w:t>
      </w:r>
      <w:r>
        <w:rPr>
          <w:rFonts w:hint="eastAsia" w:ascii="仿宋_GB2312" w:hAnsi="仿宋_GB2312" w:eastAsia="仿宋_GB2312" w:cs="仿宋_GB2312"/>
          <w:sz w:val="32"/>
          <w:szCs w:val="32"/>
          <w:shd w:val="clear" w:fill="FFFFFF"/>
        </w:rPr>
        <w:t>其他林业和草原支出2130299</w:t>
      </w:r>
      <w:r>
        <w:rPr>
          <w:rFonts w:hint="eastAsia" w:ascii="仿宋_GB2312" w:hAnsi="仿宋_GB2312" w:eastAsia="仿宋_GB2312" w:cs="仿宋_GB2312"/>
          <w:sz w:val="32"/>
          <w:szCs w:val="32"/>
          <w:shd w:val="clear" w:fill="FFFFFF"/>
          <w:lang w:eastAsia="zh-CN"/>
        </w:rPr>
        <w:t>（项）：指其他用于林业和草原方面的支出。</w:t>
      </w:r>
    </w:p>
    <w:p w14:paraId="47C451ED">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34.</w:t>
      </w:r>
      <w:r>
        <w:rPr>
          <w:rFonts w:hint="eastAsia" w:ascii="仿宋_GB2312" w:hAnsi="仿宋_GB2312" w:eastAsia="仿宋_GB2312" w:cs="仿宋_GB2312"/>
          <w:sz w:val="32"/>
          <w:szCs w:val="32"/>
          <w:shd w:val="clear" w:fill="FFFFFF"/>
        </w:rPr>
        <w:t>农林水</w:t>
      </w:r>
      <w:r>
        <w:rPr>
          <w:rFonts w:hint="eastAsia" w:ascii="仿宋_GB2312" w:hAnsi="仿宋_GB2312" w:eastAsia="仿宋_GB2312" w:cs="仿宋_GB2312"/>
          <w:sz w:val="32"/>
          <w:szCs w:val="32"/>
          <w:shd w:val="clear" w:fill="FFFFFF"/>
          <w:lang w:eastAsia="zh-CN"/>
        </w:rPr>
        <w:t>支出213</w:t>
      </w:r>
      <w:r>
        <w:rPr>
          <w:rFonts w:hint="eastAsia" w:ascii="仿宋_GB2312" w:hAnsi="仿宋_GB2312" w:eastAsia="仿宋_GB2312" w:cs="仿宋_GB2312"/>
          <w:sz w:val="32"/>
          <w:szCs w:val="32"/>
          <w:shd w:val="clear" w:fill="FFFFFF"/>
        </w:rPr>
        <w:t>（类）</w:t>
      </w:r>
      <w:r>
        <w:rPr>
          <w:rFonts w:hint="eastAsia" w:ascii="仿宋_GB2312" w:hAnsi="仿宋_GB2312" w:eastAsia="仿宋_GB2312" w:cs="仿宋_GB2312"/>
          <w:sz w:val="32"/>
          <w:szCs w:val="32"/>
          <w:shd w:val="clear" w:fill="FFFFFF"/>
          <w:lang w:val="en-US" w:eastAsia="zh-CN"/>
        </w:rPr>
        <w:t>巩固脱贫攻坚成果衔接乡村振兴21305（款）农村基础设施建设2130504（项）：指用于农村欠发达地区乡村道路、住房、基本农田、水利设施、人畜饮水、生态环境保护等生产生活条件改善方面的支出。</w:t>
      </w:r>
    </w:p>
    <w:p w14:paraId="3064F575">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35.</w:t>
      </w:r>
      <w:r>
        <w:rPr>
          <w:rFonts w:hint="eastAsia" w:ascii="仿宋_GB2312" w:hAnsi="仿宋_GB2312" w:eastAsia="仿宋_GB2312" w:cs="仿宋_GB2312"/>
          <w:sz w:val="32"/>
          <w:szCs w:val="32"/>
          <w:shd w:val="clear" w:fill="FFFFFF"/>
        </w:rPr>
        <w:t>农林水</w:t>
      </w:r>
      <w:r>
        <w:rPr>
          <w:rFonts w:hint="eastAsia" w:ascii="仿宋_GB2312" w:hAnsi="仿宋_GB2312" w:eastAsia="仿宋_GB2312" w:cs="仿宋_GB2312"/>
          <w:sz w:val="32"/>
          <w:szCs w:val="32"/>
          <w:shd w:val="clear" w:fill="FFFFFF"/>
          <w:lang w:eastAsia="zh-CN"/>
        </w:rPr>
        <w:t>支出213</w:t>
      </w:r>
      <w:r>
        <w:rPr>
          <w:rFonts w:hint="eastAsia" w:ascii="仿宋_GB2312" w:hAnsi="仿宋_GB2312" w:eastAsia="仿宋_GB2312" w:cs="仿宋_GB2312"/>
          <w:sz w:val="32"/>
          <w:szCs w:val="32"/>
          <w:shd w:val="clear" w:fill="FFFFFF"/>
        </w:rPr>
        <w:t>（类）</w:t>
      </w:r>
      <w:r>
        <w:rPr>
          <w:rFonts w:hint="eastAsia" w:ascii="仿宋_GB2312" w:hAnsi="仿宋_GB2312" w:eastAsia="仿宋_GB2312" w:cs="仿宋_GB2312"/>
          <w:sz w:val="32"/>
          <w:szCs w:val="32"/>
          <w:shd w:val="clear" w:fill="FFFFFF"/>
          <w:lang w:val="en-US" w:eastAsia="zh-CN"/>
        </w:rPr>
        <w:t>巩固脱贫攻坚成果衔接乡村振兴21305（款）生产发展2130505（项）：指用于农村欠发达地区发展种植业、养殖业、畜牧业、农副产品加工、林果地建设等生产发展项目以及相关技术推广等方面的项目支出。</w:t>
      </w:r>
    </w:p>
    <w:p w14:paraId="4FF2EAF2">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36.</w:t>
      </w:r>
      <w:r>
        <w:rPr>
          <w:rFonts w:hint="eastAsia" w:ascii="仿宋_GB2312" w:hAnsi="仿宋_GB2312" w:eastAsia="仿宋_GB2312" w:cs="仿宋_GB2312"/>
          <w:sz w:val="32"/>
          <w:szCs w:val="32"/>
          <w:shd w:val="clear" w:fill="FFFFFF"/>
        </w:rPr>
        <w:t>农林水</w:t>
      </w:r>
      <w:r>
        <w:rPr>
          <w:rFonts w:hint="eastAsia" w:ascii="仿宋_GB2312" w:hAnsi="仿宋_GB2312" w:eastAsia="仿宋_GB2312" w:cs="仿宋_GB2312"/>
          <w:sz w:val="32"/>
          <w:szCs w:val="32"/>
          <w:shd w:val="clear" w:fill="FFFFFF"/>
          <w:lang w:eastAsia="zh-CN"/>
        </w:rPr>
        <w:t>支出213</w:t>
      </w:r>
      <w:r>
        <w:rPr>
          <w:rFonts w:hint="eastAsia" w:ascii="仿宋_GB2312" w:hAnsi="仿宋_GB2312" w:eastAsia="仿宋_GB2312" w:cs="仿宋_GB2312"/>
          <w:sz w:val="32"/>
          <w:szCs w:val="32"/>
          <w:shd w:val="clear" w:fill="FFFFFF"/>
        </w:rPr>
        <w:t>（类）</w:t>
      </w:r>
      <w:r>
        <w:rPr>
          <w:rFonts w:hint="eastAsia" w:ascii="仿宋_GB2312" w:hAnsi="仿宋_GB2312" w:eastAsia="仿宋_GB2312" w:cs="仿宋_GB2312"/>
          <w:sz w:val="32"/>
          <w:szCs w:val="32"/>
          <w:shd w:val="clear" w:fill="FFFFFF"/>
          <w:lang w:val="en-US" w:eastAsia="zh-CN"/>
        </w:rPr>
        <w:t>巩固脱贫攻坚成果衔接乡村振兴21305（款）其他巩固脱贫攻坚成果衔接乡村振兴支出2130599（项）：指其他用于巩固拓展脱贫攻坚成果同乡村振兴有效衔接方面的支出。</w:t>
      </w:r>
    </w:p>
    <w:p w14:paraId="06BC01CA">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shd w:val="clear" w:fill="FFFFFF"/>
          <w:lang w:val="en-US" w:eastAsia="zh-CN"/>
        </w:rPr>
      </w:pPr>
      <w:r>
        <w:rPr>
          <w:rFonts w:hint="eastAsia" w:ascii="仿宋_GB2312" w:hAnsi="仿宋_GB2312" w:eastAsia="仿宋_GB2312" w:cs="仿宋_GB2312"/>
          <w:sz w:val="32"/>
          <w:szCs w:val="32"/>
          <w:shd w:val="clear" w:fill="FFFFFF"/>
          <w:lang w:val="en-US" w:eastAsia="zh-CN"/>
        </w:rPr>
        <w:t>37.</w:t>
      </w:r>
      <w:r>
        <w:rPr>
          <w:rFonts w:hint="eastAsia" w:ascii="仿宋_GB2312" w:hAnsi="仿宋_GB2312" w:eastAsia="仿宋_GB2312" w:cs="仿宋_GB2312"/>
          <w:sz w:val="32"/>
          <w:szCs w:val="32"/>
          <w:shd w:val="clear" w:fill="FFFFFF"/>
        </w:rPr>
        <w:t>农林水</w:t>
      </w:r>
      <w:r>
        <w:rPr>
          <w:rFonts w:hint="eastAsia" w:ascii="仿宋_GB2312" w:hAnsi="仿宋_GB2312" w:eastAsia="仿宋_GB2312" w:cs="仿宋_GB2312"/>
          <w:sz w:val="32"/>
          <w:szCs w:val="32"/>
          <w:shd w:val="clear" w:fill="FFFFFF"/>
          <w:lang w:eastAsia="zh-CN"/>
        </w:rPr>
        <w:t>支出213</w:t>
      </w:r>
      <w:r>
        <w:rPr>
          <w:rFonts w:hint="eastAsia" w:ascii="仿宋_GB2312" w:hAnsi="仿宋_GB2312" w:eastAsia="仿宋_GB2312" w:cs="仿宋_GB2312"/>
          <w:sz w:val="32"/>
          <w:szCs w:val="32"/>
          <w:shd w:val="clear" w:fill="FFFFFF"/>
        </w:rPr>
        <w:t>（类）农村综合改革21307</w:t>
      </w:r>
      <w:r>
        <w:rPr>
          <w:rFonts w:hint="eastAsia" w:ascii="仿宋_GB2312" w:hAnsi="仿宋_GB2312" w:eastAsia="仿宋_GB2312" w:cs="仿宋_GB2312"/>
          <w:sz w:val="32"/>
          <w:szCs w:val="32"/>
          <w:shd w:val="clear" w:fill="FFFFFF"/>
          <w:lang w:eastAsia="zh-CN"/>
        </w:rPr>
        <w:t>（款）对村民委员会和村党支部的补助2130705（项）：指各级财政对村民委员会和村党支部的补助支出，以及支持建立县级基本财力保障机制安排的村级组织运转奖补资金。</w:t>
      </w:r>
    </w:p>
    <w:p w14:paraId="1873067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38.商业服务业等支出216</w:t>
      </w:r>
      <w:r>
        <w:rPr>
          <w:rFonts w:hint="eastAsia" w:ascii="仿宋_GB2312" w:hAnsi="仿宋_GB2312" w:eastAsia="仿宋_GB2312" w:cs="仿宋_GB2312"/>
          <w:sz w:val="32"/>
          <w:szCs w:val="32"/>
          <w:shd w:val="clear" w:fill="FFFFFF"/>
        </w:rPr>
        <w:t>（类）其他商业服务业等支出21699（款）服务业基础设施建设2169901（项）：指</w:t>
      </w:r>
      <w:r>
        <w:rPr>
          <w:rFonts w:hint="eastAsia" w:ascii="仿宋_GB2312" w:hAnsi="仿宋_GB2312" w:eastAsia="仿宋_GB2312" w:cs="仿宋_GB2312"/>
          <w:sz w:val="32"/>
          <w:szCs w:val="32"/>
          <w:shd w:val="clear" w:fill="FFFFFF"/>
          <w:lang w:eastAsia="zh-CN"/>
        </w:rPr>
        <w:t>用于支持服务业方面的建设支出</w:t>
      </w:r>
      <w:r>
        <w:rPr>
          <w:rFonts w:hint="eastAsia" w:ascii="仿宋_GB2312" w:hAnsi="仿宋_GB2312" w:eastAsia="仿宋_GB2312" w:cs="仿宋_GB2312"/>
          <w:sz w:val="32"/>
          <w:szCs w:val="32"/>
          <w:shd w:val="clear" w:fill="FFFFFF"/>
        </w:rPr>
        <w:t>。</w:t>
      </w:r>
    </w:p>
    <w:p w14:paraId="68C37C6C">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39</w:t>
      </w:r>
      <w:r>
        <w:rPr>
          <w:rFonts w:hint="eastAsia" w:ascii="仿宋_GB2312" w:hAnsi="仿宋_GB2312" w:eastAsia="仿宋_GB2312" w:cs="仿宋_GB2312"/>
          <w:sz w:val="32"/>
          <w:szCs w:val="32"/>
          <w:shd w:val="clear" w:fill="FFFFFF"/>
        </w:rPr>
        <w:t>.住房保障</w:t>
      </w:r>
      <w:r>
        <w:rPr>
          <w:rFonts w:hint="eastAsia" w:ascii="仿宋_GB2312" w:hAnsi="仿宋_GB2312" w:eastAsia="仿宋_GB2312" w:cs="仿宋_GB2312"/>
          <w:sz w:val="32"/>
          <w:szCs w:val="32"/>
          <w:shd w:val="clear" w:fill="FFFFFF"/>
          <w:lang w:eastAsia="zh-CN"/>
        </w:rPr>
        <w:t>支出221</w:t>
      </w:r>
      <w:r>
        <w:rPr>
          <w:rFonts w:hint="eastAsia" w:ascii="仿宋_GB2312" w:hAnsi="仿宋_GB2312" w:eastAsia="仿宋_GB2312" w:cs="仿宋_GB2312"/>
          <w:sz w:val="32"/>
          <w:szCs w:val="32"/>
          <w:shd w:val="clear" w:fill="FFFFFF"/>
        </w:rPr>
        <w:t>（类）住房改革支出22102（款）住房公积金2210201（项）：指</w:t>
      </w:r>
      <w:r>
        <w:rPr>
          <w:rFonts w:hint="eastAsia" w:ascii="仿宋_GB2312" w:hAnsi="仿宋_GB2312" w:eastAsia="仿宋_GB2312" w:cs="仿宋_GB2312"/>
          <w:sz w:val="32"/>
          <w:szCs w:val="32"/>
          <w:shd w:val="clear" w:fill="FFFFFF"/>
          <w:lang w:eastAsia="zh-CN"/>
        </w:rPr>
        <w:t>行政事业单位按人力资源和社会保障部、财政部规定的基本工资和津贴补贴以及规定比例为职工缴纳的住房公积金</w:t>
      </w:r>
      <w:r>
        <w:rPr>
          <w:rFonts w:hint="eastAsia" w:ascii="仿宋_GB2312" w:hAnsi="仿宋_GB2312" w:eastAsia="仿宋_GB2312" w:cs="仿宋_GB2312"/>
          <w:sz w:val="32"/>
          <w:szCs w:val="32"/>
          <w:shd w:val="clear" w:fill="FFFFFF"/>
        </w:rPr>
        <w:t>。</w:t>
      </w:r>
    </w:p>
    <w:p w14:paraId="44EF2EE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40</w:t>
      </w:r>
      <w:r>
        <w:rPr>
          <w:rFonts w:hint="eastAsia" w:ascii="仿宋_GB2312" w:hAnsi="仿宋_GB2312" w:eastAsia="仿宋_GB2312" w:cs="仿宋_GB2312"/>
          <w:sz w:val="32"/>
          <w:szCs w:val="32"/>
          <w:shd w:val="clear" w:fill="FFFFFF"/>
        </w:rPr>
        <w:t>.灾害防治及应急管理支出224（类）应急管理事务22401（款）安全监管2240106（项）：指</w:t>
      </w:r>
      <w:r>
        <w:rPr>
          <w:rFonts w:hint="eastAsia" w:ascii="仿宋_GB2312" w:hAnsi="仿宋_GB2312" w:eastAsia="仿宋_GB2312" w:cs="仿宋_GB2312"/>
          <w:sz w:val="32"/>
          <w:szCs w:val="32"/>
          <w:shd w:val="clear" w:fill="FFFFFF"/>
          <w:lang w:eastAsia="zh-CN"/>
        </w:rPr>
        <w:t>安全生产综合监督管理和工贸行业安全生产监督管理等方面的支出</w:t>
      </w:r>
      <w:r>
        <w:rPr>
          <w:rFonts w:hint="eastAsia" w:ascii="仿宋_GB2312" w:hAnsi="仿宋_GB2312" w:eastAsia="仿宋_GB2312" w:cs="仿宋_GB2312"/>
          <w:sz w:val="32"/>
          <w:szCs w:val="32"/>
          <w:shd w:val="clear" w:fill="FFFFFF"/>
        </w:rPr>
        <w:t>。</w:t>
      </w:r>
    </w:p>
    <w:p w14:paraId="6893D4A0">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41</w:t>
      </w:r>
      <w:r>
        <w:rPr>
          <w:rFonts w:hint="eastAsia" w:ascii="仿宋_GB2312" w:hAnsi="仿宋_GB2312" w:eastAsia="仿宋_GB2312" w:cs="仿宋_GB2312"/>
          <w:sz w:val="32"/>
          <w:szCs w:val="32"/>
          <w:shd w:val="clear" w:fill="FFFFFF"/>
        </w:rPr>
        <w:t>.基本支出：指为保障机构正常运转、完成日常工作任务而发生的人员支出和公用支出。</w:t>
      </w:r>
    </w:p>
    <w:p w14:paraId="27A72766">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42</w:t>
      </w:r>
      <w:r>
        <w:rPr>
          <w:rFonts w:hint="eastAsia" w:ascii="仿宋_GB2312" w:hAnsi="仿宋_GB2312" w:eastAsia="仿宋_GB2312" w:cs="仿宋_GB2312"/>
          <w:sz w:val="32"/>
          <w:szCs w:val="32"/>
          <w:shd w:val="clear" w:fill="FFFFFF"/>
        </w:rPr>
        <w:t>.项目支出：指在基本支出之外为完成特定行政任务和事业发展目标所发生的支出。</w:t>
      </w:r>
    </w:p>
    <w:p w14:paraId="58AEDF7D">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43</w:t>
      </w:r>
      <w:r>
        <w:rPr>
          <w:rFonts w:hint="eastAsia" w:ascii="仿宋_GB2312" w:hAnsi="仿宋_GB2312" w:eastAsia="仿宋_GB2312" w:cs="仿宋_GB2312"/>
          <w:sz w:val="32"/>
          <w:szCs w:val="32"/>
          <w:shd w:val="clear" w:fill="FFFFFF"/>
        </w:rPr>
        <w:t>.经营支出：指事业单位在专业业务活动及其辅助活动之外开展非独立核算经营活动发生的支出。</w:t>
      </w:r>
    </w:p>
    <w:p w14:paraId="66A3CA2B">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44</w:t>
      </w:r>
      <w:r>
        <w:rPr>
          <w:rFonts w:hint="eastAsia" w:ascii="仿宋_GB2312" w:hAnsi="仿宋_GB2312" w:eastAsia="仿宋_GB2312" w:cs="仿宋_GB2312"/>
          <w:sz w:val="32"/>
          <w:szCs w:val="32"/>
          <w:shd w:val="clear" w:fill="FFFFFF"/>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24BF5A0E">
      <w:pPr>
        <w:pStyle w:val="1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fill="FFFFFF"/>
          <w:lang w:val="en-US" w:eastAsia="zh-CN"/>
        </w:rPr>
        <w:t>45</w:t>
      </w:r>
      <w:r>
        <w:rPr>
          <w:rFonts w:hint="eastAsia" w:ascii="仿宋_GB2312" w:hAnsi="仿宋_GB2312" w:eastAsia="仿宋_GB2312" w:cs="仿宋_GB2312"/>
          <w:sz w:val="32"/>
          <w:szCs w:val="32"/>
          <w:shd w:val="clear" w:fill="FFFFFF"/>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71E2D254">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bookmarkStart w:id="22" w:name="_Toc11038"/>
    </w:p>
    <w:p w14:paraId="1F8F5543">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5371BC45">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3F6618BA">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6673DCBA">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7602AF98">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324A4242">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389DA715">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76C05EB4">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3EE22A8D">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77F2594C">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16492F8C">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7F41ADD3">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5D146EDE">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429A88EB">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Style w:val="20"/>
          <w:rFonts w:hint="eastAsia" w:ascii="方正小标宋简体" w:hAnsi="方正小标宋简体" w:eastAsia="方正小标宋简体" w:cs="方正小标宋简体"/>
          <w:b w:val="0"/>
          <w:bCs/>
          <w:sz w:val="44"/>
          <w:szCs w:val="44"/>
          <w:shd w:val="clear" w:fill="FFFFFF"/>
        </w:rPr>
      </w:pPr>
    </w:p>
    <w:p w14:paraId="16630C66">
      <w:pPr>
        <w:pStyle w:val="17"/>
        <w:keepNext w:val="0"/>
        <w:keepLines w:val="0"/>
        <w:pageBreakBefore w:val="0"/>
        <w:widowControl/>
        <w:suppressLineNumbers w:val="0"/>
        <w:overflowPunct/>
        <w:bidi w:val="0"/>
        <w:spacing w:before="0" w:beforeAutospacing="0" w:afterAutospacing="0" w:line="560" w:lineRule="exact"/>
        <w:ind w:left="0" w:leftChars="0" w:right="0" w:rightChars="0"/>
        <w:jc w:val="center"/>
        <w:outlineLvl w:val="0"/>
        <w:rPr>
          <w:rFonts w:hint="eastAsia" w:ascii="方正小标宋简体" w:hAnsi="方正小标宋简体" w:eastAsia="方正小标宋简体" w:cs="方正小标宋简体"/>
          <w:b w:val="0"/>
          <w:bCs/>
          <w:sz w:val="44"/>
          <w:szCs w:val="44"/>
        </w:rPr>
      </w:pPr>
      <w:r>
        <w:rPr>
          <w:rStyle w:val="20"/>
          <w:rFonts w:hint="eastAsia" w:ascii="方正小标宋简体" w:hAnsi="方正小标宋简体" w:eastAsia="方正小标宋简体" w:cs="方正小标宋简体"/>
          <w:b w:val="0"/>
          <w:bCs/>
          <w:sz w:val="44"/>
          <w:szCs w:val="44"/>
          <w:shd w:val="clear" w:fill="FFFFFF"/>
        </w:rPr>
        <w:t>第</w:t>
      </w:r>
      <w:r>
        <w:rPr>
          <w:rStyle w:val="20"/>
          <w:rFonts w:hint="eastAsia" w:ascii="方正小标宋简体" w:hAnsi="方正小标宋简体" w:eastAsia="方正小标宋简体" w:cs="方正小标宋简体"/>
          <w:b w:val="0"/>
          <w:bCs/>
          <w:sz w:val="44"/>
          <w:szCs w:val="44"/>
          <w:shd w:val="clear" w:fill="FFFFFF"/>
          <w:lang w:eastAsia="zh-CN"/>
        </w:rPr>
        <w:t>四</w:t>
      </w:r>
      <w:r>
        <w:rPr>
          <w:rStyle w:val="20"/>
          <w:rFonts w:hint="eastAsia" w:ascii="方正小标宋简体" w:hAnsi="方正小标宋简体" w:eastAsia="方正小标宋简体" w:cs="方正小标宋简体"/>
          <w:b w:val="0"/>
          <w:bCs/>
          <w:sz w:val="44"/>
          <w:szCs w:val="44"/>
          <w:shd w:val="clear" w:fill="FFFFFF"/>
        </w:rPr>
        <w:t>部分 附表</w:t>
      </w:r>
      <w:bookmarkEnd w:id="22"/>
    </w:p>
    <w:p w14:paraId="41525AA9">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shd w:val="clear" w:fill="FFFFFF"/>
        </w:rPr>
      </w:pPr>
      <w:bookmarkStart w:id="23" w:name="_Toc1792"/>
    </w:p>
    <w:p w14:paraId="46B59C0E">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r>
        <w:rPr>
          <w:rFonts w:hint="eastAsia" w:ascii="仿宋_GB2312" w:hAnsi="仿宋_GB2312" w:eastAsia="仿宋_GB2312" w:cs="仿宋_GB2312"/>
          <w:b w:val="0"/>
          <w:bCs w:val="0"/>
          <w:shd w:val="clear" w:fill="FFFFFF"/>
        </w:rPr>
        <w:t>一、收入支出决算总表</w:t>
      </w:r>
      <w:bookmarkEnd w:id="23"/>
    </w:p>
    <w:p w14:paraId="3F4A005C">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24" w:name="_Toc5289"/>
      <w:r>
        <w:rPr>
          <w:rFonts w:hint="eastAsia" w:ascii="仿宋_GB2312" w:hAnsi="仿宋_GB2312" w:eastAsia="仿宋_GB2312" w:cs="仿宋_GB2312"/>
          <w:b w:val="0"/>
          <w:bCs w:val="0"/>
          <w:shd w:val="clear" w:fill="FFFFFF"/>
        </w:rPr>
        <w:t>二、收入决算表</w:t>
      </w:r>
      <w:bookmarkEnd w:id="24"/>
    </w:p>
    <w:p w14:paraId="08924870">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25" w:name="_Toc9007"/>
      <w:r>
        <w:rPr>
          <w:rFonts w:hint="eastAsia" w:ascii="仿宋_GB2312" w:hAnsi="仿宋_GB2312" w:eastAsia="仿宋_GB2312" w:cs="仿宋_GB2312"/>
          <w:b w:val="0"/>
          <w:bCs w:val="0"/>
          <w:shd w:val="clear" w:fill="FFFFFF"/>
        </w:rPr>
        <w:t>三、支出决算表</w:t>
      </w:r>
      <w:bookmarkEnd w:id="25"/>
    </w:p>
    <w:p w14:paraId="69B44C20">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26" w:name="_Toc16078"/>
      <w:r>
        <w:rPr>
          <w:rFonts w:hint="eastAsia" w:ascii="仿宋_GB2312" w:hAnsi="仿宋_GB2312" w:eastAsia="仿宋_GB2312" w:cs="仿宋_GB2312"/>
          <w:b w:val="0"/>
          <w:bCs w:val="0"/>
          <w:shd w:val="clear" w:fill="FFFFFF"/>
        </w:rPr>
        <w:t>四、财政拨款收入支出决算总表</w:t>
      </w:r>
      <w:bookmarkEnd w:id="26"/>
    </w:p>
    <w:p w14:paraId="1192E001">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27" w:name="_Toc3404"/>
      <w:r>
        <w:rPr>
          <w:rFonts w:hint="eastAsia" w:ascii="仿宋_GB2312" w:hAnsi="仿宋_GB2312" w:eastAsia="仿宋_GB2312" w:cs="仿宋_GB2312"/>
          <w:b w:val="0"/>
          <w:bCs w:val="0"/>
          <w:shd w:val="clear" w:fill="FFFFFF"/>
        </w:rPr>
        <w:t>五、财政拨款支出决算明细表</w:t>
      </w:r>
      <w:bookmarkEnd w:id="27"/>
    </w:p>
    <w:p w14:paraId="54D982B6">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28" w:name="_Toc6380"/>
      <w:r>
        <w:rPr>
          <w:rFonts w:hint="eastAsia" w:ascii="仿宋_GB2312" w:hAnsi="仿宋_GB2312" w:eastAsia="仿宋_GB2312" w:cs="仿宋_GB2312"/>
          <w:b w:val="0"/>
          <w:bCs w:val="0"/>
          <w:shd w:val="clear" w:fill="FFFFFF"/>
        </w:rPr>
        <w:t>六、一般公共预算财政拨款支出决算表</w:t>
      </w:r>
      <w:bookmarkEnd w:id="28"/>
    </w:p>
    <w:p w14:paraId="02413D96">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29" w:name="_Toc16179"/>
      <w:r>
        <w:rPr>
          <w:rFonts w:hint="eastAsia" w:ascii="仿宋_GB2312" w:hAnsi="仿宋_GB2312" w:eastAsia="仿宋_GB2312" w:cs="仿宋_GB2312"/>
          <w:b w:val="0"/>
          <w:bCs w:val="0"/>
          <w:shd w:val="clear" w:fill="FFFFFF"/>
        </w:rPr>
        <w:t>七、一般公共预算财政拨款支出决算明细表</w:t>
      </w:r>
      <w:bookmarkEnd w:id="29"/>
    </w:p>
    <w:p w14:paraId="0B193F82">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30" w:name="_Toc9628"/>
      <w:r>
        <w:rPr>
          <w:rFonts w:hint="eastAsia" w:ascii="仿宋_GB2312" w:hAnsi="仿宋_GB2312" w:eastAsia="仿宋_GB2312" w:cs="仿宋_GB2312"/>
          <w:b w:val="0"/>
          <w:bCs w:val="0"/>
          <w:shd w:val="clear" w:fill="FFFFFF"/>
        </w:rPr>
        <w:t>八、一般公共预算财政拨款基本支出决算表</w:t>
      </w:r>
      <w:bookmarkEnd w:id="30"/>
    </w:p>
    <w:p w14:paraId="791DCB61">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31" w:name="_Toc2193"/>
      <w:r>
        <w:rPr>
          <w:rFonts w:hint="eastAsia" w:ascii="仿宋_GB2312" w:hAnsi="仿宋_GB2312" w:eastAsia="仿宋_GB2312" w:cs="仿宋_GB2312"/>
          <w:b w:val="0"/>
          <w:bCs w:val="0"/>
          <w:shd w:val="clear" w:fill="FFFFFF"/>
        </w:rPr>
        <w:t>九、一般公共预算财政拨款项目支出决算表</w:t>
      </w:r>
      <w:bookmarkEnd w:id="31"/>
    </w:p>
    <w:p w14:paraId="2C9E97FA">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32" w:name="_Toc30545"/>
      <w:r>
        <w:rPr>
          <w:rFonts w:hint="eastAsia" w:ascii="仿宋_GB2312" w:hAnsi="仿宋_GB2312" w:eastAsia="仿宋_GB2312" w:cs="仿宋_GB2312"/>
          <w:b w:val="0"/>
          <w:bCs w:val="0"/>
          <w:shd w:val="clear" w:fill="FFFFFF"/>
        </w:rPr>
        <w:t>十、政府性基金预算财政拨款收入支出决算表</w:t>
      </w:r>
      <w:bookmarkEnd w:id="32"/>
    </w:p>
    <w:p w14:paraId="485F656D">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33" w:name="_Toc5545"/>
      <w:r>
        <w:rPr>
          <w:rFonts w:hint="eastAsia" w:ascii="仿宋_GB2312" w:hAnsi="仿宋_GB2312" w:eastAsia="仿宋_GB2312" w:cs="仿宋_GB2312"/>
          <w:b w:val="0"/>
          <w:bCs w:val="0"/>
          <w:shd w:val="clear" w:fill="FFFFFF"/>
        </w:rPr>
        <w:t>十一、国有资本经营预算财政拨款收入支出决算表</w:t>
      </w:r>
      <w:bookmarkEnd w:id="33"/>
    </w:p>
    <w:p w14:paraId="613289DA">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34" w:name="_Toc9866"/>
      <w:r>
        <w:rPr>
          <w:rFonts w:hint="eastAsia" w:ascii="仿宋_GB2312" w:hAnsi="仿宋_GB2312" w:eastAsia="仿宋_GB2312" w:cs="仿宋_GB2312"/>
          <w:b w:val="0"/>
          <w:bCs w:val="0"/>
          <w:shd w:val="clear" w:fill="FFFFFF"/>
        </w:rPr>
        <w:t>十二、国有资本经营预算财政拨款支出决算表</w:t>
      </w:r>
      <w:bookmarkEnd w:id="34"/>
    </w:p>
    <w:p w14:paraId="3D5087A4">
      <w:pPr>
        <w:pStyle w:val="4"/>
        <w:keepNext w:val="0"/>
        <w:keepLines w:val="0"/>
        <w:pageBreakBefore w:val="0"/>
        <w:widowControl/>
        <w:suppressLineNumbers w:val="0"/>
        <w:overflowPunct/>
        <w:bidi w:val="0"/>
        <w:spacing w:before="0" w:beforeAutospacing="0" w:afterAutospacing="0" w:line="560" w:lineRule="exact"/>
        <w:ind w:left="0" w:leftChars="0"/>
        <w:jc w:val="left"/>
        <w:outlineLvl w:val="9"/>
        <w:rPr>
          <w:rFonts w:hint="eastAsia" w:ascii="仿宋_GB2312" w:hAnsi="仿宋_GB2312" w:eastAsia="仿宋_GB2312" w:cs="仿宋_GB2312"/>
          <w:b w:val="0"/>
          <w:bCs w:val="0"/>
        </w:rPr>
      </w:pPr>
      <w:bookmarkStart w:id="35" w:name="_Toc27929"/>
      <w:r>
        <w:rPr>
          <w:rFonts w:hint="eastAsia" w:ascii="仿宋_GB2312" w:hAnsi="仿宋_GB2312" w:eastAsia="仿宋_GB2312" w:cs="仿宋_GB2312"/>
          <w:b w:val="0"/>
          <w:bCs w:val="0"/>
          <w:shd w:val="clear" w:fill="FFFFFF"/>
        </w:rPr>
        <w:t>十三、财政拨款“三公”经费支出决算表</w:t>
      </w:r>
      <w:bookmarkEnd w:id="35"/>
    </w:p>
    <w:sectPr>
      <w:pgSz w:w="11906" w:h="16838"/>
      <w:pgMar w:top="1440" w:right="1800" w:bottom="1440" w:left="1800"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roman"/>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55E4A">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9E28AF">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79E28AF">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66578793">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B240F">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7B1520">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7B1520">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F9AA0">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8FB256">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58FB256">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3DAE9682">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F0F9C">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2448E">
                          <w:pPr>
                            <w:pStyle w:val="12"/>
                            <w:rPr>
                              <w:rFonts w:hint="eastAsia" w:asciiTheme="minorEastAsia" w:hAnsiTheme="minorEastAsia" w:eastAsiaTheme="minorEastAsia" w:cstheme="minorEastAsia"/>
                              <w:sz w:val="28"/>
                              <w:szCs w:val="28"/>
                            </w:rPr>
                          </w:pPr>
                          <w:r>
                            <w:rPr>
                              <w:rFonts w:hint="eastAsia" w:cstheme="minorEastAsia"/>
                              <w:sz w:val="28"/>
                              <w:szCs w:val="28"/>
                            </w:rPr>
                            <w:fldChar w:fldCharType="begin"/>
                          </w:r>
                          <w:r>
                            <w:rPr>
                              <w:rFonts w:hint="eastAsia" w:cstheme="minorEastAsia"/>
                              <w:sz w:val="28"/>
                              <w:szCs w:val="28"/>
                            </w:rPr>
                            <w:instrText xml:space="preserve"> PAGE  \* MERGEFORMAT </w:instrText>
                          </w:r>
                          <w:r>
                            <w:rPr>
                              <w:rFonts w:hint="eastAsia" w:cstheme="minorEastAsia"/>
                              <w:sz w:val="28"/>
                              <w:szCs w:val="28"/>
                            </w:rPr>
                            <w:fldChar w:fldCharType="separate"/>
                          </w:r>
                          <w:r>
                            <w:rPr>
                              <w:rFonts w:hint="eastAsia" w:cstheme="minorEastAsia"/>
                              <w:sz w:val="28"/>
                              <w:szCs w:val="28"/>
                            </w:rPr>
                            <w:t>1</w:t>
                          </w:r>
                          <w:r>
                            <w:rPr>
                              <w:rFonts w:hint="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752448E">
                    <w:pPr>
                      <w:pStyle w:val="12"/>
                      <w:rPr>
                        <w:rFonts w:hint="eastAsia" w:asciiTheme="minorEastAsia" w:hAnsiTheme="minorEastAsia" w:eastAsiaTheme="minorEastAsia" w:cstheme="minorEastAsia"/>
                        <w:sz w:val="28"/>
                        <w:szCs w:val="28"/>
                      </w:rPr>
                    </w:pPr>
                    <w:r>
                      <w:rPr>
                        <w:rFonts w:hint="eastAsia" w:cstheme="minorEastAsia"/>
                        <w:sz w:val="28"/>
                        <w:szCs w:val="28"/>
                      </w:rPr>
                      <w:fldChar w:fldCharType="begin"/>
                    </w:r>
                    <w:r>
                      <w:rPr>
                        <w:rFonts w:hint="eastAsia" w:cstheme="minorEastAsia"/>
                        <w:sz w:val="28"/>
                        <w:szCs w:val="28"/>
                      </w:rPr>
                      <w:instrText xml:space="preserve"> PAGE  \* MERGEFORMAT </w:instrText>
                    </w:r>
                    <w:r>
                      <w:rPr>
                        <w:rFonts w:hint="eastAsia" w:cstheme="minorEastAsia"/>
                        <w:sz w:val="28"/>
                        <w:szCs w:val="28"/>
                      </w:rPr>
                      <w:fldChar w:fldCharType="separate"/>
                    </w:r>
                    <w:r>
                      <w:rPr>
                        <w:rFonts w:hint="eastAsia" w:cstheme="minorEastAsia"/>
                        <w:sz w:val="28"/>
                        <w:szCs w:val="28"/>
                      </w:rPr>
                      <w:t>1</w:t>
                    </w:r>
                    <w:r>
                      <w:rPr>
                        <w:rFonts w:hint="eastAsia" w:cstheme="minorEastAsia"/>
                        <w:sz w:val="28"/>
                        <w:szCs w:val="28"/>
                      </w:rPr>
                      <w:fldChar w:fldCharType="end"/>
                    </w:r>
                  </w:p>
                </w:txbxContent>
              </v:textbox>
            </v:shape>
          </w:pict>
        </mc:Fallback>
      </mc:AlternateContent>
    </w:r>
  </w:p>
  <w:p w14:paraId="21936B21">
    <w:pPr>
      <w:pStyle w:val="12"/>
      <w:rPr>
        <w:rFonts w:hint="default" w:eastAsiaTheme="minorEastAsia"/>
        <w:lang w:val="en-US" w:eastAsia="zh-CN"/>
      </w:rPr>
    </w:pPr>
    <w:r>
      <w:rPr>
        <w:rFonts w:hint="eastAsia"/>
        <w:lang w:val="en-US" w:eastAsia="zh-CN"/>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43BED">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E2B1C5">
                          <w:pPr>
                            <w:pStyle w:val="12"/>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2</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EE2B1C5">
                    <w:pPr>
                      <w:pStyle w:val="12"/>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2</w:t>
                    </w:r>
                    <w:r>
                      <w:rPr>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isplayBackgroundShape w:val="1"/>
  <w:bordersDoNotSurroundHeader w:val="0"/>
  <w:bordersDoNotSurroundFooter w:val="0"/>
  <w:documentProtection w:enforcement="0"/>
  <w:defaultTabStop w:val="420"/>
  <w:evenAndOddHeaders w:val="1"/>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VhZTUwMTU0YWFjMjVlZTJlMmU3M2Q4MTYwOTYzNTYifQ=="/>
  </w:docVars>
  <w:rsids>
    <w:rsidRoot w:val="00000000"/>
    <w:rsid w:val="029E0C11"/>
    <w:rsid w:val="030B61E6"/>
    <w:rsid w:val="038E27E2"/>
    <w:rsid w:val="05785B85"/>
    <w:rsid w:val="05E2024D"/>
    <w:rsid w:val="06377CD2"/>
    <w:rsid w:val="06DD4EFC"/>
    <w:rsid w:val="0727032C"/>
    <w:rsid w:val="07DDF473"/>
    <w:rsid w:val="08845B88"/>
    <w:rsid w:val="09F940B2"/>
    <w:rsid w:val="0A11678E"/>
    <w:rsid w:val="0A942A6E"/>
    <w:rsid w:val="0C865C16"/>
    <w:rsid w:val="0E5A59B2"/>
    <w:rsid w:val="0E8D7DE6"/>
    <w:rsid w:val="0E9D7796"/>
    <w:rsid w:val="0EB208AB"/>
    <w:rsid w:val="0F7E3A23"/>
    <w:rsid w:val="113E5101"/>
    <w:rsid w:val="11AE2F10"/>
    <w:rsid w:val="11FF551A"/>
    <w:rsid w:val="125E66E4"/>
    <w:rsid w:val="12907810"/>
    <w:rsid w:val="12A55D81"/>
    <w:rsid w:val="13225800"/>
    <w:rsid w:val="13B912A1"/>
    <w:rsid w:val="141330FE"/>
    <w:rsid w:val="152A4FA3"/>
    <w:rsid w:val="15E47979"/>
    <w:rsid w:val="16C534EA"/>
    <w:rsid w:val="16DB5D9B"/>
    <w:rsid w:val="19A26F15"/>
    <w:rsid w:val="1BE063BC"/>
    <w:rsid w:val="1BE57807"/>
    <w:rsid w:val="1C4C0F4A"/>
    <w:rsid w:val="1D2B351D"/>
    <w:rsid w:val="1D32512E"/>
    <w:rsid w:val="1D716CE1"/>
    <w:rsid w:val="1E4A0464"/>
    <w:rsid w:val="1E857F22"/>
    <w:rsid w:val="1F7742B3"/>
    <w:rsid w:val="1F780CEC"/>
    <w:rsid w:val="2009229D"/>
    <w:rsid w:val="206E6A90"/>
    <w:rsid w:val="20F75A0D"/>
    <w:rsid w:val="220445DB"/>
    <w:rsid w:val="237BE719"/>
    <w:rsid w:val="23E801B1"/>
    <w:rsid w:val="24F44E2B"/>
    <w:rsid w:val="256B323A"/>
    <w:rsid w:val="28897FCD"/>
    <w:rsid w:val="28924866"/>
    <w:rsid w:val="28BB61E6"/>
    <w:rsid w:val="29223CBB"/>
    <w:rsid w:val="299C4D2B"/>
    <w:rsid w:val="29EB0C54"/>
    <w:rsid w:val="29FA4A16"/>
    <w:rsid w:val="2A1723A4"/>
    <w:rsid w:val="2AE337D3"/>
    <w:rsid w:val="2B050994"/>
    <w:rsid w:val="2B275DB5"/>
    <w:rsid w:val="2C0809D9"/>
    <w:rsid w:val="2C2E7093"/>
    <w:rsid w:val="2C315C20"/>
    <w:rsid w:val="2D031BC7"/>
    <w:rsid w:val="2F315928"/>
    <w:rsid w:val="2F9768C8"/>
    <w:rsid w:val="2FF67AD2"/>
    <w:rsid w:val="2FFB21C9"/>
    <w:rsid w:val="313C7AC2"/>
    <w:rsid w:val="31600866"/>
    <w:rsid w:val="346F034C"/>
    <w:rsid w:val="34F472D6"/>
    <w:rsid w:val="35F5085E"/>
    <w:rsid w:val="363950D2"/>
    <w:rsid w:val="36DDF8E9"/>
    <w:rsid w:val="3B91210A"/>
    <w:rsid w:val="3C7052B5"/>
    <w:rsid w:val="3D527E27"/>
    <w:rsid w:val="3EEB7614"/>
    <w:rsid w:val="3FF853C0"/>
    <w:rsid w:val="40264BE1"/>
    <w:rsid w:val="40AD2461"/>
    <w:rsid w:val="41B0720D"/>
    <w:rsid w:val="42EF4FB3"/>
    <w:rsid w:val="4327551F"/>
    <w:rsid w:val="43BE103B"/>
    <w:rsid w:val="44BE3060"/>
    <w:rsid w:val="44EC0EA2"/>
    <w:rsid w:val="46B130B1"/>
    <w:rsid w:val="46BE0D9D"/>
    <w:rsid w:val="46DD3F28"/>
    <w:rsid w:val="47E60322"/>
    <w:rsid w:val="48790E7B"/>
    <w:rsid w:val="4A5A2B94"/>
    <w:rsid w:val="4A763F73"/>
    <w:rsid w:val="4AD14476"/>
    <w:rsid w:val="4B067EA4"/>
    <w:rsid w:val="4C4D2D4A"/>
    <w:rsid w:val="4DAE6FC5"/>
    <w:rsid w:val="4EF132C3"/>
    <w:rsid w:val="4F5D32A4"/>
    <w:rsid w:val="502A587C"/>
    <w:rsid w:val="502F5BB5"/>
    <w:rsid w:val="51B11B10"/>
    <w:rsid w:val="540D1764"/>
    <w:rsid w:val="55544B54"/>
    <w:rsid w:val="5571F242"/>
    <w:rsid w:val="5647231A"/>
    <w:rsid w:val="58423298"/>
    <w:rsid w:val="587D471C"/>
    <w:rsid w:val="59142C25"/>
    <w:rsid w:val="59596602"/>
    <w:rsid w:val="5B620037"/>
    <w:rsid w:val="5B657DC2"/>
    <w:rsid w:val="5D6B1052"/>
    <w:rsid w:val="5E436B37"/>
    <w:rsid w:val="5F3054BA"/>
    <w:rsid w:val="60E27AAD"/>
    <w:rsid w:val="63201EAD"/>
    <w:rsid w:val="63B438FF"/>
    <w:rsid w:val="64B81FCE"/>
    <w:rsid w:val="64D511B5"/>
    <w:rsid w:val="65256CD5"/>
    <w:rsid w:val="656C7F53"/>
    <w:rsid w:val="67B918F5"/>
    <w:rsid w:val="67E64BC1"/>
    <w:rsid w:val="69023E76"/>
    <w:rsid w:val="69BC213A"/>
    <w:rsid w:val="6A705FAC"/>
    <w:rsid w:val="6AB55B20"/>
    <w:rsid w:val="6AEE38EE"/>
    <w:rsid w:val="6B481F2B"/>
    <w:rsid w:val="6CAC7F56"/>
    <w:rsid w:val="6D4B0F0A"/>
    <w:rsid w:val="6DEF2A6B"/>
    <w:rsid w:val="6E0C6214"/>
    <w:rsid w:val="6EF03395"/>
    <w:rsid w:val="705E42EA"/>
    <w:rsid w:val="71BC7E85"/>
    <w:rsid w:val="728E35F1"/>
    <w:rsid w:val="732E2674"/>
    <w:rsid w:val="74026044"/>
    <w:rsid w:val="75DB36AE"/>
    <w:rsid w:val="771A5781"/>
    <w:rsid w:val="77A41857"/>
    <w:rsid w:val="77E79BEA"/>
    <w:rsid w:val="77FADB45"/>
    <w:rsid w:val="78361943"/>
    <w:rsid w:val="78E870B2"/>
    <w:rsid w:val="78FF3732"/>
    <w:rsid w:val="7936053E"/>
    <w:rsid w:val="7ADB34AD"/>
    <w:rsid w:val="7BFF2322"/>
    <w:rsid w:val="7CBD754C"/>
    <w:rsid w:val="7DFAB6A7"/>
    <w:rsid w:val="7E665422"/>
    <w:rsid w:val="7E823B29"/>
    <w:rsid w:val="7EEE3472"/>
    <w:rsid w:val="7F8F5B55"/>
    <w:rsid w:val="7F96F076"/>
    <w:rsid w:val="7FE36AED"/>
    <w:rsid w:val="7FF30617"/>
    <w:rsid w:val="7FFED57A"/>
    <w:rsid w:val="7FFF08A6"/>
    <w:rsid w:val="97AA3C47"/>
    <w:rsid w:val="AFEF4CEC"/>
    <w:rsid w:val="BC3625A8"/>
    <w:rsid w:val="CFEF5668"/>
    <w:rsid w:val="CFF7CA03"/>
    <w:rsid w:val="D7FF441B"/>
    <w:rsid w:val="DD9D457B"/>
    <w:rsid w:val="DFCB51BC"/>
    <w:rsid w:val="E1F77013"/>
    <w:rsid w:val="ECFC57B1"/>
    <w:rsid w:val="EE596E6E"/>
    <w:rsid w:val="EFFFF449"/>
    <w:rsid w:val="F3F3817D"/>
    <w:rsid w:val="F5F71594"/>
    <w:rsid w:val="F67C3687"/>
    <w:rsid w:val="F7690CA9"/>
    <w:rsid w:val="F7ED417E"/>
    <w:rsid w:val="F7FF144E"/>
    <w:rsid w:val="F9BD100A"/>
    <w:rsid w:val="FAF777C1"/>
    <w:rsid w:val="FDEFABCE"/>
    <w:rsid w:val="FFBB4DC6"/>
    <w:rsid w:val="FFECC3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left"/>
    </w:pPr>
    <w:rPr>
      <w:rFonts w:asciiTheme="minorEastAsia" w:hAnsiTheme="minorEastAsia" w:eastAsiaTheme="minorEastAsia" w:cstheme="minorEastAsia"/>
      <w:kern w:val="0"/>
      <w:sz w:val="24"/>
      <w:szCs w:val="24"/>
      <w:lang w:val="en-US" w:eastAsia="zh-CN" w:bidi="ar"/>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7">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paragraph" w:styleId="8">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widowControl/>
      <w:spacing w:before="100" w:beforeAutospacing="1" w:after="100" w:afterAutospacing="1"/>
      <w:jc w:val="left"/>
    </w:pPr>
    <w:rPr>
      <w:rFonts w:ascii="宋体" w:cs="宋体"/>
      <w:kern w:val="0"/>
      <w:sz w:val="24"/>
      <w:lang w:bidi="ar-SA"/>
    </w:rPr>
  </w:style>
  <w:style w:type="paragraph" w:styleId="9">
    <w:name w:val="index 6"/>
    <w:basedOn w:val="1"/>
    <w:next w:val="1"/>
    <w:qFormat/>
    <w:uiPriority w:val="0"/>
    <w:pPr>
      <w:widowControl w:val="0"/>
      <w:ind w:left="2100"/>
    </w:pPr>
  </w:style>
  <w:style w:type="paragraph" w:styleId="10">
    <w:name w:val="Body Text Indent"/>
    <w:basedOn w:val="1"/>
    <w:next w:val="11"/>
    <w:qFormat/>
    <w:uiPriority w:val="0"/>
    <w:pPr>
      <w:spacing w:after="120"/>
      <w:ind w:left="200" w:leftChars="200"/>
    </w:pPr>
  </w:style>
  <w:style w:type="paragraph" w:styleId="11">
    <w:name w:val="Body Text First Indent 2"/>
    <w:basedOn w:val="10"/>
    <w:next w:val="1"/>
    <w:qFormat/>
    <w:uiPriority w:val="0"/>
    <w:pPr>
      <w:ind w:firstLine="200" w:firstLineChars="2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20">
    <w:name w:val="Strong"/>
    <w:basedOn w:val="19"/>
    <w:qFormat/>
    <w:uiPriority w:val="0"/>
    <w:rPr>
      <w:b/>
    </w:rPr>
  </w:style>
  <w:style w:type="paragraph" w:customStyle="1" w:styleId="21">
    <w:name w:val="WPSOffice手动目录 1"/>
    <w:qFormat/>
    <w:uiPriority w:val="0"/>
    <w:pPr>
      <w:ind w:leftChars="0"/>
    </w:pPr>
    <w:rPr>
      <w:rFonts w:ascii="Times New Roman" w:hAnsi="Times New Roman" w:eastAsia="宋体" w:cs="Times New Roman"/>
      <w:sz w:val="20"/>
      <w:szCs w:val="20"/>
    </w:rPr>
  </w:style>
  <w:style w:type="paragraph" w:customStyle="1" w:styleId="22">
    <w:name w:val="WPSOffice手动目录 2"/>
    <w:qFormat/>
    <w:uiPriority w:val="0"/>
    <w:pPr>
      <w:ind w:leftChars="200"/>
    </w:pPr>
    <w:rPr>
      <w:rFonts w:ascii="Times New Roman" w:hAnsi="Times New Roman" w:eastAsia="宋体" w:cs="Times New Roman"/>
      <w:sz w:val="20"/>
      <w:szCs w:val="20"/>
    </w:rPr>
  </w:style>
  <w:style w:type="paragraph" w:customStyle="1" w:styleId="23">
    <w:name w:val="WPSOffice手动目录 3"/>
    <w:qFormat/>
    <w:uiPriority w:val="0"/>
    <w:pPr>
      <w:ind w:leftChars="400"/>
    </w:pPr>
    <w:rPr>
      <w:rFonts w:ascii="Times New Roman" w:hAnsi="Times New Roman" w:eastAsia="宋体" w:cs="Times New Roman"/>
      <w:sz w:val="20"/>
      <w:szCs w:val="20"/>
    </w:rPr>
  </w:style>
  <w:style w:type="paragraph" w:customStyle="1" w:styleId="24">
    <w:name w:val="实施方案正文"/>
    <w:basedOn w:val="1"/>
    <w:qFormat/>
    <w:uiPriority w:val="0"/>
    <w:pPr>
      <w:ind w:firstLine="566" w:firstLineChars="202"/>
    </w:pPr>
    <w:rPr>
      <w:rFonts w:ascii="等线" w:hAnsi="等线" w:eastAsia="等线" w:cs="Times New Roman"/>
      <w:szCs w:val="28"/>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chart" Target="charts/chart6.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22270;&#34920;%20&#22312;%202025&#24180;&#22522;&#23618;&#21333;&#20301;&#20998;&#26512;&#25253;&#21578;&#27719;&#24635;&#33394;&#22320;&#38215;&#20154;&#27665;&#25919;&#24220;.doc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22270;&#34920;%20&#22312;%202025&#24180;&#22522;&#23618;&#21333;&#20301;&#20998;&#26512;&#25253;&#21578;&#27719;&#24635;&#33394;&#22320;&#38215;&#20154;&#27665;&#25919;&#24220;.doc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22270;&#34920;%20&#22312;%202025&#24180;&#22522;&#23618;&#21333;&#20301;&#20998;&#26512;&#25253;&#21578;&#27719;&#24635;&#33394;&#22320;&#38215;&#20154;&#27665;&#25919;&#24220;.doc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tmp/wps.CrWIkH/Chart3%20in%20Wps.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400" b="0" i="0" u="none" strike="noStrike" kern="1200" spc="0" baseline="0">
                <a:solidFill>
                  <a:schemeClr val="tx1">
                    <a:lumMod val="65000"/>
                    <a:lumOff val="35000"/>
                  </a:schemeClr>
                </a:solidFill>
                <a:latin typeface="+mn-lt"/>
                <a:ea typeface="+mn-ea"/>
                <a:cs typeface="+mn-cs"/>
              </a:rPr>
              <a:t>收、支决算总计变动情况图</a:t>
            </a:r>
            <a:endParaRPr sz="1400" b="0" i="0" u="none" strike="noStrike" kern="1200" spc="0" baseline="0">
              <a:solidFill>
                <a:schemeClr val="tx1">
                  <a:lumMod val="65000"/>
                  <a:lumOff val="35000"/>
                </a:schemeClr>
              </a:solidFill>
              <a:latin typeface="+mn-lt"/>
              <a:ea typeface="+mn-ea"/>
              <a:cs typeface="+mn-cs"/>
            </a:endParaRPr>
          </a:p>
        </c:rich>
      </c:tx>
      <c:layout/>
      <c:overlay val="0"/>
    </c:title>
    <c:autoTitleDeleted val="0"/>
    <c:plotArea>
      <c:layout>
        <c:manualLayout>
          <c:layoutTarget val="inner"/>
          <c:xMode val="edge"/>
          <c:yMode val="edge"/>
          <c:x val="0.124874899112187"/>
          <c:y val="0.171631205673759"/>
          <c:w val="0.741146085552865"/>
          <c:h val="0.664316109422492"/>
        </c:manualLayout>
      </c:layout>
      <c:barChart>
        <c:barDir val="col"/>
        <c:grouping val="clustered"/>
        <c:varyColors val="0"/>
        <c:ser>
          <c:idx val="0"/>
          <c:order val="0"/>
          <c:tx>
            <c:strRef>
              <c:f>'[图表 在 2025年基层单位分析报告汇总色地镇人民政府.docx]Sheet1'!$B$3</c:f>
              <c:strCache>
                <c:ptCount val="1"/>
                <c:pt idx="0">
                  <c:v>2024年</c:v>
                </c:pt>
              </c:strCache>
            </c:strRef>
          </c:tx>
          <c:spPr>
            <a:solidFill>
              <a:srgbClr val="5B9BD5">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[0001d9f51]Sheet1!$C$2:$D$2</c:f>
              <c:strCache>
                <c:ptCount val="2"/>
                <c:pt idx="0">
                  <c:v>收入</c:v>
                </c:pt>
                <c:pt idx="1">
                  <c:v>支出</c:v>
                </c:pt>
              </c:strCache>
            </c:strRef>
          </c:cat>
          <c:val>
            <c:numRef>
              <c:f>'[图表 在 2025年基层单位分析报告汇总色地镇人民政府.docx]Sheet1'!$C$3:$D$3</c:f>
              <c:numCache>
                <c:formatCode>General</c:formatCode>
                <c:ptCount val="2"/>
                <c:pt idx="0">
                  <c:v>3370.35</c:v>
                </c:pt>
                <c:pt idx="1">
                  <c:v>3370.35</c:v>
                </c:pt>
              </c:numCache>
            </c:numRef>
          </c:val>
        </c:ser>
        <c:ser>
          <c:idx val="1"/>
          <c:order val="1"/>
          <c:tx>
            <c:strRef>
              <c:f>'[图表 在 2025年基层单位分析报告汇总色地镇人民政府.docx]Sheet1'!$B$4</c:f>
              <c:strCache>
                <c:ptCount val="1"/>
                <c:pt idx="0">
                  <c:v>2025年</c:v>
                </c:pt>
              </c:strCache>
            </c:strRef>
          </c:tx>
          <c:spPr>
            <a:solidFill>
              <a:srgbClr val="ED7D31">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[0001d9f51]Sheet1!$C$2:$D$2</c:f>
              <c:strCache>
                <c:ptCount val="2"/>
                <c:pt idx="0">
                  <c:v>收入</c:v>
                </c:pt>
                <c:pt idx="1">
                  <c:v>支出</c:v>
                </c:pt>
              </c:strCache>
            </c:strRef>
          </c:cat>
          <c:val>
            <c:numRef>
              <c:f>'[图表 在 2025年基层单位分析报告汇总色地镇人民政府.docx]Sheet1'!$C$4:$D$4</c:f>
              <c:numCache>
                <c:formatCode>General</c:formatCode>
                <c:ptCount val="2"/>
                <c:pt idx="0">
                  <c:v>2669.97</c:v>
                </c:pt>
                <c:pt idx="1">
                  <c:v>2669.97</c:v>
                </c:pt>
              </c:numCache>
            </c:numRef>
          </c:val>
        </c:ser>
        <c:ser>
          <c:idx val="2"/>
          <c:order val="2"/>
          <c:tx>
            <c:strRef>
              <c:f>'[图表 在 2025年基层单位分析报告汇总色地镇人民政府.docx]Sheet1'!#REF!</c:f>
              <c:strCache>
                <c:ptCount val="1"/>
                <c:pt idx="0">
                  <c:v/>
                </c:pt>
              </c:strCache>
            </c:strRef>
          </c:tx>
          <c:spPr>
            <a:solidFill>
              <a:srgbClr val="A5A5A5">
                <a:alpha val="100000"/>
              </a:srgbClr>
            </a:solidFill>
            <a:ln w="3175">
              <a:noFill/>
            </a:ln>
          </c:spPr>
          <c:invertIfNegative val="0"/>
          <c:dLbls>
            <c:delete val="1"/>
          </c:dLbls>
          <c:cat>
            <c:strRef>
              <c:f>[0001d9f51]Sheet1!$C$2:$D$2</c:f>
              <c:strCache>
                <c:ptCount val="2"/>
                <c:pt idx="0">
                  <c:v>收入</c:v>
                </c:pt>
                <c:pt idx="1">
                  <c:v>支出</c:v>
                </c:pt>
              </c:strCache>
            </c:strRef>
          </c:cat>
          <c:val>
            <c:numRef>
              <c:f>[0001d9f51]Sheet1!#REF!</c:f>
              <c:numCache>
                <c:formatCode>General</c:formatCode>
                <c:ptCount val="1"/>
              </c:numCache>
            </c:numRef>
          </c:val>
        </c:ser>
        <c:dLbls>
          <c:showLegendKey val="0"/>
          <c:showVal val="0"/>
          <c:showCatName val="0"/>
          <c:showSerName val="0"/>
          <c:showPercent val="0"/>
          <c:showBubbleSize val="0"/>
        </c:dLbls>
        <c:gapWidth val="219"/>
        <c:overlap val="-27"/>
        <c:axId val="649614834"/>
        <c:axId val="908506648"/>
      </c:barChart>
      <c:catAx>
        <c:axId val="649614834"/>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08506648"/>
        <c:crosses val="autoZero"/>
        <c:auto val="1"/>
        <c:lblAlgn val="ctr"/>
        <c:lblOffset val="100"/>
        <c:noMultiLvlLbl val="0"/>
      </c:catAx>
      <c:valAx>
        <c:axId val="908506648"/>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ln w="3175" cap="flat" cmpd="sng" algn="ctr">
            <a:noFill/>
            <a:prstDash val="solid"/>
            <a:round/>
          </a:ln>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49614834"/>
        <c:crosses val="autoZero"/>
        <c:crossBetween val="between"/>
      </c:valAx>
      <c:spPr>
        <a:noFill/>
        <a:ln w="3175">
          <a:noFill/>
        </a:ln>
      </c:spPr>
    </c:plotArea>
    <c:legend>
      <c:legendPos val="r"/>
      <c:legendEntry>
        <c:idx val="2"/>
        <c:delete val="1"/>
      </c:legendEntry>
      <c:layout>
        <c:manualLayout>
          <c:xMode val="edge"/>
          <c:yMode val="edge"/>
          <c:x val="0.31675"/>
          <c:y val="0.89475"/>
          <c:w val="0.365"/>
          <c:h val="0.07425"/>
        </c:manualLayout>
      </c:layout>
      <c:overlay val="0"/>
      <c:spPr>
        <a:noFill/>
        <a:ln w="3175">
          <a:noFill/>
        </a:ln>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21dcb27-9961-4669-9252-c41825826613}"/>
      </c:ext>
    </c:extLst>
  </c:chart>
  <c:spPr>
    <a:solidFill>
      <a:schemeClr val="bg1"/>
    </a:solidFill>
    <a:ln w="9525" cap="flat" cmpd="sng" algn="ctr">
      <a:solidFill>
        <a:srgbClr val="000000"/>
      </a:solidFill>
      <a:prstDash val="solid"/>
      <a:round/>
    </a:ln>
    <a:effectLst/>
  </c:spPr>
  <c:txPr>
    <a:bodyPr wrap="square"/>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收入决算情况（万元） </a:t>
            </a:r>
          </a:p>
        </c:rich>
      </c:tx>
      <c:layout>
        <c:manualLayout>
          <c:xMode val="edge"/>
          <c:yMode val="edge"/>
          <c:x val="0.310302952831395"/>
          <c:y val="0.00671140939597315"/>
        </c:manualLayout>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pie3DChart>
        <c:varyColors val="1"/>
        <c:ser>
          <c:idx val="0"/>
          <c:order val="0"/>
          <c:tx>
            <c:strRef>
              <c:f>[工作簿1]Sheet2!$A$1:$A$2</c:f>
              <c:strCache>
                <c:ptCount val="1"/>
                <c:pt idx="0">
                  <c:v>收入决算情况 一般公共预算财政拨款收入</c:v>
                </c:pt>
              </c:strCache>
            </c:strRef>
          </c:tx>
          <c:spPr>
            <a:solidFill>
              <a:schemeClr val="accent1"/>
            </a:solidFill>
            <a:ln w="0">
              <a:solidFill>
                <a:schemeClr val="accent1"/>
              </a:solidFill>
            </a:ln>
            <a:scene3d>
              <a:camera prst="orthographicFront"/>
              <a:lightRig rig="threePt" dir="t"/>
            </a:scene3d>
            <a:sp3d/>
          </c:spPr>
          <c:explosion val="0"/>
          <c:dPt>
            <c:idx val="0"/>
            <c:bubble3D val="0"/>
            <c:spPr>
              <a:solidFill>
                <a:schemeClr val="accent1"/>
              </a:solidFill>
              <a:ln w="0">
                <a:solidFill>
                  <a:schemeClr val="accent1"/>
                </a:solidFill>
              </a:ln>
              <a:effectLst/>
              <a:scene3d>
                <a:camera prst="orthographicFront"/>
                <a:lightRig rig="threePt" dir="t"/>
              </a:scene3d>
              <a:sp3d/>
            </c:spPr>
          </c:dPt>
          <c:dLbls>
            <c:dLbl>
              <c:idx val="0"/>
              <c:layout>
                <c:manualLayout>
                  <c:x val="0.143351760274031"/>
                  <c:y val="-0.504446588659444"/>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rPr lang="en-US" altLang="zh-CN"/>
                      <a:t>100%</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[工作簿1]Sheet2!$A$3</c:f>
              <c:numCache>
                <c:formatCode>General</c:formatCode>
                <c:ptCount val="1"/>
                <c:pt idx="0">
                  <c:v>1275.34</c:v>
                </c:pt>
              </c:numCache>
            </c:numRef>
          </c:val>
        </c:ser>
        <c:dLbls>
          <c:showLegendKey val="0"/>
          <c:showVal val="1"/>
          <c:showCatName val="0"/>
          <c:showSerName val="0"/>
          <c:showPercent val="0"/>
          <c:showBubbleSize val="0"/>
        </c:dLbls>
      </c:pie3DChart>
      <c:spPr>
        <a:noFill/>
        <a:ln>
          <a:noFill/>
        </a:ln>
        <a:effectLst/>
      </c:spPr>
    </c:plotArea>
    <c:plotVisOnly val="1"/>
    <c:dispBlanksAs val="gap"/>
    <c:showDLblsOverMax val="0"/>
    <c:extLst>
      <c:ext uri="{0b15fc19-7d7d-44ad-8c2d-2c3a37ce22c3}">
        <chartProps xmlns="https://web.wps.cn/et/2018/main" chartId="{80263ce4-2814-4902-a720-d4300e10380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400" b="0" i="0" u="none" strike="noStrike" kern="1200" spc="0" baseline="0">
                <a:solidFill>
                  <a:schemeClr val="tx1">
                    <a:lumMod val="65000"/>
                    <a:lumOff val="35000"/>
                  </a:schemeClr>
                </a:solidFill>
                <a:latin typeface="+mn-lt"/>
                <a:ea typeface="+mn-ea"/>
                <a:cs typeface="+mn-cs"/>
              </a:rPr>
              <a:t>财政拨款收入支出决算总体情况（万元）</a:t>
            </a:r>
            <a:endParaRPr sz="1400" b="0" i="0" u="none" strike="noStrike" kern="1200" spc="0" baseline="0">
              <a:solidFill>
                <a:schemeClr val="tx1">
                  <a:lumMod val="65000"/>
                  <a:lumOff val="35000"/>
                </a:schemeClr>
              </a:solidFill>
              <a:latin typeface="+mn-lt"/>
              <a:ea typeface="+mn-ea"/>
              <a:cs typeface="+mn-cs"/>
            </a:endParaRPr>
          </a:p>
        </c:rich>
      </c:tx>
      <c:layout/>
      <c:overlay val="0"/>
    </c:title>
    <c:autoTitleDeleted val="0"/>
    <c:plotArea>
      <c:layout>
        <c:manualLayout>
          <c:layoutTarget val="inner"/>
          <c:xMode val="edge"/>
          <c:yMode val="edge"/>
          <c:x val="0.124874899112187"/>
          <c:y val="0.171631205673759"/>
          <c:w val="0.741146085552865"/>
          <c:h val="0.664316109422492"/>
        </c:manualLayout>
      </c:layout>
      <c:barChart>
        <c:barDir val="col"/>
        <c:grouping val="clustered"/>
        <c:varyColors val="0"/>
        <c:ser>
          <c:idx val="0"/>
          <c:order val="0"/>
          <c:tx>
            <c:strRef>
              <c:f>'[图表 在 2025年基层单位分析报告汇总色地镇人民政府.docx]Sheet1'!$B$3</c:f>
              <c:strCache>
                <c:ptCount val="1"/>
                <c:pt idx="0">
                  <c:v>2024年</c:v>
                </c:pt>
              </c:strCache>
            </c:strRef>
          </c:tx>
          <c:spPr>
            <a:solidFill>
              <a:srgbClr val="5B9BD5">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[000000001]Sheet1!$C$2:$D$2</c:f>
              <c:strCache>
                <c:ptCount val="2"/>
                <c:pt idx="0">
                  <c:v>收入</c:v>
                </c:pt>
                <c:pt idx="1">
                  <c:v>支出</c:v>
                </c:pt>
              </c:strCache>
            </c:strRef>
          </c:cat>
          <c:val>
            <c:numRef>
              <c:f>'[图表 在 2025年基层单位分析报告汇总色地镇人民政府.docx]Sheet1'!$C$3:$D$3</c:f>
              <c:numCache>
                <c:formatCode>General</c:formatCode>
                <c:ptCount val="2"/>
                <c:pt idx="0">
                  <c:v>3369.59</c:v>
                </c:pt>
                <c:pt idx="1">
                  <c:v>3369.59</c:v>
                </c:pt>
              </c:numCache>
            </c:numRef>
          </c:val>
        </c:ser>
        <c:ser>
          <c:idx val="1"/>
          <c:order val="1"/>
          <c:tx>
            <c:strRef>
              <c:f>'[图表 在 2025年基层单位分析报告汇总色地镇人民政府.docx]Sheet1'!$B$4</c:f>
              <c:strCache>
                <c:ptCount val="1"/>
                <c:pt idx="0">
                  <c:v>2025年</c:v>
                </c:pt>
              </c:strCache>
            </c:strRef>
          </c:tx>
          <c:spPr>
            <a:solidFill>
              <a:srgbClr val="ED7D31">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[000000001]Sheet1!$C$2:$D$2</c:f>
              <c:strCache>
                <c:ptCount val="2"/>
                <c:pt idx="0">
                  <c:v>收入</c:v>
                </c:pt>
                <c:pt idx="1">
                  <c:v>支出</c:v>
                </c:pt>
              </c:strCache>
            </c:strRef>
          </c:cat>
          <c:val>
            <c:numRef>
              <c:f>'[图表 在 2025年基层单位分析报告汇总色地镇人民政府.docx]Sheet1'!$C$4:$D$4</c:f>
              <c:numCache>
                <c:formatCode>General</c:formatCode>
                <c:ptCount val="2"/>
                <c:pt idx="0">
                  <c:v>2669.97</c:v>
                </c:pt>
                <c:pt idx="1">
                  <c:v>2669.97</c:v>
                </c:pt>
              </c:numCache>
            </c:numRef>
          </c:val>
        </c:ser>
        <c:ser>
          <c:idx val="2"/>
          <c:order val="2"/>
          <c:tx>
            <c:strRef>
              <c:f>'[图表 在 2025年基层单位分析报告汇总色地镇人民政府.docx]Sheet1'!#REF!</c:f>
              <c:strCache>
                <c:ptCount val="1"/>
                <c:pt idx="0">
                  <c:v/>
                </c:pt>
              </c:strCache>
            </c:strRef>
          </c:tx>
          <c:spPr>
            <a:solidFill>
              <a:srgbClr val="A5A5A5">
                <a:alpha val="100000"/>
              </a:srgbClr>
            </a:solidFill>
            <a:ln w="3175">
              <a:noFill/>
            </a:ln>
          </c:spPr>
          <c:invertIfNegative val="0"/>
          <c:dLbls>
            <c:delete val="1"/>
          </c:dLbls>
          <c:cat>
            <c:strRef>
              <c:f>[000000001]Sheet1!$C$2:$D$2</c:f>
              <c:strCache>
                <c:ptCount val="2"/>
                <c:pt idx="0">
                  <c:v>收入</c:v>
                </c:pt>
                <c:pt idx="1">
                  <c:v>支出</c:v>
                </c:pt>
              </c:strCache>
            </c:strRef>
          </c:cat>
          <c:val>
            <c:numRef>
              <c:f>[000000001]Sheet1!#REF!</c:f>
              <c:numCache>
                <c:formatCode>General</c:formatCode>
                <c:ptCount val="1"/>
              </c:numCache>
            </c:numRef>
          </c:val>
        </c:ser>
        <c:dLbls>
          <c:showLegendKey val="0"/>
          <c:showVal val="0"/>
          <c:showCatName val="0"/>
          <c:showSerName val="0"/>
          <c:showPercent val="0"/>
          <c:showBubbleSize val="0"/>
        </c:dLbls>
        <c:gapWidth val="219"/>
        <c:overlap val="-27"/>
        <c:axId val="217654406"/>
        <c:axId val="802954323"/>
      </c:barChart>
      <c:catAx>
        <c:axId val="217654406"/>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02954323"/>
        <c:crosses val="autoZero"/>
        <c:auto val="1"/>
        <c:lblAlgn val="ctr"/>
        <c:lblOffset val="100"/>
        <c:noMultiLvlLbl val="0"/>
      </c:catAx>
      <c:valAx>
        <c:axId val="802954323"/>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ln w="3175" cap="flat" cmpd="sng" algn="ctr">
            <a:noFill/>
            <a:prstDash val="solid"/>
            <a:round/>
          </a:ln>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7654406"/>
        <c:crosses val="autoZero"/>
        <c:crossBetween val="between"/>
      </c:valAx>
      <c:spPr>
        <a:noFill/>
        <a:ln w="3175">
          <a:noFill/>
        </a:ln>
      </c:spPr>
    </c:plotArea>
    <c:legend>
      <c:legendPos val="r"/>
      <c:legendEntry>
        <c:idx val="2"/>
        <c:delete val="1"/>
      </c:legendEntry>
      <c:layout>
        <c:manualLayout>
          <c:xMode val="edge"/>
          <c:yMode val="edge"/>
          <c:x val="0.31675"/>
          <c:y val="0.89475"/>
          <c:w val="0.365"/>
          <c:h val="0.07425"/>
        </c:manualLayout>
      </c:layout>
      <c:overlay val="0"/>
      <c:spPr>
        <a:noFill/>
        <a:ln w="3175">
          <a:noFill/>
        </a:ln>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8c0d978-c662-42d6-8c8f-217daa7d9e69}"/>
      </c:ext>
    </c:extLst>
  </c:chart>
  <c:spPr>
    <a:solidFill>
      <a:schemeClr val="bg1"/>
    </a:solidFill>
    <a:ln w="9525" cap="flat" cmpd="sng" algn="ctr">
      <a:solidFill>
        <a:srgbClr val="000000"/>
      </a:solidFill>
      <a:prstDash val="solid"/>
      <a:round/>
    </a:ln>
    <a:effectLst/>
  </c:spPr>
  <c:txPr>
    <a:bodyPr wrap="square"/>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zh-CN" sz="1350" b="0" i="0" u="none" strike="noStrike" kern="1200" spc="0" baseline="0">
                <a:solidFill>
                  <a:schemeClr val="tx1">
                    <a:lumMod val="65000"/>
                    <a:lumOff val="35000"/>
                  </a:schemeClr>
                </a:solidFill>
                <a:latin typeface="+mn-lt"/>
                <a:ea typeface="+mn-ea"/>
                <a:cs typeface="+mn-cs"/>
              </a:defRPr>
            </a:pPr>
            <a:r>
              <a:rPr sz="1350" b="0" i="0" u="none" strike="noStrike" kern="1200" spc="0" baseline="0">
                <a:solidFill>
                  <a:schemeClr val="tx1">
                    <a:lumMod val="65000"/>
                    <a:lumOff val="35000"/>
                  </a:schemeClr>
                </a:solidFill>
                <a:latin typeface="+mn-lt"/>
                <a:ea typeface="+mn-ea"/>
                <a:cs typeface="+mn-cs"/>
              </a:rPr>
              <a:t>一般公共预算财政拨款支出决算情况（万元）</a:t>
            </a:r>
            <a:endParaRPr sz="1350" b="0" i="0" u="none" strike="noStrike" kern="1200" spc="0" baseline="0">
              <a:solidFill>
                <a:schemeClr val="tx1">
                  <a:lumMod val="65000"/>
                  <a:lumOff val="35000"/>
                </a:schemeClr>
              </a:solidFill>
              <a:latin typeface="+mn-lt"/>
              <a:ea typeface="+mn-ea"/>
              <a:cs typeface="+mn-cs"/>
            </a:endParaRPr>
          </a:p>
        </c:rich>
      </c:tx>
      <c:layout>
        <c:manualLayout>
          <c:xMode val="edge"/>
          <c:yMode val="edge"/>
          <c:x val="0.0833701250919794"/>
          <c:y val="0.0413223140495868"/>
        </c:manualLayout>
      </c:layout>
      <c:overlay val="0"/>
    </c:title>
    <c:autoTitleDeleted val="0"/>
    <c:plotArea>
      <c:layout>
        <c:manualLayout>
          <c:layoutTarget val="inner"/>
          <c:xMode val="edge"/>
          <c:yMode val="edge"/>
          <c:x val="0.124874899112187"/>
          <c:y val="0.171631205673759"/>
          <c:w val="0.741146085552865"/>
          <c:h val="0.664316109422492"/>
        </c:manualLayout>
      </c:layout>
      <c:barChart>
        <c:barDir val="col"/>
        <c:grouping val="clustered"/>
        <c:varyColors val="0"/>
        <c:ser>
          <c:idx val="0"/>
          <c:order val="0"/>
          <c:tx>
            <c:strRef>
              <c:f>'[图表 在 2025年基层单位分析报告汇总色地镇人民政府.docx]Sheet1'!$B$3</c:f>
              <c:strCache>
                <c:ptCount val="1"/>
                <c:pt idx="0">
                  <c:v>2024年</c:v>
                </c:pt>
              </c:strCache>
            </c:strRef>
          </c:tx>
          <c:spPr>
            <a:solidFill>
              <a:srgbClr val="5B9BD5">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'[图表 在 2025年基层单位分析报告汇总色地镇人民政府.docx]Sheet1'!$C$2:$D$2</c:f>
              <c:strCache>
                <c:ptCount val="2"/>
                <c:pt idx="0">
                  <c:v>2024年支出</c:v>
                </c:pt>
                <c:pt idx="1">
                  <c:v>2025年支出</c:v>
                </c:pt>
              </c:strCache>
            </c:strRef>
          </c:cat>
          <c:val>
            <c:numRef>
              <c:f>'[图表 在 2025年基层单位分析报告汇总色地镇人民政府.docx]Sheet1'!$C$3:$D$3</c:f>
              <c:numCache>
                <c:formatCode>General</c:formatCode>
                <c:ptCount val="2"/>
                <c:pt idx="0">
                  <c:v>3369.59</c:v>
                </c:pt>
                <c:pt idx="1">
                  <c:v>2669.97</c:v>
                </c:pt>
              </c:numCache>
            </c:numRef>
          </c:val>
        </c:ser>
        <c:ser>
          <c:idx val="2"/>
          <c:order val="1"/>
          <c:tx>
            <c:strRef>
              <c:f>'[图表 在 2025年基层单位分析报告汇总色地镇人民政府.docx]Sheet1'!#REF!</c:f>
              <c:strCache>
                <c:ptCount val="1"/>
                <c:pt idx="0">
                  <c:v/>
                </c:pt>
              </c:strCache>
            </c:strRef>
          </c:tx>
          <c:spPr>
            <a:solidFill>
              <a:srgbClr val="A5A5A5">
                <a:alpha val="100000"/>
              </a:srgbClr>
            </a:solidFill>
            <a:ln w="3175">
              <a:noFill/>
            </a:ln>
          </c:spPr>
          <c:invertIfNegative val="0"/>
          <c:dLbls>
            <c:delete val="1"/>
          </c:dLbls>
          <c:cat>
            <c:strRef>
              <c:f>'[图表 在 2025年基层单位分析报告汇总色地镇人民政府.docx]Sheet1'!$C$2:$D$2</c:f>
              <c:strCache>
                <c:ptCount val="2"/>
                <c:pt idx="0">
                  <c:v>2024年支出</c:v>
                </c:pt>
                <c:pt idx="1">
                  <c:v>2025年支出</c:v>
                </c:pt>
              </c:strCache>
            </c:strRef>
          </c:cat>
          <c:val>
            <c:numRef>
              <c:f>'[图表 在 2025年基层单位分析报告汇总色地镇人民政府.docx]Sheet1'!#REF!</c:f>
              <c:numCache>
                <c:formatCode>General</c:formatCode>
                <c:ptCount val="1"/>
                <c:pt idx="0">
                  <c:v>1</c:v>
                </c:pt>
              </c:numCache>
            </c:numRef>
          </c:val>
        </c:ser>
        <c:dLbls>
          <c:showLegendKey val="0"/>
          <c:showVal val="0"/>
          <c:showCatName val="0"/>
          <c:showSerName val="0"/>
          <c:showPercent val="0"/>
          <c:showBubbleSize val="0"/>
        </c:dLbls>
        <c:gapWidth val="219"/>
        <c:overlap val="-27"/>
        <c:axId val="682721255"/>
        <c:axId val="420099150"/>
      </c:barChart>
      <c:catAx>
        <c:axId val="682721255"/>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20099150"/>
        <c:crosses val="autoZero"/>
        <c:auto val="1"/>
        <c:lblAlgn val="ctr"/>
        <c:lblOffset val="100"/>
        <c:noMultiLvlLbl val="0"/>
      </c:catAx>
      <c:valAx>
        <c:axId val="420099150"/>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ln w="3175" cap="flat" cmpd="sng" algn="ctr">
            <a:noFill/>
            <a:prstDash val="solid"/>
            <a:round/>
          </a:ln>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82721255"/>
        <c:crosses val="autoZero"/>
        <c:crossBetween val="between"/>
      </c:valAx>
      <c:spPr>
        <a:noFill/>
        <a:ln w="3175">
          <a:noFill/>
        </a:ln>
      </c:spPr>
    </c:plotArea>
    <c:plotVisOnly val="1"/>
    <c:dispBlanksAs val="gap"/>
    <c:showDLblsOverMax val="0"/>
    <c:extLst>
      <c:ext uri="{0b15fc19-7d7d-44ad-8c2d-2c3a37ce22c3}">
        <chartProps xmlns="https://web.wps.cn/et/2018/main" chartId="{944f8ab5-c1cd-422b-a565-6f16b9b90d04}"/>
      </c:ext>
    </c:extLst>
  </c:chart>
  <c:spPr>
    <a:solidFill>
      <a:schemeClr val="bg1"/>
    </a:solidFill>
    <a:ln w="9525" cap="flat" cmpd="sng" algn="ctr">
      <a:solidFill>
        <a:srgbClr val="000000"/>
      </a:solidFill>
      <a:prstDash val="solid"/>
      <a:round/>
    </a:ln>
    <a:effectLst/>
  </c:spPr>
  <c:txPr>
    <a:bodyPr wrap="square"/>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Lbls>
            <c:dLbl>
              <c:idx val="0"/>
              <c:layout>
                <c:manualLayout>
                  <c:x val="0.0340585442209413"/>
                  <c:y val="0.0132169244249135"/>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724885864446089"/>
                  <c:y val="0.0047654579503695"/>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380778625009093"/>
                  <c:y val="-0.0590057132951951"/>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727293605646423"/>
                  <c:y val="0.0235516484130009"/>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0820758181466797"/>
                  <c:y val="0.0486630156390257"/>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0175757161316741"/>
                  <c:y val="0.0357911661845997"/>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0.0677351801494959"/>
                  <c:y val="-0.0796969100939092"/>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0.0724812756704518"/>
                  <c:y val="0.0127496812579686"/>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0.0443426337159869"/>
                  <c:y val="0.0144551933613513"/>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9"/>
              <c:layout>
                <c:manualLayout>
                  <c:x val="0.0779763440384904"/>
                  <c:y val="-0.0314265270179604"/>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一般公共服务支出</c:v>
                </c:pt>
                <c:pt idx="1">
                  <c:v>国防支出</c:v>
                </c:pt>
                <c:pt idx="2">
                  <c:v>文化旅游体育与传媒支出</c:v>
                </c:pt>
                <c:pt idx="3">
                  <c:v>社会保障和就业支出</c:v>
                </c:pt>
                <c:pt idx="4">
                  <c:v>卫生健康支出</c:v>
                </c:pt>
                <c:pt idx="5">
                  <c:v>城乡社区支出</c:v>
                </c:pt>
                <c:pt idx="6">
                  <c:v>农林水支出</c:v>
                </c:pt>
                <c:pt idx="7">
                  <c:v>商业服务业等支出</c:v>
                </c:pt>
                <c:pt idx="8">
                  <c:v>住房保障支出</c:v>
                </c:pt>
                <c:pt idx="9">
                  <c:v>灾害防治及应急管理支出</c:v>
                </c:pt>
              </c:strCache>
            </c:strRef>
          </c:cat>
          <c:val>
            <c:numRef>
              <c:f>Sheet1!$B$2:$B$11</c:f>
              <c:numCache>
                <c:formatCode>General</c:formatCode>
                <c:ptCount val="10"/>
                <c:pt idx="0">
                  <c:v>806.07</c:v>
                </c:pt>
                <c:pt idx="1">
                  <c:v>3</c:v>
                </c:pt>
                <c:pt idx="2">
                  <c:v>5.16</c:v>
                </c:pt>
                <c:pt idx="3">
                  <c:v>111.32</c:v>
                </c:pt>
                <c:pt idx="4">
                  <c:v>44.75</c:v>
                </c:pt>
                <c:pt idx="5">
                  <c:v>8.96</c:v>
                </c:pt>
                <c:pt idx="6">
                  <c:v>1426.51</c:v>
                </c:pt>
                <c:pt idx="7">
                  <c:v>198</c:v>
                </c:pt>
                <c:pt idx="8">
                  <c:v>65.7</c:v>
                </c:pt>
                <c:pt idx="9">
                  <c:v>0.5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118748489973424"/>
          <c:y val="0.705269868253294"/>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7bef127-8540-4fba-aa40-5e9fb767cbd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三公”经费财政拨款支出决算情况（万元）</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[工作簿1]Sheet7!$A$1</c:f>
              <c:strCache>
                <c:ptCount val="1"/>
                <c:pt idx="0">
                  <c:v>公务用车购置及运行维护费</c:v>
                </c:pt>
              </c:strCache>
            </c:strRef>
          </c:cat>
          <c:val>
            <c:numRef>
              <c:f>[工作簿1]Sheet7!$B$1</c:f>
              <c:numCache>
                <c:formatCode>0%</c:formatCode>
                <c:ptCount val="1"/>
                <c:pt idx="0">
                  <c:v>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28eeb0f-d50c-47a3-ac74-6831d157cdb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38</Pages>
  <Words>6160</Words>
  <Characters>6796</Characters>
  <TotalTime>40</TotalTime>
  <ScaleCrop>false</ScaleCrop>
  <LinksUpToDate>false</LinksUpToDate>
  <CharactersWithSpaces>6949</CharactersWithSpaces>
  <Application>WPS Office_12.1.2.28080_F1E327BC-269C-435d-A152-05C5408002CA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2023-11-07T06:01:00Z</dcterms:created>
  <dc:creator>Admin</dc:creator>
  <cp:lastModifiedBy>user</cp:lastModifiedBy>
  <cp:lastPrinted>2024-10-18T23:15:00Z</cp:lastPrinted>
  <dcterms:modified xsi:type="dcterms:W3CDTF">2026-10-25T21:25:04Z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2052-12.1.2.28080</vt:lpwstr>
  </property>
  <property fmtid="{D5CDD505-2E9C-101B-9397-08002B2CF9AE}" pid="3" name="ICV">
    <vt:lpwstr>EED4B3EA1B5CD8964CC2D96AA1F04719_43</vt:lpwstr>
  </property>
  <property fmtid="{D5CDD505-2E9C-101B-9397-08002B2CF9AE}" pid="4" name="KSOTemplateDocerSaveRecord">
    <vt:lpwstr>eyJoZGlkIjoiNGJjODJjMGZkMzg1YWQzNzdjOWY3ZTQyNDQzZDgxYjEiLCJ1c2VySWQiOiI0NDkwODM1NjYifQ==</vt:lpwstr>
  </property>
</Properties>
</file>