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rPr>
          <w:rFonts w:hint="eastAsia" w:ascii="Times New Roman" w:hAnsi="Times New Roman" w:eastAsia="方正小标宋简体" w:cs="Times New Roman"/>
          <w:color w:val="auto"/>
          <w:kern w:val="2"/>
          <w:sz w:val="72"/>
          <w:szCs w:val="72"/>
          <w:highlight w:val="none"/>
          <w:lang w:val="en-US" w:eastAsia="zh-CN" w:bidi="ar-SA"/>
        </w:rPr>
      </w:pPr>
      <w:bookmarkStart w:id="0" w:name="_Toc15396475"/>
      <w:bookmarkStart w:id="1" w:name="_Toc15377425"/>
      <w:bookmarkStart w:id="2" w:name="_Toc15306267"/>
      <w:bookmarkStart w:id="3" w:name="_Toc15378441"/>
      <w:bookmarkStart w:id="4" w:name="_Toc15396597"/>
      <w:bookmarkStart w:id="5" w:name="_Toc15377193"/>
    </w:p>
    <w:p>
      <w:pPr>
        <w:pStyle w:val="8"/>
        <w:rPr>
          <w:rFonts w:hint="eastAsia" w:ascii="Times New Roman" w:hAnsi="Times New Roman" w:eastAsia="方正小标宋简体" w:cs="Times New Roman"/>
          <w:color w:val="auto"/>
          <w:kern w:val="2"/>
          <w:sz w:val="72"/>
          <w:szCs w:val="72"/>
          <w:highlight w:val="none"/>
          <w:lang w:val="en-US" w:eastAsia="zh-CN" w:bidi="ar-SA"/>
        </w:rPr>
      </w:pPr>
    </w:p>
    <w:p>
      <w:pPr>
        <w:pStyle w:val="8"/>
        <w:rPr>
          <w:rFonts w:hint="eastAsia" w:ascii="Times New Roman" w:hAnsi="Times New Roman" w:eastAsia="方正小标宋简体" w:cs="Times New Roman"/>
          <w:color w:val="auto"/>
          <w:kern w:val="2"/>
          <w:sz w:val="72"/>
          <w:szCs w:val="72"/>
          <w:highlight w:val="none"/>
          <w:lang w:val="en-US" w:eastAsia="zh-CN" w:bidi="ar-SA"/>
        </w:rPr>
      </w:pPr>
    </w:p>
    <w:p>
      <w:pPr>
        <w:adjustRightInd w:val="0"/>
        <w:snapToGrid w:val="0"/>
        <w:spacing w:line="360" w:lineRule="auto"/>
        <w:jc w:val="center"/>
        <w:outlineLvl w:val="0"/>
        <w:rPr>
          <w:rFonts w:hint="default" w:ascii="方正小标宋简体" w:hAnsi="方正小标宋简体" w:eastAsia="方正小标宋简体" w:cs="方正小标宋简体"/>
          <w:sz w:val="72"/>
          <w:szCs w:val="72"/>
          <w:lang w:val="en-US" w:eastAsia="zh-CN"/>
        </w:rPr>
      </w:pPr>
      <w:r>
        <w:rPr>
          <w:rFonts w:hint="eastAsia" w:ascii="方正小标宋简体" w:hAnsi="方正小标宋简体" w:eastAsia="方正小标宋简体" w:cs="方正小标宋简体"/>
          <w:sz w:val="72"/>
          <w:szCs w:val="72"/>
        </w:rPr>
        <w:t>202</w:t>
      </w:r>
      <w:r>
        <w:rPr>
          <w:rFonts w:hint="eastAsia" w:ascii="方正小标宋简体" w:hAnsi="方正小标宋简体" w:eastAsia="方正小标宋简体" w:cs="方正小标宋简体"/>
          <w:sz w:val="72"/>
          <w:szCs w:val="72"/>
          <w:lang w:val="en-US" w:eastAsia="zh-CN"/>
        </w:rPr>
        <w:t>5</w:t>
      </w:r>
      <w:r>
        <w:rPr>
          <w:rFonts w:hint="eastAsia" w:ascii="方正小标宋简体" w:hAnsi="方正小标宋简体" w:eastAsia="方正小标宋简体" w:cs="方正小标宋简体"/>
          <w:sz w:val="72"/>
          <w:szCs w:val="72"/>
        </w:rPr>
        <w:t>年度</w:t>
      </w:r>
      <w:r>
        <w:rPr>
          <w:rFonts w:hint="eastAsia" w:ascii="方正小标宋简体" w:hAnsi="方正小标宋简体" w:eastAsia="方正小标宋简体" w:cs="方正小标宋简体"/>
          <w:sz w:val="72"/>
          <w:szCs w:val="72"/>
          <w:lang w:val="en-US" w:eastAsia="zh-CN"/>
        </w:rPr>
        <w:t xml:space="preserve">             </w:t>
      </w:r>
      <w:r>
        <w:rPr>
          <w:rFonts w:ascii="方正小标宋简体" w:eastAsia="方正小标宋简体" w:cs="方正小标宋简体"/>
          <w:sz w:val="72"/>
          <w:szCs w:val="72"/>
        </w:rPr>
        <w:t>阿坝州</w:t>
      </w:r>
      <w:r>
        <w:rPr>
          <w:rFonts w:hint="eastAsia" w:ascii="方正小标宋简体" w:eastAsia="方正小标宋简体" w:cs="方正小标宋简体"/>
          <w:sz w:val="72"/>
          <w:szCs w:val="72"/>
          <w:lang w:val="en-US" w:eastAsia="zh-CN"/>
        </w:rPr>
        <w:t>红原县交通运输局</w:t>
      </w:r>
    </w:p>
    <w:p>
      <w:pPr>
        <w:adjustRightInd w:val="0"/>
        <w:snapToGrid w:val="0"/>
        <w:spacing w:line="360" w:lineRule="auto"/>
        <w:jc w:val="center"/>
        <w:outlineLvl w:val="0"/>
        <w:rPr>
          <w:rFonts w:hint="eastAsia"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rPr>
        <w:t>部门决算</w:t>
      </w:r>
    </w:p>
    <w:p>
      <w:pPr>
        <w:pStyle w:val="22"/>
        <w:rPr>
          <w:rFonts w:ascii="Times New Roman" w:hAnsi="Times New Roman"/>
        </w:rPr>
        <w:sectPr>
          <w:footerReference r:id="rId5" w:type="first"/>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bookmarkEnd w:id="0"/>
    <w:bookmarkEnd w:id="1"/>
    <w:bookmarkEnd w:id="2"/>
    <w:bookmarkEnd w:id="3"/>
    <w:bookmarkEnd w:id="4"/>
    <w:bookmarkEnd w:id="5"/>
    <w:p>
      <w:pPr>
        <w:widowControl/>
        <w:ind w:firstLine="2880" w:firstLineChars="600"/>
        <w:jc w:val="both"/>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pPr>
        <w:widowControl/>
        <w:jc w:val="center"/>
        <w:rPr>
          <w:rFonts w:ascii="Times New Roman" w:hAnsi="Times New Roman" w:eastAsia="黑体" w:cstheme="minorBidi"/>
          <w:color w:val="auto"/>
          <w:sz w:val="28"/>
          <w:szCs w:val="28"/>
          <w:highlight w:val="none"/>
        </w:rPr>
      </w:pPr>
    </w:p>
    <w:p>
      <w:pPr>
        <w:pStyle w:val="14"/>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14</w:t>
      </w:r>
      <w:r>
        <w:rPr>
          <w:rFonts w:hint="eastAsia" w:ascii="Times New Roman" w:hAnsi="Times New Roman" w:eastAsia="仿宋_GB2312" w:cs="仿宋_GB2312"/>
          <w:color w:val="auto"/>
          <w:sz w:val="32"/>
          <w:szCs w:val="32"/>
          <w:highlight w:val="none"/>
        </w:rPr>
        <w:t>日</w:t>
      </w:r>
    </w:p>
    <w:p>
      <w:pPr>
        <w:rPr>
          <w:rFonts w:ascii="Times New Roman" w:hAnsi="Times New Roman"/>
          <w:color w:val="auto"/>
          <w:highlight w:val="none"/>
        </w:rPr>
      </w:pPr>
    </w:p>
    <w:p>
      <w:pPr>
        <w:pStyle w:val="14"/>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r>
        <w:rPr>
          <w:rFonts w:hint="eastAsia" w:eastAsia="仿宋_GB2312" w:cs="仿宋_GB2312"/>
          <w:color w:val="auto"/>
          <w:sz w:val="32"/>
          <w:szCs w:val="32"/>
          <w:highlight w:val="none"/>
          <w:lang w:val="en-US" w:eastAsia="zh-CN"/>
        </w:rPr>
        <w:t>.............3</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二、机构设置</w:t>
      </w:r>
      <w:r>
        <w:rPr>
          <w:rFonts w:hint="eastAsia" w:eastAsia="仿宋_GB2312" w:cs="仿宋_GB2312"/>
          <w:color w:val="auto"/>
          <w:sz w:val="32"/>
          <w:szCs w:val="32"/>
          <w:highlight w:val="none"/>
          <w:lang w:val="en-US" w:eastAsia="zh-CN"/>
        </w:rPr>
        <w:t>.............4</w:t>
      </w:r>
    </w:p>
    <w:p>
      <w:pPr>
        <w:pStyle w:val="14"/>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2024年度</w:t>
      </w:r>
      <w:r>
        <w:rPr>
          <w:rFonts w:hint="eastAsia" w:ascii="Times New Roman" w:hAnsi="Times New Roman" w:eastAsia="黑体" w:cs="黑体"/>
          <w:color w:val="auto"/>
          <w:sz w:val="32"/>
          <w:szCs w:val="32"/>
          <w:highlight w:val="none"/>
        </w:rPr>
        <w:t>部门决算情况说明</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r>
        <w:rPr>
          <w:rFonts w:hint="eastAsia" w:eastAsia="仿宋_GB2312" w:cs="仿宋_GB2312"/>
          <w:color w:val="auto"/>
          <w:sz w:val="32"/>
          <w:szCs w:val="32"/>
          <w:highlight w:val="none"/>
          <w:lang w:val="en-US" w:eastAsia="zh-CN"/>
        </w:rPr>
        <w:t>.............5</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rPr>
        <w:t>二、收入决算情况说明</w:t>
      </w:r>
      <w:r>
        <w:rPr>
          <w:rFonts w:hint="eastAsia" w:eastAsia="仿宋_GB2312" w:cs="仿宋_GB2312"/>
          <w:color w:val="auto"/>
          <w:sz w:val="32"/>
          <w:szCs w:val="32"/>
          <w:highlight w:val="none"/>
          <w:lang w:val="en-US" w:eastAsia="zh-CN"/>
        </w:rPr>
        <w:t>.............5</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rPr>
        <w:t>三、支出决算情况说明</w:t>
      </w:r>
      <w:r>
        <w:rPr>
          <w:rFonts w:hint="eastAsia" w:eastAsia="仿宋_GB2312" w:cs="仿宋_GB2312"/>
          <w:color w:val="auto"/>
          <w:sz w:val="32"/>
          <w:szCs w:val="32"/>
          <w:highlight w:val="none"/>
          <w:lang w:val="en-US" w:eastAsia="zh-CN"/>
        </w:rPr>
        <w:t>.............6</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四、财政拨款收入支出决算总体情况说明</w:t>
      </w:r>
      <w:r>
        <w:rPr>
          <w:rFonts w:hint="eastAsia" w:eastAsia="仿宋_GB2312" w:cs="仿宋_GB2312"/>
          <w:color w:val="auto"/>
          <w:sz w:val="32"/>
          <w:szCs w:val="32"/>
          <w:highlight w:val="none"/>
          <w:lang w:val="en-US" w:eastAsia="zh-CN"/>
        </w:rPr>
        <w:t>.............7</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五、一般公共预算财政拨款支出决算情况说明</w:t>
      </w:r>
      <w:r>
        <w:rPr>
          <w:rFonts w:hint="eastAsia" w:eastAsia="仿宋_GB2312" w:cs="仿宋_GB2312"/>
          <w:color w:val="auto"/>
          <w:sz w:val="32"/>
          <w:szCs w:val="32"/>
          <w:highlight w:val="none"/>
          <w:lang w:val="en-US" w:eastAsia="zh-CN"/>
        </w:rPr>
        <w:t>.............7</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六、一般公共预算财政拨款基本支出决算情况说明</w:t>
      </w:r>
      <w:r>
        <w:rPr>
          <w:rFonts w:hint="eastAsia" w:eastAsia="仿宋_GB2312" w:cs="仿宋_GB2312"/>
          <w:color w:val="auto"/>
          <w:sz w:val="32"/>
          <w:szCs w:val="32"/>
          <w:highlight w:val="none"/>
          <w:lang w:val="en-US" w:eastAsia="zh-CN"/>
        </w:rPr>
        <w:t>...11</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638" w:leftChars="304" w:firstLine="0" w:firstLineChars="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r>
        <w:rPr>
          <w:rFonts w:hint="eastAsia" w:eastAsia="仿宋_GB2312" w:cs="仿宋_GB2312"/>
          <w:color w:val="auto"/>
          <w:sz w:val="32"/>
          <w:szCs w:val="32"/>
          <w:highlight w:val="none"/>
          <w:lang w:val="en-US" w:eastAsia="zh-CN"/>
        </w:rPr>
        <w:t>..........11</w:t>
      </w:r>
      <w:r>
        <w:rPr>
          <w:rFonts w:hint="eastAsia" w:ascii="Times New Roman" w:hAnsi="Times New Roman" w:eastAsia="仿宋_GB2312" w:cs="仿宋_GB2312"/>
          <w:color w:val="auto"/>
          <w:sz w:val="32"/>
          <w:szCs w:val="32"/>
          <w:highlight w:val="none"/>
        </w:rPr>
        <w:t>八、政府性基金预算支出决算情况说明</w:t>
      </w:r>
      <w:r>
        <w:rPr>
          <w:rFonts w:hint="eastAsia" w:eastAsia="仿宋_GB2312" w:cs="仿宋_GB2312"/>
          <w:color w:val="auto"/>
          <w:sz w:val="32"/>
          <w:szCs w:val="32"/>
          <w:highlight w:val="none"/>
          <w:lang w:val="en-US" w:eastAsia="zh-CN"/>
        </w:rPr>
        <w:t>...........13</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r>
        <w:rPr>
          <w:rFonts w:hint="eastAsia" w:eastAsia="仿宋_GB2312" w:cs="仿宋_GB2312"/>
          <w:color w:val="auto"/>
          <w:sz w:val="32"/>
          <w:szCs w:val="32"/>
          <w:highlight w:val="none"/>
          <w:lang w:val="en-US" w:eastAsia="zh-CN"/>
        </w:rPr>
        <w:t>............13</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r>
        <w:rPr>
          <w:rFonts w:hint="eastAsia" w:eastAsia="仿宋_GB2312" w:cs="仿宋_GB2312"/>
          <w:color w:val="auto"/>
          <w:sz w:val="32"/>
          <w:szCs w:val="32"/>
          <w:highlight w:val="none"/>
          <w:lang w:val="en-US" w:eastAsia="zh-CN"/>
        </w:rPr>
        <w:t>............13</w:t>
      </w:r>
    </w:p>
    <w:p>
      <w:pPr>
        <w:pStyle w:val="14"/>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pPr>
        <w:pStyle w:val="14"/>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黑体"/>
          <w:color w:val="auto"/>
          <w:sz w:val="32"/>
          <w:szCs w:val="32"/>
          <w:highlight w:val="none"/>
          <w:lang w:val="en-US"/>
        </w:rPr>
      </w:pPr>
      <w:r>
        <w:rPr>
          <w:rFonts w:hint="eastAsia" w:ascii="Times New Roman" w:hAnsi="Times New Roman" w:eastAsia="黑体" w:cs="黑体"/>
          <w:color w:val="auto"/>
          <w:sz w:val="32"/>
          <w:szCs w:val="32"/>
          <w:highlight w:val="none"/>
        </w:rPr>
        <w:t>第四部分 附件</w:t>
      </w:r>
      <w:r>
        <w:rPr>
          <w:rFonts w:hint="eastAsia" w:eastAsia="仿宋_GB2312" w:cs="仿宋_GB2312"/>
          <w:color w:val="auto"/>
          <w:sz w:val="32"/>
          <w:szCs w:val="32"/>
          <w:highlight w:val="none"/>
          <w:lang w:val="en-US" w:eastAsia="zh-CN"/>
        </w:rPr>
        <w:t>.............17</w:t>
      </w:r>
    </w:p>
    <w:p>
      <w:pPr>
        <w:pStyle w:val="14"/>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pPr>
        <w:pStyle w:val="16"/>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6" w:name="_Toc15377196"/>
      <w:bookmarkStart w:id="7" w:name="_Toc15396599"/>
      <w:r>
        <w:rPr>
          <w:rFonts w:hint="eastAsia" w:ascii="Times New Roman" w:hAnsi="Times New Roman" w:eastAsia="仿宋_GB2312" w:cs="仿宋_GB2312"/>
          <w:b/>
          <w:color w:val="auto"/>
          <w:sz w:val="32"/>
          <w:szCs w:val="32"/>
          <w:highlight w:val="none"/>
        </w:rPr>
        <w:br w:type="page"/>
      </w:r>
    </w:p>
    <w:p>
      <w:pPr>
        <w:pStyle w:val="5"/>
        <w:jc w:val="center"/>
        <w:rPr>
          <w:rStyle w:val="31"/>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1"/>
          <w:rFonts w:hint="eastAsia" w:ascii="Times New Roman" w:hAnsi="Times New Roman" w:eastAsia="方正小标宋简体" w:cs="方正小标宋简体"/>
          <w:b w:val="0"/>
          <w:bCs w:val="0"/>
          <w:color w:val="auto"/>
          <w:highlight w:val="none"/>
        </w:rPr>
        <w:t>部门概况</w:t>
      </w:r>
      <w:bookmarkEnd w:id="6"/>
      <w:bookmarkEnd w:id="7"/>
    </w:p>
    <w:p>
      <w:pPr>
        <w:widowControl/>
        <w:jc w:val="left"/>
        <w:rPr>
          <w:rFonts w:ascii="Times New Roman" w:hAnsi="Times New Roman" w:eastAsia="黑体"/>
          <w:color w:val="auto"/>
          <w:sz w:val="32"/>
          <w:szCs w:val="32"/>
          <w:highlight w:val="none"/>
        </w:rPr>
      </w:pPr>
    </w:p>
    <w:p>
      <w:pPr>
        <w:pStyle w:val="6"/>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pPr>
        <w:pStyle w:val="17"/>
        <w:keepNext w:val="0"/>
        <w:keepLines w:val="0"/>
        <w:widowControl/>
        <w:suppressLineNumbers w:val="0"/>
        <w:ind w:left="0" w:right="75"/>
        <w:jc w:val="left"/>
        <w:outlineLvl w:val="2"/>
        <w:rPr>
          <w:rFonts w:hint="eastAsia" w:ascii="楷体_GB2312" w:hAnsi="楷体_GB2312" w:eastAsia="楷体_GB2312" w:cs="楷体_GB2312"/>
          <w:b/>
          <w:bCs/>
          <w:sz w:val="32"/>
          <w:szCs w:val="32"/>
          <w:shd w:val="clear" w:fill="FFFFFF"/>
        </w:rPr>
      </w:pPr>
      <w:bookmarkStart w:id="8" w:name="_Toc7513"/>
      <w:r>
        <w:rPr>
          <w:rFonts w:hint="eastAsia" w:ascii="楷体_GB2312" w:hAnsi="楷体_GB2312" w:eastAsia="楷体_GB2312" w:cs="楷体_GB2312"/>
          <w:b/>
          <w:bCs/>
          <w:sz w:val="32"/>
          <w:szCs w:val="32"/>
          <w:shd w:val="clear" w:fill="FFFFFF"/>
        </w:rPr>
        <w:t>（一）主要职能。</w:t>
      </w:r>
      <w:bookmarkEnd w:id="8"/>
    </w:p>
    <w:p>
      <w:pPr>
        <w:pStyle w:val="8"/>
        <w:adjustRightInd w:val="0"/>
        <w:snapToGrid w:val="0"/>
        <w:spacing w:before="93" w:line="580" w:lineRule="exact"/>
        <w:ind w:firstLine="640" w:firstLineChars="200"/>
        <w:rPr>
          <w:rFonts w:eastAsia="仿宋_GB2312" w:asciiTheme="minorEastAsia" w:hAnsiTheme="minorEastAsia"/>
          <w:bCs/>
          <w:sz w:val="32"/>
          <w:szCs w:val="32"/>
        </w:rPr>
      </w:pPr>
      <w:r>
        <w:rPr>
          <w:rFonts w:hint="eastAsia" w:eastAsia="仿宋_GB2312" w:asciiTheme="minorEastAsia" w:hAnsiTheme="minorEastAsia"/>
          <w:bCs/>
          <w:sz w:val="32"/>
          <w:szCs w:val="32"/>
          <w:lang w:val="en-US" w:eastAsia="zh-CN"/>
        </w:rPr>
        <w:t>1.</w:t>
      </w:r>
      <w:r>
        <w:rPr>
          <w:rFonts w:hint="eastAsia" w:eastAsia="仿宋_GB2312" w:asciiTheme="minorEastAsia" w:hAnsiTheme="minorEastAsia"/>
          <w:bCs/>
          <w:sz w:val="32"/>
          <w:szCs w:val="32"/>
        </w:rPr>
        <w:t>贯彻执行国家有关交通运输行业的方针、政策和法律法规。</w:t>
      </w:r>
    </w:p>
    <w:p>
      <w:pPr>
        <w:pStyle w:val="8"/>
        <w:adjustRightInd w:val="0"/>
        <w:snapToGrid w:val="0"/>
        <w:spacing w:before="93" w:line="580" w:lineRule="exact"/>
        <w:ind w:firstLine="672" w:firstLineChars="210"/>
        <w:rPr>
          <w:rFonts w:eastAsia="仿宋_GB2312" w:asciiTheme="minorEastAsia" w:hAnsiTheme="minorEastAsia"/>
          <w:bCs/>
          <w:sz w:val="32"/>
          <w:szCs w:val="32"/>
        </w:rPr>
      </w:pPr>
      <w:r>
        <w:rPr>
          <w:rFonts w:hint="eastAsia" w:eastAsia="仿宋_GB2312" w:asciiTheme="minorEastAsia" w:hAnsiTheme="minorEastAsia"/>
          <w:bCs/>
          <w:sz w:val="32"/>
          <w:szCs w:val="32"/>
          <w:lang w:val="en-US" w:eastAsia="zh-CN"/>
        </w:rPr>
        <w:t>2.</w:t>
      </w:r>
      <w:r>
        <w:rPr>
          <w:rFonts w:hint="eastAsia" w:eastAsia="仿宋_GB2312" w:asciiTheme="minorEastAsia" w:hAnsiTheme="minorEastAsia"/>
          <w:bCs/>
          <w:sz w:val="32"/>
          <w:szCs w:val="32"/>
        </w:rPr>
        <w:t>负责本系统、本部门依法行政工作，落实行政执法责任制。</w:t>
      </w:r>
    </w:p>
    <w:p>
      <w:pPr>
        <w:pStyle w:val="8"/>
        <w:adjustRightInd w:val="0"/>
        <w:snapToGrid w:val="0"/>
        <w:spacing w:before="93" w:line="580" w:lineRule="exact"/>
        <w:ind w:firstLine="672" w:firstLineChars="210"/>
        <w:rPr>
          <w:rFonts w:eastAsia="仿宋_GB2312" w:asciiTheme="minorEastAsia" w:hAnsiTheme="minorEastAsia"/>
          <w:bCs/>
          <w:sz w:val="32"/>
          <w:szCs w:val="32"/>
        </w:rPr>
      </w:pPr>
      <w:r>
        <w:rPr>
          <w:rFonts w:hint="eastAsia" w:eastAsia="仿宋_GB2312" w:asciiTheme="minorEastAsia" w:hAnsiTheme="minorEastAsia"/>
          <w:bCs/>
          <w:sz w:val="32"/>
          <w:szCs w:val="32"/>
          <w:lang w:val="en-US" w:eastAsia="zh-CN"/>
        </w:rPr>
        <w:t>3.</w:t>
      </w:r>
      <w:r>
        <w:rPr>
          <w:rFonts w:hint="eastAsia" w:eastAsia="仿宋_GB2312" w:asciiTheme="minorEastAsia" w:hAnsiTheme="minorEastAsia"/>
          <w:bCs/>
          <w:sz w:val="32"/>
          <w:szCs w:val="32"/>
        </w:rPr>
        <w:t>承担全县道路，水路交通运输市场监管责任。</w:t>
      </w:r>
    </w:p>
    <w:p>
      <w:pPr>
        <w:pStyle w:val="8"/>
        <w:adjustRightInd w:val="0"/>
        <w:snapToGrid w:val="0"/>
        <w:spacing w:before="93" w:line="580" w:lineRule="exact"/>
        <w:ind w:firstLine="672" w:firstLineChars="210"/>
        <w:rPr>
          <w:rFonts w:eastAsia="仿宋_GB2312" w:asciiTheme="minorEastAsia" w:hAnsiTheme="minorEastAsia"/>
          <w:bCs/>
          <w:sz w:val="32"/>
          <w:szCs w:val="32"/>
        </w:rPr>
      </w:pPr>
      <w:r>
        <w:rPr>
          <w:rFonts w:hint="eastAsia" w:eastAsia="仿宋_GB2312" w:asciiTheme="minorEastAsia" w:hAnsiTheme="minorEastAsia"/>
          <w:bCs/>
          <w:sz w:val="32"/>
          <w:szCs w:val="32"/>
          <w:lang w:val="en-US" w:eastAsia="zh-CN"/>
        </w:rPr>
        <w:t>4.</w:t>
      </w:r>
      <w:r>
        <w:rPr>
          <w:rFonts w:hint="eastAsia" w:eastAsia="仿宋_GB2312" w:asciiTheme="minorEastAsia" w:hAnsiTheme="minorEastAsia"/>
          <w:bCs/>
          <w:sz w:val="32"/>
          <w:szCs w:val="32"/>
        </w:rPr>
        <w:t>承担水上交通安全监管责任。</w:t>
      </w:r>
    </w:p>
    <w:p>
      <w:pPr>
        <w:pStyle w:val="8"/>
        <w:adjustRightInd w:val="0"/>
        <w:snapToGrid w:val="0"/>
        <w:spacing w:before="93" w:line="580" w:lineRule="exact"/>
        <w:ind w:firstLine="672" w:firstLineChars="210"/>
        <w:rPr>
          <w:rFonts w:eastAsia="仿宋_GB2312" w:asciiTheme="minorEastAsia" w:hAnsiTheme="minorEastAsia"/>
          <w:bCs/>
          <w:sz w:val="32"/>
          <w:szCs w:val="32"/>
        </w:rPr>
      </w:pPr>
      <w:r>
        <w:rPr>
          <w:rFonts w:hint="eastAsia" w:eastAsia="仿宋_GB2312" w:asciiTheme="minorEastAsia" w:hAnsiTheme="minorEastAsia"/>
          <w:bCs/>
          <w:sz w:val="32"/>
          <w:szCs w:val="32"/>
          <w:lang w:val="en-US" w:eastAsia="zh-CN"/>
        </w:rPr>
        <w:t>5.</w:t>
      </w:r>
      <w:r>
        <w:rPr>
          <w:rFonts w:hint="eastAsia" w:eastAsia="仿宋_GB2312" w:asciiTheme="minorEastAsia" w:hAnsiTheme="minorEastAsia"/>
          <w:bCs/>
          <w:sz w:val="32"/>
          <w:szCs w:val="32"/>
        </w:rPr>
        <w:t>负责提出公路、水路固定资产投资规模和方向、县财政性资金安排建议，按照规定权限审批、核准省、州、县规划内和年度计划规模内固定资产投资项目。</w:t>
      </w:r>
    </w:p>
    <w:p>
      <w:pPr>
        <w:pStyle w:val="8"/>
        <w:adjustRightInd w:val="0"/>
        <w:snapToGrid w:val="0"/>
        <w:spacing w:before="93" w:line="580" w:lineRule="exact"/>
        <w:ind w:firstLine="672" w:firstLineChars="210"/>
        <w:rPr>
          <w:rFonts w:eastAsia="仿宋_GB2312" w:asciiTheme="minorEastAsia" w:hAnsiTheme="minorEastAsia"/>
          <w:bCs/>
          <w:sz w:val="32"/>
          <w:szCs w:val="32"/>
        </w:rPr>
      </w:pPr>
      <w:r>
        <w:rPr>
          <w:rFonts w:hint="eastAsia" w:eastAsia="仿宋_GB2312" w:asciiTheme="minorEastAsia" w:hAnsiTheme="minorEastAsia"/>
          <w:bCs/>
          <w:sz w:val="32"/>
          <w:szCs w:val="32"/>
          <w:lang w:val="en-US" w:eastAsia="zh-CN"/>
        </w:rPr>
        <w:t>6.</w:t>
      </w:r>
      <w:r>
        <w:rPr>
          <w:rFonts w:hint="eastAsia" w:eastAsia="仿宋_GB2312" w:asciiTheme="minorEastAsia" w:hAnsiTheme="minorEastAsia"/>
          <w:bCs/>
          <w:sz w:val="32"/>
          <w:szCs w:val="32"/>
        </w:rPr>
        <w:t>承担公路、水路建设市场监管责任。</w:t>
      </w:r>
    </w:p>
    <w:p>
      <w:pPr>
        <w:pStyle w:val="8"/>
        <w:adjustRightInd w:val="0"/>
        <w:snapToGrid w:val="0"/>
        <w:spacing w:before="93" w:line="580" w:lineRule="exact"/>
        <w:ind w:firstLine="672" w:firstLineChars="210"/>
        <w:rPr>
          <w:rFonts w:eastAsia="仿宋_GB2312" w:asciiTheme="minorEastAsia" w:hAnsiTheme="minorEastAsia"/>
          <w:bCs/>
          <w:sz w:val="32"/>
          <w:szCs w:val="32"/>
        </w:rPr>
      </w:pPr>
      <w:r>
        <w:rPr>
          <w:rFonts w:hint="eastAsia" w:eastAsia="仿宋_GB2312" w:asciiTheme="minorEastAsia" w:hAnsiTheme="minorEastAsia"/>
          <w:bCs/>
          <w:sz w:val="32"/>
          <w:szCs w:val="32"/>
          <w:lang w:val="en-US" w:eastAsia="zh-CN"/>
        </w:rPr>
        <w:t>7.</w:t>
      </w:r>
      <w:r>
        <w:rPr>
          <w:rFonts w:hint="eastAsia" w:eastAsia="仿宋_GB2312" w:asciiTheme="minorEastAsia" w:hAnsiTheme="minorEastAsia"/>
          <w:bCs/>
          <w:sz w:val="32"/>
          <w:szCs w:val="32"/>
        </w:rPr>
        <w:t>指导公路、水路行业安全生产和应急管理工作。</w:t>
      </w:r>
    </w:p>
    <w:p>
      <w:pPr>
        <w:pStyle w:val="8"/>
        <w:adjustRightInd w:val="0"/>
        <w:snapToGrid w:val="0"/>
        <w:spacing w:before="93" w:line="580" w:lineRule="exact"/>
        <w:ind w:firstLine="672" w:firstLineChars="210"/>
        <w:rPr>
          <w:rFonts w:eastAsia="仿宋_GB2312" w:asciiTheme="minorEastAsia" w:hAnsiTheme="minorEastAsia"/>
          <w:bCs/>
          <w:sz w:val="32"/>
          <w:szCs w:val="32"/>
        </w:rPr>
      </w:pPr>
      <w:r>
        <w:rPr>
          <w:rFonts w:hint="eastAsia" w:eastAsia="仿宋_GB2312" w:asciiTheme="minorEastAsia" w:hAnsiTheme="minorEastAsia"/>
          <w:bCs/>
          <w:sz w:val="32"/>
          <w:szCs w:val="32"/>
          <w:lang w:val="en-US" w:eastAsia="zh-CN"/>
        </w:rPr>
        <w:t>8.</w:t>
      </w:r>
      <w:r>
        <w:rPr>
          <w:rFonts w:hint="eastAsia" w:eastAsia="仿宋_GB2312" w:asciiTheme="minorEastAsia" w:hAnsiTheme="minorEastAsia"/>
          <w:bCs/>
          <w:sz w:val="32"/>
          <w:szCs w:val="32"/>
        </w:rPr>
        <w:t>制定交通运输科技政策并监督实施，组织科技开发。</w:t>
      </w:r>
    </w:p>
    <w:p>
      <w:pPr>
        <w:pStyle w:val="8"/>
        <w:adjustRightInd w:val="0"/>
        <w:snapToGrid w:val="0"/>
        <w:spacing w:before="93" w:line="580" w:lineRule="exact"/>
        <w:ind w:firstLine="672" w:firstLineChars="210"/>
        <w:rPr>
          <w:rFonts w:eastAsia="仿宋_GB2312" w:asciiTheme="minorEastAsia" w:hAnsiTheme="minorEastAsia"/>
          <w:bCs/>
          <w:sz w:val="32"/>
          <w:szCs w:val="32"/>
        </w:rPr>
      </w:pPr>
      <w:r>
        <w:rPr>
          <w:rFonts w:hint="eastAsia" w:eastAsia="仿宋_GB2312" w:asciiTheme="minorEastAsia" w:hAnsiTheme="minorEastAsia"/>
          <w:bCs/>
          <w:sz w:val="32"/>
          <w:szCs w:val="32"/>
          <w:lang w:val="en-US" w:eastAsia="zh-CN"/>
        </w:rPr>
        <w:t>9.</w:t>
      </w:r>
      <w:r>
        <w:rPr>
          <w:rFonts w:hint="eastAsia" w:eastAsia="仿宋_GB2312" w:asciiTheme="minorEastAsia" w:hAnsiTheme="minorEastAsia"/>
          <w:bCs/>
          <w:sz w:val="32"/>
          <w:szCs w:val="32"/>
        </w:rPr>
        <w:t>负责公路、水路有关涉外工作，开展对经济技术交流与合作，指导全县交通运输行业招商引资和利用外资工作。</w:t>
      </w:r>
    </w:p>
    <w:p>
      <w:pPr>
        <w:pStyle w:val="8"/>
        <w:adjustRightInd w:val="0"/>
        <w:snapToGrid w:val="0"/>
        <w:spacing w:before="93" w:line="580" w:lineRule="exact"/>
        <w:ind w:firstLine="672" w:firstLineChars="210"/>
        <w:rPr>
          <w:rFonts w:eastAsia="仿宋_GB2312" w:asciiTheme="minorEastAsia" w:hAnsiTheme="minorEastAsia"/>
          <w:bCs/>
          <w:sz w:val="32"/>
          <w:szCs w:val="32"/>
        </w:rPr>
      </w:pPr>
      <w:r>
        <w:rPr>
          <w:rFonts w:hint="eastAsia" w:eastAsia="仿宋_GB2312" w:asciiTheme="minorEastAsia" w:hAnsiTheme="minorEastAsia"/>
          <w:bCs/>
          <w:sz w:val="32"/>
          <w:szCs w:val="32"/>
          <w:lang w:val="en-US" w:eastAsia="zh-CN"/>
        </w:rPr>
        <w:t>10.</w:t>
      </w:r>
      <w:r>
        <w:rPr>
          <w:rFonts w:hint="eastAsia" w:eastAsia="仿宋_GB2312" w:asciiTheme="minorEastAsia" w:hAnsiTheme="minorEastAsia"/>
          <w:bCs/>
          <w:sz w:val="32"/>
          <w:szCs w:val="32"/>
        </w:rPr>
        <w:t>指导交通行业的精神文明建设、廉政建设和职工队伍建设；指导交通系统的教育培训。</w:t>
      </w:r>
    </w:p>
    <w:p>
      <w:pPr>
        <w:pStyle w:val="8"/>
        <w:adjustRightInd w:val="0"/>
        <w:snapToGrid w:val="0"/>
        <w:spacing w:before="93" w:line="580" w:lineRule="exact"/>
        <w:ind w:firstLine="672" w:firstLineChars="210"/>
        <w:rPr>
          <w:rFonts w:hint="eastAsia"/>
          <w:lang w:eastAsia="zh-CN"/>
        </w:rPr>
      </w:pPr>
      <w:r>
        <w:rPr>
          <w:rFonts w:hint="eastAsia" w:eastAsia="仿宋_GB2312" w:asciiTheme="minorEastAsia" w:hAnsiTheme="minorEastAsia"/>
          <w:bCs/>
          <w:sz w:val="32"/>
          <w:szCs w:val="32"/>
          <w:lang w:val="en-US" w:eastAsia="zh-CN"/>
        </w:rPr>
        <w:t>11.</w:t>
      </w:r>
      <w:r>
        <w:rPr>
          <w:rFonts w:hint="eastAsia" w:eastAsia="仿宋_GB2312" w:asciiTheme="minorEastAsia" w:hAnsiTheme="minorEastAsia"/>
          <w:bCs/>
          <w:sz w:val="32"/>
          <w:szCs w:val="32"/>
        </w:rPr>
        <w:t>承办县委、县政府和上级主管部门交办的其他事项。</w:t>
      </w:r>
    </w:p>
    <w:p>
      <w:pPr>
        <w:pStyle w:val="6"/>
        <w:rPr>
          <w:rStyle w:val="32"/>
          <w:rFonts w:ascii="Times New Roman" w:hAnsi="Times New Roman"/>
          <w:b w:val="0"/>
          <w:bCs w:val="0"/>
          <w:color w:val="auto"/>
          <w:highlight w:val="none"/>
        </w:rPr>
      </w:pPr>
      <w:bookmarkStart w:id="9" w:name="_Toc15396601"/>
      <w:bookmarkStart w:id="10" w:name="_Toc15377200"/>
      <w:r>
        <w:rPr>
          <w:rFonts w:hint="eastAsia" w:ascii="Times New Roman" w:hAnsi="Times New Roman" w:eastAsia="黑体"/>
          <w:b w:val="0"/>
          <w:color w:val="auto"/>
          <w:highlight w:val="none"/>
        </w:rPr>
        <w:t>二、机</w:t>
      </w:r>
      <w:r>
        <w:rPr>
          <w:rStyle w:val="32"/>
          <w:rFonts w:hint="eastAsia" w:ascii="Times New Roman" w:hAnsi="Times New Roman" w:eastAsia="黑体"/>
          <w:b w:val="0"/>
          <w:bCs w:val="0"/>
          <w:color w:val="auto"/>
          <w:highlight w:val="none"/>
        </w:rPr>
        <w:t>构设置</w:t>
      </w:r>
      <w:bookmarkEnd w:id="9"/>
      <w:bookmarkEnd w:id="10"/>
    </w:p>
    <w:p>
      <w:pPr>
        <w:ind w:firstLine="640" w:firstLineChars="200"/>
        <w:rPr>
          <w:rFonts w:hint="eastAsia" w:ascii="Times New Roman" w:hAnsi="Times New Roman" w:eastAsia="仿宋_GB2312" w:cs="仿宋_GB2312"/>
          <w:color w:val="auto"/>
          <w:kern w:val="0"/>
          <w:sz w:val="32"/>
          <w:szCs w:val="32"/>
          <w:highlight w:val="none"/>
          <w:lang w:val="en-US" w:eastAsia="zh-CN" w:bidi="ar-SA"/>
        </w:rPr>
      </w:pPr>
      <w:r>
        <w:rPr>
          <w:rFonts w:hint="eastAsia" w:ascii="Times New Roman" w:hAnsi="Times New Roman" w:eastAsia="仿宋_GB2312" w:cs="仿宋_GB2312"/>
          <w:color w:val="auto"/>
          <w:kern w:val="0"/>
          <w:sz w:val="32"/>
          <w:szCs w:val="32"/>
          <w:highlight w:val="none"/>
          <w:lang w:val="en-US" w:eastAsia="zh-CN" w:bidi="ar-SA"/>
        </w:rPr>
        <w:t>本单位本年度纳入本套决算编制范围的独立编制机构数共2个，比上年增加0个；独立核算机构数共</w:t>
      </w:r>
      <w:r>
        <w:rPr>
          <w:rFonts w:hint="eastAsia" w:eastAsia="仿宋_GB2312" w:cs="仿宋_GB2312"/>
          <w:color w:val="auto"/>
          <w:kern w:val="0"/>
          <w:sz w:val="32"/>
          <w:szCs w:val="32"/>
          <w:highlight w:val="none"/>
          <w:lang w:val="en-US" w:eastAsia="zh-CN" w:bidi="ar-SA"/>
        </w:rPr>
        <w:t>2</w:t>
      </w:r>
      <w:r>
        <w:rPr>
          <w:rFonts w:hint="eastAsia" w:ascii="Times New Roman" w:hAnsi="Times New Roman" w:eastAsia="仿宋_GB2312" w:cs="仿宋_GB2312"/>
          <w:color w:val="auto"/>
          <w:kern w:val="0"/>
          <w:sz w:val="32"/>
          <w:szCs w:val="32"/>
          <w:highlight w:val="none"/>
          <w:lang w:val="en-US" w:eastAsia="zh-CN" w:bidi="ar-SA"/>
        </w:rPr>
        <w:t>个，比上年增加0个。</w:t>
      </w:r>
    </w:p>
    <w:p>
      <w:pPr>
        <w:widowControl/>
        <w:jc w:val="left"/>
        <w:rPr>
          <w:rFonts w:ascii="Times New Roman" w:hAnsi="Times New Roman" w:eastAsia="仿宋"/>
          <w:color w:val="auto"/>
          <w:kern w:val="0"/>
          <w:sz w:val="32"/>
          <w:szCs w:val="32"/>
          <w:highlight w:val="none"/>
        </w:rPr>
      </w:pPr>
      <w:r>
        <w:rPr>
          <w:rFonts w:ascii="Times New Roman" w:hAnsi="Times New Roman" w:eastAsia="仿宋"/>
          <w:color w:val="auto"/>
          <w:sz w:val="32"/>
          <w:szCs w:val="32"/>
          <w:highlight w:val="none"/>
        </w:rPr>
        <w:br w:type="page"/>
      </w:r>
    </w:p>
    <w:p>
      <w:pPr>
        <w:pStyle w:val="5"/>
        <w:jc w:val="center"/>
        <w:rPr>
          <w:rFonts w:hint="eastAsia" w:ascii="Times New Roman" w:hAnsi="Times New Roman" w:eastAsia="方正小标宋简体" w:cs="方正小标宋简体"/>
          <w:b w:val="0"/>
          <w:color w:val="auto"/>
          <w:highlight w:val="none"/>
        </w:rPr>
      </w:pPr>
      <w:bookmarkStart w:id="11" w:name="_Toc15377204"/>
      <w:bookmarkStart w:id="12" w:name="_Toc1539660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w:t>
      </w:r>
      <w:r>
        <w:rPr>
          <w:rFonts w:hint="eastAsia" w:eastAsia="方正小标宋简体" w:cs="方正小标宋简体"/>
          <w:b w:val="0"/>
          <w:color w:val="auto"/>
          <w:highlight w:val="none"/>
          <w:lang w:val="en-US" w:eastAsia="zh-CN"/>
        </w:rPr>
        <w:t>5</w:t>
      </w:r>
      <w:r>
        <w:rPr>
          <w:rFonts w:hint="eastAsia" w:ascii="Times New Roman" w:hAnsi="Times New Roman" w:eastAsia="方正小标宋简体" w:cs="方正小标宋简体"/>
          <w:b w:val="0"/>
          <w:color w:val="auto"/>
          <w:highlight w:val="none"/>
          <w:lang w:val="en-US" w:eastAsia="zh-CN"/>
        </w:rPr>
        <w:t>年度</w:t>
      </w:r>
      <w:r>
        <w:rPr>
          <w:rFonts w:hint="eastAsia" w:ascii="Times New Roman" w:hAnsi="Times New Roman" w:eastAsia="方正小标宋简体" w:cs="方正小标宋简体"/>
          <w:b w:val="0"/>
          <w:color w:val="auto"/>
          <w:highlight w:val="none"/>
        </w:rPr>
        <w:t>部门决算情况说明</w:t>
      </w:r>
      <w:bookmarkEnd w:id="11"/>
      <w:bookmarkEnd w:id="12"/>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Style w:val="32"/>
          <w:rFonts w:hint="eastAsia" w:ascii="Times New Roman" w:hAnsi="Times New Roman" w:eastAsia="黑体"/>
          <w:b w:val="0"/>
          <w:color w:val="auto"/>
          <w:highlight w:val="none"/>
        </w:rPr>
      </w:pPr>
      <w:bookmarkStart w:id="13" w:name="_Toc15377205"/>
      <w:bookmarkStart w:id="14"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2"/>
          <w:rFonts w:hint="eastAsia" w:ascii="Times New Roman" w:hAnsi="Times New Roman" w:eastAsia="黑体"/>
          <w:b w:val="0"/>
          <w:color w:val="auto"/>
          <w:highlight w:val="none"/>
        </w:rPr>
        <w:t>入支出决算总体情况说明</w:t>
      </w:r>
      <w:bookmarkEnd w:id="13"/>
      <w:bookmarkEnd w:id="14"/>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5</w:t>
      </w:r>
      <w:r>
        <w:rPr>
          <w:rFonts w:hint="eastAsia" w:ascii="Times New Roman" w:hAnsi="Times New Roman" w:eastAsia="仿宋_GB2312" w:cs="仿宋_GB2312"/>
          <w:color w:val="auto"/>
          <w:sz w:val="32"/>
          <w:szCs w:val="32"/>
          <w:highlight w:val="none"/>
          <w:lang w:eastAsia="zh-CN"/>
        </w:rPr>
        <w:t>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eastAsia="仿宋_GB2312" w:cs="仿宋_GB2312"/>
          <w:color w:val="auto"/>
          <w:sz w:val="32"/>
          <w:szCs w:val="32"/>
          <w:highlight w:val="none"/>
          <w:lang w:val="en-US" w:eastAsia="zh-CN"/>
        </w:rPr>
        <w:t>10452.89</w:t>
      </w:r>
      <w:r>
        <w:rPr>
          <w:rFonts w:hint="eastAsia" w:ascii="Times New Roman" w:hAnsi="Times New Roman" w:eastAsia="仿宋_GB2312" w:cs="仿宋_GB2312"/>
          <w:color w:val="auto"/>
          <w:sz w:val="32"/>
          <w:szCs w:val="32"/>
          <w:highlight w:val="none"/>
        </w:rPr>
        <w:t>万元。与</w:t>
      </w: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eastAsia="仿宋_GB2312" w:cs="仿宋_GB2312"/>
          <w:color w:val="auto"/>
          <w:sz w:val="32"/>
          <w:szCs w:val="32"/>
          <w:highlight w:val="none"/>
          <w:lang w:val="en-US" w:eastAsia="zh-CN"/>
        </w:rPr>
        <w:t>增加8886.34</w:t>
      </w:r>
      <w:r>
        <w:rPr>
          <w:rFonts w:hint="eastAsia" w:ascii="Times New Roman" w:hAnsi="Times New Roman" w:eastAsia="仿宋_GB2312" w:cs="仿宋_GB2312"/>
          <w:color w:val="auto"/>
          <w:sz w:val="32"/>
          <w:szCs w:val="32"/>
          <w:highlight w:val="none"/>
        </w:rPr>
        <w:t>万元，</w:t>
      </w:r>
      <w:r>
        <w:rPr>
          <w:rFonts w:hint="eastAsia" w:eastAsia="仿宋_GB2312" w:cs="仿宋_GB2312"/>
          <w:color w:val="auto"/>
          <w:sz w:val="32"/>
          <w:szCs w:val="32"/>
          <w:highlight w:val="none"/>
          <w:lang w:val="en-US" w:eastAsia="zh-CN"/>
        </w:rPr>
        <w:t>上升73.93</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2025年项目支付的专项经费增加。</w:t>
      </w:r>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outlineLvl w:val="1"/>
        <w:rPr>
          <w:rFonts w:hint="eastAsia" w:eastAsia="仿宋_GB2312" w:cs="仿宋_GB2312"/>
          <w:color w:val="auto"/>
          <w:sz w:val="32"/>
          <w:szCs w:val="32"/>
          <w:highlight w:val="none"/>
          <w:lang w:val="en-US" w:eastAsia="zh-CN"/>
        </w:rPr>
      </w:pPr>
      <w:r>
        <w:rPr>
          <w:rFonts w:hint="eastAsia" w:ascii="宋体" w:hAnsi="宋体" w:eastAsia="宋体" w:cs="宋体"/>
          <w:kern w:val="0"/>
          <w:sz w:val="24"/>
          <w:szCs w:val="24"/>
          <w:shd w:val="clear" w:fill="FFFFFF"/>
          <w:lang w:val="en-US" w:eastAsia="zh-CN" w:bidi="ar"/>
        </w:rPr>
        <w:drawing>
          <wp:anchor distT="0" distB="0" distL="114300" distR="114300" simplePos="0" relativeHeight="251659264" behindDoc="0" locked="0" layoutInCell="1" allowOverlap="1">
            <wp:simplePos x="0" y="0"/>
            <wp:positionH relativeFrom="column">
              <wp:posOffset>309245</wp:posOffset>
            </wp:positionH>
            <wp:positionV relativeFrom="paragraph">
              <wp:posOffset>109220</wp:posOffset>
            </wp:positionV>
            <wp:extent cx="4222750" cy="2839085"/>
            <wp:effectExtent l="4445" t="4445" r="20955" b="13970"/>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drawing>
          <wp:inline distT="0" distB="0" distL="114300" distR="114300">
            <wp:extent cx="4572000" cy="2743200"/>
            <wp:effectExtent l="4445" t="4445" r="14605" b="14605"/>
            <wp:docPr id="1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eastAsia="仿宋_GB2312" w:cs="仿宋_GB2312"/>
          <w:color w:val="auto"/>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eastAsia" w:ascii="Times New Roman" w:hAnsi="Times New Roman" w:eastAsia="黑体"/>
          <w:color w:val="auto"/>
          <w:sz w:val="32"/>
          <w:szCs w:val="32"/>
          <w:highlight w:val="none"/>
          <w:lang w:eastAsia="zh-CN"/>
        </w:rPr>
      </w:pPr>
      <w:bookmarkStart w:id="15" w:name="_Toc15377206"/>
      <w:bookmarkStart w:id="16" w:name="_Toc15396604"/>
      <w:r>
        <w:rPr>
          <w:rFonts w:hint="eastAsia" w:ascii="Times New Roman" w:hAnsi="Times New Roman" w:eastAsia="黑体"/>
          <w:color w:val="auto"/>
          <w:sz w:val="32"/>
          <w:szCs w:val="32"/>
          <w:highlight w:val="none"/>
          <w:lang w:eastAsia="zh-CN"/>
        </w:rPr>
        <w:t>二、收入决算情况说明</w:t>
      </w:r>
      <w:bookmarkEnd w:id="15"/>
      <w:bookmarkEnd w:id="16"/>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年度本年收入合计</w:t>
      </w:r>
      <w:r>
        <w:rPr>
          <w:rFonts w:hint="eastAsia" w:eastAsia="仿宋_GB2312" w:cs="仿宋_GB2312"/>
          <w:color w:val="auto"/>
          <w:sz w:val="32"/>
          <w:szCs w:val="32"/>
          <w:highlight w:val="none"/>
          <w:lang w:val="en-US" w:eastAsia="zh-CN"/>
        </w:rPr>
        <w:t>10452.89</w:t>
      </w:r>
      <w:r>
        <w:rPr>
          <w:rFonts w:hint="eastAsia" w:ascii="仿宋_GB2312" w:hAnsi="仿宋_GB2312" w:eastAsia="仿宋_GB2312" w:cs="仿宋_GB2312"/>
          <w:sz w:val="32"/>
          <w:szCs w:val="32"/>
        </w:rPr>
        <w:t>，其中：一般公共预算财政拨款收入</w:t>
      </w:r>
      <w:r>
        <w:rPr>
          <w:rFonts w:hint="eastAsia" w:eastAsia="仿宋_GB2312" w:cs="仿宋_GB2312"/>
          <w:color w:val="auto"/>
          <w:sz w:val="32"/>
          <w:szCs w:val="32"/>
          <w:highlight w:val="none"/>
          <w:lang w:val="en-US" w:eastAsia="zh-CN"/>
        </w:rPr>
        <w:t>10447.89</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99.95</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非财政拨款收入5万元，占0.05%</w:t>
      </w:r>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p>
    <w:p>
      <w:pPr>
        <w:rPr>
          <w:rFonts w:hint="eastAsia" w:ascii="Times New Roman" w:hAnsi="Times New Roman" w:eastAsia="仿宋_GB2312" w:cs="仿宋_GB2312"/>
          <w:color w:val="auto"/>
          <w:sz w:val="32"/>
          <w:szCs w:val="32"/>
          <w:highlight w:val="none"/>
          <w:lang w:eastAsia="zh-CN"/>
        </w:rPr>
      </w:pPr>
    </w:p>
    <w:p>
      <w:pPr>
        <w:ind w:firstLine="800" w:firstLineChars="250"/>
        <w:rPr>
          <w:rFonts w:hint="eastAsia" w:ascii="Times New Roman" w:hAnsi="Times New Roman" w:eastAsia="仿宋_GB2312" w:cs="仿宋_GB2312"/>
          <w:color w:val="auto"/>
          <w:sz w:val="32"/>
          <w:szCs w:val="32"/>
          <w:highlight w:val="none"/>
          <w:lang w:eastAsia="zh-CN"/>
        </w:rPr>
      </w:pP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仿宋" w:hAnsi="仿宋" w:eastAsia="仿宋" w:cstheme="minorBidi"/>
          <w:color w:val="000000"/>
          <w:kern w:val="2"/>
          <w:sz w:val="32"/>
          <w:szCs w:val="32"/>
          <w:lang w:val="en-US" w:eastAsia="zh-CN" w:bidi="ar-SA"/>
        </w:rPr>
        <w:drawing>
          <wp:anchor distT="0" distB="0" distL="114300" distR="114300" simplePos="0" relativeHeight="251661312" behindDoc="0" locked="0" layoutInCell="1" allowOverlap="1">
            <wp:simplePos x="0" y="0"/>
            <wp:positionH relativeFrom="column">
              <wp:posOffset>512445</wp:posOffset>
            </wp:positionH>
            <wp:positionV relativeFrom="paragraph">
              <wp:posOffset>93980</wp:posOffset>
            </wp:positionV>
            <wp:extent cx="3315970" cy="1978660"/>
            <wp:effectExtent l="4445" t="4445" r="13335" b="17145"/>
            <wp:wrapTopAndBottom/>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Style w:val="32"/>
          <w:rFonts w:hint="eastAsia" w:ascii="Times New Roman" w:hAnsi="Times New Roman" w:eastAsia="黑体"/>
          <w:b w:val="0"/>
          <w:color w:val="auto"/>
          <w:highlight w:val="none"/>
        </w:rPr>
      </w:pPr>
      <w:bookmarkStart w:id="17" w:name="_Toc15396605"/>
      <w:bookmarkStart w:id="18"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2"/>
          <w:rFonts w:hint="eastAsia" w:ascii="Times New Roman" w:hAnsi="Times New Roman" w:eastAsia="黑体"/>
          <w:b w:val="0"/>
          <w:color w:val="auto"/>
          <w:highlight w:val="none"/>
        </w:rPr>
        <w:t>出决算情况说明</w:t>
      </w:r>
      <w:bookmarkEnd w:id="17"/>
      <w:bookmarkEnd w:id="18"/>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年度本年支出合计</w:t>
      </w:r>
      <w:r>
        <w:rPr>
          <w:rFonts w:hint="eastAsia" w:ascii="仿宋_GB2312" w:hAnsi="仿宋_GB2312" w:eastAsia="仿宋_GB2312" w:cs="仿宋_GB2312"/>
          <w:sz w:val="32"/>
          <w:szCs w:val="32"/>
          <w:lang w:val="en-US" w:eastAsia="zh-CN"/>
        </w:rPr>
        <w:t>10452.89</w:t>
      </w:r>
      <w:r>
        <w:rPr>
          <w:rFonts w:hint="eastAsia" w:ascii="仿宋_GB2312" w:hAnsi="仿宋_GB2312" w:eastAsia="仿宋_GB2312" w:cs="仿宋_GB2312"/>
          <w:color w:val="auto"/>
          <w:sz w:val="32"/>
          <w:szCs w:val="32"/>
          <w:highlight w:val="none"/>
          <w:lang w:eastAsia="zh-CN"/>
        </w:rPr>
        <w:t>万元，其中：基本支出</w:t>
      </w:r>
      <w:r>
        <w:rPr>
          <w:rFonts w:hint="eastAsia" w:ascii="仿宋_GB2312" w:hAnsi="仿宋_GB2312" w:eastAsia="仿宋_GB2312" w:cs="仿宋_GB2312"/>
          <w:color w:val="auto"/>
          <w:sz w:val="32"/>
          <w:szCs w:val="32"/>
          <w:highlight w:val="none"/>
          <w:lang w:val="en-US" w:eastAsia="zh-CN"/>
        </w:rPr>
        <w:t>1719</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6.45</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lang w:val="en-US" w:eastAsia="zh-CN"/>
        </w:rPr>
        <w:t>8733.9</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val="en-US" w:eastAsia="zh-CN"/>
        </w:rPr>
        <w:t>3.55</w:t>
      </w:r>
      <w:r>
        <w:rPr>
          <w:rFonts w:hint="eastAsia" w:ascii="仿宋_GB2312" w:hAnsi="仿宋_GB2312" w:eastAsia="仿宋_GB2312" w:cs="仿宋_GB2312"/>
          <w:color w:val="auto"/>
          <w:sz w:val="32"/>
          <w:szCs w:val="32"/>
          <w:highlight w:val="none"/>
          <w:lang w:eastAsia="zh-CN"/>
        </w:rPr>
        <w:t>%。</w:t>
      </w:r>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left"/>
        <w:textAlignment w:val="auto"/>
        <w:outlineLvl w:val="1"/>
        <w:rPr>
          <w:rFonts w:hint="eastAsia" w:ascii="仿宋_GB2312" w:hAnsi="仿宋_GB2312" w:eastAsia="仿宋_GB2312" w:cs="仿宋_GB2312"/>
          <w:color w:val="auto"/>
          <w:sz w:val="32"/>
          <w:szCs w:val="32"/>
          <w:highlight w:val="none"/>
          <w:lang w:eastAsia="zh-CN"/>
        </w:rPr>
      </w:pPr>
      <w:r>
        <w:rPr>
          <w:rFonts w:hint="eastAsia" w:ascii="宋体" w:hAnsi="宋体" w:eastAsia="宋体" w:cs="宋体"/>
          <w:kern w:val="0"/>
          <w:sz w:val="24"/>
          <w:szCs w:val="24"/>
          <w:shd w:val="clear" w:fill="FFFFFF"/>
          <w:lang w:val="en-US" w:eastAsia="zh-CN" w:bidi="ar"/>
        </w:rPr>
        <w:drawing>
          <wp:anchor distT="0" distB="0" distL="114300" distR="114300" simplePos="0" relativeHeight="251660288" behindDoc="0" locked="0" layoutInCell="1" allowOverlap="1">
            <wp:simplePos x="0" y="0"/>
            <wp:positionH relativeFrom="column">
              <wp:posOffset>261620</wp:posOffset>
            </wp:positionH>
            <wp:positionV relativeFrom="paragraph">
              <wp:posOffset>356870</wp:posOffset>
            </wp:positionV>
            <wp:extent cx="3975100" cy="2248535"/>
            <wp:effectExtent l="4445" t="4445" r="20955" b="13970"/>
            <wp:wrapTopAndBottom/>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pStyle w:val="4"/>
        <w:rPr>
          <w:rFonts w:hint="eastAsia" w:ascii="Times New Roman" w:hAnsi="Times New Roman" w:eastAsia="仿宋_GB2312" w:cs="仿宋_GB2312"/>
          <w:color w:val="auto"/>
          <w:sz w:val="32"/>
          <w:szCs w:val="32"/>
          <w:highlight w:val="none"/>
          <w:lang w:eastAsia="zh-CN"/>
        </w:rPr>
      </w:pP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pPr>
        <w:ind w:firstLine="800" w:firstLineChars="250"/>
        <w:rPr>
          <w:rFonts w:hint="eastAsia" w:ascii="Times New Roman" w:hAnsi="Times New Roman" w:eastAsia="仿宋_GB2312" w:cs="仿宋_GB2312"/>
          <w:color w:val="auto"/>
          <w:sz w:val="32"/>
          <w:szCs w:val="32"/>
          <w:highlight w:val="none"/>
          <w:lang w:eastAsia="zh-CN"/>
        </w:rPr>
      </w:pPr>
    </w:p>
    <w:p>
      <w:pPr>
        <w:pStyle w:val="2"/>
        <w:rPr>
          <w:rFonts w:hint="eastAsia"/>
          <w:lang w:eastAsia="zh-CN"/>
        </w:rPr>
      </w:pPr>
    </w:p>
    <w:p>
      <w:pPr>
        <w:spacing w:line="600" w:lineRule="exact"/>
        <w:outlineLvl w:val="1"/>
        <w:rPr>
          <w:rStyle w:val="32"/>
          <w:rFonts w:ascii="Times New Roman" w:hAnsi="Times New Roman" w:eastAsia="黑体"/>
          <w:b w:val="0"/>
          <w:color w:val="auto"/>
          <w:highlight w:val="none"/>
        </w:rPr>
      </w:pPr>
      <w:bookmarkStart w:id="19" w:name="_Toc15377208"/>
      <w:bookmarkStart w:id="20" w:name="_Toc15396606"/>
      <w:r>
        <w:rPr>
          <w:rFonts w:hint="eastAsia" w:ascii="Times New Roman" w:hAnsi="Times New Roman" w:eastAsia="黑体"/>
          <w:color w:val="auto"/>
          <w:sz w:val="32"/>
          <w:szCs w:val="32"/>
          <w:highlight w:val="none"/>
        </w:rPr>
        <w:t>四、财</w:t>
      </w:r>
      <w:r>
        <w:rPr>
          <w:rStyle w:val="32"/>
          <w:rFonts w:hint="eastAsia" w:ascii="Times New Roman" w:hAnsi="Times New Roman" w:eastAsia="黑体"/>
          <w:b w:val="0"/>
          <w:color w:val="auto"/>
          <w:highlight w:val="none"/>
        </w:rPr>
        <w:t>政拨款收入支出决算总体情况说明</w:t>
      </w:r>
      <w:bookmarkEnd w:id="19"/>
      <w:bookmarkEnd w:id="20"/>
    </w:p>
    <w:p>
      <w:pPr>
        <w:pStyle w:val="30"/>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年度财政拨款收入、支出总计均为</w:t>
      </w:r>
      <w:r>
        <w:rPr>
          <w:rFonts w:hint="eastAsia" w:ascii="仿宋_GB2312" w:hAnsi="仿宋_GB2312" w:eastAsia="仿宋_GB2312" w:cs="仿宋_GB2312"/>
          <w:sz w:val="32"/>
          <w:szCs w:val="32"/>
          <w:lang w:val="en-US" w:eastAsia="zh-CN"/>
        </w:rPr>
        <w:t>10447.89</w:t>
      </w:r>
      <w:r>
        <w:rPr>
          <w:rFonts w:hint="eastAsia" w:ascii="Times New Roman" w:hAnsi="Times New Roman" w:eastAsia="仿宋_GB2312" w:cs="仿宋_GB2312"/>
          <w:color w:val="auto"/>
          <w:kern w:val="2"/>
          <w:sz w:val="32"/>
          <w:szCs w:val="32"/>
          <w:highlight w:val="none"/>
          <w:lang w:val="en-US" w:eastAsia="zh-CN" w:bidi="ar-SA"/>
        </w:rPr>
        <w:t>万元。与202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年度相比，财政拨款收入</w:t>
      </w:r>
      <w:r>
        <w:rPr>
          <w:rFonts w:hint="eastAsia" w:eastAsia="仿宋_GB2312" w:cs="仿宋_GB2312"/>
          <w:color w:val="auto"/>
          <w:kern w:val="2"/>
          <w:sz w:val="32"/>
          <w:szCs w:val="32"/>
          <w:highlight w:val="none"/>
          <w:lang w:val="en-US" w:eastAsia="zh-CN" w:bidi="ar-SA"/>
        </w:rPr>
        <w:t>增加4438.17万元</w:t>
      </w:r>
      <w:r>
        <w:rPr>
          <w:rFonts w:hint="eastAsia" w:ascii="Times New Roman" w:hAnsi="Times New Roman" w:eastAsia="仿宋_GB2312" w:cs="仿宋_GB2312"/>
          <w:color w:val="auto"/>
          <w:kern w:val="2"/>
          <w:sz w:val="32"/>
          <w:szCs w:val="32"/>
          <w:highlight w:val="none"/>
          <w:lang w:val="en-US" w:eastAsia="zh-CN" w:bidi="ar-SA"/>
        </w:rPr>
        <w:t>、支出</w:t>
      </w:r>
      <w:r>
        <w:rPr>
          <w:rFonts w:hint="eastAsia" w:eastAsia="仿宋_GB2312" w:cs="仿宋_GB2312"/>
          <w:color w:val="auto"/>
          <w:kern w:val="2"/>
          <w:sz w:val="32"/>
          <w:szCs w:val="32"/>
          <w:highlight w:val="none"/>
          <w:lang w:val="en-US" w:eastAsia="zh-CN" w:bidi="ar-SA"/>
        </w:rPr>
        <w:t>增加4438.17</w:t>
      </w:r>
      <w:r>
        <w:rPr>
          <w:rFonts w:hint="eastAsia" w:ascii="Times New Roman" w:hAnsi="Times New Roman" w:eastAsia="仿宋_GB2312" w:cs="仿宋_GB2312"/>
          <w:color w:val="auto"/>
          <w:sz w:val="32"/>
          <w:szCs w:val="32"/>
          <w:highlight w:val="none"/>
        </w:rPr>
        <w:t>万元，</w:t>
      </w:r>
      <w:r>
        <w:rPr>
          <w:rFonts w:hint="eastAsia" w:eastAsia="仿宋_GB2312" w:cs="仿宋_GB2312"/>
          <w:color w:val="auto"/>
          <w:sz w:val="32"/>
          <w:szCs w:val="32"/>
          <w:highlight w:val="none"/>
          <w:lang w:val="en-US" w:eastAsia="zh-CN"/>
        </w:rPr>
        <w:t>上升73.85</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kern w:val="2"/>
          <w:sz w:val="32"/>
          <w:szCs w:val="32"/>
          <w:highlight w:val="none"/>
          <w:lang w:val="en-US" w:eastAsia="zh-CN" w:bidi="ar-SA"/>
        </w:rPr>
        <w:t>主</w:t>
      </w:r>
      <w:bookmarkStart w:id="63" w:name="_GoBack"/>
      <w:bookmarkEnd w:id="63"/>
      <w:r>
        <w:rPr>
          <w:rFonts w:hint="eastAsia" w:ascii="Times New Roman" w:hAnsi="Times New Roman" w:eastAsia="仿宋_GB2312" w:cs="仿宋_GB2312"/>
          <w:color w:val="auto"/>
          <w:kern w:val="2"/>
          <w:sz w:val="32"/>
          <w:szCs w:val="32"/>
          <w:highlight w:val="none"/>
          <w:lang w:val="en-US" w:eastAsia="zh-CN" w:bidi="ar-SA"/>
        </w:rPr>
        <w:t>要变动原因是</w:t>
      </w:r>
      <w:r>
        <w:rPr>
          <w:rFonts w:hint="eastAsia" w:eastAsia="仿宋_GB2312" w:cs="仿宋_GB2312"/>
          <w:color w:val="auto"/>
          <w:sz w:val="32"/>
          <w:szCs w:val="32"/>
          <w:highlight w:val="none"/>
          <w:lang w:val="en-US" w:eastAsia="zh-CN"/>
        </w:rPr>
        <w:t>2025年项目支付的专项经费增加。</w:t>
      </w:r>
    </w:p>
    <w:p>
      <w:p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ascii="宋体" w:hAnsi="宋体" w:eastAsia="宋体" w:cs="宋体"/>
          <w:kern w:val="0"/>
          <w:sz w:val="24"/>
          <w:szCs w:val="24"/>
          <w:shd w:val="clear" w:fill="FFFFFF"/>
          <w:lang w:val="en-US" w:eastAsia="zh-CN" w:bidi="ar"/>
        </w:rPr>
        <w:drawing>
          <wp:anchor distT="0" distB="0" distL="114300" distR="114300" simplePos="0" relativeHeight="251662336" behindDoc="0" locked="0" layoutInCell="1" allowOverlap="1">
            <wp:simplePos x="0" y="0"/>
            <wp:positionH relativeFrom="column">
              <wp:posOffset>271145</wp:posOffset>
            </wp:positionH>
            <wp:positionV relativeFrom="paragraph">
              <wp:posOffset>223520</wp:posOffset>
            </wp:positionV>
            <wp:extent cx="4222750" cy="2839085"/>
            <wp:effectExtent l="4445" t="4445" r="20955" b="13970"/>
            <wp:wrapTopAndBottom/>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spacing w:line="600" w:lineRule="exact"/>
        <w:outlineLvl w:val="1"/>
        <w:rPr>
          <w:rStyle w:val="32"/>
          <w:rFonts w:ascii="Times New Roman" w:hAnsi="Times New Roman" w:eastAsia="黑体"/>
          <w:b w:val="0"/>
          <w:color w:val="auto"/>
          <w:highlight w:val="none"/>
        </w:rPr>
      </w:pPr>
      <w:bookmarkStart w:id="21" w:name="_Toc15396607"/>
      <w:bookmarkStart w:id="22"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2"/>
          <w:rFonts w:hint="eastAsia" w:ascii="Times New Roman" w:hAnsi="Times New Roman" w:eastAsia="黑体"/>
          <w:b w:val="0"/>
          <w:color w:val="auto"/>
          <w:highlight w:val="none"/>
        </w:rPr>
        <w:t>般公共预算财政拨款支出决算情况说明</w:t>
      </w:r>
      <w:bookmarkEnd w:id="21"/>
      <w:bookmarkEnd w:id="22"/>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3"/>
    </w:p>
    <w:p>
      <w:pPr>
        <w:spacing w:line="600" w:lineRule="exact"/>
        <w:ind w:firstLine="640"/>
        <w:rPr>
          <w:rFonts w:hint="eastAsia" w:eastAsia="仿宋_GB2312" w:cs="仿宋_GB2312"/>
          <w:color w:val="auto"/>
          <w:sz w:val="32"/>
          <w:szCs w:val="32"/>
          <w:highlight w:val="none"/>
          <w:lang w:val="en-US" w:eastAsia="zh-CN"/>
        </w:rPr>
      </w:pPr>
      <w:r>
        <w:rPr>
          <w:rFonts w:hint="eastAsia" w:ascii="仿宋_GB2312" w:hAnsi="仿宋_GB2312" w:eastAsia="仿宋_GB2312" w:cs="仿宋_GB2312"/>
          <w:color w:val="auto"/>
          <w:kern w:val="2"/>
          <w:sz w:val="32"/>
          <w:szCs w:val="32"/>
          <w:highlight w:val="none"/>
          <w:lang w:val="en-US" w:eastAsia="zh-CN" w:bidi="ar-SA"/>
        </w:rPr>
        <w:t>2025年度一般公共预算财政拨款支出10447.89万元，占本年支出合计的99.95%。与2024年度相比，一般公共预算财政拨款支出</w:t>
      </w:r>
      <w:r>
        <w:rPr>
          <w:rFonts w:hint="eastAsia" w:ascii="Times New Roman" w:hAnsi="Times New Roman" w:eastAsia="仿宋_GB2312" w:cs="仿宋_GB2312"/>
          <w:color w:val="auto"/>
          <w:kern w:val="2"/>
          <w:sz w:val="32"/>
          <w:szCs w:val="32"/>
          <w:highlight w:val="none"/>
          <w:lang w:val="en-US" w:eastAsia="zh-CN" w:bidi="ar-SA"/>
        </w:rPr>
        <w:t>总计</w:t>
      </w:r>
      <w:r>
        <w:rPr>
          <w:rFonts w:hint="eastAsia" w:eastAsia="仿宋_GB2312" w:cs="仿宋_GB2312"/>
          <w:color w:val="auto"/>
          <w:kern w:val="2"/>
          <w:sz w:val="32"/>
          <w:szCs w:val="32"/>
          <w:highlight w:val="none"/>
          <w:lang w:val="en-US" w:eastAsia="zh-CN" w:bidi="ar-SA"/>
        </w:rPr>
        <w:t>增加4438.17</w:t>
      </w:r>
      <w:r>
        <w:rPr>
          <w:rFonts w:hint="eastAsia" w:ascii="Times New Roman" w:hAnsi="Times New Roman" w:eastAsia="仿宋_GB2312" w:cs="仿宋_GB2312"/>
          <w:color w:val="auto"/>
          <w:sz w:val="32"/>
          <w:szCs w:val="32"/>
          <w:highlight w:val="none"/>
        </w:rPr>
        <w:t>万元，</w:t>
      </w:r>
      <w:r>
        <w:rPr>
          <w:rFonts w:hint="eastAsia" w:eastAsia="仿宋_GB2312" w:cs="仿宋_GB2312"/>
          <w:color w:val="auto"/>
          <w:sz w:val="32"/>
          <w:szCs w:val="32"/>
          <w:highlight w:val="none"/>
          <w:lang w:val="en-US" w:eastAsia="zh-CN"/>
        </w:rPr>
        <w:t>上升73.85</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sz w:val="32"/>
          <w:szCs w:val="32"/>
          <w:highlight w:val="none"/>
          <w:lang w:val="en-US" w:eastAsia="zh-CN"/>
        </w:rPr>
        <w:t>2025年项目支付的专项经费增加。</w:t>
      </w:r>
    </w:p>
    <w:p>
      <w:pPr>
        <w:spacing w:line="600" w:lineRule="exact"/>
        <w:ind w:firstLine="640"/>
        <w:rPr>
          <w:rFonts w:hint="eastAsia" w:eastAsia="仿宋_GB2312" w:cs="仿宋_GB2312"/>
          <w:color w:val="auto"/>
          <w:sz w:val="32"/>
          <w:szCs w:val="32"/>
          <w:highlight w:val="none"/>
          <w:lang w:val="en-US" w:eastAsia="zh-CN"/>
        </w:rPr>
      </w:pPr>
    </w:p>
    <w:p>
      <w:pPr>
        <w:spacing w:line="600" w:lineRule="exact"/>
        <w:rPr>
          <w:rFonts w:hint="eastAsia" w:eastAsia="仿宋_GB2312" w:cs="仿宋_GB2312"/>
          <w:color w:val="auto"/>
          <w:sz w:val="32"/>
          <w:szCs w:val="32"/>
          <w:highlight w:val="none"/>
          <w:lang w:val="en-US" w:eastAsia="zh-CN"/>
        </w:rPr>
      </w:pPr>
      <w:r>
        <w:rPr>
          <w:rFonts w:hint="eastAsia" w:eastAsia="仿宋_GB2312" w:cs="仿宋_GB2312"/>
          <w:color w:val="auto"/>
          <w:sz w:val="32"/>
          <w:szCs w:val="32"/>
          <w:highlight w:val="none"/>
          <w:lang w:val="en-US" w:eastAsia="zh-CN"/>
        </w:rPr>
        <w:drawing>
          <wp:anchor distT="0" distB="0" distL="114300" distR="114300" simplePos="0" relativeHeight="251663360" behindDoc="0" locked="0" layoutInCell="1" allowOverlap="1">
            <wp:simplePos x="0" y="0"/>
            <wp:positionH relativeFrom="column">
              <wp:posOffset>410845</wp:posOffset>
            </wp:positionH>
            <wp:positionV relativeFrom="paragraph">
              <wp:posOffset>233045</wp:posOffset>
            </wp:positionV>
            <wp:extent cx="3975100" cy="2781300"/>
            <wp:effectExtent l="4445" t="4445" r="20955" b="14605"/>
            <wp:wrapTopAndBottom/>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4"/>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w:t>
      </w:r>
      <w:r>
        <w:rPr>
          <w:rFonts w:hint="eastAsia" w:ascii="仿宋_GB2312" w:hAnsi="仿宋_GB2312" w:eastAsia="仿宋_GB2312" w:cs="仿宋_GB2312"/>
          <w:color w:val="auto"/>
          <w:kern w:val="2"/>
          <w:sz w:val="32"/>
          <w:szCs w:val="32"/>
          <w:highlight w:val="none"/>
          <w:lang w:val="en-US" w:eastAsia="zh-CN" w:bidi="ar-SA"/>
        </w:rPr>
        <w:t>10447.89万元</w:t>
      </w:r>
      <w:r>
        <w:rPr>
          <w:rFonts w:hint="eastAsia" w:ascii="Times New Roman" w:hAnsi="Times New Roman" w:eastAsia="仿宋_GB2312" w:cs="仿宋_GB2312"/>
          <w:color w:val="auto"/>
          <w:kern w:val="2"/>
          <w:sz w:val="32"/>
          <w:szCs w:val="32"/>
          <w:highlight w:val="none"/>
          <w:lang w:val="en-US" w:eastAsia="zh-CN" w:bidi="ar-SA"/>
        </w:rPr>
        <w:t>，主要用于以下方面</w:t>
      </w:r>
      <w:r>
        <w:rPr>
          <w:rFonts w:hint="eastAsia" w:eastAsia="仿宋_GB2312" w:cs="仿宋_GB2312"/>
          <w:color w:val="auto"/>
          <w:kern w:val="2"/>
          <w:sz w:val="32"/>
          <w:szCs w:val="32"/>
          <w:highlight w:val="none"/>
          <w:lang w:val="en-US" w:eastAsia="zh-CN" w:bidi="ar-SA"/>
        </w:rPr>
        <w:t>：农林水支出5497.05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52.61</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交通运输支出3141.94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30.07</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商业服务业等</w:t>
      </w:r>
      <w:r>
        <w:rPr>
          <w:rFonts w:hint="eastAsia" w:ascii="Times New Roman" w:hAnsi="Times New Roman" w:eastAsia="仿宋_GB2312" w:cs="仿宋_GB2312"/>
          <w:color w:val="auto"/>
          <w:kern w:val="2"/>
          <w:sz w:val="32"/>
          <w:szCs w:val="32"/>
          <w:highlight w:val="none"/>
          <w:lang w:val="en-US" w:eastAsia="zh-CN" w:bidi="ar-SA"/>
        </w:rPr>
        <w:t>支出</w:t>
      </w:r>
      <w:r>
        <w:rPr>
          <w:rFonts w:hint="eastAsia" w:eastAsia="仿宋_GB2312" w:cs="仿宋_GB2312"/>
          <w:color w:val="auto"/>
          <w:kern w:val="2"/>
          <w:sz w:val="32"/>
          <w:szCs w:val="32"/>
          <w:highlight w:val="none"/>
          <w:lang w:val="en-US" w:eastAsia="zh-CN" w:bidi="ar-SA"/>
        </w:rPr>
        <w:t>4.5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0.4</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238.97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2.29</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91.68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0.88</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自然资源海洋气象等支出1349万元，占12.91%；</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124.74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1.19</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pStyle w:val="2"/>
        <w:rPr>
          <w:rFonts w:hint="eastAsia" w:ascii="Times New Roman" w:hAnsi="Times New Roman" w:eastAsia="仿宋_GB2312" w:cs="仿宋_GB2312"/>
          <w:b/>
          <w:bCs/>
          <w:color w:val="auto"/>
          <w:kern w:val="2"/>
          <w:sz w:val="32"/>
          <w:szCs w:val="32"/>
          <w:highlight w:val="none"/>
          <w:lang w:val="en-US" w:eastAsia="zh-CN" w:bidi="ar-SA"/>
        </w:rPr>
      </w:pPr>
    </w:p>
    <w:p>
      <w:pPr>
        <w:pStyle w:val="4"/>
        <w:rPr>
          <w:rFonts w:hint="eastAsia" w:ascii="Times New Roman" w:hAnsi="Times New Roman" w:eastAsia="仿宋_GB2312" w:cs="仿宋_GB2312"/>
          <w:b/>
          <w:bCs/>
          <w:color w:val="auto"/>
          <w:kern w:val="2"/>
          <w:sz w:val="32"/>
          <w:szCs w:val="32"/>
          <w:highlight w:val="none"/>
          <w:lang w:val="en-US" w:eastAsia="zh-CN" w:bidi="ar-SA"/>
        </w:rPr>
      </w:pPr>
    </w:p>
    <w:p>
      <w:pPr>
        <w:pStyle w:val="4"/>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drawing>
          <wp:inline distT="0" distB="0" distL="114300" distR="114300">
            <wp:extent cx="4584065" cy="2755265"/>
            <wp:effectExtent l="0" t="0" r="6985" b="6985"/>
            <wp:docPr id="14" name="图片 1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片1"/>
                    <pic:cNvPicPr>
                      <a:picLocks noChangeAspect="1"/>
                    </pic:cNvPicPr>
                  </pic:nvPicPr>
                  <pic:blipFill>
                    <a:blip r:embed="rId15"/>
                    <a:stretch>
                      <a:fillRect/>
                    </a:stretch>
                  </pic:blipFill>
                  <pic:spPr>
                    <a:xfrm>
                      <a:off x="0" y="0"/>
                      <a:ext cx="4584065" cy="2755265"/>
                    </a:xfrm>
                    <a:prstGeom prst="rect">
                      <a:avLst/>
                    </a:prstGeom>
                  </pic:spPr>
                </pic:pic>
              </a:graphicData>
            </a:graphic>
          </wp:inline>
        </w:drawing>
      </w:r>
    </w:p>
    <w:p>
      <w:p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5"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5"/>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6" w:name="_Toc15378460"/>
      <w:bookmarkStart w:id="27" w:name="_Toc15377444"/>
      <w:bookmarkStart w:id="28" w:name="_Toc15377213"/>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年度一般公共预算财政拨款支出决算数为</w:t>
      </w:r>
      <w:r>
        <w:rPr>
          <w:rFonts w:hint="eastAsia" w:eastAsia="仿宋_GB2312" w:cs="仿宋_GB2312"/>
          <w:color w:val="auto"/>
          <w:kern w:val="2"/>
          <w:sz w:val="32"/>
          <w:szCs w:val="32"/>
          <w:highlight w:val="none"/>
          <w:lang w:val="en-US" w:eastAsia="zh-CN" w:bidi="ar-SA"/>
        </w:rPr>
        <w:t>10447.89</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6"/>
      <w:bookmarkEnd w:id="27"/>
      <w:bookmarkEnd w:id="28"/>
    </w:p>
    <w:p>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自然资源海洋气象等支出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自然资源</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利用与保护</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1349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eastAsia="仿宋_GB2312" w:cs="仿宋_GB2312"/>
          <w:sz w:val="32"/>
          <w:szCs w:val="32"/>
        </w:rPr>
      </w:pPr>
      <w:r>
        <w:rPr>
          <w:rFonts w:hint="eastAsia" w:ascii="Times New Roman" w:hAnsi="Times New Roman" w:eastAsia="仿宋_GB2312" w:cs="仿宋_GB2312"/>
          <w:color w:val="auto"/>
          <w:kern w:val="2"/>
          <w:sz w:val="32"/>
          <w:szCs w:val="32"/>
          <w:highlight w:val="none"/>
          <w:lang w:val="en-US" w:eastAsia="zh-CN" w:bidi="ar-SA"/>
        </w:rPr>
        <w:t>2.</w:t>
      </w:r>
      <w:r>
        <w:rPr>
          <w:rFonts w:hint="eastAsia" w:eastAsia="仿宋_GB2312" w:cs="仿宋_GB2312"/>
          <w:sz w:val="32"/>
          <w:szCs w:val="32"/>
        </w:rPr>
        <w:t>社会保障和就业（类）行政事业单位养老支出（款）机关事业单位基本养老保险缴费支出（项）：支出决算为</w:t>
      </w:r>
      <w:r>
        <w:rPr>
          <w:rFonts w:hint="eastAsia" w:eastAsia="仿宋_GB2312" w:cs="仿宋_GB2312"/>
          <w:sz w:val="32"/>
          <w:szCs w:val="32"/>
          <w:lang w:val="en-US" w:eastAsia="zh-CN"/>
        </w:rPr>
        <w:t>159.32</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%，社会保障和就业（类）行政事业单位养老支出（款）机关事业单位职业年金缴费支出（项）：支出决算为</w:t>
      </w:r>
      <w:r>
        <w:rPr>
          <w:rFonts w:hint="eastAsia" w:eastAsia="仿宋_GB2312" w:cs="仿宋_GB2312"/>
          <w:sz w:val="32"/>
          <w:szCs w:val="32"/>
          <w:lang w:val="en-US" w:eastAsia="zh-CN"/>
        </w:rPr>
        <w:t>79.66</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w:t>
      </w:r>
      <w:r>
        <w:rPr>
          <w:rFonts w:hint="eastAsia" w:eastAsia="仿宋_GB2312" w:cs="仿宋_GB2312"/>
          <w:sz w:val="32"/>
          <w:szCs w:val="32"/>
          <w:lang w:eastAsia="zh-CN"/>
        </w:rPr>
        <w:t>。</w:t>
      </w:r>
    </w:p>
    <w:p>
      <w:pPr>
        <w:spacing w:line="600" w:lineRule="exact"/>
        <w:ind w:firstLine="640" w:firstLineChars="200"/>
        <w:rPr>
          <w:rFonts w:hint="eastAsia" w:eastAsia="仿宋_GB2312" w:cs="仿宋_GB2312"/>
          <w:sz w:val="32"/>
          <w:szCs w:val="32"/>
          <w:lang w:eastAsia="zh-CN"/>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eastAsia="仿宋_GB2312" w:cs="仿宋_GB2312"/>
          <w:sz w:val="32"/>
          <w:szCs w:val="32"/>
        </w:rPr>
        <w:t>卫生健康（类）行政事业单位医疗（款）行政单位医疗（项）：支出决算为</w:t>
      </w:r>
      <w:r>
        <w:rPr>
          <w:rFonts w:hint="eastAsia" w:eastAsia="仿宋_GB2312" w:cs="仿宋_GB2312"/>
          <w:sz w:val="32"/>
          <w:szCs w:val="32"/>
          <w:lang w:val="en-US" w:eastAsia="zh-CN"/>
        </w:rPr>
        <w:t>18.66</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w:t>
      </w:r>
      <w:r>
        <w:rPr>
          <w:rFonts w:hint="eastAsia" w:eastAsia="仿宋_GB2312" w:cs="仿宋_GB2312"/>
          <w:sz w:val="32"/>
          <w:szCs w:val="32"/>
          <w:lang w:eastAsia="zh-CN"/>
        </w:rPr>
        <w:t>。</w:t>
      </w:r>
      <w:r>
        <w:rPr>
          <w:rFonts w:hint="eastAsia" w:eastAsia="仿宋_GB2312" w:cs="仿宋_GB2312"/>
          <w:sz w:val="32"/>
          <w:szCs w:val="32"/>
        </w:rPr>
        <w:t>卫生健康（类）行政事业单位医疗（款）</w:t>
      </w:r>
      <w:r>
        <w:rPr>
          <w:rFonts w:hint="eastAsia" w:eastAsia="仿宋_GB2312" w:cs="仿宋_GB2312"/>
          <w:sz w:val="32"/>
          <w:szCs w:val="32"/>
          <w:lang w:val="en-US" w:eastAsia="zh-CN"/>
        </w:rPr>
        <w:t>事业</w:t>
      </w:r>
      <w:r>
        <w:rPr>
          <w:rFonts w:hint="eastAsia" w:eastAsia="仿宋_GB2312" w:cs="仿宋_GB2312"/>
          <w:sz w:val="32"/>
          <w:szCs w:val="32"/>
        </w:rPr>
        <w:t>单位医疗（项）：支出决算为</w:t>
      </w:r>
      <w:r>
        <w:rPr>
          <w:rFonts w:hint="eastAsia" w:eastAsia="仿宋_GB2312" w:cs="仿宋_GB2312"/>
          <w:sz w:val="32"/>
          <w:szCs w:val="32"/>
          <w:lang w:val="en-US" w:eastAsia="zh-CN"/>
        </w:rPr>
        <w:t>55.39</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w:t>
      </w:r>
      <w:r>
        <w:rPr>
          <w:rFonts w:hint="eastAsia" w:eastAsia="仿宋_GB2312" w:cs="仿宋_GB2312"/>
          <w:sz w:val="32"/>
          <w:szCs w:val="32"/>
          <w:lang w:val="en-US" w:eastAsia="zh-CN"/>
        </w:rPr>
        <w:t>.</w:t>
      </w:r>
      <w:r>
        <w:rPr>
          <w:rFonts w:hint="eastAsia" w:eastAsia="仿宋_GB2312" w:cs="仿宋_GB2312"/>
          <w:sz w:val="32"/>
          <w:szCs w:val="32"/>
        </w:rPr>
        <w:t>卫生健康（类）行政事业单位医疗（款）公务员医疗补助（项）：支出决算为</w:t>
      </w:r>
      <w:r>
        <w:rPr>
          <w:rFonts w:hint="eastAsia" w:eastAsia="仿宋_GB2312" w:cs="仿宋_GB2312"/>
          <w:sz w:val="32"/>
          <w:szCs w:val="32"/>
          <w:lang w:val="en-US" w:eastAsia="zh-CN"/>
        </w:rPr>
        <w:t>6.24</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w:t>
      </w:r>
      <w:r>
        <w:rPr>
          <w:rFonts w:hint="eastAsia" w:eastAsia="仿宋_GB2312" w:cs="仿宋_GB2312"/>
          <w:sz w:val="32"/>
          <w:szCs w:val="32"/>
          <w:lang w:eastAsia="zh-CN"/>
        </w:rPr>
        <w:t>。</w:t>
      </w:r>
      <w:r>
        <w:rPr>
          <w:rFonts w:hint="eastAsia" w:eastAsia="仿宋_GB2312" w:cs="仿宋_GB2312"/>
          <w:sz w:val="32"/>
          <w:szCs w:val="32"/>
        </w:rPr>
        <w:t>卫生健康（类）行政事业单位医疗（款）</w:t>
      </w:r>
      <w:r>
        <w:rPr>
          <w:rFonts w:hint="eastAsia" w:eastAsia="仿宋_GB2312" w:cs="仿宋_GB2312"/>
          <w:sz w:val="32"/>
          <w:szCs w:val="32"/>
          <w:lang w:val="en-US" w:eastAsia="zh-CN"/>
        </w:rPr>
        <w:t>其他行政事业单位医疗支出</w:t>
      </w:r>
      <w:r>
        <w:rPr>
          <w:rFonts w:hint="eastAsia" w:eastAsia="仿宋_GB2312" w:cs="仿宋_GB2312"/>
          <w:sz w:val="32"/>
          <w:szCs w:val="32"/>
        </w:rPr>
        <w:t>（项）：支出决算为</w:t>
      </w:r>
      <w:r>
        <w:rPr>
          <w:rFonts w:hint="eastAsia" w:eastAsia="仿宋_GB2312" w:cs="仿宋_GB2312"/>
          <w:sz w:val="32"/>
          <w:szCs w:val="32"/>
          <w:lang w:val="en-US" w:eastAsia="zh-CN"/>
        </w:rPr>
        <w:t>11.38</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w:t>
      </w:r>
      <w:r>
        <w:rPr>
          <w:rFonts w:hint="eastAsia" w:eastAsia="仿宋_GB2312" w:cs="仿宋_GB2312"/>
          <w:sz w:val="32"/>
          <w:szCs w:val="32"/>
          <w:lang w:eastAsia="zh-CN"/>
        </w:rPr>
        <w:t>。</w:t>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eastAsia" w:eastAsia="仿宋_GB2312" w:cs="仿宋_GB2312"/>
          <w:color w:val="auto"/>
          <w:kern w:val="2"/>
          <w:sz w:val="32"/>
          <w:szCs w:val="32"/>
          <w:highlight w:val="none"/>
          <w:lang w:val="en-US" w:eastAsia="zh-CN" w:bidi="ar-SA"/>
        </w:rPr>
        <w:t>农林水支出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农业农村</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乡村道路建设</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4701.39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。农林水支出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巩固脱贫攻坚成果衔接乡村振兴</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农村基础设施建设</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795.65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eastAsia" w:eastAsia="仿宋_GB2312" w:cs="仿宋_GB2312"/>
          <w:color w:val="auto"/>
          <w:kern w:val="2"/>
          <w:sz w:val="32"/>
          <w:szCs w:val="32"/>
          <w:highlight w:val="none"/>
          <w:lang w:val="en-US" w:eastAsia="zh-CN" w:bidi="ar-SA"/>
        </w:rPr>
        <w:t>交通运输支出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公路水路运输</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行政运行</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364.44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交通运输支出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公路水路运输</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一般行政管理事务</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交通运输支出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公路水路运输</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机关服务</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894.16</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交通运输支出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公路水路运输</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公路建设</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1035.3</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交通运输支出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公路水路运输</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公路养护</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313.58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交通运输支出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公路水路运输</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公路运输管理</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213.58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，交通运输支出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公路水路运输</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公路运输管理</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52</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；其他交通运输支出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公共交通（款）运营补助（项）：支出决算为233.82万元，完成预算100%，其他交通运输支出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其他交通（款）运输支出（项）：30.07万元，完成预算100%。</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w:t>
      </w:r>
      <w:r>
        <w:rPr>
          <w:rFonts w:hint="eastAsia" w:eastAsia="仿宋_GB2312" w:cs="仿宋_GB2312"/>
          <w:color w:val="auto"/>
          <w:kern w:val="2"/>
          <w:sz w:val="32"/>
          <w:szCs w:val="32"/>
          <w:highlight w:val="none"/>
          <w:lang w:val="en-US" w:eastAsia="zh-CN" w:bidi="ar-SA"/>
        </w:rPr>
        <w:t>商业服务业等支出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其他商业服务</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其他商业流服务支出</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4.5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eastAsia="仿宋_GB2312" w:cs="仿宋_GB2312"/>
          <w:sz w:val="32"/>
          <w:szCs w:val="32"/>
        </w:rPr>
      </w:pPr>
      <w:r>
        <w:rPr>
          <w:rFonts w:hint="eastAsia" w:eastAsia="仿宋_GB2312" w:cs="仿宋_GB2312"/>
          <w:sz w:val="32"/>
          <w:szCs w:val="32"/>
          <w:lang w:val="en-US" w:eastAsia="zh-CN"/>
        </w:rPr>
        <w:t>7</w:t>
      </w:r>
      <w:r>
        <w:rPr>
          <w:rFonts w:hint="eastAsia" w:eastAsia="仿宋_GB2312" w:cs="仿宋_GB2312"/>
          <w:sz w:val="32"/>
          <w:szCs w:val="32"/>
        </w:rPr>
        <w:t>.</w:t>
      </w:r>
      <w:r>
        <w:rPr>
          <w:rFonts w:hint="eastAsia" w:eastAsia="仿宋_GB2312" w:cs="仿宋_GB2312"/>
          <w:sz w:val="32"/>
          <w:szCs w:val="32"/>
          <w:lang w:eastAsia="zh-CN"/>
        </w:rPr>
        <w:t>住房保障支出</w:t>
      </w:r>
      <w:r>
        <w:rPr>
          <w:rFonts w:hint="eastAsia" w:eastAsia="仿宋_GB2312" w:cs="仿宋_GB2312"/>
          <w:sz w:val="32"/>
          <w:szCs w:val="32"/>
        </w:rPr>
        <w:t>（类）住房改革支出（款）住房公积金（项）：支出决算为</w:t>
      </w:r>
      <w:r>
        <w:rPr>
          <w:rFonts w:hint="eastAsia" w:eastAsia="仿宋_GB2312" w:cs="仿宋_GB2312"/>
          <w:sz w:val="32"/>
          <w:szCs w:val="32"/>
          <w:lang w:val="en-US" w:eastAsia="zh-CN"/>
        </w:rPr>
        <w:t>124.74</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w:t>
      </w:r>
      <w:r>
        <w:rPr>
          <w:rFonts w:hint="eastAsia" w:eastAsia="仿宋_GB2312" w:cs="仿宋_GB2312"/>
          <w:sz w:val="32"/>
          <w:szCs w:val="32"/>
          <w:lang w:eastAsia="zh-CN"/>
        </w:rPr>
        <w:t>。</w:t>
      </w:r>
    </w:p>
    <w:p>
      <w:pPr>
        <w:tabs>
          <w:tab w:val="right" w:pos="8306"/>
        </w:tabs>
        <w:spacing w:line="600" w:lineRule="exact"/>
        <w:outlineLvl w:val="1"/>
        <w:rPr>
          <w:rStyle w:val="32"/>
          <w:rFonts w:ascii="Times New Roman" w:hAnsi="Times New Roman"/>
          <w:color w:val="auto"/>
          <w:highlight w:val="none"/>
        </w:rPr>
      </w:pPr>
      <w:bookmarkStart w:id="29" w:name="_Toc15396608"/>
      <w:bookmarkStart w:id="30"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2"/>
          <w:rFonts w:hint="eastAsia" w:ascii="Times New Roman" w:hAnsi="Times New Roman" w:eastAsia="黑体"/>
          <w:b w:val="0"/>
          <w:color w:val="auto"/>
          <w:highlight w:val="none"/>
        </w:rPr>
        <w:t>般公共预算财政拨款基本支出决算情况说明</w:t>
      </w:r>
      <w:bookmarkEnd w:id="29"/>
      <w:bookmarkEnd w:id="30"/>
      <w:r>
        <w:rPr>
          <w:rStyle w:val="32"/>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年度一般公共预算财政拨款基本支出</w:t>
      </w:r>
      <w:r>
        <w:rPr>
          <w:rFonts w:hint="eastAsia" w:eastAsia="仿宋_GB2312" w:cs="仿宋_GB2312"/>
          <w:color w:val="auto"/>
          <w:kern w:val="2"/>
          <w:sz w:val="32"/>
          <w:szCs w:val="32"/>
          <w:highlight w:val="none"/>
          <w:lang w:val="en-US" w:eastAsia="zh-CN" w:bidi="ar-SA"/>
        </w:rPr>
        <w:t>1713.99</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eastAsia="仿宋_GB2312" w:cs="仿宋_GB2312"/>
          <w:color w:val="auto"/>
          <w:kern w:val="2"/>
          <w:sz w:val="32"/>
          <w:szCs w:val="32"/>
          <w:highlight w:val="none"/>
          <w:lang w:val="en-US" w:eastAsia="zh-CN" w:bidi="ar-SA"/>
        </w:rPr>
        <w:t>1555.60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w:t>
      </w:r>
      <w:r>
        <w:rPr>
          <w:rFonts w:hint="eastAsia" w:eastAsia="仿宋_GB2312" w:cs="仿宋_GB2312"/>
          <w:color w:val="auto"/>
          <w:kern w:val="2"/>
          <w:sz w:val="32"/>
          <w:szCs w:val="32"/>
          <w:highlight w:val="none"/>
          <w:lang w:val="en-US" w:eastAsia="zh-CN" w:bidi="ar-SA"/>
        </w:rPr>
        <w:t>277.51万元</w:t>
      </w:r>
      <w:r>
        <w:rPr>
          <w:rFonts w:hint="eastAsia" w:ascii="Times New Roman" w:hAnsi="Times New Roman" w:eastAsia="仿宋_GB2312" w:cs="仿宋_GB2312"/>
          <w:color w:val="auto"/>
          <w:kern w:val="2"/>
          <w:sz w:val="32"/>
          <w:szCs w:val="32"/>
          <w:highlight w:val="none"/>
          <w:lang w:val="en-US" w:eastAsia="zh-CN" w:bidi="ar-SA"/>
        </w:rPr>
        <w:t>、津贴补贴</w:t>
      </w:r>
      <w:r>
        <w:rPr>
          <w:rFonts w:hint="eastAsia" w:eastAsia="仿宋_GB2312" w:cs="仿宋_GB2312"/>
          <w:color w:val="auto"/>
          <w:kern w:val="2"/>
          <w:sz w:val="32"/>
          <w:szCs w:val="32"/>
          <w:highlight w:val="none"/>
          <w:lang w:val="en-US" w:eastAsia="zh-CN" w:bidi="ar-SA"/>
        </w:rPr>
        <w:t>291.59万元</w:t>
      </w:r>
      <w:r>
        <w:rPr>
          <w:rFonts w:hint="eastAsia" w:ascii="Times New Roman" w:hAnsi="Times New Roman" w:eastAsia="仿宋_GB2312" w:cs="仿宋_GB2312"/>
          <w:color w:val="auto"/>
          <w:kern w:val="2"/>
          <w:sz w:val="32"/>
          <w:szCs w:val="32"/>
          <w:highlight w:val="none"/>
          <w:lang w:val="en-US" w:eastAsia="zh-CN" w:bidi="ar-SA"/>
        </w:rPr>
        <w:t>、奖金</w:t>
      </w:r>
      <w:r>
        <w:rPr>
          <w:rFonts w:hint="eastAsia" w:eastAsia="仿宋_GB2312" w:cs="仿宋_GB2312"/>
          <w:color w:val="auto"/>
          <w:kern w:val="2"/>
          <w:sz w:val="32"/>
          <w:szCs w:val="32"/>
          <w:highlight w:val="none"/>
          <w:lang w:val="en-US" w:eastAsia="zh-CN" w:bidi="ar-SA"/>
        </w:rPr>
        <w:t>340.10万元</w:t>
      </w:r>
      <w:r>
        <w:rPr>
          <w:rFonts w:hint="eastAsia" w:ascii="Times New Roman" w:hAnsi="Times New Roman" w:eastAsia="仿宋_GB2312" w:cs="仿宋_GB2312"/>
          <w:color w:val="auto"/>
          <w:kern w:val="2"/>
          <w:sz w:val="32"/>
          <w:szCs w:val="32"/>
          <w:highlight w:val="none"/>
          <w:lang w:val="en-US" w:eastAsia="zh-CN" w:bidi="ar-SA"/>
        </w:rPr>
        <w:t>、绩效工资</w:t>
      </w:r>
      <w:r>
        <w:rPr>
          <w:rFonts w:hint="eastAsia" w:eastAsia="仿宋_GB2312" w:cs="仿宋_GB2312"/>
          <w:color w:val="auto"/>
          <w:kern w:val="2"/>
          <w:sz w:val="32"/>
          <w:szCs w:val="32"/>
          <w:highlight w:val="none"/>
          <w:lang w:val="en-US" w:eastAsia="zh-CN" w:bidi="ar-SA"/>
        </w:rPr>
        <w:t>174.58万元</w:t>
      </w:r>
      <w:r>
        <w:rPr>
          <w:rFonts w:hint="eastAsia" w:ascii="Times New Roman" w:hAnsi="Times New Roman" w:eastAsia="仿宋_GB2312" w:cs="仿宋_GB2312"/>
          <w:color w:val="auto"/>
          <w:kern w:val="2"/>
          <w:sz w:val="32"/>
          <w:szCs w:val="32"/>
          <w:highlight w:val="none"/>
          <w:lang w:val="en-US" w:eastAsia="zh-CN" w:bidi="ar-SA"/>
        </w:rPr>
        <w:t>、机关事业单位基本养老保险缴费</w:t>
      </w:r>
      <w:r>
        <w:rPr>
          <w:rFonts w:hint="eastAsia" w:eastAsia="仿宋_GB2312" w:cs="仿宋_GB2312"/>
          <w:color w:val="auto"/>
          <w:kern w:val="2"/>
          <w:sz w:val="32"/>
          <w:szCs w:val="32"/>
          <w:highlight w:val="none"/>
          <w:lang w:val="en-US" w:eastAsia="zh-CN" w:bidi="ar-SA"/>
        </w:rPr>
        <w:t>159.32万元</w:t>
      </w:r>
      <w:r>
        <w:rPr>
          <w:rFonts w:hint="eastAsia" w:ascii="Times New Roman" w:hAnsi="Times New Roman" w:eastAsia="仿宋_GB2312" w:cs="仿宋_GB2312"/>
          <w:color w:val="auto"/>
          <w:kern w:val="2"/>
          <w:sz w:val="32"/>
          <w:szCs w:val="32"/>
          <w:highlight w:val="none"/>
          <w:lang w:val="en-US" w:eastAsia="zh-CN" w:bidi="ar-SA"/>
        </w:rPr>
        <w:t>、职业年金缴费</w:t>
      </w:r>
      <w:r>
        <w:rPr>
          <w:rFonts w:hint="eastAsia" w:eastAsia="仿宋_GB2312" w:cs="仿宋_GB2312"/>
          <w:color w:val="auto"/>
          <w:kern w:val="2"/>
          <w:sz w:val="32"/>
          <w:szCs w:val="32"/>
          <w:highlight w:val="none"/>
          <w:lang w:val="en-US" w:eastAsia="zh-CN" w:bidi="ar-SA"/>
        </w:rPr>
        <w:t>79.66万元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职工基本医疗保险缴费74.06万元、公务员医疗补助缴费17.62万元，</w:t>
      </w:r>
      <w:r>
        <w:rPr>
          <w:rFonts w:hint="eastAsia" w:ascii="Times New Roman" w:hAnsi="Times New Roman" w:eastAsia="仿宋_GB2312" w:cs="仿宋_GB2312"/>
          <w:color w:val="auto"/>
          <w:kern w:val="2"/>
          <w:sz w:val="32"/>
          <w:szCs w:val="32"/>
          <w:highlight w:val="none"/>
          <w:lang w:val="en-US" w:eastAsia="zh-CN" w:bidi="ar-SA"/>
        </w:rPr>
        <w:t>其他社会保障缴费</w:t>
      </w:r>
      <w:r>
        <w:rPr>
          <w:rFonts w:hint="eastAsia" w:eastAsia="仿宋_GB2312" w:cs="仿宋_GB2312"/>
          <w:color w:val="auto"/>
          <w:kern w:val="2"/>
          <w:sz w:val="32"/>
          <w:szCs w:val="32"/>
          <w:highlight w:val="none"/>
          <w:lang w:val="en-US" w:eastAsia="zh-CN" w:bidi="ar-SA"/>
        </w:rPr>
        <w:t>6.67万元</w:t>
      </w:r>
      <w:r>
        <w:rPr>
          <w:rFonts w:hint="eastAsia" w:ascii="Times New Roman" w:hAnsi="Times New Roman" w:eastAsia="仿宋_GB2312" w:cs="仿宋_GB2312"/>
          <w:color w:val="auto"/>
          <w:kern w:val="2"/>
          <w:sz w:val="32"/>
          <w:szCs w:val="32"/>
          <w:highlight w:val="none"/>
          <w:lang w:val="en-US" w:eastAsia="zh-CN" w:bidi="ar-SA"/>
        </w:rPr>
        <w:t>、住房公积金</w:t>
      </w:r>
      <w:r>
        <w:rPr>
          <w:rFonts w:hint="eastAsia" w:eastAsia="仿宋_GB2312" w:cs="仿宋_GB2312"/>
          <w:color w:val="auto"/>
          <w:kern w:val="2"/>
          <w:sz w:val="32"/>
          <w:szCs w:val="32"/>
          <w:highlight w:val="none"/>
          <w:lang w:val="en-US" w:eastAsia="zh-CN" w:bidi="ar-SA"/>
        </w:rPr>
        <w:t>124.74</w:t>
      </w:r>
      <w:r>
        <w:rPr>
          <w:rFonts w:hint="eastAsia" w:ascii="Times New Roman" w:hAnsi="Times New Roman" w:eastAsia="仿宋_GB2312" w:cs="仿宋_GB2312"/>
          <w:color w:val="auto"/>
          <w:kern w:val="2"/>
          <w:sz w:val="32"/>
          <w:szCs w:val="32"/>
          <w:highlight w:val="none"/>
          <w:lang w:val="en-US" w:eastAsia="zh-CN" w:bidi="ar-SA"/>
        </w:rPr>
        <w:t>万元、医疗费</w:t>
      </w:r>
      <w:r>
        <w:rPr>
          <w:rFonts w:hint="eastAsia" w:eastAsia="仿宋_GB2312" w:cs="仿宋_GB2312"/>
          <w:color w:val="auto"/>
          <w:kern w:val="2"/>
          <w:sz w:val="32"/>
          <w:szCs w:val="32"/>
          <w:highlight w:val="none"/>
          <w:lang w:val="en-US" w:eastAsia="zh-CN" w:bidi="ar-SA"/>
        </w:rPr>
        <w:t>9.76</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eastAsia="仿宋_GB2312" w:cs="仿宋_GB2312"/>
          <w:color w:val="auto"/>
          <w:kern w:val="2"/>
          <w:sz w:val="32"/>
          <w:szCs w:val="32"/>
          <w:highlight w:val="none"/>
          <w:lang w:val="en-US" w:eastAsia="zh-CN" w:bidi="ar-SA"/>
        </w:rPr>
        <w:t>146.28</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元，主要包括：办公费</w:t>
      </w:r>
      <w:r>
        <w:rPr>
          <w:rFonts w:hint="eastAsia" w:eastAsia="仿宋_GB2312" w:cs="仿宋_GB2312"/>
          <w:color w:val="auto"/>
          <w:kern w:val="2"/>
          <w:sz w:val="32"/>
          <w:szCs w:val="32"/>
          <w:highlight w:val="none"/>
          <w:lang w:val="en-US" w:eastAsia="zh-CN" w:bidi="ar-SA"/>
        </w:rPr>
        <w:t>26.71万元</w:t>
      </w:r>
      <w:r>
        <w:rPr>
          <w:rFonts w:hint="eastAsia" w:ascii="Times New Roman" w:hAnsi="Times New Roman" w:eastAsia="仿宋_GB2312" w:cs="仿宋_GB2312"/>
          <w:color w:val="auto"/>
          <w:kern w:val="2"/>
          <w:sz w:val="32"/>
          <w:szCs w:val="32"/>
          <w:highlight w:val="none"/>
          <w:lang w:val="en-US" w:eastAsia="zh-CN" w:bidi="ar-SA"/>
        </w:rPr>
        <w:t>、电费</w:t>
      </w:r>
      <w:r>
        <w:rPr>
          <w:rFonts w:hint="eastAsia" w:eastAsia="仿宋_GB2312" w:cs="仿宋_GB2312"/>
          <w:color w:val="auto"/>
          <w:kern w:val="2"/>
          <w:sz w:val="32"/>
          <w:szCs w:val="32"/>
          <w:highlight w:val="none"/>
          <w:lang w:val="en-US" w:eastAsia="zh-CN" w:bidi="ar-SA"/>
        </w:rPr>
        <w:t>3.1万元</w:t>
      </w:r>
      <w:r>
        <w:rPr>
          <w:rFonts w:hint="eastAsia" w:ascii="Times New Roman" w:hAnsi="Times New Roman" w:eastAsia="仿宋_GB2312" w:cs="仿宋_GB2312"/>
          <w:color w:val="auto"/>
          <w:kern w:val="2"/>
          <w:sz w:val="32"/>
          <w:szCs w:val="32"/>
          <w:highlight w:val="none"/>
          <w:lang w:val="en-US" w:eastAsia="zh-CN" w:bidi="ar-SA"/>
        </w:rPr>
        <w:t>、邮电费</w:t>
      </w:r>
      <w:r>
        <w:rPr>
          <w:rFonts w:hint="eastAsia" w:eastAsia="仿宋_GB2312" w:cs="仿宋_GB2312"/>
          <w:color w:val="auto"/>
          <w:kern w:val="2"/>
          <w:sz w:val="32"/>
          <w:szCs w:val="32"/>
          <w:highlight w:val="none"/>
          <w:lang w:val="en-US" w:eastAsia="zh-CN" w:bidi="ar-SA"/>
        </w:rPr>
        <w:t>5.96万元</w:t>
      </w:r>
      <w:r>
        <w:rPr>
          <w:rFonts w:hint="eastAsia" w:ascii="Times New Roman" w:hAnsi="Times New Roman" w:eastAsia="仿宋_GB2312" w:cs="仿宋_GB2312"/>
          <w:color w:val="auto"/>
          <w:kern w:val="2"/>
          <w:sz w:val="32"/>
          <w:szCs w:val="32"/>
          <w:highlight w:val="none"/>
          <w:lang w:val="en-US" w:eastAsia="zh-CN" w:bidi="ar-SA"/>
        </w:rPr>
        <w:t>、差旅费</w:t>
      </w:r>
      <w:r>
        <w:rPr>
          <w:rFonts w:hint="eastAsia" w:eastAsia="仿宋_GB2312" w:cs="仿宋_GB2312"/>
          <w:color w:val="auto"/>
          <w:kern w:val="2"/>
          <w:sz w:val="32"/>
          <w:szCs w:val="32"/>
          <w:highlight w:val="none"/>
          <w:lang w:val="en-US" w:eastAsia="zh-CN" w:bidi="ar-SA"/>
        </w:rPr>
        <w:t>40.30万元、维修（护）费27.46万元、</w:t>
      </w:r>
      <w:r>
        <w:rPr>
          <w:rFonts w:hint="eastAsia" w:ascii="Times New Roman" w:hAnsi="Times New Roman" w:eastAsia="仿宋_GB2312" w:cs="仿宋_GB2312"/>
          <w:color w:val="auto"/>
          <w:kern w:val="2"/>
          <w:sz w:val="32"/>
          <w:szCs w:val="32"/>
          <w:highlight w:val="none"/>
          <w:lang w:val="en-US" w:eastAsia="zh-CN" w:bidi="ar-SA"/>
        </w:rPr>
        <w:t>委托业务费</w:t>
      </w:r>
      <w:r>
        <w:rPr>
          <w:rFonts w:hint="eastAsia" w:eastAsia="仿宋_GB2312" w:cs="仿宋_GB2312"/>
          <w:color w:val="auto"/>
          <w:kern w:val="2"/>
          <w:sz w:val="32"/>
          <w:szCs w:val="32"/>
          <w:highlight w:val="none"/>
          <w:lang w:val="en-US" w:eastAsia="zh-CN" w:bidi="ar-SA"/>
        </w:rPr>
        <w:t>3.55万元</w:t>
      </w:r>
      <w:r>
        <w:rPr>
          <w:rFonts w:hint="eastAsia" w:ascii="Times New Roman" w:hAnsi="Times New Roman" w:eastAsia="仿宋_GB2312" w:cs="仿宋_GB2312"/>
          <w:color w:val="auto"/>
          <w:kern w:val="2"/>
          <w:sz w:val="32"/>
          <w:szCs w:val="32"/>
          <w:highlight w:val="none"/>
          <w:lang w:val="en-US" w:eastAsia="zh-CN" w:bidi="ar-SA"/>
        </w:rPr>
        <w:t>、工会经费</w:t>
      </w:r>
      <w:r>
        <w:rPr>
          <w:rFonts w:hint="eastAsia" w:eastAsia="仿宋_GB2312" w:cs="仿宋_GB2312"/>
          <w:color w:val="auto"/>
          <w:kern w:val="2"/>
          <w:sz w:val="32"/>
          <w:szCs w:val="32"/>
          <w:highlight w:val="none"/>
          <w:lang w:val="en-US" w:eastAsia="zh-CN" w:bidi="ar-SA"/>
        </w:rPr>
        <w:t>10.62万元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福利费7.72万元、</w:t>
      </w:r>
      <w:r>
        <w:rPr>
          <w:rFonts w:hint="eastAsia" w:ascii="Times New Roman" w:hAnsi="Times New Roman" w:eastAsia="仿宋_GB2312" w:cs="仿宋_GB2312"/>
          <w:color w:val="auto"/>
          <w:kern w:val="2"/>
          <w:sz w:val="32"/>
          <w:szCs w:val="32"/>
          <w:highlight w:val="none"/>
          <w:lang w:val="en-US" w:eastAsia="zh-CN" w:bidi="ar-SA"/>
        </w:rPr>
        <w:t>公务用车运行维护费</w:t>
      </w:r>
      <w:r>
        <w:rPr>
          <w:rFonts w:hint="eastAsia" w:eastAsia="仿宋_GB2312" w:cs="仿宋_GB2312"/>
          <w:color w:val="auto"/>
          <w:kern w:val="2"/>
          <w:sz w:val="32"/>
          <w:szCs w:val="32"/>
          <w:highlight w:val="none"/>
          <w:lang w:val="en-US" w:eastAsia="zh-CN" w:bidi="ar-SA"/>
        </w:rPr>
        <w:t>14.42万元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其他商品和服务支出6.44万元。</w:t>
      </w:r>
    </w:p>
    <w:p>
      <w:pPr>
        <w:pStyle w:val="2"/>
        <w:ind w:left="0" w:leftChars="0" w:firstLine="640" w:firstLineChars="200"/>
        <w:rPr>
          <w:rFonts w:hint="default"/>
          <w:lang w:val="en-US" w:eastAsia="zh-CN"/>
        </w:rPr>
      </w:pPr>
      <w:r>
        <w:rPr>
          <w:rFonts w:hint="eastAsia" w:eastAsia="仿宋_GB2312" w:cs="仿宋_GB2312"/>
          <w:color w:val="auto"/>
          <w:kern w:val="2"/>
          <w:sz w:val="32"/>
          <w:szCs w:val="32"/>
          <w:highlight w:val="none"/>
          <w:lang w:val="en-US" w:eastAsia="zh-CN" w:bidi="ar-SA"/>
        </w:rPr>
        <w:t>对个人和家庭的补助</w:t>
      </w:r>
      <w:r>
        <w:rPr>
          <w:rFonts w:hint="eastAsia" w:ascii="Times New Roman" w:hAnsi="Times New Roman" w:eastAsia="仿宋_GB2312" w:cs="仿宋_GB2312"/>
          <w:color w:val="auto"/>
          <w:kern w:val="2"/>
          <w:sz w:val="32"/>
          <w:szCs w:val="32"/>
          <w:highlight w:val="none"/>
          <w:lang w:val="en-US" w:eastAsia="zh-CN" w:bidi="ar-SA"/>
        </w:rPr>
        <w:t>12.11</w:t>
      </w:r>
      <w:r>
        <w:rPr>
          <w:rFonts w:hint="eastAsia" w:eastAsia="仿宋_GB2312" w:cs="仿宋_GB2312"/>
          <w:color w:val="auto"/>
          <w:kern w:val="2"/>
          <w:sz w:val="32"/>
          <w:szCs w:val="32"/>
          <w:highlight w:val="none"/>
          <w:lang w:val="en-US" w:eastAsia="zh-CN" w:bidi="ar-SA"/>
        </w:rPr>
        <w:t>万元，其中生活补助</w:t>
      </w:r>
      <w:r>
        <w:rPr>
          <w:rFonts w:hint="eastAsia" w:ascii="Times New Roman" w:hAnsi="Times New Roman" w:eastAsia="仿宋_GB2312" w:cs="仿宋_GB2312"/>
          <w:color w:val="auto"/>
          <w:kern w:val="2"/>
          <w:sz w:val="32"/>
          <w:szCs w:val="32"/>
          <w:highlight w:val="none"/>
          <w:lang w:val="en-US" w:eastAsia="zh-CN" w:bidi="ar-SA"/>
        </w:rPr>
        <w:t>10.38</w:t>
      </w:r>
      <w:r>
        <w:rPr>
          <w:rFonts w:hint="eastAsia" w:eastAsia="仿宋_GB2312" w:cs="仿宋_GB2312"/>
          <w:color w:val="auto"/>
          <w:kern w:val="2"/>
          <w:sz w:val="32"/>
          <w:szCs w:val="32"/>
          <w:highlight w:val="none"/>
          <w:lang w:val="en-US" w:eastAsia="zh-CN" w:bidi="ar-SA"/>
        </w:rPr>
        <w:t>万元、医疗费补助</w:t>
      </w:r>
      <w:r>
        <w:rPr>
          <w:rFonts w:hint="eastAsia" w:ascii="Times New Roman" w:hAnsi="Times New Roman" w:eastAsia="仿宋_GB2312" w:cs="仿宋_GB2312"/>
          <w:color w:val="auto"/>
          <w:kern w:val="2"/>
          <w:sz w:val="32"/>
          <w:szCs w:val="32"/>
          <w:highlight w:val="none"/>
          <w:lang w:val="en-US" w:eastAsia="zh-CN" w:bidi="ar-SA"/>
        </w:rPr>
        <w:t>1.73</w:t>
      </w:r>
      <w:r>
        <w:rPr>
          <w:rFonts w:hint="eastAsia" w:eastAsia="仿宋_GB2312" w:cs="仿宋_GB2312"/>
          <w:color w:val="auto"/>
          <w:kern w:val="2"/>
          <w:sz w:val="32"/>
          <w:szCs w:val="32"/>
          <w:highlight w:val="none"/>
          <w:lang w:val="en-US" w:eastAsia="zh-CN" w:bidi="ar-SA"/>
        </w:rPr>
        <w:t>万元。</w:t>
      </w:r>
    </w:p>
    <w:p>
      <w:pPr>
        <w:spacing w:line="600" w:lineRule="exact"/>
        <w:outlineLvl w:val="1"/>
        <w:rPr>
          <w:rStyle w:val="32"/>
          <w:rFonts w:ascii="Times New Roman" w:hAnsi="Times New Roman" w:eastAsia="黑体"/>
          <w:b w:val="0"/>
          <w:color w:val="auto"/>
          <w:highlight w:val="none"/>
        </w:rPr>
      </w:pPr>
      <w:bookmarkStart w:id="31" w:name="_Toc15396609"/>
      <w:bookmarkStart w:id="32" w:name="_Toc15377215"/>
      <w:r>
        <w:rPr>
          <w:rFonts w:hint="eastAsia" w:ascii="Times New Roman" w:hAnsi="Times New Roman" w:eastAsia="黑体"/>
          <w:color w:val="auto"/>
          <w:sz w:val="32"/>
          <w:szCs w:val="32"/>
          <w:highlight w:val="none"/>
        </w:rPr>
        <w:t>七、</w:t>
      </w:r>
      <w:r>
        <w:rPr>
          <w:rStyle w:val="32"/>
          <w:rFonts w:hint="eastAsia" w:ascii="Times New Roman" w:hAnsi="Times New Roman" w:eastAsia="黑体"/>
          <w:b w:val="0"/>
          <w:color w:val="auto"/>
          <w:highlight w:val="none"/>
        </w:rPr>
        <w:t>财政拨款</w:t>
      </w:r>
      <w:r>
        <w:rPr>
          <w:rStyle w:val="32"/>
          <w:rFonts w:hint="eastAsia" w:ascii="Times New Roman" w:hAnsi="Times New Roman" w:eastAsia="黑体"/>
          <w:color w:val="auto"/>
          <w:highlight w:val="none"/>
        </w:rPr>
        <w:t>“</w:t>
      </w:r>
      <w:r>
        <w:rPr>
          <w:rStyle w:val="32"/>
          <w:rFonts w:hint="eastAsia" w:ascii="Times New Roman" w:hAnsi="Times New Roman" w:eastAsia="黑体"/>
          <w:b w:val="0"/>
          <w:color w:val="auto"/>
          <w:highlight w:val="none"/>
        </w:rPr>
        <w:t>三公”经费支出决算情况说明</w:t>
      </w:r>
      <w:bookmarkEnd w:id="31"/>
      <w:bookmarkEnd w:id="32"/>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3"/>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年度“三公”经费财政拨款支出决算为</w:t>
      </w:r>
      <w:r>
        <w:rPr>
          <w:rFonts w:hint="eastAsia" w:ascii="仿宋_GB2312" w:hAnsi="仿宋_GB2312" w:eastAsia="仿宋_GB2312" w:cs="仿宋_GB2312"/>
          <w:sz w:val="32"/>
          <w:szCs w:val="32"/>
        </w:rPr>
        <w:t>14.4</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99.</w:t>
      </w:r>
      <w:r>
        <w:rPr>
          <w:rFonts w:hint="eastAsia" w:ascii="仿宋_GB2312" w:hAnsi="仿宋_GB2312" w:eastAsia="仿宋_GB2312" w:cs="仿宋_GB2312"/>
          <w:sz w:val="32"/>
          <w:szCs w:val="32"/>
          <w:lang w:val="en-US" w:eastAsia="zh-CN"/>
        </w:rPr>
        <w:t>86</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较上年度</w:t>
      </w:r>
      <w:r>
        <w:rPr>
          <w:rFonts w:hint="eastAsia" w:eastAsia="仿宋_GB2312" w:cs="仿宋_GB2312"/>
          <w:color w:val="auto"/>
          <w:kern w:val="2"/>
          <w:sz w:val="32"/>
          <w:szCs w:val="32"/>
          <w:highlight w:val="none"/>
          <w:lang w:val="en-US" w:eastAsia="zh-CN" w:bidi="ar-SA"/>
        </w:rPr>
        <w:t>减少0.02</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减少0.14</w:t>
      </w:r>
      <w:r>
        <w:rPr>
          <w:rFonts w:hint="eastAsia" w:ascii="Times New Roman" w:hAnsi="Times New Roman" w:eastAsia="仿宋_GB2312" w:cs="仿宋_GB2312"/>
          <w:color w:val="auto"/>
          <w:kern w:val="2"/>
          <w:sz w:val="32"/>
          <w:szCs w:val="32"/>
          <w:highlight w:val="none"/>
          <w:lang w:val="en-US" w:eastAsia="zh-CN" w:bidi="ar-SA"/>
        </w:rPr>
        <w:t>%。决算数小于预算数的主要原因是</w:t>
      </w:r>
      <w:r>
        <w:rPr>
          <w:rFonts w:hint="eastAsia" w:eastAsia="仿宋_GB2312" w:cs="仿宋_GB2312"/>
          <w:color w:val="auto"/>
          <w:kern w:val="2"/>
          <w:sz w:val="32"/>
          <w:szCs w:val="32"/>
          <w:highlight w:val="none"/>
          <w:lang w:val="en-US" w:eastAsia="zh-CN" w:bidi="ar-SA"/>
        </w:rPr>
        <w:t>我单位例行节约，一定程度节省了开支。</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4" w:name="_Toc15377217"/>
      <w:r>
        <w:rPr>
          <w:rFonts w:hint="eastAsia" w:ascii="Times New Roman" w:hAnsi="Times New Roman" w:eastAsia="楷体_GB2312" w:cs="楷体_GB2312"/>
          <w:b/>
          <w:color w:val="auto"/>
          <w:sz w:val="32"/>
          <w:szCs w:val="32"/>
          <w:highlight w:val="none"/>
        </w:rPr>
        <w:t>（二）“三公”经费财政拨款支出决算具体情况说明</w:t>
      </w:r>
      <w:bookmarkEnd w:id="34"/>
    </w:p>
    <w:p>
      <w:pPr>
        <w:spacing w:line="600" w:lineRule="exact"/>
        <w:ind w:firstLine="64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2025年度“三公”经费财政拨款支出决算中，因公出国（境）费支出决算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万元，占0；公务用车购置及运行维护费支出决算</w:t>
      </w:r>
      <w:r>
        <w:rPr>
          <w:rFonts w:hint="eastAsia" w:ascii="仿宋_GB2312" w:hAnsi="仿宋_GB2312" w:eastAsia="仿宋_GB2312" w:cs="仿宋_GB2312"/>
          <w:sz w:val="32"/>
          <w:szCs w:val="32"/>
        </w:rPr>
        <w:t>14.4</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color w:val="auto"/>
          <w:kern w:val="2"/>
          <w:sz w:val="32"/>
          <w:szCs w:val="32"/>
          <w:highlight w:val="none"/>
          <w:lang w:val="en-US" w:eastAsia="zh-CN" w:bidi="ar-SA"/>
        </w:rPr>
        <w:t>万元，占99.86%；公务接待费支出决算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万元，占0%。具体情况如下：</w:t>
      </w:r>
    </w:p>
    <w:p>
      <w:pPr>
        <w:pStyle w:val="2"/>
        <w:rPr>
          <w:rFonts w:hint="eastAsia" w:ascii="仿宋_GB2312" w:hAnsi="仿宋_GB2312" w:eastAsia="仿宋_GB2312" w:cs="仿宋_GB2312"/>
          <w:color w:val="auto"/>
          <w:kern w:val="2"/>
          <w:sz w:val="32"/>
          <w:szCs w:val="32"/>
          <w:highlight w:val="none"/>
          <w:lang w:val="en-US" w:eastAsia="zh-CN" w:bidi="ar-SA"/>
        </w:rPr>
      </w:pPr>
      <w:r>
        <w:rPr>
          <w:rFonts w:hint="eastAsia" w:ascii="宋体" w:hAnsi="宋体" w:eastAsia="宋体" w:cs="宋体"/>
          <w:kern w:val="0"/>
          <w:sz w:val="24"/>
          <w:szCs w:val="24"/>
        </w:rPr>
        <w:drawing>
          <wp:inline distT="0" distB="0" distL="114300" distR="114300">
            <wp:extent cx="4251325" cy="2486025"/>
            <wp:effectExtent l="4445" t="4445" r="11430" b="5080"/>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pPr>
        <w:pStyle w:val="4"/>
        <w:rPr>
          <w:rFonts w:hint="eastAsia" w:ascii="仿宋_GB2312" w:hAnsi="仿宋_GB2312" w:eastAsia="仿宋_GB2312" w:cs="仿宋_GB2312"/>
          <w:color w:val="auto"/>
          <w:kern w:val="2"/>
          <w:sz w:val="32"/>
          <w:szCs w:val="32"/>
          <w:highlight w:val="none"/>
          <w:lang w:val="en-US" w:eastAsia="zh-CN" w:bidi="ar-SA"/>
        </w:rPr>
      </w:pPr>
    </w:p>
    <w:p>
      <w:pPr>
        <w:pStyle w:val="4"/>
        <w:rPr>
          <w:rFonts w:hint="eastAsia" w:ascii="仿宋_GB2312" w:hAnsi="仿宋_GB2312" w:eastAsia="仿宋_GB2312" w:cs="仿宋_GB2312"/>
          <w:color w:val="auto"/>
          <w:kern w:val="2"/>
          <w:sz w:val="32"/>
          <w:szCs w:val="32"/>
          <w:highlight w:val="none"/>
          <w:lang w:val="en-US" w:eastAsia="zh-CN" w:bidi="ar-SA"/>
        </w:rPr>
      </w:pPr>
    </w:p>
    <w:p>
      <w:pPr>
        <w:pStyle w:val="4"/>
        <w:rPr>
          <w:rFonts w:hint="eastAsia" w:ascii="仿宋_GB2312" w:hAnsi="仿宋_GB2312" w:eastAsia="仿宋_GB2312" w:cs="仿宋_GB2312"/>
          <w:color w:val="auto"/>
          <w:kern w:val="2"/>
          <w:sz w:val="32"/>
          <w:szCs w:val="32"/>
          <w:highlight w:val="none"/>
          <w:lang w:val="en-US" w:eastAsia="zh-CN" w:bidi="ar-SA"/>
        </w:rPr>
      </w:pPr>
    </w:p>
    <w:p>
      <w:pPr>
        <w:pStyle w:val="4"/>
        <w:rPr>
          <w:rFonts w:hint="eastAsia" w:ascii="仿宋_GB2312" w:hAnsi="仿宋_GB2312"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（图7：“三公”经费财政拨款支出结构）（饼状图）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1.因公出国（境）经费支出0万元，完成预算0%。</w:t>
      </w:r>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2.公务用车购置及运行维护费支出14.42万元，完成预算99.86%。公务用车购置及运行维护费支出决算比202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eastAsia="仿宋_GB2312" w:cs="仿宋_GB2312"/>
          <w:color w:val="auto"/>
          <w:kern w:val="2"/>
          <w:sz w:val="32"/>
          <w:szCs w:val="32"/>
          <w:highlight w:val="none"/>
          <w:lang w:val="en-US" w:eastAsia="zh-CN" w:bidi="ar-SA"/>
        </w:rPr>
        <w:t>减少0.02</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减少0.14</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我单位2025年我单位各项工作开展需要公务用车的频率总体平稳，相较上年略有缩减。</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14.4</w:t>
      </w:r>
      <w:r>
        <w:rPr>
          <w:rFonts w:hint="eastAsia" w:ascii="仿宋_GB2312" w:hAnsi="仿宋_GB2312" w:eastAsia="仿宋_GB2312" w:cs="仿宋_GB2312"/>
          <w:sz w:val="32"/>
          <w:szCs w:val="32"/>
          <w:lang w:val="en-US" w:eastAsia="zh-CN"/>
        </w:rPr>
        <w:t>2</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红原县交通运输、建设、执法、道路管理、道路养护</w:t>
      </w:r>
      <w:r>
        <w:rPr>
          <w:rFonts w:hint="eastAsia" w:ascii="Times New Roman" w:hAnsi="Times New Roman" w:eastAsia="仿宋_GB2312" w:cs="仿宋_GB2312"/>
          <w:color w:val="auto"/>
          <w:kern w:val="2"/>
          <w:sz w:val="32"/>
          <w:szCs w:val="32"/>
          <w:highlight w:val="none"/>
          <w:lang w:val="en-US" w:eastAsia="zh-CN" w:bidi="ar-SA"/>
        </w:rPr>
        <w:t>所需的公务用车燃料费、维修费、过路过桥费、保险费等支出。</w:t>
      </w:r>
    </w:p>
    <w:p>
      <w:pPr>
        <w:numPr>
          <w:ilvl w:val="0"/>
          <w:numId w:val="0"/>
        </w:numPr>
        <w:spacing w:line="600" w:lineRule="exact"/>
        <w:outlineLvl w:val="1"/>
        <w:rPr>
          <w:rStyle w:val="32"/>
          <w:rFonts w:ascii="Times New Roman" w:hAnsi="Times New Roman" w:eastAsia="黑体"/>
          <w:color w:val="auto"/>
          <w:highlight w:val="none"/>
        </w:rPr>
      </w:pPr>
      <w:bookmarkStart w:id="35" w:name="_Toc15377218"/>
      <w:bookmarkStart w:id="36" w:name="_Toc15396610"/>
      <w:r>
        <w:rPr>
          <w:rFonts w:hint="eastAsia" w:ascii="Times New Roman" w:hAnsi="Times New Roman" w:eastAsia="黑体"/>
          <w:color w:val="auto"/>
          <w:sz w:val="32"/>
          <w:szCs w:val="32"/>
          <w:highlight w:val="none"/>
        </w:rPr>
        <w:t>八、</w:t>
      </w:r>
      <w:r>
        <w:rPr>
          <w:rStyle w:val="32"/>
          <w:rFonts w:hint="eastAsia" w:ascii="Times New Roman" w:hAnsi="Times New Roman" w:eastAsia="黑体"/>
          <w:b w:val="0"/>
          <w:color w:val="auto"/>
          <w:highlight w:val="none"/>
        </w:rPr>
        <w:t>政府性基金预算支出决算情况说明</w:t>
      </w:r>
      <w:bookmarkEnd w:id="35"/>
      <w:bookmarkEnd w:id="36"/>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w:t>
      </w:r>
      <w:r>
        <w:rPr>
          <w:rFonts w:hint="eastAsia" w:ascii="仿宋_GB2312" w:hAnsi="仿宋_GB2312" w:eastAsia="仿宋_GB2312" w:cs="仿宋_GB2312"/>
          <w:color w:val="auto"/>
          <w:kern w:val="2"/>
          <w:sz w:val="32"/>
          <w:szCs w:val="32"/>
          <w:highlight w:val="none"/>
          <w:lang w:val="en-US" w:eastAsia="zh-CN" w:bidi="ar-SA"/>
        </w:rPr>
        <w:t>度政府性基金预算财政拨款支出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pPr>
        <w:numPr>
          <w:ilvl w:val="0"/>
          <w:numId w:val="0"/>
        </w:numPr>
        <w:spacing w:line="600" w:lineRule="exact"/>
        <w:outlineLvl w:val="1"/>
        <w:rPr>
          <w:rStyle w:val="32"/>
          <w:rFonts w:ascii="Times New Roman" w:hAnsi="Times New Roman" w:eastAsia="黑体"/>
          <w:b w:val="0"/>
          <w:color w:val="auto"/>
          <w:highlight w:val="none"/>
        </w:rPr>
      </w:pPr>
      <w:bookmarkStart w:id="37" w:name="_Toc15377219"/>
      <w:bookmarkStart w:id="38" w:name="_Toc15396611"/>
      <w:r>
        <w:rPr>
          <w:rStyle w:val="32"/>
          <w:rFonts w:hint="eastAsia" w:ascii="Times New Roman" w:hAnsi="Times New Roman" w:eastAsia="黑体"/>
          <w:b w:val="0"/>
          <w:color w:val="auto"/>
          <w:highlight w:val="none"/>
          <w:lang w:eastAsia="zh-CN"/>
        </w:rPr>
        <w:t>九、</w:t>
      </w:r>
      <w:r>
        <w:rPr>
          <w:rStyle w:val="32"/>
          <w:rFonts w:hint="eastAsia" w:ascii="Times New Roman" w:hAnsi="Times New Roman" w:eastAsia="黑体"/>
          <w:b w:val="0"/>
          <w:color w:val="auto"/>
          <w:highlight w:val="none"/>
        </w:rPr>
        <w:t>国有资本经营预算支出决算情况说明</w:t>
      </w:r>
      <w:bookmarkEnd w:id="37"/>
      <w:bookmarkEnd w:id="3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pPr>
        <w:numPr>
          <w:ilvl w:val="0"/>
          <w:numId w:val="0"/>
        </w:numPr>
        <w:spacing w:line="600" w:lineRule="exact"/>
        <w:outlineLvl w:val="1"/>
        <w:rPr>
          <w:rStyle w:val="32"/>
          <w:rFonts w:hint="eastAsia" w:ascii="Times New Roman" w:hAnsi="Times New Roman" w:eastAsia="黑体"/>
          <w:b w:val="0"/>
          <w:color w:val="auto"/>
          <w:highlight w:val="none"/>
        </w:rPr>
      </w:pPr>
      <w:bookmarkStart w:id="39" w:name="_Toc15377221"/>
      <w:bookmarkStart w:id="40" w:name="_Toc15396612"/>
      <w:r>
        <w:rPr>
          <w:rStyle w:val="32"/>
          <w:rFonts w:hint="eastAsia" w:ascii="Times New Roman" w:hAnsi="Times New Roman" w:eastAsia="黑体"/>
          <w:b w:val="0"/>
          <w:color w:val="auto"/>
          <w:highlight w:val="none"/>
          <w:lang w:eastAsia="zh-CN"/>
        </w:rPr>
        <w:t>十、</w:t>
      </w:r>
      <w:r>
        <w:rPr>
          <w:rStyle w:val="32"/>
          <w:rFonts w:hint="eastAsia" w:ascii="Times New Roman" w:hAnsi="Times New Roman" w:eastAsia="黑体"/>
          <w:b w:val="0"/>
          <w:color w:val="auto"/>
          <w:highlight w:val="none"/>
        </w:rPr>
        <w:t>其他重要事项的情况说明</w:t>
      </w:r>
      <w:bookmarkEnd w:id="39"/>
      <w:bookmarkEnd w:id="40"/>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2"/>
      <w:r>
        <w:rPr>
          <w:rFonts w:hint="eastAsia" w:ascii="Times New Roman" w:hAnsi="Times New Roman" w:eastAsia="楷体_GB2312" w:cs="楷体_GB2312"/>
          <w:b/>
          <w:color w:val="auto"/>
          <w:sz w:val="32"/>
          <w:szCs w:val="32"/>
          <w:highlight w:val="none"/>
        </w:rPr>
        <w:t>（一）机关运行经费支出情况</w:t>
      </w:r>
      <w:bookmarkEnd w:id="41"/>
    </w:p>
    <w:p>
      <w:pPr>
        <w:spacing w:line="600" w:lineRule="exact"/>
        <w:ind w:firstLine="640"/>
        <w:rPr>
          <w:rFonts w:hint="eastAsia"/>
          <w:highlight w:val="red"/>
          <w:lang w:val="en-US" w:eastAsia="zh-CN"/>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highlight w:val="none"/>
        </w:rPr>
        <w:t>红原县交通运输局</w:t>
      </w:r>
      <w:r>
        <w:rPr>
          <w:rFonts w:hint="eastAsia" w:ascii="仿宋_GB2312" w:hAnsi="仿宋_GB2312" w:eastAsia="仿宋_GB2312" w:cs="仿宋_GB2312"/>
          <w:color w:val="auto"/>
          <w:kern w:val="2"/>
          <w:sz w:val="32"/>
          <w:szCs w:val="32"/>
          <w:highlight w:val="none"/>
          <w:lang w:val="en-US" w:eastAsia="zh-CN" w:bidi="ar-SA"/>
        </w:rPr>
        <w:t>机关运行经费支</w:t>
      </w:r>
      <w:r>
        <w:rPr>
          <w:rFonts w:hint="eastAsia" w:eastAsia="仿宋_GB2312" w:cs="仿宋_GB2312"/>
          <w:color w:val="auto"/>
          <w:kern w:val="2"/>
          <w:sz w:val="32"/>
          <w:szCs w:val="32"/>
          <w:highlight w:val="none"/>
          <w:lang w:val="en-US" w:eastAsia="zh-CN" w:bidi="ar-SA"/>
        </w:rPr>
        <w:t>出59.29万元，比2024年度增加22.24万元，增长60.03%。主要</w:t>
      </w:r>
      <w:r>
        <w:rPr>
          <w:rFonts w:hint="eastAsia" w:ascii="Times New Roman" w:hAnsi="Times New Roman" w:eastAsia="仿宋_GB2312" w:cs="仿宋_GB2312"/>
          <w:color w:val="auto"/>
          <w:kern w:val="2"/>
          <w:sz w:val="32"/>
          <w:szCs w:val="32"/>
          <w:highlight w:val="none"/>
          <w:lang w:val="en-US" w:eastAsia="zh-CN" w:bidi="ar-SA"/>
        </w:rPr>
        <w:t>原因是</w:t>
      </w:r>
      <w:r>
        <w:rPr>
          <w:rFonts w:hint="eastAsia" w:eastAsia="仿宋_GB2312" w:cs="仿宋_GB2312"/>
          <w:color w:val="auto"/>
          <w:kern w:val="2"/>
          <w:sz w:val="32"/>
          <w:szCs w:val="32"/>
          <w:highlight w:val="none"/>
          <w:lang w:val="en-US" w:eastAsia="zh-CN" w:bidi="ar-SA"/>
        </w:rPr>
        <w:t>2025年我单位新增职工，机关运行经费相应增加。</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3"/>
      <w:r>
        <w:rPr>
          <w:rFonts w:hint="eastAsia" w:ascii="Times New Roman" w:hAnsi="Times New Roman" w:eastAsia="楷体_GB2312" w:cs="楷体_GB2312"/>
          <w:b/>
          <w:color w:val="auto"/>
          <w:sz w:val="32"/>
          <w:szCs w:val="32"/>
          <w:highlight w:val="none"/>
        </w:rPr>
        <w:t>（二）政府采购支出情况</w:t>
      </w:r>
      <w:bookmarkEnd w:id="42"/>
    </w:p>
    <w:p>
      <w:pPr>
        <w:spacing w:line="600" w:lineRule="exact"/>
        <w:ind w:firstLine="640"/>
        <w:rPr>
          <w:rFonts w:hint="default"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2025年度，红原县交通运输局政府采购支出总额71.43万元，其中2025年农村公路小修项目支出42.08万元，办公设备采购支出27.16万元，公务用车维修、保险费支出2.19万元。</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3" w:name="_Toc15377224"/>
      <w:r>
        <w:rPr>
          <w:rFonts w:hint="eastAsia" w:ascii="Times New Roman" w:hAnsi="Times New Roman" w:eastAsia="楷体_GB2312" w:cs="楷体_GB2312"/>
          <w:b/>
          <w:color w:val="auto"/>
          <w:sz w:val="32"/>
          <w:szCs w:val="32"/>
          <w:highlight w:val="none"/>
        </w:rPr>
        <w:t>（三）国有资产占有使用情况</w:t>
      </w:r>
      <w:bookmarkEnd w:id="43"/>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截</w:t>
      </w:r>
      <w:r>
        <w:rPr>
          <w:rFonts w:hint="eastAsia" w:eastAsia="仿宋_GB2312" w:cs="仿宋_GB2312"/>
          <w:color w:val="auto"/>
          <w:kern w:val="2"/>
          <w:sz w:val="32"/>
          <w:szCs w:val="32"/>
          <w:highlight w:val="none"/>
          <w:lang w:val="en-US" w:eastAsia="zh-CN" w:bidi="ar-SA"/>
        </w:rPr>
        <w:t>至2025年12月31日，红原县交通运输局共有车辆7辆，其中：应急保障用车4辆、执法执勤用车3辆，主要用于交通运输、管理、执法、建设、养护等工作。</w:t>
      </w: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4" w:name="_Toc15396613"/>
      <w:bookmarkStart w:id="45" w:name="_Toc15377225"/>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4"/>
      <w:bookmarkEnd w:id="45"/>
    </w:p>
    <w:p>
      <w:pPr>
        <w:spacing w:line="600" w:lineRule="exact"/>
        <w:jc w:val="left"/>
        <w:rPr>
          <w:rFonts w:ascii="Times New Roman" w:hAnsi="Times New Roman"/>
          <w:b/>
          <w:color w:val="auto"/>
          <w:sz w:val="44"/>
          <w:szCs w:val="44"/>
          <w:highlight w:val="none"/>
        </w:rPr>
      </w:pP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2.其他收入：利息收入。</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3.年初结转和结余：指以前年度尚未完成、结转到本年按有关规定继续使用的资金。</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4.结余分配：指事业单位按照事业单位会计制度的规定从非财政补助结余中分配的事业基金和职工福利基金等。</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5、年末结转和结余：指单位按有关规定结转到下年或以后年度继续使用的资金。</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6.社会保障和就业：指反映政府在社会保障与就业方面的支出。</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7.医疗卫生与计划生育：指反映医疗卫生与计划生育管理方面的支出。</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8.节能环保：指反映政府节能环保支出。</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9.城乡社区：指反映政府城乡社区事务支出。</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10.农林水：指反映正度农林水事务支出。</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11.交通运输：反映交通运输和邮政业方面的支出。</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12.住房保障：指集中反映政府用于住房方面的支出。</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13.基本支出：指为保障机构正常运转、完成日常工作任务而发生的人员支出和公用支出。</w:t>
      </w:r>
    </w:p>
    <w:p>
      <w:pPr>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14.项目支出：指在基本支出之外为完成特定行政任务和事业发展目标所发生的支出。</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15.“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9"/>
        <w:spacing w:line="56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16.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9"/>
        <w:spacing w:line="560" w:lineRule="exact"/>
        <w:ind w:firstLine="643" w:firstLineChars="200"/>
        <w:rPr>
          <w:rFonts w:ascii="仿宋" w:eastAsia="仿宋"/>
          <w:b/>
          <w:sz w:val="32"/>
          <w:szCs w:val="32"/>
        </w:rPr>
      </w:pPr>
      <w:r>
        <w:rPr>
          <w:rFonts w:hint="eastAsia" w:ascii="仿宋" w:eastAsia="仿宋"/>
          <w:b/>
          <w:sz w:val="32"/>
          <w:szCs w:val="32"/>
        </w:rPr>
        <w:t>（名词解释部分请根据各单位实际列支情况罗列，并根据本单位职责职能增减名词解释内容。）</w:t>
      </w:r>
    </w:p>
    <w:p>
      <w:pPr>
        <w:spacing w:line="600" w:lineRule="exact"/>
        <w:jc w:val="center"/>
        <w:rPr>
          <w:rFonts w:hint="eastAsia" w:ascii="Times New Roman" w:hAnsi="Times New Roman" w:eastAsia="黑体"/>
          <w:color w:val="auto"/>
          <w:sz w:val="44"/>
          <w:szCs w:val="44"/>
          <w:highlight w:val="none"/>
        </w:rPr>
      </w:pPr>
      <w:bookmarkStart w:id="46" w:name="_Toc15396614"/>
      <w:bookmarkStart w:id="47" w:name="_Toc15377226"/>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pStyle w:val="2"/>
        <w:rPr>
          <w:rFonts w:hint="eastAsia" w:ascii="Times New Roman" w:hAnsi="Times New Roman" w:eastAsia="黑体"/>
          <w:color w:val="auto"/>
          <w:sz w:val="44"/>
          <w:szCs w:val="44"/>
          <w:highlight w:val="none"/>
        </w:rPr>
      </w:pPr>
    </w:p>
    <w:p>
      <w:pPr>
        <w:pStyle w:val="4"/>
        <w:rPr>
          <w:rFonts w:hint="eastAsia" w:ascii="Times New Roman" w:hAnsi="Times New Roman" w:eastAsia="黑体"/>
          <w:color w:val="auto"/>
          <w:sz w:val="44"/>
          <w:szCs w:val="44"/>
          <w:highlight w:val="none"/>
        </w:rPr>
      </w:pPr>
    </w:p>
    <w:p>
      <w:pPr>
        <w:pStyle w:val="4"/>
        <w:rPr>
          <w:rFonts w:hint="eastAsia" w:ascii="Times New Roman" w:hAnsi="Times New Roman" w:eastAsia="黑体"/>
          <w:color w:val="auto"/>
          <w:sz w:val="44"/>
          <w:szCs w:val="44"/>
          <w:highlight w:val="none"/>
        </w:rPr>
      </w:pPr>
    </w:p>
    <w:p>
      <w:pPr>
        <w:pStyle w:val="4"/>
        <w:rPr>
          <w:rFonts w:hint="eastAsia" w:ascii="Times New Roman" w:hAnsi="Times New Roman" w:eastAsia="黑体"/>
          <w:color w:val="auto"/>
          <w:sz w:val="44"/>
          <w:szCs w:val="44"/>
          <w:highlight w:val="none"/>
        </w:rPr>
      </w:pPr>
    </w:p>
    <w:p>
      <w:pPr>
        <w:pStyle w:val="4"/>
        <w:rPr>
          <w:rFonts w:hint="eastAsia" w:ascii="Times New Roman" w:hAnsi="Times New Roman" w:eastAsia="黑体"/>
          <w:color w:val="auto"/>
          <w:sz w:val="44"/>
          <w:szCs w:val="44"/>
          <w:highlight w:val="none"/>
        </w:rPr>
      </w:pPr>
    </w:p>
    <w:p>
      <w:pPr>
        <w:pStyle w:val="4"/>
        <w:rPr>
          <w:rFonts w:hint="eastAsia" w:ascii="Times New Roman" w:hAnsi="Times New Roman" w:eastAsia="黑体"/>
          <w:color w:val="auto"/>
          <w:sz w:val="44"/>
          <w:szCs w:val="44"/>
          <w:highlight w:val="none"/>
        </w:rPr>
      </w:pPr>
    </w:p>
    <w:p>
      <w:pPr>
        <w:pStyle w:val="4"/>
        <w:rPr>
          <w:rFonts w:hint="eastAsia" w:ascii="Times New Roman" w:hAnsi="Times New Roman" w:eastAsia="黑体"/>
          <w:color w:val="auto"/>
          <w:sz w:val="44"/>
          <w:szCs w:val="44"/>
          <w:highlight w:val="none"/>
        </w:rPr>
      </w:pPr>
    </w:p>
    <w:p>
      <w:pPr>
        <w:pStyle w:val="4"/>
        <w:rPr>
          <w:rFonts w:hint="eastAsia" w:ascii="Times New Roman" w:hAnsi="Times New Roman" w:eastAsia="黑体"/>
          <w:color w:val="auto"/>
          <w:sz w:val="44"/>
          <w:szCs w:val="44"/>
          <w:highlight w:val="none"/>
        </w:rPr>
      </w:pPr>
    </w:p>
    <w:p>
      <w:pPr>
        <w:pStyle w:val="4"/>
        <w:rPr>
          <w:rFonts w:hint="eastAsia" w:ascii="Times New Roman" w:hAnsi="Times New Roman" w:eastAsia="黑体"/>
          <w:color w:val="auto"/>
          <w:sz w:val="44"/>
          <w:szCs w:val="44"/>
          <w:highlight w:val="none"/>
        </w:rPr>
      </w:pPr>
    </w:p>
    <w:p>
      <w:pPr>
        <w:pStyle w:val="4"/>
        <w:rPr>
          <w:rFonts w:hint="eastAsia" w:ascii="Times New Roman" w:hAnsi="Times New Roman" w:eastAsia="黑体"/>
          <w:color w:val="auto"/>
          <w:sz w:val="44"/>
          <w:szCs w:val="44"/>
          <w:highlight w:val="none"/>
        </w:rPr>
      </w:pPr>
    </w:p>
    <w:p>
      <w:pPr>
        <w:pStyle w:val="4"/>
        <w:rPr>
          <w:rFonts w:hint="eastAsia" w:ascii="Times New Roman" w:hAnsi="Times New Roman" w:eastAsia="黑体"/>
          <w:color w:val="auto"/>
          <w:sz w:val="44"/>
          <w:szCs w:val="44"/>
          <w:highlight w:val="none"/>
        </w:rPr>
      </w:pPr>
    </w:p>
    <w:p>
      <w:pPr>
        <w:spacing w:line="600" w:lineRule="exact"/>
        <w:jc w:val="center"/>
        <w:rPr>
          <w:rStyle w:val="31"/>
          <w:rFonts w:hint="eastAsia" w:ascii="Times New Roman" w:hAnsi="Times New Roman" w:eastAsia="黑体"/>
          <w:b w:val="0"/>
          <w:color w:val="auto"/>
          <w:highlight w:val="none"/>
          <w:lang w:eastAsia="zh-CN"/>
        </w:rPr>
      </w:pPr>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6"/>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pPr>
        <w:keepNext w:val="0"/>
        <w:keepLines w:val="0"/>
        <w:pageBreakBefore w:val="0"/>
        <w:widowControl/>
        <w:kinsoku/>
        <w:wordWrap/>
        <w:overflowPunct/>
        <w:topLinePunct w:val="0"/>
        <w:autoSpaceDE/>
        <w:autoSpaceDN/>
        <w:bidi w:val="0"/>
        <w:spacing w:line="560" w:lineRule="exact"/>
        <w:ind w:leftChars="0" w:firstLine="2080" w:firstLineChars="400"/>
        <w:contextualSpacing/>
        <w:jc w:val="left"/>
        <w:textAlignment w:val="auto"/>
        <w:outlineLvl w:val="9"/>
        <w:rPr>
          <w:rFonts w:hint="eastAsia" w:ascii="方正小标宋_GBK" w:hAnsi="方正小标宋_GBK" w:eastAsia="方正小标宋_GBK" w:cs="方正小标宋_GBK"/>
          <w:b w:val="0"/>
          <w:bCs/>
          <w:sz w:val="52"/>
          <w:szCs w:val="52"/>
          <w:highlight w:val="none"/>
          <w:shd w:val="clear" w:color="auto" w:fill="FFFFFF"/>
          <w:lang w:val="en-US" w:eastAsia="zh-CN"/>
        </w:rPr>
      </w:pPr>
      <w:r>
        <w:rPr>
          <w:rFonts w:hint="eastAsia" w:ascii="方正小标宋_GBK" w:hAnsi="方正小标宋_GBK" w:eastAsia="方正小标宋_GBK" w:cs="方正小标宋_GBK"/>
          <w:b w:val="0"/>
          <w:bCs/>
          <w:sz w:val="52"/>
          <w:szCs w:val="52"/>
          <w:highlight w:val="none"/>
          <w:shd w:val="clear" w:color="auto" w:fill="FFFFFF"/>
          <w:lang w:val="en-US" w:eastAsia="zh-CN"/>
        </w:rPr>
        <w:t>红原县交通运输局</w:t>
      </w:r>
    </w:p>
    <w:p>
      <w:pPr>
        <w:keepNext w:val="0"/>
        <w:keepLines w:val="0"/>
        <w:pageBreakBefore w:val="0"/>
        <w:widowControl/>
        <w:kinsoku/>
        <w:wordWrap/>
        <w:overflowPunct/>
        <w:topLinePunct w:val="0"/>
        <w:autoSpaceDE/>
        <w:autoSpaceDN/>
        <w:bidi w:val="0"/>
        <w:spacing w:line="560" w:lineRule="exact"/>
        <w:ind w:leftChars="0" w:firstLine="1560" w:firstLineChars="300"/>
        <w:contextualSpacing/>
        <w:jc w:val="both"/>
        <w:textAlignment w:val="auto"/>
        <w:outlineLvl w:val="9"/>
        <w:rPr>
          <w:rFonts w:hint="eastAsia" w:ascii="方正小标宋_GBK" w:hAnsi="方正小标宋_GBK" w:eastAsia="方正小标宋_GBK" w:cs="方正小标宋_GBK"/>
          <w:color w:val="000000"/>
          <w:kern w:val="0"/>
          <w:sz w:val="52"/>
          <w:szCs w:val="52"/>
          <w:highlight w:val="none"/>
          <w:shd w:val="clear" w:color="auto" w:fill="FFFFFF"/>
        </w:rPr>
      </w:pPr>
      <w:r>
        <w:rPr>
          <w:rFonts w:hint="eastAsia" w:ascii="方正小标宋_GBK" w:hAnsi="方正小标宋_GBK" w:eastAsia="方正小标宋_GBK" w:cs="方正小标宋_GBK"/>
          <w:b w:val="0"/>
          <w:bCs/>
          <w:sz w:val="52"/>
          <w:szCs w:val="52"/>
          <w:highlight w:val="none"/>
          <w:shd w:val="clear" w:color="auto" w:fill="FFFFFF"/>
        </w:rPr>
        <w:t>部门</w:t>
      </w:r>
      <w:r>
        <w:rPr>
          <w:rFonts w:hint="eastAsia" w:ascii="方正小标宋_GBK" w:hAnsi="方正小标宋_GBK" w:eastAsia="方正小标宋_GBK" w:cs="方正小标宋_GBK"/>
          <w:b w:val="0"/>
          <w:bCs/>
          <w:sz w:val="52"/>
          <w:szCs w:val="52"/>
          <w:highlight w:val="none"/>
          <w:shd w:val="clear" w:color="auto" w:fill="FFFFFF"/>
          <w:lang w:eastAsia="zh-CN"/>
        </w:rPr>
        <w:t>预算</w:t>
      </w:r>
      <w:r>
        <w:rPr>
          <w:rFonts w:hint="eastAsia" w:ascii="方正小标宋_GBK" w:hAnsi="方正小标宋_GBK" w:eastAsia="方正小标宋_GBK" w:cs="方正小标宋_GBK"/>
          <w:b w:val="0"/>
          <w:bCs/>
          <w:sz w:val="52"/>
          <w:szCs w:val="52"/>
          <w:highlight w:val="none"/>
          <w:shd w:val="clear" w:color="auto" w:fill="FFFFFF"/>
        </w:rPr>
        <w:t>绩效</w:t>
      </w:r>
      <w:r>
        <w:rPr>
          <w:rFonts w:hint="eastAsia" w:ascii="方正小标宋_GBK" w:hAnsi="方正小标宋_GBK" w:eastAsia="方正小标宋_GBK" w:cs="方正小标宋_GBK"/>
          <w:b w:val="0"/>
          <w:bCs/>
          <w:sz w:val="52"/>
          <w:szCs w:val="52"/>
          <w:highlight w:val="none"/>
          <w:shd w:val="clear" w:color="auto" w:fill="FFFFFF"/>
          <w:lang w:eastAsia="zh-CN"/>
        </w:rPr>
        <w:t>评价</w:t>
      </w:r>
      <w:r>
        <w:rPr>
          <w:rFonts w:hint="eastAsia" w:ascii="方正小标宋_GBK" w:hAnsi="方正小标宋_GBK" w:eastAsia="方正小标宋_GBK" w:cs="方正小标宋_GBK"/>
          <w:b w:val="0"/>
          <w:bCs/>
          <w:sz w:val="52"/>
          <w:szCs w:val="52"/>
          <w:highlight w:val="none"/>
          <w:shd w:val="clear" w:color="auto" w:fill="FFFFFF"/>
        </w:rPr>
        <w:t>报告</w:t>
      </w:r>
    </w:p>
    <w:p>
      <w:pPr>
        <w:keepNext w:val="0"/>
        <w:keepLines w:val="0"/>
        <w:pageBreakBefore w:val="0"/>
        <w:widowControl/>
        <w:kinsoku/>
        <w:wordWrap/>
        <w:overflowPunct/>
        <w:topLinePunct w:val="0"/>
        <w:autoSpaceDE/>
        <w:autoSpaceDN/>
        <w:bidi w:val="0"/>
        <w:spacing w:line="560" w:lineRule="exact"/>
        <w:ind w:leftChars="0" w:firstLine="420" w:firstLineChars="200"/>
        <w:contextualSpacing/>
        <w:jc w:val="center"/>
        <w:textAlignment w:val="auto"/>
        <w:outlineLvl w:val="9"/>
        <w:rPr>
          <w:rFonts w:hint="default" w:ascii="Times New Roman" w:hAnsi="Times New Roman" w:cs="Times New Roman"/>
          <w:szCs w:val="32"/>
          <w:highlight w:val="none"/>
          <w:shd w:val="clear" w:color="auto" w:fill="FFFFFF"/>
        </w:rPr>
      </w:pPr>
    </w:p>
    <w:p>
      <w:pPr>
        <w:keepNext w:val="0"/>
        <w:keepLines w:val="0"/>
        <w:pageBreakBefore w:val="0"/>
        <w:widowControl/>
        <w:kinsoku/>
        <w:wordWrap/>
        <w:overflowPunct/>
        <w:topLinePunct w:val="0"/>
        <w:autoSpaceDE/>
        <w:autoSpaceDN/>
        <w:bidi w:val="0"/>
        <w:adjustRightInd w:val="0"/>
        <w:snapToGrid w:val="0"/>
        <w:spacing w:line="560" w:lineRule="exact"/>
        <w:ind w:leftChars="0"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pPr>
        <w:keepNext w:val="0"/>
        <w:keepLines w:val="0"/>
        <w:pageBreakBefore w:val="0"/>
        <w:widowControl/>
        <w:kinsoku/>
        <w:wordWrap/>
        <w:overflowPunct/>
        <w:topLinePunct w:val="0"/>
        <w:autoSpaceDE/>
        <w:autoSpaceDN/>
        <w:bidi w:val="0"/>
        <w:adjustRightInd w:val="0"/>
        <w:snapToGrid w:val="0"/>
        <w:spacing w:line="560" w:lineRule="exact"/>
        <w:ind w:leftChars="0"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rPr>
      </w:pPr>
      <w:r>
        <w:rPr>
          <w:rFonts w:hint="default" w:ascii="Times New Roman" w:hAnsi="Times New Roman" w:eastAsia="黑体" w:cs="Times New Roman"/>
          <w:color w:val="000000"/>
          <w:kern w:val="0"/>
          <w:sz w:val="32"/>
          <w:szCs w:val="32"/>
          <w:highlight w:val="none"/>
          <w:shd w:val="clear" w:color="auto" w:fill="FFFFFF"/>
          <w:lang w:val="zh-CN"/>
        </w:rPr>
        <w:t>一、部门（单位）基本情况</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560" w:lineRule="exact"/>
        <w:ind w:leftChars="0" w:right="0" w:rightChars="0" w:firstLine="643" w:firstLineChars="200"/>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eastAsia" w:ascii="Times New Roman" w:hAnsi="Times New Roman" w:eastAsia="楷体_GB2312" w:cs="Times New Roman"/>
          <w:b/>
          <w:bCs/>
          <w:color w:val="000000"/>
          <w:kern w:val="0"/>
          <w:sz w:val="32"/>
          <w:szCs w:val="32"/>
          <w:highlight w:val="none"/>
          <w:shd w:val="clear" w:color="auto" w:fill="FFFFFF"/>
          <w:lang w:val="zh-CN"/>
        </w:rPr>
        <w:t>（一）</w:t>
      </w:r>
      <w:r>
        <w:rPr>
          <w:rFonts w:hint="default" w:ascii="Times New Roman" w:hAnsi="Times New Roman" w:eastAsia="楷体_GB2312" w:cs="Times New Roman"/>
          <w:b/>
          <w:bCs/>
          <w:color w:val="000000"/>
          <w:kern w:val="0"/>
          <w:sz w:val="32"/>
          <w:szCs w:val="32"/>
          <w:highlight w:val="none"/>
          <w:shd w:val="clear" w:color="auto" w:fill="FFFFFF"/>
          <w:lang w:val="zh-CN"/>
        </w:rPr>
        <w:t>机构组成。</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560" w:lineRule="exact"/>
        <w:ind w:leftChars="0" w:right="0" w:rightChars="0" w:firstLine="640" w:firstLineChars="200"/>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en-US" w:eastAsia="zh-CN"/>
        </w:rPr>
      </w:pPr>
      <w:r>
        <w:rPr>
          <w:rFonts w:hint="eastAsia"/>
          <w:sz w:val="32"/>
          <w:szCs w:val="32"/>
          <w:lang w:val="en-US" w:eastAsia="zh-CN"/>
        </w:rPr>
        <w:t>红原县交通运输局</w:t>
      </w:r>
      <w:r>
        <w:rPr>
          <w:rFonts w:hint="eastAsia"/>
          <w:sz w:val="32"/>
          <w:szCs w:val="32"/>
          <w:lang w:eastAsia="zh-CN"/>
        </w:rPr>
        <w:t>下设单位</w:t>
      </w:r>
      <w:r>
        <w:rPr>
          <w:rFonts w:hint="eastAsia"/>
          <w:sz w:val="32"/>
          <w:szCs w:val="32"/>
          <w:lang w:val="en-US" w:eastAsia="zh-CN"/>
        </w:rPr>
        <w:t>1</w:t>
      </w:r>
      <w:r>
        <w:rPr>
          <w:rFonts w:hint="eastAsia"/>
          <w:sz w:val="32"/>
          <w:szCs w:val="32"/>
        </w:rPr>
        <w:t>个，其中其他事业单位</w:t>
      </w:r>
      <w:r>
        <w:rPr>
          <w:rFonts w:hint="eastAsia"/>
          <w:sz w:val="32"/>
          <w:szCs w:val="32"/>
          <w:lang w:val="en-US" w:eastAsia="zh-CN"/>
        </w:rPr>
        <w:t>1</w:t>
      </w:r>
      <w:r>
        <w:rPr>
          <w:rFonts w:hint="eastAsia"/>
          <w:sz w:val="32"/>
          <w:szCs w:val="32"/>
        </w:rPr>
        <w:t>个。</w:t>
      </w:r>
      <w:r>
        <w:rPr>
          <w:rFonts w:hint="eastAsia" w:ascii="Times New Roman" w:hAnsi="Times New Roman" w:eastAsia="楷体_GB2312" w:cs="Times New Roman"/>
          <w:b/>
          <w:bCs/>
          <w:color w:val="000000"/>
          <w:kern w:val="0"/>
          <w:sz w:val="32"/>
          <w:szCs w:val="32"/>
          <w:highlight w:val="none"/>
          <w:shd w:val="clear" w:color="auto" w:fill="FFFFFF"/>
          <w:lang w:val="en-US" w:eastAsia="zh-CN"/>
        </w:rPr>
        <w:t>红原县交通运输局交通工程质量监督站。</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560" w:lineRule="exact"/>
        <w:ind w:leftChars="0" w:right="0" w:rightChars="0" w:firstLine="643" w:firstLineChars="200"/>
        <w:jc w:val="left"/>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zh-CN"/>
        </w:rPr>
      </w:pPr>
      <w:r>
        <w:rPr>
          <w:rFonts w:hint="eastAsia" w:eastAsia="楷体_GB2312" w:cs="Times New Roman"/>
          <w:b/>
          <w:bCs/>
          <w:color w:val="000000"/>
          <w:kern w:val="0"/>
          <w:sz w:val="32"/>
          <w:szCs w:val="32"/>
          <w:highlight w:val="none"/>
          <w:shd w:val="clear" w:color="auto" w:fill="FFFFFF"/>
          <w:lang w:val="zh-CN"/>
        </w:rPr>
        <w:t>（</w:t>
      </w:r>
      <w:r>
        <w:rPr>
          <w:rFonts w:hint="eastAsia" w:eastAsia="楷体_GB2312" w:cs="Times New Roman"/>
          <w:b/>
          <w:bCs/>
          <w:color w:val="000000"/>
          <w:kern w:val="0"/>
          <w:sz w:val="32"/>
          <w:szCs w:val="32"/>
          <w:highlight w:val="none"/>
          <w:shd w:val="clear" w:color="auto" w:fill="FFFFFF"/>
          <w:lang w:val="en-US" w:eastAsia="zh-CN"/>
        </w:rPr>
        <w:t>二</w:t>
      </w:r>
      <w:r>
        <w:rPr>
          <w:rFonts w:hint="eastAsia" w:eastAsia="楷体_GB2312" w:cs="Times New Roman"/>
          <w:b/>
          <w:bCs/>
          <w:color w:val="000000"/>
          <w:kern w:val="0"/>
          <w:sz w:val="32"/>
          <w:szCs w:val="32"/>
          <w:highlight w:val="none"/>
          <w:shd w:val="clear" w:color="auto" w:fill="FFFFFF"/>
          <w:lang w:val="zh-CN"/>
        </w:rPr>
        <w:t>）</w:t>
      </w:r>
      <w:r>
        <w:rPr>
          <w:rFonts w:hint="default" w:ascii="Times New Roman" w:hAnsi="Times New Roman" w:eastAsia="楷体_GB2312" w:cs="Times New Roman"/>
          <w:b/>
          <w:bCs/>
          <w:color w:val="000000"/>
          <w:kern w:val="0"/>
          <w:sz w:val="32"/>
          <w:szCs w:val="32"/>
          <w:highlight w:val="none"/>
          <w:shd w:val="clear" w:color="auto" w:fill="FFFFFF"/>
          <w:lang w:val="zh-CN"/>
        </w:rPr>
        <w:t>机构职能</w:t>
      </w:r>
      <w:r>
        <w:rPr>
          <w:rFonts w:hint="eastAsia" w:ascii="Times New Roman" w:hAnsi="Times New Roman" w:eastAsia="楷体_GB2312" w:cs="Times New Roman"/>
          <w:b/>
          <w:bCs/>
          <w:color w:val="000000"/>
          <w:kern w:val="0"/>
          <w:sz w:val="32"/>
          <w:szCs w:val="32"/>
          <w:highlight w:val="none"/>
          <w:shd w:val="clear" w:color="auto" w:fill="FFFFFF"/>
          <w:lang w:val="zh-CN"/>
        </w:rPr>
        <w:t>。</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（一）贯彻执行国家有关交通运输行业的方针、政策和法律、法规。组织拟订并监督实施公路、水路等行业规划、政策和标准，会同有关部门组织编制综合运输体系规划，参与拟订物流业发展战略和规划。</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（二）负责本系统、本部门依法行政工作，落实行政执法责任制。指导公路、水路行业有关体制改革工作，承担县境内高速公路协调管理的有关工作。</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（三）承担全县道路、水路交通运输市场监管责任，组织拟定道路、水路运输有关政策、技术标准和运营规范并监督实施，指导城乡客运管理工作，指导</w:t>
      </w:r>
      <w:r>
        <w:rPr>
          <w:rFonts w:hint="eastAsia" w:ascii="仿宋_GB2312" w:hAnsi="仿宋" w:eastAsia="仿宋_GB2312"/>
          <w:sz w:val="32"/>
          <w:szCs w:val="32"/>
          <w:lang w:eastAsia="zh-CN"/>
        </w:rPr>
        <w:t>城市公共客运及</w:t>
      </w:r>
      <w:r>
        <w:rPr>
          <w:rFonts w:hint="eastAsia" w:ascii="仿宋_GB2312" w:hAnsi="仿宋" w:eastAsia="仿宋_GB2312"/>
          <w:sz w:val="32"/>
          <w:szCs w:val="32"/>
        </w:rPr>
        <w:t>出租汽车行业管理工作，会同有关部门制定运输价格。</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四）承担水上交通安全监管责任。负责水上交通管制、运输船舶及相关水上设施检验、登记和防止污染、救助打捞、通讯导航、危险品运输的监督管理工作，负责船员管理相关工作。指导水上交通安全事故、船舶及相关水上设施污染事故的应急处置，依法组织或参与事故调查处理工作。</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（五）负责提出公路、水路固定资产投资规模和方向、县财政性资金安排建议，按照规定权限审批、核准省、州、县规划内和年度计划规模内</w:t>
      </w:r>
      <w:r>
        <w:rPr>
          <w:rFonts w:hint="eastAsia" w:ascii="仿宋_GB2312" w:hAnsi="仿宋" w:eastAsia="仿宋_GB2312"/>
          <w:sz w:val="32"/>
          <w:szCs w:val="32"/>
          <w:lang w:eastAsia="zh-CN"/>
        </w:rPr>
        <w:t>公路、水路</w:t>
      </w:r>
      <w:r>
        <w:rPr>
          <w:rFonts w:hint="eastAsia" w:ascii="仿宋_GB2312" w:hAnsi="仿宋" w:eastAsia="仿宋_GB2312"/>
          <w:sz w:val="32"/>
          <w:szCs w:val="32"/>
        </w:rPr>
        <w:t>固定资产投资项目。会同有关部门拟订公路、水路有关规费政策并监督实施，提出有关财政、土地、价格等政策建议。指导交通运输行业审计工作。</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六）承担公路、水路建设市场监管责任。拟订公路、水路工程建设相关政策、制度、技术标准并监督实施，组织协调公路、水路有关重点工程建设和工程质量、安全生产监督管理工作。负责对交通行业和产业项目的招标投标活动的监督执法。指导交通运输基础设施管理和维护，承担有关重要设施的管理和维护。按规定负责码头规划和码头岸线使用管理工作，指导交通运输行业特许经营管理，会同有关部门组织实施交通运输行业职业资格管理工作。</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（七）指导公路、水路行业安全生产和应急管理工作。按规定组织协调州、县重点物资和紧急客货运输，负责全县重点干线路网运行监测和协调。组织协调地方交通战备工作，承担国防动员有关工作。</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（八）制定交通运输科技政策并监督实施，组织科技开发。指导全县交通运输信息化建设，监测分析运行情况，开展相关统计工作，发布有关信息。指导公路、水路行业环境保护和节能减排工作。</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（九）负责公路、水路有关涉外工作，开展对外经济技术交流与合作，指导全县交通运输行业招商引资和利用外资工作。</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（十）指导交通行业的精神文明建设、廉政建设和职工队伍建设；指导交通系统的教育培训。</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（十一）</w:t>
      </w:r>
      <w:r>
        <w:rPr>
          <w:rFonts w:hint="eastAsia" w:ascii="仿宋_GB2312" w:hAnsi="仿宋" w:eastAsia="仿宋_GB2312"/>
          <w:sz w:val="32"/>
          <w:szCs w:val="32"/>
          <w:lang w:eastAsia="zh-CN"/>
        </w:rPr>
        <w:t>负责全县范围内的渔船检验和监督管理工作</w:t>
      </w:r>
      <w:r>
        <w:rPr>
          <w:rFonts w:hint="eastAsia" w:ascii="仿宋_GB2312" w:hAnsi="仿宋" w:eastAsia="仿宋_GB2312"/>
          <w:sz w:val="32"/>
          <w:szCs w:val="32"/>
        </w:rPr>
        <w:t>。</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eastAsia="zh-CN"/>
        </w:rPr>
      </w:pPr>
      <w:r>
        <w:rPr>
          <w:rFonts w:hint="eastAsia" w:ascii="仿宋_GB2312" w:hAnsi="仿宋" w:eastAsia="仿宋_GB2312"/>
          <w:sz w:val="32"/>
          <w:szCs w:val="32"/>
          <w:lang w:eastAsia="zh-CN"/>
        </w:rPr>
        <w:t>（十二）</w:t>
      </w:r>
      <w:r>
        <w:rPr>
          <w:rFonts w:hint="eastAsia" w:ascii="仿宋_GB2312" w:hAnsi="仿宋" w:eastAsia="仿宋_GB2312"/>
          <w:sz w:val="32"/>
          <w:szCs w:val="32"/>
        </w:rPr>
        <w:t>承办县委、县政府和上级主管部门交办的其他事项</w:t>
      </w:r>
      <w:r>
        <w:rPr>
          <w:rFonts w:hint="eastAsia" w:ascii="仿宋_GB2312" w:hAnsi="仿宋" w:eastAsia="仿宋_GB2312"/>
          <w:sz w:val="32"/>
          <w:szCs w:val="32"/>
          <w:lang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560" w:lineRule="exact"/>
        <w:ind w:leftChars="0" w:right="0" w:rightChars="0" w:firstLine="643" w:firstLineChars="200"/>
        <w:jc w:val="left"/>
        <w:textAlignment w:val="auto"/>
        <w:outlineLvl w:val="9"/>
        <w:rPr>
          <w:rFonts w:hint="eastAsia"/>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（三）人员概况。</w:t>
      </w:r>
      <w:r>
        <w:rPr>
          <w:rFonts w:hint="eastAsia" w:ascii="仿宋_GB2312" w:hAnsi="仿宋_GB2312" w:eastAsia="仿宋_GB2312" w:cs="仿宋_GB2312"/>
          <w:bCs/>
          <w:sz w:val="32"/>
          <w:szCs w:val="32"/>
        </w:rPr>
        <w:t>截止</w:t>
      </w:r>
      <w:r>
        <w:rPr>
          <w:rFonts w:hint="eastAsia" w:ascii="Times New Roman" w:hAnsi="Times New Roman" w:eastAsia="仿宋_GB2312" w:cs="仿宋_GB2312"/>
          <w:color w:val="auto"/>
          <w:kern w:val="2"/>
          <w:sz w:val="32"/>
          <w:szCs w:val="32"/>
          <w:highlight w:val="none"/>
          <w:lang w:val="en-US" w:eastAsia="zh-CN" w:bidi="ar-SA"/>
        </w:rPr>
        <w:t>2025</w:t>
      </w:r>
      <w:r>
        <w:rPr>
          <w:rFonts w:hint="eastAsia" w:ascii="仿宋_GB2312" w:hAnsi="仿宋_GB2312" w:eastAsia="仿宋_GB2312" w:cs="仿宋_GB2312"/>
          <w:bCs/>
          <w:sz w:val="32"/>
          <w:szCs w:val="32"/>
        </w:rPr>
        <w:t>年底</w:t>
      </w:r>
      <w:r>
        <w:rPr>
          <w:rFonts w:hint="eastAsia" w:ascii="仿宋_GB2312" w:hAnsi="仿宋_GB2312" w:cs="仿宋_GB2312"/>
          <w:bCs/>
          <w:sz w:val="32"/>
          <w:szCs w:val="32"/>
          <w:lang w:eastAsia="zh-CN"/>
        </w:rPr>
        <w:t>。</w:t>
      </w:r>
      <w:r>
        <w:rPr>
          <w:rFonts w:hint="eastAsia" w:ascii="仿宋_GB2312" w:hAnsi="仿宋_GB2312" w:eastAsia="仿宋_GB2312" w:cs="仿宋_GB2312"/>
          <w:bCs/>
          <w:sz w:val="32"/>
          <w:szCs w:val="32"/>
        </w:rPr>
        <w:t>我单位共有编制</w:t>
      </w:r>
      <w:r>
        <w:rPr>
          <w:rFonts w:hint="eastAsia" w:ascii="Times New Roman" w:hAnsi="Times New Roman" w:eastAsia="仿宋_GB2312" w:cs="仿宋_GB2312"/>
          <w:color w:val="auto"/>
          <w:kern w:val="2"/>
          <w:sz w:val="32"/>
          <w:szCs w:val="32"/>
          <w:highlight w:val="none"/>
          <w:lang w:val="en-US" w:eastAsia="zh-CN" w:bidi="ar-SA"/>
        </w:rPr>
        <w:t>87</w:t>
      </w:r>
      <w:r>
        <w:rPr>
          <w:rFonts w:hint="eastAsia" w:ascii="仿宋_GB2312" w:hAnsi="仿宋_GB2312" w:eastAsia="仿宋_GB2312" w:cs="仿宋_GB2312"/>
          <w:bCs/>
          <w:sz w:val="32"/>
          <w:szCs w:val="32"/>
        </w:rPr>
        <w:t>个，其中公务员编制</w:t>
      </w:r>
      <w:r>
        <w:rPr>
          <w:rFonts w:hint="eastAsia" w:ascii="Times New Roman" w:hAnsi="Times New Roman" w:eastAsia="仿宋_GB2312" w:cs="仿宋_GB2312"/>
          <w:color w:val="auto"/>
          <w:kern w:val="2"/>
          <w:sz w:val="32"/>
          <w:szCs w:val="32"/>
          <w:highlight w:val="none"/>
          <w:lang w:val="en-US" w:eastAsia="zh-CN" w:bidi="ar-SA"/>
        </w:rPr>
        <w:t>8个</w:t>
      </w:r>
      <w:r>
        <w:rPr>
          <w:rFonts w:hint="eastAsia" w:ascii="仿宋_GB2312" w:hAnsi="仿宋_GB2312" w:eastAsia="仿宋_GB2312" w:cs="仿宋_GB2312"/>
          <w:bCs/>
          <w:sz w:val="32"/>
          <w:szCs w:val="32"/>
        </w:rPr>
        <w:t>，行政工勤编制</w:t>
      </w:r>
      <w:r>
        <w:rPr>
          <w:rFonts w:hint="eastAsia" w:ascii="Times New Roman" w:hAnsi="Times New Roman" w:eastAsia="仿宋_GB2312" w:cs="仿宋_GB2312"/>
          <w:color w:val="auto"/>
          <w:kern w:val="2"/>
          <w:sz w:val="32"/>
          <w:szCs w:val="32"/>
          <w:highlight w:val="none"/>
          <w:lang w:val="en-US" w:eastAsia="zh-CN" w:bidi="ar-SA"/>
        </w:rPr>
        <w:t>1</w:t>
      </w:r>
      <w:r>
        <w:rPr>
          <w:rFonts w:hint="eastAsia" w:ascii="仿宋_GB2312" w:hAnsi="仿宋_GB2312" w:eastAsia="仿宋_GB2312" w:cs="仿宋_GB2312"/>
          <w:bCs/>
          <w:sz w:val="32"/>
          <w:szCs w:val="32"/>
        </w:rPr>
        <w:t>个，</w:t>
      </w:r>
      <w:r>
        <w:rPr>
          <w:rFonts w:hint="eastAsia" w:ascii="仿宋_GB2312" w:hAnsi="仿宋_GB2312" w:cs="仿宋_GB2312"/>
          <w:bCs/>
          <w:sz w:val="32"/>
          <w:szCs w:val="32"/>
          <w:lang w:val="en-US" w:eastAsia="zh-CN"/>
        </w:rPr>
        <w:t>参公编制</w:t>
      </w:r>
      <w:r>
        <w:rPr>
          <w:rFonts w:hint="eastAsia" w:ascii="Times New Roman" w:hAnsi="Times New Roman" w:eastAsia="仿宋_GB2312" w:cs="仿宋_GB2312"/>
          <w:color w:val="auto"/>
          <w:kern w:val="2"/>
          <w:sz w:val="32"/>
          <w:szCs w:val="32"/>
          <w:highlight w:val="none"/>
          <w:lang w:val="en-US" w:eastAsia="zh-CN" w:bidi="ar-SA"/>
        </w:rPr>
        <w:t>14</w:t>
      </w:r>
      <w:r>
        <w:rPr>
          <w:rFonts w:hint="eastAsia" w:ascii="仿宋_GB2312" w:hAnsi="仿宋_GB2312" w:cs="仿宋_GB2312"/>
          <w:bCs/>
          <w:sz w:val="32"/>
          <w:szCs w:val="32"/>
          <w:lang w:val="en-US" w:eastAsia="zh-CN"/>
        </w:rPr>
        <w:t>个，</w:t>
      </w:r>
      <w:r>
        <w:rPr>
          <w:rFonts w:hint="eastAsia" w:ascii="仿宋_GB2312" w:hAnsi="仿宋_GB2312" w:eastAsia="仿宋_GB2312" w:cs="仿宋_GB2312"/>
          <w:bCs/>
          <w:sz w:val="32"/>
          <w:szCs w:val="32"/>
        </w:rPr>
        <w:t>事业编制</w:t>
      </w:r>
      <w:r>
        <w:rPr>
          <w:rFonts w:hint="eastAsia" w:ascii="Times New Roman" w:hAnsi="Times New Roman" w:eastAsia="仿宋_GB2312" w:cs="仿宋_GB2312"/>
          <w:color w:val="auto"/>
          <w:kern w:val="2"/>
          <w:sz w:val="32"/>
          <w:szCs w:val="32"/>
          <w:highlight w:val="none"/>
          <w:lang w:val="en-US" w:eastAsia="zh-CN" w:bidi="ar-SA"/>
        </w:rPr>
        <w:t>11</w:t>
      </w:r>
      <w:r>
        <w:rPr>
          <w:rFonts w:hint="eastAsia" w:ascii="仿宋_GB2312" w:hAnsi="仿宋_GB2312" w:eastAsia="仿宋_GB2312" w:cs="仿宋_GB2312"/>
          <w:bCs/>
          <w:sz w:val="32"/>
          <w:szCs w:val="32"/>
        </w:rPr>
        <w:t>个</w:t>
      </w:r>
      <w:r>
        <w:rPr>
          <w:rFonts w:hint="eastAsia" w:ascii="仿宋_GB2312" w:hAnsi="仿宋_GB2312" w:cs="仿宋_GB2312"/>
          <w:bCs/>
          <w:sz w:val="32"/>
          <w:szCs w:val="32"/>
          <w:lang w:eastAsia="zh-CN"/>
        </w:rPr>
        <w:t>，</w:t>
      </w:r>
      <w:r>
        <w:rPr>
          <w:rFonts w:hint="eastAsia" w:ascii="仿宋_GB2312" w:hAnsi="仿宋_GB2312" w:cs="仿宋_GB2312"/>
          <w:bCs/>
          <w:sz w:val="32"/>
          <w:szCs w:val="32"/>
          <w:lang w:val="en-US" w:eastAsia="zh-CN"/>
        </w:rPr>
        <w:t>事业工勤</w:t>
      </w:r>
      <w:r>
        <w:rPr>
          <w:rFonts w:hint="eastAsia" w:ascii="Times New Roman" w:hAnsi="Times New Roman" w:eastAsia="仿宋_GB2312" w:cs="仿宋_GB2312"/>
          <w:color w:val="auto"/>
          <w:kern w:val="2"/>
          <w:sz w:val="32"/>
          <w:szCs w:val="32"/>
          <w:highlight w:val="none"/>
          <w:lang w:val="en-US" w:eastAsia="zh-CN" w:bidi="ar-SA"/>
        </w:rPr>
        <w:t>53</w:t>
      </w:r>
      <w:r>
        <w:rPr>
          <w:rFonts w:hint="eastAsia" w:ascii="仿宋_GB2312" w:hAnsi="仿宋_GB2312" w:cs="仿宋_GB2312"/>
          <w:bCs/>
          <w:sz w:val="32"/>
          <w:szCs w:val="32"/>
          <w:lang w:val="en-US" w:eastAsia="zh-CN"/>
        </w:rPr>
        <w:t>个</w:t>
      </w:r>
      <w:r>
        <w:rPr>
          <w:rFonts w:hint="eastAsia" w:ascii="仿宋_GB2312" w:hAnsi="仿宋_GB2312" w:cs="仿宋_GB2312"/>
          <w:bCs/>
          <w:sz w:val="32"/>
          <w:szCs w:val="32"/>
          <w:lang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leftChars="0"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rPr>
        <w:t>二、</w:t>
      </w:r>
      <w:r>
        <w:rPr>
          <w:rFonts w:hint="default" w:ascii="Times New Roman" w:hAnsi="Times New Roman" w:eastAsia="黑体" w:cs="Times New Roman"/>
          <w:color w:val="000000"/>
          <w:kern w:val="0"/>
          <w:sz w:val="32"/>
          <w:szCs w:val="32"/>
          <w:highlight w:val="none"/>
          <w:shd w:val="clear" w:color="auto" w:fill="FFFFFF"/>
          <w:lang w:val="zh-CN" w:eastAsia="zh-CN"/>
        </w:rPr>
        <w:t>部门</w:t>
      </w:r>
      <w:r>
        <w:rPr>
          <w:rFonts w:hint="default" w:ascii="Times New Roman" w:hAnsi="Times New Roman" w:eastAsia="黑体" w:cs="Times New Roman"/>
          <w:color w:val="000000"/>
          <w:kern w:val="0"/>
          <w:sz w:val="32"/>
          <w:szCs w:val="32"/>
          <w:highlight w:val="none"/>
          <w:shd w:val="clear" w:color="auto" w:fill="FFFFFF"/>
          <w:lang w:val="zh-CN"/>
        </w:rPr>
        <w:t>资金收支情况</w:t>
      </w:r>
    </w:p>
    <w:p>
      <w:pPr>
        <w:keepNext w:val="0"/>
        <w:keepLines w:val="0"/>
        <w:pageBreakBefore w:val="0"/>
        <w:kinsoku/>
        <w:wordWrap/>
        <w:overflowPunct/>
        <w:topLinePunct w:val="0"/>
        <w:autoSpaceDE/>
        <w:autoSpaceDN/>
        <w:bidi w:val="0"/>
        <w:spacing w:line="560" w:lineRule="exact"/>
        <w:ind w:leftChars="0" w:firstLine="643" w:firstLineChars="200"/>
        <w:textAlignment w:val="auto"/>
        <w:rPr>
          <w:rFonts w:hint="eastAsia" w:ascii="仿宋_GB2312" w:hAnsi="仿宋" w:eastAsia="仿宋_GB2312"/>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（一）收入情况。</w:t>
      </w:r>
      <w:r>
        <w:rPr>
          <w:rFonts w:hint="eastAsia" w:ascii="仿宋_GB2312" w:hAnsi="仿宋" w:eastAsia="仿宋_GB2312"/>
          <w:sz w:val="32"/>
          <w:szCs w:val="32"/>
          <w:lang w:val="en-US" w:eastAsia="zh-CN"/>
        </w:rPr>
        <w:t>本单位本年度收入全年预算数为</w:t>
      </w:r>
      <w:r>
        <w:rPr>
          <w:rFonts w:hint="eastAsia" w:ascii="Times New Roman" w:hAnsi="Times New Roman" w:eastAsia="仿宋_GB2312" w:cs="仿宋_GB2312"/>
          <w:color w:val="auto"/>
          <w:kern w:val="2"/>
          <w:sz w:val="32"/>
          <w:szCs w:val="32"/>
          <w:highlight w:val="none"/>
          <w:lang w:val="en-US" w:eastAsia="zh-CN" w:bidi="ar-SA"/>
        </w:rPr>
        <w:t>10452.89</w:t>
      </w:r>
      <w:r>
        <w:rPr>
          <w:rFonts w:hint="eastAsia" w:ascii="仿宋_GB2312" w:hAnsi="仿宋" w:eastAsia="仿宋_GB2312"/>
          <w:sz w:val="32"/>
          <w:szCs w:val="32"/>
          <w:lang w:val="en-US" w:eastAsia="zh-CN"/>
        </w:rPr>
        <w:t>万元，收入决算数为</w:t>
      </w:r>
      <w:r>
        <w:rPr>
          <w:rFonts w:hint="eastAsia" w:ascii="Times New Roman" w:hAnsi="Times New Roman" w:eastAsia="仿宋_GB2312" w:cs="仿宋_GB2312"/>
          <w:color w:val="auto"/>
          <w:kern w:val="2"/>
          <w:sz w:val="32"/>
          <w:szCs w:val="32"/>
          <w:highlight w:val="none"/>
          <w:lang w:val="en-US" w:eastAsia="zh-CN" w:bidi="ar-SA"/>
        </w:rPr>
        <w:t>10452.89</w:t>
      </w:r>
      <w:r>
        <w:rPr>
          <w:rFonts w:hint="eastAsia" w:ascii="仿宋_GB2312" w:hAnsi="仿宋" w:eastAsia="仿宋_GB2312"/>
          <w:sz w:val="32"/>
          <w:szCs w:val="32"/>
          <w:lang w:val="en-US" w:eastAsia="zh-CN"/>
        </w:rPr>
        <w:t>万元，预算完成</w:t>
      </w:r>
      <w:r>
        <w:rPr>
          <w:rFonts w:hint="eastAsia" w:ascii="Times New Roman" w:hAnsi="Times New Roman" w:eastAsia="仿宋_GB2312" w:cs="仿宋_GB2312"/>
          <w:color w:val="auto"/>
          <w:kern w:val="2"/>
          <w:sz w:val="32"/>
          <w:szCs w:val="32"/>
          <w:highlight w:val="none"/>
          <w:lang w:val="en-US" w:eastAsia="zh-CN" w:bidi="ar-SA"/>
        </w:rPr>
        <w:t>100.00%</w:t>
      </w:r>
      <w:r>
        <w:rPr>
          <w:rFonts w:hint="eastAsia" w:ascii="仿宋_GB2312" w:hAnsi="仿宋" w:eastAsia="仿宋_GB2312"/>
          <w:sz w:val="32"/>
          <w:szCs w:val="32"/>
          <w:lang w:val="en-US" w:eastAsia="zh-CN"/>
        </w:rPr>
        <w:t>。本年度支出全年预算数为</w:t>
      </w:r>
      <w:r>
        <w:rPr>
          <w:rFonts w:hint="eastAsia" w:ascii="Times New Roman" w:hAnsi="Times New Roman" w:eastAsia="仿宋_GB2312" w:cs="仿宋_GB2312"/>
          <w:color w:val="auto"/>
          <w:kern w:val="2"/>
          <w:sz w:val="32"/>
          <w:szCs w:val="32"/>
          <w:highlight w:val="none"/>
          <w:lang w:val="en-US" w:eastAsia="zh-CN" w:bidi="ar-SA"/>
        </w:rPr>
        <w:t>10452.89</w:t>
      </w:r>
      <w:r>
        <w:rPr>
          <w:rFonts w:hint="eastAsia" w:ascii="仿宋_GB2312" w:hAnsi="仿宋" w:eastAsia="仿宋_GB2312"/>
          <w:sz w:val="32"/>
          <w:szCs w:val="32"/>
          <w:lang w:val="en-US" w:eastAsia="zh-CN"/>
        </w:rPr>
        <w:t>万元，支出决算数为</w:t>
      </w:r>
      <w:r>
        <w:rPr>
          <w:rFonts w:hint="eastAsia" w:ascii="Times New Roman" w:hAnsi="Times New Roman" w:eastAsia="仿宋_GB2312" w:cs="仿宋_GB2312"/>
          <w:color w:val="auto"/>
          <w:kern w:val="2"/>
          <w:sz w:val="32"/>
          <w:szCs w:val="32"/>
          <w:highlight w:val="none"/>
          <w:lang w:val="en-US" w:eastAsia="zh-CN" w:bidi="ar-SA"/>
        </w:rPr>
        <w:t>10452.89</w:t>
      </w:r>
      <w:r>
        <w:rPr>
          <w:rFonts w:hint="eastAsia" w:ascii="仿宋_GB2312" w:hAnsi="仿宋" w:eastAsia="仿宋_GB2312"/>
          <w:sz w:val="32"/>
          <w:szCs w:val="32"/>
          <w:lang w:val="en-US" w:eastAsia="zh-CN"/>
        </w:rPr>
        <w:t>万元，预算完成</w:t>
      </w:r>
      <w:r>
        <w:rPr>
          <w:rFonts w:hint="eastAsia" w:ascii="Times New Roman" w:hAnsi="Times New Roman" w:eastAsia="仿宋_GB2312" w:cs="仿宋_GB2312"/>
          <w:color w:val="auto"/>
          <w:kern w:val="2"/>
          <w:sz w:val="32"/>
          <w:szCs w:val="32"/>
          <w:highlight w:val="none"/>
          <w:lang w:val="en-US" w:eastAsia="zh-CN" w:bidi="ar-SA"/>
        </w:rPr>
        <w:t>100.00%</w:t>
      </w:r>
      <w:r>
        <w:rPr>
          <w:rFonts w:hint="eastAsia" w:ascii="仿宋_GB2312" w:hAnsi="仿宋" w:eastAsia="仿宋_GB2312"/>
          <w:sz w:val="32"/>
          <w:szCs w:val="32"/>
          <w:lang w:val="en-US" w:eastAsia="zh-CN"/>
        </w:rPr>
        <w:t>。</w:t>
      </w:r>
    </w:p>
    <w:p>
      <w:pPr>
        <w:keepNext w:val="0"/>
        <w:keepLines w:val="0"/>
        <w:pageBreakBefore w:val="0"/>
        <w:kinsoku/>
        <w:wordWrap/>
        <w:overflowPunct/>
        <w:topLinePunct w:val="0"/>
        <w:autoSpaceDE/>
        <w:autoSpaceDN/>
        <w:bidi w:val="0"/>
        <w:spacing w:line="560" w:lineRule="exact"/>
        <w:ind w:leftChars="0" w:firstLine="643" w:firstLineChars="200"/>
        <w:textAlignment w:val="auto"/>
        <w:rPr>
          <w:rFonts w:hint="default" w:ascii="仿宋_GB2312" w:hAnsi="仿宋" w:eastAsia="仿宋_GB2312"/>
          <w:sz w:val="32"/>
          <w:szCs w:val="32"/>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（二）支出情况。</w:t>
      </w:r>
      <w:r>
        <w:rPr>
          <w:rFonts w:hint="eastAsia" w:ascii="仿宋_GB2312" w:hAnsi="仿宋" w:eastAsia="仿宋_GB2312"/>
          <w:sz w:val="32"/>
          <w:szCs w:val="32"/>
          <w:lang w:val="en-US" w:eastAsia="zh-CN"/>
        </w:rPr>
        <w:t>本年度支出全年预算数为</w:t>
      </w:r>
      <w:r>
        <w:rPr>
          <w:rFonts w:hint="eastAsia" w:ascii="Times New Roman" w:hAnsi="Times New Roman" w:eastAsia="仿宋_GB2312" w:cs="仿宋_GB2312"/>
          <w:color w:val="auto"/>
          <w:kern w:val="2"/>
          <w:sz w:val="32"/>
          <w:szCs w:val="32"/>
          <w:highlight w:val="none"/>
          <w:lang w:val="en-US" w:eastAsia="zh-CN" w:bidi="ar-SA"/>
        </w:rPr>
        <w:t>10452.89</w:t>
      </w:r>
      <w:r>
        <w:rPr>
          <w:rFonts w:hint="eastAsia" w:ascii="仿宋_GB2312" w:hAnsi="仿宋" w:eastAsia="仿宋_GB2312"/>
          <w:sz w:val="32"/>
          <w:szCs w:val="32"/>
          <w:lang w:val="en-US" w:eastAsia="zh-CN"/>
        </w:rPr>
        <w:t>万元，支出决算数为</w:t>
      </w:r>
      <w:r>
        <w:rPr>
          <w:rFonts w:hint="eastAsia" w:ascii="Times New Roman" w:hAnsi="Times New Roman" w:eastAsia="仿宋_GB2312" w:cs="仿宋_GB2312"/>
          <w:color w:val="auto"/>
          <w:kern w:val="2"/>
          <w:sz w:val="32"/>
          <w:szCs w:val="32"/>
          <w:highlight w:val="none"/>
          <w:lang w:val="en-US" w:eastAsia="zh-CN" w:bidi="ar-SA"/>
        </w:rPr>
        <w:t>10452.89</w:t>
      </w:r>
      <w:r>
        <w:rPr>
          <w:rFonts w:hint="eastAsia" w:ascii="仿宋_GB2312" w:hAnsi="仿宋" w:eastAsia="仿宋_GB2312"/>
          <w:sz w:val="32"/>
          <w:szCs w:val="32"/>
          <w:lang w:val="en-US" w:eastAsia="zh-CN"/>
        </w:rPr>
        <w:t>万元，预算完成</w:t>
      </w:r>
      <w:r>
        <w:rPr>
          <w:rFonts w:hint="eastAsia" w:ascii="Times New Roman" w:hAnsi="Times New Roman" w:eastAsia="仿宋_GB2312" w:cs="仿宋_GB2312"/>
          <w:color w:val="auto"/>
          <w:kern w:val="2"/>
          <w:sz w:val="32"/>
          <w:szCs w:val="32"/>
          <w:highlight w:val="none"/>
          <w:lang w:val="en-US" w:eastAsia="zh-CN" w:bidi="ar-SA"/>
        </w:rPr>
        <w:t>100.00</w:t>
      </w:r>
      <w:r>
        <w:rPr>
          <w:rFonts w:hint="eastAsia" w:ascii="仿宋_GB2312" w:hAnsi="仿宋" w:eastAsia="仿宋_GB2312"/>
          <w:sz w:val="32"/>
          <w:szCs w:val="32"/>
          <w:lang w:val="en-US" w:eastAsia="zh-CN"/>
        </w:rPr>
        <w:t>%。</w:t>
      </w:r>
    </w:p>
    <w:p>
      <w:pPr>
        <w:keepNext w:val="0"/>
        <w:keepLines w:val="0"/>
        <w:pageBreakBefore w:val="0"/>
        <w:kinsoku/>
        <w:wordWrap/>
        <w:overflowPunct/>
        <w:topLinePunct w:val="0"/>
        <w:autoSpaceDE/>
        <w:autoSpaceDN/>
        <w:bidi w:val="0"/>
        <w:spacing w:line="560" w:lineRule="exact"/>
        <w:ind w:leftChars="0" w:firstLine="643" w:firstLineChars="200"/>
        <w:textAlignment w:val="auto"/>
        <w:rPr>
          <w:rFonts w:hint="default" w:ascii="仿宋_GB2312" w:hAnsi="仿宋" w:eastAsia="仿宋_GB2312"/>
          <w:sz w:val="32"/>
          <w:szCs w:val="32"/>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（三）结余分配和结转结余情况</w:t>
      </w: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default" w:ascii="Times New Roman" w:hAnsi="Times New Roman" w:eastAsia="仿宋_GB2312" w:cs="仿宋_GB2312"/>
          <w:color w:val="auto"/>
          <w:kern w:val="2"/>
          <w:sz w:val="32"/>
          <w:szCs w:val="32"/>
          <w:highlight w:val="none"/>
          <w:lang w:val="en-US" w:eastAsia="zh-CN" w:bidi="ar-SA"/>
        </w:rPr>
        <w:t>202</w:t>
      </w:r>
      <w:r>
        <w:rPr>
          <w:rFonts w:hint="eastAsia" w:ascii="Times New Roman" w:hAnsi="Times New Roman" w:eastAsia="仿宋_GB2312" w:cs="仿宋_GB2312"/>
          <w:color w:val="auto"/>
          <w:kern w:val="2"/>
          <w:sz w:val="32"/>
          <w:szCs w:val="32"/>
          <w:highlight w:val="none"/>
          <w:lang w:val="en-US" w:eastAsia="zh-CN" w:bidi="ar-SA"/>
        </w:rPr>
        <w:t>5</w:t>
      </w:r>
      <w:r>
        <w:rPr>
          <w:rFonts w:hint="default" w:ascii="仿宋_GB2312" w:hAnsi="仿宋" w:eastAsia="仿宋_GB2312"/>
          <w:sz w:val="32"/>
          <w:szCs w:val="32"/>
          <w:lang w:val="en-US" w:eastAsia="zh-CN"/>
        </w:rPr>
        <w:t>年决算报表</w:t>
      </w:r>
      <w:r>
        <w:rPr>
          <w:rFonts w:hint="eastAsia" w:ascii="仿宋_GB2312" w:hAnsi="仿宋" w:eastAsia="仿宋_GB2312"/>
          <w:sz w:val="32"/>
          <w:szCs w:val="32"/>
          <w:lang w:val="en-US" w:eastAsia="zh-CN"/>
        </w:rPr>
        <w:t>无</w:t>
      </w:r>
      <w:r>
        <w:rPr>
          <w:rFonts w:hint="default" w:ascii="仿宋_GB2312" w:hAnsi="仿宋" w:eastAsia="仿宋_GB2312"/>
          <w:sz w:val="32"/>
          <w:szCs w:val="32"/>
          <w:lang w:val="en-US" w:eastAsia="zh-CN"/>
        </w:rPr>
        <w:t>结转结余。</w:t>
      </w:r>
    </w:p>
    <w:p>
      <w:pPr>
        <w:keepNext w:val="0"/>
        <w:keepLines w:val="0"/>
        <w:pageBreakBefore w:val="0"/>
        <w:widowControl/>
        <w:kinsoku/>
        <w:wordWrap/>
        <w:overflowPunct/>
        <w:topLinePunct w:val="0"/>
        <w:autoSpaceDE/>
        <w:autoSpaceDN/>
        <w:bidi w:val="0"/>
        <w:adjustRightInd w:val="0"/>
        <w:snapToGrid w:val="0"/>
        <w:spacing w:line="560" w:lineRule="exact"/>
        <w:ind w:leftChars="0"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rPr>
        <w:t>三、部门</w:t>
      </w:r>
      <w:r>
        <w:rPr>
          <w:rFonts w:hint="default" w:ascii="Times New Roman" w:hAnsi="Times New Roman" w:eastAsia="黑体" w:cs="Times New Roman"/>
          <w:color w:val="000000"/>
          <w:kern w:val="0"/>
          <w:sz w:val="32"/>
          <w:szCs w:val="32"/>
          <w:highlight w:val="none"/>
          <w:shd w:val="clear" w:color="auto" w:fill="FFFFFF"/>
          <w:lang w:val="zh-CN" w:eastAsia="zh-CN"/>
        </w:rPr>
        <w:t>预算</w:t>
      </w:r>
      <w:r>
        <w:rPr>
          <w:rFonts w:hint="default" w:ascii="Times New Roman" w:hAnsi="Times New Roman" w:eastAsia="黑体" w:cs="Times New Roman"/>
          <w:color w:val="000000"/>
          <w:kern w:val="0"/>
          <w:sz w:val="32"/>
          <w:szCs w:val="32"/>
          <w:highlight w:val="none"/>
          <w:shd w:val="clear" w:color="auto" w:fill="FFFFFF"/>
          <w:lang w:val="zh-CN"/>
        </w:rPr>
        <w:t>绩效</w:t>
      </w:r>
      <w:r>
        <w:rPr>
          <w:rFonts w:hint="default" w:ascii="Times New Roman" w:hAnsi="Times New Roman" w:eastAsia="黑体" w:cs="Times New Roman"/>
          <w:color w:val="000000"/>
          <w:kern w:val="0"/>
          <w:sz w:val="32"/>
          <w:szCs w:val="32"/>
          <w:highlight w:val="none"/>
          <w:shd w:val="clear" w:color="auto" w:fill="FFFFFF"/>
          <w:lang w:val="zh-CN" w:eastAsia="zh-CN"/>
        </w:rPr>
        <w:t>分析</w:t>
      </w:r>
    </w:p>
    <w:p>
      <w:pPr>
        <w:keepNext w:val="0"/>
        <w:keepLines w:val="0"/>
        <w:pageBreakBefore w:val="0"/>
        <w:kinsoku/>
        <w:wordWrap/>
        <w:overflowPunct/>
        <w:topLinePunct w:val="0"/>
        <w:autoSpaceDE/>
        <w:autoSpaceDN/>
        <w:bidi w:val="0"/>
        <w:spacing w:line="560" w:lineRule="exact"/>
        <w:ind w:leftChars="0" w:firstLine="643" w:firstLineChars="200"/>
        <w:textAlignment w:val="auto"/>
        <w:rPr>
          <w:rFonts w:hint="default" w:ascii="仿宋_GB2312" w:hAnsi="仿宋" w:eastAsia="仿宋_GB2312"/>
          <w:sz w:val="32"/>
          <w:szCs w:val="32"/>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（一）部门预算总体绩效分析。</w:t>
      </w:r>
      <w:r>
        <w:rPr>
          <w:rFonts w:hint="default" w:ascii="仿宋_GB2312" w:hAnsi="仿宋" w:eastAsia="仿宋_GB2312"/>
          <w:sz w:val="32"/>
          <w:szCs w:val="32"/>
          <w:lang w:val="zh-CN"/>
        </w:rPr>
        <w:t>根据部门预算绩效评价指标体系“总体绩效”涉及二、三级指标进行逐项绩效分析并评分，依次包括履职效能、预算管理、财务管理、资产管理、采购管理等情况。</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default" w:ascii="Times New Roman" w:hAnsi="Times New Roman" w:eastAsia="楷体_GB2312" w:cs="Times New Roman"/>
          <w:color w:val="000000"/>
          <w:kern w:val="0"/>
          <w:sz w:val="32"/>
          <w:szCs w:val="32"/>
          <w:highlight w:val="none"/>
          <w:shd w:val="clear" w:color="auto" w:fill="FFFFFF"/>
          <w:lang w:val="en-US" w:eastAsia="zh-CN"/>
        </w:rPr>
        <w:t>1.</w:t>
      </w:r>
      <w:r>
        <w:rPr>
          <w:rFonts w:hint="default" w:ascii="Times New Roman" w:hAnsi="Times New Roman" w:eastAsia="楷体_GB2312" w:cs="Times New Roman"/>
          <w:color w:val="000000"/>
          <w:kern w:val="0"/>
          <w:sz w:val="32"/>
          <w:szCs w:val="32"/>
          <w:highlight w:val="none"/>
          <w:shd w:val="clear" w:color="auto" w:fill="FFFFFF"/>
          <w:lang w:val="zh-CN"/>
        </w:rPr>
        <w:t>履职效能。</w:t>
      </w:r>
      <w:r>
        <w:rPr>
          <w:rFonts w:hint="eastAsia" w:ascii="仿宋_GB2312" w:hAnsi="仿宋" w:eastAsia="仿宋_GB2312"/>
          <w:sz w:val="32"/>
          <w:szCs w:val="32"/>
          <w:lang w:val="en-US" w:eastAsia="zh-CN"/>
        </w:rPr>
        <w:t>红原县交通运输局</w:t>
      </w:r>
      <w:r>
        <w:rPr>
          <w:rFonts w:hint="eastAsia" w:ascii="仿宋_GB2312" w:hAnsi="仿宋" w:eastAsia="仿宋_GB2312"/>
          <w:sz w:val="32"/>
          <w:szCs w:val="32"/>
          <w:lang w:val="zh-CN"/>
        </w:rPr>
        <w:t>人员工资、保险、工作经费等基本支出，</w:t>
      </w:r>
      <w:r>
        <w:rPr>
          <w:rFonts w:hint="eastAsia" w:ascii="仿宋_GB2312" w:hAnsi="仿宋" w:eastAsia="仿宋_GB2312"/>
          <w:sz w:val="32"/>
          <w:szCs w:val="32"/>
          <w:lang w:val="en-US" w:eastAsia="zh-CN"/>
        </w:rPr>
        <w:t>截止</w:t>
      </w:r>
      <w:r>
        <w:rPr>
          <w:rFonts w:hint="eastAsia" w:ascii="Times New Roman" w:hAnsi="Times New Roman" w:eastAsia="仿宋_GB2312" w:cs="仿宋_GB2312"/>
          <w:color w:val="auto"/>
          <w:kern w:val="2"/>
          <w:sz w:val="32"/>
          <w:szCs w:val="32"/>
          <w:highlight w:val="none"/>
          <w:lang w:val="en-US" w:eastAsia="zh-CN" w:bidi="ar-SA"/>
        </w:rPr>
        <w:t>2025</w:t>
      </w:r>
      <w:r>
        <w:rPr>
          <w:rFonts w:hint="eastAsia" w:ascii="仿宋_GB2312" w:hAnsi="仿宋" w:eastAsia="仿宋_GB2312"/>
          <w:sz w:val="32"/>
          <w:szCs w:val="32"/>
          <w:lang w:val="en-US" w:eastAsia="zh-CN"/>
        </w:rPr>
        <w:t>年底，按照相关部门要求开展工作，全面完成年度工作目标任务，资金支付率</w:t>
      </w:r>
      <w:r>
        <w:rPr>
          <w:rFonts w:hint="eastAsia" w:ascii="Times New Roman" w:hAnsi="Times New Roman" w:eastAsia="仿宋_GB2312" w:cs="仿宋_GB2312"/>
          <w:color w:val="auto"/>
          <w:kern w:val="2"/>
          <w:sz w:val="32"/>
          <w:szCs w:val="32"/>
          <w:highlight w:val="none"/>
          <w:lang w:val="en-US" w:eastAsia="zh-CN" w:bidi="ar-SA"/>
        </w:rPr>
        <w:t>100%</w:t>
      </w:r>
      <w:r>
        <w:rPr>
          <w:rFonts w:hint="eastAsia" w:ascii="仿宋_GB2312" w:hAnsi="仿宋" w:eastAsia="仿宋_GB2312"/>
          <w:sz w:val="32"/>
          <w:szCs w:val="32"/>
          <w:lang w:val="en-US" w:eastAsia="zh-CN"/>
        </w:rPr>
        <w:t>，完成效果优。</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高速公路：久马高速红原段已全线通车，全长</w:t>
      </w:r>
      <w:r>
        <w:rPr>
          <w:rFonts w:hint="eastAsia" w:ascii="Times New Roman" w:hAnsi="Times New Roman" w:eastAsia="仿宋_GB2312" w:cs="仿宋_GB2312"/>
          <w:color w:val="auto"/>
          <w:kern w:val="2"/>
          <w:sz w:val="32"/>
          <w:szCs w:val="32"/>
          <w:highlight w:val="none"/>
          <w:lang w:val="en-US" w:eastAsia="zh-CN" w:bidi="ar-SA"/>
        </w:rPr>
        <w:t>87.86</w:t>
      </w:r>
      <w:r>
        <w:rPr>
          <w:rFonts w:hint="eastAsia" w:ascii="仿宋_GB2312" w:hAnsi="仿宋" w:eastAsia="仿宋_GB2312"/>
          <w:sz w:val="32"/>
          <w:szCs w:val="32"/>
          <w:lang w:val="en-US" w:eastAsia="zh-CN"/>
        </w:rPr>
        <w:t>公里，年度计划投资约</w:t>
      </w:r>
      <w:r>
        <w:rPr>
          <w:rFonts w:hint="eastAsia" w:ascii="Times New Roman" w:hAnsi="Times New Roman" w:eastAsia="仿宋_GB2312" w:cs="仿宋_GB2312"/>
          <w:color w:val="auto"/>
          <w:kern w:val="2"/>
          <w:sz w:val="32"/>
          <w:szCs w:val="32"/>
          <w:highlight w:val="none"/>
          <w:lang w:val="en-US" w:eastAsia="zh-CN" w:bidi="ar-SA"/>
        </w:rPr>
        <w:t>5.57</w:t>
      </w:r>
      <w:r>
        <w:rPr>
          <w:rFonts w:hint="eastAsia" w:ascii="仿宋_GB2312" w:hAnsi="仿宋" w:eastAsia="仿宋_GB2312"/>
          <w:sz w:val="32"/>
          <w:szCs w:val="32"/>
          <w:lang w:val="en-US" w:eastAsia="zh-CN"/>
        </w:rPr>
        <w:t>亿元，已</w:t>
      </w:r>
      <w:r>
        <w:rPr>
          <w:rFonts w:hint="eastAsia" w:ascii="Times New Roman" w:hAnsi="Times New Roman" w:eastAsia="仿宋_GB2312" w:cs="仿宋_GB2312"/>
          <w:color w:val="auto"/>
          <w:kern w:val="2"/>
          <w:sz w:val="32"/>
          <w:szCs w:val="32"/>
          <w:highlight w:val="none"/>
          <w:lang w:val="en-US" w:eastAsia="zh-CN" w:bidi="ar-SA"/>
        </w:rPr>
        <w:t>100%完</w:t>
      </w:r>
      <w:r>
        <w:rPr>
          <w:rFonts w:hint="eastAsia" w:ascii="仿宋_GB2312" w:hAnsi="仿宋" w:eastAsia="仿宋_GB2312"/>
          <w:sz w:val="32"/>
          <w:szCs w:val="32"/>
          <w:lang w:val="en-US" w:eastAsia="zh-CN"/>
        </w:rPr>
        <w:t>成投资。川红高速红原段已全线开工，并按计划建设施工。国省干线：省道S217线安曲镇至马尔康界公路改（扩）建工程已完成竣工验收，该项目实际完成投资</w:t>
      </w:r>
      <w:r>
        <w:rPr>
          <w:rFonts w:hint="eastAsia" w:ascii="Times New Roman" w:hAnsi="Times New Roman" w:eastAsia="仿宋_GB2312" w:cs="仿宋_GB2312"/>
          <w:color w:val="auto"/>
          <w:kern w:val="2"/>
          <w:sz w:val="32"/>
          <w:szCs w:val="32"/>
          <w:highlight w:val="none"/>
          <w:lang w:val="en-US" w:eastAsia="zh-CN" w:bidi="ar-SA"/>
        </w:rPr>
        <w:t>5.235852</w:t>
      </w:r>
      <w:r>
        <w:rPr>
          <w:rFonts w:hint="eastAsia" w:ascii="仿宋_GB2312" w:hAnsi="仿宋" w:eastAsia="仿宋_GB2312"/>
          <w:sz w:val="32"/>
          <w:szCs w:val="32"/>
          <w:lang w:val="en-US" w:eastAsia="zh-CN"/>
        </w:rPr>
        <w:t>亿元，</w:t>
      </w:r>
      <w:r>
        <w:rPr>
          <w:rFonts w:hint="eastAsia" w:ascii="仿宋_GB2312" w:hAnsi="仿宋_GB2312" w:eastAsia="仿宋_GB2312"/>
          <w:sz w:val="32"/>
        </w:rPr>
        <w:t>路线全长</w:t>
      </w:r>
      <w:r>
        <w:rPr>
          <w:rFonts w:hint="eastAsia" w:ascii="Times New Roman" w:hAnsi="Times New Roman" w:eastAsia="仿宋_GB2312" w:cs="仿宋_GB2312"/>
          <w:color w:val="auto"/>
          <w:kern w:val="2"/>
          <w:sz w:val="32"/>
          <w:szCs w:val="32"/>
          <w:highlight w:val="none"/>
          <w:lang w:val="en-US" w:eastAsia="zh-CN" w:bidi="ar-SA"/>
        </w:rPr>
        <w:t>81.867</w:t>
      </w:r>
      <w:r>
        <w:rPr>
          <w:rFonts w:hint="eastAsia" w:ascii="仿宋_GB2312" w:hAnsi="仿宋_GB2312" w:eastAsia="仿宋_GB2312"/>
          <w:sz w:val="32"/>
        </w:rPr>
        <w:t>公里</w:t>
      </w:r>
      <w:r>
        <w:rPr>
          <w:rFonts w:hint="eastAsia" w:ascii="仿宋_GB2312" w:hAnsi="仿宋" w:eastAsia="仿宋_GB2312"/>
          <w:sz w:val="32"/>
          <w:szCs w:val="32"/>
          <w:lang w:val="en-US" w:eastAsia="zh-CN"/>
        </w:rPr>
        <w:t>。</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 w:eastAsia="仿宋_GB2312"/>
          <w:sz w:val="32"/>
          <w:szCs w:val="32"/>
          <w:lang w:val="en-US" w:eastAsia="zh-CN"/>
        </w:rPr>
        <w:t>农村公路</w:t>
      </w:r>
      <w:r>
        <w:rPr>
          <w:rFonts w:hint="eastAsia" w:ascii="Times New Roman" w:hAnsi="Times New Roman" w:eastAsia="仿宋_GB2312" w:cs="仿宋_GB2312"/>
          <w:color w:val="auto"/>
          <w:kern w:val="2"/>
          <w:sz w:val="32"/>
          <w:szCs w:val="32"/>
          <w:highlight w:val="none"/>
          <w:lang w:val="en-US" w:eastAsia="zh-CN" w:bidi="ar-SA"/>
        </w:rPr>
        <w:t>:X124</w:t>
      </w:r>
      <w:r>
        <w:rPr>
          <w:rFonts w:hint="eastAsia" w:ascii="仿宋_GB2312" w:hAnsi="仿宋" w:eastAsia="仿宋_GB2312"/>
          <w:sz w:val="32"/>
          <w:szCs w:val="32"/>
          <w:lang w:val="en-US" w:eastAsia="zh-CN"/>
        </w:rPr>
        <w:t>阿龙路本年度完成投资</w:t>
      </w:r>
      <w:r>
        <w:rPr>
          <w:rFonts w:hint="eastAsia" w:ascii="Times New Roman" w:hAnsi="Times New Roman" w:eastAsia="仿宋_GB2312" w:cs="仿宋_GB2312"/>
          <w:color w:val="auto"/>
          <w:kern w:val="2"/>
          <w:sz w:val="32"/>
          <w:szCs w:val="32"/>
          <w:highlight w:val="none"/>
          <w:lang w:val="en-US" w:eastAsia="zh-CN" w:bidi="ar-SA"/>
        </w:rPr>
        <w:t>4749.22</w:t>
      </w:r>
      <w:r>
        <w:rPr>
          <w:rFonts w:hint="eastAsia" w:ascii="仿宋_GB2312" w:hAnsi="仿宋" w:eastAsia="仿宋_GB2312"/>
          <w:sz w:val="32"/>
          <w:szCs w:val="32"/>
          <w:lang w:val="en-US" w:eastAsia="zh-CN"/>
        </w:rPr>
        <w:t>万元，项目进度已完成50%以上，资金拨付率达</w:t>
      </w:r>
      <w:r>
        <w:rPr>
          <w:rFonts w:hint="eastAsia" w:ascii="Times New Roman" w:hAnsi="Times New Roman" w:eastAsia="仿宋_GB2312" w:cs="仿宋_GB2312"/>
          <w:color w:val="auto"/>
          <w:kern w:val="2"/>
          <w:sz w:val="32"/>
          <w:szCs w:val="32"/>
          <w:highlight w:val="none"/>
          <w:lang w:val="en-US" w:eastAsia="zh-CN" w:bidi="ar-SA"/>
        </w:rPr>
        <w:t>100%。</w:t>
      </w:r>
      <w:r>
        <w:rPr>
          <w:rFonts w:hint="eastAsia" w:ascii="仿宋_GB2312" w:hAnsi="仿宋" w:eastAsia="仿宋_GB2312"/>
          <w:sz w:val="32"/>
          <w:szCs w:val="32"/>
          <w:lang w:val="en-US" w:eastAsia="zh-CN"/>
        </w:rPr>
        <w:t>农村公路养护工程小修项目（各乡镇）已按年度计划</w:t>
      </w:r>
      <w:r>
        <w:rPr>
          <w:rFonts w:hint="eastAsia" w:ascii="Times New Roman" w:hAnsi="Times New Roman" w:eastAsia="仿宋_GB2312" w:cs="仿宋_GB2312"/>
          <w:color w:val="auto"/>
          <w:kern w:val="2"/>
          <w:sz w:val="32"/>
          <w:szCs w:val="32"/>
          <w:highlight w:val="none"/>
          <w:lang w:val="en-US" w:eastAsia="zh-CN" w:bidi="ar-SA"/>
        </w:rPr>
        <w:t>100%完</w:t>
      </w:r>
      <w:r>
        <w:rPr>
          <w:rFonts w:hint="eastAsia" w:ascii="仿宋_GB2312" w:hAnsi="仿宋" w:eastAsia="仿宋_GB2312"/>
          <w:sz w:val="32"/>
          <w:szCs w:val="32"/>
          <w:lang w:val="en-US" w:eastAsia="zh-CN"/>
        </w:rPr>
        <w:t>成。红原县色阿路、邛安路、龙虎路生命安全防护工程已完成交竣工验收，实际完成投资</w:t>
      </w:r>
      <w:r>
        <w:rPr>
          <w:rFonts w:hint="eastAsia" w:ascii="Times New Roman" w:hAnsi="Times New Roman" w:eastAsia="仿宋_GB2312" w:cs="仿宋_GB2312"/>
          <w:color w:val="auto"/>
          <w:kern w:val="2"/>
          <w:sz w:val="32"/>
          <w:szCs w:val="32"/>
          <w:highlight w:val="none"/>
          <w:lang w:val="en-US" w:eastAsia="zh-CN" w:bidi="ar-SA"/>
        </w:rPr>
        <w:t>51.5万</w:t>
      </w:r>
      <w:r>
        <w:rPr>
          <w:rFonts w:hint="eastAsia" w:ascii="仿宋_GB2312" w:hAnsi="仿宋" w:eastAsia="仿宋_GB2312"/>
          <w:sz w:val="32"/>
          <w:szCs w:val="32"/>
          <w:lang w:val="en-US" w:eastAsia="zh-CN"/>
        </w:rPr>
        <w:t>元，资金支付率</w:t>
      </w:r>
      <w:r>
        <w:rPr>
          <w:rFonts w:hint="eastAsia" w:ascii="Times New Roman" w:hAnsi="Times New Roman" w:eastAsia="仿宋_GB2312" w:cs="仿宋_GB2312"/>
          <w:color w:val="auto"/>
          <w:kern w:val="2"/>
          <w:sz w:val="32"/>
          <w:szCs w:val="32"/>
          <w:highlight w:val="none"/>
          <w:lang w:val="en-US" w:eastAsia="zh-CN" w:bidi="ar-SA"/>
        </w:rPr>
        <w:t>100%。</w:t>
      </w:r>
    </w:p>
    <w:p>
      <w:pPr>
        <w:pStyle w:val="2"/>
        <w:ind w:left="0" w:leftChars="0" w:firstLine="640" w:firstLineChars="200"/>
        <w:rPr>
          <w:rFonts w:hint="default" w:ascii="仿宋_GB2312" w:hAnsi="仿宋" w:eastAsia="仿宋_GB2312" w:cs="Times New Roman"/>
          <w:kern w:val="2"/>
          <w:sz w:val="32"/>
          <w:szCs w:val="32"/>
          <w:lang w:val="en-US" w:eastAsia="zh-CN" w:bidi="ar-SA"/>
        </w:rPr>
      </w:pPr>
      <w:r>
        <w:rPr>
          <w:rFonts w:hint="eastAsia" w:hAnsi="仿宋" w:eastAsia="仿宋_GB2312" w:cs="Times New Roman"/>
          <w:kern w:val="2"/>
          <w:sz w:val="32"/>
          <w:szCs w:val="32"/>
          <w:lang w:val="en-US" w:eastAsia="zh-CN" w:bidi="ar-SA"/>
        </w:rPr>
        <w:t>山水项目：红原县</w:t>
      </w:r>
      <w:r>
        <w:rPr>
          <w:rFonts w:hint="eastAsia" w:ascii="仿宋_GB2312" w:hAnsi="仿宋" w:eastAsia="仿宋_GB2312" w:cs="Times New Roman"/>
          <w:kern w:val="2"/>
          <w:sz w:val="32"/>
          <w:szCs w:val="32"/>
          <w:lang w:val="en-US" w:eastAsia="zh-CN" w:bidi="ar-SA"/>
        </w:rPr>
        <w:t>道路沿线</w:t>
      </w:r>
      <w:r>
        <w:rPr>
          <w:rFonts w:hint="eastAsia" w:hAnsi="仿宋" w:eastAsia="仿宋_GB2312" w:cs="Times New Roman"/>
          <w:kern w:val="2"/>
          <w:sz w:val="32"/>
          <w:szCs w:val="32"/>
          <w:lang w:val="en-US" w:eastAsia="zh-CN" w:bidi="ar-SA"/>
        </w:rPr>
        <w:t>生态修复项目于本年度开工，下达资金</w:t>
      </w:r>
      <w:r>
        <w:rPr>
          <w:rFonts w:hint="eastAsia" w:ascii="Times New Roman" w:hAnsi="Times New Roman" w:eastAsia="仿宋_GB2312" w:cs="仿宋_GB2312"/>
          <w:color w:val="auto"/>
          <w:kern w:val="2"/>
          <w:sz w:val="32"/>
          <w:szCs w:val="32"/>
          <w:highlight w:val="none"/>
          <w:lang w:val="en-US" w:eastAsia="zh-CN" w:bidi="ar-SA"/>
        </w:rPr>
        <w:t>2450万</w:t>
      </w:r>
      <w:r>
        <w:rPr>
          <w:rFonts w:hint="eastAsia" w:hAnsi="仿宋" w:eastAsia="仿宋_GB2312" w:cs="Times New Roman"/>
          <w:kern w:val="2"/>
          <w:sz w:val="32"/>
          <w:szCs w:val="32"/>
          <w:lang w:val="en-US" w:eastAsia="zh-CN" w:bidi="ar-SA"/>
        </w:rPr>
        <w:t>元，截止</w:t>
      </w:r>
      <w:r>
        <w:rPr>
          <w:rFonts w:hint="eastAsia" w:ascii="Times New Roman" w:hAnsi="Times New Roman" w:eastAsia="仿宋_GB2312" w:cs="仿宋_GB2312"/>
          <w:color w:val="auto"/>
          <w:kern w:val="2"/>
          <w:sz w:val="32"/>
          <w:szCs w:val="32"/>
          <w:highlight w:val="none"/>
          <w:lang w:val="en-US" w:eastAsia="zh-CN" w:bidi="ar-SA"/>
        </w:rPr>
        <w:t>2025年12月31</w:t>
      </w:r>
      <w:r>
        <w:rPr>
          <w:rFonts w:hint="eastAsia" w:hAnsi="仿宋" w:eastAsia="仿宋_GB2312" w:cs="Times New Roman"/>
          <w:kern w:val="2"/>
          <w:sz w:val="32"/>
          <w:szCs w:val="32"/>
          <w:lang w:val="en-US" w:eastAsia="zh-CN" w:bidi="ar-SA"/>
        </w:rPr>
        <w:t>日已完成投资任务，实际支付金</w:t>
      </w:r>
      <w:r>
        <w:rPr>
          <w:rFonts w:hint="eastAsia" w:ascii="Times New Roman" w:hAnsi="Times New Roman" w:eastAsia="仿宋_GB2312" w:cs="仿宋_GB2312"/>
          <w:color w:val="auto"/>
          <w:kern w:val="2"/>
          <w:sz w:val="32"/>
          <w:szCs w:val="32"/>
          <w:highlight w:val="none"/>
          <w:lang w:val="en-US" w:eastAsia="zh-CN" w:bidi="ar-SA"/>
        </w:rPr>
        <w:t>额1349万</w:t>
      </w:r>
      <w:r>
        <w:rPr>
          <w:rFonts w:hint="eastAsia" w:hAnsi="仿宋" w:eastAsia="仿宋_GB2312" w:cs="Times New Roman"/>
          <w:kern w:val="2"/>
          <w:sz w:val="32"/>
          <w:szCs w:val="32"/>
          <w:lang w:val="en-US" w:eastAsia="zh-CN" w:bidi="ar-SA"/>
        </w:rPr>
        <w:t>元，支付</w:t>
      </w:r>
      <w:r>
        <w:rPr>
          <w:rFonts w:hint="eastAsia" w:ascii="Times New Roman" w:hAnsi="Times New Roman" w:eastAsia="仿宋_GB2312" w:cs="仿宋_GB2312"/>
          <w:color w:val="auto"/>
          <w:kern w:val="2"/>
          <w:sz w:val="32"/>
          <w:szCs w:val="32"/>
          <w:highlight w:val="none"/>
          <w:lang w:val="en-US" w:eastAsia="zh-CN" w:bidi="ar-SA"/>
        </w:rPr>
        <w:t>率55.06%，预计2026</w:t>
      </w:r>
      <w:r>
        <w:rPr>
          <w:rFonts w:hint="eastAsia" w:hAnsi="仿宋" w:eastAsia="仿宋_GB2312" w:cs="Times New Roman"/>
          <w:kern w:val="2"/>
          <w:sz w:val="32"/>
          <w:szCs w:val="32"/>
          <w:lang w:val="en-US" w:eastAsia="zh-CN" w:bidi="ar-SA"/>
        </w:rPr>
        <w:t>年完成全额支付。</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eastAsia" w:ascii="Times New Roman" w:hAnsi="Times New Roman" w:eastAsia="仿宋_GB2312" w:cs="仿宋_GB2312"/>
          <w:color w:val="auto"/>
          <w:kern w:val="2"/>
          <w:sz w:val="32"/>
          <w:szCs w:val="32"/>
          <w:highlight w:val="none"/>
          <w:lang w:val="en-US" w:eastAsia="zh-CN" w:bidi="ar-SA"/>
        </w:rPr>
        <w:t>2025年</w:t>
      </w:r>
      <w:r>
        <w:rPr>
          <w:rFonts w:hint="eastAsia" w:ascii="仿宋_GB2312" w:hAnsi="仿宋" w:eastAsia="仿宋_GB2312"/>
          <w:sz w:val="32"/>
          <w:szCs w:val="32"/>
          <w:lang w:val="en-US" w:eastAsia="zh-CN"/>
        </w:rPr>
        <w:t>度“三公“经费支出情况：无出国出境费用，无公务接待费，公务用车运行</w:t>
      </w:r>
      <w:r>
        <w:rPr>
          <w:rFonts w:hint="eastAsia" w:ascii="Times New Roman" w:hAnsi="Times New Roman" w:eastAsia="仿宋_GB2312" w:cs="仿宋_GB2312"/>
          <w:color w:val="auto"/>
          <w:kern w:val="2"/>
          <w:sz w:val="32"/>
          <w:szCs w:val="32"/>
          <w:highlight w:val="none"/>
          <w:lang w:val="en-US" w:eastAsia="zh-CN" w:bidi="ar-SA"/>
        </w:rPr>
        <w:t>费为14.42万</w:t>
      </w:r>
      <w:r>
        <w:rPr>
          <w:rFonts w:hint="eastAsia" w:ascii="仿宋_GB2312" w:hAnsi="仿宋" w:eastAsia="仿宋_GB2312"/>
          <w:sz w:val="32"/>
          <w:szCs w:val="32"/>
          <w:lang w:val="en-US" w:eastAsia="zh-CN"/>
        </w:rPr>
        <w:t>元。本年度中本着厉行节约的原则，公务用车实行刷卡加油，车辆维修前需报分管领导和主要负责人同意后，进行定点维修。</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default" w:ascii="Times New Roman" w:hAnsi="Times New Roman" w:eastAsia="楷体_GB2312" w:cs="Times New Roman"/>
          <w:color w:val="000000"/>
          <w:kern w:val="0"/>
          <w:sz w:val="32"/>
          <w:szCs w:val="32"/>
          <w:highlight w:val="none"/>
          <w:shd w:val="clear" w:color="auto" w:fill="FFFFFF"/>
          <w:lang w:val="en-US" w:eastAsia="zh-CN"/>
        </w:rPr>
        <w:t>2.</w:t>
      </w:r>
      <w:r>
        <w:rPr>
          <w:rFonts w:hint="default" w:ascii="Times New Roman" w:hAnsi="Times New Roman" w:eastAsia="楷体_GB2312" w:cs="Times New Roman"/>
          <w:color w:val="000000"/>
          <w:kern w:val="0"/>
          <w:sz w:val="32"/>
          <w:szCs w:val="32"/>
          <w:highlight w:val="none"/>
          <w:shd w:val="clear" w:color="auto" w:fill="FFFFFF"/>
          <w:lang w:val="zh-CN" w:eastAsia="zh-CN"/>
        </w:rPr>
        <w:t>预算管理。</w:t>
      </w:r>
      <w:r>
        <w:rPr>
          <w:rFonts w:hint="eastAsia" w:ascii="仿宋_GB2312" w:hAnsi="仿宋" w:eastAsia="仿宋_GB2312"/>
          <w:sz w:val="32"/>
          <w:szCs w:val="32"/>
          <w:lang w:val="en-US" w:eastAsia="zh-CN"/>
        </w:rPr>
        <w:t>预算编制准确、严控支出。按照县财政预算编制工作要求，组织财务人员积极参与预算编制培训会，及时掌握预算编制口径等相关知识，在编制中根据《中华人民共和国预算法》及县财政局的要求，结合本单位实际，按照增收节支、厉行节约、绩效优化的原则，全面、及时、完整地编制了单位预算，严控“三公”经费管理，从严从紧编制预算。并经财政部门审核后予以下达，根据年初的预算指标下达数，合理编制资金使用进度方案，深化预算绩效管理，提高资金使用效益。支出也完全按照预算安排支出，</w:t>
      </w:r>
      <w:r>
        <w:rPr>
          <w:rFonts w:hint="eastAsia" w:ascii="仿宋_GB2312" w:hAnsi="仿宋" w:eastAsia="仿宋_GB2312"/>
          <w:sz w:val="32"/>
          <w:szCs w:val="32"/>
          <w:lang w:val="zh-CN"/>
        </w:rPr>
        <w:t>支出控制严格，</w:t>
      </w:r>
      <w:r>
        <w:rPr>
          <w:rFonts w:hint="eastAsia" w:ascii="Times New Roman" w:hAnsi="Times New Roman" w:eastAsia="仿宋_GB2312" w:cs="仿宋_GB2312"/>
          <w:color w:val="auto"/>
          <w:kern w:val="2"/>
          <w:sz w:val="32"/>
          <w:szCs w:val="32"/>
          <w:highlight w:val="none"/>
          <w:lang w:val="en-US" w:eastAsia="zh-CN" w:bidi="ar-SA"/>
        </w:rPr>
        <w:t>2025</w:t>
      </w:r>
      <w:r>
        <w:rPr>
          <w:rFonts w:hint="eastAsia" w:ascii="仿宋_GB2312" w:hAnsi="仿宋" w:eastAsia="仿宋_GB2312"/>
          <w:sz w:val="32"/>
          <w:szCs w:val="32"/>
          <w:lang w:val="zh-CN"/>
        </w:rPr>
        <w:t>年我</w:t>
      </w:r>
      <w:r>
        <w:rPr>
          <w:rFonts w:hint="eastAsia" w:ascii="仿宋_GB2312" w:hAnsi="仿宋" w:eastAsia="仿宋_GB2312"/>
          <w:sz w:val="32"/>
          <w:szCs w:val="32"/>
          <w:lang w:val="en-US" w:eastAsia="zh-CN"/>
        </w:rPr>
        <w:t>单位</w:t>
      </w:r>
      <w:r>
        <w:rPr>
          <w:rFonts w:hint="eastAsia" w:ascii="仿宋_GB2312" w:hAnsi="仿宋" w:eastAsia="仿宋_GB2312"/>
          <w:sz w:val="32"/>
          <w:szCs w:val="32"/>
          <w:lang w:val="zh-CN"/>
        </w:rPr>
        <w:t>基本支出和项目支出按照每月实际报销金额进行支付进度申请，保质保量完成支付使用。</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预算动态调整、执行进度。</w:t>
      </w:r>
      <w:r>
        <w:rPr>
          <w:rFonts w:hint="eastAsia" w:ascii="Times New Roman" w:hAnsi="Times New Roman" w:eastAsia="仿宋_GB2312" w:cs="仿宋_GB2312"/>
          <w:color w:val="auto"/>
          <w:kern w:val="2"/>
          <w:sz w:val="32"/>
          <w:szCs w:val="32"/>
          <w:highlight w:val="none"/>
          <w:lang w:val="en-US" w:eastAsia="zh-CN" w:bidi="ar-SA"/>
        </w:rPr>
        <w:t>2025</w:t>
      </w:r>
      <w:r>
        <w:rPr>
          <w:rFonts w:hint="eastAsia" w:ascii="仿宋_GB2312" w:hAnsi="仿宋" w:eastAsia="仿宋_GB2312"/>
          <w:sz w:val="32"/>
          <w:szCs w:val="32"/>
          <w:lang w:val="en-US" w:eastAsia="zh-CN"/>
        </w:rPr>
        <w:t>年完成预算</w:t>
      </w:r>
      <w:r>
        <w:rPr>
          <w:rFonts w:hint="eastAsia" w:ascii="Times New Roman" w:hAnsi="Times New Roman" w:eastAsia="仿宋_GB2312" w:cs="仿宋_GB2312"/>
          <w:color w:val="auto"/>
          <w:kern w:val="2"/>
          <w:sz w:val="32"/>
          <w:szCs w:val="32"/>
          <w:highlight w:val="none"/>
          <w:lang w:val="en-US" w:eastAsia="zh-CN" w:bidi="ar-SA"/>
        </w:rPr>
        <w:t>100%</w:t>
      </w:r>
      <w:r>
        <w:rPr>
          <w:rFonts w:hint="eastAsia" w:ascii="仿宋_GB2312" w:hAnsi="仿宋" w:eastAsia="仿宋_GB2312"/>
          <w:sz w:val="32"/>
          <w:szCs w:val="32"/>
          <w:lang w:val="en-US" w:eastAsia="zh-CN"/>
        </w:rPr>
        <w:t>，基本支出和项目支出执行力度和完成情况较好。在预算执行中，严格按工作开展进度、预算资金计划等执行，分管财务领导定期督查单位预算执行情况，并加强与财政部门的衔接沟通。对涉及的项目资金严格按照项目实施进度拨付预算资金，加强了财政资金的事前、事中、事后监管，无超进度、超预算拨付资金。</w:t>
      </w:r>
    </w:p>
    <w:p>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仿宋_GB2312" w:hAnsi="仿宋" w:eastAsia="仿宋_GB2312"/>
          <w:sz w:val="32"/>
          <w:szCs w:val="32"/>
          <w:lang w:val="zh-CN"/>
        </w:rPr>
      </w:pPr>
      <w:r>
        <w:rPr>
          <w:rFonts w:hint="eastAsia" w:ascii="仿宋_GB2312" w:hAnsi="Times New Roman" w:eastAsia="仿宋_GB2312" w:cs="Times New Roman"/>
          <w:kern w:val="2"/>
          <w:sz w:val="32"/>
          <w:szCs w:val="32"/>
          <w:lang w:val="zh-CN" w:eastAsia="zh-CN" w:bidi="ar-SA"/>
        </w:rPr>
        <w:t>单位收入统筹、预算年终结余</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en-US" w:eastAsia="zh-CN" w:bidi="ar-SA"/>
        </w:rPr>
        <w:t>2025年</w:t>
      </w:r>
      <w:r>
        <w:rPr>
          <w:rFonts w:hint="eastAsia" w:ascii="仿宋_GB2312" w:hAnsi="仿宋" w:eastAsia="仿宋_GB2312"/>
          <w:sz w:val="32"/>
          <w:szCs w:val="32"/>
          <w:lang w:val="en-US" w:eastAsia="zh-CN"/>
        </w:rPr>
        <w:t>我单位收入包括财政拨款收入和其他收入，均按照财政要求在预算一体化中体现，</w:t>
      </w:r>
      <w:r>
        <w:rPr>
          <w:rFonts w:hint="eastAsia" w:ascii="Times New Roman" w:hAnsi="Times New Roman" w:eastAsia="仿宋_GB2312" w:cs="仿宋_GB2312"/>
          <w:color w:val="auto"/>
          <w:kern w:val="2"/>
          <w:sz w:val="32"/>
          <w:szCs w:val="32"/>
          <w:highlight w:val="none"/>
          <w:lang w:val="en-US" w:eastAsia="zh-CN" w:bidi="ar-SA"/>
        </w:rPr>
        <w:t>2025年</w:t>
      </w:r>
      <w:r>
        <w:rPr>
          <w:rFonts w:hint="eastAsia" w:ascii="仿宋_GB2312" w:hAnsi="仿宋" w:eastAsia="仿宋_GB2312"/>
          <w:sz w:val="32"/>
          <w:szCs w:val="32"/>
          <w:lang w:val="en-US" w:eastAsia="zh-CN"/>
        </w:rPr>
        <w:t>底我单位年终结余全部收回财政。</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zh-CN"/>
        </w:rPr>
      </w:pPr>
      <w:r>
        <w:rPr>
          <w:rFonts w:hint="eastAsia" w:eastAsia="楷体_GB2312" w:cs="Times New Roman"/>
          <w:color w:val="000000"/>
          <w:kern w:val="0"/>
          <w:sz w:val="32"/>
          <w:szCs w:val="32"/>
          <w:highlight w:val="none"/>
          <w:shd w:val="clear" w:color="auto" w:fill="FFFFFF"/>
          <w:lang w:val="en-US" w:eastAsia="zh-CN"/>
        </w:rPr>
        <w:t>3.</w:t>
      </w:r>
      <w:r>
        <w:rPr>
          <w:rFonts w:hint="default" w:ascii="Times New Roman" w:hAnsi="Times New Roman" w:eastAsia="楷体_GB2312" w:cs="Times New Roman"/>
          <w:color w:val="000000"/>
          <w:kern w:val="0"/>
          <w:sz w:val="32"/>
          <w:szCs w:val="32"/>
          <w:highlight w:val="none"/>
          <w:shd w:val="clear" w:color="auto" w:fill="FFFFFF"/>
          <w:lang w:val="zh-CN" w:eastAsia="zh-CN"/>
        </w:rPr>
        <w:t>财务管理。</w:t>
      </w:r>
      <w:r>
        <w:rPr>
          <w:rFonts w:hint="eastAsia" w:ascii="仿宋_GB2312" w:hAnsi="仿宋" w:eastAsia="仿宋_GB2312"/>
          <w:sz w:val="32"/>
          <w:szCs w:val="32"/>
          <w:lang w:val="zh-CN"/>
        </w:rPr>
        <w:t>我单位分别设会计、出纳人员各</w:t>
      </w:r>
      <w:r>
        <w:rPr>
          <w:rFonts w:hint="eastAsia" w:ascii="仿宋_GB2312" w:hAnsi="仿宋" w:eastAsia="仿宋_GB2312"/>
          <w:sz w:val="32"/>
          <w:szCs w:val="32"/>
          <w:lang w:val="en-US" w:eastAsia="zh-CN"/>
        </w:rPr>
        <w:t>2</w:t>
      </w:r>
      <w:r>
        <w:rPr>
          <w:rFonts w:hint="eastAsia" w:ascii="仿宋_GB2312" w:hAnsi="仿宋" w:eastAsia="仿宋_GB2312"/>
          <w:sz w:val="32"/>
          <w:szCs w:val="32"/>
          <w:lang w:val="zh-CN"/>
        </w:rPr>
        <w:t>名，实际工作中，会计、出纳各负其责、各司其职，相互制约。在经费管理中，建立规章制度，严格按照“逐级”审批原则，从严控制，紧缩支出。加强票据管理，严格审批权限，避免财务风险，加强和规范内部控制制度建设，提高会计核算和管理水平，督促会计人员对各项财务、款项的增减变动和结存情况及时进行记录、计算、反映、核对，保证账证相符、帐表相符。加强完善内部财务管理制度，严格按照</w:t>
      </w:r>
      <w:r>
        <w:rPr>
          <w:rFonts w:hint="eastAsia" w:ascii="仿宋_GB2312" w:hAnsi="仿宋" w:eastAsia="仿宋_GB2312"/>
          <w:sz w:val="32"/>
          <w:szCs w:val="32"/>
          <w:lang w:val="en-US" w:eastAsia="zh-CN"/>
        </w:rPr>
        <w:t>财务</w:t>
      </w:r>
      <w:r>
        <w:rPr>
          <w:rFonts w:hint="eastAsia" w:ascii="仿宋_GB2312" w:hAnsi="仿宋" w:eastAsia="仿宋_GB2312"/>
          <w:sz w:val="32"/>
          <w:szCs w:val="32"/>
          <w:lang w:val="zh-CN"/>
        </w:rPr>
        <w:t>管理办法</w:t>
      </w:r>
      <w:r>
        <w:rPr>
          <w:rFonts w:hint="eastAsia" w:ascii="仿宋_GB2312" w:hAnsi="仿宋" w:eastAsia="仿宋_GB2312"/>
          <w:sz w:val="32"/>
          <w:szCs w:val="32"/>
          <w:lang w:val="en-US" w:eastAsia="zh-CN"/>
        </w:rPr>
        <w:t>支出相关经费</w:t>
      </w:r>
      <w:r>
        <w:rPr>
          <w:rFonts w:hint="eastAsia" w:ascii="仿宋_GB2312" w:hAnsi="仿宋" w:eastAsia="仿宋_GB2312"/>
          <w:sz w:val="32"/>
          <w:szCs w:val="32"/>
          <w:lang w:val="zh-CN"/>
        </w:rPr>
        <w:t>。</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default" w:ascii="仿宋_GB2312" w:hAnsi="仿宋" w:eastAsia="仿宋_GB2312"/>
          <w:sz w:val="32"/>
          <w:szCs w:val="32"/>
          <w:lang w:val="zh-CN"/>
        </w:rPr>
      </w:pPr>
      <w:r>
        <w:rPr>
          <w:rFonts w:hint="default" w:ascii="Times New Roman" w:hAnsi="Times New Roman" w:eastAsia="楷体_GB2312" w:cs="Times New Roman"/>
          <w:color w:val="000000"/>
          <w:kern w:val="0"/>
          <w:sz w:val="32"/>
          <w:szCs w:val="32"/>
          <w:highlight w:val="none"/>
          <w:shd w:val="clear" w:color="auto" w:fill="FFFFFF"/>
          <w:lang w:val="en-US" w:eastAsia="zh-CN"/>
        </w:rPr>
        <w:t>4.</w:t>
      </w:r>
      <w:r>
        <w:rPr>
          <w:rFonts w:hint="default" w:ascii="Times New Roman" w:hAnsi="Times New Roman" w:eastAsia="楷体_GB2312" w:cs="Times New Roman"/>
          <w:color w:val="000000"/>
          <w:kern w:val="0"/>
          <w:sz w:val="32"/>
          <w:szCs w:val="32"/>
          <w:highlight w:val="none"/>
          <w:shd w:val="clear" w:color="auto" w:fill="FFFFFF"/>
          <w:lang w:val="zh-CN" w:eastAsia="zh-CN"/>
        </w:rPr>
        <w:t>资产管理。</w:t>
      </w:r>
      <w:r>
        <w:rPr>
          <w:rFonts w:hint="eastAsia" w:ascii="仿宋_GB2312" w:hAnsi="仿宋" w:eastAsia="仿宋_GB2312"/>
          <w:sz w:val="32"/>
          <w:szCs w:val="32"/>
          <w:lang w:val="zh-CN"/>
        </w:rPr>
        <w:t>我单位部门</w:t>
      </w:r>
      <w:r>
        <w:rPr>
          <w:rFonts w:hint="eastAsia" w:ascii="仿宋_GB2312" w:hAnsi="仿宋" w:eastAsia="仿宋_GB2312"/>
          <w:sz w:val="32"/>
          <w:szCs w:val="32"/>
          <w:lang w:val="en-US" w:eastAsia="zh-CN"/>
        </w:rPr>
        <w:t>在</w:t>
      </w:r>
      <w:r>
        <w:rPr>
          <w:rFonts w:hint="eastAsia" w:ascii="仿宋_GB2312" w:hAnsi="仿宋" w:eastAsia="仿宋_GB2312"/>
          <w:sz w:val="32"/>
          <w:szCs w:val="32"/>
          <w:lang w:val="zh-CN"/>
        </w:rPr>
        <w:t>预算编制</w:t>
      </w:r>
      <w:r>
        <w:rPr>
          <w:rFonts w:hint="eastAsia" w:ascii="仿宋_GB2312" w:hAnsi="仿宋" w:eastAsia="仿宋_GB2312"/>
          <w:sz w:val="32"/>
          <w:szCs w:val="32"/>
          <w:lang w:val="en-US" w:eastAsia="zh-CN"/>
        </w:rPr>
        <w:t>时</w:t>
      </w:r>
      <w:r>
        <w:rPr>
          <w:rFonts w:hint="eastAsia" w:ascii="仿宋_GB2312" w:hAnsi="仿宋" w:eastAsia="仿宋_GB2312"/>
          <w:sz w:val="32"/>
          <w:szCs w:val="32"/>
          <w:lang w:val="zh-CN"/>
        </w:rPr>
        <w:t>同步编制新增资产配置预算；国有资产交付使用后及时准确入账；明确资产使用和保管责任人、落实资产使用人在资产管理中的责任；国有资产折旧的计提符合相关会计规范；定期清理盘点资产、确保账实相符；行政事业性国有资产纳入四川省行政事业单位资产管理信息系统动态管理。</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default" w:ascii="仿宋_GB2312" w:hAnsi="仿宋" w:eastAsia="仿宋_GB2312"/>
          <w:sz w:val="32"/>
          <w:szCs w:val="32"/>
          <w:lang w:val="zh-CN"/>
        </w:rPr>
      </w:pPr>
      <w:r>
        <w:rPr>
          <w:rFonts w:hint="default" w:ascii="Times New Roman" w:hAnsi="Times New Roman" w:eastAsia="楷体_GB2312" w:cs="Times New Roman"/>
          <w:color w:val="000000"/>
          <w:kern w:val="0"/>
          <w:sz w:val="32"/>
          <w:szCs w:val="32"/>
          <w:highlight w:val="none"/>
          <w:shd w:val="clear" w:color="auto" w:fill="FFFFFF"/>
          <w:lang w:val="en-US" w:eastAsia="zh-CN"/>
        </w:rPr>
        <w:t>5.</w:t>
      </w:r>
      <w:r>
        <w:rPr>
          <w:rFonts w:hint="default" w:ascii="Times New Roman" w:hAnsi="Times New Roman" w:eastAsia="楷体_GB2312" w:cs="Times New Roman"/>
          <w:color w:val="000000"/>
          <w:kern w:val="0"/>
          <w:sz w:val="32"/>
          <w:szCs w:val="32"/>
          <w:highlight w:val="none"/>
          <w:shd w:val="clear" w:color="auto" w:fill="FFFFFF"/>
          <w:lang w:val="zh-CN" w:eastAsia="zh-CN"/>
        </w:rPr>
        <w:t>采购管理。</w:t>
      </w:r>
      <w:r>
        <w:rPr>
          <w:rFonts w:hint="eastAsia" w:ascii="仿宋_GB2312" w:hAnsi="仿宋" w:eastAsia="仿宋_GB2312"/>
          <w:sz w:val="32"/>
          <w:szCs w:val="32"/>
          <w:lang w:val="zh-CN"/>
        </w:rPr>
        <w:t>我单位按法定采购方式和程序实施采购，不存在无预算采购、超预算采购情况，按规定进行政府采购计划备案，不存在拆分项目预算规避政府采购或公开招标情况，按采购文件确定事项签订政府采购合同，按规定公告、备案政府采购合同，按照合同约定及时支付资金。</w:t>
      </w:r>
    </w:p>
    <w:p>
      <w:pPr>
        <w:keepNext w:val="0"/>
        <w:keepLines w:val="0"/>
        <w:pageBreakBefore w:val="0"/>
        <w:kinsoku/>
        <w:wordWrap/>
        <w:overflowPunct/>
        <w:topLinePunct w:val="0"/>
        <w:autoSpaceDE/>
        <w:autoSpaceDN/>
        <w:bidi w:val="0"/>
        <w:spacing w:line="560" w:lineRule="exact"/>
        <w:ind w:leftChars="0" w:firstLine="643" w:firstLineChars="200"/>
        <w:textAlignment w:val="auto"/>
        <w:rPr>
          <w:rFonts w:hint="default" w:ascii="仿宋_GB2312" w:hAnsi="仿宋" w:eastAsia="仿宋_GB2312"/>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default" w:ascii="仿宋_GB2312" w:hAnsi="仿宋" w:eastAsia="仿宋_GB2312"/>
          <w:sz w:val="32"/>
          <w:szCs w:val="32"/>
          <w:lang w:val="zh-CN" w:eastAsia="zh-CN"/>
        </w:rPr>
        <w:t>填报以下数据，</w:t>
      </w:r>
      <w:r>
        <w:rPr>
          <w:rFonts w:hint="default" w:ascii="仿宋_GB2312" w:hAnsi="仿宋" w:eastAsia="仿宋_GB2312"/>
          <w:sz w:val="32"/>
          <w:szCs w:val="32"/>
          <w:lang w:val="zh-CN"/>
        </w:rPr>
        <w:t>并根据部门预算绩效评价指标体系“项目绩效”涉及二、三级指标进行逐项绩效分析并评分，依次包括项目</w:t>
      </w:r>
      <w:r>
        <w:rPr>
          <w:rFonts w:hint="default" w:ascii="仿宋_GB2312" w:hAnsi="仿宋" w:eastAsia="仿宋_GB2312"/>
          <w:sz w:val="32"/>
          <w:szCs w:val="32"/>
          <w:lang w:val="en-US" w:eastAsia="zh-CN"/>
        </w:rPr>
        <w:t>决策、项目执行、目标实现等情况。</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Times New Roman" w:hAnsi="Times New Roman" w:eastAsia="仿宋_GB2312" w:cs="仿宋_GB2312"/>
          <w:color w:val="auto"/>
          <w:kern w:val="2"/>
          <w:sz w:val="32"/>
          <w:szCs w:val="32"/>
          <w:highlight w:val="none"/>
          <w:lang w:val="zh-CN" w:eastAsia="zh-CN" w:bidi="ar-SA"/>
        </w:rPr>
      </w:pPr>
      <w:r>
        <w:rPr>
          <w:rFonts w:hint="default" w:ascii="仿宋_GB2312" w:hAnsi="仿宋" w:eastAsia="仿宋_GB2312"/>
          <w:sz w:val="32"/>
          <w:szCs w:val="32"/>
          <w:lang w:val="en-US" w:eastAsia="zh-CN"/>
        </w:rPr>
        <w:t>常年项目绩效分析。</w:t>
      </w:r>
      <w:r>
        <w:rPr>
          <w:rFonts w:hint="default" w:ascii="仿宋_GB2312" w:hAnsi="仿宋" w:eastAsia="仿宋_GB2312"/>
          <w:sz w:val="32"/>
          <w:szCs w:val="32"/>
          <w:lang w:val="zh-CN" w:eastAsia="zh-CN"/>
        </w:rPr>
        <w:t>该类项目总</w:t>
      </w:r>
      <w:r>
        <w:rPr>
          <w:rFonts w:hint="default" w:ascii="Times New Roman" w:hAnsi="Times New Roman" w:eastAsia="仿宋_GB2312" w:cs="仿宋_GB2312"/>
          <w:color w:val="auto"/>
          <w:kern w:val="2"/>
          <w:sz w:val="32"/>
          <w:szCs w:val="32"/>
          <w:highlight w:val="none"/>
          <w:lang w:val="zh-CN" w:eastAsia="zh-CN" w:bidi="ar-SA"/>
        </w:rPr>
        <w:t>数</w:t>
      </w:r>
      <w:r>
        <w:rPr>
          <w:rFonts w:hint="eastAsia" w:ascii="Times New Roman" w:hAnsi="Times New Roman" w:eastAsia="仿宋_GB2312" w:cs="仿宋_GB2312"/>
          <w:color w:val="auto"/>
          <w:kern w:val="2"/>
          <w:sz w:val="32"/>
          <w:szCs w:val="32"/>
          <w:highlight w:val="none"/>
          <w:lang w:val="en-US" w:eastAsia="zh-CN" w:bidi="ar-SA"/>
        </w:rPr>
        <w:t>1</w:t>
      </w:r>
      <w:r>
        <w:rPr>
          <w:rFonts w:hint="default" w:ascii="仿宋_GB2312" w:hAnsi="仿宋" w:eastAsia="仿宋_GB2312"/>
          <w:sz w:val="32"/>
          <w:szCs w:val="32"/>
          <w:lang w:val="zh-CN" w:eastAsia="zh-CN"/>
        </w:rPr>
        <w:t>个，红原县</w:t>
      </w:r>
      <w:r>
        <w:rPr>
          <w:rFonts w:hint="default" w:ascii="Times New Roman" w:hAnsi="Times New Roman" w:eastAsia="仿宋_GB2312" w:cs="仿宋_GB2312"/>
          <w:color w:val="auto"/>
          <w:kern w:val="2"/>
          <w:sz w:val="32"/>
          <w:szCs w:val="32"/>
          <w:highlight w:val="none"/>
          <w:lang w:val="zh-CN" w:eastAsia="zh-CN" w:bidi="ar-SA"/>
        </w:rPr>
        <w:t>X124阿龙路（龙日坝至阿木乡S313岔</w:t>
      </w:r>
      <w:r>
        <w:rPr>
          <w:rFonts w:hint="default" w:ascii="仿宋_GB2312" w:hAnsi="仿宋" w:eastAsia="仿宋_GB2312"/>
          <w:sz w:val="32"/>
          <w:szCs w:val="32"/>
          <w:lang w:val="zh-CN" w:eastAsia="zh-CN"/>
        </w:rPr>
        <w:t>口段）幸福美丽乡村路</w:t>
      </w:r>
      <w:r>
        <w:rPr>
          <w:rFonts w:hint="eastAsia" w:ascii="仿宋_GB2312" w:hAnsi="仿宋" w:eastAsia="仿宋_GB2312"/>
          <w:sz w:val="32"/>
          <w:szCs w:val="32"/>
          <w:lang w:val="zh-CN" w:eastAsia="zh-CN"/>
        </w:rPr>
        <w:t>，</w:t>
      </w:r>
      <w:r>
        <w:rPr>
          <w:rFonts w:hint="eastAsia" w:ascii="仿宋_GB2312" w:hAnsi="仿宋" w:eastAsia="仿宋_GB2312"/>
          <w:sz w:val="32"/>
          <w:szCs w:val="32"/>
          <w:lang w:val="en-US" w:eastAsia="zh-CN"/>
        </w:rPr>
        <w:t>涉及预算</w:t>
      </w:r>
      <w:r>
        <w:rPr>
          <w:rFonts w:hint="eastAsia" w:ascii="Times New Roman" w:hAnsi="Times New Roman" w:eastAsia="仿宋_GB2312" w:cs="仿宋_GB2312"/>
          <w:color w:val="auto"/>
          <w:kern w:val="2"/>
          <w:sz w:val="32"/>
          <w:szCs w:val="32"/>
          <w:highlight w:val="none"/>
          <w:lang w:val="en-US" w:eastAsia="zh-CN" w:bidi="ar-SA"/>
        </w:rPr>
        <w:t>总金额</w:t>
      </w:r>
      <w:r>
        <w:rPr>
          <w:rFonts w:hint="eastAsia" w:eastAsia="仿宋_GB2312" w:cs="仿宋_GB2312"/>
          <w:color w:val="auto"/>
          <w:kern w:val="2"/>
          <w:sz w:val="32"/>
          <w:szCs w:val="32"/>
          <w:highlight w:val="none"/>
          <w:lang w:val="en-US" w:eastAsia="zh-CN" w:bidi="ar-SA"/>
        </w:rPr>
        <w:t>5216.41</w:t>
      </w:r>
      <w:r>
        <w:rPr>
          <w:rFonts w:hint="eastAsia" w:ascii="Times New Roman" w:hAnsi="Times New Roman" w:eastAsia="仿宋_GB2312" w:cs="仿宋_GB2312"/>
          <w:color w:val="auto"/>
          <w:kern w:val="2"/>
          <w:sz w:val="32"/>
          <w:szCs w:val="32"/>
          <w:highlight w:val="none"/>
          <w:lang w:val="en-US" w:eastAsia="zh-CN" w:bidi="ar-SA"/>
        </w:rPr>
        <w:t>万元，</w:t>
      </w:r>
      <w:r>
        <w:rPr>
          <w:rFonts w:hint="default" w:ascii="Times New Roman" w:hAnsi="Times New Roman" w:eastAsia="仿宋_GB2312" w:cs="仿宋_GB2312"/>
          <w:color w:val="auto"/>
          <w:kern w:val="2"/>
          <w:sz w:val="32"/>
          <w:szCs w:val="32"/>
          <w:highlight w:val="none"/>
          <w:lang w:val="zh-CN" w:eastAsia="zh-CN" w:bidi="ar-SA"/>
        </w:rPr>
        <w:t>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eastAsia="仿宋_GB2312" w:cs="仿宋_GB2312"/>
          <w:color w:val="auto"/>
          <w:kern w:val="2"/>
          <w:sz w:val="32"/>
          <w:szCs w:val="32"/>
          <w:highlight w:val="none"/>
          <w:lang w:val="en-US" w:eastAsia="zh-CN" w:bidi="ar-SA"/>
        </w:rPr>
        <w:t>91.04</w:t>
      </w:r>
      <w:r>
        <w:rPr>
          <w:rFonts w:hint="default" w:ascii="Times New Roman" w:hAnsi="Times New Roman"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default" w:ascii="仿宋_GB2312" w:hAnsi="仿宋" w:eastAsia="仿宋_GB2312"/>
          <w:sz w:val="32"/>
          <w:szCs w:val="32"/>
          <w:lang w:val="en-US" w:eastAsia="zh-CN"/>
        </w:rPr>
        <w:t>阶段</w:t>
      </w:r>
      <w:r>
        <w:rPr>
          <w:rFonts w:hint="eastAsia" w:ascii="仿宋_GB2312" w:hAnsi="仿宋" w:eastAsia="仿宋_GB2312"/>
          <w:sz w:val="32"/>
          <w:szCs w:val="32"/>
          <w:lang w:val="en-US" w:eastAsia="zh-CN"/>
        </w:rPr>
        <w:t>（</w:t>
      </w:r>
      <w:r>
        <w:rPr>
          <w:rFonts w:hint="default" w:ascii="仿宋_GB2312" w:hAnsi="仿宋" w:eastAsia="仿宋_GB2312"/>
          <w:sz w:val="32"/>
          <w:szCs w:val="32"/>
          <w:lang w:val="en-US" w:eastAsia="zh-CN"/>
        </w:rPr>
        <w:t>一次性</w:t>
      </w:r>
      <w:r>
        <w:rPr>
          <w:rFonts w:hint="eastAsia" w:ascii="仿宋_GB2312" w:hAnsi="仿宋" w:eastAsia="仿宋_GB2312"/>
          <w:sz w:val="32"/>
          <w:szCs w:val="32"/>
          <w:lang w:val="en-US" w:eastAsia="zh-CN"/>
        </w:rPr>
        <w:t>）</w:t>
      </w:r>
      <w:r>
        <w:rPr>
          <w:rFonts w:hint="default" w:ascii="仿宋_GB2312" w:hAnsi="仿宋" w:eastAsia="仿宋_GB2312"/>
          <w:sz w:val="32"/>
          <w:szCs w:val="32"/>
          <w:lang w:val="en-US" w:eastAsia="zh-CN"/>
        </w:rPr>
        <w:t>项目绩效分析。</w:t>
      </w:r>
      <w:r>
        <w:rPr>
          <w:rFonts w:hint="default" w:ascii="仿宋_GB2312" w:hAnsi="仿宋" w:eastAsia="仿宋_GB2312"/>
          <w:sz w:val="32"/>
          <w:szCs w:val="32"/>
          <w:lang w:val="zh-CN" w:eastAsia="zh-CN"/>
        </w:rPr>
        <w:t>该类项目总数</w:t>
      </w:r>
      <w:r>
        <w:rPr>
          <w:rFonts w:hint="eastAsia" w:ascii="仿宋_GB2312" w:hAnsi="仿宋" w:eastAsia="仿宋_GB2312"/>
          <w:sz w:val="32"/>
          <w:szCs w:val="32"/>
          <w:lang w:val="en-US" w:eastAsia="zh-CN"/>
        </w:rPr>
        <w:t>1</w:t>
      </w:r>
      <w:r>
        <w:rPr>
          <w:rFonts w:hint="default" w:ascii="仿宋_GB2312" w:hAnsi="仿宋" w:eastAsia="仿宋_GB2312"/>
          <w:sz w:val="32"/>
          <w:szCs w:val="32"/>
          <w:lang w:val="zh-CN" w:eastAsia="zh-CN"/>
        </w:rPr>
        <w:t>个，</w:t>
      </w:r>
      <w:r>
        <w:rPr>
          <w:rFonts w:hint="eastAsia" w:ascii="仿宋_GB2312" w:hAnsi="仿宋" w:eastAsia="仿宋_GB2312"/>
          <w:sz w:val="32"/>
          <w:szCs w:val="32"/>
          <w:lang w:val="en-US" w:eastAsia="zh-CN"/>
        </w:rPr>
        <w:t>红原县道路沿线生态修复项目</w:t>
      </w:r>
      <w:r>
        <w:rPr>
          <w:rFonts w:hint="eastAsia" w:ascii="仿宋_GB2312" w:hAnsi="仿宋" w:eastAsia="仿宋_GB2312"/>
          <w:sz w:val="32"/>
          <w:szCs w:val="32"/>
          <w:lang w:val="zh-CN" w:eastAsia="zh-CN"/>
        </w:rPr>
        <w:t>，</w:t>
      </w:r>
      <w:r>
        <w:rPr>
          <w:rFonts w:hint="default" w:ascii="仿宋_GB2312" w:hAnsi="仿宋" w:eastAsia="仿宋_GB2312"/>
          <w:sz w:val="32"/>
          <w:szCs w:val="32"/>
          <w:lang w:val="zh-CN" w:eastAsia="zh-CN"/>
        </w:rPr>
        <w:t>涉及预算总</w:t>
      </w:r>
      <w:r>
        <w:rPr>
          <w:rFonts w:hint="default" w:ascii="Times New Roman" w:hAnsi="Times New Roman" w:eastAsia="仿宋_GB2312" w:cs="仿宋_GB2312"/>
          <w:color w:val="auto"/>
          <w:kern w:val="2"/>
          <w:sz w:val="32"/>
          <w:szCs w:val="32"/>
          <w:highlight w:val="none"/>
          <w:lang w:val="zh-CN" w:eastAsia="zh-CN" w:bidi="ar-SA"/>
        </w:rPr>
        <w:t>金额</w:t>
      </w:r>
      <w:r>
        <w:rPr>
          <w:rFonts w:hint="eastAsia" w:ascii="Times New Roman" w:hAnsi="Times New Roman" w:eastAsia="仿宋_GB2312" w:cs="仿宋_GB2312"/>
          <w:color w:val="auto"/>
          <w:kern w:val="2"/>
          <w:sz w:val="32"/>
          <w:szCs w:val="32"/>
          <w:highlight w:val="none"/>
          <w:lang w:val="en-US" w:eastAsia="zh-CN" w:bidi="ar-SA"/>
        </w:rPr>
        <w:t>2450</w:t>
      </w:r>
      <w:r>
        <w:rPr>
          <w:rFonts w:hint="default" w:ascii="Times New Roman" w:hAnsi="Times New Roman" w:eastAsia="仿宋_GB2312" w:cs="仿宋_GB2312"/>
          <w:color w:val="auto"/>
          <w:kern w:val="2"/>
          <w:sz w:val="32"/>
          <w:szCs w:val="32"/>
          <w:highlight w:val="none"/>
          <w:lang w:val="zh-CN" w:eastAsia="zh-CN" w:bidi="ar-SA"/>
        </w:rPr>
        <w:t>万元</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eastAsia="仿宋_GB2312" w:cs="仿宋_GB2312"/>
          <w:color w:val="auto"/>
          <w:kern w:val="2"/>
          <w:sz w:val="32"/>
          <w:szCs w:val="32"/>
          <w:highlight w:val="none"/>
          <w:lang w:val="en-US" w:eastAsia="zh-CN" w:bidi="ar-SA"/>
        </w:rPr>
        <w:t>55.06</w:t>
      </w:r>
      <w:r>
        <w:rPr>
          <w:rFonts w:hint="default" w:ascii="Times New Roman" w:hAnsi="Times New Roman"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zh-CN"/>
        </w:rPr>
      </w:pPr>
      <w:r>
        <w:rPr>
          <w:rFonts w:hint="eastAsia" w:ascii="仿宋_GB2312" w:hAnsi="仿宋" w:eastAsia="仿宋_GB2312"/>
          <w:sz w:val="32"/>
          <w:szCs w:val="32"/>
          <w:lang w:val="en-US" w:eastAsia="zh-CN"/>
        </w:rPr>
        <w:t>1.</w:t>
      </w:r>
      <w:r>
        <w:rPr>
          <w:rFonts w:hint="eastAsia" w:ascii="仿宋_GB2312" w:hAnsi="仿宋" w:eastAsia="仿宋_GB2312"/>
          <w:sz w:val="32"/>
          <w:szCs w:val="32"/>
          <w:lang w:val="zh-CN"/>
        </w:rPr>
        <w:t>项目决策。</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default" w:ascii="仿宋_GB2312" w:hAnsi="仿宋" w:eastAsia="仿宋_GB2312"/>
          <w:sz w:val="32"/>
          <w:szCs w:val="32"/>
          <w:lang w:val="en-US" w:eastAsia="zh-CN"/>
        </w:rPr>
      </w:pPr>
      <w:r>
        <w:rPr>
          <w:rFonts w:hint="eastAsia" w:ascii="仿宋_GB2312" w:hAnsi="仿宋" w:eastAsia="仿宋_GB2312"/>
          <w:sz w:val="32"/>
          <w:szCs w:val="32"/>
          <w:lang w:val="en-US" w:eastAsia="zh-CN"/>
        </w:rPr>
        <w:t>我单位所有项目均按照上级要求及单位内控制度，开展项目决算，在项目入库时设置项目绩效目标，确保能定期按照目标要求完成项目。</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zh-CN"/>
        </w:rPr>
      </w:pPr>
      <w:r>
        <w:rPr>
          <w:rFonts w:hint="eastAsia" w:ascii="仿宋_GB2312" w:hAnsi="仿宋" w:eastAsia="仿宋_GB2312"/>
          <w:sz w:val="32"/>
          <w:szCs w:val="32"/>
          <w:lang w:val="en-US" w:eastAsia="zh-CN"/>
        </w:rPr>
        <w:t>2.项目执行</w:t>
      </w:r>
      <w:r>
        <w:rPr>
          <w:rFonts w:hint="eastAsia" w:ascii="仿宋_GB2312" w:hAnsi="仿宋" w:eastAsia="仿宋_GB2312"/>
          <w:sz w:val="32"/>
          <w:szCs w:val="32"/>
          <w:lang w:val="zh-CN"/>
        </w:rPr>
        <w:t>。</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default" w:ascii="仿宋_GB2312" w:hAnsi="仿宋" w:eastAsia="仿宋_GB2312"/>
          <w:sz w:val="32"/>
          <w:szCs w:val="32"/>
          <w:lang w:val="en-US" w:eastAsia="zh-CN"/>
        </w:rPr>
      </w:pPr>
      <w:r>
        <w:rPr>
          <w:rFonts w:hint="eastAsia" w:ascii="仿宋_GB2312" w:hAnsi="仿宋" w:eastAsia="仿宋_GB2312"/>
          <w:sz w:val="32"/>
          <w:szCs w:val="32"/>
          <w:lang w:val="en-US" w:eastAsia="zh-CN"/>
        </w:rPr>
        <w:t>我单位项目分为年初预算项目、上级专项项目、其他收入项目（县财政代管资金项目）三类，我单位年初预算项目完全按照年初目标设置完成并及时支付；上级专项项目完全按照资金投向使用，及时调整项目目标绩效，按照项目进度支付项目资金；其他收入项目为县财政代管项目资金，包括项目履约保证金，按照要求合同履约完成后，进行资金支付。</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zh-CN"/>
        </w:rPr>
      </w:pPr>
      <w:r>
        <w:rPr>
          <w:rFonts w:hint="eastAsia" w:ascii="仿宋_GB2312" w:hAnsi="仿宋" w:eastAsia="仿宋_GB2312"/>
          <w:sz w:val="32"/>
          <w:szCs w:val="32"/>
          <w:lang w:val="en-US" w:eastAsia="zh-CN"/>
        </w:rPr>
        <w:t>3.</w:t>
      </w:r>
      <w:r>
        <w:rPr>
          <w:rFonts w:hint="eastAsia" w:ascii="仿宋_GB2312" w:hAnsi="仿宋" w:eastAsia="仿宋_GB2312"/>
          <w:sz w:val="32"/>
          <w:szCs w:val="32"/>
          <w:lang w:val="zh-CN"/>
        </w:rPr>
        <w:t>目标实现。</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default" w:ascii="仿宋_GB2312" w:hAnsi="仿宋" w:eastAsia="仿宋_GB2312"/>
          <w:sz w:val="32"/>
          <w:szCs w:val="32"/>
          <w:lang w:val="en-US" w:eastAsia="zh-CN"/>
        </w:rPr>
      </w:pPr>
      <w:r>
        <w:rPr>
          <w:rFonts w:hint="eastAsia" w:ascii="仿宋_GB2312" w:hAnsi="仿宋" w:eastAsia="仿宋_GB2312"/>
          <w:sz w:val="32"/>
          <w:szCs w:val="32"/>
          <w:lang w:val="en-US" w:eastAsia="zh-CN"/>
        </w:rPr>
        <w:t>我单位对照基本支出和项目支出，基本能完成项目目标，并及时设置年度绩效目标，如出现预警等情况，我单位及时调整目标，确保项目目标的实现。</w:t>
      </w:r>
    </w:p>
    <w:p>
      <w:pPr>
        <w:keepNext w:val="0"/>
        <w:keepLines w:val="0"/>
        <w:pageBreakBefore w:val="0"/>
        <w:kinsoku/>
        <w:wordWrap/>
        <w:overflowPunct/>
        <w:topLinePunct w:val="0"/>
        <w:autoSpaceDE/>
        <w:autoSpaceDN/>
        <w:bidi w:val="0"/>
        <w:spacing w:line="560" w:lineRule="exact"/>
        <w:ind w:leftChars="0" w:firstLine="643" w:firstLineChars="200"/>
        <w:textAlignment w:val="auto"/>
        <w:rPr>
          <w:rFonts w:hint="default" w:ascii="仿宋_GB2312" w:hAnsi="仿宋" w:eastAsia="仿宋_GB2312"/>
          <w:sz w:val="32"/>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（三）绩效结果应用情况。</w:t>
      </w:r>
      <w:r>
        <w:rPr>
          <w:rFonts w:hint="eastAsia" w:ascii="仿宋_GB2312" w:hAnsi="仿宋" w:eastAsia="仿宋_GB2312"/>
          <w:sz w:val="32"/>
          <w:szCs w:val="32"/>
          <w:lang w:val="en-US" w:eastAsia="zh-CN"/>
        </w:rPr>
        <w:t>我单位按照规定编制年度预算，取得的各项收入据实入账，无隐瞒，更无另设账户或者私设小金库。单位编制的支出预算，保证本单位履行基本职能所需人员经费和公用经费。对其他专项支出严格控制。项目资金严格管理，坚持专款专用，资金拨付采取先检查申请，后拨付。做到内容真实、数据准确、资料可靠。做到账务处理及时、会计核算规范、账账相符、账实相符。及时公开单位预决算和项目绩效评价信息。</w:t>
      </w:r>
    </w:p>
    <w:p>
      <w:pPr>
        <w:keepNext w:val="0"/>
        <w:keepLines w:val="0"/>
        <w:pageBreakBefore w:val="0"/>
        <w:widowControl/>
        <w:kinsoku/>
        <w:wordWrap/>
        <w:overflowPunct/>
        <w:topLinePunct w:val="0"/>
        <w:autoSpaceDE/>
        <w:autoSpaceDN/>
        <w:bidi w:val="0"/>
        <w:adjustRightInd w:val="0"/>
        <w:snapToGrid w:val="0"/>
        <w:spacing w:line="560" w:lineRule="exact"/>
        <w:ind w:leftChars="0"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pPr>
        <w:keepNext w:val="0"/>
        <w:keepLines w:val="0"/>
        <w:pageBreakBefore w:val="0"/>
        <w:kinsoku/>
        <w:wordWrap/>
        <w:overflowPunct/>
        <w:topLinePunct w:val="0"/>
        <w:autoSpaceDE/>
        <w:autoSpaceDN/>
        <w:bidi w:val="0"/>
        <w:spacing w:line="560" w:lineRule="exact"/>
        <w:ind w:lef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default" w:ascii="仿宋_GB2312" w:hAnsi="仿宋" w:eastAsia="仿宋_GB2312"/>
          <w:sz w:val="32"/>
          <w:szCs w:val="32"/>
          <w:lang w:val="en-US"/>
        </w:rPr>
      </w:pPr>
      <w:r>
        <w:rPr>
          <w:rFonts w:hint="eastAsia" w:eastAsia="仿宋_GB2312" w:cs="仿宋_GB2312"/>
          <w:color w:val="auto"/>
          <w:kern w:val="2"/>
          <w:sz w:val="32"/>
          <w:szCs w:val="32"/>
          <w:highlight w:val="none"/>
          <w:lang w:val="en-US" w:eastAsia="zh-CN" w:bidi="ar-SA"/>
        </w:rPr>
        <w:t>2025</w:t>
      </w:r>
      <w:r>
        <w:rPr>
          <w:rFonts w:hint="eastAsia" w:ascii="仿宋_GB2312" w:hAnsi="仿宋" w:eastAsia="仿宋_GB2312"/>
          <w:sz w:val="32"/>
          <w:szCs w:val="32"/>
          <w:lang w:val="en-US" w:eastAsia="zh-CN"/>
        </w:rPr>
        <w:t>年，</w:t>
      </w:r>
      <w:r>
        <w:rPr>
          <w:rFonts w:hint="eastAsia" w:ascii="仿宋_GB2312" w:hAnsi="仿宋" w:eastAsia="仿宋_GB2312"/>
          <w:sz w:val="32"/>
          <w:szCs w:val="32"/>
        </w:rPr>
        <w:t>根据考核评分细则，我单位整体支出，严格按照国家的相关财务管理制度规定，财务制度健全，会计核算规范，依照计划管理使用，整体支出对保障部门工作的正常运行，依法履行法定工作职能，强化部门责任，</w:t>
      </w:r>
      <w:r>
        <w:rPr>
          <w:rFonts w:hint="eastAsia" w:ascii="仿宋_GB2312" w:hAnsi="仿宋" w:eastAsia="仿宋_GB2312"/>
          <w:sz w:val="32"/>
          <w:szCs w:val="32"/>
          <w:lang w:eastAsia="zh-CN"/>
        </w:rPr>
        <w:t>在</w:t>
      </w:r>
      <w:r>
        <w:rPr>
          <w:rFonts w:hint="eastAsia" w:ascii="仿宋_GB2312" w:hAnsi="仿宋" w:eastAsia="仿宋_GB2312"/>
          <w:sz w:val="32"/>
          <w:szCs w:val="32"/>
          <w:lang w:val="en-US" w:eastAsia="zh-CN"/>
        </w:rPr>
        <w:t>交通运输</w:t>
      </w:r>
      <w:r>
        <w:rPr>
          <w:rFonts w:hint="eastAsia" w:ascii="仿宋_GB2312" w:hAnsi="仿宋" w:eastAsia="仿宋_GB2312"/>
          <w:sz w:val="32"/>
          <w:szCs w:val="32"/>
          <w:lang w:eastAsia="zh-CN"/>
        </w:rPr>
        <w:t>工作中</w:t>
      </w:r>
      <w:r>
        <w:rPr>
          <w:rFonts w:hint="eastAsia" w:ascii="仿宋_GB2312" w:hAnsi="仿宋" w:eastAsia="仿宋_GB2312"/>
          <w:sz w:val="32"/>
          <w:szCs w:val="32"/>
        </w:rPr>
        <w:t>取得了较好的成绩</w:t>
      </w:r>
      <w:r>
        <w:rPr>
          <w:rFonts w:hint="eastAsia" w:ascii="仿宋_GB2312" w:hAnsi="仿宋" w:eastAsia="仿宋_GB2312"/>
          <w:sz w:val="32"/>
          <w:szCs w:val="32"/>
          <w:lang w:eastAsia="zh-CN"/>
        </w:rPr>
        <w:t>，</w:t>
      </w:r>
      <w:r>
        <w:rPr>
          <w:rFonts w:hint="eastAsia" w:ascii="仿宋_GB2312" w:hAnsi="仿宋" w:eastAsia="仿宋_GB2312"/>
          <w:sz w:val="32"/>
          <w:szCs w:val="32"/>
          <w:lang w:val="en-US" w:eastAsia="zh-CN"/>
        </w:rPr>
        <w:t>自评</w:t>
      </w:r>
      <w:r>
        <w:rPr>
          <w:rFonts w:hint="eastAsia" w:eastAsia="仿宋_GB2312" w:cs="仿宋_GB2312"/>
          <w:color w:val="auto"/>
          <w:kern w:val="2"/>
          <w:sz w:val="32"/>
          <w:szCs w:val="32"/>
          <w:highlight w:val="none"/>
          <w:lang w:val="en-US" w:eastAsia="zh-CN" w:bidi="ar-SA"/>
        </w:rPr>
        <w:t>分为97分。</w:t>
      </w:r>
    </w:p>
    <w:p>
      <w:pPr>
        <w:keepNext w:val="0"/>
        <w:keepLines w:val="0"/>
        <w:pageBreakBefore w:val="0"/>
        <w:kinsoku/>
        <w:wordWrap/>
        <w:overflowPunct/>
        <w:topLinePunct w:val="0"/>
        <w:autoSpaceDE/>
        <w:autoSpaceDN/>
        <w:bidi w:val="0"/>
        <w:spacing w:line="560" w:lineRule="exact"/>
        <w:ind w:leftChars="0" w:firstLine="643" w:firstLineChars="200"/>
        <w:textAlignment w:val="auto"/>
        <w:rPr>
          <w:rFonts w:hint="eastAsia" w:ascii="Times New Roman" w:hAnsi="Times New Roman" w:eastAsia="楷体_GB2312" w:cs="Times New Roman"/>
          <w:b/>
          <w:bCs/>
          <w:color w:val="000000"/>
          <w:kern w:val="0"/>
          <w:sz w:val="32"/>
          <w:szCs w:val="32"/>
          <w:highlight w:val="none"/>
          <w:shd w:val="clear" w:color="auto" w:fill="FFFFFF"/>
          <w:lang w:val="en-US" w:eastAsia="zh-CN"/>
        </w:rPr>
      </w:pP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二</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楷体_GB2312" w:cs="Times New Roman"/>
          <w:b/>
          <w:bCs/>
          <w:color w:val="000000"/>
          <w:kern w:val="0"/>
          <w:sz w:val="32"/>
          <w:szCs w:val="32"/>
          <w:highlight w:val="none"/>
          <w:shd w:val="clear" w:color="auto" w:fill="FFFFFF"/>
          <w:lang w:val="zh-CN"/>
        </w:rPr>
        <w:t>存在问题。</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1.对于绩效评价的认识不够深入，把预算绩效简单等同于工作目标、工作考核和业务管理。</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2.绩效目标和指标往往根据项目实际完成情况制定，对执行过程有效约束不够，存在一定的偏差。</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3.内控制度更新不及时,有执行不到位的地方,监督乏力。</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4.</w:t>
      </w:r>
      <w:r>
        <w:rPr>
          <w:rFonts w:hint="eastAsia" w:ascii="仿宋_GB2312" w:hAnsi="仿宋" w:eastAsia="仿宋_GB2312"/>
          <w:sz w:val="32"/>
          <w:szCs w:val="32"/>
        </w:rPr>
        <w:t>机关的支出管理项目还有待进一步细化和量化，强化机关经费预算管理的刚性约束，项目支出按预算和工作进度执行，进一步规范各项支出。</w:t>
      </w:r>
    </w:p>
    <w:p>
      <w:pPr>
        <w:keepNext w:val="0"/>
        <w:keepLines w:val="0"/>
        <w:pageBreakBefore w:val="0"/>
        <w:kinsoku/>
        <w:wordWrap/>
        <w:overflowPunct/>
        <w:topLinePunct w:val="0"/>
        <w:autoSpaceDE/>
        <w:autoSpaceDN/>
        <w:bidi w:val="0"/>
        <w:spacing w:line="560" w:lineRule="exact"/>
        <w:ind w:leftChars="0" w:firstLine="643" w:firstLineChars="200"/>
        <w:textAlignment w:val="auto"/>
        <w:rPr>
          <w:rFonts w:hint="eastAsia" w:ascii="仿宋_GB2312" w:hAnsi="仿宋" w:eastAsia="仿宋_GB2312"/>
          <w:sz w:val="32"/>
          <w:szCs w:val="32"/>
          <w:lang w:val="en"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r>
        <w:rPr>
          <w:rFonts w:hint="eastAsia" w:ascii="仿宋_GB2312" w:hAnsi="仿宋" w:eastAsia="仿宋_GB2312"/>
          <w:sz w:val="32"/>
          <w:szCs w:val="32"/>
          <w:lang w:val="en-US" w:eastAsia="zh-CN"/>
        </w:rPr>
        <w:t>简要阐述</w:t>
      </w:r>
      <w:bookmarkStart w:id="48" w:name="_Hlk110546638"/>
      <w:r>
        <w:rPr>
          <w:rFonts w:hint="eastAsia" w:ascii="仿宋_GB2312" w:hAnsi="仿宋" w:eastAsia="仿宋_GB2312"/>
          <w:sz w:val="32"/>
          <w:szCs w:val="32"/>
          <w:lang w:val="en" w:eastAsia="zh-CN"/>
        </w:rPr>
        <w:t>预算安排、完善政策、改进管理等方面的</w:t>
      </w:r>
      <w:r>
        <w:rPr>
          <w:rFonts w:hint="eastAsia" w:ascii="仿宋_GB2312" w:hAnsi="仿宋" w:eastAsia="仿宋_GB2312"/>
          <w:sz w:val="32"/>
          <w:szCs w:val="32"/>
          <w:lang w:val="en-US" w:eastAsia="zh-CN"/>
        </w:rPr>
        <w:t>措施</w:t>
      </w:r>
      <w:r>
        <w:rPr>
          <w:rFonts w:hint="eastAsia" w:ascii="仿宋_GB2312" w:hAnsi="仿宋" w:eastAsia="仿宋_GB2312"/>
          <w:sz w:val="32"/>
          <w:szCs w:val="32"/>
          <w:lang w:val="en" w:eastAsia="zh-CN"/>
        </w:rPr>
        <w:t>建议，其中</w:t>
      </w:r>
      <w:r>
        <w:rPr>
          <w:rFonts w:hint="eastAsia" w:ascii="仿宋_GB2312" w:hAnsi="仿宋" w:eastAsia="仿宋_GB2312"/>
          <w:sz w:val="32"/>
          <w:szCs w:val="32"/>
          <w:lang w:val="en-US" w:eastAsia="zh-CN"/>
        </w:rPr>
        <w:t>必须对应评价发现的主要问题一一提出措施建议。</w:t>
      </w:r>
    </w:p>
    <w:bookmarkEnd w:id="48"/>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1.建议财政部门多开展部门预算绩效评价工作的业务培训，组织开展部门之间、单位之间的经验交流，特别是要组织非财务部门的人员参与评价工作，切实推进绩效评价工作的开展。</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2.进一步加强内控管理,提高认知程度,加强思想灌输,从思想上强化内部控制管理制度。强化单位纪检监督作用。</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lang w:val="en-US" w:eastAsia="zh-CN"/>
        </w:rPr>
        <w:t>3.</w:t>
      </w:r>
      <w:r>
        <w:rPr>
          <w:rFonts w:hint="eastAsia" w:ascii="仿宋_GB2312" w:hAnsi="仿宋" w:eastAsia="仿宋_GB2312"/>
          <w:sz w:val="32"/>
          <w:szCs w:val="32"/>
        </w:rPr>
        <w:t>提高预算执行的科学化、规范化、精细化水平。积极推行公务卡制度，严格财务报销手续</w:t>
      </w:r>
      <w:r>
        <w:rPr>
          <w:rFonts w:hint="eastAsia" w:ascii="仿宋_GB2312" w:hAnsi="仿宋" w:eastAsia="仿宋_GB2312"/>
          <w:sz w:val="32"/>
          <w:szCs w:val="32"/>
          <w:lang w:eastAsia="zh-CN"/>
        </w:rPr>
        <w:t>。</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eastAsia="zh-CN"/>
        </w:rPr>
      </w:pPr>
      <w:r>
        <w:rPr>
          <w:rFonts w:hint="eastAsia" w:ascii="仿宋_GB2312" w:hAnsi="仿宋" w:eastAsia="仿宋_GB2312"/>
          <w:sz w:val="32"/>
          <w:szCs w:val="32"/>
          <w:lang w:val="en-US" w:eastAsia="zh-CN"/>
        </w:rPr>
        <w:t>4.</w:t>
      </w:r>
      <w:r>
        <w:rPr>
          <w:rFonts w:hint="eastAsia" w:ascii="仿宋_GB2312" w:hAnsi="仿宋" w:eastAsia="仿宋_GB2312"/>
          <w:sz w:val="32"/>
          <w:szCs w:val="32"/>
        </w:rPr>
        <w:t>严格按照部门预算管理和国库集中支付管理的各项规章制度要求</w:t>
      </w:r>
      <w:r>
        <w:rPr>
          <w:rFonts w:hint="eastAsia" w:ascii="仿宋_GB2312" w:hAnsi="仿宋" w:eastAsia="仿宋_GB2312"/>
          <w:sz w:val="32"/>
          <w:szCs w:val="32"/>
          <w:lang w:eastAsia="zh-CN"/>
        </w:rPr>
        <w:t>。</w:t>
      </w:r>
    </w:p>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default" w:ascii="仿宋_GB2312" w:hAnsi="仿宋" w:eastAsia="仿宋_GB2312"/>
          <w:sz w:val="32"/>
          <w:szCs w:val="32"/>
        </w:rPr>
      </w:pPr>
    </w:p>
    <w:p>
      <w:pPr>
        <w:pStyle w:val="22"/>
        <w:rPr>
          <w:rFonts w:hint="default" w:ascii="仿宋_GB2312" w:hAnsi="仿宋" w:eastAsia="仿宋_GB2312"/>
          <w:sz w:val="32"/>
          <w:szCs w:val="32"/>
        </w:rPr>
      </w:pPr>
    </w:p>
    <w:p>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部门预算项目支出绩效自评表（202</w:t>
      </w:r>
      <w:r>
        <w:rPr>
          <w:rFonts w:hint="eastAsia" w:ascii="Times New Roman" w:eastAsia="仿宋_GB2312" w:cs="Times New Roman"/>
          <w:kern w:val="2"/>
          <w:sz w:val="32"/>
          <w:szCs w:val="32"/>
          <w:u w:val="none"/>
          <w:lang w:val="en-US" w:eastAsia="zh-CN" w:bidi="ar"/>
        </w:rPr>
        <w:t>5</w:t>
      </w:r>
      <w:r>
        <w:rPr>
          <w:rFonts w:hint="eastAsia" w:ascii="Times New Roman" w:hAnsi="Times New Roman" w:eastAsia="仿宋_GB2312" w:cs="Times New Roman"/>
          <w:kern w:val="2"/>
          <w:sz w:val="32"/>
          <w:szCs w:val="32"/>
          <w:u w:val="none"/>
          <w:lang w:val="en-US" w:eastAsia="zh-CN" w:bidi="ar"/>
        </w:rPr>
        <w:t>年度）</w:t>
      </w:r>
    </w:p>
    <w:p>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（注：按照绩效自评工作安排，各部门已在预算管理一体化系统绩效自评模块上传“部门预算项目支出绩效自评表（202</w:t>
      </w:r>
      <w:r>
        <w:rPr>
          <w:rFonts w:hint="eastAsia" w:ascii="Times New Roman" w:eastAsia="仿宋_GB2312" w:cs="仿宋_GB2312"/>
          <w:b w:val="0"/>
          <w:bCs w:val="0"/>
          <w:kern w:val="0"/>
          <w:position w:val="0"/>
          <w:sz w:val="32"/>
          <w:szCs w:val="32"/>
          <w:highlight w:val="none"/>
          <w:lang w:val="en-US" w:eastAsia="zh-CN" w:bidi="ar-SA"/>
        </w:rPr>
        <w:t>5</w:t>
      </w:r>
      <w:r>
        <w:rPr>
          <w:rFonts w:hint="eastAsia" w:ascii="Times New Roman" w:hAnsi="Times New Roman" w:eastAsia="仿宋_GB2312" w:cs="仿宋_GB2312"/>
          <w:b w:val="0"/>
          <w:bCs w:val="0"/>
          <w:kern w:val="0"/>
          <w:position w:val="0"/>
          <w:sz w:val="32"/>
          <w:szCs w:val="32"/>
          <w:highlight w:val="none"/>
          <w:lang w:val="en-US" w:eastAsia="zh-CN" w:bidi="ar-SA"/>
        </w:rPr>
        <w:t>年度）”，该表格应作为附表予以公开）</w:t>
      </w:r>
    </w:p>
    <w:p>
      <w:pPr>
        <w:rPr>
          <w:rFonts w:hint="default" w:ascii="仿宋_GB2312" w:hAnsi="仿宋" w:eastAsia="仿宋_GB2312"/>
          <w:sz w:val="32"/>
          <w:szCs w:val="32"/>
        </w:rPr>
      </w:pPr>
    </w:p>
    <w:p>
      <w:pPr>
        <w:pStyle w:val="22"/>
        <w:rPr>
          <w:rFonts w:hint="default" w:ascii="仿宋_GB2312" w:hAnsi="仿宋" w:eastAsia="仿宋_GB2312"/>
          <w:sz w:val="32"/>
          <w:szCs w:val="32"/>
        </w:rPr>
      </w:pPr>
    </w:p>
    <w:p>
      <w:pPr>
        <w:rPr>
          <w:rFonts w:hint="default"/>
        </w:rPr>
      </w:pPr>
    </w:p>
    <w:p>
      <w:pPr>
        <w:pStyle w:val="2"/>
        <w:rPr>
          <w:rFonts w:hint="default"/>
        </w:rPr>
      </w:pPr>
    </w:p>
    <w:p>
      <w:pPr>
        <w:pStyle w:val="4"/>
        <w:rPr>
          <w:rFonts w:hint="default"/>
        </w:rPr>
      </w:pPr>
    </w:p>
    <w:p>
      <w:pPr>
        <w:pStyle w:val="4"/>
        <w:rPr>
          <w:rFonts w:hint="default"/>
        </w:rPr>
      </w:pPr>
    </w:p>
    <w:p>
      <w:pPr>
        <w:pStyle w:val="4"/>
        <w:rPr>
          <w:rFonts w:hint="default"/>
        </w:rPr>
      </w:pP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r>
        <w:rPr>
          <w:rFonts w:hint="eastAsia" w:ascii="Times New Roman" w:hAnsi="Times New Roman" w:eastAsia="方正小标宋简体" w:cs="Times New Roman"/>
          <w:i w:val="0"/>
          <w:color w:val="000000"/>
          <w:kern w:val="0"/>
          <w:sz w:val="44"/>
          <w:szCs w:val="44"/>
          <w:u w:val="none"/>
          <w:lang w:val="en-US" w:eastAsia="zh-CN" w:bidi="ar"/>
        </w:rPr>
        <w:t>部门预算绩效自评打分表</w:t>
      </w:r>
    </w:p>
    <w:tbl>
      <w:tblPr>
        <w:tblStyle w:val="18"/>
        <w:tblW w:w="10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4"/>
        <w:gridCol w:w="1462"/>
        <w:gridCol w:w="1665"/>
        <w:gridCol w:w="720"/>
        <w:gridCol w:w="4734"/>
        <w:gridCol w:w="756"/>
        <w:gridCol w:w="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85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绩效评价指标指标分值</w:t>
            </w:r>
          </w:p>
        </w:tc>
        <w:tc>
          <w:tcPr>
            <w:tcW w:w="47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7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47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7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履职效能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XX履职效果</w:t>
            </w:r>
          </w:p>
        </w:tc>
        <w:tc>
          <w:tcPr>
            <w:tcW w:w="72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部门整体绩效目标中选定3-5个核心职能目标，反映该项职能目标完成效果情况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w:t>
            </w:r>
            <w:r>
              <w:rPr>
                <w:rFonts w:hint="eastAsia" w:ascii="宋体" w:hAnsi="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（25分）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预算编制质量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部门是否严格按要求编制年初部门预算，年初预算编制的科学性和准确性</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单位收入统筹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部门统筹自有收入程度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支出执行进度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部门1至6月、1至10月预算执行情况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预算年终结余</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部门整体年终预算结余情况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严控一般性支出</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部门严控“三公”经费、会议、培训、差旅、办节办展、办公设备购置、信息网络及软件购置更新、课题经费等8项一般性支出情况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财务管理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财务管理制度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部门财务管理制度建立情况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财务岗位设置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部门财务岗位设置是否符合相关财务管理制度要求</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资金使用规范</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部门资金使用是否符合相关财务管理制度规定</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人均资产变化率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部门人均资产变化情况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资产利用率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部门资产超最低使用年限情况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资产盘活率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部门闲置一年以上的资产盘活情况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采购管理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支持中小企业发展</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部门是否严格执行政府采购促进中小企业发展相关管理办法</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采购执行率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部门政府采购项目资金支付比例情况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（35分）</w:t>
            </w: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部门预算项目设立是否按规定履行评估论证、申报程序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部门预算项目绩效目标与计划期内的任务量、预算安排的资金量匹配情况，绩效目标设置是否科学合理、规范完整、量化细化、预算匹配</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项目入库</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部门预算项目是否在规定时间完成项目入库</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项目执行</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执行同向</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部门预算项目实际列支内容是否与绩效目标设置方向相符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项目调整</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部门预算项目是否采取对应调整措施</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执行结果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目标实现</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（11分）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部门预算项目绩效目标数量指标完成情况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目标偏离</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部门预算项目绩效目标数量指标实现程度与预期目标的偏离情况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实现效果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部门预算项目绩效目标效益指标实施效果</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31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被评价部门配合度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60" w:lineRule="exact"/>
        <w:ind w:leftChars="0" w:firstLine="640" w:firstLineChars="200"/>
        <w:textAlignment w:val="auto"/>
        <w:rPr>
          <w:rFonts w:hint="eastAsia" w:ascii="仿宋_GB2312" w:hAnsi="仿宋" w:eastAsia="仿宋_GB2312"/>
          <w:sz w:val="32"/>
          <w:szCs w:val="32"/>
          <w:lang w:val="zh-CN" w:eastAsia="zh-CN"/>
        </w:rPr>
      </w:pPr>
    </w:p>
    <w:p>
      <w:pPr>
        <w:rPr>
          <w:rFonts w:hint="eastAsia"/>
          <w:lang w:val="zh-CN" w:eastAsia="zh-CN"/>
        </w:rPr>
      </w:pPr>
    </w:p>
    <w:p>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49" w:name="_Toc15396618"/>
    </w:p>
    <w:p>
      <w:pPr>
        <w:widowControl/>
        <w:jc w:val="center"/>
        <w:rPr>
          <w:rFonts w:hint="eastAsia" w:ascii="Times New Roman" w:hAnsi="Times New Roman" w:eastAsia="黑体"/>
          <w:color w:val="auto"/>
          <w:sz w:val="44"/>
          <w:szCs w:val="44"/>
          <w:highlight w:val="none"/>
        </w:rPr>
      </w:pP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31"/>
          <w:rFonts w:hint="eastAsia" w:ascii="Times New Roman" w:hAnsi="Times New Roman" w:eastAsia="黑体"/>
          <w:b w:val="0"/>
          <w:color w:val="auto"/>
          <w:highlight w:val="none"/>
        </w:rPr>
        <w:t>五部分 附表</w:t>
      </w:r>
      <w:bookmarkEnd w:id="47"/>
      <w:bookmarkEnd w:id="49"/>
      <w:bookmarkStart w:id="50" w:name="_Toc15396619"/>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50"/>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0"/>
      <w:r>
        <w:rPr>
          <w:rFonts w:hint="eastAsia" w:ascii="Times New Roman" w:hAnsi="Times New Roman" w:eastAsia="仿宋_GB2312" w:cs="仿宋_GB2312"/>
          <w:color w:val="auto"/>
          <w:sz w:val="32"/>
          <w:szCs w:val="32"/>
          <w:highlight w:val="none"/>
        </w:rPr>
        <w:t>二、收入决算表</w:t>
      </w:r>
      <w:bookmarkEnd w:id="51"/>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1"/>
      <w:r>
        <w:rPr>
          <w:rFonts w:hint="eastAsia" w:ascii="Times New Roman" w:hAnsi="Times New Roman" w:eastAsia="仿宋_GB2312" w:cs="仿宋_GB2312"/>
          <w:color w:val="auto"/>
          <w:sz w:val="32"/>
          <w:szCs w:val="32"/>
          <w:highlight w:val="none"/>
        </w:rPr>
        <w:t>三、支出决算表</w:t>
      </w:r>
      <w:bookmarkEnd w:id="52"/>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2"/>
      <w:r>
        <w:rPr>
          <w:rFonts w:hint="eastAsia" w:ascii="Times New Roman" w:hAnsi="Times New Roman" w:eastAsia="仿宋_GB2312" w:cs="仿宋_GB2312"/>
          <w:color w:val="auto"/>
          <w:sz w:val="32"/>
          <w:szCs w:val="32"/>
          <w:highlight w:val="none"/>
        </w:rPr>
        <w:t>四、财政拨款收入支出决算总表</w:t>
      </w:r>
      <w:bookmarkEnd w:id="53"/>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3"/>
      <w:r>
        <w:rPr>
          <w:rFonts w:hint="eastAsia" w:ascii="Times New Roman" w:hAnsi="Times New Roman" w:eastAsia="仿宋_GB2312" w:cs="仿宋_GB2312"/>
          <w:color w:val="auto"/>
          <w:sz w:val="32"/>
          <w:szCs w:val="32"/>
          <w:highlight w:val="none"/>
        </w:rPr>
        <w:t>五、财政拨款支出决算明细表</w:t>
      </w:r>
      <w:bookmarkEnd w:id="54"/>
      <w:bookmarkStart w:id="55" w:name="_Toc15396624"/>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5"/>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5"/>
      <w:r>
        <w:rPr>
          <w:rFonts w:hint="eastAsia" w:ascii="Times New Roman" w:hAnsi="Times New Roman" w:eastAsia="仿宋_GB2312" w:cs="仿宋_GB2312"/>
          <w:color w:val="auto"/>
          <w:sz w:val="32"/>
          <w:szCs w:val="32"/>
          <w:highlight w:val="none"/>
        </w:rPr>
        <w:t>七、一般公共预算财政拨款支出决算明细表</w:t>
      </w:r>
      <w:bookmarkEnd w:id="56"/>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6"/>
      <w:r>
        <w:rPr>
          <w:rFonts w:hint="eastAsia" w:ascii="Times New Roman" w:hAnsi="Times New Roman" w:eastAsia="仿宋_GB2312" w:cs="仿宋_GB2312"/>
          <w:color w:val="auto"/>
          <w:sz w:val="32"/>
          <w:szCs w:val="32"/>
          <w:highlight w:val="none"/>
        </w:rPr>
        <w:t>八、一般公共预算财政拨款基本支出决算表</w:t>
      </w:r>
      <w:bookmarkEnd w:id="57"/>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7"/>
      <w:r>
        <w:rPr>
          <w:rFonts w:hint="eastAsia" w:ascii="Times New Roman" w:hAnsi="Times New Roman" w:eastAsia="仿宋_GB2312" w:cs="仿宋_GB2312"/>
          <w:color w:val="auto"/>
          <w:sz w:val="32"/>
          <w:szCs w:val="32"/>
          <w:highlight w:val="none"/>
        </w:rPr>
        <w:t>九、一般公共预算财政拨款项目支出决算表</w:t>
      </w:r>
      <w:bookmarkEnd w:id="58"/>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8"/>
      <w:r>
        <w:rPr>
          <w:rFonts w:hint="eastAsia" w:ascii="Times New Roman" w:hAnsi="Times New Roman" w:eastAsia="仿宋_GB2312" w:cs="仿宋_GB2312"/>
          <w:color w:val="auto"/>
          <w:sz w:val="32"/>
          <w:szCs w:val="32"/>
          <w:highlight w:val="none"/>
        </w:rPr>
        <w:t>十、</w:t>
      </w:r>
      <w:bookmarkEnd w:id="59"/>
      <w:r>
        <w:rPr>
          <w:rFonts w:hint="eastAsia" w:ascii="Times New Roman" w:hAnsi="Times New Roman" w:eastAsia="仿宋_GB2312" w:cs="仿宋_GB2312"/>
          <w:color w:val="auto"/>
          <w:sz w:val="32"/>
          <w:szCs w:val="32"/>
          <w:highlight w:val="none"/>
        </w:rPr>
        <w:t>政府性基金预算财政拨款收入支出决算表</w:t>
      </w:r>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29"/>
      <w:r>
        <w:rPr>
          <w:rFonts w:hint="eastAsia" w:ascii="Times New Roman" w:hAnsi="Times New Roman" w:eastAsia="仿宋_GB2312" w:cs="仿宋_GB2312"/>
          <w:color w:val="auto"/>
          <w:sz w:val="32"/>
          <w:szCs w:val="32"/>
          <w:highlight w:val="none"/>
        </w:rPr>
        <w:t>十一、</w:t>
      </w:r>
      <w:bookmarkEnd w:id="60"/>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1" w:name="_Toc15396630"/>
      <w:r>
        <w:rPr>
          <w:rFonts w:hint="eastAsia" w:ascii="Times New Roman" w:hAnsi="Times New Roman" w:eastAsia="仿宋_GB2312" w:cs="仿宋_GB2312"/>
          <w:color w:val="auto"/>
          <w:sz w:val="32"/>
          <w:szCs w:val="32"/>
          <w:highlight w:val="none"/>
        </w:rPr>
        <w:t>十二、</w:t>
      </w:r>
      <w:bookmarkEnd w:id="61"/>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2" w:name="_Toc15396631"/>
      <w:r>
        <w:rPr>
          <w:rFonts w:hint="eastAsia" w:ascii="Times New Roman" w:hAnsi="Times New Roman" w:eastAsia="仿宋_GB2312" w:cs="仿宋_GB2312"/>
          <w:color w:val="auto"/>
          <w:sz w:val="32"/>
          <w:szCs w:val="32"/>
          <w:highlight w:val="none"/>
        </w:rPr>
        <w:t>十三、</w:t>
      </w:r>
      <w:bookmarkEnd w:id="62"/>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sectPr>
      <w:footerReference r:id="rId7" w:type="first"/>
      <w:footerReference r:id="rId6" w:type="default"/>
      <w:pgSz w:w="11906" w:h="16838"/>
      <w:pgMar w:top="1440" w:right="1800" w:bottom="1440" w:left="1800" w:header="851" w:footer="992" w:gutter="0"/>
      <w:pgNumType w:fmt="decimal"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- 1 -</w:t>
                    </w:r>
                    <w:r>
                      <w:fldChar w:fldCharType="end"/>
                    </w:r>
                  </w:p>
                </w:txbxContent>
              </v:textbox>
            </v:shape>
          </w:pict>
        </mc:Fallback>
      </mc:AlternateContent>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rFonts w:hint="eastAsia"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A6B718"/>
    <w:multiLevelType w:val="singleLevel"/>
    <w:tmpl w:val="F4A6B718"/>
    <w:lvl w:ilvl="0" w:tentative="0">
      <w:start w:val="1"/>
      <w:numFmt w:val="chineseCounting"/>
      <w:suff w:val="nothing"/>
      <w:lvlText w:val="%1、"/>
      <w:lvlJc w:val="left"/>
      <w:rPr>
        <w:rFonts w:hint="eastAsia"/>
      </w:rPr>
    </w:lvl>
  </w:abstractNum>
  <w:abstractNum w:abstractNumId="1">
    <w:nsid w:val="F95AC301"/>
    <w:multiLevelType w:val="singleLevel"/>
    <w:tmpl w:val="F95AC301"/>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58A0"/>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0632"/>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C4C88"/>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23E69"/>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4B75"/>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694F61"/>
    <w:rsid w:val="02CD6444"/>
    <w:rsid w:val="02E016C6"/>
    <w:rsid w:val="02FEBE30"/>
    <w:rsid w:val="04916F1E"/>
    <w:rsid w:val="05DF025B"/>
    <w:rsid w:val="061E35DE"/>
    <w:rsid w:val="06597CE8"/>
    <w:rsid w:val="066E0107"/>
    <w:rsid w:val="06A568A2"/>
    <w:rsid w:val="07996F6E"/>
    <w:rsid w:val="07DFD8BA"/>
    <w:rsid w:val="07F062E3"/>
    <w:rsid w:val="09063888"/>
    <w:rsid w:val="09867E8F"/>
    <w:rsid w:val="0A2032A3"/>
    <w:rsid w:val="0A9471E8"/>
    <w:rsid w:val="0B3169EA"/>
    <w:rsid w:val="0CA8290A"/>
    <w:rsid w:val="0D35B1ED"/>
    <w:rsid w:val="0E254B6B"/>
    <w:rsid w:val="0E4866FA"/>
    <w:rsid w:val="0E72571D"/>
    <w:rsid w:val="0F4903E0"/>
    <w:rsid w:val="0F98263C"/>
    <w:rsid w:val="101860EC"/>
    <w:rsid w:val="101F47CC"/>
    <w:rsid w:val="10C055FF"/>
    <w:rsid w:val="10FC0B74"/>
    <w:rsid w:val="11317AEA"/>
    <w:rsid w:val="114E19C5"/>
    <w:rsid w:val="11694EBD"/>
    <w:rsid w:val="11772AA4"/>
    <w:rsid w:val="118107EC"/>
    <w:rsid w:val="11F9408A"/>
    <w:rsid w:val="12756E8A"/>
    <w:rsid w:val="12E24EE2"/>
    <w:rsid w:val="1370029C"/>
    <w:rsid w:val="13D50BC4"/>
    <w:rsid w:val="1482132C"/>
    <w:rsid w:val="14B17F78"/>
    <w:rsid w:val="165E0673"/>
    <w:rsid w:val="16B831D5"/>
    <w:rsid w:val="16BB723D"/>
    <w:rsid w:val="16C84CA0"/>
    <w:rsid w:val="17E50567"/>
    <w:rsid w:val="186504BB"/>
    <w:rsid w:val="18F17D16"/>
    <w:rsid w:val="19492488"/>
    <w:rsid w:val="19A445FC"/>
    <w:rsid w:val="1AFB2CE8"/>
    <w:rsid w:val="1BE8440E"/>
    <w:rsid w:val="1C3F1366"/>
    <w:rsid w:val="1D155CEE"/>
    <w:rsid w:val="1D1638FE"/>
    <w:rsid w:val="1E312DEB"/>
    <w:rsid w:val="1E740ACF"/>
    <w:rsid w:val="1F2827DC"/>
    <w:rsid w:val="1FF35744"/>
    <w:rsid w:val="1FF6BC77"/>
    <w:rsid w:val="2186353C"/>
    <w:rsid w:val="23860B96"/>
    <w:rsid w:val="240371BF"/>
    <w:rsid w:val="244F3473"/>
    <w:rsid w:val="24C97D99"/>
    <w:rsid w:val="25315EDA"/>
    <w:rsid w:val="259D592A"/>
    <w:rsid w:val="25A718F0"/>
    <w:rsid w:val="25BB59F6"/>
    <w:rsid w:val="25D57E02"/>
    <w:rsid w:val="260F557C"/>
    <w:rsid w:val="26970054"/>
    <w:rsid w:val="26B37D22"/>
    <w:rsid w:val="281408E2"/>
    <w:rsid w:val="29FD04D3"/>
    <w:rsid w:val="2A511917"/>
    <w:rsid w:val="2BFF7BC6"/>
    <w:rsid w:val="2C8A61B5"/>
    <w:rsid w:val="2D2E4EB4"/>
    <w:rsid w:val="2DE50EC3"/>
    <w:rsid w:val="2DF04E50"/>
    <w:rsid w:val="2E586DFA"/>
    <w:rsid w:val="2F040D46"/>
    <w:rsid w:val="2F570A78"/>
    <w:rsid w:val="2F6B035B"/>
    <w:rsid w:val="2F716825"/>
    <w:rsid w:val="2FAE5751"/>
    <w:rsid w:val="2FB1A395"/>
    <w:rsid w:val="2FD9A7D8"/>
    <w:rsid w:val="2FDBF714"/>
    <w:rsid w:val="30AB6865"/>
    <w:rsid w:val="319F7F4E"/>
    <w:rsid w:val="31FE1E4B"/>
    <w:rsid w:val="321433FF"/>
    <w:rsid w:val="32BD1EF1"/>
    <w:rsid w:val="3304709D"/>
    <w:rsid w:val="33A773CB"/>
    <w:rsid w:val="349D6851"/>
    <w:rsid w:val="36AA5135"/>
    <w:rsid w:val="36BE0DA7"/>
    <w:rsid w:val="376B6AA6"/>
    <w:rsid w:val="376D39B2"/>
    <w:rsid w:val="37E16F03"/>
    <w:rsid w:val="37F53A3B"/>
    <w:rsid w:val="389B6C89"/>
    <w:rsid w:val="38D469F0"/>
    <w:rsid w:val="38E73DF1"/>
    <w:rsid w:val="39627CCD"/>
    <w:rsid w:val="397BAF1F"/>
    <w:rsid w:val="39AF03FC"/>
    <w:rsid w:val="39C37D17"/>
    <w:rsid w:val="3A665F5D"/>
    <w:rsid w:val="3AB79AF3"/>
    <w:rsid w:val="3AE834C0"/>
    <w:rsid w:val="3B7EF35A"/>
    <w:rsid w:val="3B9FDB6C"/>
    <w:rsid w:val="3BF5BC2F"/>
    <w:rsid w:val="3C223C4E"/>
    <w:rsid w:val="3CA12B6A"/>
    <w:rsid w:val="3CEBA265"/>
    <w:rsid w:val="3D98207C"/>
    <w:rsid w:val="3DEE7CF3"/>
    <w:rsid w:val="3E740A63"/>
    <w:rsid w:val="3E78745D"/>
    <w:rsid w:val="3EE17838"/>
    <w:rsid w:val="3F174BBC"/>
    <w:rsid w:val="3F475F06"/>
    <w:rsid w:val="3F55381A"/>
    <w:rsid w:val="3F7F7599"/>
    <w:rsid w:val="3FF10D91"/>
    <w:rsid w:val="3FF4CAE0"/>
    <w:rsid w:val="3FF7B227"/>
    <w:rsid w:val="404D5D88"/>
    <w:rsid w:val="44E268DA"/>
    <w:rsid w:val="450D13D7"/>
    <w:rsid w:val="45506656"/>
    <w:rsid w:val="45C86A47"/>
    <w:rsid w:val="47AD0799"/>
    <w:rsid w:val="47BF5407"/>
    <w:rsid w:val="484918D2"/>
    <w:rsid w:val="486A6C7A"/>
    <w:rsid w:val="4A627F82"/>
    <w:rsid w:val="4ADC268D"/>
    <w:rsid w:val="4B055C09"/>
    <w:rsid w:val="4B0E749A"/>
    <w:rsid w:val="4B2477C4"/>
    <w:rsid w:val="4B4F25DA"/>
    <w:rsid w:val="4BE068DB"/>
    <w:rsid w:val="4D577224"/>
    <w:rsid w:val="4D701971"/>
    <w:rsid w:val="4DBF1CEB"/>
    <w:rsid w:val="4DF0007C"/>
    <w:rsid w:val="4EAB630A"/>
    <w:rsid w:val="4ECE2238"/>
    <w:rsid w:val="4F833267"/>
    <w:rsid w:val="4FE9BD67"/>
    <w:rsid w:val="4FFB052F"/>
    <w:rsid w:val="50447FEE"/>
    <w:rsid w:val="504A1283"/>
    <w:rsid w:val="511A2055"/>
    <w:rsid w:val="537E6D0A"/>
    <w:rsid w:val="53F74C96"/>
    <w:rsid w:val="55170BA8"/>
    <w:rsid w:val="553218C9"/>
    <w:rsid w:val="56382F37"/>
    <w:rsid w:val="567E1AA5"/>
    <w:rsid w:val="56824378"/>
    <w:rsid w:val="56CA08F6"/>
    <w:rsid w:val="56E47B74"/>
    <w:rsid w:val="570148FF"/>
    <w:rsid w:val="57175D52"/>
    <w:rsid w:val="57BD3DD4"/>
    <w:rsid w:val="587E7DB0"/>
    <w:rsid w:val="5994547A"/>
    <w:rsid w:val="59E75DAA"/>
    <w:rsid w:val="5A7F0572"/>
    <w:rsid w:val="5AF92295"/>
    <w:rsid w:val="5B250254"/>
    <w:rsid w:val="5BDD79E6"/>
    <w:rsid w:val="5BF561CA"/>
    <w:rsid w:val="5BFF5DFC"/>
    <w:rsid w:val="5CA11050"/>
    <w:rsid w:val="5CD71FC4"/>
    <w:rsid w:val="5D1F11B5"/>
    <w:rsid w:val="5D695134"/>
    <w:rsid w:val="5DAE1B18"/>
    <w:rsid w:val="5DB32765"/>
    <w:rsid w:val="5DE7D9E5"/>
    <w:rsid w:val="5E430185"/>
    <w:rsid w:val="5E5E6C60"/>
    <w:rsid w:val="5ECEC941"/>
    <w:rsid w:val="5F405FAD"/>
    <w:rsid w:val="5FBF9FF3"/>
    <w:rsid w:val="5FCD4E2C"/>
    <w:rsid w:val="5FEF394A"/>
    <w:rsid w:val="5FF67715"/>
    <w:rsid w:val="60C673C1"/>
    <w:rsid w:val="62BF3928"/>
    <w:rsid w:val="63B3701E"/>
    <w:rsid w:val="647F5392"/>
    <w:rsid w:val="650E4B41"/>
    <w:rsid w:val="65E66580"/>
    <w:rsid w:val="664B1D71"/>
    <w:rsid w:val="664B4E8E"/>
    <w:rsid w:val="67277B67"/>
    <w:rsid w:val="67AA3209"/>
    <w:rsid w:val="698D0931"/>
    <w:rsid w:val="6A583934"/>
    <w:rsid w:val="6A7FE5F3"/>
    <w:rsid w:val="6ABB4B21"/>
    <w:rsid w:val="6B053271"/>
    <w:rsid w:val="6BA7663C"/>
    <w:rsid w:val="6BDD78B3"/>
    <w:rsid w:val="6C4A05C8"/>
    <w:rsid w:val="6C8742B8"/>
    <w:rsid w:val="6DAC78C4"/>
    <w:rsid w:val="6DBF5E93"/>
    <w:rsid w:val="6DFF077E"/>
    <w:rsid w:val="6E714EF0"/>
    <w:rsid w:val="6E7E3605"/>
    <w:rsid w:val="6E7FDCC7"/>
    <w:rsid w:val="6ED6A62E"/>
    <w:rsid w:val="6EE00B15"/>
    <w:rsid w:val="6F4E7F01"/>
    <w:rsid w:val="6F6FB3EB"/>
    <w:rsid w:val="6F8731EA"/>
    <w:rsid w:val="6FCE6052"/>
    <w:rsid w:val="6FD57C00"/>
    <w:rsid w:val="6FEFFFD8"/>
    <w:rsid w:val="6FF5CC65"/>
    <w:rsid w:val="6FFB47EC"/>
    <w:rsid w:val="6FFF034A"/>
    <w:rsid w:val="70484440"/>
    <w:rsid w:val="712A28F1"/>
    <w:rsid w:val="715C0E4B"/>
    <w:rsid w:val="71992E7C"/>
    <w:rsid w:val="72233669"/>
    <w:rsid w:val="72734D90"/>
    <w:rsid w:val="72943D7E"/>
    <w:rsid w:val="73160E6D"/>
    <w:rsid w:val="7332FE48"/>
    <w:rsid w:val="73AB61DA"/>
    <w:rsid w:val="73AD73D5"/>
    <w:rsid w:val="73B6EB34"/>
    <w:rsid w:val="73FA497D"/>
    <w:rsid w:val="744731E5"/>
    <w:rsid w:val="748E6FC9"/>
    <w:rsid w:val="74BBD01D"/>
    <w:rsid w:val="74ED5379"/>
    <w:rsid w:val="75DEEEC2"/>
    <w:rsid w:val="75E32345"/>
    <w:rsid w:val="76AA3511"/>
    <w:rsid w:val="76E3355F"/>
    <w:rsid w:val="76FF5125"/>
    <w:rsid w:val="776F6FFA"/>
    <w:rsid w:val="778769C8"/>
    <w:rsid w:val="77A75DCA"/>
    <w:rsid w:val="77DC22F5"/>
    <w:rsid w:val="78285BCC"/>
    <w:rsid w:val="783E271A"/>
    <w:rsid w:val="78616DE9"/>
    <w:rsid w:val="78E875D7"/>
    <w:rsid w:val="79086DAD"/>
    <w:rsid w:val="79D7FD79"/>
    <w:rsid w:val="79EE5BA4"/>
    <w:rsid w:val="7A894339"/>
    <w:rsid w:val="7AA06192"/>
    <w:rsid w:val="7AD02C89"/>
    <w:rsid w:val="7AD284E8"/>
    <w:rsid w:val="7AFF7572"/>
    <w:rsid w:val="7B6C7DFB"/>
    <w:rsid w:val="7B933292"/>
    <w:rsid w:val="7BBFBED0"/>
    <w:rsid w:val="7BC3E394"/>
    <w:rsid w:val="7BD52906"/>
    <w:rsid w:val="7C1F3737"/>
    <w:rsid w:val="7CBFC87B"/>
    <w:rsid w:val="7CFE0F48"/>
    <w:rsid w:val="7D272ABC"/>
    <w:rsid w:val="7D7EC23E"/>
    <w:rsid w:val="7D8B3DBF"/>
    <w:rsid w:val="7E8ADEBF"/>
    <w:rsid w:val="7EEF11D3"/>
    <w:rsid w:val="7EFE4840"/>
    <w:rsid w:val="7F0971A6"/>
    <w:rsid w:val="7F124F50"/>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31"/>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5"/>
    <w:unhideWhenUsed/>
    <w:qFormat/>
    <w:uiPriority w:val="9"/>
    <w:pPr>
      <w:keepNext/>
      <w:keepLines/>
      <w:spacing w:before="260" w:after="260" w:line="416" w:lineRule="auto"/>
      <w:outlineLvl w:val="2"/>
    </w:pPr>
    <w:rPr>
      <w:b/>
      <w:bCs/>
      <w:sz w:val="32"/>
      <w:szCs w:val="32"/>
    </w:rPr>
  </w:style>
  <w:style w:type="character" w:default="1" w:styleId="19">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4">
    <w:name w:val="Plain Text"/>
    <w:basedOn w:val="1"/>
    <w:qFormat/>
    <w:uiPriority w:val="0"/>
    <w:rPr>
      <w:rFonts w:ascii="宋体" w:cs="Courier New"/>
      <w:szCs w:val="21"/>
      <w:lang w:bidi="ar-SA"/>
    </w:rPr>
  </w:style>
  <w:style w:type="paragraph" w:styleId="8">
    <w:name w:val="Body Text"/>
    <w:basedOn w:val="1"/>
    <w:link w:val="28"/>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ody Text Indent 2"/>
    <w:basedOn w:val="1"/>
    <w:next w:val="1"/>
    <w:qFormat/>
    <w:uiPriority w:val="0"/>
    <w:pPr>
      <w:spacing w:after="120" w:afterLines="0" w:afterAutospacing="0" w:line="480" w:lineRule="auto"/>
      <w:ind w:left="420" w:leftChars="200"/>
    </w:pPr>
    <w:rPr>
      <w:rFonts w:ascii="Times New Roman" w:hAnsi="Times New Roman" w:eastAsia="宋体" w:cs="Times New Roman"/>
    </w:rPr>
  </w:style>
  <w:style w:type="paragraph" w:styleId="11">
    <w:name w:val="Balloon Text"/>
    <w:basedOn w:val="1"/>
    <w:link w:val="34"/>
    <w:semiHidden/>
    <w:unhideWhenUsed/>
    <w:qFormat/>
    <w:uiPriority w:val="99"/>
    <w:rPr>
      <w:sz w:val="18"/>
      <w:szCs w:val="18"/>
    </w:rPr>
  </w:style>
  <w:style w:type="paragraph" w:styleId="12">
    <w:name w:val="footer"/>
    <w:basedOn w:val="1"/>
    <w:link w:val="26"/>
    <w:qFormat/>
    <w:uiPriority w:val="99"/>
    <w:pPr>
      <w:tabs>
        <w:tab w:val="center" w:pos="4153"/>
        <w:tab w:val="right" w:pos="8306"/>
      </w:tabs>
      <w:snapToGrid w:val="0"/>
      <w:jc w:val="left"/>
    </w:pPr>
    <w:rPr>
      <w:rFonts w:ascii="Calibri" w:hAnsi="Calibri"/>
      <w:kern w:val="0"/>
      <w:sz w:val="18"/>
      <w:szCs w:val="18"/>
    </w:rPr>
  </w:style>
  <w:style w:type="paragraph" w:styleId="13">
    <w:name w:val="header"/>
    <w:basedOn w:val="1"/>
    <w:link w:val="24"/>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4">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5">
    <w:name w:val="footnote text"/>
    <w:basedOn w:val="1"/>
    <w:next w:val="2"/>
    <w:semiHidden/>
    <w:qFormat/>
    <w:uiPriority w:val="0"/>
    <w:pPr>
      <w:snapToGrid w:val="0"/>
      <w:jc w:val="left"/>
    </w:pPr>
    <w:rPr>
      <w:sz w:val="18"/>
      <w:szCs w:val="18"/>
    </w:rPr>
  </w:style>
  <w:style w:type="paragraph" w:styleId="16">
    <w:name w:val="toc 2"/>
    <w:basedOn w:val="1"/>
    <w:next w:val="1"/>
    <w:unhideWhenUsed/>
    <w:qFormat/>
    <w:uiPriority w:val="39"/>
    <w:pPr>
      <w:tabs>
        <w:tab w:val="right" w:leader="dot" w:pos="8296"/>
      </w:tabs>
      <w:ind w:left="420" w:leftChars="200"/>
    </w:pPr>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20">
    <w:name w:val="Strong"/>
    <w:basedOn w:val="19"/>
    <w:qFormat/>
    <w:uiPriority w:val="99"/>
    <w:rPr>
      <w:b/>
    </w:rPr>
  </w:style>
  <w:style w:type="character" w:styleId="21">
    <w:name w:val="Hyperlink"/>
    <w:basedOn w:val="19"/>
    <w:unhideWhenUsed/>
    <w:qFormat/>
    <w:uiPriority w:val="99"/>
    <w:rPr>
      <w:color w:val="0000FF" w:themeColor="hyperlink"/>
      <w:u w:val="single"/>
      <w14:textFill>
        <w14:solidFill>
          <w14:schemeClr w14:val="hlink"/>
        </w14:solidFill>
      </w14:textFill>
    </w:rPr>
  </w:style>
  <w:style w:type="paragraph" w:customStyle="1" w:styleId="22">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3">
    <w:name w:val="Header Char"/>
    <w:basedOn w:val="19"/>
    <w:semiHidden/>
    <w:qFormat/>
    <w:uiPriority w:val="99"/>
    <w:rPr>
      <w:rFonts w:ascii="Times New Roman" w:hAnsi="Times New Roman"/>
      <w:sz w:val="18"/>
      <w:szCs w:val="18"/>
    </w:rPr>
  </w:style>
  <w:style w:type="character" w:customStyle="1" w:styleId="24">
    <w:name w:val="页眉 Char"/>
    <w:link w:val="13"/>
    <w:semiHidden/>
    <w:qFormat/>
    <w:locked/>
    <w:uiPriority w:val="99"/>
    <w:rPr>
      <w:sz w:val="18"/>
    </w:rPr>
  </w:style>
  <w:style w:type="character" w:customStyle="1" w:styleId="25">
    <w:name w:val="Footer Char"/>
    <w:basedOn w:val="19"/>
    <w:semiHidden/>
    <w:qFormat/>
    <w:uiPriority w:val="99"/>
    <w:rPr>
      <w:rFonts w:ascii="Times New Roman" w:hAnsi="Times New Roman"/>
      <w:sz w:val="18"/>
      <w:szCs w:val="18"/>
    </w:rPr>
  </w:style>
  <w:style w:type="character" w:customStyle="1" w:styleId="26">
    <w:name w:val="页脚 Char"/>
    <w:link w:val="12"/>
    <w:qFormat/>
    <w:locked/>
    <w:uiPriority w:val="99"/>
    <w:rPr>
      <w:sz w:val="18"/>
    </w:rPr>
  </w:style>
  <w:style w:type="character" w:customStyle="1" w:styleId="27">
    <w:name w:val="Body Text Char"/>
    <w:basedOn w:val="19"/>
    <w:semiHidden/>
    <w:qFormat/>
    <w:uiPriority w:val="99"/>
    <w:rPr>
      <w:rFonts w:ascii="Times New Roman" w:hAnsi="Times New Roman"/>
      <w:szCs w:val="24"/>
    </w:rPr>
  </w:style>
  <w:style w:type="character" w:customStyle="1" w:styleId="28">
    <w:name w:val="正文文本 Char"/>
    <w:link w:val="8"/>
    <w:qFormat/>
    <w:locked/>
    <w:uiPriority w:val="99"/>
    <w:rPr>
      <w:rFonts w:ascii="仿宋_GB2312" w:hAnsi="Times New Roman" w:eastAsia="仿宋_GB2312"/>
      <w:sz w:val="24"/>
    </w:rPr>
  </w:style>
  <w:style w:type="paragraph" w:customStyle="1" w:styleId="29">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0">
    <w:name w:val="List Paragraph"/>
    <w:basedOn w:val="1"/>
    <w:qFormat/>
    <w:uiPriority w:val="34"/>
    <w:pPr>
      <w:ind w:firstLine="420" w:firstLineChars="200"/>
    </w:pPr>
  </w:style>
  <w:style w:type="character" w:customStyle="1" w:styleId="31">
    <w:name w:val="标题 1 Char"/>
    <w:basedOn w:val="19"/>
    <w:link w:val="5"/>
    <w:qFormat/>
    <w:uiPriority w:val="9"/>
    <w:rPr>
      <w:rFonts w:ascii="Times New Roman" w:hAnsi="Times New Roman"/>
      <w:b/>
      <w:bCs/>
      <w:kern w:val="44"/>
      <w:sz w:val="44"/>
      <w:szCs w:val="44"/>
    </w:rPr>
  </w:style>
  <w:style w:type="character" w:customStyle="1" w:styleId="32">
    <w:name w:val="标题 2 Char"/>
    <w:basedOn w:val="19"/>
    <w:link w:val="6"/>
    <w:qFormat/>
    <w:uiPriority w:val="9"/>
    <w:rPr>
      <w:rFonts w:asciiTheme="majorHAnsi" w:hAnsiTheme="majorHAnsi" w:eastAsiaTheme="majorEastAsia" w:cstheme="majorBidi"/>
      <w:b/>
      <w:bCs/>
      <w:kern w:val="2"/>
      <w:sz w:val="32"/>
      <w:szCs w:val="32"/>
    </w:rPr>
  </w:style>
  <w:style w:type="paragraph" w:customStyle="1" w:styleId="33">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4">
    <w:name w:val="批注框文本 Char"/>
    <w:basedOn w:val="19"/>
    <w:link w:val="11"/>
    <w:semiHidden/>
    <w:qFormat/>
    <w:uiPriority w:val="99"/>
    <w:rPr>
      <w:rFonts w:ascii="Times New Roman" w:hAnsi="Times New Roman"/>
      <w:kern w:val="2"/>
      <w:sz w:val="18"/>
      <w:szCs w:val="18"/>
    </w:rPr>
  </w:style>
  <w:style w:type="character" w:customStyle="1" w:styleId="35">
    <w:name w:val="标题 3 Char"/>
    <w:basedOn w:val="19"/>
    <w:link w:val="7"/>
    <w:qFormat/>
    <w:uiPriority w:val="9"/>
    <w:rPr>
      <w:rFonts w:ascii="Times New Roman" w:hAnsi="Times New Roman"/>
      <w:b/>
      <w:bCs/>
      <w:kern w:val="2"/>
      <w:sz w:val="32"/>
      <w:szCs w:val="32"/>
    </w:rPr>
  </w:style>
  <w:style w:type="paragraph" w:customStyle="1" w:styleId="36">
    <w:name w:val="TOC Heading"/>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7">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chart" Target="charts/chart7.xml"/><Relationship Id="rId15" Type="http://schemas.openxmlformats.org/officeDocument/2006/relationships/image" Target="media/image1.png"/><Relationship Id="rId14" Type="http://schemas.openxmlformats.org/officeDocument/2006/relationships/chart" Target="charts/chart6.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C:\Users\sys\AppData\Local\Temp\wps.p11780\Workbook6.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7.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图</a:t>
            </a:r>
            <a:r>
              <a:rPr lang="en-US" altLang="zh-CN"/>
              <a:t>1</a:t>
            </a:r>
            <a:r>
              <a:rPr altLang="en-US"/>
              <a:t>：</a:t>
            </a:r>
            <a:r>
              <a:t>收入支出决算总计变动情况图</a:t>
            </a:r>
          </a:p>
        </c:rich>
      </c:tx>
      <c:layout>
        <c:manualLayout>
          <c:xMode val="edge"/>
          <c:yMode val="edge"/>
          <c:x val="0.16375939849624"/>
          <c:y val="0.0134198165958399"/>
        </c:manualLayout>
      </c:layout>
      <c:overlay val="0"/>
      <c:spPr>
        <a:noFill/>
        <a:ln>
          <a:noFill/>
        </a:ln>
        <a:effectLst/>
      </c:spPr>
    </c:title>
    <c:autoTitleDeleted val="0"/>
    <c:plotArea>
      <c:layout>
        <c:manualLayout>
          <c:layoutTarget val="inner"/>
          <c:xMode val="edge"/>
          <c:yMode val="edge"/>
          <c:x val="0.0903157894736842"/>
          <c:y val="0.315365690002237"/>
          <c:w val="0.858556390977444"/>
          <c:h val="0.619414001341982"/>
        </c:manualLayout>
      </c:layout>
      <c:barChart>
        <c:barDir val="col"/>
        <c:grouping val="clustered"/>
        <c:varyColors val="0"/>
        <c:ser>
          <c:idx val="0"/>
          <c:order val="0"/>
          <c:tx>
            <c:strRef>
              <c:f>Sheet1!$B$1</c:f>
              <c:strCache>
                <c:ptCount val="1"/>
                <c:pt idx="0">
                  <c:v>2024</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6009.72</c:v>
                </c:pt>
                <c:pt idx="1">
                  <c:v>6009.72</c:v>
                </c:pt>
              </c:numCache>
            </c:numRef>
          </c:val>
        </c:ser>
        <c:ser>
          <c:idx val="1"/>
          <c:order val="1"/>
          <c:tx>
            <c:strRef>
              <c:f>Sheet1!$C$1</c:f>
              <c:strCache>
                <c:ptCount val="1"/>
                <c:pt idx="0">
                  <c:v>2025</c:v>
                </c:pt>
              </c:strCache>
            </c:strRef>
          </c:tx>
          <c:spPr>
            <a:solidFill>
              <a:schemeClr val="accent2"/>
            </a:solidFill>
            <a:ln>
              <a:noFill/>
            </a:ln>
            <a:effectLst/>
          </c:spPr>
          <c:invertIfNegative val="0"/>
          <c:dLbls>
            <c:delete val="1"/>
          </c:dLbls>
          <c:cat>
            <c:strRef>
              <c:f>Sheet1!$A$2:$A$3</c:f>
              <c:strCache>
                <c:ptCount val="2"/>
                <c:pt idx="0">
                  <c:v>收入</c:v>
                </c:pt>
                <c:pt idx="1">
                  <c:v>支出</c:v>
                </c:pt>
              </c:strCache>
            </c:strRef>
          </c:cat>
          <c:val>
            <c:numRef>
              <c:f>Sheet1!$C$2:$C$3</c:f>
              <c:numCache>
                <c:formatCode>General</c:formatCode>
                <c:ptCount val="2"/>
                <c:pt idx="0">
                  <c:v>10452.89</c:v>
                </c:pt>
                <c:pt idx="1">
                  <c:v>10452.89</c:v>
                </c:pt>
              </c:numCache>
            </c:numRef>
          </c:val>
        </c:ser>
        <c:dLbls>
          <c:showLegendKey val="0"/>
          <c:showVal val="0"/>
          <c:showCatName val="0"/>
          <c:showSerName val="0"/>
          <c:showPercent val="0"/>
          <c:showBubbleSize val="0"/>
        </c:dLbls>
        <c:gapWidth val="219"/>
        <c:overlap val="-27"/>
        <c:axId val="977388701"/>
        <c:axId val="716579161"/>
        <c:extLst>
          <c:ext xmlns:c15="http://schemas.microsoft.com/office/drawing/2012/chart" uri="{02D57815-91ED-43cb-92C2-25804820EDAC}">
            <c15:filteredBarSeries>
              <c15:ser>
                <c:idx val="2"/>
                <c:order val="2"/>
                <c:tx>
                  <c:strRef>
                    <c:extLst>
                      <c:ext uri="{02D57815-91ED-43cb-92C2-25804820EDAC}">
                        <c15:formulaRef>
                          <c15:sqref>"2023"</c15:sqref>
                        </c15:formulaRef>
                      </c:ext>
                    </c:extLst>
                    <c:strCache>
                      <c:ptCount val="1"/>
                      <c:pt idx="0">
                        <c:v>2023</c:v>
                      </c:pt>
                    </c:strCache>
                  </c:strRef>
                </c:tx>
                <c:spPr>
                  <a:solidFill>
                    <a:schemeClr val="accent3"/>
                  </a:solidFill>
                  <a:ln>
                    <a:noFill/>
                  </a:ln>
                  <a:effectLst/>
                </c:spPr>
                <c:invertIfNegative val="0"/>
                <c:dLbls>
                  <c:delete val="1"/>
                </c:dLbls>
                <c:cat>
                  <c:strRef>
                    <c:extLst>
                      <c:ext uri="{02D57815-91ED-43cb-92C2-25804820EDAC}">
                        <c15:fullRef>
                          <c15:sqref/>
                        </c15:fullRef>
                        <c15:formulaRef>
                          <c15:sqref>Sheet1!$A$2:$A$3</c15:sqref>
                        </c15:formulaRef>
                      </c:ext>
                    </c:extLst>
                    <c:strCache>
                      <c:ptCount val="2"/>
                      <c:pt idx="0">
                        <c:v>收入</c:v>
                      </c:pt>
                      <c:pt idx="1">
                        <c:v>支出</c:v>
                      </c:pt>
                    </c:strCache>
                  </c:strRef>
                </c:cat>
                <c:val>
                  <c:numRef>
                    <c:extLst>
                      <c:ext uri="{02D57815-91ED-43cb-92C2-25804820EDAC}">
                        <c15:formulaRef>
                          <c15:sqref>{2024}</c15:sqref>
                        </c15:formulaRef>
                      </c:ext>
                    </c:extLst>
                    <c:numCache>
                      <c:formatCode>General</c:formatCode>
                      <c:ptCount val="1"/>
                      <c:pt idx="0">
                        <c:v>2024</c:v>
                      </c:pt>
                    </c:numCache>
                  </c:numRef>
                </c:val>
              </c15:ser>
            </c15:filteredBarSeries>
          </c:ext>
        </c:extLst>
      </c:barChart>
      <c:catAx>
        <c:axId val="97738870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16579161"/>
        <c:crosses val="autoZero"/>
        <c:auto val="1"/>
        <c:lblAlgn val="ctr"/>
        <c:lblOffset val="100"/>
        <c:noMultiLvlLbl val="0"/>
      </c:catAx>
      <c:valAx>
        <c:axId val="71657916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7738870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收入、支出决算总计变动情况图</a:t>
            </a:r>
          </a:p>
        </c:rich>
      </c:tx>
      <c:layout>
        <c:manualLayout>
          <c:xMode val="edge"/>
          <c:yMode val="edge"/>
          <c:x val="0.222777777777778"/>
          <c:y val="0.0243055555555556"/>
        </c:manualLayout>
      </c:layout>
      <c:overlay val="0"/>
      <c:spPr>
        <a:noFill/>
        <a:ln>
          <a:noFill/>
        </a:ln>
        <a:effectLst/>
      </c:spPr>
    </c:title>
    <c:autoTitleDeleted val="0"/>
    <c:plotArea>
      <c:layout/>
      <c:barChart>
        <c:barDir val="col"/>
        <c:grouping val="clustered"/>
        <c:varyColors val="0"/>
        <c:ser>
          <c:idx val="0"/>
          <c:order val="0"/>
          <c:tx>
            <c:strRef>
              <c:f>[Workbook6.xlsx]Sheet1!$B$1</c:f>
              <c:strCache>
                <c:ptCount val="1"/>
                <c:pt idx="0">
                  <c:v>2024</c:v>
                </c:pt>
              </c:strCache>
            </c:strRef>
          </c:tx>
          <c:spPr>
            <a:solidFill>
              <a:schemeClr val="accent1"/>
            </a:solidFill>
            <a:ln>
              <a:noFill/>
            </a:ln>
            <a:effectLst/>
          </c:spPr>
          <c:invertIfNegative val="0"/>
          <c:dLbls>
            <c:delete val="1"/>
          </c:dLbls>
          <c:cat>
            <c:strRef>
              <c:f>[Workbook6.xlsx]Sheet1!$A$2:$A$3</c:f>
              <c:strCache>
                <c:ptCount val="2"/>
                <c:pt idx="0">
                  <c:v>收入</c:v>
                </c:pt>
                <c:pt idx="1">
                  <c:v>支出</c:v>
                </c:pt>
              </c:strCache>
            </c:strRef>
          </c:cat>
          <c:val>
            <c:numRef>
              <c:f>[Workbook6.xlsx]Sheet1!$B$2:$B$3</c:f>
              <c:numCache>
                <c:formatCode>General</c:formatCode>
                <c:ptCount val="2"/>
                <c:pt idx="0">
                  <c:v>6009.72</c:v>
                </c:pt>
                <c:pt idx="1">
                  <c:v>6009.72</c:v>
                </c:pt>
              </c:numCache>
            </c:numRef>
          </c:val>
        </c:ser>
        <c:ser>
          <c:idx val="1"/>
          <c:order val="1"/>
          <c:tx>
            <c:strRef>
              <c:f>[Workbook6.xlsx]Sheet1!$C$1</c:f>
              <c:strCache>
                <c:ptCount val="1"/>
                <c:pt idx="0">
                  <c:v>2025</c:v>
                </c:pt>
              </c:strCache>
            </c:strRef>
          </c:tx>
          <c:spPr>
            <a:solidFill>
              <a:schemeClr val="accent2"/>
            </a:solidFill>
            <a:ln>
              <a:noFill/>
            </a:ln>
            <a:effectLst/>
          </c:spPr>
          <c:invertIfNegative val="0"/>
          <c:dLbls>
            <c:delete val="1"/>
          </c:dLbls>
          <c:cat>
            <c:strRef>
              <c:f>[Workbook6.xlsx]Sheet1!$A$2:$A$3</c:f>
              <c:strCache>
                <c:ptCount val="2"/>
                <c:pt idx="0">
                  <c:v>收入</c:v>
                </c:pt>
                <c:pt idx="1">
                  <c:v>支出</c:v>
                </c:pt>
              </c:strCache>
            </c:strRef>
          </c:cat>
          <c:val>
            <c:numRef>
              <c:f>[Workbook6.xlsx]Sheet1!$C$2:$C$3</c:f>
              <c:numCache>
                <c:formatCode>General</c:formatCode>
                <c:ptCount val="2"/>
                <c:pt idx="0">
                  <c:v>10452.89</c:v>
                </c:pt>
                <c:pt idx="1">
                  <c:v>10452.89</c:v>
                </c:pt>
              </c:numCache>
            </c:numRef>
          </c:val>
        </c:ser>
        <c:dLbls>
          <c:showLegendKey val="0"/>
          <c:showVal val="0"/>
          <c:showCatName val="0"/>
          <c:showSerName val="0"/>
          <c:showPercent val="0"/>
          <c:showBubbleSize val="0"/>
        </c:dLbls>
        <c:gapWidth val="219"/>
        <c:overlap val="-27"/>
        <c:axId val="337976711"/>
        <c:axId val="495274803"/>
      </c:barChart>
      <c:catAx>
        <c:axId val="33797671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5274803"/>
        <c:crosses val="autoZero"/>
        <c:auto val="1"/>
        <c:lblAlgn val="ctr"/>
        <c:lblOffset val="100"/>
        <c:noMultiLvlLbl val="0"/>
      </c:catAx>
      <c:valAx>
        <c:axId val="4952748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797671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图</a:t>
            </a:r>
            <a:r>
              <a:rPr lang="en-US" altLang="zh-CN"/>
              <a:t>2</a:t>
            </a:r>
            <a:r>
              <a:rPr altLang="en-US"/>
              <a:t>：</a:t>
            </a:r>
            <a:r>
              <a:t>收入决算结构图</a:t>
            </a:r>
          </a:p>
        </c:rich>
      </c:tx>
      <c:layout>
        <c:manualLayout>
          <c:xMode val="edge"/>
          <c:yMode val="edge"/>
          <c:x val="0.354637294794444"/>
          <c:y val="0.036925601750547"/>
        </c:manualLayout>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Sheet1!$A$1:$B$1</c:f>
              <c:strCache>
                <c:ptCount val="2"/>
                <c:pt idx="0">
                  <c:v> </c:v>
                </c:pt>
                <c:pt idx="1">
                  <c:v>收入</c:v>
                </c:pt>
              </c:strCache>
            </c:strRef>
          </c:cat>
          <c:val>
            <c:numRef>
              <c:f>Sheet1!$A$2:$B$2</c:f>
              <c:numCache>
                <c:formatCode>General</c:formatCode>
                <c:ptCount val="2"/>
                <c:pt idx="0">
                  <c:v>0</c:v>
                </c:pt>
                <c:pt idx="1">
                  <c:v>10447.89</c:v>
                </c:pt>
              </c:numCache>
            </c:numRef>
          </c:val>
        </c:ser>
        <c:ser>
          <c:idx val="1"/>
          <c:order val="1"/>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Sheet1!$A$1:$B$1</c:f>
              <c:strCache>
                <c:ptCount val="2"/>
                <c:pt idx="0">
                  <c:v> </c:v>
                </c:pt>
                <c:pt idx="1">
                  <c:v>收入</c:v>
                </c:pt>
              </c:strCache>
            </c:strRef>
          </c:cat>
          <c:val>
            <c:numRef>
              <c:f>Sheet1!$A$3:$B$3</c:f>
              <c:numCache>
                <c:formatCode>General</c:formatCode>
                <c:ptCount val="2"/>
                <c:pt idx="0">
                  <c:v>0</c:v>
                </c:pt>
                <c:pt idx="1">
                  <c:v>5</c:v>
                </c:pt>
              </c:numCache>
            </c:numRef>
          </c:val>
        </c:ser>
        <c:ser>
          <c:idx val="2"/>
          <c:order val="2"/>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Sheet1!$A$1:$B$1</c:f>
              <c:strCache>
                <c:ptCount val="2"/>
                <c:pt idx="0">
                  <c:v> </c:v>
                </c:pt>
                <c:pt idx="1">
                  <c:v>收入</c:v>
                </c:pt>
              </c:strCache>
            </c:strRef>
          </c:cat>
          <c:val>
            <c:numRef>
              <c:f>Sheet1!$A$4:$B$4</c:f>
              <c:numCache>
                <c:formatCode>General</c:formatCode>
                <c:ptCount val="2"/>
              </c:numCache>
            </c:numRef>
          </c:val>
        </c:ser>
        <c:ser>
          <c:idx val="3"/>
          <c:order val="3"/>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Sheet1!$A$1:$B$1</c:f>
              <c:strCache>
                <c:ptCount val="2"/>
                <c:pt idx="0">
                  <c:v> </c:v>
                </c:pt>
                <c:pt idx="1">
                  <c:v>收入</c:v>
                </c:pt>
              </c:strCache>
            </c:strRef>
          </c:cat>
          <c:val>
            <c:numRef>
              <c:f>Sheet1!$A$5:$B$5</c:f>
              <c:numCache>
                <c:formatCode>General</c:formatCode>
                <c:ptCount val="2"/>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395729605515128"/>
          <c:y val="0.84916559691912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图</a:t>
            </a:r>
            <a:r>
              <a:rPr lang="en-US" altLang="zh-CN"/>
              <a:t>3</a:t>
            </a:r>
            <a:r>
              <a:rPr altLang="en-US"/>
              <a:t>：</a:t>
            </a:r>
            <a:r>
              <a:t>支出决算结构图</a:t>
            </a:r>
          </a:p>
        </c:rich>
      </c:tx>
      <c:layout/>
      <c:overlay val="0"/>
      <c:spPr>
        <a:noFill/>
        <a:ln>
          <a:noFill/>
        </a:ln>
        <a:effectLst/>
      </c:spPr>
    </c:title>
    <c:autoTitleDeleted val="0"/>
    <c:plotArea>
      <c:layout/>
      <c:pieChart>
        <c:varyColors val="1"/>
        <c:ser>
          <c:idx val="0"/>
          <c:order val="0"/>
          <c:tx>
            <c:strRef>
              <c:f>Sheet1!$B$1</c:f>
              <c:strCache>
                <c:ptCount val="1"/>
                <c:pt idx="0">
                  <c:v>支出分类</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Sheet1!$A$2:$A$3</c:f>
              <c:strCache>
                <c:ptCount val="2"/>
                <c:pt idx="0">
                  <c:v>基本支出</c:v>
                </c:pt>
                <c:pt idx="1">
                  <c:v>项目支出</c:v>
                </c:pt>
              </c:strCache>
            </c:strRef>
          </c:cat>
          <c:val>
            <c:numRef>
              <c:f>Sheet1!$B$2:$B$3</c:f>
              <c:numCache>
                <c:formatCode>General</c:formatCode>
                <c:ptCount val="2"/>
                <c:pt idx="0">
                  <c:v>1719</c:v>
                </c:pt>
                <c:pt idx="1">
                  <c:v>8733.9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图</a:t>
            </a:r>
            <a:r>
              <a:rPr lang="en-US" altLang="zh-CN"/>
              <a:t>1</a:t>
            </a:r>
            <a:r>
              <a:rPr altLang="en-US"/>
              <a:t>：</a:t>
            </a:r>
            <a:r>
              <a:t>收入支出决算总计变动情况图</a:t>
            </a:r>
          </a:p>
        </c:rich>
      </c:tx>
      <c:layout>
        <c:manualLayout>
          <c:xMode val="edge"/>
          <c:yMode val="edge"/>
          <c:x val="0.16375939849624"/>
          <c:y val="0.0134198165958399"/>
        </c:manualLayout>
      </c:layout>
      <c:overlay val="0"/>
      <c:spPr>
        <a:noFill/>
        <a:ln>
          <a:noFill/>
        </a:ln>
        <a:effectLst/>
      </c:spPr>
    </c:title>
    <c:autoTitleDeleted val="0"/>
    <c:plotArea>
      <c:layout>
        <c:manualLayout>
          <c:layoutTarget val="inner"/>
          <c:xMode val="edge"/>
          <c:yMode val="edge"/>
          <c:x val="0.0903157894736842"/>
          <c:y val="0.315365690002237"/>
          <c:w val="0.858556390977444"/>
          <c:h val="0.619414001341982"/>
        </c:manualLayout>
      </c:layout>
      <c:barChart>
        <c:barDir val="col"/>
        <c:grouping val="clustered"/>
        <c:varyColors val="0"/>
        <c:ser>
          <c:idx val="0"/>
          <c:order val="0"/>
          <c:tx>
            <c:strRef>
              <c:f>Sheet1!$B$1</c:f>
              <c:strCache>
                <c:ptCount val="1"/>
                <c:pt idx="0">
                  <c:v>2024</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6009.72</c:v>
                </c:pt>
                <c:pt idx="1">
                  <c:v>6009.72</c:v>
                </c:pt>
              </c:numCache>
            </c:numRef>
          </c:val>
        </c:ser>
        <c:ser>
          <c:idx val="1"/>
          <c:order val="1"/>
          <c:tx>
            <c:strRef>
              <c:f>Sheet1!$C$1</c:f>
              <c:strCache>
                <c:ptCount val="1"/>
                <c:pt idx="0">
                  <c:v>2025</c:v>
                </c:pt>
              </c:strCache>
            </c:strRef>
          </c:tx>
          <c:spPr>
            <a:solidFill>
              <a:schemeClr val="accent2"/>
            </a:solidFill>
            <a:ln>
              <a:noFill/>
            </a:ln>
            <a:effectLst/>
          </c:spPr>
          <c:invertIfNegative val="0"/>
          <c:dLbls>
            <c:delete val="1"/>
          </c:dLbls>
          <c:cat>
            <c:strRef>
              <c:f>Sheet1!$A$2:$A$3</c:f>
              <c:strCache>
                <c:ptCount val="2"/>
                <c:pt idx="0">
                  <c:v>收入</c:v>
                </c:pt>
                <c:pt idx="1">
                  <c:v>支出</c:v>
                </c:pt>
              </c:strCache>
            </c:strRef>
          </c:cat>
          <c:val>
            <c:numRef>
              <c:f>Sheet1!$C$2:$C$3</c:f>
              <c:numCache>
                <c:formatCode>General</c:formatCode>
                <c:ptCount val="2"/>
                <c:pt idx="0">
                  <c:v>10447.89</c:v>
                </c:pt>
                <c:pt idx="1">
                  <c:v>10447.89</c:v>
                </c:pt>
              </c:numCache>
            </c:numRef>
          </c:val>
        </c:ser>
        <c:dLbls>
          <c:showLegendKey val="0"/>
          <c:showVal val="0"/>
          <c:showCatName val="0"/>
          <c:showSerName val="0"/>
          <c:showPercent val="0"/>
          <c:showBubbleSize val="0"/>
        </c:dLbls>
        <c:gapWidth val="219"/>
        <c:overlap val="-27"/>
        <c:axId val="977388701"/>
        <c:axId val="716579161"/>
        <c:extLst>
          <c:ext xmlns:c15="http://schemas.microsoft.com/office/drawing/2012/chart" uri="{02D57815-91ED-43cb-92C2-25804820EDAC}">
            <c15:filteredBarSeries>
              <c15:ser>
                <c:idx val="2"/>
                <c:order val="2"/>
                <c:tx>
                  <c:strRef>
                    <c:extLst>
                      <c:ext uri="{02D57815-91ED-43cb-92C2-25804820EDAC}">
                        <c15:formulaRef>
                          <c15:sqref>"2023"</c15:sqref>
                        </c15:formulaRef>
                      </c:ext>
                    </c:extLst>
                    <c:strCache>
                      <c:ptCount val="1"/>
                      <c:pt idx="0">
                        <c:v>2023</c:v>
                      </c:pt>
                    </c:strCache>
                  </c:strRef>
                </c:tx>
                <c:spPr>
                  <a:solidFill>
                    <a:schemeClr val="accent3"/>
                  </a:solidFill>
                  <a:ln>
                    <a:noFill/>
                  </a:ln>
                  <a:effectLst/>
                </c:spPr>
                <c:invertIfNegative val="0"/>
                <c:dLbls>
                  <c:delete val="1"/>
                </c:dLbls>
                <c:cat>
                  <c:strRef>
                    <c:extLst>
                      <c:ext uri="{02D57815-91ED-43cb-92C2-25804820EDAC}">
                        <c15:fullRef>
                          <c15:sqref/>
                        </c15:fullRef>
                        <c15:formulaRef>
                          <c15:sqref>Sheet1!$A$2:$A$3</c15:sqref>
                        </c15:formulaRef>
                      </c:ext>
                    </c:extLst>
                    <c:strCache>
                      <c:ptCount val="2"/>
                      <c:pt idx="0">
                        <c:v>收入</c:v>
                      </c:pt>
                      <c:pt idx="1">
                        <c:v>支出</c:v>
                      </c:pt>
                    </c:strCache>
                  </c:strRef>
                </c:cat>
                <c:val>
                  <c:numRef>
                    <c:extLst>
                      <c:ext uri="{02D57815-91ED-43cb-92C2-25804820EDAC}">
                        <c15:formulaRef>
                          <c15:sqref>{2024}</c15:sqref>
                        </c15:formulaRef>
                      </c:ext>
                    </c:extLst>
                    <c:numCache>
                      <c:formatCode>General</c:formatCode>
                      <c:ptCount val="1"/>
                      <c:pt idx="0">
                        <c:v>2024</c:v>
                      </c:pt>
                    </c:numCache>
                  </c:numRef>
                </c:val>
              </c15:ser>
            </c15:filteredBarSeries>
          </c:ext>
        </c:extLst>
      </c:barChart>
      <c:catAx>
        <c:axId val="97738870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16579161"/>
        <c:crosses val="autoZero"/>
        <c:auto val="1"/>
        <c:lblAlgn val="ctr"/>
        <c:lblOffset val="100"/>
        <c:noMultiLvlLbl val="0"/>
      </c:catAx>
      <c:valAx>
        <c:axId val="71657916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7738870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044575"/>
          <c:y val="0.1245"/>
          <c:w val="0.927925"/>
          <c:h val="0.716566666666667"/>
        </c:manualLayout>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delete val="1"/>
          </c:dLbls>
          <c:cat>
            <c:strRef>
              <c:f>Sheet1!$A$2</c:f>
              <c:strCache>
                <c:ptCount val="1"/>
                <c:pt idx="0">
                  <c:v>一般公共预算财政拨款收入</c:v>
                </c:pt>
              </c:strCache>
            </c:strRef>
          </c:cat>
          <c:val>
            <c:numRef>
              <c:f>Sheet1!$B$2</c:f>
              <c:numCache>
                <c:formatCode>General</c:formatCode>
                <c:ptCount val="1"/>
                <c:pt idx="0">
                  <c:v>6009.72</c:v>
                </c:pt>
              </c:numCache>
            </c:numRef>
          </c:val>
        </c:ser>
        <c:ser>
          <c:idx val="1"/>
          <c:order val="1"/>
          <c:tx>
            <c:strRef>
              <c:f>Sheet1!$C$1</c:f>
              <c:strCache>
                <c:ptCount val="1"/>
                <c:pt idx="0">
                  <c:v>2025年</c:v>
                </c:pt>
              </c:strCache>
            </c:strRef>
          </c:tx>
          <c:spPr>
            <a:solidFill>
              <a:schemeClr val="accent2"/>
            </a:solidFill>
            <a:ln>
              <a:noFill/>
            </a:ln>
            <a:effectLst/>
          </c:spPr>
          <c:invertIfNegative val="0"/>
          <c:dLbls>
            <c:delete val="1"/>
          </c:dLbls>
          <c:cat>
            <c:strRef>
              <c:f>Sheet1!$A$2</c:f>
              <c:strCache>
                <c:ptCount val="1"/>
                <c:pt idx="0">
                  <c:v>一般公共预算财政拨款收入</c:v>
                </c:pt>
              </c:strCache>
            </c:strRef>
          </c:cat>
          <c:val>
            <c:numRef>
              <c:f>Sheet1!$C$2</c:f>
              <c:numCache>
                <c:formatCode>General</c:formatCode>
                <c:ptCount val="1"/>
                <c:pt idx="0">
                  <c:v>10447.89</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c:f>
              <c:strCache>
                <c:ptCount val="1"/>
                <c:pt idx="0">
                  <c:v>一般公共预算财政拨款收入</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431033060"/>
        <c:axId val="840875200"/>
      </c:barChart>
      <c:catAx>
        <c:axId val="43103306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40875200"/>
        <c:crosses val="autoZero"/>
        <c:auto val="1"/>
        <c:lblAlgn val="ctr"/>
        <c:lblOffset val="100"/>
        <c:noMultiLvlLbl val="0"/>
      </c:catAx>
      <c:valAx>
        <c:axId val="840875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3103306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elete val="1"/>
          </c:dLbls>
          <c:cat>
            <c:strRef>
              <c:f>Sheet1!$A$2:$A$4</c:f>
              <c:strCache>
                <c:ptCount val="3"/>
                <c:pt idx="0">
                  <c:v>因公出国</c:v>
                </c:pt>
                <c:pt idx="1">
                  <c:v>公务用车</c:v>
                </c:pt>
                <c:pt idx="2">
                  <c:v>公务接待</c:v>
                </c:pt>
              </c:strCache>
            </c:strRef>
          </c:cat>
          <c:val>
            <c:numRef>
              <c:f>Sheet1!$B$2:$B$4</c:f>
              <c:numCache>
                <c:formatCode>General</c:formatCode>
                <c:ptCount val="3"/>
                <c:pt idx="0">
                  <c:v>0</c:v>
                </c:pt>
                <c:pt idx="1">
                  <c:v>14.44</c:v>
                </c:pt>
                <c:pt idx="2">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34</Pages>
  <Words>490</Words>
  <Characters>500</Characters>
  <Lines>61</Lines>
  <Paragraphs>17</Paragraphs>
  <TotalTime>5</TotalTime>
  <ScaleCrop>false</ScaleCrop>
  <LinksUpToDate>false</LinksUpToDate>
  <CharactersWithSpaces>520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sys</cp:lastModifiedBy>
  <cp:lastPrinted>2025-09-26T02:01:00Z</cp:lastPrinted>
  <dcterms:modified xsi:type="dcterms:W3CDTF">2026-10-14T07:02:03Z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04787F2533EB45DC91BCDE4AB213247F</vt:lpwstr>
  </property>
  <property fmtid="{D5CDD505-2E9C-101B-9397-08002B2CF9AE}" pid="4" name="KSOTemplateDocerSaveRecord">
    <vt:lpwstr>eyJoZGlkIjoiMzliZjllODhiNWRlMzMyZjdjMDQyZWY4ZmU0N2VjMzciLCJ1c2VySWQiOiI0MDIzNjMwMDEifQ==</vt:lpwstr>
  </property>
</Properties>
</file>