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88F732">
      <w:pPr>
        <w:spacing w:line="600" w:lineRule="exact"/>
        <w:jc w:val="center"/>
        <w:outlineLvl w:val="0"/>
        <w:rPr>
          <w:rFonts w:hint="eastAsia" w:ascii="方正小标宋简体" w:hAnsi="宋体" w:eastAsia="方正小标宋简体"/>
          <w:sz w:val="72"/>
          <w:szCs w:val="72"/>
        </w:rPr>
      </w:pPr>
      <w:bookmarkStart w:id="0" w:name="_Toc15378441"/>
      <w:bookmarkStart w:id="1" w:name="_Toc15396475"/>
      <w:bookmarkStart w:id="2" w:name="_Toc15396597"/>
      <w:bookmarkStart w:id="3" w:name="_Toc15377193"/>
      <w:bookmarkStart w:id="4" w:name="_Toc15377425"/>
      <w:bookmarkStart w:id="5" w:name="_Toc15306267"/>
    </w:p>
    <w:p w14:paraId="3B545F67">
      <w:pPr>
        <w:pStyle w:val="2"/>
        <w:spacing w:before="93"/>
      </w:pPr>
    </w:p>
    <w:p w14:paraId="6147C64A">
      <w:pPr>
        <w:spacing w:line="600" w:lineRule="exact"/>
        <w:jc w:val="center"/>
        <w:outlineLvl w:val="0"/>
        <w:rPr>
          <w:rFonts w:hint="eastAsia" w:ascii="方正小标宋简体" w:hAnsi="宋体" w:eastAsia="方正小标宋简体"/>
          <w:sz w:val="72"/>
          <w:szCs w:val="72"/>
        </w:rPr>
      </w:pPr>
    </w:p>
    <w:p w14:paraId="623B38FC">
      <w:pPr>
        <w:spacing w:line="600" w:lineRule="exact"/>
        <w:jc w:val="center"/>
        <w:outlineLvl w:val="0"/>
        <w:rPr>
          <w:rFonts w:hint="eastAsia" w:ascii="方正小标宋简体" w:hAnsi="宋体" w:eastAsia="方正小标宋简体"/>
          <w:sz w:val="72"/>
          <w:szCs w:val="72"/>
        </w:rPr>
      </w:pPr>
    </w:p>
    <w:p w14:paraId="2056E2EF">
      <w:pPr>
        <w:adjustRightInd w:val="0"/>
        <w:snapToGrid w:val="0"/>
        <w:spacing w:line="360" w:lineRule="auto"/>
        <w:jc w:val="center"/>
        <w:outlineLvl w:val="0"/>
        <w:rPr>
          <w:rFonts w:hint="eastAsia"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202</w:t>
      </w:r>
      <w:r>
        <w:rPr>
          <w:rFonts w:hint="eastAsia" w:ascii="方正小标宋简体" w:hAnsi="方正小标宋简体" w:eastAsia="方正小标宋简体" w:cs="方正小标宋简体"/>
          <w:sz w:val="72"/>
          <w:szCs w:val="72"/>
          <w:lang w:val="en-US" w:eastAsia="zh-CN"/>
        </w:rPr>
        <w:t>5</w:t>
      </w:r>
      <w:r>
        <w:rPr>
          <w:rFonts w:hint="eastAsia" w:ascii="方正小标宋简体" w:hAnsi="方正小标宋简体" w:eastAsia="方正小标宋简体" w:cs="方正小标宋简体"/>
          <w:sz w:val="72"/>
          <w:szCs w:val="72"/>
        </w:rPr>
        <w:t>年度</w:t>
      </w:r>
      <w:bookmarkEnd w:id="0"/>
      <w:bookmarkEnd w:id="1"/>
      <w:bookmarkEnd w:id="2"/>
      <w:bookmarkEnd w:id="3"/>
      <w:bookmarkEnd w:id="4"/>
    </w:p>
    <w:bookmarkEnd w:id="5"/>
    <w:p w14:paraId="4B62A137">
      <w:pPr>
        <w:adjustRightInd w:val="0"/>
        <w:snapToGrid w:val="0"/>
        <w:spacing w:line="360" w:lineRule="auto"/>
        <w:jc w:val="center"/>
        <w:outlineLvl w:val="0"/>
        <w:rPr>
          <w:rFonts w:hint="eastAsia" w:ascii="方正小标宋简体" w:hAnsi="方正小标宋简体" w:eastAsia="方正小标宋简体" w:cs="方正小标宋简体"/>
          <w:sz w:val="72"/>
          <w:szCs w:val="72"/>
        </w:rPr>
      </w:pPr>
      <w:bookmarkStart w:id="6" w:name="_Toc15377426"/>
      <w:bookmarkStart w:id="7" w:name="_Toc15377194"/>
      <w:bookmarkStart w:id="8" w:name="_Toc15396476"/>
      <w:bookmarkStart w:id="9" w:name="_Toc15306268"/>
      <w:bookmarkStart w:id="10" w:name="_Toc15396598"/>
      <w:bookmarkStart w:id="11" w:name="_Toc15378442"/>
      <w:r>
        <w:rPr>
          <w:rFonts w:hint="eastAsia" w:ascii="方正小标宋简体" w:hAnsi="方正小标宋简体" w:eastAsia="方正小标宋简体" w:cs="方正小标宋简体"/>
          <w:sz w:val="72"/>
          <w:szCs w:val="72"/>
        </w:rPr>
        <w:t>红原县财政局部门决算</w:t>
      </w:r>
      <w:bookmarkEnd w:id="6"/>
      <w:bookmarkEnd w:id="7"/>
      <w:bookmarkEnd w:id="8"/>
      <w:bookmarkEnd w:id="9"/>
      <w:bookmarkEnd w:id="10"/>
      <w:bookmarkEnd w:id="11"/>
    </w:p>
    <w:p w14:paraId="71F885CA">
      <w:pPr>
        <w:widowControl/>
        <w:jc w:val="center"/>
        <w:rPr>
          <w:rFonts w:hint="eastAsia" w:ascii="黑体" w:hAnsi="黑体" w:eastAsia="黑体"/>
          <w:sz w:val="48"/>
          <w:szCs w:val="48"/>
        </w:rPr>
      </w:pPr>
      <w:r>
        <w:rPr>
          <w:rFonts w:ascii="方正小标宋简体" w:hAnsi="宋体" w:eastAsia="方正小标宋简体"/>
          <w:sz w:val="36"/>
          <w:szCs w:val="36"/>
        </w:rPr>
        <w:br w:type="page"/>
      </w:r>
      <w:r>
        <w:rPr>
          <w:rFonts w:hint="eastAsia" w:ascii="黑体" w:hAnsi="黑体" w:eastAsia="黑体"/>
          <w:sz w:val="48"/>
          <w:szCs w:val="48"/>
        </w:rPr>
        <w:t>目录</w:t>
      </w:r>
    </w:p>
    <w:p w14:paraId="5B8C5B7A">
      <w:pPr>
        <w:widowControl/>
        <w:jc w:val="center"/>
        <w:rPr>
          <w:rFonts w:hint="eastAsia" w:ascii="黑体" w:hAnsi="黑体" w:eastAsia="黑体" w:cstheme="minorBidi"/>
          <w:sz w:val="28"/>
          <w:szCs w:val="28"/>
        </w:rPr>
      </w:pPr>
    </w:p>
    <w:p w14:paraId="7FD80B50">
      <w:pPr>
        <w:widowControl/>
        <w:tabs>
          <w:tab w:val="left" w:pos="1378"/>
          <w:tab w:val="center" w:pos="4214"/>
        </w:tabs>
        <w:jc w:val="left"/>
      </w:pPr>
      <w:r>
        <w:rPr>
          <w:rFonts w:hint="eastAsia"/>
        </w:rPr>
        <w:tab/>
      </w:r>
      <w:r>
        <w:rPr>
          <w:rFonts w:hint="eastAsia"/>
        </w:rPr>
        <w:tab/>
      </w: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r>
        <w:rPr>
          <w:rFonts w:hint="eastAsia"/>
          <w:lang w:val="en-US" w:eastAsia="zh-CN"/>
        </w:rPr>
        <w:t>14</w:t>
      </w:r>
      <w:r>
        <w:rPr>
          <w:rFonts w:hint="eastAsia"/>
        </w:rPr>
        <w:t>日</w:t>
      </w:r>
    </w:p>
    <w:sdt>
      <w:sdtPr>
        <w:rPr>
          <w:rFonts w:ascii="宋体" w:hAnsi="宋体"/>
          <w:kern w:val="0"/>
          <w:sz w:val="20"/>
          <w:szCs w:val="20"/>
        </w:rPr>
        <w:id w:val="793410319"/>
        <w:docPartObj>
          <w:docPartGallery w:val="Table of Contents"/>
          <w:docPartUnique/>
        </w:docPartObj>
      </w:sdtPr>
      <w:sdtEndPr>
        <w:rPr>
          <w:rFonts w:hint="eastAsia" w:ascii="黑体" w:hAnsi="黑体" w:eastAsia="黑体" w:cs="黑体"/>
          <w:kern w:val="0"/>
          <w:sz w:val="18"/>
          <w:szCs w:val="18"/>
        </w:rPr>
      </w:sdtEndPr>
      <w:sdtContent>
        <w:p w14:paraId="440E878A">
          <w:pPr>
            <w:jc w:val="center"/>
          </w:pPr>
          <w:bookmarkStart w:id="12" w:name="_Toc5962_WPSOffice_Type2"/>
        </w:p>
        <w:p w14:paraId="701ECF11">
          <w:pPr>
            <w:pStyle w:val="38"/>
            <w:tabs>
              <w:tab w:val="right" w:leader="dot" w:pos="8306"/>
            </w:tabs>
          </w:pPr>
          <w:r>
            <w:fldChar w:fldCharType="begin"/>
          </w:r>
          <w:r>
            <w:instrText xml:space="preserve"> HYPERLINK \l "_Toc21172_WPSOffice_Level1" </w:instrText>
          </w:r>
          <w:r>
            <w:fldChar w:fldCharType="separate"/>
          </w:r>
          <w:sdt>
            <w:sdtPr>
              <w:rPr>
                <w:b/>
                <w:bCs/>
                <w:kern w:val="2"/>
                <w:sz w:val="21"/>
                <w:szCs w:val="24"/>
              </w:rPr>
              <w:id w:val="147451941"/>
              <w:placeholder>
                <w:docPart w:val="{2ab9d1b1-189f-4b48-8987-b206a97a0189}"/>
              </w:placeholder>
            </w:sdtPr>
            <w:sdtEndPr>
              <w:rPr>
                <w:b/>
                <w:bCs/>
                <w:kern w:val="2"/>
                <w:sz w:val="21"/>
                <w:szCs w:val="24"/>
              </w:rPr>
            </w:sdtEndPr>
            <w:sdtContent>
              <w:r>
                <w:rPr>
                  <w:rFonts w:hint="eastAsia" w:ascii="黑体" w:hAnsi="黑体" w:eastAsia="黑体"/>
                  <w:b/>
                  <w:bCs/>
                </w:rPr>
                <w:t>第一部分 部门概况</w:t>
              </w:r>
            </w:sdtContent>
          </w:sdt>
          <w:r>
            <w:rPr>
              <w:b/>
              <w:bCs/>
            </w:rPr>
            <w:tab/>
          </w:r>
          <w:bookmarkStart w:id="13" w:name="_Toc21172_WPSOffice_Level1Page"/>
          <w:r>
            <w:rPr>
              <w:b/>
              <w:bCs/>
            </w:rPr>
            <w:t>4</w:t>
          </w:r>
          <w:bookmarkEnd w:id="13"/>
          <w:r>
            <w:rPr>
              <w:b/>
              <w:bCs/>
            </w:rPr>
            <w:fldChar w:fldCharType="end"/>
          </w:r>
        </w:p>
        <w:p w14:paraId="294DC16A">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"_Toc5962_WPSOffice_Level2"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1"/>
              <w:placeholder>
                <w:docPart w:val="{f1cd2791-3ac6-49e6-ac52-efb5177de2dd}"/>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一、 部门职责</w:t>
              </w:r>
            </w:sdtContent>
          </w:sdt>
          <w:r>
            <w:rPr>
              <w:rFonts w:hint="eastAsia" w:ascii="黑体" w:hAnsi="黑体" w:eastAsia="黑体" w:cs="黑体"/>
              <w:sz w:val="18"/>
              <w:szCs w:val="18"/>
            </w:rPr>
            <w:tab/>
          </w:r>
          <w:bookmarkStart w:id="14" w:name="_Toc5962_WPSOffice_Level2Page"/>
          <w:r>
            <w:rPr>
              <w:rFonts w:hint="eastAsia" w:ascii="黑体" w:hAnsi="黑体" w:eastAsia="黑体" w:cs="黑体"/>
              <w:sz w:val="18"/>
              <w:szCs w:val="18"/>
            </w:rPr>
            <w:t>4</w:t>
          </w:r>
          <w:bookmarkEnd w:id="14"/>
          <w:r>
            <w:rPr>
              <w:rFonts w:hint="eastAsia" w:ascii="黑体" w:hAnsi="黑体" w:eastAsia="黑体" w:cs="黑体"/>
              <w:sz w:val="18"/>
              <w:szCs w:val="18"/>
            </w:rPr>
            <w:fldChar w:fldCharType="end"/>
          </w:r>
        </w:p>
        <w:p w14:paraId="212C8F9F">
          <w:pPr>
            <w:pStyle w:val="39"/>
            <w:tabs>
              <w:tab w:val="right" w:leader="dot" w:pos="8306"/>
            </w:tabs>
            <w:ind w:left="420"/>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"_Toc24957_WPSOffice_Level2"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1433784779"/>
              <w:placeholder>
                <w:docPart w:val="{0fa75220-6f05-4667-8f2d-d719d1532b77}"/>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二、机构设置</w:t>
              </w:r>
            </w:sdtContent>
          </w:sdt>
          <w:r>
            <w:rPr>
              <w:rFonts w:hint="eastAsia" w:ascii="黑体" w:hAnsi="黑体" w:eastAsia="黑体" w:cs="黑体"/>
              <w:sz w:val="18"/>
              <w:szCs w:val="18"/>
            </w:rPr>
            <w:tab/>
          </w:r>
          <w:bookmarkStart w:id="15" w:name="_Toc24957_WPSOffice_Level2Page"/>
          <w:r>
            <w:rPr>
              <w:rFonts w:hint="eastAsia" w:ascii="黑体" w:hAnsi="黑体" w:eastAsia="黑体" w:cs="黑体"/>
              <w:sz w:val="18"/>
              <w:szCs w:val="18"/>
            </w:rPr>
            <w:t>6</w:t>
          </w:r>
          <w:bookmarkEnd w:id="15"/>
          <w:r>
            <w:rPr>
              <w:rFonts w:hint="eastAsia" w:ascii="黑体" w:hAnsi="黑体" w:eastAsia="黑体" w:cs="黑体"/>
              <w:sz w:val="18"/>
              <w:szCs w:val="18"/>
            </w:rPr>
            <w:fldChar w:fldCharType="end"/>
          </w:r>
        </w:p>
        <w:p w14:paraId="6C3E3D23">
          <w:pPr>
            <w:pStyle w:val="38"/>
            <w:tabs>
              <w:tab w:val="right" w:leader="dot" w:pos="8306"/>
            </w:tabs>
            <w:rPr>
              <w:rFonts w:hint="eastAsia" w:eastAsia="宋体"/>
              <w:lang w:val="en-US" w:eastAsia="zh-CN"/>
            </w:rPr>
          </w:pPr>
          <w:r>
            <w:fldChar w:fldCharType="begin"/>
          </w:r>
          <w:r>
            <w:instrText xml:space="preserve"> HYPERLINK \l "_Toc5962_WPSOffice_Level1" </w:instrText>
          </w:r>
          <w:r>
            <w:fldChar w:fldCharType="separate"/>
          </w:r>
          <w:sdt>
            <w:sdtPr>
              <w:rPr>
                <w:b/>
                <w:bCs/>
                <w:kern w:val="2"/>
                <w:sz w:val="21"/>
                <w:szCs w:val="24"/>
              </w:rPr>
              <w:id w:val="696931770"/>
              <w:placeholder>
                <w:docPart w:val="{577a4505-62bc-429f-aa28-87751a5cf09c}"/>
              </w:placeholder>
            </w:sdtPr>
            <w:sdtEndPr>
              <w:rPr>
                <w:b/>
                <w:bCs/>
                <w:kern w:val="2"/>
                <w:sz w:val="21"/>
                <w:szCs w:val="24"/>
              </w:rPr>
            </w:sdtEndPr>
            <w:sdtContent>
              <w:r>
                <w:rPr>
                  <w:rFonts w:hint="eastAsia" w:ascii="黑体" w:hAnsi="黑体" w:eastAsia="黑体"/>
                  <w:b/>
                  <w:bCs/>
                </w:rPr>
                <w:t>第二部分 202</w:t>
              </w:r>
              <w:r>
                <w:rPr>
                  <w:rFonts w:hint="eastAsia" w:ascii="黑体" w:hAnsi="黑体" w:eastAsia="黑体"/>
                  <w:b/>
                  <w:bCs/>
                  <w:lang w:val="en-US" w:eastAsia="zh-CN"/>
                </w:rPr>
                <w:t>5</w:t>
              </w:r>
              <w:r>
                <w:rPr>
                  <w:rFonts w:hint="eastAsia" w:ascii="黑体" w:hAnsi="黑体" w:eastAsia="黑体"/>
                  <w:b/>
                  <w:bCs/>
                </w:rPr>
                <w:t>年度部门决算情况说明</w:t>
              </w:r>
            </w:sdtContent>
          </w:sdt>
          <w:r>
            <w:rPr>
              <w:b/>
              <w:bCs/>
            </w:rPr>
            <w:tab/>
          </w:r>
          <w:r>
            <w:rPr>
              <w:rFonts w:hint="eastAsia"/>
              <w:b/>
              <w:bCs/>
              <w:lang w:val="en-US" w:eastAsia="zh-CN"/>
            </w:rPr>
            <w:t>7</w:t>
          </w:r>
          <w:r>
            <w:rPr>
              <w:b/>
              <w:bCs/>
            </w:rPr>
            <w:fldChar w:fldCharType="end"/>
          </w:r>
        </w:p>
        <w:p w14:paraId="269EB003">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"_Toc29709_WPSOffice_Level2"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976491250"/>
              <w:placeholder>
                <w:docPart w:val="{ac9563b0-3065-4889-b019-e85e792b65de}"/>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一、 收入支出决算总体情况说明</w:t>
              </w:r>
            </w:sdtContent>
          </w:sdt>
          <w:r>
            <w:rPr>
              <w:rFonts w:hint="eastAsia" w:ascii="黑体" w:hAnsi="黑体" w:eastAsia="黑体" w:cs="黑体"/>
              <w:sz w:val="18"/>
              <w:szCs w:val="18"/>
            </w:rPr>
            <w:tab/>
          </w:r>
          <w:r>
            <w:rPr>
              <w:rFonts w:hint="eastAsia" w:ascii="黑体" w:hAnsi="黑体" w:eastAsia="黑体" w:cs="黑体"/>
              <w:sz w:val="18"/>
              <w:szCs w:val="18"/>
              <w:lang w:val="en-US" w:eastAsia="zh-CN"/>
            </w:rPr>
            <w:t>7</w:t>
          </w:r>
          <w:r>
            <w:rPr>
              <w:rFonts w:hint="eastAsia" w:ascii="黑体" w:hAnsi="黑体" w:eastAsia="黑体" w:cs="黑体"/>
              <w:sz w:val="18"/>
              <w:szCs w:val="18"/>
            </w:rPr>
            <w:fldChar w:fldCharType="end"/>
          </w:r>
        </w:p>
        <w:p w14:paraId="0A8CBAB5">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"_Toc21711_WPSOffice_Level2"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817008696"/>
              <w:placeholder>
                <w:docPart w:val="{20db0686-20ae-485a-9e5a-051b5d0e9892}"/>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二、 收入决算情况说明</w:t>
              </w:r>
            </w:sdtContent>
          </w:sdt>
          <w:r>
            <w:rPr>
              <w:rFonts w:hint="eastAsia" w:ascii="黑体" w:hAnsi="黑体" w:eastAsia="黑体" w:cs="黑体"/>
              <w:sz w:val="18"/>
              <w:szCs w:val="18"/>
            </w:rPr>
            <w:tab/>
          </w:r>
          <w:r>
            <w:rPr>
              <w:rFonts w:hint="eastAsia" w:ascii="黑体" w:hAnsi="黑体" w:eastAsia="黑体" w:cs="黑体"/>
              <w:sz w:val="18"/>
              <w:szCs w:val="18"/>
              <w:lang w:val="en-US" w:eastAsia="zh-CN"/>
            </w:rPr>
            <w:t>7</w:t>
          </w:r>
          <w:r>
            <w:rPr>
              <w:rFonts w:hint="eastAsia" w:ascii="黑体" w:hAnsi="黑体" w:eastAsia="黑体" w:cs="黑体"/>
              <w:sz w:val="18"/>
              <w:szCs w:val="18"/>
            </w:rPr>
            <w:fldChar w:fldCharType="end"/>
          </w:r>
        </w:p>
        <w:p w14:paraId="3C8E82A2">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"_Toc25959_WPSOffice_Level2"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887126077"/>
              <w:placeholder>
                <w:docPart w:val="{98da4a21-fedf-4a93-94b1-61df8db179de}"/>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三、 支出决算情况说明</w:t>
              </w:r>
            </w:sdtContent>
          </w:sdt>
          <w:r>
            <w:rPr>
              <w:rFonts w:hint="eastAsia" w:ascii="黑体" w:hAnsi="黑体" w:eastAsia="黑体" w:cs="黑体"/>
              <w:sz w:val="18"/>
              <w:szCs w:val="18"/>
            </w:rPr>
            <w:tab/>
          </w:r>
          <w:r>
            <w:rPr>
              <w:rFonts w:hint="eastAsia" w:ascii="黑体" w:hAnsi="黑体" w:eastAsia="黑体" w:cs="黑体"/>
              <w:sz w:val="18"/>
              <w:szCs w:val="18"/>
              <w:lang w:val="en-US" w:eastAsia="zh-CN"/>
            </w:rPr>
            <w:t>8</w:t>
          </w:r>
          <w:r>
            <w:rPr>
              <w:rFonts w:hint="eastAsia" w:ascii="黑体" w:hAnsi="黑体" w:eastAsia="黑体" w:cs="黑体"/>
              <w:sz w:val="18"/>
              <w:szCs w:val="18"/>
            </w:rPr>
            <w:fldChar w:fldCharType="end"/>
          </w:r>
        </w:p>
        <w:p w14:paraId="7951FD75">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"_Toc26235_WPSOffice_Level2"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851242150"/>
              <w:placeholder>
                <w:docPart w:val="{07821133-45a6-444c-a424-1a374616ee5d}"/>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四、财政拨款收入支出决算总体情况说明</w:t>
              </w:r>
            </w:sdtContent>
          </w:sdt>
          <w:r>
            <w:rPr>
              <w:rFonts w:hint="eastAsia" w:ascii="黑体" w:hAnsi="黑体" w:eastAsia="黑体" w:cs="黑体"/>
              <w:sz w:val="18"/>
              <w:szCs w:val="18"/>
            </w:rPr>
            <w:tab/>
          </w:r>
          <w:bookmarkStart w:id="16" w:name="_Toc26235_WPSOffice_Level2Page"/>
          <w:r>
            <w:rPr>
              <w:rFonts w:hint="eastAsia" w:ascii="黑体" w:hAnsi="黑体" w:eastAsia="黑体" w:cs="黑体"/>
              <w:sz w:val="18"/>
              <w:szCs w:val="18"/>
            </w:rPr>
            <w:t>9</w:t>
          </w:r>
          <w:bookmarkEnd w:id="16"/>
          <w:r>
            <w:rPr>
              <w:rFonts w:hint="eastAsia" w:ascii="黑体" w:hAnsi="黑体" w:eastAsia="黑体" w:cs="黑体"/>
              <w:sz w:val="18"/>
              <w:szCs w:val="18"/>
            </w:rPr>
            <w:fldChar w:fldCharType="end"/>
          </w:r>
        </w:p>
        <w:p w14:paraId="40C13E0E">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"_Toc10331_WPSOffice_Level2"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1277302855"/>
              <w:placeholder>
                <w:docPart w:val="{ab3773df-dd56-4ff6-825a-d9af32119f99}"/>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五、一般公共预算财政拨款支出决算情况说明</w:t>
              </w:r>
            </w:sdtContent>
          </w:sdt>
          <w:r>
            <w:rPr>
              <w:rFonts w:hint="eastAsia" w:ascii="黑体" w:hAnsi="黑体" w:eastAsia="黑体" w:cs="黑体"/>
              <w:sz w:val="18"/>
              <w:szCs w:val="18"/>
            </w:rPr>
            <w:tab/>
          </w:r>
          <w:r>
            <w:rPr>
              <w:rFonts w:hint="eastAsia" w:ascii="黑体" w:hAnsi="黑体" w:eastAsia="黑体" w:cs="黑体"/>
              <w:sz w:val="18"/>
              <w:szCs w:val="18"/>
              <w:lang w:val="en-US" w:eastAsia="zh-CN"/>
            </w:rPr>
            <w:t>9</w:t>
          </w:r>
          <w:r>
            <w:rPr>
              <w:rFonts w:hint="eastAsia" w:ascii="黑体" w:hAnsi="黑体" w:eastAsia="黑体" w:cs="黑体"/>
              <w:sz w:val="18"/>
              <w:szCs w:val="18"/>
            </w:rPr>
            <w:fldChar w:fldCharType="end"/>
          </w:r>
        </w:p>
        <w:p w14:paraId="1C5E9272">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"_Toc14932_WPSOffice_Level2"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723388680"/>
              <w:placeholder>
                <w:docPart w:val="{7267efb1-3abd-4d4f-ba4d-7c7e127e1a59}"/>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六、一般公共预算财政拨款基本支出决算情况说明</w:t>
              </w:r>
            </w:sdtContent>
          </w:sdt>
          <w:r>
            <w:rPr>
              <w:rFonts w:hint="eastAsia" w:ascii="黑体" w:hAnsi="黑体" w:eastAsia="黑体" w:cs="黑体"/>
              <w:sz w:val="18"/>
              <w:szCs w:val="18"/>
            </w:rPr>
            <w:tab/>
          </w:r>
          <w:bookmarkStart w:id="17" w:name="_Toc14932_WPSOffice_Level2Page"/>
          <w:r>
            <w:rPr>
              <w:rFonts w:hint="eastAsia" w:ascii="黑体" w:hAnsi="黑体" w:eastAsia="黑体" w:cs="黑体"/>
              <w:sz w:val="18"/>
              <w:szCs w:val="18"/>
            </w:rPr>
            <w:t>1</w:t>
          </w:r>
          <w:bookmarkEnd w:id="17"/>
          <w:r>
            <w:rPr>
              <w:rFonts w:hint="eastAsia" w:ascii="黑体" w:hAnsi="黑体" w:eastAsia="黑体" w:cs="黑体"/>
              <w:sz w:val="18"/>
              <w:szCs w:val="18"/>
              <w:lang w:val="en-US" w:eastAsia="zh-CN"/>
            </w:rPr>
            <w:t>2</w:t>
          </w:r>
          <w:r>
            <w:rPr>
              <w:rFonts w:hint="eastAsia" w:ascii="黑体" w:hAnsi="黑体" w:eastAsia="黑体" w:cs="黑体"/>
              <w:sz w:val="18"/>
              <w:szCs w:val="18"/>
            </w:rPr>
            <w:fldChar w:fldCharType="end"/>
          </w:r>
        </w:p>
        <w:p w14:paraId="00559A4F">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"_Toc18638_WPSOffice_Level2"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1190714884"/>
              <w:placeholder>
                <w:docPart w:val="{e9cca559-85cf-442f-bbc3-87e0ee823316}"/>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七、财政拨款“三公”经费支出决算情况说明</w:t>
              </w:r>
            </w:sdtContent>
          </w:sdt>
          <w:r>
            <w:rPr>
              <w:rFonts w:hint="eastAsia" w:ascii="黑体" w:hAnsi="黑体" w:eastAsia="黑体" w:cs="黑体"/>
              <w:sz w:val="18"/>
              <w:szCs w:val="18"/>
            </w:rPr>
            <w:tab/>
          </w:r>
          <w:bookmarkStart w:id="18" w:name="_Toc18638_WPSOffice_Level2Page"/>
          <w:r>
            <w:rPr>
              <w:rFonts w:hint="eastAsia" w:ascii="黑体" w:hAnsi="黑体" w:eastAsia="黑体" w:cs="黑体"/>
              <w:sz w:val="18"/>
              <w:szCs w:val="18"/>
            </w:rPr>
            <w:t>1</w:t>
          </w:r>
          <w:bookmarkEnd w:id="18"/>
          <w:r>
            <w:rPr>
              <w:rFonts w:hint="eastAsia" w:ascii="黑体" w:hAnsi="黑体" w:eastAsia="黑体" w:cs="黑体"/>
              <w:sz w:val="18"/>
              <w:szCs w:val="18"/>
              <w:lang w:val="en-US" w:eastAsia="zh-CN"/>
            </w:rPr>
            <w:t>3</w:t>
          </w:r>
          <w:r>
            <w:rPr>
              <w:rFonts w:hint="eastAsia" w:ascii="黑体" w:hAnsi="黑体" w:eastAsia="黑体" w:cs="黑体"/>
              <w:sz w:val="18"/>
              <w:szCs w:val="18"/>
            </w:rPr>
            <w:fldChar w:fldCharType="end"/>
          </w:r>
        </w:p>
        <w:p w14:paraId="37CBAA9E">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"_Toc11936_WPSOffice_Level2"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871973225"/>
              <w:placeholder>
                <w:docPart w:val="{004482c8-6cd7-45bb-89e5-d5432a7f7b83}"/>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八、政府性基金预算支出决算情况说明</w:t>
              </w:r>
            </w:sdtContent>
          </w:sdt>
          <w:r>
            <w:rPr>
              <w:rFonts w:hint="eastAsia" w:ascii="黑体" w:hAnsi="黑体" w:eastAsia="黑体" w:cs="黑体"/>
              <w:sz w:val="18"/>
              <w:szCs w:val="18"/>
            </w:rPr>
            <w:tab/>
          </w:r>
          <w:bookmarkStart w:id="19" w:name="_Toc11936_WPSOffice_Level2Page"/>
          <w:r>
            <w:rPr>
              <w:rFonts w:hint="eastAsia" w:ascii="黑体" w:hAnsi="黑体" w:eastAsia="黑体" w:cs="黑体"/>
              <w:sz w:val="18"/>
              <w:szCs w:val="18"/>
            </w:rPr>
            <w:t>15</w:t>
          </w:r>
          <w:bookmarkEnd w:id="19"/>
          <w:r>
            <w:rPr>
              <w:rFonts w:hint="eastAsia" w:ascii="黑体" w:hAnsi="黑体" w:eastAsia="黑体" w:cs="黑体"/>
              <w:sz w:val="18"/>
              <w:szCs w:val="18"/>
            </w:rPr>
            <w:fldChar w:fldCharType="end"/>
          </w:r>
        </w:p>
        <w:p w14:paraId="58E0E8C0">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"_Toc28183_WPSOffice_Level2"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828125291"/>
              <w:placeholder>
                <w:docPart w:val="{f2a6ec60-844f-4f8b-a058-1d62f96cc364}"/>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九、 国有资本经营预算支出决算情况说明</w:t>
              </w:r>
            </w:sdtContent>
          </w:sdt>
          <w:r>
            <w:rPr>
              <w:rFonts w:hint="eastAsia" w:ascii="黑体" w:hAnsi="黑体" w:eastAsia="黑体" w:cs="黑体"/>
              <w:sz w:val="18"/>
              <w:szCs w:val="18"/>
            </w:rPr>
            <w:tab/>
          </w:r>
          <w:bookmarkStart w:id="20" w:name="_Toc28183_WPSOffice_Level2Page"/>
          <w:r>
            <w:rPr>
              <w:rFonts w:hint="eastAsia" w:ascii="黑体" w:hAnsi="黑体" w:eastAsia="黑体" w:cs="黑体"/>
              <w:sz w:val="18"/>
              <w:szCs w:val="18"/>
            </w:rPr>
            <w:t>15</w:t>
          </w:r>
          <w:bookmarkEnd w:id="20"/>
          <w:r>
            <w:rPr>
              <w:rFonts w:hint="eastAsia" w:ascii="黑体" w:hAnsi="黑体" w:eastAsia="黑体" w:cs="黑体"/>
              <w:sz w:val="18"/>
              <w:szCs w:val="18"/>
            </w:rPr>
            <w:fldChar w:fldCharType="end"/>
          </w:r>
        </w:p>
        <w:p w14:paraId="0084C405">
          <w:pPr>
            <w:pStyle w:val="39"/>
            <w:tabs>
              <w:tab w:val="right" w:leader="dot" w:pos="8306"/>
            </w:tabs>
            <w:ind w:left="420"/>
            <w:rPr>
              <w:rFonts w:hint="eastAsia" w:eastAsia="黑体"/>
              <w:lang w:val="en-US" w:eastAsia="zh-CN"/>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"_Toc11998_WPSOffice_Level2" </w:instrText>
          </w:r>
          <w:r>
            <w:rPr>
              <w:rFonts w:hint="eastAsia" w:ascii="黑体" w:hAnsi="黑体" w:eastAsia="黑体" w:cs="黑体"/>
              <w:sz w:val="18"/>
              <w:szCs w:val="18"/>
            </w:rPr>
            <w:fldChar w:fldCharType="separate"/>
          </w:r>
          <w:sdt>
            <w:sdtPr>
              <w:rPr>
                <w:rFonts w:hint="eastAsia" w:ascii="黑体" w:hAnsi="黑体" w:eastAsia="黑体" w:cs="黑体"/>
                <w:kern w:val="2"/>
                <w:sz w:val="18"/>
                <w:szCs w:val="18"/>
              </w:rPr>
              <w:id w:val="715368745"/>
              <w:placeholder>
                <w:docPart w:val="{474ea4c2-3e74-4a7a-961c-d9f8a624e6d4}"/>
              </w:placeholder>
            </w:sdtPr>
            <w:sdtEndPr>
              <w:rPr>
                <w:rFonts w:hint="eastAsia" w:ascii="黑体" w:hAnsi="黑体" w:eastAsia="黑体" w:cs="黑体"/>
                <w:kern w:val="2"/>
                <w:sz w:val="18"/>
                <w:szCs w:val="18"/>
              </w:rPr>
            </w:sdtEndPr>
            <w:sdtContent>
              <w:r>
                <w:rPr>
                  <w:rFonts w:hint="eastAsia" w:ascii="黑体" w:hAnsi="黑体" w:eastAsia="黑体" w:cs="黑体"/>
                  <w:sz w:val="18"/>
                  <w:szCs w:val="18"/>
                </w:rPr>
                <w:t>十、 其他重要事项的情况说明</w:t>
              </w:r>
            </w:sdtContent>
          </w:sdt>
          <w:r>
            <w:rPr>
              <w:rFonts w:hint="eastAsia" w:ascii="黑体" w:hAnsi="黑体" w:eastAsia="黑体" w:cs="黑体"/>
              <w:sz w:val="18"/>
              <w:szCs w:val="18"/>
            </w:rPr>
            <w:tab/>
          </w:r>
          <w:r>
            <w:rPr>
              <w:rFonts w:hint="eastAsia" w:ascii="黑体" w:hAnsi="黑体" w:eastAsia="黑体" w:cs="黑体"/>
              <w:sz w:val="18"/>
              <w:szCs w:val="18"/>
              <w:lang w:val="en-US" w:eastAsia="zh-CN"/>
            </w:rPr>
            <w:t>1</w:t>
          </w:r>
          <w:r>
            <w:rPr>
              <w:rFonts w:hint="eastAsia" w:ascii="黑体" w:hAnsi="黑体" w:eastAsia="黑体" w:cs="黑体"/>
              <w:sz w:val="18"/>
              <w:szCs w:val="18"/>
            </w:rPr>
            <w:fldChar w:fldCharType="end"/>
          </w:r>
          <w:r>
            <w:rPr>
              <w:rFonts w:hint="eastAsia" w:ascii="黑体" w:hAnsi="黑体" w:eastAsia="黑体" w:cs="黑体"/>
              <w:sz w:val="18"/>
              <w:szCs w:val="18"/>
              <w:lang w:val="en-US" w:eastAsia="zh-CN"/>
            </w:rPr>
            <w:t>5</w:t>
          </w:r>
        </w:p>
        <w:p w14:paraId="1C2DABB6">
          <w:pPr>
            <w:pStyle w:val="38"/>
            <w:tabs>
              <w:tab w:val="right" w:leader="dot" w:pos="8306"/>
            </w:tabs>
          </w:pPr>
          <w:r>
            <w:fldChar w:fldCharType="begin"/>
          </w:r>
          <w:r>
            <w:instrText xml:space="preserve"> HYPERLINK \l "_Toc24957_WPSOffice_Level1" </w:instrText>
          </w:r>
          <w:r>
            <w:fldChar w:fldCharType="separate"/>
          </w:r>
          <w:sdt>
            <w:sdtPr>
              <w:rPr>
                <w:rFonts w:hint="eastAsia" w:ascii="黑体" w:hAnsi="黑体" w:eastAsia="黑体" w:cs="黑体"/>
                <w:b/>
                <w:bCs/>
                <w:kern w:val="2"/>
                <w:sz w:val="20"/>
                <w:szCs w:val="20"/>
              </w:rPr>
              <w:id w:val="759180585"/>
              <w:placeholder>
                <w:docPart w:val="{332b45e8-5260-4fd0-a3a3-e478716d169d}"/>
              </w:placeholder>
            </w:sdtPr>
            <w:sdtEndPr>
              <w:rPr>
                <w:rFonts w:hint="eastAsia" w:ascii="黑体" w:hAnsi="黑体" w:eastAsia="黑体" w:cs="黑体"/>
                <w:b/>
                <w:bCs/>
                <w:kern w:val="2"/>
                <w:sz w:val="21"/>
                <w:szCs w:val="24"/>
              </w:rPr>
            </w:sdtEndPr>
            <w:sdtContent>
              <w:r>
                <w:rPr>
                  <w:rFonts w:hint="eastAsia" w:ascii="黑体" w:hAnsi="黑体" w:eastAsia="黑体" w:cs="黑体"/>
                  <w:b/>
                  <w:bCs/>
                  <w:sz w:val="20"/>
                  <w:szCs w:val="20"/>
                </w:rPr>
                <w:t>第三部分 名词解释</w:t>
              </w:r>
            </w:sdtContent>
          </w:sdt>
          <w:r>
            <w:rPr>
              <w:b/>
              <w:bCs/>
            </w:rPr>
            <w:tab/>
          </w:r>
          <w:bookmarkStart w:id="21" w:name="_Toc24957_WPSOffice_Level1Page"/>
          <w:r>
            <w:rPr>
              <w:b/>
              <w:bCs/>
            </w:rPr>
            <w:t>17</w:t>
          </w:r>
          <w:bookmarkEnd w:id="21"/>
          <w:r>
            <w:rPr>
              <w:b/>
              <w:bCs/>
            </w:rPr>
            <w:fldChar w:fldCharType="end"/>
          </w:r>
        </w:p>
        <w:p w14:paraId="15B89DD5">
          <w:pPr>
            <w:pStyle w:val="38"/>
            <w:tabs>
              <w:tab w:val="right" w:leader="dot" w:pos="8306"/>
            </w:tabs>
          </w:pPr>
          <w:r>
            <w:fldChar w:fldCharType="begin"/>
          </w:r>
          <w:r>
            <w:instrText xml:space="preserve"> HYPERLINK \l "_Toc29709_WPSOffice_Level1" </w:instrText>
          </w:r>
          <w:r>
            <w:fldChar w:fldCharType="separate"/>
          </w:r>
          <w:sdt>
            <w:sdtPr>
              <w:rPr>
                <w:b/>
                <w:bCs/>
                <w:kern w:val="2"/>
                <w:sz w:val="21"/>
                <w:szCs w:val="24"/>
              </w:rPr>
              <w:id w:val="302164939"/>
              <w:placeholder>
                <w:docPart w:val="{15e69e76-01d6-421e-a82d-933a9fe5c2fc}"/>
              </w:placeholder>
            </w:sdtPr>
            <w:sdtEndPr>
              <w:rPr>
                <w:b/>
                <w:bCs/>
                <w:kern w:val="2"/>
                <w:sz w:val="21"/>
                <w:szCs w:val="24"/>
              </w:rPr>
            </w:sdtEndPr>
            <w:sdtContent>
              <w:r>
                <w:rPr>
                  <w:rFonts w:hint="eastAsia" w:ascii="黑体" w:hAnsi="黑体" w:eastAsia="黑体"/>
                  <w:b/>
                  <w:bCs/>
                </w:rPr>
                <w:t>第四部分 附件</w:t>
              </w:r>
            </w:sdtContent>
          </w:sdt>
          <w:r>
            <w:rPr>
              <w:b/>
              <w:bCs/>
            </w:rPr>
            <w:tab/>
          </w:r>
          <w:bookmarkStart w:id="22" w:name="_Toc29709_WPSOffice_Level1Page"/>
          <w:r>
            <w:rPr>
              <w:b/>
              <w:bCs/>
            </w:rPr>
            <w:t>20</w:t>
          </w:r>
          <w:bookmarkEnd w:id="22"/>
          <w:r>
            <w:rPr>
              <w:b/>
              <w:bCs/>
            </w:rPr>
            <w:fldChar w:fldCharType="end"/>
          </w:r>
        </w:p>
        <w:p w14:paraId="2D135E8E">
          <w:pPr>
            <w:pStyle w:val="39"/>
            <w:tabs>
              <w:tab w:val="right" w:leader="dot" w:pos="8306"/>
            </w:tabs>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"_Toc14644_WPSOffice_Level2"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528155000"/>
              <w:placeholder>
                <w:docPart w:val="{eace3927-9f3c-40eb-8827-7e97c399e88b}"/>
              </w:placeholder>
            </w:sdtPr>
            <w:sdtEndPr>
              <w:rPr>
                <w:rFonts w:hint="eastAsia" w:ascii="黑体" w:hAnsi="黑体" w:eastAsia="黑体" w:cs="黑体"/>
                <w:sz w:val="18"/>
                <w:szCs w:val="18"/>
              </w:rPr>
            </w:sdtEndPr>
            <w:sdtContent>
              <w:r>
                <w:rPr>
                  <w:rFonts w:hint="eastAsia" w:ascii="黑体" w:hAnsi="黑体" w:eastAsia="黑体" w:cs="黑体"/>
                  <w:sz w:val="18"/>
                  <w:szCs w:val="18"/>
                </w:rPr>
                <w:t>部门预算绩效评价报告范本</w:t>
              </w:r>
            </w:sdtContent>
          </w:sdt>
          <w:r>
            <w:rPr>
              <w:rFonts w:hint="eastAsia" w:ascii="黑体" w:hAnsi="黑体" w:eastAsia="黑体" w:cs="黑体"/>
              <w:sz w:val="18"/>
              <w:szCs w:val="18"/>
            </w:rPr>
            <w:tab/>
          </w:r>
          <w:bookmarkStart w:id="23" w:name="_Toc14644_WPSOffice_Level2Page"/>
          <w:r>
            <w:rPr>
              <w:rFonts w:hint="eastAsia" w:ascii="黑体" w:hAnsi="黑体" w:eastAsia="黑体" w:cs="黑体"/>
              <w:sz w:val="18"/>
              <w:szCs w:val="18"/>
            </w:rPr>
            <w:t>20</w:t>
          </w:r>
          <w:bookmarkEnd w:id="23"/>
          <w:r>
            <w:rPr>
              <w:rFonts w:hint="eastAsia" w:ascii="黑体" w:hAnsi="黑体" w:eastAsia="黑体" w:cs="黑体"/>
              <w:sz w:val="18"/>
              <w:szCs w:val="18"/>
            </w:rPr>
            <w:fldChar w:fldCharType="end"/>
          </w:r>
        </w:p>
        <w:p w14:paraId="17205EA2">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"_Toc5541_WPSOffice_Level2"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132930078"/>
              <w:placeholder>
                <w:docPart w:val="{b75f6939-bb3e-499e-837f-0c013e99d457}"/>
              </w:placeholder>
            </w:sdtPr>
            <w:sdtEndPr>
              <w:rPr>
                <w:rFonts w:hint="eastAsia" w:ascii="黑体" w:hAnsi="黑体" w:eastAsia="黑体" w:cs="黑体"/>
                <w:sz w:val="18"/>
                <w:szCs w:val="18"/>
              </w:rPr>
            </w:sdtEndPr>
            <w:sdtContent>
              <w:r>
                <w:rPr>
                  <w:rFonts w:hint="eastAsia" w:ascii="黑体" w:hAnsi="黑体" w:eastAsia="黑体" w:cs="黑体"/>
                  <w:sz w:val="18"/>
                  <w:szCs w:val="18"/>
                </w:rPr>
                <w:t>一、部门（单位）基本情况</w:t>
              </w:r>
            </w:sdtContent>
          </w:sdt>
          <w:r>
            <w:rPr>
              <w:rFonts w:hint="eastAsia" w:ascii="黑体" w:hAnsi="黑体" w:eastAsia="黑体" w:cs="黑体"/>
              <w:sz w:val="18"/>
              <w:szCs w:val="18"/>
            </w:rPr>
            <w:tab/>
          </w:r>
          <w:bookmarkStart w:id="24" w:name="_Toc5541_WPSOffice_Level2Page"/>
          <w:r>
            <w:rPr>
              <w:rFonts w:hint="eastAsia" w:ascii="黑体" w:hAnsi="黑体" w:eastAsia="黑体" w:cs="黑体"/>
              <w:sz w:val="18"/>
              <w:szCs w:val="18"/>
            </w:rPr>
            <w:t>20</w:t>
          </w:r>
          <w:bookmarkEnd w:id="24"/>
          <w:r>
            <w:rPr>
              <w:rFonts w:hint="eastAsia" w:ascii="黑体" w:hAnsi="黑体" w:eastAsia="黑体" w:cs="黑体"/>
              <w:sz w:val="18"/>
              <w:szCs w:val="18"/>
            </w:rPr>
            <w:fldChar w:fldCharType="end"/>
          </w:r>
        </w:p>
        <w:p w14:paraId="04161ABE">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"_Toc10664_WPSOffice_Level2"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858516243"/>
              <w:placeholder>
                <w:docPart w:val="{e7330e43-a971-4491-ac1c-8387398edaa8}"/>
              </w:placeholder>
            </w:sdtPr>
            <w:sdtEndPr>
              <w:rPr>
                <w:rFonts w:hint="eastAsia" w:ascii="黑体" w:hAnsi="黑体" w:eastAsia="黑体" w:cs="黑体"/>
                <w:sz w:val="18"/>
                <w:szCs w:val="18"/>
              </w:rPr>
            </w:sdtEndPr>
            <w:sdtContent>
              <w:r>
                <w:rPr>
                  <w:rFonts w:hint="eastAsia" w:ascii="黑体" w:hAnsi="黑体" w:eastAsia="黑体" w:cs="黑体"/>
                  <w:sz w:val="18"/>
                  <w:szCs w:val="18"/>
                </w:rPr>
                <w:t>二、部门资金收支情况</w:t>
              </w:r>
            </w:sdtContent>
          </w:sdt>
          <w:r>
            <w:rPr>
              <w:rFonts w:hint="eastAsia" w:ascii="黑体" w:hAnsi="黑体" w:eastAsia="黑体" w:cs="黑体"/>
              <w:sz w:val="18"/>
              <w:szCs w:val="18"/>
            </w:rPr>
            <w:tab/>
          </w:r>
          <w:bookmarkStart w:id="25" w:name="_Toc10664_WPSOffice_Level2Page"/>
          <w:r>
            <w:rPr>
              <w:rFonts w:hint="eastAsia" w:ascii="黑体" w:hAnsi="黑体" w:eastAsia="黑体" w:cs="黑体"/>
              <w:sz w:val="18"/>
              <w:szCs w:val="18"/>
            </w:rPr>
            <w:t>22</w:t>
          </w:r>
          <w:bookmarkEnd w:id="25"/>
          <w:r>
            <w:rPr>
              <w:rFonts w:hint="eastAsia" w:ascii="黑体" w:hAnsi="黑体" w:eastAsia="黑体" w:cs="黑体"/>
              <w:sz w:val="18"/>
              <w:szCs w:val="18"/>
            </w:rPr>
            <w:fldChar w:fldCharType="end"/>
          </w:r>
        </w:p>
        <w:p w14:paraId="74A5E4B7">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"_Toc24203_WPSOffice_Level2"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989722820"/>
              <w:placeholder>
                <w:docPart w:val="{76abf21e-4c0b-4209-bd72-8604acf7b657}"/>
              </w:placeholder>
            </w:sdtPr>
            <w:sdtEndPr>
              <w:rPr>
                <w:rFonts w:hint="eastAsia" w:ascii="黑体" w:hAnsi="黑体" w:eastAsia="黑体" w:cs="黑体"/>
                <w:sz w:val="18"/>
                <w:szCs w:val="18"/>
              </w:rPr>
            </w:sdtEndPr>
            <w:sdtContent>
              <w:r>
                <w:rPr>
                  <w:rFonts w:hint="eastAsia" w:ascii="黑体" w:hAnsi="黑体" w:eastAsia="黑体" w:cs="黑体"/>
                  <w:sz w:val="18"/>
                  <w:szCs w:val="18"/>
                </w:rPr>
                <w:t>三、部门预算绩效分析</w:t>
              </w:r>
            </w:sdtContent>
          </w:sdt>
          <w:r>
            <w:rPr>
              <w:rFonts w:hint="eastAsia" w:ascii="黑体" w:hAnsi="黑体" w:eastAsia="黑体" w:cs="黑体"/>
              <w:sz w:val="18"/>
              <w:szCs w:val="18"/>
            </w:rPr>
            <w:tab/>
          </w:r>
          <w:bookmarkStart w:id="26" w:name="_Toc24203_WPSOffice_Level2Page"/>
          <w:r>
            <w:rPr>
              <w:rFonts w:hint="eastAsia" w:ascii="黑体" w:hAnsi="黑体" w:eastAsia="黑体" w:cs="黑体"/>
              <w:sz w:val="18"/>
              <w:szCs w:val="18"/>
            </w:rPr>
            <w:t>23</w:t>
          </w:r>
          <w:bookmarkEnd w:id="26"/>
          <w:r>
            <w:rPr>
              <w:rFonts w:hint="eastAsia" w:ascii="黑体" w:hAnsi="黑体" w:eastAsia="黑体" w:cs="黑体"/>
              <w:sz w:val="18"/>
              <w:szCs w:val="18"/>
            </w:rPr>
            <w:fldChar w:fldCharType="end"/>
          </w:r>
        </w:p>
        <w:p w14:paraId="50CC5C57">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"_Toc26190_WPSOffice_Level2"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109631162"/>
              <w:placeholder>
                <w:docPart w:val="{0ca6158b-f0e8-4aff-8685-a3d76f0c17c4}"/>
              </w:placeholder>
            </w:sdtPr>
            <w:sdtEndPr>
              <w:rPr>
                <w:rFonts w:hint="eastAsia" w:ascii="黑体" w:hAnsi="黑体" w:eastAsia="黑体" w:cs="黑体"/>
                <w:sz w:val="18"/>
                <w:szCs w:val="18"/>
              </w:rPr>
            </w:sdtEndPr>
            <w:sdtContent>
              <w:r>
                <w:rPr>
                  <w:rFonts w:hint="eastAsia" w:ascii="黑体" w:hAnsi="黑体" w:eastAsia="黑体" w:cs="黑体"/>
                  <w:sz w:val="18"/>
                  <w:szCs w:val="18"/>
                </w:rPr>
                <w:t>四、评价结论及建议</w:t>
              </w:r>
            </w:sdtContent>
          </w:sdt>
          <w:r>
            <w:rPr>
              <w:rFonts w:hint="eastAsia" w:ascii="黑体" w:hAnsi="黑体" w:eastAsia="黑体" w:cs="黑体"/>
              <w:sz w:val="18"/>
              <w:szCs w:val="18"/>
            </w:rPr>
            <w:tab/>
          </w:r>
          <w:bookmarkStart w:id="27" w:name="_Toc26190_WPSOffice_Level2Page"/>
          <w:r>
            <w:rPr>
              <w:rFonts w:hint="eastAsia" w:ascii="黑体" w:hAnsi="黑体" w:eastAsia="黑体" w:cs="黑体"/>
              <w:sz w:val="18"/>
              <w:szCs w:val="18"/>
            </w:rPr>
            <w:t>24</w:t>
          </w:r>
          <w:bookmarkEnd w:id="27"/>
          <w:r>
            <w:rPr>
              <w:rFonts w:hint="eastAsia" w:ascii="黑体" w:hAnsi="黑体" w:eastAsia="黑体" w:cs="黑体"/>
              <w:sz w:val="18"/>
              <w:szCs w:val="18"/>
            </w:rPr>
            <w:fldChar w:fldCharType="end"/>
          </w:r>
        </w:p>
        <w:p w14:paraId="2DEB0640">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"_Toc29082_WPSOffice_Level2"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632978734"/>
              <w:placeholder>
                <w:docPart w:val="{42623b01-7f53-419e-a75e-e50d37133a1d}"/>
              </w:placeholder>
            </w:sdtPr>
            <w:sdtEndPr>
              <w:rPr>
                <w:rFonts w:hint="eastAsia" w:ascii="黑体" w:hAnsi="黑体" w:eastAsia="黑体" w:cs="黑体"/>
                <w:sz w:val="18"/>
                <w:szCs w:val="18"/>
              </w:rPr>
            </w:sdtEndPr>
            <w:sdtContent>
              <w:r>
                <w:rPr>
                  <w:rFonts w:hint="eastAsia" w:ascii="黑体" w:hAnsi="黑体" w:eastAsia="黑体" w:cs="黑体"/>
                  <w:sz w:val="18"/>
                  <w:szCs w:val="18"/>
                </w:rPr>
                <w:t>财政评审及竣工结算审核项目202</w:t>
              </w:r>
              <w:r>
                <w:rPr>
                  <w:rFonts w:hint="eastAsia" w:ascii="黑体" w:hAnsi="黑体" w:eastAsia="黑体" w:cs="黑体"/>
                  <w:sz w:val="18"/>
                  <w:szCs w:val="18"/>
                  <w:lang w:val="en-US" w:eastAsia="zh-CN"/>
                </w:rPr>
                <w:t>5</w:t>
              </w:r>
              <w:r>
                <w:rPr>
                  <w:rFonts w:hint="eastAsia" w:ascii="黑体" w:hAnsi="黑体" w:eastAsia="黑体" w:cs="黑体"/>
                  <w:sz w:val="18"/>
                  <w:szCs w:val="18"/>
                </w:rPr>
                <w:t>年绩效评价报告</w:t>
              </w:r>
            </w:sdtContent>
          </w:sdt>
          <w:r>
            <w:rPr>
              <w:rFonts w:hint="eastAsia" w:ascii="黑体" w:hAnsi="黑体" w:eastAsia="黑体" w:cs="黑体"/>
              <w:sz w:val="18"/>
              <w:szCs w:val="18"/>
            </w:rPr>
            <w:tab/>
          </w:r>
          <w:bookmarkStart w:id="28" w:name="_Toc29082_WPSOffice_Level2Page"/>
          <w:r>
            <w:rPr>
              <w:rFonts w:hint="eastAsia" w:ascii="黑体" w:hAnsi="黑体" w:eastAsia="黑体" w:cs="黑体"/>
              <w:sz w:val="18"/>
              <w:szCs w:val="18"/>
            </w:rPr>
            <w:t>25</w:t>
          </w:r>
          <w:bookmarkEnd w:id="28"/>
          <w:r>
            <w:rPr>
              <w:rFonts w:hint="eastAsia" w:ascii="黑体" w:hAnsi="黑体" w:eastAsia="黑体" w:cs="黑体"/>
              <w:sz w:val="18"/>
              <w:szCs w:val="18"/>
            </w:rPr>
            <w:fldChar w:fldCharType="end"/>
          </w:r>
        </w:p>
        <w:p w14:paraId="39AD36CE">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"_Toc18438_WPSOffice_Level2"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905242584"/>
              <w:placeholder>
                <w:docPart w:val="{feb2c01b-119d-4cf9-b1bf-d6dc00e79c3a}"/>
              </w:placeholder>
            </w:sdtPr>
            <w:sdtEndPr>
              <w:rPr>
                <w:rFonts w:hint="eastAsia" w:ascii="黑体" w:hAnsi="黑体" w:eastAsia="黑体" w:cs="黑体"/>
                <w:sz w:val="18"/>
                <w:szCs w:val="18"/>
              </w:rPr>
            </w:sdtEndPr>
            <w:sdtContent>
              <w:r>
                <w:rPr>
                  <w:rFonts w:hint="eastAsia" w:ascii="黑体" w:hAnsi="黑体" w:eastAsia="黑体" w:cs="黑体"/>
                  <w:sz w:val="18"/>
                  <w:szCs w:val="18"/>
                </w:rPr>
                <w:t>一、项目概况</w:t>
              </w:r>
            </w:sdtContent>
          </w:sdt>
          <w:r>
            <w:rPr>
              <w:rFonts w:hint="eastAsia" w:ascii="黑体" w:hAnsi="黑体" w:eastAsia="黑体" w:cs="黑体"/>
              <w:sz w:val="18"/>
              <w:szCs w:val="18"/>
            </w:rPr>
            <w:tab/>
          </w:r>
          <w:bookmarkStart w:id="29" w:name="_Toc18438_WPSOffice_Level2Page"/>
          <w:r>
            <w:rPr>
              <w:rFonts w:hint="eastAsia" w:ascii="黑体" w:hAnsi="黑体" w:eastAsia="黑体" w:cs="黑体"/>
              <w:sz w:val="18"/>
              <w:szCs w:val="18"/>
            </w:rPr>
            <w:t>25</w:t>
          </w:r>
          <w:bookmarkEnd w:id="29"/>
          <w:r>
            <w:rPr>
              <w:rFonts w:hint="eastAsia" w:ascii="黑体" w:hAnsi="黑体" w:eastAsia="黑体" w:cs="黑体"/>
              <w:sz w:val="18"/>
              <w:szCs w:val="18"/>
            </w:rPr>
            <w:fldChar w:fldCharType="end"/>
          </w:r>
        </w:p>
        <w:p w14:paraId="271B9B0C">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"_Toc19755_WPSOffice_Level2"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143241088"/>
              <w:placeholder>
                <w:docPart w:val="{6c781d9d-d8eb-4994-a511-3528062681df}"/>
              </w:placeholder>
            </w:sdtPr>
            <w:sdtEndPr>
              <w:rPr>
                <w:rFonts w:hint="eastAsia" w:ascii="黑体" w:hAnsi="黑体" w:eastAsia="黑体" w:cs="黑体"/>
                <w:sz w:val="18"/>
                <w:szCs w:val="18"/>
              </w:rPr>
            </w:sdtEndPr>
            <w:sdtContent>
              <w:r>
                <w:rPr>
                  <w:rFonts w:hint="eastAsia" w:ascii="黑体" w:hAnsi="黑体" w:eastAsia="黑体" w:cs="黑体"/>
                  <w:sz w:val="18"/>
                  <w:szCs w:val="18"/>
                </w:rPr>
                <w:t>二、评价实施</w:t>
              </w:r>
            </w:sdtContent>
          </w:sdt>
          <w:r>
            <w:rPr>
              <w:rFonts w:hint="eastAsia" w:ascii="黑体" w:hAnsi="黑体" w:eastAsia="黑体" w:cs="黑体"/>
              <w:sz w:val="18"/>
              <w:szCs w:val="18"/>
            </w:rPr>
            <w:tab/>
          </w:r>
          <w:bookmarkStart w:id="30" w:name="_Toc19755_WPSOffice_Level2Page"/>
          <w:r>
            <w:rPr>
              <w:rFonts w:hint="eastAsia" w:ascii="黑体" w:hAnsi="黑体" w:eastAsia="黑体" w:cs="黑体"/>
              <w:sz w:val="18"/>
              <w:szCs w:val="18"/>
            </w:rPr>
            <w:t>26</w:t>
          </w:r>
          <w:bookmarkEnd w:id="30"/>
          <w:r>
            <w:rPr>
              <w:rFonts w:hint="eastAsia" w:ascii="黑体" w:hAnsi="黑体" w:eastAsia="黑体" w:cs="黑体"/>
              <w:sz w:val="18"/>
              <w:szCs w:val="18"/>
            </w:rPr>
            <w:fldChar w:fldCharType="end"/>
          </w:r>
        </w:p>
        <w:p w14:paraId="50695808">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"_Toc23542_WPSOffice_Level2"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548429380"/>
              <w:placeholder>
                <w:docPart w:val="{bf35f458-5ee0-41d6-9519-a781be368783}"/>
              </w:placeholder>
            </w:sdtPr>
            <w:sdtEndPr>
              <w:rPr>
                <w:rFonts w:hint="eastAsia" w:ascii="黑体" w:hAnsi="黑体" w:eastAsia="黑体" w:cs="黑体"/>
                <w:sz w:val="18"/>
                <w:szCs w:val="18"/>
              </w:rPr>
            </w:sdtEndPr>
            <w:sdtContent>
              <w:r>
                <w:rPr>
                  <w:rFonts w:hint="eastAsia" w:ascii="黑体" w:hAnsi="黑体" w:eastAsia="黑体" w:cs="黑体"/>
                  <w:sz w:val="18"/>
                  <w:szCs w:val="18"/>
                </w:rPr>
                <w:t>三、绩效分析</w:t>
              </w:r>
            </w:sdtContent>
          </w:sdt>
          <w:r>
            <w:rPr>
              <w:rFonts w:hint="eastAsia" w:ascii="黑体" w:hAnsi="黑体" w:eastAsia="黑体" w:cs="黑体"/>
              <w:sz w:val="18"/>
              <w:szCs w:val="18"/>
            </w:rPr>
            <w:tab/>
          </w:r>
          <w:bookmarkStart w:id="31" w:name="_Toc23542_WPSOffice_Level2Page"/>
          <w:r>
            <w:rPr>
              <w:rFonts w:hint="eastAsia" w:ascii="黑体" w:hAnsi="黑体" w:eastAsia="黑体" w:cs="黑体"/>
              <w:sz w:val="18"/>
              <w:szCs w:val="18"/>
            </w:rPr>
            <w:t>26</w:t>
          </w:r>
          <w:bookmarkEnd w:id="31"/>
          <w:r>
            <w:rPr>
              <w:rFonts w:hint="eastAsia" w:ascii="黑体" w:hAnsi="黑体" w:eastAsia="黑体" w:cs="黑体"/>
              <w:sz w:val="18"/>
              <w:szCs w:val="18"/>
            </w:rPr>
            <w:fldChar w:fldCharType="end"/>
          </w:r>
        </w:p>
        <w:p w14:paraId="46B03E80">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"_Toc28308_WPSOffice_Level2"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185932165"/>
              <w:placeholder>
                <w:docPart w:val="{3589a1b0-f3d3-4ead-a14e-adb965d3f090}"/>
              </w:placeholder>
            </w:sdtPr>
            <w:sdtEndPr>
              <w:rPr>
                <w:rFonts w:hint="eastAsia" w:ascii="黑体" w:hAnsi="黑体" w:eastAsia="黑体" w:cs="黑体"/>
                <w:sz w:val="18"/>
                <w:szCs w:val="18"/>
              </w:rPr>
            </w:sdtEndPr>
            <w:sdtContent>
              <w:r>
                <w:rPr>
                  <w:rFonts w:hint="eastAsia" w:ascii="黑体" w:hAnsi="黑体" w:eastAsia="黑体" w:cs="黑体"/>
                  <w:sz w:val="18"/>
                  <w:szCs w:val="18"/>
                </w:rPr>
                <w:t>四、评价结论</w:t>
              </w:r>
            </w:sdtContent>
          </w:sdt>
          <w:r>
            <w:rPr>
              <w:rFonts w:hint="eastAsia" w:ascii="黑体" w:hAnsi="黑体" w:eastAsia="黑体" w:cs="黑体"/>
              <w:sz w:val="18"/>
              <w:szCs w:val="18"/>
            </w:rPr>
            <w:tab/>
          </w:r>
          <w:bookmarkStart w:id="32" w:name="_Toc28308_WPSOffice_Level2Page"/>
          <w:r>
            <w:rPr>
              <w:rFonts w:hint="eastAsia" w:ascii="黑体" w:hAnsi="黑体" w:eastAsia="黑体" w:cs="黑体"/>
              <w:sz w:val="18"/>
              <w:szCs w:val="18"/>
            </w:rPr>
            <w:t>27</w:t>
          </w:r>
          <w:bookmarkEnd w:id="32"/>
          <w:r>
            <w:rPr>
              <w:rFonts w:hint="eastAsia" w:ascii="黑体" w:hAnsi="黑体" w:eastAsia="黑体" w:cs="黑体"/>
              <w:sz w:val="18"/>
              <w:szCs w:val="18"/>
            </w:rPr>
            <w:fldChar w:fldCharType="end"/>
          </w:r>
        </w:p>
        <w:p w14:paraId="40802F7B">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"_Toc27819_WPSOffice_Level2"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890902588"/>
              <w:placeholder>
                <w:docPart w:val="{1af43730-67bb-4ec3-bb96-c96d268dc0e5}"/>
              </w:placeholder>
            </w:sdtPr>
            <w:sdtEndPr>
              <w:rPr>
                <w:rFonts w:hint="eastAsia" w:ascii="黑体" w:hAnsi="黑体" w:eastAsia="黑体" w:cs="黑体"/>
                <w:sz w:val="18"/>
                <w:szCs w:val="18"/>
              </w:rPr>
            </w:sdtEndPr>
            <w:sdtContent>
              <w:r>
                <w:rPr>
                  <w:rFonts w:hint="eastAsia" w:ascii="黑体" w:hAnsi="黑体" w:eastAsia="黑体" w:cs="黑体"/>
                  <w:sz w:val="18"/>
                  <w:szCs w:val="18"/>
                </w:rPr>
                <w:t>五、存在主要问题</w:t>
              </w:r>
            </w:sdtContent>
          </w:sdt>
          <w:r>
            <w:rPr>
              <w:rFonts w:hint="eastAsia" w:ascii="黑体" w:hAnsi="黑体" w:eastAsia="黑体" w:cs="黑体"/>
              <w:sz w:val="18"/>
              <w:szCs w:val="18"/>
            </w:rPr>
            <w:tab/>
          </w:r>
          <w:bookmarkStart w:id="33" w:name="_Toc27819_WPSOffice_Level2Page"/>
          <w:r>
            <w:rPr>
              <w:rFonts w:hint="eastAsia" w:ascii="黑体" w:hAnsi="黑体" w:eastAsia="黑体" w:cs="黑体"/>
              <w:sz w:val="18"/>
              <w:szCs w:val="18"/>
            </w:rPr>
            <w:t>27</w:t>
          </w:r>
          <w:bookmarkEnd w:id="33"/>
          <w:r>
            <w:rPr>
              <w:rFonts w:hint="eastAsia" w:ascii="黑体" w:hAnsi="黑体" w:eastAsia="黑体" w:cs="黑体"/>
              <w:sz w:val="18"/>
              <w:szCs w:val="18"/>
            </w:rPr>
            <w:fldChar w:fldCharType="end"/>
          </w:r>
        </w:p>
        <w:p w14:paraId="7C7F8D74">
          <w:pPr>
            <w:pStyle w:val="39"/>
            <w:tabs>
              <w:tab w:val="right" w:leader="dot" w:pos="8306"/>
            </w:tabs>
            <w:ind w:left="420"/>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"_Toc14278_WPSOffice_Level2"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737668665"/>
              <w:placeholder>
                <w:docPart w:val="{29b7d617-84fa-4a99-9785-483f48dad4d9}"/>
              </w:placeholder>
            </w:sdtPr>
            <w:sdtEndPr>
              <w:rPr>
                <w:rFonts w:hint="eastAsia" w:ascii="黑体" w:hAnsi="黑体" w:eastAsia="黑体" w:cs="黑体"/>
                <w:sz w:val="18"/>
                <w:szCs w:val="18"/>
              </w:rPr>
            </w:sdtEndPr>
            <w:sdtContent>
              <w:r>
                <w:rPr>
                  <w:rFonts w:hint="eastAsia" w:ascii="黑体" w:hAnsi="黑体" w:eastAsia="黑体" w:cs="黑体"/>
                  <w:sz w:val="18"/>
                  <w:szCs w:val="18"/>
                </w:rPr>
                <w:t>六、改进建议</w:t>
              </w:r>
            </w:sdtContent>
          </w:sdt>
          <w:r>
            <w:rPr>
              <w:rFonts w:hint="eastAsia" w:ascii="黑体" w:hAnsi="黑体" w:eastAsia="黑体" w:cs="黑体"/>
              <w:sz w:val="18"/>
              <w:szCs w:val="18"/>
            </w:rPr>
            <w:tab/>
          </w:r>
          <w:bookmarkStart w:id="34" w:name="_Toc14278_WPSOffice_Level2Page"/>
          <w:r>
            <w:rPr>
              <w:rFonts w:hint="eastAsia" w:ascii="黑体" w:hAnsi="黑体" w:eastAsia="黑体" w:cs="黑体"/>
              <w:sz w:val="18"/>
              <w:szCs w:val="18"/>
            </w:rPr>
            <w:t>2</w:t>
          </w:r>
          <w:bookmarkEnd w:id="34"/>
          <w:r>
            <w:rPr>
              <w:rFonts w:hint="eastAsia" w:ascii="黑体" w:hAnsi="黑体" w:eastAsia="黑体" w:cs="黑体"/>
              <w:sz w:val="18"/>
              <w:szCs w:val="18"/>
              <w:lang w:val="en-US" w:eastAsia="zh-CN"/>
            </w:rPr>
            <w:t>7</w:t>
          </w:r>
          <w:r>
            <w:rPr>
              <w:rFonts w:hint="eastAsia" w:ascii="黑体" w:hAnsi="黑体" w:eastAsia="黑体" w:cs="黑体"/>
              <w:sz w:val="18"/>
              <w:szCs w:val="18"/>
            </w:rPr>
            <w:fldChar w:fldCharType="end"/>
          </w:r>
        </w:p>
        <w:p w14:paraId="61DE7FFC">
          <w:pPr>
            <w:pStyle w:val="38"/>
            <w:tabs>
              <w:tab w:val="right" w:leader="dot" w:pos="8306"/>
            </w:tabs>
          </w:pPr>
          <w:r>
            <w:fldChar w:fldCharType="begin"/>
          </w:r>
          <w:r>
            <w:instrText xml:space="preserve"> HYPERLINK \l "_Toc21711_WPSOffice_Level1" </w:instrText>
          </w:r>
          <w:r>
            <w:fldChar w:fldCharType="separate"/>
          </w:r>
          <w:sdt>
            <w:sdtPr>
              <w:rPr>
                <w:b/>
                <w:bCs/>
                <w:kern w:val="2"/>
                <w:sz w:val="21"/>
                <w:szCs w:val="24"/>
              </w:rPr>
              <w:id w:val="1715930672"/>
              <w:placeholder>
                <w:docPart w:val="{0d37d432-9a12-4f3d-a3e2-98cf0e983293}"/>
              </w:placeholder>
            </w:sdtPr>
            <w:sdtEndPr>
              <w:rPr>
                <w:b/>
                <w:bCs/>
                <w:kern w:val="2"/>
                <w:sz w:val="21"/>
                <w:szCs w:val="24"/>
              </w:rPr>
            </w:sdtEndPr>
            <w:sdtContent>
              <w:r>
                <w:rPr>
                  <w:rFonts w:hint="eastAsia" w:ascii="黑体" w:hAnsi="黑体" w:eastAsia="黑体"/>
                  <w:b/>
                  <w:bCs/>
                </w:rPr>
                <w:t>第五部分 附表</w:t>
              </w:r>
            </w:sdtContent>
          </w:sdt>
          <w:r>
            <w:rPr>
              <w:b/>
              <w:bCs/>
            </w:rPr>
            <w:tab/>
          </w:r>
          <w:bookmarkStart w:id="35" w:name="_Toc21711_WPSOffice_Level1Page"/>
          <w:r>
            <w:rPr>
              <w:b/>
              <w:bCs/>
            </w:rPr>
            <w:t>28</w:t>
          </w:r>
          <w:bookmarkEnd w:id="35"/>
          <w:r>
            <w:rPr>
              <w:b/>
              <w:bCs/>
            </w:rPr>
            <w:fldChar w:fldCharType="end"/>
          </w:r>
        </w:p>
        <w:p w14:paraId="3EE619F7">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"_Toc4292_WPSOffice_Level2"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751996171"/>
              <w:placeholder>
                <w:docPart w:val="{354b0d0d-7b8c-4eae-8916-dd14ab549445}"/>
              </w:placeholder>
            </w:sdtPr>
            <w:sdtEndPr>
              <w:rPr>
                <w:rFonts w:hint="eastAsia" w:ascii="黑体" w:hAnsi="黑体" w:eastAsia="黑体" w:cs="黑体"/>
                <w:sz w:val="18"/>
                <w:szCs w:val="18"/>
              </w:rPr>
            </w:sdtEndPr>
            <w:sdtContent>
              <w:r>
                <w:rPr>
                  <w:rFonts w:hint="eastAsia" w:ascii="黑体" w:hAnsi="黑体" w:eastAsia="黑体" w:cs="黑体"/>
                  <w:sz w:val="18"/>
                  <w:szCs w:val="18"/>
                </w:rPr>
                <w:t>一、收入支出决算总表</w:t>
              </w:r>
            </w:sdtContent>
          </w:sdt>
          <w:r>
            <w:rPr>
              <w:rFonts w:hint="eastAsia" w:ascii="黑体" w:hAnsi="黑体" w:eastAsia="黑体" w:cs="黑体"/>
              <w:sz w:val="18"/>
              <w:szCs w:val="18"/>
            </w:rPr>
            <w:tab/>
          </w:r>
          <w:bookmarkStart w:id="36" w:name="_Toc4292_WPSOffice_Level2Page"/>
          <w:r>
            <w:rPr>
              <w:rFonts w:hint="eastAsia" w:ascii="黑体" w:hAnsi="黑体" w:eastAsia="黑体" w:cs="黑体"/>
              <w:sz w:val="18"/>
              <w:szCs w:val="18"/>
            </w:rPr>
            <w:t>28</w:t>
          </w:r>
          <w:bookmarkEnd w:id="36"/>
          <w:r>
            <w:rPr>
              <w:rFonts w:hint="eastAsia" w:ascii="黑体" w:hAnsi="黑体" w:eastAsia="黑体" w:cs="黑体"/>
              <w:sz w:val="18"/>
              <w:szCs w:val="18"/>
            </w:rPr>
            <w:fldChar w:fldCharType="end"/>
          </w:r>
        </w:p>
        <w:p w14:paraId="5EE65C5B">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"_Toc30602_WPSOffice_Level2"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349925393"/>
              <w:placeholder>
                <w:docPart w:val="{74627df1-03b0-4b4d-9965-177409b9902f}"/>
              </w:placeholder>
            </w:sdtPr>
            <w:sdtEndPr>
              <w:rPr>
                <w:rFonts w:hint="eastAsia" w:ascii="黑体" w:hAnsi="黑体" w:eastAsia="黑体" w:cs="黑体"/>
                <w:sz w:val="18"/>
                <w:szCs w:val="18"/>
              </w:rPr>
            </w:sdtEndPr>
            <w:sdtContent>
              <w:r>
                <w:rPr>
                  <w:rFonts w:hint="eastAsia" w:ascii="黑体" w:hAnsi="黑体" w:eastAsia="黑体" w:cs="黑体"/>
                  <w:sz w:val="18"/>
                  <w:szCs w:val="18"/>
                </w:rPr>
                <w:t>二、收入决算表</w:t>
              </w:r>
            </w:sdtContent>
          </w:sdt>
          <w:r>
            <w:rPr>
              <w:rFonts w:hint="eastAsia" w:ascii="黑体" w:hAnsi="黑体" w:eastAsia="黑体" w:cs="黑体"/>
              <w:sz w:val="18"/>
              <w:szCs w:val="18"/>
            </w:rPr>
            <w:tab/>
          </w:r>
          <w:bookmarkStart w:id="37" w:name="_Toc30602_WPSOffice_Level2Page"/>
          <w:r>
            <w:rPr>
              <w:rFonts w:hint="eastAsia" w:ascii="黑体" w:hAnsi="黑体" w:eastAsia="黑体" w:cs="黑体"/>
              <w:sz w:val="18"/>
              <w:szCs w:val="18"/>
            </w:rPr>
            <w:t>28</w:t>
          </w:r>
          <w:bookmarkEnd w:id="37"/>
          <w:r>
            <w:rPr>
              <w:rFonts w:hint="eastAsia" w:ascii="黑体" w:hAnsi="黑体" w:eastAsia="黑体" w:cs="黑体"/>
              <w:sz w:val="18"/>
              <w:szCs w:val="18"/>
            </w:rPr>
            <w:fldChar w:fldCharType="end"/>
          </w:r>
        </w:p>
        <w:p w14:paraId="5C5C9FBA">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"_Toc19435_WPSOffice_Level2"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662536830"/>
              <w:placeholder>
                <w:docPart w:val="{d40136ef-f3d2-497b-9561-4e4f9b576264}"/>
              </w:placeholder>
            </w:sdtPr>
            <w:sdtEndPr>
              <w:rPr>
                <w:rFonts w:hint="eastAsia" w:ascii="黑体" w:hAnsi="黑体" w:eastAsia="黑体" w:cs="黑体"/>
                <w:sz w:val="18"/>
                <w:szCs w:val="18"/>
              </w:rPr>
            </w:sdtEndPr>
            <w:sdtContent>
              <w:r>
                <w:rPr>
                  <w:rFonts w:hint="eastAsia" w:ascii="黑体" w:hAnsi="黑体" w:eastAsia="黑体" w:cs="黑体"/>
                  <w:sz w:val="18"/>
                  <w:szCs w:val="18"/>
                </w:rPr>
                <w:t>三、支出决算表</w:t>
              </w:r>
            </w:sdtContent>
          </w:sdt>
          <w:r>
            <w:rPr>
              <w:rFonts w:hint="eastAsia" w:ascii="黑体" w:hAnsi="黑体" w:eastAsia="黑体" w:cs="黑体"/>
              <w:sz w:val="18"/>
              <w:szCs w:val="18"/>
            </w:rPr>
            <w:tab/>
          </w:r>
          <w:bookmarkStart w:id="38" w:name="_Toc19435_WPSOffice_Level2Page"/>
          <w:r>
            <w:rPr>
              <w:rFonts w:hint="eastAsia" w:ascii="黑体" w:hAnsi="黑体" w:eastAsia="黑体" w:cs="黑体"/>
              <w:sz w:val="18"/>
              <w:szCs w:val="18"/>
            </w:rPr>
            <w:t>28</w:t>
          </w:r>
          <w:bookmarkEnd w:id="38"/>
          <w:r>
            <w:rPr>
              <w:rFonts w:hint="eastAsia" w:ascii="黑体" w:hAnsi="黑体" w:eastAsia="黑体" w:cs="黑体"/>
              <w:sz w:val="18"/>
              <w:szCs w:val="18"/>
            </w:rPr>
            <w:fldChar w:fldCharType="end"/>
          </w:r>
        </w:p>
        <w:p w14:paraId="1FB3952E">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"_Toc23260_WPSOffice_Level2"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614341209"/>
              <w:placeholder>
                <w:docPart w:val="{bdcecc33-d0ef-4de9-9bc1-b25673aaa94a}"/>
              </w:placeholder>
            </w:sdtPr>
            <w:sdtEndPr>
              <w:rPr>
                <w:rFonts w:hint="eastAsia" w:ascii="黑体" w:hAnsi="黑体" w:eastAsia="黑体" w:cs="黑体"/>
                <w:sz w:val="18"/>
                <w:szCs w:val="18"/>
              </w:rPr>
            </w:sdtEndPr>
            <w:sdtContent>
              <w:r>
                <w:rPr>
                  <w:rFonts w:hint="eastAsia" w:ascii="黑体" w:hAnsi="黑体" w:eastAsia="黑体" w:cs="黑体"/>
                  <w:sz w:val="18"/>
                  <w:szCs w:val="18"/>
                </w:rPr>
                <w:t>四、财政拨款收入支出决算总表</w:t>
              </w:r>
            </w:sdtContent>
          </w:sdt>
          <w:r>
            <w:rPr>
              <w:rFonts w:hint="eastAsia" w:ascii="黑体" w:hAnsi="黑体" w:eastAsia="黑体" w:cs="黑体"/>
              <w:sz w:val="18"/>
              <w:szCs w:val="18"/>
            </w:rPr>
            <w:tab/>
          </w:r>
          <w:bookmarkStart w:id="39" w:name="_Toc23260_WPSOffice_Level2Page"/>
          <w:r>
            <w:rPr>
              <w:rFonts w:hint="eastAsia" w:ascii="黑体" w:hAnsi="黑体" w:eastAsia="黑体" w:cs="黑体"/>
              <w:sz w:val="18"/>
              <w:szCs w:val="18"/>
            </w:rPr>
            <w:t>28</w:t>
          </w:r>
          <w:bookmarkEnd w:id="39"/>
          <w:r>
            <w:rPr>
              <w:rFonts w:hint="eastAsia" w:ascii="黑体" w:hAnsi="黑体" w:eastAsia="黑体" w:cs="黑体"/>
              <w:sz w:val="18"/>
              <w:szCs w:val="18"/>
            </w:rPr>
            <w:fldChar w:fldCharType="end"/>
          </w:r>
        </w:p>
        <w:p w14:paraId="0AE75767">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"_Toc22333_WPSOffice_Level2"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593757342"/>
              <w:placeholder>
                <w:docPart w:val="{c35eb6f1-b1a7-4f5b-8407-219768abc579}"/>
              </w:placeholder>
            </w:sdtPr>
            <w:sdtEndPr>
              <w:rPr>
                <w:rFonts w:hint="eastAsia" w:ascii="黑体" w:hAnsi="黑体" w:eastAsia="黑体" w:cs="黑体"/>
                <w:sz w:val="18"/>
                <w:szCs w:val="18"/>
              </w:rPr>
            </w:sdtEndPr>
            <w:sdtContent>
              <w:r>
                <w:rPr>
                  <w:rFonts w:hint="eastAsia" w:ascii="黑体" w:hAnsi="黑体" w:eastAsia="黑体" w:cs="黑体"/>
                  <w:sz w:val="18"/>
                  <w:szCs w:val="18"/>
                </w:rPr>
                <w:t>五、财政拨款支出决算明细表</w:t>
              </w:r>
            </w:sdtContent>
          </w:sdt>
          <w:r>
            <w:rPr>
              <w:rFonts w:hint="eastAsia" w:ascii="黑体" w:hAnsi="黑体" w:eastAsia="黑体" w:cs="黑体"/>
              <w:sz w:val="18"/>
              <w:szCs w:val="18"/>
            </w:rPr>
            <w:tab/>
          </w:r>
          <w:bookmarkStart w:id="40" w:name="_Toc22333_WPSOffice_Level2Page"/>
          <w:r>
            <w:rPr>
              <w:rFonts w:hint="eastAsia" w:ascii="黑体" w:hAnsi="黑体" w:eastAsia="黑体" w:cs="黑体"/>
              <w:sz w:val="18"/>
              <w:szCs w:val="18"/>
            </w:rPr>
            <w:t>28</w:t>
          </w:r>
          <w:bookmarkEnd w:id="40"/>
          <w:r>
            <w:rPr>
              <w:rFonts w:hint="eastAsia" w:ascii="黑体" w:hAnsi="黑体" w:eastAsia="黑体" w:cs="黑体"/>
              <w:sz w:val="18"/>
              <w:szCs w:val="18"/>
            </w:rPr>
            <w:fldChar w:fldCharType="end"/>
          </w:r>
        </w:p>
        <w:p w14:paraId="4E28173E">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"_Toc15923_WPSOffice_Level2"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1700205622"/>
              <w:placeholder>
                <w:docPart w:val="{ec39a9ed-0207-4943-bad8-68f6454f9f80}"/>
              </w:placeholder>
            </w:sdtPr>
            <w:sdtEndPr>
              <w:rPr>
                <w:rFonts w:hint="eastAsia" w:ascii="黑体" w:hAnsi="黑体" w:eastAsia="黑体" w:cs="黑体"/>
                <w:sz w:val="18"/>
                <w:szCs w:val="18"/>
              </w:rPr>
            </w:sdtEndPr>
            <w:sdtContent>
              <w:r>
                <w:rPr>
                  <w:rFonts w:hint="eastAsia" w:ascii="黑体" w:hAnsi="黑体" w:eastAsia="黑体" w:cs="黑体"/>
                  <w:sz w:val="18"/>
                  <w:szCs w:val="18"/>
                </w:rPr>
                <w:t>六、一般公共预算财政拨款支出决算表</w:t>
              </w:r>
            </w:sdtContent>
          </w:sdt>
          <w:r>
            <w:rPr>
              <w:rFonts w:hint="eastAsia" w:ascii="黑体" w:hAnsi="黑体" w:eastAsia="黑体" w:cs="黑体"/>
              <w:sz w:val="18"/>
              <w:szCs w:val="18"/>
            </w:rPr>
            <w:tab/>
          </w:r>
          <w:bookmarkStart w:id="41" w:name="_Toc15923_WPSOffice_Level2Page"/>
          <w:r>
            <w:rPr>
              <w:rFonts w:hint="eastAsia" w:ascii="黑体" w:hAnsi="黑体" w:eastAsia="黑体" w:cs="黑体"/>
              <w:sz w:val="18"/>
              <w:szCs w:val="18"/>
            </w:rPr>
            <w:t>28</w:t>
          </w:r>
          <w:bookmarkEnd w:id="41"/>
          <w:r>
            <w:rPr>
              <w:rFonts w:hint="eastAsia" w:ascii="黑体" w:hAnsi="黑体" w:eastAsia="黑体" w:cs="黑体"/>
              <w:sz w:val="18"/>
              <w:szCs w:val="18"/>
            </w:rPr>
            <w:fldChar w:fldCharType="end"/>
          </w:r>
        </w:p>
        <w:p w14:paraId="5E3397DF">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"_Toc11762_WPSOffice_Level2"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443274545"/>
              <w:placeholder>
                <w:docPart w:val="{e334567f-123c-48dc-8c37-8859d3734aee}"/>
              </w:placeholder>
            </w:sdtPr>
            <w:sdtEndPr>
              <w:rPr>
                <w:rFonts w:hint="eastAsia" w:ascii="黑体" w:hAnsi="黑体" w:eastAsia="黑体" w:cs="黑体"/>
                <w:sz w:val="18"/>
                <w:szCs w:val="18"/>
              </w:rPr>
            </w:sdtEndPr>
            <w:sdtContent>
              <w:r>
                <w:rPr>
                  <w:rFonts w:hint="eastAsia" w:ascii="黑体" w:hAnsi="黑体" w:eastAsia="黑体" w:cs="黑体"/>
                  <w:sz w:val="18"/>
                  <w:szCs w:val="18"/>
                </w:rPr>
                <w:t>七、一般公共预算财政拨款支出决算明细表</w:t>
              </w:r>
            </w:sdtContent>
          </w:sdt>
          <w:r>
            <w:rPr>
              <w:rFonts w:hint="eastAsia" w:ascii="黑体" w:hAnsi="黑体" w:eastAsia="黑体" w:cs="黑体"/>
              <w:sz w:val="18"/>
              <w:szCs w:val="18"/>
            </w:rPr>
            <w:tab/>
          </w:r>
          <w:bookmarkStart w:id="42" w:name="_Toc11762_WPSOffice_Level2Page"/>
          <w:r>
            <w:rPr>
              <w:rFonts w:hint="eastAsia" w:ascii="黑体" w:hAnsi="黑体" w:eastAsia="黑体" w:cs="黑体"/>
              <w:sz w:val="18"/>
              <w:szCs w:val="18"/>
            </w:rPr>
            <w:t>28</w:t>
          </w:r>
          <w:bookmarkEnd w:id="42"/>
          <w:r>
            <w:rPr>
              <w:rFonts w:hint="eastAsia" w:ascii="黑体" w:hAnsi="黑体" w:eastAsia="黑体" w:cs="黑体"/>
              <w:sz w:val="18"/>
              <w:szCs w:val="18"/>
            </w:rPr>
            <w:fldChar w:fldCharType="end"/>
          </w:r>
        </w:p>
        <w:p w14:paraId="701C7304">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"_Toc1531_WPSOffice_Level2"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1550654307"/>
              <w:placeholder>
                <w:docPart w:val="{104b4261-6eda-43ea-90a9-effb8d646e49}"/>
              </w:placeholder>
            </w:sdtPr>
            <w:sdtEndPr>
              <w:rPr>
                <w:rFonts w:hint="eastAsia" w:ascii="黑体" w:hAnsi="黑体" w:eastAsia="黑体" w:cs="黑体"/>
                <w:sz w:val="18"/>
                <w:szCs w:val="18"/>
              </w:rPr>
            </w:sdtEndPr>
            <w:sdtContent>
              <w:r>
                <w:rPr>
                  <w:rFonts w:hint="eastAsia" w:ascii="黑体" w:hAnsi="黑体" w:eastAsia="黑体" w:cs="黑体"/>
                  <w:sz w:val="18"/>
                  <w:szCs w:val="18"/>
                </w:rPr>
                <w:t>八、一般公共预算财政拨款基本支出决算表</w:t>
              </w:r>
            </w:sdtContent>
          </w:sdt>
          <w:r>
            <w:rPr>
              <w:rFonts w:hint="eastAsia" w:ascii="黑体" w:hAnsi="黑体" w:eastAsia="黑体" w:cs="黑体"/>
              <w:sz w:val="18"/>
              <w:szCs w:val="18"/>
            </w:rPr>
            <w:tab/>
          </w:r>
          <w:bookmarkStart w:id="43" w:name="_Toc1531_WPSOffice_Level2Page"/>
          <w:r>
            <w:rPr>
              <w:rFonts w:hint="eastAsia" w:ascii="黑体" w:hAnsi="黑体" w:eastAsia="黑体" w:cs="黑体"/>
              <w:sz w:val="18"/>
              <w:szCs w:val="18"/>
            </w:rPr>
            <w:t>28</w:t>
          </w:r>
          <w:bookmarkEnd w:id="43"/>
          <w:r>
            <w:rPr>
              <w:rFonts w:hint="eastAsia" w:ascii="黑体" w:hAnsi="黑体" w:eastAsia="黑体" w:cs="黑体"/>
              <w:sz w:val="18"/>
              <w:szCs w:val="18"/>
            </w:rPr>
            <w:fldChar w:fldCharType="end"/>
          </w:r>
        </w:p>
        <w:p w14:paraId="611AC165">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"_Toc2177_WPSOffice_Level2"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90471911"/>
              <w:placeholder>
                <w:docPart w:val="{c6ec430e-a3ec-43eb-89a2-450716508da9}"/>
              </w:placeholder>
            </w:sdtPr>
            <w:sdtEndPr>
              <w:rPr>
                <w:rFonts w:hint="eastAsia" w:ascii="黑体" w:hAnsi="黑体" w:eastAsia="黑体" w:cs="黑体"/>
                <w:sz w:val="18"/>
                <w:szCs w:val="18"/>
              </w:rPr>
            </w:sdtEndPr>
            <w:sdtContent>
              <w:r>
                <w:rPr>
                  <w:rFonts w:hint="eastAsia" w:ascii="黑体" w:hAnsi="黑体" w:eastAsia="黑体" w:cs="黑体"/>
                  <w:sz w:val="18"/>
                  <w:szCs w:val="18"/>
                </w:rPr>
                <w:t>九、一般公共预算财政拨款项目支出决算表</w:t>
              </w:r>
            </w:sdtContent>
          </w:sdt>
          <w:r>
            <w:rPr>
              <w:rFonts w:hint="eastAsia" w:ascii="黑体" w:hAnsi="黑体" w:eastAsia="黑体" w:cs="黑体"/>
              <w:sz w:val="18"/>
              <w:szCs w:val="18"/>
            </w:rPr>
            <w:tab/>
          </w:r>
          <w:bookmarkStart w:id="44" w:name="_Toc2177_WPSOffice_Level2Page"/>
          <w:r>
            <w:rPr>
              <w:rFonts w:hint="eastAsia" w:ascii="黑体" w:hAnsi="黑体" w:eastAsia="黑体" w:cs="黑体"/>
              <w:sz w:val="18"/>
              <w:szCs w:val="18"/>
            </w:rPr>
            <w:t>28</w:t>
          </w:r>
          <w:bookmarkEnd w:id="44"/>
          <w:r>
            <w:rPr>
              <w:rFonts w:hint="eastAsia" w:ascii="黑体" w:hAnsi="黑体" w:eastAsia="黑体" w:cs="黑体"/>
              <w:sz w:val="18"/>
              <w:szCs w:val="18"/>
            </w:rPr>
            <w:fldChar w:fldCharType="end"/>
          </w:r>
        </w:p>
        <w:p w14:paraId="1FE4096E">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"_Toc8126_WPSOffice_Level2"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1521737957"/>
              <w:placeholder>
                <w:docPart w:val="{04b43c73-bd62-411d-98b6-84b95f525815}"/>
              </w:placeholder>
            </w:sdtPr>
            <w:sdtEndPr>
              <w:rPr>
                <w:rFonts w:hint="eastAsia" w:ascii="黑体" w:hAnsi="黑体" w:eastAsia="黑体" w:cs="黑体"/>
                <w:sz w:val="18"/>
                <w:szCs w:val="18"/>
              </w:rPr>
            </w:sdtEndPr>
            <w:sdtContent>
              <w:r>
                <w:rPr>
                  <w:rFonts w:hint="eastAsia" w:ascii="黑体" w:hAnsi="黑体" w:eastAsia="黑体" w:cs="黑体"/>
                  <w:sz w:val="18"/>
                  <w:szCs w:val="18"/>
                </w:rPr>
                <w:t>十、政府性基金预算财政拨款收入支出决算表</w:t>
              </w:r>
            </w:sdtContent>
          </w:sdt>
          <w:r>
            <w:rPr>
              <w:rFonts w:hint="eastAsia" w:ascii="黑体" w:hAnsi="黑体" w:eastAsia="黑体" w:cs="黑体"/>
              <w:sz w:val="18"/>
              <w:szCs w:val="18"/>
            </w:rPr>
            <w:tab/>
          </w:r>
          <w:bookmarkStart w:id="45" w:name="_Toc8126_WPSOffice_Level2Page"/>
          <w:r>
            <w:rPr>
              <w:rFonts w:hint="eastAsia" w:ascii="黑体" w:hAnsi="黑体" w:eastAsia="黑体" w:cs="黑体"/>
              <w:sz w:val="18"/>
              <w:szCs w:val="18"/>
            </w:rPr>
            <w:t>28</w:t>
          </w:r>
          <w:bookmarkEnd w:id="45"/>
          <w:r>
            <w:rPr>
              <w:rFonts w:hint="eastAsia" w:ascii="黑体" w:hAnsi="黑体" w:eastAsia="黑体" w:cs="黑体"/>
              <w:sz w:val="18"/>
              <w:szCs w:val="18"/>
            </w:rPr>
            <w:fldChar w:fldCharType="end"/>
          </w:r>
        </w:p>
        <w:p w14:paraId="55BC3BF6">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"_Toc392_WPSOffice_Level2"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496315046"/>
              <w:placeholder>
                <w:docPart w:val="{3fc6ab24-668a-47f1-b325-f22fbf9bf29a}"/>
              </w:placeholder>
            </w:sdtPr>
            <w:sdtEndPr>
              <w:rPr>
                <w:rFonts w:hint="eastAsia" w:ascii="黑体" w:hAnsi="黑体" w:eastAsia="黑体" w:cs="黑体"/>
                <w:sz w:val="18"/>
                <w:szCs w:val="18"/>
              </w:rPr>
            </w:sdtEndPr>
            <w:sdtContent>
              <w:r>
                <w:rPr>
                  <w:rFonts w:hint="eastAsia" w:ascii="黑体" w:hAnsi="黑体" w:eastAsia="黑体" w:cs="黑体"/>
                  <w:sz w:val="18"/>
                  <w:szCs w:val="18"/>
                </w:rPr>
                <w:t>十一、国有资本经营预算财政拨款收入支出决算表</w:t>
              </w:r>
            </w:sdtContent>
          </w:sdt>
          <w:r>
            <w:rPr>
              <w:rFonts w:hint="eastAsia" w:ascii="黑体" w:hAnsi="黑体" w:eastAsia="黑体" w:cs="黑体"/>
              <w:sz w:val="18"/>
              <w:szCs w:val="18"/>
            </w:rPr>
            <w:tab/>
          </w:r>
          <w:bookmarkStart w:id="46" w:name="_Toc392_WPSOffice_Level2Page"/>
          <w:r>
            <w:rPr>
              <w:rFonts w:hint="eastAsia" w:ascii="黑体" w:hAnsi="黑体" w:eastAsia="黑体" w:cs="黑体"/>
              <w:sz w:val="18"/>
              <w:szCs w:val="18"/>
            </w:rPr>
            <w:t>28</w:t>
          </w:r>
          <w:bookmarkEnd w:id="46"/>
          <w:r>
            <w:rPr>
              <w:rFonts w:hint="eastAsia" w:ascii="黑体" w:hAnsi="黑体" w:eastAsia="黑体" w:cs="黑体"/>
              <w:sz w:val="18"/>
              <w:szCs w:val="18"/>
            </w:rPr>
            <w:fldChar w:fldCharType="end"/>
          </w:r>
        </w:p>
        <w:p w14:paraId="636E03A6">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"_Toc6620_WPSOffice_Level2"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1669681279"/>
              <w:placeholder>
                <w:docPart w:val="{202838c8-37a2-4297-a740-4a0cfe88942c}"/>
              </w:placeholder>
            </w:sdtPr>
            <w:sdtEndPr>
              <w:rPr>
                <w:rFonts w:hint="eastAsia" w:ascii="黑体" w:hAnsi="黑体" w:eastAsia="黑体" w:cs="黑体"/>
                <w:sz w:val="18"/>
                <w:szCs w:val="18"/>
              </w:rPr>
            </w:sdtEndPr>
            <w:sdtContent>
              <w:r>
                <w:rPr>
                  <w:rFonts w:hint="eastAsia" w:ascii="黑体" w:hAnsi="黑体" w:eastAsia="黑体" w:cs="黑体"/>
                  <w:sz w:val="18"/>
                  <w:szCs w:val="18"/>
                </w:rPr>
                <w:t>十二、国有资本经营预算财政拨款支出决算表</w:t>
              </w:r>
            </w:sdtContent>
          </w:sdt>
          <w:r>
            <w:rPr>
              <w:rFonts w:hint="eastAsia" w:ascii="黑体" w:hAnsi="黑体" w:eastAsia="黑体" w:cs="黑体"/>
              <w:sz w:val="18"/>
              <w:szCs w:val="18"/>
            </w:rPr>
            <w:tab/>
          </w:r>
          <w:bookmarkStart w:id="47" w:name="_Toc6620_WPSOffice_Level2Page"/>
          <w:r>
            <w:rPr>
              <w:rFonts w:hint="eastAsia" w:ascii="黑体" w:hAnsi="黑体" w:eastAsia="黑体" w:cs="黑体"/>
              <w:sz w:val="18"/>
              <w:szCs w:val="18"/>
            </w:rPr>
            <w:t>28</w:t>
          </w:r>
          <w:bookmarkEnd w:id="47"/>
          <w:r>
            <w:rPr>
              <w:rFonts w:hint="eastAsia" w:ascii="黑体" w:hAnsi="黑体" w:eastAsia="黑体" w:cs="黑体"/>
              <w:sz w:val="18"/>
              <w:szCs w:val="18"/>
            </w:rPr>
            <w:fldChar w:fldCharType="end"/>
          </w:r>
        </w:p>
        <w:p w14:paraId="2EB1036E">
          <w:pPr>
            <w:pStyle w:val="39"/>
            <w:tabs>
              <w:tab w:val="right" w:leader="dot" w:pos="8306"/>
            </w:tabs>
            <w:ind w:left="420"/>
            <w:rPr>
              <w:rFonts w:hint="eastAsia" w:ascii="黑体" w:hAnsi="黑体" w:eastAsia="黑体" w:cs="黑体"/>
              <w:sz w:val="18"/>
              <w:szCs w:val="18"/>
            </w:rPr>
          </w:pPr>
          <w:r>
            <w:rPr>
              <w:rFonts w:hint="eastAsia" w:ascii="黑体" w:hAnsi="黑体" w:eastAsia="黑体" w:cs="黑体"/>
              <w:sz w:val="18"/>
              <w:szCs w:val="18"/>
            </w:rPr>
            <w:fldChar w:fldCharType="begin"/>
          </w:r>
          <w:r>
            <w:rPr>
              <w:rFonts w:hint="eastAsia" w:ascii="黑体" w:hAnsi="黑体" w:eastAsia="黑体" w:cs="黑体"/>
              <w:sz w:val="18"/>
              <w:szCs w:val="18"/>
            </w:rPr>
            <w:instrText xml:space="preserve"> HYPERLINK \l "_Toc15162_WPSOffice_Level2" </w:instrText>
          </w:r>
          <w:r>
            <w:rPr>
              <w:rFonts w:hint="eastAsia" w:ascii="黑体" w:hAnsi="黑体" w:eastAsia="黑体" w:cs="黑体"/>
              <w:sz w:val="18"/>
              <w:szCs w:val="18"/>
            </w:rPr>
            <w:fldChar w:fldCharType="separate"/>
          </w:r>
          <w:sdt>
            <w:sdtPr>
              <w:rPr>
                <w:rFonts w:hint="eastAsia" w:ascii="黑体" w:hAnsi="黑体" w:eastAsia="黑体" w:cs="黑体"/>
                <w:sz w:val="18"/>
                <w:szCs w:val="18"/>
              </w:rPr>
              <w:id w:val="1718702672"/>
              <w:placeholder>
                <w:docPart w:val="{e4b31eae-e233-4db5-8681-a630ed61052e}"/>
              </w:placeholder>
            </w:sdtPr>
            <w:sdtEndPr>
              <w:rPr>
                <w:rFonts w:hint="eastAsia" w:ascii="黑体" w:hAnsi="黑体" w:eastAsia="黑体" w:cs="黑体"/>
                <w:sz w:val="18"/>
                <w:szCs w:val="18"/>
              </w:rPr>
            </w:sdtEndPr>
            <w:sdtContent>
              <w:r>
                <w:rPr>
                  <w:rFonts w:hint="eastAsia" w:ascii="黑体" w:hAnsi="黑体" w:eastAsia="黑体" w:cs="黑体"/>
                  <w:sz w:val="18"/>
                  <w:szCs w:val="18"/>
                </w:rPr>
                <w:t>十三、财政拨款“三公”经费支出决算表</w:t>
              </w:r>
            </w:sdtContent>
          </w:sdt>
          <w:r>
            <w:rPr>
              <w:rFonts w:hint="eastAsia" w:ascii="黑体" w:hAnsi="黑体" w:eastAsia="黑体" w:cs="黑体"/>
              <w:sz w:val="18"/>
              <w:szCs w:val="18"/>
            </w:rPr>
            <w:tab/>
          </w:r>
          <w:bookmarkStart w:id="48" w:name="_Toc15162_WPSOffice_Level2Page"/>
          <w:r>
            <w:rPr>
              <w:rFonts w:hint="eastAsia" w:ascii="黑体" w:hAnsi="黑体" w:eastAsia="黑体" w:cs="黑体"/>
              <w:sz w:val="18"/>
              <w:szCs w:val="18"/>
            </w:rPr>
            <w:t>29</w:t>
          </w:r>
          <w:bookmarkEnd w:id="48"/>
          <w:r>
            <w:rPr>
              <w:rFonts w:hint="eastAsia" w:ascii="黑体" w:hAnsi="黑体" w:eastAsia="黑体" w:cs="黑体"/>
              <w:sz w:val="18"/>
              <w:szCs w:val="18"/>
            </w:rPr>
            <w:fldChar w:fldCharType="end"/>
          </w:r>
        </w:p>
      </w:sdtContent>
    </w:sdt>
    <w:bookmarkEnd w:id="12"/>
    <w:p w14:paraId="2226C352">
      <w:pPr>
        <w:pStyle w:val="39"/>
        <w:tabs>
          <w:tab w:val="right" w:leader="dot" w:pos="8306"/>
        </w:tabs>
        <w:ind w:left="420"/>
        <w:rPr>
          <w:rFonts w:hint="eastAsia" w:ascii="黑体" w:hAnsi="黑体" w:eastAsia="黑体" w:cs="黑体"/>
          <w:sz w:val="18"/>
          <w:szCs w:val="18"/>
        </w:rPr>
      </w:pPr>
    </w:p>
    <w:p w14:paraId="40E7AB19"/>
    <w:p w14:paraId="543B3037">
      <w:pPr>
        <w:widowControl/>
        <w:adjustRightInd w:val="0"/>
        <w:snapToGrid w:val="0"/>
        <w:spacing w:line="440" w:lineRule="exact"/>
        <w:ind w:firstLine="1320" w:firstLineChars="550"/>
        <w:jc w:val="left"/>
        <w:rPr>
          <w:rFonts w:hint="eastAsia" w:ascii="仿宋" w:hAnsi="仿宋" w:eastAsia="仿宋"/>
          <w:sz w:val="24"/>
        </w:rPr>
      </w:pPr>
      <w:r>
        <w:rPr>
          <w:rFonts w:ascii="仿宋" w:hAnsi="仿宋" w:eastAsia="仿宋"/>
          <w:sz w:val="24"/>
        </w:rPr>
        <w:t>(注：</w:t>
      </w:r>
      <w:r>
        <w:rPr>
          <w:rFonts w:hint="eastAsia" w:ascii="仿宋" w:hAnsi="仿宋" w:eastAsia="仿宋"/>
          <w:sz w:val="24"/>
        </w:rPr>
        <w:t>请部门根据实际注明页码</w:t>
      </w:r>
      <w:r>
        <w:rPr>
          <w:rFonts w:ascii="仿宋" w:hAnsi="仿宋" w:eastAsia="仿宋"/>
          <w:sz w:val="24"/>
        </w:rPr>
        <w:t>)</w:t>
      </w:r>
    </w:p>
    <w:p w14:paraId="2B21ED38">
      <w:pPr>
        <w:widowControl/>
        <w:spacing w:line="440" w:lineRule="exact"/>
        <w:jc w:val="left"/>
        <w:rPr>
          <w:rFonts w:hint="eastAsia" w:ascii="仿宋" w:hAnsi="仿宋" w:eastAsia="仿宋"/>
          <w:bCs/>
          <w:kern w:val="44"/>
          <w:sz w:val="24"/>
        </w:rPr>
      </w:pPr>
      <w:bookmarkStart w:id="49" w:name="_Toc15377196"/>
      <w:bookmarkStart w:id="50" w:name="_Toc15396599"/>
      <w:r>
        <w:rPr>
          <w:rFonts w:ascii="仿宋" w:hAnsi="仿宋" w:eastAsia="仿宋"/>
          <w:b/>
          <w:sz w:val="24"/>
        </w:rPr>
        <w:br w:type="page"/>
      </w:r>
    </w:p>
    <w:p w14:paraId="0C313109">
      <w:pPr>
        <w:pStyle w:val="3"/>
        <w:jc w:val="center"/>
        <w:rPr>
          <w:rFonts w:ascii="黑体" w:eastAsia="黑体"/>
          <w:sz w:val="32"/>
          <w:szCs w:val="32"/>
        </w:rPr>
      </w:pPr>
      <w:bookmarkStart w:id="51" w:name="_Toc21172_WPSOffice_Level1"/>
      <w:r>
        <w:rPr>
          <w:rFonts w:hint="eastAsia" w:ascii="黑体" w:hAnsi="黑体" w:eastAsia="黑体"/>
          <w:b w:val="0"/>
        </w:rPr>
        <w:t xml:space="preserve">第一部分 </w:t>
      </w:r>
      <w:r>
        <w:rPr>
          <w:rStyle w:val="29"/>
          <w:rFonts w:hint="eastAsia" w:ascii="黑体" w:hAnsi="黑体" w:eastAsia="黑体"/>
          <w:b w:val="0"/>
          <w:bCs w:val="0"/>
        </w:rPr>
        <w:t>部门概况</w:t>
      </w:r>
      <w:bookmarkEnd w:id="49"/>
      <w:bookmarkEnd w:id="50"/>
      <w:bookmarkEnd w:id="51"/>
    </w:p>
    <w:p w14:paraId="4B65BECB">
      <w:pPr>
        <w:pStyle w:val="4"/>
        <w:numPr>
          <w:ilvl w:val="0"/>
          <w:numId w:val="1"/>
        </w:numPr>
        <w:rPr>
          <w:rFonts w:hint="eastAsia" w:ascii="黑体" w:hAnsi="黑体" w:eastAsia="黑体"/>
          <w:b w:val="0"/>
        </w:rPr>
      </w:pPr>
      <w:bookmarkStart w:id="52" w:name="_Toc5962_WPSOffice_Level2"/>
      <w:r>
        <w:rPr>
          <w:rFonts w:hint="eastAsia" w:ascii="黑体" w:hAnsi="黑体" w:eastAsia="黑体"/>
          <w:b w:val="0"/>
        </w:rPr>
        <w:t>部门职责</w:t>
      </w:r>
      <w:bookmarkEnd w:id="52"/>
    </w:p>
    <w:p w14:paraId="21A1CB39">
      <w:pPr>
        <w:pStyle w:val="14"/>
        <w:shd w:val="clear" w:color="auto" w:fill="FFFFFF"/>
        <w:spacing w:before="0" w:beforeAutospacing="0"/>
        <w:ind w:firstLine="643" w:firstLineChars="200"/>
        <w:rPr>
          <w:rFonts w:ascii="仿宋_GB2312" w:eastAsia="仿宋_GB2312" w:cs="仿宋_GB2312"/>
          <w:b/>
          <w:bCs/>
          <w:kern w:val="2"/>
          <w:sz w:val="32"/>
          <w:szCs w:val="32"/>
        </w:rPr>
      </w:pPr>
      <w:r>
        <w:rPr>
          <w:rFonts w:hint="eastAsia" w:ascii="仿宋_GB2312" w:eastAsia="仿宋_GB2312" w:cs="仿宋_GB2312"/>
          <w:b/>
          <w:bCs/>
          <w:kern w:val="2"/>
          <w:sz w:val="32"/>
          <w:szCs w:val="32"/>
        </w:rPr>
        <w:t>1．主要职能。</w:t>
      </w:r>
    </w:p>
    <w:p w14:paraId="3C38FE4C">
      <w:pPr>
        <w:spacing w:line="576" w:lineRule="exact"/>
        <w:ind w:firstLine="640" w:firstLineChars="200"/>
        <w:outlineLvl w:val="0"/>
        <w:rPr>
          <w:rFonts w:hint="eastAsia" w:ascii="仿宋_GB2312" w:eastAsia="仿宋_GB2312" w:cs="仿宋_GB2312"/>
          <w:sz w:val="32"/>
          <w:szCs w:val="32"/>
        </w:rPr>
      </w:pPr>
      <w:r>
        <w:rPr>
          <w:rFonts w:hint="eastAsia" w:ascii="仿宋_GB2312" w:eastAsia="仿宋_GB2312" w:cs="仿宋_GB2312"/>
          <w:sz w:val="32"/>
          <w:szCs w:val="32"/>
        </w:rPr>
        <w:t>（1）拟定和执行红原县财政的发展战略、规划、方针政策，分析研究中、长期财政规划执行情况；贯彻执行财政分配政策和财政改革方案；参与宏观经济分析预测和全县重大宏观经济政策的制定；提出运用财税政策实施宏观经济调控和综合平衡全县财力的建议；制定构建地方公共财政体系的政策、制度；指导全县财政工作。</w:t>
      </w:r>
    </w:p>
    <w:p w14:paraId="1713F92D">
      <w:pPr>
        <w:spacing w:line="576" w:lineRule="exact"/>
        <w:ind w:firstLine="640" w:firstLineChars="200"/>
        <w:outlineLvl w:val="0"/>
        <w:rPr>
          <w:rFonts w:hint="eastAsia" w:ascii="仿宋_GB2312" w:eastAsia="仿宋_GB2312" w:cs="仿宋_GB2312"/>
          <w:sz w:val="32"/>
          <w:szCs w:val="32"/>
        </w:rPr>
      </w:pPr>
      <w:r>
        <w:rPr>
          <w:rFonts w:hint="eastAsia" w:ascii="仿宋_GB2312" w:eastAsia="仿宋_GB2312" w:cs="仿宋_GB2312"/>
          <w:sz w:val="32"/>
          <w:szCs w:val="32"/>
        </w:rPr>
        <w:t>（2）贯彻执行国家财税方面的法律、法规和方针、政策，负责组织起草地方性财税法规草案、实施办法和规章制度并组织实施。管理中央转贷的特种国债。</w:t>
      </w:r>
    </w:p>
    <w:p w14:paraId="5ACB8594">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（3）承担各项财政收支管理的责任。负责编制年度县级预算草案并组织执行；受县政府委托，向县人民代表大会报告 县本级财政预算及其执行情况，向县人大常委会报告决算；组织制定经费开支标准、定额，负责审核批复部门（单位）的年度预决算。</w:t>
      </w:r>
    </w:p>
    <w:p w14:paraId="26183CEB">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（4）负责政府非税收入管理。负责政府性基金管理，按规定管理行政事业性收费。管理财政票据。按规定管理彩票基金。</w:t>
      </w:r>
    </w:p>
    <w:p w14:paraId="45EDF6A9">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（5）组织制定全县国库管理制度、国库集中收付制度，指导和监督国库业务，按规定开展国库现金管理工作。负责制定政府采购制度，监督管理全县政府采购工作。</w:t>
      </w:r>
    </w:p>
    <w:p w14:paraId="39E75274">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（6）会同有关部门管理全县社会保障和就业及医疗卫生支出，会同有关部门拟定社会保障资金（基金）的财务管理制度，编制县级社会保障预决算草案。</w:t>
      </w:r>
    </w:p>
    <w:p w14:paraId="212A9AC5">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（7）负责组织执行政府债务管理制度和政策，制定具体管理办法，负责管理政府债务，防范财政风险。</w:t>
      </w:r>
    </w:p>
    <w:p w14:paraId="3390D370">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8）负责审核和汇总编制全县国有资本经营预决算草案，制定国有资本经营预算的制度和办法，收取县本级企业国有资本收益，组织实施企业财务制度，按规定管理金融类国有资产，参与拟定企业国有资产管理相关制度，按规定管理资产评估工作。</w:t>
      </w:r>
    </w:p>
    <w:p w14:paraId="7C97AF08">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9）负责制定全县行政事业单位国有资产管理规章制度及县级机关事业国有资产收益管理办法并对执行情况进行监督检查，负责县级机关国有资产经营收益财政专户管理工作。制定需要全县同意规定的开支标准和支出政策。</w:t>
      </w:r>
    </w:p>
    <w:p w14:paraId="58B3FB7E">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10）负责办理和监督财政性经济发展支出、政府性投资项目的财政拨款，负责投资评审管理工作，参与拟定政府性建设投资的有关政策，制定基本建设财务制度，负责有关政策性补贴和专项储备资金财务管理工作。负责全县农业综合开发管理工作。</w:t>
      </w:r>
    </w:p>
    <w:p w14:paraId="71FAD90E">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（11）负责管理全县会计工作，监督和规范会计行为，组织实施国家统一会计制度和补充规定；会同有关部门管理会计专业技术职称工作。</w:t>
      </w:r>
    </w:p>
    <w:p w14:paraId="4B7028BC">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（12）负责财政资金绩效评价。监督检查财税政策、法律法规的执行情况，反映财政收支中的重大问题。依法查处重点违反财经纪律的行为。</w:t>
      </w:r>
    </w:p>
    <w:p w14:paraId="597E9F61">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（13）制定财政科研计划和教育培训规划；组织财政业务培训；负责财政信息和财政宣传工作；指导全县财政系统抓好精神文明建设和廉政建设，做好财政系统干部职工的思想政治工作。</w:t>
      </w:r>
    </w:p>
    <w:p w14:paraId="38647B73">
      <w:pPr>
        <w:spacing w:line="576" w:lineRule="exact"/>
        <w:ind w:firstLine="640" w:firstLineChars="200"/>
        <w:outlineLvl w:val="0"/>
        <w:rPr>
          <w:rFonts w:ascii="仿宋_GB2312" w:eastAsia="仿宋_GB2312" w:cs="仿宋_GB2312"/>
          <w:sz w:val="32"/>
          <w:szCs w:val="32"/>
        </w:rPr>
      </w:pPr>
      <w:r>
        <w:rPr>
          <w:rFonts w:hint="eastAsia" w:ascii="仿宋_GB2312" w:eastAsia="仿宋_GB2312" w:cs="仿宋_GB2312"/>
          <w:sz w:val="32"/>
          <w:szCs w:val="32"/>
        </w:rPr>
        <w:t>（14）承担县政府公布的有关行政审批事项。</w:t>
      </w:r>
    </w:p>
    <w:p w14:paraId="42CEF73C">
      <w:pPr>
        <w:spacing w:line="576" w:lineRule="exact"/>
        <w:ind w:firstLine="640" w:firstLineChars="200"/>
        <w:outlineLvl w:val="0"/>
      </w:pPr>
      <w:r>
        <w:rPr>
          <w:rFonts w:hint="eastAsia" w:ascii="仿宋_GB2312" w:eastAsia="仿宋_GB2312" w:cs="仿宋_GB2312"/>
          <w:bCs/>
          <w:sz w:val="32"/>
          <w:szCs w:val="32"/>
        </w:rPr>
        <w:t>（15）承办县政府交办的其他事项。</w:t>
      </w:r>
    </w:p>
    <w:p w14:paraId="53CBC35F">
      <w:pPr>
        <w:pStyle w:val="4"/>
        <w:rPr>
          <w:rStyle w:val="30"/>
          <w:b w:val="0"/>
          <w:bCs w:val="0"/>
        </w:rPr>
      </w:pPr>
      <w:bookmarkStart w:id="53" w:name="_Toc15396601"/>
      <w:bookmarkStart w:id="54" w:name="_Toc15377200"/>
      <w:bookmarkStart w:id="55" w:name="_Toc24957_WPSOffice_Level2"/>
      <w:r>
        <w:rPr>
          <w:rFonts w:hint="eastAsia" w:ascii="黑体" w:eastAsia="黑体"/>
          <w:b w:val="0"/>
        </w:rPr>
        <w:t>二、</w:t>
      </w:r>
      <w:r>
        <w:rPr>
          <w:rFonts w:hint="eastAsia" w:ascii="黑体" w:hAnsi="黑体" w:eastAsia="黑体"/>
          <w:b w:val="0"/>
        </w:rPr>
        <w:t>机</w:t>
      </w:r>
      <w:r>
        <w:rPr>
          <w:rStyle w:val="30"/>
          <w:rFonts w:hint="eastAsia" w:ascii="黑体" w:hAnsi="黑体" w:eastAsia="黑体"/>
          <w:b w:val="0"/>
          <w:bCs w:val="0"/>
        </w:rPr>
        <w:t>构设置</w:t>
      </w:r>
      <w:bookmarkEnd w:id="53"/>
      <w:bookmarkEnd w:id="54"/>
      <w:bookmarkEnd w:id="55"/>
    </w:p>
    <w:p w14:paraId="3A648315">
      <w:pPr>
        <w:spacing w:line="576" w:lineRule="exact"/>
        <w:ind w:firstLine="640" w:firstLineChars="200"/>
        <w:outlineLvl w:val="0"/>
        <w:rPr>
          <w:rFonts w:hint="eastAsia" w:ascii="仿宋_GB2312" w:eastAsia="仿宋_GB2312" w:cs="仿宋_GB2312"/>
          <w:sz w:val="32"/>
          <w:szCs w:val="32"/>
        </w:rPr>
      </w:pPr>
      <w:r>
        <w:rPr>
          <w:rFonts w:hint="eastAsia" w:ascii="仿宋_GB2312" w:eastAsia="仿宋_GB2312" w:cs="仿宋_GB2312"/>
          <w:sz w:val="32"/>
          <w:szCs w:val="32"/>
        </w:rPr>
        <w:t>红原县财政局下属二级预算单位2个，其中行政单位1个，参照公务员法管理的事业单位0个，其他事业单位1个。</w:t>
      </w:r>
    </w:p>
    <w:p w14:paraId="7EB2CBF9">
      <w:pPr>
        <w:spacing w:line="576" w:lineRule="exact"/>
        <w:ind w:firstLine="640" w:firstLineChars="200"/>
        <w:outlineLvl w:val="0"/>
        <w:rPr>
          <w:rFonts w:hint="eastAsia" w:ascii="仿宋_GB2312" w:eastAsia="仿宋_GB2312" w:cs="仿宋_GB2312"/>
          <w:sz w:val="32"/>
          <w:szCs w:val="32"/>
        </w:rPr>
      </w:pPr>
      <w:r>
        <w:rPr>
          <w:rFonts w:hint="eastAsia" w:ascii="仿宋_GB2312" w:eastAsia="仿宋_GB2312" w:cs="仿宋_GB2312"/>
          <w:sz w:val="32"/>
          <w:szCs w:val="32"/>
        </w:rPr>
        <w:t>纳入红原县财政局202</w:t>
      </w:r>
      <w:r>
        <w:rPr>
          <w:rFonts w:hint="eastAsia" w:ascii="仿宋_GB2312" w:eastAsia="仿宋_GB2312" w:cs="仿宋_GB2312"/>
          <w:sz w:val="32"/>
          <w:szCs w:val="32"/>
          <w:lang w:val="en-US" w:eastAsia="zh-CN"/>
        </w:rPr>
        <w:t>5</w:t>
      </w:r>
      <w:r>
        <w:rPr>
          <w:rFonts w:hint="eastAsia" w:ascii="仿宋_GB2312" w:eastAsia="仿宋_GB2312" w:cs="仿宋_GB2312"/>
          <w:sz w:val="32"/>
          <w:szCs w:val="32"/>
        </w:rPr>
        <w:t>年度部门决算编制范围的二级预算单位包括：</w:t>
      </w:r>
    </w:p>
    <w:p w14:paraId="205028A3">
      <w:pPr>
        <w:spacing w:line="576" w:lineRule="exact"/>
        <w:ind w:firstLine="640" w:firstLineChars="200"/>
        <w:outlineLvl w:val="0"/>
        <w:rPr>
          <w:rFonts w:hint="eastAsia" w:ascii="仿宋_GB2312" w:eastAsia="仿宋_GB2312" w:cs="仿宋_GB2312"/>
          <w:sz w:val="32"/>
          <w:szCs w:val="32"/>
        </w:rPr>
      </w:pPr>
      <w:bookmarkStart w:id="56" w:name="_Toc15306276"/>
      <w:bookmarkStart w:id="57" w:name="_Toc15377433"/>
      <w:bookmarkStart w:id="58" w:name="_Toc15378449"/>
      <w:bookmarkStart w:id="59" w:name="_Toc15377202"/>
      <w:r>
        <w:rPr>
          <w:rFonts w:hint="eastAsia" w:ascii="仿宋_GB2312" w:eastAsia="仿宋_GB2312" w:cs="仿宋_GB2312"/>
          <w:sz w:val="32"/>
          <w:szCs w:val="32"/>
        </w:rPr>
        <w:t>红原县财政局机关</w:t>
      </w:r>
      <w:bookmarkEnd w:id="56"/>
      <w:bookmarkEnd w:id="57"/>
      <w:bookmarkEnd w:id="58"/>
      <w:bookmarkEnd w:id="59"/>
      <w:bookmarkStart w:id="60" w:name="_Toc15378450"/>
      <w:bookmarkStart w:id="61" w:name="_Toc15306277"/>
      <w:bookmarkStart w:id="62" w:name="_Toc15377434"/>
      <w:bookmarkStart w:id="63" w:name="_Toc15377203"/>
      <w:r>
        <w:rPr>
          <w:rFonts w:hint="eastAsia" w:ascii="仿宋_GB2312" w:eastAsia="仿宋_GB2312" w:cs="仿宋_GB2312"/>
          <w:sz w:val="32"/>
          <w:szCs w:val="32"/>
        </w:rPr>
        <w:t>；2.</w:t>
      </w:r>
      <w:bookmarkEnd w:id="60"/>
      <w:bookmarkEnd w:id="61"/>
      <w:bookmarkEnd w:id="62"/>
      <w:bookmarkEnd w:id="63"/>
      <w:r>
        <w:rPr>
          <w:rFonts w:hint="eastAsia" w:ascii="仿宋_GB2312" w:eastAsia="仿宋_GB2312" w:cs="仿宋_GB2312"/>
          <w:sz w:val="32"/>
          <w:szCs w:val="32"/>
        </w:rPr>
        <w:t>红原县财政局投资评审中心。</w:t>
      </w:r>
    </w:p>
    <w:p w14:paraId="06465424">
      <w:pPr>
        <w:widowControl/>
        <w:jc w:val="left"/>
        <w:rPr>
          <w:rFonts w:hint="eastAsia" w:ascii="仿宋" w:hAnsi="仿宋" w:eastAsia="仿宋"/>
          <w:kern w:val="0"/>
          <w:sz w:val="32"/>
          <w:szCs w:val="32"/>
        </w:rPr>
      </w:pPr>
      <w:r>
        <w:rPr>
          <w:rFonts w:ascii="仿宋" w:hAnsi="仿宋" w:eastAsia="仿宋"/>
          <w:sz w:val="32"/>
          <w:szCs w:val="32"/>
        </w:rPr>
        <w:br w:type="page"/>
      </w:r>
    </w:p>
    <w:p w14:paraId="1839592D">
      <w:pPr>
        <w:pStyle w:val="3"/>
        <w:ind w:right="440"/>
        <w:jc w:val="center"/>
      </w:pPr>
      <w:bookmarkStart w:id="64" w:name="_Toc15377204"/>
      <w:bookmarkStart w:id="65" w:name="_Toc15396602"/>
      <w:bookmarkStart w:id="66" w:name="_Toc5962_WPSOffice_Level1"/>
      <w:r>
        <w:rPr>
          <w:rFonts w:hint="eastAsia" w:ascii="黑体" w:hAnsi="黑体" w:eastAsia="黑体"/>
          <w:b w:val="0"/>
        </w:rPr>
        <w:t>第二部分 202</w:t>
      </w:r>
      <w:r>
        <w:rPr>
          <w:rFonts w:hint="eastAsia" w:ascii="黑体" w:hAnsi="黑体" w:eastAsia="黑体"/>
          <w:b w:val="0"/>
          <w:lang w:val="en-US" w:eastAsia="zh-CN"/>
        </w:rPr>
        <w:t>5</w:t>
      </w:r>
      <w:r>
        <w:rPr>
          <w:rFonts w:hint="eastAsia" w:ascii="黑体" w:hAnsi="黑体" w:eastAsia="黑体"/>
          <w:b w:val="0"/>
        </w:rPr>
        <w:t>年度</w:t>
      </w:r>
      <w:r>
        <w:rPr>
          <w:rStyle w:val="29"/>
          <w:rFonts w:hint="eastAsia" w:ascii="黑体" w:hAnsi="黑体" w:eastAsia="黑体"/>
          <w:b w:val="0"/>
          <w:bCs/>
        </w:rPr>
        <w:t>部门决算情况说明</w:t>
      </w:r>
      <w:bookmarkEnd w:id="64"/>
      <w:bookmarkEnd w:id="65"/>
      <w:bookmarkEnd w:id="66"/>
    </w:p>
    <w:p w14:paraId="3E70F927">
      <w:pPr>
        <w:pStyle w:val="28"/>
        <w:numPr>
          <w:ilvl w:val="0"/>
          <w:numId w:val="2"/>
        </w:numPr>
        <w:spacing w:line="600" w:lineRule="exact"/>
        <w:ind w:firstLineChars="0"/>
        <w:outlineLvl w:val="1"/>
        <w:rPr>
          <w:rStyle w:val="30"/>
          <w:rFonts w:hint="eastAsia" w:ascii="黑体" w:hAnsi="黑体" w:eastAsia="黑体"/>
          <w:b w:val="0"/>
        </w:rPr>
      </w:pPr>
      <w:bookmarkStart w:id="67" w:name="_Toc15377205"/>
      <w:bookmarkStart w:id="68" w:name="_Toc29709_WPSOffice_Level2"/>
      <w:bookmarkStart w:id="69" w:name="_Toc15396603"/>
      <w:r>
        <w:rPr>
          <w:rFonts w:hint="eastAsia" w:ascii="黑体" w:hAnsi="黑体" w:eastAsia="黑体"/>
          <w:sz w:val="32"/>
          <w:szCs w:val="32"/>
        </w:rPr>
        <w:t>收</w:t>
      </w:r>
      <w:r>
        <w:rPr>
          <w:rStyle w:val="30"/>
          <w:rFonts w:hint="eastAsia" w:ascii="黑体" w:hAnsi="黑体" w:eastAsia="黑体"/>
          <w:b w:val="0"/>
        </w:rPr>
        <w:t>入支出决算总体情况说明</w:t>
      </w:r>
      <w:bookmarkEnd w:id="67"/>
      <w:bookmarkEnd w:id="68"/>
      <w:bookmarkEnd w:id="69"/>
    </w:p>
    <w:p w14:paraId="636C55D6">
      <w:pPr>
        <w:spacing w:line="600" w:lineRule="exact"/>
        <w:ind w:firstLine="640" w:firstLineChars="200"/>
        <w:jc w:val="left"/>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年度收、支总计均为</w:t>
      </w:r>
      <w:r>
        <w:rPr>
          <w:rFonts w:hint="eastAsia" w:ascii="仿宋" w:hAnsi="仿宋" w:eastAsia="仿宋"/>
          <w:sz w:val="32"/>
          <w:szCs w:val="32"/>
          <w:lang w:val="en-US" w:eastAsia="zh-CN"/>
        </w:rPr>
        <w:t>1492.51</w:t>
      </w:r>
      <w:r>
        <w:rPr>
          <w:rFonts w:hint="eastAsia" w:ascii="仿宋" w:hAnsi="仿宋" w:eastAsia="仿宋"/>
          <w:sz w:val="32"/>
          <w:szCs w:val="32"/>
        </w:rPr>
        <w:t>万元</w:t>
      </w:r>
      <w:r>
        <w:rPr>
          <w:rFonts w:hint="eastAsia"/>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年度相比，收、支总计各增加</w:t>
      </w:r>
      <w:r>
        <w:rPr>
          <w:rFonts w:hint="eastAsia" w:ascii="仿宋" w:hAnsi="仿宋" w:eastAsia="仿宋"/>
          <w:sz w:val="32"/>
          <w:szCs w:val="32"/>
          <w:lang w:val="en-US" w:eastAsia="zh-CN"/>
        </w:rPr>
        <w:t>1.72</w:t>
      </w:r>
      <w:r>
        <w:rPr>
          <w:rFonts w:hint="eastAsia" w:ascii="仿宋" w:hAnsi="仿宋" w:eastAsia="仿宋"/>
          <w:sz w:val="32"/>
          <w:szCs w:val="32"/>
        </w:rPr>
        <w:t>万元，增长</w:t>
      </w:r>
      <w:r>
        <w:rPr>
          <w:rFonts w:hint="eastAsia" w:ascii="仿宋" w:hAnsi="仿宋" w:eastAsia="仿宋"/>
          <w:sz w:val="32"/>
          <w:szCs w:val="32"/>
          <w:lang w:val="en-US" w:eastAsia="zh-CN"/>
        </w:rPr>
        <w:t>0.12</w:t>
      </w:r>
      <w:r>
        <w:rPr>
          <w:rFonts w:ascii="仿宋" w:hAnsi="仿宋" w:eastAsia="仿宋"/>
          <w:sz w:val="32"/>
          <w:szCs w:val="32"/>
        </w:rPr>
        <w:t>%</w:t>
      </w:r>
      <w:r>
        <w:rPr>
          <w:rFonts w:hint="eastAsia" w:ascii="仿宋" w:hAnsi="仿宋" w:eastAsia="仿宋"/>
          <w:sz w:val="32"/>
          <w:szCs w:val="32"/>
        </w:rPr>
        <w:t>。主要变动原因：1.人员变动，薪资变动；2.委托业务费增加。</w:t>
      </w:r>
    </w:p>
    <w:p w14:paraId="32743652">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w:t>
      </w:r>
      <w:r>
        <w:rPr>
          <w:rFonts w:ascii="仿宋" w:hAnsi="仿宋" w:eastAsia="仿宋"/>
          <w:sz w:val="32"/>
          <w:szCs w:val="32"/>
        </w:rPr>
        <w:t>1</w:t>
      </w:r>
      <w:r>
        <w:rPr>
          <w:rFonts w:hint="eastAsia" w:ascii="仿宋" w:hAnsi="仿宋" w:eastAsia="仿宋"/>
          <w:sz w:val="32"/>
          <w:szCs w:val="32"/>
        </w:rPr>
        <w:t>：收、支决算总计变动情况图）（柱状图）</w:t>
      </w:r>
    </w:p>
    <w:p w14:paraId="632AB597">
      <w:pPr>
        <w:pStyle w:val="4"/>
      </w:pPr>
      <w:r>
        <w:drawing>
          <wp:inline distT="0" distB="0" distL="0" distR="0">
            <wp:extent cx="5461000" cy="2717800"/>
            <wp:effectExtent l="0" t="0" r="6350" b="6350"/>
            <wp:docPr id="1401369869"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478F18A"/>
    <w:p w14:paraId="37839125"/>
    <w:p w14:paraId="0B348704">
      <w:pPr>
        <w:pStyle w:val="28"/>
        <w:numPr>
          <w:ilvl w:val="0"/>
          <w:numId w:val="2"/>
        </w:numPr>
        <w:spacing w:line="600" w:lineRule="exact"/>
        <w:ind w:firstLineChars="0"/>
        <w:outlineLvl w:val="1"/>
        <w:rPr>
          <w:rStyle w:val="30"/>
          <w:rFonts w:hint="eastAsia" w:ascii="黑体" w:hAnsi="黑体" w:eastAsia="黑体"/>
          <w:b w:val="0"/>
        </w:rPr>
      </w:pPr>
      <w:bookmarkStart w:id="70" w:name="_Toc21711_WPSOffice_Level2"/>
      <w:bookmarkStart w:id="71" w:name="_Toc15377206"/>
      <w:bookmarkStart w:id="72" w:name="_Toc15396604"/>
      <w:r>
        <w:rPr>
          <w:rFonts w:hint="eastAsia" w:ascii="黑体" w:hAnsi="黑体" w:eastAsia="黑体"/>
          <w:sz w:val="32"/>
          <w:szCs w:val="32"/>
        </w:rPr>
        <w:t>收</w:t>
      </w:r>
      <w:r>
        <w:rPr>
          <w:rStyle w:val="30"/>
          <w:rFonts w:hint="eastAsia" w:ascii="黑体" w:hAnsi="黑体" w:eastAsia="黑体"/>
          <w:b w:val="0"/>
        </w:rPr>
        <w:t>入决算情况说明</w:t>
      </w:r>
      <w:bookmarkEnd w:id="70"/>
      <w:bookmarkEnd w:id="71"/>
      <w:bookmarkEnd w:id="72"/>
    </w:p>
    <w:p w14:paraId="0B106312">
      <w:pPr>
        <w:spacing w:line="600" w:lineRule="exact"/>
        <w:ind w:firstLine="640" w:firstLineChars="200"/>
        <w:jc w:val="left"/>
        <w:outlineLvl w:val="1"/>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bookmarkStart w:id="143" w:name="_GoBack"/>
      <w:bookmarkEnd w:id="143"/>
      <w:r>
        <w:rPr>
          <w:rFonts w:hint="eastAsia" w:ascii="仿宋" w:hAnsi="仿宋" w:eastAsia="仿宋"/>
          <w:sz w:val="32"/>
          <w:szCs w:val="32"/>
        </w:rPr>
        <w:t>年度本年收入合计</w:t>
      </w:r>
      <w:r>
        <w:rPr>
          <w:rFonts w:hint="eastAsia" w:eastAsia="仿宋"/>
          <w:sz w:val="32"/>
          <w:szCs w:val="32"/>
          <w:lang w:val="en-US" w:eastAsia="zh-CN"/>
        </w:rPr>
        <w:t>1492.51</w:t>
      </w:r>
      <w:r>
        <w:rPr>
          <w:rFonts w:hint="eastAsia" w:ascii="仿宋" w:hAnsi="仿宋" w:eastAsia="仿宋"/>
          <w:sz w:val="32"/>
          <w:szCs w:val="32"/>
        </w:rPr>
        <w:t>万元，其中：一般公共预算财政拨款收入</w:t>
      </w:r>
      <w:r>
        <w:rPr>
          <w:rFonts w:hint="eastAsia" w:eastAsia="仿宋"/>
          <w:sz w:val="32"/>
          <w:szCs w:val="32"/>
          <w:lang w:val="en-US" w:eastAsia="zh-CN"/>
        </w:rPr>
        <w:t>1492.51</w:t>
      </w:r>
      <w:r>
        <w:rPr>
          <w:rFonts w:hint="eastAsia" w:ascii="仿宋" w:hAnsi="仿宋" w:eastAsia="仿宋"/>
          <w:sz w:val="32"/>
          <w:szCs w:val="32"/>
        </w:rPr>
        <w:t>万元，占</w:t>
      </w:r>
      <w:r>
        <w:rPr>
          <w:sz w:val="32"/>
          <w:szCs w:val="32"/>
        </w:rPr>
        <w:t>100</w:t>
      </w:r>
      <w:r>
        <w:rPr>
          <w:rFonts w:ascii="仿宋" w:hAnsi="仿宋" w:eastAsia="仿宋"/>
          <w:sz w:val="32"/>
          <w:szCs w:val="32"/>
        </w:rPr>
        <w:t>%</w:t>
      </w:r>
      <w:r>
        <w:rPr>
          <w:rFonts w:hint="eastAsia" w:ascii="仿宋" w:hAnsi="仿宋" w:eastAsia="仿宋"/>
          <w:sz w:val="32"/>
          <w:szCs w:val="32"/>
        </w:rPr>
        <w:t>；政府性基金预算财政拨款收入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；国有资本经营预算财政拨款收入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；上级补助收入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；事业收入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；附属单位上缴收入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；其他收入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p>
    <w:p w14:paraId="0E4B8458">
      <w:pPr>
        <w:spacing w:line="600" w:lineRule="exact"/>
        <w:ind w:left="1280" w:hanging="1280" w:hangingChars="400"/>
        <w:outlineLvl w:val="1"/>
        <w:rPr>
          <w:rFonts w:ascii="仿宋_GB2312" w:eastAsia="仿宋_GB2312"/>
          <w:sz w:val="32"/>
          <w:szCs w:val="32"/>
        </w:rPr>
      </w:pPr>
      <w:r>
        <w:rPr>
          <w:rFonts w:hint="eastAsia" w:ascii="仿宋" w:hAnsi="仿宋" w:eastAsia="仿宋"/>
          <w:sz w:val="32"/>
          <w:szCs w:val="32"/>
        </w:rPr>
        <w:t>（注：数据来源于财决01表，仅罗列本部门涉及的收入。）（图2：收入决算结构图）（饼状图）</w:t>
      </w:r>
      <w:r>
        <w:drawing>
          <wp:anchor distT="0" distB="0" distL="114300" distR="114300" simplePos="0" relativeHeight="251659264" behindDoc="0" locked="0" layoutInCell="1" allowOverlap="1">
            <wp:simplePos x="0" y="0"/>
            <wp:positionH relativeFrom="column">
              <wp:posOffset>271780</wp:posOffset>
            </wp:positionH>
            <wp:positionV relativeFrom="paragraph">
              <wp:posOffset>-2110105</wp:posOffset>
            </wp:positionV>
            <wp:extent cx="4812665" cy="2246630"/>
            <wp:effectExtent l="4445" t="5080" r="21590" b="15240"/>
            <wp:wrapSquare wrapText="bothSides"/>
            <wp:docPr id="9"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49ABFD24">
      <w:pPr>
        <w:pStyle w:val="28"/>
        <w:numPr>
          <w:ilvl w:val="0"/>
          <w:numId w:val="2"/>
        </w:numPr>
        <w:spacing w:line="600" w:lineRule="exact"/>
        <w:ind w:firstLineChars="0"/>
        <w:outlineLvl w:val="1"/>
        <w:rPr>
          <w:rStyle w:val="30"/>
          <w:rFonts w:hint="eastAsia" w:ascii="黑体" w:hAnsi="黑体" w:eastAsia="黑体"/>
          <w:b w:val="0"/>
        </w:rPr>
      </w:pPr>
      <w:bookmarkStart w:id="73" w:name="_Toc15377207"/>
      <w:bookmarkStart w:id="74" w:name="_Toc25959_WPSOffice_Level2"/>
      <w:bookmarkStart w:id="75" w:name="_Toc15396605"/>
      <w:r>
        <w:rPr>
          <w:rFonts w:hint="eastAsia" w:ascii="黑体" w:hAnsi="黑体" w:eastAsia="黑体"/>
          <w:sz w:val="32"/>
          <w:szCs w:val="32"/>
        </w:rPr>
        <w:t>支</w:t>
      </w:r>
      <w:r>
        <w:rPr>
          <w:rStyle w:val="30"/>
          <w:rFonts w:hint="eastAsia" w:ascii="黑体" w:hAnsi="黑体" w:eastAsia="黑体"/>
          <w:b w:val="0"/>
        </w:rPr>
        <w:t>出决算情况说明</w:t>
      </w:r>
      <w:bookmarkEnd w:id="73"/>
      <w:bookmarkEnd w:id="74"/>
      <w:bookmarkEnd w:id="75"/>
    </w:p>
    <w:p w14:paraId="2491813E">
      <w:pPr>
        <w:spacing w:line="600" w:lineRule="exact"/>
        <w:ind w:firstLine="640" w:firstLineChars="200"/>
        <w:outlineLvl w:val="1"/>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年度本年支出合计</w:t>
      </w:r>
      <w:r>
        <w:rPr>
          <w:rFonts w:hint="eastAsia" w:eastAsia="仿宋"/>
          <w:sz w:val="32"/>
          <w:szCs w:val="32"/>
          <w:lang w:val="en-US" w:eastAsia="zh-CN"/>
        </w:rPr>
        <w:t>1492.51</w:t>
      </w:r>
      <w:r>
        <w:rPr>
          <w:rFonts w:hint="eastAsia" w:ascii="仿宋" w:hAnsi="仿宋" w:eastAsia="仿宋"/>
          <w:sz w:val="32"/>
          <w:szCs w:val="32"/>
        </w:rPr>
        <w:t>万元，其中：基本支出附属单位补助支</w:t>
      </w:r>
      <w:r>
        <w:rPr>
          <w:rFonts w:hint="eastAsia" w:ascii="仿宋" w:hAnsi="仿宋" w:eastAsia="仿宋"/>
          <w:sz w:val="32"/>
          <w:szCs w:val="32"/>
          <w:lang w:val="en-US" w:eastAsia="zh-CN"/>
        </w:rPr>
        <w:t>956.30</w:t>
      </w:r>
      <w:r>
        <w:rPr>
          <w:rFonts w:hint="eastAsia" w:ascii="仿宋" w:hAnsi="仿宋" w:eastAsia="仿宋"/>
          <w:sz w:val="32"/>
          <w:szCs w:val="32"/>
        </w:rPr>
        <w:t>万元，占</w:t>
      </w:r>
      <w:r>
        <w:rPr>
          <w:rFonts w:hint="eastAsia" w:eastAsia="仿宋"/>
          <w:sz w:val="32"/>
          <w:szCs w:val="32"/>
          <w:lang w:val="en-US" w:eastAsia="zh-CN"/>
        </w:rPr>
        <w:t>64.07</w:t>
      </w:r>
      <w:r>
        <w:rPr>
          <w:rFonts w:ascii="仿宋" w:hAnsi="仿宋" w:eastAsia="仿宋"/>
          <w:sz w:val="32"/>
          <w:szCs w:val="32"/>
        </w:rPr>
        <w:t>%</w:t>
      </w:r>
      <w:r>
        <w:rPr>
          <w:rFonts w:hint="eastAsia" w:ascii="仿宋" w:hAnsi="仿宋" w:eastAsia="仿宋"/>
          <w:sz w:val="32"/>
          <w:szCs w:val="32"/>
        </w:rPr>
        <w:t>；项目支出</w:t>
      </w:r>
      <w:r>
        <w:rPr>
          <w:rFonts w:hint="eastAsia" w:eastAsia="仿宋"/>
          <w:sz w:val="32"/>
          <w:szCs w:val="32"/>
          <w:lang w:val="en-US" w:eastAsia="zh-CN"/>
        </w:rPr>
        <w:t>536.21</w:t>
      </w:r>
      <w:r>
        <w:rPr>
          <w:rFonts w:hint="eastAsia" w:ascii="仿宋" w:hAnsi="仿宋" w:eastAsia="仿宋"/>
          <w:sz w:val="32"/>
          <w:szCs w:val="32"/>
        </w:rPr>
        <w:t>万元，占</w:t>
      </w:r>
      <w:r>
        <w:rPr>
          <w:rFonts w:hint="eastAsia" w:eastAsia="仿宋"/>
          <w:sz w:val="32"/>
          <w:szCs w:val="32"/>
          <w:lang w:val="en-US" w:eastAsia="zh-CN"/>
        </w:rPr>
        <w:t>35.93</w:t>
      </w:r>
      <w:r>
        <w:rPr>
          <w:rFonts w:ascii="仿宋" w:hAnsi="仿宋" w:eastAsia="仿宋"/>
          <w:sz w:val="32"/>
          <w:szCs w:val="32"/>
        </w:rPr>
        <w:t>%</w:t>
      </w:r>
      <w:r>
        <w:rPr>
          <w:rFonts w:hint="eastAsia" w:ascii="仿宋" w:hAnsi="仿宋" w:eastAsia="仿宋"/>
          <w:sz w:val="32"/>
          <w:szCs w:val="32"/>
        </w:rPr>
        <w:t>；上缴上级支出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；对出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p>
    <w:p w14:paraId="364D2EFC">
      <w:pPr>
        <w:spacing w:line="600" w:lineRule="exact"/>
        <w:ind w:firstLine="640" w:firstLineChars="200"/>
        <w:outlineLvl w:val="1"/>
        <w:rPr>
          <w:rFonts w:ascii="仿宋_GB2312" w:eastAsia="仿宋_GB2312"/>
          <w:sz w:val="32"/>
          <w:szCs w:val="32"/>
        </w:rPr>
      </w:pPr>
      <w:r>
        <w:rPr>
          <w:rFonts w:hint="eastAsia" w:ascii="仿宋" w:hAnsi="仿宋" w:eastAsia="仿宋"/>
          <w:sz w:val="32"/>
          <w:szCs w:val="32"/>
        </w:rPr>
        <w:t>图3：支出决算结构图）（饼状图）</w:t>
      </w:r>
    </w:p>
    <w:p w14:paraId="4F2A5202">
      <w:r>
        <w:drawing>
          <wp:inline distT="0" distB="0" distL="0" distR="0">
            <wp:extent cx="4961255" cy="2226310"/>
            <wp:effectExtent l="4445" t="4445" r="17780" b="9525"/>
            <wp:docPr id="478911875"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B25C5F1">
      <w:pPr>
        <w:pStyle w:val="4"/>
      </w:pPr>
    </w:p>
    <w:p w14:paraId="38049428"/>
    <w:p w14:paraId="7E0AAC4F">
      <w:pPr>
        <w:spacing w:line="600" w:lineRule="exact"/>
        <w:ind w:firstLine="640" w:firstLineChars="200"/>
        <w:outlineLvl w:val="1"/>
        <w:rPr>
          <w:rStyle w:val="30"/>
          <w:rFonts w:hint="eastAsia" w:ascii="黑体" w:hAnsi="黑体" w:eastAsia="黑体"/>
          <w:b w:val="0"/>
        </w:rPr>
      </w:pPr>
      <w:bookmarkStart w:id="76" w:name="_Toc15396606"/>
      <w:bookmarkStart w:id="77" w:name="_Toc26235_WPSOffice_Level2"/>
      <w:bookmarkStart w:id="78" w:name="_Toc15377208"/>
      <w:r>
        <w:rPr>
          <w:rFonts w:hint="eastAsia" w:ascii="黑体" w:hAnsi="黑体" w:eastAsia="黑体"/>
          <w:sz w:val="32"/>
          <w:szCs w:val="32"/>
        </w:rPr>
        <w:t>四、财</w:t>
      </w:r>
      <w:r>
        <w:rPr>
          <w:rStyle w:val="30"/>
          <w:rFonts w:hint="eastAsia" w:ascii="黑体" w:hAnsi="黑体" w:eastAsia="黑体"/>
          <w:b w:val="0"/>
        </w:rPr>
        <w:t>政拨款收入支出决算总体情况说明</w:t>
      </w:r>
      <w:bookmarkEnd w:id="76"/>
      <w:bookmarkEnd w:id="77"/>
      <w:bookmarkEnd w:id="78"/>
    </w:p>
    <w:p w14:paraId="13FC75F3">
      <w:pPr>
        <w:spacing w:line="600" w:lineRule="exact"/>
        <w:ind w:firstLine="640"/>
        <w:rPr>
          <w:rFonts w:hint="eastAsia" w:ascii="仿宋" w:hAnsi="仿宋" w:eastAsia="仿宋"/>
          <w:b/>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年度财政拨款收、支总计均为</w:t>
      </w:r>
      <w:r>
        <w:rPr>
          <w:rFonts w:hint="eastAsia" w:eastAsia="仿宋"/>
          <w:sz w:val="32"/>
          <w:szCs w:val="32"/>
          <w:lang w:val="en-US" w:eastAsia="zh-CN"/>
        </w:rPr>
        <w:t>1492.51</w:t>
      </w:r>
      <w:r>
        <w:rPr>
          <w:rFonts w:hint="eastAsia" w:ascii="仿宋" w:hAnsi="仿宋" w:eastAsia="仿宋"/>
          <w:sz w:val="32"/>
          <w:szCs w:val="32"/>
        </w:rPr>
        <w:t>万元。与202</w:t>
      </w:r>
      <w:r>
        <w:rPr>
          <w:rFonts w:hint="eastAsia" w:ascii="仿宋" w:hAnsi="仿宋" w:eastAsia="仿宋"/>
          <w:sz w:val="32"/>
          <w:szCs w:val="32"/>
          <w:lang w:val="en-US" w:eastAsia="zh-CN"/>
        </w:rPr>
        <w:t>4</w:t>
      </w:r>
      <w:r>
        <w:rPr>
          <w:rFonts w:hint="eastAsia" w:ascii="仿宋" w:hAnsi="仿宋" w:eastAsia="仿宋"/>
          <w:sz w:val="32"/>
          <w:szCs w:val="32"/>
        </w:rPr>
        <w:t>年度相比，财政拨款收、支总计各增加</w:t>
      </w:r>
      <w:r>
        <w:rPr>
          <w:rFonts w:hint="eastAsia" w:ascii="仿宋" w:hAnsi="仿宋" w:eastAsia="仿宋"/>
          <w:sz w:val="32"/>
          <w:szCs w:val="32"/>
          <w:lang w:val="en-US" w:eastAsia="zh-CN"/>
        </w:rPr>
        <w:t>1.72</w:t>
      </w:r>
      <w:r>
        <w:rPr>
          <w:rFonts w:hint="eastAsia" w:ascii="仿宋" w:hAnsi="仿宋" w:eastAsia="仿宋"/>
          <w:sz w:val="32"/>
          <w:szCs w:val="32"/>
        </w:rPr>
        <w:t>万元，增长</w:t>
      </w:r>
      <w:r>
        <w:rPr>
          <w:rFonts w:hint="eastAsia" w:ascii="仿宋" w:hAnsi="仿宋" w:eastAsia="仿宋"/>
          <w:sz w:val="32"/>
          <w:szCs w:val="32"/>
          <w:lang w:val="en-US" w:eastAsia="zh-CN"/>
        </w:rPr>
        <w:t>0.12</w:t>
      </w:r>
      <w:r>
        <w:rPr>
          <w:rFonts w:ascii="仿宋" w:hAnsi="仿宋" w:eastAsia="仿宋"/>
          <w:sz w:val="32"/>
          <w:szCs w:val="32"/>
        </w:rPr>
        <w:t>%</w:t>
      </w:r>
      <w:r>
        <w:rPr>
          <w:rFonts w:hint="eastAsia" w:ascii="仿宋" w:hAnsi="仿宋" w:eastAsia="仿宋"/>
          <w:sz w:val="32"/>
          <w:szCs w:val="32"/>
        </w:rPr>
        <w:t>。主要变动原因是：人员变动，薪资变动</w:t>
      </w:r>
      <w:r>
        <w:rPr>
          <w:rFonts w:hint="eastAsia" w:ascii="仿宋" w:hAnsi="仿宋" w:eastAsia="仿宋"/>
          <w:sz w:val="32"/>
          <w:szCs w:val="32"/>
          <w:lang w:eastAsia="zh-CN"/>
        </w:rPr>
        <w:t>。</w:t>
      </w:r>
      <w:r>
        <w:rPr>
          <w:rFonts w:hint="eastAsia" w:ascii="仿宋" w:hAnsi="仿宋" w:eastAsia="仿宋"/>
          <w:sz w:val="32"/>
          <w:szCs w:val="32"/>
        </w:rPr>
        <w:t>（图4：财政拨款收、支决算总计变动情况）（柱状图）</w:t>
      </w:r>
    </w:p>
    <w:p w14:paraId="129FDD88">
      <w:pPr>
        <w:pStyle w:val="4"/>
        <w:rPr>
          <w:rFonts w:hint="eastAsia"/>
        </w:rPr>
      </w:pPr>
      <w:r>
        <w:drawing>
          <wp:inline distT="0" distB="0" distL="0" distR="0">
            <wp:extent cx="5350510" cy="2141855"/>
            <wp:effectExtent l="0" t="0" r="2540" b="10795"/>
            <wp:docPr id="668433226"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D144315">
      <w:pPr>
        <w:spacing w:line="600" w:lineRule="exact"/>
        <w:ind w:firstLine="640" w:firstLineChars="200"/>
        <w:outlineLvl w:val="1"/>
        <w:rPr>
          <w:rStyle w:val="30"/>
          <w:rFonts w:hint="eastAsia" w:ascii="黑体" w:hAnsi="黑体" w:eastAsia="黑体"/>
          <w:b w:val="0"/>
        </w:rPr>
      </w:pPr>
      <w:bookmarkStart w:id="79" w:name="_Toc10331_WPSOffice_Level2"/>
      <w:bookmarkStart w:id="80" w:name="_Toc15396607"/>
      <w:bookmarkStart w:id="81" w:name="_Toc15377209"/>
      <w:r>
        <w:rPr>
          <w:rFonts w:hint="eastAsia" w:ascii="黑体" w:hAnsi="黑体" w:eastAsia="黑体"/>
          <w:sz w:val="32"/>
          <w:szCs w:val="32"/>
        </w:rPr>
        <w:t>五、</w:t>
      </w:r>
      <w:r>
        <w:rPr>
          <w:rFonts w:hint="eastAsia" w:ascii="黑体" w:hAnsi="黑体" w:eastAsia="黑体"/>
          <w:b/>
          <w:sz w:val="32"/>
          <w:szCs w:val="32"/>
        </w:rPr>
        <w:t>一</w:t>
      </w:r>
      <w:r>
        <w:rPr>
          <w:rStyle w:val="30"/>
          <w:rFonts w:hint="eastAsia" w:ascii="黑体" w:hAnsi="黑体" w:eastAsia="黑体"/>
          <w:b w:val="0"/>
        </w:rPr>
        <w:t>般公共预算财政拨款支出决算情况说明</w:t>
      </w:r>
      <w:bookmarkEnd w:id="79"/>
      <w:bookmarkEnd w:id="80"/>
      <w:bookmarkEnd w:id="81"/>
    </w:p>
    <w:p w14:paraId="1467BF64">
      <w:pPr>
        <w:spacing w:line="600" w:lineRule="exact"/>
        <w:ind w:firstLine="643" w:firstLineChars="200"/>
        <w:outlineLvl w:val="2"/>
        <w:rPr>
          <w:rFonts w:hint="eastAsia" w:ascii="仿宋" w:hAnsi="仿宋" w:eastAsia="仿宋"/>
          <w:b/>
          <w:sz w:val="32"/>
          <w:szCs w:val="32"/>
        </w:rPr>
      </w:pPr>
      <w:bookmarkStart w:id="82" w:name="_Toc15377210"/>
      <w:r>
        <w:rPr>
          <w:rFonts w:hint="eastAsia" w:ascii="仿宋" w:hAnsi="仿宋" w:eastAsia="仿宋"/>
          <w:b/>
          <w:sz w:val="32"/>
          <w:szCs w:val="32"/>
        </w:rPr>
        <w:t>（一）一般公共预算财政拨款支出决算总体情况</w:t>
      </w:r>
      <w:bookmarkEnd w:id="82"/>
    </w:p>
    <w:p w14:paraId="50E8A536">
      <w:pPr>
        <w:spacing w:line="600" w:lineRule="exact"/>
        <w:ind w:firstLine="640"/>
        <w:rPr>
          <w:rFonts w:hint="eastAsia" w:ascii="仿宋" w:hAnsi="仿宋" w:eastAsia="仿宋"/>
          <w:sz w:val="32"/>
          <w:szCs w:val="32"/>
          <w:lang w:eastAsia="zh-CN"/>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hint="eastAsia" w:eastAsia="仿宋"/>
          <w:sz w:val="32"/>
          <w:szCs w:val="32"/>
          <w:lang w:val="en-US" w:eastAsia="zh-CN"/>
        </w:rPr>
        <w:t>1492.51</w:t>
      </w:r>
      <w:r>
        <w:rPr>
          <w:rFonts w:hint="eastAsia" w:ascii="仿宋" w:hAnsi="仿宋" w:eastAsia="仿宋"/>
          <w:sz w:val="32"/>
          <w:szCs w:val="32"/>
        </w:rPr>
        <w:t>万元，占本年支出合计的</w:t>
      </w:r>
      <w:r>
        <w:rPr>
          <w:sz w:val="32"/>
          <w:szCs w:val="32"/>
        </w:rPr>
        <w:t>100</w:t>
      </w:r>
      <w:r>
        <w:rPr>
          <w:rFonts w:ascii="仿宋" w:hAnsi="仿宋" w:eastAsia="仿宋"/>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年度相比，一般公共预算财政拨款支出增加</w:t>
      </w:r>
      <w:r>
        <w:rPr>
          <w:rFonts w:hint="eastAsia" w:ascii="仿宋" w:hAnsi="仿宋" w:eastAsia="仿宋"/>
          <w:sz w:val="32"/>
          <w:szCs w:val="32"/>
          <w:lang w:val="en-US" w:eastAsia="zh-CN"/>
        </w:rPr>
        <w:t>1.72</w:t>
      </w:r>
      <w:r>
        <w:rPr>
          <w:rFonts w:hint="eastAsia" w:ascii="仿宋" w:hAnsi="仿宋" w:eastAsia="仿宋"/>
          <w:sz w:val="32"/>
          <w:szCs w:val="32"/>
        </w:rPr>
        <w:t>万元，增长</w:t>
      </w:r>
      <w:r>
        <w:rPr>
          <w:rFonts w:hint="eastAsia" w:ascii="仿宋" w:hAnsi="仿宋" w:eastAsia="仿宋"/>
          <w:sz w:val="32"/>
          <w:szCs w:val="32"/>
          <w:lang w:val="en-US" w:eastAsia="zh-CN"/>
        </w:rPr>
        <w:t>0.12%</w:t>
      </w:r>
      <w:r>
        <w:rPr>
          <w:rFonts w:hint="eastAsia" w:ascii="仿宋" w:hAnsi="仿宋" w:eastAsia="仿宋"/>
          <w:sz w:val="32"/>
          <w:szCs w:val="32"/>
        </w:rPr>
        <w:t>。主要变动原因是：人员变动，薪资变动</w:t>
      </w:r>
      <w:r>
        <w:rPr>
          <w:rFonts w:hint="eastAsia" w:ascii="仿宋" w:hAnsi="仿宋" w:eastAsia="仿宋"/>
          <w:sz w:val="32"/>
          <w:szCs w:val="32"/>
          <w:lang w:eastAsia="zh-CN"/>
        </w:rPr>
        <w:t>。</w:t>
      </w:r>
    </w:p>
    <w:p w14:paraId="18C2622E">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（图5：一般公共预算财政拨款支出决算变动情况）（柱状图）</w:t>
      </w:r>
    </w:p>
    <w:p w14:paraId="6FCDDE42">
      <w:pPr>
        <w:pStyle w:val="4"/>
        <w:rPr>
          <w:rFonts w:hint="eastAsia" w:ascii="仿宋" w:hAnsi="仿宋" w:eastAsia="仿宋"/>
          <w:b/>
          <w:sz w:val="32"/>
          <w:szCs w:val="32"/>
        </w:rPr>
      </w:pPr>
      <w:r>
        <w:rPr>
          <w:rFonts w:hint="eastAsia" w:ascii="仿宋" w:hAnsi="仿宋" w:eastAsia="仿宋"/>
        </w:rPr>
        <w:drawing>
          <wp:inline distT="0" distB="0" distL="0" distR="0">
            <wp:extent cx="5832475" cy="1938020"/>
            <wp:effectExtent l="4445" t="4445" r="15240" b="8255"/>
            <wp:docPr id="114849229"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Start w:id="83" w:name="_Toc15377211"/>
    </w:p>
    <w:p w14:paraId="4AC7FCD2">
      <w:pPr>
        <w:spacing w:line="600" w:lineRule="exact"/>
        <w:outlineLvl w:val="2"/>
        <w:rPr>
          <w:rFonts w:hint="eastAsia" w:ascii="仿宋" w:hAnsi="仿宋" w:eastAsia="仿宋"/>
          <w:b/>
          <w:sz w:val="32"/>
          <w:szCs w:val="32"/>
        </w:rPr>
      </w:pPr>
    </w:p>
    <w:p w14:paraId="2B91E350">
      <w:pPr>
        <w:spacing w:line="600" w:lineRule="exact"/>
        <w:ind w:firstLine="643" w:firstLineChars="200"/>
        <w:outlineLvl w:val="2"/>
        <w:rPr>
          <w:rFonts w:hint="eastAsia" w:ascii="仿宋" w:hAnsi="仿宋" w:eastAsia="仿宋"/>
          <w:b/>
          <w:sz w:val="32"/>
          <w:szCs w:val="32"/>
        </w:rPr>
      </w:pPr>
      <w:r>
        <w:rPr>
          <w:rFonts w:hint="eastAsia" w:ascii="仿宋" w:hAnsi="仿宋" w:eastAsia="仿宋"/>
          <w:b/>
          <w:sz w:val="32"/>
          <w:szCs w:val="32"/>
        </w:rPr>
        <w:t>（二）一般公共预算财政拨款支出决算结构情况</w:t>
      </w:r>
      <w:bookmarkEnd w:id="83"/>
    </w:p>
    <w:p w14:paraId="0453F2A8">
      <w:pPr>
        <w:spacing w:line="600" w:lineRule="exact"/>
        <w:ind w:firstLine="640"/>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hint="eastAsia" w:eastAsia="仿宋"/>
          <w:sz w:val="32"/>
          <w:szCs w:val="32"/>
          <w:lang w:val="en-US" w:eastAsia="zh-CN"/>
        </w:rPr>
        <w:t>1492.51</w:t>
      </w:r>
      <w:r>
        <w:rPr>
          <w:rFonts w:hint="eastAsia" w:ascii="仿宋" w:hAnsi="仿宋" w:eastAsia="仿宋"/>
          <w:sz w:val="32"/>
          <w:szCs w:val="32"/>
        </w:rPr>
        <w:t>万元，主要用于以下方面</w:t>
      </w:r>
      <w:r>
        <w:rPr>
          <w:rFonts w:ascii="仿宋" w:hAnsi="仿宋" w:eastAsia="仿宋"/>
          <w:sz w:val="32"/>
          <w:szCs w:val="32"/>
        </w:rPr>
        <w:t>:</w:t>
      </w:r>
      <w:r>
        <w:rPr>
          <w:rFonts w:hint="eastAsia" w:ascii="仿宋" w:hAnsi="仿宋" w:eastAsia="仿宋"/>
          <w:b/>
          <w:sz w:val="32"/>
          <w:szCs w:val="32"/>
        </w:rPr>
        <w:t>一般公共服务</w:t>
      </w:r>
      <w:r>
        <w:rPr>
          <w:rFonts w:hint="eastAsia" w:ascii="仿宋" w:hAnsi="仿宋" w:eastAsia="仿宋"/>
          <w:b/>
          <w:bCs/>
          <w:sz w:val="32"/>
          <w:szCs w:val="32"/>
        </w:rPr>
        <w:t>支出</w:t>
      </w:r>
      <w:r>
        <w:rPr>
          <w:rFonts w:hint="eastAsia" w:ascii="仿宋" w:hAnsi="仿宋" w:eastAsia="仿宋"/>
          <w:sz w:val="32"/>
          <w:szCs w:val="32"/>
          <w:lang w:val="en-US" w:eastAsia="zh-CN"/>
        </w:rPr>
        <w:t>1241.26</w:t>
      </w:r>
      <w:r>
        <w:rPr>
          <w:rFonts w:hint="eastAsia" w:ascii="仿宋" w:hAnsi="仿宋" w:eastAsia="仿宋"/>
          <w:sz w:val="32"/>
          <w:szCs w:val="32"/>
        </w:rPr>
        <w:t>万元，占</w:t>
      </w:r>
      <w:r>
        <w:rPr>
          <w:rFonts w:hint="eastAsia" w:ascii="仿宋" w:hAnsi="仿宋" w:eastAsia="仿宋"/>
          <w:sz w:val="32"/>
          <w:szCs w:val="32"/>
          <w:lang w:val="en-US" w:eastAsia="zh-CN"/>
        </w:rPr>
        <w:t>83.17</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sz w:val="32"/>
          <w:szCs w:val="32"/>
        </w:rPr>
        <w:t>教育支出</w:t>
      </w:r>
      <w:r>
        <w:rPr>
          <w:rFonts w:hint="eastAsia" w:ascii="仿宋" w:hAnsi="仿宋" w:eastAsia="仿宋"/>
          <w:sz w:val="32"/>
          <w:szCs w:val="32"/>
        </w:rPr>
        <w:t>0万元，占0</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sz w:val="32"/>
          <w:szCs w:val="32"/>
        </w:rPr>
        <w:t>科学技术</w:t>
      </w:r>
      <w:r>
        <w:rPr>
          <w:rFonts w:hint="eastAsia" w:ascii="仿宋" w:hAnsi="仿宋" w:eastAsia="仿宋"/>
          <w:b/>
          <w:bCs/>
          <w:sz w:val="32"/>
          <w:szCs w:val="32"/>
        </w:rPr>
        <w:t>支出</w:t>
      </w:r>
      <w:r>
        <w:rPr>
          <w:rFonts w:hint="eastAsia" w:ascii="仿宋" w:hAnsi="仿宋" w:eastAsia="仿宋"/>
          <w:sz w:val="32"/>
          <w:szCs w:val="32"/>
        </w:rPr>
        <w:t>0万元，占0</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文化旅游体育与传媒支出0万元，占0</w:t>
      </w:r>
      <w:r>
        <w:rPr>
          <w:rFonts w:ascii="仿宋" w:hAnsi="仿宋" w:eastAsia="仿宋"/>
          <w:b/>
          <w:bCs/>
          <w:sz w:val="32"/>
          <w:szCs w:val="32"/>
        </w:rPr>
        <w:t>%</w:t>
      </w:r>
      <w:r>
        <w:rPr>
          <w:rFonts w:hint="eastAsia" w:ascii="仿宋" w:hAnsi="仿宋" w:eastAsia="仿宋"/>
          <w:sz w:val="32"/>
          <w:szCs w:val="32"/>
        </w:rPr>
        <w:t>；</w:t>
      </w:r>
      <w:r>
        <w:rPr>
          <w:rFonts w:hint="eastAsia" w:ascii="仿宋" w:hAnsi="仿宋" w:eastAsia="仿宋"/>
          <w:b/>
          <w:sz w:val="32"/>
          <w:szCs w:val="32"/>
        </w:rPr>
        <w:t>社会保障和就业</w:t>
      </w:r>
      <w:r>
        <w:rPr>
          <w:rFonts w:hint="eastAsia" w:ascii="仿宋" w:hAnsi="仿宋" w:eastAsia="仿宋"/>
          <w:b/>
          <w:bCs/>
          <w:sz w:val="32"/>
          <w:szCs w:val="32"/>
        </w:rPr>
        <w:t>支出</w:t>
      </w:r>
      <w:r>
        <w:rPr>
          <w:rFonts w:hint="eastAsia" w:ascii="仿宋" w:hAnsi="仿宋" w:eastAsia="仿宋"/>
          <w:sz w:val="32"/>
          <w:szCs w:val="32"/>
          <w:lang w:val="en-US" w:eastAsia="zh-CN"/>
        </w:rPr>
        <w:t>131.34</w:t>
      </w:r>
      <w:r>
        <w:rPr>
          <w:rFonts w:hint="eastAsia" w:ascii="仿宋" w:hAnsi="仿宋" w:eastAsia="仿宋"/>
          <w:sz w:val="32"/>
          <w:szCs w:val="32"/>
        </w:rPr>
        <w:t>万元，占</w:t>
      </w:r>
      <w:r>
        <w:rPr>
          <w:rFonts w:hint="eastAsia" w:ascii="仿宋" w:hAnsi="仿宋" w:eastAsia="仿宋"/>
          <w:sz w:val="32"/>
          <w:szCs w:val="32"/>
          <w:lang w:val="en-US" w:eastAsia="zh-CN"/>
        </w:rPr>
        <w:t>8.79</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卫生健康支出</w:t>
      </w:r>
      <w:r>
        <w:rPr>
          <w:rFonts w:hint="eastAsia" w:ascii="仿宋" w:hAnsi="仿宋" w:eastAsia="仿宋"/>
          <w:sz w:val="32"/>
          <w:szCs w:val="32"/>
          <w:lang w:val="en-US" w:eastAsia="zh-CN"/>
        </w:rPr>
        <w:t>49.34</w:t>
      </w:r>
      <w:r>
        <w:rPr>
          <w:rFonts w:hint="eastAsia" w:ascii="仿宋" w:hAnsi="仿宋" w:eastAsia="仿宋"/>
          <w:sz w:val="32"/>
          <w:szCs w:val="32"/>
        </w:rPr>
        <w:t>万元，占</w:t>
      </w:r>
      <w:r>
        <w:rPr>
          <w:rFonts w:hint="eastAsia" w:ascii="仿宋" w:hAnsi="仿宋" w:eastAsia="仿宋"/>
          <w:sz w:val="32"/>
          <w:szCs w:val="32"/>
          <w:lang w:val="en-US" w:eastAsia="zh-CN"/>
        </w:rPr>
        <w:t>3.31</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住房保障支出</w:t>
      </w:r>
      <w:r>
        <w:rPr>
          <w:rFonts w:hint="eastAsia" w:ascii="仿宋" w:hAnsi="仿宋" w:eastAsia="仿宋"/>
          <w:sz w:val="32"/>
          <w:szCs w:val="32"/>
          <w:lang w:val="en-US" w:eastAsia="zh-CN"/>
        </w:rPr>
        <w:t>70.56</w:t>
      </w:r>
      <w:r>
        <w:rPr>
          <w:rFonts w:hint="eastAsia" w:ascii="仿宋" w:hAnsi="仿宋" w:eastAsia="仿宋"/>
          <w:sz w:val="32"/>
          <w:szCs w:val="32"/>
        </w:rPr>
        <w:t>万元，占</w:t>
      </w:r>
      <w:r>
        <w:rPr>
          <w:rFonts w:hint="eastAsia" w:ascii="仿宋" w:hAnsi="仿宋" w:eastAsia="仿宋"/>
          <w:sz w:val="32"/>
          <w:szCs w:val="32"/>
          <w:lang w:val="en-US" w:eastAsia="zh-CN"/>
        </w:rPr>
        <w:t>4.73</w:t>
      </w:r>
      <w:r>
        <w:rPr>
          <w:rFonts w:ascii="仿宋" w:hAnsi="仿宋" w:eastAsia="仿宋"/>
          <w:sz w:val="32"/>
          <w:szCs w:val="32"/>
        </w:rPr>
        <w:t>%</w:t>
      </w:r>
    </w:p>
    <w:p w14:paraId="6ED4FF8F">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（图6：一般公共预算财政拨款支出决算结构）（饼状图）</w:t>
      </w:r>
    </w:p>
    <w:p w14:paraId="59FC1546">
      <w:pPr>
        <w:pStyle w:val="4"/>
      </w:pPr>
      <w:r>
        <w:rPr>
          <w:rFonts w:hint="eastAsia"/>
        </w:rPr>
        <w:drawing>
          <wp:inline distT="0" distB="0" distL="0" distR="0">
            <wp:extent cx="5585460" cy="2306955"/>
            <wp:effectExtent l="4445" t="4445" r="18415" b="5080"/>
            <wp:docPr id="626390512"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D82AB2"/>
    <w:p w14:paraId="14FA0738">
      <w:pPr>
        <w:spacing w:line="600" w:lineRule="exact"/>
        <w:ind w:firstLine="643" w:firstLineChars="200"/>
        <w:outlineLvl w:val="2"/>
        <w:rPr>
          <w:rFonts w:hint="eastAsia" w:ascii="仿宋" w:hAnsi="仿宋" w:eastAsia="仿宋"/>
          <w:b/>
          <w:sz w:val="32"/>
          <w:szCs w:val="32"/>
        </w:rPr>
      </w:pPr>
      <w:bookmarkStart w:id="84" w:name="_Toc15377212"/>
      <w:r>
        <w:rPr>
          <w:rFonts w:hint="eastAsia" w:ascii="仿宋" w:hAnsi="仿宋" w:eastAsia="仿宋"/>
          <w:b/>
          <w:sz w:val="32"/>
          <w:szCs w:val="32"/>
        </w:rPr>
        <w:t>（三）一般公共预算财政拨款支出决算具体情况</w:t>
      </w:r>
      <w:bookmarkEnd w:id="84"/>
    </w:p>
    <w:p w14:paraId="75C2536E">
      <w:pPr>
        <w:spacing w:line="600" w:lineRule="exact"/>
        <w:ind w:firstLine="643" w:firstLineChars="200"/>
        <w:outlineLvl w:val="2"/>
        <w:rPr>
          <w:rFonts w:hint="eastAsia" w:ascii="仿宋" w:hAnsi="仿宋" w:eastAsia="仿宋"/>
          <w:sz w:val="32"/>
          <w:szCs w:val="32"/>
        </w:rPr>
      </w:pPr>
      <w:bookmarkStart w:id="85" w:name="_Toc15377444"/>
      <w:bookmarkStart w:id="86" w:name="_Toc15377213"/>
      <w:bookmarkStart w:id="87" w:name="_Toc15378460"/>
      <w:r>
        <w:rPr>
          <w:rFonts w:hint="eastAsia" w:ascii="仿宋" w:hAnsi="仿宋" w:eastAsia="仿宋"/>
          <w:b/>
          <w:sz w:val="32"/>
          <w:szCs w:val="32"/>
        </w:rPr>
        <w:t>202</w:t>
      </w:r>
      <w:r>
        <w:rPr>
          <w:rFonts w:hint="eastAsia" w:ascii="仿宋" w:hAnsi="仿宋" w:eastAsia="仿宋"/>
          <w:b/>
          <w:sz w:val="32"/>
          <w:szCs w:val="32"/>
          <w:lang w:val="en-US" w:eastAsia="zh-CN"/>
        </w:rPr>
        <w:t>5</w:t>
      </w:r>
      <w:r>
        <w:rPr>
          <w:rFonts w:hint="eastAsia" w:ascii="仿宋" w:hAnsi="仿宋" w:eastAsia="仿宋"/>
          <w:b/>
          <w:sz w:val="32"/>
          <w:szCs w:val="32"/>
        </w:rPr>
        <w:t>年度一般公共预算支出决算数为</w:t>
      </w:r>
      <w:r>
        <w:rPr>
          <w:rFonts w:hint="eastAsia" w:eastAsia="仿宋"/>
          <w:sz w:val="32"/>
          <w:szCs w:val="32"/>
          <w:lang w:val="en-US" w:eastAsia="zh-CN"/>
        </w:rPr>
        <w:t>1492.51</w:t>
      </w:r>
      <w:r>
        <w:rPr>
          <w:rFonts w:hint="eastAsia" w:ascii="仿宋" w:hAnsi="仿宋" w:eastAsia="仿宋"/>
          <w:sz w:val="32"/>
          <w:szCs w:val="32"/>
        </w:rPr>
        <w:t>，</w:t>
      </w:r>
      <w:r>
        <w:rPr>
          <w:rStyle w:val="18"/>
          <w:rFonts w:hint="eastAsia" w:ascii="仿宋" w:hAnsi="仿宋" w:eastAsia="仿宋"/>
          <w:bCs/>
          <w:sz w:val="32"/>
          <w:szCs w:val="32"/>
        </w:rPr>
        <w:t>完成预算100</w:t>
      </w:r>
      <w:r>
        <w:rPr>
          <w:rStyle w:val="18"/>
          <w:rFonts w:ascii="仿宋" w:hAnsi="仿宋" w:eastAsia="仿宋"/>
          <w:bCs/>
          <w:sz w:val="32"/>
          <w:szCs w:val="32"/>
        </w:rPr>
        <w:t>%</w:t>
      </w:r>
      <w:r>
        <w:rPr>
          <w:rStyle w:val="18"/>
          <w:rFonts w:hint="eastAsia" w:ascii="仿宋" w:hAnsi="仿宋" w:eastAsia="仿宋"/>
          <w:bCs/>
          <w:sz w:val="32"/>
          <w:szCs w:val="32"/>
        </w:rPr>
        <w:t>。其中：</w:t>
      </w:r>
      <w:bookmarkEnd w:id="85"/>
      <w:bookmarkEnd w:id="86"/>
      <w:bookmarkEnd w:id="87"/>
    </w:p>
    <w:p w14:paraId="0EFB1AC0">
      <w:pPr>
        <w:spacing w:line="600" w:lineRule="exact"/>
        <w:ind w:firstLine="643" w:firstLineChars="200"/>
        <w:rPr>
          <w:rFonts w:hint="eastAsia" w:ascii="仿宋" w:hAnsi="仿宋" w:eastAsia="仿宋"/>
          <w:b/>
          <w:sz w:val="32"/>
          <w:szCs w:val="32"/>
        </w:rPr>
      </w:pPr>
      <w:r>
        <w:rPr>
          <w:rStyle w:val="18"/>
          <w:rFonts w:ascii="仿宋" w:hAnsi="仿宋" w:eastAsia="仿宋"/>
          <w:bCs/>
          <w:sz w:val="32"/>
          <w:szCs w:val="32"/>
        </w:rPr>
        <w:t>1.</w:t>
      </w:r>
      <w:r>
        <w:rPr>
          <w:rStyle w:val="18"/>
          <w:rFonts w:hint="eastAsia" w:ascii="仿宋" w:hAnsi="仿宋" w:eastAsia="仿宋"/>
          <w:bCs/>
          <w:sz w:val="32"/>
          <w:szCs w:val="32"/>
        </w:rPr>
        <w:t>一般公共服务201（类）</w:t>
      </w:r>
      <w:r>
        <w:rPr>
          <w:rStyle w:val="18"/>
          <w:rFonts w:ascii="仿宋" w:hAnsi="仿宋" w:eastAsia="仿宋"/>
          <w:bCs/>
          <w:sz w:val="32"/>
          <w:szCs w:val="32"/>
        </w:rPr>
        <w:t>:</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1241.26</w:t>
      </w:r>
      <w:r>
        <w:rPr>
          <w:rStyle w:val="18"/>
          <w:rFonts w:hint="eastAsia" w:ascii="仿宋" w:hAnsi="仿宋" w:eastAsia="仿宋"/>
          <w:b w:val="0"/>
          <w:bCs/>
          <w:sz w:val="32"/>
          <w:szCs w:val="32"/>
        </w:rPr>
        <w:t>万元（其中2010601行政运行支出</w:t>
      </w:r>
      <w:r>
        <w:rPr>
          <w:rStyle w:val="18"/>
          <w:rFonts w:hint="eastAsia" w:ascii="仿宋" w:hAnsi="仿宋" w:eastAsia="仿宋"/>
          <w:b w:val="0"/>
          <w:bCs/>
          <w:sz w:val="32"/>
          <w:szCs w:val="32"/>
          <w:lang w:val="en-US" w:eastAsia="zh-CN"/>
        </w:rPr>
        <w:t>499.55</w:t>
      </w:r>
      <w:r>
        <w:rPr>
          <w:rStyle w:val="18"/>
          <w:rFonts w:hint="eastAsia" w:ascii="仿宋" w:hAnsi="仿宋" w:eastAsia="仿宋"/>
          <w:b w:val="0"/>
          <w:bCs/>
          <w:sz w:val="32"/>
          <w:szCs w:val="32"/>
        </w:rPr>
        <w:t>万元、2010602一般行政管理事务支出</w:t>
      </w:r>
      <w:r>
        <w:rPr>
          <w:rStyle w:val="18"/>
          <w:rFonts w:hint="eastAsia" w:ascii="仿宋" w:hAnsi="仿宋" w:eastAsia="仿宋"/>
          <w:b w:val="0"/>
          <w:bCs/>
          <w:sz w:val="32"/>
          <w:szCs w:val="32"/>
          <w:lang w:val="en-US" w:eastAsia="zh-CN"/>
        </w:rPr>
        <w:t>131.93</w:t>
      </w:r>
      <w:r>
        <w:rPr>
          <w:rStyle w:val="18"/>
          <w:rFonts w:hint="eastAsia" w:ascii="仿宋" w:hAnsi="仿宋" w:eastAsia="仿宋"/>
          <w:b w:val="0"/>
          <w:bCs/>
          <w:sz w:val="32"/>
          <w:szCs w:val="32"/>
        </w:rPr>
        <w:t>万元、2010607信息化建设支出</w:t>
      </w:r>
      <w:r>
        <w:rPr>
          <w:rStyle w:val="18"/>
          <w:rFonts w:hint="eastAsia" w:ascii="仿宋" w:hAnsi="仿宋" w:eastAsia="仿宋"/>
          <w:b w:val="0"/>
          <w:bCs/>
          <w:sz w:val="32"/>
          <w:szCs w:val="32"/>
          <w:lang w:val="en-US" w:eastAsia="zh-CN"/>
        </w:rPr>
        <w:t>47.6</w:t>
      </w:r>
      <w:r>
        <w:rPr>
          <w:rStyle w:val="18"/>
          <w:rFonts w:hint="eastAsia" w:ascii="仿宋" w:hAnsi="仿宋" w:eastAsia="仿宋"/>
          <w:b w:val="0"/>
          <w:bCs/>
          <w:sz w:val="32"/>
          <w:szCs w:val="32"/>
        </w:rPr>
        <w:t>万元、2010608财政委托业务支出</w:t>
      </w:r>
      <w:r>
        <w:rPr>
          <w:rStyle w:val="18"/>
          <w:rFonts w:hint="eastAsia" w:ascii="仿宋" w:hAnsi="仿宋" w:eastAsia="仿宋"/>
          <w:b w:val="0"/>
          <w:bCs/>
          <w:sz w:val="32"/>
          <w:szCs w:val="32"/>
          <w:lang w:val="en-US" w:eastAsia="zh-CN"/>
        </w:rPr>
        <w:t>356.67</w:t>
      </w:r>
      <w:r>
        <w:rPr>
          <w:rStyle w:val="18"/>
          <w:rFonts w:hint="eastAsia" w:ascii="仿宋" w:hAnsi="仿宋" w:eastAsia="仿宋"/>
          <w:b w:val="0"/>
          <w:bCs/>
          <w:sz w:val="32"/>
          <w:szCs w:val="32"/>
        </w:rPr>
        <w:t>万元、2010650事业运行支出</w:t>
      </w:r>
      <w:r>
        <w:rPr>
          <w:rStyle w:val="18"/>
          <w:rFonts w:hint="eastAsia" w:ascii="仿宋" w:hAnsi="仿宋" w:eastAsia="仿宋"/>
          <w:b w:val="0"/>
          <w:bCs/>
          <w:sz w:val="32"/>
          <w:szCs w:val="32"/>
          <w:lang w:val="en-US" w:eastAsia="zh-CN"/>
        </w:rPr>
        <w:t>205.51</w:t>
      </w:r>
      <w:r>
        <w:rPr>
          <w:rStyle w:val="18"/>
          <w:rFonts w:hint="eastAsia" w:ascii="仿宋" w:hAnsi="仿宋" w:eastAsia="仿宋"/>
          <w:b w:val="0"/>
          <w:bCs/>
          <w:sz w:val="32"/>
          <w:szCs w:val="32"/>
        </w:rPr>
        <w:t>万元），完成预算100</w:t>
      </w:r>
      <w:r>
        <w:rPr>
          <w:rStyle w:val="18"/>
          <w:rFonts w:ascii="仿宋" w:hAnsi="仿宋" w:eastAsia="仿宋"/>
          <w:b w:val="0"/>
          <w:bCs/>
          <w:sz w:val="32"/>
          <w:szCs w:val="32"/>
        </w:rPr>
        <w:t>%</w:t>
      </w:r>
      <w:r>
        <w:rPr>
          <w:rStyle w:val="18"/>
          <w:rFonts w:hint="eastAsia" w:ascii="仿宋" w:hAnsi="仿宋" w:eastAsia="仿宋"/>
          <w:b w:val="0"/>
          <w:bCs/>
          <w:sz w:val="32"/>
          <w:szCs w:val="32"/>
        </w:rPr>
        <w:t>。</w:t>
      </w:r>
    </w:p>
    <w:p w14:paraId="4996E327">
      <w:pPr>
        <w:spacing w:line="600" w:lineRule="exact"/>
        <w:ind w:firstLine="643" w:firstLineChars="200"/>
        <w:rPr>
          <w:rStyle w:val="18"/>
          <w:rFonts w:hint="eastAsia" w:ascii="仿宋" w:hAnsi="仿宋" w:eastAsia="仿宋"/>
          <w:b w:val="0"/>
          <w:bCs/>
          <w:sz w:val="32"/>
          <w:szCs w:val="32"/>
        </w:rPr>
      </w:pPr>
      <w:r>
        <w:rPr>
          <w:rStyle w:val="18"/>
          <w:rFonts w:ascii="仿宋" w:hAnsi="仿宋" w:eastAsia="仿宋"/>
          <w:bCs/>
          <w:sz w:val="32"/>
          <w:szCs w:val="32"/>
        </w:rPr>
        <w:t>2.</w:t>
      </w:r>
      <w:r>
        <w:rPr>
          <w:rStyle w:val="18"/>
          <w:rFonts w:hint="eastAsia" w:ascii="仿宋" w:hAnsi="仿宋" w:eastAsia="仿宋"/>
          <w:bCs/>
          <w:sz w:val="32"/>
          <w:szCs w:val="32"/>
        </w:rPr>
        <w:t>教育（类）</w:t>
      </w:r>
      <w:r>
        <w:rPr>
          <w:rStyle w:val="18"/>
          <w:rFonts w:ascii="仿宋" w:hAnsi="仿宋" w:eastAsia="仿宋"/>
          <w:bCs/>
          <w:sz w:val="32"/>
          <w:szCs w:val="32"/>
        </w:rPr>
        <w:t>:</w:t>
      </w:r>
      <w:r>
        <w:rPr>
          <w:rStyle w:val="18"/>
          <w:rFonts w:hint="eastAsia" w:ascii="仿宋" w:hAnsi="仿宋" w:eastAsia="仿宋"/>
          <w:b w:val="0"/>
          <w:bCs/>
          <w:sz w:val="32"/>
          <w:szCs w:val="32"/>
        </w:rPr>
        <w:t>支出决算为0万元，完成预算0</w:t>
      </w:r>
      <w:r>
        <w:rPr>
          <w:rStyle w:val="18"/>
          <w:rFonts w:ascii="仿宋" w:hAnsi="仿宋" w:eastAsia="仿宋"/>
          <w:b w:val="0"/>
          <w:bCs/>
          <w:sz w:val="32"/>
          <w:szCs w:val="32"/>
        </w:rPr>
        <w:t>%</w:t>
      </w:r>
      <w:r>
        <w:rPr>
          <w:rStyle w:val="18"/>
          <w:rFonts w:hint="eastAsia" w:ascii="仿宋" w:hAnsi="仿宋" w:eastAsia="仿宋"/>
          <w:b w:val="0"/>
          <w:bCs/>
          <w:sz w:val="32"/>
          <w:szCs w:val="32"/>
        </w:rPr>
        <w:t>。</w:t>
      </w:r>
    </w:p>
    <w:p w14:paraId="06A800A8">
      <w:pPr>
        <w:spacing w:line="600" w:lineRule="exact"/>
        <w:ind w:firstLine="643" w:firstLineChars="200"/>
        <w:rPr>
          <w:rFonts w:hint="eastAsia" w:ascii="仿宋" w:hAnsi="仿宋" w:eastAsia="仿宋"/>
          <w:b/>
          <w:sz w:val="32"/>
          <w:szCs w:val="32"/>
        </w:rPr>
      </w:pPr>
      <w:r>
        <w:rPr>
          <w:rStyle w:val="18"/>
          <w:rFonts w:ascii="仿宋" w:hAnsi="仿宋" w:eastAsia="仿宋"/>
          <w:bCs/>
          <w:sz w:val="32"/>
          <w:szCs w:val="32"/>
        </w:rPr>
        <w:t>3.</w:t>
      </w:r>
      <w:r>
        <w:rPr>
          <w:rStyle w:val="18"/>
          <w:rFonts w:hint="eastAsia" w:ascii="仿宋" w:hAnsi="仿宋" w:eastAsia="仿宋"/>
          <w:bCs/>
          <w:sz w:val="32"/>
          <w:szCs w:val="32"/>
        </w:rPr>
        <w:t>科学技术（类）</w:t>
      </w:r>
      <w:r>
        <w:rPr>
          <w:rStyle w:val="18"/>
          <w:rFonts w:ascii="仿宋" w:hAnsi="仿宋" w:eastAsia="仿宋"/>
          <w:bCs/>
          <w:sz w:val="32"/>
          <w:szCs w:val="32"/>
        </w:rPr>
        <w:t>:</w:t>
      </w:r>
      <w:r>
        <w:rPr>
          <w:rStyle w:val="18"/>
          <w:rFonts w:hint="eastAsia" w:ascii="仿宋" w:hAnsi="仿宋" w:eastAsia="仿宋"/>
          <w:b w:val="0"/>
          <w:bCs/>
          <w:sz w:val="32"/>
          <w:szCs w:val="32"/>
        </w:rPr>
        <w:t>支出决算为0万元，完成预算0</w:t>
      </w:r>
      <w:r>
        <w:rPr>
          <w:rStyle w:val="18"/>
          <w:rFonts w:ascii="仿宋" w:hAnsi="仿宋" w:eastAsia="仿宋"/>
          <w:b w:val="0"/>
          <w:bCs/>
          <w:sz w:val="32"/>
          <w:szCs w:val="32"/>
        </w:rPr>
        <w:t>%</w:t>
      </w:r>
      <w:r>
        <w:rPr>
          <w:rStyle w:val="18"/>
          <w:rFonts w:hint="eastAsia" w:ascii="仿宋" w:hAnsi="仿宋" w:eastAsia="仿宋"/>
          <w:b w:val="0"/>
          <w:bCs/>
          <w:sz w:val="32"/>
          <w:szCs w:val="32"/>
        </w:rPr>
        <w:t>。</w:t>
      </w:r>
    </w:p>
    <w:p w14:paraId="532CC8DA">
      <w:pPr>
        <w:spacing w:line="600" w:lineRule="exact"/>
        <w:ind w:firstLine="643" w:firstLineChars="200"/>
        <w:rPr>
          <w:rFonts w:hint="eastAsia" w:ascii="仿宋" w:hAnsi="仿宋" w:eastAsia="仿宋"/>
          <w:b/>
          <w:sz w:val="32"/>
          <w:szCs w:val="32"/>
        </w:rPr>
      </w:pPr>
      <w:r>
        <w:rPr>
          <w:rStyle w:val="18"/>
          <w:rFonts w:ascii="仿宋" w:hAnsi="仿宋" w:eastAsia="仿宋"/>
          <w:bCs/>
          <w:sz w:val="32"/>
          <w:szCs w:val="32"/>
        </w:rPr>
        <w:t>4.</w:t>
      </w:r>
      <w:r>
        <w:rPr>
          <w:rStyle w:val="18"/>
          <w:rFonts w:hint="eastAsia" w:ascii="仿宋" w:hAnsi="仿宋" w:eastAsia="仿宋"/>
          <w:bCs/>
          <w:sz w:val="32"/>
          <w:szCs w:val="32"/>
        </w:rPr>
        <w:t>文化旅游体育与传媒（类）</w:t>
      </w:r>
      <w:r>
        <w:rPr>
          <w:rStyle w:val="18"/>
          <w:rFonts w:ascii="仿宋" w:hAnsi="仿宋" w:eastAsia="仿宋"/>
          <w:bCs/>
          <w:sz w:val="32"/>
          <w:szCs w:val="32"/>
        </w:rPr>
        <w:t>:</w:t>
      </w:r>
      <w:r>
        <w:rPr>
          <w:rStyle w:val="18"/>
          <w:rFonts w:hint="eastAsia" w:ascii="仿宋" w:hAnsi="仿宋" w:eastAsia="仿宋"/>
          <w:b w:val="0"/>
          <w:bCs/>
          <w:sz w:val="32"/>
          <w:szCs w:val="32"/>
        </w:rPr>
        <w:t>支出决算为0万元，完成预算0</w:t>
      </w:r>
      <w:r>
        <w:rPr>
          <w:rStyle w:val="18"/>
          <w:rFonts w:ascii="仿宋" w:hAnsi="仿宋" w:eastAsia="仿宋"/>
          <w:b w:val="0"/>
          <w:bCs/>
          <w:sz w:val="32"/>
          <w:szCs w:val="32"/>
        </w:rPr>
        <w:t>%</w:t>
      </w:r>
      <w:r>
        <w:rPr>
          <w:rStyle w:val="18"/>
          <w:rFonts w:hint="eastAsia" w:ascii="仿宋" w:hAnsi="仿宋" w:eastAsia="仿宋"/>
          <w:b w:val="0"/>
          <w:bCs/>
          <w:sz w:val="32"/>
          <w:szCs w:val="32"/>
        </w:rPr>
        <w:t>。</w:t>
      </w:r>
    </w:p>
    <w:p w14:paraId="11865F3D">
      <w:pPr>
        <w:spacing w:line="600" w:lineRule="exact"/>
        <w:ind w:firstLine="643" w:firstLineChars="200"/>
        <w:rPr>
          <w:rFonts w:hint="eastAsia" w:ascii="仿宋" w:hAnsi="仿宋" w:eastAsia="仿宋"/>
          <w:b/>
          <w:color w:val="auto"/>
          <w:sz w:val="32"/>
          <w:szCs w:val="32"/>
        </w:rPr>
      </w:pPr>
      <w:r>
        <w:rPr>
          <w:rStyle w:val="18"/>
          <w:rFonts w:ascii="仿宋" w:hAnsi="仿宋" w:eastAsia="仿宋"/>
          <w:bCs/>
          <w:color w:val="auto"/>
          <w:sz w:val="32"/>
          <w:szCs w:val="32"/>
        </w:rPr>
        <w:t>5.</w:t>
      </w:r>
      <w:r>
        <w:rPr>
          <w:rStyle w:val="18"/>
          <w:rFonts w:hint="eastAsia" w:ascii="仿宋" w:hAnsi="仿宋" w:eastAsia="仿宋"/>
          <w:bCs/>
          <w:color w:val="auto"/>
          <w:sz w:val="32"/>
          <w:szCs w:val="32"/>
        </w:rPr>
        <w:t>社会保障和就业208（类）</w:t>
      </w:r>
      <w:r>
        <w:rPr>
          <w:rStyle w:val="18"/>
          <w:rFonts w:ascii="仿宋" w:hAnsi="仿宋" w:eastAsia="仿宋"/>
          <w:bCs/>
          <w:color w:val="auto"/>
          <w:sz w:val="32"/>
          <w:szCs w:val="32"/>
        </w:rPr>
        <w:t>:</w:t>
      </w:r>
      <w:r>
        <w:rPr>
          <w:rStyle w:val="18"/>
          <w:rFonts w:hint="eastAsia" w:ascii="仿宋" w:hAnsi="仿宋" w:eastAsia="仿宋"/>
          <w:b w:val="0"/>
          <w:bCs/>
          <w:color w:val="auto"/>
          <w:sz w:val="32"/>
          <w:szCs w:val="32"/>
        </w:rPr>
        <w:t>支出决算为</w:t>
      </w:r>
      <w:r>
        <w:rPr>
          <w:rStyle w:val="18"/>
          <w:rFonts w:hint="eastAsia" w:ascii="仿宋" w:hAnsi="仿宋" w:eastAsia="仿宋"/>
          <w:b w:val="0"/>
          <w:bCs/>
          <w:color w:val="auto"/>
          <w:sz w:val="32"/>
          <w:szCs w:val="32"/>
          <w:lang w:val="en-US" w:eastAsia="zh-CN"/>
        </w:rPr>
        <w:t>131.34</w:t>
      </w:r>
      <w:r>
        <w:rPr>
          <w:rStyle w:val="18"/>
          <w:rFonts w:hint="eastAsia" w:ascii="仿宋" w:hAnsi="仿宋" w:eastAsia="仿宋"/>
          <w:b w:val="0"/>
          <w:bCs/>
          <w:color w:val="auto"/>
          <w:sz w:val="32"/>
          <w:szCs w:val="32"/>
        </w:rPr>
        <w:t>万元（其中2080505行政事业单位养老支出</w:t>
      </w:r>
      <w:r>
        <w:rPr>
          <w:rStyle w:val="18"/>
          <w:rFonts w:hint="eastAsia" w:ascii="仿宋" w:hAnsi="仿宋" w:eastAsia="仿宋"/>
          <w:b w:val="0"/>
          <w:bCs/>
          <w:color w:val="auto"/>
          <w:sz w:val="32"/>
          <w:szCs w:val="32"/>
          <w:lang w:val="en-US" w:eastAsia="zh-CN"/>
        </w:rPr>
        <w:t>88.15</w:t>
      </w:r>
      <w:r>
        <w:rPr>
          <w:rStyle w:val="18"/>
          <w:rFonts w:hint="eastAsia" w:ascii="仿宋" w:hAnsi="仿宋" w:eastAsia="仿宋"/>
          <w:b w:val="0"/>
          <w:bCs/>
          <w:color w:val="auto"/>
          <w:sz w:val="32"/>
          <w:szCs w:val="32"/>
        </w:rPr>
        <w:t>万元、2080506机关事业单位职业年金缴费支出</w:t>
      </w:r>
      <w:r>
        <w:rPr>
          <w:rStyle w:val="18"/>
          <w:rFonts w:hint="eastAsia" w:ascii="仿宋" w:hAnsi="仿宋" w:eastAsia="仿宋"/>
          <w:b w:val="0"/>
          <w:bCs/>
          <w:color w:val="auto"/>
          <w:sz w:val="32"/>
          <w:szCs w:val="32"/>
          <w:lang w:val="en-US" w:eastAsia="zh-CN"/>
        </w:rPr>
        <w:t>43.19</w:t>
      </w:r>
      <w:r>
        <w:rPr>
          <w:rStyle w:val="18"/>
          <w:rFonts w:hint="eastAsia" w:ascii="仿宋" w:hAnsi="仿宋" w:eastAsia="仿宋"/>
          <w:b w:val="0"/>
          <w:bCs/>
          <w:color w:val="auto"/>
          <w:sz w:val="32"/>
          <w:szCs w:val="32"/>
        </w:rPr>
        <w:t>万元），完成预算100</w:t>
      </w:r>
      <w:r>
        <w:rPr>
          <w:rStyle w:val="18"/>
          <w:rFonts w:ascii="仿宋" w:hAnsi="仿宋" w:eastAsia="仿宋"/>
          <w:b w:val="0"/>
          <w:bCs/>
          <w:color w:val="auto"/>
          <w:sz w:val="32"/>
          <w:szCs w:val="32"/>
        </w:rPr>
        <w:t>%</w:t>
      </w:r>
      <w:r>
        <w:rPr>
          <w:rStyle w:val="18"/>
          <w:rFonts w:hint="eastAsia" w:ascii="仿宋" w:hAnsi="仿宋" w:eastAsia="仿宋"/>
          <w:b w:val="0"/>
          <w:bCs/>
          <w:color w:val="auto"/>
          <w:sz w:val="32"/>
          <w:szCs w:val="32"/>
        </w:rPr>
        <w:t>。</w:t>
      </w:r>
    </w:p>
    <w:p w14:paraId="259FA1B3">
      <w:pPr>
        <w:spacing w:line="600" w:lineRule="exact"/>
        <w:ind w:firstLine="643" w:firstLineChars="200"/>
        <w:rPr>
          <w:rStyle w:val="18"/>
          <w:rFonts w:hint="eastAsia" w:ascii="仿宋" w:hAnsi="仿宋" w:eastAsia="仿宋"/>
          <w:b w:val="0"/>
          <w:bCs/>
          <w:color w:val="auto"/>
          <w:sz w:val="32"/>
          <w:szCs w:val="32"/>
        </w:rPr>
      </w:pPr>
      <w:r>
        <w:rPr>
          <w:rStyle w:val="18"/>
          <w:rFonts w:ascii="仿宋" w:hAnsi="仿宋" w:eastAsia="仿宋"/>
          <w:bCs/>
          <w:color w:val="auto"/>
          <w:sz w:val="32"/>
          <w:szCs w:val="32"/>
        </w:rPr>
        <w:t>6.</w:t>
      </w:r>
      <w:r>
        <w:rPr>
          <w:rFonts w:hint="eastAsia" w:ascii="仿宋" w:hAnsi="仿宋" w:eastAsia="仿宋"/>
          <w:b/>
          <w:bCs/>
          <w:color w:val="auto"/>
          <w:sz w:val="32"/>
          <w:szCs w:val="32"/>
        </w:rPr>
        <w:t>卫生健康210</w:t>
      </w:r>
      <w:r>
        <w:rPr>
          <w:rStyle w:val="18"/>
          <w:rFonts w:hint="eastAsia" w:ascii="仿宋" w:hAnsi="仿宋" w:eastAsia="仿宋"/>
          <w:bCs/>
          <w:color w:val="auto"/>
          <w:sz w:val="32"/>
          <w:szCs w:val="32"/>
        </w:rPr>
        <w:t>（类）</w:t>
      </w:r>
      <w:r>
        <w:rPr>
          <w:rStyle w:val="18"/>
          <w:rFonts w:ascii="仿宋" w:hAnsi="仿宋" w:eastAsia="仿宋"/>
          <w:bCs/>
          <w:color w:val="auto"/>
          <w:sz w:val="32"/>
          <w:szCs w:val="32"/>
        </w:rPr>
        <w:t>:</w:t>
      </w:r>
      <w:r>
        <w:rPr>
          <w:rStyle w:val="18"/>
          <w:rFonts w:hint="eastAsia" w:ascii="仿宋" w:hAnsi="仿宋" w:eastAsia="仿宋"/>
          <w:b w:val="0"/>
          <w:bCs/>
          <w:color w:val="auto"/>
          <w:sz w:val="32"/>
          <w:szCs w:val="32"/>
        </w:rPr>
        <w:t>支出决算为</w:t>
      </w:r>
      <w:r>
        <w:rPr>
          <w:rStyle w:val="18"/>
          <w:rFonts w:hint="eastAsia" w:ascii="仿宋" w:hAnsi="仿宋" w:eastAsia="仿宋"/>
          <w:b w:val="0"/>
          <w:bCs/>
          <w:color w:val="auto"/>
          <w:sz w:val="32"/>
          <w:szCs w:val="32"/>
          <w:lang w:val="en-US" w:eastAsia="zh-CN"/>
        </w:rPr>
        <w:t>49.34</w:t>
      </w:r>
      <w:r>
        <w:rPr>
          <w:rStyle w:val="18"/>
          <w:rFonts w:hint="eastAsia" w:ascii="仿宋" w:hAnsi="仿宋" w:eastAsia="仿宋"/>
          <w:b w:val="0"/>
          <w:bCs/>
          <w:color w:val="auto"/>
          <w:sz w:val="32"/>
          <w:szCs w:val="32"/>
        </w:rPr>
        <w:t>万元（其中2101101行政单位医疗支出</w:t>
      </w:r>
      <w:r>
        <w:rPr>
          <w:rStyle w:val="18"/>
          <w:rFonts w:hint="eastAsia" w:ascii="仿宋" w:hAnsi="仿宋" w:eastAsia="仿宋"/>
          <w:b w:val="0"/>
          <w:bCs/>
          <w:color w:val="auto"/>
          <w:sz w:val="32"/>
          <w:szCs w:val="32"/>
          <w:lang w:val="en-US" w:eastAsia="zh-CN"/>
        </w:rPr>
        <w:t>27.99</w:t>
      </w:r>
      <w:r>
        <w:rPr>
          <w:rStyle w:val="18"/>
          <w:rFonts w:hint="eastAsia" w:ascii="仿宋" w:hAnsi="仿宋" w:eastAsia="仿宋"/>
          <w:b w:val="0"/>
          <w:bCs/>
          <w:color w:val="auto"/>
          <w:sz w:val="32"/>
          <w:szCs w:val="32"/>
        </w:rPr>
        <w:t>万元、2101102事业单位医疗支出</w:t>
      </w:r>
      <w:r>
        <w:rPr>
          <w:rStyle w:val="18"/>
          <w:rFonts w:hint="eastAsia" w:ascii="仿宋" w:hAnsi="仿宋" w:eastAsia="仿宋"/>
          <w:b w:val="0"/>
          <w:bCs/>
          <w:color w:val="auto"/>
          <w:sz w:val="32"/>
          <w:szCs w:val="32"/>
          <w:lang w:val="en-US" w:eastAsia="zh-CN"/>
        </w:rPr>
        <w:t>12.29</w:t>
      </w:r>
      <w:r>
        <w:rPr>
          <w:rStyle w:val="18"/>
          <w:rFonts w:hint="eastAsia" w:ascii="仿宋" w:hAnsi="仿宋" w:eastAsia="仿宋"/>
          <w:b w:val="0"/>
          <w:bCs/>
          <w:color w:val="auto"/>
          <w:sz w:val="32"/>
          <w:szCs w:val="32"/>
        </w:rPr>
        <w:t>万元,2101103公务员医疗补助</w:t>
      </w:r>
      <w:r>
        <w:rPr>
          <w:rStyle w:val="18"/>
          <w:rFonts w:hint="eastAsia" w:ascii="仿宋" w:hAnsi="仿宋" w:eastAsia="仿宋"/>
          <w:b w:val="0"/>
          <w:bCs/>
          <w:color w:val="auto"/>
          <w:sz w:val="32"/>
          <w:szCs w:val="32"/>
          <w:lang w:val="en-US" w:eastAsia="zh-CN"/>
        </w:rPr>
        <w:t>6.83</w:t>
      </w:r>
      <w:r>
        <w:rPr>
          <w:rStyle w:val="18"/>
          <w:rFonts w:hint="eastAsia" w:ascii="仿宋" w:hAnsi="仿宋" w:eastAsia="仿宋"/>
          <w:b w:val="0"/>
          <w:bCs/>
          <w:color w:val="auto"/>
          <w:sz w:val="32"/>
          <w:szCs w:val="32"/>
        </w:rPr>
        <w:t>万元、2101199其他行政事业单位医疗支出</w:t>
      </w:r>
      <w:r>
        <w:rPr>
          <w:rStyle w:val="18"/>
          <w:rFonts w:hint="eastAsia" w:ascii="仿宋" w:hAnsi="仿宋" w:eastAsia="仿宋"/>
          <w:b w:val="0"/>
          <w:bCs/>
          <w:color w:val="auto"/>
          <w:sz w:val="32"/>
          <w:szCs w:val="32"/>
          <w:lang w:val="en-US" w:eastAsia="zh-CN"/>
        </w:rPr>
        <w:t>2.23</w:t>
      </w:r>
      <w:r>
        <w:rPr>
          <w:rStyle w:val="18"/>
          <w:rFonts w:hint="eastAsia" w:ascii="仿宋" w:hAnsi="仿宋" w:eastAsia="仿宋"/>
          <w:b w:val="0"/>
          <w:bCs/>
          <w:color w:val="auto"/>
          <w:sz w:val="32"/>
          <w:szCs w:val="32"/>
        </w:rPr>
        <w:t>万元），完成预算100</w:t>
      </w:r>
      <w:r>
        <w:rPr>
          <w:rStyle w:val="18"/>
          <w:rFonts w:ascii="仿宋" w:hAnsi="仿宋" w:eastAsia="仿宋"/>
          <w:b w:val="0"/>
          <w:bCs/>
          <w:color w:val="auto"/>
          <w:sz w:val="32"/>
          <w:szCs w:val="32"/>
        </w:rPr>
        <w:t>%</w:t>
      </w:r>
      <w:r>
        <w:rPr>
          <w:rStyle w:val="18"/>
          <w:rFonts w:hint="eastAsia" w:ascii="仿宋" w:hAnsi="仿宋" w:eastAsia="仿宋"/>
          <w:b w:val="0"/>
          <w:bCs/>
          <w:color w:val="auto"/>
          <w:sz w:val="32"/>
          <w:szCs w:val="32"/>
        </w:rPr>
        <w:t>。</w:t>
      </w:r>
    </w:p>
    <w:p w14:paraId="6F074346">
      <w:pPr>
        <w:pStyle w:val="4"/>
        <w:rPr>
          <w:rStyle w:val="18"/>
          <w:rFonts w:hint="default" w:ascii="仿宋" w:hAnsi="仿宋" w:eastAsia="仿宋" w:cs="Times New Roman"/>
          <w:b w:val="0"/>
          <w:bCs/>
          <w:color w:val="auto"/>
          <w:kern w:val="2"/>
          <w:sz w:val="32"/>
          <w:szCs w:val="32"/>
          <w:lang w:val="en-US" w:eastAsia="zh-CN" w:bidi="ar-SA"/>
        </w:rPr>
      </w:pPr>
      <w:r>
        <w:rPr>
          <w:rStyle w:val="18"/>
          <w:rFonts w:hint="eastAsia" w:ascii="仿宋" w:hAnsi="仿宋" w:eastAsia="仿宋"/>
          <w:b w:val="0"/>
          <w:bCs/>
          <w:color w:val="auto"/>
          <w:sz w:val="32"/>
          <w:szCs w:val="32"/>
          <w:lang w:val="en-US" w:eastAsia="zh-CN"/>
        </w:rPr>
        <w:t xml:space="preserve">   </w:t>
      </w:r>
      <w:r>
        <w:rPr>
          <w:rStyle w:val="18"/>
          <w:rFonts w:hint="eastAsia" w:ascii="仿宋" w:hAnsi="仿宋" w:eastAsia="仿宋" w:cs="Times New Roman"/>
          <w:b/>
          <w:bCs/>
          <w:color w:val="auto"/>
          <w:kern w:val="2"/>
          <w:sz w:val="32"/>
          <w:szCs w:val="32"/>
          <w:lang w:val="en-US" w:eastAsia="zh-CN" w:bidi="ar-SA"/>
        </w:rPr>
        <w:t xml:space="preserve"> 7.住房保障221（类）：</w:t>
      </w:r>
      <w:r>
        <w:rPr>
          <w:rStyle w:val="18"/>
          <w:rFonts w:hint="eastAsia" w:ascii="仿宋" w:hAnsi="仿宋" w:eastAsia="仿宋" w:cs="Times New Roman"/>
          <w:b w:val="0"/>
          <w:bCs/>
          <w:color w:val="auto"/>
          <w:kern w:val="2"/>
          <w:sz w:val="32"/>
          <w:szCs w:val="32"/>
          <w:lang w:val="en-US" w:eastAsia="zh-CN" w:bidi="ar-SA"/>
        </w:rPr>
        <w:t>支出决算为70.56万元（其中公积金70.56万元）。</w:t>
      </w:r>
    </w:p>
    <w:p w14:paraId="753C1C26">
      <w:pPr>
        <w:tabs>
          <w:tab w:val="right" w:pos="8306"/>
        </w:tabs>
        <w:spacing w:line="600" w:lineRule="exact"/>
        <w:ind w:firstLine="640"/>
        <w:outlineLvl w:val="1"/>
        <w:rPr>
          <w:rStyle w:val="30"/>
        </w:rPr>
      </w:pPr>
      <w:bookmarkStart w:id="88" w:name="_Toc15396608"/>
      <w:bookmarkStart w:id="89" w:name="_Toc15377214"/>
      <w:bookmarkStart w:id="90" w:name="_Toc14932_WPSOffice_Level2"/>
      <w:r>
        <w:rPr>
          <w:rFonts w:hint="eastAsia" w:ascii="黑体" w:eastAsia="黑体"/>
          <w:color w:val="auto"/>
          <w:sz w:val="32"/>
          <w:szCs w:val="32"/>
        </w:rPr>
        <w:t>六</w:t>
      </w:r>
      <w:r>
        <w:rPr>
          <w:rFonts w:hint="eastAsia" w:ascii="黑体" w:eastAsia="黑体"/>
          <w:b/>
          <w:color w:val="auto"/>
          <w:sz w:val="32"/>
          <w:szCs w:val="32"/>
        </w:rPr>
        <w:t>、</w:t>
      </w:r>
      <w:r>
        <w:rPr>
          <w:rFonts w:hint="eastAsia" w:ascii="黑体" w:hAnsi="黑体" w:eastAsia="黑体"/>
          <w:b/>
          <w:color w:val="auto"/>
          <w:sz w:val="32"/>
          <w:szCs w:val="32"/>
        </w:rPr>
        <w:t>一</w:t>
      </w:r>
      <w:r>
        <w:rPr>
          <w:rStyle w:val="30"/>
          <w:rFonts w:hint="eastAsia" w:ascii="黑体" w:hAnsi="黑体" w:eastAsia="黑体"/>
          <w:b w:val="0"/>
          <w:color w:val="auto"/>
        </w:rPr>
        <w:t>般公共预算财</w:t>
      </w:r>
      <w:r>
        <w:rPr>
          <w:rStyle w:val="30"/>
          <w:rFonts w:hint="eastAsia" w:ascii="黑体" w:hAnsi="黑体" w:eastAsia="黑体"/>
          <w:b w:val="0"/>
        </w:rPr>
        <w:t>政拨款基本支出决算情况说明</w:t>
      </w:r>
      <w:bookmarkEnd w:id="88"/>
      <w:bookmarkEnd w:id="89"/>
      <w:bookmarkEnd w:id="90"/>
      <w:r>
        <w:rPr>
          <w:rStyle w:val="30"/>
          <w:rFonts w:ascii="黑体" w:hAnsi="黑体" w:eastAsia="黑体"/>
          <w:b w:val="0"/>
        </w:rPr>
        <w:tab/>
      </w:r>
    </w:p>
    <w:p w14:paraId="3806137A">
      <w:pPr>
        <w:spacing w:line="600" w:lineRule="exact"/>
        <w:ind w:firstLine="645"/>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年度一般公共预算财政拨款基本支出</w:t>
      </w:r>
      <w:r>
        <w:rPr>
          <w:rFonts w:hint="eastAsia" w:eastAsia="仿宋"/>
          <w:sz w:val="32"/>
          <w:szCs w:val="32"/>
          <w:lang w:val="en-US" w:eastAsia="zh-CN"/>
        </w:rPr>
        <w:t>956.30</w:t>
      </w:r>
      <w:r>
        <w:rPr>
          <w:rFonts w:hint="eastAsia" w:ascii="仿宋" w:hAnsi="仿宋" w:eastAsia="仿宋"/>
          <w:sz w:val="32"/>
          <w:szCs w:val="32"/>
        </w:rPr>
        <w:t>万元，其中：</w:t>
      </w:r>
    </w:p>
    <w:p w14:paraId="0439B0A2">
      <w:pPr>
        <w:spacing w:line="600" w:lineRule="exact"/>
        <w:ind w:firstLine="645"/>
        <w:rPr>
          <w:rFonts w:hint="eastAsia" w:ascii="仿宋" w:hAnsi="仿宋" w:eastAsia="仿宋"/>
          <w:sz w:val="32"/>
          <w:szCs w:val="32"/>
        </w:rPr>
      </w:pPr>
      <w:r>
        <w:rPr>
          <w:rFonts w:hint="eastAsia" w:ascii="仿宋" w:hAnsi="仿宋" w:eastAsia="仿宋"/>
          <w:sz w:val="32"/>
          <w:szCs w:val="32"/>
        </w:rPr>
        <w:t>人员经费</w:t>
      </w:r>
      <w:r>
        <w:rPr>
          <w:rFonts w:hint="eastAsia" w:eastAsia="仿宋"/>
          <w:sz w:val="32"/>
          <w:szCs w:val="32"/>
          <w:lang w:val="en-US" w:eastAsia="zh-CN"/>
        </w:rPr>
        <w:t>884.02</w:t>
      </w:r>
      <w:r>
        <w:rPr>
          <w:rFonts w:hint="eastAsia" w:ascii="仿宋" w:hAnsi="仿宋" w:eastAsia="仿宋"/>
          <w:sz w:val="32"/>
          <w:szCs w:val="32"/>
        </w:rPr>
        <w:t>万元，主要包括：基本工资</w:t>
      </w:r>
      <w:r>
        <w:rPr>
          <w:rFonts w:hint="eastAsia" w:ascii="仿宋" w:hAnsi="仿宋" w:eastAsia="仿宋"/>
          <w:sz w:val="32"/>
          <w:szCs w:val="32"/>
          <w:lang w:val="en-US" w:eastAsia="zh-CN"/>
        </w:rPr>
        <w:t>170.04</w:t>
      </w:r>
      <w:r>
        <w:rPr>
          <w:rFonts w:hint="eastAsia" w:ascii="仿宋" w:hAnsi="仿宋" w:eastAsia="仿宋"/>
          <w:sz w:val="32"/>
          <w:szCs w:val="32"/>
        </w:rPr>
        <w:t>万元、津贴补贴</w:t>
      </w:r>
      <w:r>
        <w:rPr>
          <w:rFonts w:hint="eastAsia" w:ascii="仿宋" w:hAnsi="仿宋" w:eastAsia="仿宋"/>
          <w:sz w:val="32"/>
          <w:szCs w:val="32"/>
          <w:lang w:val="en-US" w:eastAsia="zh-CN"/>
        </w:rPr>
        <w:t>207.14</w:t>
      </w:r>
      <w:r>
        <w:rPr>
          <w:rFonts w:hint="eastAsia" w:ascii="仿宋" w:hAnsi="仿宋" w:eastAsia="仿宋"/>
          <w:sz w:val="32"/>
          <w:szCs w:val="32"/>
        </w:rPr>
        <w:t>万元、奖金</w:t>
      </w:r>
      <w:r>
        <w:rPr>
          <w:rFonts w:hint="eastAsia" w:ascii="仿宋" w:hAnsi="仿宋" w:eastAsia="仿宋"/>
          <w:sz w:val="32"/>
          <w:szCs w:val="32"/>
          <w:lang w:val="en-US" w:eastAsia="zh-CN"/>
        </w:rPr>
        <w:t>193.79</w:t>
      </w:r>
      <w:r>
        <w:rPr>
          <w:rFonts w:hint="eastAsia" w:ascii="仿宋" w:hAnsi="仿宋" w:eastAsia="仿宋"/>
          <w:sz w:val="32"/>
          <w:szCs w:val="32"/>
        </w:rPr>
        <w:t>万元、伙食补助费0万元、绩效工资</w:t>
      </w:r>
      <w:r>
        <w:rPr>
          <w:rFonts w:hint="eastAsia" w:ascii="仿宋" w:hAnsi="仿宋" w:eastAsia="仿宋"/>
          <w:sz w:val="32"/>
          <w:szCs w:val="32"/>
          <w:lang w:val="en-US" w:eastAsia="zh-CN"/>
        </w:rPr>
        <w:t>37.45</w:t>
      </w:r>
      <w:r>
        <w:rPr>
          <w:rFonts w:hint="eastAsia" w:ascii="仿宋" w:hAnsi="仿宋" w:eastAsia="仿宋"/>
          <w:sz w:val="32"/>
          <w:szCs w:val="32"/>
        </w:rPr>
        <w:t>万元、机关事业单位基本养老保险缴费</w:t>
      </w:r>
      <w:r>
        <w:rPr>
          <w:rFonts w:hint="eastAsia" w:ascii="仿宋" w:hAnsi="仿宋" w:eastAsia="仿宋"/>
          <w:sz w:val="32"/>
          <w:szCs w:val="32"/>
          <w:lang w:val="en-US" w:eastAsia="zh-CN"/>
        </w:rPr>
        <w:t>88.15</w:t>
      </w:r>
      <w:r>
        <w:rPr>
          <w:rFonts w:hint="eastAsia" w:ascii="仿宋" w:hAnsi="仿宋" w:eastAsia="仿宋"/>
          <w:sz w:val="32"/>
          <w:szCs w:val="32"/>
        </w:rPr>
        <w:t>万元、职业年金缴费</w:t>
      </w:r>
      <w:r>
        <w:rPr>
          <w:rFonts w:hint="eastAsia" w:ascii="仿宋" w:hAnsi="仿宋" w:eastAsia="仿宋"/>
          <w:sz w:val="32"/>
          <w:szCs w:val="32"/>
          <w:lang w:val="en-US" w:eastAsia="zh-CN"/>
        </w:rPr>
        <w:t>43.17</w:t>
      </w:r>
      <w:r>
        <w:rPr>
          <w:rFonts w:hint="eastAsia" w:ascii="仿宋" w:hAnsi="仿宋" w:eastAsia="仿宋"/>
          <w:sz w:val="32"/>
          <w:szCs w:val="32"/>
        </w:rPr>
        <w:t>万元、职工基本医疗保险缴费</w:t>
      </w:r>
      <w:r>
        <w:rPr>
          <w:rFonts w:hint="eastAsia" w:ascii="仿宋" w:hAnsi="仿宋" w:eastAsia="仿宋"/>
          <w:sz w:val="32"/>
          <w:szCs w:val="32"/>
          <w:lang w:val="en-US" w:eastAsia="zh-CN"/>
        </w:rPr>
        <w:t>40.29</w:t>
      </w:r>
      <w:r>
        <w:rPr>
          <w:rFonts w:hint="eastAsia" w:ascii="仿宋" w:hAnsi="仿宋" w:eastAsia="仿宋"/>
          <w:sz w:val="32"/>
          <w:szCs w:val="32"/>
        </w:rPr>
        <w:t>万元、公务员医疗补助缴费</w:t>
      </w:r>
      <w:r>
        <w:rPr>
          <w:rFonts w:hint="eastAsia" w:ascii="仿宋" w:hAnsi="仿宋" w:eastAsia="仿宋"/>
          <w:sz w:val="32"/>
          <w:szCs w:val="32"/>
          <w:lang w:val="en-US" w:eastAsia="zh-CN"/>
        </w:rPr>
        <w:t>9.05</w:t>
      </w:r>
      <w:r>
        <w:rPr>
          <w:rFonts w:hint="eastAsia" w:ascii="仿宋" w:hAnsi="仿宋" w:eastAsia="仿宋"/>
          <w:sz w:val="32"/>
          <w:szCs w:val="32"/>
        </w:rPr>
        <w:t>万元、其他社会保障缴费</w:t>
      </w:r>
      <w:r>
        <w:rPr>
          <w:rFonts w:hint="eastAsia" w:ascii="仿宋" w:hAnsi="仿宋" w:eastAsia="仿宋"/>
          <w:sz w:val="32"/>
          <w:szCs w:val="32"/>
          <w:lang w:val="en-US" w:eastAsia="zh-CN"/>
        </w:rPr>
        <w:t>2.2</w:t>
      </w:r>
      <w:r>
        <w:rPr>
          <w:rFonts w:hint="eastAsia" w:ascii="仿宋" w:hAnsi="仿宋" w:eastAsia="仿宋"/>
          <w:sz w:val="32"/>
          <w:szCs w:val="32"/>
        </w:rPr>
        <w:t>万元、医疗费</w:t>
      </w:r>
      <w:r>
        <w:rPr>
          <w:rFonts w:hint="eastAsia" w:ascii="仿宋" w:hAnsi="仿宋" w:eastAsia="仿宋"/>
          <w:sz w:val="32"/>
          <w:szCs w:val="32"/>
          <w:lang w:val="en-US" w:eastAsia="zh-CN"/>
        </w:rPr>
        <w:t>5.94</w:t>
      </w:r>
      <w:r>
        <w:rPr>
          <w:rFonts w:hint="eastAsia" w:ascii="仿宋" w:hAnsi="仿宋" w:eastAsia="仿宋"/>
          <w:sz w:val="32"/>
          <w:szCs w:val="32"/>
        </w:rPr>
        <w:t>万元、其他工资福利支出0万元、离休费0万元、退休费0万元、抚恤金0万元、生活补助</w:t>
      </w:r>
      <w:r>
        <w:rPr>
          <w:rFonts w:hint="eastAsia" w:ascii="仿宋" w:hAnsi="仿宋" w:eastAsia="仿宋"/>
          <w:sz w:val="32"/>
          <w:szCs w:val="32"/>
          <w:lang w:val="en-US" w:eastAsia="zh-CN"/>
        </w:rPr>
        <w:t>14.65</w:t>
      </w:r>
      <w:r>
        <w:rPr>
          <w:rFonts w:hint="eastAsia" w:ascii="仿宋" w:hAnsi="仿宋" w:eastAsia="仿宋"/>
          <w:sz w:val="32"/>
          <w:szCs w:val="32"/>
        </w:rPr>
        <w:t>元、医疗费补助</w:t>
      </w:r>
      <w:r>
        <w:rPr>
          <w:rFonts w:hint="eastAsia" w:ascii="仿宋" w:hAnsi="仿宋" w:eastAsia="仿宋"/>
          <w:sz w:val="32"/>
          <w:szCs w:val="32"/>
          <w:lang w:val="en-US" w:eastAsia="zh-CN"/>
        </w:rPr>
        <w:t>1.58</w:t>
      </w:r>
      <w:r>
        <w:rPr>
          <w:rFonts w:hint="eastAsia" w:ascii="仿宋" w:hAnsi="仿宋" w:eastAsia="仿宋"/>
          <w:sz w:val="32"/>
          <w:szCs w:val="32"/>
        </w:rPr>
        <w:t>万元、奖励金0.01万元、住房公积金</w:t>
      </w:r>
      <w:r>
        <w:rPr>
          <w:rFonts w:hint="eastAsia" w:ascii="仿宋" w:hAnsi="仿宋" w:eastAsia="仿宋"/>
          <w:sz w:val="32"/>
          <w:szCs w:val="32"/>
          <w:lang w:val="en-US" w:eastAsia="zh-CN"/>
        </w:rPr>
        <w:t>70.56</w:t>
      </w:r>
      <w:r>
        <w:rPr>
          <w:rFonts w:hint="eastAsia" w:ascii="仿宋" w:hAnsi="仿宋" w:eastAsia="仿宋"/>
          <w:sz w:val="32"/>
          <w:szCs w:val="32"/>
        </w:rPr>
        <w:t>万元、其他对个人和家庭的补助支出0万元。</w:t>
      </w:r>
    </w:p>
    <w:p w14:paraId="0D12F387">
      <w:pPr>
        <w:spacing w:line="600" w:lineRule="exact"/>
        <w:ind w:firstLine="645"/>
        <w:rPr>
          <w:rFonts w:hint="eastAsia" w:ascii="仿宋" w:hAnsi="仿宋" w:eastAsia="仿宋"/>
          <w:b/>
          <w:sz w:val="32"/>
          <w:szCs w:val="32"/>
        </w:rPr>
      </w:pPr>
      <w:r>
        <w:rPr>
          <w:rFonts w:hint="eastAsia" w:ascii="仿宋" w:hAnsi="仿宋" w:eastAsia="仿宋"/>
          <w:sz w:val="32"/>
          <w:szCs w:val="32"/>
        </w:rPr>
        <w:t xml:space="preserve"> 公用经费</w:t>
      </w:r>
      <w:r>
        <w:rPr>
          <w:rFonts w:hint="eastAsia" w:ascii="仿宋" w:hAnsi="仿宋" w:eastAsia="仿宋"/>
          <w:sz w:val="32"/>
          <w:szCs w:val="32"/>
          <w:lang w:val="en-US" w:eastAsia="zh-CN"/>
        </w:rPr>
        <w:t>72.28</w:t>
      </w:r>
      <w:r>
        <w:rPr>
          <w:rFonts w:hint="eastAsia" w:ascii="仿宋" w:hAnsi="仿宋" w:eastAsia="仿宋"/>
          <w:sz w:val="32"/>
          <w:szCs w:val="32"/>
        </w:rPr>
        <w:t>万元，主要包括：办公费</w:t>
      </w:r>
      <w:r>
        <w:rPr>
          <w:rFonts w:hint="eastAsia" w:ascii="仿宋" w:hAnsi="仿宋" w:eastAsia="仿宋"/>
          <w:sz w:val="32"/>
          <w:szCs w:val="32"/>
          <w:lang w:val="en-US" w:eastAsia="zh-CN"/>
        </w:rPr>
        <w:t>4.83</w:t>
      </w:r>
      <w:r>
        <w:rPr>
          <w:rFonts w:hint="eastAsia" w:ascii="仿宋" w:hAnsi="仿宋" w:eastAsia="仿宋"/>
          <w:sz w:val="32"/>
          <w:szCs w:val="32"/>
        </w:rPr>
        <w:t>万元、印刷费</w:t>
      </w:r>
      <w:r>
        <w:rPr>
          <w:rFonts w:hint="eastAsia" w:ascii="仿宋" w:hAnsi="仿宋" w:eastAsia="仿宋"/>
          <w:sz w:val="32"/>
          <w:szCs w:val="32"/>
          <w:lang w:val="en-US" w:eastAsia="zh-CN"/>
        </w:rPr>
        <w:t>4</w:t>
      </w:r>
      <w:r>
        <w:rPr>
          <w:rFonts w:hint="eastAsia" w:ascii="仿宋" w:hAnsi="仿宋" w:eastAsia="仿宋"/>
          <w:sz w:val="32"/>
          <w:szCs w:val="32"/>
        </w:rPr>
        <w:t>万元、手续费</w:t>
      </w:r>
      <w:r>
        <w:rPr>
          <w:rFonts w:hint="eastAsia" w:ascii="仿宋" w:hAnsi="仿宋" w:eastAsia="仿宋"/>
          <w:sz w:val="32"/>
          <w:szCs w:val="32"/>
          <w:lang w:val="en-US" w:eastAsia="zh-CN"/>
        </w:rPr>
        <w:t>0</w:t>
      </w:r>
      <w:r>
        <w:rPr>
          <w:rFonts w:hint="eastAsia" w:ascii="仿宋" w:hAnsi="仿宋" w:eastAsia="仿宋"/>
          <w:sz w:val="32"/>
          <w:szCs w:val="32"/>
        </w:rPr>
        <w:t>万元、水费0.55万元、电费</w:t>
      </w:r>
      <w:r>
        <w:rPr>
          <w:rFonts w:hint="eastAsia" w:ascii="仿宋" w:hAnsi="仿宋" w:eastAsia="仿宋"/>
          <w:sz w:val="32"/>
          <w:szCs w:val="32"/>
          <w:lang w:val="en-US" w:eastAsia="zh-CN"/>
        </w:rPr>
        <w:t>3.88</w:t>
      </w:r>
      <w:r>
        <w:rPr>
          <w:rFonts w:hint="eastAsia" w:ascii="仿宋" w:hAnsi="仿宋" w:eastAsia="仿宋"/>
          <w:sz w:val="32"/>
          <w:szCs w:val="32"/>
        </w:rPr>
        <w:t>万元、邮电费</w:t>
      </w:r>
      <w:r>
        <w:rPr>
          <w:rFonts w:hint="eastAsia" w:ascii="仿宋" w:hAnsi="仿宋" w:eastAsia="仿宋"/>
          <w:sz w:val="32"/>
          <w:szCs w:val="32"/>
          <w:lang w:val="en-US" w:eastAsia="zh-CN"/>
        </w:rPr>
        <w:t>0.04</w:t>
      </w:r>
      <w:r>
        <w:rPr>
          <w:rFonts w:hint="eastAsia" w:ascii="仿宋" w:hAnsi="仿宋" w:eastAsia="仿宋"/>
          <w:sz w:val="32"/>
          <w:szCs w:val="32"/>
        </w:rPr>
        <w:t>万元、取暖费</w:t>
      </w:r>
      <w:r>
        <w:rPr>
          <w:rFonts w:hint="eastAsia" w:ascii="仿宋" w:hAnsi="仿宋" w:eastAsia="仿宋"/>
          <w:sz w:val="32"/>
          <w:szCs w:val="32"/>
          <w:lang w:val="en-US" w:eastAsia="zh-CN"/>
        </w:rPr>
        <w:t>2.22</w:t>
      </w:r>
      <w:r>
        <w:rPr>
          <w:rFonts w:hint="eastAsia" w:ascii="仿宋" w:hAnsi="仿宋" w:eastAsia="仿宋"/>
          <w:sz w:val="32"/>
          <w:szCs w:val="32"/>
        </w:rPr>
        <w:t>万元、物业管理费0万元、差旅费</w:t>
      </w:r>
      <w:r>
        <w:rPr>
          <w:rFonts w:hint="eastAsia" w:ascii="仿宋" w:hAnsi="仿宋" w:eastAsia="仿宋"/>
          <w:sz w:val="32"/>
          <w:szCs w:val="32"/>
          <w:lang w:val="en-US" w:eastAsia="zh-CN"/>
        </w:rPr>
        <w:t>8.84</w:t>
      </w:r>
      <w:r>
        <w:rPr>
          <w:rFonts w:hint="eastAsia" w:ascii="仿宋" w:hAnsi="仿宋" w:eastAsia="仿宋"/>
          <w:sz w:val="32"/>
          <w:szCs w:val="32"/>
        </w:rPr>
        <w:t>万元、因公出国（境）费用0万元、维修（护）费</w:t>
      </w:r>
      <w:r>
        <w:rPr>
          <w:rFonts w:hint="eastAsia" w:ascii="仿宋" w:hAnsi="仿宋" w:eastAsia="仿宋"/>
          <w:sz w:val="32"/>
          <w:szCs w:val="32"/>
          <w:lang w:val="en-US" w:eastAsia="zh-CN"/>
        </w:rPr>
        <w:t>9.19</w:t>
      </w:r>
      <w:r>
        <w:rPr>
          <w:rFonts w:hint="eastAsia" w:ascii="仿宋" w:hAnsi="仿宋" w:eastAsia="仿宋"/>
          <w:sz w:val="32"/>
          <w:szCs w:val="32"/>
        </w:rPr>
        <w:t>万元、租赁费</w:t>
      </w:r>
      <w:r>
        <w:rPr>
          <w:rFonts w:hint="eastAsia" w:ascii="仿宋" w:hAnsi="仿宋" w:eastAsia="仿宋"/>
          <w:sz w:val="32"/>
          <w:szCs w:val="32"/>
          <w:lang w:val="en-US" w:eastAsia="zh-CN"/>
        </w:rPr>
        <w:t>0.1</w:t>
      </w:r>
      <w:r>
        <w:rPr>
          <w:rFonts w:hint="eastAsia" w:ascii="仿宋" w:hAnsi="仿宋" w:eastAsia="仿宋"/>
          <w:sz w:val="32"/>
          <w:szCs w:val="32"/>
        </w:rPr>
        <w:t>万元、会议费0万元、培训费</w:t>
      </w:r>
      <w:r>
        <w:rPr>
          <w:rFonts w:hint="eastAsia" w:ascii="仿宋" w:hAnsi="仿宋" w:eastAsia="仿宋"/>
          <w:sz w:val="32"/>
          <w:szCs w:val="32"/>
          <w:lang w:val="en-US" w:eastAsia="zh-CN"/>
        </w:rPr>
        <w:t>0</w:t>
      </w:r>
      <w:r>
        <w:rPr>
          <w:rFonts w:hint="eastAsia" w:ascii="仿宋" w:hAnsi="仿宋" w:eastAsia="仿宋"/>
          <w:sz w:val="32"/>
          <w:szCs w:val="32"/>
        </w:rPr>
        <w:t>万元、公务接待费</w:t>
      </w:r>
      <w:r>
        <w:rPr>
          <w:rFonts w:hint="eastAsia" w:ascii="仿宋" w:hAnsi="仿宋" w:eastAsia="仿宋"/>
          <w:sz w:val="32"/>
          <w:szCs w:val="32"/>
          <w:lang w:val="en-US" w:eastAsia="zh-CN"/>
        </w:rPr>
        <w:t>0.11</w:t>
      </w:r>
      <w:r>
        <w:rPr>
          <w:rFonts w:hint="eastAsia" w:ascii="仿宋" w:hAnsi="仿宋" w:eastAsia="仿宋"/>
          <w:sz w:val="32"/>
          <w:szCs w:val="32"/>
        </w:rPr>
        <w:t>万元、劳务费</w:t>
      </w:r>
      <w:r>
        <w:rPr>
          <w:rFonts w:hint="eastAsia" w:ascii="仿宋" w:hAnsi="仿宋" w:eastAsia="仿宋"/>
          <w:sz w:val="32"/>
          <w:szCs w:val="32"/>
          <w:lang w:val="en-US" w:eastAsia="zh-CN"/>
        </w:rPr>
        <w:t>0.78</w:t>
      </w:r>
      <w:r>
        <w:rPr>
          <w:rFonts w:hint="eastAsia" w:ascii="仿宋" w:hAnsi="仿宋" w:eastAsia="仿宋"/>
          <w:sz w:val="32"/>
          <w:szCs w:val="32"/>
        </w:rPr>
        <w:t>万元、委托业务费</w:t>
      </w:r>
      <w:r>
        <w:rPr>
          <w:rFonts w:hint="eastAsia" w:ascii="仿宋" w:hAnsi="仿宋" w:eastAsia="仿宋"/>
          <w:sz w:val="32"/>
          <w:szCs w:val="32"/>
          <w:lang w:val="en-US" w:eastAsia="zh-CN"/>
        </w:rPr>
        <w:t>2.1</w:t>
      </w:r>
      <w:r>
        <w:rPr>
          <w:rFonts w:hint="eastAsia" w:ascii="仿宋" w:hAnsi="仿宋" w:eastAsia="仿宋"/>
          <w:sz w:val="32"/>
          <w:szCs w:val="32"/>
        </w:rPr>
        <w:t>万元、工会经费</w:t>
      </w:r>
      <w:r>
        <w:rPr>
          <w:rFonts w:hint="eastAsia" w:ascii="仿宋" w:hAnsi="仿宋" w:eastAsia="仿宋"/>
          <w:sz w:val="32"/>
          <w:szCs w:val="32"/>
          <w:lang w:val="en-US" w:eastAsia="zh-CN"/>
        </w:rPr>
        <w:t>6.14</w:t>
      </w:r>
      <w:r>
        <w:rPr>
          <w:rFonts w:hint="eastAsia" w:ascii="仿宋" w:hAnsi="仿宋" w:eastAsia="仿宋"/>
          <w:sz w:val="32"/>
          <w:szCs w:val="32"/>
        </w:rPr>
        <w:t>万元、福利费</w:t>
      </w:r>
      <w:r>
        <w:rPr>
          <w:rFonts w:hint="eastAsia" w:ascii="仿宋" w:hAnsi="仿宋" w:eastAsia="仿宋"/>
          <w:sz w:val="32"/>
          <w:szCs w:val="32"/>
          <w:lang w:val="en-US" w:eastAsia="zh-CN"/>
        </w:rPr>
        <w:t>12.73</w:t>
      </w:r>
      <w:r>
        <w:rPr>
          <w:rFonts w:hint="eastAsia" w:ascii="仿宋" w:hAnsi="仿宋" w:eastAsia="仿宋"/>
          <w:sz w:val="32"/>
          <w:szCs w:val="32"/>
        </w:rPr>
        <w:t>万元、公务用车运行维护费</w:t>
      </w:r>
      <w:r>
        <w:rPr>
          <w:rFonts w:hint="eastAsia" w:ascii="仿宋" w:hAnsi="仿宋" w:eastAsia="仿宋"/>
          <w:sz w:val="32"/>
          <w:szCs w:val="32"/>
          <w:lang w:val="en-US" w:eastAsia="zh-CN"/>
        </w:rPr>
        <w:t>8.47</w:t>
      </w:r>
      <w:r>
        <w:rPr>
          <w:rFonts w:hint="eastAsia" w:ascii="仿宋" w:hAnsi="仿宋" w:eastAsia="仿宋"/>
          <w:sz w:val="32"/>
          <w:szCs w:val="32"/>
        </w:rPr>
        <w:t>万元、其他交通费</w:t>
      </w:r>
      <w:r>
        <w:rPr>
          <w:rFonts w:hint="eastAsia" w:ascii="仿宋" w:hAnsi="仿宋" w:eastAsia="仿宋"/>
          <w:sz w:val="32"/>
          <w:szCs w:val="32"/>
          <w:lang w:val="en-US" w:eastAsia="zh-CN"/>
        </w:rPr>
        <w:t>0</w:t>
      </w:r>
      <w:r>
        <w:rPr>
          <w:rFonts w:hint="eastAsia" w:ascii="仿宋" w:hAnsi="仿宋" w:eastAsia="仿宋"/>
          <w:sz w:val="32"/>
          <w:szCs w:val="32"/>
        </w:rPr>
        <w:t>万元、税金及附加费用0万元、其他商品和服务支出</w:t>
      </w:r>
      <w:r>
        <w:rPr>
          <w:rFonts w:hint="eastAsia" w:ascii="仿宋" w:hAnsi="仿宋" w:eastAsia="仿宋"/>
          <w:sz w:val="32"/>
          <w:szCs w:val="32"/>
          <w:lang w:val="en-US" w:eastAsia="zh-CN"/>
        </w:rPr>
        <w:t>8.3</w:t>
      </w:r>
      <w:r>
        <w:rPr>
          <w:rFonts w:hint="eastAsia" w:ascii="仿宋" w:hAnsi="仿宋" w:eastAsia="仿宋"/>
          <w:sz w:val="32"/>
          <w:szCs w:val="32"/>
        </w:rPr>
        <w:t>万元、办公设备购置0万元、专用设备购置0万元、信息网络及软件购置更新0万元、其他资本性支出0万元。</w:t>
      </w:r>
    </w:p>
    <w:p w14:paraId="49F5AD91">
      <w:pPr>
        <w:spacing w:line="600" w:lineRule="exact"/>
        <w:ind w:firstLine="640"/>
        <w:outlineLvl w:val="1"/>
        <w:rPr>
          <w:rStyle w:val="30"/>
          <w:rFonts w:hint="eastAsia" w:ascii="黑体" w:hAnsi="黑体" w:eastAsia="黑体"/>
          <w:b w:val="0"/>
        </w:rPr>
      </w:pPr>
      <w:bookmarkStart w:id="91" w:name="_Toc15396609"/>
      <w:bookmarkStart w:id="92" w:name="_Toc18638_WPSOffice_Level2"/>
      <w:bookmarkStart w:id="93" w:name="_Toc15377215"/>
      <w:r>
        <w:rPr>
          <w:rFonts w:hint="eastAsia" w:ascii="黑体" w:eastAsia="黑体"/>
          <w:sz w:val="32"/>
          <w:szCs w:val="32"/>
        </w:rPr>
        <w:t>七、</w:t>
      </w:r>
      <w:r>
        <w:rPr>
          <w:rStyle w:val="30"/>
          <w:rFonts w:hint="eastAsia" w:ascii="黑体" w:hAnsi="黑体" w:eastAsia="黑体"/>
          <w:b w:val="0"/>
        </w:rPr>
        <w:t>财政拨款</w:t>
      </w:r>
      <w:r>
        <w:rPr>
          <w:rStyle w:val="30"/>
          <w:rFonts w:hint="eastAsia" w:ascii="黑体" w:hAnsi="黑体" w:eastAsia="黑体"/>
        </w:rPr>
        <w:t>“</w:t>
      </w:r>
      <w:r>
        <w:rPr>
          <w:rStyle w:val="30"/>
          <w:rFonts w:hint="eastAsia" w:ascii="黑体" w:hAnsi="黑体" w:eastAsia="黑体"/>
          <w:b w:val="0"/>
        </w:rPr>
        <w:t>三公”经费支出决算情况说明</w:t>
      </w:r>
      <w:bookmarkEnd w:id="91"/>
      <w:bookmarkEnd w:id="92"/>
      <w:bookmarkEnd w:id="93"/>
    </w:p>
    <w:p w14:paraId="5EF21BE3">
      <w:pPr>
        <w:spacing w:line="600" w:lineRule="exact"/>
        <w:ind w:firstLine="640"/>
        <w:outlineLvl w:val="2"/>
        <w:rPr>
          <w:rFonts w:hint="eastAsia" w:ascii="仿宋" w:hAnsi="仿宋" w:eastAsia="仿宋"/>
          <w:b/>
          <w:sz w:val="32"/>
          <w:szCs w:val="32"/>
        </w:rPr>
      </w:pPr>
      <w:bookmarkStart w:id="94" w:name="_Toc15377216"/>
      <w:r>
        <w:rPr>
          <w:rFonts w:hint="eastAsia" w:ascii="仿宋" w:hAnsi="仿宋" w:eastAsia="仿宋"/>
          <w:b/>
          <w:sz w:val="32"/>
          <w:szCs w:val="32"/>
        </w:rPr>
        <w:t>（一）“三公”经费财政拨款支出决算总体情况说明</w:t>
      </w:r>
      <w:bookmarkEnd w:id="94"/>
    </w:p>
    <w:p w14:paraId="0C60B8A4">
      <w:pPr>
        <w:spacing w:line="600" w:lineRule="exact"/>
        <w:ind w:firstLine="640"/>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年度“三公”经费财政拨款支出决算为</w:t>
      </w:r>
      <w:r>
        <w:rPr>
          <w:rFonts w:hint="eastAsia" w:ascii="仿宋" w:hAnsi="仿宋" w:eastAsia="仿宋"/>
          <w:sz w:val="32"/>
          <w:szCs w:val="32"/>
          <w:lang w:val="en-US" w:eastAsia="zh-CN"/>
        </w:rPr>
        <w:t>8.58</w:t>
      </w:r>
      <w:r>
        <w:rPr>
          <w:rFonts w:hint="eastAsia" w:ascii="仿宋" w:hAnsi="仿宋" w:eastAsia="仿宋"/>
          <w:sz w:val="32"/>
          <w:szCs w:val="32"/>
        </w:rPr>
        <w:t>万元，完成预算</w:t>
      </w:r>
      <w:r>
        <w:rPr>
          <w:rFonts w:hint="eastAsia" w:ascii="仿宋" w:hAnsi="仿宋" w:eastAsia="仿宋"/>
          <w:sz w:val="32"/>
          <w:szCs w:val="32"/>
          <w:lang w:val="en-US" w:eastAsia="zh-CN"/>
        </w:rPr>
        <w:t>52.29</w:t>
      </w:r>
      <w:r>
        <w:rPr>
          <w:rFonts w:hint="eastAsia" w:ascii="仿宋" w:hAnsi="仿宋" w:eastAsia="仿宋"/>
          <w:sz w:val="32"/>
          <w:szCs w:val="32"/>
        </w:rPr>
        <w:t>%，较上年度减少</w:t>
      </w:r>
      <w:r>
        <w:rPr>
          <w:rFonts w:hint="eastAsia" w:ascii="仿宋" w:hAnsi="仿宋" w:eastAsia="仿宋"/>
          <w:sz w:val="32"/>
          <w:szCs w:val="32"/>
          <w:lang w:val="en-US" w:eastAsia="zh-CN"/>
        </w:rPr>
        <w:t>4.43</w:t>
      </w:r>
      <w:r>
        <w:rPr>
          <w:rFonts w:hint="eastAsia" w:ascii="仿宋" w:hAnsi="仿宋" w:eastAsia="仿宋"/>
          <w:sz w:val="32"/>
          <w:szCs w:val="32"/>
        </w:rPr>
        <w:t>万元，下降</w:t>
      </w:r>
      <w:r>
        <w:rPr>
          <w:rFonts w:hint="eastAsia" w:ascii="仿宋" w:hAnsi="仿宋" w:eastAsia="仿宋"/>
          <w:sz w:val="32"/>
          <w:szCs w:val="32"/>
          <w:lang w:val="en-US" w:eastAsia="zh-CN"/>
        </w:rPr>
        <w:t>34.05</w:t>
      </w:r>
      <w:r>
        <w:rPr>
          <w:rFonts w:hint="eastAsia" w:ascii="仿宋" w:hAnsi="仿宋" w:eastAsia="仿宋"/>
          <w:sz w:val="32"/>
          <w:szCs w:val="32"/>
        </w:rPr>
        <w:t>%。决算数小于预算数（或与预算数持平）的主要原因是我单位厉行节约，节俭开支。</w:t>
      </w:r>
    </w:p>
    <w:p w14:paraId="6F40F7D6">
      <w:pPr>
        <w:spacing w:line="600" w:lineRule="exact"/>
        <w:ind w:firstLine="640"/>
        <w:outlineLvl w:val="2"/>
        <w:rPr>
          <w:rFonts w:hint="eastAsia" w:ascii="仿宋" w:hAnsi="仿宋" w:eastAsia="仿宋"/>
          <w:b/>
          <w:sz w:val="32"/>
          <w:szCs w:val="32"/>
        </w:rPr>
      </w:pPr>
      <w:bookmarkStart w:id="95" w:name="_Toc15377217"/>
      <w:r>
        <w:rPr>
          <w:rFonts w:hint="eastAsia" w:ascii="仿宋" w:hAnsi="仿宋" w:eastAsia="仿宋"/>
          <w:b/>
          <w:sz w:val="32"/>
          <w:szCs w:val="32"/>
        </w:rPr>
        <w:t>（二）“三公”经费财政拨款支出决算具体情况说明</w:t>
      </w:r>
      <w:bookmarkEnd w:id="95"/>
    </w:p>
    <w:p w14:paraId="122EC4A2">
      <w:pPr>
        <w:spacing w:line="600" w:lineRule="exact"/>
        <w:ind w:firstLine="640"/>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年度“三公”经费财政拨款支出决算中，因公出国（境）费支出决算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；公务用车购置及运行维护费支出决算</w:t>
      </w:r>
      <w:r>
        <w:rPr>
          <w:rFonts w:hint="eastAsia" w:eastAsia="仿宋"/>
          <w:sz w:val="32"/>
          <w:szCs w:val="32"/>
          <w:lang w:val="en-US" w:eastAsia="zh-CN"/>
        </w:rPr>
        <w:t>8.47</w:t>
      </w:r>
      <w:r>
        <w:rPr>
          <w:rFonts w:hint="eastAsia" w:ascii="仿宋" w:hAnsi="仿宋" w:eastAsia="仿宋"/>
          <w:sz w:val="32"/>
          <w:szCs w:val="32"/>
        </w:rPr>
        <w:t>万元，占</w:t>
      </w:r>
      <w:r>
        <w:rPr>
          <w:rFonts w:hint="eastAsia" w:ascii="仿宋" w:hAnsi="仿宋" w:eastAsia="仿宋"/>
          <w:sz w:val="32"/>
          <w:szCs w:val="32"/>
          <w:lang w:val="en-US" w:eastAsia="zh-CN"/>
        </w:rPr>
        <w:t>98.72</w:t>
      </w:r>
      <w:r>
        <w:rPr>
          <w:rFonts w:ascii="仿宋" w:hAnsi="仿宋" w:eastAsia="仿宋"/>
          <w:sz w:val="32"/>
          <w:szCs w:val="32"/>
        </w:rPr>
        <w:t>%</w:t>
      </w:r>
      <w:r>
        <w:rPr>
          <w:rFonts w:hint="eastAsia" w:ascii="仿宋" w:hAnsi="仿宋" w:eastAsia="仿宋"/>
          <w:sz w:val="32"/>
          <w:szCs w:val="32"/>
        </w:rPr>
        <w:t>；公务接待费支出决算</w:t>
      </w:r>
      <w:r>
        <w:rPr>
          <w:rFonts w:hint="eastAsia" w:ascii="仿宋" w:hAnsi="仿宋" w:eastAsia="仿宋"/>
          <w:sz w:val="32"/>
          <w:szCs w:val="32"/>
          <w:lang w:val="en-US" w:eastAsia="zh-CN"/>
        </w:rPr>
        <w:t>0.11</w:t>
      </w:r>
      <w:r>
        <w:rPr>
          <w:rFonts w:hint="eastAsia" w:ascii="仿宋" w:hAnsi="仿宋" w:eastAsia="仿宋"/>
          <w:sz w:val="32"/>
          <w:szCs w:val="32"/>
        </w:rPr>
        <w:t>万元，占</w:t>
      </w:r>
      <w:r>
        <w:rPr>
          <w:rFonts w:hint="eastAsia" w:ascii="仿宋" w:hAnsi="仿宋" w:eastAsia="仿宋"/>
          <w:sz w:val="32"/>
          <w:szCs w:val="32"/>
          <w:lang w:val="en-US" w:eastAsia="zh-CN"/>
        </w:rPr>
        <w:t>1.28</w:t>
      </w:r>
      <w:r>
        <w:rPr>
          <w:rFonts w:ascii="仿宋" w:hAnsi="仿宋" w:eastAsia="仿宋"/>
          <w:sz w:val="32"/>
          <w:szCs w:val="32"/>
        </w:rPr>
        <w:t>%</w:t>
      </w:r>
      <w:r>
        <w:rPr>
          <w:rFonts w:hint="eastAsia" w:ascii="仿宋" w:hAnsi="仿宋" w:eastAsia="仿宋"/>
          <w:sz w:val="32"/>
          <w:szCs w:val="32"/>
        </w:rPr>
        <w:t>。具体情况如下：</w:t>
      </w:r>
    </w:p>
    <w:p w14:paraId="7583837E">
      <w:pPr>
        <w:spacing w:line="600" w:lineRule="exact"/>
        <w:ind w:firstLine="640"/>
        <w:rPr>
          <w:rFonts w:hint="eastAsia" w:ascii="仿宋" w:hAnsi="仿宋" w:eastAsia="仿宋"/>
          <w:sz w:val="32"/>
          <w:szCs w:val="32"/>
          <w:lang w:eastAsia="zh-CN"/>
        </w:rPr>
      </w:pPr>
      <w:r>
        <w:rPr>
          <w:rFonts w:hint="eastAsia" w:ascii="仿宋" w:hAnsi="仿宋" w:eastAsia="仿宋"/>
          <w:sz w:val="32"/>
          <w:szCs w:val="32"/>
        </w:rPr>
        <w:t>（图7：“三公”经费财政拨款支出结构）（饼状图）</w:t>
      </w:r>
    </w:p>
    <w:p w14:paraId="7258DF53">
      <w:r>
        <w:rPr>
          <w:rFonts w:hint="eastAsia" w:ascii="仿宋" w:hAnsi="仿宋" w:eastAsia="仿宋"/>
          <w:sz w:val="32"/>
          <w:szCs w:val="32"/>
          <w:lang w:eastAsia="zh-CN"/>
        </w:rPr>
        <w:drawing>
          <wp:anchor distT="0" distB="0" distL="114300" distR="114300" simplePos="0" relativeHeight="251660288" behindDoc="0" locked="0" layoutInCell="1" allowOverlap="1">
            <wp:simplePos x="0" y="0"/>
            <wp:positionH relativeFrom="column">
              <wp:posOffset>238125</wp:posOffset>
            </wp:positionH>
            <wp:positionV relativeFrom="paragraph">
              <wp:posOffset>264795</wp:posOffset>
            </wp:positionV>
            <wp:extent cx="4975225" cy="2513330"/>
            <wp:effectExtent l="4445" t="4445" r="11430" b="15875"/>
            <wp:wrapTopAndBottom/>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3A625471">
      <w:pPr>
        <w:spacing w:line="600" w:lineRule="exact"/>
        <w:ind w:firstLine="640"/>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因公出国（境）经费支出</w:t>
      </w:r>
      <w:r>
        <w:rPr>
          <w:sz w:val="32"/>
          <w:szCs w:val="32"/>
        </w:rPr>
        <w:t>0</w:t>
      </w:r>
      <w:r>
        <w:rPr>
          <w:rFonts w:hint="eastAsia" w:ascii="仿宋_GB2312" w:eastAsia="仿宋_GB2312"/>
          <w:sz w:val="32"/>
          <w:szCs w:val="32"/>
        </w:rPr>
        <w:t>万元，</w:t>
      </w:r>
      <w:r>
        <w:rPr>
          <w:rStyle w:val="18"/>
          <w:rFonts w:hint="eastAsia" w:ascii="仿宋" w:hAnsi="仿宋" w:eastAsia="仿宋"/>
          <w:b w:val="0"/>
          <w:bCs/>
          <w:sz w:val="32"/>
          <w:szCs w:val="32"/>
        </w:rPr>
        <w:t>完成预算</w:t>
      </w:r>
      <w:r>
        <w:rPr>
          <w:sz w:val="32"/>
          <w:szCs w:val="32"/>
        </w:rPr>
        <w:t>0</w:t>
      </w:r>
      <w:r>
        <w:rPr>
          <w:rStyle w:val="18"/>
          <w:rFonts w:ascii="仿宋" w:hAnsi="仿宋" w:eastAsia="仿宋"/>
          <w:b w:val="0"/>
          <w:bCs/>
          <w:sz w:val="32"/>
          <w:szCs w:val="32"/>
        </w:rPr>
        <w:t>%</w:t>
      </w:r>
      <w:r>
        <w:rPr>
          <w:rStyle w:val="18"/>
          <w:rFonts w:hint="eastAsia" w:ascii="仿宋" w:hAnsi="仿宋" w:eastAsia="仿宋"/>
          <w:b w:val="0"/>
          <w:bCs/>
          <w:sz w:val="32"/>
          <w:szCs w:val="32"/>
        </w:rPr>
        <w:t>。</w:t>
      </w:r>
      <w:r>
        <w:rPr>
          <w:rFonts w:hint="eastAsia" w:ascii="仿宋_GB2312" w:eastAsia="仿宋_GB2312"/>
          <w:sz w:val="32"/>
          <w:szCs w:val="32"/>
        </w:rPr>
        <w:t>全年安排因公出国（境）团组</w:t>
      </w:r>
      <w:r>
        <w:rPr>
          <w:sz w:val="32"/>
          <w:szCs w:val="32"/>
        </w:rPr>
        <w:t>0</w:t>
      </w:r>
      <w:r>
        <w:rPr>
          <w:rFonts w:hint="eastAsia" w:ascii="仿宋_GB2312" w:eastAsia="仿宋_GB2312"/>
          <w:sz w:val="32"/>
          <w:szCs w:val="32"/>
        </w:rPr>
        <w:t>次，出国（境）</w:t>
      </w:r>
      <w:r>
        <w:rPr>
          <w:sz w:val="32"/>
          <w:szCs w:val="32"/>
        </w:rPr>
        <w:t>0</w:t>
      </w:r>
      <w:r>
        <w:rPr>
          <w:rFonts w:hint="eastAsia" w:ascii="仿宋_GB2312" w:eastAsia="仿宋_GB2312"/>
          <w:sz w:val="32"/>
          <w:szCs w:val="32"/>
        </w:rPr>
        <w:t>人。因公出国（境）支出决算与202</w:t>
      </w:r>
      <w:r>
        <w:rPr>
          <w:rFonts w:hint="eastAsia" w:ascii="仿宋_GB2312" w:eastAsia="仿宋_GB2312"/>
          <w:sz w:val="32"/>
          <w:szCs w:val="32"/>
          <w:lang w:val="en-US" w:eastAsia="zh-CN"/>
        </w:rPr>
        <w:t>4</w:t>
      </w:r>
      <w:r>
        <w:rPr>
          <w:rFonts w:hint="eastAsia" w:ascii="仿宋_GB2312" w:eastAsia="仿宋_GB2312"/>
          <w:sz w:val="32"/>
          <w:szCs w:val="32"/>
        </w:rPr>
        <w:t>年持平。主要原因是无因公出国（境）工作安排。</w:t>
      </w:r>
    </w:p>
    <w:p w14:paraId="143DC3D9">
      <w:pPr>
        <w:spacing w:line="600" w:lineRule="exact"/>
        <w:ind w:firstLine="640"/>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w:t>
      </w:r>
      <w:r>
        <w:rPr>
          <w:rFonts w:hint="eastAsia" w:eastAsia="仿宋_GB2312"/>
          <w:sz w:val="32"/>
          <w:szCs w:val="32"/>
          <w:lang w:val="en-US" w:eastAsia="zh-CN"/>
        </w:rPr>
        <w:t>8.47</w:t>
      </w:r>
      <w:r>
        <w:rPr>
          <w:rFonts w:hint="eastAsia" w:ascii="仿宋_GB2312" w:eastAsia="仿宋_GB2312"/>
          <w:sz w:val="32"/>
          <w:szCs w:val="32"/>
        </w:rPr>
        <w:t>万元,</w:t>
      </w:r>
      <w:r>
        <w:rPr>
          <w:rStyle w:val="18"/>
          <w:rFonts w:hint="eastAsia" w:ascii="仿宋" w:hAnsi="仿宋" w:eastAsia="仿宋"/>
          <w:b w:val="0"/>
          <w:bCs/>
          <w:sz w:val="32"/>
          <w:szCs w:val="32"/>
        </w:rPr>
        <w:t>完成预算</w:t>
      </w:r>
      <w:r>
        <w:rPr>
          <w:rFonts w:hint="eastAsia" w:eastAsia="仿宋"/>
          <w:sz w:val="32"/>
          <w:szCs w:val="32"/>
          <w:lang w:val="en-US" w:eastAsia="zh-CN"/>
        </w:rPr>
        <w:t>64.09</w:t>
      </w:r>
      <w:r>
        <w:rPr>
          <w:rStyle w:val="18"/>
          <w:rFonts w:ascii="仿宋" w:hAnsi="仿宋" w:eastAsia="仿宋"/>
          <w:b w:val="0"/>
          <w:bCs/>
          <w:sz w:val="32"/>
          <w:szCs w:val="32"/>
        </w:rPr>
        <w:t>%</w:t>
      </w:r>
      <w:r>
        <w:rPr>
          <w:rStyle w:val="18"/>
          <w:rFonts w:hint="eastAsia" w:ascii="仿宋" w:hAnsi="仿宋" w:eastAsia="仿宋"/>
          <w:b w:val="0"/>
          <w:bCs/>
          <w:sz w:val="32"/>
          <w:szCs w:val="32"/>
        </w:rPr>
        <w:t>。</w:t>
      </w:r>
      <w:r>
        <w:rPr>
          <w:rFonts w:hint="eastAsia" w:ascii="仿宋_GB2312" w:eastAsia="仿宋_GB2312"/>
          <w:sz w:val="32"/>
          <w:szCs w:val="32"/>
        </w:rPr>
        <w:t>公务用车购置及运行维护费支出决算比202</w:t>
      </w:r>
      <w:r>
        <w:rPr>
          <w:rFonts w:hint="eastAsia" w:ascii="仿宋_GB2312" w:eastAsia="仿宋_GB2312"/>
          <w:sz w:val="32"/>
          <w:szCs w:val="32"/>
          <w:lang w:val="en-US" w:eastAsia="zh-CN"/>
        </w:rPr>
        <w:t>4</w:t>
      </w:r>
      <w:r>
        <w:rPr>
          <w:rFonts w:hint="eastAsia" w:ascii="仿宋_GB2312" w:eastAsia="仿宋_GB2312"/>
          <w:sz w:val="32"/>
          <w:szCs w:val="32"/>
        </w:rPr>
        <w:t>年度减少</w:t>
      </w:r>
      <w:r>
        <w:rPr>
          <w:rFonts w:hint="eastAsia" w:ascii="仿宋_GB2312" w:eastAsia="仿宋_GB2312"/>
          <w:sz w:val="32"/>
          <w:szCs w:val="32"/>
          <w:lang w:val="en-US" w:eastAsia="zh-CN"/>
        </w:rPr>
        <w:t>3.73</w:t>
      </w:r>
      <w:r>
        <w:rPr>
          <w:rFonts w:hint="eastAsia" w:ascii="仿宋_GB2312" w:eastAsia="仿宋_GB2312"/>
          <w:sz w:val="32"/>
          <w:szCs w:val="32"/>
        </w:rPr>
        <w:t>万元，下降</w:t>
      </w:r>
      <w:r>
        <w:rPr>
          <w:rFonts w:hint="eastAsia" w:ascii="仿宋_GB2312" w:eastAsia="仿宋_GB2312"/>
          <w:sz w:val="32"/>
          <w:szCs w:val="32"/>
          <w:lang w:val="en-US" w:eastAsia="zh-CN"/>
        </w:rPr>
        <w:t>30.59</w:t>
      </w:r>
      <w:r>
        <w:rPr>
          <w:rFonts w:ascii="仿宋_GB2312" w:eastAsia="仿宋_GB2312"/>
          <w:sz w:val="32"/>
          <w:szCs w:val="32"/>
        </w:rPr>
        <w:t>%</w:t>
      </w:r>
      <w:r>
        <w:rPr>
          <w:rFonts w:hint="eastAsia" w:ascii="仿宋_GB2312" w:eastAsia="仿宋_GB2312"/>
          <w:sz w:val="32"/>
          <w:szCs w:val="32"/>
        </w:rPr>
        <w:t>。主要原因是公车维修次数减少。</w:t>
      </w:r>
    </w:p>
    <w:p w14:paraId="62DF9D37">
      <w:pPr>
        <w:spacing w:line="600" w:lineRule="exact"/>
        <w:ind w:firstLine="640" w:firstLineChars="200"/>
        <w:rPr>
          <w:rFonts w:ascii="仿宋_GB2312" w:eastAsia="仿宋_GB2312"/>
          <w:b/>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sz w:val="32"/>
          <w:szCs w:val="32"/>
        </w:rPr>
        <w:t>0</w:t>
      </w:r>
      <w:r>
        <w:rPr>
          <w:rFonts w:hint="eastAsia" w:ascii="仿宋_GB2312" w:eastAsia="仿宋_GB2312"/>
          <w:sz w:val="32"/>
          <w:szCs w:val="32"/>
        </w:rPr>
        <w:t>万元。全年按规定更新购置公务用车0辆，其中：轿车0辆、金额0万元，越野车0辆、金额0万元，载客汽车0辆、金额0万元。截至202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月31日，单位共有公务用车2辆，其中：轿车0辆、越野车2辆、载客汽车0辆。</w:t>
      </w:r>
    </w:p>
    <w:p w14:paraId="6F1B5038">
      <w:pPr>
        <w:spacing w:line="600" w:lineRule="exact"/>
        <w:ind w:firstLine="640"/>
        <w:rPr>
          <w:rFonts w:ascii="仿宋_GB2312" w:eastAsia="仿宋_GB2312"/>
          <w:sz w:val="32"/>
          <w:szCs w:val="32"/>
        </w:rPr>
      </w:pPr>
      <w:r>
        <w:rPr>
          <w:rFonts w:hint="eastAsia" w:ascii="仿宋_GB2312" w:eastAsia="仿宋_GB2312"/>
          <w:b/>
          <w:sz w:val="32"/>
          <w:szCs w:val="32"/>
        </w:rPr>
        <w:t>公务用车运行维护费支出</w:t>
      </w:r>
      <w:r>
        <w:rPr>
          <w:rFonts w:hint="eastAsia" w:ascii="仿宋_GB2312" w:eastAsia="仿宋_GB2312"/>
          <w:b/>
          <w:sz w:val="32"/>
          <w:szCs w:val="32"/>
          <w:lang w:val="en-US" w:eastAsia="zh-CN"/>
        </w:rPr>
        <w:t>8.47</w:t>
      </w:r>
      <w:r>
        <w:rPr>
          <w:rFonts w:hint="eastAsia" w:ascii="仿宋_GB2312" w:eastAsia="仿宋_GB2312"/>
          <w:sz w:val="32"/>
          <w:szCs w:val="32"/>
        </w:rPr>
        <w:t>万元。主要用于下乡开展两联一进，出差参会、检查工作等所需的公务用车燃料费、维修费、过路过桥费、保险费等支出。</w:t>
      </w:r>
    </w:p>
    <w:p w14:paraId="3EC8445A">
      <w:pPr>
        <w:spacing w:line="600" w:lineRule="exact"/>
        <w:ind w:firstLine="640"/>
        <w:rPr>
          <w:rFonts w:ascii="仿宋_GB2312" w:eastAsia="仿宋_GB2312"/>
          <w:sz w:val="32"/>
          <w:szCs w:val="32"/>
        </w:rPr>
      </w:pPr>
      <w:r>
        <w:rPr>
          <w:rFonts w:ascii="仿宋_GB2312" w:eastAsia="仿宋_GB2312"/>
          <w:b/>
          <w:sz w:val="32"/>
          <w:szCs w:val="32"/>
        </w:rPr>
        <w:t>3.</w:t>
      </w:r>
      <w:r>
        <w:rPr>
          <w:rFonts w:hint="eastAsia" w:ascii="仿宋_GB2312" w:eastAsia="仿宋_GB2312"/>
          <w:b/>
          <w:sz w:val="32"/>
          <w:szCs w:val="32"/>
        </w:rPr>
        <w:t>公务接待费支出0</w:t>
      </w:r>
      <w:r>
        <w:rPr>
          <w:rFonts w:hint="eastAsia" w:ascii="仿宋_GB2312" w:eastAsia="仿宋_GB2312"/>
          <w:b/>
          <w:sz w:val="32"/>
          <w:szCs w:val="32"/>
          <w:lang w:val="en-US" w:eastAsia="zh-CN"/>
        </w:rPr>
        <w:t>.11</w:t>
      </w:r>
      <w:r>
        <w:rPr>
          <w:rFonts w:hint="eastAsia" w:ascii="仿宋_GB2312" w:eastAsia="仿宋_GB2312"/>
          <w:sz w:val="32"/>
          <w:szCs w:val="32"/>
        </w:rPr>
        <w:t>万元，</w:t>
      </w:r>
      <w:r>
        <w:rPr>
          <w:rStyle w:val="18"/>
          <w:rFonts w:hint="eastAsia" w:ascii="仿宋" w:hAnsi="仿宋" w:eastAsia="仿宋"/>
          <w:b w:val="0"/>
          <w:bCs/>
          <w:sz w:val="32"/>
          <w:szCs w:val="32"/>
        </w:rPr>
        <w:t>完成预算</w:t>
      </w:r>
      <w:r>
        <w:rPr>
          <w:rStyle w:val="18"/>
          <w:rFonts w:hint="eastAsia" w:ascii="仿宋" w:hAnsi="仿宋" w:eastAsia="仿宋"/>
          <w:b w:val="0"/>
          <w:bCs/>
          <w:sz w:val="32"/>
          <w:szCs w:val="32"/>
          <w:lang w:val="en-US" w:eastAsia="zh-CN"/>
        </w:rPr>
        <w:t>3.44</w:t>
      </w:r>
      <w:r>
        <w:rPr>
          <w:sz w:val="32"/>
          <w:szCs w:val="32"/>
        </w:rPr>
        <w:t>%</w:t>
      </w:r>
      <w:r>
        <w:rPr>
          <w:rStyle w:val="18"/>
          <w:rFonts w:hint="eastAsia" w:ascii="仿宋" w:hAnsi="仿宋" w:eastAsia="仿宋"/>
          <w:b w:val="0"/>
          <w:bCs/>
          <w:sz w:val="32"/>
          <w:szCs w:val="32"/>
        </w:rPr>
        <w:t>。</w:t>
      </w:r>
      <w:r>
        <w:rPr>
          <w:rFonts w:hint="eastAsia" w:ascii="仿宋_GB2312" w:eastAsia="仿宋_GB2312"/>
          <w:sz w:val="32"/>
          <w:szCs w:val="32"/>
        </w:rPr>
        <w:t>公务接待费支出决算比202</w:t>
      </w:r>
      <w:r>
        <w:rPr>
          <w:rFonts w:hint="eastAsia" w:ascii="仿宋_GB2312" w:eastAsia="仿宋_GB2312"/>
          <w:sz w:val="32"/>
          <w:szCs w:val="32"/>
          <w:lang w:val="en-US" w:eastAsia="zh-CN"/>
        </w:rPr>
        <w:t>4</w:t>
      </w:r>
      <w:r>
        <w:rPr>
          <w:rFonts w:hint="eastAsia" w:ascii="仿宋_GB2312" w:eastAsia="仿宋_GB2312"/>
          <w:sz w:val="32"/>
          <w:szCs w:val="32"/>
        </w:rPr>
        <w:t>年度减少</w:t>
      </w:r>
      <w:r>
        <w:rPr>
          <w:rFonts w:hint="eastAsia" w:ascii="仿宋_GB2312" w:eastAsia="仿宋_GB2312"/>
          <w:sz w:val="32"/>
          <w:szCs w:val="32"/>
          <w:lang w:val="en-US" w:eastAsia="zh-CN"/>
        </w:rPr>
        <w:t>0.71</w:t>
      </w:r>
      <w:r>
        <w:rPr>
          <w:rFonts w:hint="eastAsia" w:ascii="仿宋_GB2312" w:eastAsia="仿宋_GB2312"/>
          <w:sz w:val="32"/>
          <w:szCs w:val="32"/>
        </w:rPr>
        <w:t>万元，下降</w:t>
      </w:r>
      <w:r>
        <w:rPr>
          <w:rFonts w:hint="eastAsia" w:ascii="仿宋_GB2312" w:eastAsia="仿宋_GB2312"/>
          <w:sz w:val="32"/>
          <w:szCs w:val="32"/>
          <w:lang w:val="en-US" w:eastAsia="zh-CN"/>
        </w:rPr>
        <w:t>86.59</w:t>
      </w:r>
      <w:r>
        <w:rPr>
          <w:rFonts w:ascii="仿宋_GB2312" w:eastAsia="仿宋_GB2312"/>
          <w:sz w:val="32"/>
          <w:szCs w:val="32"/>
        </w:rPr>
        <w:t>%</w:t>
      </w:r>
      <w:r>
        <w:rPr>
          <w:rFonts w:hint="eastAsia" w:ascii="仿宋_GB2312" w:eastAsia="仿宋_GB2312"/>
          <w:sz w:val="32"/>
          <w:szCs w:val="32"/>
        </w:rPr>
        <w:t>。主要原因是接待次数和人员减少。其中：国内公务接待支出</w:t>
      </w:r>
      <w:r>
        <w:rPr>
          <w:rFonts w:hint="eastAsia" w:ascii="仿宋_GB2312" w:eastAsia="仿宋_GB2312"/>
          <w:sz w:val="32"/>
          <w:szCs w:val="32"/>
          <w:lang w:val="en-US" w:eastAsia="zh-CN"/>
        </w:rPr>
        <w:t>0.11</w:t>
      </w:r>
      <w:r>
        <w:rPr>
          <w:rFonts w:hint="eastAsia" w:ascii="仿宋_GB2312" w:eastAsia="仿宋_GB2312"/>
          <w:sz w:val="32"/>
          <w:szCs w:val="32"/>
        </w:rPr>
        <w:t>万元，主要用于执行公务、开展业务活动开支的交通费、住宿费、用餐费等。国内公务接待</w:t>
      </w:r>
      <w:r>
        <w:rPr>
          <w:rFonts w:hint="eastAsia" w:ascii="仿宋_GB2312" w:eastAsia="仿宋_GB2312"/>
          <w:sz w:val="32"/>
          <w:szCs w:val="32"/>
          <w:lang w:val="en-US" w:eastAsia="zh-CN"/>
        </w:rPr>
        <w:t>1</w:t>
      </w:r>
      <w:r>
        <w:rPr>
          <w:rFonts w:hint="eastAsia" w:ascii="仿宋_GB2312" w:eastAsia="仿宋_GB2312"/>
          <w:sz w:val="32"/>
          <w:szCs w:val="32"/>
        </w:rPr>
        <w:t>批次，</w:t>
      </w:r>
      <w:r>
        <w:rPr>
          <w:rFonts w:hint="eastAsia" w:ascii="仿宋_GB2312" w:eastAsia="仿宋_GB2312"/>
          <w:sz w:val="32"/>
          <w:szCs w:val="32"/>
          <w:lang w:val="en-US" w:eastAsia="zh-CN"/>
        </w:rPr>
        <w:t>5</w:t>
      </w:r>
      <w:r>
        <w:rPr>
          <w:rFonts w:hint="eastAsia" w:ascii="仿宋_GB2312" w:eastAsia="仿宋_GB2312"/>
          <w:sz w:val="32"/>
          <w:szCs w:val="32"/>
        </w:rPr>
        <w:t>人次（不包括陪同人员），共计支出</w:t>
      </w:r>
      <w:r>
        <w:rPr>
          <w:rFonts w:hint="eastAsia" w:ascii="仿宋_GB2312" w:eastAsia="仿宋_GB2312"/>
          <w:sz w:val="32"/>
          <w:szCs w:val="32"/>
          <w:lang w:val="en-US" w:eastAsia="zh-CN"/>
        </w:rPr>
        <w:t>0.11</w:t>
      </w:r>
      <w:r>
        <w:rPr>
          <w:rFonts w:hint="eastAsia" w:ascii="仿宋_GB2312" w:eastAsia="仿宋_GB2312"/>
          <w:sz w:val="32"/>
          <w:szCs w:val="32"/>
        </w:rPr>
        <w:t>万元。</w:t>
      </w:r>
    </w:p>
    <w:p w14:paraId="01C7F0F0">
      <w:pPr>
        <w:spacing w:line="600" w:lineRule="exact"/>
        <w:ind w:firstLine="643" w:firstLineChars="200"/>
        <w:rPr>
          <w:rFonts w:ascii="黑体" w:eastAsia="黑体"/>
          <w:sz w:val="32"/>
          <w:szCs w:val="32"/>
        </w:rPr>
      </w:pPr>
      <w:r>
        <w:rPr>
          <w:rFonts w:hint="eastAsia" w:ascii="仿宋" w:hAnsi="仿宋" w:eastAsia="仿宋"/>
          <w:b/>
          <w:sz w:val="32"/>
          <w:szCs w:val="32"/>
        </w:rPr>
        <w:t>外事接待支出0</w:t>
      </w:r>
      <w:r>
        <w:rPr>
          <w:rFonts w:hint="eastAsia" w:ascii="仿宋_GB2312" w:eastAsia="仿宋_GB2312"/>
          <w:sz w:val="32"/>
          <w:szCs w:val="32"/>
        </w:rPr>
        <w:t>万元。外事接待0批次，0人次（不包括陪同人员），共计支出0万元。</w:t>
      </w:r>
      <w:bookmarkStart w:id="96" w:name="_Toc15377218"/>
      <w:bookmarkStart w:id="97" w:name="_Toc15396610"/>
    </w:p>
    <w:p w14:paraId="43093B59">
      <w:pPr>
        <w:spacing w:line="600" w:lineRule="exact"/>
        <w:ind w:firstLine="640"/>
        <w:outlineLvl w:val="1"/>
        <w:rPr>
          <w:rStyle w:val="30"/>
          <w:rFonts w:hint="eastAsia" w:ascii="黑体" w:hAnsi="黑体" w:eastAsia="黑体"/>
        </w:rPr>
      </w:pPr>
      <w:bookmarkStart w:id="98" w:name="_Toc11936_WPSOffice_Level2"/>
      <w:r>
        <w:rPr>
          <w:rFonts w:hint="eastAsia" w:ascii="黑体" w:eastAsia="黑体"/>
          <w:sz w:val="32"/>
          <w:szCs w:val="32"/>
        </w:rPr>
        <w:t>八、</w:t>
      </w:r>
      <w:r>
        <w:rPr>
          <w:rStyle w:val="30"/>
          <w:rFonts w:hint="eastAsia" w:ascii="黑体" w:hAnsi="黑体" w:eastAsia="黑体"/>
          <w:b w:val="0"/>
        </w:rPr>
        <w:t>政府性基金预算支出决算情况说明</w:t>
      </w:r>
      <w:bookmarkEnd w:id="96"/>
      <w:bookmarkEnd w:id="97"/>
      <w:bookmarkEnd w:id="98"/>
    </w:p>
    <w:p w14:paraId="7A678590">
      <w:pPr>
        <w:spacing w:line="600" w:lineRule="exact"/>
        <w:ind w:firstLine="64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年度政府性基金预算财政拨款支出</w:t>
      </w:r>
      <w:r>
        <w:rPr>
          <w:sz w:val="32"/>
          <w:szCs w:val="32"/>
        </w:rPr>
        <w:t>0</w:t>
      </w:r>
      <w:r>
        <w:rPr>
          <w:rFonts w:hint="eastAsia" w:ascii="仿宋_GB2312" w:eastAsia="仿宋_GB2312"/>
          <w:sz w:val="32"/>
          <w:szCs w:val="32"/>
        </w:rPr>
        <w:t>万元。</w:t>
      </w:r>
    </w:p>
    <w:p w14:paraId="615D35CB">
      <w:pPr>
        <w:numPr>
          <w:ilvl w:val="0"/>
          <w:numId w:val="3"/>
        </w:numPr>
        <w:spacing w:line="600" w:lineRule="exact"/>
        <w:ind w:firstLine="640"/>
        <w:outlineLvl w:val="1"/>
        <w:rPr>
          <w:rStyle w:val="30"/>
          <w:rFonts w:hint="eastAsia" w:ascii="黑体" w:hAnsi="黑体" w:eastAsia="黑体"/>
          <w:b w:val="0"/>
        </w:rPr>
      </w:pPr>
      <w:bookmarkStart w:id="99" w:name="_Toc15377219"/>
      <w:bookmarkStart w:id="100" w:name="_Toc15396611"/>
      <w:bookmarkStart w:id="101" w:name="_Toc28183_WPSOffice_Level2"/>
      <w:r>
        <w:rPr>
          <w:rStyle w:val="30"/>
          <w:rFonts w:hint="eastAsia" w:ascii="黑体" w:hAnsi="黑体" w:eastAsia="黑体"/>
          <w:b w:val="0"/>
        </w:rPr>
        <w:t>国有资本经营预算支出决算情况说明</w:t>
      </w:r>
      <w:bookmarkEnd w:id="99"/>
      <w:bookmarkEnd w:id="100"/>
      <w:bookmarkEnd w:id="101"/>
    </w:p>
    <w:p w14:paraId="1A383782">
      <w:pPr>
        <w:spacing w:line="600" w:lineRule="exact"/>
        <w:ind w:firstLine="640"/>
        <w:rPr>
          <w:rFonts w:hint="eastAsia" w:ascii="方正小标宋简体" w:hAnsi="方正小标宋简体" w:eastAsia="方正小标宋简体" w:cs="方正小标宋简体"/>
          <w:sz w:val="44"/>
          <w:szCs w:val="44"/>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年度国有资本经营预算财政拨款支出</w:t>
      </w:r>
      <w:r>
        <w:rPr>
          <w:sz w:val="32"/>
          <w:szCs w:val="32"/>
        </w:rPr>
        <w:t>0</w:t>
      </w:r>
      <w:r>
        <w:rPr>
          <w:rFonts w:hint="eastAsia" w:ascii="仿宋_GB2312" w:eastAsia="仿宋_GB2312"/>
          <w:sz w:val="32"/>
          <w:szCs w:val="32"/>
        </w:rPr>
        <w:t>万元。</w:t>
      </w:r>
    </w:p>
    <w:p w14:paraId="6D33FB63">
      <w:pPr>
        <w:numPr>
          <w:ilvl w:val="0"/>
          <w:numId w:val="3"/>
        </w:numPr>
        <w:spacing w:line="600" w:lineRule="exact"/>
        <w:ind w:firstLine="640"/>
        <w:outlineLvl w:val="1"/>
        <w:rPr>
          <w:rStyle w:val="30"/>
          <w:rFonts w:hint="eastAsia" w:ascii="黑体" w:hAnsi="黑体" w:eastAsia="黑体"/>
          <w:b w:val="0"/>
        </w:rPr>
      </w:pPr>
      <w:bookmarkStart w:id="102" w:name="_Toc11998_WPSOffice_Level2"/>
      <w:bookmarkStart w:id="103" w:name="_Toc15377221"/>
      <w:bookmarkStart w:id="104" w:name="_Toc15396612"/>
      <w:r>
        <w:rPr>
          <w:rStyle w:val="30"/>
          <w:rFonts w:hint="eastAsia" w:ascii="黑体" w:hAnsi="黑体" w:eastAsia="黑体"/>
          <w:b w:val="0"/>
        </w:rPr>
        <w:t>其他重要事项的情况说明</w:t>
      </w:r>
      <w:bookmarkEnd w:id="102"/>
      <w:bookmarkEnd w:id="103"/>
      <w:bookmarkEnd w:id="104"/>
    </w:p>
    <w:p w14:paraId="33CCF847">
      <w:pPr>
        <w:spacing w:line="600" w:lineRule="exact"/>
        <w:ind w:firstLine="643" w:firstLineChars="200"/>
        <w:outlineLvl w:val="2"/>
        <w:rPr>
          <w:rFonts w:hint="eastAsia" w:ascii="仿宋" w:hAnsi="仿宋" w:eastAsia="仿宋"/>
          <w:sz w:val="32"/>
          <w:szCs w:val="32"/>
        </w:rPr>
      </w:pPr>
      <w:bookmarkStart w:id="105" w:name="_Toc15377222"/>
      <w:r>
        <w:rPr>
          <w:rFonts w:hint="eastAsia" w:ascii="仿宋" w:hAnsi="仿宋" w:eastAsia="仿宋"/>
          <w:b/>
          <w:sz w:val="32"/>
          <w:szCs w:val="32"/>
        </w:rPr>
        <w:t>（一）机关运行经费支出情况</w:t>
      </w:r>
      <w:bookmarkEnd w:id="105"/>
    </w:p>
    <w:p w14:paraId="29B7F11D">
      <w:pPr>
        <w:spacing w:line="600" w:lineRule="exact"/>
        <w:ind w:firstLine="640" w:firstLineChars="20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w:t>
      </w:r>
      <w:r>
        <w:rPr>
          <w:rFonts w:hint="eastAsia"/>
          <w:sz w:val="32"/>
          <w:szCs w:val="32"/>
        </w:rPr>
        <w:t>红原县财政局</w:t>
      </w:r>
      <w:r>
        <w:rPr>
          <w:rFonts w:hint="eastAsia" w:ascii="仿宋_GB2312" w:eastAsia="仿宋_GB2312"/>
          <w:sz w:val="32"/>
          <w:szCs w:val="32"/>
        </w:rPr>
        <w:t>机关运行经费支出</w:t>
      </w:r>
      <w:r>
        <w:rPr>
          <w:rFonts w:hint="eastAsia" w:ascii="仿宋_GB2312" w:eastAsia="仿宋_GB2312"/>
          <w:sz w:val="32"/>
          <w:szCs w:val="32"/>
          <w:lang w:val="en-US" w:eastAsia="zh-CN"/>
        </w:rPr>
        <w:t>54.75</w:t>
      </w:r>
      <w:r>
        <w:rPr>
          <w:rFonts w:hint="eastAsia" w:ascii="仿宋_GB2312" w:eastAsia="仿宋_GB2312"/>
          <w:sz w:val="32"/>
          <w:szCs w:val="32"/>
        </w:rPr>
        <w:t>万元，比202</w:t>
      </w:r>
      <w:r>
        <w:rPr>
          <w:rFonts w:hint="eastAsia" w:ascii="仿宋_GB2312" w:eastAsia="仿宋_GB2312"/>
          <w:sz w:val="32"/>
          <w:szCs w:val="32"/>
          <w:lang w:val="en-US" w:eastAsia="zh-CN"/>
        </w:rPr>
        <w:t>4</w:t>
      </w:r>
      <w:r>
        <w:rPr>
          <w:rFonts w:hint="eastAsia" w:ascii="仿宋_GB2312" w:eastAsia="仿宋_GB2312"/>
          <w:sz w:val="32"/>
          <w:szCs w:val="32"/>
        </w:rPr>
        <w:t>年度</w:t>
      </w:r>
      <w:r>
        <w:rPr>
          <w:rFonts w:hint="eastAsia" w:ascii="仿宋_GB2312" w:eastAsia="仿宋_GB2312"/>
          <w:sz w:val="32"/>
          <w:szCs w:val="32"/>
          <w:lang w:eastAsia="zh-CN"/>
        </w:rPr>
        <w:t>增加</w:t>
      </w:r>
      <w:r>
        <w:rPr>
          <w:rFonts w:hint="eastAsia" w:ascii="仿宋_GB2312" w:eastAsia="仿宋_GB2312"/>
          <w:sz w:val="32"/>
          <w:szCs w:val="32"/>
          <w:lang w:val="en-US" w:eastAsia="zh-CN"/>
        </w:rPr>
        <w:t>23.99</w:t>
      </w:r>
      <w:r>
        <w:rPr>
          <w:rFonts w:hint="eastAsia" w:ascii="仿宋_GB2312" w:eastAsia="仿宋_GB2312"/>
          <w:sz w:val="32"/>
          <w:szCs w:val="32"/>
        </w:rPr>
        <w:t>万元，</w:t>
      </w:r>
      <w:r>
        <w:rPr>
          <w:rFonts w:hint="eastAsia" w:ascii="仿宋_GB2312" w:eastAsia="仿宋_GB2312"/>
          <w:sz w:val="32"/>
          <w:szCs w:val="32"/>
          <w:lang w:eastAsia="zh-CN"/>
        </w:rPr>
        <w:t>增长</w:t>
      </w:r>
      <w:r>
        <w:rPr>
          <w:rFonts w:hint="eastAsia" w:ascii="仿宋_GB2312" w:eastAsia="仿宋_GB2312"/>
          <w:sz w:val="32"/>
          <w:szCs w:val="32"/>
          <w:lang w:val="en-US" w:eastAsia="zh-CN"/>
        </w:rPr>
        <w:t>77.99</w:t>
      </w:r>
      <w:r>
        <w:rPr>
          <w:rFonts w:ascii="仿宋_GB2312" w:eastAsia="仿宋_GB2312"/>
          <w:sz w:val="32"/>
          <w:szCs w:val="32"/>
        </w:rPr>
        <w:t>%</w:t>
      </w:r>
      <w:r>
        <w:rPr>
          <w:rFonts w:hint="eastAsia" w:ascii="仿宋_GB2312" w:eastAsia="仿宋_GB2312"/>
          <w:sz w:val="32"/>
          <w:szCs w:val="32"/>
        </w:rPr>
        <w:t>。主要原因是有人员</w:t>
      </w:r>
      <w:r>
        <w:rPr>
          <w:rFonts w:hint="eastAsia" w:ascii="仿宋_GB2312" w:eastAsia="仿宋_GB2312"/>
          <w:sz w:val="32"/>
          <w:szCs w:val="32"/>
          <w:lang w:eastAsia="zh-CN"/>
        </w:rPr>
        <w:t>增加</w:t>
      </w:r>
      <w:r>
        <w:rPr>
          <w:rFonts w:hint="eastAsia" w:ascii="仿宋_GB2312" w:eastAsia="仿宋_GB2312"/>
          <w:sz w:val="32"/>
          <w:szCs w:val="32"/>
        </w:rPr>
        <w:t>。</w:t>
      </w:r>
    </w:p>
    <w:p w14:paraId="29E5B7EE">
      <w:pPr>
        <w:autoSpaceDE w:val="0"/>
        <w:autoSpaceDN w:val="0"/>
        <w:adjustRightInd w:val="0"/>
        <w:spacing w:line="600" w:lineRule="exact"/>
        <w:ind w:firstLine="643" w:firstLineChars="200"/>
        <w:jc w:val="left"/>
        <w:outlineLvl w:val="2"/>
        <w:rPr>
          <w:rFonts w:hint="eastAsia" w:ascii="仿宋" w:hAnsi="仿宋" w:eastAsia="仿宋"/>
          <w:b/>
          <w:sz w:val="32"/>
          <w:szCs w:val="32"/>
        </w:rPr>
      </w:pPr>
      <w:bookmarkStart w:id="106" w:name="_Toc15377223"/>
      <w:r>
        <w:rPr>
          <w:rFonts w:hint="eastAsia" w:ascii="仿宋" w:hAnsi="仿宋" w:eastAsia="仿宋"/>
          <w:b/>
          <w:sz w:val="32"/>
          <w:szCs w:val="32"/>
        </w:rPr>
        <w:t>（二）政府采购支出情况</w:t>
      </w:r>
      <w:bookmarkEnd w:id="106"/>
    </w:p>
    <w:p w14:paraId="450722AA">
      <w:pPr>
        <w:spacing w:line="600" w:lineRule="exact"/>
        <w:ind w:firstLine="640" w:firstLineChars="20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w:t>
      </w:r>
      <w:r>
        <w:rPr>
          <w:rFonts w:hint="eastAsia"/>
          <w:sz w:val="32"/>
          <w:szCs w:val="32"/>
        </w:rPr>
        <w:t>红原县财政局</w:t>
      </w:r>
      <w:r>
        <w:rPr>
          <w:rFonts w:hint="eastAsia" w:ascii="仿宋_GB2312" w:eastAsia="仿宋_GB2312"/>
          <w:sz w:val="32"/>
          <w:szCs w:val="32"/>
        </w:rPr>
        <w:t>政府采购支出总额</w:t>
      </w:r>
      <w:r>
        <w:rPr>
          <w:rFonts w:hint="eastAsia" w:eastAsia="仿宋_GB2312"/>
          <w:sz w:val="32"/>
          <w:szCs w:val="32"/>
          <w:lang w:val="en-US" w:eastAsia="zh-CN"/>
        </w:rPr>
        <w:t>56.65</w:t>
      </w:r>
      <w:r>
        <w:rPr>
          <w:rFonts w:hint="eastAsia" w:ascii="仿宋_GB2312" w:eastAsia="仿宋_GB2312"/>
          <w:sz w:val="32"/>
          <w:szCs w:val="32"/>
        </w:rPr>
        <w:t>万元，其中：政府采购货物支出</w:t>
      </w:r>
      <w:r>
        <w:rPr>
          <w:rFonts w:hint="eastAsia" w:eastAsia="仿宋_GB2312"/>
          <w:sz w:val="32"/>
          <w:szCs w:val="32"/>
          <w:lang w:val="en-US" w:eastAsia="zh-CN"/>
        </w:rPr>
        <w:t>56.65</w:t>
      </w:r>
      <w:r>
        <w:rPr>
          <w:rFonts w:hint="eastAsia" w:ascii="仿宋_GB2312" w:eastAsia="仿宋_GB2312"/>
          <w:sz w:val="32"/>
          <w:szCs w:val="32"/>
        </w:rPr>
        <w:t>万元、政府采购工程支出</w:t>
      </w:r>
      <w:r>
        <w:rPr>
          <w:sz w:val="32"/>
          <w:szCs w:val="32"/>
        </w:rPr>
        <w:t>0</w:t>
      </w:r>
      <w:r>
        <w:rPr>
          <w:rFonts w:hint="eastAsia" w:ascii="仿宋_GB2312" w:eastAsia="仿宋_GB2312"/>
          <w:sz w:val="32"/>
          <w:szCs w:val="32"/>
        </w:rPr>
        <w:t>万元、政府采购服务支出</w:t>
      </w:r>
      <w:r>
        <w:rPr>
          <w:sz w:val="32"/>
          <w:szCs w:val="32"/>
        </w:rPr>
        <w:t>0</w:t>
      </w:r>
      <w:r>
        <w:rPr>
          <w:rFonts w:hint="eastAsia" w:ascii="仿宋_GB2312" w:eastAsia="仿宋_GB2312"/>
          <w:sz w:val="32"/>
          <w:szCs w:val="32"/>
        </w:rPr>
        <w:t>万元。授予中小企业合同金额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，其中：授予小微企业合同金额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w:t>
      </w:r>
    </w:p>
    <w:p w14:paraId="217DAFB1">
      <w:pPr>
        <w:autoSpaceDE w:val="0"/>
        <w:autoSpaceDN w:val="0"/>
        <w:adjustRightInd w:val="0"/>
        <w:spacing w:line="600" w:lineRule="exact"/>
        <w:ind w:firstLine="643" w:firstLineChars="200"/>
        <w:jc w:val="left"/>
        <w:outlineLvl w:val="2"/>
        <w:rPr>
          <w:rFonts w:hint="eastAsia" w:ascii="仿宋" w:hAnsi="仿宋" w:eastAsia="仿宋"/>
          <w:b/>
          <w:sz w:val="32"/>
          <w:szCs w:val="32"/>
        </w:rPr>
      </w:pPr>
      <w:bookmarkStart w:id="107" w:name="_Toc15377224"/>
      <w:r>
        <w:rPr>
          <w:rFonts w:hint="eastAsia" w:ascii="仿宋" w:hAnsi="仿宋" w:eastAsia="仿宋"/>
          <w:b/>
          <w:sz w:val="32"/>
          <w:szCs w:val="32"/>
        </w:rPr>
        <w:t>（三）国有资产占有使用情况</w:t>
      </w:r>
      <w:bookmarkEnd w:id="107"/>
    </w:p>
    <w:p w14:paraId="2E14CD64">
      <w:pPr>
        <w:spacing w:line="600" w:lineRule="exact"/>
        <w:ind w:firstLine="640"/>
        <w:rPr>
          <w:rFonts w:ascii="仿宋_GB2312" w:eastAsia="仿宋_GB2312"/>
          <w:sz w:val="32"/>
          <w:szCs w:val="32"/>
        </w:rPr>
      </w:pPr>
      <w:r>
        <w:rPr>
          <w:rFonts w:hint="eastAsia" w:ascii="仿宋_GB2312" w:eastAsia="仿宋_GB2312"/>
          <w:sz w:val="32"/>
          <w:szCs w:val="32"/>
        </w:rPr>
        <w:t>截至202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sz w:val="32"/>
          <w:szCs w:val="32"/>
        </w:rPr>
        <w:t>红原县财政局</w:t>
      </w:r>
      <w:r>
        <w:rPr>
          <w:rFonts w:hint="eastAsia" w:ascii="仿宋_GB2312" w:eastAsia="仿宋_GB2312"/>
          <w:sz w:val="32"/>
          <w:szCs w:val="32"/>
        </w:rPr>
        <w:t>共有车辆</w:t>
      </w:r>
      <w:r>
        <w:rPr>
          <w:rFonts w:ascii="仿宋_GB2312" w:eastAsia="仿宋_GB2312"/>
          <w:sz w:val="32"/>
          <w:szCs w:val="32"/>
        </w:rPr>
        <w:t>2</w:t>
      </w:r>
      <w:r>
        <w:rPr>
          <w:rFonts w:hint="eastAsia" w:ascii="仿宋_GB2312" w:eastAsia="仿宋_GB2312"/>
          <w:sz w:val="32"/>
          <w:szCs w:val="32"/>
        </w:rPr>
        <w:t>辆，其中：主要领导干部用车0辆、机要通信用车2辆、应急保障用车0辆、其他用车0辆，其他用车主要是用于下乡开展两联一进，出差参会、检查工作等所需的公务用车燃料费、维修费、过路过桥费、保险费等支出。单价</w:t>
      </w:r>
      <w:r>
        <w:rPr>
          <w:rFonts w:ascii="仿宋_GB2312" w:eastAsia="仿宋_GB2312"/>
          <w:sz w:val="32"/>
          <w:szCs w:val="32"/>
        </w:rPr>
        <w:t>100</w:t>
      </w:r>
      <w:r>
        <w:rPr>
          <w:rFonts w:hint="eastAsia" w:ascii="仿宋_GB2312" w:eastAsia="仿宋_GB2312"/>
          <w:sz w:val="32"/>
          <w:szCs w:val="32"/>
        </w:rPr>
        <w:t>万元以上设备（不含车辆）</w:t>
      </w:r>
      <w:r>
        <w:rPr>
          <w:sz w:val="32"/>
          <w:szCs w:val="32"/>
        </w:rPr>
        <w:t>0</w:t>
      </w:r>
      <w:r>
        <w:rPr>
          <w:rFonts w:hint="eastAsia" w:ascii="仿宋_GB2312" w:eastAsia="仿宋_GB2312"/>
          <w:sz w:val="32"/>
          <w:szCs w:val="32"/>
        </w:rPr>
        <w:t>台（套）。</w:t>
      </w:r>
    </w:p>
    <w:p w14:paraId="72BB174A">
      <w:pPr>
        <w:autoSpaceDE w:val="0"/>
        <w:autoSpaceDN w:val="0"/>
        <w:adjustRightInd w:val="0"/>
        <w:spacing w:line="600" w:lineRule="exact"/>
        <w:ind w:firstLine="643" w:firstLineChars="200"/>
        <w:jc w:val="left"/>
        <w:outlineLvl w:val="2"/>
        <w:rPr>
          <w:rFonts w:hint="eastAsia" w:ascii="仿宋" w:hAnsi="仿宋" w:eastAsia="仿宋"/>
          <w:b/>
          <w:sz w:val="32"/>
          <w:szCs w:val="32"/>
        </w:rPr>
      </w:pPr>
      <w:r>
        <w:rPr>
          <w:rFonts w:hint="eastAsia" w:ascii="仿宋" w:hAnsi="仿宋" w:eastAsia="仿宋"/>
          <w:b/>
          <w:sz w:val="32"/>
          <w:szCs w:val="32"/>
        </w:rPr>
        <w:t>（四）预算绩效管理情况</w:t>
      </w:r>
    </w:p>
    <w:p w14:paraId="57346983">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根据预算绩效管理要求，本部门在202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年度预算编制阶段，组织对财政评审及竣工结算审核项目开展了预算事前绩效评估，对4个项目编制了绩效目标，预算执行过程中，选取4个项目开展绩效监控。</w:t>
      </w:r>
    </w:p>
    <w:p w14:paraId="0B95E659">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组织对202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一般公共预算、政府性基金预算、国有资本经营预算、社会保险基金预算以及资本资产、债券资金等全面开展绩效自评，形成1部门整体绩效自评报告，其中，部门整体绩效自评得分为98分，绩效自评报告详见附件。</w:t>
      </w:r>
    </w:p>
    <w:p w14:paraId="114E4F1C">
      <w:pPr>
        <w:pStyle w:val="3"/>
        <w:jc w:val="both"/>
        <w:rPr>
          <w:rFonts w:hint="eastAsia"/>
        </w:rPr>
      </w:pPr>
      <w:bookmarkStart w:id="108" w:name="_Toc24957_WPSOffice_Level1"/>
    </w:p>
    <w:p w14:paraId="253299B9">
      <w:pPr>
        <w:rPr>
          <w:rFonts w:hint="eastAsia"/>
        </w:rPr>
      </w:pPr>
    </w:p>
    <w:p w14:paraId="7086C3C6">
      <w:pPr>
        <w:pStyle w:val="2"/>
        <w:rPr>
          <w:rFonts w:hint="eastAsia"/>
        </w:rPr>
      </w:pPr>
    </w:p>
    <w:p w14:paraId="1ED3AD5F">
      <w:pPr>
        <w:pStyle w:val="2"/>
        <w:rPr>
          <w:rFonts w:hint="eastAsia"/>
        </w:rPr>
      </w:pPr>
    </w:p>
    <w:p w14:paraId="6D476351">
      <w:pPr>
        <w:pStyle w:val="2"/>
        <w:rPr>
          <w:rFonts w:hint="eastAsia"/>
        </w:rPr>
      </w:pPr>
    </w:p>
    <w:p w14:paraId="7AD44A2E">
      <w:pPr>
        <w:pStyle w:val="2"/>
        <w:rPr>
          <w:rFonts w:hint="eastAsia"/>
        </w:rPr>
      </w:pPr>
    </w:p>
    <w:p w14:paraId="67ACE78F">
      <w:pPr>
        <w:pStyle w:val="2"/>
        <w:rPr>
          <w:rFonts w:hint="eastAsia"/>
        </w:rPr>
      </w:pPr>
    </w:p>
    <w:p w14:paraId="51017B49">
      <w:pPr>
        <w:pStyle w:val="2"/>
        <w:rPr>
          <w:rFonts w:hint="eastAsia"/>
        </w:rPr>
      </w:pPr>
    </w:p>
    <w:p w14:paraId="39151163">
      <w:pPr>
        <w:pStyle w:val="2"/>
        <w:rPr>
          <w:rFonts w:hint="eastAsia"/>
        </w:rPr>
      </w:pPr>
    </w:p>
    <w:p w14:paraId="7F0EFD6E">
      <w:pPr>
        <w:pStyle w:val="2"/>
        <w:rPr>
          <w:rFonts w:hint="eastAsia"/>
        </w:rPr>
      </w:pPr>
    </w:p>
    <w:p w14:paraId="46ABF47B">
      <w:pPr>
        <w:pStyle w:val="3"/>
        <w:ind w:firstLine="2209" w:firstLineChars="500"/>
        <w:jc w:val="both"/>
      </w:pPr>
      <w:r>
        <w:rPr>
          <w:rFonts w:hint="eastAsia"/>
        </w:rPr>
        <w:t>第三部分 名词解释</w:t>
      </w:r>
      <w:bookmarkEnd w:id="108"/>
    </w:p>
    <w:p w14:paraId="305803AC">
      <w:pPr>
        <w:ind w:firstLine="640" w:firstLineChars="200"/>
        <w:rPr>
          <w:rFonts w:ascii="仿宋_GB2312" w:eastAsia="仿宋_GB2312"/>
          <w:sz w:val="32"/>
          <w:szCs w:val="32"/>
        </w:rPr>
      </w:pPr>
      <w:r>
        <w:rPr>
          <w:rFonts w:hint="eastAsia" w:ascii="仿宋_GB2312" w:eastAsia="仿宋_GB2312"/>
          <w:sz w:val="32"/>
          <w:szCs w:val="32"/>
        </w:rPr>
        <w:t>1.财政拨款收入：指单位从同级财政部门取得的财政预算资金。</w:t>
      </w:r>
    </w:p>
    <w:p w14:paraId="2CBDCF09">
      <w:pPr>
        <w:ind w:firstLine="640" w:firstLineChars="200"/>
        <w:rPr>
          <w:rFonts w:ascii="仿宋_GB2312" w:eastAsia="仿宋_GB2312"/>
          <w:sz w:val="32"/>
          <w:szCs w:val="32"/>
        </w:rPr>
      </w:pPr>
      <w:r>
        <w:rPr>
          <w:rFonts w:hint="eastAsia" w:ascii="仿宋_GB2312" w:eastAsia="仿宋_GB2312"/>
          <w:sz w:val="32"/>
          <w:szCs w:val="32"/>
        </w:rPr>
        <w:t>2.事业收入：指事业单位开展专业业务活动及辅助活动取得的收入。。</w:t>
      </w:r>
    </w:p>
    <w:p w14:paraId="3B5D2063">
      <w:pPr>
        <w:ind w:firstLine="640" w:firstLineChars="200"/>
        <w:rPr>
          <w:rFonts w:ascii="仿宋_GB2312" w:eastAsia="仿宋_GB2312"/>
          <w:sz w:val="32"/>
          <w:szCs w:val="32"/>
        </w:rPr>
      </w:pPr>
      <w:r>
        <w:rPr>
          <w:rFonts w:hint="eastAsia" w:ascii="仿宋_GB2312" w:eastAsia="仿宋_GB2312"/>
          <w:sz w:val="32"/>
          <w:szCs w:val="32"/>
        </w:rPr>
        <w:t>3.经营收入：指事业单位在专业业务活动及其辅助活动之外开展非独立核算经营活动取得的收入。</w:t>
      </w:r>
    </w:p>
    <w:p w14:paraId="4B061142">
      <w:pPr>
        <w:ind w:firstLine="640" w:firstLineChars="200"/>
        <w:rPr>
          <w:rFonts w:ascii="仿宋_GB2312" w:eastAsia="仿宋_GB2312"/>
          <w:sz w:val="32"/>
          <w:szCs w:val="32"/>
        </w:rPr>
      </w:pPr>
      <w:r>
        <w:rPr>
          <w:rFonts w:hint="eastAsia" w:ascii="仿宋_GB2312" w:eastAsia="仿宋_GB2312"/>
          <w:sz w:val="32"/>
          <w:szCs w:val="32"/>
        </w:rPr>
        <w:t>4.其他收入：指单位取得的除上述收入以外的各项收入。</w:t>
      </w:r>
    </w:p>
    <w:p w14:paraId="4F9A7619">
      <w:pPr>
        <w:ind w:firstLine="640" w:firstLineChars="200"/>
        <w:rPr>
          <w:rFonts w:ascii="仿宋_GB2312" w:eastAsia="仿宋_GB2312"/>
          <w:sz w:val="32"/>
          <w:szCs w:val="32"/>
        </w:rPr>
      </w:pPr>
      <w:r>
        <w:rPr>
          <w:rFonts w:hint="eastAsia" w:ascii="仿宋_GB2312" w:eastAsia="仿宋_GB2312"/>
          <w:sz w:val="32"/>
          <w:szCs w:val="32"/>
        </w:rPr>
        <w:t xml:space="preserve">5.使用非财政拨款结余（含专用结余）：指事业单位使用以前年度积累的非财政拨款结余弥补当年收支差额的金额。 </w:t>
      </w:r>
    </w:p>
    <w:p w14:paraId="5C3A3789">
      <w:pPr>
        <w:ind w:firstLine="640" w:firstLineChars="200"/>
        <w:rPr>
          <w:rFonts w:ascii="仿宋_GB2312" w:eastAsia="仿宋_GB2312"/>
          <w:sz w:val="32"/>
          <w:szCs w:val="32"/>
        </w:rPr>
      </w:pPr>
      <w:r>
        <w:rPr>
          <w:rFonts w:hint="eastAsia" w:ascii="仿宋_GB2312" w:eastAsia="仿宋_GB2312"/>
          <w:sz w:val="32"/>
          <w:szCs w:val="32"/>
        </w:rPr>
        <w:t xml:space="preserve">6.年初结转和结余：指以前年度尚未完成、结转到本年按有关规定继续使用的资金。 </w:t>
      </w:r>
    </w:p>
    <w:p w14:paraId="50517E98">
      <w:pPr>
        <w:ind w:firstLine="640" w:firstLineChars="200"/>
        <w:rPr>
          <w:rFonts w:ascii="仿宋_GB2312" w:eastAsia="仿宋_GB2312"/>
          <w:sz w:val="32"/>
          <w:szCs w:val="32"/>
        </w:rPr>
      </w:pPr>
      <w:r>
        <w:rPr>
          <w:rFonts w:hint="eastAsia" w:ascii="仿宋_GB2312" w:eastAsia="仿宋_GB2312"/>
          <w:sz w:val="32"/>
          <w:szCs w:val="32"/>
        </w:rPr>
        <w:t>7.结余分配：指事业单位按照会计制度规定缴纳的所得税、提取的专用结余以及转入非财政拨款结余的金额等。</w:t>
      </w:r>
    </w:p>
    <w:p w14:paraId="56F934E9">
      <w:pPr>
        <w:ind w:firstLine="640" w:firstLineChars="200"/>
        <w:rPr>
          <w:rFonts w:ascii="仿宋_GB2312" w:eastAsia="仿宋_GB2312"/>
          <w:sz w:val="32"/>
          <w:szCs w:val="32"/>
        </w:rPr>
      </w:pPr>
      <w:r>
        <w:rPr>
          <w:rFonts w:hint="eastAsia" w:ascii="仿宋_GB2312" w:eastAsia="仿宋_GB2312"/>
          <w:sz w:val="32"/>
          <w:szCs w:val="32"/>
        </w:rPr>
        <w:t>8.年末结转和结余：指单位按有关规定结转到下年或以后年度继续使用的资金。</w:t>
      </w:r>
    </w:p>
    <w:p w14:paraId="70572EF0">
      <w:pPr>
        <w:autoSpaceDE w:val="0"/>
        <w:spacing w:line="550" w:lineRule="atLeast"/>
        <w:ind w:firstLine="640" w:firstLineChars="200"/>
        <w:rPr>
          <w:rFonts w:ascii="仿宋_GB2312" w:hAnsi="宋体" w:eastAsia="仿宋_GB2312"/>
          <w:sz w:val="32"/>
          <w:szCs w:val="32"/>
        </w:rPr>
      </w:pPr>
      <w:r>
        <w:rPr>
          <w:rFonts w:ascii="仿宋_GB2312" w:hAnsi="宋体" w:eastAsia="仿宋_GB2312" w:cs="仿宋_GB2312"/>
          <w:sz w:val="32"/>
          <w:szCs w:val="32"/>
        </w:rPr>
        <w:t>9.一般公共服务：201类20106款财政事务，2010601项指行政运行、</w:t>
      </w:r>
      <w:r>
        <w:rPr>
          <w:rStyle w:val="36"/>
          <w:rFonts w:ascii="仿宋_GB2312" w:eastAsia="仿宋_GB2312" w:cs="仿宋_GB2312"/>
          <w:b w:val="0"/>
          <w:color w:val="000000"/>
          <w:sz w:val="32"/>
          <w:szCs w:val="32"/>
        </w:rPr>
        <w:t>2010602一般行政管理事物</w:t>
      </w:r>
      <w:r>
        <w:rPr>
          <w:rFonts w:ascii="仿宋_GB2312" w:hAnsi="宋体" w:eastAsia="仿宋_GB2312" w:cs="仿宋_GB2312"/>
          <w:sz w:val="32"/>
          <w:szCs w:val="32"/>
        </w:rPr>
        <w:t>、2010607项指信息化建设、2010608项指财政委托业务支出、2010650项指事业运行、2010699项指其他财政事务支出、2150799其他国有资产监管。</w:t>
      </w:r>
    </w:p>
    <w:p w14:paraId="34490560">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10.社会保障和就业：208类20802款2080505指机关事业单位基本养老保险缴费支出，2080506指机关事业单位职业年金缴费支出。</w:t>
      </w:r>
    </w:p>
    <w:p w14:paraId="484F4959">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11.医疗卫生与计划生育：210类21011款2101101项指行政单位医疗、2101102项指事业单位医疗、2101103项指公务员医疗补助、2101199项指其他行政事业单位医疗补助。</w:t>
      </w:r>
    </w:p>
    <w:p w14:paraId="66898701">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12.住房保障：221类22102款2210201项指住房公积金。</w:t>
      </w:r>
    </w:p>
    <w:p w14:paraId="0721678F">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13.其他支出：201类99款2019999项其他一般公共服务支出。</w:t>
      </w:r>
    </w:p>
    <w:p w14:paraId="334F5CF2">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14.基本支出：指为保障机构正常运转、完成日常工作任务而发生的人员支出和公用支出。</w:t>
      </w:r>
    </w:p>
    <w:p w14:paraId="61A79E63">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15.项目支出：指在基本支出之外为完成特定行政任务和事业发展目标所发生的支出。</w:t>
      </w:r>
    </w:p>
    <w:p w14:paraId="71679A7A">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16.经营支出：指事业单位在专业业务活动及其辅助活动之外开展非独立核算经营活动发生的支出。</w:t>
      </w:r>
    </w:p>
    <w:p w14:paraId="1F435D8C">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17.</w:t>
      </w:r>
      <w:r>
        <w:rPr>
          <w:rFonts w:hint="eastAsia" w:ascii="宋体" w:hAnsi="宋体" w:cs="宋体"/>
          <w:sz w:val="32"/>
          <w:szCs w:val="32"/>
        </w:rPr>
        <w:t>“</w:t>
      </w:r>
      <w:r>
        <w:rPr>
          <w:rFonts w:ascii="仿宋_GB2312" w:hAnsi="宋体" w:eastAsia="仿宋_GB2312" w:cs="仿宋_GB2312"/>
          <w:sz w:val="32"/>
          <w:szCs w:val="32"/>
        </w:rPr>
        <w:t>三公</w:t>
      </w:r>
      <w:r>
        <w:rPr>
          <w:rFonts w:hint="eastAsia" w:ascii="宋体" w:hAnsi="宋体" w:cs="宋体"/>
          <w:sz w:val="32"/>
          <w:szCs w:val="32"/>
        </w:rPr>
        <w:t>”</w:t>
      </w:r>
      <w:r>
        <w:rPr>
          <w:rFonts w:ascii="仿宋_GB2312" w:hAnsi="宋体" w:eastAsia="仿宋_GB2312" w:cs="仿宋_GB2312"/>
          <w:sz w:val="32"/>
          <w:szCs w:val="32"/>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0C795514">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18.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8A473CF">
      <w:pPr>
        <w:ind w:firstLine="643" w:firstLineChars="200"/>
        <w:rPr>
          <w:rFonts w:hint="eastAsia" w:ascii="仿宋" w:hAnsi="仿宋" w:eastAsia="仿宋"/>
          <w:b/>
          <w:sz w:val="32"/>
          <w:szCs w:val="32"/>
        </w:rPr>
      </w:pPr>
      <w:r>
        <w:rPr>
          <w:rFonts w:ascii="仿宋" w:hAnsi="仿宋" w:eastAsia="仿宋"/>
          <w:b/>
          <w:sz w:val="32"/>
          <w:szCs w:val="32"/>
        </w:rPr>
        <w:br w:type="page"/>
      </w:r>
    </w:p>
    <w:p w14:paraId="6943863A">
      <w:pPr>
        <w:pStyle w:val="3"/>
        <w:jc w:val="center"/>
        <w:rPr>
          <w:rFonts w:hint="eastAsia" w:ascii="黑体" w:hAnsi="黑体" w:eastAsia="黑体"/>
          <w:b w:val="0"/>
        </w:rPr>
      </w:pPr>
      <w:bookmarkStart w:id="109" w:name="_Toc29709_WPSOffice_Level1"/>
      <w:r>
        <w:rPr>
          <w:rFonts w:hint="eastAsia" w:ascii="黑体" w:hAnsi="黑体" w:eastAsia="黑体"/>
          <w:b w:val="0"/>
        </w:rPr>
        <w:t>第四部分 附件</w:t>
      </w:r>
      <w:bookmarkEnd w:id="109"/>
    </w:p>
    <w:p w14:paraId="48ED21D3"/>
    <w:p w14:paraId="0F4EE11E">
      <w:pPr>
        <w:rPr>
          <w:rFonts w:hint="eastAsia" w:ascii="黑体" w:hAnsi="黑体" w:eastAsia="黑体"/>
          <w:sz w:val="32"/>
          <w:szCs w:val="32"/>
        </w:rPr>
      </w:pPr>
      <w:r>
        <w:rPr>
          <w:rFonts w:hint="eastAsia" w:ascii="黑体" w:hAnsi="黑体" w:eastAsia="黑体"/>
          <w:sz w:val="32"/>
          <w:szCs w:val="32"/>
        </w:rPr>
        <w:t>附件1</w:t>
      </w:r>
    </w:p>
    <w:p w14:paraId="51B9C429">
      <w:pPr>
        <w:jc w:val="center"/>
        <w:rPr>
          <w:rFonts w:hint="eastAsia" w:ascii="方正小标宋简体" w:hAnsi="方正小标宋简体" w:eastAsia="方正小标宋简体"/>
          <w:sz w:val="44"/>
          <w:szCs w:val="44"/>
        </w:rPr>
      </w:pPr>
      <w:bookmarkStart w:id="110" w:name="_Toc14644_WPSOffice_Level2"/>
      <w:r>
        <w:rPr>
          <w:rFonts w:hint="eastAsia" w:ascii="方正小标宋简体" w:hAnsi="方正小标宋简体" w:eastAsia="方正小标宋简体"/>
          <w:sz w:val="44"/>
          <w:szCs w:val="44"/>
        </w:rPr>
        <w:t>部门预算绩效评价报告范本</w:t>
      </w:r>
      <w:bookmarkEnd w:id="110"/>
    </w:p>
    <w:p w14:paraId="3EC3D632"/>
    <w:p w14:paraId="5D07E254">
      <w:pPr>
        <w:ind w:firstLine="640" w:firstLineChars="200"/>
        <w:rPr>
          <w:rFonts w:hint="eastAsia" w:ascii="黑体" w:hAnsi="黑体" w:eastAsia="黑体"/>
          <w:sz w:val="32"/>
          <w:szCs w:val="32"/>
        </w:rPr>
      </w:pPr>
      <w:bookmarkStart w:id="111" w:name="_Toc5541_WPSOffice_Level2"/>
      <w:r>
        <w:rPr>
          <w:rFonts w:hint="eastAsia" w:ascii="黑体" w:hAnsi="黑体" w:eastAsia="黑体"/>
          <w:sz w:val="32"/>
          <w:szCs w:val="32"/>
        </w:rPr>
        <w:t>一、部门（单位）基本情况</w:t>
      </w:r>
      <w:bookmarkEnd w:id="111"/>
    </w:p>
    <w:p w14:paraId="5A075B24">
      <w:pPr>
        <w:spacing w:line="570" w:lineRule="exact"/>
        <w:ind w:firstLine="643" w:firstLineChars="200"/>
        <w:rPr>
          <w:rFonts w:ascii="仿宋_GB2312" w:eastAsia="仿宋_GB2312"/>
          <w:b/>
          <w:sz w:val="32"/>
          <w:szCs w:val="32"/>
        </w:rPr>
      </w:pPr>
      <w:r>
        <w:rPr>
          <w:rFonts w:hint="eastAsia" w:ascii="楷体_GB2312" w:eastAsia="楷体_GB2312"/>
          <w:b/>
          <w:sz w:val="32"/>
          <w:szCs w:val="32"/>
        </w:rPr>
        <w:t>（一）机构组成。</w:t>
      </w:r>
      <w:r>
        <w:rPr>
          <w:rFonts w:ascii="仿宋_GB2312" w:hAnsi="宋体" w:eastAsia="仿宋_GB2312" w:cs="仿宋_GB2312"/>
          <w:sz w:val="32"/>
          <w:szCs w:val="32"/>
        </w:rPr>
        <w:t>红原县财政局下设单位（股室）10个，其中行政单位股室6个，参照公务员法管理的事业单位股室1个：国库集中支付中心，其他事业单位股室3个分别是：网管中心、财政评审中心、国有资产管理中心。</w:t>
      </w:r>
    </w:p>
    <w:p w14:paraId="06332CE8">
      <w:pPr>
        <w:spacing w:line="570" w:lineRule="exact"/>
        <w:ind w:firstLine="643" w:firstLineChars="200"/>
        <w:rPr>
          <w:rFonts w:ascii="仿宋_GB2312" w:hAnsi="宋体" w:eastAsia="仿宋_GB2312"/>
          <w:sz w:val="32"/>
          <w:szCs w:val="32"/>
        </w:rPr>
      </w:pPr>
      <w:r>
        <w:rPr>
          <w:rFonts w:hint="eastAsia" w:ascii="楷体_GB2312" w:eastAsia="楷体_GB2312"/>
          <w:b/>
          <w:sz w:val="32"/>
          <w:szCs w:val="32"/>
        </w:rPr>
        <w:t>（二）机构职能。</w:t>
      </w:r>
      <w:r>
        <w:rPr>
          <w:rFonts w:ascii="仿宋_GB2312" w:hAnsi="宋体" w:eastAsia="仿宋_GB2312" w:cs="仿宋_GB2312"/>
          <w:sz w:val="32"/>
          <w:szCs w:val="32"/>
        </w:rPr>
        <w:t>（1）拟定和执行红原县财政的发展战略、规划、方针政策，分析研究中、长期财政规划执行情况；贯彻执行财政分配政策和财政改革方案；参与宏观经济分析预测和全县重大宏观经济政策的制定；提出运用财税政策实施宏观经济调控和综合平衡全县财力的建议；制定构建地方公共财政体系的政策、制度；指导全县财政工作。</w:t>
      </w:r>
    </w:p>
    <w:p w14:paraId="235F1DE1">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（2）贯彻执行国家财税方面的法律、法规和方针、政策，负责组织起草地方性财税法规草案、实施办法和规章制度并组织实施。管理中央转贷的特种国债。</w:t>
      </w:r>
    </w:p>
    <w:p w14:paraId="6B8F6CC5">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（3）承担各项财政收支管理的责任。负责编制年度县级预算草案并组织执行；受县政府委托，向县人民代表大会报告 县本级财政预算及其执行情况，向县人大常委会报告决算；组织制定经费开支标准、定额，负责审核批复部门（单位）的年度预决算。</w:t>
      </w:r>
    </w:p>
    <w:p w14:paraId="112B9F44">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（4）负责政府非税收入管理。负责政府性基金管理，按规定管理行政事业性收费。管理财政票据。按规定管理彩票基金。</w:t>
      </w:r>
    </w:p>
    <w:p w14:paraId="6F8077E2">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（5）组织制定全县国库管理制度、国库集中收付制度，指导和监督国库业务，按规定开展国库现金管理工作。负责制定政府采购制度，监督管理全县政府采购工作。</w:t>
      </w:r>
    </w:p>
    <w:p w14:paraId="1B539D3A">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（6）会同有关部门管理全县社会保障和就业及医疗卫生支出，会同有关部门拟定社会保障资金（基金）的财务管理制度，编制县级社会保障预决算草案。</w:t>
      </w:r>
    </w:p>
    <w:p w14:paraId="30A4574A">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（7）负责组织执行政府债务管理制度和政策，制定具体管理办法，负责管理政府债务，防范财政风险。</w:t>
      </w:r>
    </w:p>
    <w:p w14:paraId="71446A2C">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8）负责审核和汇总编制全县国有资本经营预决算草案，制定国有资本经营预算的制度和办法，收取县本级企业国有资本收益，组织实施企业财务制度，按规定管理金融类国有资产，参与拟定企业国有资产管理相关制度，按规定管理资产评估工作。</w:t>
      </w:r>
    </w:p>
    <w:p w14:paraId="6A3222D7">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9）负责制定全县行政事业单位国有资产管理规章制度及县级机关事业国有资产收益管理办法并对执行情况进行监督检查，负责县级机关国有资产经营收益财政专户管理工作。制定需要全县同意规定的开支标准和支出政策。</w:t>
      </w:r>
    </w:p>
    <w:p w14:paraId="2F108127">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10）负责办理和监督财政性经济发展支出、政府性投资项目的财政拨款，负责投资评审管理工作，参与拟定政府性建设投资的有关政策，制定基本建设财务制度，负责有关政策性补贴和专项储备资金财务管理工作。负责全县农业综合开发管理工作。</w:t>
      </w:r>
    </w:p>
    <w:p w14:paraId="635E89B7">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（11）负责管理全县会计工作，监督和规范会计行为，组织实施国家统一会计制度和补充规定；会同有关部门管理会计专业技术职称工作。</w:t>
      </w:r>
    </w:p>
    <w:p w14:paraId="485A3937">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（12）负责财政资金绩效评价。监督检查财税政策、法律法规的执行情况，反映财政收支中的重大问题。依法查处重点违反财经纪律的行为。</w:t>
      </w:r>
    </w:p>
    <w:p w14:paraId="7B7BA941">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（13）制定财政科研计划和教育培训规划；组织财政业务培训；负责财政信息和财政宣传工作；指导全县财政系统抓好精神文明建设和廉政建设，做好财政系统干部职工的思想政治工作。</w:t>
      </w:r>
    </w:p>
    <w:p w14:paraId="5D81DAF4">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（14）承担县政府公布的有关行政审批事项。</w:t>
      </w:r>
    </w:p>
    <w:p w14:paraId="2C55566E">
      <w:pPr>
        <w:spacing w:line="570" w:lineRule="exact"/>
        <w:ind w:firstLine="640" w:firstLineChars="200"/>
        <w:rPr>
          <w:rFonts w:ascii="仿宋_GB2312" w:hAnsi="宋体" w:eastAsia="仿宋_GB2312"/>
          <w:sz w:val="32"/>
          <w:szCs w:val="32"/>
        </w:rPr>
      </w:pPr>
      <w:r>
        <w:rPr>
          <w:rFonts w:ascii="仿宋_GB2312" w:hAnsi="宋体" w:eastAsia="仿宋_GB2312" w:cs="仿宋_GB2312"/>
          <w:sz w:val="32"/>
          <w:szCs w:val="32"/>
        </w:rPr>
        <w:t>（15）承办县政府交办的其他事项。</w:t>
      </w:r>
    </w:p>
    <w:p w14:paraId="55E54DEC">
      <w:pPr>
        <w:autoSpaceDE w:val="0"/>
        <w:spacing w:line="570" w:lineRule="exact"/>
        <w:ind w:firstLine="643" w:firstLineChars="200"/>
        <w:rPr>
          <w:rFonts w:ascii="仿宋_GB2312" w:eastAsia="仿宋_GB2312" w:cs="仿宋_GB2312"/>
          <w:sz w:val="32"/>
          <w:szCs w:val="32"/>
        </w:rPr>
      </w:pPr>
      <w:r>
        <w:rPr>
          <w:rFonts w:hint="eastAsia" w:ascii="楷体_GB2312" w:eastAsia="楷体_GB2312"/>
          <w:b/>
          <w:sz w:val="32"/>
          <w:szCs w:val="32"/>
        </w:rPr>
        <w:t>（三）人员概况。</w:t>
      </w:r>
      <w:r>
        <w:rPr>
          <w:rFonts w:hint="eastAsia" w:ascii="仿宋_GB2312" w:eastAsia="仿宋_GB2312"/>
          <w:sz w:val="32"/>
          <w:szCs w:val="32"/>
        </w:rPr>
        <w:t>截至202</w:t>
      </w:r>
      <w:r>
        <w:rPr>
          <w:rFonts w:hint="eastAsia" w:ascii="仿宋_GB2312" w:eastAsia="仿宋_GB2312"/>
          <w:sz w:val="32"/>
          <w:szCs w:val="32"/>
          <w:lang w:val="en-US" w:eastAsia="zh-CN"/>
        </w:rPr>
        <w:t>5</w:t>
      </w:r>
      <w:r>
        <w:rPr>
          <w:rFonts w:hint="eastAsia" w:ascii="仿宋_GB2312" w:eastAsia="仿宋_GB2312"/>
          <w:sz w:val="32"/>
          <w:szCs w:val="32"/>
        </w:rPr>
        <w:t>年末，</w:t>
      </w:r>
      <w:r>
        <w:rPr>
          <w:rFonts w:ascii="仿宋_GB2312" w:eastAsia="仿宋_GB2312" w:cs="仿宋_GB2312"/>
          <w:sz w:val="32"/>
          <w:szCs w:val="32"/>
        </w:rPr>
        <w:t>我单位为独立核算全额拨款行政单位，截止202</w:t>
      </w:r>
      <w:r>
        <w:rPr>
          <w:rFonts w:hint="eastAsia" w:ascii="仿宋_GB2312" w:eastAsia="仿宋_GB2312" w:cs="仿宋_GB2312"/>
          <w:sz w:val="32"/>
          <w:szCs w:val="32"/>
          <w:lang w:val="en-US" w:eastAsia="zh-CN"/>
        </w:rPr>
        <w:t>5</w:t>
      </w:r>
      <w:r>
        <w:rPr>
          <w:rFonts w:ascii="仿宋_GB2312" w:eastAsia="仿宋_GB2312" w:cs="仿宋_GB2312"/>
          <w:sz w:val="32"/>
          <w:szCs w:val="32"/>
        </w:rPr>
        <w:t>年底我单位共有编制42个，在职</w:t>
      </w:r>
      <w:r>
        <w:rPr>
          <w:rFonts w:hint="eastAsia" w:ascii="仿宋_GB2312" w:eastAsia="仿宋_GB2312" w:cs="仿宋_GB2312"/>
          <w:sz w:val="32"/>
          <w:szCs w:val="32"/>
          <w:lang w:val="en-US" w:eastAsia="zh-CN"/>
        </w:rPr>
        <w:t>37</w:t>
      </w:r>
      <w:r>
        <w:rPr>
          <w:rFonts w:ascii="仿宋_GB2312" w:eastAsia="仿宋_GB2312" w:cs="仿宋_GB2312"/>
          <w:sz w:val="32"/>
          <w:szCs w:val="32"/>
        </w:rPr>
        <w:t>人。</w:t>
      </w:r>
    </w:p>
    <w:p w14:paraId="7E92AAB7">
      <w:pPr>
        <w:ind w:firstLine="640" w:firstLineChars="200"/>
      </w:pPr>
      <w:bookmarkStart w:id="112" w:name="_Toc10664_WPSOffice_Level2"/>
      <w:r>
        <w:rPr>
          <w:rFonts w:hint="eastAsia" w:ascii="黑体" w:hAnsi="黑体" w:eastAsia="黑体"/>
          <w:sz w:val="32"/>
          <w:szCs w:val="32"/>
        </w:rPr>
        <w:t>二、部门资金收支情况</w:t>
      </w:r>
      <w:bookmarkEnd w:id="112"/>
    </w:p>
    <w:p w14:paraId="794B4011">
      <w:pPr>
        <w:spacing w:line="600" w:lineRule="exact"/>
        <w:ind w:firstLine="643" w:firstLineChars="200"/>
        <w:jc w:val="left"/>
        <w:outlineLvl w:val="1"/>
        <w:rPr>
          <w:rFonts w:hint="eastAsia" w:ascii="仿宋" w:hAnsi="仿宋" w:eastAsia="仿宋"/>
          <w:sz w:val="32"/>
          <w:szCs w:val="32"/>
        </w:rPr>
      </w:pPr>
      <w:r>
        <w:rPr>
          <w:rFonts w:hint="eastAsia" w:ascii="楷体_GB2312" w:eastAsia="楷体_GB2312"/>
          <w:b/>
          <w:sz w:val="32"/>
          <w:szCs w:val="32"/>
        </w:rPr>
        <w:t>（一）收入情况。</w:t>
      </w: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年度本年收入合计</w:t>
      </w:r>
      <w:r>
        <w:rPr>
          <w:rFonts w:hint="eastAsia" w:eastAsia="仿宋"/>
          <w:sz w:val="32"/>
          <w:szCs w:val="32"/>
          <w:lang w:val="en-US" w:eastAsia="zh-CN"/>
        </w:rPr>
        <w:t>1492.51</w:t>
      </w:r>
      <w:r>
        <w:rPr>
          <w:rFonts w:hint="eastAsia" w:ascii="仿宋" w:hAnsi="仿宋" w:eastAsia="仿宋"/>
          <w:sz w:val="32"/>
          <w:szCs w:val="32"/>
        </w:rPr>
        <w:t>万元，其中：一般公共预算财政拨款收入</w:t>
      </w:r>
      <w:r>
        <w:rPr>
          <w:rFonts w:hint="eastAsia" w:eastAsia="仿宋"/>
          <w:sz w:val="32"/>
          <w:szCs w:val="32"/>
          <w:lang w:val="en-US" w:eastAsia="zh-CN"/>
        </w:rPr>
        <w:t>1492.51</w:t>
      </w:r>
      <w:r>
        <w:rPr>
          <w:rFonts w:hint="eastAsia" w:ascii="仿宋" w:hAnsi="仿宋" w:eastAsia="仿宋"/>
          <w:sz w:val="32"/>
          <w:szCs w:val="32"/>
        </w:rPr>
        <w:t>万元，占</w:t>
      </w:r>
      <w:r>
        <w:rPr>
          <w:sz w:val="32"/>
          <w:szCs w:val="32"/>
        </w:rPr>
        <w:t>100</w:t>
      </w:r>
      <w:r>
        <w:rPr>
          <w:rFonts w:ascii="仿宋" w:hAnsi="仿宋" w:eastAsia="仿宋"/>
          <w:sz w:val="32"/>
          <w:szCs w:val="32"/>
        </w:rPr>
        <w:t>%</w:t>
      </w:r>
      <w:r>
        <w:rPr>
          <w:rFonts w:hint="eastAsia" w:ascii="仿宋" w:hAnsi="仿宋" w:eastAsia="仿宋"/>
          <w:sz w:val="32"/>
          <w:szCs w:val="32"/>
        </w:rPr>
        <w:t>；政府性基金预算财政拨款收入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；国有资本经营预算财政拨款收入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；上级补助收入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；事业收入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；附属单位上缴收入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；其他收入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p>
    <w:p w14:paraId="444FAE18">
      <w:pPr>
        <w:spacing w:line="600" w:lineRule="exact"/>
        <w:ind w:firstLine="643" w:firstLineChars="200"/>
        <w:outlineLvl w:val="1"/>
        <w:rPr>
          <w:rFonts w:ascii="楷体_GB2312" w:eastAsia="楷体_GB2312"/>
          <w:b/>
          <w:sz w:val="32"/>
          <w:szCs w:val="32"/>
        </w:rPr>
      </w:pPr>
      <w:r>
        <w:rPr>
          <w:rFonts w:hint="eastAsia" w:ascii="楷体_GB2312" w:eastAsia="楷体_GB2312"/>
          <w:b/>
          <w:sz w:val="32"/>
          <w:szCs w:val="32"/>
        </w:rPr>
        <w:t>（二）支出情况。</w:t>
      </w: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年度本年支出合计</w:t>
      </w:r>
      <w:r>
        <w:rPr>
          <w:rFonts w:hint="eastAsia" w:eastAsia="仿宋"/>
          <w:sz w:val="32"/>
          <w:szCs w:val="32"/>
          <w:lang w:val="en-US" w:eastAsia="zh-CN"/>
        </w:rPr>
        <w:t>1492.51</w:t>
      </w:r>
      <w:r>
        <w:rPr>
          <w:rFonts w:hint="eastAsia" w:ascii="仿宋" w:hAnsi="仿宋" w:eastAsia="仿宋"/>
          <w:sz w:val="32"/>
          <w:szCs w:val="32"/>
        </w:rPr>
        <w:t>万元，其中：基本支出</w:t>
      </w:r>
      <w:r>
        <w:rPr>
          <w:rFonts w:hint="eastAsia" w:eastAsia="仿宋"/>
          <w:sz w:val="32"/>
          <w:szCs w:val="32"/>
          <w:lang w:val="en-US" w:eastAsia="zh-CN"/>
        </w:rPr>
        <w:t>956.30</w:t>
      </w:r>
      <w:r>
        <w:rPr>
          <w:rFonts w:hint="eastAsia" w:ascii="仿宋" w:hAnsi="仿宋" w:eastAsia="仿宋"/>
          <w:sz w:val="32"/>
          <w:szCs w:val="32"/>
        </w:rPr>
        <w:t>万元，占</w:t>
      </w:r>
      <w:r>
        <w:rPr>
          <w:rFonts w:hint="eastAsia" w:eastAsia="仿宋"/>
          <w:sz w:val="32"/>
          <w:szCs w:val="32"/>
          <w:lang w:val="en-US" w:eastAsia="zh-CN"/>
        </w:rPr>
        <w:t>64.07</w:t>
      </w:r>
      <w:r>
        <w:rPr>
          <w:rFonts w:ascii="仿宋" w:hAnsi="仿宋" w:eastAsia="仿宋"/>
          <w:sz w:val="32"/>
          <w:szCs w:val="32"/>
        </w:rPr>
        <w:t>%</w:t>
      </w:r>
      <w:r>
        <w:rPr>
          <w:rFonts w:hint="eastAsia" w:ascii="仿宋" w:hAnsi="仿宋" w:eastAsia="仿宋"/>
          <w:sz w:val="32"/>
          <w:szCs w:val="32"/>
        </w:rPr>
        <w:t>；项目支出</w:t>
      </w:r>
      <w:r>
        <w:rPr>
          <w:rFonts w:hint="eastAsia" w:eastAsia="仿宋"/>
          <w:sz w:val="32"/>
          <w:szCs w:val="32"/>
          <w:lang w:val="en-US" w:eastAsia="zh-CN"/>
        </w:rPr>
        <w:t>536.21</w:t>
      </w:r>
      <w:r>
        <w:rPr>
          <w:rFonts w:hint="eastAsia" w:ascii="仿宋" w:hAnsi="仿宋" w:eastAsia="仿宋"/>
          <w:sz w:val="32"/>
          <w:szCs w:val="32"/>
        </w:rPr>
        <w:t>万元，占</w:t>
      </w:r>
      <w:r>
        <w:rPr>
          <w:rFonts w:hint="eastAsia" w:ascii="仿宋" w:hAnsi="仿宋" w:eastAsia="仿宋"/>
          <w:sz w:val="32"/>
          <w:szCs w:val="32"/>
          <w:lang w:val="en-US" w:eastAsia="zh-CN"/>
        </w:rPr>
        <w:t>35.93</w:t>
      </w:r>
      <w:r>
        <w:rPr>
          <w:rFonts w:ascii="仿宋" w:hAnsi="仿宋" w:eastAsia="仿宋"/>
          <w:sz w:val="32"/>
          <w:szCs w:val="32"/>
        </w:rPr>
        <w:t>%</w:t>
      </w:r>
      <w:r>
        <w:rPr>
          <w:rFonts w:hint="eastAsia" w:ascii="仿宋" w:hAnsi="仿宋" w:eastAsia="仿宋"/>
          <w:sz w:val="32"/>
          <w:szCs w:val="32"/>
        </w:rPr>
        <w:t>；上缴上级支出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；对附属单位补助支出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p>
    <w:p w14:paraId="7EC22131">
      <w:pPr>
        <w:ind w:firstLine="643" w:firstLineChars="200"/>
        <w:rPr>
          <w:rFonts w:ascii="仿宋_GB2312" w:eastAsia="仿宋_GB2312"/>
          <w:sz w:val="32"/>
          <w:szCs w:val="32"/>
        </w:rPr>
      </w:pPr>
      <w:r>
        <w:rPr>
          <w:rFonts w:hint="eastAsia" w:ascii="楷体_GB2312" w:eastAsia="楷体_GB2312"/>
          <w:b/>
          <w:sz w:val="32"/>
          <w:szCs w:val="32"/>
        </w:rPr>
        <w:t>（三）结余分配和结转结余情况。</w:t>
      </w: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年决算报表结转结余情况0万元。</w:t>
      </w:r>
    </w:p>
    <w:p w14:paraId="142FE687">
      <w:pPr>
        <w:ind w:firstLine="640" w:firstLineChars="200"/>
        <w:rPr>
          <w:rFonts w:hint="eastAsia" w:ascii="黑体" w:hAnsi="黑体" w:eastAsia="黑体"/>
          <w:sz w:val="32"/>
          <w:szCs w:val="32"/>
        </w:rPr>
      </w:pPr>
      <w:bookmarkStart w:id="113" w:name="_Toc24203_WPSOffice_Level2"/>
      <w:r>
        <w:rPr>
          <w:rFonts w:hint="eastAsia" w:ascii="黑体" w:hAnsi="黑体" w:eastAsia="黑体"/>
          <w:sz w:val="32"/>
          <w:szCs w:val="32"/>
        </w:rPr>
        <w:t>三、部门预算绩效分析</w:t>
      </w:r>
      <w:bookmarkEnd w:id="113"/>
    </w:p>
    <w:p w14:paraId="7A9D97B5">
      <w:pPr>
        <w:ind w:firstLine="643" w:firstLineChars="200"/>
      </w:pPr>
      <w:r>
        <w:rPr>
          <w:rFonts w:hint="eastAsia" w:ascii="楷体_GB2312" w:eastAsia="楷体_GB2312"/>
          <w:b/>
          <w:sz w:val="32"/>
          <w:szCs w:val="32"/>
        </w:rPr>
        <w:t>（一）部门预算总体绩效分析。</w:t>
      </w:r>
    </w:p>
    <w:p w14:paraId="39E6A8F4">
      <w:pPr>
        <w:adjustRightInd w:val="0"/>
        <w:snapToGrid w:val="0"/>
        <w:spacing w:line="578" w:lineRule="exact"/>
        <w:ind w:firstLine="640" w:firstLineChars="200"/>
        <w:jc w:val="left"/>
        <w:rPr>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1.</w:t>
      </w:r>
      <w:r>
        <w:rPr>
          <w:rFonts w:hint="eastAsia" w:ascii="楷体_GB2312" w:hAnsi="楷体_GB2312" w:eastAsia="楷体_GB2312" w:cs="楷体_GB2312"/>
          <w:color w:val="000000"/>
          <w:kern w:val="0"/>
          <w:sz w:val="32"/>
          <w:szCs w:val="32"/>
          <w:shd w:val="clear" w:color="auto" w:fill="FFFFFF"/>
          <w:lang w:val="zh-CN"/>
        </w:rPr>
        <w:t>履职</w:t>
      </w:r>
      <w:r>
        <w:rPr>
          <w:rFonts w:hint="eastAsia" w:ascii="楷体_GB2312" w:hAnsi="楷体_GB2312" w:eastAsia="楷体_GB2312" w:cs="楷体_GB2312"/>
          <w:color w:val="000000"/>
          <w:kern w:val="0"/>
          <w:sz w:val="32"/>
          <w:szCs w:val="32"/>
          <w:shd w:val="clear" w:color="auto" w:fill="FFFFFF"/>
        </w:rPr>
        <w:t>效能</w:t>
      </w:r>
      <w:r>
        <w:rPr>
          <w:rFonts w:hint="eastAsia" w:ascii="楷体_GB2312" w:hAnsi="楷体_GB2312" w:eastAsia="楷体_GB2312" w:cs="楷体_GB2312"/>
          <w:color w:val="000000"/>
          <w:kern w:val="0"/>
          <w:sz w:val="32"/>
          <w:szCs w:val="32"/>
          <w:shd w:val="clear" w:color="auto" w:fill="FFFFFF"/>
          <w:lang w:val="zh-CN"/>
        </w:rPr>
        <w:t>。</w:t>
      </w:r>
      <w:r>
        <w:rPr>
          <w:rFonts w:hint="eastAsia" w:eastAsia="仿宋_GB2312"/>
          <w:sz w:val="32"/>
          <w:szCs w:val="32"/>
          <w:lang w:val="zh-CN"/>
        </w:rPr>
        <w:t>部门整体绩效目标中选定</w:t>
      </w:r>
      <w:r>
        <w:rPr>
          <w:rFonts w:eastAsia="仿宋_GB2312"/>
          <w:sz w:val="32"/>
          <w:szCs w:val="32"/>
          <w:lang w:val="zh-CN"/>
        </w:rPr>
        <w:t>3-5</w:t>
      </w:r>
      <w:r>
        <w:rPr>
          <w:rFonts w:hint="eastAsia" w:eastAsia="仿宋_GB2312"/>
          <w:sz w:val="32"/>
          <w:szCs w:val="32"/>
          <w:lang w:val="zh-CN"/>
        </w:rPr>
        <w:t>个核心职能目标，职能目标完成效果情况为优。</w:t>
      </w:r>
    </w:p>
    <w:p w14:paraId="3B35C024">
      <w:pPr>
        <w:adjustRightInd w:val="0"/>
        <w:snapToGrid w:val="0"/>
        <w:spacing w:line="578" w:lineRule="exact"/>
        <w:ind w:firstLine="640" w:firstLineChars="200"/>
        <w:jc w:val="left"/>
        <w:rPr>
          <w:rFonts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2.</w:t>
      </w:r>
      <w:r>
        <w:rPr>
          <w:rFonts w:hint="eastAsia" w:ascii="楷体_GB2312" w:hAnsi="楷体_GB2312" w:eastAsia="楷体_GB2312" w:cs="楷体_GB2312"/>
          <w:color w:val="000000"/>
          <w:kern w:val="0"/>
          <w:sz w:val="32"/>
          <w:szCs w:val="32"/>
          <w:shd w:val="clear" w:color="auto" w:fill="FFFFFF"/>
          <w:lang w:val="zh-CN"/>
        </w:rPr>
        <w:t>预算管理。</w:t>
      </w:r>
      <w:r>
        <w:rPr>
          <w:rFonts w:hint="eastAsia" w:eastAsia="仿宋_GB2312"/>
          <w:sz w:val="32"/>
          <w:szCs w:val="32"/>
          <w:lang w:val="zh-CN"/>
        </w:rPr>
        <w:t>预算编制质量、单位收入统筹、支出执行进度、预算年终结余、严控一般性支出等方面情况为优。</w:t>
      </w:r>
    </w:p>
    <w:p w14:paraId="536BAE1A">
      <w:pPr>
        <w:adjustRightInd w:val="0"/>
        <w:snapToGrid w:val="0"/>
        <w:spacing w:line="578" w:lineRule="exact"/>
        <w:ind w:firstLine="640" w:firstLineChars="200"/>
        <w:jc w:val="left"/>
        <w:rPr>
          <w:rFonts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3.</w:t>
      </w:r>
      <w:r>
        <w:rPr>
          <w:rFonts w:hint="eastAsia" w:ascii="楷体_GB2312" w:hAnsi="楷体_GB2312" w:eastAsia="楷体_GB2312" w:cs="楷体_GB2312"/>
          <w:color w:val="000000"/>
          <w:kern w:val="0"/>
          <w:sz w:val="32"/>
          <w:szCs w:val="32"/>
          <w:shd w:val="clear" w:color="auto" w:fill="FFFFFF"/>
          <w:lang w:val="zh-CN"/>
        </w:rPr>
        <w:t>财务管理。</w:t>
      </w:r>
      <w:r>
        <w:rPr>
          <w:rFonts w:hint="eastAsia" w:eastAsia="仿宋_GB2312"/>
          <w:sz w:val="32"/>
          <w:szCs w:val="32"/>
          <w:lang w:val="zh-CN"/>
        </w:rPr>
        <w:t>财务管理制度、财务岗位设置、资金使用规范等情况为优。</w:t>
      </w:r>
    </w:p>
    <w:p w14:paraId="6F4B33C8">
      <w:pPr>
        <w:adjustRightInd w:val="0"/>
        <w:snapToGrid w:val="0"/>
        <w:spacing w:line="578" w:lineRule="exact"/>
        <w:ind w:firstLine="640" w:firstLineChars="200"/>
        <w:jc w:val="left"/>
        <w:rPr>
          <w:rFonts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4.</w:t>
      </w:r>
      <w:r>
        <w:rPr>
          <w:rFonts w:hint="eastAsia" w:ascii="楷体_GB2312" w:hAnsi="楷体_GB2312" w:eastAsia="楷体_GB2312" w:cs="楷体_GB2312"/>
          <w:color w:val="000000"/>
          <w:kern w:val="0"/>
          <w:sz w:val="32"/>
          <w:szCs w:val="32"/>
          <w:shd w:val="clear" w:color="auto" w:fill="FFFFFF"/>
          <w:lang w:val="zh-CN"/>
        </w:rPr>
        <w:t>资产管理。</w:t>
      </w:r>
      <w:r>
        <w:rPr>
          <w:rFonts w:hint="eastAsia" w:eastAsia="仿宋_GB2312"/>
          <w:sz w:val="32"/>
          <w:szCs w:val="32"/>
          <w:lang w:val="zh-CN"/>
        </w:rPr>
        <w:t>资产利用率、资产盘活率等情况为优。</w:t>
      </w:r>
    </w:p>
    <w:p w14:paraId="2D443D54">
      <w:pPr>
        <w:ind w:firstLine="643" w:firstLineChars="200"/>
        <w:rPr>
          <w:rFonts w:eastAsia="仿宋_GB2312"/>
          <w:sz w:val="32"/>
          <w:szCs w:val="32"/>
          <w:lang w:val="zh-CN"/>
        </w:rPr>
      </w:pPr>
      <w:r>
        <w:rPr>
          <w:rFonts w:hint="eastAsia" w:ascii="楷体_GB2312" w:eastAsia="楷体_GB2312"/>
          <w:b/>
          <w:sz w:val="32"/>
          <w:szCs w:val="32"/>
        </w:rPr>
        <w:t>（二）部门预算项目绩效分析。</w:t>
      </w:r>
    </w:p>
    <w:p w14:paraId="75736233">
      <w:pPr>
        <w:ind w:firstLine="640" w:firstLineChars="200"/>
        <w:rPr>
          <w:rFonts w:eastAsia="仿宋_GB2312"/>
          <w:sz w:val="32"/>
          <w:szCs w:val="32"/>
          <w:lang w:val="zh-CN"/>
        </w:rPr>
      </w:pPr>
      <w:r>
        <w:rPr>
          <w:rFonts w:hint="eastAsia" w:eastAsia="仿宋_GB2312"/>
          <w:sz w:val="32"/>
          <w:szCs w:val="32"/>
          <w:lang w:val="zh-CN"/>
        </w:rPr>
        <w:t>常年项目绩效分析。该类项目总数</w:t>
      </w:r>
      <w:r>
        <w:rPr>
          <w:rFonts w:hint="eastAsia" w:eastAsia="仿宋_GB2312"/>
          <w:sz w:val="32"/>
          <w:szCs w:val="32"/>
        </w:rPr>
        <w:t>4</w:t>
      </w:r>
      <w:r>
        <w:rPr>
          <w:rFonts w:hint="eastAsia" w:eastAsia="仿宋_GB2312"/>
          <w:sz w:val="32"/>
          <w:szCs w:val="32"/>
          <w:lang w:val="zh-CN"/>
        </w:rPr>
        <w:t>个，涉及预算总金额</w:t>
      </w:r>
      <w:r>
        <w:rPr>
          <w:rFonts w:hint="eastAsia" w:eastAsia="仿宋_GB2312"/>
          <w:sz w:val="32"/>
          <w:szCs w:val="32"/>
          <w:lang w:val="en-US" w:eastAsia="zh-CN"/>
        </w:rPr>
        <w:t>567.6</w:t>
      </w:r>
      <w:r>
        <w:rPr>
          <w:rFonts w:hint="eastAsia" w:eastAsia="仿宋_GB2312"/>
          <w:sz w:val="32"/>
          <w:szCs w:val="32"/>
          <w:lang w:val="zh-CN"/>
        </w:rPr>
        <w:t>万元，1—12月预算执行总体进度为</w:t>
      </w:r>
      <w:r>
        <w:rPr>
          <w:rFonts w:hint="eastAsia" w:eastAsia="仿宋_GB2312"/>
          <w:sz w:val="32"/>
          <w:szCs w:val="32"/>
        </w:rPr>
        <w:t>88.98</w:t>
      </w:r>
      <w:r>
        <w:rPr>
          <w:rFonts w:hint="eastAsia" w:eastAsia="仿宋_GB2312"/>
          <w:sz w:val="32"/>
          <w:szCs w:val="32"/>
          <w:lang w:val="zh-CN"/>
        </w:rPr>
        <w:t>%，其中：预算结余率大于10%的项目共计</w:t>
      </w:r>
      <w:r>
        <w:rPr>
          <w:rFonts w:hint="eastAsia" w:eastAsia="仿宋_GB2312"/>
          <w:sz w:val="32"/>
          <w:szCs w:val="32"/>
        </w:rPr>
        <w:t>0</w:t>
      </w:r>
      <w:r>
        <w:rPr>
          <w:rFonts w:hint="eastAsia" w:eastAsia="仿宋_GB2312"/>
          <w:sz w:val="32"/>
          <w:szCs w:val="32"/>
          <w:lang w:val="zh-CN"/>
        </w:rPr>
        <w:t>个。</w:t>
      </w:r>
    </w:p>
    <w:p w14:paraId="263B599B">
      <w:pPr>
        <w:ind w:firstLine="640" w:firstLineChars="200"/>
        <w:rPr>
          <w:rFonts w:eastAsia="仿宋_GB2312"/>
          <w:sz w:val="32"/>
          <w:szCs w:val="32"/>
          <w:lang w:val="zh-CN"/>
        </w:rPr>
      </w:pPr>
      <w:r>
        <w:rPr>
          <w:rFonts w:hint="eastAsia" w:ascii="楷体_GB2312" w:hAnsi="楷体_GB2312" w:eastAsia="楷体_GB2312" w:cs="楷体_GB2312"/>
          <w:color w:val="000000"/>
          <w:kern w:val="0"/>
          <w:sz w:val="32"/>
          <w:szCs w:val="32"/>
          <w:shd w:val="clear" w:color="auto" w:fill="FFFFFF"/>
        </w:rPr>
        <w:t>1.项目决策。</w:t>
      </w:r>
      <w:r>
        <w:rPr>
          <w:rFonts w:hint="eastAsia" w:eastAsia="仿宋_GB2312"/>
          <w:sz w:val="32"/>
          <w:szCs w:val="32"/>
          <w:lang w:val="zh-CN"/>
        </w:rPr>
        <w:t>决策程序、目标设置、项目入库等方面为优。</w:t>
      </w:r>
    </w:p>
    <w:p w14:paraId="3901A625">
      <w:pPr>
        <w:ind w:firstLine="640" w:firstLineChars="200"/>
        <w:rPr>
          <w:rFonts w:eastAsia="仿宋_GB2312"/>
          <w:sz w:val="32"/>
          <w:szCs w:val="32"/>
          <w:lang w:val="zh-CN"/>
        </w:rPr>
      </w:pPr>
      <w:r>
        <w:rPr>
          <w:rFonts w:hint="eastAsia" w:ascii="楷体_GB2312" w:hAnsi="楷体_GB2312" w:eastAsia="楷体_GB2312" w:cs="楷体_GB2312"/>
          <w:color w:val="000000"/>
          <w:kern w:val="0"/>
          <w:sz w:val="32"/>
          <w:szCs w:val="32"/>
          <w:shd w:val="clear" w:color="auto" w:fill="FFFFFF"/>
        </w:rPr>
        <w:t>2.项目执行。</w:t>
      </w:r>
      <w:r>
        <w:rPr>
          <w:rFonts w:hint="eastAsia" w:eastAsia="仿宋_GB2312"/>
          <w:sz w:val="32"/>
          <w:szCs w:val="32"/>
          <w:lang w:val="zh-CN"/>
        </w:rPr>
        <w:t>资金执行同向、项目调整、执行结果等情况为良好。</w:t>
      </w:r>
    </w:p>
    <w:p w14:paraId="4CD3B1BE">
      <w:pPr>
        <w:ind w:firstLine="640" w:firstLineChars="200"/>
        <w:rPr>
          <w:rFonts w:hint="eastAsia" w:ascii="黑体" w:hAnsi="黑体" w:eastAsia="黑体"/>
          <w:sz w:val="32"/>
          <w:szCs w:val="32"/>
        </w:rPr>
      </w:pPr>
      <w:bookmarkStart w:id="114" w:name="_Toc26190_WPSOffice_Level2"/>
      <w:r>
        <w:rPr>
          <w:rFonts w:hint="eastAsia" w:ascii="黑体" w:hAnsi="黑体" w:eastAsia="黑体"/>
          <w:sz w:val="32"/>
          <w:szCs w:val="32"/>
        </w:rPr>
        <w:t>四、评价结论及建议</w:t>
      </w:r>
      <w:bookmarkEnd w:id="114"/>
    </w:p>
    <w:p w14:paraId="5AA70636">
      <w:pPr>
        <w:ind w:firstLine="643" w:firstLineChars="200"/>
        <w:rPr>
          <w:rFonts w:eastAsia="仿宋_GB2312"/>
          <w:sz w:val="32"/>
          <w:szCs w:val="32"/>
        </w:rPr>
      </w:pPr>
      <w:r>
        <w:rPr>
          <w:rFonts w:hint="eastAsia" w:ascii="楷体_GB2312" w:eastAsia="楷体_GB2312"/>
          <w:b/>
          <w:sz w:val="32"/>
          <w:szCs w:val="32"/>
        </w:rPr>
        <w:t>（一）评价结论。</w:t>
      </w:r>
      <w:r>
        <w:rPr>
          <w:rFonts w:hint="eastAsia" w:eastAsia="仿宋_GB2312"/>
          <w:sz w:val="32"/>
          <w:szCs w:val="32"/>
          <w:lang w:val="zh-CN"/>
        </w:rPr>
        <w:t>根据《</w:t>
      </w:r>
      <w:r>
        <w:rPr>
          <w:rFonts w:hint="eastAsia" w:eastAsia="仿宋_GB2312"/>
          <w:sz w:val="32"/>
          <w:szCs w:val="32"/>
        </w:rPr>
        <w:t>202</w:t>
      </w:r>
      <w:r>
        <w:rPr>
          <w:rFonts w:hint="eastAsia" w:eastAsia="仿宋_GB2312"/>
          <w:sz w:val="32"/>
          <w:szCs w:val="32"/>
          <w:lang w:val="en-US" w:eastAsia="zh-CN"/>
        </w:rPr>
        <w:t>5</w:t>
      </w:r>
      <w:r>
        <w:rPr>
          <w:rFonts w:hint="eastAsia" w:eastAsia="仿宋_GB2312"/>
          <w:sz w:val="32"/>
          <w:szCs w:val="32"/>
        </w:rPr>
        <w:t>年红原县部门指出绩效评价指标体系》评价得分96分，部门整体支出绩效为“优”。</w:t>
      </w:r>
    </w:p>
    <w:p w14:paraId="6F9FF647">
      <w:pPr>
        <w:ind w:firstLine="643" w:firstLineChars="200"/>
        <w:rPr>
          <w:rFonts w:eastAsia="仿宋_GB2312"/>
          <w:sz w:val="32"/>
          <w:szCs w:val="32"/>
          <w:lang w:val="zh-CN"/>
        </w:rPr>
      </w:pPr>
      <w:r>
        <w:rPr>
          <w:rFonts w:hint="eastAsia" w:ascii="楷体_GB2312" w:eastAsia="楷体_GB2312"/>
          <w:b/>
          <w:sz w:val="32"/>
          <w:szCs w:val="32"/>
        </w:rPr>
        <w:t>（二）存在问题。</w:t>
      </w:r>
      <w:r>
        <w:rPr>
          <w:rFonts w:hint="eastAsia" w:eastAsia="仿宋_GB2312"/>
          <w:sz w:val="32"/>
          <w:szCs w:val="32"/>
        </w:rPr>
        <w:t>1.加强绩效管理学习，科学合理编制预算，严格执行预算。2.规范账务处理，提高财务信息质量。</w:t>
      </w:r>
    </w:p>
    <w:p w14:paraId="34782485">
      <w:pPr>
        <w:pStyle w:val="37"/>
        <w:keepNext w:val="0"/>
        <w:keepLines w:val="0"/>
        <w:pageBreakBefore w:val="0"/>
        <w:widowControl/>
        <w:shd w:val="clear" w:color="auto" w:fill="FFFFFF"/>
        <w:kinsoku/>
        <w:wordWrap/>
        <w:overflowPunct/>
        <w:topLinePunct w:val="0"/>
        <w:autoSpaceDE/>
        <w:autoSpaceDN/>
        <w:bidi w:val="0"/>
        <w:adjustRightInd/>
        <w:snapToGrid/>
        <w:ind w:firstLine="643" w:firstLineChars="200"/>
        <w:textAlignment w:val="auto"/>
        <w:rPr>
          <w:rFonts w:hint="eastAsia" w:ascii="Times New Roman" w:hAnsi="Times New Roman" w:eastAsia="仿宋_GB2312" w:cs="Times New Roman"/>
          <w:kern w:val="2"/>
          <w:sz w:val="32"/>
          <w:szCs w:val="32"/>
          <w:lang w:val="zh-CN" w:eastAsia="zh-CN" w:bidi="ar-SA"/>
        </w:rPr>
      </w:pPr>
      <w:r>
        <w:rPr>
          <w:rFonts w:hint="default" w:ascii="楷体_GB2312" w:hAnsi="Times New Roman" w:eastAsia="楷体_GB2312" w:cs="Times New Roman"/>
          <w:b/>
          <w:kern w:val="2"/>
          <w:sz w:val="32"/>
          <w:szCs w:val="32"/>
          <w:lang w:val="en-US" w:eastAsia="zh-CN" w:bidi="ar-SA"/>
        </w:rPr>
        <w:t>（三）改进建议。</w:t>
      </w:r>
      <w:r>
        <w:rPr>
          <w:rFonts w:hint="eastAsia" w:ascii="Times New Roman" w:hAnsi="Times New Roman" w:eastAsia="仿宋_GB2312" w:cs="Times New Roman"/>
          <w:kern w:val="2"/>
          <w:sz w:val="32"/>
          <w:szCs w:val="32"/>
          <w:lang w:val="zh-CN" w:eastAsia="zh-CN" w:bidi="ar-SA"/>
        </w:rPr>
        <w:t>1.加强组织领导，增强预算编制的</w:t>
      </w:r>
      <w:r>
        <w:rPr>
          <w:rFonts w:hint="eastAsia" w:ascii="Times New Roman" w:hAnsi="Times New Roman" w:eastAsia="仿宋_GB2312" w:cs="Times New Roman"/>
          <w:kern w:val="2"/>
          <w:sz w:val="32"/>
          <w:szCs w:val="32"/>
          <w:lang w:val="en-US" w:eastAsia="zh-CN" w:bidi="ar-SA"/>
        </w:rPr>
        <w:t>准确</w:t>
      </w:r>
      <w:r>
        <w:rPr>
          <w:rFonts w:hint="eastAsia" w:ascii="Times New Roman" w:hAnsi="Times New Roman" w:eastAsia="仿宋_GB2312" w:cs="Times New Roman"/>
          <w:kern w:val="2"/>
          <w:sz w:val="32"/>
          <w:szCs w:val="32"/>
          <w:lang w:val="zh-CN" w:eastAsia="zh-CN" w:bidi="ar-SA"/>
        </w:rPr>
        <w:t>性，提高对预算编制与执行的认识，为绩效评价工作开展创造更好的条件。2.建立长效机制，加强管理提高部门支出的绩效成果，为更好的服务工作发挥最大效益。</w:t>
      </w:r>
    </w:p>
    <w:p w14:paraId="638AFB0F">
      <w:pPr>
        <w:pStyle w:val="37"/>
        <w:keepNext w:val="0"/>
        <w:keepLines w:val="0"/>
        <w:pageBreakBefore w:val="0"/>
        <w:widowControl/>
        <w:shd w:val="clear" w:color="auto" w:fill="FFFFFF"/>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Times New Roman"/>
          <w:kern w:val="2"/>
          <w:sz w:val="32"/>
          <w:szCs w:val="32"/>
          <w:lang w:val="zh-CN" w:eastAsia="zh-CN" w:bidi="ar-SA"/>
        </w:rPr>
      </w:pPr>
    </w:p>
    <w:p w14:paraId="5DB89D96">
      <w:pPr>
        <w:pStyle w:val="37"/>
        <w:keepNext w:val="0"/>
        <w:keepLines w:val="0"/>
        <w:pageBreakBefore w:val="0"/>
        <w:widowControl/>
        <w:shd w:val="clear" w:color="auto" w:fill="FFFFFF"/>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Times New Roman"/>
          <w:kern w:val="2"/>
          <w:sz w:val="32"/>
          <w:szCs w:val="32"/>
          <w:lang w:val="zh-CN" w:eastAsia="zh-CN" w:bidi="ar-SA"/>
        </w:rPr>
      </w:pPr>
    </w:p>
    <w:p w14:paraId="7F517E69">
      <w:pPr>
        <w:pStyle w:val="37"/>
        <w:keepNext w:val="0"/>
        <w:keepLines w:val="0"/>
        <w:pageBreakBefore w:val="0"/>
        <w:widowControl/>
        <w:shd w:val="clear" w:color="auto" w:fill="FFFFFF"/>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Times New Roman"/>
          <w:kern w:val="2"/>
          <w:sz w:val="32"/>
          <w:szCs w:val="32"/>
          <w:lang w:val="zh-CN" w:eastAsia="zh-CN" w:bidi="ar-SA"/>
        </w:rPr>
      </w:pPr>
    </w:p>
    <w:p w14:paraId="746EAC48">
      <w:pPr>
        <w:pStyle w:val="37"/>
        <w:keepNext w:val="0"/>
        <w:keepLines w:val="0"/>
        <w:pageBreakBefore w:val="0"/>
        <w:widowControl/>
        <w:shd w:val="clear" w:color="auto" w:fill="FFFFFF"/>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Times New Roman"/>
          <w:kern w:val="2"/>
          <w:sz w:val="32"/>
          <w:szCs w:val="32"/>
          <w:lang w:val="zh-CN" w:eastAsia="zh-CN" w:bidi="ar-SA"/>
        </w:rPr>
      </w:pPr>
    </w:p>
    <w:p w14:paraId="2A1CB355">
      <w:pPr>
        <w:pStyle w:val="37"/>
        <w:keepNext w:val="0"/>
        <w:keepLines w:val="0"/>
        <w:pageBreakBefore w:val="0"/>
        <w:widowControl/>
        <w:shd w:val="clear" w:color="auto" w:fill="FFFFFF"/>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Times New Roman"/>
          <w:kern w:val="2"/>
          <w:sz w:val="32"/>
          <w:szCs w:val="32"/>
          <w:lang w:val="zh-CN" w:eastAsia="zh-CN" w:bidi="ar-SA"/>
        </w:rPr>
      </w:pPr>
    </w:p>
    <w:p w14:paraId="14E6E9A3">
      <w:pPr>
        <w:pStyle w:val="37"/>
        <w:keepNext w:val="0"/>
        <w:keepLines w:val="0"/>
        <w:pageBreakBefore w:val="0"/>
        <w:widowControl/>
        <w:shd w:val="clear" w:color="auto" w:fill="FFFFFF"/>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Times New Roman"/>
          <w:kern w:val="2"/>
          <w:sz w:val="32"/>
          <w:szCs w:val="32"/>
          <w:lang w:val="zh-CN" w:eastAsia="zh-CN" w:bidi="ar-SA"/>
        </w:rPr>
      </w:pPr>
    </w:p>
    <w:p w14:paraId="4636DE3A">
      <w:pPr>
        <w:pStyle w:val="37"/>
        <w:keepNext w:val="0"/>
        <w:keepLines w:val="0"/>
        <w:pageBreakBefore w:val="0"/>
        <w:widowControl/>
        <w:shd w:val="clear" w:color="auto" w:fill="FFFFFF"/>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Times New Roman"/>
          <w:kern w:val="2"/>
          <w:sz w:val="32"/>
          <w:szCs w:val="32"/>
          <w:lang w:val="zh-CN" w:eastAsia="zh-CN" w:bidi="ar-SA"/>
        </w:rPr>
      </w:pPr>
    </w:p>
    <w:p w14:paraId="1B2257A6">
      <w:pPr>
        <w:pStyle w:val="37"/>
        <w:keepNext w:val="0"/>
        <w:keepLines w:val="0"/>
        <w:pageBreakBefore w:val="0"/>
        <w:widowControl/>
        <w:shd w:val="clear" w:color="auto" w:fill="FFFFFF"/>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Times New Roman"/>
          <w:kern w:val="2"/>
          <w:sz w:val="32"/>
          <w:szCs w:val="32"/>
          <w:lang w:val="zh-CN" w:eastAsia="zh-CN" w:bidi="ar-SA"/>
        </w:rPr>
      </w:pPr>
    </w:p>
    <w:p w14:paraId="1671C1FA">
      <w:pPr>
        <w:pStyle w:val="37"/>
        <w:keepNext w:val="0"/>
        <w:keepLines w:val="0"/>
        <w:pageBreakBefore w:val="0"/>
        <w:widowControl/>
        <w:shd w:val="clear" w:color="auto" w:fill="FFFFFF"/>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Times New Roman"/>
          <w:kern w:val="2"/>
          <w:sz w:val="32"/>
          <w:szCs w:val="32"/>
          <w:lang w:val="zh-CN" w:eastAsia="zh-CN" w:bidi="ar-SA"/>
        </w:rPr>
      </w:pPr>
    </w:p>
    <w:p w14:paraId="1BA029E8">
      <w:pPr>
        <w:rPr>
          <w:rFonts w:hint="eastAsia" w:ascii="黑体" w:hAnsi="黑体" w:eastAsia="黑体"/>
          <w:sz w:val="32"/>
          <w:szCs w:val="32"/>
        </w:rPr>
      </w:pPr>
      <w:r>
        <w:rPr>
          <w:rFonts w:hint="eastAsia" w:ascii="黑体" w:hAnsi="黑体" w:eastAsia="黑体"/>
          <w:sz w:val="32"/>
          <w:szCs w:val="32"/>
        </w:rPr>
        <w:t>附件2</w:t>
      </w:r>
    </w:p>
    <w:p w14:paraId="50187D3B">
      <w:pPr>
        <w:keepNext w:val="0"/>
        <w:keepLines w:val="0"/>
        <w:pageBreakBefore w:val="0"/>
        <w:kinsoku/>
        <w:wordWrap/>
        <w:overflowPunct/>
        <w:topLinePunct w:val="0"/>
        <w:autoSpaceDE/>
        <w:autoSpaceDN/>
        <w:bidi w:val="0"/>
        <w:spacing w:line="560" w:lineRule="exact"/>
        <w:ind w:left="0" w:leftChars="0" w:right="0" w:rightChars="0"/>
        <w:jc w:val="center"/>
        <w:textAlignment w:val="auto"/>
        <w:rPr>
          <w:rFonts w:hint="eastAsia" w:ascii="方正小标宋简体" w:hAnsi="方正小标宋简体" w:eastAsia="方正小标宋简体" w:cs="方正小标宋简体"/>
          <w:b w:val="0"/>
          <w:bCs/>
          <w:sz w:val="44"/>
          <w:szCs w:val="44"/>
          <w:lang w:eastAsia="zh-CN"/>
        </w:rPr>
      </w:pPr>
      <w:bookmarkStart w:id="115" w:name="_Toc8604_WPSOffice_Level2"/>
      <w:bookmarkStart w:id="116" w:name="_Toc12342_WPSOffice_Level2"/>
      <w:r>
        <w:rPr>
          <w:rFonts w:hint="eastAsia" w:ascii="方正小标宋简体" w:hAnsi="方正小标宋简体" w:eastAsia="方正小标宋简体" w:cs="方正小标宋简体"/>
          <w:b w:val="0"/>
          <w:bCs/>
          <w:sz w:val="44"/>
          <w:szCs w:val="44"/>
          <w:lang w:eastAsia="zh-CN"/>
        </w:rPr>
        <w:t>红原县财政局</w:t>
      </w:r>
      <w:bookmarkEnd w:id="115"/>
      <w:bookmarkEnd w:id="116"/>
    </w:p>
    <w:p w14:paraId="5856CEEF">
      <w:pPr>
        <w:keepNext w:val="0"/>
        <w:keepLines w:val="0"/>
        <w:pageBreakBefore w:val="0"/>
        <w:kinsoku/>
        <w:wordWrap/>
        <w:overflowPunct/>
        <w:topLinePunct w:val="0"/>
        <w:autoSpaceDE/>
        <w:autoSpaceDN/>
        <w:bidi w:val="0"/>
        <w:spacing w:line="560" w:lineRule="exact"/>
        <w:ind w:left="0" w:leftChars="0" w:right="0" w:rightChars="0"/>
        <w:jc w:val="center"/>
        <w:textAlignment w:val="auto"/>
        <w:rPr>
          <w:rFonts w:hint="eastAsia" w:ascii="方正小标宋简体" w:hAnsi="方正小标宋简体" w:eastAsia="方正小标宋简体" w:cs="方正小标宋简体"/>
          <w:b w:val="0"/>
          <w:bCs/>
          <w:sz w:val="44"/>
          <w:szCs w:val="44"/>
          <w:lang w:eastAsia="zh-CN"/>
        </w:rPr>
      </w:pPr>
      <w:bookmarkStart w:id="117" w:name="_Toc18977_WPSOffice_Level2"/>
      <w:bookmarkEnd w:id="117"/>
      <w:bookmarkStart w:id="118" w:name="_Toc6212_WPSOffice_Level2"/>
      <w:bookmarkEnd w:id="118"/>
      <w:bookmarkStart w:id="119" w:name="_Toc8629"/>
      <w:bookmarkEnd w:id="119"/>
      <w:bookmarkStart w:id="120" w:name="_Toc29082_WPSOffice_Level2"/>
      <w:bookmarkStart w:id="121" w:name="_Toc15375_WPSOffice_Level2"/>
      <w:r>
        <w:rPr>
          <w:rFonts w:hint="eastAsia" w:ascii="方正小标宋简体" w:hAnsi="方正小标宋简体" w:eastAsia="方正小标宋简体" w:cs="方正小标宋简体"/>
          <w:b w:val="0"/>
          <w:bCs/>
          <w:sz w:val="44"/>
          <w:szCs w:val="44"/>
          <w:lang w:eastAsia="zh-CN"/>
        </w:rPr>
        <w:t>财政评审及竣工结算审核项目202</w:t>
      </w:r>
      <w:r>
        <w:rPr>
          <w:rFonts w:hint="eastAsia" w:ascii="方正小标宋简体" w:hAnsi="方正小标宋简体" w:eastAsia="方正小标宋简体" w:cs="方正小标宋简体"/>
          <w:b w:val="0"/>
          <w:bCs/>
          <w:sz w:val="44"/>
          <w:szCs w:val="44"/>
          <w:lang w:val="en-US" w:eastAsia="zh-CN"/>
        </w:rPr>
        <w:t>5</w:t>
      </w:r>
      <w:r>
        <w:rPr>
          <w:rFonts w:hint="eastAsia" w:ascii="方正小标宋简体" w:hAnsi="方正小标宋简体" w:eastAsia="方正小标宋简体" w:cs="方正小标宋简体"/>
          <w:b w:val="0"/>
          <w:bCs/>
          <w:sz w:val="44"/>
          <w:szCs w:val="44"/>
          <w:lang w:eastAsia="zh-CN"/>
        </w:rPr>
        <w:t>年绩效评价报告</w:t>
      </w:r>
      <w:bookmarkEnd w:id="120"/>
      <w:bookmarkEnd w:id="121"/>
    </w:p>
    <w:p w14:paraId="348047F1">
      <w:pPr>
        <w:rPr>
          <w:rFonts w:eastAsia="仿宋_GB2312"/>
          <w:sz w:val="32"/>
          <w:szCs w:val="32"/>
          <w:lang w:val="zh-CN"/>
        </w:rPr>
      </w:pPr>
    </w:p>
    <w:p w14:paraId="3855E33E">
      <w:pPr>
        <w:ind w:firstLine="640" w:firstLineChars="200"/>
        <w:rPr>
          <w:rFonts w:hint="eastAsia" w:ascii="黑体" w:hAnsi="黑体" w:eastAsia="黑体"/>
          <w:sz w:val="32"/>
          <w:szCs w:val="32"/>
          <w:lang w:val="zh-CN"/>
        </w:rPr>
      </w:pPr>
      <w:bookmarkStart w:id="122" w:name="_Toc18438_WPSOffice_Level2"/>
      <w:r>
        <w:rPr>
          <w:rFonts w:hint="eastAsia" w:ascii="黑体" w:hAnsi="黑体" w:eastAsia="黑体"/>
          <w:sz w:val="32"/>
          <w:szCs w:val="32"/>
          <w:lang w:val="zh-CN"/>
        </w:rPr>
        <w:t>一、项目概况</w:t>
      </w:r>
      <w:bookmarkEnd w:id="122"/>
    </w:p>
    <w:p w14:paraId="54F17EBA">
      <w:pPr>
        <w:autoSpaceDE w:val="0"/>
        <w:adjustRightInd w:val="0"/>
        <w:snapToGrid w:val="0"/>
        <w:spacing w:line="550" w:lineRule="atLeast"/>
        <w:ind w:firstLine="720"/>
        <w:rPr>
          <w:rFonts w:ascii="楷体_GB2312" w:eastAsia="楷体_GB2312"/>
          <w:b/>
          <w:sz w:val="32"/>
          <w:szCs w:val="32"/>
          <w:lang w:val="zh-CN"/>
        </w:rPr>
      </w:pPr>
      <w:r>
        <w:rPr>
          <w:rFonts w:hint="eastAsia" w:ascii="楷体_GB2312" w:eastAsia="楷体_GB2312"/>
          <w:b/>
          <w:sz w:val="32"/>
          <w:szCs w:val="32"/>
          <w:lang w:val="zh-CN"/>
        </w:rPr>
        <w:t>（一）设立背景及基本情况。</w:t>
      </w:r>
    </w:p>
    <w:p w14:paraId="31AC525B">
      <w:pPr>
        <w:autoSpaceDE w:val="0"/>
        <w:adjustRightInd w:val="0"/>
        <w:snapToGrid w:val="0"/>
        <w:spacing w:line="550" w:lineRule="atLeast"/>
        <w:ind w:firstLine="720"/>
        <w:rPr>
          <w:rFonts w:ascii="仿宋_GB2312" w:hAnsi="宋体" w:eastAsia="仿宋_GB2312" w:cs="宋体"/>
          <w:kern w:val="0"/>
          <w:sz w:val="32"/>
          <w:szCs w:val="32"/>
        </w:rPr>
      </w:pPr>
      <w:r>
        <w:rPr>
          <w:rFonts w:ascii="仿宋_GB2312" w:hAnsi="宋体" w:eastAsia="仿宋_GB2312" w:cs="仿宋_GB2312"/>
          <w:kern w:val="0"/>
          <w:sz w:val="32"/>
          <w:szCs w:val="32"/>
        </w:rPr>
        <w:t>1．红原县财政局主要负责开展全县政府投资项目的招标控制价及竣工结算项目的审核工作，根据与中介服务机构签订的服务合同，给中介服务机构分配项目。</w:t>
      </w:r>
    </w:p>
    <w:p w14:paraId="3DCE477C">
      <w:pPr>
        <w:autoSpaceDE w:val="0"/>
        <w:adjustRightInd w:val="0"/>
        <w:snapToGrid w:val="0"/>
        <w:spacing w:line="550" w:lineRule="atLeast"/>
        <w:ind w:firstLine="720"/>
        <w:rPr>
          <w:rFonts w:ascii="仿宋_GB2312" w:hAnsi="宋体" w:eastAsia="仿宋_GB2312" w:cs="宋体"/>
          <w:kern w:val="0"/>
          <w:sz w:val="32"/>
          <w:szCs w:val="32"/>
        </w:rPr>
      </w:pPr>
      <w:r>
        <w:rPr>
          <w:rFonts w:ascii="仿宋_GB2312" w:hAnsi="宋体" w:eastAsia="仿宋_GB2312" w:cs="仿宋_GB2312"/>
          <w:kern w:val="0"/>
          <w:sz w:val="32"/>
          <w:szCs w:val="32"/>
        </w:rPr>
        <w:t>2．根据与中介机构签订的服务合同支付相应服务费用。</w:t>
      </w:r>
    </w:p>
    <w:p w14:paraId="0D9560C2">
      <w:pPr>
        <w:autoSpaceDE w:val="0"/>
        <w:adjustRightInd w:val="0"/>
        <w:snapToGrid w:val="0"/>
        <w:spacing w:line="550" w:lineRule="atLeast"/>
        <w:ind w:firstLine="720"/>
        <w:rPr>
          <w:rFonts w:ascii="仿宋_GB2312" w:hAnsi="宋体" w:eastAsia="仿宋_GB2312" w:cs="宋体"/>
          <w:kern w:val="0"/>
          <w:sz w:val="32"/>
          <w:szCs w:val="32"/>
        </w:rPr>
      </w:pPr>
      <w:r>
        <w:rPr>
          <w:rFonts w:ascii="仿宋_GB2312" w:hAnsi="宋体" w:eastAsia="仿宋_GB2312" w:cs="仿宋_GB2312"/>
          <w:kern w:val="0"/>
          <w:sz w:val="32"/>
          <w:szCs w:val="32"/>
        </w:rPr>
        <w:t>3．资金管理办法制定情况，根据各公司竣工结算及招标控制价审核项目完成情况支付相应服务费。</w:t>
      </w:r>
    </w:p>
    <w:p w14:paraId="43AE89FF">
      <w:pPr>
        <w:autoSpaceDE w:val="0"/>
        <w:adjustRightInd w:val="0"/>
        <w:snapToGrid w:val="0"/>
        <w:spacing w:line="550" w:lineRule="atLeast"/>
        <w:ind w:firstLine="720"/>
        <w:rPr>
          <w:rFonts w:eastAsia="仿宋_GB2312"/>
          <w:sz w:val="32"/>
          <w:szCs w:val="32"/>
          <w:lang w:val="zh-CN"/>
        </w:rPr>
      </w:pPr>
      <w:r>
        <w:rPr>
          <w:rFonts w:ascii="仿宋_GB2312" w:hAnsi="宋体" w:eastAsia="仿宋_GB2312" w:cs="仿宋_GB2312"/>
          <w:kern w:val="0"/>
          <w:sz w:val="32"/>
          <w:szCs w:val="32"/>
        </w:rPr>
        <w:t>4．本着大体平均的原则，根据每家中介机构完成项目的时效性、质量高低来分配项目。</w:t>
      </w:r>
    </w:p>
    <w:p w14:paraId="1175C7AD">
      <w:pPr>
        <w:autoSpaceDE w:val="0"/>
        <w:adjustRightInd w:val="0"/>
        <w:snapToGrid w:val="0"/>
        <w:spacing w:line="550" w:lineRule="atLeast"/>
        <w:ind w:firstLine="720"/>
        <w:rPr>
          <w:rFonts w:ascii="楷体_GB2312" w:eastAsia="楷体_GB2312"/>
          <w:b/>
          <w:sz w:val="32"/>
          <w:szCs w:val="32"/>
          <w:lang w:val="zh-CN"/>
        </w:rPr>
      </w:pPr>
      <w:r>
        <w:rPr>
          <w:rFonts w:hint="eastAsia" w:ascii="楷体_GB2312" w:eastAsia="楷体_GB2312"/>
          <w:b/>
          <w:sz w:val="32"/>
          <w:szCs w:val="32"/>
          <w:lang w:val="zh-CN"/>
        </w:rPr>
        <w:t>（二）实施目的及支持方向。</w:t>
      </w:r>
    </w:p>
    <w:p w14:paraId="59E18ADE">
      <w:pPr>
        <w:autoSpaceDE w:val="0"/>
        <w:adjustRightInd w:val="0"/>
        <w:snapToGrid w:val="0"/>
        <w:spacing w:line="550" w:lineRule="atLeast"/>
        <w:ind w:firstLine="720"/>
        <w:rPr>
          <w:rFonts w:ascii="仿宋_GB2312" w:hAnsi="宋体" w:eastAsia="仿宋_GB2312" w:cs="仿宋_GB2312"/>
          <w:kern w:val="0"/>
          <w:sz w:val="32"/>
          <w:szCs w:val="32"/>
        </w:rPr>
      </w:pPr>
      <w:r>
        <w:rPr>
          <w:rFonts w:ascii="仿宋_GB2312" w:hAnsi="宋体" w:eastAsia="仿宋_GB2312" w:cs="仿宋_GB2312"/>
          <w:kern w:val="0"/>
          <w:sz w:val="32"/>
          <w:szCs w:val="32"/>
        </w:rPr>
        <w:t>政府投资项目招标控制价及竣工结算项目审核。</w:t>
      </w:r>
    </w:p>
    <w:p w14:paraId="7281B1BF">
      <w:pPr>
        <w:autoSpaceDE w:val="0"/>
        <w:adjustRightInd w:val="0"/>
        <w:snapToGrid w:val="0"/>
        <w:spacing w:line="550" w:lineRule="atLeast"/>
        <w:ind w:firstLine="720"/>
        <w:rPr>
          <w:rFonts w:hint="default" w:ascii="仿宋_GB2312" w:hAnsi="宋体" w:eastAsia="仿宋_GB2312" w:cs="仿宋_GB2312"/>
          <w:kern w:val="0"/>
          <w:sz w:val="32"/>
          <w:szCs w:val="32"/>
          <w:lang w:val="zh-CN"/>
        </w:rPr>
      </w:pPr>
      <w:r>
        <w:rPr>
          <w:rFonts w:hint="eastAsia" w:ascii="楷体_GB2312" w:hAnsi="Times New Roman" w:eastAsia="楷体_GB2312" w:cs="Times New Roman"/>
          <w:b/>
          <w:sz w:val="32"/>
          <w:szCs w:val="32"/>
          <w:lang w:val="zh-CN"/>
        </w:rPr>
        <w:t>（三）预算安排及分配管理。</w:t>
      </w:r>
      <w:r>
        <w:rPr>
          <w:rFonts w:hint="default" w:ascii="仿宋_GB2312" w:hAnsi="宋体" w:eastAsia="仿宋_GB2312" w:cs="仿宋_GB2312"/>
          <w:kern w:val="0"/>
          <w:sz w:val="32"/>
          <w:szCs w:val="32"/>
        </w:rPr>
        <w:t>财政评审及竣工结算审核项目资金申报300万元、财政批复300万元</w:t>
      </w:r>
      <w:r>
        <w:rPr>
          <w:rFonts w:ascii="仿宋_GB2312" w:hAnsi="宋体" w:eastAsia="仿宋_GB2312" w:cs="仿宋_GB2312"/>
          <w:kern w:val="0"/>
          <w:sz w:val="32"/>
          <w:szCs w:val="32"/>
        </w:rPr>
        <w:t>。</w:t>
      </w:r>
    </w:p>
    <w:p w14:paraId="386DCE28">
      <w:pPr>
        <w:ind w:firstLine="643" w:firstLineChars="200"/>
        <w:rPr>
          <w:rFonts w:eastAsia="仿宋_GB2312"/>
          <w:sz w:val="32"/>
          <w:szCs w:val="32"/>
          <w:lang w:val="zh-CN"/>
        </w:rPr>
      </w:pPr>
      <w:r>
        <w:rPr>
          <w:rFonts w:hint="eastAsia" w:ascii="楷体_GB2312" w:eastAsia="楷体_GB2312"/>
          <w:b/>
          <w:sz w:val="32"/>
          <w:szCs w:val="32"/>
          <w:lang w:val="zh-CN"/>
        </w:rPr>
        <w:t>（四）项目绩效目标设置。</w:t>
      </w:r>
      <w:r>
        <w:rPr>
          <w:rFonts w:hint="eastAsia" w:eastAsia="仿宋_GB2312"/>
          <w:sz w:val="32"/>
          <w:szCs w:val="32"/>
          <w:lang w:val="zh-CN"/>
        </w:rPr>
        <w:t>项目整体、区域和具体绩效目标设置情况，项目自评工作开展情况。</w:t>
      </w:r>
    </w:p>
    <w:p w14:paraId="67A7E3FE">
      <w:pPr>
        <w:ind w:firstLine="640" w:firstLineChars="200"/>
        <w:rPr>
          <w:rFonts w:hint="eastAsia" w:ascii="黑体" w:hAnsi="黑体" w:eastAsia="黑体"/>
          <w:sz w:val="32"/>
          <w:szCs w:val="32"/>
          <w:lang w:val="zh-CN"/>
        </w:rPr>
      </w:pPr>
      <w:bookmarkStart w:id="123" w:name="_Toc19755_WPSOffice_Level2"/>
      <w:r>
        <w:rPr>
          <w:rFonts w:hint="eastAsia" w:ascii="黑体" w:hAnsi="黑体" w:eastAsia="黑体"/>
          <w:sz w:val="32"/>
          <w:szCs w:val="32"/>
          <w:lang w:val="zh-CN"/>
        </w:rPr>
        <w:t>二、评价实施</w:t>
      </w:r>
      <w:bookmarkEnd w:id="123"/>
    </w:p>
    <w:p w14:paraId="3449640B">
      <w:pPr>
        <w:autoSpaceDE w:val="0"/>
        <w:adjustRightInd w:val="0"/>
        <w:snapToGrid w:val="0"/>
        <w:spacing w:line="550" w:lineRule="atLeast"/>
        <w:ind w:firstLine="720"/>
        <w:rPr>
          <w:rFonts w:ascii="楷体_GB2312" w:eastAsia="楷体_GB2312"/>
          <w:b/>
          <w:sz w:val="32"/>
          <w:szCs w:val="32"/>
          <w:lang w:val="zh-CN"/>
        </w:rPr>
      </w:pPr>
      <w:r>
        <w:rPr>
          <w:rFonts w:hint="eastAsia" w:ascii="楷体_GB2312" w:eastAsia="楷体_GB2312"/>
          <w:b/>
          <w:sz w:val="32"/>
          <w:szCs w:val="32"/>
          <w:lang w:val="zh-CN"/>
        </w:rPr>
        <w:t>（一）评价目的。</w:t>
      </w:r>
    </w:p>
    <w:p w14:paraId="64789743">
      <w:pPr>
        <w:autoSpaceDE w:val="0"/>
        <w:adjustRightInd w:val="0"/>
        <w:snapToGrid w:val="0"/>
        <w:spacing w:line="550" w:lineRule="atLeast"/>
        <w:ind w:firstLine="720"/>
        <w:rPr>
          <w:rFonts w:ascii="仿宋_GB2312" w:hAnsi="宋体" w:eastAsia="仿宋_GB2312" w:cs="宋体"/>
          <w:kern w:val="0"/>
          <w:sz w:val="32"/>
          <w:szCs w:val="32"/>
        </w:rPr>
      </w:pPr>
      <w:r>
        <w:rPr>
          <w:rFonts w:ascii="仿宋_GB2312" w:hAnsi="宋体" w:eastAsia="仿宋_GB2312" w:cs="仿宋_GB2312"/>
          <w:kern w:val="0"/>
          <w:sz w:val="32"/>
          <w:szCs w:val="32"/>
        </w:rPr>
        <w:t>1．政府投资项目招标控制价及竣工结算项目审核。</w:t>
      </w:r>
    </w:p>
    <w:p w14:paraId="56695C9B">
      <w:pPr>
        <w:autoSpaceDE w:val="0"/>
        <w:adjustRightInd w:val="0"/>
        <w:snapToGrid w:val="0"/>
        <w:spacing w:line="550" w:lineRule="atLeast"/>
        <w:ind w:firstLine="720"/>
        <w:rPr>
          <w:rFonts w:ascii="仿宋_GB2312" w:hAnsi="宋体" w:eastAsia="仿宋_GB2312" w:cs="宋体"/>
          <w:kern w:val="0"/>
          <w:sz w:val="32"/>
          <w:szCs w:val="32"/>
        </w:rPr>
      </w:pPr>
      <w:r>
        <w:rPr>
          <w:rFonts w:ascii="仿宋_GB2312" w:hAnsi="宋体" w:eastAsia="仿宋_GB2312" w:cs="仿宋_GB2312"/>
          <w:kern w:val="0"/>
          <w:sz w:val="32"/>
          <w:szCs w:val="32"/>
        </w:rPr>
        <w:t>2．完成我县政府投资项目的招标控制价及竣工结算项目审核工作，完成我县202</w:t>
      </w:r>
      <w:r>
        <w:rPr>
          <w:rFonts w:hint="eastAsia" w:ascii="仿宋_GB2312" w:hAnsi="宋体" w:eastAsia="仿宋_GB2312" w:cs="仿宋_GB2312"/>
          <w:kern w:val="0"/>
          <w:sz w:val="32"/>
          <w:szCs w:val="32"/>
          <w:lang w:val="en-US" w:eastAsia="zh-CN"/>
        </w:rPr>
        <w:t>5</w:t>
      </w:r>
      <w:r>
        <w:rPr>
          <w:rFonts w:ascii="仿宋_GB2312" w:hAnsi="宋体" w:eastAsia="仿宋_GB2312" w:cs="仿宋_GB2312"/>
          <w:kern w:val="0"/>
          <w:sz w:val="32"/>
          <w:szCs w:val="32"/>
        </w:rPr>
        <w:t>年度项目业主单位报送的招标控制价及竣工结算审核工作，并在202</w:t>
      </w:r>
      <w:r>
        <w:rPr>
          <w:rFonts w:hint="eastAsia" w:ascii="仿宋_GB2312" w:hAnsi="宋体" w:eastAsia="仿宋_GB2312" w:cs="仿宋_GB2312"/>
          <w:kern w:val="0"/>
          <w:sz w:val="32"/>
          <w:szCs w:val="32"/>
          <w:lang w:val="en-US" w:eastAsia="zh-CN"/>
        </w:rPr>
        <w:t>5</w:t>
      </w:r>
      <w:r>
        <w:rPr>
          <w:rFonts w:ascii="仿宋_GB2312" w:hAnsi="宋体" w:eastAsia="仿宋_GB2312" w:cs="仿宋_GB2312"/>
          <w:kern w:val="0"/>
          <w:sz w:val="32"/>
          <w:szCs w:val="32"/>
        </w:rPr>
        <w:t>年12月20日之前完成所有项目并支付服务费。</w:t>
      </w:r>
    </w:p>
    <w:p w14:paraId="6E2AEA83">
      <w:pPr>
        <w:autoSpaceDE w:val="0"/>
        <w:adjustRightInd w:val="0"/>
        <w:snapToGrid w:val="0"/>
        <w:spacing w:line="550" w:lineRule="atLeast"/>
        <w:ind w:firstLine="720"/>
        <w:rPr>
          <w:rFonts w:eastAsia="仿宋_GB2312"/>
          <w:sz w:val="32"/>
          <w:szCs w:val="32"/>
          <w:lang w:val="zh-CN"/>
        </w:rPr>
      </w:pPr>
      <w:r>
        <w:rPr>
          <w:rFonts w:ascii="仿宋_GB2312" w:hAnsi="宋体" w:eastAsia="仿宋_GB2312" w:cs="仿宋_GB2312"/>
          <w:kern w:val="0"/>
          <w:sz w:val="32"/>
          <w:szCs w:val="32"/>
        </w:rPr>
        <w:t>3．分析评价申报内容是否与实际相符，申报目标是否合理可行。</w:t>
      </w:r>
    </w:p>
    <w:p w14:paraId="67C1FEB1">
      <w:pPr>
        <w:ind w:firstLine="643" w:firstLineChars="200"/>
        <w:rPr>
          <w:rFonts w:ascii="仿宋_GB2312" w:hAnsi="宋体" w:eastAsia="仿宋_GB2312" w:cs="仿宋_GB2312"/>
          <w:kern w:val="0"/>
          <w:sz w:val="32"/>
          <w:szCs w:val="32"/>
        </w:rPr>
      </w:pPr>
      <w:r>
        <w:rPr>
          <w:rFonts w:hint="eastAsia" w:ascii="楷体_GB2312" w:eastAsia="楷体_GB2312"/>
          <w:b/>
          <w:sz w:val="32"/>
          <w:szCs w:val="32"/>
          <w:lang w:val="zh-CN"/>
        </w:rPr>
        <w:t>（二）评价方法。</w:t>
      </w:r>
      <w:r>
        <w:rPr>
          <w:rFonts w:ascii="仿宋_GB2312" w:hAnsi="宋体" w:eastAsia="仿宋_GB2312" w:cs="仿宋_GB2312"/>
          <w:kern w:val="0"/>
          <w:sz w:val="32"/>
          <w:szCs w:val="32"/>
        </w:rPr>
        <w:t>我单位成立了项目绩效考评小组，并制定了考评方案，把招标控制价及竣工结算审核项目的审减金额及审减率作为考评重要依据进行绩效考评</w:t>
      </w:r>
      <w:r>
        <w:rPr>
          <w:rFonts w:hint="eastAsia" w:ascii="仿宋_GB2312" w:hAnsi="宋体" w:eastAsia="仿宋_GB2312" w:cs="仿宋_GB2312"/>
          <w:kern w:val="0"/>
          <w:sz w:val="32"/>
          <w:szCs w:val="32"/>
        </w:rPr>
        <w:t>。</w:t>
      </w:r>
    </w:p>
    <w:p w14:paraId="4FBDECCB">
      <w:pPr>
        <w:ind w:firstLine="643" w:firstLineChars="200"/>
        <w:rPr>
          <w:rFonts w:ascii="仿宋_GB2312" w:hAnsi="宋体" w:eastAsia="仿宋_GB2312" w:cs="仿宋_GB2312"/>
          <w:color w:val="000000"/>
          <w:kern w:val="0"/>
          <w:sz w:val="32"/>
          <w:szCs w:val="32"/>
        </w:rPr>
      </w:pPr>
      <w:r>
        <w:rPr>
          <w:rFonts w:hint="eastAsia" w:ascii="楷体_GB2312" w:eastAsia="楷体_GB2312"/>
          <w:b/>
          <w:sz w:val="32"/>
          <w:szCs w:val="32"/>
          <w:lang w:val="zh-CN"/>
        </w:rPr>
        <w:t>（五）评价组织。</w:t>
      </w:r>
      <w:r>
        <w:rPr>
          <w:rFonts w:ascii="仿宋_GB2312" w:hAnsi="宋体" w:eastAsia="仿宋_GB2312" w:cs="仿宋_GB2312"/>
          <w:color w:val="000000"/>
          <w:kern w:val="0"/>
          <w:sz w:val="32"/>
          <w:szCs w:val="32"/>
        </w:rPr>
        <w:t>政府投资项目业主单位，准备招标控制价及竣工结算审核所需资料，报我单位评审中心审核，确定资料无误后，根据中介服务合同及中介服务机构服务质量，将项目分配给各中介机构，由中介机构完成审核工作，项目完成后根据合同支付相应服务费。</w:t>
      </w:r>
    </w:p>
    <w:p w14:paraId="4E222343">
      <w:pPr>
        <w:ind w:firstLine="640" w:firstLineChars="200"/>
        <w:rPr>
          <w:rFonts w:hint="eastAsia" w:ascii="黑体" w:hAnsi="黑体" w:eastAsia="黑体"/>
          <w:sz w:val="32"/>
          <w:szCs w:val="32"/>
          <w:lang w:val="zh-CN"/>
        </w:rPr>
      </w:pPr>
      <w:bookmarkStart w:id="124" w:name="_Toc23542_WPSOffice_Level2"/>
      <w:r>
        <w:rPr>
          <w:rFonts w:hint="eastAsia" w:ascii="黑体" w:hAnsi="黑体" w:eastAsia="黑体"/>
          <w:sz w:val="32"/>
          <w:szCs w:val="32"/>
          <w:lang w:val="zh-CN"/>
        </w:rPr>
        <w:t>三、绩效分析</w:t>
      </w:r>
      <w:bookmarkEnd w:id="124"/>
    </w:p>
    <w:p w14:paraId="09A7889A">
      <w:pPr>
        <w:spacing w:line="570" w:lineRule="exact"/>
        <w:ind w:left="12" w:leftChars="6" w:firstLine="482" w:firstLineChars="150"/>
        <w:rPr>
          <w:rFonts w:hint="eastAsia" w:ascii="仿宋" w:hAnsi="宋体" w:eastAsia="仿宋" w:cs="仿宋"/>
          <w:b/>
          <w:sz w:val="32"/>
          <w:szCs w:val="32"/>
        </w:rPr>
      </w:pPr>
      <w:r>
        <w:rPr>
          <w:rFonts w:hint="eastAsia" w:ascii="仿宋" w:hAnsi="仿宋" w:eastAsia="仿宋" w:cs="仿宋"/>
          <w:b/>
          <w:sz w:val="32"/>
          <w:szCs w:val="32"/>
        </w:rPr>
        <w:t>（一）项目完成情况。</w:t>
      </w:r>
    </w:p>
    <w:p w14:paraId="746E9A29">
      <w:pPr>
        <w:autoSpaceDE w:val="0"/>
        <w:adjustRightInd w:val="0"/>
        <w:snapToGrid w:val="0"/>
        <w:spacing w:line="550" w:lineRule="atLeast"/>
        <w:ind w:firstLine="720"/>
        <w:rPr>
          <w:rFonts w:hint="default" w:ascii="仿宋_GB2312" w:hAnsi="宋体" w:eastAsia="仿宋_GB2312" w:cs="仿宋_GB2312"/>
          <w:kern w:val="0"/>
          <w:sz w:val="32"/>
          <w:szCs w:val="32"/>
        </w:rPr>
      </w:pPr>
      <w:bookmarkStart w:id="125" w:name="_Toc10787_WPSOffice_Level3"/>
      <w:bookmarkEnd w:id="125"/>
      <w:r>
        <w:rPr>
          <w:rFonts w:hint="default" w:ascii="仿宋_GB2312" w:hAnsi="宋体" w:eastAsia="仿宋_GB2312" w:cs="仿宋_GB2312"/>
          <w:kern w:val="0"/>
          <w:sz w:val="32"/>
          <w:szCs w:val="32"/>
        </w:rPr>
        <w:t>共计完成招标控制价审核</w:t>
      </w:r>
      <w:r>
        <w:rPr>
          <w:rFonts w:hint="eastAsia" w:ascii="仿宋_GB2312" w:hAnsi="宋体" w:eastAsia="仿宋_GB2312" w:cs="仿宋_GB2312"/>
          <w:kern w:val="0"/>
          <w:sz w:val="32"/>
          <w:szCs w:val="32"/>
          <w:lang w:val="en-US" w:eastAsia="zh-CN"/>
        </w:rPr>
        <w:t>152</w:t>
      </w:r>
      <w:r>
        <w:rPr>
          <w:rFonts w:hint="default" w:ascii="仿宋_GB2312" w:hAnsi="宋体" w:eastAsia="仿宋_GB2312" w:cs="仿宋_GB2312"/>
          <w:kern w:val="0"/>
          <w:sz w:val="32"/>
          <w:szCs w:val="32"/>
        </w:rPr>
        <w:t>个，送审金额</w:t>
      </w:r>
      <w:r>
        <w:rPr>
          <w:rFonts w:hint="eastAsia" w:ascii="仿宋_GB2312" w:hAnsi="宋体" w:eastAsia="仿宋_GB2312" w:cs="仿宋_GB2312"/>
          <w:kern w:val="0"/>
          <w:sz w:val="32"/>
          <w:szCs w:val="32"/>
          <w:lang w:val="en-US" w:eastAsia="zh-CN"/>
        </w:rPr>
        <w:t>80007.16</w:t>
      </w:r>
      <w:r>
        <w:rPr>
          <w:rFonts w:hint="default" w:ascii="仿宋_GB2312" w:hAnsi="宋体" w:eastAsia="仿宋_GB2312" w:cs="仿宋_GB2312"/>
          <w:kern w:val="0"/>
          <w:sz w:val="32"/>
          <w:szCs w:val="32"/>
        </w:rPr>
        <w:t>万元，评审金额</w:t>
      </w:r>
      <w:r>
        <w:rPr>
          <w:rFonts w:hint="eastAsia" w:ascii="仿宋_GB2312" w:hAnsi="宋体" w:eastAsia="仿宋_GB2312" w:cs="仿宋_GB2312"/>
          <w:kern w:val="0"/>
          <w:sz w:val="32"/>
          <w:szCs w:val="32"/>
          <w:lang w:val="en-US" w:eastAsia="zh-CN"/>
        </w:rPr>
        <w:t>75589.87</w:t>
      </w:r>
      <w:r>
        <w:rPr>
          <w:rFonts w:hint="default" w:ascii="仿宋_GB2312" w:hAnsi="宋体" w:eastAsia="仿宋_GB2312" w:cs="仿宋_GB2312"/>
          <w:kern w:val="0"/>
          <w:sz w:val="32"/>
          <w:szCs w:val="32"/>
        </w:rPr>
        <w:t>万元，审减金额</w:t>
      </w:r>
      <w:r>
        <w:rPr>
          <w:rFonts w:hint="eastAsia" w:ascii="仿宋_GB2312" w:hAnsi="宋体" w:eastAsia="仿宋_GB2312" w:cs="仿宋_GB2312"/>
          <w:kern w:val="0"/>
          <w:sz w:val="32"/>
          <w:szCs w:val="32"/>
          <w:lang w:val="en-US" w:eastAsia="zh-CN"/>
        </w:rPr>
        <w:t>4417.29</w:t>
      </w:r>
      <w:r>
        <w:rPr>
          <w:rFonts w:hint="default" w:ascii="仿宋_GB2312" w:hAnsi="宋体" w:eastAsia="仿宋_GB2312" w:cs="仿宋_GB2312"/>
          <w:kern w:val="0"/>
          <w:sz w:val="32"/>
          <w:szCs w:val="32"/>
        </w:rPr>
        <w:t>万元，核减率</w:t>
      </w:r>
      <w:r>
        <w:rPr>
          <w:rFonts w:hint="eastAsia" w:ascii="仿宋_GB2312" w:hAnsi="宋体" w:eastAsia="仿宋_GB2312" w:cs="仿宋_GB2312"/>
          <w:kern w:val="0"/>
          <w:sz w:val="32"/>
          <w:szCs w:val="32"/>
          <w:lang w:val="en-US" w:eastAsia="zh-CN"/>
        </w:rPr>
        <w:t>5.52</w:t>
      </w:r>
      <w:r>
        <w:rPr>
          <w:rFonts w:hint="default" w:ascii="仿宋_GB2312" w:hAnsi="宋体" w:eastAsia="仿宋_GB2312" w:cs="仿宋_GB2312"/>
          <w:kern w:val="0"/>
          <w:sz w:val="32"/>
          <w:szCs w:val="32"/>
        </w:rPr>
        <w:t>%</w:t>
      </w:r>
      <w:r>
        <w:rPr>
          <w:rFonts w:hint="eastAsia" w:ascii="仿宋_GB2312" w:hAnsi="宋体" w:eastAsia="仿宋_GB2312" w:cs="仿宋_GB2312"/>
          <w:kern w:val="0"/>
          <w:sz w:val="32"/>
          <w:szCs w:val="32"/>
          <w:lang w:eastAsia="zh-CN"/>
        </w:rPr>
        <w:t>；</w:t>
      </w:r>
      <w:r>
        <w:rPr>
          <w:rFonts w:hint="default" w:ascii="仿宋_GB2312" w:hAnsi="宋体" w:eastAsia="仿宋_GB2312" w:cs="仿宋_GB2312"/>
          <w:kern w:val="0"/>
          <w:sz w:val="32"/>
          <w:szCs w:val="32"/>
        </w:rPr>
        <w:t>完成竣工结算审核</w:t>
      </w:r>
      <w:r>
        <w:rPr>
          <w:rFonts w:hint="eastAsia" w:ascii="仿宋_GB2312" w:hAnsi="宋体" w:eastAsia="仿宋_GB2312" w:cs="仿宋_GB2312"/>
          <w:kern w:val="0"/>
          <w:sz w:val="32"/>
          <w:szCs w:val="32"/>
          <w:lang w:val="en-US" w:eastAsia="zh-CN"/>
        </w:rPr>
        <w:t>50</w:t>
      </w:r>
      <w:r>
        <w:rPr>
          <w:rFonts w:hint="default" w:ascii="仿宋_GB2312" w:hAnsi="宋体" w:eastAsia="仿宋_GB2312" w:cs="仿宋_GB2312"/>
          <w:kern w:val="0"/>
          <w:sz w:val="32"/>
          <w:szCs w:val="32"/>
        </w:rPr>
        <w:t>个，送审金额</w:t>
      </w:r>
      <w:r>
        <w:rPr>
          <w:rFonts w:hint="eastAsia" w:ascii="仿宋_GB2312" w:hAnsi="宋体" w:eastAsia="仿宋_GB2312" w:cs="仿宋_GB2312"/>
          <w:kern w:val="0"/>
          <w:sz w:val="32"/>
          <w:szCs w:val="32"/>
          <w:lang w:val="en-US" w:eastAsia="zh-CN"/>
        </w:rPr>
        <w:t>112534.19</w:t>
      </w:r>
      <w:r>
        <w:rPr>
          <w:rFonts w:hint="default" w:ascii="仿宋_GB2312" w:hAnsi="宋体" w:eastAsia="仿宋_GB2312" w:cs="仿宋_GB2312"/>
          <w:kern w:val="0"/>
          <w:sz w:val="32"/>
          <w:szCs w:val="32"/>
        </w:rPr>
        <w:t>万元，审定金额</w:t>
      </w:r>
      <w:r>
        <w:rPr>
          <w:rFonts w:hint="eastAsia" w:ascii="仿宋_GB2312" w:hAnsi="宋体" w:eastAsia="仿宋_GB2312" w:cs="仿宋_GB2312"/>
          <w:kern w:val="0"/>
          <w:sz w:val="32"/>
          <w:szCs w:val="32"/>
          <w:lang w:val="en-US" w:eastAsia="zh-CN"/>
        </w:rPr>
        <w:t>4051.14</w:t>
      </w:r>
      <w:r>
        <w:rPr>
          <w:rFonts w:hint="default" w:ascii="仿宋_GB2312" w:hAnsi="宋体" w:eastAsia="仿宋_GB2312" w:cs="仿宋_GB2312"/>
          <w:kern w:val="0"/>
          <w:sz w:val="32"/>
          <w:szCs w:val="32"/>
        </w:rPr>
        <w:t>万元，审减金额1187.36万元，审减率</w:t>
      </w:r>
      <w:r>
        <w:rPr>
          <w:rFonts w:hint="eastAsia" w:ascii="仿宋_GB2312" w:hAnsi="宋体" w:eastAsia="仿宋_GB2312" w:cs="仿宋_GB2312"/>
          <w:kern w:val="0"/>
          <w:sz w:val="32"/>
          <w:szCs w:val="32"/>
          <w:lang w:val="en-US" w:eastAsia="zh-CN"/>
        </w:rPr>
        <w:t>3.6</w:t>
      </w:r>
      <w:r>
        <w:rPr>
          <w:rFonts w:hint="default" w:ascii="仿宋_GB2312" w:hAnsi="宋体" w:eastAsia="仿宋_GB2312" w:cs="仿宋_GB2312"/>
          <w:kern w:val="0"/>
          <w:sz w:val="32"/>
          <w:szCs w:val="32"/>
        </w:rPr>
        <w:t>%，支出评审咨询费用金额</w:t>
      </w:r>
      <w:r>
        <w:rPr>
          <w:rFonts w:hint="eastAsia" w:ascii="仿宋_GB2312" w:hAnsi="宋体" w:eastAsia="仿宋_GB2312" w:cs="仿宋_GB2312"/>
          <w:kern w:val="0"/>
          <w:sz w:val="32"/>
          <w:szCs w:val="32"/>
          <w:lang w:val="en-US" w:eastAsia="zh-CN"/>
        </w:rPr>
        <w:t>297.68</w:t>
      </w:r>
      <w:r>
        <w:rPr>
          <w:rFonts w:hint="default" w:ascii="仿宋_GB2312" w:hAnsi="宋体" w:eastAsia="仿宋_GB2312" w:cs="仿宋_GB2312"/>
          <w:kern w:val="0"/>
          <w:sz w:val="32"/>
          <w:szCs w:val="32"/>
        </w:rPr>
        <w:t>万元。</w:t>
      </w:r>
    </w:p>
    <w:p w14:paraId="3BDF3C9C">
      <w:pPr>
        <w:spacing w:line="570" w:lineRule="exact"/>
        <w:ind w:left="12" w:leftChars="6" w:firstLine="482" w:firstLineChars="150"/>
        <w:rPr>
          <w:rFonts w:hint="eastAsia" w:ascii="仿宋" w:hAnsi="宋体" w:eastAsia="仿宋" w:cs="仿宋"/>
          <w:b/>
          <w:sz w:val="32"/>
          <w:szCs w:val="32"/>
        </w:rPr>
      </w:pPr>
      <w:r>
        <w:rPr>
          <w:rFonts w:hint="eastAsia" w:ascii="仿宋" w:hAnsi="仿宋" w:eastAsia="仿宋" w:cs="仿宋"/>
          <w:b/>
          <w:sz w:val="32"/>
          <w:szCs w:val="32"/>
        </w:rPr>
        <w:t>（二）项目效益情况。</w:t>
      </w:r>
    </w:p>
    <w:p w14:paraId="4FC6C261">
      <w:pPr>
        <w:autoSpaceDE w:val="0"/>
        <w:adjustRightInd w:val="0"/>
        <w:snapToGrid w:val="0"/>
        <w:spacing w:line="550" w:lineRule="atLeast"/>
        <w:ind w:firstLine="720"/>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1.项目实现的经济效益分析</w:t>
      </w:r>
    </w:p>
    <w:p w14:paraId="2165F1AD">
      <w:pPr>
        <w:autoSpaceDE w:val="0"/>
        <w:adjustRightInd w:val="0"/>
        <w:snapToGrid w:val="0"/>
        <w:spacing w:line="550" w:lineRule="atLeast"/>
        <w:ind w:firstLine="720"/>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招标控制价评审和竣工结算审核项目共审减</w:t>
      </w:r>
      <w:r>
        <w:rPr>
          <w:rFonts w:hint="eastAsia" w:ascii="仿宋_GB2312" w:hAnsi="宋体" w:eastAsia="仿宋_GB2312" w:cs="仿宋_GB2312"/>
          <w:kern w:val="0"/>
          <w:sz w:val="32"/>
          <w:szCs w:val="32"/>
          <w:lang w:val="en-US" w:eastAsia="zh-CN"/>
        </w:rPr>
        <w:t>5604.65</w:t>
      </w:r>
      <w:r>
        <w:rPr>
          <w:rFonts w:hint="default" w:ascii="仿宋_GB2312" w:hAnsi="宋体" w:eastAsia="仿宋_GB2312" w:cs="仿宋_GB2312"/>
          <w:kern w:val="0"/>
          <w:sz w:val="32"/>
          <w:szCs w:val="32"/>
        </w:rPr>
        <w:t>万元，通过评审核减不合理的项目支出，提高了财政资金使用效率。</w:t>
      </w:r>
    </w:p>
    <w:p w14:paraId="31744DE8">
      <w:pPr>
        <w:autoSpaceDE w:val="0"/>
        <w:adjustRightInd w:val="0"/>
        <w:snapToGrid w:val="0"/>
        <w:spacing w:line="550" w:lineRule="atLeast"/>
        <w:ind w:firstLine="720"/>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2.项目实现的社会效益分析</w:t>
      </w:r>
    </w:p>
    <w:p w14:paraId="565C1675">
      <w:pPr>
        <w:autoSpaceDE w:val="0"/>
        <w:adjustRightInd w:val="0"/>
        <w:snapToGrid w:val="0"/>
        <w:spacing w:line="550" w:lineRule="atLeast"/>
        <w:ind w:firstLine="720"/>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根据县委、县政安排，财政投资评审是为县直部门项目建设资金提供评审服务。202</w:t>
      </w:r>
      <w:r>
        <w:rPr>
          <w:rFonts w:hint="eastAsia" w:ascii="仿宋_GB2312" w:hAnsi="宋体" w:eastAsia="仿宋_GB2312" w:cs="仿宋_GB2312"/>
          <w:kern w:val="0"/>
          <w:sz w:val="32"/>
          <w:szCs w:val="32"/>
          <w:lang w:val="en-US" w:eastAsia="zh-CN"/>
        </w:rPr>
        <w:t>5</w:t>
      </w:r>
      <w:r>
        <w:rPr>
          <w:rFonts w:hint="default" w:ascii="仿宋_GB2312" w:hAnsi="宋体" w:eastAsia="仿宋_GB2312" w:cs="仿宋_GB2312"/>
          <w:kern w:val="0"/>
          <w:sz w:val="32"/>
          <w:szCs w:val="32"/>
        </w:rPr>
        <w:t>年度评审中心按照县政府规定的时间节点，完成了项目评审工作，促进政府投资项目顺利实施，完善基础设施，加大民生投入，提高了人们生活水平。</w:t>
      </w:r>
    </w:p>
    <w:p w14:paraId="7E59F497">
      <w:pPr>
        <w:ind w:firstLine="640" w:firstLineChars="200"/>
        <w:rPr>
          <w:rFonts w:hint="eastAsia" w:ascii="黑体" w:hAnsi="黑体" w:eastAsia="黑体"/>
          <w:sz w:val="32"/>
          <w:szCs w:val="32"/>
          <w:lang w:val="zh-CN"/>
        </w:rPr>
      </w:pPr>
      <w:bookmarkStart w:id="126" w:name="_Toc28308_WPSOffice_Level2"/>
      <w:r>
        <w:rPr>
          <w:rFonts w:hint="eastAsia" w:ascii="黑体" w:hAnsi="黑体" w:eastAsia="黑体"/>
          <w:sz w:val="32"/>
          <w:szCs w:val="32"/>
          <w:lang w:val="zh-CN"/>
        </w:rPr>
        <w:t>四、评价结论</w:t>
      </w:r>
      <w:bookmarkEnd w:id="126"/>
    </w:p>
    <w:p w14:paraId="35048EA9">
      <w:pPr>
        <w:autoSpaceDE w:val="0"/>
        <w:adjustRightInd w:val="0"/>
        <w:snapToGrid w:val="0"/>
        <w:spacing w:line="550" w:lineRule="atLeast"/>
        <w:ind w:firstLine="720"/>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红原县财政局财政评审及竣工结算审核项目，对政府性投资项目进行招标控制价审核和竣工结算价审核是财政监督管理职能的重要组成部分，为合理控制政府投资项目成本费用、节约建设资金和提高财政投资效益起到了很大的作用。</w:t>
      </w:r>
    </w:p>
    <w:p w14:paraId="1887069D">
      <w:pPr>
        <w:ind w:firstLine="640" w:firstLineChars="200"/>
        <w:rPr>
          <w:rFonts w:hint="eastAsia" w:ascii="黑体" w:hAnsi="黑体" w:eastAsia="黑体"/>
          <w:sz w:val="32"/>
          <w:szCs w:val="32"/>
          <w:lang w:val="zh-CN"/>
        </w:rPr>
      </w:pPr>
      <w:bookmarkStart w:id="127" w:name="_Toc27819_WPSOffice_Level2"/>
      <w:r>
        <w:rPr>
          <w:rFonts w:hint="eastAsia" w:ascii="黑体" w:hAnsi="黑体" w:eastAsia="黑体"/>
          <w:sz w:val="32"/>
          <w:szCs w:val="32"/>
          <w:lang w:val="zh-CN"/>
        </w:rPr>
        <w:t>五、存在主要问题</w:t>
      </w:r>
      <w:bookmarkEnd w:id="127"/>
    </w:p>
    <w:p w14:paraId="0554D290">
      <w:pPr>
        <w:autoSpaceDE w:val="0"/>
        <w:adjustRightInd w:val="0"/>
        <w:snapToGrid w:val="0"/>
        <w:spacing w:line="550" w:lineRule="atLeast"/>
        <w:ind w:firstLine="720"/>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部分项目在实施过程中可能会出现超出规定时效的情况，主要是因为部分项目业主不了解工程项目的基本情况，在报送审核资料时，出现漏报、误报的情况，其次是因为部分中介机构服务水平有限，且我单位工作人员与服务机构沟通也存在一定问题。</w:t>
      </w:r>
      <w:r>
        <w:rPr>
          <w:rFonts w:hint="default" w:ascii="仿宋_GB2312" w:hAnsi="宋体" w:eastAsia="仿宋_GB2312" w:cs="仿宋_GB2312"/>
          <w:kern w:val="0"/>
          <w:sz w:val="32"/>
          <w:szCs w:val="32"/>
        </w:rPr>
        <w:tab/>
      </w:r>
    </w:p>
    <w:p w14:paraId="2C811D41">
      <w:pPr>
        <w:ind w:firstLine="640" w:firstLineChars="200"/>
        <w:rPr>
          <w:rFonts w:hint="eastAsia" w:ascii="黑体" w:hAnsi="黑体" w:eastAsia="黑体"/>
          <w:sz w:val="32"/>
          <w:szCs w:val="32"/>
          <w:lang w:val="zh-CN"/>
        </w:rPr>
      </w:pPr>
      <w:bookmarkStart w:id="128" w:name="_Toc14278_WPSOffice_Level2"/>
      <w:r>
        <w:rPr>
          <w:rFonts w:hint="eastAsia" w:ascii="黑体" w:hAnsi="黑体" w:eastAsia="黑体"/>
          <w:sz w:val="32"/>
          <w:szCs w:val="32"/>
          <w:lang w:val="zh-CN"/>
        </w:rPr>
        <w:t>六、改进建议</w:t>
      </w:r>
      <w:bookmarkEnd w:id="128"/>
    </w:p>
    <w:p w14:paraId="06A7A123">
      <w:pPr>
        <w:ind w:firstLine="640" w:firstLineChars="200"/>
        <w:rPr>
          <w:rFonts w:hint="eastAsia" w:ascii="黑体" w:hAnsi="黑体" w:eastAsia="黑体"/>
        </w:rPr>
      </w:pPr>
      <w:r>
        <w:rPr>
          <w:rFonts w:hint="default" w:ascii="仿宋_GB2312" w:hAnsi="宋体" w:eastAsia="仿宋_GB2312" w:cs="仿宋_GB2312"/>
          <w:kern w:val="0"/>
          <w:sz w:val="32"/>
          <w:szCs w:val="32"/>
        </w:rPr>
        <w:t xml:space="preserve">为更好的开展红原县招标控制价及竣工结算审核工作，以后的工作中，首先应进一步加强我单位工作人员业务培训，加强业务能力，并完善相应的中介服务机构管理办法，加强对中介服务机构的管理，提高中介服务机构的服务水平。 </w:t>
      </w:r>
      <w:bookmarkStart w:id="129" w:name="_Toc21711_WPSOffice_Level1"/>
    </w:p>
    <w:p w14:paraId="3C4AACE2">
      <w:pPr>
        <w:pStyle w:val="3"/>
        <w:jc w:val="center"/>
        <w:rPr>
          <w:rFonts w:hint="eastAsia" w:ascii="黑体" w:hAnsi="黑体" w:eastAsia="黑体"/>
        </w:rPr>
      </w:pPr>
      <w:r>
        <w:rPr>
          <w:rFonts w:hint="eastAsia" w:ascii="黑体" w:hAnsi="黑体" w:eastAsia="黑体"/>
        </w:rPr>
        <w:t>第五部分 附表</w:t>
      </w:r>
      <w:bookmarkEnd w:id="129"/>
    </w:p>
    <w:p w14:paraId="38A9D1B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0" w:name="_Toc4292_WPSOffice_Level2"/>
      <w:r>
        <w:rPr>
          <w:rFonts w:hint="eastAsia" w:ascii="仿宋_GB2312" w:hAnsi="宋体" w:eastAsia="仿宋_GB2312" w:cs="仿宋_GB2312"/>
          <w:kern w:val="0"/>
          <w:sz w:val="32"/>
          <w:szCs w:val="32"/>
        </w:rPr>
        <w:t>一、收入支出决算总表</w:t>
      </w:r>
      <w:bookmarkEnd w:id="130"/>
    </w:p>
    <w:p w14:paraId="439607FA">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1" w:name="_Toc30602_WPSOffice_Level2"/>
      <w:r>
        <w:rPr>
          <w:rFonts w:hint="eastAsia" w:ascii="仿宋_GB2312" w:hAnsi="宋体" w:eastAsia="仿宋_GB2312" w:cs="仿宋_GB2312"/>
          <w:kern w:val="0"/>
          <w:sz w:val="32"/>
          <w:szCs w:val="32"/>
        </w:rPr>
        <w:t>二、收入决算表</w:t>
      </w:r>
      <w:bookmarkEnd w:id="131"/>
    </w:p>
    <w:p w14:paraId="2C12334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2" w:name="_Toc19435_WPSOffice_Level2"/>
      <w:r>
        <w:rPr>
          <w:rFonts w:hint="eastAsia" w:ascii="仿宋_GB2312" w:hAnsi="宋体" w:eastAsia="仿宋_GB2312" w:cs="仿宋_GB2312"/>
          <w:kern w:val="0"/>
          <w:sz w:val="32"/>
          <w:szCs w:val="32"/>
        </w:rPr>
        <w:t>三、支出决算表</w:t>
      </w:r>
      <w:bookmarkEnd w:id="132"/>
    </w:p>
    <w:p w14:paraId="4C000B5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3" w:name="_Toc23260_WPSOffice_Level2"/>
      <w:r>
        <w:rPr>
          <w:rFonts w:hint="eastAsia" w:ascii="仿宋_GB2312" w:hAnsi="宋体" w:eastAsia="仿宋_GB2312" w:cs="仿宋_GB2312"/>
          <w:kern w:val="0"/>
          <w:sz w:val="32"/>
          <w:szCs w:val="32"/>
        </w:rPr>
        <w:t>四、财政拨款收入支出决算总表</w:t>
      </w:r>
      <w:bookmarkEnd w:id="133"/>
    </w:p>
    <w:p w14:paraId="099690F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4" w:name="_Toc22333_WPSOffice_Level2"/>
      <w:r>
        <w:rPr>
          <w:rFonts w:hint="eastAsia" w:ascii="仿宋_GB2312" w:hAnsi="宋体" w:eastAsia="仿宋_GB2312" w:cs="仿宋_GB2312"/>
          <w:kern w:val="0"/>
          <w:sz w:val="32"/>
          <w:szCs w:val="32"/>
        </w:rPr>
        <w:t>五、财政拨款支出决算明细表</w:t>
      </w:r>
      <w:bookmarkEnd w:id="134"/>
    </w:p>
    <w:p w14:paraId="3C1F8C0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5" w:name="_Toc15923_WPSOffice_Level2"/>
      <w:r>
        <w:rPr>
          <w:rFonts w:hint="eastAsia" w:ascii="仿宋_GB2312" w:hAnsi="宋体" w:eastAsia="仿宋_GB2312" w:cs="仿宋_GB2312"/>
          <w:kern w:val="0"/>
          <w:sz w:val="32"/>
          <w:szCs w:val="32"/>
        </w:rPr>
        <w:t>六、一般公共预算财政拨款支出决算表</w:t>
      </w:r>
      <w:bookmarkEnd w:id="135"/>
    </w:p>
    <w:p w14:paraId="0A3A0A6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6" w:name="_Toc11762_WPSOffice_Level2"/>
      <w:r>
        <w:rPr>
          <w:rFonts w:hint="eastAsia" w:ascii="仿宋_GB2312" w:hAnsi="宋体" w:eastAsia="仿宋_GB2312" w:cs="仿宋_GB2312"/>
          <w:kern w:val="0"/>
          <w:sz w:val="32"/>
          <w:szCs w:val="32"/>
        </w:rPr>
        <w:t>七、一般公共预算财政拨款支出决算明细表</w:t>
      </w:r>
      <w:bookmarkEnd w:id="136"/>
    </w:p>
    <w:p w14:paraId="5E3EF89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7" w:name="_Toc1531_WPSOffice_Level2"/>
      <w:r>
        <w:rPr>
          <w:rFonts w:hint="eastAsia" w:ascii="仿宋_GB2312" w:hAnsi="宋体" w:eastAsia="仿宋_GB2312" w:cs="仿宋_GB2312"/>
          <w:kern w:val="0"/>
          <w:sz w:val="32"/>
          <w:szCs w:val="32"/>
        </w:rPr>
        <w:t>八、一般公共预算财政拨款基本支出决算表</w:t>
      </w:r>
      <w:bookmarkEnd w:id="137"/>
    </w:p>
    <w:p w14:paraId="7ECB767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8" w:name="_Toc2177_WPSOffice_Level2"/>
      <w:r>
        <w:rPr>
          <w:rFonts w:hint="eastAsia" w:ascii="仿宋_GB2312" w:hAnsi="宋体" w:eastAsia="仿宋_GB2312" w:cs="仿宋_GB2312"/>
          <w:kern w:val="0"/>
          <w:sz w:val="32"/>
          <w:szCs w:val="32"/>
        </w:rPr>
        <w:t>九、一般公共预算财政拨款项目支出决算表</w:t>
      </w:r>
      <w:bookmarkEnd w:id="138"/>
    </w:p>
    <w:p w14:paraId="6D76E4C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39" w:name="_Toc8126_WPSOffice_Level2"/>
      <w:r>
        <w:rPr>
          <w:rFonts w:hint="eastAsia" w:ascii="仿宋_GB2312" w:hAnsi="宋体" w:eastAsia="仿宋_GB2312" w:cs="仿宋_GB2312"/>
          <w:kern w:val="0"/>
          <w:sz w:val="32"/>
          <w:szCs w:val="32"/>
        </w:rPr>
        <w:t>十、政府性基金预算财政拨款收入支出决算表</w:t>
      </w:r>
      <w:bookmarkEnd w:id="139"/>
    </w:p>
    <w:p w14:paraId="0E648FAC">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40" w:name="_Toc392_WPSOffice_Level2"/>
      <w:r>
        <w:rPr>
          <w:rFonts w:hint="eastAsia" w:ascii="仿宋_GB2312" w:hAnsi="宋体" w:eastAsia="仿宋_GB2312" w:cs="仿宋_GB2312"/>
          <w:kern w:val="0"/>
          <w:sz w:val="32"/>
          <w:szCs w:val="32"/>
        </w:rPr>
        <w:t>十一、国有资本经营预算财政拨款收入支出决算表</w:t>
      </w:r>
      <w:bookmarkEnd w:id="140"/>
    </w:p>
    <w:p w14:paraId="264DAF4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41" w:name="_Toc6620_WPSOffice_Level2"/>
      <w:r>
        <w:rPr>
          <w:rFonts w:hint="eastAsia" w:ascii="仿宋_GB2312" w:hAnsi="宋体" w:eastAsia="仿宋_GB2312" w:cs="仿宋_GB2312"/>
          <w:kern w:val="0"/>
          <w:sz w:val="32"/>
          <w:szCs w:val="32"/>
        </w:rPr>
        <w:t>十二、国有资本经营预算财政拨款支出决算表</w:t>
      </w:r>
      <w:bookmarkEnd w:id="141"/>
    </w:p>
    <w:p w14:paraId="70B06AC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宋体" w:eastAsia="仿宋_GB2312" w:cs="仿宋_GB2312"/>
          <w:kern w:val="0"/>
          <w:sz w:val="32"/>
          <w:szCs w:val="32"/>
        </w:rPr>
      </w:pPr>
      <w:bookmarkStart w:id="142" w:name="_Toc15162_WPSOffice_Level2"/>
      <w:r>
        <w:rPr>
          <w:rFonts w:hint="eastAsia" w:ascii="仿宋_GB2312" w:hAnsi="宋体" w:eastAsia="仿宋_GB2312" w:cs="仿宋_GB2312"/>
          <w:kern w:val="0"/>
          <w:sz w:val="32"/>
          <w:szCs w:val="32"/>
        </w:rPr>
        <w:t>十三、财政拨款“三公”经费支出决算表</w:t>
      </w:r>
      <w:bookmarkEnd w:id="142"/>
    </w:p>
    <w:sectPr>
      <w:footerReference r:id="rId5" w:type="first"/>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altName w:val="FreeSerif"/>
    <w:panose1 w:val="02040503050406030204"/>
    <w:charset w:val="00"/>
    <w:family w:val="roman"/>
    <w:pitch w:val="default"/>
    <w:sig w:usb0="00000000" w:usb1="00000000" w:usb2="00000000" w:usb3="00000000" w:csb0="2000019F" w:csb1="00000000"/>
  </w:font>
  <w:font w:name="FreeSerif">
    <w:panose1 w:val="02020603050405020304"/>
    <w:charset w:val="00"/>
    <w:family w:val="auto"/>
    <w:pitch w:val="default"/>
    <w:sig w:usb0="E59FAFFF" w:usb1="C200FDFF" w:usb2="43501B29" w:usb3="04000043" w:csb0="600101FF" w:csb1="FFFF0000"/>
  </w:font>
  <w:font w:name="仿宋_GB2312">
    <w:panose1 w:val="02010609030101010101"/>
    <w:charset w:val="86"/>
    <w:family w:val="auto"/>
    <w:pitch w:val="default"/>
    <w:sig w:usb0="00000001" w:usb1="080E0000" w:usb2="00000000" w:usb3="00000000" w:csb0="00040000" w:csb1="00000000"/>
  </w:font>
  <w:font w:name="仿宋">
    <w:altName w:val="宋体"/>
    <w:panose1 w:val="02010609060101010101"/>
    <w:charset w:val="86"/>
    <w:family w:val="modern"/>
    <w:pitch w:val="default"/>
    <w:sig w:usb0="00000000" w:usb1="00000000"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宋体S-超大字符集(SIP)">
    <w:panose1 w:val="03000509000000000000"/>
    <w:charset w:val="86"/>
    <w:family w:val="auto"/>
    <w:pitch w:val="default"/>
    <w:sig w:usb0="00000003" w:usb1="0A0E0800" w:usb2="00000006" w:usb3="00000000" w:csb0="00040001" w:csb1="00000000"/>
  </w:font>
  <w:font w:name="微软雅黑">
    <w:altName w:val="黑体"/>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noto sans thai">
    <w:panose1 w:val="020B0502040504020204"/>
    <w:charset w:val="00"/>
    <w:family w:val="auto"/>
    <w:pitch w:val="default"/>
    <w:sig w:usb0="81000063" w:usb1="00002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726D9">
    <w:pPr>
      <w:pStyle w:val="1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52396276"/>
                          </w:sdtPr>
                          <w:sdtContent>
                            <w:p w14:paraId="5D5A5F54">
                              <w:pPr>
                                <w:pStyle w:val="10"/>
                                <w:jc w:val="center"/>
                              </w:pPr>
                              <w:r>
                                <w:fldChar w:fldCharType="begin"/>
                              </w:r>
                              <w:r>
                                <w:instrText xml:space="preserve">PAGE   \* MERGEFORMAT</w:instrText>
                              </w:r>
                              <w:r>
                                <w:fldChar w:fldCharType="separate"/>
                              </w:r>
                              <w:r>
                                <w:rPr>
                                  <w:lang w:val="zh-CN"/>
                                </w:rPr>
                                <w:t>23</w:t>
                              </w:r>
                              <w:r>
                                <w:fldChar w:fldCharType="end"/>
                              </w:r>
                            </w:p>
                          </w:sdtContent>
                        </w:sdt>
                        <w:p w14:paraId="2FD2CF74">
                          <w:pPr>
                            <w:pStyle w:val="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sdt>
                    <w:sdtPr>
                      <w:id w:val="652396276"/>
                    </w:sdtPr>
                    <w:sdtContent>
                      <w:p w14:paraId="5D5A5F54">
                        <w:pPr>
                          <w:pStyle w:val="10"/>
                          <w:jc w:val="center"/>
                        </w:pPr>
                        <w:r>
                          <w:fldChar w:fldCharType="begin"/>
                        </w:r>
                        <w:r>
                          <w:instrText xml:space="preserve">PAGE   \* MERGEFORMAT</w:instrText>
                        </w:r>
                        <w:r>
                          <w:fldChar w:fldCharType="separate"/>
                        </w:r>
                        <w:r>
                          <w:rPr>
                            <w:lang w:val="zh-CN"/>
                          </w:rPr>
                          <w:t>23</w:t>
                        </w:r>
                        <w:r>
                          <w:fldChar w:fldCharType="end"/>
                        </w:r>
                      </w:p>
                    </w:sdtContent>
                  </w:sdt>
                  <w:p w14:paraId="2FD2CF74">
                    <w:pPr>
                      <w:pStyle w:val="4"/>
                    </w:pPr>
                  </w:p>
                </w:txbxContent>
              </v:textbox>
            </v:shape>
          </w:pict>
        </mc:Fallback>
      </mc:AlternateContent>
    </w:r>
  </w:p>
  <w:p w14:paraId="5680B8DE">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61C7F">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265B9F">
                          <w:pPr>
                            <w:pStyle w:val="1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41265B9F">
                    <w:pPr>
                      <w:pStyle w:val="1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B2130">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2">
    <w:nsid w:val="3B53CC21"/>
    <w:multiLevelType w:val="singleLevel"/>
    <w:tmpl w:val="3B53CC21"/>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QwMTQyZTYyODc5NGVjOTFmMDYwNGY4OWU2MzBiODMifQ=="/>
  </w:docVars>
  <w:rsids>
    <w:rsidRoot w:val="00F1361C"/>
    <w:rsid w:val="00014A1C"/>
    <w:rsid w:val="000222C6"/>
    <w:rsid w:val="0002549F"/>
    <w:rsid w:val="00035392"/>
    <w:rsid w:val="00036152"/>
    <w:rsid w:val="000421D3"/>
    <w:rsid w:val="000468DB"/>
    <w:rsid w:val="0006487A"/>
    <w:rsid w:val="00065F8F"/>
    <w:rsid w:val="00070A43"/>
    <w:rsid w:val="00073158"/>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1BC9"/>
    <w:rsid w:val="00157BAB"/>
    <w:rsid w:val="001600BA"/>
    <w:rsid w:val="001654D1"/>
    <w:rsid w:val="001730E5"/>
    <w:rsid w:val="00174518"/>
    <w:rsid w:val="0018106D"/>
    <w:rsid w:val="001877A7"/>
    <w:rsid w:val="00191536"/>
    <w:rsid w:val="00196687"/>
    <w:rsid w:val="001C0962"/>
    <w:rsid w:val="001C2738"/>
    <w:rsid w:val="001D05B9"/>
    <w:rsid w:val="001D7531"/>
    <w:rsid w:val="001E737D"/>
    <w:rsid w:val="001F0592"/>
    <w:rsid w:val="001F6419"/>
    <w:rsid w:val="001F7506"/>
    <w:rsid w:val="002006CD"/>
    <w:rsid w:val="00202B36"/>
    <w:rsid w:val="00204B7A"/>
    <w:rsid w:val="00204CDE"/>
    <w:rsid w:val="00210E24"/>
    <w:rsid w:val="0021101A"/>
    <w:rsid w:val="00220536"/>
    <w:rsid w:val="00235629"/>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27CB1"/>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5021A"/>
    <w:rsid w:val="00557C2B"/>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07FC9"/>
    <w:rsid w:val="006101B1"/>
    <w:rsid w:val="00614E44"/>
    <w:rsid w:val="00620030"/>
    <w:rsid w:val="0062270A"/>
    <w:rsid w:val="00622830"/>
    <w:rsid w:val="00623DA0"/>
    <w:rsid w:val="00630AEF"/>
    <w:rsid w:val="00631933"/>
    <w:rsid w:val="006325F8"/>
    <w:rsid w:val="00633463"/>
    <w:rsid w:val="00634C9A"/>
    <w:rsid w:val="00640417"/>
    <w:rsid w:val="00641F56"/>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B03A3"/>
    <w:rsid w:val="007D1682"/>
    <w:rsid w:val="007D312A"/>
    <w:rsid w:val="007D3F19"/>
    <w:rsid w:val="007E23B0"/>
    <w:rsid w:val="007E23E5"/>
    <w:rsid w:val="007E6A82"/>
    <w:rsid w:val="007F1991"/>
    <w:rsid w:val="007F2C2F"/>
    <w:rsid w:val="007F55FC"/>
    <w:rsid w:val="007F5665"/>
    <w:rsid w:val="007F7385"/>
    <w:rsid w:val="00800112"/>
    <w:rsid w:val="00802DE5"/>
    <w:rsid w:val="00813348"/>
    <w:rsid w:val="008253BB"/>
    <w:rsid w:val="0083706E"/>
    <w:rsid w:val="008408F6"/>
    <w:rsid w:val="008423A5"/>
    <w:rsid w:val="00850625"/>
    <w:rsid w:val="00853718"/>
    <w:rsid w:val="00855221"/>
    <w:rsid w:val="00860299"/>
    <w:rsid w:val="00860645"/>
    <w:rsid w:val="00871F71"/>
    <w:rsid w:val="00872FD8"/>
    <w:rsid w:val="00875641"/>
    <w:rsid w:val="00885AF4"/>
    <w:rsid w:val="00887F08"/>
    <w:rsid w:val="008914B9"/>
    <w:rsid w:val="008939CD"/>
    <w:rsid w:val="008B768C"/>
    <w:rsid w:val="008C4DB1"/>
    <w:rsid w:val="008C4EAF"/>
    <w:rsid w:val="008C5176"/>
    <w:rsid w:val="008C7FD0"/>
    <w:rsid w:val="008D2737"/>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30B"/>
    <w:rsid w:val="00955E37"/>
    <w:rsid w:val="00966CD1"/>
    <w:rsid w:val="0097099F"/>
    <w:rsid w:val="00971997"/>
    <w:rsid w:val="00971FFC"/>
    <w:rsid w:val="0098660A"/>
    <w:rsid w:val="009931C3"/>
    <w:rsid w:val="00995202"/>
    <w:rsid w:val="009A3674"/>
    <w:rsid w:val="009B2C43"/>
    <w:rsid w:val="009B4EAE"/>
    <w:rsid w:val="009B7573"/>
    <w:rsid w:val="009C11DD"/>
    <w:rsid w:val="009C22F4"/>
    <w:rsid w:val="009C2A4B"/>
    <w:rsid w:val="009C2E98"/>
    <w:rsid w:val="009D3447"/>
    <w:rsid w:val="009D4711"/>
    <w:rsid w:val="009E50C8"/>
    <w:rsid w:val="009E7E63"/>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0454"/>
    <w:rsid w:val="00B53C56"/>
    <w:rsid w:val="00B57DAF"/>
    <w:rsid w:val="00B76F9D"/>
    <w:rsid w:val="00B77EA6"/>
    <w:rsid w:val="00B8132B"/>
    <w:rsid w:val="00B81598"/>
    <w:rsid w:val="00B841F1"/>
    <w:rsid w:val="00B944D6"/>
    <w:rsid w:val="00B97D60"/>
    <w:rsid w:val="00BA579E"/>
    <w:rsid w:val="00BB4DF0"/>
    <w:rsid w:val="00BC289F"/>
    <w:rsid w:val="00BC2D50"/>
    <w:rsid w:val="00BC5361"/>
    <w:rsid w:val="00BC5460"/>
    <w:rsid w:val="00BC6B50"/>
    <w:rsid w:val="00BD0E2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45BF8"/>
    <w:rsid w:val="00D51276"/>
    <w:rsid w:val="00D600BC"/>
    <w:rsid w:val="00D7035F"/>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F1E02"/>
    <w:rsid w:val="00FF30B4"/>
    <w:rsid w:val="015975B8"/>
    <w:rsid w:val="017A7A80"/>
    <w:rsid w:val="01B14616"/>
    <w:rsid w:val="01B92293"/>
    <w:rsid w:val="01E3237F"/>
    <w:rsid w:val="02025461"/>
    <w:rsid w:val="024E0781"/>
    <w:rsid w:val="02816617"/>
    <w:rsid w:val="02C3553F"/>
    <w:rsid w:val="02C40969"/>
    <w:rsid w:val="02C71D59"/>
    <w:rsid w:val="02D63A59"/>
    <w:rsid w:val="02E57C45"/>
    <w:rsid w:val="02FE02CA"/>
    <w:rsid w:val="02FEBE30"/>
    <w:rsid w:val="030376E3"/>
    <w:rsid w:val="03186F90"/>
    <w:rsid w:val="03326D3B"/>
    <w:rsid w:val="036F8141"/>
    <w:rsid w:val="0370388B"/>
    <w:rsid w:val="0376280E"/>
    <w:rsid w:val="03CB1750"/>
    <w:rsid w:val="044B2AF9"/>
    <w:rsid w:val="046151FE"/>
    <w:rsid w:val="04665B2E"/>
    <w:rsid w:val="04AA7F3C"/>
    <w:rsid w:val="04FA664C"/>
    <w:rsid w:val="051868F6"/>
    <w:rsid w:val="052140B7"/>
    <w:rsid w:val="05677AF7"/>
    <w:rsid w:val="0586083B"/>
    <w:rsid w:val="05E445E6"/>
    <w:rsid w:val="06367DD0"/>
    <w:rsid w:val="066E0107"/>
    <w:rsid w:val="067D59FE"/>
    <w:rsid w:val="06D53A4F"/>
    <w:rsid w:val="06FD08ED"/>
    <w:rsid w:val="071F0E37"/>
    <w:rsid w:val="07996F6E"/>
    <w:rsid w:val="07CC0F97"/>
    <w:rsid w:val="07DF69CD"/>
    <w:rsid w:val="07DFD8BA"/>
    <w:rsid w:val="08107FC4"/>
    <w:rsid w:val="08A76447"/>
    <w:rsid w:val="08D20542"/>
    <w:rsid w:val="09174E12"/>
    <w:rsid w:val="093111A2"/>
    <w:rsid w:val="09B04673"/>
    <w:rsid w:val="09BF1DC7"/>
    <w:rsid w:val="09C54C2A"/>
    <w:rsid w:val="09D03DF8"/>
    <w:rsid w:val="09E87633"/>
    <w:rsid w:val="09EA4C51"/>
    <w:rsid w:val="0A2032A3"/>
    <w:rsid w:val="0A342A01"/>
    <w:rsid w:val="0A496C09"/>
    <w:rsid w:val="0A7912A6"/>
    <w:rsid w:val="0A7B04A7"/>
    <w:rsid w:val="0A8C053E"/>
    <w:rsid w:val="0A9004E0"/>
    <w:rsid w:val="0ABC2B18"/>
    <w:rsid w:val="0ADD2BFC"/>
    <w:rsid w:val="0AE031B8"/>
    <w:rsid w:val="0BF03EFA"/>
    <w:rsid w:val="0C1D4D4B"/>
    <w:rsid w:val="0C6D4300"/>
    <w:rsid w:val="0C7015A9"/>
    <w:rsid w:val="0C826FCA"/>
    <w:rsid w:val="0CEC568C"/>
    <w:rsid w:val="0D35B1ED"/>
    <w:rsid w:val="0DCA6A4D"/>
    <w:rsid w:val="0DD245BE"/>
    <w:rsid w:val="0DD31EFD"/>
    <w:rsid w:val="0E3F3C01"/>
    <w:rsid w:val="0E610637"/>
    <w:rsid w:val="0E7ED1F5"/>
    <w:rsid w:val="0E9854D8"/>
    <w:rsid w:val="0EC40164"/>
    <w:rsid w:val="0F0740B7"/>
    <w:rsid w:val="0F215B2E"/>
    <w:rsid w:val="0F6B22B5"/>
    <w:rsid w:val="0F7D4D9E"/>
    <w:rsid w:val="0F974445"/>
    <w:rsid w:val="0F98263C"/>
    <w:rsid w:val="0FCE2CF5"/>
    <w:rsid w:val="1007225D"/>
    <w:rsid w:val="101860EC"/>
    <w:rsid w:val="106A2B50"/>
    <w:rsid w:val="10C055FF"/>
    <w:rsid w:val="116A4DD1"/>
    <w:rsid w:val="118107EC"/>
    <w:rsid w:val="11A93D02"/>
    <w:rsid w:val="11D230A2"/>
    <w:rsid w:val="12096933"/>
    <w:rsid w:val="121F5BBC"/>
    <w:rsid w:val="123D61BB"/>
    <w:rsid w:val="128B69D7"/>
    <w:rsid w:val="12D0598B"/>
    <w:rsid w:val="130C0B1E"/>
    <w:rsid w:val="131C7FD3"/>
    <w:rsid w:val="13515537"/>
    <w:rsid w:val="135F0BD2"/>
    <w:rsid w:val="1366533D"/>
    <w:rsid w:val="136A6468"/>
    <w:rsid w:val="138228A6"/>
    <w:rsid w:val="13BA478C"/>
    <w:rsid w:val="13D50BC4"/>
    <w:rsid w:val="13EC0D39"/>
    <w:rsid w:val="13EE7EF2"/>
    <w:rsid w:val="13F5616D"/>
    <w:rsid w:val="142414B8"/>
    <w:rsid w:val="14374142"/>
    <w:rsid w:val="14BE2864"/>
    <w:rsid w:val="15337AAD"/>
    <w:rsid w:val="15580A63"/>
    <w:rsid w:val="15785A76"/>
    <w:rsid w:val="15A53934"/>
    <w:rsid w:val="15A839C9"/>
    <w:rsid w:val="16BB723D"/>
    <w:rsid w:val="16E46325"/>
    <w:rsid w:val="17F64F94"/>
    <w:rsid w:val="17F9714D"/>
    <w:rsid w:val="180F35C8"/>
    <w:rsid w:val="181A3850"/>
    <w:rsid w:val="184850E4"/>
    <w:rsid w:val="18BA53FF"/>
    <w:rsid w:val="1918F934"/>
    <w:rsid w:val="197369DE"/>
    <w:rsid w:val="198D20F4"/>
    <w:rsid w:val="19ED0B2B"/>
    <w:rsid w:val="19F67F39"/>
    <w:rsid w:val="19FE12BE"/>
    <w:rsid w:val="1AB1007C"/>
    <w:rsid w:val="1AB7256E"/>
    <w:rsid w:val="1AF553F6"/>
    <w:rsid w:val="1BA01B1B"/>
    <w:rsid w:val="1BC60728"/>
    <w:rsid w:val="1BE8440E"/>
    <w:rsid w:val="1C975AEF"/>
    <w:rsid w:val="1CAA1D54"/>
    <w:rsid w:val="1D0D6727"/>
    <w:rsid w:val="1D155CEE"/>
    <w:rsid w:val="1D1E69F7"/>
    <w:rsid w:val="1D682B0D"/>
    <w:rsid w:val="1DAD6772"/>
    <w:rsid w:val="1DC90269"/>
    <w:rsid w:val="1DE52172"/>
    <w:rsid w:val="1DF00134"/>
    <w:rsid w:val="1DFBC4B3"/>
    <w:rsid w:val="1E144B3E"/>
    <w:rsid w:val="1E2A6014"/>
    <w:rsid w:val="1E740ACF"/>
    <w:rsid w:val="1E7A4E27"/>
    <w:rsid w:val="1E7C6ED8"/>
    <w:rsid w:val="1E7F010E"/>
    <w:rsid w:val="1EAA4111"/>
    <w:rsid w:val="1EAE2EF8"/>
    <w:rsid w:val="1EB8028E"/>
    <w:rsid w:val="1EBD48DF"/>
    <w:rsid w:val="1F19C781"/>
    <w:rsid w:val="1F33FCE5"/>
    <w:rsid w:val="1F3B6A53"/>
    <w:rsid w:val="1F3F57AE"/>
    <w:rsid w:val="1F584033"/>
    <w:rsid w:val="1F6F36E4"/>
    <w:rsid w:val="1F732460"/>
    <w:rsid w:val="1F7A4A87"/>
    <w:rsid w:val="1F7F7398"/>
    <w:rsid w:val="1FD2DB6F"/>
    <w:rsid w:val="1FD363C0"/>
    <w:rsid w:val="1FDC2B6B"/>
    <w:rsid w:val="1FF35744"/>
    <w:rsid w:val="1FF6BC77"/>
    <w:rsid w:val="1FF9236D"/>
    <w:rsid w:val="20286583"/>
    <w:rsid w:val="20B6593D"/>
    <w:rsid w:val="20D25D52"/>
    <w:rsid w:val="211C00A4"/>
    <w:rsid w:val="21B414D5"/>
    <w:rsid w:val="21C8338B"/>
    <w:rsid w:val="22411B55"/>
    <w:rsid w:val="22741F70"/>
    <w:rsid w:val="228A52D3"/>
    <w:rsid w:val="229121BE"/>
    <w:rsid w:val="22DB5B2F"/>
    <w:rsid w:val="22F63720"/>
    <w:rsid w:val="22F852EB"/>
    <w:rsid w:val="2333840E"/>
    <w:rsid w:val="23860B96"/>
    <w:rsid w:val="23B8020B"/>
    <w:rsid w:val="240371BF"/>
    <w:rsid w:val="244476F6"/>
    <w:rsid w:val="2486201C"/>
    <w:rsid w:val="249801F3"/>
    <w:rsid w:val="25466FA9"/>
    <w:rsid w:val="257C638F"/>
    <w:rsid w:val="26381D86"/>
    <w:rsid w:val="263B7010"/>
    <w:rsid w:val="266A1D8B"/>
    <w:rsid w:val="26DD1E76"/>
    <w:rsid w:val="26DF423B"/>
    <w:rsid w:val="26E074FE"/>
    <w:rsid w:val="26F00F83"/>
    <w:rsid w:val="274D00C0"/>
    <w:rsid w:val="2751016E"/>
    <w:rsid w:val="277F1DB7"/>
    <w:rsid w:val="2885050F"/>
    <w:rsid w:val="288822B5"/>
    <w:rsid w:val="28D63020"/>
    <w:rsid w:val="291C2ED4"/>
    <w:rsid w:val="295845C6"/>
    <w:rsid w:val="29CD0083"/>
    <w:rsid w:val="29F050DD"/>
    <w:rsid w:val="29FD04D3"/>
    <w:rsid w:val="2A017A4A"/>
    <w:rsid w:val="2A354DF1"/>
    <w:rsid w:val="2A477BA6"/>
    <w:rsid w:val="2A942680"/>
    <w:rsid w:val="2AE540AA"/>
    <w:rsid w:val="2AFA5D3D"/>
    <w:rsid w:val="2B225C3A"/>
    <w:rsid w:val="2B63691D"/>
    <w:rsid w:val="2B69639B"/>
    <w:rsid w:val="2BFD38AB"/>
    <w:rsid w:val="2BFF7BC6"/>
    <w:rsid w:val="2C3E2127"/>
    <w:rsid w:val="2C8A61B5"/>
    <w:rsid w:val="2CA005FA"/>
    <w:rsid w:val="2CD59C95"/>
    <w:rsid w:val="2CE43AD8"/>
    <w:rsid w:val="2CF74829"/>
    <w:rsid w:val="2CF95099"/>
    <w:rsid w:val="2D2C76B3"/>
    <w:rsid w:val="2D487C6D"/>
    <w:rsid w:val="2D8B5CFE"/>
    <w:rsid w:val="2DB57E7C"/>
    <w:rsid w:val="2DF04E50"/>
    <w:rsid w:val="2E2C5491"/>
    <w:rsid w:val="2E5A3F86"/>
    <w:rsid w:val="2E777267"/>
    <w:rsid w:val="2E9372BE"/>
    <w:rsid w:val="2EA048CE"/>
    <w:rsid w:val="2EBF3D6C"/>
    <w:rsid w:val="2EC338EA"/>
    <w:rsid w:val="2EDE6E17"/>
    <w:rsid w:val="2EF55952"/>
    <w:rsid w:val="2EFC1307"/>
    <w:rsid w:val="2EFD05E5"/>
    <w:rsid w:val="2F040D46"/>
    <w:rsid w:val="2F210D6D"/>
    <w:rsid w:val="2F4F95CE"/>
    <w:rsid w:val="2F560A17"/>
    <w:rsid w:val="2FACAFDD"/>
    <w:rsid w:val="2FAE5751"/>
    <w:rsid w:val="2FB1A395"/>
    <w:rsid w:val="2FCF0B76"/>
    <w:rsid w:val="2FD47FF3"/>
    <w:rsid w:val="2FD9A7D8"/>
    <w:rsid w:val="302B392C"/>
    <w:rsid w:val="305834A5"/>
    <w:rsid w:val="30C635D7"/>
    <w:rsid w:val="30FC2853"/>
    <w:rsid w:val="31092BC2"/>
    <w:rsid w:val="31630D3A"/>
    <w:rsid w:val="319F7F4E"/>
    <w:rsid w:val="31EC05D1"/>
    <w:rsid w:val="3304709D"/>
    <w:rsid w:val="333411CA"/>
    <w:rsid w:val="33420DD0"/>
    <w:rsid w:val="33712043"/>
    <w:rsid w:val="33766736"/>
    <w:rsid w:val="339650C3"/>
    <w:rsid w:val="33B10085"/>
    <w:rsid w:val="33F407FF"/>
    <w:rsid w:val="34351B0F"/>
    <w:rsid w:val="34565015"/>
    <w:rsid w:val="34C00BE4"/>
    <w:rsid w:val="351D351B"/>
    <w:rsid w:val="35412F26"/>
    <w:rsid w:val="35C416DE"/>
    <w:rsid w:val="35CC2CD9"/>
    <w:rsid w:val="35E67F04"/>
    <w:rsid w:val="35FA6D35"/>
    <w:rsid w:val="36351548"/>
    <w:rsid w:val="36AA5135"/>
    <w:rsid w:val="36BE0DA7"/>
    <w:rsid w:val="37320CE8"/>
    <w:rsid w:val="376B6AA6"/>
    <w:rsid w:val="376D39B2"/>
    <w:rsid w:val="3773112A"/>
    <w:rsid w:val="37E16F03"/>
    <w:rsid w:val="37F32735"/>
    <w:rsid w:val="37F53A3B"/>
    <w:rsid w:val="38D10644"/>
    <w:rsid w:val="38D469F0"/>
    <w:rsid w:val="38D919B3"/>
    <w:rsid w:val="38F78389"/>
    <w:rsid w:val="397A17A6"/>
    <w:rsid w:val="397BAF1F"/>
    <w:rsid w:val="398235F4"/>
    <w:rsid w:val="39E7B272"/>
    <w:rsid w:val="39F7642F"/>
    <w:rsid w:val="39FF7B37"/>
    <w:rsid w:val="3A003F48"/>
    <w:rsid w:val="3A0F39DD"/>
    <w:rsid w:val="3A925A0E"/>
    <w:rsid w:val="3AB79AF3"/>
    <w:rsid w:val="3AFDCB77"/>
    <w:rsid w:val="3B210803"/>
    <w:rsid w:val="3B5129DA"/>
    <w:rsid w:val="3B7EF35A"/>
    <w:rsid w:val="3B9FDB6C"/>
    <w:rsid w:val="3BB92C19"/>
    <w:rsid w:val="3BF5BC2F"/>
    <w:rsid w:val="3BF7C23A"/>
    <w:rsid w:val="3BFC04E2"/>
    <w:rsid w:val="3BFF223E"/>
    <w:rsid w:val="3C4C4EBE"/>
    <w:rsid w:val="3C4D5A11"/>
    <w:rsid w:val="3C5F1CDA"/>
    <w:rsid w:val="3C6EC0A1"/>
    <w:rsid w:val="3C7514FE"/>
    <w:rsid w:val="3CDB0824"/>
    <w:rsid w:val="3CEBA265"/>
    <w:rsid w:val="3D1B32A0"/>
    <w:rsid w:val="3D5D02CA"/>
    <w:rsid w:val="3D6A7F9F"/>
    <w:rsid w:val="3D766728"/>
    <w:rsid w:val="3D7E7F4D"/>
    <w:rsid w:val="3D98207C"/>
    <w:rsid w:val="3D9CF30A"/>
    <w:rsid w:val="3DFF5A3E"/>
    <w:rsid w:val="3E43485C"/>
    <w:rsid w:val="3E78745D"/>
    <w:rsid w:val="3EBF1A09"/>
    <w:rsid w:val="3EEE77E9"/>
    <w:rsid w:val="3F394AF5"/>
    <w:rsid w:val="3F497E8F"/>
    <w:rsid w:val="3F4D12A0"/>
    <w:rsid w:val="3FBE5714"/>
    <w:rsid w:val="3FDA54B9"/>
    <w:rsid w:val="3FDD8615"/>
    <w:rsid w:val="3FDFB2FF"/>
    <w:rsid w:val="3FF4CAE0"/>
    <w:rsid w:val="3FF75FAF"/>
    <w:rsid w:val="3FF7B227"/>
    <w:rsid w:val="401D3274"/>
    <w:rsid w:val="404D3DAD"/>
    <w:rsid w:val="404D51B3"/>
    <w:rsid w:val="40FE5B14"/>
    <w:rsid w:val="41151DB4"/>
    <w:rsid w:val="411F7E0F"/>
    <w:rsid w:val="416E4CA2"/>
    <w:rsid w:val="4221469D"/>
    <w:rsid w:val="42A315C0"/>
    <w:rsid w:val="432E715D"/>
    <w:rsid w:val="43680CF0"/>
    <w:rsid w:val="43767BB4"/>
    <w:rsid w:val="441A7C96"/>
    <w:rsid w:val="444D0727"/>
    <w:rsid w:val="44932AAC"/>
    <w:rsid w:val="44C67F95"/>
    <w:rsid w:val="44E1092B"/>
    <w:rsid w:val="44E268DA"/>
    <w:rsid w:val="44F91AF2"/>
    <w:rsid w:val="45096A0B"/>
    <w:rsid w:val="45710D4F"/>
    <w:rsid w:val="457F4F6B"/>
    <w:rsid w:val="461D6CD5"/>
    <w:rsid w:val="470139A1"/>
    <w:rsid w:val="47335DDE"/>
    <w:rsid w:val="4737FB58"/>
    <w:rsid w:val="476D1FAA"/>
    <w:rsid w:val="47A619B8"/>
    <w:rsid w:val="47E15F0A"/>
    <w:rsid w:val="47ECCB02"/>
    <w:rsid w:val="47ED3D9F"/>
    <w:rsid w:val="47FA6A3F"/>
    <w:rsid w:val="4806719A"/>
    <w:rsid w:val="481A0800"/>
    <w:rsid w:val="482E20D9"/>
    <w:rsid w:val="48605DBF"/>
    <w:rsid w:val="48952E57"/>
    <w:rsid w:val="48AE3BA5"/>
    <w:rsid w:val="48B05702"/>
    <w:rsid w:val="48BC6BE8"/>
    <w:rsid w:val="48F404E6"/>
    <w:rsid w:val="49156DF5"/>
    <w:rsid w:val="493828A7"/>
    <w:rsid w:val="496739E1"/>
    <w:rsid w:val="497F54D4"/>
    <w:rsid w:val="498A3265"/>
    <w:rsid w:val="49B1178E"/>
    <w:rsid w:val="49D7AE48"/>
    <w:rsid w:val="4A080208"/>
    <w:rsid w:val="4A3F6C7E"/>
    <w:rsid w:val="4A58168F"/>
    <w:rsid w:val="4A591407"/>
    <w:rsid w:val="4A627F82"/>
    <w:rsid w:val="4B0E749A"/>
    <w:rsid w:val="4B4F25DA"/>
    <w:rsid w:val="4B822D81"/>
    <w:rsid w:val="4BB2552B"/>
    <w:rsid w:val="4BBB4781"/>
    <w:rsid w:val="4BD709A5"/>
    <w:rsid w:val="4BDD9BFF"/>
    <w:rsid w:val="4BE068DB"/>
    <w:rsid w:val="4BFC035E"/>
    <w:rsid w:val="4C1C40A9"/>
    <w:rsid w:val="4C1F27A9"/>
    <w:rsid w:val="4C2C0993"/>
    <w:rsid w:val="4CAA3E0E"/>
    <w:rsid w:val="4CB86415"/>
    <w:rsid w:val="4D577224"/>
    <w:rsid w:val="4D8A4B72"/>
    <w:rsid w:val="4D96BE96"/>
    <w:rsid w:val="4DBF1CEB"/>
    <w:rsid w:val="4DBF6A6B"/>
    <w:rsid w:val="4DD6766B"/>
    <w:rsid w:val="4DF6A672"/>
    <w:rsid w:val="4E361F89"/>
    <w:rsid w:val="4E3D1A05"/>
    <w:rsid w:val="4E4B2871"/>
    <w:rsid w:val="4E5849FE"/>
    <w:rsid w:val="4E946A0E"/>
    <w:rsid w:val="4EAB630A"/>
    <w:rsid w:val="4ECE2238"/>
    <w:rsid w:val="4F046D7E"/>
    <w:rsid w:val="4F781E8C"/>
    <w:rsid w:val="4F7EA413"/>
    <w:rsid w:val="4FAB812F"/>
    <w:rsid w:val="4FB6604A"/>
    <w:rsid w:val="4FE230FA"/>
    <w:rsid w:val="4FE57B46"/>
    <w:rsid w:val="4FE9BD67"/>
    <w:rsid w:val="4FEE4C07"/>
    <w:rsid w:val="4FF57980"/>
    <w:rsid w:val="4FFB052F"/>
    <w:rsid w:val="500003D4"/>
    <w:rsid w:val="5033756A"/>
    <w:rsid w:val="504E5018"/>
    <w:rsid w:val="50B743A7"/>
    <w:rsid w:val="50E976C6"/>
    <w:rsid w:val="51035B19"/>
    <w:rsid w:val="512834A7"/>
    <w:rsid w:val="513D338D"/>
    <w:rsid w:val="514566E6"/>
    <w:rsid w:val="51637C48"/>
    <w:rsid w:val="51937678"/>
    <w:rsid w:val="51D959EE"/>
    <w:rsid w:val="51F356C1"/>
    <w:rsid w:val="52134DDE"/>
    <w:rsid w:val="52175E81"/>
    <w:rsid w:val="522D1056"/>
    <w:rsid w:val="52466EF1"/>
    <w:rsid w:val="530F2B97"/>
    <w:rsid w:val="531112FA"/>
    <w:rsid w:val="531D0701"/>
    <w:rsid w:val="534666F8"/>
    <w:rsid w:val="536C32A0"/>
    <w:rsid w:val="537E6D0A"/>
    <w:rsid w:val="53AB6B88"/>
    <w:rsid w:val="53F74C96"/>
    <w:rsid w:val="547D156B"/>
    <w:rsid w:val="5481596E"/>
    <w:rsid w:val="548262E3"/>
    <w:rsid w:val="549D1DF3"/>
    <w:rsid w:val="54E520BA"/>
    <w:rsid w:val="54FC530D"/>
    <w:rsid w:val="5583522D"/>
    <w:rsid w:val="55946DB8"/>
    <w:rsid w:val="562A3855"/>
    <w:rsid w:val="563F54B2"/>
    <w:rsid w:val="566070A4"/>
    <w:rsid w:val="569331DA"/>
    <w:rsid w:val="56AC319A"/>
    <w:rsid w:val="56CE1694"/>
    <w:rsid w:val="56E1608E"/>
    <w:rsid w:val="57390068"/>
    <w:rsid w:val="57417171"/>
    <w:rsid w:val="5757014A"/>
    <w:rsid w:val="57706D8B"/>
    <w:rsid w:val="57A94520"/>
    <w:rsid w:val="57BD3DD4"/>
    <w:rsid w:val="57F823D1"/>
    <w:rsid w:val="57F9CD1E"/>
    <w:rsid w:val="581227C6"/>
    <w:rsid w:val="582766DE"/>
    <w:rsid w:val="58D83C61"/>
    <w:rsid w:val="58EC6270"/>
    <w:rsid w:val="59101387"/>
    <w:rsid w:val="59171A1B"/>
    <w:rsid w:val="591813B4"/>
    <w:rsid w:val="59B26B4A"/>
    <w:rsid w:val="59D113CB"/>
    <w:rsid w:val="59DC7648"/>
    <w:rsid w:val="59E96A42"/>
    <w:rsid w:val="5A2A6479"/>
    <w:rsid w:val="5A3A11EF"/>
    <w:rsid w:val="5A581BC4"/>
    <w:rsid w:val="5A6B7BC8"/>
    <w:rsid w:val="5A767910"/>
    <w:rsid w:val="5A8C0FA2"/>
    <w:rsid w:val="5AF04BE6"/>
    <w:rsid w:val="5AF92295"/>
    <w:rsid w:val="5AF9D8E9"/>
    <w:rsid w:val="5B067B88"/>
    <w:rsid w:val="5B5B461C"/>
    <w:rsid w:val="5B7A4D23"/>
    <w:rsid w:val="5BC4373B"/>
    <w:rsid w:val="5BDD38BD"/>
    <w:rsid w:val="5BDD79E6"/>
    <w:rsid w:val="5BEFC772"/>
    <w:rsid w:val="5BFF5DFC"/>
    <w:rsid w:val="5C6D7CB4"/>
    <w:rsid w:val="5CD43472"/>
    <w:rsid w:val="5CD71FC4"/>
    <w:rsid w:val="5D1F11B5"/>
    <w:rsid w:val="5D3647F9"/>
    <w:rsid w:val="5D7B79AB"/>
    <w:rsid w:val="5DA644D4"/>
    <w:rsid w:val="5DAE1B18"/>
    <w:rsid w:val="5DDB5D8D"/>
    <w:rsid w:val="5DE7D9E5"/>
    <w:rsid w:val="5DF58CD6"/>
    <w:rsid w:val="5E451AD3"/>
    <w:rsid w:val="5E6D19F0"/>
    <w:rsid w:val="5E750E18"/>
    <w:rsid w:val="5EAD5B25"/>
    <w:rsid w:val="5ECEC941"/>
    <w:rsid w:val="5EE17A4E"/>
    <w:rsid w:val="5EF9033D"/>
    <w:rsid w:val="5EFB6575"/>
    <w:rsid w:val="5EFF8FC6"/>
    <w:rsid w:val="5F4463A0"/>
    <w:rsid w:val="5F5BA39A"/>
    <w:rsid w:val="5F7D3B79"/>
    <w:rsid w:val="5F7F4610"/>
    <w:rsid w:val="5FA10F8B"/>
    <w:rsid w:val="5FBF9FF3"/>
    <w:rsid w:val="5FC33114"/>
    <w:rsid w:val="5FCD4E2C"/>
    <w:rsid w:val="5FD05C49"/>
    <w:rsid w:val="5FEF394A"/>
    <w:rsid w:val="5FF536F7"/>
    <w:rsid w:val="5FF67715"/>
    <w:rsid w:val="602045A6"/>
    <w:rsid w:val="60B60191"/>
    <w:rsid w:val="61172EB3"/>
    <w:rsid w:val="612D22B1"/>
    <w:rsid w:val="614B7A21"/>
    <w:rsid w:val="61771AAF"/>
    <w:rsid w:val="61CA71D5"/>
    <w:rsid w:val="61CC2084"/>
    <w:rsid w:val="61E44A5D"/>
    <w:rsid w:val="62203CDD"/>
    <w:rsid w:val="624B6652"/>
    <w:rsid w:val="625C5100"/>
    <w:rsid w:val="62714D31"/>
    <w:rsid w:val="627EE9EA"/>
    <w:rsid w:val="62AF7E63"/>
    <w:rsid w:val="62BF327C"/>
    <w:rsid w:val="633C3052"/>
    <w:rsid w:val="635E1757"/>
    <w:rsid w:val="63B23AA5"/>
    <w:rsid w:val="63B23ACB"/>
    <w:rsid w:val="63CD6CE0"/>
    <w:rsid w:val="64002775"/>
    <w:rsid w:val="6424662D"/>
    <w:rsid w:val="6441776C"/>
    <w:rsid w:val="646F3848"/>
    <w:rsid w:val="647F5392"/>
    <w:rsid w:val="64C85B17"/>
    <w:rsid w:val="64DD4A8C"/>
    <w:rsid w:val="64E322C4"/>
    <w:rsid w:val="651304E1"/>
    <w:rsid w:val="65141242"/>
    <w:rsid w:val="651F3750"/>
    <w:rsid w:val="65485346"/>
    <w:rsid w:val="656754CF"/>
    <w:rsid w:val="65A2780B"/>
    <w:rsid w:val="65DA6FA5"/>
    <w:rsid w:val="65E73470"/>
    <w:rsid w:val="65F938CF"/>
    <w:rsid w:val="65FB93B9"/>
    <w:rsid w:val="6633C463"/>
    <w:rsid w:val="663A6BE7"/>
    <w:rsid w:val="6645013C"/>
    <w:rsid w:val="664E5E8B"/>
    <w:rsid w:val="6673581A"/>
    <w:rsid w:val="667D6784"/>
    <w:rsid w:val="66BA1DEC"/>
    <w:rsid w:val="66C06D04"/>
    <w:rsid w:val="67692A97"/>
    <w:rsid w:val="677A1653"/>
    <w:rsid w:val="677C726F"/>
    <w:rsid w:val="67AB5CE8"/>
    <w:rsid w:val="67CA4CFB"/>
    <w:rsid w:val="67D55B77"/>
    <w:rsid w:val="67EE7F84"/>
    <w:rsid w:val="6800394D"/>
    <w:rsid w:val="684821EF"/>
    <w:rsid w:val="686F5F53"/>
    <w:rsid w:val="68906041"/>
    <w:rsid w:val="68AB6CF2"/>
    <w:rsid w:val="68E1064A"/>
    <w:rsid w:val="693B4EAC"/>
    <w:rsid w:val="69431305"/>
    <w:rsid w:val="69793FAD"/>
    <w:rsid w:val="697C130C"/>
    <w:rsid w:val="69A30C06"/>
    <w:rsid w:val="69D730A7"/>
    <w:rsid w:val="6A221C19"/>
    <w:rsid w:val="6A414D2E"/>
    <w:rsid w:val="6A6D03E7"/>
    <w:rsid w:val="6AAA2D85"/>
    <w:rsid w:val="6AB02EC8"/>
    <w:rsid w:val="6AB3528A"/>
    <w:rsid w:val="6AFB6C14"/>
    <w:rsid w:val="6AFFCEAF"/>
    <w:rsid w:val="6B2018FE"/>
    <w:rsid w:val="6B4F1BDC"/>
    <w:rsid w:val="6B96E9E6"/>
    <w:rsid w:val="6BA30B14"/>
    <w:rsid w:val="6BCE57B5"/>
    <w:rsid w:val="6BFEA4DB"/>
    <w:rsid w:val="6BFFB662"/>
    <w:rsid w:val="6C4A05C8"/>
    <w:rsid w:val="6CDD3B97"/>
    <w:rsid w:val="6CFD5D9C"/>
    <w:rsid w:val="6CFF4FB8"/>
    <w:rsid w:val="6D3F2823"/>
    <w:rsid w:val="6D6BD6E0"/>
    <w:rsid w:val="6D77E73C"/>
    <w:rsid w:val="6DB051BC"/>
    <w:rsid w:val="6DBF5E93"/>
    <w:rsid w:val="6DF71359"/>
    <w:rsid w:val="6DFF077E"/>
    <w:rsid w:val="6E3C096F"/>
    <w:rsid w:val="6E567AC5"/>
    <w:rsid w:val="6E7E3605"/>
    <w:rsid w:val="6E7FDCC7"/>
    <w:rsid w:val="6E9417EB"/>
    <w:rsid w:val="6E945BF6"/>
    <w:rsid w:val="6EA614BA"/>
    <w:rsid w:val="6EC55F6B"/>
    <w:rsid w:val="6ED6A62E"/>
    <w:rsid w:val="6EE00B15"/>
    <w:rsid w:val="6EE2027D"/>
    <w:rsid w:val="6EE737B2"/>
    <w:rsid w:val="6EEB2329"/>
    <w:rsid w:val="6EECE67A"/>
    <w:rsid w:val="6F3A08C5"/>
    <w:rsid w:val="6F3F45AD"/>
    <w:rsid w:val="6F4C1B71"/>
    <w:rsid w:val="6F5C1AF8"/>
    <w:rsid w:val="6F6663E3"/>
    <w:rsid w:val="6F691417"/>
    <w:rsid w:val="6F6F90A8"/>
    <w:rsid w:val="6F6FB3EB"/>
    <w:rsid w:val="6F872249"/>
    <w:rsid w:val="6F8731EA"/>
    <w:rsid w:val="6F8C7C81"/>
    <w:rsid w:val="6FA122FA"/>
    <w:rsid w:val="6FBC2ADD"/>
    <w:rsid w:val="6FD57C00"/>
    <w:rsid w:val="6FDF3DAD"/>
    <w:rsid w:val="6FEFFFD8"/>
    <w:rsid w:val="6FF5CC65"/>
    <w:rsid w:val="6FFB47EC"/>
    <w:rsid w:val="6FFF034A"/>
    <w:rsid w:val="70704862"/>
    <w:rsid w:val="707D334E"/>
    <w:rsid w:val="70AD136F"/>
    <w:rsid w:val="70AE7E55"/>
    <w:rsid w:val="70D773BA"/>
    <w:rsid w:val="70EE31B5"/>
    <w:rsid w:val="712A28F1"/>
    <w:rsid w:val="712E749C"/>
    <w:rsid w:val="715C0E4B"/>
    <w:rsid w:val="71BE718E"/>
    <w:rsid w:val="71F79C0F"/>
    <w:rsid w:val="71FFD401"/>
    <w:rsid w:val="72233669"/>
    <w:rsid w:val="726A5C90"/>
    <w:rsid w:val="72734D90"/>
    <w:rsid w:val="72B94D9E"/>
    <w:rsid w:val="7332FE48"/>
    <w:rsid w:val="73AD73D5"/>
    <w:rsid w:val="73B6EB34"/>
    <w:rsid w:val="73BC2168"/>
    <w:rsid w:val="73FA497D"/>
    <w:rsid w:val="743B1FA8"/>
    <w:rsid w:val="744731E5"/>
    <w:rsid w:val="745D3C7F"/>
    <w:rsid w:val="74A474B4"/>
    <w:rsid w:val="74BBD01D"/>
    <w:rsid w:val="74ED5379"/>
    <w:rsid w:val="75414ABC"/>
    <w:rsid w:val="755B711D"/>
    <w:rsid w:val="757F414A"/>
    <w:rsid w:val="75940383"/>
    <w:rsid w:val="759F6EF7"/>
    <w:rsid w:val="75A86759"/>
    <w:rsid w:val="75B620E5"/>
    <w:rsid w:val="75C0350A"/>
    <w:rsid w:val="75D7705D"/>
    <w:rsid w:val="75DEEEC2"/>
    <w:rsid w:val="76524935"/>
    <w:rsid w:val="767F479D"/>
    <w:rsid w:val="76E3355F"/>
    <w:rsid w:val="76F742AF"/>
    <w:rsid w:val="76F7BE7D"/>
    <w:rsid w:val="76FF5125"/>
    <w:rsid w:val="773570D3"/>
    <w:rsid w:val="77597F31"/>
    <w:rsid w:val="776F6FFA"/>
    <w:rsid w:val="7777A522"/>
    <w:rsid w:val="77858688"/>
    <w:rsid w:val="778769C8"/>
    <w:rsid w:val="77BA138A"/>
    <w:rsid w:val="77CB741A"/>
    <w:rsid w:val="77D7BE3A"/>
    <w:rsid w:val="77DC22F5"/>
    <w:rsid w:val="77EB821F"/>
    <w:rsid w:val="78394928"/>
    <w:rsid w:val="789B56D9"/>
    <w:rsid w:val="78BA2BBD"/>
    <w:rsid w:val="78EA0F1D"/>
    <w:rsid w:val="793547C6"/>
    <w:rsid w:val="795B5E90"/>
    <w:rsid w:val="797A1E01"/>
    <w:rsid w:val="797E3A6C"/>
    <w:rsid w:val="79CF70E2"/>
    <w:rsid w:val="79D7FD79"/>
    <w:rsid w:val="79E65AC0"/>
    <w:rsid w:val="79E75806"/>
    <w:rsid w:val="79EE5BA4"/>
    <w:rsid w:val="7A394E11"/>
    <w:rsid w:val="7A4A624E"/>
    <w:rsid w:val="7A641148"/>
    <w:rsid w:val="7A6F0A60"/>
    <w:rsid w:val="7A6F8BF5"/>
    <w:rsid w:val="7A894339"/>
    <w:rsid w:val="7AB53B0F"/>
    <w:rsid w:val="7ACE7D81"/>
    <w:rsid w:val="7ACF82B5"/>
    <w:rsid w:val="7AFF28C9"/>
    <w:rsid w:val="7AFF72A0"/>
    <w:rsid w:val="7AFF7572"/>
    <w:rsid w:val="7B22521E"/>
    <w:rsid w:val="7B371568"/>
    <w:rsid w:val="7B670E83"/>
    <w:rsid w:val="7B6867A9"/>
    <w:rsid w:val="7B6C7DFB"/>
    <w:rsid w:val="7B7D76A7"/>
    <w:rsid w:val="7B9A6B62"/>
    <w:rsid w:val="7BAB5615"/>
    <w:rsid w:val="7BAE2FE2"/>
    <w:rsid w:val="7BAF6951"/>
    <w:rsid w:val="7BBE74EF"/>
    <w:rsid w:val="7BBFBED0"/>
    <w:rsid w:val="7BC3E394"/>
    <w:rsid w:val="7BF3FE4C"/>
    <w:rsid w:val="7BF56F0F"/>
    <w:rsid w:val="7BF91670"/>
    <w:rsid w:val="7BFB5035"/>
    <w:rsid w:val="7BFDE17E"/>
    <w:rsid w:val="7C0B5818"/>
    <w:rsid w:val="7C31254B"/>
    <w:rsid w:val="7C3E2E5B"/>
    <w:rsid w:val="7C564D16"/>
    <w:rsid w:val="7C7E7903"/>
    <w:rsid w:val="7CBB51AC"/>
    <w:rsid w:val="7CBFC87B"/>
    <w:rsid w:val="7CC3658D"/>
    <w:rsid w:val="7CD13346"/>
    <w:rsid w:val="7CFE0F48"/>
    <w:rsid w:val="7D16152A"/>
    <w:rsid w:val="7D3DE31C"/>
    <w:rsid w:val="7D755309"/>
    <w:rsid w:val="7D7EC23E"/>
    <w:rsid w:val="7D7F8A13"/>
    <w:rsid w:val="7DBBCB01"/>
    <w:rsid w:val="7DC765D0"/>
    <w:rsid w:val="7DDB0EE0"/>
    <w:rsid w:val="7DFF51D8"/>
    <w:rsid w:val="7E0D7C40"/>
    <w:rsid w:val="7E316A03"/>
    <w:rsid w:val="7E486D4A"/>
    <w:rsid w:val="7E4F2F52"/>
    <w:rsid w:val="7E5622D6"/>
    <w:rsid w:val="7E634199"/>
    <w:rsid w:val="7E8ADEBF"/>
    <w:rsid w:val="7EA85A5B"/>
    <w:rsid w:val="7EEF11D3"/>
    <w:rsid w:val="7EF78C20"/>
    <w:rsid w:val="7EFA200F"/>
    <w:rsid w:val="7F3F679B"/>
    <w:rsid w:val="7F4FC4EF"/>
    <w:rsid w:val="7F5A1E3C"/>
    <w:rsid w:val="7F5E4D54"/>
    <w:rsid w:val="7F6B75FA"/>
    <w:rsid w:val="7F9F518D"/>
    <w:rsid w:val="7FA30C79"/>
    <w:rsid w:val="7FAF8ABF"/>
    <w:rsid w:val="7FB7269E"/>
    <w:rsid w:val="7FBD6753"/>
    <w:rsid w:val="7FBFABB4"/>
    <w:rsid w:val="7FC65084"/>
    <w:rsid w:val="7FC96657"/>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DF391"/>
    <w:rsid w:val="7FFFF783"/>
    <w:rsid w:val="93F70A9E"/>
    <w:rsid w:val="97F2A5C7"/>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AFFF1DC3"/>
    <w:rsid w:val="B27A6F28"/>
    <w:rsid w:val="B35F0D5A"/>
    <w:rsid w:val="B3F7F693"/>
    <w:rsid w:val="B3FBBB6C"/>
    <w:rsid w:val="B5FFE407"/>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B3380D"/>
    <w:rsid w:val="BFB7E7A2"/>
    <w:rsid w:val="BFC2F103"/>
    <w:rsid w:val="BFD475C3"/>
    <w:rsid w:val="BFDE5EA6"/>
    <w:rsid w:val="BFEF99E9"/>
    <w:rsid w:val="BFF9E564"/>
    <w:rsid w:val="BFFF3A69"/>
    <w:rsid w:val="C7BFEF9C"/>
    <w:rsid w:val="C7D3073B"/>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8F7C95"/>
    <w:rsid w:val="DCFFC0D1"/>
    <w:rsid w:val="DD1FB521"/>
    <w:rsid w:val="DDC57A99"/>
    <w:rsid w:val="DDCB2E5E"/>
    <w:rsid w:val="DDFE75CA"/>
    <w:rsid w:val="DEFBBE33"/>
    <w:rsid w:val="DEFBFEAE"/>
    <w:rsid w:val="DF1F3B80"/>
    <w:rsid w:val="DF6F9789"/>
    <w:rsid w:val="DF9B8D55"/>
    <w:rsid w:val="DF9D198A"/>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CFED1BC"/>
    <w:rsid w:val="ED1D69BB"/>
    <w:rsid w:val="ED2C2584"/>
    <w:rsid w:val="ED7FD312"/>
    <w:rsid w:val="EDBE03E0"/>
    <w:rsid w:val="EDD1A84A"/>
    <w:rsid w:val="EDFF8263"/>
    <w:rsid w:val="EE1FA0C7"/>
    <w:rsid w:val="EF53993F"/>
    <w:rsid w:val="EF7B8152"/>
    <w:rsid w:val="EF8E27E2"/>
    <w:rsid w:val="EFBFA491"/>
    <w:rsid w:val="EFBFB2F4"/>
    <w:rsid w:val="EFBFFA21"/>
    <w:rsid w:val="EFDF4337"/>
    <w:rsid w:val="EFF7097E"/>
    <w:rsid w:val="F2BEBCB8"/>
    <w:rsid w:val="F36FB518"/>
    <w:rsid w:val="F3B64014"/>
    <w:rsid w:val="F3DE1A04"/>
    <w:rsid w:val="F3E244FA"/>
    <w:rsid w:val="F3EFB7CA"/>
    <w:rsid w:val="F3F722E5"/>
    <w:rsid w:val="F699BB1A"/>
    <w:rsid w:val="F6DEABFE"/>
    <w:rsid w:val="F7B650C7"/>
    <w:rsid w:val="F7EF9033"/>
    <w:rsid w:val="F7FDC2B1"/>
    <w:rsid w:val="F8DDDAC6"/>
    <w:rsid w:val="F96B55C8"/>
    <w:rsid w:val="FA2F5BEB"/>
    <w:rsid w:val="FA5F1E70"/>
    <w:rsid w:val="FA5FDB97"/>
    <w:rsid w:val="FB1BB959"/>
    <w:rsid w:val="FB75E3C8"/>
    <w:rsid w:val="FB7F461B"/>
    <w:rsid w:val="FB7F486A"/>
    <w:rsid w:val="FB7F6E28"/>
    <w:rsid w:val="FB8778F4"/>
    <w:rsid w:val="FBB61866"/>
    <w:rsid w:val="FBD75CA4"/>
    <w:rsid w:val="FBEE055A"/>
    <w:rsid w:val="FBF91527"/>
    <w:rsid w:val="FBFD1260"/>
    <w:rsid w:val="FBFF5B2E"/>
    <w:rsid w:val="FC833EBB"/>
    <w:rsid w:val="FCFE0B49"/>
    <w:rsid w:val="FCFFE46C"/>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E045"/>
    <w:rsid w:val="FFDFFAEE"/>
    <w:rsid w:val="FFE3BA41"/>
    <w:rsid w:val="FFE3BED4"/>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6"/>
    <w:qFormat/>
    <w:uiPriority w:val="99"/>
    <w:pPr>
      <w:spacing w:beforeLines="30"/>
    </w:pPr>
    <w:rPr>
      <w:rFonts w:ascii="仿宋_GB2312" w:eastAsia="仿宋_GB2312"/>
      <w:kern w:val="0"/>
      <w:sz w:val="30"/>
    </w:rPr>
  </w:style>
  <w:style w:type="paragraph" w:styleId="6">
    <w:name w:val="index 8"/>
    <w:basedOn w:val="1"/>
    <w:next w:val="1"/>
    <w:qFormat/>
    <w:uiPriority w:val="0"/>
    <w:pPr>
      <w:ind w:left="2940"/>
    </w:pPr>
  </w:style>
  <w:style w:type="paragraph" w:styleId="7">
    <w:name w:val="Body Text Indent"/>
    <w:basedOn w:val="1"/>
    <w:qFormat/>
    <w:uiPriority w:val="0"/>
    <w:pPr>
      <w:spacing w:after="120"/>
      <w:ind w:left="200" w:leftChars="200"/>
    </w:pPr>
    <w:rPr>
      <w:rFonts w:ascii="仿宋_GB2312"/>
      <w:szCs w:val="32"/>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pPr>
      <w:widowControl/>
      <w:spacing w:before="100" w:beforeAutospacing="1" w:after="100" w:afterAutospacing="1"/>
      <w:jc w:val="left"/>
    </w:pPr>
    <w:rPr>
      <w:kern w:val="0"/>
      <w:sz w:val="24"/>
    </w:rPr>
  </w:style>
  <w:style w:type="paragraph" w:styleId="15">
    <w:name w:val="Body Text First Indent 2"/>
    <w:basedOn w:val="7"/>
    <w:unhideWhenUsed/>
    <w:qFormat/>
    <w:uiPriority w:val="99"/>
    <w:pPr>
      <w:ind w:firstLine="420" w:firstLineChars="200"/>
    </w:p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字符"/>
    <w:link w:val="11"/>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字符"/>
    <w:link w:val="10"/>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字符"/>
    <w:link w:val="2"/>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字符"/>
    <w:basedOn w:val="17"/>
    <w:link w:val="3"/>
    <w:qFormat/>
    <w:uiPriority w:val="9"/>
    <w:rPr>
      <w:rFonts w:ascii="Times New Roman" w:hAnsi="Times New Roman"/>
      <w:b/>
      <w:bCs/>
      <w:kern w:val="44"/>
      <w:sz w:val="44"/>
      <w:szCs w:val="44"/>
    </w:rPr>
  </w:style>
  <w:style w:type="character" w:customStyle="1" w:styleId="30">
    <w:name w:val="标题 2 字符"/>
    <w:basedOn w:val="17"/>
    <w:link w:val="4"/>
    <w:qFormat/>
    <w:uiPriority w:val="9"/>
    <w:rPr>
      <w:rFonts w:asciiTheme="majorHAnsi" w:hAnsiTheme="majorHAnsi" w:eastAsiaTheme="majorEastAsia" w:cstheme="majorBidi"/>
      <w:b/>
      <w:bCs/>
      <w:kern w:val="2"/>
      <w:sz w:val="32"/>
      <w:szCs w:val="32"/>
    </w:rPr>
  </w:style>
  <w:style w:type="paragraph" w:customStyle="1" w:styleId="31">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字符"/>
    <w:basedOn w:val="17"/>
    <w:link w:val="9"/>
    <w:semiHidden/>
    <w:qFormat/>
    <w:uiPriority w:val="99"/>
    <w:rPr>
      <w:rFonts w:ascii="Times New Roman" w:hAnsi="Times New Roman"/>
      <w:kern w:val="2"/>
      <w:sz w:val="18"/>
      <w:szCs w:val="18"/>
    </w:rPr>
  </w:style>
  <w:style w:type="character" w:customStyle="1" w:styleId="33">
    <w:name w:val="标题 3 字符"/>
    <w:basedOn w:val="17"/>
    <w:link w:val="5"/>
    <w:qFormat/>
    <w:uiPriority w:val="9"/>
    <w:rPr>
      <w:rFonts w:ascii="Times New Roman" w:hAnsi="Times New Roman"/>
      <w:b/>
      <w:bCs/>
      <w:kern w:val="2"/>
      <w:sz w:val="32"/>
      <w:szCs w:val="32"/>
    </w:rPr>
  </w:style>
  <w:style w:type="paragraph" w:customStyle="1" w:styleId="34">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color w:val="000000"/>
      <w:kern w:val="0"/>
      <w:sz w:val="28"/>
      <w:szCs w:val="21"/>
      <w:lang w:val="zh-CN"/>
    </w:rPr>
  </w:style>
  <w:style w:type="character" w:customStyle="1" w:styleId="36">
    <w:name w:val="18"/>
    <w:basedOn w:val="17"/>
    <w:qFormat/>
    <w:uiPriority w:val="0"/>
    <w:rPr>
      <w:rFonts w:hint="default" w:ascii="Times New Roman" w:hAnsi="Times New Roman" w:cs="Times New Roman"/>
      <w:b/>
    </w:rPr>
  </w:style>
  <w:style w:type="paragraph" w:customStyle="1" w:styleId="37">
    <w:name w:val="普通(网站) Char"/>
    <w:basedOn w:val="1"/>
    <w:qFormat/>
    <w:uiPriority w:val="0"/>
    <w:pPr>
      <w:spacing w:beforeAutospacing="1" w:afterAutospacing="1"/>
      <w:jc w:val="left"/>
    </w:pPr>
    <w:rPr>
      <w:rFonts w:hint="eastAsia" w:ascii="宋体" w:hAnsi="宋体"/>
      <w:kern w:val="0"/>
      <w:sz w:val="24"/>
    </w:rPr>
  </w:style>
  <w:style w:type="paragraph" w:customStyle="1" w:styleId="38">
    <w:name w:val="WPSOffice手动目录 1"/>
    <w:basedOn w:val="1"/>
    <w:qFormat/>
    <w:uiPriority w:val="0"/>
    <w:pPr>
      <w:jc w:val="left"/>
    </w:pPr>
    <w:rPr>
      <w:kern w:val="0"/>
      <w:sz w:val="20"/>
      <w:szCs w:val="20"/>
    </w:rPr>
  </w:style>
  <w:style w:type="paragraph" w:customStyle="1" w:styleId="39">
    <w:name w:val="WPSOffice手动目录 2"/>
    <w:basedOn w:val="1"/>
    <w:qFormat/>
    <w:uiPriority w:val="0"/>
    <w:pPr>
      <w:ind w:left="200" w:leftChars="200"/>
      <w:jc w:val="left"/>
    </w:pPr>
    <w:rPr>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glossaryDocument" Target="glossary/document.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7.xml"/><Relationship Id="rId12" Type="http://schemas.openxmlformats.org/officeDocument/2006/relationships/chart" Target="charts/chart6.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C:\Users\Administrator\Desktop\&#19987;&#39033;&#36164;&#37329;&#25320;&#27454;&#30003;&#35831;&#20070;.xls"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zh-CN" sz="1400" b="0" i="0" u="none" strike="noStrike" baseline="0">
                <a:effectLst/>
              </a:rPr>
              <a:t>收、支决算总计变动情况图</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收入（万元）</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1490.79</c:v>
                </c:pt>
                <c:pt idx="1">
                  <c:v>1492.51</c:v>
                </c:pt>
              </c:numCache>
            </c:numRef>
          </c:val>
        </c:ser>
        <c:ser>
          <c:idx val="1"/>
          <c:order val="1"/>
          <c:tx>
            <c:strRef>
              <c:f>Sheet1!$C$1</c:f>
              <c:strCache>
                <c:ptCount val="1"/>
                <c:pt idx="0">
                  <c:v>支出（万元）</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1490.79</c:v>
                </c:pt>
                <c:pt idx="1">
                  <c:v>1492.51</c:v>
                </c:pt>
              </c:numCache>
            </c:numRef>
          </c:val>
        </c:ser>
        <c:dLbls>
          <c:showLegendKey val="0"/>
          <c:showVal val="0"/>
          <c:showCatName val="0"/>
          <c:showSerName val="0"/>
          <c:showPercent val="0"/>
          <c:showBubbleSize val="0"/>
        </c:dLbls>
        <c:gapWidth val="219"/>
        <c:overlap val="-27"/>
        <c:axId val="1543004896"/>
        <c:axId val="1543016416"/>
      </c:barChart>
      <c:catAx>
        <c:axId val="154300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43016416"/>
        <c:crosses val="autoZero"/>
        <c:auto val="1"/>
        <c:lblAlgn val="ctr"/>
        <c:lblOffset val="100"/>
        <c:noMultiLvlLbl val="0"/>
      </c:catAx>
      <c:valAx>
        <c:axId val="1543016416"/>
        <c:scaling>
          <c:orientation val="minMax"/>
          <c:min val="13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430048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27668de-cc6f-4610-8126-3d84c5d2177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收入决算结构图</a:t>
            </a:r>
            <a:endParaRPr lang="zh-CN" altLang="en-US"/>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[专项资金拨款申请书.xls]Sheet1!$A$15:$A$21</c:f>
              <c:strCache>
                <c:ptCount val="7"/>
                <c:pt idx="0">
                  <c:v>一般公共预算财政拨款收入</c:v>
                </c:pt>
                <c:pt idx="1">
                  <c:v>政府性基金预算财政拨款收入</c:v>
                </c:pt>
                <c:pt idx="2">
                  <c:v>国有资本经营预算财政拨款收入</c:v>
                </c:pt>
                <c:pt idx="3">
                  <c:v>事业收入</c:v>
                </c:pt>
                <c:pt idx="4">
                  <c:v>附属单位上缴收入</c:v>
                </c:pt>
                <c:pt idx="5">
                  <c:v>经营收入</c:v>
                </c:pt>
                <c:pt idx="6">
                  <c:v>其他收入</c:v>
                </c:pt>
              </c:strCache>
            </c:strRef>
          </c:cat>
          <c:val>
            <c:numRef>
              <c:f>[专项资金拨款申请书.xls]Sheet1!$B$15:$B$21</c:f>
              <c:numCache>
                <c:formatCode>General</c:formatCode>
                <c:ptCount val="7"/>
                <c:pt idx="0">
                  <c:v>1445.34</c:v>
                </c:pt>
                <c:pt idx="1">
                  <c:v>0</c:v>
                </c:pt>
                <c:pt idx="2">
                  <c:v>0</c:v>
                </c:pt>
                <c:pt idx="3">
                  <c:v>0</c:v>
                </c:pt>
                <c:pt idx="4">
                  <c:v>0</c:v>
                </c:pt>
                <c:pt idx="5">
                  <c:v>0</c:v>
                </c:pt>
                <c:pt idx="6">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abfc55d-f08b-4a5e-ad4c-27cfc336762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pt idx="2">
                  <c:v>上缴上级支出</c:v>
                </c:pt>
                <c:pt idx="3">
                  <c:v>经营支出</c:v>
                </c:pt>
              </c:strCache>
            </c:strRef>
          </c:cat>
          <c:val>
            <c:numRef>
              <c:f>Sheet1!$B$2:$B$5</c:f>
              <c:numCache>
                <c:formatCode>General</c:formatCode>
                <c:ptCount val="4"/>
                <c:pt idx="0">
                  <c:v>956.31</c:v>
                </c:pt>
                <c:pt idx="1">
                  <c:v>536.21</c:v>
                </c:pt>
                <c:pt idx="2">
                  <c:v>0</c:v>
                </c:pt>
                <c:pt idx="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5253364-0b2a-4810-8677-61107b4f109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zh-CN" sz="1400" b="0" i="0" u="none" strike="noStrike" baseline="0">
                <a:effectLst/>
              </a:rPr>
              <a:t>财政拨款收、支决算总计变动情况</a:t>
            </a:r>
            <a:endParaRPr lang="zh-CN" altLang="en-US"/>
          </a:p>
        </c:rich>
      </c:tx>
      <c:layout>
        <c:manualLayout>
          <c:xMode val="edge"/>
          <c:yMode val="edge"/>
          <c:x val="0.00356040826014716"/>
          <c:y val="0.055736732878743"/>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收入（万元）</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1490.79</c:v>
                </c:pt>
                <c:pt idx="1">
                  <c:v>1492.51</c:v>
                </c:pt>
              </c:numCache>
            </c:numRef>
          </c:val>
        </c:ser>
        <c:ser>
          <c:idx val="1"/>
          <c:order val="1"/>
          <c:tx>
            <c:strRef>
              <c:f>Sheet1!$C$1</c:f>
              <c:strCache>
                <c:ptCount val="1"/>
                <c:pt idx="0">
                  <c:v>支出（万元）</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1490.79</c:v>
                </c:pt>
                <c:pt idx="1">
                  <c:v>1492.51</c:v>
                </c:pt>
              </c:numCache>
            </c:numRef>
          </c:val>
        </c:ser>
        <c:dLbls>
          <c:showLegendKey val="0"/>
          <c:showVal val="0"/>
          <c:showCatName val="0"/>
          <c:showSerName val="0"/>
          <c:showPercent val="0"/>
          <c:showBubbleSize val="0"/>
        </c:dLbls>
        <c:gapWidth val="219"/>
        <c:overlap val="-27"/>
        <c:axId val="1543004896"/>
        <c:axId val="1543016416"/>
      </c:barChart>
      <c:catAx>
        <c:axId val="154300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43016416"/>
        <c:crosses val="autoZero"/>
        <c:auto val="1"/>
        <c:lblAlgn val="ctr"/>
        <c:lblOffset val="100"/>
        <c:noMultiLvlLbl val="0"/>
      </c:catAx>
      <c:valAx>
        <c:axId val="1543016416"/>
        <c:scaling>
          <c:orientation val="minMax"/>
          <c:min val="13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430048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e5f1f24-84eb-4ac0-b3fa-e57559feba6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zh-CN" sz="1400" b="0" i="0" u="none" strike="noStrike" baseline="0">
                <a:effectLst/>
              </a:rPr>
              <a:t>一般公共预算财政拨款支出决算变动情况</a:t>
            </a:r>
            <a:r>
              <a:rPr lang="zh-CN" altLang="en-US" sz="1400" b="0" i="0" u="none" strike="noStrike" baseline="0">
                <a:effectLst/>
              </a:rPr>
              <a:t>图</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支出（万元）</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1490.79</c:v>
                </c:pt>
                <c:pt idx="1">
                  <c:v>1492.51</c:v>
                </c:pt>
              </c:numCache>
            </c:numRef>
          </c:val>
        </c:ser>
        <c:dLbls>
          <c:showLegendKey val="0"/>
          <c:showVal val="1"/>
          <c:showCatName val="0"/>
          <c:showSerName val="0"/>
          <c:showPercent val="0"/>
          <c:showBubbleSize val="0"/>
        </c:dLbls>
        <c:gapWidth val="219"/>
        <c:overlap val="-27"/>
        <c:axId val="918058463"/>
        <c:axId val="918048383"/>
      </c:barChart>
      <c:catAx>
        <c:axId val="918058463"/>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8048383"/>
        <c:crosses val="autoZero"/>
        <c:auto val="1"/>
        <c:lblAlgn val="ctr"/>
        <c:lblOffset val="100"/>
        <c:noMultiLvlLbl val="0"/>
      </c:catAx>
      <c:valAx>
        <c:axId val="918048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805846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0612102-c92a-4253-9c17-aff154b5045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zh-CN" sz="1400" b="0" i="0" u="none" strike="noStrike" baseline="0">
                <a:effectLst/>
              </a:rPr>
              <a:t>一般公共预算财政拨款支出决算结构</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一般公共服务支出</c:v>
                </c:pt>
                <c:pt idx="1">
                  <c:v>教育支出</c:v>
                </c:pt>
                <c:pt idx="2">
                  <c:v>科学技术支出</c:v>
                </c:pt>
                <c:pt idx="3">
                  <c:v>文化旅游体育与传媒支出</c:v>
                </c:pt>
                <c:pt idx="4">
                  <c:v>社会保障和就业支出</c:v>
                </c:pt>
                <c:pt idx="5">
                  <c:v>卫生健康支出</c:v>
                </c:pt>
                <c:pt idx="6">
                  <c:v>住房保障支出</c:v>
                </c:pt>
              </c:strCache>
            </c:strRef>
          </c:cat>
          <c:val>
            <c:numRef>
              <c:f>Sheet1!$B$2:$B$8</c:f>
              <c:numCache>
                <c:formatCode>General</c:formatCode>
                <c:ptCount val="7"/>
                <c:pt idx="0">
                  <c:v>1241.26</c:v>
                </c:pt>
                <c:pt idx="1">
                  <c:v>0</c:v>
                </c:pt>
                <c:pt idx="2">
                  <c:v>0</c:v>
                </c:pt>
                <c:pt idx="3">
                  <c:v>0</c:v>
                </c:pt>
                <c:pt idx="4">
                  <c:v>131.99</c:v>
                </c:pt>
                <c:pt idx="5">
                  <c:v>49.34</c:v>
                </c:pt>
                <c:pt idx="6">
                  <c:v>70.56</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26562f1-5c75-4c69-ae41-abd0bf84fff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“三公”经费财政拨款支出结构</a:t>
            </a:r>
          </a:p>
        </c:rich>
      </c:tx>
      <c:layout/>
      <c:overlay val="0"/>
      <c:spPr>
        <a:noFill/>
        <a:ln>
          <a:noFill/>
        </a:ln>
        <a:effectLst/>
      </c:spPr>
    </c:title>
    <c:autoTitleDeleted val="0"/>
    <c:plotArea>
      <c:layout/>
      <c:pieChart>
        <c:varyColors val="1"/>
        <c:ser>
          <c:idx val="0"/>
          <c:order val="0"/>
          <c:tx>
            <c:strRef>
              <c:f>Sheet1!$B$1</c:f>
              <c:strCache>
                <c:ptCount val="1"/>
                <c:pt idx="0">
                  <c:v>“三公”经费财政拨款支出结构</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因公出国（境）费支出</c:v>
                </c:pt>
                <c:pt idx="1">
                  <c:v>公务用车购置及运行维护费支出</c:v>
                </c:pt>
                <c:pt idx="2">
                  <c:v>公务接待费支出</c:v>
                </c:pt>
              </c:strCache>
            </c:strRef>
          </c:cat>
          <c:val>
            <c:numRef>
              <c:f>Sheet1!$B$2:$B$4</c:f>
              <c:numCache>
                <c:formatCode>General</c:formatCode>
                <c:ptCount val="3"/>
                <c:pt idx="0">
                  <c:v>0</c:v>
                </c:pt>
                <c:pt idx="1">
                  <c:v>8.46</c:v>
                </c:pt>
                <c:pt idx="2">
                  <c:v>0.11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13823619163869"/>
          <c:y val="0.278170793329965"/>
          <c:w val="0.381599023497101"/>
          <c:h val="0.714249621020718"/>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919ee0f-0684-45f8-864a-cc9001eb33a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ab9d1b1-189f-4b48-8987-b206a97a0189}"/>
        <w:style w:val=""/>
        <w:category>
          <w:name w:val="常规"/>
          <w:gallery w:val="placeholder"/>
        </w:category>
        <w:types>
          <w:type w:val="bbPlcHdr"/>
        </w:types>
        <w:behaviors>
          <w:behavior w:val="content"/>
        </w:behaviors>
        <w:description w:val=""/>
        <w:guid w:val="{2AB9D1B1-189F-4B48-8987-B206A97A0189}"/>
      </w:docPartPr>
      <w:docPartBody>
        <w:p w14:paraId="1198836C">
          <w:pPr>
            <w:rPr>
              <w:rFonts w:hint="eastAsia"/>
            </w:rPr>
          </w:pPr>
          <w:r>
            <w:rPr>
              <w:color w:val="808080"/>
            </w:rPr>
            <w:t>单击此处输入文字。</w:t>
          </w:r>
        </w:p>
      </w:docPartBody>
    </w:docPart>
    <w:docPart>
      <w:docPartPr>
        <w:name w:val="{f1cd2791-3ac6-49e6-ac52-efb5177de2dd}"/>
        <w:style w:val=""/>
        <w:category>
          <w:name w:val="常规"/>
          <w:gallery w:val="placeholder"/>
        </w:category>
        <w:types>
          <w:type w:val="bbPlcHdr"/>
        </w:types>
        <w:behaviors>
          <w:behavior w:val="content"/>
        </w:behaviors>
        <w:description w:val=""/>
        <w:guid w:val="{F1CD2791-3AC6-49E6-AC52-EFB5177DE2DD}"/>
      </w:docPartPr>
      <w:docPartBody>
        <w:p w14:paraId="13E2A883">
          <w:pPr>
            <w:rPr>
              <w:rFonts w:hint="eastAsia"/>
            </w:rPr>
          </w:pPr>
          <w:r>
            <w:rPr>
              <w:color w:val="808080"/>
            </w:rPr>
            <w:t>单击此处输入文字。</w:t>
          </w:r>
        </w:p>
      </w:docPartBody>
    </w:docPart>
    <w:docPart>
      <w:docPartPr>
        <w:name w:val="{0fa75220-6f05-4667-8f2d-d719d1532b77}"/>
        <w:style w:val=""/>
        <w:category>
          <w:name w:val="常规"/>
          <w:gallery w:val="placeholder"/>
        </w:category>
        <w:types>
          <w:type w:val="bbPlcHdr"/>
        </w:types>
        <w:behaviors>
          <w:behavior w:val="content"/>
        </w:behaviors>
        <w:description w:val=""/>
        <w:guid w:val="{0FA75220-6F05-4667-8F2D-D719D1532B77}"/>
      </w:docPartPr>
      <w:docPartBody>
        <w:p w14:paraId="65189E5E">
          <w:pPr>
            <w:rPr>
              <w:rFonts w:hint="eastAsia"/>
            </w:rPr>
          </w:pPr>
          <w:r>
            <w:rPr>
              <w:color w:val="808080"/>
            </w:rPr>
            <w:t>单击此处输入文字。</w:t>
          </w:r>
        </w:p>
      </w:docPartBody>
    </w:docPart>
    <w:docPart>
      <w:docPartPr>
        <w:name w:val="{577a4505-62bc-429f-aa28-87751a5cf09c}"/>
        <w:style w:val=""/>
        <w:category>
          <w:name w:val="常规"/>
          <w:gallery w:val="placeholder"/>
        </w:category>
        <w:types>
          <w:type w:val="bbPlcHdr"/>
        </w:types>
        <w:behaviors>
          <w:behavior w:val="content"/>
        </w:behaviors>
        <w:description w:val=""/>
        <w:guid w:val="{577A4505-62BC-429F-AA28-87751A5CF09C}"/>
      </w:docPartPr>
      <w:docPartBody>
        <w:p w14:paraId="3101CEBE">
          <w:pPr>
            <w:rPr>
              <w:rFonts w:hint="eastAsia"/>
            </w:rPr>
          </w:pPr>
          <w:r>
            <w:rPr>
              <w:color w:val="808080"/>
            </w:rPr>
            <w:t>单击此处输入文字。</w:t>
          </w:r>
        </w:p>
      </w:docPartBody>
    </w:docPart>
    <w:docPart>
      <w:docPartPr>
        <w:name w:val="{ac9563b0-3065-4889-b019-e85e792b65de}"/>
        <w:style w:val=""/>
        <w:category>
          <w:name w:val="常规"/>
          <w:gallery w:val="placeholder"/>
        </w:category>
        <w:types>
          <w:type w:val="bbPlcHdr"/>
        </w:types>
        <w:behaviors>
          <w:behavior w:val="content"/>
        </w:behaviors>
        <w:description w:val=""/>
        <w:guid w:val="{AC9563B0-3065-4889-B019-E85E792B65DE}"/>
      </w:docPartPr>
      <w:docPartBody>
        <w:p w14:paraId="1FBE0C8E">
          <w:pPr>
            <w:rPr>
              <w:rFonts w:hint="eastAsia"/>
            </w:rPr>
          </w:pPr>
          <w:r>
            <w:rPr>
              <w:color w:val="808080"/>
            </w:rPr>
            <w:t>单击此处输入文字。</w:t>
          </w:r>
        </w:p>
      </w:docPartBody>
    </w:docPart>
    <w:docPart>
      <w:docPartPr>
        <w:name w:val="{20db0686-20ae-485a-9e5a-051b5d0e9892}"/>
        <w:style w:val=""/>
        <w:category>
          <w:name w:val="常规"/>
          <w:gallery w:val="placeholder"/>
        </w:category>
        <w:types>
          <w:type w:val="bbPlcHdr"/>
        </w:types>
        <w:behaviors>
          <w:behavior w:val="content"/>
        </w:behaviors>
        <w:description w:val=""/>
        <w:guid w:val="{20DB0686-20AE-485A-9E5A-051B5D0E9892}"/>
      </w:docPartPr>
      <w:docPartBody>
        <w:p w14:paraId="6FDA3314">
          <w:pPr>
            <w:rPr>
              <w:rFonts w:hint="eastAsia"/>
            </w:rPr>
          </w:pPr>
          <w:r>
            <w:rPr>
              <w:color w:val="808080"/>
            </w:rPr>
            <w:t>单击此处输入文字。</w:t>
          </w:r>
        </w:p>
      </w:docPartBody>
    </w:docPart>
    <w:docPart>
      <w:docPartPr>
        <w:name w:val="{98da4a21-fedf-4a93-94b1-61df8db179de}"/>
        <w:style w:val=""/>
        <w:category>
          <w:name w:val="常规"/>
          <w:gallery w:val="placeholder"/>
        </w:category>
        <w:types>
          <w:type w:val="bbPlcHdr"/>
        </w:types>
        <w:behaviors>
          <w:behavior w:val="content"/>
        </w:behaviors>
        <w:description w:val=""/>
        <w:guid w:val="{98DA4A21-FEDF-4A93-94B1-61DF8DB179DE}"/>
      </w:docPartPr>
      <w:docPartBody>
        <w:p w14:paraId="0B7F3C0B">
          <w:pPr>
            <w:rPr>
              <w:rFonts w:hint="eastAsia"/>
            </w:rPr>
          </w:pPr>
          <w:r>
            <w:rPr>
              <w:color w:val="808080"/>
            </w:rPr>
            <w:t>单击此处输入文字。</w:t>
          </w:r>
        </w:p>
      </w:docPartBody>
    </w:docPart>
    <w:docPart>
      <w:docPartPr>
        <w:name w:val="{07821133-45a6-444c-a424-1a374616ee5d}"/>
        <w:style w:val=""/>
        <w:category>
          <w:name w:val="常规"/>
          <w:gallery w:val="placeholder"/>
        </w:category>
        <w:types>
          <w:type w:val="bbPlcHdr"/>
        </w:types>
        <w:behaviors>
          <w:behavior w:val="content"/>
        </w:behaviors>
        <w:description w:val=""/>
        <w:guid w:val="{07821133-45A6-444C-A424-1A374616EE5D}"/>
      </w:docPartPr>
      <w:docPartBody>
        <w:p w14:paraId="2FE4CDAF">
          <w:pPr>
            <w:rPr>
              <w:rFonts w:hint="eastAsia"/>
            </w:rPr>
          </w:pPr>
          <w:r>
            <w:rPr>
              <w:color w:val="808080"/>
            </w:rPr>
            <w:t>单击此处输入文字。</w:t>
          </w:r>
        </w:p>
      </w:docPartBody>
    </w:docPart>
    <w:docPart>
      <w:docPartPr>
        <w:name w:val="{ab3773df-dd56-4ff6-825a-d9af32119f99}"/>
        <w:style w:val=""/>
        <w:category>
          <w:name w:val="常规"/>
          <w:gallery w:val="placeholder"/>
        </w:category>
        <w:types>
          <w:type w:val="bbPlcHdr"/>
        </w:types>
        <w:behaviors>
          <w:behavior w:val="content"/>
        </w:behaviors>
        <w:description w:val=""/>
        <w:guid w:val="{AB3773DF-DD56-4FF6-825A-D9AF32119F99}"/>
      </w:docPartPr>
      <w:docPartBody>
        <w:p w14:paraId="74E8DED9">
          <w:pPr>
            <w:rPr>
              <w:rFonts w:hint="eastAsia"/>
            </w:rPr>
          </w:pPr>
          <w:r>
            <w:rPr>
              <w:color w:val="808080"/>
            </w:rPr>
            <w:t>单击此处输入文字。</w:t>
          </w:r>
        </w:p>
      </w:docPartBody>
    </w:docPart>
    <w:docPart>
      <w:docPartPr>
        <w:name w:val="{7267efb1-3abd-4d4f-ba4d-7c7e127e1a59}"/>
        <w:style w:val=""/>
        <w:category>
          <w:name w:val="常规"/>
          <w:gallery w:val="placeholder"/>
        </w:category>
        <w:types>
          <w:type w:val="bbPlcHdr"/>
        </w:types>
        <w:behaviors>
          <w:behavior w:val="content"/>
        </w:behaviors>
        <w:description w:val=""/>
        <w:guid w:val="{7267EFB1-3ABD-4D4F-BA4D-7C7E127E1A59}"/>
      </w:docPartPr>
      <w:docPartBody>
        <w:p w14:paraId="48344406">
          <w:pPr>
            <w:rPr>
              <w:rFonts w:hint="eastAsia"/>
            </w:rPr>
          </w:pPr>
          <w:r>
            <w:rPr>
              <w:color w:val="808080"/>
            </w:rPr>
            <w:t>单击此处输入文字。</w:t>
          </w:r>
        </w:p>
      </w:docPartBody>
    </w:docPart>
    <w:docPart>
      <w:docPartPr>
        <w:name w:val="{e9cca559-85cf-442f-bbc3-87e0ee823316}"/>
        <w:style w:val=""/>
        <w:category>
          <w:name w:val="常规"/>
          <w:gallery w:val="placeholder"/>
        </w:category>
        <w:types>
          <w:type w:val="bbPlcHdr"/>
        </w:types>
        <w:behaviors>
          <w:behavior w:val="content"/>
        </w:behaviors>
        <w:description w:val=""/>
        <w:guid w:val="{E9CCA559-85CF-442F-BBC3-87E0EE823316}"/>
      </w:docPartPr>
      <w:docPartBody>
        <w:p w14:paraId="382BE48C">
          <w:pPr>
            <w:rPr>
              <w:rFonts w:hint="eastAsia"/>
            </w:rPr>
          </w:pPr>
          <w:r>
            <w:rPr>
              <w:color w:val="808080"/>
            </w:rPr>
            <w:t>单击此处输入文字。</w:t>
          </w:r>
        </w:p>
      </w:docPartBody>
    </w:docPart>
    <w:docPart>
      <w:docPartPr>
        <w:name w:val="{004482c8-6cd7-45bb-89e5-d5432a7f7b83}"/>
        <w:style w:val=""/>
        <w:category>
          <w:name w:val="常规"/>
          <w:gallery w:val="placeholder"/>
        </w:category>
        <w:types>
          <w:type w:val="bbPlcHdr"/>
        </w:types>
        <w:behaviors>
          <w:behavior w:val="content"/>
        </w:behaviors>
        <w:description w:val=""/>
        <w:guid w:val="{004482C8-6CD7-45BB-89E5-D5432A7F7B83}"/>
      </w:docPartPr>
      <w:docPartBody>
        <w:p w14:paraId="6C542AA4">
          <w:pPr>
            <w:rPr>
              <w:rFonts w:hint="eastAsia"/>
            </w:rPr>
          </w:pPr>
          <w:r>
            <w:rPr>
              <w:color w:val="808080"/>
            </w:rPr>
            <w:t>单击此处输入文字。</w:t>
          </w:r>
        </w:p>
      </w:docPartBody>
    </w:docPart>
    <w:docPart>
      <w:docPartPr>
        <w:name w:val="{f2a6ec60-844f-4f8b-a058-1d62f96cc364}"/>
        <w:style w:val=""/>
        <w:category>
          <w:name w:val="常规"/>
          <w:gallery w:val="placeholder"/>
        </w:category>
        <w:types>
          <w:type w:val="bbPlcHdr"/>
        </w:types>
        <w:behaviors>
          <w:behavior w:val="content"/>
        </w:behaviors>
        <w:description w:val=""/>
        <w:guid w:val="{F2A6EC60-844F-4F8B-A058-1D62F96CC364}"/>
      </w:docPartPr>
      <w:docPartBody>
        <w:p w14:paraId="6D804569">
          <w:pPr>
            <w:rPr>
              <w:rFonts w:hint="eastAsia"/>
            </w:rPr>
          </w:pPr>
          <w:r>
            <w:rPr>
              <w:color w:val="808080"/>
            </w:rPr>
            <w:t>单击此处输入文字。</w:t>
          </w:r>
        </w:p>
      </w:docPartBody>
    </w:docPart>
    <w:docPart>
      <w:docPartPr>
        <w:name w:val="{474ea4c2-3e74-4a7a-961c-d9f8a624e6d4}"/>
        <w:style w:val=""/>
        <w:category>
          <w:name w:val="常规"/>
          <w:gallery w:val="placeholder"/>
        </w:category>
        <w:types>
          <w:type w:val="bbPlcHdr"/>
        </w:types>
        <w:behaviors>
          <w:behavior w:val="content"/>
        </w:behaviors>
        <w:description w:val=""/>
        <w:guid w:val="{474EA4C2-3E74-4A7A-961C-D9F8A624E6D4}"/>
      </w:docPartPr>
      <w:docPartBody>
        <w:p w14:paraId="00A5EC25">
          <w:pPr>
            <w:rPr>
              <w:rFonts w:hint="eastAsia"/>
            </w:rPr>
          </w:pPr>
          <w:r>
            <w:rPr>
              <w:color w:val="808080"/>
            </w:rPr>
            <w:t>单击此处输入文字。</w:t>
          </w:r>
        </w:p>
      </w:docPartBody>
    </w:docPart>
    <w:docPart>
      <w:docPartPr>
        <w:name w:val="{332b45e8-5260-4fd0-a3a3-e478716d169d}"/>
        <w:style w:val=""/>
        <w:category>
          <w:name w:val="常规"/>
          <w:gallery w:val="placeholder"/>
        </w:category>
        <w:types>
          <w:type w:val="bbPlcHdr"/>
        </w:types>
        <w:behaviors>
          <w:behavior w:val="content"/>
        </w:behaviors>
        <w:description w:val=""/>
        <w:guid w:val="{332B45E8-5260-4FD0-A3A3-E478716D169D}"/>
      </w:docPartPr>
      <w:docPartBody>
        <w:p w14:paraId="5028D2B9">
          <w:pPr>
            <w:rPr>
              <w:rFonts w:hint="eastAsia"/>
            </w:rPr>
          </w:pPr>
          <w:r>
            <w:rPr>
              <w:color w:val="808080"/>
            </w:rPr>
            <w:t>单击此处输入文字。</w:t>
          </w:r>
        </w:p>
      </w:docPartBody>
    </w:docPart>
    <w:docPart>
      <w:docPartPr>
        <w:name w:val="{15e69e76-01d6-421e-a82d-933a9fe5c2fc}"/>
        <w:style w:val=""/>
        <w:category>
          <w:name w:val="常规"/>
          <w:gallery w:val="placeholder"/>
        </w:category>
        <w:types>
          <w:type w:val="bbPlcHdr"/>
        </w:types>
        <w:behaviors>
          <w:behavior w:val="content"/>
        </w:behaviors>
        <w:description w:val=""/>
        <w:guid w:val="{15E69E76-01D6-421E-A82D-933A9FE5C2FC}"/>
      </w:docPartPr>
      <w:docPartBody>
        <w:p w14:paraId="732DA094">
          <w:pPr>
            <w:rPr>
              <w:rFonts w:hint="eastAsia"/>
            </w:rPr>
          </w:pPr>
          <w:r>
            <w:rPr>
              <w:color w:val="808080"/>
            </w:rPr>
            <w:t>单击此处输入文字。</w:t>
          </w:r>
        </w:p>
      </w:docPartBody>
    </w:docPart>
    <w:docPart>
      <w:docPartPr>
        <w:name w:val="{eace3927-9f3c-40eb-8827-7e97c399e88b}"/>
        <w:style w:val=""/>
        <w:category>
          <w:name w:val="常规"/>
          <w:gallery w:val="placeholder"/>
        </w:category>
        <w:types>
          <w:type w:val="bbPlcHdr"/>
        </w:types>
        <w:behaviors>
          <w:behavior w:val="content"/>
        </w:behaviors>
        <w:description w:val=""/>
        <w:guid w:val="{EACE3927-9F3C-40EB-8827-7E97C399E88B}"/>
      </w:docPartPr>
      <w:docPartBody>
        <w:p w14:paraId="2DDAFC20">
          <w:pPr>
            <w:rPr>
              <w:rFonts w:hint="eastAsia"/>
            </w:rPr>
          </w:pPr>
          <w:r>
            <w:rPr>
              <w:color w:val="808080"/>
            </w:rPr>
            <w:t>单击此处输入文字。</w:t>
          </w:r>
        </w:p>
      </w:docPartBody>
    </w:docPart>
    <w:docPart>
      <w:docPartPr>
        <w:name w:val="{b75f6939-bb3e-499e-837f-0c013e99d457}"/>
        <w:style w:val=""/>
        <w:category>
          <w:name w:val="常规"/>
          <w:gallery w:val="placeholder"/>
        </w:category>
        <w:types>
          <w:type w:val="bbPlcHdr"/>
        </w:types>
        <w:behaviors>
          <w:behavior w:val="content"/>
        </w:behaviors>
        <w:description w:val=""/>
        <w:guid w:val="{B75F6939-BB3E-499E-837F-0C013E99D457}"/>
      </w:docPartPr>
      <w:docPartBody>
        <w:p w14:paraId="60951A8C">
          <w:pPr>
            <w:rPr>
              <w:rFonts w:hint="eastAsia"/>
            </w:rPr>
          </w:pPr>
          <w:r>
            <w:rPr>
              <w:color w:val="808080"/>
            </w:rPr>
            <w:t>单击此处输入文字。</w:t>
          </w:r>
        </w:p>
      </w:docPartBody>
    </w:docPart>
    <w:docPart>
      <w:docPartPr>
        <w:name w:val="{e7330e43-a971-4491-ac1c-8387398edaa8}"/>
        <w:style w:val=""/>
        <w:category>
          <w:name w:val="常规"/>
          <w:gallery w:val="placeholder"/>
        </w:category>
        <w:types>
          <w:type w:val="bbPlcHdr"/>
        </w:types>
        <w:behaviors>
          <w:behavior w:val="content"/>
        </w:behaviors>
        <w:description w:val=""/>
        <w:guid w:val="{E7330E43-A971-4491-AC1C-8387398EDAA8}"/>
      </w:docPartPr>
      <w:docPartBody>
        <w:p w14:paraId="2C8C468E">
          <w:pPr>
            <w:rPr>
              <w:rFonts w:hint="eastAsia"/>
            </w:rPr>
          </w:pPr>
          <w:r>
            <w:rPr>
              <w:color w:val="808080"/>
            </w:rPr>
            <w:t>单击此处输入文字。</w:t>
          </w:r>
        </w:p>
      </w:docPartBody>
    </w:docPart>
    <w:docPart>
      <w:docPartPr>
        <w:name w:val="{76abf21e-4c0b-4209-bd72-8604acf7b657}"/>
        <w:style w:val=""/>
        <w:category>
          <w:name w:val="常规"/>
          <w:gallery w:val="placeholder"/>
        </w:category>
        <w:types>
          <w:type w:val="bbPlcHdr"/>
        </w:types>
        <w:behaviors>
          <w:behavior w:val="content"/>
        </w:behaviors>
        <w:description w:val=""/>
        <w:guid w:val="{76ABF21E-4C0B-4209-BD72-8604ACF7B657}"/>
      </w:docPartPr>
      <w:docPartBody>
        <w:p w14:paraId="3852A6B0">
          <w:pPr>
            <w:rPr>
              <w:rFonts w:hint="eastAsia"/>
            </w:rPr>
          </w:pPr>
          <w:r>
            <w:rPr>
              <w:color w:val="808080"/>
            </w:rPr>
            <w:t>单击此处输入文字。</w:t>
          </w:r>
        </w:p>
      </w:docPartBody>
    </w:docPart>
    <w:docPart>
      <w:docPartPr>
        <w:name w:val="{0ca6158b-f0e8-4aff-8685-a3d76f0c17c4}"/>
        <w:style w:val=""/>
        <w:category>
          <w:name w:val="常规"/>
          <w:gallery w:val="placeholder"/>
        </w:category>
        <w:types>
          <w:type w:val="bbPlcHdr"/>
        </w:types>
        <w:behaviors>
          <w:behavior w:val="content"/>
        </w:behaviors>
        <w:description w:val=""/>
        <w:guid w:val="{0CA6158B-F0E8-4AFF-8685-A3D76F0C17C4}"/>
      </w:docPartPr>
      <w:docPartBody>
        <w:p w14:paraId="731BB1AC">
          <w:pPr>
            <w:rPr>
              <w:rFonts w:hint="eastAsia"/>
            </w:rPr>
          </w:pPr>
          <w:r>
            <w:rPr>
              <w:color w:val="808080"/>
            </w:rPr>
            <w:t>单击此处输入文字。</w:t>
          </w:r>
        </w:p>
      </w:docPartBody>
    </w:docPart>
    <w:docPart>
      <w:docPartPr>
        <w:name w:val="{42623b01-7f53-419e-a75e-e50d37133a1d}"/>
        <w:style w:val=""/>
        <w:category>
          <w:name w:val="常规"/>
          <w:gallery w:val="placeholder"/>
        </w:category>
        <w:types>
          <w:type w:val="bbPlcHdr"/>
        </w:types>
        <w:behaviors>
          <w:behavior w:val="content"/>
        </w:behaviors>
        <w:description w:val=""/>
        <w:guid w:val="{42623B01-7F53-419E-A75E-E50D37133A1D}"/>
      </w:docPartPr>
      <w:docPartBody>
        <w:p w14:paraId="1A45AEE0">
          <w:pPr>
            <w:rPr>
              <w:rFonts w:hint="eastAsia"/>
            </w:rPr>
          </w:pPr>
          <w:r>
            <w:rPr>
              <w:color w:val="808080"/>
            </w:rPr>
            <w:t>单击此处输入文字。</w:t>
          </w:r>
        </w:p>
      </w:docPartBody>
    </w:docPart>
    <w:docPart>
      <w:docPartPr>
        <w:name w:val="{feb2c01b-119d-4cf9-b1bf-d6dc00e79c3a}"/>
        <w:style w:val=""/>
        <w:category>
          <w:name w:val="常规"/>
          <w:gallery w:val="placeholder"/>
        </w:category>
        <w:types>
          <w:type w:val="bbPlcHdr"/>
        </w:types>
        <w:behaviors>
          <w:behavior w:val="content"/>
        </w:behaviors>
        <w:description w:val=""/>
        <w:guid w:val="{FEB2C01B-119D-4CF9-B1BF-D6DC00E79C3A}"/>
      </w:docPartPr>
      <w:docPartBody>
        <w:p w14:paraId="780D5CE5">
          <w:pPr>
            <w:rPr>
              <w:rFonts w:hint="eastAsia"/>
            </w:rPr>
          </w:pPr>
          <w:r>
            <w:rPr>
              <w:color w:val="808080"/>
            </w:rPr>
            <w:t>单击此处输入文字。</w:t>
          </w:r>
        </w:p>
      </w:docPartBody>
    </w:docPart>
    <w:docPart>
      <w:docPartPr>
        <w:name w:val="{6c781d9d-d8eb-4994-a511-3528062681df}"/>
        <w:style w:val=""/>
        <w:category>
          <w:name w:val="常规"/>
          <w:gallery w:val="placeholder"/>
        </w:category>
        <w:types>
          <w:type w:val="bbPlcHdr"/>
        </w:types>
        <w:behaviors>
          <w:behavior w:val="content"/>
        </w:behaviors>
        <w:description w:val=""/>
        <w:guid w:val="{6C781D9D-D8EB-4994-A511-3528062681DF}"/>
      </w:docPartPr>
      <w:docPartBody>
        <w:p w14:paraId="4F252648">
          <w:pPr>
            <w:rPr>
              <w:rFonts w:hint="eastAsia"/>
            </w:rPr>
          </w:pPr>
          <w:r>
            <w:rPr>
              <w:color w:val="808080"/>
            </w:rPr>
            <w:t>单击此处输入文字。</w:t>
          </w:r>
        </w:p>
      </w:docPartBody>
    </w:docPart>
    <w:docPart>
      <w:docPartPr>
        <w:name w:val="{bf35f458-5ee0-41d6-9519-a781be368783}"/>
        <w:style w:val=""/>
        <w:category>
          <w:name w:val="常规"/>
          <w:gallery w:val="placeholder"/>
        </w:category>
        <w:types>
          <w:type w:val="bbPlcHdr"/>
        </w:types>
        <w:behaviors>
          <w:behavior w:val="content"/>
        </w:behaviors>
        <w:description w:val=""/>
        <w:guid w:val="{BF35F458-5EE0-41D6-9519-A781BE368783}"/>
      </w:docPartPr>
      <w:docPartBody>
        <w:p w14:paraId="06383876">
          <w:pPr>
            <w:rPr>
              <w:rFonts w:hint="eastAsia"/>
            </w:rPr>
          </w:pPr>
          <w:r>
            <w:rPr>
              <w:color w:val="808080"/>
            </w:rPr>
            <w:t>单击此处输入文字。</w:t>
          </w:r>
        </w:p>
      </w:docPartBody>
    </w:docPart>
    <w:docPart>
      <w:docPartPr>
        <w:name w:val="{3589a1b0-f3d3-4ead-a14e-adb965d3f090}"/>
        <w:style w:val=""/>
        <w:category>
          <w:name w:val="常规"/>
          <w:gallery w:val="placeholder"/>
        </w:category>
        <w:types>
          <w:type w:val="bbPlcHdr"/>
        </w:types>
        <w:behaviors>
          <w:behavior w:val="content"/>
        </w:behaviors>
        <w:description w:val=""/>
        <w:guid w:val="{3589A1B0-F3D3-4EAD-A14E-ADB965D3F090}"/>
      </w:docPartPr>
      <w:docPartBody>
        <w:p w14:paraId="27B6B481">
          <w:pPr>
            <w:rPr>
              <w:rFonts w:hint="eastAsia"/>
            </w:rPr>
          </w:pPr>
          <w:r>
            <w:rPr>
              <w:color w:val="808080"/>
            </w:rPr>
            <w:t>单击此处输入文字。</w:t>
          </w:r>
        </w:p>
      </w:docPartBody>
    </w:docPart>
    <w:docPart>
      <w:docPartPr>
        <w:name w:val="{1af43730-67bb-4ec3-bb96-c96d268dc0e5}"/>
        <w:style w:val=""/>
        <w:category>
          <w:name w:val="常规"/>
          <w:gallery w:val="placeholder"/>
        </w:category>
        <w:types>
          <w:type w:val="bbPlcHdr"/>
        </w:types>
        <w:behaviors>
          <w:behavior w:val="content"/>
        </w:behaviors>
        <w:description w:val=""/>
        <w:guid w:val="{1AF43730-67BB-4EC3-BB96-C96D268DC0E5}"/>
      </w:docPartPr>
      <w:docPartBody>
        <w:p w14:paraId="28930862">
          <w:pPr>
            <w:rPr>
              <w:rFonts w:hint="eastAsia"/>
            </w:rPr>
          </w:pPr>
          <w:r>
            <w:rPr>
              <w:color w:val="808080"/>
            </w:rPr>
            <w:t>单击此处输入文字。</w:t>
          </w:r>
        </w:p>
      </w:docPartBody>
    </w:docPart>
    <w:docPart>
      <w:docPartPr>
        <w:name w:val="{29b7d617-84fa-4a99-9785-483f48dad4d9}"/>
        <w:style w:val=""/>
        <w:category>
          <w:name w:val="常规"/>
          <w:gallery w:val="placeholder"/>
        </w:category>
        <w:types>
          <w:type w:val="bbPlcHdr"/>
        </w:types>
        <w:behaviors>
          <w:behavior w:val="content"/>
        </w:behaviors>
        <w:description w:val=""/>
        <w:guid w:val="{29B7D617-84FA-4A99-9785-483F48DAD4D9}"/>
      </w:docPartPr>
      <w:docPartBody>
        <w:p w14:paraId="29DF4BE8">
          <w:pPr>
            <w:rPr>
              <w:rFonts w:hint="eastAsia"/>
            </w:rPr>
          </w:pPr>
          <w:r>
            <w:rPr>
              <w:color w:val="808080"/>
            </w:rPr>
            <w:t>单击此处输入文字。</w:t>
          </w:r>
        </w:p>
      </w:docPartBody>
    </w:docPart>
    <w:docPart>
      <w:docPartPr>
        <w:name w:val="{0d37d432-9a12-4f3d-a3e2-98cf0e983293}"/>
        <w:style w:val=""/>
        <w:category>
          <w:name w:val="常规"/>
          <w:gallery w:val="placeholder"/>
        </w:category>
        <w:types>
          <w:type w:val="bbPlcHdr"/>
        </w:types>
        <w:behaviors>
          <w:behavior w:val="content"/>
        </w:behaviors>
        <w:description w:val=""/>
        <w:guid w:val="{0D37D432-9A12-4F3D-A3E2-98CF0E983293}"/>
      </w:docPartPr>
      <w:docPartBody>
        <w:p w14:paraId="139FF68E">
          <w:pPr>
            <w:rPr>
              <w:rFonts w:hint="eastAsia"/>
            </w:rPr>
          </w:pPr>
          <w:r>
            <w:rPr>
              <w:color w:val="808080"/>
            </w:rPr>
            <w:t>单击此处输入文字。</w:t>
          </w:r>
        </w:p>
      </w:docPartBody>
    </w:docPart>
    <w:docPart>
      <w:docPartPr>
        <w:name w:val="{354b0d0d-7b8c-4eae-8916-dd14ab549445}"/>
        <w:style w:val=""/>
        <w:category>
          <w:name w:val="常规"/>
          <w:gallery w:val="placeholder"/>
        </w:category>
        <w:types>
          <w:type w:val="bbPlcHdr"/>
        </w:types>
        <w:behaviors>
          <w:behavior w:val="content"/>
        </w:behaviors>
        <w:description w:val=""/>
        <w:guid w:val="{354B0D0D-7B8C-4EAE-8916-DD14AB549445}"/>
      </w:docPartPr>
      <w:docPartBody>
        <w:p w14:paraId="6A72C26B">
          <w:pPr>
            <w:rPr>
              <w:rFonts w:hint="eastAsia"/>
            </w:rPr>
          </w:pPr>
          <w:r>
            <w:rPr>
              <w:color w:val="808080"/>
            </w:rPr>
            <w:t>单击此处输入文字。</w:t>
          </w:r>
        </w:p>
      </w:docPartBody>
    </w:docPart>
    <w:docPart>
      <w:docPartPr>
        <w:name w:val="{74627df1-03b0-4b4d-9965-177409b9902f}"/>
        <w:style w:val=""/>
        <w:category>
          <w:name w:val="常规"/>
          <w:gallery w:val="placeholder"/>
        </w:category>
        <w:types>
          <w:type w:val="bbPlcHdr"/>
        </w:types>
        <w:behaviors>
          <w:behavior w:val="content"/>
        </w:behaviors>
        <w:description w:val=""/>
        <w:guid w:val="{74627DF1-03B0-4B4D-9965-177409B9902F}"/>
      </w:docPartPr>
      <w:docPartBody>
        <w:p w14:paraId="1BD5DEDC">
          <w:pPr>
            <w:rPr>
              <w:rFonts w:hint="eastAsia"/>
            </w:rPr>
          </w:pPr>
          <w:r>
            <w:rPr>
              <w:color w:val="808080"/>
            </w:rPr>
            <w:t>单击此处输入文字。</w:t>
          </w:r>
        </w:p>
      </w:docPartBody>
    </w:docPart>
    <w:docPart>
      <w:docPartPr>
        <w:name w:val="{d40136ef-f3d2-497b-9561-4e4f9b576264}"/>
        <w:style w:val=""/>
        <w:category>
          <w:name w:val="常规"/>
          <w:gallery w:val="placeholder"/>
        </w:category>
        <w:types>
          <w:type w:val="bbPlcHdr"/>
        </w:types>
        <w:behaviors>
          <w:behavior w:val="content"/>
        </w:behaviors>
        <w:description w:val=""/>
        <w:guid w:val="{D40136EF-F3D2-497B-9561-4E4F9B576264}"/>
      </w:docPartPr>
      <w:docPartBody>
        <w:p w14:paraId="2F42EF18">
          <w:pPr>
            <w:rPr>
              <w:rFonts w:hint="eastAsia"/>
            </w:rPr>
          </w:pPr>
          <w:r>
            <w:rPr>
              <w:color w:val="808080"/>
            </w:rPr>
            <w:t>单击此处输入文字。</w:t>
          </w:r>
        </w:p>
      </w:docPartBody>
    </w:docPart>
    <w:docPart>
      <w:docPartPr>
        <w:name w:val="{bdcecc33-d0ef-4de9-9bc1-b25673aaa94a}"/>
        <w:style w:val=""/>
        <w:category>
          <w:name w:val="常规"/>
          <w:gallery w:val="placeholder"/>
        </w:category>
        <w:types>
          <w:type w:val="bbPlcHdr"/>
        </w:types>
        <w:behaviors>
          <w:behavior w:val="content"/>
        </w:behaviors>
        <w:description w:val=""/>
        <w:guid w:val="{BDCECC33-D0EF-4DE9-9BC1-B25673AAA94A}"/>
      </w:docPartPr>
      <w:docPartBody>
        <w:p w14:paraId="5970E6F2">
          <w:pPr>
            <w:rPr>
              <w:rFonts w:hint="eastAsia"/>
            </w:rPr>
          </w:pPr>
          <w:r>
            <w:rPr>
              <w:color w:val="808080"/>
            </w:rPr>
            <w:t>单击此处输入文字。</w:t>
          </w:r>
        </w:p>
      </w:docPartBody>
    </w:docPart>
    <w:docPart>
      <w:docPartPr>
        <w:name w:val="{c35eb6f1-b1a7-4f5b-8407-219768abc579}"/>
        <w:style w:val=""/>
        <w:category>
          <w:name w:val="常规"/>
          <w:gallery w:val="placeholder"/>
        </w:category>
        <w:types>
          <w:type w:val="bbPlcHdr"/>
        </w:types>
        <w:behaviors>
          <w:behavior w:val="content"/>
        </w:behaviors>
        <w:description w:val=""/>
        <w:guid w:val="{C35EB6F1-B1A7-4F5B-8407-219768ABC579}"/>
      </w:docPartPr>
      <w:docPartBody>
        <w:p w14:paraId="79785A6C">
          <w:pPr>
            <w:rPr>
              <w:rFonts w:hint="eastAsia"/>
            </w:rPr>
          </w:pPr>
          <w:r>
            <w:rPr>
              <w:color w:val="808080"/>
            </w:rPr>
            <w:t>单击此处输入文字。</w:t>
          </w:r>
        </w:p>
      </w:docPartBody>
    </w:docPart>
    <w:docPart>
      <w:docPartPr>
        <w:name w:val="{ec39a9ed-0207-4943-bad8-68f6454f9f80}"/>
        <w:style w:val=""/>
        <w:category>
          <w:name w:val="常规"/>
          <w:gallery w:val="placeholder"/>
        </w:category>
        <w:types>
          <w:type w:val="bbPlcHdr"/>
        </w:types>
        <w:behaviors>
          <w:behavior w:val="content"/>
        </w:behaviors>
        <w:description w:val=""/>
        <w:guid w:val="{EC39A9ED-0207-4943-BAD8-68F6454F9F80}"/>
      </w:docPartPr>
      <w:docPartBody>
        <w:p w14:paraId="362E2EB0">
          <w:pPr>
            <w:rPr>
              <w:rFonts w:hint="eastAsia"/>
            </w:rPr>
          </w:pPr>
          <w:r>
            <w:rPr>
              <w:color w:val="808080"/>
            </w:rPr>
            <w:t>单击此处输入文字。</w:t>
          </w:r>
        </w:p>
      </w:docPartBody>
    </w:docPart>
    <w:docPart>
      <w:docPartPr>
        <w:name w:val="{e334567f-123c-48dc-8c37-8859d3734aee}"/>
        <w:style w:val=""/>
        <w:category>
          <w:name w:val="常规"/>
          <w:gallery w:val="placeholder"/>
        </w:category>
        <w:types>
          <w:type w:val="bbPlcHdr"/>
        </w:types>
        <w:behaviors>
          <w:behavior w:val="content"/>
        </w:behaviors>
        <w:description w:val=""/>
        <w:guid w:val="{E334567F-123C-48DC-8C37-8859D3734AEE}"/>
      </w:docPartPr>
      <w:docPartBody>
        <w:p w14:paraId="77A14B8E">
          <w:pPr>
            <w:rPr>
              <w:rFonts w:hint="eastAsia"/>
            </w:rPr>
          </w:pPr>
          <w:r>
            <w:rPr>
              <w:color w:val="808080"/>
            </w:rPr>
            <w:t>单击此处输入文字。</w:t>
          </w:r>
        </w:p>
      </w:docPartBody>
    </w:docPart>
    <w:docPart>
      <w:docPartPr>
        <w:name w:val="{104b4261-6eda-43ea-90a9-effb8d646e49}"/>
        <w:style w:val=""/>
        <w:category>
          <w:name w:val="常规"/>
          <w:gallery w:val="placeholder"/>
        </w:category>
        <w:types>
          <w:type w:val="bbPlcHdr"/>
        </w:types>
        <w:behaviors>
          <w:behavior w:val="content"/>
        </w:behaviors>
        <w:description w:val=""/>
        <w:guid w:val="{104B4261-6EDA-43EA-90A9-EFFB8D646E49}"/>
      </w:docPartPr>
      <w:docPartBody>
        <w:p w14:paraId="5016B08E">
          <w:pPr>
            <w:rPr>
              <w:rFonts w:hint="eastAsia"/>
            </w:rPr>
          </w:pPr>
          <w:r>
            <w:rPr>
              <w:color w:val="808080"/>
            </w:rPr>
            <w:t>单击此处输入文字。</w:t>
          </w:r>
        </w:p>
      </w:docPartBody>
    </w:docPart>
    <w:docPart>
      <w:docPartPr>
        <w:name w:val="{c6ec430e-a3ec-43eb-89a2-450716508da9}"/>
        <w:style w:val=""/>
        <w:category>
          <w:name w:val="常规"/>
          <w:gallery w:val="placeholder"/>
        </w:category>
        <w:types>
          <w:type w:val="bbPlcHdr"/>
        </w:types>
        <w:behaviors>
          <w:behavior w:val="content"/>
        </w:behaviors>
        <w:description w:val=""/>
        <w:guid w:val="{C6EC430E-A3EC-43EB-89A2-450716508DA9}"/>
      </w:docPartPr>
      <w:docPartBody>
        <w:p w14:paraId="5262B57B">
          <w:pPr>
            <w:rPr>
              <w:rFonts w:hint="eastAsia"/>
            </w:rPr>
          </w:pPr>
          <w:r>
            <w:rPr>
              <w:color w:val="808080"/>
            </w:rPr>
            <w:t>单击此处输入文字。</w:t>
          </w:r>
        </w:p>
      </w:docPartBody>
    </w:docPart>
    <w:docPart>
      <w:docPartPr>
        <w:name w:val="{04b43c73-bd62-411d-98b6-84b95f525815}"/>
        <w:style w:val=""/>
        <w:category>
          <w:name w:val="常规"/>
          <w:gallery w:val="placeholder"/>
        </w:category>
        <w:types>
          <w:type w:val="bbPlcHdr"/>
        </w:types>
        <w:behaviors>
          <w:behavior w:val="content"/>
        </w:behaviors>
        <w:description w:val=""/>
        <w:guid w:val="{04B43C73-BD62-411D-98B6-84B95F525815}"/>
      </w:docPartPr>
      <w:docPartBody>
        <w:p w14:paraId="34733ED1">
          <w:pPr>
            <w:rPr>
              <w:rFonts w:hint="eastAsia"/>
            </w:rPr>
          </w:pPr>
          <w:r>
            <w:rPr>
              <w:color w:val="808080"/>
            </w:rPr>
            <w:t>单击此处输入文字。</w:t>
          </w:r>
        </w:p>
      </w:docPartBody>
    </w:docPart>
    <w:docPart>
      <w:docPartPr>
        <w:name w:val="{3fc6ab24-668a-47f1-b325-f22fbf9bf29a}"/>
        <w:style w:val=""/>
        <w:category>
          <w:name w:val="常规"/>
          <w:gallery w:val="placeholder"/>
        </w:category>
        <w:types>
          <w:type w:val="bbPlcHdr"/>
        </w:types>
        <w:behaviors>
          <w:behavior w:val="content"/>
        </w:behaviors>
        <w:description w:val=""/>
        <w:guid w:val="{3FC6AB24-668A-47F1-B325-F22FBF9BF29A}"/>
      </w:docPartPr>
      <w:docPartBody>
        <w:p w14:paraId="004906A9">
          <w:pPr>
            <w:rPr>
              <w:rFonts w:hint="eastAsia"/>
            </w:rPr>
          </w:pPr>
          <w:r>
            <w:rPr>
              <w:color w:val="808080"/>
            </w:rPr>
            <w:t>单击此处输入文字。</w:t>
          </w:r>
        </w:p>
      </w:docPartBody>
    </w:docPart>
    <w:docPart>
      <w:docPartPr>
        <w:name w:val="{202838c8-37a2-4297-a740-4a0cfe88942c}"/>
        <w:style w:val=""/>
        <w:category>
          <w:name w:val="常规"/>
          <w:gallery w:val="placeholder"/>
        </w:category>
        <w:types>
          <w:type w:val="bbPlcHdr"/>
        </w:types>
        <w:behaviors>
          <w:behavior w:val="content"/>
        </w:behaviors>
        <w:description w:val=""/>
        <w:guid w:val="{202838C8-37A2-4297-A740-4A0CFE88942C}"/>
      </w:docPartPr>
      <w:docPartBody>
        <w:p w14:paraId="48EE2C4A">
          <w:pPr>
            <w:rPr>
              <w:rFonts w:hint="eastAsia"/>
            </w:rPr>
          </w:pPr>
          <w:r>
            <w:rPr>
              <w:color w:val="808080"/>
            </w:rPr>
            <w:t>单击此处输入文字。</w:t>
          </w:r>
        </w:p>
      </w:docPartBody>
    </w:docPart>
    <w:docPart>
      <w:docPartPr>
        <w:name w:val="{e4b31eae-e233-4db5-8681-a630ed61052e}"/>
        <w:style w:val=""/>
        <w:category>
          <w:name w:val="常规"/>
          <w:gallery w:val="placeholder"/>
        </w:category>
        <w:types>
          <w:type w:val="bbPlcHdr"/>
        </w:types>
        <w:behaviors>
          <w:behavior w:val="content"/>
        </w:behaviors>
        <w:description w:val=""/>
        <w:guid w:val="{E4B31EAE-E233-4DB5-8681-A630ED61052E}"/>
      </w:docPartPr>
      <w:docPartBody>
        <w:p w14:paraId="3695938D">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宋体S-超大字符集(SIP)">
    <w:panose1 w:val="03000509000000000000"/>
    <w:charset w:val="86"/>
    <w:family w:val="auto"/>
    <w:pitch w:val="default"/>
    <w:sig w:usb0="00000003" w:usb1="0A0E0800" w:usb2="0000000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088"/>
    <w:rsid w:val="000421D3"/>
    <w:rsid w:val="00121D28"/>
    <w:rsid w:val="00142088"/>
    <w:rsid w:val="00802DE5"/>
    <w:rsid w:val="0082642D"/>
    <w:rsid w:val="008566DC"/>
    <w:rsid w:val="00966CD1"/>
    <w:rsid w:val="00AF7C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28</Pages>
  <Words>6160</Words>
  <Characters>6778</Characters>
  <Lines>356</Lines>
  <Paragraphs>281</Paragraphs>
  <TotalTime>16</TotalTime>
  <ScaleCrop>false</ScaleCrop>
  <LinksUpToDate>false</LinksUpToDate>
  <CharactersWithSpaces>12657</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2024-08-05T15:12:00Z</dcterms:created>
  <dc:creator>曹颖</dc:creator>
  <cp:lastModifiedBy>user</cp:lastModifiedBy>
  <cp:lastPrinted>2026-10-13T11:37:46Z</cp:lastPrinted>
  <dcterms:modified xsi:type="dcterms:W3CDTF">2026-10-13T11:39:04Z</dcterms:modified>
  <dc:title>四川省***</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791A0DAC609041FCA52F48997A2D53F0_13</vt:lpwstr>
  </property>
</Properties>
</file>